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line="440" w:lineRule="auto"/>
        <w:jc w:val="center"/>
        <w:outlineLvl w:val="3"/>
      </w:pPr>
      <w:r>
        <w:rPr>
          <w:rFonts w:ascii="标宋" w:eastAsia="标宋" w:hint="eastAsia"/>
          <w:sz w:val="34.5"/>
          <w:szCs w:val="34.5"/>
          <w:u w:val="single"/>
          <w:color w:val="000000"/>
        </w:rPr>
        <w:t xml:space="preserve"> 兴宁至汕尾高速公路兴宁至五华段(含畲江支线)项目五华停车区工程施工（第二次） </w:t>
      </w:r>
      <w:r>
        <w:rPr>
          <w:rFonts w:ascii="标宋" w:eastAsia="标宋" w:hint="eastAsia"/>
          <w:sz w:val="34.5"/>
          <w:szCs w:val="34.5"/>
          <w:color w:val="000000"/>
        </w:rPr>
        <w:t xml:space="preserve">招标公告</w:t>
      </w:r>
    </w:p>
    <w:p>
      <w:pPr>
        <w:spacing w:line="280" w:lineRule="auto"/>
        <w:jc w:val="center"/>
      </w:pPr>
    </w:p>
    <w:p>
      <w:pPr>
        <w:outlineLvl w:val="3"/>
      </w:pPr>
      <w:r>
        <w:rPr>
          <w:rFonts w:ascii="" w:eastAsia="" w:hint="eastAsia"/>
          <w:sz w:val="21.0"/>
          <w:szCs w:val="21.0"/>
          <w:color w:val="000000"/>
        </w:rPr>
        <w:t xml:space="preserve">1.招标条件</w:t>
      </w:r>
    </w:p>
    <w:p>
      <w:pPr/>
      <w:r>
        <w:rPr>
          <w:rFonts w:ascii="标宋" w:eastAsia="标宋" w:hint="eastAsia"/>
          <w:sz w:val="21.0"/>
          <w:szCs w:val="21.0"/>
          <w:color w:val="000000"/>
        </w:rPr>
        <w:t xml:space="preserve">    本招标项目</w:t>
      </w:r>
      <w:r>
        <w:rPr>
          <w:rFonts w:ascii="标宋" w:eastAsia="标宋" w:hint="eastAsia"/>
          <w:sz w:val="21.0"/>
          <w:szCs w:val="21.0"/>
          <w:u w:val="single"/>
          <w:color w:val="000000"/>
        </w:rPr>
        <w:t xml:space="preserve"> 兴宁至汕尾高速公路兴宁至五华段(含畲江支线)项目 </w:t>
      </w:r>
      <w:r>
        <w:rPr>
          <w:rFonts w:ascii="标宋" w:eastAsia="标宋" w:hint="eastAsia"/>
          <w:sz w:val="21.0"/>
          <w:szCs w:val="21.0"/>
          <w:color w:val="000000"/>
        </w:rPr>
        <w:t xml:space="preserve">已由</w:t>
      </w:r>
      <w:r>
        <w:rPr>
          <w:rFonts w:ascii="标宋" w:eastAsia="标宋" w:hint="eastAsia"/>
          <w:sz w:val="21.0"/>
          <w:szCs w:val="21.0"/>
          <w:u w:val="single"/>
          <w:color w:val="000000"/>
        </w:rPr>
        <w:t xml:space="preserve">  广东省发展和改革委员会  </w:t>
      </w:r>
      <w:r>
        <w:rPr>
          <w:rFonts w:ascii="标宋" w:eastAsia="标宋" w:hint="eastAsia"/>
          <w:sz w:val="21.0"/>
          <w:szCs w:val="21.0"/>
          <w:color w:val="000000"/>
        </w:rPr>
        <w:t xml:space="preserve">以</w:t>
      </w:r>
      <w:r>
        <w:rPr>
          <w:rFonts w:ascii="标宋" w:eastAsia="标宋" w:hint="eastAsia"/>
          <w:sz w:val="21.0"/>
          <w:szCs w:val="21.0"/>
          <w:u w:val="single"/>
          <w:color w:val="000000"/>
        </w:rPr>
        <w:t xml:space="preserve">  《广东省发展改革委关于兴宁至汕尾高速公路兴宁至五华段（含畲江、华阳支线）项目申请报告核准的批复》（粤发改交通函〔2013〕2305号）  </w:t>
      </w:r>
      <w:r>
        <w:rPr>
          <w:rFonts w:ascii="标宋" w:eastAsia="标宋" w:hint="eastAsia"/>
          <w:sz w:val="21.0"/>
          <w:szCs w:val="21.0"/>
          <w:color w:val="000000"/>
        </w:rPr>
        <w:t xml:space="preserve">批准建设,施工图设计已由</w:t>
      </w:r>
      <w:r>
        <w:rPr>
          <w:rFonts w:ascii="标宋" w:eastAsia="标宋" w:hint="eastAsia"/>
          <w:sz w:val="21.0"/>
          <w:szCs w:val="21.0"/>
          <w:u w:val="single"/>
          <w:color w:val="000000"/>
        </w:rPr>
        <w:t xml:space="preserve">  广东省交通运输厅 </w:t>
      </w:r>
      <w:r>
        <w:rPr>
          <w:rFonts w:ascii="标宋" w:eastAsia="标宋" w:hint="eastAsia"/>
          <w:sz w:val="21.0"/>
          <w:szCs w:val="21.0"/>
          <w:color w:val="000000"/>
        </w:rPr>
        <w:t xml:space="preserve">以</w:t>
      </w:r>
      <w:r>
        <w:rPr>
          <w:rFonts w:ascii="标宋" w:eastAsia="标宋" w:hint="eastAsia"/>
          <w:sz w:val="21.0"/>
          <w:szCs w:val="21.0"/>
          <w:u w:val="single"/>
          <w:color w:val="000000"/>
        </w:rPr>
        <w:t xml:space="preserve">  《广东省交通运输厅关于兴宁至汕尾高速公路兴宁至五华段（含畲江支线）五华停车区施工图设计程序性审查的批复》（粤交基〔2024〕847号） </w:t>
      </w:r>
      <w:r>
        <w:rPr>
          <w:rFonts w:ascii="标宋" w:eastAsia="标宋" w:hint="eastAsia"/>
          <w:sz w:val="21.0"/>
          <w:szCs w:val="21.0"/>
          <w:color w:val="000000"/>
        </w:rPr>
        <w:t xml:space="preserve">批准，项目业主为</w:t>
      </w:r>
      <w:r>
        <w:rPr>
          <w:rFonts w:ascii="标宋" w:eastAsia="标宋" w:hint="eastAsia"/>
          <w:sz w:val="21.0"/>
          <w:szCs w:val="21.0"/>
          <w:u w:val="single"/>
          <w:color w:val="000000"/>
        </w:rPr>
        <w:t xml:space="preserve">  广东宁华高速公路有限公司  </w:t>
      </w:r>
      <w:r>
        <w:rPr>
          <w:rFonts w:ascii="标宋" w:eastAsia="标宋" w:hint="eastAsia"/>
          <w:sz w:val="21.0"/>
          <w:szCs w:val="21.0"/>
          <w:color w:val="000000"/>
        </w:rPr>
        <w:t xml:space="preserve">，建设资金来自</w:t>
      </w:r>
      <w:r>
        <w:rPr>
          <w:rFonts w:ascii="标宋" w:eastAsia="标宋" w:hint="eastAsia"/>
          <w:sz w:val="21.0"/>
          <w:szCs w:val="21.0"/>
          <w:u w:val="single"/>
          <w:color w:val="000000"/>
        </w:rPr>
        <w:t xml:space="preserve">  企业自筹  </w:t>
      </w:r>
      <w:r>
        <w:rPr>
          <w:rFonts w:ascii="标宋" w:eastAsia="标宋" w:hint="eastAsia"/>
          <w:sz w:val="21.0"/>
          <w:szCs w:val="21.0"/>
          <w:color w:val="000000"/>
        </w:rPr>
        <w:t xml:space="preserve">,项目出资比例为</w:t>
      </w:r>
      <w:r>
        <w:rPr>
          <w:rFonts w:ascii="标宋" w:eastAsia="标宋" w:hint="eastAsia"/>
          <w:sz w:val="21.0"/>
          <w:szCs w:val="21.0"/>
          <w:u w:val="single"/>
          <w:color w:val="000000"/>
        </w:rPr>
        <w:t xml:space="preserve">  企业自筹100％ </w:t>
      </w:r>
      <w:r>
        <w:rPr>
          <w:rFonts w:ascii="标宋" w:eastAsia="标宋" w:hint="eastAsia"/>
          <w:sz w:val="21.0"/>
          <w:szCs w:val="21.0"/>
          <w:color w:val="000000"/>
        </w:rPr>
        <w:t xml:space="preserve">，招标人为</w:t>
      </w:r>
      <w:r>
        <w:rPr>
          <w:rFonts w:ascii="标宋" w:eastAsia="标宋" w:hint="eastAsia"/>
          <w:sz w:val="21.0"/>
          <w:szCs w:val="21.0"/>
          <w:u w:val="single"/>
          <w:color w:val="000000"/>
        </w:rPr>
        <w:t xml:space="preserve">  广东省路桥建设发展有限公司华陆分公司  </w:t>
      </w:r>
      <w:r>
        <w:rPr>
          <w:rFonts w:ascii="标宋" w:eastAsia="标宋" w:hint="eastAsia"/>
          <w:sz w:val="21.0"/>
          <w:szCs w:val="21.0"/>
          <w:color w:val="000000"/>
        </w:rPr>
        <w:t xml:space="preserve">（中标人与项目业主签订合同）。项目已具备招标条件，现对该项目五华停车区工程的施工采用资格后审方式进行公开招标。</w:t>
      </w:r>
    </w:p>
    <w:p>
      <w:pPr>
        <w:spacing w:line="280" w:lineRule="auto"/>
      </w:pPr>
    </w:p>
    <w:p>
      <w:pPr>
        <w:spacing w:line="280" w:lineRule="auto"/>
        <w:outlineLvl w:val="3"/>
      </w:pPr>
      <w:r>
        <w:rPr>
          <w:rFonts w:ascii="" w:eastAsia="" w:hint="eastAsia"/>
          <w:sz w:val="21.0"/>
          <w:szCs w:val="21.0"/>
          <w:color w:val="000000"/>
        </w:rPr>
        <w:t xml:space="preserve">2.项目概况与招标范围</w:t>
      </w:r>
    </w:p>
    <w:p>
      <w:pPr/>
      <w:r>
        <w:rPr>
          <w:rFonts w:ascii="" w:eastAsia="" w:hint="eastAsia"/>
          <w:sz w:val="21.0"/>
          <w:szCs w:val="21.0"/>
          <w:color w:val="000000"/>
        </w:rPr>
        <w:t xml:space="preserve">2.1 项目概况与招标范围</w:t>
      </w:r>
    </w:p>
    <w:p>
      <w:pPr/>
      <w:r>
        <w:rPr>
          <w:rFonts w:ascii="" w:eastAsia="" w:hint="eastAsia"/>
          <w:sz w:val="21.0"/>
          <w:szCs w:val="21.0"/>
          <w:color w:val="000000"/>
        </w:rPr>
        <w:t xml:space="preserve">2.1.1 项目概况</w:t>
      </w:r>
    </w:p>
    <w:p>
      <w:pPr/>
      <w:r>
        <w:rPr>
          <w:rFonts w:ascii="" w:eastAsia="" w:hint="eastAsia"/>
          <w:sz w:val="21.0"/>
          <w:szCs w:val="21.0"/>
          <w:color w:val="000000"/>
        </w:rPr>
        <w:t xml:space="preserve">本项目位于梅州市五华县转水镇蛇塘村，营运桩号为G35济广高速K1682+714~K1683+814，五华停车区相邻的前后服务区分别是平兴高速公路叶塘服务区（间距29.57km）、济广高速公路横陂服务区（间距20km）、长深高速公路兴宁西服务区（间距25Km)、长深高速公路龙川服务区（间距51Km)。匝道最小圆曲线半径为1200m，最大纵坡1.678%。停车区场区及加减速车道采用4cm厚改性沥青AC-13+6cm厚改性沥青AC-20两层沥青混凝土路面，面积约为17607m2；停车区联络通道采用20cm厚水泥混凝土路面，长约141m。五华停车区两侧占地面积合计33亩(其中：济南方向停车区占地面积约21亩 ，广州方向停车区占地面积约12亩)。拟建建筑面积约1818.42m2</w:t>
      </w:r>
    </w:p>
    <w:p>
      <w:pPr/>
      <w:r>
        <w:rPr>
          <w:rFonts w:ascii="" w:eastAsia="" w:hint="eastAsia"/>
          <w:sz w:val="21.0"/>
          <w:szCs w:val="21.0"/>
          <w:color w:val="000000"/>
        </w:rPr>
        <w:t xml:space="preserve">2.1.2 招标范围</w:t>
      </w:r>
    </w:p>
    <w:p>
      <w:pPr/>
      <w:r>
        <w:rPr>
          <w:rFonts w:ascii="" w:eastAsia="" w:hint="eastAsia"/>
          <w:sz w:val="21.0"/>
          <w:szCs w:val="21.0"/>
          <w:color w:val="000000"/>
        </w:rPr>
        <w:t xml:space="preserve">营运桩号G35济广高速K1682+714~K1683+814新建一对双侧的停车区，工程内容包括：路基修整、路面、绿化、交通安全设施、机电以及附属区房建等工程施工(不含停车区充电桩及配套设施工程)。</w:t>
      </w:r>
    </w:p>
    <w:p>
      <w:pPr/>
      <w:r>
        <w:rPr>
          <w:rFonts w:ascii="" w:eastAsia="" w:hint="eastAsia"/>
          <w:sz w:val="21.0"/>
          <w:szCs w:val="21.0"/>
          <w:color w:val="000000"/>
        </w:rPr>
        <w:t xml:space="preserve">2.1.3 计划工期</w:t>
      </w:r>
    </w:p>
    <w:p>
      <w:pPr/>
      <w:r>
        <w:rPr>
          <w:rFonts w:ascii="" w:eastAsia="" w:hint="eastAsia"/>
          <w:sz w:val="21.0"/>
          <w:szCs w:val="21.0"/>
          <w:color w:val="000000"/>
        </w:rPr>
        <w:t xml:space="preserve">计划工期为7个月。计划开工日期：2025年5月15日；计划交工日期：2025年12月31日。其他要求：具体开工日期以监理人下发的开工令为准。开工时间及施工工期发包人有权根据实际进度进行调整，承包人需无条件服从并满足发包人的各关键工程完成时间节点要求，且不得因此向发包人索赔。</w:t>
      </w:r>
    </w:p>
    <w:p>
      <w:pPr/>
      <w:r>
        <w:rPr>
          <w:rFonts w:ascii="" w:eastAsia="" w:hint="eastAsia"/>
          <w:sz w:val="21.0"/>
          <w:szCs w:val="21.0"/>
          <w:color w:val="000000"/>
        </w:rPr>
        <w:t xml:space="preserve">2.2 标段划分</w:t>
      </w:r>
    </w:p>
    <w:p>
      <w:pPr/>
      <w:r>
        <w:rPr>
          <w:rFonts w:ascii="标宋" w:eastAsia="标宋" w:hint="eastAsia"/>
          <w:sz w:val="21.0"/>
          <w:szCs w:val="21.0"/>
          <w:color w:val="000000"/>
        </w:rPr>
        <w:t xml:space="preserve">本次招标共分</w:t>
      </w:r>
      <w:r>
        <w:rPr>
          <w:rFonts w:ascii="标宋" w:eastAsia="标宋" w:hint="eastAsia"/>
          <w:sz w:val="21.0"/>
          <w:szCs w:val="21.0"/>
          <w:u w:val="single"/>
          <w:color w:val="000000"/>
        </w:rPr>
        <w:t xml:space="preserve"> 1 </w:t>
      </w:r>
      <w:r>
        <w:rPr>
          <w:rFonts w:ascii="标宋" w:eastAsia="标宋" w:hint="eastAsia"/>
          <w:sz w:val="21.0"/>
          <w:szCs w:val="21.0"/>
          <w:color w:val="000000"/>
        </w:rPr>
        <w:t xml:space="preserve">个标类</w:t>
      </w:r>
      <w:r>
        <w:rPr>
          <w:rFonts w:ascii="标宋" w:eastAsia="标宋" w:hint="eastAsia"/>
          <w:sz w:val="21.0"/>
          <w:szCs w:val="21.0"/>
          <w:u w:val="single"/>
          <w:color w:val="000000"/>
        </w:rPr>
        <w:t xml:space="preserve"> 1 </w:t>
      </w:r>
      <w:r>
        <w:rPr>
          <w:rFonts w:ascii="标宋" w:eastAsia="标宋" w:hint="eastAsia"/>
          <w:sz w:val="21.0"/>
          <w:szCs w:val="21.0"/>
          <w:color w:val="000000"/>
        </w:rPr>
        <w:t xml:space="preserve">个合同段。具体见附件1。</w:t>
      </w:r>
    </w:p>
    <w:tbl>
      <w:tblPr>
        <w:tblW w:w="0" w:type="auto"/>
      </w:tblPr>
      <w:tblGrid>
        <w:gridCol w:w="1100"/>
        <w:gridCol w:w="1180"/>
        <w:gridCol w:w="1500"/>
        <w:gridCol w:w="1050"/>
        <w:gridCol w:w="1710"/>
        <w:gridCol w:w="2000"/>
        <w:gridCol w:w="1850"/>
      </w:tblGrid>
      <w:tr>
        <w:trPr>
          <w:trHeight w:val="450"/>
        </w:trPr>
        <w:tc>
          <w:tcPr>
            <w:tcBorders>
              <w:left w:val="single" w:color="000000" w:sz="5.0"/>
              <w:top w:val="single" w:color="000000" w:sz="5.0"/>
              <w:right w:val="single" w:color="000000" w:sz="5.0"/>
              <w:bottom w:val="single" w:color="000000" w:sz="5.0"/>
            </w:tcBorders>
            <w:tcW w:w="1650" w:type="dxa"/>
          </w:tcPr>
          <w:p>
            <w:pPr>
              <w:spacing w:line="280" w:lineRule="auto"/>
              <w:jc w:val="center"/>
            </w:pPr>
            <w:r>
              <w:rPr>
                <w:rFonts w:ascii="" w:eastAsia="" w:hint="eastAsia"/>
                <w:sz w:val="21.0"/>
                <w:szCs w:val="21.0"/>
                <w:b/>
                <w:color w:val="000000"/>
              </w:rPr>
              <w:t xml:space="preserve">标段类别</w:t>
            </w: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b/>
                <w:color w:val="000000"/>
              </w:rPr>
              <w:t xml:space="preserve">标段</w:t>
            </w:r>
          </w:p>
        </w:tc>
        <w:tc>
          <w:tcPr>
            <w:tcBorders>
              <w:left w:val="single" w:color="000000" w:sz="5.0"/>
              <w:top w:val="single" w:color="000000" w:sz="5.0"/>
              <w:right w:val="single" w:color="000000" w:sz="5.0"/>
              <w:bottom w:val="single" w:color="000000" w:sz="5.0"/>
            </w:tcBorders>
            <w:tcW w:w="2250" w:type="dxa"/>
          </w:tcPr>
          <w:p>
            <w:pPr>
              <w:spacing w:line="280" w:lineRule="auto"/>
              <w:jc w:val="center"/>
            </w:pPr>
            <w:r>
              <w:rPr>
                <w:rFonts w:ascii="" w:eastAsia="" w:hint="eastAsia"/>
                <w:sz w:val="21.0"/>
                <w:szCs w:val="21.0"/>
                <w:b/>
                <w:color w:val="000000"/>
              </w:rPr>
              <w:t xml:space="preserve">起讫桩号</w:t>
            </w:r>
          </w:p>
        </w:tc>
        <w:tc>
          <w:tcPr>
            <w:tcBorders>
              <w:left w:val="single" w:color="000000" w:sz="5.0"/>
              <w:top w:val="single" w:color="000000" w:sz="5.0"/>
              <w:right w:val="single" w:color="000000" w:sz="5.0"/>
              <w:bottom w:val="single" w:color="000000" w:sz="5.0"/>
            </w:tcBorders>
            <w:tcW w:w="1575" w:type="dxa"/>
          </w:tcPr>
          <w:p>
            <w:pPr>
              <w:spacing w:line="280" w:lineRule="auto"/>
              <w:jc w:val="center"/>
            </w:pPr>
            <w:r>
              <w:rPr>
                <w:rFonts w:ascii="" w:eastAsia="" w:hint="eastAsia"/>
                <w:sz w:val="21.0"/>
                <w:szCs w:val="21.0"/>
                <w:b/>
                <w:color w:val="000000"/>
              </w:rPr>
              <w:t xml:space="preserve">长度(KM)</w:t>
            </w:r>
          </w:p>
        </w:tc>
        <w:tc>
          <w:tcPr>
            <w:tcBorders>
              <w:left w:val="single" w:color="000000" w:sz="5.0"/>
              <w:top w:val="single" w:color="000000" w:sz="5.0"/>
              <w:right w:val="single" w:color="000000" w:sz="5.0"/>
              <w:bottom w:val="single" w:color="000000" w:sz="5.0"/>
            </w:tcBorders>
            <w:tcW w:w="2565" w:type="dxa"/>
          </w:tcPr>
          <w:p>
            <w:pPr>
              <w:spacing w:line="280" w:lineRule="auto"/>
              <w:jc w:val="center"/>
            </w:pPr>
            <w:r>
              <w:rPr>
                <w:rFonts w:ascii="" w:eastAsia="" w:hint="eastAsia"/>
                <w:sz w:val="21.0"/>
                <w:szCs w:val="21.0"/>
                <w:b/>
                <w:color w:val="000000"/>
              </w:rPr>
              <w:t xml:space="preserve">主要工程项目</w:t>
            </w:r>
          </w:p>
        </w:tc>
        <w:tc>
          <w:tcPr>
            <w:tcBorders>
              <w:left w:val="single" w:color="000000" w:sz="5.0"/>
              <w:top w:val="single" w:color="000000" w:sz="5.0"/>
              <w:right w:val="single" w:color="000000" w:sz="5.0"/>
              <w:bottom w:val="single" w:color="000000" w:sz="5.0"/>
            </w:tcBorders>
            <w:tcW w:w="3000" w:type="dxa"/>
          </w:tcPr>
          <w:p>
            <w:pPr>
              <w:spacing w:line="280" w:lineRule="auto"/>
              <w:jc w:val="center"/>
            </w:pPr>
            <w:r>
              <w:rPr>
                <w:rFonts w:ascii="" w:eastAsia="" w:hint="eastAsia"/>
                <w:sz w:val="21.0"/>
                <w:szCs w:val="21.0"/>
                <w:b/>
                <w:color w:val="000000"/>
              </w:rPr>
              <w:t xml:space="preserve">对投标人资质要求</w:t>
            </w:r>
          </w:p>
        </w:tc>
        <w:tc>
          <w:tcPr>
            <w:tcBorders>
              <w:left w:val="single" w:color="000000" w:sz="5.0"/>
              <w:top w:val="single" w:color="000000" w:sz="5.0"/>
              <w:right w:val="single" w:color="000000" w:sz="5.0"/>
              <w:bottom w:val="single" w:color="000000" w:sz="5.0"/>
            </w:tcBorders>
            <w:tcW w:w="2775" w:type="dxa"/>
          </w:tcPr>
          <w:p>
            <w:pPr>
              <w:spacing w:line="280" w:lineRule="auto"/>
              <w:jc w:val="center"/>
            </w:pPr>
            <w:r>
              <w:rPr>
                <w:rFonts w:ascii="" w:eastAsia="" w:hint="eastAsia"/>
                <w:sz w:val="21.0"/>
                <w:szCs w:val="21.0"/>
                <w:b/>
                <w:color w:val="000000"/>
              </w:rPr>
              <w:t xml:space="preserve">备注</w:t>
            </w:r>
          </w:p>
        </w:tc>
      </w:tr>
      <w:tr>
        <w:trPr>
          <w:trHeight w:val="450"/>
        </w:trPr>
        <w:tc>
          <w:tcPr>
            <w:tcBorders>
              <w:left w:val="single" w:color="000000" w:sz="5.0"/>
              <w:top w:val="single" w:color="000000" w:sz="5.0"/>
              <w:right w:val="single" w:color="000000" w:sz="5.0"/>
              <w:bottom w:val="single" w:color="000000" w:sz="5.0"/>
            </w:tcBorders>
            <w:tcW w:w="1650" w:type="dxa"/>
          </w:tcPr>
          <w:p>
            <w:pPr>
              <w:spacing w:line="280" w:lineRule="auto"/>
              <w:jc w:val="center"/>
            </w:pPr>
            <w:r>
              <w:rPr>
                <w:rFonts w:ascii="" w:eastAsia="" w:hint="eastAsia"/>
                <w:sz w:val="21.0"/>
                <w:szCs w:val="21.0"/>
                <w:color w:val="000000"/>
              </w:rPr>
              <w:t xml:space="preserve">G类路面工程</w:t>
            </w: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LM1</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K1682+714~K1683+814</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1.1km</w:t>
            </w:r>
          </w:p>
        </w:tc>
        <w:tc>
          <w:tcPr>
            <w:tcBorders>
              <w:left w:val="single" w:color="000000" w:sz="5.0"/>
              <w:top w:val="single" w:color="000000" w:sz="5.0"/>
              <w:right w:val="single" w:color="000000" w:sz="5.0"/>
              <w:bottom w:val="single" w:color="000000" w:sz="5.0"/>
            </w:tcBorders>
            <w:tcW w:w="2565" w:type="dxa"/>
          </w:tcPr>
          <w:p>
            <w:pPr>
              <w:spacing w:line="280" w:lineRule="auto"/>
            </w:pPr>
            <w:r>
              <w:rPr>
                <w:rFonts w:ascii="" w:eastAsia="" w:hint="eastAsia"/>
                <w:sz w:val="21.0"/>
                <w:szCs w:val="21.0"/>
                <w:color w:val="000000"/>
              </w:rPr>
              <w:t xml:space="preserve">营运桩号G35济广高速K1682+714~K1683+814新建一对双侧的停车区，工程内容包括：路基修整、路面、绿化、交通安全设施、机电以及附属区房建等工程施工(不含停车区充电桩及配套设施工程)。</w:t>
            </w:r>
          </w:p>
        </w:tc>
        <w:tc>
          <w:tcPr>
            <w:tcBorders>
              <w:left w:val="single" w:color="000000" w:sz="5.0"/>
              <w:top w:val="single" w:color="000000" w:sz="5.0"/>
              <w:right w:val="single" w:color="000000" w:sz="5.0"/>
              <w:bottom w:val="single" w:color="000000" w:sz="5.0"/>
            </w:tcBorders>
            <w:tcW w:w="3000" w:type="dxa"/>
          </w:tcPr>
          <w:p>
            <w:pPr>
              <w:spacing w:line="280" w:lineRule="auto"/>
            </w:pPr>
            <w:r>
              <w:rPr>
                <w:rFonts w:ascii="" w:eastAsia="" w:hint="eastAsia"/>
                <w:sz w:val="21.0"/>
                <w:szCs w:val="21.0"/>
                <w:color w:val="000000"/>
              </w:rPr>
              <w:t xml:space="preserve">应同时具备：1、具有独立法人资格；持有有效的企业法人营业执照。2、同时具备住房城乡建设主管部门核发的公路工程施工总承包一级或以上资质且建筑工程施工总承包二级或以上资质。3、具有合法有效的安全生产许可证。</w:t>
            </w:r>
          </w:p>
        </w:tc>
        <w:tc>
          <w:tcPr>
            <w:tcBorders>
              <w:left w:val="single" w:color="000000" w:sz="5.0"/>
              <w:top w:val="single" w:color="000000" w:sz="5.0"/>
              <w:right w:val="single" w:color="000000" w:sz="5.0"/>
              <w:bottom w:val="single" w:color="000000" w:sz="5.0"/>
            </w:tcBorders>
            <w:tcW w:w="2775" w:type="dxa"/>
          </w:tcPr>
          <w:p>
            <w:pPr>
              <w:spacing w:line="280" w:lineRule="auto"/>
            </w:pPr>
            <w:r>
              <w:rPr>
                <w:rFonts w:ascii="" w:eastAsia="" w:hint="eastAsia"/>
                <w:sz w:val="21.0"/>
                <w:szCs w:val="21.0"/>
                <w:color w:val="000000"/>
              </w:rPr>
              <w:t xml:space="preserve">资格审查条件附录1至附录7，详见附件2</w:t>
            </w:r>
          </w:p>
        </w:tc>
      </w:tr>
    </w:tbl>
    <w:p>
      <w:pPr>
        <w:spacing w:line="280" w:lineRule="auto"/>
      </w:pPr>
      <w:r>
        <w:rPr>
          <w:rFonts w:ascii="标宋" w:eastAsia="标宋" w:hint="eastAsia"/>
          <w:sz w:val="21.0"/>
          <w:szCs w:val="21.0"/>
          <w:u w:val="single"/>
          <w:color w:val="000000"/>
        </w:rPr>
        <w:t xml:space="preserve">  注：1、具体工程数量以招标文件工程量清单为准。  </w:t>
      </w:r>
    </w:p>
    <w:p>
      <w:pPr>
        <w:spacing w:line="280" w:lineRule="auto"/>
      </w:pPr>
    </w:p>
    <w:p>
      <w:pPr>
        <w:spacing w:line="280" w:lineRule="auto"/>
        <w:outlineLvl w:val="3"/>
      </w:pPr>
      <w:r>
        <w:rPr>
          <w:rFonts w:ascii="" w:eastAsia="" w:hint="eastAsia"/>
          <w:sz w:val="21.0"/>
          <w:szCs w:val="21.0"/>
          <w:color w:val="000000"/>
        </w:rPr>
        <w:t xml:space="preserve">3.投标人资格条件</w:t>
      </w:r>
    </w:p>
    <w:p>
      <w:pPr/>
      <w:r>
        <w:rPr>
          <w:rFonts w:ascii="" w:eastAsia="" w:hint="eastAsia"/>
          <w:sz w:val="21.0"/>
          <w:szCs w:val="21.0"/>
          <w:color w:val="000000"/>
        </w:rPr>
        <w:t xml:space="preserve">3.1 本次招标要求投标人须具备上述第2.2款表中所列相应资质、业绩，并 在 人 员 、设 备、资金等方面具有相应的施工能力 。</w:t>
      </w:r>
    </w:p>
    <w:p>
      <w:pPr/>
      <w:r>
        <w:rPr>
          <w:rFonts w:ascii="" w:eastAsia="" w:hint="eastAsia"/>
          <w:sz w:val="21.0"/>
          <w:szCs w:val="21.0"/>
          <w:color w:val="000000"/>
        </w:rPr>
        <w:t xml:space="preserve">投标人应进入交通运输部“全国公路建设市场监督管理系统”(https://hwdms.mot.gov.cn)中的公路工程施工资质企业名录，且投标人名称和资质与该名录中的相应企业名称和资质完全一致。</w:t>
      </w:r>
    </w:p>
    <w:p>
      <w:pPr/>
      <w:r>
        <w:rPr>
          <w:rFonts w:ascii="" w:eastAsia="" w:hint="eastAsia"/>
          <w:sz w:val="21.0"/>
          <w:szCs w:val="21.0"/>
          <w:color w:val="000000"/>
        </w:rPr>
        <w:t xml:space="preserve">3.2本次招标不接受联合体投标。</w:t>
      </w:r>
    </w:p>
    <w:p>
      <w:pPr/>
      <w:r>
        <w:rPr>
          <w:rFonts w:ascii="" w:eastAsia="" w:hint="eastAsia"/>
          <w:sz w:val="21.0"/>
          <w:szCs w:val="21.0"/>
          <w:color w:val="000000"/>
        </w:rPr>
        <w:t xml:space="preserve">3.3 与招标人存在利害关系可能影响招标公正性的法人，不得参加投标；若单位负责人 ① 为同一人、或者存在控股②、管理关系③的不同单位，不得参加同一标段投标或者未划分标段的同一招标项目投标，否则按否决其投标处理。</w:t>
      </w:r>
    </w:p>
    <w:p>
      <w:pPr/>
      <w:r>
        <w:rPr>
          <w:rFonts w:ascii="" w:eastAsia="" w:hint="eastAsia"/>
          <w:sz w:val="21.0"/>
          <w:szCs w:val="21.0"/>
          <w:color w:val="000000"/>
        </w:rPr>
        <w:t xml:space="preserve">注：①单位负责人是指单位的法定代表人或者法律、行政法规规定代表单位行使职权的主要 负责人。  </w:t>
      </w:r>
    </w:p>
    <w:p>
      <w:pPr/>
      <w:r>
        <w:rPr>
          <w:rFonts w:ascii="" w:eastAsia="" w:hint="eastAsia"/>
          <w:sz w:val="21.0"/>
          <w:szCs w:val="21.0"/>
          <w:color w:val="000000"/>
        </w:rPr>
        <w:t xml:space="preserve">②控股是指出资额占有限责任公司资本总额 50%以上或者其持有的股份占股份有限公司股本总额 50%以上的，以及出资额或者持有股份的比例虽然不足 50%，但依其出资额或者持有的股份所享有的表决权已足以对股东会、股东大会的决议产生重大影响的。</w:t>
      </w:r>
    </w:p>
    <w:p>
      <w:pPr/>
      <w:r>
        <w:rPr>
          <w:rFonts w:ascii="" w:eastAsia="" w:hint="eastAsia"/>
          <w:sz w:val="21.0"/>
          <w:szCs w:val="21.0"/>
          <w:color w:val="000000"/>
        </w:rPr>
        <w:t xml:space="preserve">③管理关系是指不具有出资持股关系的其它单位之间存在的管理与被管理关系。</w:t>
      </w:r>
    </w:p>
    <w:p>
      <w:pPr/>
      <w:r>
        <w:rPr>
          <w:rFonts w:ascii="" w:eastAsia="" w:hint="eastAsia"/>
          <w:sz w:val="21.0"/>
          <w:szCs w:val="21.0"/>
          <w:color w:val="000000"/>
        </w:rPr>
        <w:t xml:space="preserve">3.4 在“信用中国”网站(http://www.creditchina.gov.cn/)中被列入失信被执行人名单的投标人，在“国家企业信用信息公示系统”(https://gsxt.gov.cn)中被列入严重违法失信企业名单的投标人，均按否决投标处理。</w:t>
      </w:r>
    </w:p>
    <w:p>
      <w:pPr>
        <w:spacing w:line="280" w:lineRule="auto"/>
      </w:pPr>
    </w:p>
    <w:p>
      <w:pPr>
        <w:spacing w:line="280" w:lineRule="auto"/>
        <w:outlineLvl w:val="3"/>
      </w:pPr>
      <w:r>
        <w:rPr>
          <w:rFonts w:ascii="标宋" w:eastAsia="标宋" w:hint="eastAsia"/>
          <w:sz w:val="21.0"/>
          <w:szCs w:val="21.0"/>
          <w:color w:val="000000"/>
        </w:rPr>
        <w:t xml:space="preserve">4.招标文件的获取</w:t>
      </w:r>
    </w:p>
    <w:p>
      <w:pPr>
        <w:spacing w:line="280" w:lineRule="auto"/>
      </w:pPr>
      <w:r>
        <w:rPr>
          <w:rFonts w:ascii="标宋" w:eastAsia="标宋" w:hint="eastAsia"/>
          <w:sz w:val="21.0"/>
          <w:szCs w:val="21.0"/>
          <w:color w:val="000000"/>
        </w:rPr>
        <w:t xml:space="preserve">    4.1  凡有意参加投标者，请于</w:t>
      </w:r>
      <w:r>
        <w:rPr>
          <w:rFonts w:ascii="标宋" w:eastAsia="标宋" w:hint="eastAsia"/>
          <w:sz w:val="21.0"/>
          <w:szCs w:val="21.0"/>
          <w:u w:val="single"/>
          <w:color w:val="000000"/>
        </w:rPr>
        <w:t xml:space="preserve">  2025年04月23日  </w:t>
      </w:r>
      <w:r>
        <w:rPr>
          <w:rFonts w:ascii="标宋" w:eastAsia="标宋" w:hint="eastAsia"/>
          <w:sz w:val="21.0"/>
          <w:szCs w:val="21.0"/>
          <w:color w:val="000000"/>
        </w:rPr>
        <w:t xml:space="preserve">至</w:t>
      </w:r>
      <w:r>
        <w:rPr>
          <w:rFonts w:ascii="标宋" w:eastAsia="标宋" w:hint="eastAsia"/>
          <w:sz w:val="21.0"/>
          <w:szCs w:val="21.0"/>
          <w:u w:val="single"/>
          <w:color w:val="000000"/>
        </w:rPr>
        <w:t xml:space="preserve">  2025年04月27日  </w:t>
      </w:r>
      <w:r>
        <w:rPr>
          <w:rFonts w:ascii="标宋" w:eastAsia="标宋" w:hint="eastAsia"/>
          <w:sz w:val="21.0"/>
          <w:szCs w:val="21.0"/>
          <w:color w:val="000000"/>
        </w:rPr>
        <w:t xml:space="preserve">，登录</w:t>
      </w:r>
      <w:r>
        <w:rPr>
          <w:rFonts w:ascii="标宋" w:eastAsia="标宋" w:hint="eastAsia"/>
          <w:sz w:val="21.0"/>
          <w:szCs w:val="21.0"/>
          <w:u w:val="single"/>
          <w:color w:val="000000"/>
        </w:rPr>
        <w:t xml:space="preserve">  广州公共资源交易中心网站（http://www.gzggzy.cn）  </w:t>
      </w:r>
      <w:r>
        <w:rPr>
          <w:rFonts w:ascii="标宋" w:eastAsia="标宋" w:hint="eastAsia"/>
          <w:sz w:val="21.0"/>
          <w:szCs w:val="21.0"/>
          <w:color w:val="000000"/>
        </w:rPr>
        <w:t xml:space="preserve">选择对应标段进行投标登记，并在广东省公路水运工程建设项目电子招投标交易平台（http://jtcbs.gdcd.gov.cn:30887/tenderlogin） 进行账号注册。</w:t>
      </w:r>
      <w:r>
        <w:rPr>
          <w:rFonts w:ascii="标宋" w:eastAsia="标宋" w:hint="eastAsia"/>
          <w:sz w:val="21.0"/>
          <w:szCs w:val="21.0"/>
          <w:color w:val="000000"/>
        </w:rPr>
        <w:t xml:space="preserve">经招标人或招标代理确认投标登记成功后，投标人在广东省公路水运工程建设项目电子招投标交易平台自行下载招标文件等相关资料。</w:t>
      </w:r>
    </w:p>
    <w:p>
      <w:pPr>
        <w:spacing w:line="280" w:lineRule="auto"/>
      </w:pPr>
      <w:r>
        <w:rPr>
          <w:rFonts w:ascii="标宋" w:eastAsia="标宋" w:hint="eastAsia"/>
          <w:sz w:val="21.0"/>
          <w:szCs w:val="21.0"/>
          <w:color w:val="000000"/>
        </w:rPr>
        <w:t xml:space="preserve">    4.2 电子交易平台服务费每标段收取</w:t>
      </w:r>
      <w:r>
        <w:rPr>
          <w:rFonts w:ascii="标宋" w:eastAsia="标宋" w:hint="eastAsia"/>
          <w:sz w:val="21.0"/>
          <w:szCs w:val="21.0"/>
          <w:u w:val="single"/>
          <w:color w:val="000000"/>
        </w:rPr>
        <w:t xml:space="preserve">  1,000  </w:t>
      </w:r>
      <w:r>
        <w:rPr>
          <w:rFonts w:ascii="标宋" w:eastAsia="标宋" w:hint="eastAsia"/>
          <w:sz w:val="21.0"/>
          <w:szCs w:val="21.0"/>
          <w:color w:val="000000"/>
        </w:rPr>
        <w:t xml:space="preserve">元,售后不退（同一投标人在本次招标中参加多个标段投标的，需要按标段数量分别进行费用缴纳）。投标人须将缴费证明资料扫描件上传到广东省公路水运工程建设项目电子招投标交易平台，电子交易平台服务费缴纳方式为电汇或转账，由技术支持单位收取，须用单位账户转账，转账备注中写明项目名称。</w:t>
      </w:r>
    </w:p>
    <w:p>
      <w:pPr>
        <w:spacing w:line="280" w:lineRule="auto"/>
      </w:pPr>
    </w:p>
    <w:p>
      <w:pPr>
        <w:spacing w:line="280" w:lineRule="auto"/>
      </w:pPr>
      <w:r>
        <w:rPr>
          <w:rFonts w:ascii="标宋" w:eastAsia="标宋" w:hint="eastAsia"/>
          <w:sz w:val="21.0"/>
          <w:szCs w:val="21.0"/>
          <w:color w:val="000000"/>
        </w:rPr>
        <w:t xml:space="preserve">技术支持单位开户银行及账号如下：</w:t>
      </w:r>
    </w:p>
    <w:p>
      <w:pPr>
        <w:spacing w:line="280" w:lineRule="auto"/>
      </w:pPr>
      <w:r>
        <w:rPr>
          <w:rFonts w:ascii="标宋" w:eastAsia="标宋" w:hint="eastAsia"/>
          <w:sz w:val="21.0"/>
          <w:szCs w:val="21.0"/>
          <w:color w:val="000000"/>
        </w:rPr>
        <w:t xml:space="preserve">开户名称：</w:t>
      </w:r>
      <w:r>
        <w:rPr>
          <w:rFonts w:ascii="标宋" w:eastAsia="标宋" w:hint="eastAsia"/>
          <w:sz w:val="21.0"/>
          <w:szCs w:val="21.0"/>
          <w:u w:val="single"/>
          <w:color w:val="000000"/>
        </w:rPr>
        <w:t xml:space="preserve"> 广州市交正工程咨询有限公司 </w:t>
      </w:r>
    </w:p>
    <w:p>
      <w:pPr>
        <w:spacing w:line="280" w:lineRule="auto"/>
      </w:pPr>
      <w:r>
        <w:rPr>
          <w:rFonts w:ascii="标宋" w:eastAsia="标宋" w:hint="eastAsia"/>
          <w:sz w:val="21.0"/>
          <w:szCs w:val="21.0"/>
          <w:color w:val="000000"/>
        </w:rPr>
        <w:t xml:space="preserve">开户银行：</w:t>
      </w:r>
      <w:r>
        <w:rPr>
          <w:rFonts w:ascii="标宋" w:eastAsia="标宋" w:hint="eastAsia"/>
          <w:sz w:val="21.0"/>
          <w:szCs w:val="21.0"/>
          <w:u w:val="single"/>
          <w:color w:val="000000"/>
        </w:rPr>
        <w:t xml:space="preserve"> 中国工商银行广州花城支行  </w:t>
      </w:r>
    </w:p>
    <w:p>
      <w:pPr>
        <w:spacing w:line="280" w:lineRule="auto"/>
      </w:pPr>
      <w:r>
        <w:rPr>
          <w:rFonts w:ascii="标宋" w:eastAsia="标宋" w:hint="eastAsia"/>
          <w:sz w:val="21.0"/>
          <w:szCs w:val="21.0"/>
          <w:color w:val="000000"/>
        </w:rPr>
        <w:t xml:space="preserve">账号</w:t>
      </w:r>
      <w:r>
        <w:rPr>
          <w:rFonts w:ascii="标宋" w:eastAsia="标宋" w:hint="eastAsia"/>
          <w:sz w:val="21.0"/>
          <w:szCs w:val="21.0"/>
          <w:u w:val="single"/>
          <w:color w:val="000000"/>
        </w:rPr>
        <w:t xml:space="preserve"> 3602028519202301018 </w:t>
      </w:r>
    </w:p>
    <w:p>
      <w:pPr>
        <w:spacing w:line="280" w:lineRule="auto"/>
      </w:pPr>
      <w:r>
        <w:rPr>
          <w:rFonts w:ascii="标宋" w:eastAsia="标宋" w:hint="eastAsia"/>
          <w:sz w:val="21.0"/>
          <w:szCs w:val="21.0"/>
          <w:color w:val="000000"/>
        </w:rPr>
        <w:t xml:space="preserve">技术支持联系人及联系方式：</w:t>
      </w:r>
      <w:r>
        <w:rPr>
          <w:rFonts w:ascii="标宋" w:eastAsia="标宋" w:hint="eastAsia"/>
          <w:sz w:val="21.0"/>
          <w:szCs w:val="21.0"/>
          <w:u w:val="single"/>
          <w:color w:val="000000"/>
        </w:rPr>
        <w:t xml:space="preserve"> 王工、林工020-39185477 </w:t>
      </w:r>
    </w:p>
    <w:p>
      <w:pPr>
        <w:spacing w:line="280" w:lineRule="auto"/>
      </w:pPr>
    </w:p>
    <w:p>
      <w:pPr>
        <w:spacing w:line="280" w:lineRule="auto"/>
        <w:outlineLvl w:val="3"/>
      </w:pPr>
      <w:r>
        <w:rPr>
          <w:rFonts w:ascii="标宋" w:eastAsia="标宋" w:hint="eastAsia"/>
          <w:sz w:val="21.0"/>
          <w:szCs w:val="21.0"/>
          <w:color w:val="000000"/>
        </w:rPr>
        <w:t xml:space="preserve">5.投标文件的递交及相关事宜</w:t>
      </w:r>
    </w:p>
    <w:p>
      <w:pPr>
        <w:spacing w:line="280" w:lineRule="auto"/>
      </w:pPr>
      <w:r>
        <w:rPr>
          <w:rFonts w:ascii="标宋" w:eastAsia="标宋" w:hint="eastAsia"/>
          <w:sz w:val="21.0"/>
          <w:szCs w:val="21.0"/>
          <w:color w:val="000000"/>
        </w:rPr>
        <w:t xml:space="preserve">    5.1 招标人将不统一组织现场考察及召开投标预备会。</w:t>
      </w:r>
    </w:p>
    <w:p>
      <w:pPr>
        <w:spacing w:line="280" w:lineRule="auto"/>
      </w:pPr>
      <w:r>
        <w:rPr>
          <w:rFonts w:ascii="标宋" w:eastAsia="标宋" w:hint="eastAsia"/>
          <w:sz w:val="21.0"/>
          <w:szCs w:val="21.0"/>
          <w:color w:val="000000"/>
        </w:rPr>
        <w:t xml:space="preserve">    5.2 投标文件递交的截止时间(投标截止时间，下同)为</w:t>
      </w:r>
      <w:r>
        <w:rPr>
          <w:rFonts w:ascii="标宋" w:eastAsia="标宋" w:hint="eastAsia"/>
          <w:sz w:val="21.0"/>
          <w:szCs w:val="21.0"/>
          <w:u w:val="single"/>
          <w:color w:val="000000"/>
        </w:rPr>
        <w:t xml:space="preserve">  2025年05月15日10时00分  </w:t>
      </w:r>
      <w:r>
        <w:rPr>
          <w:rFonts w:ascii="" w:eastAsia="" w:hint="eastAsia"/>
          <w:sz w:val="21.0"/>
          <w:szCs w:val="21.0"/>
          <w:color w:val="000000"/>
        </w:rPr>
        <w:t xml:space="preserve">。</w:t>
      </w:r>
    </w:p>
    <w:p>
      <w:pPr>
        <w:spacing w:line="280" w:lineRule="auto"/>
      </w:pPr>
      <w:r>
        <w:rPr>
          <w:rFonts w:ascii="" w:eastAsia="" w:hint="eastAsia"/>
          <w:sz w:val="21.0"/>
          <w:szCs w:val="21.0"/>
          <w:color w:val="000000"/>
        </w:rPr>
        <w:t xml:space="preserve">投标文件电子文件统一采用网络上传的方式，投标人于2025年4月23日00时00分至2025年5月15日10时00分将电子文件完整上传。递交投标文件纸质文件截止时间为2025年5月15日10时00分，投标人应于2025年5月15日9时00分至2025年5月15日10时00分将投标文件纸质文件递交至广州公共资源交易中心相应的开标室，具体开标室见交易中心大厅公告（广州市天河区天润路333号）。</w:t>
      </w:r>
    </w:p>
    <w:p>
      <w:pPr>
        <w:spacing w:line="280" w:lineRule="auto"/>
      </w:pPr>
      <w:r>
        <w:rPr>
          <w:rFonts w:ascii="" w:eastAsia="" w:hint="eastAsia"/>
          <w:sz w:val="21.0"/>
          <w:szCs w:val="21.0"/>
          <w:color w:val="000000"/>
        </w:rPr>
        <w:t xml:space="preserve">逾期送达的、未送达指定地点的或不按照招标文件要求密封的投标文件，招标人将予以拒收。</w:t>
      </w:r>
    </w:p>
    <w:p>
      <w:pPr>
        <w:spacing w:line="280" w:lineRule="auto"/>
      </w:pPr>
    </w:p>
    <w:p>
      <w:pPr>
        <w:spacing w:line="280" w:lineRule="auto"/>
        <w:outlineLvl w:val="3"/>
      </w:pPr>
      <w:r>
        <w:rPr>
          <w:rFonts w:ascii="标宋" w:eastAsia="标宋" w:hint="eastAsia"/>
          <w:sz w:val="21.0"/>
          <w:szCs w:val="21.0"/>
          <w:color w:val="000000"/>
        </w:rPr>
        <w:t xml:space="preserve">6.发布公告的媒介</w:t>
      </w:r>
    </w:p>
    <w:p>
      <w:pPr>
        <w:spacing w:line="280" w:lineRule="auto"/>
      </w:pPr>
      <w:r>
        <w:rPr>
          <w:rFonts w:ascii="" w:eastAsia="" w:hint="eastAsia"/>
          <w:sz w:val="21.0"/>
          <w:szCs w:val="21.0"/>
          <w:color w:val="000000"/>
        </w:rPr>
        <w:t xml:space="preserve">本次招标公告同时在广东省招标投标监管网、广州公共资源交易中心网站上发布。如公告详细内容不一致者，以广东省招标投标监管网站公告为准。</w:t>
      </w:r>
    </w:p>
    <w:p>
      <w:pPr>
        <w:spacing w:line="280" w:lineRule="auto"/>
      </w:pPr>
      <w:r>
        <w:rPr>
          <w:rFonts w:ascii="" w:eastAsia="" w:hint="eastAsia"/>
          <w:sz w:val="21.0"/>
          <w:szCs w:val="21.0"/>
          <w:color w:val="000000"/>
        </w:rPr>
        <w:t xml:space="preserve">7.在规定的投标登记期间，如某个标段投标登记并购买招标文件的投标人不足3家时，招标人有权选择以下任一方式：（1）在广东省招标投标监管网及 广州交易中心网站发布公告延长上述投标人家数不足的标段投标登记时间，在延期投标登记时间内，已投标登记投标人的资料仍有效并可自行补充资料，未投标登记的投标人可根据公告的约定进行投标登记；（2）对上述投标人家数不足的标段依法重新组织招标或不再招标。</w:t>
      </w:r>
    </w:p>
    <w:p>
      <w:pPr>
        <w:spacing w:line="280" w:lineRule="auto"/>
        <w:jc w:val="center"/>
      </w:pPr>
    </w:p>
    <w:p>
      <w:pPr>
        <w:spacing w:line="280" w:lineRule="auto"/>
        <w:outlineLvl w:val="3"/>
      </w:pPr>
      <w:r>
        <w:rPr>
          <w:rFonts w:ascii="标宋" w:eastAsia="标宋" w:hint="eastAsia"/>
          <w:sz w:val="21.0"/>
          <w:szCs w:val="21.0"/>
          <w:color w:val="000000"/>
        </w:rPr>
        <w:t xml:space="preserve">8.联系方式</w:t>
      </w:r>
    </w:p>
    <w:p>
      <w:pPr>
        <w:spacing w:line="280" w:lineRule="auto"/>
        <w:jc w:val="center"/>
      </w:pPr>
    </w:p>
    <w:tbl>
      <w:tblPr>
        <w:tblW w:w="0" w:type="auto"/>
      </w:tblPr>
      <w:tblGrid>
        <w:gridCol w:w="3240"/>
        <w:gridCol w:w="3300"/>
      </w:tblGrid>
      <w:tr>
        <w:trPr>
          <w:trHeight w:val="2220"/>
        </w:trPr>
        <w:tc>
          <w:tcPr>
            <w:tcBorders/>
            <w:tcW w:w="4860" w:type="dxa"/>
          </w:tcPr>
          <w:p>
            <w:pPr/>
            <w:r>
              <w:rPr>
                <w:rFonts w:ascii="标宋" w:eastAsia="标宋" w:hint="eastAsia"/>
                <w:sz w:val="21.0"/>
                <w:szCs w:val="21.0"/>
                <w:color w:val="000000"/>
              </w:rPr>
              <w:t xml:space="preserve">招标人：  广东省路桥建设发展有限公司华陆分公司</w:t>
            </w:r>
          </w:p>
          <w:p>
            <w:pPr/>
            <w:r>
              <w:rPr>
                <w:rFonts w:ascii="标宋" w:eastAsia="标宋" w:hint="eastAsia"/>
                <w:sz w:val="21.0"/>
                <w:szCs w:val="21.0"/>
                <w:color w:val="000000"/>
              </w:rPr>
              <w:t xml:space="preserve">地址：  梅州市五华县水寨镇协和村白石洋兴华高速管理中心</w:t>
            </w:r>
          </w:p>
          <w:p>
            <w:pPr/>
            <w:r>
              <w:rPr>
                <w:rFonts w:ascii="标宋" w:eastAsia="标宋" w:hint="eastAsia"/>
                <w:sz w:val="21.0"/>
                <w:szCs w:val="21.0"/>
                <w:color w:val="000000"/>
              </w:rPr>
              <w:t xml:space="preserve">邮政编码：  514400</w:t>
            </w:r>
          </w:p>
          <w:p>
            <w:pPr/>
            <w:r>
              <w:rPr>
                <w:rFonts w:ascii="标宋" w:eastAsia="标宋" w:hint="eastAsia"/>
                <w:sz w:val="21.0"/>
                <w:szCs w:val="21.0"/>
                <w:color w:val="000000"/>
              </w:rPr>
              <w:t xml:space="preserve">联系人：  杨工</w:t>
            </w:r>
          </w:p>
          <w:p>
            <w:pPr/>
            <w:r>
              <w:rPr>
                <w:rFonts w:ascii="标宋" w:eastAsia="标宋" w:hint="eastAsia"/>
                <w:sz w:val="21.0"/>
                <w:szCs w:val="21.0"/>
                <w:color w:val="000000"/>
              </w:rPr>
              <w:t xml:space="preserve">电 话：  13826636107</w:t>
            </w:r>
          </w:p>
          <w:p>
            <w:pPr/>
            <w:r>
              <w:rPr>
                <w:rFonts w:ascii="标宋" w:eastAsia="标宋" w:hint="eastAsia"/>
                <w:sz w:val="21.0"/>
                <w:szCs w:val="21.0"/>
                <w:color w:val="000000"/>
              </w:rPr>
              <w:t xml:space="preserve">传 真：  </w:t>
            </w:r>
          </w:p>
          <w:p>
            <w:pPr/>
            <w:r>
              <w:rPr>
                <w:rFonts w:ascii="标宋" w:eastAsia="标宋" w:hint="eastAsia"/>
                <w:sz w:val="21.0"/>
                <w:szCs w:val="21.0"/>
                <w:color w:val="000000"/>
              </w:rPr>
              <w:t xml:space="preserve">电子邮件：  894510771@qq.com</w:t>
            </w:r>
          </w:p>
        </w:tc>
        <w:tc>
          <w:tcPr>
            <w:tcBorders/>
            <w:tcW w:w="4950" w:type="dxa"/>
          </w:tcPr>
          <w:p>
            <w:pPr/>
            <w:r>
              <w:rPr>
                <w:rFonts w:ascii="" w:eastAsia="" w:hint="eastAsia"/>
                <w:sz w:val="21.0"/>
                <w:szCs w:val="21.0"/>
                <w:color w:val="000000"/>
              </w:rPr>
              <w:t xml:space="preserve"/>
            </w:r>
          </w:p>
          <w:p>
            <w:pPr/>
            <w:r>
              <w:rPr>
                <w:rFonts w:ascii="" w:eastAsia="" w:hint="eastAsia"/>
                <w:sz w:val="21.0"/>
                <w:szCs w:val="21.0"/>
                <w:color w:val="000000"/>
              </w:rPr>
              <w:t xml:space="preserve"/>
            </w:r>
          </w:p>
        </w:tc>
      </w:tr>
    </w:tbl>
    <w:p>
      <w:pPr>
        <w:spacing w:line="280" w:lineRule="auto"/>
      </w:pPr>
      <w:r>
        <w:rPr>
          <w:rFonts w:ascii="" w:eastAsia="" w:hint="eastAsia"/>
          <w:sz w:val="21.0"/>
          <w:szCs w:val="21.0"/>
          <w:color w:val="000000"/>
        </w:rPr>
        <w:t xml:space="preserve">                                                      2025年04月22日</w:t>
      </w:r>
    </w:p>
    <w:p>
      <w:pPr>
        <w:spacing w:line="280" w:lineRule="auto"/>
      </w:pPr>
    </w:p>
    <w:p>
      <w:pPr>
        <w:spacing w:line="280" w:lineRule="auto"/>
      </w:pPr>
    </w:p>
    <w:p>
      <w:pPr>
        <w:spacing w:line="280" w:lineRule="auto"/>
      </w:pPr>
    </w:p>
    <w:p>
      <w:pPr>
        <w:spacing w:line="280" w:lineRule="auto"/>
      </w:pPr>
    </w:p>
    <w:p>
      <w:pPr>
        <w:spacing w:line="280" w:lineRule="auto"/>
      </w:pPr>
      <w:r>
        <w:rPr>
          <w:rFonts w:ascii="" w:eastAsia="" w:hint="eastAsia"/>
          <w:sz w:val="21.0"/>
          <w:szCs w:val="21.0"/>
          <w:color w:val="000000"/>
        </w:rPr>
        <w:t xml:space="preserve">附件</w:t>
      </w:r>
    </w:p>
    <w:p>
      <w:pPr>
        <w:spacing w:line="280" w:lineRule="auto"/>
      </w:pPr>
      <w:r>
        <w:rPr>
          <w:rFonts w:ascii="" w:eastAsia="" w:hint="eastAsia"/>
          <w:sz w:val="21.0"/>
          <w:szCs w:val="21.0"/>
          <w:color w:val="000000"/>
        </w:rPr>
        <w:t xml:space="preserve">附件1：标段的划分及主要工程项目情况</w:t>
      </w:r>
    </w:p>
    <w:p>
      <w:pPr>
        <w:spacing w:line="280" w:lineRule="auto"/>
      </w:pPr>
      <w:r>
        <w:rPr>
          <w:rFonts w:ascii="" w:eastAsia="" w:hint="eastAsia"/>
          <w:sz w:val="21.0"/>
          <w:szCs w:val="21.0"/>
          <w:color w:val="000000"/>
        </w:rPr>
        <w:t xml:space="preserve">附件2：资格审查条件附录</w:t>
      </w:r>
      <w:r>
        <w:rPr>
          <w:rFonts w:ascii="" w:eastAsia="" w:hint="eastAsia"/>
          <w:sz w:val="21.0"/>
          <w:szCs w:val="21.0"/>
          <w:u w:val="single"/>
          <w:color w:val="000000"/>
        </w:rPr>
        <w:t xml:space="preserve">1</w:t>
      </w:r>
      <w:r>
        <w:rPr>
          <w:rFonts w:ascii="" w:eastAsia="" w:hint="eastAsia"/>
          <w:sz w:val="21.0"/>
          <w:szCs w:val="21.0"/>
          <w:color w:val="000000"/>
        </w:rPr>
        <w:t xml:space="preserve">至附录</w:t>
      </w:r>
      <w:r>
        <w:rPr>
          <w:rFonts w:ascii="" w:eastAsia="" w:hint="eastAsia"/>
          <w:sz w:val="21.0"/>
          <w:szCs w:val="21.0"/>
          <w:u w:val="single"/>
          <w:color w:val="000000"/>
        </w:rPr>
        <w:t xml:space="preserve">7</w:t>
      </w:r>
    </w:p>
    <w:p>
      <w:pPr>
        <w:spacing w:line="280" w:lineRule="auto"/>
      </w:pPr>
      <w:r>
        <w:rPr>
          <w:rFonts w:ascii="" w:eastAsia="" w:hint="eastAsia"/>
          <w:sz w:val="21.0"/>
          <w:szCs w:val="21.0"/>
          <w:color w:val="000000"/>
        </w:rPr>
        <w:t xml:space="preserve">附件3：评标办法</w:t>
      </w:r>
    </w:p>
    <w:p>
      <w:pPr>
        <w:spacing w:line="280" w:lineRule="auto"/>
      </w:pPr>
      <w:r>
        <w:rPr>
          <w:rFonts w:ascii="" w:eastAsia="" w:hint="eastAsia"/>
          <w:sz w:val="21.0"/>
          <w:szCs w:val="21.0"/>
          <w:color w:val="000000"/>
        </w:rPr>
        <w:t xml:space="preserve">以上附件可从发布公告的网站媒介上下载</w:t>
      </w:r>
    </w:p>
    <w:sectPr>
      <w:headerReference w:type="default" r:id="rId6"/>
      <w:pgSz w:w="11895" w:h="16830"/>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361" w:rsidRDefault="007D4361" w:rsidP="00FB4EB6">
      <w:r>
        <w:separator/>
      </w:r>
    </w:p>
  </w:endnote>
  <w:endnote w:type="continuationSeparator" w:id="0">
    <w:p w:rsidR="007D4361" w:rsidRDefault="007D4361" w:rsidP="00FB4E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361" w:rsidRDefault="007D4361" w:rsidP="00FB4EB6">
      <w:r>
        <w:separator/>
      </w:r>
    </w:p>
  </w:footnote>
  <w:footnote w:type="continuationSeparator" w:id="0">
    <w:p w:rsidR="007D4361" w:rsidRDefault="007D4361" w:rsidP="00FB4E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4EB6"/>
    <w:rsid w:val="00042A47"/>
    <w:rsid w:val="000F0DDC"/>
    <w:rsid w:val="001C6EE4"/>
    <w:rsid w:val="001D3119"/>
    <w:rsid w:val="00220E97"/>
    <w:rsid w:val="003B5F21"/>
    <w:rsid w:val="004E4AE8"/>
    <w:rsid w:val="00563D4F"/>
    <w:rsid w:val="005E0DA2"/>
    <w:rsid w:val="00657103"/>
    <w:rsid w:val="007D1547"/>
    <w:rsid w:val="007D4361"/>
    <w:rsid w:val="008B57B6"/>
    <w:rsid w:val="008E041F"/>
    <w:rsid w:val="00922B72"/>
    <w:rsid w:val="009D1018"/>
    <w:rsid w:val="00BE5625"/>
    <w:rsid w:val="00D317F6"/>
    <w:rsid w:val="00F6648A"/>
    <w:rsid w:val="00FB4E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5F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B4E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B4EB6"/>
    <w:rPr>
      <w:kern w:val="2"/>
      <w:sz w:val="18"/>
      <w:szCs w:val="18"/>
    </w:rPr>
  </w:style>
  <w:style w:type="paragraph" w:styleId="a4">
    <w:name w:val="footer"/>
    <w:basedOn w:val="a"/>
    <w:link w:val="Char0"/>
    <w:rsid w:val="00FB4EB6"/>
    <w:pPr>
      <w:tabs>
        <w:tab w:val="center" w:pos="4153"/>
        <w:tab w:val="right" w:pos="8306"/>
      </w:tabs>
      <w:snapToGrid w:val="0"/>
      <w:jc w:val="left"/>
    </w:pPr>
    <w:rPr>
      <w:sz w:val="18"/>
      <w:szCs w:val="18"/>
    </w:rPr>
  </w:style>
  <w:style w:type="character" w:customStyle="1" w:styleId="Char0">
    <w:name w:val="页脚 Char"/>
    <w:basedOn w:val="a0"/>
    <w:link w:val="a4"/>
    <w:rsid w:val="00FB4EB6"/>
    <w:rPr>
      <w:kern w:val="2"/>
      <w:sz w:val="18"/>
      <w:szCs w:val="18"/>
    </w:rPr>
  </w:style>
  <w:style w:type="table" w:styleId="a5">
    <w:name w:val="Table Grid"/>
    <w:basedOn w:val="a1"/>
    <w:rsid w:val="00BF4F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wanghg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wanghg</dc:creator>
  <cp:keywords/>
  <dc:description/>
  <cp:lastModifiedBy>wanghg</cp:lastModifiedBy>
  <cp:revision>1</cp:revision>
  <dcterms:created xsi:type="dcterms:W3CDTF">2010-04-22T11:37:00Z</dcterms:created>
  <dcterms:modified xsi:type="dcterms:W3CDTF">2010-04-22T11:38:00Z</dcterms:modified>
</cp:coreProperties>
</file>