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41FFA0">
      <w:pPr>
        <w:jc w:val="center"/>
        <w:rPr>
          <w:rFonts w:ascii="宋体" w:hAnsi="宋体"/>
          <w:color w:val="auto"/>
          <w:sz w:val="24"/>
          <w:szCs w:val="24"/>
          <w:highlight w:val="none"/>
          <w:u w:val="single"/>
        </w:rPr>
      </w:pPr>
    </w:p>
    <w:p w14:paraId="1111E82E">
      <w:pPr>
        <w:autoSpaceDE w:val="0"/>
        <w:autoSpaceDN w:val="0"/>
        <w:jc w:val="center"/>
        <w:rPr>
          <w:rFonts w:hint="eastAsia" w:ascii="仿宋" w:hAnsi="仿宋" w:eastAsia="仿宋" w:cs="仿宋"/>
          <w:b/>
          <w:bCs w:val="0"/>
          <w:color w:val="auto"/>
          <w:kern w:val="0"/>
          <w:sz w:val="44"/>
          <w:szCs w:val="44"/>
          <w:highlight w:val="none"/>
          <w:lang w:val="en-US" w:eastAsia="zh-CN"/>
        </w:rPr>
      </w:pPr>
    </w:p>
    <w:p w14:paraId="1BC3CAED">
      <w:pPr>
        <w:spacing w:line="300" w:lineRule="auto"/>
        <w:jc w:val="center"/>
        <w:rPr>
          <w:rFonts w:hint="eastAsia" w:ascii="宋体" w:hAnsi="宋体"/>
          <w:sz w:val="36"/>
          <w:highlight w:val="none"/>
          <w:u w:val="single"/>
        </w:rPr>
      </w:pPr>
      <w:r>
        <w:rPr>
          <w:rFonts w:hint="eastAsia" w:ascii="宋体" w:hAnsi="宋体"/>
          <w:b/>
          <w:sz w:val="52"/>
          <w:szCs w:val="52"/>
          <w:highlight w:val="none"/>
        </w:rPr>
        <w:t>白鹅潭聚龙湾启动区市政道路（规划四路、金鹏路）建设工程施工总承包</w:t>
      </w:r>
    </w:p>
    <w:p w14:paraId="7B776A82">
      <w:pPr>
        <w:pStyle w:val="10"/>
        <w:rPr>
          <w:rFonts w:hint="eastAsia" w:ascii="宋体" w:hAnsi="宋体" w:cs="宋体"/>
          <w:highlight w:val="none"/>
        </w:rPr>
      </w:pPr>
    </w:p>
    <w:p w14:paraId="2D7902F3">
      <w:pPr>
        <w:spacing w:line="360" w:lineRule="auto"/>
        <w:jc w:val="center"/>
        <w:rPr>
          <w:rFonts w:hint="eastAsia" w:ascii="宋体" w:hAnsi="宋体" w:cs="宋体"/>
          <w:sz w:val="36"/>
          <w:highlight w:val="none"/>
          <w:u w:val="single"/>
        </w:rPr>
      </w:pPr>
    </w:p>
    <w:p w14:paraId="54C9C884">
      <w:pPr>
        <w:spacing w:line="360" w:lineRule="auto"/>
        <w:jc w:val="center"/>
        <w:rPr>
          <w:rFonts w:hint="eastAsia" w:ascii="宋体" w:hAnsi="宋体" w:cs="宋体"/>
          <w:sz w:val="36"/>
          <w:highlight w:val="none"/>
          <w:u w:val="single"/>
        </w:rPr>
      </w:pPr>
    </w:p>
    <w:p w14:paraId="779686E4">
      <w:pPr>
        <w:pStyle w:val="5"/>
        <w:rPr>
          <w:rFonts w:hint="eastAsia"/>
          <w:highlight w:val="none"/>
        </w:rPr>
      </w:pPr>
    </w:p>
    <w:p w14:paraId="573E68BC">
      <w:pPr>
        <w:pStyle w:val="5"/>
        <w:rPr>
          <w:rFonts w:hint="eastAsia" w:ascii="宋体" w:hAnsi="宋体" w:cs="宋体"/>
          <w:sz w:val="36"/>
          <w:highlight w:val="none"/>
          <w:u w:val="single"/>
        </w:rPr>
      </w:pPr>
    </w:p>
    <w:p w14:paraId="73C81BF6">
      <w:pPr>
        <w:rPr>
          <w:rFonts w:hint="eastAsia"/>
          <w:highlight w:val="none"/>
        </w:rPr>
      </w:pPr>
    </w:p>
    <w:p w14:paraId="4E3E7082">
      <w:pPr>
        <w:spacing w:line="300" w:lineRule="auto"/>
        <w:jc w:val="center"/>
        <w:rPr>
          <w:rFonts w:hint="eastAsia" w:ascii="宋体" w:hAnsi="宋体" w:cs="宋体"/>
          <w:b/>
          <w:bCs/>
          <w:spacing w:val="26"/>
          <w:sz w:val="96"/>
          <w:szCs w:val="110"/>
          <w:highlight w:val="none"/>
          <w14:shadow w14:blurRad="50800" w14:dist="38100" w14:dir="2700000" w14:sx="100000" w14:sy="100000" w14:kx="0" w14:ky="0" w14:algn="tl">
            <w14:srgbClr w14:val="000000">
              <w14:alpha w14:val="60000"/>
            </w14:srgbClr>
          </w14:shadow>
        </w:rPr>
      </w:pPr>
      <w:r>
        <w:rPr>
          <w:rFonts w:hint="eastAsia" w:ascii="宋体" w:hAnsi="宋体" w:cs="宋体"/>
          <w:b/>
          <w:bCs/>
          <w:spacing w:val="26"/>
          <w:sz w:val="96"/>
          <w:szCs w:val="110"/>
          <w:highlight w:val="none"/>
          <w14:shadow w14:blurRad="50800" w14:dist="38100" w14:dir="2700000" w14:sx="100000" w14:sy="100000" w14:kx="0" w14:ky="0" w14:algn="tl">
            <w14:srgbClr w14:val="000000">
              <w14:alpha w14:val="60000"/>
            </w14:srgbClr>
          </w14:shadow>
        </w:rPr>
        <w:t>招标文件</w:t>
      </w:r>
    </w:p>
    <w:p w14:paraId="0DD971E9">
      <w:pPr>
        <w:spacing w:line="360" w:lineRule="auto"/>
        <w:jc w:val="center"/>
        <w:rPr>
          <w:rFonts w:hint="eastAsia" w:ascii="宋体" w:hAnsi="宋体" w:cs="宋体"/>
          <w:sz w:val="32"/>
          <w:highlight w:val="none"/>
        </w:rPr>
      </w:pPr>
    </w:p>
    <w:p w14:paraId="6D930396">
      <w:pPr>
        <w:spacing w:line="360" w:lineRule="auto"/>
        <w:ind w:firstLine="2560" w:firstLineChars="800"/>
        <w:rPr>
          <w:rFonts w:hint="eastAsia" w:ascii="宋体" w:hAnsi="宋体" w:cs="宋体"/>
          <w:sz w:val="32"/>
          <w:highlight w:val="none"/>
        </w:rPr>
      </w:pPr>
    </w:p>
    <w:p w14:paraId="70B35961">
      <w:pPr>
        <w:spacing w:line="360" w:lineRule="auto"/>
        <w:rPr>
          <w:rFonts w:hint="eastAsia" w:ascii="宋体" w:hAnsi="宋体" w:cs="宋体"/>
          <w:sz w:val="52"/>
          <w:highlight w:val="none"/>
        </w:rPr>
      </w:pPr>
    </w:p>
    <w:p w14:paraId="3BD81EC4">
      <w:pPr>
        <w:pStyle w:val="5"/>
        <w:rPr>
          <w:rFonts w:hint="eastAsia"/>
          <w:highlight w:val="none"/>
        </w:rPr>
      </w:pPr>
    </w:p>
    <w:p w14:paraId="35CAE786">
      <w:pPr>
        <w:spacing w:line="360" w:lineRule="auto"/>
        <w:rPr>
          <w:rFonts w:hint="eastAsia" w:ascii="宋体" w:hAnsi="宋体" w:cs="宋体"/>
          <w:sz w:val="52"/>
          <w:highlight w:val="none"/>
          <w:u w:val="single"/>
        </w:rPr>
      </w:pPr>
    </w:p>
    <w:p w14:paraId="739A4C34">
      <w:pPr>
        <w:spacing w:line="360" w:lineRule="auto"/>
        <w:ind w:firstLine="1400" w:firstLineChars="500"/>
        <w:rPr>
          <w:rFonts w:hint="eastAsia" w:ascii="宋体" w:hAnsi="宋体" w:eastAsia="宋体" w:cs="宋体"/>
          <w:sz w:val="28"/>
          <w:szCs w:val="28"/>
          <w:highlight w:val="none"/>
          <w:lang w:eastAsia="zh-CN"/>
        </w:rPr>
      </w:pPr>
      <w:r>
        <w:rPr>
          <w:rFonts w:hint="eastAsia" w:ascii="宋体" w:hAnsi="宋体" w:cs="宋体"/>
          <w:sz w:val="28"/>
          <w:szCs w:val="28"/>
          <w:highlight w:val="none"/>
        </w:rPr>
        <w:t>招 标 单 位：</w:t>
      </w:r>
      <w:r>
        <w:rPr>
          <w:rFonts w:hint="eastAsia" w:ascii="宋体" w:hAnsi="宋体" w:cs="宋体"/>
          <w:sz w:val="28"/>
          <w:szCs w:val="28"/>
          <w:highlight w:val="none"/>
          <w:lang w:eastAsia="zh-CN"/>
        </w:rPr>
        <w:t>广州珠江产业园投资发展有限公司</w:t>
      </w:r>
    </w:p>
    <w:p w14:paraId="276E5432">
      <w:pPr>
        <w:spacing w:line="360" w:lineRule="auto"/>
        <w:ind w:firstLine="1400" w:firstLineChars="500"/>
        <w:rPr>
          <w:rFonts w:hint="eastAsia" w:ascii="宋体" w:hAnsi="宋体" w:cs="宋体"/>
          <w:sz w:val="28"/>
          <w:szCs w:val="28"/>
          <w:highlight w:val="none"/>
        </w:rPr>
      </w:pPr>
      <w:r>
        <w:rPr>
          <w:rFonts w:hint="eastAsia" w:ascii="宋体" w:hAnsi="宋体" w:cs="宋体"/>
          <w:sz w:val="28"/>
          <w:szCs w:val="28"/>
          <w:highlight w:val="none"/>
        </w:rPr>
        <w:t>招标代理单位：广州珠江监理咨询集团有限公司</w:t>
      </w:r>
    </w:p>
    <w:p w14:paraId="24CAD498">
      <w:pPr>
        <w:spacing w:line="360" w:lineRule="auto"/>
        <w:ind w:firstLine="1400" w:firstLineChars="500"/>
        <w:rPr>
          <w:rFonts w:hint="eastAsia" w:ascii="宋体" w:hAnsi="宋体" w:cs="宋体"/>
          <w:sz w:val="28"/>
          <w:szCs w:val="28"/>
          <w:highlight w:val="none"/>
        </w:rPr>
      </w:pPr>
      <w:r>
        <w:rPr>
          <w:rFonts w:hint="eastAsia" w:ascii="宋体" w:hAnsi="宋体" w:cs="宋体"/>
          <w:sz w:val="28"/>
          <w:szCs w:val="28"/>
          <w:highlight w:val="none"/>
        </w:rPr>
        <w:t>日        期：202</w:t>
      </w:r>
      <w:r>
        <w:rPr>
          <w:rFonts w:hint="eastAsia" w:ascii="宋体" w:hAnsi="宋体" w:cs="宋体"/>
          <w:sz w:val="28"/>
          <w:szCs w:val="28"/>
          <w:highlight w:val="none"/>
          <w:lang w:val="en-US" w:eastAsia="zh-CN"/>
        </w:rPr>
        <w:t>5</w:t>
      </w:r>
      <w:r>
        <w:rPr>
          <w:rFonts w:hint="eastAsia" w:ascii="宋体" w:hAnsi="宋体" w:cs="宋体"/>
          <w:sz w:val="28"/>
          <w:szCs w:val="28"/>
          <w:highlight w:val="none"/>
        </w:rPr>
        <w:t xml:space="preserve"> 年</w:t>
      </w:r>
      <w:r>
        <w:rPr>
          <w:rFonts w:hint="eastAsia" w:ascii="宋体" w:hAnsi="宋体" w:cs="宋体"/>
          <w:sz w:val="28"/>
          <w:szCs w:val="28"/>
          <w:highlight w:val="none"/>
          <w:lang w:val="en-US" w:eastAsia="zh-CN"/>
        </w:rPr>
        <w:t>4</w:t>
      </w:r>
      <w:r>
        <w:rPr>
          <w:rFonts w:hint="eastAsia" w:ascii="宋体" w:hAnsi="宋体" w:cs="宋体"/>
          <w:sz w:val="28"/>
          <w:szCs w:val="28"/>
          <w:highlight w:val="none"/>
        </w:rPr>
        <w:t>月</w:t>
      </w:r>
    </w:p>
    <w:p w14:paraId="25990E6C">
      <w:pPr>
        <w:pStyle w:val="4"/>
        <w:rPr>
          <w:rFonts w:hint="eastAsia"/>
          <w:highlight w:val="none"/>
        </w:rPr>
      </w:pPr>
      <w:bookmarkStart w:id="0" w:name="_Toc21525489"/>
      <w:bookmarkStart w:id="1" w:name="_Toc2272545"/>
    </w:p>
    <w:p w14:paraId="79B12359">
      <w:pPr>
        <w:spacing w:before="0" w:beforeLines="-2147483648" w:after="0" w:afterLines="-2147483648" w:line="240" w:lineRule="auto"/>
        <w:ind w:left="0" w:leftChars="0" w:right="0" w:rightChars="0" w:firstLine="0" w:firstLineChars="0"/>
        <w:jc w:val="left"/>
        <w:rPr>
          <w:rFonts w:ascii="宋体" w:hAnsi="宋体" w:eastAsia="宋体"/>
          <w:b/>
          <w:bCs/>
          <w:color w:val="auto"/>
          <w:sz w:val="28"/>
          <w:szCs w:val="28"/>
          <w:highlight w:val="none"/>
        </w:rPr>
      </w:pPr>
      <w:r>
        <w:rPr>
          <w:rFonts w:ascii="宋体" w:hAnsi="宋体" w:eastAsia="宋体"/>
          <w:b/>
          <w:bCs/>
          <w:color w:val="auto"/>
          <w:sz w:val="28"/>
          <w:szCs w:val="28"/>
          <w:highlight w:val="none"/>
        </w:rPr>
        <w:br w:type="page"/>
      </w:r>
    </w:p>
    <w:p w14:paraId="289258D9">
      <w:pPr>
        <w:spacing w:before="0" w:beforeLines="0" w:after="0" w:afterLines="0" w:line="240" w:lineRule="auto"/>
        <w:ind w:left="0" w:leftChars="0" w:right="0" w:rightChars="0" w:firstLine="0" w:firstLineChars="0"/>
        <w:jc w:val="center"/>
        <w:rPr>
          <w:color w:val="auto"/>
          <w:highlight w:val="none"/>
        </w:rPr>
      </w:pPr>
      <w:r>
        <w:rPr>
          <w:rFonts w:ascii="宋体" w:hAnsi="宋体" w:eastAsia="宋体"/>
          <w:b/>
          <w:bCs/>
          <w:color w:val="auto"/>
          <w:sz w:val="28"/>
          <w:szCs w:val="28"/>
          <w:highlight w:val="none"/>
        </w:rPr>
        <w:t>目录</w:t>
      </w:r>
    </w:p>
    <w:p w14:paraId="0720D0A6">
      <w:pPr>
        <w:pStyle w:val="27"/>
        <w:tabs>
          <w:tab w:val="right" w:leader="dot" w:pos="9070"/>
          <w:tab w:val="clear" w:pos="9060"/>
        </w:tabs>
        <w:rPr>
          <w:highlight w:val="none"/>
        </w:rPr>
      </w:pPr>
      <w:r>
        <w:rPr>
          <w:rFonts w:hint="eastAsia"/>
          <w:color w:val="auto"/>
          <w:highlight w:val="none"/>
        </w:rPr>
        <w:fldChar w:fldCharType="begin"/>
      </w:r>
      <w:r>
        <w:rPr>
          <w:rFonts w:hint="eastAsia"/>
          <w:color w:val="auto"/>
          <w:highlight w:val="none"/>
        </w:rPr>
        <w:instrText xml:space="preserve">TOC \o "1-3" \h \u </w:instrText>
      </w:r>
      <w:r>
        <w:rPr>
          <w:rFonts w:hint="eastAsia"/>
          <w:color w:val="auto"/>
          <w:highlight w:val="none"/>
        </w:rPr>
        <w:fldChar w:fldCharType="separate"/>
      </w:r>
      <w:r>
        <w:rPr>
          <w:rFonts w:hint="eastAsia"/>
          <w:color w:val="auto"/>
          <w:highlight w:val="none"/>
        </w:rPr>
        <w:fldChar w:fldCharType="begin"/>
      </w:r>
      <w:r>
        <w:rPr>
          <w:rFonts w:hint="eastAsia"/>
          <w:highlight w:val="none"/>
        </w:rPr>
        <w:instrText xml:space="preserve"> HYPERLINK \l _Toc27318 </w:instrText>
      </w:r>
      <w:r>
        <w:rPr>
          <w:rFonts w:hint="eastAsia"/>
          <w:highlight w:val="none"/>
        </w:rPr>
        <w:fldChar w:fldCharType="separate"/>
      </w:r>
      <w:r>
        <w:rPr>
          <w:rFonts w:hint="eastAsia"/>
          <w:highlight w:val="none"/>
        </w:rPr>
        <w:t>第一章</w:t>
      </w:r>
      <w:r>
        <w:rPr>
          <w:highlight w:val="none"/>
        </w:rPr>
        <w:t xml:space="preserve">  </w:t>
      </w:r>
      <w:r>
        <w:rPr>
          <w:rFonts w:hint="eastAsia"/>
          <w:highlight w:val="none"/>
        </w:rPr>
        <w:t>投标须知</w:t>
      </w:r>
      <w:r>
        <w:rPr>
          <w:highlight w:val="none"/>
        </w:rPr>
        <w:tab/>
      </w:r>
      <w:r>
        <w:rPr>
          <w:highlight w:val="none"/>
        </w:rPr>
        <w:fldChar w:fldCharType="begin"/>
      </w:r>
      <w:r>
        <w:rPr>
          <w:highlight w:val="none"/>
        </w:rPr>
        <w:instrText xml:space="preserve"> PAGEREF _Toc27318 \h </w:instrText>
      </w:r>
      <w:r>
        <w:rPr>
          <w:highlight w:val="none"/>
        </w:rPr>
        <w:fldChar w:fldCharType="separate"/>
      </w:r>
      <w:r>
        <w:rPr>
          <w:highlight w:val="none"/>
        </w:rPr>
        <w:t>3</w:t>
      </w:r>
      <w:r>
        <w:rPr>
          <w:highlight w:val="none"/>
        </w:rPr>
        <w:fldChar w:fldCharType="end"/>
      </w:r>
      <w:r>
        <w:rPr>
          <w:rFonts w:hint="eastAsia"/>
          <w:color w:val="auto"/>
          <w:highlight w:val="none"/>
        </w:rPr>
        <w:fldChar w:fldCharType="end"/>
      </w:r>
    </w:p>
    <w:p w14:paraId="16256FCD">
      <w:pPr>
        <w:pStyle w:val="30"/>
        <w:tabs>
          <w:tab w:val="right" w:leader="dot" w:pos="9070"/>
          <w:tab w:val="clear" w:pos="9060"/>
        </w:tabs>
        <w:rPr>
          <w:highlight w:val="none"/>
        </w:rPr>
      </w:pPr>
      <w:r>
        <w:rPr>
          <w:rFonts w:hint="eastAsia"/>
          <w:color w:val="auto"/>
          <w:highlight w:val="none"/>
        </w:rPr>
        <w:fldChar w:fldCharType="begin"/>
      </w:r>
      <w:r>
        <w:rPr>
          <w:rFonts w:hint="eastAsia"/>
          <w:highlight w:val="none"/>
        </w:rPr>
        <w:instrText xml:space="preserve"> HYPERLINK \l _Toc32087 </w:instrText>
      </w:r>
      <w:r>
        <w:rPr>
          <w:rFonts w:hint="eastAsia"/>
          <w:highlight w:val="none"/>
        </w:rPr>
        <w:fldChar w:fldCharType="separate"/>
      </w:r>
      <w:r>
        <w:rPr>
          <w:rFonts w:hint="eastAsia"/>
          <w:highlight w:val="none"/>
        </w:rPr>
        <w:t>一、投标须知前附表</w:t>
      </w:r>
      <w:r>
        <w:rPr>
          <w:highlight w:val="none"/>
        </w:rPr>
        <w:tab/>
      </w:r>
      <w:r>
        <w:rPr>
          <w:highlight w:val="none"/>
        </w:rPr>
        <w:fldChar w:fldCharType="begin"/>
      </w:r>
      <w:r>
        <w:rPr>
          <w:highlight w:val="none"/>
        </w:rPr>
        <w:instrText xml:space="preserve"> PAGEREF _Toc32087 \h </w:instrText>
      </w:r>
      <w:r>
        <w:rPr>
          <w:highlight w:val="none"/>
        </w:rPr>
        <w:fldChar w:fldCharType="separate"/>
      </w:r>
      <w:r>
        <w:rPr>
          <w:highlight w:val="none"/>
        </w:rPr>
        <w:t>3</w:t>
      </w:r>
      <w:r>
        <w:rPr>
          <w:highlight w:val="none"/>
        </w:rPr>
        <w:fldChar w:fldCharType="end"/>
      </w:r>
      <w:r>
        <w:rPr>
          <w:rFonts w:hint="eastAsia"/>
          <w:color w:val="auto"/>
          <w:highlight w:val="none"/>
        </w:rPr>
        <w:fldChar w:fldCharType="end"/>
      </w:r>
    </w:p>
    <w:p w14:paraId="3877A287">
      <w:pPr>
        <w:pStyle w:val="30"/>
        <w:tabs>
          <w:tab w:val="right" w:leader="dot" w:pos="9070"/>
          <w:tab w:val="clear" w:pos="9060"/>
        </w:tabs>
        <w:rPr>
          <w:highlight w:val="none"/>
        </w:rPr>
      </w:pPr>
      <w:r>
        <w:rPr>
          <w:rFonts w:hint="eastAsia"/>
          <w:color w:val="auto"/>
          <w:highlight w:val="none"/>
        </w:rPr>
        <w:fldChar w:fldCharType="begin"/>
      </w:r>
      <w:r>
        <w:rPr>
          <w:rFonts w:hint="eastAsia"/>
          <w:highlight w:val="none"/>
        </w:rPr>
        <w:instrText xml:space="preserve"> HYPERLINK \l _Toc7362 </w:instrText>
      </w:r>
      <w:r>
        <w:rPr>
          <w:rFonts w:hint="eastAsia"/>
          <w:highlight w:val="none"/>
        </w:rPr>
        <w:fldChar w:fldCharType="separate"/>
      </w:r>
      <w:r>
        <w:rPr>
          <w:rFonts w:hint="eastAsia"/>
          <w:highlight w:val="none"/>
        </w:rPr>
        <w:t>二、投标须知修改表</w:t>
      </w:r>
      <w:r>
        <w:rPr>
          <w:highlight w:val="none"/>
        </w:rPr>
        <w:tab/>
      </w:r>
      <w:r>
        <w:rPr>
          <w:highlight w:val="none"/>
        </w:rPr>
        <w:fldChar w:fldCharType="begin"/>
      </w:r>
      <w:r>
        <w:rPr>
          <w:highlight w:val="none"/>
        </w:rPr>
        <w:instrText xml:space="preserve"> PAGEREF _Toc7362 \h </w:instrText>
      </w:r>
      <w:r>
        <w:rPr>
          <w:highlight w:val="none"/>
        </w:rPr>
        <w:fldChar w:fldCharType="separate"/>
      </w:r>
      <w:r>
        <w:rPr>
          <w:highlight w:val="none"/>
        </w:rPr>
        <w:t>9</w:t>
      </w:r>
      <w:r>
        <w:rPr>
          <w:highlight w:val="none"/>
        </w:rPr>
        <w:fldChar w:fldCharType="end"/>
      </w:r>
      <w:r>
        <w:rPr>
          <w:rFonts w:hint="eastAsia"/>
          <w:color w:val="auto"/>
          <w:highlight w:val="none"/>
        </w:rPr>
        <w:fldChar w:fldCharType="end"/>
      </w:r>
    </w:p>
    <w:p w14:paraId="5BEF9009">
      <w:pPr>
        <w:pStyle w:val="30"/>
        <w:tabs>
          <w:tab w:val="right" w:leader="dot" w:pos="9070"/>
          <w:tab w:val="clear" w:pos="9060"/>
        </w:tabs>
        <w:rPr>
          <w:highlight w:val="none"/>
        </w:rPr>
      </w:pPr>
      <w:r>
        <w:rPr>
          <w:rFonts w:hint="eastAsia"/>
          <w:color w:val="auto"/>
          <w:highlight w:val="none"/>
        </w:rPr>
        <w:fldChar w:fldCharType="begin"/>
      </w:r>
      <w:r>
        <w:rPr>
          <w:rFonts w:hint="eastAsia"/>
          <w:highlight w:val="none"/>
        </w:rPr>
        <w:instrText xml:space="preserve"> HYPERLINK \l _Toc10760 </w:instrText>
      </w:r>
      <w:r>
        <w:rPr>
          <w:rFonts w:hint="eastAsia"/>
          <w:highlight w:val="none"/>
        </w:rPr>
        <w:fldChar w:fldCharType="separate"/>
      </w:r>
      <w:r>
        <w:rPr>
          <w:rFonts w:hint="eastAsia"/>
          <w:highlight w:val="none"/>
        </w:rPr>
        <w:t>三、投标须知通用条款</w:t>
      </w:r>
      <w:r>
        <w:rPr>
          <w:highlight w:val="none"/>
        </w:rPr>
        <w:tab/>
      </w:r>
      <w:r>
        <w:rPr>
          <w:highlight w:val="none"/>
        </w:rPr>
        <w:fldChar w:fldCharType="begin"/>
      </w:r>
      <w:r>
        <w:rPr>
          <w:highlight w:val="none"/>
        </w:rPr>
        <w:instrText xml:space="preserve"> PAGEREF _Toc10760 \h </w:instrText>
      </w:r>
      <w:r>
        <w:rPr>
          <w:highlight w:val="none"/>
        </w:rPr>
        <w:fldChar w:fldCharType="separate"/>
      </w:r>
      <w:r>
        <w:rPr>
          <w:highlight w:val="none"/>
        </w:rPr>
        <w:t>21</w:t>
      </w:r>
      <w:r>
        <w:rPr>
          <w:highlight w:val="none"/>
        </w:rPr>
        <w:fldChar w:fldCharType="end"/>
      </w:r>
      <w:r>
        <w:rPr>
          <w:rFonts w:hint="eastAsia"/>
          <w:color w:val="auto"/>
          <w:highlight w:val="none"/>
        </w:rPr>
        <w:fldChar w:fldCharType="end"/>
      </w:r>
    </w:p>
    <w:p w14:paraId="57C2545B">
      <w:pPr>
        <w:pStyle w:val="19"/>
        <w:tabs>
          <w:tab w:val="right" w:leader="dot" w:pos="9070"/>
        </w:tabs>
        <w:rPr>
          <w:highlight w:val="none"/>
        </w:rPr>
      </w:pPr>
      <w:r>
        <w:rPr>
          <w:rFonts w:hint="eastAsia"/>
          <w:color w:val="auto"/>
          <w:highlight w:val="none"/>
        </w:rPr>
        <w:fldChar w:fldCharType="begin"/>
      </w:r>
      <w:r>
        <w:rPr>
          <w:rFonts w:hint="eastAsia"/>
          <w:highlight w:val="none"/>
        </w:rPr>
        <w:instrText xml:space="preserve"> HYPERLINK \l _Toc11088 </w:instrText>
      </w:r>
      <w:r>
        <w:rPr>
          <w:rFonts w:hint="eastAsia"/>
          <w:highlight w:val="none"/>
        </w:rPr>
        <w:fldChar w:fldCharType="separate"/>
      </w:r>
      <w:r>
        <w:rPr>
          <w:rFonts w:hint="eastAsia"/>
          <w:highlight w:val="none"/>
        </w:rPr>
        <w:t>（一）总则</w:t>
      </w:r>
      <w:r>
        <w:rPr>
          <w:highlight w:val="none"/>
        </w:rPr>
        <w:tab/>
      </w:r>
      <w:r>
        <w:rPr>
          <w:highlight w:val="none"/>
        </w:rPr>
        <w:fldChar w:fldCharType="begin"/>
      </w:r>
      <w:r>
        <w:rPr>
          <w:highlight w:val="none"/>
        </w:rPr>
        <w:instrText xml:space="preserve"> PAGEREF _Toc11088 \h </w:instrText>
      </w:r>
      <w:r>
        <w:rPr>
          <w:highlight w:val="none"/>
        </w:rPr>
        <w:fldChar w:fldCharType="separate"/>
      </w:r>
      <w:r>
        <w:rPr>
          <w:highlight w:val="none"/>
        </w:rPr>
        <w:t>21</w:t>
      </w:r>
      <w:r>
        <w:rPr>
          <w:highlight w:val="none"/>
        </w:rPr>
        <w:fldChar w:fldCharType="end"/>
      </w:r>
      <w:r>
        <w:rPr>
          <w:rFonts w:hint="eastAsia"/>
          <w:color w:val="auto"/>
          <w:highlight w:val="none"/>
        </w:rPr>
        <w:fldChar w:fldCharType="end"/>
      </w:r>
    </w:p>
    <w:p w14:paraId="6626B5CE">
      <w:pPr>
        <w:pStyle w:val="19"/>
        <w:tabs>
          <w:tab w:val="right" w:leader="dot" w:pos="9070"/>
        </w:tabs>
        <w:rPr>
          <w:highlight w:val="none"/>
        </w:rPr>
      </w:pPr>
      <w:r>
        <w:rPr>
          <w:rFonts w:hint="eastAsia"/>
          <w:color w:val="auto"/>
          <w:highlight w:val="none"/>
        </w:rPr>
        <w:fldChar w:fldCharType="begin"/>
      </w:r>
      <w:r>
        <w:rPr>
          <w:rFonts w:hint="eastAsia"/>
          <w:highlight w:val="none"/>
        </w:rPr>
        <w:instrText xml:space="preserve"> HYPERLINK \l _Toc10521 </w:instrText>
      </w:r>
      <w:r>
        <w:rPr>
          <w:rFonts w:hint="eastAsia"/>
          <w:highlight w:val="none"/>
        </w:rPr>
        <w:fldChar w:fldCharType="separate"/>
      </w:r>
      <w:r>
        <w:rPr>
          <w:rFonts w:hint="eastAsia"/>
          <w:highlight w:val="none"/>
        </w:rPr>
        <w:t>（二）招标文件</w:t>
      </w:r>
      <w:r>
        <w:rPr>
          <w:highlight w:val="none"/>
        </w:rPr>
        <w:tab/>
      </w:r>
      <w:r>
        <w:rPr>
          <w:highlight w:val="none"/>
        </w:rPr>
        <w:fldChar w:fldCharType="begin"/>
      </w:r>
      <w:r>
        <w:rPr>
          <w:highlight w:val="none"/>
        </w:rPr>
        <w:instrText xml:space="preserve"> PAGEREF _Toc10521 \h </w:instrText>
      </w:r>
      <w:r>
        <w:rPr>
          <w:highlight w:val="none"/>
        </w:rPr>
        <w:fldChar w:fldCharType="separate"/>
      </w:r>
      <w:r>
        <w:rPr>
          <w:highlight w:val="none"/>
        </w:rPr>
        <w:t>22</w:t>
      </w:r>
      <w:r>
        <w:rPr>
          <w:highlight w:val="none"/>
        </w:rPr>
        <w:fldChar w:fldCharType="end"/>
      </w:r>
      <w:r>
        <w:rPr>
          <w:rFonts w:hint="eastAsia"/>
          <w:color w:val="auto"/>
          <w:highlight w:val="none"/>
        </w:rPr>
        <w:fldChar w:fldCharType="end"/>
      </w:r>
    </w:p>
    <w:p w14:paraId="32E8E4E6">
      <w:pPr>
        <w:pStyle w:val="19"/>
        <w:tabs>
          <w:tab w:val="right" w:leader="dot" w:pos="9070"/>
        </w:tabs>
        <w:rPr>
          <w:highlight w:val="none"/>
        </w:rPr>
      </w:pPr>
      <w:r>
        <w:rPr>
          <w:rFonts w:hint="eastAsia"/>
          <w:color w:val="auto"/>
          <w:highlight w:val="none"/>
        </w:rPr>
        <w:fldChar w:fldCharType="begin"/>
      </w:r>
      <w:r>
        <w:rPr>
          <w:rFonts w:hint="eastAsia"/>
          <w:highlight w:val="none"/>
        </w:rPr>
        <w:instrText xml:space="preserve"> HYPERLINK \l _Toc29709 </w:instrText>
      </w:r>
      <w:r>
        <w:rPr>
          <w:rFonts w:hint="eastAsia"/>
          <w:highlight w:val="none"/>
        </w:rPr>
        <w:fldChar w:fldCharType="separate"/>
      </w:r>
      <w:r>
        <w:rPr>
          <w:rFonts w:hint="eastAsia"/>
          <w:highlight w:val="none"/>
        </w:rPr>
        <w:t>（三）投标文件的编制</w:t>
      </w:r>
      <w:r>
        <w:rPr>
          <w:highlight w:val="none"/>
        </w:rPr>
        <w:tab/>
      </w:r>
      <w:r>
        <w:rPr>
          <w:highlight w:val="none"/>
        </w:rPr>
        <w:fldChar w:fldCharType="begin"/>
      </w:r>
      <w:r>
        <w:rPr>
          <w:highlight w:val="none"/>
        </w:rPr>
        <w:instrText xml:space="preserve"> PAGEREF _Toc29709 \h </w:instrText>
      </w:r>
      <w:r>
        <w:rPr>
          <w:highlight w:val="none"/>
        </w:rPr>
        <w:fldChar w:fldCharType="separate"/>
      </w:r>
      <w:r>
        <w:rPr>
          <w:highlight w:val="none"/>
        </w:rPr>
        <w:t>24</w:t>
      </w:r>
      <w:r>
        <w:rPr>
          <w:highlight w:val="none"/>
        </w:rPr>
        <w:fldChar w:fldCharType="end"/>
      </w:r>
      <w:r>
        <w:rPr>
          <w:rFonts w:hint="eastAsia"/>
          <w:color w:val="auto"/>
          <w:highlight w:val="none"/>
        </w:rPr>
        <w:fldChar w:fldCharType="end"/>
      </w:r>
    </w:p>
    <w:p w14:paraId="69B9CE4A">
      <w:pPr>
        <w:pStyle w:val="19"/>
        <w:tabs>
          <w:tab w:val="right" w:leader="dot" w:pos="9070"/>
        </w:tabs>
        <w:rPr>
          <w:highlight w:val="none"/>
        </w:rPr>
      </w:pPr>
      <w:r>
        <w:rPr>
          <w:rFonts w:hint="eastAsia"/>
          <w:color w:val="auto"/>
          <w:highlight w:val="none"/>
        </w:rPr>
        <w:fldChar w:fldCharType="begin"/>
      </w:r>
      <w:r>
        <w:rPr>
          <w:rFonts w:hint="eastAsia"/>
          <w:highlight w:val="none"/>
        </w:rPr>
        <w:instrText xml:space="preserve"> HYPERLINK \l _Toc10933 </w:instrText>
      </w:r>
      <w:r>
        <w:rPr>
          <w:rFonts w:hint="eastAsia"/>
          <w:highlight w:val="none"/>
        </w:rPr>
        <w:fldChar w:fldCharType="separate"/>
      </w:r>
      <w:r>
        <w:rPr>
          <w:rFonts w:hint="eastAsia"/>
          <w:highlight w:val="none"/>
        </w:rPr>
        <w:t>（四）投标文件的提交</w:t>
      </w:r>
      <w:r>
        <w:rPr>
          <w:highlight w:val="none"/>
        </w:rPr>
        <w:tab/>
      </w:r>
      <w:r>
        <w:rPr>
          <w:highlight w:val="none"/>
        </w:rPr>
        <w:fldChar w:fldCharType="begin"/>
      </w:r>
      <w:r>
        <w:rPr>
          <w:highlight w:val="none"/>
        </w:rPr>
        <w:instrText xml:space="preserve"> PAGEREF _Toc10933 \h </w:instrText>
      </w:r>
      <w:r>
        <w:rPr>
          <w:highlight w:val="none"/>
        </w:rPr>
        <w:fldChar w:fldCharType="separate"/>
      </w:r>
      <w:r>
        <w:rPr>
          <w:highlight w:val="none"/>
        </w:rPr>
        <w:t>30</w:t>
      </w:r>
      <w:r>
        <w:rPr>
          <w:highlight w:val="none"/>
        </w:rPr>
        <w:fldChar w:fldCharType="end"/>
      </w:r>
      <w:r>
        <w:rPr>
          <w:rFonts w:hint="eastAsia"/>
          <w:color w:val="auto"/>
          <w:highlight w:val="none"/>
        </w:rPr>
        <w:fldChar w:fldCharType="end"/>
      </w:r>
    </w:p>
    <w:p w14:paraId="5FDAE65E">
      <w:pPr>
        <w:pStyle w:val="19"/>
        <w:tabs>
          <w:tab w:val="right" w:leader="dot" w:pos="9070"/>
        </w:tabs>
        <w:rPr>
          <w:highlight w:val="none"/>
        </w:rPr>
      </w:pPr>
      <w:r>
        <w:rPr>
          <w:rFonts w:hint="eastAsia"/>
          <w:color w:val="auto"/>
          <w:highlight w:val="none"/>
        </w:rPr>
        <w:fldChar w:fldCharType="begin"/>
      </w:r>
      <w:r>
        <w:rPr>
          <w:rFonts w:hint="eastAsia"/>
          <w:highlight w:val="none"/>
        </w:rPr>
        <w:instrText xml:space="preserve"> HYPERLINK \l _Toc21215 </w:instrText>
      </w:r>
      <w:r>
        <w:rPr>
          <w:rFonts w:hint="eastAsia"/>
          <w:highlight w:val="none"/>
        </w:rPr>
        <w:fldChar w:fldCharType="separate"/>
      </w:r>
      <w:r>
        <w:rPr>
          <w:rFonts w:hint="eastAsia"/>
          <w:highlight w:val="none"/>
        </w:rPr>
        <w:t>（五）开标、评标、定标及合同签定</w:t>
      </w:r>
      <w:r>
        <w:rPr>
          <w:highlight w:val="none"/>
        </w:rPr>
        <w:tab/>
      </w:r>
      <w:r>
        <w:rPr>
          <w:highlight w:val="none"/>
        </w:rPr>
        <w:fldChar w:fldCharType="begin"/>
      </w:r>
      <w:r>
        <w:rPr>
          <w:highlight w:val="none"/>
        </w:rPr>
        <w:instrText xml:space="preserve"> PAGEREF _Toc21215 \h </w:instrText>
      </w:r>
      <w:r>
        <w:rPr>
          <w:highlight w:val="none"/>
        </w:rPr>
        <w:fldChar w:fldCharType="separate"/>
      </w:r>
      <w:r>
        <w:rPr>
          <w:highlight w:val="none"/>
        </w:rPr>
        <w:t>32</w:t>
      </w:r>
      <w:r>
        <w:rPr>
          <w:highlight w:val="none"/>
        </w:rPr>
        <w:fldChar w:fldCharType="end"/>
      </w:r>
      <w:r>
        <w:rPr>
          <w:rFonts w:hint="eastAsia"/>
          <w:color w:val="auto"/>
          <w:highlight w:val="none"/>
        </w:rPr>
        <w:fldChar w:fldCharType="end"/>
      </w:r>
    </w:p>
    <w:p w14:paraId="46586778">
      <w:pPr>
        <w:pStyle w:val="27"/>
        <w:tabs>
          <w:tab w:val="right" w:leader="dot" w:pos="9070"/>
          <w:tab w:val="clear" w:pos="9060"/>
        </w:tabs>
        <w:rPr>
          <w:highlight w:val="none"/>
        </w:rPr>
      </w:pPr>
      <w:r>
        <w:rPr>
          <w:rFonts w:hint="eastAsia"/>
          <w:color w:val="auto"/>
          <w:highlight w:val="none"/>
        </w:rPr>
        <w:fldChar w:fldCharType="begin"/>
      </w:r>
      <w:r>
        <w:rPr>
          <w:rFonts w:hint="eastAsia"/>
          <w:highlight w:val="none"/>
        </w:rPr>
        <w:instrText xml:space="preserve"> HYPERLINK \l _Toc32237 </w:instrText>
      </w:r>
      <w:r>
        <w:rPr>
          <w:rFonts w:hint="eastAsia"/>
          <w:highlight w:val="none"/>
        </w:rPr>
        <w:fldChar w:fldCharType="separate"/>
      </w:r>
      <w:r>
        <w:rPr>
          <w:rFonts w:hint="eastAsia"/>
          <w:highlight w:val="none"/>
        </w:rPr>
        <w:t>第二章</w:t>
      </w:r>
      <w:r>
        <w:rPr>
          <w:highlight w:val="none"/>
        </w:rPr>
        <w:t xml:space="preserve">  </w:t>
      </w:r>
      <w:r>
        <w:rPr>
          <w:rFonts w:hint="eastAsia"/>
          <w:highlight w:val="none"/>
        </w:rPr>
        <w:t>开标、评标及定标办法</w:t>
      </w:r>
      <w:r>
        <w:rPr>
          <w:highlight w:val="none"/>
        </w:rPr>
        <w:tab/>
      </w:r>
      <w:r>
        <w:rPr>
          <w:highlight w:val="none"/>
        </w:rPr>
        <w:fldChar w:fldCharType="begin"/>
      </w:r>
      <w:r>
        <w:rPr>
          <w:highlight w:val="none"/>
        </w:rPr>
        <w:instrText xml:space="preserve"> PAGEREF _Toc32237 \h </w:instrText>
      </w:r>
      <w:r>
        <w:rPr>
          <w:highlight w:val="none"/>
        </w:rPr>
        <w:fldChar w:fldCharType="separate"/>
      </w:r>
      <w:r>
        <w:rPr>
          <w:highlight w:val="none"/>
        </w:rPr>
        <w:t>35</w:t>
      </w:r>
      <w:r>
        <w:rPr>
          <w:highlight w:val="none"/>
        </w:rPr>
        <w:fldChar w:fldCharType="end"/>
      </w:r>
      <w:r>
        <w:rPr>
          <w:rFonts w:hint="eastAsia"/>
          <w:color w:val="auto"/>
          <w:highlight w:val="none"/>
        </w:rPr>
        <w:fldChar w:fldCharType="end"/>
      </w:r>
    </w:p>
    <w:p w14:paraId="046F8265">
      <w:pPr>
        <w:pStyle w:val="30"/>
        <w:tabs>
          <w:tab w:val="right" w:leader="dot" w:pos="9070"/>
          <w:tab w:val="clear" w:pos="9060"/>
        </w:tabs>
        <w:rPr>
          <w:highlight w:val="none"/>
        </w:rPr>
      </w:pPr>
      <w:r>
        <w:rPr>
          <w:rFonts w:hint="eastAsia"/>
          <w:color w:val="auto"/>
          <w:highlight w:val="none"/>
        </w:rPr>
        <w:fldChar w:fldCharType="begin"/>
      </w:r>
      <w:r>
        <w:rPr>
          <w:rFonts w:hint="eastAsia"/>
          <w:highlight w:val="none"/>
        </w:rPr>
        <w:instrText xml:space="preserve"> HYPERLINK \l _Toc14926 </w:instrText>
      </w:r>
      <w:r>
        <w:rPr>
          <w:rFonts w:hint="eastAsia"/>
          <w:highlight w:val="none"/>
        </w:rPr>
        <w:fldChar w:fldCharType="separate"/>
      </w:r>
      <w:r>
        <w:rPr>
          <w:rFonts w:hint="eastAsia"/>
          <w:highlight w:val="none"/>
        </w:rPr>
        <w:t>一、开标、评标及定标办法修改表</w:t>
      </w:r>
      <w:r>
        <w:rPr>
          <w:highlight w:val="none"/>
        </w:rPr>
        <w:tab/>
      </w:r>
      <w:r>
        <w:rPr>
          <w:highlight w:val="none"/>
        </w:rPr>
        <w:fldChar w:fldCharType="begin"/>
      </w:r>
      <w:r>
        <w:rPr>
          <w:highlight w:val="none"/>
        </w:rPr>
        <w:instrText xml:space="preserve"> PAGEREF _Toc14926 \h </w:instrText>
      </w:r>
      <w:r>
        <w:rPr>
          <w:highlight w:val="none"/>
        </w:rPr>
        <w:fldChar w:fldCharType="separate"/>
      </w:r>
      <w:r>
        <w:rPr>
          <w:highlight w:val="none"/>
        </w:rPr>
        <w:t>35</w:t>
      </w:r>
      <w:r>
        <w:rPr>
          <w:highlight w:val="none"/>
        </w:rPr>
        <w:fldChar w:fldCharType="end"/>
      </w:r>
      <w:r>
        <w:rPr>
          <w:rFonts w:hint="eastAsia"/>
          <w:color w:val="auto"/>
          <w:highlight w:val="none"/>
        </w:rPr>
        <w:fldChar w:fldCharType="end"/>
      </w:r>
    </w:p>
    <w:p w14:paraId="3D490F27">
      <w:pPr>
        <w:pStyle w:val="30"/>
        <w:tabs>
          <w:tab w:val="right" w:leader="dot" w:pos="9070"/>
          <w:tab w:val="clear" w:pos="9060"/>
        </w:tabs>
        <w:rPr>
          <w:highlight w:val="none"/>
        </w:rPr>
      </w:pPr>
      <w:r>
        <w:rPr>
          <w:rFonts w:hint="eastAsia"/>
          <w:color w:val="auto"/>
          <w:highlight w:val="none"/>
        </w:rPr>
        <w:fldChar w:fldCharType="begin"/>
      </w:r>
      <w:r>
        <w:rPr>
          <w:rFonts w:hint="eastAsia"/>
          <w:highlight w:val="none"/>
        </w:rPr>
        <w:instrText xml:space="preserve"> HYPERLINK \l _Toc5116 </w:instrText>
      </w:r>
      <w:r>
        <w:rPr>
          <w:rFonts w:hint="eastAsia"/>
          <w:highlight w:val="none"/>
        </w:rPr>
        <w:fldChar w:fldCharType="separate"/>
      </w:r>
      <w:r>
        <w:rPr>
          <w:rFonts w:hint="eastAsia"/>
          <w:highlight w:val="none"/>
        </w:rPr>
        <w:t>二、开标、评标及定标办法通用条款</w:t>
      </w:r>
      <w:r>
        <w:rPr>
          <w:highlight w:val="none"/>
        </w:rPr>
        <w:tab/>
      </w:r>
      <w:r>
        <w:rPr>
          <w:highlight w:val="none"/>
        </w:rPr>
        <w:fldChar w:fldCharType="begin"/>
      </w:r>
      <w:r>
        <w:rPr>
          <w:highlight w:val="none"/>
        </w:rPr>
        <w:instrText xml:space="preserve"> PAGEREF _Toc5116 \h </w:instrText>
      </w:r>
      <w:r>
        <w:rPr>
          <w:highlight w:val="none"/>
        </w:rPr>
        <w:fldChar w:fldCharType="separate"/>
      </w:r>
      <w:r>
        <w:rPr>
          <w:highlight w:val="none"/>
        </w:rPr>
        <w:t>42</w:t>
      </w:r>
      <w:r>
        <w:rPr>
          <w:highlight w:val="none"/>
        </w:rPr>
        <w:fldChar w:fldCharType="end"/>
      </w:r>
      <w:r>
        <w:rPr>
          <w:rFonts w:hint="eastAsia"/>
          <w:color w:val="auto"/>
          <w:highlight w:val="none"/>
        </w:rPr>
        <w:fldChar w:fldCharType="end"/>
      </w:r>
    </w:p>
    <w:p w14:paraId="42C4633C">
      <w:pPr>
        <w:pStyle w:val="19"/>
        <w:tabs>
          <w:tab w:val="right" w:leader="dot" w:pos="9070"/>
        </w:tabs>
        <w:rPr>
          <w:highlight w:val="none"/>
        </w:rPr>
      </w:pPr>
      <w:r>
        <w:rPr>
          <w:rFonts w:hint="eastAsia"/>
          <w:color w:val="auto"/>
          <w:highlight w:val="none"/>
        </w:rPr>
        <w:fldChar w:fldCharType="begin"/>
      </w:r>
      <w:r>
        <w:rPr>
          <w:rFonts w:hint="eastAsia"/>
          <w:highlight w:val="none"/>
        </w:rPr>
        <w:instrText xml:space="preserve"> HYPERLINK \l _Toc17461 </w:instrText>
      </w:r>
      <w:r>
        <w:rPr>
          <w:rFonts w:hint="eastAsia"/>
          <w:highlight w:val="none"/>
        </w:rPr>
        <w:fldChar w:fldCharType="separate"/>
      </w:r>
      <w:r>
        <w:rPr>
          <w:rFonts w:hint="eastAsia"/>
          <w:highlight w:val="none"/>
          <w:lang w:val="en-US" w:eastAsia="zh-CN"/>
        </w:rPr>
        <w:t>（一）总则</w:t>
      </w:r>
      <w:r>
        <w:rPr>
          <w:highlight w:val="none"/>
        </w:rPr>
        <w:tab/>
      </w:r>
      <w:r>
        <w:rPr>
          <w:highlight w:val="none"/>
        </w:rPr>
        <w:fldChar w:fldCharType="begin"/>
      </w:r>
      <w:r>
        <w:rPr>
          <w:highlight w:val="none"/>
        </w:rPr>
        <w:instrText xml:space="preserve"> PAGEREF _Toc17461 \h </w:instrText>
      </w:r>
      <w:r>
        <w:rPr>
          <w:highlight w:val="none"/>
        </w:rPr>
        <w:fldChar w:fldCharType="separate"/>
      </w:r>
      <w:r>
        <w:rPr>
          <w:highlight w:val="none"/>
        </w:rPr>
        <w:t>42</w:t>
      </w:r>
      <w:r>
        <w:rPr>
          <w:highlight w:val="none"/>
        </w:rPr>
        <w:fldChar w:fldCharType="end"/>
      </w:r>
      <w:r>
        <w:rPr>
          <w:rFonts w:hint="eastAsia"/>
          <w:color w:val="auto"/>
          <w:highlight w:val="none"/>
        </w:rPr>
        <w:fldChar w:fldCharType="end"/>
      </w:r>
    </w:p>
    <w:p w14:paraId="04F2C13C">
      <w:pPr>
        <w:pStyle w:val="19"/>
        <w:tabs>
          <w:tab w:val="right" w:leader="dot" w:pos="9070"/>
        </w:tabs>
        <w:rPr>
          <w:highlight w:val="none"/>
        </w:rPr>
      </w:pPr>
      <w:r>
        <w:rPr>
          <w:rFonts w:hint="eastAsia"/>
          <w:color w:val="auto"/>
          <w:highlight w:val="none"/>
        </w:rPr>
        <w:fldChar w:fldCharType="begin"/>
      </w:r>
      <w:r>
        <w:rPr>
          <w:rFonts w:hint="eastAsia"/>
          <w:highlight w:val="none"/>
        </w:rPr>
        <w:instrText xml:space="preserve"> HYPERLINK \l _Toc32429 </w:instrText>
      </w:r>
      <w:r>
        <w:rPr>
          <w:rFonts w:hint="eastAsia"/>
          <w:highlight w:val="none"/>
        </w:rPr>
        <w:fldChar w:fldCharType="separate"/>
      </w:r>
      <w:r>
        <w:rPr>
          <w:rFonts w:hint="eastAsia"/>
          <w:bCs/>
          <w:szCs w:val="28"/>
          <w:highlight w:val="none"/>
          <w:lang w:eastAsia="zh-CN"/>
        </w:rPr>
        <w:t>（二）</w:t>
      </w:r>
      <w:r>
        <w:rPr>
          <w:rFonts w:hint="eastAsia"/>
          <w:bCs/>
          <w:szCs w:val="28"/>
          <w:highlight w:val="none"/>
        </w:rPr>
        <w:t>开标评标办法程序和细则</w:t>
      </w:r>
      <w:r>
        <w:rPr>
          <w:highlight w:val="none"/>
        </w:rPr>
        <w:tab/>
      </w:r>
      <w:r>
        <w:rPr>
          <w:highlight w:val="none"/>
        </w:rPr>
        <w:fldChar w:fldCharType="begin"/>
      </w:r>
      <w:r>
        <w:rPr>
          <w:highlight w:val="none"/>
        </w:rPr>
        <w:instrText xml:space="preserve"> PAGEREF _Toc32429 \h </w:instrText>
      </w:r>
      <w:r>
        <w:rPr>
          <w:highlight w:val="none"/>
        </w:rPr>
        <w:fldChar w:fldCharType="separate"/>
      </w:r>
      <w:r>
        <w:rPr>
          <w:highlight w:val="none"/>
        </w:rPr>
        <w:t>45</w:t>
      </w:r>
      <w:r>
        <w:rPr>
          <w:highlight w:val="none"/>
        </w:rPr>
        <w:fldChar w:fldCharType="end"/>
      </w:r>
      <w:r>
        <w:rPr>
          <w:rFonts w:hint="eastAsia"/>
          <w:color w:val="auto"/>
          <w:highlight w:val="none"/>
        </w:rPr>
        <w:fldChar w:fldCharType="end"/>
      </w:r>
    </w:p>
    <w:p w14:paraId="3923BF4F">
      <w:pPr>
        <w:pStyle w:val="27"/>
        <w:tabs>
          <w:tab w:val="right" w:leader="dot" w:pos="9070"/>
          <w:tab w:val="clear" w:pos="9060"/>
        </w:tabs>
        <w:rPr>
          <w:highlight w:val="none"/>
        </w:rPr>
      </w:pPr>
      <w:r>
        <w:rPr>
          <w:rFonts w:hint="eastAsia"/>
          <w:color w:val="auto"/>
          <w:highlight w:val="none"/>
        </w:rPr>
        <w:fldChar w:fldCharType="begin"/>
      </w:r>
      <w:r>
        <w:rPr>
          <w:rFonts w:hint="eastAsia"/>
          <w:highlight w:val="none"/>
        </w:rPr>
        <w:instrText xml:space="preserve"> HYPERLINK \l _Toc9482 </w:instrText>
      </w:r>
      <w:r>
        <w:rPr>
          <w:rFonts w:hint="eastAsia"/>
          <w:highlight w:val="none"/>
        </w:rPr>
        <w:fldChar w:fldCharType="separate"/>
      </w:r>
      <w:r>
        <w:rPr>
          <w:rFonts w:hint="eastAsia" w:ascii="宋体" w:hAnsi="宋体" w:cs="宋体"/>
          <w:highlight w:val="none"/>
        </w:rPr>
        <w:t>第三章  合同条款</w:t>
      </w:r>
      <w:r>
        <w:rPr>
          <w:highlight w:val="none"/>
        </w:rPr>
        <w:tab/>
      </w:r>
      <w:r>
        <w:rPr>
          <w:highlight w:val="none"/>
        </w:rPr>
        <w:fldChar w:fldCharType="begin"/>
      </w:r>
      <w:r>
        <w:rPr>
          <w:highlight w:val="none"/>
        </w:rPr>
        <w:instrText xml:space="preserve"> PAGEREF _Toc9482 \h </w:instrText>
      </w:r>
      <w:r>
        <w:rPr>
          <w:highlight w:val="none"/>
        </w:rPr>
        <w:fldChar w:fldCharType="separate"/>
      </w:r>
      <w:r>
        <w:rPr>
          <w:highlight w:val="none"/>
        </w:rPr>
        <w:t>63</w:t>
      </w:r>
      <w:r>
        <w:rPr>
          <w:highlight w:val="none"/>
        </w:rPr>
        <w:fldChar w:fldCharType="end"/>
      </w:r>
      <w:r>
        <w:rPr>
          <w:rFonts w:hint="eastAsia"/>
          <w:color w:val="auto"/>
          <w:highlight w:val="none"/>
        </w:rPr>
        <w:fldChar w:fldCharType="end"/>
      </w:r>
    </w:p>
    <w:p w14:paraId="4B4A3A27">
      <w:pPr>
        <w:pStyle w:val="27"/>
        <w:tabs>
          <w:tab w:val="right" w:leader="dot" w:pos="9070"/>
          <w:tab w:val="clear" w:pos="9060"/>
        </w:tabs>
        <w:rPr>
          <w:highlight w:val="none"/>
        </w:rPr>
      </w:pPr>
      <w:r>
        <w:rPr>
          <w:rFonts w:hint="eastAsia"/>
          <w:color w:val="auto"/>
          <w:highlight w:val="none"/>
        </w:rPr>
        <w:fldChar w:fldCharType="begin"/>
      </w:r>
      <w:r>
        <w:rPr>
          <w:rFonts w:hint="eastAsia"/>
          <w:highlight w:val="none"/>
        </w:rPr>
        <w:instrText xml:space="preserve"> HYPERLINK \l _Toc19223 </w:instrText>
      </w:r>
      <w:r>
        <w:rPr>
          <w:rFonts w:hint="eastAsia"/>
          <w:highlight w:val="none"/>
        </w:rPr>
        <w:fldChar w:fldCharType="separate"/>
      </w:r>
      <w:r>
        <w:rPr>
          <w:rFonts w:hint="eastAsia" w:ascii="宋体" w:hAnsi="宋体" w:cs="宋体"/>
          <w:highlight w:val="none"/>
        </w:rPr>
        <w:t>第四章  投标文件格式</w:t>
      </w:r>
      <w:r>
        <w:rPr>
          <w:highlight w:val="none"/>
        </w:rPr>
        <w:tab/>
      </w:r>
      <w:r>
        <w:rPr>
          <w:highlight w:val="none"/>
        </w:rPr>
        <w:fldChar w:fldCharType="begin"/>
      </w:r>
      <w:r>
        <w:rPr>
          <w:highlight w:val="none"/>
        </w:rPr>
        <w:instrText xml:space="preserve"> PAGEREF _Toc19223 \h </w:instrText>
      </w:r>
      <w:r>
        <w:rPr>
          <w:highlight w:val="none"/>
        </w:rPr>
        <w:fldChar w:fldCharType="separate"/>
      </w:r>
      <w:r>
        <w:rPr>
          <w:highlight w:val="none"/>
        </w:rPr>
        <w:t>64</w:t>
      </w:r>
      <w:r>
        <w:rPr>
          <w:highlight w:val="none"/>
        </w:rPr>
        <w:fldChar w:fldCharType="end"/>
      </w:r>
      <w:r>
        <w:rPr>
          <w:rFonts w:hint="eastAsia"/>
          <w:color w:val="auto"/>
          <w:highlight w:val="none"/>
        </w:rPr>
        <w:fldChar w:fldCharType="end"/>
      </w:r>
    </w:p>
    <w:p w14:paraId="29C39F20">
      <w:pPr>
        <w:pStyle w:val="27"/>
        <w:tabs>
          <w:tab w:val="right" w:leader="dot" w:pos="9070"/>
          <w:tab w:val="clear" w:pos="9060"/>
        </w:tabs>
        <w:rPr>
          <w:highlight w:val="none"/>
        </w:rPr>
      </w:pPr>
      <w:r>
        <w:rPr>
          <w:rFonts w:hint="eastAsia"/>
          <w:color w:val="auto"/>
          <w:highlight w:val="none"/>
        </w:rPr>
        <w:fldChar w:fldCharType="begin"/>
      </w:r>
      <w:r>
        <w:rPr>
          <w:rFonts w:hint="eastAsia"/>
          <w:highlight w:val="none"/>
        </w:rPr>
        <w:instrText xml:space="preserve"> HYPERLINK \l _Toc10157 </w:instrText>
      </w:r>
      <w:r>
        <w:rPr>
          <w:rFonts w:hint="eastAsia"/>
          <w:highlight w:val="none"/>
        </w:rPr>
        <w:fldChar w:fldCharType="separate"/>
      </w:r>
      <w:r>
        <w:rPr>
          <w:rFonts w:hint="eastAsia" w:ascii="宋体" w:hAnsi="宋体" w:cs="宋体"/>
          <w:highlight w:val="none"/>
        </w:rPr>
        <w:t>第五章  技术条件（工程建设标准）</w:t>
      </w:r>
      <w:r>
        <w:rPr>
          <w:highlight w:val="none"/>
        </w:rPr>
        <w:tab/>
      </w:r>
      <w:r>
        <w:rPr>
          <w:highlight w:val="none"/>
        </w:rPr>
        <w:fldChar w:fldCharType="begin"/>
      </w:r>
      <w:r>
        <w:rPr>
          <w:highlight w:val="none"/>
        </w:rPr>
        <w:instrText xml:space="preserve"> PAGEREF _Toc10157 \h </w:instrText>
      </w:r>
      <w:r>
        <w:rPr>
          <w:highlight w:val="none"/>
        </w:rPr>
        <w:fldChar w:fldCharType="separate"/>
      </w:r>
      <w:r>
        <w:rPr>
          <w:highlight w:val="none"/>
        </w:rPr>
        <w:t>82</w:t>
      </w:r>
      <w:r>
        <w:rPr>
          <w:highlight w:val="none"/>
        </w:rPr>
        <w:fldChar w:fldCharType="end"/>
      </w:r>
      <w:r>
        <w:rPr>
          <w:rFonts w:hint="eastAsia"/>
          <w:color w:val="auto"/>
          <w:highlight w:val="none"/>
        </w:rPr>
        <w:fldChar w:fldCharType="end"/>
      </w:r>
    </w:p>
    <w:p w14:paraId="531A97D8">
      <w:pPr>
        <w:pStyle w:val="27"/>
        <w:tabs>
          <w:tab w:val="right" w:leader="dot" w:pos="9070"/>
          <w:tab w:val="clear" w:pos="9060"/>
        </w:tabs>
        <w:rPr>
          <w:highlight w:val="none"/>
        </w:rPr>
      </w:pPr>
      <w:r>
        <w:rPr>
          <w:rFonts w:hint="eastAsia"/>
          <w:color w:val="auto"/>
          <w:highlight w:val="none"/>
        </w:rPr>
        <w:fldChar w:fldCharType="begin"/>
      </w:r>
      <w:r>
        <w:rPr>
          <w:rFonts w:hint="eastAsia"/>
          <w:highlight w:val="none"/>
        </w:rPr>
        <w:instrText xml:space="preserve"> HYPERLINK \l _Toc26102 </w:instrText>
      </w:r>
      <w:r>
        <w:rPr>
          <w:rFonts w:hint="eastAsia"/>
          <w:highlight w:val="none"/>
        </w:rPr>
        <w:fldChar w:fldCharType="separate"/>
      </w:r>
      <w:r>
        <w:rPr>
          <w:rFonts w:hint="eastAsia" w:ascii="宋体" w:hAnsi="宋体" w:cs="宋体"/>
          <w:highlight w:val="none"/>
        </w:rPr>
        <w:t>第六章  图纸资料</w:t>
      </w:r>
      <w:r>
        <w:rPr>
          <w:highlight w:val="none"/>
        </w:rPr>
        <w:tab/>
      </w:r>
      <w:r>
        <w:rPr>
          <w:highlight w:val="none"/>
        </w:rPr>
        <w:fldChar w:fldCharType="begin"/>
      </w:r>
      <w:r>
        <w:rPr>
          <w:highlight w:val="none"/>
        </w:rPr>
        <w:instrText xml:space="preserve"> PAGEREF _Toc26102 \h </w:instrText>
      </w:r>
      <w:r>
        <w:rPr>
          <w:highlight w:val="none"/>
        </w:rPr>
        <w:fldChar w:fldCharType="separate"/>
      </w:r>
      <w:r>
        <w:rPr>
          <w:highlight w:val="none"/>
        </w:rPr>
        <w:t>85</w:t>
      </w:r>
      <w:r>
        <w:rPr>
          <w:highlight w:val="none"/>
        </w:rPr>
        <w:fldChar w:fldCharType="end"/>
      </w:r>
      <w:r>
        <w:rPr>
          <w:rFonts w:hint="eastAsia"/>
          <w:color w:val="auto"/>
          <w:highlight w:val="none"/>
        </w:rPr>
        <w:fldChar w:fldCharType="end"/>
      </w:r>
    </w:p>
    <w:p w14:paraId="01448658">
      <w:pPr>
        <w:pStyle w:val="27"/>
        <w:tabs>
          <w:tab w:val="right" w:leader="dot" w:pos="9070"/>
          <w:tab w:val="clear" w:pos="9060"/>
        </w:tabs>
        <w:rPr>
          <w:highlight w:val="none"/>
        </w:rPr>
      </w:pPr>
      <w:r>
        <w:rPr>
          <w:rFonts w:hint="eastAsia"/>
          <w:color w:val="auto"/>
          <w:highlight w:val="none"/>
        </w:rPr>
        <w:fldChar w:fldCharType="begin"/>
      </w:r>
      <w:r>
        <w:rPr>
          <w:rFonts w:hint="eastAsia"/>
          <w:highlight w:val="none"/>
        </w:rPr>
        <w:instrText xml:space="preserve"> HYPERLINK \l _Toc27906 </w:instrText>
      </w:r>
      <w:r>
        <w:rPr>
          <w:rFonts w:hint="eastAsia"/>
          <w:highlight w:val="none"/>
        </w:rPr>
        <w:fldChar w:fldCharType="separate"/>
      </w:r>
      <w:r>
        <w:rPr>
          <w:rFonts w:hint="eastAsia" w:ascii="宋体" w:hAnsi="宋体" w:cs="宋体"/>
          <w:kern w:val="44"/>
          <w:szCs w:val="28"/>
          <w:highlight w:val="none"/>
        </w:rPr>
        <w:t>第七章  工程量清单</w:t>
      </w:r>
      <w:r>
        <w:rPr>
          <w:highlight w:val="none"/>
        </w:rPr>
        <w:tab/>
      </w:r>
      <w:r>
        <w:rPr>
          <w:highlight w:val="none"/>
        </w:rPr>
        <w:fldChar w:fldCharType="begin"/>
      </w:r>
      <w:r>
        <w:rPr>
          <w:highlight w:val="none"/>
        </w:rPr>
        <w:instrText xml:space="preserve"> PAGEREF _Toc27906 \h </w:instrText>
      </w:r>
      <w:r>
        <w:rPr>
          <w:highlight w:val="none"/>
        </w:rPr>
        <w:fldChar w:fldCharType="separate"/>
      </w:r>
      <w:r>
        <w:rPr>
          <w:highlight w:val="none"/>
        </w:rPr>
        <w:t>86</w:t>
      </w:r>
      <w:r>
        <w:rPr>
          <w:highlight w:val="none"/>
        </w:rPr>
        <w:fldChar w:fldCharType="end"/>
      </w:r>
      <w:r>
        <w:rPr>
          <w:rFonts w:hint="eastAsia"/>
          <w:color w:val="auto"/>
          <w:highlight w:val="none"/>
        </w:rPr>
        <w:fldChar w:fldCharType="end"/>
      </w:r>
    </w:p>
    <w:p w14:paraId="4999D900">
      <w:pPr>
        <w:pStyle w:val="27"/>
        <w:tabs>
          <w:tab w:val="right" w:leader="dot" w:pos="9070"/>
          <w:tab w:val="clear" w:pos="9060"/>
        </w:tabs>
        <w:rPr>
          <w:highlight w:val="none"/>
        </w:rPr>
      </w:pPr>
      <w:r>
        <w:rPr>
          <w:rFonts w:hint="eastAsia"/>
          <w:color w:val="auto"/>
          <w:highlight w:val="none"/>
        </w:rPr>
        <w:fldChar w:fldCharType="begin"/>
      </w:r>
      <w:r>
        <w:rPr>
          <w:rFonts w:hint="eastAsia"/>
          <w:highlight w:val="none"/>
        </w:rPr>
        <w:instrText xml:space="preserve"> HYPERLINK \l _Toc24857 </w:instrText>
      </w:r>
      <w:r>
        <w:rPr>
          <w:rFonts w:hint="eastAsia"/>
          <w:highlight w:val="none"/>
        </w:rPr>
        <w:fldChar w:fldCharType="separate"/>
      </w:r>
      <w:r>
        <w:rPr>
          <w:rFonts w:hint="eastAsia" w:ascii="宋体" w:hAnsi="宋体" w:cs="宋体"/>
          <w:highlight w:val="none"/>
        </w:rPr>
        <w:t>第八章  最高投标限价</w:t>
      </w:r>
      <w:r>
        <w:rPr>
          <w:highlight w:val="none"/>
        </w:rPr>
        <w:tab/>
      </w:r>
      <w:r>
        <w:rPr>
          <w:highlight w:val="none"/>
        </w:rPr>
        <w:fldChar w:fldCharType="begin"/>
      </w:r>
      <w:r>
        <w:rPr>
          <w:highlight w:val="none"/>
        </w:rPr>
        <w:instrText xml:space="preserve"> PAGEREF _Toc24857 \h </w:instrText>
      </w:r>
      <w:r>
        <w:rPr>
          <w:highlight w:val="none"/>
        </w:rPr>
        <w:fldChar w:fldCharType="separate"/>
      </w:r>
      <w:r>
        <w:rPr>
          <w:highlight w:val="none"/>
        </w:rPr>
        <w:t>87</w:t>
      </w:r>
      <w:r>
        <w:rPr>
          <w:highlight w:val="none"/>
        </w:rPr>
        <w:fldChar w:fldCharType="end"/>
      </w:r>
      <w:r>
        <w:rPr>
          <w:rFonts w:hint="eastAsia"/>
          <w:color w:val="auto"/>
          <w:highlight w:val="none"/>
        </w:rPr>
        <w:fldChar w:fldCharType="end"/>
      </w:r>
    </w:p>
    <w:p w14:paraId="1DD10C9C">
      <w:pPr>
        <w:pStyle w:val="2"/>
        <w:rPr>
          <w:rFonts w:hint="eastAsia"/>
          <w:color w:val="auto"/>
          <w:highlight w:val="none"/>
        </w:rPr>
      </w:pPr>
      <w:r>
        <w:rPr>
          <w:rFonts w:hint="eastAsia"/>
          <w:color w:val="auto"/>
          <w:highlight w:val="none"/>
        </w:rPr>
        <w:fldChar w:fldCharType="end"/>
      </w:r>
    </w:p>
    <w:p w14:paraId="4947B667">
      <w:pPr>
        <w:pStyle w:val="2"/>
        <w:bidi w:val="0"/>
        <w:rPr>
          <w:rFonts w:hint="eastAsia"/>
          <w:color w:val="auto"/>
          <w:highlight w:val="none"/>
        </w:rPr>
      </w:pPr>
      <w:bookmarkStart w:id="2" w:name="_Toc20110"/>
    </w:p>
    <w:p w14:paraId="7470AB85">
      <w:pPr>
        <w:pStyle w:val="4"/>
        <w:rPr>
          <w:rFonts w:hint="eastAsia"/>
          <w:highlight w:val="none"/>
        </w:rPr>
      </w:pPr>
    </w:p>
    <w:p w14:paraId="43755DDE">
      <w:pPr>
        <w:bidi w:val="0"/>
        <w:rPr>
          <w:rFonts w:hint="eastAsia"/>
          <w:color w:val="auto"/>
          <w:highlight w:val="none"/>
        </w:rPr>
      </w:pPr>
      <w:r>
        <w:rPr>
          <w:rFonts w:hint="eastAsia"/>
          <w:color w:val="auto"/>
          <w:highlight w:val="none"/>
        </w:rPr>
        <w:br w:type="page"/>
      </w:r>
    </w:p>
    <w:p w14:paraId="688A19C4">
      <w:pPr>
        <w:pStyle w:val="2"/>
        <w:bidi w:val="0"/>
        <w:rPr>
          <w:color w:val="auto"/>
          <w:highlight w:val="none"/>
        </w:rPr>
      </w:pPr>
      <w:bookmarkStart w:id="3" w:name="_Toc27318"/>
      <w:r>
        <w:rPr>
          <w:rFonts w:hint="eastAsia"/>
          <w:color w:val="auto"/>
          <w:highlight w:val="none"/>
        </w:rPr>
        <w:t>第一章</w:t>
      </w:r>
      <w:r>
        <w:rPr>
          <w:color w:val="auto"/>
          <w:highlight w:val="none"/>
        </w:rPr>
        <w:t xml:space="preserve">  </w:t>
      </w:r>
      <w:r>
        <w:rPr>
          <w:rFonts w:hint="eastAsia"/>
          <w:color w:val="auto"/>
          <w:highlight w:val="none"/>
        </w:rPr>
        <w:t>投标须知</w:t>
      </w:r>
      <w:bookmarkEnd w:id="0"/>
      <w:bookmarkEnd w:id="1"/>
      <w:bookmarkEnd w:id="2"/>
      <w:bookmarkEnd w:id="3"/>
    </w:p>
    <w:p w14:paraId="5D132743">
      <w:pPr>
        <w:pStyle w:val="7"/>
        <w:bidi w:val="0"/>
        <w:rPr>
          <w:color w:val="auto"/>
          <w:highlight w:val="none"/>
        </w:rPr>
      </w:pPr>
      <w:bookmarkStart w:id="4" w:name="_Toc21525490"/>
      <w:bookmarkStart w:id="5" w:name="_Toc32087"/>
      <w:bookmarkStart w:id="6" w:name="_Toc28976"/>
      <w:bookmarkStart w:id="7" w:name="_Toc2272546"/>
      <w:r>
        <w:rPr>
          <w:rFonts w:hint="eastAsia"/>
          <w:color w:val="auto"/>
          <w:highlight w:val="none"/>
        </w:rPr>
        <w:t>一、投标须知前附表</w:t>
      </w:r>
      <w:bookmarkEnd w:id="4"/>
      <w:bookmarkEnd w:id="5"/>
      <w:bookmarkEnd w:id="6"/>
      <w:bookmarkEnd w:id="7"/>
    </w:p>
    <w:p w14:paraId="281CE649">
      <w:pPr>
        <w:pStyle w:val="10"/>
        <w:spacing w:line="360" w:lineRule="auto"/>
        <w:ind w:firstLine="0"/>
        <w:rPr>
          <w:rFonts w:ascii="宋体" w:hAnsi="宋体"/>
          <w:b/>
          <w:color w:val="auto"/>
          <w:sz w:val="24"/>
          <w:szCs w:val="24"/>
          <w:highlight w:val="none"/>
        </w:rPr>
      </w:pPr>
      <w:r>
        <w:rPr>
          <w:rFonts w:hint="eastAsia" w:ascii="宋体" w:hAnsi="宋体"/>
          <w:b/>
          <w:color w:val="auto"/>
          <w:sz w:val="24"/>
          <w:szCs w:val="24"/>
          <w:highlight w:val="none"/>
        </w:rPr>
        <w:t>声明：本投标须知前附表使用</w:t>
      </w:r>
      <w:r>
        <w:rPr>
          <w:rFonts w:hint="eastAsia" w:ascii="宋体" w:hAnsi="宋体"/>
          <w:b/>
          <w:color w:val="auto"/>
          <w:sz w:val="24"/>
          <w:szCs w:val="24"/>
          <w:highlight w:val="none"/>
          <w:lang w:eastAsia="zh-CN"/>
        </w:rPr>
        <w:t>GZJTZB202</w:t>
      </w:r>
      <w:r>
        <w:rPr>
          <w:rFonts w:hint="eastAsia" w:ascii="宋体" w:hAnsi="宋体"/>
          <w:b/>
          <w:color w:val="auto"/>
          <w:sz w:val="24"/>
          <w:szCs w:val="24"/>
          <w:highlight w:val="none"/>
          <w:lang w:val="en-US" w:eastAsia="zh-CN"/>
        </w:rPr>
        <w:t>5</w:t>
      </w:r>
      <w:r>
        <w:rPr>
          <w:rFonts w:hint="eastAsia" w:ascii="宋体" w:hAnsi="宋体"/>
          <w:b/>
          <w:color w:val="auto"/>
          <w:sz w:val="24"/>
          <w:szCs w:val="24"/>
          <w:highlight w:val="none"/>
          <w:lang w:eastAsia="zh-CN"/>
        </w:rPr>
        <w:t>-3</w:t>
      </w:r>
      <w:r>
        <w:rPr>
          <w:rFonts w:hint="eastAsia" w:ascii="宋体" w:hAnsi="宋体"/>
          <w:b/>
          <w:color w:val="auto"/>
          <w:sz w:val="24"/>
          <w:szCs w:val="24"/>
          <w:highlight w:val="none"/>
        </w:rPr>
        <w:t>招标文件范本，与范本不同之处均以下划线标明，所有标明下划线部分属于本表的组成部分，同其他部分具有同样的效力。对范本《投标须知通用条款》和《开标、评标和定标办法通用条款》可选择部分的选择使用，均已在本表中注明，通用条款可选择部分中未被本投标须知前附表选择的部分无效。</w:t>
      </w:r>
    </w:p>
    <w:tbl>
      <w:tblPr>
        <w:tblStyle w:val="36"/>
        <w:tblW w:w="9350"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981"/>
        <w:gridCol w:w="1733"/>
        <w:gridCol w:w="5934"/>
      </w:tblGrid>
      <w:tr w14:paraId="18AE417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66" w:hRule="atLeast"/>
          <w:tblHeader/>
        </w:trPr>
        <w:tc>
          <w:tcPr>
            <w:tcW w:w="702" w:type="dxa"/>
            <w:tcBorders>
              <w:top w:val="double" w:color="auto" w:sz="4" w:space="0"/>
              <w:left w:val="double" w:color="auto" w:sz="4" w:space="0"/>
              <w:bottom w:val="single" w:color="auto" w:sz="4" w:space="0"/>
              <w:right w:val="single" w:color="auto" w:sz="4" w:space="0"/>
            </w:tcBorders>
            <w:vAlign w:val="center"/>
          </w:tcPr>
          <w:p w14:paraId="036B6CB7">
            <w:pPr>
              <w:rPr>
                <w:rFonts w:ascii="宋体" w:hAnsi="宋体"/>
                <w:color w:val="auto"/>
                <w:szCs w:val="21"/>
                <w:highlight w:val="none"/>
              </w:rPr>
            </w:pPr>
            <w:r>
              <w:rPr>
                <w:rFonts w:hint="eastAsia" w:ascii="宋体" w:hAnsi="宋体"/>
                <w:color w:val="auto"/>
                <w:szCs w:val="21"/>
                <w:highlight w:val="none"/>
              </w:rPr>
              <w:t>项目</w:t>
            </w:r>
          </w:p>
        </w:tc>
        <w:tc>
          <w:tcPr>
            <w:tcW w:w="981" w:type="dxa"/>
            <w:tcBorders>
              <w:top w:val="double" w:color="auto" w:sz="4" w:space="0"/>
              <w:left w:val="single" w:color="auto" w:sz="4" w:space="0"/>
              <w:bottom w:val="single" w:color="auto" w:sz="4" w:space="0"/>
              <w:right w:val="single" w:color="auto" w:sz="4" w:space="0"/>
            </w:tcBorders>
            <w:vAlign w:val="center"/>
          </w:tcPr>
          <w:p w14:paraId="2175449D">
            <w:pPr>
              <w:rPr>
                <w:rFonts w:ascii="宋体" w:hAnsi="宋体"/>
                <w:color w:val="auto"/>
                <w:szCs w:val="21"/>
                <w:highlight w:val="none"/>
              </w:rPr>
            </w:pPr>
            <w:r>
              <w:rPr>
                <w:rFonts w:hint="eastAsia" w:ascii="宋体" w:hAnsi="宋体"/>
                <w:color w:val="auto"/>
                <w:szCs w:val="21"/>
                <w:highlight w:val="none"/>
              </w:rPr>
              <w:t>条款号</w:t>
            </w:r>
          </w:p>
        </w:tc>
        <w:tc>
          <w:tcPr>
            <w:tcW w:w="1733" w:type="dxa"/>
            <w:tcBorders>
              <w:top w:val="double" w:color="auto" w:sz="4" w:space="0"/>
              <w:left w:val="single" w:color="auto" w:sz="4" w:space="0"/>
              <w:bottom w:val="single" w:color="auto" w:sz="4" w:space="0"/>
              <w:right w:val="single" w:color="auto" w:sz="4" w:space="0"/>
            </w:tcBorders>
            <w:vAlign w:val="center"/>
          </w:tcPr>
          <w:p w14:paraId="061B6835">
            <w:pPr>
              <w:ind w:firstLine="458"/>
              <w:rPr>
                <w:rFonts w:ascii="宋体" w:hAnsi="宋体"/>
                <w:color w:val="auto"/>
                <w:szCs w:val="21"/>
                <w:highlight w:val="none"/>
              </w:rPr>
            </w:pPr>
            <w:r>
              <w:rPr>
                <w:rFonts w:hint="eastAsia" w:ascii="宋体" w:hAnsi="宋体"/>
                <w:color w:val="auto"/>
                <w:szCs w:val="21"/>
                <w:highlight w:val="none"/>
              </w:rPr>
              <w:t>内容</w:t>
            </w:r>
          </w:p>
        </w:tc>
        <w:tc>
          <w:tcPr>
            <w:tcW w:w="5934" w:type="dxa"/>
            <w:tcBorders>
              <w:top w:val="double" w:color="auto" w:sz="4" w:space="0"/>
              <w:left w:val="single" w:color="auto" w:sz="4" w:space="0"/>
              <w:bottom w:val="single" w:color="auto" w:sz="4" w:space="0"/>
              <w:right w:val="double" w:color="auto" w:sz="4" w:space="0"/>
            </w:tcBorders>
            <w:vAlign w:val="center"/>
          </w:tcPr>
          <w:p w14:paraId="149A39DB">
            <w:pPr>
              <w:pStyle w:val="21"/>
              <w:ind w:firstLine="458"/>
              <w:jc w:val="center"/>
              <w:rPr>
                <w:rFonts w:ascii="宋体" w:hAnsi="宋体"/>
                <w:color w:val="auto"/>
                <w:szCs w:val="21"/>
                <w:highlight w:val="none"/>
              </w:rPr>
            </w:pPr>
            <w:r>
              <w:rPr>
                <w:rFonts w:hint="eastAsia" w:ascii="宋体" w:hAnsi="宋体"/>
                <w:color w:val="auto"/>
                <w:szCs w:val="21"/>
                <w:highlight w:val="none"/>
              </w:rPr>
              <w:t>说明与要求</w:t>
            </w:r>
          </w:p>
        </w:tc>
      </w:tr>
      <w:tr w14:paraId="6FABBCB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304" w:hRule="atLeast"/>
        </w:trPr>
        <w:tc>
          <w:tcPr>
            <w:tcW w:w="702" w:type="dxa"/>
            <w:tcBorders>
              <w:top w:val="single" w:color="auto" w:sz="4" w:space="0"/>
              <w:left w:val="double" w:color="auto" w:sz="4" w:space="0"/>
              <w:bottom w:val="single" w:color="auto" w:sz="4" w:space="0"/>
              <w:right w:val="single" w:color="auto" w:sz="4" w:space="0"/>
            </w:tcBorders>
            <w:vAlign w:val="center"/>
          </w:tcPr>
          <w:p w14:paraId="3B9948CA">
            <w:pPr>
              <w:rPr>
                <w:rFonts w:ascii="宋体" w:hAnsi="宋体"/>
                <w:color w:val="auto"/>
                <w:szCs w:val="21"/>
                <w:highlight w:val="none"/>
              </w:rPr>
            </w:pPr>
            <w:r>
              <w:rPr>
                <w:rFonts w:ascii="宋体" w:hAnsi="宋体"/>
                <w:color w:val="auto"/>
                <w:szCs w:val="21"/>
                <w:highlight w:val="none"/>
              </w:rPr>
              <w:t>1</w:t>
            </w:r>
          </w:p>
        </w:tc>
        <w:tc>
          <w:tcPr>
            <w:tcW w:w="981" w:type="dxa"/>
            <w:tcBorders>
              <w:top w:val="single" w:color="auto" w:sz="4" w:space="0"/>
              <w:left w:val="single" w:color="auto" w:sz="4" w:space="0"/>
              <w:bottom w:val="single" w:color="auto" w:sz="4" w:space="0"/>
              <w:right w:val="single" w:color="auto" w:sz="4" w:space="0"/>
            </w:tcBorders>
            <w:vAlign w:val="center"/>
          </w:tcPr>
          <w:p w14:paraId="02E564E0">
            <w:pPr>
              <w:rPr>
                <w:rFonts w:ascii="宋体" w:hAnsi="宋体"/>
                <w:color w:val="auto"/>
                <w:szCs w:val="21"/>
                <w:highlight w:val="none"/>
              </w:rPr>
            </w:pPr>
            <w:r>
              <w:rPr>
                <w:rFonts w:ascii="宋体" w:hAnsi="宋体"/>
                <w:color w:val="auto"/>
                <w:szCs w:val="21"/>
                <w:highlight w:val="none"/>
              </w:rPr>
              <w:t>1</w:t>
            </w:r>
          </w:p>
        </w:tc>
        <w:tc>
          <w:tcPr>
            <w:tcW w:w="1733" w:type="dxa"/>
            <w:tcBorders>
              <w:top w:val="single" w:color="auto" w:sz="4" w:space="0"/>
              <w:left w:val="single" w:color="auto" w:sz="4" w:space="0"/>
              <w:bottom w:val="single" w:color="auto" w:sz="4" w:space="0"/>
              <w:right w:val="single" w:color="auto" w:sz="4" w:space="0"/>
            </w:tcBorders>
            <w:vAlign w:val="center"/>
          </w:tcPr>
          <w:p w14:paraId="04368E83">
            <w:pPr>
              <w:rPr>
                <w:rFonts w:ascii="宋体" w:hAnsi="宋体"/>
                <w:color w:val="auto"/>
                <w:szCs w:val="21"/>
                <w:highlight w:val="none"/>
              </w:rPr>
            </w:pPr>
            <w:r>
              <w:rPr>
                <w:rFonts w:hint="eastAsia" w:ascii="宋体" w:hAnsi="宋体"/>
                <w:color w:val="auto"/>
                <w:szCs w:val="21"/>
                <w:highlight w:val="none"/>
              </w:rPr>
              <w:t>定义</w:t>
            </w:r>
          </w:p>
        </w:tc>
        <w:tc>
          <w:tcPr>
            <w:tcW w:w="5934" w:type="dxa"/>
            <w:tcBorders>
              <w:top w:val="single" w:color="auto" w:sz="4" w:space="0"/>
              <w:left w:val="single" w:color="auto" w:sz="4" w:space="0"/>
              <w:bottom w:val="single" w:color="auto" w:sz="4" w:space="0"/>
              <w:right w:val="double" w:color="auto" w:sz="4" w:space="0"/>
            </w:tcBorders>
            <w:vAlign w:val="center"/>
          </w:tcPr>
          <w:p w14:paraId="40B160A4">
            <w:pPr>
              <w:rPr>
                <w:rFonts w:hint="eastAsia" w:ascii="宋体" w:hAnsi="宋体"/>
                <w:color w:val="auto"/>
                <w:szCs w:val="21"/>
                <w:highlight w:val="none"/>
              </w:rPr>
            </w:pPr>
            <w:r>
              <w:rPr>
                <w:rFonts w:hint="eastAsia" w:ascii="宋体" w:hAnsi="宋体"/>
                <w:color w:val="auto"/>
                <w:szCs w:val="21"/>
                <w:highlight w:val="none"/>
              </w:rPr>
              <w:t>招标人（即发包人）：广</w:t>
            </w:r>
            <w:r>
              <w:rPr>
                <w:rFonts w:hint="eastAsia" w:ascii="宋体" w:hAnsi="宋体"/>
                <w:color w:val="auto"/>
                <w:szCs w:val="21"/>
                <w:highlight w:val="none"/>
                <w:u w:val="single"/>
              </w:rPr>
              <w:t>州珠江产业园投资发展有限公司</w:t>
            </w:r>
          </w:p>
          <w:p w14:paraId="5263CA1B">
            <w:pPr>
              <w:rPr>
                <w:rFonts w:hint="eastAsia" w:ascii="宋体" w:hAnsi="宋体"/>
                <w:color w:val="auto"/>
                <w:szCs w:val="21"/>
                <w:highlight w:val="none"/>
                <w:u w:val="single"/>
              </w:rPr>
            </w:pPr>
            <w:r>
              <w:rPr>
                <w:rFonts w:hint="eastAsia" w:ascii="宋体" w:hAnsi="宋体"/>
                <w:color w:val="auto"/>
                <w:szCs w:val="21"/>
                <w:highlight w:val="none"/>
              </w:rPr>
              <w:t>项目建设管理单位：</w:t>
            </w:r>
            <w:r>
              <w:rPr>
                <w:rFonts w:hint="eastAsia" w:ascii="宋体" w:hAnsi="宋体"/>
                <w:color w:val="auto"/>
                <w:szCs w:val="21"/>
                <w:highlight w:val="none"/>
                <w:u w:val="single"/>
              </w:rPr>
              <w:t>/</w:t>
            </w:r>
          </w:p>
          <w:p w14:paraId="612DE972">
            <w:pPr>
              <w:rPr>
                <w:rFonts w:hint="eastAsia" w:ascii="宋体" w:hAnsi="宋体"/>
                <w:color w:val="auto"/>
                <w:szCs w:val="21"/>
                <w:highlight w:val="none"/>
                <w:u w:val="single"/>
              </w:rPr>
            </w:pPr>
            <w:r>
              <w:rPr>
                <w:rFonts w:hint="eastAsia" w:ascii="宋体" w:hAnsi="宋体"/>
                <w:color w:val="auto"/>
                <w:szCs w:val="21"/>
                <w:highlight w:val="none"/>
              </w:rPr>
              <w:t>招标代理：</w:t>
            </w:r>
            <w:r>
              <w:rPr>
                <w:rFonts w:hint="eastAsia" w:ascii="宋体" w:hAnsi="宋体"/>
                <w:color w:val="auto"/>
                <w:szCs w:val="21"/>
                <w:highlight w:val="none"/>
                <w:u w:val="single"/>
              </w:rPr>
              <w:t>广州珠江监理咨询集团有限公司</w:t>
            </w:r>
          </w:p>
          <w:p w14:paraId="7615ED59">
            <w:pPr>
              <w:rPr>
                <w:rFonts w:hint="eastAsia" w:ascii="宋体" w:hAnsi="宋体"/>
                <w:color w:val="auto"/>
                <w:szCs w:val="21"/>
                <w:highlight w:val="none"/>
                <w:u w:val="single"/>
              </w:rPr>
            </w:pPr>
            <w:r>
              <w:rPr>
                <w:rFonts w:hint="eastAsia" w:ascii="宋体" w:hAnsi="宋体"/>
                <w:color w:val="auto"/>
                <w:szCs w:val="21"/>
                <w:highlight w:val="none"/>
              </w:rPr>
              <w:t>设计单位：</w:t>
            </w:r>
            <w:r>
              <w:rPr>
                <w:rFonts w:hint="eastAsia" w:ascii="宋体" w:hAnsi="宋体"/>
                <w:color w:val="auto"/>
                <w:szCs w:val="21"/>
                <w:highlight w:val="none"/>
                <w:u w:val="single"/>
              </w:rPr>
              <w:t>广州市市政工程设计研究总院有限公司</w:t>
            </w:r>
          </w:p>
          <w:p w14:paraId="4CDAD6DC">
            <w:pPr>
              <w:rPr>
                <w:rFonts w:hint="eastAsia" w:ascii="宋体" w:hAnsi="宋体"/>
                <w:color w:val="auto"/>
                <w:szCs w:val="21"/>
                <w:highlight w:val="none"/>
                <w:u w:val="single"/>
              </w:rPr>
            </w:pPr>
            <w:r>
              <w:rPr>
                <w:rFonts w:hint="eastAsia" w:ascii="宋体" w:hAnsi="宋体"/>
                <w:color w:val="auto"/>
                <w:szCs w:val="21"/>
                <w:highlight w:val="none"/>
              </w:rPr>
              <w:t>监理单位：</w:t>
            </w:r>
            <w:r>
              <w:rPr>
                <w:rFonts w:hint="eastAsia" w:ascii="宋体" w:hAnsi="宋体"/>
                <w:color w:val="auto"/>
                <w:szCs w:val="21"/>
                <w:highlight w:val="none"/>
                <w:u w:val="single"/>
              </w:rPr>
              <w:t xml:space="preserve"> /</w:t>
            </w:r>
          </w:p>
          <w:p w14:paraId="13328297">
            <w:pPr>
              <w:rPr>
                <w:rFonts w:ascii="宋体" w:hAnsi="宋体"/>
                <w:color w:val="auto"/>
                <w:szCs w:val="21"/>
                <w:highlight w:val="none"/>
              </w:rPr>
            </w:pPr>
            <w:r>
              <w:rPr>
                <w:rFonts w:hint="eastAsia" w:ascii="宋体" w:hAnsi="宋体"/>
                <w:color w:val="auto"/>
                <w:szCs w:val="21"/>
                <w:highlight w:val="none"/>
              </w:rPr>
              <w:t>检测机构：</w:t>
            </w:r>
            <w:r>
              <w:rPr>
                <w:rFonts w:hint="eastAsia" w:ascii="宋体" w:hAnsi="宋体"/>
                <w:color w:val="auto"/>
                <w:szCs w:val="21"/>
                <w:highlight w:val="none"/>
                <w:u w:val="single"/>
              </w:rPr>
              <w:t>/</w:t>
            </w:r>
          </w:p>
        </w:tc>
      </w:tr>
      <w:tr w14:paraId="325C1C9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854" w:hRule="atLeast"/>
        </w:trPr>
        <w:tc>
          <w:tcPr>
            <w:tcW w:w="702" w:type="dxa"/>
            <w:tcBorders>
              <w:top w:val="single" w:color="auto" w:sz="4" w:space="0"/>
              <w:left w:val="double" w:color="auto" w:sz="4" w:space="0"/>
              <w:bottom w:val="single" w:color="auto" w:sz="4" w:space="0"/>
              <w:right w:val="single" w:color="auto" w:sz="4" w:space="0"/>
            </w:tcBorders>
            <w:vAlign w:val="center"/>
          </w:tcPr>
          <w:p w14:paraId="59ED815D">
            <w:pPr>
              <w:rPr>
                <w:rFonts w:ascii="宋体" w:hAnsi="宋体"/>
                <w:color w:val="auto"/>
                <w:szCs w:val="21"/>
                <w:highlight w:val="none"/>
              </w:rPr>
            </w:pPr>
            <w:r>
              <w:rPr>
                <w:rFonts w:ascii="宋体" w:hAnsi="宋体"/>
                <w:color w:val="auto"/>
                <w:szCs w:val="21"/>
                <w:highlight w:val="none"/>
              </w:rPr>
              <w:t>2</w:t>
            </w:r>
          </w:p>
        </w:tc>
        <w:tc>
          <w:tcPr>
            <w:tcW w:w="981" w:type="dxa"/>
            <w:tcBorders>
              <w:top w:val="single" w:color="auto" w:sz="4" w:space="0"/>
              <w:left w:val="single" w:color="auto" w:sz="4" w:space="0"/>
              <w:bottom w:val="single" w:color="auto" w:sz="4" w:space="0"/>
              <w:right w:val="single" w:color="auto" w:sz="4" w:space="0"/>
            </w:tcBorders>
            <w:vAlign w:val="center"/>
          </w:tcPr>
          <w:p w14:paraId="4549C082">
            <w:pPr>
              <w:rPr>
                <w:rFonts w:ascii="宋体" w:hAnsi="宋体"/>
                <w:color w:val="auto"/>
                <w:szCs w:val="21"/>
                <w:highlight w:val="none"/>
              </w:rPr>
            </w:pPr>
            <w:r>
              <w:rPr>
                <w:rFonts w:ascii="宋体" w:hAnsi="宋体"/>
                <w:color w:val="auto"/>
                <w:szCs w:val="21"/>
                <w:highlight w:val="none"/>
              </w:rPr>
              <w:t>2.2</w:t>
            </w:r>
          </w:p>
        </w:tc>
        <w:tc>
          <w:tcPr>
            <w:tcW w:w="1733" w:type="dxa"/>
            <w:tcBorders>
              <w:top w:val="single" w:color="auto" w:sz="4" w:space="0"/>
              <w:left w:val="single" w:color="auto" w:sz="4" w:space="0"/>
              <w:bottom w:val="single" w:color="auto" w:sz="4" w:space="0"/>
              <w:right w:val="single" w:color="auto" w:sz="4" w:space="0"/>
            </w:tcBorders>
            <w:vAlign w:val="center"/>
          </w:tcPr>
          <w:p w14:paraId="7DC1836A">
            <w:pPr>
              <w:rPr>
                <w:rFonts w:ascii="宋体" w:hAnsi="宋体"/>
                <w:color w:val="auto"/>
                <w:szCs w:val="21"/>
                <w:highlight w:val="none"/>
              </w:rPr>
            </w:pPr>
            <w:r>
              <w:rPr>
                <w:rFonts w:hint="eastAsia" w:ascii="宋体" w:hAnsi="宋体"/>
                <w:color w:val="auto"/>
                <w:szCs w:val="21"/>
                <w:highlight w:val="none"/>
              </w:rPr>
              <w:t>名称</w:t>
            </w:r>
          </w:p>
        </w:tc>
        <w:tc>
          <w:tcPr>
            <w:tcW w:w="5934" w:type="dxa"/>
            <w:tcBorders>
              <w:top w:val="single" w:color="auto" w:sz="4" w:space="0"/>
              <w:left w:val="single" w:color="auto" w:sz="4" w:space="0"/>
              <w:bottom w:val="single" w:color="auto" w:sz="4" w:space="0"/>
              <w:right w:val="double" w:color="auto" w:sz="4" w:space="0"/>
            </w:tcBorders>
            <w:vAlign w:val="center"/>
          </w:tcPr>
          <w:p w14:paraId="5180CF26">
            <w:pPr>
              <w:rPr>
                <w:rFonts w:hint="eastAsia"/>
                <w:color w:val="auto"/>
                <w:highlight w:val="none"/>
                <w:lang w:eastAsia="zh-CN"/>
              </w:rPr>
            </w:pPr>
            <w:r>
              <w:rPr>
                <w:rFonts w:hint="eastAsia"/>
                <w:color w:val="auto"/>
                <w:highlight w:val="none"/>
                <w:u w:val="single"/>
                <w:lang w:eastAsia="zh-CN"/>
              </w:rPr>
              <w:t>投资项目名称：白鹅潭聚龙湾启动区市政道路建设工程</w:t>
            </w:r>
          </w:p>
          <w:p w14:paraId="4831E010">
            <w:pPr>
              <w:pStyle w:val="20"/>
              <w:rPr>
                <w:rFonts w:hint="default" w:eastAsia="宋体"/>
                <w:color w:val="auto"/>
                <w:highlight w:val="none"/>
                <w:u w:val="single"/>
                <w:lang w:val="en-US" w:eastAsia="zh-CN"/>
              </w:rPr>
            </w:pPr>
            <w:r>
              <w:rPr>
                <w:rFonts w:hint="eastAsia"/>
                <w:color w:val="auto"/>
                <w:highlight w:val="none"/>
                <w:lang w:eastAsia="zh-CN"/>
              </w:rPr>
              <w:t>招标项目名称：</w:t>
            </w:r>
            <w:r>
              <w:rPr>
                <w:rFonts w:hint="eastAsia"/>
                <w:color w:val="auto"/>
                <w:highlight w:val="none"/>
                <w:u w:val="single"/>
                <w:lang w:eastAsia="zh-CN"/>
              </w:rPr>
              <w:t>白鹅潭聚龙湾启动区市政道路（规划四路、金鹏路）建设工程施工总承包</w:t>
            </w:r>
          </w:p>
        </w:tc>
      </w:tr>
      <w:tr w14:paraId="6FBEE32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702" w:type="dxa"/>
            <w:tcBorders>
              <w:top w:val="single" w:color="auto" w:sz="4" w:space="0"/>
              <w:left w:val="double" w:color="auto" w:sz="4" w:space="0"/>
              <w:bottom w:val="single" w:color="auto" w:sz="4" w:space="0"/>
              <w:right w:val="single" w:color="auto" w:sz="4" w:space="0"/>
            </w:tcBorders>
            <w:vAlign w:val="center"/>
          </w:tcPr>
          <w:p w14:paraId="0BF79C02">
            <w:pPr>
              <w:rPr>
                <w:rFonts w:ascii="宋体" w:hAnsi="宋体"/>
                <w:color w:val="auto"/>
                <w:szCs w:val="21"/>
                <w:highlight w:val="none"/>
              </w:rPr>
            </w:pPr>
            <w:r>
              <w:rPr>
                <w:rFonts w:ascii="宋体" w:hAnsi="宋体"/>
                <w:color w:val="auto"/>
                <w:szCs w:val="21"/>
                <w:highlight w:val="none"/>
              </w:rPr>
              <w:t>3</w:t>
            </w:r>
          </w:p>
        </w:tc>
        <w:tc>
          <w:tcPr>
            <w:tcW w:w="981" w:type="dxa"/>
            <w:tcBorders>
              <w:top w:val="single" w:color="auto" w:sz="4" w:space="0"/>
              <w:left w:val="single" w:color="auto" w:sz="4" w:space="0"/>
              <w:bottom w:val="single" w:color="auto" w:sz="4" w:space="0"/>
              <w:right w:val="single" w:color="auto" w:sz="4" w:space="0"/>
            </w:tcBorders>
            <w:vAlign w:val="center"/>
          </w:tcPr>
          <w:p w14:paraId="2E0337CA">
            <w:pPr>
              <w:rPr>
                <w:rFonts w:ascii="宋体" w:hAnsi="宋体"/>
                <w:color w:val="auto"/>
                <w:szCs w:val="21"/>
                <w:highlight w:val="none"/>
              </w:rPr>
            </w:pPr>
            <w:r>
              <w:rPr>
                <w:rFonts w:ascii="宋体" w:hAnsi="宋体"/>
                <w:color w:val="auto"/>
                <w:szCs w:val="21"/>
                <w:highlight w:val="none"/>
              </w:rPr>
              <w:t>2.2</w:t>
            </w:r>
          </w:p>
        </w:tc>
        <w:tc>
          <w:tcPr>
            <w:tcW w:w="1733" w:type="dxa"/>
            <w:tcBorders>
              <w:top w:val="single" w:color="auto" w:sz="4" w:space="0"/>
              <w:left w:val="single" w:color="auto" w:sz="4" w:space="0"/>
              <w:bottom w:val="single" w:color="auto" w:sz="4" w:space="0"/>
              <w:right w:val="single" w:color="auto" w:sz="4" w:space="0"/>
            </w:tcBorders>
            <w:vAlign w:val="center"/>
          </w:tcPr>
          <w:p w14:paraId="2940504A">
            <w:pPr>
              <w:rPr>
                <w:rFonts w:ascii="宋体" w:hAnsi="宋体"/>
                <w:color w:val="auto"/>
                <w:szCs w:val="21"/>
                <w:highlight w:val="none"/>
              </w:rPr>
            </w:pPr>
            <w:r>
              <w:rPr>
                <w:rFonts w:hint="eastAsia" w:ascii="宋体" w:hAnsi="宋体"/>
                <w:color w:val="auto"/>
                <w:szCs w:val="21"/>
                <w:highlight w:val="none"/>
              </w:rPr>
              <w:t>建设地点</w:t>
            </w:r>
          </w:p>
        </w:tc>
        <w:tc>
          <w:tcPr>
            <w:tcW w:w="5934" w:type="dxa"/>
            <w:tcBorders>
              <w:top w:val="single" w:color="auto" w:sz="4" w:space="0"/>
              <w:left w:val="single" w:color="auto" w:sz="4" w:space="0"/>
              <w:bottom w:val="single" w:color="auto" w:sz="4" w:space="0"/>
              <w:right w:val="double" w:color="auto" w:sz="4" w:space="0"/>
            </w:tcBorders>
            <w:vAlign w:val="center"/>
          </w:tcPr>
          <w:p w14:paraId="2B73301C">
            <w:pPr>
              <w:rPr>
                <w:rFonts w:ascii="宋体" w:hAnsi="宋体"/>
                <w:color w:val="auto"/>
                <w:szCs w:val="21"/>
                <w:highlight w:val="none"/>
                <w:u w:val="single"/>
              </w:rPr>
            </w:pPr>
            <w:r>
              <w:rPr>
                <w:rFonts w:hint="eastAsia" w:ascii="宋体" w:hAnsi="宋体"/>
                <w:color w:val="auto"/>
                <w:szCs w:val="21"/>
                <w:highlight w:val="none"/>
                <w:u w:val="single"/>
              </w:rPr>
              <w:t>广州市荔湾区</w:t>
            </w:r>
          </w:p>
        </w:tc>
      </w:tr>
      <w:tr w14:paraId="37F0D2D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702" w:type="dxa"/>
            <w:tcBorders>
              <w:top w:val="single" w:color="auto" w:sz="4" w:space="0"/>
              <w:left w:val="double" w:color="auto" w:sz="4" w:space="0"/>
              <w:bottom w:val="single" w:color="auto" w:sz="4" w:space="0"/>
              <w:right w:val="single" w:color="auto" w:sz="4" w:space="0"/>
            </w:tcBorders>
            <w:vAlign w:val="center"/>
          </w:tcPr>
          <w:p w14:paraId="6FDF2966">
            <w:pPr>
              <w:rPr>
                <w:rFonts w:ascii="宋体" w:hAnsi="宋体"/>
                <w:color w:val="auto"/>
                <w:szCs w:val="21"/>
                <w:highlight w:val="none"/>
              </w:rPr>
            </w:pPr>
            <w:r>
              <w:rPr>
                <w:rFonts w:ascii="宋体" w:hAnsi="宋体"/>
                <w:color w:val="auto"/>
                <w:szCs w:val="21"/>
                <w:highlight w:val="none"/>
              </w:rPr>
              <w:t>4</w:t>
            </w:r>
          </w:p>
        </w:tc>
        <w:tc>
          <w:tcPr>
            <w:tcW w:w="981" w:type="dxa"/>
            <w:tcBorders>
              <w:top w:val="single" w:color="auto" w:sz="4" w:space="0"/>
              <w:left w:val="single" w:color="auto" w:sz="4" w:space="0"/>
              <w:bottom w:val="single" w:color="auto" w:sz="4" w:space="0"/>
              <w:right w:val="single" w:color="auto" w:sz="4" w:space="0"/>
            </w:tcBorders>
            <w:vAlign w:val="center"/>
          </w:tcPr>
          <w:p w14:paraId="5D940513">
            <w:pPr>
              <w:rPr>
                <w:rFonts w:ascii="宋体" w:hAnsi="宋体"/>
                <w:color w:val="auto"/>
                <w:szCs w:val="21"/>
                <w:highlight w:val="none"/>
              </w:rPr>
            </w:pPr>
            <w:r>
              <w:rPr>
                <w:rFonts w:ascii="宋体" w:hAnsi="宋体"/>
                <w:color w:val="auto"/>
                <w:szCs w:val="21"/>
                <w:highlight w:val="none"/>
              </w:rPr>
              <w:t>2.2</w:t>
            </w:r>
          </w:p>
        </w:tc>
        <w:tc>
          <w:tcPr>
            <w:tcW w:w="1733" w:type="dxa"/>
            <w:tcBorders>
              <w:top w:val="single" w:color="auto" w:sz="4" w:space="0"/>
              <w:left w:val="single" w:color="auto" w:sz="4" w:space="0"/>
              <w:bottom w:val="single" w:color="auto" w:sz="4" w:space="0"/>
              <w:right w:val="single" w:color="auto" w:sz="4" w:space="0"/>
            </w:tcBorders>
            <w:vAlign w:val="center"/>
          </w:tcPr>
          <w:p w14:paraId="48FD972A">
            <w:pPr>
              <w:rPr>
                <w:rFonts w:ascii="宋体" w:hAnsi="宋体"/>
                <w:color w:val="auto"/>
                <w:szCs w:val="21"/>
                <w:highlight w:val="none"/>
              </w:rPr>
            </w:pPr>
            <w:r>
              <w:rPr>
                <w:rFonts w:hint="eastAsia" w:ascii="宋体" w:hAnsi="宋体"/>
                <w:color w:val="auto"/>
                <w:szCs w:val="21"/>
                <w:highlight w:val="none"/>
              </w:rPr>
              <w:t>建设规模</w:t>
            </w:r>
          </w:p>
        </w:tc>
        <w:tc>
          <w:tcPr>
            <w:tcW w:w="5934" w:type="dxa"/>
            <w:tcBorders>
              <w:top w:val="single" w:color="auto" w:sz="4" w:space="0"/>
              <w:left w:val="single" w:color="auto" w:sz="4" w:space="0"/>
              <w:bottom w:val="single" w:color="auto" w:sz="4" w:space="0"/>
              <w:right w:val="double" w:color="auto" w:sz="4" w:space="0"/>
            </w:tcBorders>
            <w:vAlign w:val="center"/>
          </w:tcPr>
          <w:p w14:paraId="312BE16A">
            <w:pPr>
              <w:rPr>
                <w:rFonts w:ascii="宋体" w:hAnsi="宋体"/>
                <w:color w:val="auto"/>
                <w:szCs w:val="21"/>
                <w:highlight w:val="none"/>
                <w:u w:val="single"/>
              </w:rPr>
            </w:pPr>
            <w:r>
              <w:rPr>
                <w:rFonts w:hint="eastAsia" w:ascii="宋体" w:hAnsi="宋体"/>
                <w:color w:val="auto"/>
                <w:szCs w:val="21"/>
                <w:highlight w:val="none"/>
                <w:u w:val="single"/>
              </w:rPr>
              <w:t>详见本工程招标公告</w:t>
            </w:r>
          </w:p>
        </w:tc>
      </w:tr>
      <w:tr w14:paraId="03913AE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trPr>
        <w:tc>
          <w:tcPr>
            <w:tcW w:w="702" w:type="dxa"/>
            <w:tcBorders>
              <w:top w:val="single" w:color="auto" w:sz="4" w:space="0"/>
              <w:left w:val="double" w:color="auto" w:sz="4" w:space="0"/>
              <w:bottom w:val="single" w:color="auto" w:sz="4" w:space="0"/>
              <w:right w:val="single" w:color="auto" w:sz="4" w:space="0"/>
            </w:tcBorders>
            <w:vAlign w:val="center"/>
          </w:tcPr>
          <w:p w14:paraId="29F5B154">
            <w:pPr>
              <w:rPr>
                <w:rFonts w:ascii="宋体" w:hAnsi="宋体"/>
                <w:color w:val="auto"/>
                <w:szCs w:val="21"/>
                <w:highlight w:val="none"/>
              </w:rPr>
            </w:pPr>
            <w:r>
              <w:rPr>
                <w:rFonts w:ascii="宋体" w:hAnsi="宋体"/>
                <w:color w:val="auto"/>
                <w:szCs w:val="21"/>
                <w:highlight w:val="none"/>
              </w:rPr>
              <w:t>5</w:t>
            </w:r>
          </w:p>
        </w:tc>
        <w:tc>
          <w:tcPr>
            <w:tcW w:w="981" w:type="dxa"/>
            <w:tcBorders>
              <w:top w:val="single" w:color="auto" w:sz="4" w:space="0"/>
              <w:left w:val="single" w:color="auto" w:sz="4" w:space="0"/>
              <w:bottom w:val="single" w:color="auto" w:sz="4" w:space="0"/>
              <w:right w:val="single" w:color="auto" w:sz="4" w:space="0"/>
            </w:tcBorders>
            <w:vAlign w:val="center"/>
          </w:tcPr>
          <w:p w14:paraId="609E55BC">
            <w:pPr>
              <w:rPr>
                <w:rFonts w:ascii="宋体" w:hAnsi="宋体"/>
                <w:color w:val="auto"/>
                <w:szCs w:val="21"/>
                <w:highlight w:val="none"/>
              </w:rPr>
            </w:pPr>
            <w:r>
              <w:rPr>
                <w:rFonts w:ascii="宋体" w:hAnsi="宋体"/>
                <w:color w:val="auto"/>
                <w:szCs w:val="21"/>
                <w:highlight w:val="none"/>
              </w:rPr>
              <w:t>2.2</w:t>
            </w:r>
          </w:p>
        </w:tc>
        <w:tc>
          <w:tcPr>
            <w:tcW w:w="1733" w:type="dxa"/>
            <w:tcBorders>
              <w:top w:val="single" w:color="auto" w:sz="4" w:space="0"/>
              <w:left w:val="single" w:color="auto" w:sz="4" w:space="0"/>
              <w:bottom w:val="single" w:color="auto" w:sz="4" w:space="0"/>
              <w:right w:val="single" w:color="auto" w:sz="4" w:space="0"/>
            </w:tcBorders>
            <w:vAlign w:val="center"/>
          </w:tcPr>
          <w:p w14:paraId="2954ACB0">
            <w:pPr>
              <w:rPr>
                <w:rFonts w:ascii="宋体" w:hAnsi="宋体"/>
                <w:color w:val="auto"/>
                <w:szCs w:val="21"/>
                <w:highlight w:val="none"/>
              </w:rPr>
            </w:pPr>
            <w:r>
              <w:rPr>
                <w:rFonts w:hint="eastAsia" w:ascii="宋体" w:hAnsi="宋体"/>
                <w:color w:val="auto"/>
                <w:szCs w:val="21"/>
                <w:highlight w:val="none"/>
              </w:rPr>
              <w:t>承包方式</w:t>
            </w:r>
          </w:p>
        </w:tc>
        <w:tc>
          <w:tcPr>
            <w:tcW w:w="5934" w:type="dxa"/>
            <w:tcBorders>
              <w:top w:val="single" w:color="auto" w:sz="4" w:space="0"/>
              <w:left w:val="single" w:color="auto" w:sz="4" w:space="0"/>
              <w:bottom w:val="single" w:color="auto" w:sz="4" w:space="0"/>
              <w:right w:val="double" w:color="auto" w:sz="4" w:space="0"/>
            </w:tcBorders>
            <w:vAlign w:val="center"/>
          </w:tcPr>
          <w:p w14:paraId="30CACA3C">
            <w:pPr>
              <w:rPr>
                <w:rFonts w:hint="eastAsia" w:ascii="宋体" w:hAnsi="宋体"/>
                <w:color w:val="auto"/>
                <w:szCs w:val="21"/>
                <w:highlight w:val="none"/>
                <w:u w:val="single"/>
              </w:rPr>
            </w:pPr>
            <w:r>
              <w:rPr>
                <w:rFonts w:hint="eastAsia" w:ascii="宋体" w:hAnsi="宋体"/>
                <w:color w:val="auto"/>
                <w:szCs w:val="21"/>
                <w:highlight w:val="none"/>
                <w:u w:val="single"/>
              </w:rPr>
              <w:t>承包人以包工、包料、包工期（含赶工措施）、包质量、包造价控制、包安全、包文明施工、包养护、包验收移交、包竣工资料收集整理、包保修的形式承包施工。</w:t>
            </w:r>
          </w:p>
          <w:p w14:paraId="47A3EEE6">
            <w:pPr>
              <w:rPr>
                <w:rFonts w:hint="eastAsia" w:ascii="宋体" w:hAnsi="宋体"/>
                <w:color w:val="auto"/>
                <w:szCs w:val="21"/>
                <w:highlight w:val="none"/>
                <w:u w:val="single"/>
              </w:rPr>
            </w:pPr>
            <w:r>
              <w:rPr>
                <w:rFonts w:hint="eastAsia" w:ascii="宋体" w:hAnsi="宋体"/>
                <w:color w:val="auto"/>
                <w:szCs w:val="21"/>
                <w:highlight w:val="none"/>
                <w:u w:val="single"/>
              </w:rPr>
              <w:t>本工程分部分项部分和措施项目中可计量部分实行综合单价包干，工程量按实结算，结算时以实际发生为准；措施项目费中按系数和“项”为单位的部分实行合价包干，结算时不作调整；其它项目费用实行总价包干。承包人用于赶工及过程协调相关发生的费用已在投标报价中综合考虑，发包人不另行计付。</w:t>
            </w:r>
          </w:p>
          <w:p w14:paraId="658CB88E">
            <w:pPr>
              <w:rPr>
                <w:rFonts w:ascii="宋体" w:hAnsi="宋体"/>
                <w:color w:val="auto"/>
                <w:szCs w:val="21"/>
                <w:highlight w:val="none"/>
              </w:rPr>
            </w:pPr>
            <w:r>
              <w:rPr>
                <w:rFonts w:hint="eastAsia" w:ascii="宋体" w:hAnsi="宋体"/>
                <w:color w:val="auto"/>
                <w:szCs w:val="21"/>
                <w:highlight w:val="none"/>
                <w:u w:val="single"/>
              </w:rPr>
              <w:t>除合同约定外，综合单价和综合合价不因施工期间人工、水、电、机械、材料价格、施工条件变化、施工图纸与政府部门批复图存在差异以及其它政策性的变化而调整。</w:t>
            </w:r>
          </w:p>
        </w:tc>
      </w:tr>
      <w:tr w14:paraId="6F90102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702" w:type="dxa"/>
            <w:tcBorders>
              <w:top w:val="single" w:color="auto" w:sz="4" w:space="0"/>
              <w:left w:val="double" w:color="auto" w:sz="4" w:space="0"/>
              <w:bottom w:val="single" w:color="auto" w:sz="4" w:space="0"/>
              <w:right w:val="single" w:color="auto" w:sz="4" w:space="0"/>
            </w:tcBorders>
            <w:vAlign w:val="center"/>
          </w:tcPr>
          <w:p w14:paraId="381C5ECC">
            <w:pPr>
              <w:rPr>
                <w:rFonts w:ascii="宋体" w:hAnsi="宋体"/>
                <w:color w:val="auto"/>
                <w:szCs w:val="21"/>
                <w:highlight w:val="none"/>
              </w:rPr>
            </w:pPr>
            <w:r>
              <w:rPr>
                <w:rFonts w:ascii="宋体" w:hAnsi="宋体"/>
                <w:color w:val="auto"/>
                <w:szCs w:val="21"/>
                <w:highlight w:val="none"/>
              </w:rPr>
              <w:t>6</w:t>
            </w:r>
          </w:p>
        </w:tc>
        <w:tc>
          <w:tcPr>
            <w:tcW w:w="981" w:type="dxa"/>
            <w:tcBorders>
              <w:top w:val="single" w:color="auto" w:sz="4" w:space="0"/>
              <w:left w:val="single" w:color="auto" w:sz="4" w:space="0"/>
              <w:bottom w:val="single" w:color="auto" w:sz="4" w:space="0"/>
              <w:right w:val="single" w:color="auto" w:sz="4" w:space="0"/>
            </w:tcBorders>
            <w:vAlign w:val="center"/>
          </w:tcPr>
          <w:p w14:paraId="2F729E01">
            <w:pPr>
              <w:rPr>
                <w:rFonts w:ascii="宋体" w:hAnsi="宋体"/>
                <w:color w:val="auto"/>
                <w:szCs w:val="21"/>
                <w:highlight w:val="none"/>
              </w:rPr>
            </w:pPr>
            <w:r>
              <w:rPr>
                <w:rFonts w:ascii="宋体" w:hAnsi="宋体"/>
                <w:color w:val="auto"/>
                <w:szCs w:val="21"/>
                <w:highlight w:val="none"/>
              </w:rPr>
              <w:t>2.2</w:t>
            </w:r>
          </w:p>
        </w:tc>
        <w:tc>
          <w:tcPr>
            <w:tcW w:w="1733" w:type="dxa"/>
            <w:tcBorders>
              <w:top w:val="single" w:color="auto" w:sz="4" w:space="0"/>
              <w:left w:val="single" w:color="auto" w:sz="4" w:space="0"/>
              <w:bottom w:val="single" w:color="auto" w:sz="4" w:space="0"/>
              <w:right w:val="single" w:color="auto" w:sz="4" w:space="0"/>
            </w:tcBorders>
            <w:vAlign w:val="center"/>
          </w:tcPr>
          <w:p w14:paraId="259EAE6D">
            <w:pPr>
              <w:rPr>
                <w:rFonts w:ascii="宋体" w:hAnsi="宋体"/>
                <w:color w:val="auto"/>
                <w:szCs w:val="21"/>
                <w:highlight w:val="none"/>
              </w:rPr>
            </w:pPr>
            <w:r>
              <w:rPr>
                <w:rFonts w:hint="eastAsia" w:ascii="宋体" w:hAnsi="宋体"/>
                <w:color w:val="auto"/>
                <w:szCs w:val="21"/>
                <w:highlight w:val="none"/>
              </w:rPr>
              <w:t>质量标准</w:t>
            </w:r>
          </w:p>
        </w:tc>
        <w:tc>
          <w:tcPr>
            <w:tcW w:w="5934" w:type="dxa"/>
            <w:tcBorders>
              <w:top w:val="single" w:color="auto" w:sz="4" w:space="0"/>
              <w:left w:val="single" w:color="auto" w:sz="4" w:space="0"/>
              <w:bottom w:val="single" w:color="auto" w:sz="4" w:space="0"/>
              <w:right w:val="double" w:color="auto" w:sz="4" w:space="0"/>
            </w:tcBorders>
            <w:vAlign w:val="center"/>
          </w:tcPr>
          <w:p w14:paraId="60073998">
            <w:pPr>
              <w:rPr>
                <w:rFonts w:ascii="宋体" w:hAnsi="宋体"/>
                <w:color w:val="auto"/>
                <w:szCs w:val="21"/>
                <w:highlight w:val="none"/>
                <w:u w:val="single"/>
              </w:rPr>
            </w:pPr>
            <w:r>
              <w:rPr>
                <w:rFonts w:hint="eastAsia" w:ascii="宋体" w:hAnsi="宋体"/>
                <w:color w:val="auto"/>
                <w:szCs w:val="21"/>
                <w:highlight w:val="none"/>
                <w:u w:val="single"/>
              </w:rPr>
              <w:t>工程质量符合《建筑工程施工质量验收统一标准》及相应配套的各专业验收规范，符合国家、地方及行业相关规范规定合格以上标准，确保一次验收合格。</w:t>
            </w:r>
          </w:p>
        </w:tc>
      </w:tr>
      <w:tr w14:paraId="4D07437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rPr>
        <w:tc>
          <w:tcPr>
            <w:tcW w:w="702" w:type="dxa"/>
            <w:tcBorders>
              <w:top w:val="single" w:color="auto" w:sz="4" w:space="0"/>
              <w:left w:val="double" w:color="auto" w:sz="4" w:space="0"/>
              <w:bottom w:val="single" w:color="auto" w:sz="4" w:space="0"/>
              <w:right w:val="single" w:color="auto" w:sz="4" w:space="0"/>
            </w:tcBorders>
            <w:vAlign w:val="center"/>
          </w:tcPr>
          <w:p w14:paraId="69D54D96">
            <w:pPr>
              <w:rPr>
                <w:rFonts w:ascii="宋体" w:hAnsi="宋体"/>
                <w:color w:val="auto"/>
                <w:szCs w:val="21"/>
                <w:highlight w:val="none"/>
              </w:rPr>
            </w:pPr>
            <w:r>
              <w:rPr>
                <w:rFonts w:ascii="宋体" w:hAnsi="宋体"/>
                <w:color w:val="auto"/>
                <w:szCs w:val="21"/>
                <w:highlight w:val="none"/>
              </w:rPr>
              <w:t>7</w:t>
            </w:r>
          </w:p>
        </w:tc>
        <w:tc>
          <w:tcPr>
            <w:tcW w:w="981" w:type="dxa"/>
            <w:tcBorders>
              <w:top w:val="single" w:color="auto" w:sz="4" w:space="0"/>
              <w:left w:val="single" w:color="auto" w:sz="4" w:space="0"/>
              <w:bottom w:val="single" w:color="auto" w:sz="4" w:space="0"/>
              <w:right w:val="single" w:color="auto" w:sz="4" w:space="0"/>
            </w:tcBorders>
            <w:vAlign w:val="center"/>
          </w:tcPr>
          <w:p w14:paraId="2431237E">
            <w:pPr>
              <w:rPr>
                <w:rFonts w:ascii="宋体" w:hAnsi="宋体"/>
                <w:color w:val="auto"/>
                <w:szCs w:val="21"/>
                <w:highlight w:val="none"/>
              </w:rPr>
            </w:pPr>
            <w:r>
              <w:rPr>
                <w:rFonts w:ascii="宋体" w:hAnsi="宋体"/>
                <w:color w:val="auto"/>
                <w:szCs w:val="21"/>
                <w:highlight w:val="none"/>
              </w:rPr>
              <w:t>2.2</w:t>
            </w:r>
          </w:p>
        </w:tc>
        <w:tc>
          <w:tcPr>
            <w:tcW w:w="1733" w:type="dxa"/>
            <w:tcBorders>
              <w:top w:val="single" w:color="auto" w:sz="4" w:space="0"/>
              <w:left w:val="single" w:color="auto" w:sz="4" w:space="0"/>
              <w:bottom w:val="single" w:color="auto" w:sz="4" w:space="0"/>
              <w:right w:val="single" w:color="auto" w:sz="4" w:space="0"/>
            </w:tcBorders>
            <w:vAlign w:val="center"/>
          </w:tcPr>
          <w:p w14:paraId="3A611126">
            <w:pPr>
              <w:rPr>
                <w:rFonts w:ascii="宋体" w:hAnsi="宋体"/>
                <w:color w:val="auto"/>
                <w:szCs w:val="21"/>
                <w:highlight w:val="none"/>
              </w:rPr>
            </w:pPr>
            <w:r>
              <w:rPr>
                <w:rFonts w:hint="eastAsia" w:ascii="宋体" w:hAnsi="宋体"/>
                <w:color w:val="auto"/>
                <w:szCs w:val="21"/>
                <w:highlight w:val="none"/>
              </w:rPr>
              <w:t>招标范围</w:t>
            </w:r>
          </w:p>
        </w:tc>
        <w:tc>
          <w:tcPr>
            <w:tcW w:w="5934" w:type="dxa"/>
            <w:tcBorders>
              <w:top w:val="single" w:color="auto" w:sz="4" w:space="0"/>
              <w:left w:val="single" w:color="auto" w:sz="4" w:space="0"/>
              <w:bottom w:val="single" w:color="auto" w:sz="4" w:space="0"/>
              <w:right w:val="double" w:color="auto" w:sz="4" w:space="0"/>
            </w:tcBorders>
            <w:vAlign w:val="center"/>
          </w:tcPr>
          <w:p w14:paraId="2E0DA7D7">
            <w:pPr>
              <w:rPr>
                <w:rFonts w:ascii="宋体" w:hAnsi="宋体"/>
                <w:color w:val="auto"/>
                <w:szCs w:val="21"/>
                <w:highlight w:val="none"/>
                <w:u w:val="single"/>
              </w:rPr>
            </w:pPr>
            <w:r>
              <w:rPr>
                <w:rFonts w:hint="eastAsia" w:ascii="宋体" w:hAnsi="宋体"/>
                <w:color w:val="auto"/>
                <w:szCs w:val="21"/>
                <w:highlight w:val="none"/>
                <w:u w:val="single"/>
              </w:rPr>
              <w:t>详见本工程招标公告</w:t>
            </w:r>
          </w:p>
        </w:tc>
      </w:tr>
      <w:tr w14:paraId="52D757C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trPr>
        <w:tc>
          <w:tcPr>
            <w:tcW w:w="702" w:type="dxa"/>
            <w:tcBorders>
              <w:top w:val="single" w:color="auto" w:sz="4" w:space="0"/>
              <w:left w:val="double" w:color="auto" w:sz="4" w:space="0"/>
              <w:bottom w:val="single" w:color="auto" w:sz="4" w:space="0"/>
              <w:right w:val="single" w:color="auto" w:sz="4" w:space="0"/>
            </w:tcBorders>
            <w:vAlign w:val="center"/>
          </w:tcPr>
          <w:p w14:paraId="7F70F5C1">
            <w:pPr>
              <w:rPr>
                <w:rFonts w:ascii="宋体" w:hAnsi="宋体"/>
                <w:color w:val="auto"/>
                <w:szCs w:val="21"/>
                <w:highlight w:val="none"/>
              </w:rPr>
            </w:pPr>
            <w:r>
              <w:rPr>
                <w:rFonts w:ascii="宋体" w:hAnsi="宋体"/>
                <w:color w:val="auto"/>
                <w:szCs w:val="21"/>
                <w:highlight w:val="none"/>
              </w:rPr>
              <w:t>8</w:t>
            </w:r>
          </w:p>
        </w:tc>
        <w:tc>
          <w:tcPr>
            <w:tcW w:w="981" w:type="dxa"/>
            <w:tcBorders>
              <w:top w:val="single" w:color="auto" w:sz="4" w:space="0"/>
              <w:left w:val="single" w:color="auto" w:sz="4" w:space="0"/>
              <w:bottom w:val="single" w:color="auto" w:sz="4" w:space="0"/>
              <w:right w:val="single" w:color="auto" w:sz="4" w:space="0"/>
            </w:tcBorders>
            <w:vAlign w:val="center"/>
          </w:tcPr>
          <w:p w14:paraId="6776F565">
            <w:pPr>
              <w:rPr>
                <w:rFonts w:ascii="宋体" w:hAnsi="宋体"/>
                <w:color w:val="auto"/>
                <w:szCs w:val="21"/>
                <w:highlight w:val="none"/>
              </w:rPr>
            </w:pPr>
            <w:r>
              <w:rPr>
                <w:rFonts w:ascii="宋体" w:hAnsi="宋体"/>
                <w:color w:val="auto"/>
                <w:szCs w:val="21"/>
                <w:highlight w:val="none"/>
              </w:rPr>
              <w:t>2.2</w:t>
            </w:r>
          </w:p>
        </w:tc>
        <w:tc>
          <w:tcPr>
            <w:tcW w:w="1733" w:type="dxa"/>
            <w:tcBorders>
              <w:top w:val="single" w:color="auto" w:sz="4" w:space="0"/>
              <w:left w:val="single" w:color="auto" w:sz="4" w:space="0"/>
              <w:bottom w:val="single" w:color="auto" w:sz="4" w:space="0"/>
              <w:right w:val="single" w:color="auto" w:sz="4" w:space="0"/>
            </w:tcBorders>
            <w:vAlign w:val="center"/>
          </w:tcPr>
          <w:p w14:paraId="4C34100D">
            <w:pPr>
              <w:rPr>
                <w:rFonts w:ascii="宋体" w:hAnsi="宋体"/>
                <w:color w:val="auto"/>
                <w:szCs w:val="21"/>
                <w:highlight w:val="none"/>
              </w:rPr>
            </w:pPr>
            <w:r>
              <w:rPr>
                <w:rFonts w:hint="eastAsia" w:ascii="宋体" w:hAnsi="宋体"/>
                <w:color w:val="auto"/>
                <w:szCs w:val="21"/>
                <w:highlight w:val="none"/>
              </w:rPr>
              <w:t>工期要求</w:t>
            </w:r>
          </w:p>
        </w:tc>
        <w:tc>
          <w:tcPr>
            <w:tcW w:w="5934" w:type="dxa"/>
            <w:tcBorders>
              <w:top w:val="single" w:color="auto" w:sz="4" w:space="0"/>
              <w:left w:val="single" w:color="auto" w:sz="4" w:space="0"/>
              <w:bottom w:val="single" w:color="auto" w:sz="4" w:space="0"/>
              <w:right w:val="double" w:color="auto" w:sz="4" w:space="0"/>
            </w:tcBorders>
            <w:vAlign w:val="center"/>
          </w:tcPr>
          <w:p w14:paraId="58662B04">
            <w:pPr>
              <w:keepNext w:val="0"/>
              <w:keepLines w:val="0"/>
              <w:pageBreakBefore w:val="0"/>
              <w:widowControl/>
              <w:numPr>
                <w:ilvl w:val="-1"/>
                <w:numId w:val="0"/>
              </w:numPr>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Times New Roman"/>
                <w:bCs w:val="0"/>
                <w:snapToGrid/>
                <w:color w:val="auto"/>
                <w:kern w:val="2"/>
                <w:sz w:val="21"/>
                <w:szCs w:val="21"/>
                <w:highlight w:val="none"/>
                <w:u w:val="single"/>
                <w:lang w:val="en-US" w:eastAsia="zh-CN"/>
              </w:rPr>
            </w:pPr>
            <w:r>
              <w:rPr>
                <w:rFonts w:hint="eastAsia" w:ascii="宋体" w:hAnsi="宋体" w:eastAsia="宋体" w:cs="Times New Roman"/>
                <w:bCs w:val="0"/>
                <w:snapToGrid/>
                <w:color w:val="auto"/>
                <w:kern w:val="2"/>
                <w:sz w:val="21"/>
                <w:szCs w:val="21"/>
                <w:highlight w:val="none"/>
                <w:u w:val="single"/>
                <w:lang w:val="en-US" w:eastAsia="zh-CN"/>
              </w:rPr>
              <w:t>本项目总工期为410个日历天，包括施工工期及验收工期，</w:t>
            </w:r>
            <w:bookmarkStart w:id="8" w:name="OLE_LINK7"/>
            <w:r>
              <w:rPr>
                <w:rFonts w:hint="eastAsia" w:ascii="宋体" w:hAnsi="宋体" w:eastAsia="宋体" w:cs="Times New Roman"/>
                <w:bCs w:val="0"/>
                <w:snapToGrid/>
                <w:color w:val="auto"/>
                <w:kern w:val="2"/>
                <w:sz w:val="21"/>
                <w:szCs w:val="21"/>
                <w:highlight w:val="none"/>
                <w:u w:val="single"/>
                <w:lang w:val="en-US" w:eastAsia="zh-CN"/>
              </w:rPr>
              <w:t>具体开工时间以监理工程师签发的开工令为准</w:t>
            </w:r>
            <w:bookmarkEnd w:id="8"/>
            <w:r>
              <w:rPr>
                <w:rFonts w:hint="eastAsia" w:ascii="宋体" w:hAnsi="宋体" w:eastAsia="宋体" w:cs="Times New Roman"/>
                <w:bCs w:val="0"/>
                <w:snapToGrid/>
                <w:color w:val="auto"/>
                <w:kern w:val="2"/>
                <w:sz w:val="21"/>
                <w:szCs w:val="21"/>
                <w:highlight w:val="none"/>
                <w:u w:val="single"/>
                <w:lang w:val="en-US" w:eastAsia="zh-CN"/>
              </w:rPr>
              <w:t>。工程分三阶段实施。其中：</w:t>
            </w:r>
          </w:p>
          <w:p w14:paraId="1452BB5F">
            <w:pPr>
              <w:keepNext w:val="0"/>
              <w:keepLines w:val="0"/>
              <w:pageBreakBefore w:val="0"/>
              <w:widowControl/>
              <w:numPr>
                <w:ilvl w:val="-1"/>
                <w:numId w:val="0"/>
              </w:numPr>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Times New Roman"/>
                <w:bCs w:val="0"/>
                <w:snapToGrid/>
                <w:color w:val="auto"/>
                <w:kern w:val="2"/>
                <w:sz w:val="21"/>
                <w:szCs w:val="21"/>
                <w:highlight w:val="none"/>
                <w:u w:val="single"/>
                <w:lang w:val="en-US" w:eastAsia="zh-CN"/>
              </w:rPr>
            </w:pPr>
            <w:r>
              <w:rPr>
                <w:rFonts w:hint="eastAsia" w:ascii="宋体" w:hAnsi="宋体" w:eastAsia="宋体" w:cs="Times New Roman"/>
                <w:bCs w:val="0"/>
                <w:snapToGrid/>
                <w:color w:val="auto"/>
                <w:kern w:val="2"/>
                <w:sz w:val="21"/>
                <w:szCs w:val="21"/>
                <w:highlight w:val="none"/>
                <w:u w:val="single"/>
                <w:lang w:val="en-US" w:eastAsia="zh-CN"/>
              </w:rPr>
              <w:t>一阶段：总工期为140个日历天（计划完工时间为2025年8月30日），需将项目（除</w:t>
            </w:r>
            <w:bookmarkStart w:id="9" w:name="OLE_LINK3"/>
            <w:r>
              <w:rPr>
                <w:rFonts w:hint="eastAsia" w:ascii="宋体" w:hAnsi="宋体" w:eastAsia="宋体" w:cs="Times New Roman"/>
                <w:bCs w:val="0"/>
                <w:snapToGrid/>
                <w:color w:val="auto"/>
                <w:kern w:val="2"/>
                <w:sz w:val="21"/>
                <w:szCs w:val="21"/>
                <w:highlight w:val="none"/>
                <w:u w:val="single"/>
                <w:lang w:val="en-US" w:eastAsia="zh-CN"/>
              </w:rPr>
              <w:t>规划四路受拆迁影响</w:t>
            </w:r>
            <w:bookmarkEnd w:id="9"/>
            <w:r>
              <w:rPr>
                <w:rFonts w:hint="eastAsia" w:ascii="宋体" w:hAnsi="宋体" w:eastAsia="宋体" w:cs="Times New Roman"/>
                <w:bCs w:val="0"/>
                <w:snapToGrid/>
                <w:color w:val="auto"/>
                <w:kern w:val="2"/>
                <w:sz w:val="21"/>
                <w:szCs w:val="21"/>
                <w:highlight w:val="none"/>
                <w:u w:val="single"/>
                <w:lang w:val="en-US" w:eastAsia="zh-CN"/>
              </w:rPr>
              <w:t>暂时未能</w:t>
            </w:r>
            <w:bookmarkStart w:id="10" w:name="OLE_LINK4"/>
            <w:r>
              <w:rPr>
                <w:rFonts w:hint="eastAsia" w:ascii="宋体" w:hAnsi="宋体" w:eastAsia="宋体" w:cs="Times New Roman"/>
                <w:bCs w:val="0"/>
                <w:snapToGrid/>
                <w:color w:val="auto"/>
                <w:kern w:val="2"/>
                <w:sz w:val="21"/>
                <w:szCs w:val="21"/>
                <w:highlight w:val="none"/>
                <w:u w:val="single"/>
                <w:lang w:val="en-US" w:eastAsia="zh-CN"/>
              </w:rPr>
              <w:t>实施路段</w:t>
            </w:r>
            <w:bookmarkEnd w:id="10"/>
            <w:r>
              <w:rPr>
                <w:rFonts w:hint="eastAsia" w:ascii="宋体" w:hAnsi="宋体" w:eastAsia="宋体" w:cs="Times New Roman"/>
                <w:bCs w:val="0"/>
                <w:snapToGrid/>
                <w:color w:val="auto"/>
                <w:kern w:val="2"/>
                <w:sz w:val="21"/>
                <w:szCs w:val="21"/>
                <w:highlight w:val="none"/>
                <w:u w:val="single"/>
                <w:lang w:val="en-US" w:eastAsia="zh-CN"/>
              </w:rPr>
              <w:t>外）回填土、永久管网、路面结构（完成至底层沥青）、永久人行道路等实施完成，验收合格后先组织退场；</w:t>
            </w:r>
          </w:p>
          <w:p w14:paraId="5C0D7006">
            <w:pPr>
              <w:keepNext w:val="0"/>
              <w:keepLines w:val="0"/>
              <w:pageBreakBefore w:val="0"/>
              <w:widowControl/>
              <w:numPr>
                <w:ilvl w:val="-1"/>
                <w:numId w:val="0"/>
              </w:numPr>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Times New Roman"/>
                <w:bCs w:val="0"/>
                <w:snapToGrid/>
                <w:color w:val="auto"/>
                <w:kern w:val="2"/>
                <w:sz w:val="21"/>
                <w:szCs w:val="21"/>
                <w:highlight w:val="none"/>
                <w:u w:val="single"/>
                <w:lang w:val="en-US" w:eastAsia="zh-CN"/>
              </w:rPr>
            </w:pPr>
            <w:r>
              <w:rPr>
                <w:rFonts w:hint="eastAsia" w:ascii="宋体" w:hAnsi="宋体" w:eastAsia="宋体" w:cs="Times New Roman"/>
                <w:bCs w:val="0"/>
                <w:snapToGrid/>
                <w:color w:val="auto"/>
                <w:kern w:val="2"/>
                <w:sz w:val="21"/>
                <w:szCs w:val="21"/>
                <w:highlight w:val="none"/>
                <w:u w:val="single"/>
                <w:lang w:val="en-US" w:eastAsia="zh-CN"/>
              </w:rPr>
              <w:t>二阶段</w:t>
            </w:r>
            <w:bookmarkStart w:id="11" w:name="OLE_LINK2"/>
            <w:r>
              <w:rPr>
                <w:rFonts w:hint="eastAsia" w:ascii="宋体" w:hAnsi="宋体" w:eastAsia="宋体" w:cs="Times New Roman"/>
                <w:bCs w:val="0"/>
                <w:snapToGrid/>
                <w:color w:val="auto"/>
                <w:kern w:val="2"/>
                <w:sz w:val="21"/>
                <w:szCs w:val="21"/>
                <w:highlight w:val="none"/>
                <w:u w:val="single"/>
                <w:lang w:val="en-US" w:eastAsia="zh-CN"/>
              </w:rPr>
              <w:t>：总工期150个日历天</w:t>
            </w:r>
            <w:bookmarkEnd w:id="11"/>
            <w:r>
              <w:rPr>
                <w:rFonts w:hint="eastAsia" w:ascii="宋体" w:hAnsi="宋体" w:eastAsia="宋体" w:cs="Times New Roman"/>
                <w:bCs w:val="0"/>
                <w:snapToGrid/>
                <w:color w:val="auto"/>
                <w:kern w:val="2"/>
                <w:sz w:val="21"/>
                <w:szCs w:val="21"/>
                <w:highlight w:val="none"/>
                <w:u w:val="single"/>
                <w:lang w:val="en-US" w:eastAsia="zh-CN"/>
              </w:rPr>
              <w:t>，</w:t>
            </w:r>
            <w:bookmarkStart w:id="12" w:name="OLE_LINK6"/>
            <w:r>
              <w:rPr>
                <w:rFonts w:hint="eastAsia" w:ascii="宋体" w:hAnsi="宋体" w:eastAsia="宋体" w:cs="Times New Roman"/>
                <w:bCs w:val="0"/>
                <w:snapToGrid/>
                <w:color w:val="auto"/>
                <w:kern w:val="2"/>
                <w:sz w:val="21"/>
                <w:szCs w:val="21"/>
                <w:highlight w:val="none"/>
                <w:u w:val="single"/>
                <w:lang w:val="en-US" w:eastAsia="zh-CN"/>
              </w:rPr>
              <w:t>计划开工时间为</w:t>
            </w:r>
            <w:bookmarkStart w:id="13" w:name="OLE_LINK1"/>
            <w:r>
              <w:rPr>
                <w:rFonts w:hint="eastAsia" w:ascii="宋体" w:hAnsi="宋体" w:eastAsia="宋体" w:cs="Times New Roman"/>
                <w:bCs w:val="0"/>
                <w:snapToGrid/>
                <w:color w:val="auto"/>
                <w:kern w:val="2"/>
                <w:sz w:val="21"/>
                <w:szCs w:val="21"/>
                <w:highlight w:val="none"/>
                <w:u w:val="single"/>
                <w:lang w:val="en-US" w:eastAsia="zh-CN"/>
              </w:rPr>
              <w:t>第一阶段退场2年再组织进场施工</w:t>
            </w:r>
            <w:bookmarkEnd w:id="12"/>
            <w:bookmarkEnd w:id="13"/>
            <w:bookmarkStart w:id="14" w:name="OLE_LINK8"/>
            <w:r>
              <w:rPr>
                <w:rFonts w:hint="eastAsia" w:ascii="宋体" w:hAnsi="宋体" w:eastAsia="宋体" w:cs="Times New Roman"/>
                <w:bCs w:val="0"/>
                <w:snapToGrid/>
                <w:color w:val="auto"/>
                <w:kern w:val="2"/>
                <w:sz w:val="21"/>
                <w:szCs w:val="21"/>
                <w:highlight w:val="none"/>
                <w:u w:val="single"/>
                <w:lang w:val="en-US" w:eastAsia="zh-CN"/>
              </w:rPr>
              <w:t>，具体开工时间以监理工程师签发的开工令为准</w:t>
            </w:r>
            <w:bookmarkEnd w:id="14"/>
            <w:r>
              <w:rPr>
                <w:rFonts w:hint="eastAsia" w:ascii="宋体" w:hAnsi="宋体" w:eastAsia="宋体" w:cs="Times New Roman"/>
                <w:bCs w:val="0"/>
                <w:snapToGrid/>
                <w:color w:val="auto"/>
                <w:kern w:val="2"/>
                <w:sz w:val="21"/>
                <w:szCs w:val="21"/>
                <w:highlight w:val="none"/>
                <w:u w:val="single"/>
                <w:lang w:val="en-US" w:eastAsia="zh-CN"/>
              </w:rPr>
              <w:t>，该阶段需将规划四路受拆迁影响暂时未能实施路段</w:t>
            </w:r>
            <w:bookmarkStart w:id="15" w:name="OLE_LINK5"/>
            <w:r>
              <w:rPr>
                <w:rFonts w:hint="eastAsia" w:ascii="宋体" w:hAnsi="宋体" w:eastAsia="宋体" w:cs="Times New Roman"/>
                <w:bCs w:val="0"/>
                <w:snapToGrid/>
                <w:color w:val="auto"/>
                <w:kern w:val="2"/>
                <w:sz w:val="21"/>
                <w:szCs w:val="21"/>
                <w:highlight w:val="none"/>
                <w:u w:val="single"/>
                <w:lang w:val="en-US" w:eastAsia="zh-CN"/>
              </w:rPr>
              <w:t>按移交政府相关部门标准实施完成</w:t>
            </w:r>
            <w:bookmarkEnd w:id="15"/>
            <w:r>
              <w:rPr>
                <w:rFonts w:hint="eastAsia" w:ascii="宋体" w:hAnsi="宋体" w:eastAsia="宋体" w:cs="Times New Roman"/>
                <w:bCs w:val="0"/>
                <w:snapToGrid/>
                <w:color w:val="auto"/>
                <w:kern w:val="2"/>
                <w:sz w:val="21"/>
                <w:szCs w:val="21"/>
                <w:highlight w:val="none"/>
                <w:u w:val="single"/>
                <w:lang w:val="en-US" w:eastAsia="zh-CN"/>
              </w:rPr>
              <w:t>；</w:t>
            </w:r>
          </w:p>
          <w:p w14:paraId="5300A88B">
            <w:pPr>
              <w:rPr>
                <w:rFonts w:ascii="宋体" w:hAnsi="宋体"/>
                <w:color w:val="auto"/>
                <w:szCs w:val="21"/>
                <w:highlight w:val="none"/>
              </w:rPr>
            </w:pPr>
            <w:r>
              <w:rPr>
                <w:rFonts w:hint="eastAsia" w:ascii="宋体" w:hAnsi="宋体" w:eastAsia="宋体" w:cs="Times New Roman"/>
                <w:bCs w:val="0"/>
                <w:snapToGrid/>
                <w:color w:val="auto"/>
                <w:kern w:val="2"/>
                <w:sz w:val="21"/>
                <w:szCs w:val="21"/>
                <w:highlight w:val="none"/>
                <w:u w:val="single"/>
                <w:lang w:val="en-US" w:eastAsia="zh-CN"/>
              </w:rPr>
              <w:t>三阶段：总工期120个日历天，计划开工时间为第一阶段退场2年后再组织进场施工，具体开工时间以监理工程师签发的开工令为准，该阶段需将规划四路、金鹏路按移交政府相关部门标准实施完成。</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r>
              <w:rPr>
                <w:rFonts w:ascii="宋体" w:hAnsi="宋体"/>
                <w:color w:val="auto"/>
                <w:szCs w:val="21"/>
                <w:highlight w:val="none"/>
              </w:rPr>
              <w:t xml:space="preserve">                                                                 </w:t>
            </w:r>
          </w:p>
        </w:tc>
      </w:tr>
      <w:tr w14:paraId="72016C2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52613CDB">
            <w:pPr>
              <w:rPr>
                <w:rFonts w:ascii="宋体" w:hAnsi="宋体"/>
                <w:color w:val="auto"/>
                <w:szCs w:val="21"/>
                <w:highlight w:val="none"/>
              </w:rPr>
            </w:pPr>
            <w:r>
              <w:rPr>
                <w:rFonts w:ascii="宋体" w:hAnsi="宋体"/>
                <w:color w:val="auto"/>
                <w:szCs w:val="21"/>
                <w:highlight w:val="none"/>
              </w:rPr>
              <w:t>9</w:t>
            </w:r>
          </w:p>
        </w:tc>
        <w:tc>
          <w:tcPr>
            <w:tcW w:w="981" w:type="dxa"/>
            <w:tcBorders>
              <w:top w:val="single" w:color="auto" w:sz="4" w:space="0"/>
              <w:left w:val="single" w:color="auto" w:sz="4" w:space="0"/>
              <w:bottom w:val="single" w:color="auto" w:sz="4" w:space="0"/>
              <w:right w:val="single" w:color="auto" w:sz="4" w:space="0"/>
            </w:tcBorders>
            <w:vAlign w:val="center"/>
          </w:tcPr>
          <w:p w14:paraId="7B2FE85B">
            <w:pPr>
              <w:rPr>
                <w:rFonts w:ascii="宋体" w:hAnsi="宋体"/>
                <w:color w:val="auto"/>
                <w:szCs w:val="21"/>
                <w:highlight w:val="none"/>
              </w:rPr>
            </w:pPr>
            <w:r>
              <w:rPr>
                <w:rFonts w:ascii="宋体" w:hAnsi="宋体"/>
                <w:color w:val="auto"/>
                <w:szCs w:val="21"/>
                <w:highlight w:val="none"/>
              </w:rPr>
              <w:t>3.1</w:t>
            </w:r>
          </w:p>
        </w:tc>
        <w:tc>
          <w:tcPr>
            <w:tcW w:w="1733" w:type="dxa"/>
            <w:tcBorders>
              <w:top w:val="single" w:color="auto" w:sz="4" w:space="0"/>
              <w:left w:val="single" w:color="auto" w:sz="4" w:space="0"/>
              <w:bottom w:val="single" w:color="auto" w:sz="4" w:space="0"/>
              <w:right w:val="single" w:color="auto" w:sz="4" w:space="0"/>
            </w:tcBorders>
            <w:vAlign w:val="center"/>
          </w:tcPr>
          <w:p w14:paraId="7A3088E4">
            <w:pPr>
              <w:rPr>
                <w:rFonts w:ascii="宋体" w:hAnsi="宋体"/>
                <w:color w:val="auto"/>
                <w:szCs w:val="21"/>
                <w:highlight w:val="none"/>
              </w:rPr>
            </w:pPr>
            <w:r>
              <w:rPr>
                <w:rFonts w:hint="eastAsia" w:ascii="宋体" w:hAnsi="宋体"/>
                <w:color w:val="auto"/>
                <w:szCs w:val="21"/>
                <w:highlight w:val="none"/>
              </w:rPr>
              <w:t>资金来源</w:t>
            </w:r>
          </w:p>
        </w:tc>
        <w:tc>
          <w:tcPr>
            <w:tcW w:w="5934" w:type="dxa"/>
            <w:tcBorders>
              <w:top w:val="single" w:color="auto" w:sz="4" w:space="0"/>
              <w:left w:val="single" w:color="auto" w:sz="4" w:space="0"/>
              <w:bottom w:val="single" w:color="auto" w:sz="4" w:space="0"/>
              <w:right w:val="double" w:color="auto" w:sz="4" w:space="0"/>
            </w:tcBorders>
            <w:vAlign w:val="center"/>
          </w:tcPr>
          <w:p w14:paraId="08AEF53F">
            <w:pPr>
              <w:rPr>
                <w:rFonts w:ascii="宋体" w:hAnsi="宋体"/>
                <w:color w:val="auto"/>
                <w:szCs w:val="21"/>
                <w:highlight w:val="none"/>
                <w:u w:val="single"/>
              </w:rPr>
            </w:pPr>
            <w:r>
              <w:rPr>
                <w:rFonts w:hint="eastAsia" w:ascii="宋体" w:hAnsi="宋体"/>
                <w:color w:val="auto"/>
                <w:szCs w:val="21"/>
                <w:highlight w:val="none"/>
                <w:u w:val="single"/>
              </w:rPr>
              <w:t>企业自筹资金</w:t>
            </w:r>
          </w:p>
        </w:tc>
      </w:tr>
      <w:tr w14:paraId="00E3CFC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87" w:hRule="atLeast"/>
        </w:trPr>
        <w:tc>
          <w:tcPr>
            <w:tcW w:w="702" w:type="dxa"/>
            <w:tcBorders>
              <w:top w:val="single" w:color="auto" w:sz="4" w:space="0"/>
              <w:left w:val="double" w:color="auto" w:sz="4" w:space="0"/>
              <w:bottom w:val="single" w:color="auto" w:sz="4" w:space="0"/>
              <w:right w:val="single" w:color="auto" w:sz="4" w:space="0"/>
            </w:tcBorders>
            <w:vAlign w:val="center"/>
          </w:tcPr>
          <w:p w14:paraId="21AB6B56">
            <w:pPr>
              <w:rPr>
                <w:rFonts w:ascii="宋体" w:hAnsi="宋体"/>
                <w:color w:val="auto"/>
                <w:szCs w:val="21"/>
                <w:highlight w:val="none"/>
              </w:rPr>
            </w:pPr>
            <w:r>
              <w:rPr>
                <w:rFonts w:ascii="宋体" w:hAnsi="宋体"/>
                <w:color w:val="auto"/>
                <w:szCs w:val="21"/>
                <w:highlight w:val="none"/>
              </w:rPr>
              <w:t>10</w:t>
            </w:r>
          </w:p>
        </w:tc>
        <w:tc>
          <w:tcPr>
            <w:tcW w:w="981" w:type="dxa"/>
            <w:tcBorders>
              <w:top w:val="single" w:color="auto" w:sz="4" w:space="0"/>
              <w:left w:val="single" w:color="auto" w:sz="4" w:space="0"/>
              <w:bottom w:val="single" w:color="auto" w:sz="4" w:space="0"/>
              <w:right w:val="single" w:color="auto" w:sz="4" w:space="0"/>
            </w:tcBorders>
            <w:vAlign w:val="center"/>
          </w:tcPr>
          <w:p w14:paraId="104E7963">
            <w:pPr>
              <w:rPr>
                <w:rFonts w:ascii="宋体" w:hAnsi="宋体"/>
                <w:color w:val="auto"/>
                <w:szCs w:val="21"/>
                <w:highlight w:val="none"/>
              </w:rPr>
            </w:pPr>
            <w:r>
              <w:rPr>
                <w:rFonts w:ascii="宋体" w:hAnsi="宋体"/>
                <w:color w:val="auto"/>
                <w:szCs w:val="21"/>
                <w:highlight w:val="none"/>
              </w:rPr>
              <w:t>4.1</w:t>
            </w:r>
          </w:p>
        </w:tc>
        <w:tc>
          <w:tcPr>
            <w:tcW w:w="1733" w:type="dxa"/>
            <w:tcBorders>
              <w:top w:val="single" w:color="auto" w:sz="4" w:space="0"/>
              <w:left w:val="single" w:color="auto" w:sz="4" w:space="0"/>
              <w:bottom w:val="single" w:color="auto" w:sz="4" w:space="0"/>
              <w:right w:val="single" w:color="auto" w:sz="4" w:space="0"/>
            </w:tcBorders>
            <w:vAlign w:val="center"/>
          </w:tcPr>
          <w:p w14:paraId="15CFE2F5">
            <w:pPr>
              <w:rPr>
                <w:rFonts w:ascii="宋体" w:hAnsi="宋体"/>
                <w:color w:val="auto"/>
                <w:szCs w:val="21"/>
                <w:highlight w:val="none"/>
              </w:rPr>
            </w:pPr>
            <w:r>
              <w:rPr>
                <w:rFonts w:hint="eastAsia" w:ascii="宋体" w:hAnsi="宋体"/>
                <w:color w:val="auto"/>
                <w:szCs w:val="21"/>
                <w:highlight w:val="none"/>
              </w:rPr>
              <w:t>投标人资质等级及项目负责人等级要求</w:t>
            </w:r>
          </w:p>
        </w:tc>
        <w:tc>
          <w:tcPr>
            <w:tcW w:w="5934" w:type="dxa"/>
            <w:tcBorders>
              <w:top w:val="single" w:color="auto" w:sz="4" w:space="0"/>
              <w:left w:val="single" w:color="auto" w:sz="4" w:space="0"/>
              <w:bottom w:val="single" w:color="auto" w:sz="4" w:space="0"/>
              <w:right w:val="double" w:color="auto" w:sz="4" w:space="0"/>
            </w:tcBorders>
            <w:vAlign w:val="center"/>
          </w:tcPr>
          <w:p w14:paraId="214E4F7A">
            <w:pPr>
              <w:rPr>
                <w:rFonts w:ascii="宋体" w:hAnsi="宋体"/>
                <w:color w:val="auto"/>
                <w:szCs w:val="21"/>
                <w:highlight w:val="none"/>
              </w:rPr>
            </w:pPr>
            <w:r>
              <w:rPr>
                <w:rFonts w:hint="eastAsia" w:ascii="宋体" w:hAnsi="宋体"/>
                <w:color w:val="auto"/>
                <w:szCs w:val="21"/>
                <w:highlight w:val="none"/>
              </w:rPr>
              <w:t>详见本工程招标公告。</w:t>
            </w:r>
          </w:p>
        </w:tc>
      </w:tr>
      <w:tr w14:paraId="06D0A33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0DA1684C">
            <w:pPr>
              <w:rPr>
                <w:rFonts w:ascii="宋体" w:hAnsi="宋体"/>
                <w:color w:val="auto"/>
                <w:szCs w:val="21"/>
                <w:highlight w:val="none"/>
              </w:rPr>
            </w:pPr>
            <w:r>
              <w:rPr>
                <w:rFonts w:ascii="宋体" w:hAnsi="宋体"/>
                <w:color w:val="auto"/>
                <w:szCs w:val="21"/>
                <w:highlight w:val="none"/>
              </w:rPr>
              <w:t>11</w:t>
            </w:r>
          </w:p>
        </w:tc>
        <w:tc>
          <w:tcPr>
            <w:tcW w:w="981" w:type="dxa"/>
            <w:tcBorders>
              <w:top w:val="single" w:color="auto" w:sz="4" w:space="0"/>
              <w:left w:val="single" w:color="auto" w:sz="4" w:space="0"/>
              <w:bottom w:val="single" w:color="auto" w:sz="4" w:space="0"/>
              <w:right w:val="single" w:color="auto" w:sz="4" w:space="0"/>
            </w:tcBorders>
            <w:vAlign w:val="center"/>
          </w:tcPr>
          <w:p w14:paraId="13446E1A">
            <w:pP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4.2</w:t>
            </w:r>
          </w:p>
        </w:tc>
        <w:tc>
          <w:tcPr>
            <w:tcW w:w="1733" w:type="dxa"/>
            <w:tcBorders>
              <w:top w:val="single" w:color="auto" w:sz="4" w:space="0"/>
              <w:left w:val="single" w:color="auto" w:sz="4" w:space="0"/>
              <w:bottom w:val="single" w:color="auto" w:sz="4" w:space="0"/>
              <w:right w:val="single" w:color="auto" w:sz="4" w:space="0"/>
            </w:tcBorders>
            <w:vAlign w:val="center"/>
          </w:tcPr>
          <w:p w14:paraId="5C27CD12">
            <w:pPr>
              <w:rPr>
                <w:rFonts w:ascii="宋体" w:hAnsi="宋体"/>
                <w:color w:val="auto"/>
                <w:szCs w:val="21"/>
                <w:highlight w:val="none"/>
              </w:rPr>
            </w:pPr>
            <w:r>
              <w:rPr>
                <w:rFonts w:hint="eastAsia" w:ascii="宋体" w:hAnsi="宋体"/>
                <w:color w:val="auto"/>
                <w:szCs w:val="21"/>
                <w:highlight w:val="none"/>
              </w:rPr>
              <w:t>资格审查方式</w:t>
            </w:r>
          </w:p>
        </w:tc>
        <w:tc>
          <w:tcPr>
            <w:tcW w:w="5934" w:type="dxa"/>
            <w:tcBorders>
              <w:top w:val="single" w:color="auto" w:sz="4" w:space="0"/>
              <w:left w:val="single" w:color="auto" w:sz="4" w:space="0"/>
              <w:bottom w:val="single" w:color="auto" w:sz="4" w:space="0"/>
              <w:right w:val="double" w:color="auto" w:sz="4" w:space="0"/>
            </w:tcBorders>
            <w:vAlign w:val="center"/>
          </w:tcPr>
          <w:p w14:paraId="64A01443">
            <w:pPr>
              <w:rPr>
                <w:rFonts w:ascii="宋体" w:hAnsi="宋体"/>
                <w:color w:val="auto"/>
                <w:szCs w:val="21"/>
                <w:highlight w:val="none"/>
              </w:rPr>
            </w:pPr>
            <w:r>
              <w:rPr>
                <w:rFonts w:hint="eastAsia" w:ascii="宋体" w:hAnsi="宋体"/>
                <w:color w:val="auto"/>
                <w:szCs w:val="21"/>
                <w:highlight w:val="none"/>
              </w:rPr>
              <w:t>详见本工程招标公告。</w:t>
            </w:r>
          </w:p>
        </w:tc>
      </w:tr>
      <w:tr w14:paraId="1015D80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0D21FDAD">
            <w:pP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12</w:t>
            </w:r>
          </w:p>
        </w:tc>
        <w:tc>
          <w:tcPr>
            <w:tcW w:w="981" w:type="dxa"/>
            <w:tcBorders>
              <w:top w:val="single" w:color="auto" w:sz="4" w:space="0"/>
              <w:left w:val="single" w:color="auto" w:sz="4" w:space="0"/>
              <w:bottom w:val="single" w:color="auto" w:sz="4" w:space="0"/>
              <w:right w:val="single" w:color="auto" w:sz="4" w:space="0"/>
            </w:tcBorders>
            <w:vAlign w:val="center"/>
          </w:tcPr>
          <w:p w14:paraId="5FA33A33">
            <w:pPr>
              <w:rPr>
                <w:rFonts w:hint="eastAsia" w:ascii="宋体" w:hAnsi="宋体"/>
                <w:color w:val="auto"/>
                <w:szCs w:val="21"/>
                <w:highlight w:val="none"/>
                <w:lang w:val="en-US" w:eastAsia="zh-CN"/>
              </w:rPr>
            </w:pPr>
            <w:r>
              <w:rPr>
                <w:rFonts w:ascii="宋体" w:hAnsi="宋体"/>
                <w:color w:val="auto"/>
                <w:szCs w:val="21"/>
                <w:highlight w:val="none"/>
              </w:rPr>
              <w:t>5</w:t>
            </w:r>
          </w:p>
        </w:tc>
        <w:tc>
          <w:tcPr>
            <w:tcW w:w="1733" w:type="dxa"/>
            <w:tcBorders>
              <w:top w:val="single" w:color="auto" w:sz="4" w:space="0"/>
              <w:left w:val="single" w:color="auto" w:sz="4" w:space="0"/>
              <w:bottom w:val="single" w:color="auto" w:sz="4" w:space="0"/>
              <w:right w:val="single" w:color="auto" w:sz="4" w:space="0"/>
            </w:tcBorders>
            <w:vAlign w:val="center"/>
          </w:tcPr>
          <w:p w14:paraId="1849E37F">
            <w:pPr>
              <w:rPr>
                <w:rFonts w:hint="eastAsia" w:ascii="宋体" w:hAnsi="宋体"/>
                <w:color w:val="auto"/>
                <w:szCs w:val="21"/>
                <w:highlight w:val="none"/>
              </w:rPr>
            </w:pPr>
            <w:r>
              <w:rPr>
                <w:rFonts w:hint="eastAsia" w:ascii="宋体" w:hAnsi="宋体"/>
                <w:color w:val="auto"/>
                <w:szCs w:val="21"/>
                <w:highlight w:val="none"/>
              </w:rPr>
              <w:t>踏勘现场及投标费用</w:t>
            </w:r>
          </w:p>
        </w:tc>
        <w:tc>
          <w:tcPr>
            <w:tcW w:w="5934" w:type="dxa"/>
            <w:tcBorders>
              <w:top w:val="single" w:color="auto" w:sz="4" w:space="0"/>
              <w:left w:val="single" w:color="auto" w:sz="4" w:space="0"/>
              <w:bottom w:val="single" w:color="auto" w:sz="4" w:space="0"/>
              <w:right w:val="double" w:color="auto" w:sz="4" w:space="0"/>
            </w:tcBorders>
            <w:vAlign w:val="center"/>
          </w:tcPr>
          <w:p w14:paraId="6F131B61">
            <w:pPr>
              <w:pStyle w:val="21"/>
              <w:rPr>
                <w:rFonts w:hint="eastAsia" w:ascii="宋体" w:hAnsi="宋体"/>
                <w:color w:val="auto"/>
                <w:szCs w:val="21"/>
                <w:highlight w:val="none"/>
              </w:rPr>
            </w:pPr>
            <w:r>
              <w:rPr>
                <w:rFonts w:hint="eastAsia" w:ascii="宋体" w:hAnsi="宋体" w:eastAsia="宋体" w:cs="Times New Roman"/>
                <w:color w:val="auto"/>
                <w:sz w:val="21"/>
                <w:highlight w:val="none"/>
                <w:lang w:val="en-US" w:eastAsia="zh-CN" w:bidi="ar-SA"/>
              </w:rPr>
              <w:t>招标人不集中组织，由投标人自行踏勘</w:t>
            </w:r>
            <w:r>
              <w:rPr>
                <w:rFonts w:hint="eastAsia" w:ascii="宋体" w:hAnsi="宋体" w:cs="Times New Roman"/>
                <w:color w:val="auto"/>
                <w:sz w:val="21"/>
                <w:highlight w:val="none"/>
                <w:lang w:val="en-US" w:eastAsia="zh-CN" w:bidi="ar-SA"/>
              </w:rPr>
              <w:t>。</w:t>
            </w:r>
          </w:p>
        </w:tc>
      </w:tr>
      <w:tr w14:paraId="4C02328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622AA9CD">
            <w:pP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13</w:t>
            </w:r>
          </w:p>
        </w:tc>
        <w:tc>
          <w:tcPr>
            <w:tcW w:w="981" w:type="dxa"/>
            <w:tcBorders>
              <w:top w:val="single" w:color="auto" w:sz="4" w:space="0"/>
              <w:left w:val="single" w:color="auto" w:sz="4" w:space="0"/>
              <w:bottom w:val="single" w:color="auto" w:sz="4" w:space="0"/>
              <w:right w:val="single" w:color="auto" w:sz="4" w:space="0"/>
            </w:tcBorders>
            <w:vAlign w:val="center"/>
          </w:tcPr>
          <w:p w14:paraId="2C2EEB16">
            <w:pPr>
              <w:rPr>
                <w:rFonts w:ascii="宋体" w:hAnsi="宋体"/>
                <w:color w:val="auto"/>
                <w:szCs w:val="21"/>
                <w:highlight w:val="none"/>
              </w:rPr>
            </w:pPr>
            <w:r>
              <w:rPr>
                <w:rFonts w:ascii="宋体" w:hAnsi="宋体"/>
                <w:color w:val="auto"/>
                <w:szCs w:val="21"/>
                <w:highlight w:val="none"/>
              </w:rPr>
              <w:t>8</w:t>
            </w:r>
          </w:p>
        </w:tc>
        <w:tc>
          <w:tcPr>
            <w:tcW w:w="1733" w:type="dxa"/>
            <w:tcBorders>
              <w:top w:val="single" w:color="auto" w:sz="4" w:space="0"/>
              <w:left w:val="single" w:color="auto" w:sz="4" w:space="0"/>
              <w:bottom w:val="single" w:color="auto" w:sz="4" w:space="0"/>
              <w:right w:val="single" w:color="auto" w:sz="4" w:space="0"/>
            </w:tcBorders>
            <w:vAlign w:val="center"/>
          </w:tcPr>
          <w:p w14:paraId="44776B6E">
            <w:pPr>
              <w:rPr>
                <w:rFonts w:hint="eastAsia" w:ascii="宋体" w:hAnsi="宋体"/>
                <w:color w:val="auto"/>
                <w:szCs w:val="21"/>
                <w:highlight w:val="none"/>
              </w:rPr>
            </w:pPr>
            <w:r>
              <w:rPr>
                <w:rFonts w:hint="eastAsia" w:ascii="宋体" w:hAnsi="宋体"/>
                <w:color w:val="auto"/>
                <w:szCs w:val="21"/>
                <w:highlight w:val="none"/>
              </w:rPr>
              <w:t>投标答疑</w:t>
            </w:r>
          </w:p>
        </w:tc>
        <w:tc>
          <w:tcPr>
            <w:tcW w:w="5934" w:type="dxa"/>
            <w:tcBorders>
              <w:top w:val="single" w:color="auto" w:sz="4" w:space="0"/>
              <w:left w:val="single" w:color="auto" w:sz="4" w:space="0"/>
              <w:bottom w:val="single" w:color="auto" w:sz="4" w:space="0"/>
              <w:right w:val="double" w:color="auto" w:sz="4" w:space="0"/>
            </w:tcBorders>
            <w:vAlign w:val="center"/>
          </w:tcPr>
          <w:p w14:paraId="2864C206">
            <w:pPr>
              <w:rPr>
                <w:rFonts w:ascii="宋体" w:hAnsi="宋体"/>
                <w:color w:val="auto"/>
                <w:szCs w:val="21"/>
                <w:highlight w:val="none"/>
              </w:rPr>
            </w:pPr>
            <w:r>
              <w:rPr>
                <w:rFonts w:hint="eastAsia" w:ascii="宋体" w:hAnsi="宋体"/>
                <w:color w:val="auto"/>
                <w:szCs w:val="21"/>
                <w:highlight w:val="none"/>
              </w:rPr>
              <w:t>疑问提交时间：</w:t>
            </w:r>
            <w:r>
              <w:rPr>
                <w:rFonts w:ascii="宋体" w:hAnsi="宋体"/>
                <w:color w:val="auto"/>
                <w:szCs w:val="21"/>
                <w:highlight w:val="none"/>
                <w:u w:val="single"/>
              </w:rPr>
              <w:t xml:space="preserve">    </w:t>
            </w:r>
            <w:r>
              <w:rPr>
                <w:rFonts w:hint="eastAsia" w:ascii="宋体" w:hAnsi="宋体"/>
                <w:color w:val="auto"/>
                <w:szCs w:val="21"/>
                <w:highlight w:val="none"/>
              </w:rPr>
              <w:t>年</w:t>
            </w:r>
            <w:r>
              <w:rPr>
                <w:rFonts w:ascii="宋体" w:hAnsi="宋体"/>
                <w:color w:val="auto"/>
                <w:szCs w:val="21"/>
                <w:highlight w:val="none"/>
                <w:u w:val="single"/>
              </w:rPr>
              <w:t xml:space="preserve">  </w:t>
            </w:r>
            <w:r>
              <w:rPr>
                <w:rFonts w:hint="eastAsia" w:ascii="宋体" w:hAnsi="宋体"/>
                <w:color w:val="auto"/>
                <w:szCs w:val="21"/>
                <w:highlight w:val="none"/>
              </w:rPr>
              <w:t>月</w:t>
            </w:r>
            <w:r>
              <w:rPr>
                <w:rFonts w:ascii="宋体" w:hAnsi="宋体"/>
                <w:color w:val="auto"/>
                <w:szCs w:val="21"/>
                <w:highlight w:val="none"/>
                <w:u w:val="single"/>
              </w:rPr>
              <w:t xml:space="preserve">  </w:t>
            </w:r>
            <w:r>
              <w:rPr>
                <w:rFonts w:hint="eastAsia" w:ascii="宋体" w:hAnsi="宋体"/>
                <w:color w:val="auto"/>
                <w:szCs w:val="21"/>
                <w:highlight w:val="none"/>
              </w:rPr>
              <w:t>日</w:t>
            </w:r>
            <w:r>
              <w:rPr>
                <w:rFonts w:ascii="宋体" w:hAnsi="宋体"/>
                <w:color w:val="auto"/>
                <w:szCs w:val="21"/>
                <w:highlight w:val="none"/>
                <w:u w:val="single"/>
              </w:rPr>
              <w:t xml:space="preserve">   </w:t>
            </w:r>
            <w:r>
              <w:rPr>
                <w:rFonts w:hint="eastAsia" w:ascii="宋体" w:hAnsi="宋体"/>
                <w:color w:val="auto"/>
                <w:szCs w:val="21"/>
                <w:highlight w:val="none"/>
              </w:rPr>
              <w:t>时前；</w:t>
            </w:r>
          </w:p>
          <w:p w14:paraId="4CB23A96">
            <w:pPr>
              <w:rPr>
                <w:rFonts w:hint="eastAsia" w:ascii="宋体" w:hAnsi="宋体"/>
                <w:color w:val="auto"/>
                <w:szCs w:val="21"/>
                <w:highlight w:val="none"/>
              </w:rPr>
            </w:pPr>
            <w:r>
              <w:rPr>
                <w:rFonts w:hint="eastAsia" w:ascii="宋体" w:hAnsi="宋体"/>
                <w:color w:val="auto"/>
                <w:szCs w:val="21"/>
                <w:highlight w:val="none"/>
              </w:rPr>
              <w:t>形式：</w:t>
            </w:r>
            <w:r>
              <w:rPr>
                <w:rFonts w:hint="eastAsia" w:ascii="宋体" w:hAnsi="宋体"/>
                <w:color w:val="auto"/>
                <w:szCs w:val="21"/>
                <w:highlight w:val="none"/>
                <w:u w:val="single"/>
              </w:rPr>
              <w:t>投标人的疑问通过广州交易集团有限公司（广州公共资源交易中心）交易平台提交。</w:t>
            </w:r>
          </w:p>
          <w:p w14:paraId="1F708CF4">
            <w:pPr>
              <w:rPr>
                <w:rFonts w:hint="eastAsia" w:ascii="宋体" w:hAnsi="宋体" w:eastAsia="宋体" w:cs="Times New Roman"/>
                <w:color w:val="auto"/>
                <w:sz w:val="21"/>
                <w:highlight w:val="none"/>
                <w:lang w:val="en-US" w:eastAsia="zh-CN" w:bidi="ar-SA"/>
              </w:rPr>
            </w:pPr>
            <w:r>
              <w:rPr>
                <w:rFonts w:hint="eastAsia" w:ascii="宋体" w:hAnsi="宋体"/>
                <w:color w:val="auto"/>
                <w:szCs w:val="21"/>
                <w:highlight w:val="none"/>
              </w:rPr>
              <w:t>具体要求：</w:t>
            </w:r>
            <w:r>
              <w:rPr>
                <w:rFonts w:hint="eastAsia" w:ascii="宋体" w:hAnsi="宋体"/>
                <w:color w:val="auto"/>
                <w:szCs w:val="21"/>
                <w:highlight w:val="none"/>
                <w:u w:val="single"/>
              </w:rPr>
              <w:t>按照交易平台关于全流程电子化项目的相关指南进行操作，详见：广州交易集团有限公司（广州公共资源交易中心）网站。提问一律不得署名。</w:t>
            </w:r>
          </w:p>
        </w:tc>
      </w:tr>
      <w:tr w14:paraId="63253C1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129B170A">
            <w:pP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14</w:t>
            </w:r>
          </w:p>
        </w:tc>
        <w:tc>
          <w:tcPr>
            <w:tcW w:w="981" w:type="dxa"/>
            <w:tcBorders>
              <w:top w:val="single" w:color="auto" w:sz="4" w:space="0"/>
              <w:left w:val="single" w:color="auto" w:sz="4" w:space="0"/>
              <w:bottom w:val="single" w:color="auto" w:sz="4" w:space="0"/>
              <w:right w:val="single" w:color="auto" w:sz="4" w:space="0"/>
            </w:tcBorders>
            <w:vAlign w:val="center"/>
          </w:tcPr>
          <w:p w14:paraId="4956226C">
            <w:pPr>
              <w:rPr>
                <w:rFonts w:ascii="宋体" w:hAnsi="宋体"/>
                <w:color w:val="auto"/>
                <w:szCs w:val="21"/>
                <w:highlight w:val="none"/>
              </w:rPr>
            </w:pPr>
            <w:r>
              <w:rPr>
                <w:rFonts w:ascii="宋体" w:hAnsi="宋体"/>
                <w:color w:val="auto"/>
                <w:szCs w:val="21"/>
                <w:highlight w:val="none"/>
              </w:rPr>
              <w:t>13.1</w:t>
            </w:r>
          </w:p>
        </w:tc>
        <w:tc>
          <w:tcPr>
            <w:tcW w:w="1733" w:type="dxa"/>
            <w:tcBorders>
              <w:top w:val="single" w:color="auto" w:sz="4" w:space="0"/>
              <w:left w:val="single" w:color="auto" w:sz="4" w:space="0"/>
              <w:bottom w:val="single" w:color="auto" w:sz="4" w:space="0"/>
              <w:right w:val="single" w:color="auto" w:sz="4" w:space="0"/>
            </w:tcBorders>
            <w:vAlign w:val="center"/>
          </w:tcPr>
          <w:p w14:paraId="2648EB9F">
            <w:pPr>
              <w:rPr>
                <w:rFonts w:ascii="宋体" w:hAnsi="宋体"/>
                <w:color w:val="auto"/>
                <w:szCs w:val="21"/>
                <w:highlight w:val="none"/>
              </w:rPr>
            </w:pPr>
            <w:r>
              <w:rPr>
                <w:rFonts w:hint="eastAsia" w:ascii="宋体" w:hAnsi="宋体"/>
                <w:color w:val="auto"/>
                <w:szCs w:val="21"/>
                <w:highlight w:val="none"/>
              </w:rPr>
              <w:t>报价以及单价和总价计算方式</w:t>
            </w:r>
          </w:p>
        </w:tc>
        <w:tc>
          <w:tcPr>
            <w:tcW w:w="5934" w:type="dxa"/>
            <w:tcBorders>
              <w:top w:val="single" w:color="auto" w:sz="4" w:space="0"/>
              <w:left w:val="single" w:color="auto" w:sz="4" w:space="0"/>
              <w:bottom w:val="single" w:color="auto" w:sz="4" w:space="0"/>
              <w:right w:val="double" w:color="auto" w:sz="4" w:space="0"/>
            </w:tcBorders>
            <w:vAlign w:val="center"/>
          </w:tcPr>
          <w:p w14:paraId="01BD6A9B">
            <w:pPr>
              <w:rPr>
                <w:rFonts w:ascii="宋体" w:hAnsi="宋体"/>
                <w:color w:val="auto"/>
                <w:szCs w:val="21"/>
                <w:highlight w:val="none"/>
              </w:rPr>
            </w:pPr>
            <w:r>
              <w:rPr>
                <w:rFonts w:hint="eastAsia" w:ascii="宋体" w:hAnsi="宋体"/>
                <w:color w:val="auto"/>
                <w:szCs w:val="21"/>
                <w:highlight w:val="none"/>
              </w:rPr>
              <w:t>本工程的投标报价采用工程量清单计价方式，按合同约定执行。</w:t>
            </w:r>
          </w:p>
        </w:tc>
      </w:tr>
      <w:tr w14:paraId="005708A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42901506">
            <w:pP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15</w:t>
            </w:r>
          </w:p>
        </w:tc>
        <w:tc>
          <w:tcPr>
            <w:tcW w:w="981" w:type="dxa"/>
            <w:tcBorders>
              <w:top w:val="single" w:color="auto" w:sz="4" w:space="0"/>
              <w:left w:val="single" w:color="auto" w:sz="4" w:space="0"/>
              <w:bottom w:val="single" w:color="auto" w:sz="4" w:space="0"/>
              <w:right w:val="single" w:color="auto" w:sz="4" w:space="0"/>
            </w:tcBorders>
            <w:vAlign w:val="center"/>
          </w:tcPr>
          <w:p w14:paraId="74F4B0AA">
            <w:pPr>
              <w:rPr>
                <w:rFonts w:ascii="宋体" w:hAnsi="宋体"/>
                <w:color w:val="auto"/>
                <w:szCs w:val="21"/>
                <w:highlight w:val="none"/>
              </w:rPr>
            </w:pPr>
            <w:r>
              <w:rPr>
                <w:rFonts w:ascii="宋体" w:hAnsi="宋体"/>
                <w:color w:val="auto"/>
                <w:szCs w:val="21"/>
                <w:highlight w:val="none"/>
              </w:rPr>
              <w:t>15.1</w:t>
            </w:r>
          </w:p>
        </w:tc>
        <w:tc>
          <w:tcPr>
            <w:tcW w:w="1733" w:type="dxa"/>
            <w:tcBorders>
              <w:top w:val="single" w:color="auto" w:sz="4" w:space="0"/>
              <w:left w:val="single" w:color="auto" w:sz="4" w:space="0"/>
              <w:bottom w:val="single" w:color="auto" w:sz="4" w:space="0"/>
              <w:right w:val="single" w:color="auto" w:sz="4" w:space="0"/>
            </w:tcBorders>
            <w:vAlign w:val="center"/>
          </w:tcPr>
          <w:p w14:paraId="34DC87E8">
            <w:pPr>
              <w:rPr>
                <w:rFonts w:ascii="宋体" w:hAnsi="宋体"/>
                <w:color w:val="auto"/>
                <w:szCs w:val="21"/>
                <w:highlight w:val="none"/>
              </w:rPr>
            </w:pPr>
            <w:r>
              <w:rPr>
                <w:rFonts w:hint="eastAsia" w:ascii="宋体" w:hAnsi="宋体"/>
                <w:color w:val="auto"/>
                <w:szCs w:val="21"/>
                <w:highlight w:val="none"/>
              </w:rPr>
              <w:t>投标有效期</w:t>
            </w:r>
          </w:p>
        </w:tc>
        <w:tc>
          <w:tcPr>
            <w:tcW w:w="5934" w:type="dxa"/>
            <w:tcBorders>
              <w:top w:val="single" w:color="auto" w:sz="4" w:space="0"/>
              <w:left w:val="single" w:color="auto" w:sz="4" w:space="0"/>
              <w:bottom w:val="single" w:color="auto" w:sz="4" w:space="0"/>
              <w:right w:val="double" w:color="auto" w:sz="4" w:space="0"/>
            </w:tcBorders>
            <w:vAlign w:val="center"/>
          </w:tcPr>
          <w:p w14:paraId="69119C69">
            <w:pPr>
              <w:rPr>
                <w:rFonts w:ascii="宋体" w:hAnsi="宋体"/>
                <w:color w:val="auto"/>
                <w:szCs w:val="21"/>
                <w:highlight w:val="none"/>
                <w:u w:val="single"/>
              </w:rPr>
            </w:pP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180</w:t>
            </w:r>
            <w:r>
              <w:rPr>
                <w:rFonts w:hint="eastAsia" w:ascii="宋体" w:hAnsi="宋体"/>
                <w:color w:val="auto"/>
                <w:szCs w:val="21"/>
                <w:highlight w:val="none"/>
              </w:rPr>
              <w:t>日历天。（从投标截止之日计起）</w:t>
            </w:r>
          </w:p>
        </w:tc>
      </w:tr>
      <w:tr w14:paraId="76796C5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08876FC9">
            <w:pP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16</w:t>
            </w:r>
          </w:p>
        </w:tc>
        <w:tc>
          <w:tcPr>
            <w:tcW w:w="981" w:type="dxa"/>
            <w:tcBorders>
              <w:top w:val="single" w:color="auto" w:sz="4" w:space="0"/>
              <w:left w:val="single" w:color="auto" w:sz="4" w:space="0"/>
              <w:bottom w:val="single" w:color="auto" w:sz="4" w:space="0"/>
              <w:right w:val="single" w:color="auto" w:sz="4" w:space="0"/>
            </w:tcBorders>
            <w:vAlign w:val="center"/>
          </w:tcPr>
          <w:p w14:paraId="47E03D4D">
            <w:pPr>
              <w:rPr>
                <w:rFonts w:ascii="宋体" w:hAnsi="宋体"/>
                <w:color w:val="auto"/>
                <w:szCs w:val="21"/>
                <w:highlight w:val="none"/>
              </w:rPr>
            </w:pPr>
            <w:r>
              <w:rPr>
                <w:rFonts w:ascii="宋体" w:hAnsi="宋体"/>
                <w:color w:val="auto"/>
                <w:szCs w:val="21"/>
                <w:highlight w:val="none"/>
              </w:rPr>
              <w:t>16.1</w:t>
            </w:r>
          </w:p>
        </w:tc>
        <w:tc>
          <w:tcPr>
            <w:tcW w:w="1733" w:type="dxa"/>
            <w:tcBorders>
              <w:top w:val="single" w:color="auto" w:sz="4" w:space="0"/>
              <w:left w:val="single" w:color="auto" w:sz="4" w:space="0"/>
              <w:bottom w:val="single" w:color="auto" w:sz="4" w:space="0"/>
              <w:right w:val="single" w:color="auto" w:sz="4" w:space="0"/>
            </w:tcBorders>
            <w:vAlign w:val="center"/>
          </w:tcPr>
          <w:p w14:paraId="0616F5F2">
            <w:pPr>
              <w:rPr>
                <w:rFonts w:ascii="宋体" w:hAnsi="宋体"/>
                <w:color w:val="auto"/>
                <w:szCs w:val="21"/>
                <w:highlight w:val="none"/>
              </w:rPr>
            </w:pPr>
            <w:r>
              <w:rPr>
                <w:rFonts w:hint="eastAsia" w:ascii="宋体" w:hAnsi="宋体"/>
                <w:color w:val="auto"/>
                <w:szCs w:val="21"/>
                <w:highlight w:val="none"/>
              </w:rPr>
              <w:t>投标保证金</w:t>
            </w:r>
          </w:p>
        </w:tc>
        <w:tc>
          <w:tcPr>
            <w:tcW w:w="5934" w:type="dxa"/>
            <w:tcBorders>
              <w:top w:val="single" w:color="auto" w:sz="4" w:space="0"/>
              <w:left w:val="single" w:color="auto" w:sz="4" w:space="0"/>
              <w:bottom w:val="single" w:color="auto" w:sz="4" w:space="0"/>
              <w:right w:val="double" w:color="auto" w:sz="4" w:space="0"/>
            </w:tcBorders>
            <w:vAlign w:val="center"/>
          </w:tcPr>
          <w:p w14:paraId="45CB6178">
            <w:pPr>
              <w:pStyle w:val="20"/>
              <w:rPr>
                <w:rFonts w:hint="eastAsia"/>
                <w:highlight w:val="none"/>
                <w:u w:val="single"/>
              </w:rPr>
            </w:pPr>
            <w:r>
              <w:rPr>
                <w:rFonts w:hint="eastAsia"/>
                <w:highlight w:val="none"/>
                <w:u w:val="single"/>
              </w:rPr>
              <w:t xml:space="preserve"> 10万元人民币，缴纳时间在投标截止时间之前。</w:t>
            </w:r>
          </w:p>
          <w:p w14:paraId="279E37BD">
            <w:pPr>
              <w:pStyle w:val="20"/>
              <w:rPr>
                <w:rFonts w:hint="eastAsia"/>
                <w:highlight w:val="none"/>
                <w:u w:val="single"/>
              </w:rPr>
            </w:pPr>
            <w:r>
              <w:rPr>
                <w:rFonts w:hint="eastAsia"/>
                <w:highlight w:val="none"/>
                <w:u w:val="single"/>
              </w:rPr>
              <w:t>注：1、投标保证金不得超过招标项目估算价的2%，投标保证金有效期应当与投标文件有效期一致。根据《房屋建筑和市政基础设施工程施工招标投标管理办法》（建设部令第89号）第二十六条的规定，投标保证金最高不得超过50万元。</w:t>
            </w:r>
          </w:p>
          <w:p w14:paraId="41B7F405">
            <w:pPr>
              <w:pStyle w:val="20"/>
              <w:rPr>
                <w:rFonts w:hint="eastAsia"/>
                <w:highlight w:val="none"/>
                <w:u w:val="single"/>
              </w:rPr>
            </w:pPr>
            <w:r>
              <w:rPr>
                <w:rFonts w:hint="eastAsia"/>
                <w:highlight w:val="none"/>
                <w:u w:val="single"/>
              </w:rPr>
              <w:t>投标保证金可采用现金、银行保函、保证保险、专业工程担保公司担保等方式缴纳投标保证金，须在递交投标文件截止时间前完成缴纳。</w:t>
            </w:r>
          </w:p>
          <w:p w14:paraId="5C003092">
            <w:pPr>
              <w:pStyle w:val="20"/>
              <w:rPr>
                <w:rFonts w:hint="eastAsia"/>
                <w:highlight w:val="none"/>
                <w:u w:val="single"/>
              </w:rPr>
            </w:pPr>
            <w:r>
              <w:rPr>
                <w:rFonts w:hint="eastAsia"/>
                <w:highlight w:val="none"/>
                <w:u w:val="single"/>
              </w:rPr>
              <w:t>（1）如采用现金或者支票形式提交的，投标保证金从投标人基本账户递交，由广州交易集团有限公司代收。具体操作要求详见广州交易集团有限公司（广州公共资源交易中心）网站中公布的有关指引，递交事宜请自行咨询指引中相关联系方式；请各投标人在投标文件递交截止时间前按上述金额递交至广州交易集团有限公司，到账情况以开标时交易平台系统中查询的数据信息为准。</w:t>
            </w:r>
          </w:p>
          <w:p w14:paraId="4E2AB049">
            <w:pPr>
              <w:pStyle w:val="20"/>
              <w:rPr>
                <w:rFonts w:hint="eastAsia"/>
                <w:highlight w:val="none"/>
                <w:u w:val="single"/>
              </w:rPr>
            </w:pPr>
            <w:r>
              <w:rPr>
                <w:rFonts w:hint="eastAsia"/>
                <w:highlight w:val="none"/>
                <w:u w:val="single"/>
              </w:rPr>
              <w:t>收款单位：广州交易集团有限公司</w:t>
            </w:r>
          </w:p>
          <w:p w14:paraId="4460C557">
            <w:pPr>
              <w:pStyle w:val="20"/>
              <w:rPr>
                <w:rFonts w:hint="eastAsia"/>
                <w:highlight w:val="none"/>
                <w:u w:val="single"/>
              </w:rPr>
            </w:pPr>
            <w:r>
              <w:rPr>
                <w:rFonts w:hint="eastAsia"/>
                <w:highlight w:val="none"/>
                <w:u w:val="single"/>
              </w:rPr>
              <w:t>开户银行：中国建设银行广州天润路支行</w:t>
            </w:r>
          </w:p>
          <w:p w14:paraId="729C7948">
            <w:pPr>
              <w:pStyle w:val="20"/>
              <w:rPr>
                <w:rFonts w:hint="eastAsia"/>
                <w:highlight w:val="none"/>
                <w:u w:val="single"/>
              </w:rPr>
            </w:pPr>
            <w:r>
              <w:rPr>
                <w:rFonts w:hint="eastAsia"/>
                <w:highlight w:val="none"/>
                <w:u w:val="single"/>
              </w:rPr>
              <w:t>银行账号：44001583404059333333</w:t>
            </w:r>
          </w:p>
          <w:p w14:paraId="3655EA2E">
            <w:pPr>
              <w:pStyle w:val="20"/>
              <w:rPr>
                <w:rFonts w:hint="eastAsia"/>
                <w:highlight w:val="none"/>
                <w:u w:val="single"/>
              </w:rPr>
            </w:pPr>
            <w:r>
              <w:rPr>
                <w:rFonts w:hint="eastAsia"/>
                <w:highlight w:val="none"/>
                <w:u w:val="single"/>
              </w:rPr>
              <w:t>（2）如采用投标保函或投标保证保险或专业工程担保公司担保的形式提交的，在开标前不得强制要求投标人提交纸质原件，由中标候选人在中标候选人公示前提交并在网上公示，但投标人应在投标文件中提交投标保函或投标保证保险扫描件并加盖投标人电子印章。</w:t>
            </w:r>
          </w:p>
          <w:p w14:paraId="577D4EEB">
            <w:pPr>
              <w:pStyle w:val="20"/>
              <w:rPr>
                <w:rFonts w:hint="eastAsia"/>
                <w:color w:val="auto"/>
                <w:highlight w:val="none"/>
                <w:u w:val="single"/>
                <w:lang w:eastAsia="zh-CN"/>
              </w:rPr>
            </w:pPr>
            <w:r>
              <w:rPr>
                <w:rFonts w:hint="eastAsia"/>
                <w:highlight w:val="none"/>
                <w:u w:val="single"/>
              </w:rPr>
              <w:t>如采用非现金电子化形式递交投标保证金，按广州交易集团有限公司（广州公共资源交易中心）发布的《广州公共资源交易中心关于开通电子保函服务功能的通知》操作。详见：http://ggzy.gz.gov.cn/zxgg/822128.jhtml</w:t>
            </w:r>
          </w:p>
        </w:tc>
      </w:tr>
      <w:tr w14:paraId="668C2AC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22D85765">
            <w:pPr>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7</w:t>
            </w:r>
          </w:p>
        </w:tc>
        <w:tc>
          <w:tcPr>
            <w:tcW w:w="981" w:type="dxa"/>
            <w:tcBorders>
              <w:top w:val="single" w:color="auto" w:sz="4" w:space="0"/>
              <w:left w:val="single" w:color="auto" w:sz="4" w:space="0"/>
              <w:bottom w:val="single" w:color="auto" w:sz="4" w:space="0"/>
              <w:right w:val="single" w:color="auto" w:sz="4" w:space="0"/>
            </w:tcBorders>
            <w:vAlign w:val="center"/>
          </w:tcPr>
          <w:p w14:paraId="0D4C113E">
            <w:pPr>
              <w:rPr>
                <w:rFonts w:ascii="宋体" w:hAnsi="宋体"/>
                <w:color w:val="auto"/>
                <w:szCs w:val="21"/>
                <w:highlight w:val="none"/>
              </w:rPr>
            </w:pPr>
            <w:r>
              <w:rPr>
                <w:rFonts w:hint="eastAsia" w:ascii="宋体" w:hAnsi="宋体"/>
                <w:color w:val="auto"/>
                <w:szCs w:val="21"/>
                <w:highlight w:val="none"/>
              </w:rPr>
              <w:t>20</w:t>
            </w:r>
            <w:r>
              <w:rPr>
                <w:rFonts w:ascii="宋体" w:hAnsi="宋体"/>
                <w:color w:val="auto"/>
                <w:szCs w:val="21"/>
                <w:highlight w:val="none"/>
              </w:rPr>
              <w:t>.1</w:t>
            </w:r>
          </w:p>
        </w:tc>
        <w:tc>
          <w:tcPr>
            <w:tcW w:w="1733" w:type="dxa"/>
            <w:tcBorders>
              <w:top w:val="single" w:color="auto" w:sz="4" w:space="0"/>
              <w:left w:val="single" w:color="auto" w:sz="4" w:space="0"/>
              <w:bottom w:val="single" w:color="auto" w:sz="4" w:space="0"/>
              <w:right w:val="single" w:color="auto" w:sz="4" w:space="0"/>
            </w:tcBorders>
            <w:vAlign w:val="center"/>
          </w:tcPr>
          <w:p w14:paraId="59530722">
            <w:pPr>
              <w:rPr>
                <w:rFonts w:ascii="宋体" w:hAnsi="宋体"/>
                <w:color w:val="auto"/>
                <w:szCs w:val="21"/>
                <w:highlight w:val="none"/>
              </w:rPr>
            </w:pPr>
            <w:r>
              <w:rPr>
                <w:rFonts w:hint="eastAsia" w:ascii="宋体" w:hAnsi="宋体"/>
                <w:color w:val="auto"/>
                <w:szCs w:val="21"/>
                <w:highlight w:val="none"/>
              </w:rPr>
              <w:t>投标截止时间</w:t>
            </w:r>
          </w:p>
        </w:tc>
        <w:tc>
          <w:tcPr>
            <w:tcW w:w="5934" w:type="dxa"/>
            <w:tcBorders>
              <w:top w:val="single" w:color="auto" w:sz="4" w:space="0"/>
              <w:left w:val="single" w:color="auto" w:sz="4" w:space="0"/>
              <w:bottom w:val="single" w:color="auto" w:sz="4" w:space="0"/>
              <w:right w:val="double" w:color="auto" w:sz="4" w:space="0"/>
            </w:tcBorders>
            <w:vAlign w:val="center"/>
          </w:tcPr>
          <w:p w14:paraId="65AE9E1D">
            <w:pPr>
              <w:rPr>
                <w:rFonts w:ascii="宋体" w:hAnsi="宋体"/>
                <w:strike/>
                <w:color w:val="auto"/>
                <w:szCs w:val="21"/>
                <w:highlight w:val="none"/>
              </w:rPr>
            </w:pPr>
            <w:r>
              <w:rPr>
                <w:rFonts w:ascii="宋体" w:hAnsi="宋体"/>
                <w:color w:val="auto"/>
                <w:szCs w:val="21"/>
                <w:highlight w:val="none"/>
                <w:u w:val="single"/>
              </w:rPr>
              <w:t xml:space="preserve">       </w:t>
            </w:r>
            <w:r>
              <w:rPr>
                <w:rFonts w:hint="eastAsia" w:ascii="宋体" w:hAnsi="宋体"/>
                <w:color w:val="auto"/>
                <w:szCs w:val="21"/>
                <w:highlight w:val="none"/>
              </w:rPr>
              <w:t>年</w:t>
            </w:r>
            <w:r>
              <w:rPr>
                <w:rFonts w:ascii="宋体" w:hAnsi="宋体"/>
                <w:color w:val="auto"/>
                <w:szCs w:val="21"/>
                <w:highlight w:val="none"/>
                <w:u w:val="single"/>
              </w:rPr>
              <w:t xml:space="preserve">   </w:t>
            </w:r>
            <w:r>
              <w:rPr>
                <w:rFonts w:hint="eastAsia" w:ascii="宋体" w:hAnsi="宋体"/>
                <w:color w:val="auto"/>
                <w:szCs w:val="21"/>
                <w:highlight w:val="none"/>
              </w:rPr>
              <w:t>月</w:t>
            </w:r>
            <w:r>
              <w:rPr>
                <w:rFonts w:ascii="宋体" w:hAnsi="宋体"/>
                <w:color w:val="auto"/>
                <w:szCs w:val="21"/>
                <w:highlight w:val="none"/>
                <w:u w:val="single"/>
              </w:rPr>
              <w:t xml:space="preserve">    </w:t>
            </w:r>
            <w:r>
              <w:rPr>
                <w:rFonts w:hint="eastAsia" w:ascii="宋体" w:hAnsi="宋体"/>
                <w:color w:val="auto"/>
                <w:szCs w:val="21"/>
                <w:highlight w:val="none"/>
              </w:rPr>
              <w:t>日</w:t>
            </w:r>
            <w:r>
              <w:rPr>
                <w:rFonts w:ascii="宋体" w:hAnsi="宋体"/>
                <w:color w:val="auto"/>
                <w:szCs w:val="21"/>
                <w:highlight w:val="none"/>
                <w:u w:val="single"/>
              </w:rPr>
              <w:t xml:space="preserve">   </w:t>
            </w:r>
            <w:r>
              <w:rPr>
                <w:rFonts w:hint="eastAsia" w:ascii="宋体" w:hAnsi="宋体"/>
                <w:color w:val="auto"/>
                <w:szCs w:val="21"/>
                <w:highlight w:val="none"/>
              </w:rPr>
              <w:t>时（北京时间）。</w:t>
            </w:r>
          </w:p>
        </w:tc>
      </w:tr>
      <w:tr w14:paraId="76A248D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41840C2F">
            <w:pPr>
              <w:rPr>
                <w:rFonts w:ascii="宋体" w:hAnsi="宋体"/>
                <w:color w:val="auto"/>
                <w:szCs w:val="21"/>
                <w:highlight w:val="none"/>
              </w:rPr>
            </w:pPr>
            <w:r>
              <w:rPr>
                <w:rFonts w:hint="eastAsia" w:ascii="宋体" w:hAnsi="宋体"/>
                <w:color w:val="auto"/>
                <w:szCs w:val="21"/>
                <w:highlight w:val="none"/>
              </w:rPr>
              <w:t>18</w:t>
            </w:r>
          </w:p>
        </w:tc>
        <w:tc>
          <w:tcPr>
            <w:tcW w:w="981" w:type="dxa"/>
            <w:tcBorders>
              <w:top w:val="single" w:color="auto" w:sz="4" w:space="0"/>
              <w:left w:val="single" w:color="auto" w:sz="4" w:space="0"/>
              <w:bottom w:val="single" w:color="auto" w:sz="4" w:space="0"/>
              <w:right w:val="single" w:color="auto" w:sz="4" w:space="0"/>
            </w:tcBorders>
            <w:vAlign w:val="center"/>
          </w:tcPr>
          <w:p w14:paraId="42ACF29E">
            <w:pPr>
              <w:rPr>
                <w:rFonts w:ascii="宋体" w:hAnsi="宋体"/>
                <w:color w:val="auto"/>
                <w:szCs w:val="21"/>
                <w:highlight w:val="none"/>
              </w:rPr>
            </w:pPr>
            <w:r>
              <w:rPr>
                <w:rFonts w:ascii="宋体" w:hAnsi="宋体"/>
                <w:color w:val="auto"/>
                <w:szCs w:val="21"/>
                <w:highlight w:val="none"/>
              </w:rPr>
              <w:t>20.1</w:t>
            </w:r>
          </w:p>
        </w:tc>
        <w:tc>
          <w:tcPr>
            <w:tcW w:w="1733" w:type="dxa"/>
            <w:tcBorders>
              <w:top w:val="single" w:color="auto" w:sz="4" w:space="0"/>
              <w:left w:val="single" w:color="auto" w:sz="4" w:space="0"/>
              <w:bottom w:val="single" w:color="auto" w:sz="4" w:space="0"/>
              <w:right w:val="single" w:color="auto" w:sz="4" w:space="0"/>
            </w:tcBorders>
            <w:vAlign w:val="center"/>
          </w:tcPr>
          <w:p w14:paraId="03C67681">
            <w:pPr>
              <w:rPr>
                <w:rFonts w:ascii="宋体" w:hAnsi="宋体"/>
                <w:color w:val="auto"/>
                <w:szCs w:val="21"/>
                <w:highlight w:val="none"/>
              </w:rPr>
            </w:pPr>
            <w:r>
              <w:rPr>
                <w:rFonts w:hint="eastAsia" w:ascii="宋体" w:hAnsi="宋体"/>
                <w:color w:val="auto"/>
                <w:szCs w:val="21"/>
                <w:highlight w:val="none"/>
              </w:rPr>
              <w:t>开标开始时间和地点</w:t>
            </w:r>
          </w:p>
        </w:tc>
        <w:tc>
          <w:tcPr>
            <w:tcW w:w="5934" w:type="dxa"/>
            <w:tcBorders>
              <w:top w:val="single" w:color="auto" w:sz="4" w:space="0"/>
              <w:left w:val="single" w:color="auto" w:sz="4" w:space="0"/>
              <w:bottom w:val="single" w:color="auto" w:sz="4" w:space="0"/>
              <w:right w:val="double" w:color="auto" w:sz="4" w:space="0"/>
            </w:tcBorders>
            <w:vAlign w:val="center"/>
          </w:tcPr>
          <w:p w14:paraId="054B3EC1">
            <w:pPr>
              <w:widowControl/>
              <w:jc w:val="left"/>
              <w:rPr>
                <w:rFonts w:hint="eastAsia"/>
                <w:highlight w:val="none"/>
              </w:rPr>
            </w:pPr>
            <w:r>
              <w:rPr>
                <w:rFonts w:hint="eastAsia"/>
                <w:highlight w:val="none"/>
              </w:rPr>
              <w:t>（技术标和经济标同时开标）</w:t>
            </w:r>
          </w:p>
          <w:p w14:paraId="2F963AC7">
            <w:pPr>
              <w:widowControl/>
              <w:jc w:val="left"/>
              <w:rPr>
                <w:rFonts w:hint="eastAsia"/>
                <w:highlight w:val="none"/>
              </w:rPr>
            </w:pPr>
            <w:r>
              <w:rPr>
                <w:rFonts w:hint="eastAsia"/>
                <w:highlight w:val="none"/>
              </w:rPr>
              <w:t>1．开标开始时间：2025年   月   日   时   分（与投标截止时间为同一时间），地点：广州交易集团有限公司（广州公共资源交易中心）第  开标室。（广州市天河区天润路333号）投标人也可选择参加在线开标，具体按照交易平台相关指南进行操作。详见：http//www.gzggzy.cn。</w:t>
            </w:r>
          </w:p>
          <w:p w14:paraId="388B0033">
            <w:pPr>
              <w:widowControl/>
              <w:jc w:val="left"/>
              <w:rPr>
                <w:rFonts w:hint="eastAsia"/>
                <w:highlight w:val="none"/>
              </w:rPr>
            </w:pPr>
            <w:r>
              <w:rPr>
                <w:rFonts w:hint="eastAsia"/>
                <w:highlight w:val="none"/>
              </w:rPr>
              <w:t>注：投标文件解密问题。投标人只用执行一次解密，招标人执行解密次数根据招标文件开标次数确定。</w:t>
            </w:r>
          </w:p>
          <w:p w14:paraId="1398FD56">
            <w:pPr>
              <w:widowControl/>
              <w:jc w:val="left"/>
              <w:rPr>
                <w:rFonts w:hint="eastAsia"/>
                <w:highlight w:val="none"/>
              </w:rPr>
            </w:pPr>
            <w:r>
              <w:rPr>
                <w:rFonts w:hint="eastAsia"/>
                <w:highlight w:val="none"/>
              </w:rPr>
              <w:t>2.递交投标文件备用光盘时间：2025年   月   日   时   分至     年  月  日  时  分；递交地点：广州交易集团有限公司（广州公共资源交易中心）第开标室。（广州市天河区天润路333号）。</w:t>
            </w:r>
          </w:p>
          <w:p w14:paraId="2AFB9076">
            <w:pPr>
              <w:widowControl/>
              <w:jc w:val="left"/>
              <w:rPr>
                <w:rFonts w:hint="eastAsia" w:ascii="宋体" w:hAnsi="宋体" w:cs="宋体"/>
                <w:bCs/>
                <w:color w:val="auto"/>
                <w:kern w:val="0"/>
                <w:szCs w:val="21"/>
                <w:highlight w:val="none"/>
              </w:rPr>
            </w:pPr>
            <w:r>
              <w:rPr>
                <w:rFonts w:hint="eastAsia"/>
                <w:highlight w:val="none"/>
              </w:rPr>
              <w:t>上述时间及地点是否有改变，请密切留意补充公告和招标答疑纪要的相关信息。</w:t>
            </w:r>
          </w:p>
        </w:tc>
      </w:tr>
      <w:tr w14:paraId="491C07F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87" w:hRule="atLeast"/>
        </w:trPr>
        <w:tc>
          <w:tcPr>
            <w:tcW w:w="702" w:type="dxa"/>
            <w:tcBorders>
              <w:top w:val="single" w:color="auto" w:sz="4" w:space="0"/>
              <w:left w:val="double" w:color="auto" w:sz="4" w:space="0"/>
              <w:bottom w:val="single" w:color="auto" w:sz="4" w:space="0"/>
              <w:right w:val="single" w:color="auto" w:sz="4" w:space="0"/>
            </w:tcBorders>
            <w:vAlign w:val="center"/>
          </w:tcPr>
          <w:p w14:paraId="0688983B">
            <w:pPr>
              <w:rPr>
                <w:rFonts w:ascii="宋体" w:hAnsi="宋体"/>
                <w:color w:val="auto"/>
                <w:szCs w:val="21"/>
                <w:highlight w:val="none"/>
              </w:rPr>
            </w:pPr>
            <w:r>
              <w:rPr>
                <w:rFonts w:hint="eastAsia" w:ascii="宋体" w:hAnsi="宋体"/>
                <w:color w:val="auto"/>
                <w:szCs w:val="21"/>
                <w:highlight w:val="none"/>
              </w:rPr>
              <w:t>19</w:t>
            </w:r>
          </w:p>
        </w:tc>
        <w:tc>
          <w:tcPr>
            <w:tcW w:w="981" w:type="dxa"/>
            <w:tcBorders>
              <w:top w:val="single" w:color="auto" w:sz="4" w:space="0"/>
              <w:left w:val="single" w:color="auto" w:sz="4" w:space="0"/>
              <w:bottom w:val="single" w:color="auto" w:sz="4" w:space="0"/>
              <w:right w:val="single" w:color="auto" w:sz="4" w:space="0"/>
            </w:tcBorders>
            <w:vAlign w:val="center"/>
          </w:tcPr>
          <w:p w14:paraId="6C58F16E">
            <w:pPr>
              <w:rPr>
                <w:rFonts w:ascii="宋体" w:hAnsi="宋体"/>
                <w:color w:val="auto"/>
                <w:szCs w:val="21"/>
                <w:highlight w:val="none"/>
              </w:rPr>
            </w:pPr>
            <w:r>
              <w:rPr>
                <w:rFonts w:ascii="宋体" w:hAnsi="宋体"/>
                <w:color w:val="auto"/>
                <w:szCs w:val="21"/>
                <w:highlight w:val="none"/>
              </w:rPr>
              <w:t>26</w:t>
            </w:r>
          </w:p>
        </w:tc>
        <w:tc>
          <w:tcPr>
            <w:tcW w:w="1733" w:type="dxa"/>
            <w:tcBorders>
              <w:top w:val="single" w:color="auto" w:sz="4" w:space="0"/>
              <w:left w:val="single" w:color="auto" w:sz="4" w:space="0"/>
              <w:bottom w:val="single" w:color="auto" w:sz="4" w:space="0"/>
              <w:right w:val="single" w:color="auto" w:sz="4" w:space="0"/>
            </w:tcBorders>
            <w:vAlign w:val="center"/>
          </w:tcPr>
          <w:p w14:paraId="5906133D">
            <w:pPr>
              <w:rPr>
                <w:rFonts w:ascii="宋体" w:hAnsi="宋体"/>
                <w:color w:val="auto"/>
                <w:szCs w:val="21"/>
                <w:highlight w:val="none"/>
              </w:rPr>
            </w:pPr>
            <w:r>
              <w:rPr>
                <w:rFonts w:hint="eastAsia" w:ascii="宋体" w:hAnsi="宋体"/>
                <w:color w:val="auto"/>
                <w:szCs w:val="21"/>
                <w:highlight w:val="none"/>
              </w:rPr>
              <w:t>开标评标办法</w:t>
            </w:r>
          </w:p>
        </w:tc>
        <w:tc>
          <w:tcPr>
            <w:tcW w:w="5934" w:type="dxa"/>
            <w:tcBorders>
              <w:top w:val="single" w:color="auto" w:sz="4" w:space="0"/>
              <w:left w:val="single" w:color="auto" w:sz="4" w:space="0"/>
              <w:bottom w:val="single" w:color="auto" w:sz="4" w:space="0"/>
              <w:right w:val="double" w:color="auto" w:sz="4" w:space="0"/>
            </w:tcBorders>
            <w:vAlign w:val="center"/>
          </w:tcPr>
          <w:p w14:paraId="50BBF097">
            <w:pPr>
              <w:pStyle w:val="4"/>
              <w:keepNext w:val="0"/>
              <w:keepLines w:val="0"/>
              <w:pageBreakBefore w:val="0"/>
              <w:widowControl w:val="0"/>
              <w:kinsoku/>
              <w:wordWrap/>
              <w:overflowPunct/>
              <w:topLinePunct w:val="0"/>
              <w:autoSpaceDE/>
              <w:autoSpaceDN/>
              <w:bidi w:val="0"/>
              <w:adjustRightInd/>
              <w:snapToGrid/>
              <w:spacing w:after="0" w:line="360" w:lineRule="exact"/>
              <w:ind w:firstLine="0"/>
              <w:textAlignment w:val="auto"/>
              <w:rPr>
                <w:rFonts w:hint="eastAsia" w:ascii="宋体" w:hAnsi="宋体"/>
                <w:color w:val="auto"/>
                <w:szCs w:val="21"/>
                <w:highlight w:val="none"/>
              </w:rPr>
            </w:pPr>
            <w:r>
              <w:rPr>
                <w:rFonts w:hint="eastAsia" w:ascii="宋体" w:hAnsi="宋体"/>
                <w:b/>
                <w:bCs/>
                <w:color w:val="auto"/>
                <w:szCs w:val="21"/>
                <w:highlight w:val="none"/>
                <w:u w:val="single"/>
              </w:rPr>
              <w:t>本工程采用评定分离方式确定中标人</w:t>
            </w:r>
            <w:r>
              <w:rPr>
                <w:rFonts w:hint="eastAsia" w:ascii="宋体" w:hAnsi="宋体"/>
                <w:color w:val="auto"/>
                <w:szCs w:val="21"/>
                <w:highlight w:val="none"/>
                <w:u w:val="single"/>
              </w:rPr>
              <w:t>。</w:t>
            </w:r>
          </w:p>
          <w:p w14:paraId="61E8F5E4">
            <w:pPr>
              <w:pStyle w:val="4"/>
              <w:keepNext w:val="0"/>
              <w:keepLines w:val="0"/>
              <w:pageBreakBefore w:val="0"/>
              <w:widowControl w:val="0"/>
              <w:kinsoku/>
              <w:wordWrap/>
              <w:overflowPunct/>
              <w:topLinePunct w:val="0"/>
              <w:autoSpaceDE/>
              <w:autoSpaceDN/>
              <w:bidi w:val="0"/>
              <w:adjustRightInd/>
              <w:snapToGrid/>
              <w:spacing w:after="0" w:line="360" w:lineRule="exact"/>
              <w:ind w:firstLine="0"/>
              <w:textAlignment w:val="auto"/>
              <w:rPr>
                <w:rFonts w:hint="eastAsia" w:ascii="宋体" w:hAnsi="宋体"/>
                <w:color w:val="auto"/>
                <w:szCs w:val="21"/>
                <w:highlight w:val="none"/>
                <w:u w:val="single"/>
              </w:rPr>
            </w:pPr>
            <w:r>
              <w:rPr>
                <w:rFonts w:hint="eastAsia" w:ascii="宋体" w:hAnsi="宋体"/>
                <w:color w:val="auto"/>
                <w:szCs w:val="21"/>
                <w:highlight w:val="none"/>
                <w:u w:val="none"/>
              </w:rPr>
              <w:t>方式一：选取方法</w:t>
            </w:r>
            <w:r>
              <w:rPr>
                <w:rFonts w:hint="eastAsia" w:ascii="宋体" w:hAnsi="宋体"/>
                <w:color w:val="auto"/>
                <w:szCs w:val="21"/>
                <w:highlight w:val="none"/>
                <w:u w:val="single"/>
              </w:rPr>
              <w:t>七（适合综合评分办法四，技术标与经济标同时开启）</w:t>
            </w:r>
          </w:p>
          <w:p w14:paraId="7528EDAA">
            <w:pPr>
              <w:pStyle w:val="4"/>
              <w:keepNext w:val="0"/>
              <w:keepLines w:val="0"/>
              <w:pageBreakBefore w:val="0"/>
              <w:widowControl w:val="0"/>
              <w:kinsoku/>
              <w:wordWrap/>
              <w:overflowPunct/>
              <w:topLinePunct w:val="0"/>
              <w:autoSpaceDE/>
              <w:autoSpaceDN/>
              <w:bidi w:val="0"/>
              <w:adjustRightInd/>
              <w:snapToGrid/>
              <w:spacing w:after="0" w:line="360" w:lineRule="exact"/>
              <w:ind w:firstLine="0"/>
              <w:textAlignment w:val="auto"/>
              <w:rPr>
                <w:rFonts w:hint="eastAsia" w:ascii="宋体" w:hAnsi="宋体"/>
                <w:color w:val="auto"/>
                <w:szCs w:val="21"/>
                <w:highlight w:val="none"/>
                <w:u w:val="single"/>
              </w:rPr>
            </w:pPr>
            <w:r>
              <w:rPr>
                <w:rFonts w:hint="eastAsia" w:ascii="宋体" w:hAnsi="宋体"/>
                <w:color w:val="auto"/>
                <w:szCs w:val="21"/>
                <w:highlight w:val="none"/>
                <w:u w:val="single"/>
              </w:rPr>
              <w:t>评标委员会按照招标文件规定的评标程序对投标人进行评审。若通过技术标及经济标有效性审查的合格投标人大于等于3家且少于等于20家的，则推荐全部合格的投标人为合格中标候选人（不排序）进入定标阶段。若通过技术标及经济标有效性审查的合格投标人大于20家的，按投标人总得分由高至低推荐排前20名的合格中标候选人【不排序，按统一社会信用代码后4位（除校验码外）大小排位，如统一社会信用代码后4位出现字母情况的，字母以“0”进行代替大小排位；如出现后4位（除校验码外）大小一致的，则随机排位】进入定标阶段，进入定标阶段不排序。</w:t>
            </w:r>
          </w:p>
          <w:p w14:paraId="481E0EC1">
            <w:pPr>
              <w:pStyle w:val="4"/>
              <w:keepNext w:val="0"/>
              <w:keepLines w:val="0"/>
              <w:pageBreakBefore w:val="0"/>
              <w:widowControl w:val="0"/>
              <w:kinsoku/>
              <w:wordWrap/>
              <w:overflowPunct/>
              <w:topLinePunct w:val="0"/>
              <w:autoSpaceDE/>
              <w:autoSpaceDN/>
              <w:bidi w:val="0"/>
              <w:adjustRightInd/>
              <w:snapToGrid/>
              <w:spacing w:after="0" w:line="360" w:lineRule="exact"/>
              <w:ind w:firstLine="0"/>
              <w:textAlignment w:val="auto"/>
              <w:rPr>
                <w:rFonts w:hint="eastAsia" w:ascii="宋体" w:hAnsi="宋体"/>
                <w:color w:val="auto"/>
                <w:szCs w:val="21"/>
                <w:highlight w:val="none"/>
                <w:u w:val="single"/>
              </w:rPr>
            </w:pPr>
            <w:r>
              <w:rPr>
                <w:rFonts w:hint="eastAsia" w:ascii="宋体" w:hAnsi="宋体"/>
                <w:color w:val="auto"/>
                <w:szCs w:val="21"/>
                <w:highlight w:val="none"/>
                <w:u w:val="single"/>
              </w:rPr>
              <w:t>总得分相同的投标文件，以施工组织设计部分得分较高的排前；总得分与施工组织设计部分得分均相同的投标文件，则按名次并列计算。若名次排列出现并列，则占用下一名次(如：第一名分数均相同的投标人有N个，则该N个投标人并列为第一名，下一名按第N+1名计算，依此类推）。如排名第20名的投标人有N个，则这N个投标人都推荐进入定标阶段。</w:t>
            </w:r>
          </w:p>
          <w:p w14:paraId="30654B17">
            <w:pPr>
              <w:pStyle w:val="4"/>
              <w:keepNext w:val="0"/>
              <w:keepLines w:val="0"/>
              <w:pageBreakBefore w:val="0"/>
              <w:widowControl w:val="0"/>
              <w:kinsoku/>
              <w:wordWrap/>
              <w:overflowPunct/>
              <w:topLinePunct w:val="0"/>
              <w:autoSpaceDE/>
              <w:autoSpaceDN/>
              <w:bidi w:val="0"/>
              <w:adjustRightInd/>
              <w:snapToGrid/>
              <w:spacing w:after="0" w:line="360" w:lineRule="exact"/>
              <w:ind w:firstLine="0" w:firstLineChars="0"/>
              <w:textAlignment w:val="auto"/>
              <w:rPr>
                <w:rFonts w:ascii="宋体" w:hAnsi="宋体"/>
                <w:color w:val="auto"/>
                <w:szCs w:val="21"/>
                <w:highlight w:val="yellow"/>
              </w:rPr>
            </w:pPr>
            <w:r>
              <w:rPr>
                <w:rFonts w:hint="eastAsia" w:ascii="宋体" w:hAnsi="宋体"/>
                <w:b/>
                <w:bCs/>
                <w:color w:val="auto"/>
                <w:szCs w:val="21"/>
                <w:highlight w:val="none"/>
                <w:u w:val="single"/>
              </w:rPr>
              <w:t>投标人总得分=技术得分（满分100分）×100%</w:t>
            </w:r>
          </w:p>
        </w:tc>
      </w:tr>
      <w:tr w14:paraId="5C800A2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87" w:hRule="atLeast"/>
        </w:trPr>
        <w:tc>
          <w:tcPr>
            <w:tcW w:w="702" w:type="dxa"/>
            <w:tcBorders>
              <w:top w:val="single" w:color="auto" w:sz="4" w:space="0"/>
              <w:left w:val="double" w:color="auto" w:sz="4" w:space="0"/>
              <w:bottom w:val="single" w:color="auto" w:sz="4" w:space="0"/>
              <w:right w:val="single" w:color="auto" w:sz="4" w:space="0"/>
            </w:tcBorders>
            <w:vAlign w:val="center"/>
          </w:tcPr>
          <w:p w14:paraId="4F822849">
            <w:pP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20</w:t>
            </w:r>
          </w:p>
        </w:tc>
        <w:tc>
          <w:tcPr>
            <w:tcW w:w="981" w:type="dxa"/>
            <w:tcBorders>
              <w:top w:val="single" w:color="auto" w:sz="4" w:space="0"/>
              <w:left w:val="single" w:color="auto" w:sz="4" w:space="0"/>
              <w:bottom w:val="single" w:color="auto" w:sz="4" w:space="0"/>
              <w:right w:val="single" w:color="auto" w:sz="4" w:space="0"/>
            </w:tcBorders>
            <w:vAlign w:val="center"/>
          </w:tcPr>
          <w:p w14:paraId="5B3F97C1">
            <w:pP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27</w:t>
            </w:r>
          </w:p>
        </w:tc>
        <w:tc>
          <w:tcPr>
            <w:tcW w:w="1733" w:type="dxa"/>
            <w:tcBorders>
              <w:top w:val="single" w:color="auto" w:sz="4" w:space="0"/>
              <w:left w:val="single" w:color="auto" w:sz="4" w:space="0"/>
              <w:bottom w:val="single" w:color="auto" w:sz="4" w:space="0"/>
              <w:right w:val="single" w:color="auto" w:sz="4" w:space="0"/>
            </w:tcBorders>
            <w:vAlign w:val="center"/>
          </w:tcPr>
          <w:p w14:paraId="70EA0A47">
            <w:pPr>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定标</w:t>
            </w:r>
          </w:p>
        </w:tc>
        <w:tc>
          <w:tcPr>
            <w:tcW w:w="5934" w:type="dxa"/>
            <w:tcBorders>
              <w:top w:val="single" w:color="auto" w:sz="4" w:space="0"/>
              <w:left w:val="single" w:color="auto" w:sz="4" w:space="0"/>
              <w:bottom w:val="single" w:color="auto" w:sz="4" w:space="0"/>
              <w:right w:val="double" w:color="auto" w:sz="4" w:space="0"/>
            </w:tcBorders>
            <w:vAlign w:val="center"/>
          </w:tcPr>
          <w:p w14:paraId="0FE3F4FB">
            <w:pPr>
              <w:pStyle w:val="4"/>
              <w:ind w:firstLine="0"/>
              <w:rPr>
                <w:rFonts w:hint="eastAsia" w:ascii="宋体" w:hAnsi="宋体"/>
                <w:color w:val="auto"/>
                <w:szCs w:val="21"/>
                <w:highlight w:val="none"/>
              </w:rPr>
            </w:pPr>
            <w:r>
              <w:rPr>
                <w:rFonts w:hint="eastAsia" w:ascii="宋体" w:hAnsi="宋体"/>
                <w:color w:val="auto"/>
                <w:szCs w:val="21"/>
                <w:highlight w:val="none"/>
              </w:rPr>
              <w:t>定标办法：采用评分法。</w:t>
            </w:r>
          </w:p>
        </w:tc>
      </w:tr>
      <w:tr w14:paraId="68C1060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11412911">
            <w:pPr>
              <w:rPr>
                <w:rFonts w:hint="eastAsia" w:ascii="宋体" w:hAnsi="宋体" w:eastAsia="宋体"/>
                <w:color w:val="auto"/>
                <w:szCs w:val="21"/>
                <w:highlight w:val="none"/>
                <w:lang w:eastAsia="zh-CN"/>
              </w:rPr>
            </w:pPr>
            <w:r>
              <w:rPr>
                <w:rFonts w:ascii="宋体" w:hAnsi="宋体"/>
                <w:color w:val="auto"/>
                <w:szCs w:val="21"/>
                <w:highlight w:val="none"/>
              </w:rPr>
              <w:t>2</w:t>
            </w:r>
            <w:r>
              <w:rPr>
                <w:rFonts w:hint="eastAsia" w:ascii="宋体" w:hAnsi="宋体"/>
                <w:color w:val="auto"/>
                <w:szCs w:val="21"/>
                <w:highlight w:val="none"/>
                <w:lang w:val="en-US" w:eastAsia="zh-CN"/>
              </w:rPr>
              <w:t>1</w:t>
            </w:r>
          </w:p>
        </w:tc>
        <w:tc>
          <w:tcPr>
            <w:tcW w:w="981" w:type="dxa"/>
            <w:tcBorders>
              <w:top w:val="single" w:color="auto" w:sz="4" w:space="0"/>
              <w:left w:val="single" w:color="auto" w:sz="4" w:space="0"/>
              <w:bottom w:val="single" w:color="auto" w:sz="4" w:space="0"/>
              <w:right w:val="single" w:color="auto" w:sz="4" w:space="0"/>
            </w:tcBorders>
            <w:vAlign w:val="center"/>
          </w:tcPr>
          <w:p w14:paraId="0868FC6B">
            <w:pPr>
              <w:rPr>
                <w:rFonts w:ascii="宋体" w:hAnsi="宋体"/>
                <w:color w:val="auto"/>
                <w:szCs w:val="21"/>
                <w:highlight w:val="none"/>
              </w:rPr>
            </w:pPr>
            <w:r>
              <w:rPr>
                <w:rFonts w:ascii="宋体" w:hAnsi="宋体"/>
                <w:color w:val="auto"/>
                <w:szCs w:val="21"/>
                <w:highlight w:val="none"/>
              </w:rPr>
              <w:t>29.1</w:t>
            </w:r>
          </w:p>
        </w:tc>
        <w:tc>
          <w:tcPr>
            <w:tcW w:w="1733" w:type="dxa"/>
            <w:tcBorders>
              <w:top w:val="single" w:color="auto" w:sz="4" w:space="0"/>
              <w:left w:val="single" w:color="auto" w:sz="4" w:space="0"/>
              <w:bottom w:val="single" w:color="auto" w:sz="4" w:space="0"/>
              <w:right w:val="single" w:color="auto" w:sz="4" w:space="0"/>
            </w:tcBorders>
            <w:vAlign w:val="center"/>
          </w:tcPr>
          <w:p w14:paraId="2D597D2D">
            <w:pPr>
              <w:rPr>
                <w:rFonts w:ascii="宋体" w:hAnsi="宋体"/>
                <w:color w:val="auto"/>
                <w:szCs w:val="21"/>
                <w:highlight w:val="none"/>
              </w:rPr>
            </w:pPr>
            <w:r>
              <w:rPr>
                <w:rFonts w:hint="eastAsia" w:ascii="宋体" w:hAnsi="宋体"/>
                <w:color w:val="auto"/>
                <w:szCs w:val="21"/>
                <w:highlight w:val="none"/>
              </w:rPr>
              <w:t>履约担保</w:t>
            </w:r>
          </w:p>
        </w:tc>
        <w:tc>
          <w:tcPr>
            <w:tcW w:w="5934" w:type="dxa"/>
            <w:tcBorders>
              <w:top w:val="single" w:color="auto" w:sz="4" w:space="0"/>
              <w:left w:val="single" w:color="auto" w:sz="4" w:space="0"/>
              <w:bottom w:val="single" w:color="auto" w:sz="4" w:space="0"/>
              <w:right w:val="double" w:color="auto" w:sz="4" w:space="0"/>
            </w:tcBorders>
            <w:shd w:val="clear" w:color="auto" w:fill="auto"/>
            <w:vAlign w:val="center"/>
          </w:tcPr>
          <w:p w14:paraId="0F9DD2B6">
            <w:pPr>
              <w:rPr>
                <w:rFonts w:hint="eastAsia" w:ascii="宋体" w:hAnsi="宋体" w:cs="宋体"/>
                <w:color w:val="000000"/>
                <w:highlight w:val="none"/>
              </w:rPr>
            </w:pPr>
            <w:r>
              <w:rPr>
                <w:rFonts w:hint="eastAsia" w:ascii="宋体" w:hAnsi="宋体" w:cs="宋体"/>
                <w:color w:val="000000"/>
                <w:highlight w:val="none"/>
              </w:rPr>
              <w:t>是否要求投标人提交履约担保：</w:t>
            </w:r>
          </w:p>
          <w:p w14:paraId="430D78A2">
            <w:pPr>
              <w:rPr>
                <w:rFonts w:hint="eastAsia" w:ascii="宋体" w:hAnsi="宋体" w:cs="宋体"/>
                <w:color w:val="000000"/>
                <w:highlight w:val="none"/>
              </w:rPr>
            </w:pPr>
            <w:r>
              <w:rPr>
                <w:rFonts w:hint="eastAsia" w:ascii="宋体" w:hAnsi="宋体" w:cs="宋体"/>
                <w:color w:val="000000"/>
                <w:highlight w:val="none"/>
                <w:lang w:eastAsia="zh-CN"/>
              </w:rPr>
              <w:t>☑</w:t>
            </w:r>
            <w:r>
              <w:rPr>
                <w:rFonts w:hint="eastAsia" w:ascii="宋体" w:hAnsi="宋体" w:cs="宋体"/>
                <w:color w:val="000000"/>
                <w:highlight w:val="none"/>
              </w:rPr>
              <w:t>要求：</w:t>
            </w:r>
          </w:p>
          <w:p w14:paraId="4E47A870">
            <w:pPr>
              <w:rPr>
                <w:rFonts w:hint="eastAsia" w:ascii="宋体" w:hAnsi="宋体" w:cs="宋体"/>
                <w:color w:val="000000"/>
                <w:highlight w:val="none"/>
              </w:rPr>
            </w:pPr>
            <w:r>
              <w:rPr>
                <w:rFonts w:hint="eastAsia" w:ascii="宋体" w:hAnsi="宋体" w:cs="宋体"/>
                <w:color w:val="000000"/>
                <w:highlight w:val="none"/>
              </w:rPr>
              <w:t>履约保证金的金额：</w:t>
            </w:r>
          </w:p>
          <w:p w14:paraId="20041BB5">
            <w:pPr>
              <w:rPr>
                <w:rFonts w:hint="eastAsia" w:ascii="宋体" w:hAnsi="宋体" w:cs="宋体"/>
                <w:color w:val="000000"/>
                <w:highlight w:val="none"/>
              </w:rPr>
            </w:pPr>
            <w:r>
              <w:rPr>
                <w:rFonts w:hint="eastAsia" w:ascii="宋体" w:hAnsi="宋体" w:cs="宋体"/>
                <w:color w:val="000000"/>
                <w:highlight w:val="none"/>
                <w:lang w:eastAsia="zh-CN"/>
              </w:rPr>
              <w:t>☑</w:t>
            </w:r>
            <w:r>
              <w:rPr>
                <w:rFonts w:hint="eastAsia" w:ascii="宋体" w:hAnsi="宋体" w:cs="宋体"/>
                <w:color w:val="000000"/>
                <w:highlight w:val="none"/>
              </w:rPr>
              <w:t>方式一：中标人提供的履约保证金为中标价款的</w:t>
            </w:r>
            <w:r>
              <w:rPr>
                <w:rFonts w:hint="eastAsia" w:ascii="宋体" w:hAnsi="宋体" w:cs="宋体"/>
                <w:color w:val="000000"/>
                <w:highlight w:val="none"/>
                <w:lang w:val="en-US" w:eastAsia="zh-CN"/>
              </w:rPr>
              <w:t>10</w:t>
            </w:r>
            <w:r>
              <w:rPr>
                <w:rFonts w:hint="eastAsia" w:ascii="宋体" w:hAnsi="宋体" w:cs="宋体"/>
                <w:color w:val="000000"/>
                <w:highlight w:val="none"/>
              </w:rPr>
              <w:t>%。</w:t>
            </w:r>
          </w:p>
          <w:p w14:paraId="4E976729">
            <w:pPr>
              <w:rPr>
                <w:rFonts w:hint="eastAsia" w:ascii="宋体" w:hAnsi="宋体" w:eastAsia="宋体" w:cs="宋体"/>
                <w:strike/>
                <w:kern w:val="2"/>
                <w:sz w:val="24"/>
                <w:szCs w:val="24"/>
                <w:highlight w:val="none"/>
                <w:u w:val="single"/>
                <w:lang w:val="en-US" w:eastAsia="zh-CN" w:bidi="ar-SA"/>
              </w:rPr>
            </w:pPr>
            <w:r>
              <w:rPr>
                <w:rFonts w:hint="eastAsia" w:ascii="宋体" w:hAnsi="宋体" w:cs="宋体"/>
                <w:color w:val="000000"/>
                <w:highlight w:val="none"/>
                <w:lang w:eastAsia="zh-CN"/>
              </w:rPr>
              <w:t>履约保证金的形式：详见本项目合同约定。</w:t>
            </w:r>
          </w:p>
        </w:tc>
      </w:tr>
      <w:tr w14:paraId="2A69A2D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702" w:type="dxa"/>
            <w:tcBorders>
              <w:top w:val="single" w:color="auto" w:sz="4" w:space="0"/>
              <w:left w:val="double" w:color="auto" w:sz="4" w:space="0"/>
              <w:bottom w:val="single" w:color="auto" w:sz="4" w:space="0"/>
              <w:right w:val="single" w:color="auto" w:sz="4" w:space="0"/>
            </w:tcBorders>
            <w:vAlign w:val="center"/>
          </w:tcPr>
          <w:p w14:paraId="127C1F19">
            <w:pPr>
              <w:rPr>
                <w:rFonts w:ascii="宋体" w:hAnsi="宋体"/>
                <w:color w:val="auto"/>
                <w:szCs w:val="21"/>
                <w:highlight w:val="none"/>
              </w:rPr>
            </w:pPr>
            <w:r>
              <w:rPr>
                <w:rFonts w:hint="eastAsia" w:ascii="宋体" w:hAnsi="宋体"/>
                <w:color w:val="auto"/>
                <w:szCs w:val="21"/>
                <w:highlight w:val="none"/>
                <w:lang w:val="en-US" w:eastAsia="zh-CN"/>
              </w:rPr>
              <w:t>22</w:t>
            </w:r>
          </w:p>
        </w:tc>
        <w:tc>
          <w:tcPr>
            <w:tcW w:w="981" w:type="dxa"/>
            <w:tcBorders>
              <w:top w:val="single" w:color="auto" w:sz="4" w:space="0"/>
              <w:left w:val="single" w:color="auto" w:sz="4" w:space="0"/>
              <w:bottom w:val="single" w:color="auto" w:sz="4" w:space="0"/>
              <w:right w:val="single" w:color="auto" w:sz="4" w:space="0"/>
            </w:tcBorders>
            <w:vAlign w:val="center"/>
          </w:tcPr>
          <w:p w14:paraId="15284B44">
            <w:pPr>
              <w:rPr>
                <w:rFonts w:ascii="宋体" w:hAnsi="宋体"/>
                <w:color w:val="auto"/>
                <w:szCs w:val="21"/>
                <w:highlight w:val="none"/>
              </w:rPr>
            </w:pPr>
            <w:r>
              <w:rPr>
                <w:rFonts w:hint="eastAsia" w:ascii="宋体" w:hAnsi="宋体"/>
                <w:color w:val="auto"/>
                <w:szCs w:val="21"/>
                <w:highlight w:val="none"/>
                <w:lang w:val="en-US" w:eastAsia="zh-CN"/>
              </w:rPr>
              <w:t>32.1</w:t>
            </w:r>
          </w:p>
        </w:tc>
        <w:tc>
          <w:tcPr>
            <w:tcW w:w="1733" w:type="dxa"/>
            <w:tcBorders>
              <w:top w:val="single" w:color="auto" w:sz="4" w:space="0"/>
              <w:left w:val="single" w:color="auto" w:sz="4" w:space="0"/>
              <w:bottom w:val="single" w:color="auto" w:sz="4" w:space="0"/>
              <w:right w:val="single" w:color="auto" w:sz="4" w:space="0"/>
            </w:tcBorders>
            <w:vAlign w:val="center"/>
          </w:tcPr>
          <w:p w14:paraId="3F23293D">
            <w:pPr>
              <w:rPr>
                <w:rFonts w:hint="eastAsia" w:ascii="宋体" w:hAnsi="宋体"/>
                <w:color w:val="auto"/>
                <w:szCs w:val="21"/>
                <w:highlight w:val="none"/>
              </w:rPr>
            </w:pPr>
            <w:r>
              <w:rPr>
                <w:rFonts w:hint="eastAsia" w:ascii="宋体" w:hAnsi="宋体"/>
                <w:color w:val="auto"/>
                <w:szCs w:val="21"/>
                <w:highlight w:val="none"/>
                <w:lang w:val="en-US" w:eastAsia="zh-CN"/>
              </w:rPr>
              <w:t>专业</w:t>
            </w:r>
            <w:r>
              <w:rPr>
                <w:rFonts w:hint="eastAsia" w:ascii="宋体" w:hAnsi="宋体"/>
                <w:color w:val="auto"/>
                <w:szCs w:val="21"/>
                <w:highlight w:val="none"/>
                <w:lang w:eastAsia="zh-CN"/>
              </w:rPr>
              <w:t>分包</w:t>
            </w:r>
          </w:p>
        </w:tc>
        <w:tc>
          <w:tcPr>
            <w:tcW w:w="5934" w:type="dxa"/>
            <w:tcBorders>
              <w:top w:val="single" w:color="auto" w:sz="4" w:space="0"/>
              <w:left w:val="single" w:color="auto" w:sz="4" w:space="0"/>
              <w:bottom w:val="single" w:color="auto" w:sz="4" w:space="0"/>
              <w:right w:val="double" w:color="auto" w:sz="4" w:space="0"/>
            </w:tcBorders>
            <w:vAlign w:val="center"/>
          </w:tcPr>
          <w:p w14:paraId="7F82DBB4">
            <w:pPr>
              <w:rPr>
                <w:rFonts w:ascii="宋体" w:hAnsi="宋体"/>
                <w:color w:val="auto"/>
                <w:kern w:val="0"/>
                <w:szCs w:val="21"/>
                <w:highlight w:val="none"/>
                <w:lang w:val="zh-CN"/>
              </w:rPr>
            </w:pPr>
            <w:r>
              <w:rPr>
                <w:rFonts w:hint="eastAsia" w:ascii="宋体" w:hAnsi="宋体"/>
                <w:color w:val="auto"/>
                <w:kern w:val="0"/>
                <w:szCs w:val="21"/>
                <w:highlight w:val="none"/>
                <w:lang w:val="zh-CN"/>
              </w:rPr>
              <w:t>□不允许；</w:t>
            </w:r>
          </w:p>
          <w:p w14:paraId="3AE18D1A">
            <w:pPr>
              <w:keepNext w:val="0"/>
              <w:keepLines w:val="0"/>
              <w:widowControl/>
              <w:suppressLineNumbers w:val="0"/>
              <w:jc w:val="left"/>
              <w:rPr>
                <w:highlight w:val="none"/>
              </w:rPr>
            </w:pPr>
            <w:r>
              <w:rPr>
                <w:rFonts w:hint="eastAsia" w:ascii="宋体" w:hAnsi="宋体"/>
                <w:color w:val="auto"/>
                <w:kern w:val="0"/>
                <w:szCs w:val="21"/>
                <w:highlight w:val="none"/>
                <w:lang w:val="zh-CN"/>
              </w:rPr>
              <w:t>☑允许：</w:t>
            </w:r>
            <w:r>
              <w:rPr>
                <w:rFonts w:hint="eastAsia" w:ascii="宋体" w:hAnsi="宋体" w:eastAsia="宋体" w:cs="宋体"/>
                <w:color w:val="000000"/>
                <w:kern w:val="0"/>
                <w:sz w:val="21"/>
                <w:szCs w:val="21"/>
                <w:highlight w:val="none"/>
                <w:lang w:val="en-US" w:eastAsia="zh-CN" w:bidi="ar"/>
              </w:rPr>
              <w:t xml:space="preserve">分包内容要求：对于非主体、非关键性工程，投标人不具备相应资质的，需经招标人审核批准后分包给具有相应资质和能力的专业单位实施。 </w:t>
            </w:r>
          </w:p>
          <w:p w14:paraId="0986DF3E">
            <w:pPr>
              <w:keepNext w:val="0"/>
              <w:keepLines w:val="0"/>
              <w:widowControl/>
              <w:suppressLineNumbers w:val="0"/>
              <w:jc w:val="left"/>
              <w:rPr>
                <w:highlight w:val="none"/>
              </w:rPr>
            </w:pPr>
            <w:r>
              <w:rPr>
                <w:rFonts w:hint="eastAsia" w:ascii="宋体" w:hAnsi="宋体" w:eastAsia="宋体" w:cs="宋体"/>
                <w:color w:val="000000"/>
                <w:kern w:val="0"/>
                <w:sz w:val="21"/>
                <w:szCs w:val="21"/>
                <w:highlight w:val="none"/>
                <w:lang w:val="en-US" w:eastAsia="zh-CN" w:bidi="ar"/>
              </w:rPr>
              <w:t xml:space="preserve">分包金额要求：按国家现行规定执行。 </w:t>
            </w:r>
          </w:p>
          <w:p w14:paraId="5F772363">
            <w:pPr>
              <w:keepNext w:val="0"/>
              <w:keepLines w:val="0"/>
              <w:widowControl/>
              <w:suppressLineNumbers w:val="0"/>
              <w:jc w:val="left"/>
              <w:rPr>
                <w:highlight w:val="none"/>
              </w:rPr>
            </w:pPr>
            <w:r>
              <w:rPr>
                <w:rFonts w:hint="eastAsia" w:ascii="宋体" w:hAnsi="宋体" w:eastAsia="宋体" w:cs="宋体"/>
                <w:color w:val="000000"/>
                <w:kern w:val="0"/>
                <w:sz w:val="21"/>
                <w:szCs w:val="21"/>
                <w:highlight w:val="none"/>
                <w:lang w:val="en-US" w:eastAsia="zh-CN" w:bidi="ar"/>
              </w:rPr>
              <w:t xml:space="preserve">对分包人的资质要求：按国家资质管理规定执行。 </w:t>
            </w:r>
          </w:p>
          <w:p w14:paraId="1C88121B">
            <w:pPr>
              <w:pStyle w:val="4"/>
              <w:spacing w:after="0"/>
              <w:ind w:firstLine="0" w:firstLineChars="0"/>
              <w:rPr>
                <w:rFonts w:hint="eastAsia" w:ascii="宋体" w:hAnsi="宋体"/>
                <w:color w:val="auto"/>
                <w:highlight w:val="none"/>
                <w:lang w:eastAsia="zh-CN"/>
              </w:rPr>
            </w:pPr>
            <w:r>
              <w:rPr>
                <w:rFonts w:hint="eastAsia" w:ascii="宋体" w:hAnsi="宋体" w:eastAsia="宋体" w:cs="宋体"/>
                <w:color w:val="000000"/>
                <w:kern w:val="0"/>
                <w:sz w:val="21"/>
                <w:szCs w:val="21"/>
                <w:highlight w:val="none"/>
                <w:lang w:val="en-US" w:eastAsia="zh-CN" w:bidi="ar"/>
              </w:rPr>
              <w:t>对分包人的其他要求：按国家资质管理规定执行。</w:t>
            </w:r>
          </w:p>
        </w:tc>
      </w:tr>
      <w:tr w14:paraId="604BA0D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196" w:hRule="atLeast"/>
        </w:trPr>
        <w:tc>
          <w:tcPr>
            <w:tcW w:w="702" w:type="dxa"/>
            <w:tcBorders>
              <w:top w:val="single" w:color="auto" w:sz="4" w:space="0"/>
              <w:left w:val="double" w:color="auto" w:sz="4" w:space="0"/>
              <w:bottom w:val="single" w:color="auto" w:sz="4" w:space="0"/>
              <w:right w:val="single" w:color="auto" w:sz="4" w:space="0"/>
            </w:tcBorders>
            <w:vAlign w:val="center"/>
          </w:tcPr>
          <w:p w14:paraId="7B57E010">
            <w:pPr>
              <w:rPr>
                <w:rFonts w:hint="eastAsia" w:ascii="宋体" w:hAnsi="宋体" w:eastAsia="宋体"/>
                <w:color w:val="auto"/>
                <w:szCs w:val="21"/>
                <w:highlight w:val="none"/>
                <w:lang w:val="en-US" w:eastAsia="zh-CN"/>
              </w:rPr>
            </w:pPr>
            <w:r>
              <w:rPr>
                <w:rFonts w:ascii="宋体" w:hAnsi="宋体"/>
                <w:color w:val="auto"/>
                <w:szCs w:val="21"/>
                <w:highlight w:val="none"/>
              </w:rPr>
              <w:t>2</w:t>
            </w:r>
            <w:r>
              <w:rPr>
                <w:rFonts w:hint="eastAsia" w:ascii="宋体" w:hAnsi="宋体"/>
                <w:color w:val="auto"/>
                <w:szCs w:val="21"/>
                <w:highlight w:val="none"/>
                <w:lang w:val="en-US" w:eastAsia="zh-CN"/>
              </w:rPr>
              <w:t>3</w:t>
            </w:r>
          </w:p>
        </w:tc>
        <w:tc>
          <w:tcPr>
            <w:tcW w:w="981" w:type="dxa"/>
            <w:tcBorders>
              <w:top w:val="single" w:color="auto" w:sz="4" w:space="0"/>
              <w:left w:val="single" w:color="auto" w:sz="4" w:space="0"/>
              <w:bottom w:val="single" w:color="auto" w:sz="4" w:space="0"/>
              <w:right w:val="single" w:color="auto" w:sz="4" w:space="0"/>
            </w:tcBorders>
            <w:vAlign w:val="center"/>
          </w:tcPr>
          <w:p w14:paraId="5F514D12">
            <w:pPr>
              <w:rPr>
                <w:rFonts w:hint="eastAsia" w:ascii="宋体" w:hAnsi="宋体"/>
                <w:color w:val="auto"/>
                <w:szCs w:val="21"/>
                <w:highlight w:val="none"/>
                <w:lang w:val="en-US" w:eastAsia="zh-CN"/>
              </w:rPr>
            </w:pPr>
          </w:p>
        </w:tc>
        <w:tc>
          <w:tcPr>
            <w:tcW w:w="1733" w:type="dxa"/>
            <w:tcBorders>
              <w:top w:val="single" w:color="auto" w:sz="4" w:space="0"/>
              <w:left w:val="single" w:color="auto" w:sz="4" w:space="0"/>
              <w:bottom w:val="single" w:color="auto" w:sz="4" w:space="0"/>
              <w:right w:val="single" w:color="auto" w:sz="4" w:space="0"/>
            </w:tcBorders>
            <w:vAlign w:val="center"/>
          </w:tcPr>
          <w:p w14:paraId="3B06E834">
            <w:pPr>
              <w:rPr>
                <w:rFonts w:hint="eastAsia" w:ascii="宋体" w:hAnsi="宋体"/>
                <w:color w:val="auto"/>
                <w:szCs w:val="21"/>
                <w:highlight w:val="none"/>
                <w:lang w:eastAsia="zh-CN"/>
              </w:rPr>
            </w:pPr>
            <w:r>
              <w:rPr>
                <w:rFonts w:hint="eastAsia" w:ascii="宋体" w:hAnsi="宋体"/>
                <w:color w:val="auto"/>
                <w:szCs w:val="21"/>
                <w:highlight w:val="none"/>
              </w:rPr>
              <w:t>最高投标限价</w:t>
            </w:r>
          </w:p>
        </w:tc>
        <w:tc>
          <w:tcPr>
            <w:tcW w:w="5934" w:type="dxa"/>
            <w:tcBorders>
              <w:top w:val="single" w:color="auto" w:sz="4" w:space="0"/>
              <w:left w:val="single" w:color="auto" w:sz="4" w:space="0"/>
              <w:bottom w:val="single" w:color="auto" w:sz="4" w:space="0"/>
              <w:right w:val="double" w:color="auto" w:sz="4" w:space="0"/>
            </w:tcBorders>
            <w:vAlign w:val="center"/>
          </w:tcPr>
          <w:p w14:paraId="18DE968A">
            <w:pPr>
              <w:widowControl/>
              <w:spacing w:after="0"/>
              <w:ind w:firstLineChars="0"/>
              <w:jc w:val="left"/>
              <w:rPr>
                <w:rFonts w:hint="eastAsia" w:ascii="宋体" w:hAnsi="宋体"/>
                <w:color w:val="auto"/>
                <w:kern w:val="0"/>
                <w:szCs w:val="21"/>
                <w:highlight w:val="none"/>
                <w:lang w:val="zh-CN"/>
              </w:rPr>
            </w:pPr>
            <w:r>
              <w:rPr>
                <w:rFonts w:hint="eastAsia" w:ascii="宋体" w:hAnsi="宋体"/>
                <w:color w:val="auto"/>
                <w:highlight w:val="none"/>
              </w:rPr>
              <w:t>本项目</w:t>
            </w:r>
            <w:r>
              <w:rPr>
                <w:rFonts w:hint="eastAsia" w:ascii="宋体" w:hAnsi="宋体" w:cs="宋体"/>
                <w:bCs/>
                <w:color w:val="auto"/>
                <w:kern w:val="0"/>
                <w:szCs w:val="21"/>
                <w:highlight w:val="none"/>
              </w:rPr>
              <w:t>最高</w:t>
            </w:r>
            <w:r>
              <w:rPr>
                <w:rFonts w:hint="eastAsia" w:ascii="宋体" w:hAnsi="宋体"/>
                <w:color w:val="auto"/>
                <w:highlight w:val="none"/>
              </w:rPr>
              <w:t>投标限价为人民币</w:t>
            </w:r>
            <w:r>
              <w:rPr>
                <w:rFonts w:hint="eastAsia" w:ascii="宋体" w:hAnsi="宋体"/>
                <w:color w:val="auto"/>
                <w:szCs w:val="21"/>
                <w:highlight w:val="none"/>
                <w:u w:val="single"/>
              </w:rPr>
              <w:t>16,318,331.34</w:t>
            </w:r>
            <w:r>
              <w:rPr>
                <w:rFonts w:hint="eastAsia" w:ascii="宋体" w:hAnsi="宋体"/>
                <w:color w:val="auto"/>
                <w:highlight w:val="none"/>
              </w:rPr>
              <w:t>元</w:t>
            </w:r>
            <w:r>
              <w:rPr>
                <w:rFonts w:hint="eastAsia" w:ascii="宋体" w:hAnsi="宋体"/>
                <w:color w:val="auto"/>
                <w:highlight w:val="none"/>
                <w:lang w:eastAsia="zh-CN"/>
              </w:rPr>
              <w:t>。详见本项目最高投标限价公布表。</w:t>
            </w:r>
          </w:p>
        </w:tc>
      </w:tr>
      <w:tr w14:paraId="38716B5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61" w:hRule="atLeast"/>
        </w:trPr>
        <w:tc>
          <w:tcPr>
            <w:tcW w:w="702" w:type="dxa"/>
            <w:tcBorders>
              <w:top w:val="single" w:color="auto" w:sz="4" w:space="0"/>
              <w:left w:val="double" w:color="auto" w:sz="4" w:space="0"/>
              <w:bottom w:val="single" w:color="auto" w:sz="4" w:space="0"/>
              <w:right w:val="single" w:color="auto" w:sz="4" w:space="0"/>
            </w:tcBorders>
            <w:vAlign w:val="center"/>
          </w:tcPr>
          <w:p w14:paraId="74E19B19">
            <w:pPr>
              <w:rPr>
                <w:rFonts w:hint="eastAsia" w:ascii="宋体" w:hAnsi="宋体" w:eastAsia="宋体"/>
                <w:color w:val="auto"/>
                <w:szCs w:val="21"/>
                <w:highlight w:val="none"/>
                <w:lang w:eastAsia="zh-CN"/>
              </w:rPr>
            </w:pPr>
            <w:r>
              <w:rPr>
                <w:rFonts w:ascii="宋体" w:hAnsi="宋体"/>
                <w:color w:val="auto"/>
                <w:szCs w:val="21"/>
                <w:highlight w:val="none"/>
              </w:rPr>
              <w:t>2</w:t>
            </w:r>
            <w:r>
              <w:rPr>
                <w:rFonts w:hint="eastAsia" w:ascii="宋体" w:hAnsi="宋体"/>
                <w:color w:val="auto"/>
                <w:szCs w:val="21"/>
                <w:highlight w:val="none"/>
                <w:lang w:val="en-US" w:eastAsia="zh-CN"/>
              </w:rPr>
              <w:t>4</w:t>
            </w:r>
          </w:p>
        </w:tc>
        <w:tc>
          <w:tcPr>
            <w:tcW w:w="981" w:type="dxa"/>
            <w:tcBorders>
              <w:top w:val="single" w:color="auto" w:sz="4" w:space="0"/>
              <w:left w:val="single" w:color="auto" w:sz="4" w:space="0"/>
              <w:bottom w:val="single" w:color="auto" w:sz="4" w:space="0"/>
              <w:right w:val="single" w:color="auto" w:sz="4" w:space="0"/>
            </w:tcBorders>
            <w:vAlign w:val="center"/>
          </w:tcPr>
          <w:p w14:paraId="1D3D0CC4">
            <w:pPr>
              <w:rPr>
                <w:rFonts w:ascii="宋体" w:hAnsi="宋体"/>
                <w:color w:val="auto"/>
                <w:szCs w:val="21"/>
                <w:highlight w:val="none"/>
              </w:rPr>
            </w:pPr>
          </w:p>
        </w:tc>
        <w:tc>
          <w:tcPr>
            <w:tcW w:w="1733" w:type="dxa"/>
            <w:tcBorders>
              <w:top w:val="single" w:color="auto" w:sz="4" w:space="0"/>
              <w:left w:val="single" w:color="auto" w:sz="4" w:space="0"/>
              <w:bottom w:val="single" w:color="auto" w:sz="4" w:space="0"/>
              <w:right w:val="single" w:color="auto" w:sz="4" w:space="0"/>
            </w:tcBorders>
            <w:vAlign w:val="center"/>
          </w:tcPr>
          <w:p w14:paraId="4A334E2C">
            <w:pPr>
              <w:rPr>
                <w:rFonts w:ascii="宋体" w:hAnsi="宋体"/>
                <w:color w:val="auto"/>
                <w:szCs w:val="21"/>
                <w:highlight w:val="none"/>
              </w:rPr>
            </w:pPr>
            <w:r>
              <w:rPr>
                <w:rFonts w:hint="eastAsia" w:ascii="宋体" w:hAnsi="宋体"/>
                <w:color w:val="auto"/>
                <w:szCs w:val="21"/>
                <w:highlight w:val="none"/>
              </w:rPr>
              <w:t>非竞争费用</w:t>
            </w:r>
          </w:p>
        </w:tc>
        <w:tc>
          <w:tcPr>
            <w:tcW w:w="5934" w:type="dxa"/>
            <w:tcBorders>
              <w:top w:val="single" w:color="auto" w:sz="4" w:space="0"/>
              <w:left w:val="single" w:color="auto" w:sz="4" w:space="0"/>
              <w:bottom w:val="single" w:color="auto" w:sz="4" w:space="0"/>
              <w:right w:val="double" w:color="auto" w:sz="4" w:space="0"/>
            </w:tcBorders>
            <w:vAlign w:val="center"/>
          </w:tcPr>
          <w:p w14:paraId="417C09FF">
            <w:pPr>
              <w:rPr>
                <w:rFonts w:ascii="宋体" w:hAnsi="宋体"/>
                <w:color w:val="auto"/>
                <w:szCs w:val="21"/>
                <w:highlight w:val="none"/>
              </w:rPr>
            </w:pPr>
            <w:r>
              <w:rPr>
                <w:rFonts w:hint="eastAsia" w:ascii="宋体" w:hAnsi="宋体"/>
                <w:color w:val="auto"/>
                <w:szCs w:val="21"/>
                <w:highlight w:val="none"/>
              </w:rPr>
              <w:t>本项目绿色施工安全防护措施费为</w:t>
            </w:r>
            <w:r>
              <w:rPr>
                <w:rFonts w:hint="eastAsia" w:ascii="宋体" w:hAnsi="宋体"/>
                <w:color w:val="auto"/>
                <w:szCs w:val="21"/>
                <w:highlight w:val="none"/>
                <w:u w:val="single"/>
                <w:lang w:val="en-US" w:eastAsia="zh-CN"/>
              </w:rPr>
              <w:t>410800.03</w:t>
            </w:r>
            <w:r>
              <w:rPr>
                <w:rFonts w:hint="eastAsia" w:ascii="宋体" w:hAnsi="宋体"/>
                <w:color w:val="auto"/>
                <w:szCs w:val="21"/>
                <w:highlight w:val="none"/>
              </w:rPr>
              <w:t>元，暂列金额为</w:t>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1234429.93</w:t>
            </w:r>
            <w:r>
              <w:rPr>
                <w:rFonts w:hint="eastAsia" w:ascii="宋体" w:hAnsi="宋体"/>
                <w:color w:val="auto"/>
                <w:szCs w:val="21"/>
                <w:highlight w:val="none"/>
              </w:rPr>
              <w:t>元，暂估价为</w:t>
            </w:r>
            <w:r>
              <w:rPr>
                <w:rFonts w:hint="eastAsia" w:ascii="宋体" w:hAnsi="宋体"/>
                <w:color w:val="auto"/>
                <w:szCs w:val="21"/>
                <w:highlight w:val="none"/>
                <w:u w:val="single"/>
                <w:lang w:val="en-US" w:eastAsia="zh-CN"/>
              </w:rPr>
              <w:t>/</w:t>
            </w:r>
            <w:r>
              <w:rPr>
                <w:rFonts w:hint="eastAsia" w:ascii="宋体" w:hAnsi="宋体"/>
                <w:color w:val="auto"/>
                <w:szCs w:val="21"/>
                <w:highlight w:val="none"/>
              </w:rPr>
              <w:t>元。（未按招标文件规定的金额填写的，由评标委员会按照招标文件规定的金额进行修正）</w:t>
            </w:r>
          </w:p>
        </w:tc>
      </w:tr>
      <w:tr w14:paraId="7B07BCC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trPr>
        <w:tc>
          <w:tcPr>
            <w:tcW w:w="702" w:type="dxa"/>
            <w:tcBorders>
              <w:top w:val="single" w:color="auto" w:sz="4" w:space="0"/>
              <w:left w:val="double" w:color="auto" w:sz="4" w:space="0"/>
              <w:bottom w:val="single" w:color="auto" w:sz="4" w:space="0"/>
              <w:right w:val="single" w:color="auto" w:sz="4" w:space="0"/>
            </w:tcBorders>
            <w:vAlign w:val="center"/>
          </w:tcPr>
          <w:p w14:paraId="14279074">
            <w:pPr>
              <w:rPr>
                <w:rFonts w:hint="eastAsia" w:ascii="宋体" w:hAnsi="宋体" w:eastAsia="宋体"/>
                <w:color w:val="auto"/>
                <w:szCs w:val="21"/>
                <w:highlight w:val="none"/>
                <w:lang w:eastAsia="zh-CN"/>
              </w:rPr>
            </w:pPr>
            <w:r>
              <w:rPr>
                <w:rFonts w:hint="eastAsia" w:ascii="宋体" w:hAnsi="宋体"/>
                <w:color w:val="auto"/>
                <w:szCs w:val="21"/>
                <w:highlight w:val="none"/>
              </w:rPr>
              <w:t>2</w:t>
            </w:r>
            <w:r>
              <w:rPr>
                <w:rFonts w:hint="eastAsia" w:ascii="宋体" w:hAnsi="宋体"/>
                <w:color w:val="auto"/>
                <w:szCs w:val="21"/>
                <w:highlight w:val="none"/>
                <w:lang w:val="en-US" w:eastAsia="zh-CN"/>
              </w:rPr>
              <w:t>5</w:t>
            </w:r>
          </w:p>
        </w:tc>
        <w:tc>
          <w:tcPr>
            <w:tcW w:w="981" w:type="dxa"/>
            <w:tcBorders>
              <w:top w:val="single" w:color="auto" w:sz="4" w:space="0"/>
              <w:left w:val="single" w:color="auto" w:sz="4" w:space="0"/>
              <w:bottom w:val="single" w:color="auto" w:sz="4" w:space="0"/>
              <w:right w:val="single" w:color="auto" w:sz="4" w:space="0"/>
            </w:tcBorders>
            <w:vAlign w:val="center"/>
          </w:tcPr>
          <w:p w14:paraId="3FE8E4D1">
            <w:pPr>
              <w:rPr>
                <w:rFonts w:ascii="宋体" w:hAnsi="宋体"/>
                <w:color w:val="auto"/>
                <w:szCs w:val="21"/>
                <w:highlight w:val="none"/>
              </w:rPr>
            </w:pPr>
          </w:p>
        </w:tc>
        <w:tc>
          <w:tcPr>
            <w:tcW w:w="1733" w:type="dxa"/>
            <w:tcBorders>
              <w:top w:val="single" w:color="auto" w:sz="4" w:space="0"/>
              <w:left w:val="single" w:color="auto" w:sz="4" w:space="0"/>
              <w:bottom w:val="single" w:color="auto" w:sz="4" w:space="0"/>
              <w:right w:val="single" w:color="auto" w:sz="4" w:space="0"/>
            </w:tcBorders>
            <w:vAlign w:val="center"/>
          </w:tcPr>
          <w:p w14:paraId="0B744D95">
            <w:pPr>
              <w:pStyle w:val="4"/>
              <w:ind w:firstLine="0"/>
              <w:rPr>
                <w:rFonts w:ascii="宋体" w:hAnsi="宋体"/>
                <w:color w:val="auto"/>
                <w:szCs w:val="21"/>
                <w:highlight w:val="none"/>
              </w:rPr>
            </w:pPr>
            <w:r>
              <w:rPr>
                <w:rFonts w:hint="eastAsia" w:ascii="宋体" w:hAnsi="宋体"/>
                <w:color w:val="auto"/>
                <w:szCs w:val="21"/>
                <w:highlight w:val="none"/>
              </w:rPr>
              <w:t>保修期</w:t>
            </w:r>
          </w:p>
        </w:tc>
        <w:tc>
          <w:tcPr>
            <w:tcW w:w="5934" w:type="dxa"/>
            <w:tcBorders>
              <w:top w:val="single" w:color="auto" w:sz="4" w:space="0"/>
              <w:left w:val="single" w:color="auto" w:sz="4" w:space="0"/>
              <w:bottom w:val="single" w:color="auto" w:sz="4" w:space="0"/>
              <w:right w:val="double" w:color="auto" w:sz="4" w:space="0"/>
            </w:tcBorders>
            <w:vAlign w:val="center"/>
          </w:tcPr>
          <w:p w14:paraId="725D631A">
            <w:pPr>
              <w:rPr>
                <w:rFonts w:ascii="宋体" w:hAnsi="宋体"/>
                <w:color w:val="auto"/>
                <w:szCs w:val="21"/>
                <w:highlight w:val="none"/>
              </w:rPr>
            </w:pPr>
            <w:r>
              <w:rPr>
                <w:rFonts w:hint="eastAsia" w:ascii="宋体" w:hAnsi="宋体"/>
                <w:color w:val="auto"/>
                <w:szCs w:val="21"/>
                <w:highlight w:val="none"/>
              </w:rPr>
              <w:t>按照《建设工程质量管理条例》和《工程质量保修书》规定。</w:t>
            </w:r>
          </w:p>
        </w:tc>
      </w:tr>
      <w:tr w14:paraId="1F251BA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7E9BA460">
            <w:pPr>
              <w:rPr>
                <w:rFonts w:hint="eastAsia" w:ascii="宋体" w:hAnsi="宋体" w:eastAsia="宋体"/>
                <w:strike/>
                <w:color w:val="auto"/>
                <w:szCs w:val="21"/>
                <w:highlight w:val="none"/>
                <w:lang w:eastAsia="zh-CN"/>
              </w:rPr>
            </w:pPr>
            <w:r>
              <w:rPr>
                <w:rFonts w:ascii="宋体" w:hAnsi="宋体"/>
                <w:strike/>
                <w:color w:val="auto"/>
                <w:szCs w:val="21"/>
                <w:highlight w:val="none"/>
              </w:rPr>
              <w:t>2</w:t>
            </w:r>
            <w:r>
              <w:rPr>
                <w:rFonts w:hint="eastAsia" w:ascii="宋体" w:hAnsi="宋体"/>
                <w:strike/>
                <w:color w:val="auto"/>
                <w:szCs w:val="21"/>
                <w:highlight w:val="none"/>
                <w:lang w:val="en-US" w:eastAsia="zh-CN"/>
              </w:rPr>
              <w:t>6</w:t>
            </w:r>
          </w:p>
        </w:tc>
        <w:tc>
          <w:tcPr>
            <w:tcW w:w="981" w:type="dxa"/>
            <w:tcBorders>
              <w:top w:val="single" w:color="auto" w:sz="4" w:space="0"/>
              <w:left w:val="single" w:color="auto" w:sz="4" w:space="0"/>
              <w:bottom w:val="single" w:color="auto" w:sz="4" w:space="0"/>
              <w:right w:val="single" w:color="auto" w:sz="4" w:space="0"/>
            </w:tcBorders>
            <w:vAlign w:val="center"/>
          </w:tcPr>
          <w:p w14:paraId="24AA9B84">
            <w:pPr>
              <w:rPr>
                <w:rFonts w:ascii="宋体" w:hAnsi="宋体"/>
                <w:strike/>
                <w:color w:val="auto"/>
                <w:szCs w:val="21"/>
                <w:highlight w:val="none"/>
              </w:rPr>
            </w:pPr>
          </w:p>
        </w:tc>
        <w:tc>
          <w:tcPr>
            <w:tcW w:w="1733" w:type="dxa"/>
            <w:tcBorders>
              <w:top w:val="single" w:color="auto" w:sz="4" w:space="0"/>
              <w:left w:val="single" w:color="auto" w:sz="4" w:space="0"/>
              <w:bottom w:val="single" w:color="auto" w:sz="4" w:space="0"/>
              <w:right w:val="single" w:color="auto" w:sz="4" w:space="0"/>
            </w:tcBorders>
            <w:vAlign w:val="center"/>
          </w:tcPr>
          <w:p w14:paraId="6C4B733B">
            <w:pPr>
              <w:rPr>
                <w:rFonts w:ascii="宋体" w:hAnsi="宋体"/>
                <w:strike/>
                <w:color w:val="auto"/>
                <w:szCs w:val="21"/>
                <w:highlight w:val="none"/>
              </w:rPr>
            </w:pPr>
            <w:r>
              <w:rPr>
                <w:rFonts w:hint="eastAsia" w:ascii="宋体" w:hAnsi="宋体"/>
                <w:strike/>
                <w:color w:val="auto"/>
                <w:szCs w:val="21"/>
                <w:highlight w:val="none"/>
              </w:rPr>
              <w:t>计算评标参考价的等分点值</w:t>
            </w:r>
          </w:p>
        </w:tc>
        <w:tc>
          <w:tcPr>
            <w:tcW w:w="5934" w:type="dxa"/>
            <w:tcBorders>
              <w:top w:val="single" w:color="auto" w:sz="4" w:space="0"/>
              <w:left w:val="single" w:color="auto" w:sz="4" w:space="0"/>
              <w:bottom w:val="single" w:color="auto" w:sz="4" w:space="0"/>
              <w:right w:val="double" w:color="auto" w:sz="4" w:space="0"/>
            </w:tcBorders>
            <w:vAlign w:val="center"/>
          </w:tcPr>
          <w:p w14:paraId="017CA169">
            <w:pPr>
              <w:rPr>
                <w:rFonts w:ascii="宋体" w:hAnsi="宋体"/>
                <w:strike/>
                <w:color w:val="auto"/>
                <w:szCs w:val="21"/>
                <w:highlight w:val="none"/>
              </w:rPr>
            </w:pPr>
            <w:r>
              <w:rPr>
                <w:rFonts w:hint="eastAsia" w:ascii="宋体" w:hAnsi="宋体"/>
                <w:strike/>
                <w:color w:val="auto"/>
                <w:szCs w:val="21"/>
                <w:highlight w:val="none"/>
              </w:rPr>
              <w:t>计算评标参考价的等分点值</w:t>
            </w:r>
            <w:r>
              <w:rPr>
                <w:rFonts w:ascii="宋体" w:hAnsi="宋体"/>
                <w:strike/>
                <w:color w:val="auto"/>
                <w:szCs w:val="21"/>
                <w:highlight w:val="none"/>
              </w:rPr>
              <w:t>X</w:t>
            </w:r>
            <w:r>
              <w:rPr>
                <w:rFonts w:hint="eastAsia" w:ascii="宋体" w:hAnsi="宋体"/>
                <w:strike/>
                <w:color w:val="auto"/>
                <w:szCs w:val="21"/>
                <w:highlight w:val="none"/>
              </w:rPr>
              <w:t>在开标</w:t>
            </w:r>
            <w:r>
              <w:rPr>
                <w:rFonts w:hint="eastAsia" w:ascii="宋体" w:hAnsi="宋体"/>
                <w:strike/>
                <w:color w:val="auto"/>
                <w:szCs w:val="21"/>
                <w:highlight w:val="none"/>
                <w:lang w:eastAsia="zh-CN"/>
              </w:rPr>
              <w:t>时</w:t>
            </w:r>
            <w:r>
              <w:rPr>
                <w:rFonts w:hint="eastAsia" w:ascii="宋体" w:hAnsi="宋体"/>
                <w:strike/>
                <w:color w:val="auto"/>
                <w:szCs w:val="21"/>
                <w:highlight w:val="none"/>
              </w:rPr>
              <w:t>从[0,100]</w:t>
            </w:r>
            <w:r>
              <w:rPr>
                <w:rFonts w:hint="eastAsia" w:ascii="宋体" w:hAnsi="宋体"/>
                <w:strike/>
                <w:color w:val="auto"/>
                <w:highlight w:val="none"/>
              </w:rPr>
              <w:t xml:space="preserve"> </w:t>
            </w:r>
            <w:r>
              <w:rPr>
                <w:rFonts w:hint="eastAsia" w:ascii="宋体" w:hAnsi="宋体"/>
                <w:strike/>
                <w:color w:val="auto"/>
                <w:szCs w:val="21"/>
                <w:highlight w:val="none"/>
              </w:rPr>
              <w:t>的整数中随机抽取。</w:t>
            </w:r>
          </w:p>
        </w:tc>
      </w:tr>
      <w:tr w14:paraId="6EC2DD8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15251998">
            <w:pPr>
              <w:rPr>
                <w:rFonts w:hint="eastAsia" w:ascii="宋体" w:hAnsi="宋体" w:eastAsia="宋体"/>
                <w:strike/>
                <w:color w:val="auto"/>
                <w:szCs w:val="21"/>
                <w:highlight w:val="none"/>
                <w:lang w:eastAsia="zh-CN"/>
              </w:rPr>
            </w:pPr>
            <w:r>
              <w:rPr>
                <w:rFonts w:hint="eastAsia" w:ascii="宋体" w:hAnsi="宋体"/>
                <w:strike/>
                <w:color w:val="auto"/>
                <w:szCs w:val="21"/>
                <w:highlight w:val="none"/>
              </w:rPr>
              <w:t>2</w:t>
            </w:r>
            <w:r>
              <w:rPr>
                <w:rFonts w:hint="eastAsia" w:ascii="宋体" w:hAnsi="宋体"/>
                <w:strike/>
                <w:color w:val="auto"/>
                <w:szCs w:val="21"/>
                <w:highlight w:val="none"/>
                <w:lang w:val="en-US" w:eastAsia="zh-CN"/>
              </w:rPr>
              <w:t>7</w:t>
            </w:r>
          </w:p>
        </w:tc>
        <w:tc>
          <w:tcPr>
            <w:tcW w:w="981" w:type="dxa"/>
            <w:tcBorders>
              <w:top w:val="single" w:color="auto" w:sz="4" w:space="0"/>
              <w:left w:val="single" w:color="auto" w:sz="4" w:space="0"/>
              <w:bottom w:val="single" w:color="auto" w:sz="4" w:space="0"/>
              <w:right w:val="single" w:color="auto" w:sz="4" w:space="0"/>
            </w:tcBorders>
            <w:vAlign w:val="center"/>
          </w:tcPr>
          <w:p w14:paraId="6D2926B2">
            <w:pPr>
              <w:ind w:firstLine="458"/>
              <w:rPr>
                <w:rFonts w:ascii="宋体" w:hAnsi="宋体"/>
                <w:strike/>
                <w:color w:val="auto"/>
                <w:szCs w:val="21"/>
                <w:highlight w:val="none"/>
              </w:rPr>
            </w:pPr>
          </w:p>
        </w:tc>
        <w:tc>
          <w:tcPr>
            <w:tcW w:w="1733" w:type="dxa"/>
            <w:tcBorders>
              <w:top w:val="single" w:color="auto" w:sz="4" w:space="0"/>
              <w:left w:val="single" w:color="auto" w:sz="4" w:space="0"/>
              <w:bottom w:val="single" w:color="auto" w:sz="4" w:space="0"/>
              <w:right w:val="single" w:color="auto" w:sz="4" w:space="0"/>
            </w:tcBorders>
            <w:vAlign w:val="center"/>
          </w:tcPr>
          <w:p w14:paraId="562D8E9F">
            <w:pPr>
              <w:rPr>
                <w:rFonts w:ascii="宋体" w:hAnsi="宋体"/>
                <w:strike/>
                <w:color w:val="auto"/>
                <w:szCs w:val="21"/>
                <w:highlight w:val="none"/>
              </w:rPr>
            </w:pPr>
            <w:r>
              <w:rPr>
                <w:rFonts w:hint="eastAsia" w:ascii="宋体" w:hAnsi="宋体"/>
                <w:strike/>
                <w:color w:val="auto"/>
                <w:szCs w:val="21"/>
                <w:highlight w:val="none"/>
              </w:rPr>
              <w:t>进入第二阶段评审的家数</w:t>
            </w:r>
          </w:p>
        </w:tc>
        <w:tc>
          <w:tcPr>
            <w:tcW w:w="5934" w:type="dxa"/>
            <w:tcBorders>
              <w:top w:val="single" w:color="auto" w:sz="4" w:space="0"/>
              <w:left w:val="single" w:color="auto" w:sz="4" w:space="0"/>
              <w:bottom w:val="single" w:color="auto" w:sz="4" w:space="0"/>
              <w:right w:val="double" w:color="auto" w:sz="4" w:space="0"/>
            </w:tcBorders>
            <w:vAlign w:val="center"/>
          </w:tcPr>
          <w:p w14:paraId="23E0B9FB">
            <w:pPr>
              <w:rPr>
                <w:rFonts w:ascii="宋体" w:hAnsi="宋体"/>
                <w:strike/>
                <w:color w:val="auto"/>
                <w:szCs w:val="21"/>
                <w:highlight w:val="none"/>
              </w:rPr>
            </w:pPr>
            <w:r>
              <w:rPr>
                <w:rFonts w:ascii="宋体" w:hAnsi="宋体"/>
                <w:strike/>
                <w:color w:val="auto"/>
                <w:szCs w:val="21"/>
                <w:highlight w:val="none"/>
              </w:rPr>
              <w:fldChar w:fldCharType="begin"/>
            </w:r>
            <w:r>
              <w:rPr>
                <w:rFonts w:ascii="宋体" w:hAnsi="宋体"/>
                <w:strike/>
                <w:color w:val="auto"/>
                <w:szCs w:val="21"/>
                <w:highlight w:val="none"/>
              </w:rPr>
              <w:instrText xml:space="preserve"> </w:instrText>
            </w:r>
            <w:r>
              <w:rPr>
                <w:rFonts w:hint="eastAsia" w:ascii="宋体" w:hAnsi="宋体"/>
                <w:strike/>
                <w:color w:val="auto"/>
                <w:szCs w:val="21"/>
                <w:highlight w:val="none"/>
              </w:rPr>
              <w:instrText xml:space="preserve">= 1 \* GB3</w:instrText>
            </w:r>
            <w:r>
              <w:rPr>
                <w:rFonts w:ascii="宋体" w:hAnsi="宋体"/>
                <w:strike/>
                <w:color w:val="auto"/>
                <w:szCs w:val="21"/>
                <w:highlight w:val="none"/>
              </w:rPr>
              <w:instrText xml:space="preserve"> </w:instrText>
            </w:r>
            <w:r>
              <w:rPr>
                <w:rFonts w:ascii="宋体" w:hAnsi="宋体"/>
                <w:strike/>
                <w:color w:val="auto"/>
                <w:szCs w:val="21"/>
                <w:highlight w:val="none"/>
              </w:rPr>
              <w:fldChar w:fldCharType="separate"/>
            </w:r>
            <w:r>
              <w:rPr>
                <w:rFonts w:hint="eastAsia" w:ascii="宋体" w:hAnsi="宋体"/>
                <w:strike/>
                <w:color w:val="auto"/>
                <w:szCs w:val="21"/>
                <w:highlight w:val="none"/>
              </w:rPr>
              <w:t>①</w:t>
            </w:r>
            <w:r>
              <w:rPr>
                <w:rFonts w:ascii="宋体" w:hAnsi="宋体"/>
                <w:strike/>
                <w:color w:val="auto"/>
                <w:szCs w:val="21"/>
                <w:highlight w:val="none"/>
              </w:rPr>
              <w:fldChar w:fldCharType="end"/>
            </w:r>
            <w:r>
              <w:rPr>
                <w:rFonts w:hint="eastAsia" w:ascii="宋体" w:hAnsi="宋体"/>
                <w:strike/>
                <w:color w:val="auto"/>
                <w:szCs w:val="21"/>
                <w:highlight w:val="none"/>
              </w:rPr>
              <w:t>通过技术有效性审查的投标人均进入第二阶段（适用于通过技术有效性审查家数在[3,</w:t>
            </w:r>
            <w:r>
              <w:rPr>
                <w:rFonts w:hint="eastAsia" w:ascii="宋体" w:hAnsi="宋体"/>
                <w:strike/>
                <w:color w:val="auto"/>
                <w:szCs w:val="21"/>
                <w:highlight w:val="none"/>
                <w:u w:val="single"/>
              </w:rPr>
              <w:t xml:space="preserve">  </w:t>
            </w:r>
            <w:r>
              <w:rPr>
                <w:rFonts w:hint="eastAsia" w:ascii="宋体" w:hAnsi="宋体"/>
                <w:strike/>
                <w:color w:val="auto"/>
                <w:szCs w:val="21"/>
                <w:highlight w:val="none"/>
              </w:rPr>
              <w:t>]中的）。</w:t>
            </w:r>
          </w:p>
          <w:p w14:paraId="13FBA5D6">
            <w:pPr>
              <w:rPr>
                <w:rFonts w:ascii="宋体" w:hAnsi="宋体"/>
                <w:strike/>
                <w:color w:val="auto"/>
                <w:szCs w:val="21"/>
                <w:highlight w:val="none"/>
              </w:rPr>
            </w:pPr>
            <w:r>
              <w:rPr>
                <w:rFonts w:ascii="宋体" w:hAnsi="宋体"/>
                <w:strike/>
                <w:color w:val="auto"/>
                <w:szCs w:val="21"/>
                <w:highlight w:val="none"/>
              </w:rPr>
              <w:fldChar w:fldCharType="begin"/>
            </w:r>
            <w:r>
              <w:rPr>
                <w:rFonts w:ascii="宋体" w:hAnsi="宋体"/>
                <w:strike/>
                <w:color w:val="auto"/>
                <w:szCs w:val="21"/>
                <w:highlight w:val="none"/>
              </w:rPr>
              <w:instrText xml:space="preserve"> </w:instrText>
            </w:r>
            <w:r>
              <w:rPr>
                <w:rFonts w:hint="eastAsia" w:ascii="宋体" w:hAnsi="宋体"/>
                <w:strike/>
                <w:color w:val="auto"/>
                <w:szCs w:val="21"/>
                <w:highlight w:val="none"/>
              </w:rPr>
              <w:instrText xml:space="preserve">= 2 \* GB3</w:instrText>
            </w:r>
            <w:r>
              <w:rPr>
                <w:rFonts w:ascii="宋体" w:hAnsi="宋体"/>
                <w:strike/>
                <w:color w:val="auto"/>
                <w:szCs w:val="21"/>
                <w:highlight w:val="none"/>
              </w:rPr>
              <w:instrText xml:space="preserve"> </w:instrText>
            </w:r>
            <w:r>
              <w:rPr>
                <w:rFonts w:ascii="宋体" w:hAnsi="宋体"/>
                <w:strike/>
                <w:color w:val="auto"/>
                <w:szCs w:val="21"/>
                <w:highlight w:val="none"/>
              </w:rPr>
              <w:fldChar w:fldCharType="separate"/>
            </w:r>
            <w:r>
              <w:rPr>
                <w:rFonts w:hint="eastAsia" w:ascii="宋体" w:hAnsi="宋体"/>
                <w:strike/>
                <w:color w:val="auto"/>
                <w:szCs w:val="21"/>
                <w:highlight w:val="none"/>
              </w:rPr>
              <w:t>②</w:t>
            </w:r>
            <w:r>
              <w:rPr>
                <w:rFonts w:ascii="宋体" w:hAnsi="宋体"/>
                <w:strike/>
                <w:color w:val="auto"/>
                <w:szCs w:val="21"/>
                <w:highlight w:val="none"/>
              </w:rPr>
              <w:fldChar w:fldCharType="end"/>
            </w:r>
            <w:r>
              <w:rPr>
                <w:rFonts w:hint="eastAsia" w:ascii="宋体" w:hAnsi="宋体"/>
                <w:strike/>
                <w:color w:val="auto"/>
                <w:szCs w:val="21"/>
                <w:highlight w:val="none"/>
              </w:rPr>
              <w:t>将第一阶段得分由高至低排序，前</w:t>
            </w:r>
            <w:r>
              <w:rPr>
                <w:rFonts w:hint="eastAsia" w:ascii="宋体" w:hAnsi="宋体"/>
                <w:strike/>
                <w:color w:val="auto"/>
                <w:szCs w:val="21"/>
                <w:highlight w:val="none"/>
                <w:u w:val="single"/>
              </w:rPr>
              <w:t xml:space="preserve">   </w:t>
            </w:r>
            <w:r>
              <w:rPr>
                <w:rFonts w:hint="eastAsia" w:ascii="宋体" w:hAnsi="宋体"/>
                <w:strike/>
                <w:color w:val="auto"/>
                <w:szCs w:val="21"/>
                <w:highlight w:val="none"/>
              </w:rPr>
              <w:t>名投标人进入第二阶段评审（适用于通过技术有效性审查家数大于</w:t>
            </w:r>
            <w:r>
              <w:rPr>
                <w:rFonts w:hint="eastAsia" w:ascii="宋体" w:hAnsi="宋体"/>
                <w:strike/>
                <w:color w:val="auto"/>
                <w:szCs w:val="21"/>
                <w:highlight w:val="none"/>
                <w:u w:val="single"/>
              </w:rPr>
              <w:t xml:space="preserve">  </w:t>
            </w:r>
            <w:r>
              <w:rPr>
                <w:rFonts w:hint="eastAsia" w:ascii="宋体" w:hAnsi="宋体"/>
                <w:strike/>
                <w:color w:val="auto"/>
                <w:szCs w:val="21"/>
                <w:highlight w:val="none"/>
              </w:rPr>
              <w:t>家的，招标人可根据工程具体情况，确定不少于</w:t>
            </w:r>
            <w:r>
              <w:rPr>
                <w:rFonts w:hint="eastAsia" w:ascii="宋体" w:hAnsi="宋体"/>
                <w:strike/>
                <w:color w:val="auto"/>
                <w:szCs w:val="21"/>
                <w:highlight w:val="none"/>
                <w:u w:val="single"/>
              </w:rPr>
              <w:t xml:space="preserve">   </w:t>
            </w:r>
            <w:r>
              <w:rPr>
                <w:rFonts w:hint="eastAsia" w:ascii="宋体" w:hAnsi="宋体"/>
                <w:strike/>
                <w:color w:val="auto"/>
                <w:szCs w:val="21"/>
                <w:highlight w:val="none"/>
              </w:rPr>
              <w:t>家进入第二阶段）。</w:t>
            </w:r>
          </w:p>
        </w:tc>
      </w:tr>
      <w:tr w14:paraId="13FFC5B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442D9F97">
            <w:pPr>
              <w:rPr>
                <w:rFonts w:hint="eastAsia" w:ascii="宋体" w:hAnsi="宋体" w:eastAsia="宋体"/>
                <w:strike/>
                <w:color w:val="auto"/>
                <w:szCs w:val="21"/>
                <w:highlight w:val="none"/>
                <w:lang w:eastAsia="zh-CN"/>
              </w:rPr>
            </w:pPr>
            <w:r>
              <w:rPr>
                <w:rFonts w:hint="eastAsia" w:ascii="宋体" w:hAnsi="宋体"/>
                <w:strike/>
                <w:color w:val="auto"/>
                <w:szCs w:val="21"/>
                <w:highlight w:val="none"/>
              </w:rPr>
              <w:t>2</w:t>
            </w:r>
            <w:r>
              <w:rPr>
                <w:rFonts w:hint="eastAsia" w:ascii="宋体" w:hAnsi="宋体"/>
                <w:strike/>
                <w:color w:val="auto"/>
                <w:szCs w:val="21"/>
                <w:highlight w:val="none"/>
                <w:lang w:val="en-US" w:eastAsia="zh-CN"/>
              </w:rPr>
              <w:t>8</w:t>
            </w:r>
          </w:p>
        </w:tc>
        <w:tc>
          <w:tcPr>
            <w:tcW w:w="981" w:type="dxa"/>
            <w:tcBorders>
              <w:top w:val="single" w:color="auto" w:sz="4" w:space="0"/>
              <w:left w:val="single" w:color="auto" w:sz="4" w:space="0"/>
              <w:bottom w:val="single" w:color="auto" w:sz="4" w:space="0"/>
              <w:right w:val="single" w:color="auto" w:sz="4" w:space="0"/>
            </w:tcBorders>
            <w:vAlign w:val="center"/>
          </w:tcPr>
          <w:p w14:paraId="6E5BC774">
            <w:pPr>
              <w:rPr>
                <w:rFonts w:ascii="宋体" w:hAnsi="宋体"/>
                <w:strike/>
                <w:color w:val="auto"/>
                <w:szCs w:val="21"/>
                <w:highlight w:val="none"/>
              </w:rPr>
            </w:pPr>
          </w:p>
        </w:tc>
        <w:tc>
          <w:tcPr>
            <w:tcW w:w="1733" w:type="dxa"/>
            <w:tcBorders>
              <w:top w:val="single" w:color="auto" w:sz="4" w:space="0"/>
              <w:left w:val="single" w:color="auto" w:sz="4" w:space="0"/>
              <w:bottom w:val="single" w:color="auto" w:sz="4" w:space="0"/>
              <w:right w:val="single" w:color="auto" w:sz="4" w:space="0"/>
            </w:tcBorders>
            <w:vAlign w:val="center"/>
          </w:tcPr>
          <w:p w14:paraId="2F11D1FC">
            <w:pPr>
              <w:rPr>
                <w:rFonts w:ascii="宋体" w:hAnsi="宋体"/>
                <w:strike/>
                <w:color w:val="auto"/>
                <w:szCs w:val="21"/>
                <w:highlight w:val="none"/>
              </w:rPr>
            </w:pPr>
            <w:r>
              <w:rPr>
                <w:rFonts w:hint="eastAsia" w:ascii="宋体" w:hAnsi="宋体"/>
                <w:strike/>
                <w:color w:val="auto"/>
                <w:szCs w:val="21"/>
                <w:highlight w:val="none"/>
              </w:rPr>
              <w:t>工程成本警</w:t>
            </w:r>
            <w:r>
              <w:rPr>
                <w:rFonts w:hint="eastAsia" w:ascii="宋体" w:hAnsi="宋体"/>
                <w:strike/>
                <w:color w:val="auto"/>
                <w:szCs w:val="21"/>
                <w:highlight w:val="none"/>
                <w:lang w:val="en-US" w:eastAsia="zh-CN"/>
              </w:rPr>
              <w:t>示</w:t>
            </w:r>
            <w:r>
              <w:rPr>
                <w:rFonts w:hint="eastAsia" w:ascii="宋体" w:hAnsi="宋体"/>
                <w:strike/>
                <w:color w:val="auto"/>
                <w:szCs w:val="21"/>
                <w:highlight w:val="none"/>
              </w:rPr>
              <w:t>价</w:t>
            </w:r>
          </w:p>
        </w:tc>
        <w:tc>
          <w:tcPr>
            <w:tcW w:w="5934" w:type="dxa"/>
            <w:tcBorders>
              <w:top w:val="single" w:color="auto" w:sz="4" w:space="0"/>
              <w:left w:val="single" w:color="auto" w:sz="4" w:space="0"/>
              <w:bottom w:val="single" w:color="auto" w:sz="4" w:space="0"/>
              <w:right w:val="double" w:color="auto" w:sz="4" w:space="0"/>
            </w:tcBorders>
            <w:vAlign w:val="center"/>
          </w:tcPr>
          <w:p w14:paraId="51006309">
            <w:pPr>
              <w:rPr>
                <w:rFonts w:hint="eastAsia" w:ascii="宋体" w:hAnsi="宋体"/>
                <w:strike/>
                <w:color w:val="auto"/>
                <w:szCs w:val="21"/>
                <w:highlight w:val="none"/>
              </w:rPr>
            </w:pPr>
            <w:r>
              <w:rPr>
                <w:rFonts w:hint="eastAsia" w:ascii="宋体" w:hAnsi="宋体"/>
                <w:strike/>
                <w:color w:val="auto"/>
                <w:szCs w:val="21"/>
                <w:highlight w:val="none"/>
              </w:rPr>
              <w:t>工程成本警</w:t>
            </w:r>
            <w:r>
              <w:rPr>
                <w:rFonts w:hint="eastAsia" w:ascii="宋体" w:hAnsi="宋体"/>
                <w:strike/>
                <w:color w:val="auto"/>
                <w:szCs w:val="21"/>
                <w:highlight w:val="none"/>
                <w:lang w:val="en-US" w:eastAsia="zh-CN"/>
              </w:rPr>
              <w:t>示</w:t>
            </w:r>
            <w:r>
              <w:rPr>
                <w:rFonts w:hint="eastAsia" w:ascii="宋体" w:hAnsi="宋体"/>
                <w:strike/>
                <w:color w:val="auto"/>
                <w:szCs w:val="21"/>
                <w:highlight w:val="none"/>
              </w:rPr>
              <w:t>价为</w:t>
            </w:r>
            <w:r>
              <w:rPr>
                <w:rFonts w:hint="eastAsia" w:ascii="宋体" w:hAnsi="宋体"/>
                <w:strike/>
                <w:color w:val="auto"/>
                <w:szCs w:val="21"/>
                <w:highlight w:val="none"/>
                <w:u w:val="single"/>
              </w:rPr>
              <w:t xml:space="preserve">       </w:t>
            </w:r>
            <w:r>
              <w:rPr>
                <w:rFonts w:hint="eastAsia" w:ascii="宋体" w:hAnsi="宋体"/>
                <w:strike/>
                <w:color w:val="auto"/>
                <w:szCs w:val="21"/>
                <w:highlight w:val="none"/>
              </w:rPr>
              <w:t>元。对低于该警</w:t>
            </w:r>
            <w:r>
              <w:rPr>
                <w:rFonts w:hint="eastAsia" w:ascii="宋体" w:hAnsi="宋体"/>
                <w:strike/>
                <w:color w:val="auto"/>
                <w:szCs w:val="21"/>
                <w:highlight w:val="none"/>
                <w:lang w:val="en-US" w:eastAsia="zh-CN"/>
              </w:rPr>
              <w:t>示</w:t>
            </w:r>
            <w:r>
              <w:rPr>
                <w:rFonts w:hint="eastAsia" w:ascii="宋体" w:hAnsi="宋体"/>
                <w:strike/>
                <w:color w:val="auto"/>
                <w:szCs w:val="21"/>
                <w:highlight w:val="none"/>
              </w:rPr>
              <w:t>价的投标报价，投标人必须提供详细的施工组织设计、单价、措施性费用、单价分析表、主要材料价格表、投标人成本分析供评标委员会评审，由评标委员会判定其是否低于企业自身成本。在评标过程中，评标委员会发现投标人的报价明显低于其他投标报价或者低于成本警</w:t>
            </w:r>
            <w:r>
              <w:rPr>
                <w:rFonts w:hint="eastAsia" w:ascii="宋体" w:hAnsi="宋体"/>
                <w:strike/>
                <w:color w:val="auto"/>
                <w:szCs w:val="21"/>
                <w:highlight w:val="none"/>
                <w:lang w:val="en-US" w:eastAsia="zh-CN"/>
              </w:rPr>
              <w:t>示</w:t>
            </w:r>
            <w:r>
              <w:rPr>
                <w:rFonts w:hint="eastAsia" w:ascii="宋体" w:hAnsi="宋体"/>
                <w:strike/>
                <w:color w:val="auto"/>
                <w:szCs w:val="21"/>
                <w:highlight w:val="none"/>
              </w:rPr>
              <w:t>价，使得其投标报价可能低于其个别成本的，应当要求该投标人作出书面说明并提供相关证明材料。投标人不能合理说明或者不能提供相关证明材料的，由评标委员会认定该投标人以低于成本报价竞标，应当否决其投标。</w:t>
            </w:r>
          </w:p>
          <w:p w14:paraId="3F2E7EBF">
            <w:pPr>
              <w:rPr>
                <w:rFonts w:ascii="宋体" w:hAnsi="宋体"/>
                <w:strike/>
                <w:color w:val="auto"/>
                <w:szCs w:val="21"/>
                <w:highlight w:val="none"/>
                <w:u w:val="single"/>
              </w:rPr>
            </w:pPr>
            <w:r>
              <w:rPr>
                <w:rFonts w:hint="eastAsia" w:ascii="楷体" w:hAnsi="楷体" w:eastAsia="楷体" w:cs="楷体"/>
                <w:strike/>
                <w:color w:val="auto"/>
                <w:szCs w:val="21"/>
                <w:highlight w:val="none"/>
              </w:rPr>
              <w:t>注：为充分体现招标人意愿及落实项目招标人负责制，警</w:t>
            </w:r>
            <w:r>
              <w:rPr>
                <w:rFonts w:hint="eastAsia" w:ascii="楷体" w:hAnsi="楷体" w:eastAsia="楷体" w:cs="楷体"/>
                <w:strike/>
                <w:color w:val="auto"/>
                <w:szCs w:val="21"/>
                <w:highlight w:val="none"/>
                <w:lang w:val="en-US" w:eastAsia="zh-CN"/>
              </w:rPr>
              <w:t>示</w:t>
            </w:r>
            <w:r>
              <w:rPr>
                <w:rFonts w:hint="eastAsia" w:ascii="楷体" w:hAnsi="楷体" w:eastAsia="楷体" w:cs="楷体"/>
                <w:strike/>
                <w:color w:val="auto"/>
                <w:szCs w:val="21"/>
                <w:highlight w:val="none"/>
              </w:rPr>
              <w:t>价由招标人</w:t>
            </w:r>
            <w:r>
              <w:rPr>
                <w:rFonts w:hint="eastAsia" w:ascii="楷体" w:hAnsi="楷体" w:eastAsia="楷体" w:cs="楷体"/>
                <w:strike/>
                <w:color w:val="auto"/>
                <w:szCs w:val="21"/>
                <w:highlight w:val="none"/>
                <w:lang w:eastAsia="zh-CN"/>
              </w:rPr>
              <w:t>确</w:t>
            </w:r>
            <w:r>
              <w:rPr>
                <w:rFonts w:hint="eastAsia" w:ascii="楷体" w:hAnsi="楷体" w:eastAsia="楷体" w:cs="楷体"/>
                <w:strike/>
                <w:color w:val="auto"/>
                <w:szCs w:val="21"/>
                <w:highlight w:val="none"/>
              </w:rPr>
              <w:t>定</w:t>
            </w:r>
            <w:r>
              <w:rPr>
                <w:rFonts w:hint="eastAsia" w:ascii="楷体" w:hAnsi="楷体" w:eastAsia="楷体" w:cs="楷体"/>
                <w:strike/>
                <w:color w:val="auto"/>
                <w:szCs w:val="21"/>
                <w:highlight w:val="none"/>
                <w:lang w:eastAsia="zh-CN"/>
              </w:rPr>
              <w:t>，并随招标文件一并公布</w:t>
            </w:r>
            <w:r>
              <w:rPr>
                <w:rFonts w:hint="eastAsia" w:ascii="楷体" w:hAnsi="楷体" w:eastAsia="楷体" w:cs="楷体"/>
                <w:strike/>
                <w:color w:val="auto"/>
                <w:szCs w:val="21"/>
                <w:highlight w:val="none"/>
              </w:rPr>
              <w:t>。对于合并招标项目，应按项目分别设置成本警示价。</w:t>
            </w:r>
          </w:p>
        </w:tc>
      </w:tr>
      <w:tr w14:paraId="0DB3A02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57098490">
            <w:pPr>
              <w:rPr>
                <w:rFonts w:hint="eastAsia" w:ascii="宋体" w:hAnsi="宋体" w:eastAsia="宋体"/>
                <w:strike/>
                <w:color w:val="auto"/>
                <w:szCs w:val="21"/>
                <w:highlight w:val="none"/>
                <w:lang w:eastAsia="zh-CN"/>
              </w:rPr>
            </w:pPr>
            <w:r>
              <w:rPr>
                <w:rFonts w:hint="eastAsia" w:ascii="宋体" w:hAnsi="宋体"/>
                <w:strike/>
                <w:color w:val="auto"/>
                <w:szCs w:val="21"/>
                <w:highlight w:val="none"/>
              </w:rPr>
              <w:t>2</w:t>
            </w:r>
            <w:r>
              <w:rPr>
                <w:rFonts w:hint="eastAsia" w:ascii="宋体" w:hAnsi="宋体"/>
                <w:strike/>
                <w:color w:val="auto"/>
                <w:szCs w:val="21"/>
                <w:highlight w:val="none"/>
                <w:lang w:val="en-US" w:eastAsia="zh-CN"/>
              </w:rPr>
              <w:t>9</w:t>
            </w:r>
          </w:p>
        </w:tc>
        <w:tc>
          <w:tcPr>
            <w:tcW w:w="981" w:type="dxa"/>
            <w:tcBorders>
              <w:top w:val="single" w:color="auto" w:sz="4" w:space="0"/>
              <w:left w:val="single" w:color="auto" w:sz="4" w:space="0"/>
              <w:bottom w:val="single" w:color="auto" w:sz="4" w:space="0"/>
              <w:right w:val="single" w:color="auto" w:sz="4" w:space="0"/>
            </w:tcBorders>
            <w:vAlign w:val="center"/>
          </w:tcPr>
          <w:p w14:paraId="5B8C6296">
            <w:pPr>
              <w:rPr>
                <w:rFonts w:ascii="宋体" w:hAnsi="宋体"/>
                <w:strike/>
                <w:color w:val="auto"/>
                <w:szCs w:val="21"/>
                <w:highlight w:val="none"/>
              </w:rPr>
            </w:pPr>
          </w:p>
        </w:tc>
        <w:tc>
          <w:tcPr>
            <w:tcW w:w="1733" w:type="dxa"/>
            <w:tcBorders>
              <w:top w:val="single" w:color="auto" w:sz="4" w:space="0"/>
              <w:left w:val="single" w:color="auto" w:sz="4" w:space="0"/>
              <w:bottom w:val="single" w:color="auto" w:sz="4" w:space="0"/>
              <w:right w:val="single" w:color="auto" w:sz="4" w:space="0"/>
            </w:tcBorders>
            <w:vAlign w:val="center"/>
          </w:tcPr>
          <w:p w14:paraId="6375DE5B">
            <w:pPr>
              <w:rPr>
                <w:rFonts w:ascii="宋体" w:hAnsi="宋体"/>
                <w:strike/>
                <w:color w:val="auto"/>
                <w:szCs w:val="21"/>
                <w:highlight w:val="none"/>
              </w:rPr>
            </w:pPr>
            <w:r>
              <w:rPr>
                <w:rFonts w:hint="eastAsia" w:ascii="宋体" w:hAnsi="宋体"/>
                <w:strike/>
                <w:color w:val="auto"/>
                <w:szCs w:val="21"/>
                <w:highlight w:val="none"/>
              </w:rPr>
              <w:t>第一阶段各分值的权重</w:t>
            </w:r>
          </w:p>
        </w:tc>
        <w:tc>
          <w:tcPr>
            <w:tcW w:w="5934" w:type="dxa"/>
            <w:tcBorders>
              <w:top w:val="single" w:color="auto" w:sz="4" w:space="0"/>
              <w:left w:val="single" w:color="auto" w:sz="4" w:space="0"/>
              <w:bottom w:val="single" w:color="auto" w:sz="4" w:space="0"/>
              <w:right w:val="double" w:color="auto" w:sz="4" w:space="0"/>
            </w:tcBorders>
            <w:vAlign w:val="center"/>
          </w:tcPr>
          <w:p w14:paraId="771DAC94">
            <w:pPr>
              <w:rPr>
                <w:rFonts w:ascii="宋体" w:hAnsi="宋体"/>
                <w:strike/>
                <w:color w:val="auto"/>
                <w:szCs w:val="21"/>
                <w:highlight w:val="none"/>
              </w:rPr>
            </w:pPr>
            <w:r>
              <w:rPr>
                <w:rFonts w:hint="eastAsia" w:ascii="宋体" w:hAnsi="宋体"/>
                <w:strike/>
                <w:color w:val="auto"/>
                <w:szCs w:val="21"/>
                <w:highlight w:val="none"/>
              </w:rPr>
              <w:t>技术分权重为</w:t>
            </w:r>
            <w:r>
              <w:rPr>
                <w:rFonts w:hint="eastAsia" w:ascii="宋体" w:hAnsi="宋体"/>
                <w:strike/>
                <w:color w:val="auto"/>
                <w:szCs w:val="21"/>
                <w:highlight w:val="none"/>
                <w:u w:val="single"/>
              </w:rPr>
              <w:t xml:space="preserve">    </w:t>
            </w:r>
            <w:r>
              <w:rPr>
                <w:rFonts w:hint="eastAsia" w:ascii="宋体" w:hAnsi="宋体"/>
                <w:strike/>
                <w:color w:val="auto"/>
                <w:szCs w:val="21"/>
                <w:highlight w:val="none"/>
              </w:rPr>
              <w:t>%，</w:t>
            </w:r>
            <w:r>
              <w:rPr>
                <w:rFonts w:hint="eastAsia" w:ascii="宋体" w:hAnsi="宋体"/>
                <w:strike/>
                <w:color w:val="auto"/>
                <w:szCs w:val="21"/>
                <w:highlight w:val="none"/>
                <w:lang w:eastAsia="zh-CN"/>
              </w:rPr>
              <w:t>信用评价</w:t>
            </w:r>
            <w:r>
              <w:rPr>
                <w:rFonts w:hint="eastAsia" w:ascii="宋体" w:hAnsi="宋体"/>
                <w:strike/>
                <w:color w:val="auto"/>
                <w:szCs w:val="21"/>
                <w:highlight w:val="none"/>
              </w:rPr>
              <w:t>分数权重为</w:t>
            </w:r>
            <w:r>
              <w:rPr>
                <w:rFonts w:hint="eastAsia" w:ascii="宋体" w:hAnsi="宋体"/>
                <w:strike/>
                <w:color w:val="auto"/>
                <w:szCs w:val="21"/>
                <w:highlight w:val="none"/>
                <w:u w:val="single"/>
              </w:rPr>
              <w:t xml:space="preserve">    </w:t>
            </w:r>
            <w:r>
              <w:rPr>
                <w:rFonts w:hint="eastAsia" w:ascii="宋体" w:hAnsi="宋体"/>
                <w:strike/>
                <w:color w:val="auto"/>
                <w:szCs w:val="21"/>
                <w:highlight w:val="none"/>
              </w:rPr>
              <w:t>%。</w:t>
            </w:r>
          </w:p>
          <w:p w14:paraId="33049D56">
            <w:pPr>
              <w:rPr>
                <w:rFonts w:ascii="宋体" w:hAnsi="宋体"/>
                <w:strike/>
                <w:color w:val="auto"/>
                <w:szCs w:val="21"/>
                <w:highlight w:val="none"/>
              </w:rPr>
            </w:pPr>
          </w:p>
        </w:tc>
      </w:tr>
      <w:tr w14:paraId="2C1965C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17DF6542">
            <w:pP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30</w:t>
            </w:r>
          </w:p>
        </w:tc>
        <w:tc>
          <w:tcPr>
            <w:tcW w:w="981" w:type="dxa"/>
            <w:tcBorders>
              <w:top w:val="single" w:color="auto" w:sz="4" w:space="0"/>
              <w:left w:val="single" w:color="auto" w:sz="4" w:space="0"/>
              <w:bottom w:val="single" w:color="auto" w:sz="4" w:space="0"/>
              <w:right w:val="single" w:color="auto" w:sz="4" w:space="0"/>
            </w:tcBorders>
            <w:vAlign w:val="center"/>
          </w:tcPr>
          <w:p w14:paraId="6AF44070">
            <w:pPr>
              <w:rPr>
                <w:rFonts w:ascii="宋体" w:hAnsi="宋体"/>
                <w:color w:val="auto"/>
                <w:szCs w:val="21"/>
                <w:highlight w:val="none"/>
              </w:rPr>
            </w:pPr>
          </w:p>
        </w:tc>
        <w:tc>
          <w:tcPr>
            <w:tcW w:w="1733" w:type="dxa"/>
            <w:tcBorders>
              <w:top w:val="single" w:color="auto" w:sz="4" w:space="0"/>
              <w:left w:val="single" w:color="auto" w:sz="4" w:space="0"/>
              <w:bottom w:val="single" w:color="auto" w:sz="4" w:space="0"/>
              <w:right w:val="single" w:color="auto" w:sz="4" w:space="0"/>
            </w:tcBorders>
            <w:vAlign w:val="center"/>
          </w:tcPr>
          <w:p w14:paraId="0C79F0DF">
            <w:pPr>
              <w:rPr>
                <w:rFonts w:ascii="宋体" w:hAnsi="宋体"/>
                <w:color w:val="auto"/>
                <w:szCs w:val="21"/>
                <w:highlight w:val="none"/>
              </w:rPr>
            </w:pPr>
            <w:r>
              <w:rPr>
                <w:rFonts w:hint="eastAsia" w:ascii="宋体" w:hAnsi="宋体"/>
                <w:color w:val="auto"/>
                <w:szCs w:val="21"/>
                <w:highlight w:val="none"/>
              </w:rPr>
              <w:t>评标委员会人数</w:t>
            </w:r>
          </w:p>
        </w:tc>
        <w:tc>
          <w:tcPr>
            <w:tcW w:w="5934" w:type="dxa"/>
            <w:tcBorders>
              <w:top w:val="single" w:color="auto" w:sz="4" w:space="0"/>
              <w:left w:val="single" w:color="auto" w:sz="4" w:space="0"/>
              <w:bottom w:val="single" w:color="auto" w:sz="4" w:space="0"/>
              <w:right w:val="double" w:color="auto" w:sz="4" w:space="0"/>
            </w:tcBorders>
            <w:vAlign w:val="center"/>
          </w:tcPr>
          <w:p w14:paraId="08B261D3">
            <w:pPr>
              <w:rPr>
                <w:rFonts w:ascii="宋体" w:hAnsi="宋体"/>
                <w:color w:val="auto"/>
                <w:szCs w:val="21"/>
                <w:highlight w:val="none"/>
              </w:rPr>
            </w:pPr>
            <w:r>
              <w:rPr>
                <w:rFonts w:hint="eastAsia" w:ascii="宋体" w:hAnsi="宋体"/>
                <w:color w:val="auto"/>
                <w:szCs w:val="21"/>
                <w:highlight w:val="none"/>
              </w:rPr>
              <w:t>评标委员会由招标人依法组建。</w:t>
            </w:r>
          </w:p>
        </w:tc>
      </w:tr>
      <w:tr w14:paraId="64188B4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09C219A2">
            <w:pPr>
              <w:rPr>
                <w:rFonts w:hint="default" w:ascii="宋体" w:hAnsi="宋体" w:eastAsia="宋体"/>
                <w:strike/>
                <w:color w:val="auto"/>
                <w:szCs w:val="21"/>
                <w:highlight w:val="none"/>
                <w:lang w:val="en-US" w:eastAsia="zh-CN"/>
              </w:rPr>
            </w:pPr>
            <w:r>
              <w:rPr>
                <w:rFonts w:hint="eastAsia" w:ascii="宋体" w:hAnsi="宋体"/>
                <w:strike/>
                <w:color w:val="auto"/>
                <w:szCs w:val="21"/>
                <w:highlight w:val="none"/>
                <w:lang w:val="en-US" w:eastAsia="zh-CN"/>
              </w:rPr>
              <w:t>31</w:t>
            </w:r>
          </w:p>
        </w:tc>
        <w:tc>
          <w:tcPr>
            <w:tcW w:w="981" w:type="dxa"/>
            <w:tcBorders>
              <w:top w:val="single" w:color="auto" w:sz="4" w:space="0"/>
              <w:left w:val="single" w:color="auto" w:sz="4" w:space="0"/>
              <w:bottom w:val="single" w:color="auto" w:sz="4" w:space="0"/>
              <w:right w:val="single" w:color="auto" w:sz="4" w:space="0"/>
            </w:tcBorders>
            <w:vAlign w:val="center"/>
          </w:tcPr>
          <w:p w14:paraId="05EB1E61">
            <w:pPr>
              <w:rPr>
                <w:rFonts w:ascii="宋体" w:hAnsi="宋体"/>
                <w:strike/>
                <w:color w:val="auto"/>
                <w:szCs w:val="21"/>
                <w:highlight w:val="none"/>
              </w:rPr>
            </w:pPr>
          </w:p>
        </w:tc>
        <w:tc>
          <w:tcPr>
            <w:tcW w:w="1733" w:type="dxa"/>
            <w:tcBorders>
              <w:top w:val="single" w:color="auto" w:sz="4" w:space="0"/>
              <w:left w:val="single" w:color="auto" w:sz="4" w:space="0"/>
              <w:bottom w:val="single" w:color="auto" w:sz="4" w:space="0"/>
              <w:right w:val="single" w:color="auto" w:sz="4" w:space="0"/>
            </w:tcBorders>
            <w:vAlign w:val="center"/>
          </w:tcPr>
          <w:p w14:paraId="296D78A4">
            <w:pPr>
              <w:rPr>
                <w:rFonts w:hint="eastAsia" w:ascii="宋体" w:hAnsi="宋体"/>
                <w:strike/>
                <w:color w:val="auto"/>
                <w:szCs w:val="21"/>
                <w:highlight w:val="none"/>
              </w:rPr>
            </w:pPr>
            <w:r>
              <w:rPr>
                <w:rFonts w:hint="eastAsia" w:ascii="宋体" w:hAnsi="宋体"/>
                <w:strike/>
                <w:color w:val="auto"/>
                <w:szCs w:val="21"/>
                <w:highlight w:val="none"/>
              </w:rPr>
              <w:t>企业</w:t>
            </w:r>
            <w:r>
              <w:rPr>
                <w:rFonts w:hint="eastAsia" w:ascii="宋体" w:hAnsi="宋体"/>
                <w:strike/>
                <w:color w:val="auto"/>
                <w:szCs w:val="21"/>
                <w:highlight w:val="none"/>
                <w:lang w:eastAsia="zh-CN"/>
              </w:rPr>
              <w:t>信用评价</w:t>
            </w:r>
            <w:r>
              <w:rPr>
                <w:rFonts w:hint="eastAsia" w:ascii="宋体" w:hAnsi="宋体"/>
                <w:strike/>
                <w:color w:val="auto"/>
                <w:szCs w:val="21"/>
                <w:highlight w:val="none"/>
              </w:rPr>
              <w:t>分数</w:t>
            </w:r>
          </w:p>
        </w:tc>
        <w:tc>
          <w:tcPr>
            <w:tcW w:w="5934" w:type="dxa"/>
            <w:tcBorders>
              <w:top w:val="single" w:color="auto" w:sz="4" w:space="0"/>
              <w:left w:val="single" w:color="auto" w:sz="4" w:space="0"/>
              <w:bottom w:val="single" w:color="auto" w:sz="4" w:space="0"/>
              <w:right w:val="double" w:color="auto" w:sz="4" w:space="0"/>
            </w:tcBorders>
            <w:vAlign w:val="center"/>
          </w:tcPr>
          <w:p w14:paraId="4017D1B2">
            <w:pPr>
              <w:rPr>
                <w:rFonts w:hint="eastAsia"/>
                <w:strike/>
                <w:highlight w:val="none"/>
              </w:rPr>
            </w:pPr>
            <w:r>
              <w:rPr>
                <w:rFonts w:hint="eastAsia"/>
                <w:strike/>
                <w:highlight w:val="none"/>
              </w:rPr>
              <w:t>本项目的企业</w:t>
            </w:r>
            <w:r>
              <w:rPr>
                <w:rFonts w:hint="eastAsia"/>
                <w:strike/>
                <w:highlight w:val="none"/>
                <w:lang w:eastAsia="zh-CN"/>
              </w:rPr>
              <w:t>信用评价</w:t>
            </w:r>
            <w:r>
              <w:rPr>
                <w:rFonts w:hint="eastAsia"/>
                <w:strike/>
                <w:highlight w:val="none"/>
              </w:rPr>
              <w:t>分数，以</w:t>
            </w:r>
            <w:r>
              <w:rPr>
                <w:strike/>
                <w:highlight w:val="none"/>
                <w:u w:val="single"/>
              </w:rPr>
              <w:t xml:space="preserve">              </w:t>
            </w:r>
            <w:r>
              <w:rPr>
                <w:rFonts w:hint="eastAsia"/>
                <w:strike/>
                <w:highlight w:val="none"/>
              </w:rPr>
              <w:t>为准。</w:t>
            </w:r>
          </w:p>
          <w:p w14:paraId="74A4F17D">
            <w:pPr>
              <w:pStyle w:val="10"/>
              <w:ind w:firstLine="0"/>
              <w:rPr>
                <w:rFonts w:hint="default" w:eastAsia="宋体"/>
                <w:strike/>
                <w:highlight w:val="none"/>
                <w:lang w:val="en-US" w:eastAsia="zh-CN"/>
              </w:rPr>
            </w:pPr>
            <w:r>
              <w:rPr>
                <w:rFonts w:hint="eastAsia" w:ascii="楷体" w:hAnsi="楷体" w:eastAsia="楷体" w:cs="楷体"/>
                <w:strike/>
                <w:color w:val="000000"/>
                <w:highlight w:val="none"/>
                <w:lang w:val="en-US" w:eastAsia="zh-CN"/>
              </w:rPr>
              <w:t>注：</w:t>
            </w:r>
            <w:r>
              <w:rPr>
                <w:rFonts w:hint="eastAsia" w:ascii="楷体" w:hAnsi="楷体" w:eastAsia="楷体" w:cs="楷体"/>
                <w:strike/>
                <w:highlight w:val="none"/>
                <w:lang w:eastAsia="zh-CN"/>
              </w:rPr>
              <w:t>按照广州市交通运输局城市道路、轨道交通建设行业信用评价</w:t>
            </w:r>
            <w:r>
              <w:rPr>
                <w:rFonts w:hint="eastAsia" w:ascii="楷体" w:hAnsi="楷体" w:eastAsia="楷体" w:cs="楷体"/>
                <w:strike/>
                <w:highlight w:val="none"/>
                <w:lang w:val="en-US" w:eastAsia="zh-CN"/>
              </w:rPr>
              <w:t>计分规则</w:t>
            </w:r>
            <w:r>
              <w:rPr>
                <w:rFonts w:hint="eastAsia" w:ascii="楷体" w:hAnsi="楷体" w:eastAsia="楷体" w:cs="楷体"/>
                <w:strike/>
                <w:highlight w:val="none"/>
                <w:lang w:eastAsia="zh-CN"/>
              </w:rPr>
              <w:t>有关规定计算。联合体投标时，</w:t>
            </w:r>
            <w:r>
              <w:rPr>
                <w:rFonts w:hint="eastAsia" w:ascii="楷体" w:hAnsi="楷体" w:eastAsia="楷体" w:cs="楷体"/>
                <w:strike/>
                <w:highlight w:val="none"/>
                <w:lang w:val="en-US" w:eastAsia="zh-CN"/>
              </w:rPr>
              <w:t>由招标人自行确定</w:t>
            </w:r>
            <w:r>
              <w:rPr>
                <w:rFonts w:hint="eastAsia" w:ascii="楷体" w:hAnsi="楷体" w:eastAsia="楷体" w:cs="楷体"/>
                <w:strike/>
                <w:highlight w:val="none"/>
                <w:lang w:eastAsia="zh-CN"/>
              </w:rPr>
              <w:t>信用评价得分计算</w:t>
            </w:r>
            <w:r>
              <w:rPr>
                <w:rFonts w:hint="eastAsia" w:ascii="楷体" w:hAnsi="楷体" w:eastAsia="楷体" w:cs="楷体"/>
                <w:strike/>
                <w:highlight w:val="none"/>
                <w:lang w:val="en-US" w:eastAsia="zh-CN"/>
              </w:rPr>
              <w:t>方式</w:t>
            </w:r>
            <w:r>
              <w:rPr>
                <w:rFonts w:hint="eastAsia" w:ascii="楷体" w:hAnsi="楷体" w:eastAsia="楷体" w:cs="楷体"/>
                <w:strike/>
                <w:highlight w:val="none"/>
                <w:lang w:eastAsia="zh-CN"/>
              </w:rPr>
              <w:t>。</w:t>
            </w:r>
            <w:r>
              <w:rPr>
                <w:rFonts w:hint="eastAsia" w:ascii="楷体" w:hAnsi="楷体" w:eastAsia="楷体" w:cs="楷体"/>
                <w:strike/>
                <w:highlight w:val="none"/>
                <w:lang w:val="en-US" w:eastAsia="zh-CN"/>
              </w:rPr>
              <w:t>可</w:t>
            </w:r>
            <w:r>
              <w:rPr>
                <w:rFonts w:hint="eastAsia" w:ascii="楷体" w:hAnsi="楷体" w:eastAsia="楷体" w:cs="楷体"/>
                <w:strike/>
                <w:color w:val="auto"/>
                <w:kern w:val="2"/>
                <w:sz w:val="21"/>
                <w:szCs w:val="20"/>
                <w:highlight w:val="none"/>
                <w:lang w:val="en-US" w:eastAsia="zh-CN" w:bidi="ar-SA"/>
              </w:rPr>
              <w:t>在“广州交易集团有限公司门户网站-信用信息-广州公共资源交易信用平台3.0”查询</w:t>
            </w:r>
            <w:r>
              <w:rPr>
                <w:rFonts w:hint="eastAsia" w:ascii="楷体" w:hAnsi="楷体" w:eastAsia="楷体" w:cs="楷体"/>
                <w:strike/>
                <w:kern w:val="2"/>
                <w:sz w:val="21"/>
                <w:szCs w:val="20"/>
                <w:highlight w:val="none"/>
                <w:lang w:val="en-US" w:eastAsia="zh-CN" w:bidi="ar-SA"/>
              </w:rPr>
              <w:t>具体得分。</w:t>
            </w:r>
          </w:p>
        </w:tc>
      </w:tr>
      <w:tr w14:paraId="55A180E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64C96AF4">
            <w:pPr>
              <w:rPr>
                <w:rFonts w:hint="default" w:ascii="宋体" w:hAnsi="宋体" w:eastAsia="宋体"/>
                <w:strike/>
                <w:color w:val="auto"/>
                <w:szCs w:val="21"/>
                <w:highlight w:val="none"/>
                <w:lang w:val="en-US" w:eastAsia="zh-CN"/>
              </w:rPr>
            </w:pPr>
            <w:r>
              <w:rPr>
                <w:rFonts w:hint="eastAsia" w:ascii="宋体" w:hAnsi="宋体"/>
                <w:strike/>
                <w:color w:val="auto"/>
                <w:szCs w:val="21"/>
                <w:highlight w:val="none"/>
                <w:lang w:val="en-US" w:eastAsia="zh-CN"/>
              </w:rPr>
              <w:t>32</w:t>
            </w:r>
          </w:p>
        </w:tc>
        <w:tc>
          <w:tcPr>
            <w:tcW w:w="981" w:type="dxa"/>
            <w:tcBorders>
              <w:top w:val="single" w:color="auto" w:sz="4" w:space="0"/>
              <w:left w:val="single" w:color="auto" w:sz="4" w:space="0"/>
              <w:bottom w:val="single" w:color="auto" w:sz="4" w:space="0"/>
              <w:right w:val="single" w:color="auto" w:sz="4" w:space="0"/>
            </w:tcBorders>
            <w:vAlign w:val="center"/>
          </w:tcPr>
          <w:p w14:paraId="2AB80BC9">
            <w:pPr>
              <w:ind w:firstLine="458"/>
              <w:rPr>
                <w:rFonts w:ascii="宋体" w:hAnsi="宋体"/>
                <w:strike/>
                <w:color w:val="auto"/>
                <w:szCs w:val="21"/>
                <w:highlight w:val="none"/>
              </w:rPr>
            </w:pPr>
          </w:p>
        </w:tc>
        <w:tc>
          <w:tcPr>
            <w:tcW w:w="1733" w:type="dxa"/>
            <w:tcBorders>
              <w:top w:val="single" w:color="auto" w:sz="4" w:space="0"/>
              <w:left w:val="single" w:color="auto" w:sz="4" w:space="0"/>
              <w:bottom w:val="single" w:color="auto" w:sz="4" w:space="0"/>
              <w:right w:val="single" w:color="auto" w:sz="4" w:space="0"/>
            </w:tcBorders>
            <w:vAlign w:val="center"/>
          </w:tcPr>
          <w:p w14:paraId="3889BE56">
            <w:pPr>
              <w:rPr>
                <w:rFonts w:ascii="宋体" w:hAnsi="宋体"/>
                <w:strike/>
                <w:color w:val="auto"/>
                <w:szCs w:val="21"/>
                <w:highlight w:val="none"/>
              </w:rPr>
            </w:pPr>
            <w:r>
              <w:rPr>
                <w:rFonts w:hint="eastAsia" w:ascii="宋体" w:hAnsi="宋体"/>
                <w:strike/>
                <w:color w:val="auto"/>
                <w:szCs w:val="21"/>
                <w:highlight w:val="none"/>
              </w:rPr>
              <w:t>第二阶段投标人名次的排序方法（适用于办法一、办法二）</w:t>
            </w:r>
          </w:p>
        </w:tc>
        <w:tc>
          <w:tcPr>
            <w:tcW w:w="5934" w:type="dxa"/>
            <w:tcBorders>
              <w:top w:val="single" w:color="auto" w:sz="4" w:space="0"/>
              <w:left w:val="single" w:color="auto" w:sz="4" w:space="0"/>
              <w:bottom w:val="single" w:color="auto" w:sz="4" w:space="0"/>
              <w:right w:val="double" w:color="auto" w:sz="4" w:space="0"/>
            </w:tcBorders>
            <w:vAlign w:val="center"/>
          </w:tcPr>
          <w:p w14:paraId="0783C873">
            <w:pPr>
              <w:rPr>
                <w:rFonts w:ascii="宋体" w:hAnsi="宋体"/>
                <w:strike/>
                <w:color w:val="auto"/>
                <w:szCs w:val="21"/>
                <w:highlight w:val="none"/>
              </w:rPr>
            </w:pPr>
            <w:r>
              <w:rPr>
                <w:rFonts w:hint="eastAsia" w:ascii="宋体" w:hAnsi="宋体"/>
                <w:strike/>
                <w:color w:val="auto"/>
                <w:szCs w:val="21"/>
                <w:highlight w:val="none"/>
              </w:rPr>
              <w:t>选取方法</w:t>
            </w:r>
            <w:r>
              <w:rPr>
                <w:rFonts w:hint="eastAsia" w:ascii="宋体" w:hAnsi="宋体"/>
                <w:strike/>
                <w:color w:val="auto"/>
                <w:szCs w:val="21"/>
                <w:highlight w:val="none"/>
                <w:u w:val="single"/>
              </w:rPr>
              <w:t xml:space="preserve">     </w:t>
            </w:r>
          </w:p>
          <w:p w14:paraId="69476A59">
            <w:pPr>
              <w:rPr>
                <w:rFonts w:ascii="宋体" w:hAnsi="宋体"/>
                <w:strike/>
                <w:color w:val="auto"/>
                <w:szCs w:val="21"/>
                <w:highlight w:val="none"/>
              </w:rPr>
            </w:pPr>
            <w:r>
              <w:rPr>
                <w:rFonts w:hint="eastAsia" w:ascii="宋体" w:hAnsi="宋体"/>
                <w:strike/>
                <w:color w:val="auto"/>
                <w:szCs w:val="21"/>
                <w:highlight w:val="none"/>
              </w:rPr>
              <w:t>方法一：将进入第二阶段投标人的投标报价由低至高进行排序。报价相同的投标文件，以技术分较高的排前；报价与技术得分均相同的投标文件，以</w:t>
            </w:r>
            <w:r>
              <w:rPr>
                <w:rFonts w:hint="eastAsia" w:ascii="宋体" w:hAnsi="宋体"/>
                <w:strike/>
                <w:color w:val="auto"/>
                <w:szCs w:val="21"/>
                <w:highlight w:val="none"/>
                <w:lang w:eastAsia="zh-CN"/>
              </w:rPr>
              <w:t>信用评价</w:t>
            </w:r>
            <w:r>
              <w:rPr>
                <w:rFonts w:hint="eastAsia" w:ascii="宋体" w:hAnsi="宋体"/>
                <w:strike/>
                <w:color w:val="auto"/>
                <w:szCs w:val="21"/>
                <w:highlight w:val="none"/>
              </w:rPr>
              <w:t>分数高的排前；如仍存在相同情况，则对具有相同情况的投标人，由评标委员会采用</w:t>
            </w:r>
            <w:r>
              <w:rPr>
                <w:rFonts w:hint="eastAsia" w:ascii="宋体" w:hAnsi="宋体"/>
                <w:strike/>
                <w:color w:val="auto"/>
                <w:szCs w:val="21"/>
                <w:highlight w:val="none"/>
                <w:lang w:eastAsia="zh-CN"/>
              </w:rPr>
              <w:t>记名投票</w:t>
            </w:r>
            <w:r>
              <w:rPr>
                <w:rFonts w:hint="eastAsia" w:ascii="宋体" w:hAnsi="宋体"/>
                <w:strike/>
                <w:color w:val="auto"/>
                <w:szCs w:val="21"/>
                <w:highlight w:val="none"/>
              </w:rPr>
              <w:t>方式，确定投标人的排序。</w:t>
            </w:r>
            <w:r>
              <w:rPr>
                <w:rFonts w:ascii="宋体" w:hAnsi="宋体"/>
                <w:strike/>
                <w:color w:val="auto"/>
                <w:szCs w:val="21"/>
                <w:highlight w:val="none"/>
              </w:rPr>
              <w:t xml:space="preserve"> </w:t>
            </w:r>
          </w:p>
          <w:p w14:paraId="1BED2716">
            <w:pPr>
              <w:rPr>
                <w:rFonts w:ascii="宋体" w:hAnsi="宋体"/>
                <w:strike/>
                <w:color w:val="auto"/>
                <w:szCs w:val="21"/>
                <w:highlight w:val="none"/>
              </w:rPr>
            </w:pPr>
            <w:r>
              <w:rPr>
                <w:rFonts w:hint="eastAsia" w:ascii="宋体" w:hAnsi="宋体"/>
                <w:strike/>
                <w:color w:val="auto"/>
                <w:szCs w:val="21"/>
                <w:highlight w:val="none"/>
              </w:rPr>
              <w:t>方法二：将进入第二阶段投标人的投标报价按大于或小于等于工程</w:t>
            </w:r>
            <w:r>
              <w:rPr>
                <w:rFonts w:hint="eastAsia" w:ascii="宋体" w:hAnsi="宋体"/>
                <w:strike/>
                <w:color w:val="auto"/>
                <w:szCs w:val="21"/>
                <w:highlight w:val="none"/>
                <w:lang w:eastAsia="zh-CN"/>
              </w:rPr>
              <w:t>成本警示价</w:t>
            </w:r>
            <w:r>
              <w:rPr>
                <w:rFonts w:hint="eastAsia" w:ascii="宋体" w:hAnsi="宋体"/>
                <w:strike/>
                <w:color w:val="auto"/>
                <w:szCs w:val="21"/>
                <w:highlight w:val="none"/>
              </w:rPr>
              <w:t>的标准分为2组。首先，对于小于或等于工程</w:t>
            </w:r>
            <w:r>
              <w:rPr>
                <w:rFonts w:hint="eastAsia" w:ascii="宋体" w:hAnsi="宋体"/>
                <w:strike/>
                <w:color w:val="auto"/>
                <w:szCs w:val="21"/>
                <w:highlight w:val="none"/>
                <w:lang w:eastAsia="zh-CN"/>
              </w:rPr>
              <w:t>成本警示价</w:t>
            </w:r>
            <w:r>
              <w:rPr>
                <w:rFonts w:hint="eastAsia" w:ascii="宋体" w:hAnsi="宋体"/>
                <w:strike/>
                <w:color w:val="auto"/>
                <w:szCs w:val="21"/>
                <w:highlight w:val="none"/>
              </w:rPr>
              <w:t>的，评标委员会从序号1开始随机确定投标人的排序，若仅有1名投标报价小于等于工程</w:t>
            </w:r>
            <w:r>
              <w:rPr>
                <w:rFonts w:hint="eastAsia" w:ascii="宋体" w:hAnsi="宋体"/>
                <w:strike/>
                <w:color w:val="auto"/>
                <w:szCs w:val="21"/>
                <w:highlight w:val="none"/>
                <w:lang w:eastAsia="zh-CN"/>
              </w:rPr>
              <w:t>成本警示价</w:t>
            </w:r>
            <w:r>
              <w:rPr>
                <w:rFonts w:hint="eastAsia" w:ascii="宋体" w:hAnsi="宋体"/>
                <w:strike/>
                <w:color w:val="auto"/>
                <w:szCs w:val="21"/>
                <w:highlight w:val="none"/>
              </w:rPr>
              <w:t>的，该投标人为第1名；其次，对于大于工程</w:t>
            </w:r>
            <w:r>
              <w:rPr>
                <w:rFonts w:hint="eastAsia" w:ascii="宋体" w:hAnsi="宋体"/>
                <w:strike/>
                <w:color w:val="auto"/>
                <w:szCs w:val="21"/>
                <w:highlight w:val="none"/>
                <w:lang w:eastAsia="zh-CN"/>
              </w:rPr>
              <w:t>成本警示价</w:t>
            </w:r>
            <w:r>
              <w:rPr>
                <w:rFonts w:hint="eastAsia" w:ascii="宋体" w:hAnsi="宋体"/>
                <w:strike/>
                <w:color w:val="auto"/>
                <w:szCs w:val="21"/>
                <w:highlight w:val="none"/>
              </w:rPr>
              <w:t>的投标报价由低至高进行排序，序号接上一组。</w:t>
            </w:r>
          </w:p>
          <w:p w14:paraId="2FEF32EB">
            <w:pPr>
              <w:rPr>
                <w:rFonts w:ascii="宋体" w:hAnsi="宋体"/>
                <w:strike/>
                <w:color w:val="auto"/>
                <w:szCs w:val="21"/>
                <w:highlight w:val="none"/>
              </w:rPr>
            </w:pPr>
            <w:r>
              <w:rPr>
                <w:rFonts w:hint="eastAsia" w:ascii="宋体" w:hAnsi="宋体"/>
                <w:strike/>
                <w:color w:val="auto"/>
                <w:szCs w:val="21"/>
                <w:highlight w:val="none"/>
              </w:rPr>
              <w:t xml:space="preserve">方法三： （由招标人自行确定） </w:t>
            </w:r>
          </w:p>
        </w:tc>
      </w:tr>
      <w:tr w14:paraId="7740CD2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236E2EFA">
            <w:pPr>
              <w:rPr>
                <w:rFonts w:hint="default" w:ascii="宋体" w:hAnsi="宋体"/>
                <w:strike/>
                <w:color w:val="auto"/>
                <w:szCs w:val="21"/>
                <w:highlight w:val="none"/>
                <w:lang w:val="en-US" w:eastAsia="zh-CN"/>
              </w:rPr>
            </w:pPr>
            <w:r>
              <w:rPr>
                <w:rFonts w:hint="eastAsia" w:ascii="宋体" w:hAnsi="宋体"/>
                <w:strike/>
                <w:color w:val="auto"/>
                <w:szCs w:val="21"/>
                <w:highlight w:val="none"/>
                <w:lang w:val="en-US" w:eastAsia="zh-CN"/>
              </w:rPr>
              <w:t>33</w:t>
            </w:r>
          </w:p>
        </w:tc>
        <w:tc>
          <w:tcPr>
            <w:tcW w:w="981" w:type="dxa"/>
            <w:tcBorders>
              <w:top w:val="single" w:color="auto" w:sz="4" w:space="0"/>
              <w:left w:val="single" w:color="auto" w:sz="4" w:space="0"/>
              <w:bottom w:val="single" w:color="auto" w:sz="4" w:space="0"/>
              <w:right w:val="single" w:color="auto" w:sz="4" w:space="0"/>
            </w:tcBorders>
            <w:vAlign w:val="center"/>
          </w:tcPr>
          <w:p w14:paraId="05DAC6E6">
            <w:pPr>
              <w:ind w:firstLine="458"/>
              <w:rPr>
                <w:rFonts w:ascii="宋体" w:hAnsi="宋体"/>
                <w:strike/>
                <w:color w:val="auto"/>
                <w:szCs w:val="21"/>
                <w:highlight w:val="none"/>
              </w:rPr>
            </w:pPr>
          </w:p>
        </w:tc>
        <w:tc>
          <w:tcPr>
            <w:tcW w:w="1733" w:type="dxa"/>
            <w:tcBorders>
              <w:top w:val="single" w:color="auto" w:sz="4" w:space="0"/>
              <w:left w:val="single" w:color="auto" w:sz="4" w:space="0"/>
              <w:bottom w:val="single" w:color="auto" w:sz="4" w:space="0"/>
              <w:right w:val="single" w:color="auto" w:sz="4" w:space="0"/>
            </w:tcBorders>
            <w:vAlign w:val="center"/>
          </w:tcPr>
          <w:p w14:paraId="4266E601">
            <w:pPr>
              <w:rPr>
                <w:rFonts w:hint="eastAsia" w:ascii="宋体" w:hAnsi="宋体"/>
                <w:strike/>
                <w:color w:val="auto"/>
                <w:szCs w:val="21"/>
                <w:highlight w:val="none"/>
              </w:rPr>
            </w:pPr>
            <w:r>
              <w:rPr>
                <w:rFonts w:hint="eastAsia" w:ascii="宋体" w:hAnsi="宋体"/>
                <w:strike/>
                <w:color w:val="auto"/>
                <w:szCs w:val="21"/>
                <w:highlight w:val="none"/>
              </w:rPr>
              <w:t>经济分相同情况下的排序方法（适用于办法三、办法四）</w:t>
            </w:r>
          </w:p>
        </w:tc>
        <w:tc>
          <w:tcPr>
            <w:tcW w:w="5934" w:type="dxa"/>
            <w:tcBorders>
              <w:top w:val="single" w:color="auto" w:sz="4" w:space="0"/>
              <w:left w:val="single" w:color="auto" w:sz="4" w:space="0"/>
              <w:bottom w:val="single" w:color="auto" w:sz="4" w:space="0"/>
              <w:right w:val="double" w:color="auto" w:sz="4" w:space="0"/>
            </w:tcBorders>
            <w:vAlign w:val="center"/>
          </w:tcPr>
          <w:p w14:paraId="3972DB1D">
            <w:pPr>
              <w:rPr>
                <w:rFonts w:ascii="宋体" w:hAnsi="宋体"/>
                <w:strike/>
                <w:color w:val="auto"/>
                <w:szCs w:val="21"/>
                <w:highlight w:val="none"/>
              </w:rPr>
            </w:pPr>
            <w:r>
              <w:rPr>
                <w:rFonts w:hint="eastAsia" w:ascii="宋体" w:hAnsi="宋体"/>
                <w:strike/>
                <w:color w:val="auto"/>
                <w:szCs w:val="21"/>
                <w:highlight w:val="none"/>
              </w:rPr>
              <w:t>选取方法</w:t>
            </w:r>
            <w:r>
              <w:rPr>
                <w:rFonts w:hint="eastAsia" w:ascii="宋体" w:hAnsi="宋体"/>
                <w:strike/>
                <w:color w:val="auto"/>
                <w:szCs w:val="21"/>
                <w:highlight w:val="none"/>
                <w:u w:val="single"/>
              </w:rPr>
              <w:t xml:space="preserve">     </w:t>
            </w:r>
          </w:p>
          <w:p w14:paraId="5850CC3E">
            <w:pPr>
              <w:rPr>
                <w:rFonts w:ascii="宋体" w:hAnsi="宋体"/>
                <w:strike/>
                <w:color w:val="auto"/>
                <w:szCs w:val="21"/>
                <w:highlight w:val="none"/>
              </w:rPr>
            </w:pPr>
            <w:r>
              <w:rPr>
                <w:rFonts w:hint="eastAsia" w:ascii="宋体" w:hAnsi="宋体"/>
                <w:strike/>
                <w:color w:val="auto"/>
                <w:szCs w:val="21"/>
                <w:highlight w:val="none"/>
              </w:rPr>
              <w:t>方法一：经济分相同的投标文件，以报价较低的排前；经济分与报价均相同的投标文件，以技术分较高的排前；经济分、报价与技术得分均相同或经济分、报价均相同但未评技术分的投标文件，以</w:t>
            </w:r>
            <w:r>
              <w:rPr>
                <w:rFonts w:hint="eastAsia" w:ascii="宋体" w:hAnsi="宋体"/>
                <w:strike/>
                <w:color w:val="auto"/>
                <w:szCs w:val="21"/>
                <w:highlight w:val="none"/>
                <w:lang w:eastAsia="zh-CN"/>
              </w:rPr>
              <w:t>企业信用评价得</w:t>
            </w:r>
            <w:r>
              <w:rPr>
                <w:rFonts w:hint="eastAsia" w:ascii="宋体" w:hAnsi="宋体"/>
                <w:strike/>
                <w:color w:val="auto"/>
                <w:szCs w:val="21"/>
                <w:highlight w:val="none"/>
              </w:rPr>
              <w:t>分高的排前</w:t>
            </w:r>
            <w:r>
              <w:rPr>
                <w:rFonts w:hint="eastAsia" w:ascii="宋体" w:hAnsi="宋体"/>
                <w:strike/>
                <w:color w:val="auto"/>
                <w:szCs w:val="21"/>
                <w:highlight w:val="none"/>
                <w:lang w:eastAsia="zh-CN"/>
              </w:rPr>
              <w:t>（如设置了企业信用评价得分项）</w:t>
            </w:r>
            <w:r>
              <w:rPr>
                <w:rFonts w:hint="eastAsia" w:ascii="宋体" w:hAnsi="宋体"/>
                <w:strike/>
                <w:color w:val="auto"/>
                <w:szCs w:val="21"/>
                <w:highlight w:val="none"/>
              </w:rPr>
              <w:t>；如仍存在相同情况，则对具有相同情况的投标人，由评标委员会采用</w:t>
            </w:r>
            <w:r>
              <w:rPr>
                <w:rFonts w:hint="eastAsia" w:ascii="宋体" w:hAnsi="宋体"/>
                <w:strike/>
                <w:color w:val="auto"/>
                <w:szCs w:val="21"/>
                <w:highlight w:val="none"/>
                <w:lang w:eastAsia="zh-CN"/>
              </w:rPr>
              <w:t>记名投票</w:t>
            </w:r>
            <w:r>
              <w:rPr>
                <w:rFonts w:hint="eastAsia" w:ascii="宋体" w:hAnsi="宋体"/>
                <w:strike/>
                <w:color w:val="auto"/>
                <w:szCs w:val="21"/>
                <w:highlight w:val="none"/>
              </w:rPr>
              <w:t>方式，确定投标人的排序。</w:t>
            </w:r>
          </w:p>
          <w:p w14:paraId="5F3C901F">
            <w:pPr>
              <w:rPr>
                <w:rFonts w:ascii="宋体" w:hAnsi="宋体"/>
                <w:strike/>
                <w:color w:val="auto"/>
                <w:szCs w:val="21"/>
                <w:highlight w:val="none"/>
              </w:rPr>
            </w:pPr>
            <w:r>
              <w:rPr>
                <w:rFonts w:hint="eastAsia" w:ascii="宋体" w:hAnsi="宋体"/>
                <w:strike/>
                <w:color w:val="auto"/>
                <w:szCs w:val="21"/>
                <w:highlight w:val="none"/>
              </w:rPr>
              <w:t>方法二：经济分相同的投标文件，由评标委员会采用</w:t>
            </w:r>
            <w:r>
              <w:rPr>
                <w:rFonts w:hint="eastAsia" w:ascii="宋体" w:hAnsi="宋体"/>
                <w:strike/>
                <w:color w:val="auto"/>
                <w:szCs w:val="21"/>
                <w:highlight w:val="none"/>
                <w:lang w:eastAsia="zh-CN"/>
              </w:rPr>
              <w:t>投票</w:t>
            </w:r>
            <w:r>
              <w:rPr>
                <w:rFonts w:hint="eastAsia" w:ascii="宋体" w:hAnsi="宋体"/>
                <w:strike/>
                <w:color w:val="auto"/>
                <w:szCs w:val="21"/>
                <w:highlight w:val="none"/>
              </w:rPr>
              <w:t>方式，确定投标人的排序。</w:t>
            </w:r>
          </w:p>
          <w:p w14:paraId="3C2D2FD9">
            <w:pPr>
              <w:rPr>
                <w:rFonts w:hint="eastAsia" w:ascii="宋体" w:hAnsi="宋体"/>
                <w:strike/>
                <w:color w:val="auto"/>
                <w:szCs w:val="21"/>
                <w:highlight w:val="none"/>
              </w:rPr>
            </w:pPr>
            <w:r>
              <w:rPr>
                <w:rFonts w:hint="eastAsia" w:ascii="宋体" w:hAnsi="宋体"/>
                <w:strike/>
                <w:color w:val="auto"/>
                <w:szCs w:val="21"/>
                <w:highlight w:val="none"/>
              </w:rPr>
              <w:t xml:space="preserve">方法三：  （由招标人自行确定） </w:t>
            </w:r>
          </w:p>
        </w:tc>
      </w:tr>
      <w:tr w14:paraId="247AFEA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383782DB">
            <w:pPr>
              <w:rPr>
                <w:rFonts w:hint="default" w:ascii="宋体" w:hAnsi="宋体"/>
                <w:strike/>
                <w:color w:val="auto"/>
                <w:szCs w:val="21"/>
                <w:highlight w:val="none"/>
                <w:lang w:val="en-US" w:eastAsia="zh-CN"/>
              </w:rPr>
            </w:pPr>
            <w:r>
              <w:rPr>
                <w:rFonts w:hint="eastAsia" w:ascii="宋体" w:hAnsi="宋体"/>
                <w:strike/>
                <w:color w:val="auto"/>
                <w:szCs w:val="21"/>
                <w:highlight w:val="none"/>
                <w:lang w:val="en-US" w:eastAsia="zh-CN"/>
              </w:rPr>
              <w:t>34</w:t>
            </w:r>
          </w:p>
        </w:tc>
        <w:tc>
          <w:tcPr>
            <w:tcW w:w="981" w:type="dxa"/>
            <w:tcBorders>
              <w:top w:val="single" w:color="auto" w:sz="4" w:space="0"/>
              <w:left w:val="single" w:color="auto" w:sz="4" w:space="0"/>
              <w:bottom w:val="single" w:color="auto" w:sz="4" w:space="0"/>
              <w:right w:val="single" w:color="auto" w:sz="4" w:space="0"/>
            </w:tcBorders>
            <w:vAlign w:val="center"/>
          </w:tcPr>
          <w:p w14:paraId="64E180A7">
            <w:pPr>
              <w:ind w:firstLine="458"/>
              <w:rPr>
                <w:rFonts w:ascii="宋体" w:hAnsi="宋体"/>
                <w:strike/>
                <w:color w:val="auto"/>
                <w:szCs w:val="21"/>
                <w:highlight w:val="none"/>
              </w:rPr>
            </w:pPr>
          </w:p>
        </w:tc>
        <w:tc>
          <w:tcPr>
            <w:tcW w:w="1733" w:type="dxa"/>
            <w:tcBorders>
              <w:top w:val="single" w:color="auto" w:sz="4" w:space="0"/>
              <w:left w:val="single" w:color="auto" w:sz="4" w:space="0"/>
              <w:bottom w:val="single" w:color="auto" w:sz="4" w:space="0"/>
              <w:right w:val="single" w:color="auto" w:sz="4" w:space="0"/>
            </w:tcBorders>
            <w:vAlign w:val="center"/>
          </w:tcPr>
          <w:p w14:paraId="5577301A">
            <w:pPr>
              <w:rPr>
                <w:rFonts w:hint="eastAsia" w:ascii="宋体" w:hAnsi="宋体"/>
                <w:strike/>
                <w:color w:val="auto"/>
                <w:szCs w:val="21"/>
                <w:highlight w:val="none"/>
              </w:rPr>
            </w:pPr>
            <w:r>
              <w:rPr>
                <w:rFonts w:hint="eastAsia" w:ascii="宋体" w:hAnsi="宋体"/>
                <w:strike/>
                <w:color w:val="auto"/>
                <w:szCs w:val="21"/>
                <w:highlight w:val="none"/>
              </w:rPr>
              <w:t>第二阶段投标人名次的排序方法（适用于办法五、办法六）</w:t>
            </w:r>
          </w:p>
        </w:tc>
        <w:tc>
          <w:tcPr>
            <w:tcW w:w="5934" w:type="dxa"/>
            <w:tcBorders>
              <w:top w:val="single" w:color="auto" w:sz="4" w:space="0"/>
              <w:left w:val="single" w:color="auto" w:sz="4" w:space="0"/>
              <w:bottom w:val="single" w:color="auto" w:sz="4" w:space="0"/>
              <w:right w:val="double" w:color="auto" w:sz="4" w:space="0"/>
            </w:tcBorders>
            <w:vAlign w:val="center"/>
          </w:tcPr>
          <w:p w14:paraId="588D3A8B">
            <w:pPr>
              <w:rPr>
                <w:rFonts w:ascii="宋体" w:hAnsi="宋体"/>
                <w:strike/>
                <w:color w:val="auto"/>
                <w:szCs w:val="21"/>
                <w:highlight w:val="none"/>
              </w:rPr>
            </w:pPr>
            <w:r>
              <w:rPr>
                <w:rFonts w:hint="eastAsia" w:ascii="宋体" w:hAnsi="宋体"/>
                <w:strike/>
                <w:color w:val="auto"/>
                <w:szCs w:val="21"/>
                <w:highlight w:val="none"/>
              </w:rPr>
              <w:t>选取方法</w:t>
            </w:r>
            <w:r>
              <w:rPr>
                <w:rFonts w:hint="eastAsia" w:ascii="宋体" w:hAnsi="宋体"/>
                <w:strike/>
                <w:color w:val="auto"/>
                <w:szCs w:val="21"/>
                <w:highlight w:val="none"/>
                <w:u w:val="single"/>
              </w:rPr>
              <w:t xml:space="preserve">     </w:t>
            </w:r>
          </w:p>
          <w:p w14:paraId="3BEB41A1">
            <w:pPr>
              <w:rPr>
                <w:rFonts w:ascii="宋体" w:hAnsi="宋体"/>
                <w:strike/>
                <w:color w:val="auto"/>
                <w:szCs w:val="21"/>
                <w:highlight w:val="none"/>
              </w:rPr>
            </w:pPr>
            <w:r>
              <w:rPr>
                <w:rFonts w:hint="eastAsia" w:ascii="宋体" w:hAnsi="宋体"/>
                <w:strike/>
                <w:color w:val="auto"/>
                <w:szCs w:val="21"/>
                <w:highlight w:val="none"/>
              </w:rPr>
              <w:t>方法一：评标委员会按照“总分=</w:t>
            </w:r>
            <w:r>
              <w:rPr>
                <w:rFonts w:hint="eastAsia" w:ascii="宋体" w:hAnsi="宋体"/>
                <w:strike/>
                <w:color w:val="auto"/>
                <w:szCs w:val="21"/>
                <w:highlight w:val="none"/>
                <w:u w:val="single"/>
              </w:rPr>
              <w:t xml:space="preserve">           </w:t>
            </w:r>
            <w:r>
              <w:rPr>
                <w:rFonts w:hint="eastAsia" w:ascii="宋体" w:hAnsi="宋体"/>
                <w:strike/>
                <w:color w:val="auto"/>
                <w:szCs w:val="21"/>
                <w:highlight w:val="none"/>
              </w:rPr>
              <w:t>的公式，计算各有效投标文件的总分，并按照总分从高到低排序。总得分相同的投标文件，以报价较低的排前；总得分与报价均相同的投标文件，以</w:t>
            </w:r>
            <w:r>
              <w:rPr>
                <w:rFonts w:hint="eastAsia" w:ascii="宋体" w:hAnsi="宋体"/>
                <w:strike/>
                <w:color w:val="auto"/>
                <w:szCs w:val="21"/>
                <w:highlight w:val="none"/>
                <w:u w:val="single"/>
              </w:rPr>
              <w:t xml:space="preserve">     </w:t>
            </w:r>
            <w:r>
              <w:rPr>
                <w:rFonts w:hint="eastAsia" w:ascii="宋体" w:hAnsi="宋体"/>
                <w:strike/>
                <w:color w:val="auto"/>
                <w:szCs w:val="21"/>
                <w:highlight w:val="none"/>
              </w:rPr>
              <w:t>较高的排前；总得分、报价与</w:t>
            </w:r>
            <w:r>
              <w:rPr>
                <w:rFonts w:hint="eastAsia" w:ascii="宋体" w:hAnsi="宋体"/>
                <w:strike/>
                <w:color w:val="auto"/>
                <w:szCs w:val="21"/>
                <w:highlight w:val="none"/>
                <w:u w:val="single"/>
              </w:rPr>
              <w:t xml:space="preserve">     </w:t>
            </w:r>
            <w:r>
              <w:rPr>
                <w:rFonts w:hint="eastAsia" w:ascii="宋体" w:hAnsi="宋体"/>
                <w:strike/>
                <w:color w:val="auto"/>
                <w:szCs w:val="21"/>
                <w:highlight w:val="none"/>
              </w:rPr>
              <w:t>均相同的投标文件，以</w:t>
            </w:r>
            <w:r>
              <w:rPr>
                <w:rFonts w:hint="eastAsia" w:ascii="宋体" w:hAnsi="宋体"/>
                <w:strike/>
                <w:color w:val="auto"/>
                <w:szCs w:val="21"/>
                <w:highlight w:val="none"/>
                <w:lang w:eastAsia="zh-CN"/>
              </w:rPr>
              <w:t>企业信用评价得分</w:t>
            </w:r>
            <w:r>
              <w:rPr>
                <w:rFonts w:hint="eastAsia" w:ascii="宋体" w:hAnsi="宋体"/>
                <w:strike/>
                <w:color w:val="auto"/>
                <w:szCs w:val="21"/>
                <w:highlight w:val="none"/>
              </w:rPr>
              <w:t>高的排前</w:t>
            </w:r>
            <w:r>
              <w:rPr>
                <w:rFonts w:hint="eastAsia" w:ascii="宋体" w:hAnsi="宋体"/>
                <w:strike/>
                <w:color w:val="auto"/>
                <w:szCs w:val="21"/>
                <w:highlight w:val="none"/>
                <w:lang w:eastAsia="zh-CN"/>
              </w:rPr>
              <w:t>（如设置了企业信用评价得分项）</w:t>
            </w:r>
            <w:r>
              <w:rPr>
                <w:rFonts w:hint="eastAsia" w:ascii="宋体" w:hAnsi="宋体"/>
                <w:strike/>
                <w:color w:val="auto"/>
                <w:szCs w:val="21"/>
                <w:highlight w:val="none"/>
              </w:rPr>
              <w:t>；如仍存在相同情况，则对具有相同情况的投标人，由评标委员会采用</w:t>
            </w:r>
            <w:r>
              <w:rPr>
                <w:rFonts w:hint="eastAsia" w:ascii="宋体" w:hAnsi="宋体"/>
                <w:strike/>
                <w:color w:val="auto"/>
                <w:szCs w:val="21"/>
                <w:highlight w:val="none"/>
                <w:lang w:eastAsia="zh-CN"/>
              </w:rPr>
              <w:t>投票</w:t>
            </w:r>
            <w:r>
              <w:rPr>
                <w:rFonts w:hint="eastAsia" w:ascii="宋体" w:hAnsi="宋体"/>
                <w:strike/>
                <w:color w:val="auto"/>
                <w:szCs w:val="21"/>
                <w:highlight w:val="none"/>
              </w:rPr>
              <w:t>方式，确定投标人的排序。</w:t>
            </w:r>
          </w:p>
          <w:p w14:paraId="1A11790F">
            <w:pPr>
              <w:rPr>
                <w:rFonts w:hint="eastAsia" w:ascii="宋体" w:hAnsi="宋体"/>
                <w:strike/>
                <w:color w:val="auto"/>
                <w:szCs w:val="21"/>
                <w:highlight w:val="none"/>
              </w:rPr>
            </w:pPr>
            <w:r>
              <w:rPr>
                <w:rFonts w:hint="eastAsia" w:ascii="宋体" w:hAnsi="宋体"/>
                <w:strike/>
                <w:color w:val="auto"/>
                <w:szCs w:val="21"/>
                <w:highlight w:val="none"/>
              </w:rPr>
              <w:t xml:space="preserve">方法二：  （由招标人自行确定） </w:t>
            </w:r>
          </w:p>
        </w:tc>
      </w:tr>
      <w:tr w14:paraId="03A0956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7A965B23">
            <w:pP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35</w:t>
            </w:r>
          </w:p>
        </w:tc>
        <w:tc>
          <w:tcPr>
            <w:tcW w:w="981" w:type="dxa"/>
            <w:tcBorders>
              <w:top w:val="single" w:color="auto" w:sz="4" w:space="0"/>
              <w:left w:val="single" w:color="auto" w:sz="4" w:space="0"/>
              <w:bottom w:val="single" w:color="auto" w:sz="4" w:space="0"/>
              <w:right w:val="single" w:color="auto" w:sz="4" w:space="0"/>
            </w:tcBorders>
            <w:vAlign w:val="center"/>
          </w:tcPr>
          <w:p w14:paraId="78E2C165">
            <w:pPr>
              <w:rPr>
                <w:rFonts w:ascii="宋体" w:hAnsi="宋体"/>
                <w:color w:val="auto"/>
                <w:szCs w:val="21"/>
                <w:highlight w:val="none"/>
              </w:rPr>
            </w:pPr>
            <w:r>
              <w:rPr>
                <w:rFonts w:ascii="宋体" w:hAnsi="宋体"/>
                <w:color w:val="auto"/>
                <w:szCs w:val="21"/>
                <w:highlight w:val="none"/>
              </w:rPr>
              <w:t>13.4</w:t>
            </w:r>
            <w:r>
              <w:rPr>
                <w:rFonts w:hint="eastAsia" w:ascii="宋体" w:hAnsi="宋体"/>
                <w:color w:val="auto"/>
                <w:szCs w:val="21"/>
                <w:highlight w:val="none"/>
              </w:rPr>
              <w:t>、</w:t>
            </w:r>
            <w:r>
              <w:rPr>
                <w:rFonts w:ascii="宋体" w:hAnsi="宋体"/>
                <w:color w:val="auto"/>
                <w:szCs w:val="21"/>
                <w:highlight w:val="none"/>
              </w:rPr>
              <w:t>13.5.2</w:t>
            </w:r>
          </w:p>
        </w:tc>
        <w:tc>
          <w:tcPr>
            <w:tcW w:w="1733" w:type="dxa"/>
            <w:tcBorders>
              <w:top w:val="single" w:color="auto" w:sz="4" w:space="0"/>
              <w:left w:val="single" w:color="auto" w:sz="4" w:space="0"/>
              <w:bottom w:val="single" w:color="auto" w:sz="4" w:space="0"/>
              <w:right w:val="single" w:color="auto" w:sz="4" w:space="0"/>
            </w:tcBorders>
            <w:vAlign w:val="center"/>
          </w:tcPr>
          <w:p w14:paraId="122ED99E">
            <w:pPr>
              <w:rPr>
                <w:rFonts w:ascii="宋体" w:hAnsi="宋体"/>
                <w:color w:val="auto"/>
                <w:szCs w:val="21"/>
                <w:highlight w:val="none"/>
              </w:rPr>
            </w:pPr>
            <w:r>
              <w:rPr>
                <w:rFonts w:hint="eastAsia" w:ascii="宋体" w:hAnsi="宋体"/>
                <w:color w:val="auto"/>
                <w:szCs w:val="21"/>
                <w:highlight w:val="none"/>
              </w:rPr>
              <w:t>合同价款的调整办法</w:t>
            </w:r>
          </w:p>
        </w:tc>
        <w:tc>
          <w:tcPr>
            <w:tcW w:w="5934" w:type="dxa"/>
            <w:tcBorders>
              <w:top w:val="single" w:color="auto" w:sz="4" w:space="0"/>
              <w:left w:val="single" w:color="auto" w:sz="4" w:space="0"/>
              <w:bottom w:val="single" w:color="auto" w:sz="4" w:space="0"/>
              <w:right w:val="double" w:color="auto" w:sz="4" w:space="0"/>
            </w:tcBorders>
            <w:vAlign w:val="center"/>
          </w:tcPr>
          <w:p w14:paraId="2E511B74">
            <w:pPr>
              <w:rPr>
                <w:rFonts w:ascii="宋体" w:hAnsi="宋体"/>
                <w:color w:val="auto"/>
                <w:szCs w:val="21"/>
                <w:highlight w:val="none"/>
                <w:u w:val="single"/>
              </w:rPr>
            </w:pPr>
            <w:r>
              <w:rPr>
                <w:rFonts w:ascii="宋体" w:hAnsi="宋体"/>
                <w:color w:val="auto"/>
                <w:szCs w:val="21"/>
                <w:highlight w:val="none"/>
                <w:u w:val="single"/>
              </w:rPr>
              <w:t xml:space="preserve"> </w:t>
            </w:r>
            <w:r>
              <w:rPr>
                <w:rFonts w:hint="eastAsia" w:ascii="宋体" w:hAnsi="宋体"/>
                <w:color w:val="auto"/>
                <w:szCs w:val="21"/>
                <w:highlight w:val="none"/>
                <w:u w:val="single"/>
              </w:rPr>
              <w:t>按合同条款相关约定调整</w:t>
            </w:r>
          </w:p>
        </w:tc>
      </w:tr>
      <w:tr w14:paraId="3151C54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2BA7F9EB">
            <w:pP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36</w:t>
            </w:r>
          </w:p>
        </w:tc>
        <w:tc>
          <w:tcPr>
            <w:tcW w:w="981" w:type="dxa"/>
            <w:tcBorders>
              <w:top w:val="single" w:color="auto" w:sz="4" w:space="0"/>
              <w:left w:val="single" w:color="auto" w:sz="4" w:space="0"/>
              <w:bottom w:val="single" w:color="auto" w:sz="4" w:space="0"/>
              <w:right w:val="single" w:color="auto" w:sz="4" w:space="0"/>
            </w:tcBorders>
            <w:vAlign w:val="center"/>
          </w:tcPr>
          <w:p w14:paraId="4E042CE5">
            <w:pPr>
              <w:rPr>
                <w:rFonts w:ascii="宋体" w:hAnsi="宋体"/>
                <w:color w:val="auto"/>
                <w:szCs w:val="21"/>
                <w:highlight w:val="none"/>
              </w:rPr>
            </w:pPr>
          </w:p>
        </w:tc>
        <w:tc>
          <w:tcPr>
            <w:tcW w:w="1733" w:type="dxa"/>
            <w:tcBorders>
              <w:top w:val="single" w:color="auto" w:sz="4" w:space="0"/>
              <w:left w:val="single" w:color="auto" w:sz="4" w:space="0"/>
              <w:bottom w:val="single" w:color="auto" w:sz="4" w:space="0"/>
              <w:right w:val="single" w:color="auto" w:sz="4" w:space="0"/>
            </w:tcBorders>
            <w:vAlign w:val="center"/>
          </w:tcPr>
          <w:p w14:paraId="3E8BF1FD">
            <w:pPr>
              <w:rPr>
                <w:rFonts w:ascii="宋体" w:hAnsi="宋体"/>
                <w:color w:val="auto"/>
                <w:szCs w:val="21"/>
                <w:highlight w:val="none"/>
              </w:rPr>
            </w:pPr>
            <w:r>
              <w:rPr>
                <w:rFonts w:hint="eastAsia" w:ascii="宋体" w:hAnsi="宋体"/>
                <w:color w:val="auto"/>
                <w:kern w:val="0"/>
                <w:szCs w:val="21"/>
                <w:highlight w:val="none"/>
                <w:lang w:val="zh-CN"/>
              </w:rPr>
              <w:t>建设工程质量检测单位</w:t>
            </w:r>
          </w:p>
        </w:tc>
        <w:tc>
          <w:tcPr>
            <w:tcW w:w="5934" w:type="dxa"/>
            <w:tcBorders>
              <w:top w:val="single" w:color="auto" w:sz="4" w:space="0"/>
              <w:left w:val="single" w:color="auto" w:sz="4" w:space="0"/>
              <w:bottom w:val="single" w:color="auto" w:sz="4" w:space="0"/>
              <w:right w:val="double" w:color="auto" w:sz="4" w:space="0"/>
            </w:tcBorders>
            <w:vAlign w:val="center"/>
          </w:tcPr>
          <w:p w14:paraId="469126D1">
            <w:pPr>
              <w:rPr>
                <w:rFonts w:ascii="宋体" w:hAnsi="宋体"/>
                <w:color w:val="auto"/>
                <w:kern w:val="0"/>
                <w:szCs w:val="21"/>
                <w:highlight w:val="none"/>
                <w:lang w:val="zh-CN"/>
              </w:rPr>
            </w:pPr>
            <w:r>
              <w:rPr>
                <w:rFonts w:hint="eastAsia" w:ascii="宋体" w:hAnsi="宋体"/>
                <w:color w:val="auto"/>
                <w:kern w:val="0"/>
                <w:szCs w:val="21"/>
                <w:highlight w:val="none"/>
                <w:lang w:val="zh-CN"/>
              </w:rPr>
              <w:t>建设单位和中标人均不得委托近二年（从招标公告发布年度起逆推2年的1月1日起至投标截止时间止）因伪造检测数据、出具虚假检测报告被各级建设行政主管部门或市场监督管理部门行政处罚或通报的检测单位负责本项目的检测工作。</w:t>
            </w:r>
          </w:p>
        </w:tc>
      </w:tr>
      <w:tr w14:paraId="70348A2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73ACB956">
            <w:pP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37</w:t>
            </w:r>
          </w:p>
        </w:tc>
        <w:tc>
          <w:tcPr>
            <w:tcW w:w="981" w:type="dxa"/>
            <w:tcBorders>
              <w:top w:val="single" w:color="auto" w:sz="4" w:space="0"/>
              <w:left w:val="single" w:color="auto" w:sz="4" w:space="0"/>
              <w:bottom w:val="single" w:color="auto" w:sz="4" w:space="0"/>
              <w:right w:val="single" w:color="auto" w:sz="4" w:space="0"/>
            </w:tcBorders>
            <w:vAlign w:val="center"/>
          </w:tcPr>
          <w:p w14:paraId="30B6C626">
            <w:pPr>
              <w:jc w:val="center"/>
              <w:rPr>
                <w:rFonts w:ascii="宋体" w:hAnsi="宋体"/>
                <w:color w:val="auto"/>
                <w:highlight w:val="none"/>
              </w:rPr>
            </w:pPr>
          </w:p>
        </w:tc>
        <w:tc>
          <w:tcPr>
            <w:tcW w:w="1733" w:type="dxa"/>
            <w:tcBorders>
              <w:top w:val="single" w:color="auto" w:sz="4" w:space="0"/>
              <w:left w:val="single" w:color="auto" w:sz="4" w:space="0"/>
              <w:bottom w:val="single" w:color="auto" w:sz="4" w:space="0"/>
              <w:right w:val="single" w:color="auto" w:sz="4" w:space="0"/>
            </w:tcBorders>
            <w:vAlign w:val="center"/>
          </w:tcPr>
          <w:p w14:paraId="0227513D">
            <w:pPr>
              <w:jc w:val="center"/>
              <w:rPr>
                <w:rFonts w:ascii="宋体" w:hAnsi="宋体"/>
                <w:color w:val="auto"/>
                <w:highlight w:val="none"/>
              </w:rPr>
            </w:pPr>
            <w:r>
              <w:rPr>
                <w:rFonts w:hint="eastAsia" w:ascii="宋体" w:hAnsi="宋体"/>
                <w:color w:val="auto"/>
                <w:highlight w:val="none"/>
              </w:rPr>
              <w:t>电子招标投标解密失败及突发情况的补救</w:t>
            </w:r>
          </w:p>
        </w:tc>
        <w:tc>
          <w:tcPr>
            <w:tcW w:w="5934" w:type="dxa"/>
            <w:tcBorders>
              <w:top w:val="single" w:color="auto" w:sz="4" w:space="0"/>
              <w:left w:val="single" w:color="auto" w:sz="4" w:space="0"/>
              <w:bottom w:val="single" w:color="auto" w:sz="4" w:space="0"/>
              <w:right w:val="double" w:color="auto" w:sz="4" w:space="0"/>
            </w:tcBorders>
            <w:vAlign w:val="center"/>
          </w:tcPr>
          <w:p w14:paraId="18514DE8">
            <w:pPr>
              <w:rPr>
                <w:rFonts w:hint="eastAsia"/>
                <w:highlight w:val="none"/>
                <w:u w:val="single"/>
              </w:rPr>
            </w:pPr>
            <w:r>
              <w:rPr>
                <w:rFonts w:hint="eastAsia"/>
                <w:highlight w:val="none"/>
                <w:u w:val="single"/>
              </w:rPr>
              <w:t>1、按照交易平台关于全流程电子化项目的相关指南进行操作。详见：广州交易集团有限公司（广州公共资源交易中心）网站。</w:t>
            </w:r>
          </w:p>
          <w:p w14:paraId="6B715E7B">
            <w:pPr>
              <w:rPr>
                <w:rFonts w:hint="eastAsia"/>
                <w:highlight w:val="none"/>
                <w:u w:val="single"/>
              </w:rPr>
            </w:pPr>
            <w:r>
              <w:rPr>
                <w:rFonts w:hint="eastAsia"/>
                <w:highlight w:val="none"/>
                <w:u w:val="single"/>
              </w:rPr>
              <w:t>2、提交投标文件光盘备用</w:t>
            </w:r>
          </w:p>
          <w:p w14:paraId="5B78E2F7">
            <w:pPr>
              <w:rPr>
                <w:rFonts w:hint="eastAsia"/>
                <w:highlight w:val="none"/>
                <w:u w:val="single"/>
              </w:rPr>
            </w:pPr>
            <w:r>
              <w:rPr>
                <w:rFonts w:hint="eastAsia"/>
                <w:highlight w:val="none"/>
                <w:u w:val="single"/>
              </w:rPr>
              <w:t>投标人可制作非加密的电子投标文件（PDF格式）刻入光盘（1份），在投标须知前附表第18项规定的时间、地点提交备用。刻录好的投标文件光盘密封在密封袋中，并在封口处加盖投标人单位公章。密封袋上应写明项目名称和招标人名称。递交的光盘不得加密。光盘无法读取或导入的，则视为未提交备用投标文件光盘。如果投标人没有按规定通过交易平台网上递交电子投标文件的，不再读取提交的光盘。投标人也可不提交备用光盘。</w:t>
            </w:r>
          </w:p>
          <w:p w14:paraId="405517E6">
            <w:pPr>
              <w:rPr>
                <w:rFonts w:hint="eastAsia"/>
                <w:highlight w:val="none"/>
                <w:u w:val="single"/>
              </w:rPr>
            </w:pPr>
            <w:r>
              <w:rPr>
                <w:rFonts w:hint="eastAsia"/>
                <w:highlight w:val="none"/>
                <w:u w:val="single"/>
              </w:rPr>
              <w:t>3、补救方案</w:t>
            </w:r>
          </w:p>
          <w:p w14:paraId="2252AD60">
            <w:pPr>
              <w:rPr>
                <w:rFonts w:hint="eastAsia"/>
                <w:highlight w:val="none"/>
                <w:u w:val="single"/>
              </w:rPr>
            </w:pPr>
            <w:r>
              <w:rPr>
                <w:rFonts w:hint="eastAsia"/>
                <w:highlight w:val="none"/>
                <w:u w:val="single"/>
              </w:rPr>
              <w:t>（1）投标文件解密失败的补救方案：</w:t>
            </w:r>
          </w:p>
          <w:p w14:paraId="43B40352">
            <w:pPr>
              <w:rPr>
                <w:rFonts w:hint="eastAsia"/>
                <w:highlight w:val="none"/>
                <w:u w:val="single"/>
              </w:rPr>
            </w:pPr>
            <w:r>
              <w:rPr>
                <w:rFonts w:hint="eastAsia"/>
                <w:highlight w:val="none"/>
                <w:u w:val="single"/>
              </w:rPr>
              <w:t>在规定时间内，因投标人之外原因(指网络瘫痪、服务器损坏、交易系统故障短期无法恢复)导致的电子投标文件解密失败，在开标现场读取光盘内容，继续开标程序。评标委员会对其投标文件的评审以光盘内容为准。因投标人之外原因解密失败且未递交电子光盘的，视为撤回投标文件。</w:t>
            </w:r>
          </w:p>
          <w:p w14:paraId="17A2CE34">
            <w:pPr>
              <w:rPr>
                <w:rFonts w:hint="eastAsia"/>
                <w:highlight w:val="none"/>
                <w:u w:val="single"/>
              </w:rPr>
            </w:pPr>
            <w:r>
              <w:rPr>
                <w:rFonts w:hint="eastAsia"/>
                <w:highlight w:val="none"/>
                <w:u w:val="single"/>
              </w:rPr>
              <w:t>（2）评标时突发情况的补救方案</w:t>
            </w:r>
          </w:p>
          <w:p w14:paraId="51501ACA">
            <w:pPr>
              <w:rPr>
                <w:rFonts w:hint="eastAsia"/>
                <w:highlight w:val="none"/>
                <w:u w:val="single"/>
              </w:rPr>
            </w:pPr>
            <w:r>
              <w:rPr>
                <w:rFonts w:hint="eastAsia"/>
                <w:highlight w:val="none"/>
                <w:u w:val="single"/>
              </w:rPr>
              <w:t>若遇不可抗力发生（指网络瘫痪、服务器损坏、交易系统故障短期无法恢复等因素），由评标委员会开启投标人递交的全部投标文件光盘，并按光盘内容进行评审。</w:t>
            </w:r>
          </w:p>
          <w:p w14:paraId="67D18988">
            <w:pPr>
              <w:rPr>
                <w:rFonts w:ascii="宋体" w:hAnsi="宋体" w:cs="Courier New"/>
                <w:color w:val="auto"/>
                <w:szCs w:val="21"/>
                <w:highlight w:val="none"/>
                <w:u w:val="single"/>
              </w:rPr>
            </w:pPr>
            <w:r>
              <w:rPr>
                <w:rFonts w:hint="eastAsia"/>
                <w:highlight w:val="none"/>
                <w:u w:val="single"/>
              </w:rPr>
              <w:t>（3）除发生上述情况外，开标评标均以投标人通过交易平台网上递交的电子投标文件为准。</w:t>
            </w:r>
          </w:p>
        </w:tc>
      </w:tr>
      <w:tr w14:paraId="1B817BF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2CCE3770">
            <w:pP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38 </w:t>
            </w:r>
          </w:p>
        </w:tc>
        <w:tc>
          <w:tcPr>
            <w:tcW w:w="981" w:type="dxa"/>
            <w:tcBorders>
              <w:top w:val="single" w:color="auto" w:sz="4" w:space="0"/>
              <w:left w:val="single" w:color="auto" w:sz="4" w:space="0"/>
              <w:bottom w:val="single" w:color="auto" w:sz="4" w:space="0"/>
              <w:right w:val="single" w:color="auto" w:sz="4" w:space="0"/>
            </w:tcBorders>
            <w:vAlign w:val="center"/>
          </w:tcPr>
          <w:p w14:paraId="34F9CCCD">
            <w:pPr>
              <w:jc w:val="center"/>
              <w:rPr>
                <w:rFonts w:ascii="宋体" w:hAnsi="宋体"/>
                <w:color w:val="auto"/>
                <w:highlight w:val="none"/>
              </w:rPr>
            </w:pPr>
          </w:p>
        </w:tc>
        <w:tc>
          <w:tcPr>
            <w:tcW w:w="1733" w:type="dxa"/>
            <w:tcBorders>
              <w:top w:val="single" w:color="auto" w:sz="4" w:space="0"/>
              <w:left w:val="single" w:color="auto" w:sz="4" w:space="0"/>
              <w:bottom w:val="single" w:color="auto" w:sz="4" w:space="0"/>
              <w:right w:val="single" w:color="auto" w:sz="4" w:space="0"/>
            </w:tcBorders>
            <w:vAlign w:val="center"/>
          </w:tcPr>
          <w:p w14:paraId="082D54CA">
            <w:pPr>
              <w:jc w:val="center"/>
              <w:rPr>
                <w:rFonts w:hint="eastAsia" w:ascii="宋体" w:hAnsi="宋体"/>
                <w:color w:val="auto"/>
                <w:highlight w:val="none"/>
              </w:rPr>
            </w:pPr>
            <w:r>
              <w:rPr>
                <w:rFonts w:hint="eastAsia" w:ascii="宋体" w:hAnsi="宋体" w:cs="Courier New"/>
                <w:color w:val="auto"/>
                <w:szCs w:val="21"/>
                <w:highlight w:val="none"/>
              </w:rPr>
              <w:t>招标人对中标人参与“百千万工程”的具体要求</w:t>
            </w:r>
          </w:p>
        </w:tc>
        <w:tc>
          <w:tcPr>
            <w:tcW w:w="5934" w:type="dxa"/>
            <w:tcBorders>
              <w:top w:val="single" w:color="auto" w:sz="4" w:space="0"/>
              <w:left w:val="single" w:color="auto" w:sz="4" w:space="0"/>
              <w:bottom w:val="single" w:color="auto" w:sz="4" w:space="0"/>
              <w:right w:val="double" w:color="auto" w:sz="4" w:space="0"/>
            </w:tcBorders>
            <w:vAlign w:val="center"/>
          </w:tcPr>
          <w:p w14:paraId="34DA169F">
            <w:pPr>
              <w:rPr>
                <w:rFonts w:hint="eastAsia" w:ascii="宋体" w:hAnsi="宋体" w:cs="Courier New"/>
                <w:color w:val="auto"/>
                <w:szCs w:val="21"/>
                <w:highlight w:val="none"/>
              </w:rPr>
            </w:pPr>
            <w:r>
              <w:rPr>
                <w:rFonts w:hint="eastAsia" w:ascii="宋体" w:hAnsi="宋体" w:cs="Courier New"/>
                <w:color w:val="auto"/>
                <w:szCs w:val="21"/>
                <w:highlight w:val="none"/>
                <w:lang w:eastAsia="zh-CN"/>
              </w:rPr>
              <w:t>☑</w:t>
            </w:r>
            <w:r>
              <w:rPr>
                <w:rFonts w:hint="eastAsia" w:ascii="宋体" w:hAnsi="宋体" w:cs="Courier New"/>
                <w:color w:val="auto"/>
                <w:szCs w:val="21"/>
                <w:highlight w:val="none"/>
              </w:rPr>
              <w:t>具体要求在中标后按照投标承诺和招标人的要求执行。</w:t>
            </w:r>
          </w:p>
          <w:p w14:paraId="5E9E77E4">
            <w:pPr>
              <w:rPr>
                <w:rFonts w:hint="eastAsia" w:ascii="宋体" w:hAnsi="宋体" w:cs="Courier New"/>
                <w:color w:val="auto"/>
                <w:szCs w:val="21"/>
                <w:highlight w:val="none"/>
              </w:rPr>
            </w:pPr>
            <w:r>
              <w:rPr>
                <w:rFonts w:hint="eastAsia" w:ascii="宋体" w:hAnsi="宋体" w:cs="Courier New"/>
                <w:color w:val="auto"/>
                <w:szCs w:val="21"/>
                <w:highlight w:val="none"/>
              </w:rPr>
              <w:t>□具体要求：（由招标人填写）</w:t>
            </w:r>
          </w:p>
        </w:tc>
      </w:tr>
    </w:tbl>
    <w:p w14:paraId="4BD41234">
      <w:pPr>
        <w:pStyle w:val="7"/>
        <w:rPr>
          <w:color w:val="auto"/>
          <w:highlight w:val="none"/>
        </w:rPr>
      </w:pPr>
      <w:r>
        <w:rPr>
          <w:color w:val="auto"/>
          <w:highlight w:val="none"/>
        </w:rPr>
        <w:br w:type="page"/>
      </w:r>
      <w:bookmarkStart w:id="16" w:name="_Toc7362"/>
      <w:bookmarkStart w:id="17" w:name="_Toc21525491"/>
      <w:bookmarkStart w:id="18" w:name="_Toc25354"/>
      <w:bookmarkStart w:id="19" w:name="_Toc2272547"/>
      <w:r>
        <w:rPr>
          <w:rStyle w:val="61"/>
          <w:rFonts w:hint="eastAsia"/>
          <w:b/>
          <w:color w:val="auto"/>
          <w:highlight w:val="none"/>
        </w:rPr>
        <w:t>二、投标须知修改表</w:t>
      </w:r>
      <w:bookmarkEnd w:id="16"/>
      <w:bookmarkEnd w:id="17"/>
      <w:bookmarkEnd w:id="18"/>
      <w:bookmarkEnd w:id="19"/>
    </w:p>
    <w:p w14:paraId="721A8DE5">
      <w:pPr>
        <w:pStyle w:val="4"/>
        <w:spacing w:line="360" w:lineRule="auto"/>
        <w:rPr>
          <w:b/>
          <w:color w:val="auto"/>
          <w:szCs w:val="21"/>
          <w:highlight w:val="none"/>
        </w:rPr>
      </w:pPr>
      <w:r>
        <w:rPr>
          <w:rFonts w:hint="eastAsia"/>
          <w:b/>
          <w:color w:val="auto"/>
          <w:szCs w:val="21"/>
          <w:highlight w:val="none"/>
        </w:rPr>
        <w:t>声明：本投标须知使用招标文件范本的投标须知通用条款，与该通用条款不同之处，均在本表中列明，并以现文为准，原文不再有效。</w:t>
      </w:r>
      <w:r>
        <w:rPr>
          <w:rFonts w:hint="eastAsia" w:ascii="宋体" w:hAnsi="宋体"/>
          <w:b w:val="0"/>
          <w:bCs/>
          <w:color w:val="auto"/>
          <w:sz w:val="21"/>
          <w:szCs w:val="21"/>
          <w:highlight w:val="none"/>
          <w:lang w:eastAsia="zh-CN"/>
        </w:rPr>
        <w:t>（注：招标人按《投标须知修改表》修改的内容对应修改通用条款，属于删除的采用“</w:t>
      </w:r>
      <w:r>
        <w:rPr>
          <w:rFonts w:hint="eastAsia" w:ascii="宋体" w:hAnsi="宋体"/>
          <w:b w:val="0"/>
          <w:bCs/>
          <w:strike/>
          <w:dstrike w:val="0"/>
          <w:color w:val="auto"/>
          <w:sz w:val="21"/>
          <w:szCs w:val="21"/>
          <w:highlight w:val="none"/>
          <w:lang w:val="en-US" w:eastAsia="zh-CN"/>
        </w:rPr>
        <w:t xml:space="preserve">   </w:t>
      </w:r>
      <w:r>
        <w:rPr>
          <w:rFonts w:hint="eastAsia" w:ascii="宋体" w:hAnsi="宋体"/>
          <w:b w:val="0"/>
          <w:bCs/>
          <w:strike w:val="0"/>
          <w:dstrike w:val="0"/>
          <w:color w:val="auto"/>
          <w:sz w:val="21"/>
          <w:szCs w:val="21"/>
          <w:highlight w:val="none"/>
          <w:lang w:val="en-US" w:eastAsia="zh-CN"/>
        </w:rPr>
        <w:t>”表示，</w:t>
      </w:r>
      <w:r>
        <w:rPr>
          <w:rFonts w:hint="eastAsia" w:ascii="宋体" w:hAnsi="宋体"/>
          <w:b w:val="0"/>
          <w:bCs/>
          <w:color w:val="auto"/>
          <w:sz w:val="21"/>
          <w:szCs w:val="21"/>
          <w:highlight w:val="none"/>
          <w:lang w:eastAsia="zh-CN"/>
        </w:rPr>
        <w:t>如“</w:t>
      </w:r>
      <w:r>
        <w:rPr>
          <w:rFonts w:hint="eastAsia" w:ascii="宋体" w:hAnsi="宋体"/>
          <w:b w:val="0"/>
          <w:bCs/>
          <w:strike/>
          <w:dstrike w:val="0"/>
          <w:color w:val="auto"/>
          <w:sz w:val="21"/>
          <w:szCs w:val="21"/>
          <w:highlight w:val="none"/>
          <w:u w:val="none"/>
          <w:lang w:eastAsia="zh-CN"/>
        </w:rPr>
        <w:t>删除</w:t>
      </w:r>
      <w:r>
        <w:rPr>
          <w:rFonts w:hint="eastAsia" w:ascii="宋体" w:hAnsi="宋体"/>
          <w:b w:val="0"/>
          <w:bCs/>
          <w:color w:val="auto"/>
          <w:sz w:val="21"/>
          <w:szCs w:val="21"/>
          <w:highlight w:val="none"/>
          <w:lang w:eastAsia="zh-CN"/>
        </w:rPr>
        <w:t>”；属于新增、修改的内容，用</w:t>
      </w:r>
      <w:r>
        <w:rPr>
          <w:rFonts w:hint="eastAsia" w:ascii="宋体" w:hAnsi="宋体"/>
          <w:b/>
          <w:bCs w:val="0"/>
          <w:color w:val="auto"/>
          <w:sz w:val="21"/>
          <w:szCs w:val="21"/>
          <w:highlight w:val="none"/>
          <w:lang w:eastAsia="zh-CN"/>
        </w:rPr>
        <w:t>黑色加粗</w:t>
      </w:r>
      <w:r>
        <w:rPr>
          <w:rFonts w:hint="eastAsia" w:ascii="宋体" w:hAnsi="宋体"/>
          <w:b w:val="0"/>
          <w:bCs/>
          <w:color w:val="auto"/>
          <w:sz w:val="21"/>
          <w:szCs w:val="21"/>
          <w:highlight w:val="none"/>
          <w:lang w:eastAsia="zh-CN"/>
        </w:rPr>
        <w:t>字体显示</w:t>
      </w:r>
      <w:r>
        <w:rPr>
          <w:rFonts w:hint="eastAsia" w:ascii="宋体" w:hAnsi="宋体"/>
          <w:b w:val="0"/>
          <w:bCs/>
          <w:color w:val="auto"/>
          <w:sz w:val="21"/>
          <w:szCs w:val="21"/>
          <w:highlight w:val="none"/>
          <w:lang w:val="en-US" w:eastAsia="zh-CN"/>
        </w:rPr>
        <w:t>,并加注下划线，如“</w:t>
      </w:r>
      <w:r>
        <w:rPr>
          <w:rFonts w:hint="eastAsia" w:ascii="宋体" w:hAnsi="宋体"/>
          <w:b/>
          <w:bCs w:val="0"/>
          <w:color w:val="auto"/>
          <w:sz w:val="21"/>
          <w:szCs w:val="21"/>
          <w:highlight w:val="none"/>
          <w:u w:val="single"/>
          <w:lang w:val="en-US" w:eastAsia="zh-CN"/>
        </w:rPr>
        <w:t>新增修改</w:t>
      </w:r>
      <w:r>
        <w:rPr>
          <w:rFonts w:hint="eastAsia" w:ascii="宋体" w:hAnsi="宋体"/>
          <w:b w:val="0"/>
          <w:bCs/>
          <w:color w:val="auto"/>
          <w:sz w:val="21"/>
          <w:szCs w:val="21"/>
          <w:highlight w:val="none"/>
          <w:lang w:val="en-US" w:eastAsia="zh-CN"/>
        </w:rPr>
        <w:t>”</w:t>
      </w:r>
      <w:r>
        <w:rPr>
          <w:rFonts w:hint="eastAsia" w:ascii="宋体" w:hAnsi="宋体"/>
          <w:b w:val="0"/>
          <w:bCs/>
          <w:color w:val="auto"/>
          <w:sz w:val="21"/>
          <w:szCs w:val="21"/>
          <w:highlight w:val="none"/>
          <w:lang w:eastAsia="zh-CN"/>
        </w:rPr>
        <w:t>。</w:t>
      </w:r>
      <w:r>
        <w:rPr>
          <w:rFonts w:hint="eastAsia" w:ascii="宋体" w:hAnsi="宋体"/>
          <w:b w:val="0"/>
          <w:bCs/>
          <w:color w:val="auto"/>
          <w:sz w:val="24"/>
          <w:szCs w:val="24"/>
          <w:highlight w:val="none"/>
          <w:lang w:eastAsia="zh-CN"/>
        </w:rPr>
        <w:t>）</w:t>
      </w:r>
    </w:p>
    <w:p w14:paraId="394DE10D">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条款号：</w:t>
      </w:r>
      <w:r>
        <w:rPr>
          <w:rFonts w:hint="eastAsia" w:ascii="宋体" w:hAnsi="宋体" w:eastAsia="宋体" w:cs="宋体"/>
          <w:b/>
          <w:bCs w:val="0"/>
          <w:color w:val="auto"/>
          <w:sz w:val="24"/>
          <w:szCs w:val="24"/>
          <w:u w:val="none"/>
        </w:rPr>
        <w:t>2.5</w:t>
      </w:r>
      <w:r>
        <w:rPr>
          <w:rFonts w:hint="eastAsia" w:ascii="宋体" w:hAnsi="宋体" w:eastAsia="宋体" w:cs="宋体"/>
          <w:b/>
          <w:color w:val="auto"/>
          <w:sz w:val="24"/>
          <w:szCs w:val="24"/>
          <w:highlight w:val="none"/>
        </w:rPr>
        <w:t xml:space="preserve">                    </w:t>
      </w:r>
      <w:r>
        <w:rPr>
          <w:rFonts w:hint="eastAsia" w:ascii="宋体" w:hAnsi="宋体" w:eastAsia="宋体" w:cs="宋体"/>
          <w:b/>
          <w:color w:val="auto"/>
          <w:sz w:val="24"/>
          <w:szCs w:val="24"/>
        </w:rPr>
        <w:t>修改类型：</w:t>
      </w:r>
      <w:r>
        <w:rPr>
          <w:rFonts w:hint="eastAsia" w:ascii="宋体" w:hAnsi="宋体" w:eastAsia="宋体" w:cs="宋体"/>
          <w:b/>
          <w:color w:val="auto"/>
          <w:sz w:val="24"/>
          <w:szCs w:val="24"/>
          <w:u w:val="none"/>
        </w:rPr>
        <w:t>增加</w:t>
      </w:r>
    </w:p>
    <w:p w14:paraId="77B32B06">
      <w:pPr>
        <w:keepNext w:val="0"/>
        <w:keepLines w:val="0"/>
        <w:pageBreakBefore w:val="0"/>
        <w:widowControl w:val="0"/>
        <w:pBdr>
          <w:bottom w:val="single" w:color="auto" w:sz="6" w:space="1"/>
        </w:pBd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现文：</w:t>
      </w:r>
      <w:r>
        <w:rPr>
          <w:rFonts w:hint="eastAsia" w:ascii="宋体" w:hAnsi="宋体" w:eastAsia="宋体" w:cs="宋体"/>
          <w:b/>
          <w:bCs/>
          <w:color w:val="auto"/>
          <w:sz w:val="24"/>
          <w:szCs w:val="24"/>
          <w:highlight w:val="none"/>
          <w:u w:val="single"/>
        </w:rPr>
        <w:t>2.5</w:t>
      </w:r>
      <w:r>
        <w:rPr>
          <w:rFonts w:hint="eastAsia" w:ascii="宋体" w:hAnsi="宋体" w:eastAsia="宋体" w:cs="宋体"/>
          <w:color w:val="auto"/>
          <w:sz w:val="24"/>
          <w:szCs w:val="24"/>
          <w:highlight w:val="none"/>
          <w:u w:val="single"/>
        </w:rPr>
        <w:t>根据《建设工程质量检测管理办法》（建设部令第141号）第十二条规定，建设工程质量、安全检测业务应由建设单位依法委托，不列入本次招标范围。招标文件中与此条不一致的，以此条为准。</w:t>
      </w:r>
      <w:r>
        <w:rPr>
          <w:rFonts w:hint="eastAsia" w:ascii="宋体" w:hAnsi="宋体" w:eastAsia="宋体" w:cs="宋体"/>
          <w:color w:val="auto"/>
          <w:kern w:val="0"/>
          <w:sz w:val="24"/>
          <w:szCs w:val="24"/>
          <w:highlight w:val="none"/>
          <w:u w:val="single"/>
          <w:lang w:val="zh-CN"/>
        </w:rPr>
        <w:t>建设单位和中标人均不得委托近二年（从招标公告发布年度起逆推2年的1月1日起至投标截止时间止）因伪造检测数据、出具虚假检测报告被各级建设行政主管部门或市场监督管理部门行政处罚或通报的检测单位负责本项目的检测工作。</w:t>
      </w:r>
    </w:p>
    <w:p w14:paraId="74EE3C50">
      <w:pPr>
        <w:spacing w:line="360" w:lineRule="auto"/>
        <w:ind w:firstLine="540" w:firstLineChars="224"/>
        <w:rPr>
          <w:rFonts w:hint="eastAsia" w:ascii="宋体" w:hAnsi="宋体" w:cs="宋体"/>
          <w:b/>
          <w:sz w:val="24"/>
          <w:szCs w:val="24"/>
          <w:highlight w:val="none"/>
        </w:rPr>
      </w:pPr>
      <w:r>
        <w:rPr>
          <w:rFonts w:hint="eastAsia" w:ascii="宋体" w:hAnsi="宋体" w:cs="宋体"/>
          <w:b/>
          <w:sz w:val="24"/>
          <w:szCs w:val="24"/>
          <w:highlight w:val="none"/>
        </w:rPr>
        <w:t>条款号：5.1            修改类型：修改</w:t>
      </w:r>
    </w:p>
    <w:p w14:paraId="2079FC8B">
      <w:pPr>
        <w:spacing w:line="360" w:lineRule="auto"/>
        <w:ind w:firstLine="540" w:firstLineChars="224"/>
        <w:rPr>
          <w:rFonts w:hint="eastAsia" w:ascii="宋体" w:hAnsi="宋体" w:cs="宋体"/>
          <w:b/>
          <w:sz w:val="24"/>
          <w:szCs w:val="24"/>
          <w:highlight w:val="none"/>
        </w:rPr>
      </w:pPr>
      <w:r>
        <w:rPr>
          <w:rFonts w:hint="eastAsia" w:ascii="宋体" w:hAnsi="宋体" w:cs="宋体"/>
          <w:b/>
          <w:sz w:val="24"/>
          <w:szCs w:val="24"/>
          <w:highlight w:val="none"/>
        </w:rPr>
        <w:t>原文：</w:t>
      </w:r>
      <w:r>
        <w:rPr>
          <w:rFonts w:hint="eastAsia" w:ascii="宋体" w:hAnsi="宋体" w:cs="宋体"/>
          <w:bCs/>
          <w:sz w:val="24"/>
          <w:szCs w:val="24"/>
          <w:highlight w:val="none"/>
        </w:rPr>
        <w:t>投标人应按本投标须知前附表第</w:t>
      </w:r>
      <w:r>
        <w:rPr>
          <w:rFonts w:hint="eastAsia" w:ascii="宋体" w:hAnsi="宋体" w:cs="宋体"/>
          <w:bCs/>
          <w:sz w:val="24"/>
          <w:szCs w:val="24"/>
          <w:highlight w:val="none"/>
          <w:lang w:val="en-US" w:eastAsia="zh-CN"/>
        </w:rPr>
        <w:t>12</w:t>
      </w:r>
      <w:r>
        <w:rPr>
          <w:rFonts w:hint="eastAsia" w:ascii="宋体" w:hAnsi="宋体" w:cs="宋体"/>
          <w:bCs/>
          <w:sz w:val="24"/>
          <w:szCs w:val="24"/>
          <w:highlight w:val="none"/>
        </w:rPr>
        <w:t>项所述时间和要求对工程现场及周围环境进行踏勘，</w:t>
      </w:r>
      <w:r>
        <w:rPr>
          <w:rFonts w:hint="eastAsia" w:ascii="宋体" w:hAnsi="宋体" w:cs="宋体"/>
          <w:sz w:val="24"/>
          <w:szCs w:val="24"/>
          <w:highlight w:val="none"/>
        </w:rPr>
        <w:t>投标人应充分重视和仔细地进行这种考察，</w:t>
      </w:r>
      <w:r>
        <w:rPr>
          <w:rFonts w:hint="eastAsia" w:ascii="宋体" w:hAnsi="宋体" w:cs="宋体"/>
          <w:bCs/>
          <w:sz w:val="24"/>
          <w:szCs w:val="24"/>
          <w:highlight w:val="none"/>
        </w:rPr>
        <w:t>以便投标人获取</w:t>
      </w:r>
      <w:r>
        <w:rPr>
          <w:rFonts w:hint="eastAsia" w:ascii="宋体" w:hAnsi="宋体" w:cs="宋体"/>
          <w:sz w:val="24"/>
          <w:szCs w:val="24"/>
          <w:highlight w:val="none"/>
        </w:rPr>
        <w:t>那些须投标人自己负责的</w:t>
      </w:r>
      <w:r>
        <w:rPr>
          <w:rFonts w:hint="eastAsia" w:ascii="宋体" w:hAnsi="宋体" w:cs="宋体"/>
          <w:bCs/>
          <w:sz w:val="24"/>
          <w:szCs w:val="24"/>
          <w:highlight w:val="none"/>
        </w:rPr>
        <w:t>有关编制投标文件和签署合同所涉及现场所有的资料。</w:t>
      </w:r>
      <w:r>
        <w:rPr>
          <w:rFonts w:hint="eastAsia" w:ascii="宋体" w:hAnsi="宋体" w:cs="宋体"/>
          <w:sz w:val="24"/>
          <w:szCs w:val="24"/>
          <w:highlight w:val="none"/>
        </w:rPr>
        <w:t>一旦中标，这种考察即被认为其结果已在中标文件中得到充分反映。</w:t>
      </w:r>
    </w:p>
    <w:p w14:paraId="08CD22F7">
      <w:pPr>
        <w:pBdr>
          <w:bottom w:val="single" w:color="auto" w:sz="6" w:space="1"/>
        </w:pBdr>
        <w:spacing w:line="360" w:lineRule="auto"/>
        <w:ind w:firstLine="540" w:firstLineChars="224"/>
        <w:rPr>
          <w:rFonts w:hint="eastAsia" w:ascii="宋体" w:hAnsi="宋体" w:cs="宋体"/>
          <w:b/>
          <w:sz w:val="24"/>
          <w:szCs w:val="24"/>
          <w:highlight w:val="none"/>
        </w:rPr>
      </w:pPr>
      <w:r>
        <w:rPr>
          <w:rFonts w:hint="eastAsia" w:ascii="宋体" w:hAnsi="宋体" w:cs="宋体"/>
          <w:b/>
          <w:sz w:val="24"/>
          <w:szCs w:val="24"/>
          <w:highlight w:val="none"/>
        </w:rPr>
        <w:t>现文：</w:t>
      </w:r>
      <w:r>
        <w:rPr>
          <w:rFonts w:hint="eastAsia" w:ascii="宋体" w:hAnsi="宋体" w:cs="宋体"/>
          <w:bCs/>
          <w:sz w:val="24"/>
          <w:szCs w:val="24"/>
          <w:highlight w:val="none"/>
        </w:rPr>
        <w:t>投标人应按本投标须知前附表第1</w:t>
      </w:r>
      <w:r>
        <w:rPr>
          <w:rFonts w:hint="eastAsia" w:ascii="宋体" w:hAnsi="宋体" w:cs="宋体"/>
          <w:bCs/>
          <w:sz w:val="24"/>
          <w:szCs w:val="24"/>
          <w:highlight w:val="none"/>
          <w:lang w:val="en-US" w:eastAsia="zh-CN"/>
        </w:rPr>
        <w:t>2</w:t>
      </w:r>
      <w:r>
        <w:rPr>
          <w:rFonts w:hint="eastAsia" w:ascii="宋体" w:hAnsi="宋体" w:cs="宋体"/>
          <w:bCs/>
          <w:sz w:val="24"/>
          <w:szCs w:val="24"/>
          <w:highlight w:val="none"/>
        </w:rPr>
        <w:t>项所述时间和要求对工程现场及周围环境进行踏勘，</w:t>
      </w:r>
      <w:r>
        <w:rPr>
          <w:rFonts w:hint="eastAsia" w:ascii="宋体" w:hAnsi="宋体" w:cs="宋体"/>
          <w:sz w:val="24"/>
          <w:szCs w:val="24"/>
          <w:highlight w:val="none"/>
        </w:rPr>
        <w:t>投标人应充分重视和仔细地进行这种考察，</w:t>
      </w:r>
      <w:r>
        <w:rPr>
          <w:rFonts w:hint="eastAsia" w:ascii="宋体" w:hAnsi="宋体" w:cs="宋体"/>
          <w:bCs/>
          <w:sz w:val="24"/>
          <w:szCs w:val="24"/>
          <w:highlight w:val="none"/>
        </w:rPr>
        <w:t>以便投标人获取</w:t>
      </w:r>
      <w:r>
        <w:rPr>
          <w:rFonts w:hint="eastAsia" w:ascii="宋体" w:hAnsi="宋体" w:cs="宋体"/>
          <w:sz w:val="24"/>
          <w:szCs w:val="24"/>
          <w:highlight w:val="none"/>
        </w:rPr>
        <w:t>那些须投标人自己负责的</w:t>
      </w:r>
      <w:r>
        <w:rPr>
          <w:rFonts w:hint="eastAsia" w:ascii="宋体" w:hAnsi="宋体" w:cs="宋体"/>
          <w:bCs/>
          <w:sz w:val="24"/>
          <w:szCs w:val="24"/>
          <w:highlight w:val="none"/>
        </w:rPr>
        <w:t>有关编制投标文件和签署合同所涉及现场所有的资料。</w:t>
      </w:r>
      <w:r>
        <w:rPr>
          <w:rFonts w:hint="eastAsia" w:ascii="宋体" w:hAnsi="宋体" w:cs="宋体"/>
          <w:b/>
          <w:bCs w:val="0"/>
          <w:sz w:val="24"/>
          <w:szCs w:val="24"/>
          <w:highlight w:val="none"/>
          <w:u w:val="single"/>
        </w:rPr>
        <w:t>投标人不进行踏勘的，视为已熟知现场条件，自行承担相关风险。</w:t>
      </w:r>
      <w:r>
        <w:rPr>
          <w:rFonts w:hint="eastAsia" w:ascii="宋体" w:hAnsi="宋体" w:cs="宋体"/>
          <w:sz w:val="24"/>
          <w:szCs w:val="24"/>
          <w:highlight w:val="none"/>
        </w:rPr>
        <w:t>一旦中标，这种考察即被认为其结果已在中标文件中得到充分反映。</w:t>
      </w:r>
    </w:p>
    <w:p w14:paraId="02DDBFA2">
      <w:pPr>
        <w:spacing w:line="360" w:lineRule="auto"/>
        <w:ind w:firstLine="540" w:firstLineChars="224"/>
        <w:rPr>
          <w:rFonts w:hint="eastAsia" w:ascii="宋体" w:hAnsi="宋体" w:cs="宋体"/>
          <w:b/>
          <w:sz w:val="24"/>
          <w:szCs w:val="24"/>
          <w:highlight w:val="none"/>
        </w:rPr>
      </w:pPr>
      <w:r>
        <w:rPr>
          <w:rFonts w:hint="eastAsia" w:ascii="宋体" w:hAnsi="宋体" w:cs="宋体"/>
          <w:b/>
          <w:sz w:val="24"/>
          <w:szCs w:val="24"/>
          <w:highlight w:val="none"/>
        </w:rPr>
        <w:t>条款号：</w:t>
      </w:r>
      <w:r>
        <w:rPr>
          <w:rFonts w:hint="eastAsia" w:ascii="宋体" w:hAnsi="宋体" w:cs="宋体"/>
          <w:b/>
          <w:sz w:val="24"/>
          <w:szCs w:val="24"/>
          <w:highlight w:val="none"/>
          <w:lang w:val="en-US" w:eastAsia="zh-CN"/>
        </w:rPr>
        <w:t>7</w:t>
      </w:r>
      <w:r>
        <w:rPr>
          <w:rFonts w:hint="eastAsia" w:ascii="宋体" w:hAnsi="宋体" w:cs="宋体"/>
          <w:b/>
          <w:sz w:val="24"/>
          <w:szCs w:val="24"/>
          <w:highlight w:val="none"/>
        </w:rPr>
        <w:t>.1              修改类型：修改</w:t>
      </w:r>
    </w:p>
    <w:p w14:paraId="23E0B65A">
      <w:pPr>
        <w:pBdr>
          <w:bottom w:val="single" w:color="auto" w:sz="6" w:space="1"/>
        </w:pBdr>
        <w:spacing w:line="360" w:lineRule="auto"/>
        <w:ind w:firstLine="540" w:firstLineChars="224"/>
        <w:rPr>
          <w:rFonts w:hint="eastAsia" w:ascii="宋体" w:hAnsi="宋体" w:cs="宋体"/>
          <w:sz w:val="24"/>
          <w:szCs w:val="24"/>
          <w:highlight w:val="none"/>
        </w:rPr>
      </w:pPr>
      <w:r>
        <w:rPr>
          <w:rFonts w:hint="eastAsia" w:ascii="宋体" w:hAnsi="宋体" w:cs="宋体"/>
          <w:b/>
          <w:sz w:val="24"/>
          <w:szCs w:val="24"/>
          <w:highlight w:val="none"/>
        </w:rPr>
        <w:t>原文：</w:t>
      </w:r>
      <w:r>
        <w:rPr>
          <w:rFonts w:hint="eastAsia" w:ascii="宋体" w:hAnsi="宋体" w:cs="宋体"/>
          <w:sz w:val="24"/>
          <w:szCs w:val="24"/>
          <w:highlight w:val="none"/>
        </w:rPr>
        <w:t>7.1本招标文件包括下列文件，以及所有按本须知第8条发出的招标答疑会会议纪要和按本须知第9条发出的澄清或修改：</w:t>
      </w:r>
    </w:p>
    <w:p w14:paraId="4CDA9118">
      <w:pPr>
        <w:pBdr>
          <w:bottom w:val="single" w:color="auto" w:sz="6" w:space="1"/>
        </w:pBdr>
        <w:spacing w:line="360" w:lineRule="auto"/>
        <w:ind w:firstLine="537" w:firstLineChars="224"/>
        <w:rPr>
          <w:rFonts w:hint="eastAsia" w:ascii="宋体" w:hAnsi="宋体" w:cs="宋体"/>
          <w:sz w:val="24"/>
          <w:szCs w:val="24"/>
          <w:highlight w:val="none"/>
        </w:rPr>
      </w:pPr>
      <w:r>
        <w:rPr>
          <w:rFonts w:hint="eastAsia" w:ascii="宋体" w:hAnsi="宋体" w:cs="宋体"/>
          <w:sz w:val="24"/>
          <w:szCs w:val="24"/>
          <w:highlight w:val="none"/>
        </w:rPr>
        <w:t>（1）招标公告</w:t>
      </w:r>
    </w:p>
    <w:p w14:paraId="5DA8B560">
      <w:pPr>
        <w:pBdr>
          <w:bottom w:val="single" w:color="auto" w:sz="6" w:space="1"/>
        </w:pBdr>
        <w:spacing w:line="360" w:lineRule="auto"/>
        <w:ind w:firstLine="537" w:firstLineChars="224"/>
        <w:rPr>
          <w:rFonts w:hint="eastAsia" w:ascii="宋体" w:hAnsi="宋体" w:cs="宋体"/>
          <w:sz w:val="24"/>
          <w:szCs w:val="24"/>
          <w:highlight w:val="none"/>
        </w:rPr>
      </w:pPr>
      <w:r>
        <w:rPr>
          <w:rFonts w:hint="eastAsia" w:ascii="宋体" w:hAnsi="宋体" w:cs="宋体"/>
          <w:sz w:val="24"/>
          <w:szCs w:val="24"/>
          <w:highlight w:val="none"/>
        </w:rPr>
        <w:t>（2）投标须知</w:t>
      </w:r>
    </w:p>
    <w:p w14:paraId="615F59BE">
      <w:pPr>
        <w:pBdr>
          <w:bottom w:val="single" w:color="auto" w:sz="6" w:space="1"/>
        </w:pBdr>
        <w:spacing w:line="360" w:lineRule="auto"/>
        <w:ind w:firstLine="537" w:firstLineChars="224"/>
        <w:rPr>
          <w:rFonts w:hint="eastAsia" w:ascii="宋体" w:hAnsi="宋体" w:cs="宋体"/>
          <w:sz w:val="24"/>
          <w:szCs w:val="24"/>
          <w:highlight w:val="none"/>
        </w:rPr>
      </w:pPr>
      <w:r>
        <w:rPr>
          <w:rFonts w:hint="eastAsia" w:ascii="宋体" w:hAnsi="宋体" w:cs="宋体"/>
          <w:sz w:val="24"/>
          <w:szCs w:val="24"/>
          <w:highlight w:val="none"/>
        </w:rPr>
        <w:t>（3）开标、评标及定标办法</w:t>
      </w:r>
    </w:p>
    <w:p w14:paraId="063F4204">
      <w:pPr>
        <w:pBdr>
          <w:bottom w:val="single" w:color="auto" w:sz="6" w:space="1"/>
        </w:pBdr>
        <w:spacing w:line="360" w:lineRule="auto"/>
        <w:ind w:firstLine="537" w:firstLineChars="224"/>
        <w:rPr>
          <w:rFonts w:hint="eastAsia" w:ascii="宋体" w:hAnsi="宋体" w:cs="宋体"/>
          <w:sz w:val="24"/>
          <w:szCs w:val="24"/>
          <w:highlight w:val="none"/>
        </w:rPr>
      </w:pPr>
      <w:r>
        <w:rPr>
          <w:rFonts w:hint="eastAsia" w:ascii="宋体" w:hAnsi="宋体" w:cs="宋体"/>
          <w:sz w:val="24"/>
          <w:szCs w:val="24"/>
          <w:highlight w:val="none"/>
        </w:rPr>
        <w:t>（4）合同条款</w:t>
      </w:r>
    </w:p>
    <w:p w14:paraId="6D3B0F95">
      <w:pPr>
        <w:pBdr>
          <w:bottom w:val="single" w:color="auto" w:sz="6" w:space="1"/>
        </w:pBdr>
        <w:spacing w:line="360" w:lineRule="auto"/>
        <w:ind w:firstLine="537" w:firstLineChars="224"/>
        <w:rPr>
          <w:rFonts w:hint="eastAsia" w:ascii="宋体" w:hAnsi="宋体" w:cs="宋体"/>
          <w:sz w:val="24"/>
          <w:szCs w:val="24"/>
          <w:highlight w:val="none"/>
        </w:rPr>
      </w:pPr>
      <w:r>
        <w:rPr>
          <w:rFonts w:hint="eastAsia" w:ascii="宋体" w:hAnsi="宋体" w:cs="宋体"/>
          <w:sz w:val="24"/>
          <w:szCs w:val="24"/>
          <w:highlight w:val="none"/>
        </w:rPr>
        <w:t>（5）投标文件格式</w:t>
      </w:r>
    </w:p>
    <w:p w14:paraId="0CEFA535">
      <w:pPr>
        <w:pBdr>
          <w:bottom w:val="single" w:color="auto" w:sz="6" w:space="1"/>
        </w:pBdr>
        <w:spacing w:line="360" w:lineRule="auto"/>
        <w:ind w:firstLine="537" w:firstLineChars="224"/>
        <w:rPr>
          <w:rFonts w:hint="eastAsia" w:ascii="宋体" w:hAnsi="宋体" w:cs="宋体"/>
          <w:sz w:val="24"/>
          <w:szCs w:val="24"/>
          <w:highlight w:val="none"/>
        </w:rPr>
      </w:pPr>
      <w:r>
        <w:rPr>
          <w:rFonts w:hint="eastAsia" w:ascii="宋体" w:hAnsi="宋体" w:cs="宋体"/>
          <w:sz w:val="24"/>
          <w:szCs w:val="24"/>
          <w:highlight w:val="none"/>
        </w:rPr>
        <w:t>（6）技术条件（工程建设标准）</w:t>
      </w:r>
    </w:p>
    <w:p w14:paraId="02DD0EEE">
      <w:pPr>
        <w:pBdr>
          <w:bottom w:val="single" w:color="auto" w:sz="6" w:space="1"/>
        </w:pBdr>
        <w:spacing w:line="360" w:lineRule="auto"/>
        <w:ind w:firstLine="537" w:firstLineChars="224"/>
        <w:rPr>
          <w:rFonts w:hint="eastAsia" w:ascii="宋体" w:hAnsi="宋体" w:cs="宋体"/>
          <w:sz w:val="24"/>
          <w:szCs w:val="24"/>
          <w:highlight w:val="none"/>
        </w:rPr>
      </w:pPr>
      <w:r>
        <w:rPr>
          <w:rFonts w:hint="eastAsia" w:ascii="宋体" w:hAnsi="宋体" w:cs="宋体"/>
          <w:sz w:val="24"/>
          <w:szCs w:val="24"/>
          <w:highlight w:val="none"/>
        </w:rPr>
        <w:t>（7）图纸</w:t>
      </w:r>
      <w:r>
        <w:rPr>
          <w:rFonts w:hint="eastAsia" w:ascii="宋体" w:hAnsi="宋体" w:cs="宋体"/>
          <w:sz w:val="24"/>
          <w:szCs w:val="24"/>
          <w:highlight w:val="none"/>
          <w:lang w:eastAsia="zh-CN"/>
        </w:rPr>
        <w:t>及勘察</w:t>
      </w:r>
      <w:r>
        <w:rPr>
          <w:rFonts w:hint="eastAsia" w:ascii="宋体" w:hAnsi="宋体" w:cs="宋体"/>
          <w:sz w:val="24"/>
          <w:szCs w:val="24"/>
          <w:highlight w:val="none"/>
        </w:rPr>
        <w:t>资料</w:t>
      </w:r>
    </w:p>
    <w:p w14:paraId="7C77BAAC">
      <w:pPr>
        <w:pBdr>
          <w:bottom w:val="single" w:color="auto" w:sz="6" w:space="1"/>
        </w:pBdr>
        <w:spacing w:line="360" w:lineRule="auto"/>
        <w:ind w:firstLine="537" w:firstLineChars="224"/>
        <w:rPr>
          <w:rFonts w:hint="eastAsia" w:ascii="宋体" w:hAnsi="宋体" w:cs="宋体"/>
          <w:sz w:val="24"/>
          <w:szCs w:val="24"/>
          <w:highlight w:val="none"/>
        </w:rPr>
      </w:pPr>
      <w:r>
        <w:rPr>
          <w:rFonts w:hint="eastAsia" w:ascii="宋体" w:hAnsi="宋体" w:cs="宋体"/>
          <w:sz w:val="24"/>
          <w:szCs w:val="24"/>
          <w:highlight w:val="none"/>
        </w:rPr>
        <w:t>（8）招标工程量清单</w:t>
      </w:r>
    </w:p>
    <w:p w14:paraId="503D2F76">
      <w:pPr>
        <w:pBdr>
          <w:bottom w:val="single" w:color="auto" w:sz="6" w:space="1"/>
        </w:pBdr>
        <w:spacing w:line="360" w:lineRule="auto"/>
        <w:ind w:firstLine="537" w:firstLineChars="224"/>
        <w:rPr>
          <w:rFonts w:hint="eastAsia" w:ascii="宋体" w:hAnsi="宋体" w:cs="宋体"/>
          <w:sz w:val="24"/>
          <w:szCs w:val="24"/>
          <w:highlight w:val="none"/>
        </w:rPr>
      </w:pPr>
      <w:r>
        <w:rPr>
          <w:rFonts w:hint="eastAsia" w:ascii="宋体" w:hAnsi="宋体" w:cs="宋体"/>
          <w:sz w:val="24"/>
          <w:szCs w:val="24"/>
          <w:highlight w:val="none"/>
        </w:rPr>
        <w:t>（9）最高投标限价</w:t>
      </w:r>
    </w:p>
    <w:p w14:paraId="19D0272E">
      <w:pPr>
        <w:pBdr>
          <w:bottom w:val="single" w:color="auto" w:sz="6" w:space="1"/>
        </w:pBdr>
        <w:spacing w:line="360" w:lineRule="auto"/>
        <w:ind w:firstLine="537" w:firstLineChars="224"/>
        <w:rPr>
          <w:rFonts w:hint="eastAsia" w:ascii="宋体" w:hAnsi="宋体" w:cs="宋体"/>
          <w:sz w:val="24"/>
          <w:szCs w:val="24"/>
          <w:highlight w:val="none"/>
          <w:u w:val="single"/>
        </w:rPr>
      </w:pPr>
      <w:r>
        <w:rPr>
          <w:rFonts w:hint="eastAsia" w:ascii="宋体" w:hAnsi="宋体" w:cs="宋体"/>
          <w:sz w:val="24"/>
          <w:szCs w:val="24"/>
          <w:highlight w:val="none"/>
          <w:u w:val="single"/>
        </w:rPr>
        <w:t>注：招标人应在技术条件（工程建设标准）中明确如下内容：</w:t>
      </w:r>
    </w:p>
    <w:p w14:paraId="4F5EC7E9">
      <w:pPr>
        <w:pBdr>
          <w:bottom w:val="single" w:color="auto" w:sz="6" w:space="1"/>
        </w:pBdr>
        <w:spacing w:line="360" w:lineRule="auto"/>
        <w:ind w:firstLine="537" w:firstLineChars="224"/>
        <w:rPr>
          <w:rFonts w:hint="eastAsia" w:ascii="宋体" w:hAnsi="宋体" w:cs="宋体"/>
          <w:sz w:val="24"/>
          <w:szCs w:val="24"/>
          <w:highlight w:val="none"/>
          <w:u w:val="single"/>
        </w:rPr>
      </w:pPr>
      <w:r>
        <w:rPr>
          <w:rFonts w:hint="eastAsia" w:ascii="宋体" w:hAnsi="宋体" w:cs="宋体"/>
          <w:sz w:val="24"/>
          <w:szCs w:val="24"/>
          <w:highlight w:val="none"/>
          <w:u w:val="single"/>
        </w:rPr>
        <w:t>1.施工现场建筑垃圾源头减量的具体要求和建筑垃圾综合利用产品的使用要求。</w:t>
      </w:r>
    </w:p>
    <w:p w14:paraId="4805F245">
      <w:pPr>
        <w:pBdr>
          <w:bottom w:val="single" w:color="auto" w:sz="6" w:space="1"/>
        </w:pBdr>
        <w:spacing w:line="360" w:lineRule="auto"/>
        <w:ind w:firstLine="537" w:firstLineChars="224"/>
        <w:rPr>
          <w:rFonts w:hint="eastAsia" w:ascii="宋体" w:hAnsi="宋体" w:cs="宋体"/>
          <w:sz w:val="24"/>
          <w:szCs w:val="24"/>
          <w:highlight w:val="none"/>
          <w:u w:val="single"/>
        </w:rPr>
      </w:pPr>
      <w:r>
        <w:rPr>
          <w:rFonts w:hint="eastAsia" w:ascii="宋体" w:hAnsi="宋体" w:cs="宋体"/>
          <w:sz w:val="24"/>
          <w:szCs w:val="24"/>
          <w:highlight w:val="none"/>
          <w:u w:val="single"/>
        </w:rPr>
        <w:t>2.占道施工相关告知、围蔽、修复等要求。</w:t>
      </w:r>
    </w:p>
    <w:p w14:paraId="3AE31310">
      <w:pPr>
        <w:pBdr>
          <w:bottom w:val="single" w:color="auto" w:sz="6" w:space="1"/>
        </w:pBdr>
        <w:spacing w:line="360" w:lineRule="auto"/>
        <w:ind w:firstLine="537" w:firstLineChars="224"/>
        <w:rPr>
          <w:rFonts w:hint="eastAsia" w:ascii="宋体" w:hAnsi="宋体" w:cs="宋体"/>
          <w:sz w:val="24"/>
          <w:szCs w:val="24"/>
          <w:highlight w:val="none"/>
          <w:u w:val="single"/>
        </w:rPr>
      </w:pPr>
      <w:r>
        <w:rPr>
          <w:rFonts w:hint="eastAsia" w:ascii="宋体" w:hAnsi="宋体" w:cs="宋体"/>
          <w:sz w:val="24"/>
          <w:szCs w:val="24"/>
          <w:highlight w:val="none"/>
          <w:u w:val="single"/>
        </w:rPr>
        <w:t>3.对照《广州市智能建造技术清单（1.0版）》对招标项目智能建造提出要求。</w:t>
      </w:r>
    </w:p>
    <w:p w14:paraId="5630CB18">
      <w:pPr>
        <w:pBdr>
          <w:bottom w:val="single" w:color="auto" w:sz="6" w:space="1"/>
        </w:pBdr>
        <w:spacing w:line="360" w:lineRule="auto"/>
        <w:ind w:firstLine="537" w:firstLineChars="224"/>
        <w:rPr>
          <w:rFonts w:hint="eastAsia" w:ascii="宋体" w:hAnsi="宋体" w:cs="宋体"/>
          <w:sz w:val="24"/>
          <w:szCs w:val="24"/>
          <w:highlight w:val="none"/>
          <w:u w:val="single"/>
        </w:rPr>
      </w:pPr>
      <w:r>
        <w:rPr>
          <w:rFonts w:hint="eastAsia" w:ascii="宋体" w:hAnsi="宋体" w:cs="宋体"/>
          <w:sz w:val="24"/>
          <w:szCs w:val="24"/>
          <w:highlight w:val="none"/>
          <w:u w:val="single"/>
        </w:rPr>
        <w:t>4.招标人对中标人参与“百千万工程”的具体要求。</w:t>
      </w:r>
    </w:p>
    <w:p w14:paraId="110878D0">
      <w:pPr>
        <w:pBdr>
          <w:bottom w:val="single" w:color="auto" w:sz="6" w:space="1"/>
        </w:pBdr>
        <w:spacing w:line="360" w:lineRule="auto"/>
        <w:ind w:firstLine="537" w:firstLineChars="224"/>
        <w:rPr>
          <w:rFonts w:hint="eastAsia" w:ascii="宋体" w:hAnsi="宋体" w:cs="宋体"/>
          <w:sz w:val="24"/>
          <w:szCs w:val="24"/>
          <w:highlight w:val="none"/>
        </w:rPr>
      </w:pPr>
      <w:r>
        <w:rPr>
          <w:rFonts w:hint="eastAsia" w:ascii="宋体" w:hAnsi="宋体" w:cs="宋体"/>
          <w:sz w:val="24"/>
          <w:szCs w:val="24"/>
          <w:highlight w:val="none"/>
          <w:u w:val="single"/>
        </w:rPr>
        <w:t>5.在建筑废弃物运输上落实《关于加快推动氢能产业高质量发展的若干措施》的要求。</w:t>
      </w:r>
    </w:p>
    <w:p w14:paraId="2CD82BDD">
      <w:pPr>
        <w:pBdr>
          <w:bottom w:val="single" w:color="auto" w:sz="6" w:space="1"/>
        </w:pBdr>
        <w:spacing w:line="360" w:lineRule="auto"/>
        <w:ind w:firstLine="540" w:firstLineChars="224"/>
        <w:rPr>
          <w:rFonts w:hint="eastAsia" w:ascii="宋体" w:hAnsi="宋体" w:cs="宋体"/>
          <w:sz w:val="24"/>
          <w:szCs w:val="24"/>
          <w:highlight w:val="none"/>
        </w:rPr>
      </w:pPr>
      <w:r>
        <w:rPr>
          <w:rFonts w:hint="eastAsia" w:ascii="宋体" w:hAnsi="宋体" w:cs="宋体"/>
          <w:b/>
          <w:sz w:val="24"/>
          <w:szCs w:val="24"/>
          <w:highlight w:val="none"/>
        </w:rPr>
        <w:t>现文：</w:t>
      </w:r>
      <w:r>
        <w:rPr>
          <w:rFonts w:hint="eastAsia" w:ascii="宋体" w:hAnsi="宋体" w:cs="宋体"/>
          <w:sz w:val="24"/>
          <w:szCs w:val="24"/>
          <w:highlight w:val="none"/>
        </w:rPr>
        <w:t>7.1本招标文件包括下列文件，以及所有按本须知第8条发出的招标答疑会会议纪要和按本须知第9条发出的澄清或修改：</w:t>
      </w:r>
    </w:p>
    <w:p w14:paraId="056C4803">
      <w:pPr>
        <w:pBdr>
          <w:bottom w:val="single" w:color="auto" w:sz="6" w:space="1"/>
        </w:pBdr>
        <w:spacing w:line="360" w:lineRule="auto"/>
        <w:ind w:firstLine="537" w:firstLineChars="224"/>
        <w:rPr>
          <w:rFonts w:hint="eastAsia" w:ascii="宋体" w:hAnsi="宋体" w:cs="宋体"/>
          <w:sz w:val="24"/>
          <w:szCs w:val="24"/>
          <w:highlight w:val="none"/>
        </w:rPr>
      </w:pPr>
      <w:r>
        <w:rPr>
          <w:rFonts w:hint="eastAsia" w:ascii="宋体" w:hAnsi="宋体" w:cs="宋体"/>
          <w:sz w:val="24"/>
          <w:szCs w:val="24"/>
          <w:highlight w:val="none"/>
        </w:rPr>
        <w:t>（1）招标公告</w:t>
      </w:r>
    </w:p>
    <w:p w14:paraId="4A81E68B">
      <w:pPr>
        <w:pBdr>
          <w:bottom w:val="single" w:color="auto" w:sz="6" w:space="1"/>
        </w:pBdr>
        <w:spacing w:line="360" w:lineRule="auto"/>
        <w:ind w:firstLine="537" w:firstLineChars="224"/>
        <w:rPr>
          <w:rFonts w:hint="eastAsia" w:ascii="宋体" w:hAnsi="宋体" w:cs="宋体"/>
          <w:sz w:val="24"/>
          <w:szCs w:val="24"/>
          <w:highlight w:val="none"/>
        </w:rPr>
      </w:pPr>
      <w:r>
        <w:rPr>
          <w:rFonts w:hint="eastAsia" w:ascii="宋体" w:hAnsi="宋体" w:cs="宋体"/>
          <w:sz w:val="24"/>
          <w:szCs w:val="24"/>
          <w:highlight w:val="none"/>
        </w:rPr>
        <w:t>（2）投标须知</w:t>
      </w:r>
    </w:p>
    <w:p w14:paraId="625510B1">
      <w:pPr>
        <w:pBdr>
          <w:bottom w:val="single" w:color="auto" w:sz="6" w:space="1"/>
        </w:pBdr>
        <w:spacing w:line="360" w:lineRule="auto"/>
        <w:ind w:firstLine="537" w:firstLineChars="224"/>
        <w:rPr>
          <w:rFonts w:hint="eastAsia" w:ascii="宋体" w:hAnsi="宋体" w:cs="宋体"/>
          <w:sz w:val="24"/>
          <w:szCs w:val="24"/>
          <w:highlight w:val="none"/>
        </w:rPr>
      </w:pPr>
      <w:r>
        <w:rPr>
          <w:rFonts w:hint="eastAsia" w:ascii="宋体" w:hAnsi="宋体" w:cs="宋体"/>
          <w:sz w:val="24"/>
          <w:szCs w:val="24"/>
          <w:highlight w:val="none"/>
        </w:rPr>
        <w:t>（3）开标、评标及定标办法</w:t>
      </w:r>
    </w:p>
    <w:p w14:paraId="2D984FA6">
      <w:pPr>
        <w:pBdr>
          <w:bottom w:val="single" w:color="auto" w:sz="6" w:space="1"/>
        </w:pBdr>
        <w:spacing w:line="360" w:lineRule="auto"/>
        <w:ind w:firstLine="537" w:firstLineChars="224"/>
        <w:rPr>
          <w:rFonts w:hint="eastAsia" w:ascii="宋体" w:hAnsi="宋体" w:cs="宋体"/>
          <w:sz w:val="24"/>
          <w:szCs w:val="24"/>
          <w:highlight w:val="none"/>
        </w:rPr>
      </w:pPr>
      <w:r>
        <w:rPr>
          <w:rFonts w:hint="eastAsia" w:ascii="宋体" w:hAnsi="宋体" w:cs="宋体"/>
          <w:sz w:val="24"/>
          <w:szCs w:val="24"/>
          <w:highlight w:val="none"/>
        </w:rPr>
        <w:t>（4）合同条款</w:t>
      </w:r>
    </w:p>
    <w:p w14:paraId="2B461A0A">
      <w:pPr>
        <w:pBdr>
          <w:bottom w:val="single" w:color="auto" w:sz="6" w:space="1"/>
        </w:pBdr>
        <w:spacing w:line="360" w:lineRule="auto"/>
        <w:ind w:firstLine="537" w:firstLineChars="224"/>
        <w:rPr>
          <w:rFonts w:hint="eastAsia" w:ascii="宋体" w:hAnsi="宋体" w:cs="宋体"/>
          <w:sz w:val="24"/>
          <w:szCs w:val="24"/>
          <w:highlight w:val="none"/>
        </w:rPr>
      </w:pPr>
      <w:r>
        <w:rPr>
          <w:rFonts w:hint="eastAsia" w:ascii="宋体" w:hAnsi="宋体" w:cs="宋体"/>
          <w:sz w:val="24"/>
          <w:szCs w:val="24"/>
          <w:highlight w:val="none"/>
        </w:rPr>
        <w:t>（5）投标文件格式</w:t>
      </w:r>
    </w:p>
    <w:p w14:paraId="792CEBA8">
      <w:pPr>
        <w:pBdr>
          <w:bottom w:val="single" w:color="auto" w:sz="6" w:space="1"/>
        </w:pBdr>
        <w:spacing w:line="360" w:lineRule="auto"/>
        <w:ind w:firstLine="537" w:firstLineChars="224"/>
        <w:rPr>
          <w:rFonts w:hint="eastAsia" w:ascii="宋体" w:hAnsi="宋体" w:cs="宋体"/>
          <w:sz w:val="24"/>
          <w:szCs w:val="24"/>
          <w:highlight w:val="none"/>
        </w:rPr>
      </w:pPr>
      <w:r>
        <w:rPr>
          <w:rFonts w:hint="eastAsia" w:ascii="宋体" w:hAnsi="宋体" w:cs="宋体"/>
          <w:sz w:val="24"/>
          <w:szCs w:val="24"/>
          <w:highlight w:val="none"/>
        </w:rPr>
        <w:t>（6）技术条件（工程建设标准）</w:t>
      </w:r>
    </w:p>
    <w:p w14:paraId="14347D2D">
      <w:pPr>
        <w:pBdr>
          <w:bottom w:val="single" w:color="auto" w:sz="6" w:space="1"/>
        </w:pBdr>
        <w:spacing w:line="360" w:lineRule="auto"/>
        <w:ind w:firstLine="537" w:firstLineChars="224"/>
        <w:rPr>
          <w:rFonts w:hint="eastAsia" w:ascii="宋体" w:hAnsi="宋体" w:eastAsia="宋体" w:cs="宋体"/>
          <w:sz w:val="24"/>
          <w:szCs w:val="24"/>
          <w:highlight w:val="none"/>
          <w:u w:val="single"/>
          <w:lang w:eastAsia="zh-CN"/>
        </w:rPr>
      </w:pPr>
      <w:r>
        <w:rPr>
          <w:rFonts w:hint="eastAsia" w:ascii="宋体" w:hAnsi="宋体" w:cs="宋体"/>
          <w:sz w:val="24"/>
          <w:szCs w:val="24"/>
          <w:highlight w:val="none"/>
          <w:u w:val="single"/>
        </w:rPr>
        <w:t>（7）图纸资料</w:t>
      </w:r>
      <w:r>
        <w:rPr>
          <w:rFonts w:hint="eastAsia" w:ascii="宋体" w:hAnsi="宋体" w:cs="宋体"/>
          <w:sz w:val="24"/>
          <w:szCs w:val="24"/>
          <w:highlight w:val="none"/>
          <w:u w:val="single"/>
          <w:lang w:eastAsia="zh-CN"/>
        </w:rPr>
        <w:t>（另册）</w:t>
      </w:r>
    </w:p>
    <w:p w14:paraId="0E9733E8">
      <w:pPr>
        <w:pBdr>
          <w:bottom w:val="single" w:color="auto" w:sz="6" w:space="1"/>
        </w:pBdr>
        <w:spacing w:line="360" w:lineRule="auto"/>
        <w:ind w:firstLine="537" w:firstLineChars="224"/>
        <w:rPr>
          <w:rFonts w:hint="eastAsia" w:ascii="宋体" w:hAnsi="宋体" w:cs="宋体"/>
          <w:sz w:val="24"/>
          <w:szCs w:val="24"/>
          <w:highlight w:val="none"/>
          <w:u w:val="single"/>
        </w:rPr>
      </w:pPr>
      <w:r>
        <w:rPr>
          <w:rFonts w:hint="eastAsia" w:ascii="宋体" w:hAnsi="宋体" w:cs="宋体"/>
          <w:sz w:val="24"/>
          <w:szCs w:val="24"/>
          <w:highlight w:val="none"/>
          <w:u w:val="single"/>
        </w:rPr>
        <w:t>（8）招标工程量清单</w:t>
      </w:r>
      <w:r>
        <w:rPr>
          <w:rFonts w:hint="eastAsia" w:ascii="宋体" w:hAnsi="宋体" w:cs="宋体"/>
          <w:sz w:val="24"/>
          <w:szCs w:val="24"/>
          <w:highlight w:val="none"/>
          <w:u w:val="single"/>
          <w:lang w:eastAsia="zh-CN"/>
        </w:rPr>
        <w:t>（另册）</w:t>
      </w:r>
    </w:p>
    <w:p w14:paraId="68B9C7D6">
      <w:pPr>
        <w:pBdr>
          <w:bottom w:val="single" w:color="auto" w:sz="6" w:space="1"/>
        </w:pBdr>
        <w:spacing w:line="360" w:lineRule="auto"/>
        <w:ind w:firstLine="537" w:firstLineChars="224"/>
        <w:rPr>
          <w:rFonts w:hint="eastAsia" w:ascii="宋体" w:hAnsi="宋体" w:cs="宋体"/>
          <w:b/>
          <w:sz w:val="24"/>
          <w:szCs w:val="24"/>
          <w:highlight w:val="none"/>
        </w:rPr>
      </w:pPr>
      <w:r>
        <w:rPr>
          <w:rFonts w:hint="eastAsia" w:ascii="宋体" w:hAnsi="宋体" w:cs="宋体"/>
          <w:sz w:val="24"/>
          <w:szCs w:val="24"/>
          <w:highlight w:val="none"/>
          <w:u w:val="single"/>
        </w:rPr>
        <w:t>（9）最高投标限价</w:t>
      </w:r>
      <w:r>
        <w:rPr>
          <w:rFonts w:hint="eastAsia" w:ascii="宋体" w:hAnsi="宋体" w:cs="宋体"/>
          <w:sz w:val="24"/>
          <w:szCs w:val="24"/>
          <w:highlight w:val="none"/>
          <w:u w:val="single"/>
          <w:lang w:eastAsia="zh-CN"/>
        </w:rPr>
        <w:t>（另册）</w:t>
      </w:r>
      <w:r>
        <w:rPr>
          <w:rFonts w:hint="eastAsia" w:ascii="宋体" w:hAnsi="宋体" w:cs="宋体"/>
          <w:sz w:val="24"/>
          <w:szCs w:val="24"/>
          <w:highlight w:val="none"/>
        </w:rPr>
        <w:t>。</w:t>
      </w:r>
      <w:r>
        <w:rPr>
          <w:rFonts w:hint="eastAsia" w:ascii="宋体" w:hAnsi="宋体" w:cs="宋体"/>
          <w:b/>
          <w:sz w:val="24"/>
          <w:szCs w:val="24"/>
          <w:highlight w:val="none"/>
        </w:rPr>
        <w:t xml:space="preserve"> </w:t>
      </w:r>
    </w:p>
    <w:p w14:paraId="18F325A2">
      <w:pPr>
        <w:spacing w:line="360" w:lineRule="auto"/>
        <w:ind w:firstLine="540" w:firstLineChars="224"/>
        <w:rPr>
          <w:rFonts w:hint="eastAsia" w:ascii="宋体" w:hAnsi="宋体" w:cs="宋体"/>
          <w:b/>
          <w:sz w:val="24"/>
          <w:szCs w:val="24"/>
          <w:highlight w:val="none"/>
        </w:rPr>
      </w:pPr>
      <w:r>
        <w:rPr>
          <w:rFonts w:hint="eastAsia" w:ascii="宋体" w:hAnsi="宋体" w:cs="宋体"/>
          <w:b/>
          <w:sz w:val="24"/>
          <w:szCs w:val="24"/>
          <w:highlight w:val="none"/>
        </w:rPr>
        <w:t>条款号：8.1              修改类型：修改</w:t>
      </w:r>
    </w:p>
    <w:p w14:paraId="616BD733">
      <w:pPr>
        <w:pBdr>
          <w:bottom w:val="single" w:color="auto" w:sz="6" w:space="1"/>
        </w:pBdr>
        <w:spacing w:line="360" w:lineRule="auto"/>
        <w:ind w:firstLine="540" w:firstLineChars="224"/>
        <w:rPr>
          <w:rFonts w:hint="eastAsia" w:ascii="宋体" w:hAnsi="宋体" w:cs="宋体"/>
          <w:sz w:val="24"/>
          <w:szCs w:val="24"/>
          <w:highlight w:val="none"/>
        </w:rPr>
      </w:pPr>
      <w:r>
        <w:rPr>
          <w:rFonts w:hint="eastAsia" w:ascii="宋体" w:hAnsi="宋体" w:cs="宋体"/>
          <w:b/>
          <w:sz w:val="24"/>
          <w:szCs w:val="24"/>
          <w:highlight w:val="none"/>
        </w:rPr>
        <w:t>原文：</w:t>
      </w:r>
      <w:r>
        <w:rPr>
          <w:rFonts w:hint="eastAsia" w:ascii="宋体" w:hAnsi="宋体" w:cs="宋体"/>
          <w:sz w:val="24"/>
          <w:szCs w:val="24"/>
          <w:highlight w:val="none"/>
        </w:rPr>
        <w:t>投标人若对招标文件（包括招标图纸）中有疑问，可以书面形式通过</w:t>
      </w:r>
      <w:r>
        <w:rPr>
          <w:rFonts w:hint="eastAsia" w:ascii="宋体" w:hAnsi="宋体" w:cs="宋体"/>
          <w:sz w:val="24"/>
          <w:szCs w:val="24"/>
          <w:highlight w:val="none"/>
          <w:u w:val="single"/>
        </w:rPr>
        <w:t xml:space="preserve">       </w:t>
      </w:r>
      <w:r>
        <w:rPr>
          <w:rFonts w:hint="eastAsia" w:ascii="宋体" w:hAnsi="宋体" w:cs="宋体"/>
          <w:sz w:val="24"/>
          <w:szCs w:val="24"/>
          <w:highlight w:val="none"/>
        </w:rPr>
        <w:t>交易平台提交给招标人或招标代理人，提交形式见本须知前附表第</w:t>
      </w:r>
      <w:r>
        <w:rPr>
          <w:rFonts w:hint="eastAsia" w:ascii="宋体" w:hAnsi="宋体" w:cs="宋体"/>
          <w:sz w:val="24"/>
          <w:szCs w:val="24"/>
          <w:highlight w:val="none"/>
          <w:lang w:val="en-US" w:eastAsia="zh-CN"/>
        </w:rPr>
        <w:t>13</w:t>
      </w:r>
      <w:r>
        <w:rPr>
          <w:rFonts w:hint="eastAsia" w:ascii="宋体" w:hAnsi="宋体" w:cs="宋体"/>
          <w:sz w:val="24"/>
          <w:szCs w:val="24"/>
          <w:highlight w:val="none"/>
        </w:rPr>
        <w:t>项。</w:t>
      </w:r>
    </w:p>
    <w:p w14:paraId="10F7ABBD">
      <w:pPr>
        <w:pBdr>
          <w:bottom w:val="single" w:color="auto" w:sz="6" w:space="1"/>
        </w:pBdr>
        <w:spacing w:line="360" w:lineRule="auto"/>
        <w:ind w:firstLine="540" w:firstLineChars="224"/>
        <w:rPr>
          <w:rFonts w:hint="eastAsia" w:ascii="宋体" w:hAnsi="宋体" w:cs="宋体"/>
          <w:b/>
          <w:sz w:val="24"/>
          <w:szCs w:val="24"/>
          <w:highlight w:val="none"/>
        </w:rPr>
      </w:pPr>
      <w:r>
        <w:rPr>
          <w:rFonts w:hint="eastAsia" w:ascii="宋体" w:hAnsi="宋体" w:cs="宋体"/>
          <w:b/>
          <w:sz w:val="24"/>
          <w:szCs w:val="24"/>
          <w:highlight w:val="none"/>
        </w:rPr>
        <w:t>现文：</w:t>
      </w:r>
      <w:r>
        <w:rPr>
          <w:rFonts w:hint="eastAsia" w:ascii="宋体" w:hAnsi="宋体" w:cs="宋体"/>
          <w:sz w:val="24"/>
          <w:szCs w:val="24"/>
          <w:highlight w:val="none"/>
        </w:rPr>
        <w:t>投标人若对招标文件中有疑问，可以书面形式通过</w:t>
      </w:r>
      <w:r>
        <w:rPr>
          <w:rFonts w:hint="eastAsia" w:ascii="宋体" w:hAnsi="宋体" w:cs="宋体"/>
          <w:b/>
          <w:bCs/>
          <w:sz w:val="24"/>
          <w:szCs w:val="24"/>
          <w:highlight w:val="none"/>
          <w:u w:val="single"/>
        </w:rPr>
        <w:t>广州交易集团有限公司（广州公共资源交易中心）</w:t>
      </w:r>
      <w:r>
        <w:rPr>
          <w:rFonts w:hint="eastAsia" w:ascii="宋体" w:hAnsi="宋体" w:cs="宋体"/>
          <w:sz w:val="24"/>
          <w:szCs w:val="24"/>
          <w:highlight w:val="none"/>
        </w:rPr>
        <w:t>交易平台提交给招标人或招标代理人，提交形式见本须知前附表第1</w:t>
      </w:r>
      <w:r>
        <w:rPr>
          <w:rFonts w:hint="eastAsia" w:ascii="宋体" w:hAnsi="宋体" w:cs="宋体"/>
          <w:sz w:val="24"/>
          <w:szCs w:val="24"/>
          <w:highlight w:val="none"/>
          <w:lang w:val="en-US" w:eastAsia="zh-CN"/>
        </w:rPr>
        <w:t>3</w:t>
      </w:r>
      <w:r>
        <w:rPr>
          <w:rFonts w:hint="eastAsia" w:ascii="宋体" w:hAnsi="宋体" w:cs="宋体"/>
          <w:sz w:val="24"/>
          <w:szCs w:val="24"/>
          <w:highlight w:val="none"/>
        </w:rPr>
        <w:t>项。</w:t>
      </w:r>
      <w:r>
        <w:rPr>
          <w:rFonts w:hint="eastAsia" w:ascii="宋体" w:hAnsi="宋体" w:cs="宋体"/>
          <w:b/>
          <w:sz w:val="24"/>
          <w:szCs w:val="24"/>
          <w:highlight w:val="none"/>
        </w:rPr>
        <w:t xml:space="preserve"> </w:t>
      </w:r>
    </w:p>
    <w:p w14:paraId="0057078C">
      <w:pPr>
        <w:spacing w:line="360" w:lineRule="auto"/>
        <w:ind w:firstLine="590" w:firstLineChars="245"/>
        <w:rPr>
          <w:rFonts w:hint="eastAsia" w:ascii="宋体" w:hAnsi="宋体" w:cs="宋体"/>
          <w:b/>
          <w:sz w:val="24"/>
          <w:szCs w:val="24"/>
          <w:highlight w:val="none"/>
        </w:rPr>
      </w:pPr>
      <w:r>
        <w:rPr>
          <w:rFonts w:hint="eastAsia" w:ascii="宋体" w:hAnsi="宋体" w:cs="宋体"/>
          <w:b/>
          <w:sz w:val="24"/>
          <w:szCs w:val="24"/>
          <w:highlight w:val="none"/>
        </w:rPr>
        <w:t>条款号：8.2              修改类型：修改</w:t>
      </w:r>
    </w:p>
    <w:p w14:paraId="69E7FF78">
      <w:pPr>
        <w:pStyle w:val="4"/>
        <w:spacing w:after="0" w:line="360" w:lineRule="auto"/>
        <w:ind w:firstLine="590" w:firstLineChars="245"/>
        <w:rPr>
          <w:rFonts w:hint="eastAsia" w:ascii="宋体" w:hAnsi="宋体" w:cs="宋体"/>
          <w:sz w:val="24"/>
          <w:szCs w:val="24"/>
          <w:highlight w:val="none"/>
        </w:rPr>
      </w:pPr>
      <w:r>
        <w:rPr>
          <w:rFonts w:hint="eastAsia" w:ascii="宋体" w:hAnsi="宋体" w:cs="宋体"/>
          <w:b/>
          <w:sz w:val="24"/>
          <w:szCs w:val="24"/>
          <w:highlight w:val="none"/>
        </w:rPr>
        <w:t>原文：</w:t>
      </w:r>
      <w:r>
        <w:rPr>
          <w:rFonts w:hint="eastAsia" w:ascii="宋体" w:hAnsi="宋体" w:cs="宋体"/>
          <w:sz w:val="24"/>
          <w:szCs w:val="24"/>
          <w:highlight w:val="none"/>
        </w:rPr>
        <w:t>招标答疑会会议纪要将在提交投标文件截止时间15日前在</w:t>
      </w:r>
      <w:r>
        <w:rPr>
          <w:rFonts w:hint="eastAsia" w:ascii="宋体" w:hAnsi="宋体" w:cs="宋体"/>
          <w:sz w:val="24"/>
          <w:szCs w:val="24"/>
          <w:highlight w:val="none"/>
          <w:u w:val="single"/>
        </w:rPr>
        <w:t xml:space="preserve">        </w:t>
      </w:r>
      <w:r>
        <w:rPr>
          <w:rFonts w:hint="eastAsia" w:ascii="宋体" w:hAnsi="宋体" w:cs="宋体"/>
          <w:sz w:val="24"/>
          <w:szCs w:val="24"/>
          <w:highlight w:val="none"/>
        </w:rPr>
        <w:t>交易平台“项目答疑纪要”专区公开发布。答疑纪要一经在</w:t>
      </w:r>
      <w:r>
        <w:rPr>
          <w:rFonts w:hint="eastAsia" w:ascii="宋体" w:hAnsi="宋体" w:cs="宋体"/>
          <w:sz w:val="24"/>
          <w:szCs w:val="24"/>
          <w:highlight w:val="none"/>
          <w:u w:val="single"/>
        </w:rPr>
        <w:t xml:space="preserve">        </w:t>
      </w:r>
      <w:r>
        <w:rPr>
          <w:rFonts w:hint="eastAsia" w:ascii="宋体" w:hAnsi="宋体" w:cs="宋体"/>
          <w:sz w:val="24"/>
          <w:szCs w:val="24"/>
          <w:highlight w:val="none"/>
        </w:rPr>
        <w:t>交易平台发布，视作已发放给所有投标人。</w:t>
      </w:r>
    </w:p>
    <w:p w14:paraId="615EF380">
      <w:pPr>
        <w:pBdr>
          <w:bottom w:val="single" w:color="auto" w:sz="6" w:space="1"/>
        </w:pBdr>
        <w:spacing w:line="360" w:lineRule="auto"/>
        <w:ind w:firstLine="590" w:firstLineChars="245"/>
        <w:rPr>
          <w:rFonts w:hint="eastAsia" w:ascii="宋体" w:hAnsi="宋体" w:cs="宋体"/>
          <w:b/>
          <w:sz w:val="24"/>
          <w:szCs w:val="24"/>
          <w:highlight w:val="none"/>
        </w:rPr>
      </w:pPr>
      <w:r>
        <w:rPr>
          <w:rFonts w:hint="eastAsia" w:ascii="宋体" w:hAnsi="宋体" w:cs="宋体"/>
          <w:b/>
          <w:sz w:val="24"/>
          <w:szCs w:val="24"/>
          <w:highlight w:val="none"/>
        </w:rPr>
        <w:t>现文：</w:t>
      </w:r>
      <w:r>
        <w:rPr>
          <w:rFonts w:hint="eastAsia" w:ascii="宋体" w:hAnsi="宋体" w:cs="宋体"/>
          <w:b/>
          <w:bCs/>
          <w:sz w:val="24"/>
          <w:szCs w:val="24"/>
          <w:highlight w:val="none"/>
          <w:u w:val="single"/>
        </w:rPr>
        <w:t>招标答疑纪要</w:t>
      </w:r>
      <w:r>
        <w:rPr>
          <w:rFonts w:hint="eastAsia" w:ascii="宋体" w:hAnsi="宋体" w:cs="宋体"/>
          <w:sz w:val="24"/>
          <w:szCs w:val="24"/>
          <w:highlight w:val="none"/>
        </w:rPr>
        <w:t>将在提交投标文件截止时间15日前在</w:t>
      </w:r>
      <w:r>
        <w:rPr>
          <w:rFonts w:hint="eastAsia" w:ascii="宋体" w:hAnsi="宋体" w:cs="宋体"/>
          <w:b/>
          <w:bCs/>
          <w:sz w:val="24"/>
          <w:szCs w:val="24"/>
          <w:highlight w:val="none"/>
          <w:u w:val="single"/>
        </w:rPr>
        <w:t>广州交易集团有限公司（广州公共资源交易中心）</w:t>
      </w:r>
      <w:r>
        <w:rPr>
          <w:rFonts w:hint="eastAsia" w:ascii="宋体" w:hAnsi="宋体" w:cs="宋体"/>
          <w:sz w:val="24"/>
          <w:szCs w:val="24"/>
          <w:highlight w:val="none"/>
        </w:rPr>
        <w:t>交易平台“项目答疑纪要”专区公开发布。答疑纪要一经在</w:t>
      </w:r>
      <w:r>
        <w:rPr>
          <w:rFonts w:hint="eastAsia" w:ascii="宋体" w:hAnsi="宋体" w:cs="宋体"/>
          <w:b/>
          <w:bCs/>
          <w:sz w:val="24"/>
          <w:szCs w:val="24"/>
          <w:highlight w:val="none"/>
          <w:u w:val="single"/>
        </w:rPr>
        <w:t>广州交易集团有限公司（广州公共资源交易中心）</w:t>
      </w:r>
      <w:r>
        <w:rPr>
          <w:rFonts w:hint="eastAsia" w:ascii="宋体" w:hAnsi="宋体" w:cs="宋体"/>
          <w:sz w:val="24"/>
          <w:szCs w:val="24"/>
          <w:highlight w:val="none"/>
        </w:rPr>
        <w:t>交易平台发布，视作已发放给所有投标人。</w:t>
      </w:r>
    </w:p>
    <w:p w14:paraId="3025754F">
      <w:pPr>
        <w:spacing w:line="360" w:lineRule="auto"/>
        <w:ind w:firstLine="540" w:firstLineChars="224"/>
        <w:rPr>
          <w:rFonts w:hint="eastAsia" w:ascii="宋体" w:hAnsi="宋体" w:cs="宋体"/>
          <w:b/>
          <w:sz w:val="24"/>
          <w:szCs w:val="24"/>
          <w:highlight w:val="none"/>
        </w:rPr>
      </w:pPr>
      <w:r>
        <w:rPr>
          <w:rFonts w:hint="eastAsia" w:ascii="宋体" w:hAnsi="宋体" w:cs="宋体"/>
          <w:b/>
          <w:sz w:val="24"/>
          <w:szCs w:val="24"/>
          <w:highlight w:val="none"/>
        </w:rPr>
        <w:t>条款号：9.2            修改类型：修改</w:t>
      </w:r>
    </w:p>
    <w:p w14:paraId="3D0F1B34">
      <w:pPr>
        <w:pBdr>
          <w:bottom w:val="single" w:color="auto" w:sz="6" w:space="1"/>
        </w:pBdr>
        <w:spacing w:line="360" w:lineRule="auto"/>
        <w:ind w:firstLine="540" w:firstLineChars="224"/>
        <w:rPr>
          <w:rFonts w:hint="eastAsia" w:ascii="宋体" w:hAnsi="宋体" w:cs="宋体"/>
          <w:sz w:val="24"/>
          <w:szCs w:val="24"/>
          <w:highlight w:val="none"/>
        </w:rPr>
      </w:pPr>
      <w:r>
        <w:rPr>
          <w:rFonts w:hint="eastAsia" w:ascii="宋体" w:hAnsi="宋体" w:cs="宋体"/>
          <w:b/>
          <w:sz w:val="24"/>
          <w:szCs w:val="24"/>
          <w:highlight w:val="none"/>
        </w:rPr>
        <w:t>原文：</w:t>
      </w:r>
      <w:r>
        <w:rPr>
          <w:rFonts w:hint="eastAsia" w:ascii="宋体" w:hAnsi="宋体" w:cs="宋体"/>
          <w:sz w:val="24"/>
          <w:szCs w:val="24"/>
          <w:highlight w:val="none"/>
        </w:rPr>
        <w:t>招标文件的澄清或修改将在</w:t>
      </w:r>
      <w:r>
        <w:rPr>
          <w:rFonts w:hint="eastAsia" w:ascii="宋体" w:hAnsi="宋体" w:cs="宋体"/>
          <w:sz w:val="24"/>
          <w:szCs w:val="24"/>
          <w:highlight w:val="none"/>
          <w:u w:val="single"/>
        </w:rPr>
        <w:t xml:space="preserve">        </w:t>
      </w:r>
      <w:r>
        <w:rPr>
          <w:rFonts w:hint="eastAsia" w:ascii="宋体" w:hAnsi="宋体" w:cs="宋体"/>
          <w:sz w:val="24"/>
          <w:szCs w:val="24"/>
          <w:highlight w:val="none"/>
        </w:rPr>
        <w:t>交易平台“项目答疑纪要”专区公开发布。答疑纪要一经在</w:t>
      </w:r>
      <w:r>
        <w:rPr>
          <w:rFonts w:hint="eastAsia" w:ascii="宋体" w:hAnsi="宋体" w:cs="宋体"/>
          <w:sz w:val="24"/>
          <w:szCs w:val="24"/>
          <w:highlight w:val="none"/>
          <w:u w:val="single"/>
        </w:rPr>
        <w:t xml:space="preserve">        </w:t>
      </w:r>
      <w:r>
        <w:rPr>
          <w:rFonts w:hint="eastAsia" w:ascii="宋体" w:hAnsi="宋体" w:cs="宋体"/>
          <w:sz w:val="24"/>
          <w:szCs w:val="24"/>
          <w:highlight w:val="none"/>
        </w:rPr>
        <w:t>交易平台发布，视作已发放给所有投标人，以</w:t>
      </w:r>
      <w:r>
        <w:rPr>
          <w:rFonts w:hint="eastAsia" w:ascii="宋体" w:hAnsi="宋体" w:cs="宋体"/>
          <w:sz w:val="24"/>
          <w:szCs w:val="24"/>
          <w:highlight w:val="none"/>
          <w:u w:val="single"/>
        </w:rPr>
        <w:t xml:space="preserve">        </w:t>
      </w:r>
      <w:r>
        <w:rPr>
          <w:rFonts w:hint="eastAsia" w:ascii="宋体" w:hAnsi="宋体" w:cs="宋体"/>
          <w:sz w:val="24"/>
          <w:szCs w:val="24"/>
          <w:highlight w:val="none"/>
        </w:rPr>
        <w:t>交易平台上网发布时间作为送达时间。</w:t>
      </w:r>
    </w:p>
    <w:p w14:paraId="1B4C3A95">
      <w:pPr>
        <w:pBdr>
          <w:bottom w:val="single" w:color="auto" w:sz="6" w:space="1"/>
        </w:pBdr>
        <w:spacing w:line="360" w:lineRule="auto"/>
        <w:ind w:firstLine="540" w:firstLineChars="224"/>
        <w:rPr>
          <w:rFonts w:hint="eastAsia" w:ascii="宋体" w:hAnsi="宋体" w:cs="宋体"/>
          <w:sz w:val="24"/>
          <w:szCs w:val="24"/>
          <w:highlight w:val="none"/>
        </w:rPr>
      </w:pPr>
      <w:r>
        <w:rPr>
          <w:rFonts w:hint="eastAsia" w:ascii="宋体" w:hAnsi="宋体" w:cs="宋体"/>
          <w:b/>
          <w:sz w:val="24"/>
          <w:szCs w:val="24"/>
          <w:highlight w:val="none"/>
        </w:rPr>
        <w:t>现文：</w:t>
      </w:r>
      <w:r>
        <w:rPr>
          <w:rFonts w:hint="eastAsia" w:ascii="宋体" w:hAnsi="宋体" w:cs="宋体"/>
          <w:sz w:val="24"/>
          <w:szCs w:val="24"/>
          <w:highlight w:val="none"/>
        </w:rPr>
        <w:t>招标文件的澄清或修改将在</w:t>
      </w:r>
      <w:r>
        <w:rPr>
          <w:rFonts w:hint="eastAsia" w:ascii="宋体" w:hAnsi="宋体" w:cs="宋体"/>
          <w:b/>
          <w:bCs/>
          <w:sz w:val="24"/>
          <w:szCs w:val="24"/>
          <w:highlight w:val="none"/>
          <w:u w:val="single"/>
        </w:rPr>
        <w:t>广州交易集团有限公司（广州公共资源交易中心）</w:t>
      </w:r>
      <w:r>
        <w:rPr>
          <w:rFonts w:hint="eastAsia" w:ascii="宋体" w:hAnsi="宋体" w:cs="宋体"/>
          <w:sz w:val="24"/>
          <w:szCs w:val="24"/>
          <w:highlight w:val="none"/>
        </w:rPr>
        <w:t>交易平台“项目答疑纪要”专区公开发布。答疑纪要一经在</w:t>
      </w:r>
      <w:r>
        <w:rPr>
          <w:rFonts w:hint="eastAsia" w:ascii="宋体" w:hAnsi="宋体" w:cs="宋体"/>
          <w:b/>
          <w:bCs/>
          <w:sz w:val="24"/>
          <w:szCs w:val="24"/>
          <w:highlight w:val="none"/>
          <w:u w:val="single"/>
        </w:rPr>
        <w:t>广州交易集团有限公司（广州公共资源交易中心）</w:t>
      </w:r>
      <w:r>
        <w:rPr>
          <w:rFonts w:hint="eastAsia" w:ascii="宋体" w:hAnsi="宋体" w:cs="宋体"/>
          <w:sz w:val="24"/>
          <w:szCs w:val="24"/>
          <w:highlight w:val="none"/>
        </w:rPr>
        <w:t>交易平台发布，视作已发放给所有投标人，以</w:t>
      </w:r>
      <w:r>
        <w:rPr>
          <w:rFonts w:hint="eastAsia" w:ascii="宋体" w:hAnsi="宋体" w:cs="宋体"/>
          <w:b/>
          <w:bCs/>
          <w:sz w:val="24"/>
          <w:szCs w:val="24"/>
          <w:highlight w:val="none"/>
          <w:u w:val="single"/>
        </w:rPr>
        <w:t>广州交易集团有限公司（广州公共资源交易中心）</w:t>
      </w:r>
      <w:r>
        <w:rPr>
          <w:rFonts w:hint="eastAsia" w:ascii="宋体" w:hAnsi="宋体" w:cs="宋体"/>
          <w:sz w:val="24"/>
          <w:szCs w:val="24"/>
          <w:highlight w:val="none"/>
        </w:rPr>
        <w:t>交易平台上网发布时间作为送达时间。</w:t>
      </w:r>
    </w:p>
    <w:p w14:paraId="2438CA08">
      <w:pPr>
        <w:spacing w:line="360" w:lineRule="auto"/>
        <w:ind w:firstLine="540" w:firstLineChars="224"/>
        <w:rPr>
          <w:rFonts w:hint="eastAsia" w:ascii="宋体" w:hAnsi="宋体" w:cs="宋体"/>
          <w:b/>
          <w:sz w:val="24"/>
          <w:szCs w:val="24"/>
          <w:highlight w:val="none"/>
        </w:rPr>
      </w:pPr>
      <w:r>
        <w:rPr>
          <w:rFonts w:hint="eastAsia" w:ascii="宋体" w:hAnsi="宋体" w:cs="宋体"/>
          <w:b/>
          <w:sz w:val="24"/>
          <w:szCs w:val="24"/>
          <w:highlight w:val="none"/>
        </w:rPr>
        <w:t>条款号：9.4            修改类型：修改</w:t>
      </w:r>
    </w:p>
    <w:p w14:paraId="251862A3">
      <w:pPr>
        <w:pBdr>
          <w:bottom w:val="single" w:color="auto" w:sz="6" w:space="1"/>
        </w:pBdr>
        <w:spacing w:line="360" w:lineRule="auto"/>
        <w:ind w:firstLine="540" w:firstLineChars="224"/>
        <w:rPr>
          <w:rFonts w:hint="eastAsia" w:ascii="宋体" w:hAnsi="宋体" w:cs="宋体"/>
          <w:sz w:val="24"/>
          <w:szCs w:val="24"/>
          <w:highlight w:val="none"/>
        </w:rPr>
      </w:pPr>
      <w:r>
        <w:rPr>
          <w:rFonts w:hint="eastAsia" w:ascii="宋体" w:hAnsi="宋体" w:cs="宋体"/>
          <w:b/>
          <w:sz w:val="24"/>
          <w:szCs w:val="24"/>
          <w:highlight w:val="none"/>
        </w:rPr>
        <w:t>原文：</w:t>
      </w:r>
      <w:r>
        <w:rPr>
          <w:rFonts w:hint="eastAsia" w:ascii="宋体" w:hAnsi="宋体" w:cs="宋体"/>
          <w:sz w:val="24"/>
          <w:szCs w:val="24"/>
          <w:highlight w:val="none"/>
        </w:rPr>
        <w:t>9.4招标文件的澄清或修改均以</w:t>
      </w:r>
      <w:r>
        <w:rPr>
          <w:rFonts w:hint="eastAsia" w:ascii="宋体" w:hAnsi="宋体" w:cs="宋体"/>
          <w:sz w:val="24"/>
          <w:szCs w:val="24"/>
          <w:highlight w:val="none"/>
          <w:u w:val="single"/>
        </w:rPr>
        <w:t xml:space="preserve">        </w:t>
      </w:r>
      <w:r>
        <w:rPr>
          <w:rFonts w:hint="eastAsia" w:ascii="宋体" w:hAnsi="宋体" w:cs="宋体"/>
          <w:sz w:val="24"/>
          <w:szCs w:val="24"/>
          <w:highlight w:val="none"/>
          <w:lang w:eastAsia="zh-CN"/>
        </w:rPr>
        <w:t>网站发布</w:t>
      </w:r>
      <w:r>
        <w:rPr>
          <w:rFonts w:hint="eastAsia" w:ascii="宋体" w:hAnsi="宋体" w:cs="宋体"/>
          <w:sz w:val="24"/>
          <w:szCs w:val="24"/>
          <w:highlight w:val="none"/>
        </w:rPr>
        <w:t>的内容为准。当招标文件的澄清、修改、补充等在同一内容的表述不一致时，以最后发出的书面形式的文件为准。</w:t>
      </w:r>
    </w:p>
    <w:p w14:paraId="1EF0BD47">
      <w:pPr>
        <w:pBdr>
          <w:bottom w:val="single" w:color="auto" w:sz="6" w:space="1"/>
        </w:pBdr>
        <w:spacing w:line="360" w:lineRule="auto"/>
        <w:ind w:firstLine="540" w:firstLineChars="224"/>
        <w:rPr>
          <w:rFonts w:hint="eastAsia" w:ascii="宋体" w:hAnsi="宋体" w:cs="宋体"/>
          <w:sz w:val="24"/>
          <w:szCs w:val="24"/>
          <w:highlight w:val="none"/>
        </w:rPr>
      </w:pPr>
      <w:r>
        <w:rPr>
          <w:rFonts w:hint="eastAsia" w:ascii="宋体" w:hAnsi="宋体" w:cs="宋体"/>
          <w:b/>
          <w:sz w:val="24"/>
          <w:szCs w:val="24"/>
          <w:highlight w:val="none"/>
        </w:rPr>
        <w:t>现文：</w:t>
      </w:r>
      <w:r>
        <w:rPr>
          <w:rFonts w:hint="eastAsia" w:ascii="宋体" w:hAnsi="宋体" w:cs="宋体"/>
          <w:sz w:val="24"/>
          <w:szCs w:val="24"/>
          <w:highlight w:val="none"/>
        </w:rPr>
        <w:t>9.4招标文件的澄清、修改均以</w:t>
      </w:r>
      <w:r>
        <w:rPr>
          <w:rFonts w:hint="eastAsia" w:ascii="宋体" w:hAnsi="宋体" w:cs="宋体"/>
          <w:b/>
          <w:bCs/>
          <w:sz w:val="24"/>
          <w:szCs w:val="24"/>
          <w:highlight w:val="none"/>
          <w:u w:val="single"/>
        </w:rPr>
        <w:t>广州交易集团有限公司（广州公共资源交易中心）</w:t>
      </w:r>
      <w:r>
        <w:rPr>
          <w:rFonts w:hint="eastAsia" w:ascii="宋体" w:hAnsi="宋体" w:cs="宋体"/>
          <w:b/>
          <w:bCs/>
          <w:sz w:val="24"/>
          <w:szCs w:val="24"/>
          <w:highlight w:val="none"/>
        </w:rPr>
        <w:t>平台</w:t>
      </w:r>
      <w:r>
        <w:rPr>
          <w:rFonts w:hint="eastAsia" w:ascii="宋体" w:hAnsi="宋体" w:cs="宋体"/>
          <w:sz w:val="24"/>
          <w:szCs w:val="24"/>
          <w:highlight w:val="none"/>
        </w:rPr>
        <w:t>发布的内容为准。当招标文件的澄清、修改在同一内容的表述不一致时，以</w:t>
      </w:r>
      <w:r>
        <w:rPr>
          <w:rFonts w:hint="eastAsia" w:ascii="宋体" w:hAnsi="宋体" w:cs="宋体"/>
          <w:b/>
          <w:bCs/>
          <w:sz w:val="24"/>
          <w:szCs w:val="24"/>
          <w:highlight w:val="none"/>
          <w:u w:val="single"/>
        </w:rPr>
        <w:t>广州交易集团有限公司（广州公共资源交易中心）</w:t>
      </w:r>
      <w:r>
        <w:rPr>
          <w:rFonts w:hint="eastAsia" w:ascii="宋体" w:hAnsi="宋体" w:cs="宋体"/>
          <w:b/>
          <w:bCs/>
          <w:sz w:val="24"/>
          <w:szCs w:val="24"/>
          <w:highlight w:val="none"/>
        </w:rPr>
        <w:t>平台</w:t>
      </w:r>
      <w:r>
        <w:rPr>
          <w:rFonts w:hint="eastAsia" w:ascii="宋体" w:hAnsi="宋体" w:cs="宋体"/>
          <w:sz w:val="24"/>
          <w:szCs w:val="24"/>
          <w:highlight w:val="none"/>
        </w:rPr>
        <w:t>最后发布的内容为准。</w:t>
      </w:r>
    </w:p>
    <w:p w14:paraId="4D4BE2FD">
      <w:pPr>
        <w:spacing w:line="360" w:lineRule="auto"/>
        <w:ind w:firstLine="472" w:firstLineChars="196"/>
        <w:rPr>
          <w:rFonts w:hint="eastAsia" w:ascii="宋体" w:hAnsi="宋体" w:cs="宋体"/>
          <w:b/>
          <w:sz w:val="24"/>
          <w:szCs w:val="24"/>
          <w:highlight w:val="none"/>
        </w:rPr>
      </w:pPr>
      <w:r>
        <w:rPr>
          <w:rFonts w:hint="eastAsia" w:ascii="宋体" w:hAnsi="宋体" w:cs="宋体"/>
          <w:b/>
          <w:sz w:val="24"/>
          <w:szCs w:val="24"/>
          <w:highlight w:val="none"/>
        </w:rPr>
        <w:t>条款号：</w:t>
      </w:r>
      <w:r>
        <w:rPr>
          <w:rFonts w:hint="eastAsia" w:ascii="宋体" w:hAnsi="宋体" w:eastAsia="宋体" w:cs="宋体"/>
          <w:b/>
          <w:color w:val="auto"/>
          <w:sz w:val="24"/>
          <w:szCs w:val="24"/>
          <w:highlight w:val="none"/>
          <w:lang w:val="en-US" w:eastAsia="zh-CN"/>
        </w:rPr>
        <w:t>11.1、</w:t>
      </w:r>
      <w:r>
        <w:rPr>
          <w:rFonts w:hint="eastAsia" w:ascii="宋体" w:hAnsi="宋体" w:cs="宋体"/>
          <w:b/>
          <w:bCs/>
          <w:sz w:val="24"/>
          <w:szCs w:val="24"/>
          <w:highlight w:val="none"/>
        </w:rPr>
        <w:t>11.2、11.3</w:t>
      </w:r>
      <w:r>
        <w:rPr>
          <w:rFonts w:hint="eastAsia" w:ascii="宋体" w:hAnsi="宋体" w:cs="宋体"/>
          <w:b/>
          <w:sz w:val="24"/>
          <w:szCs w:val="24"/>
          <w:highlight w:val="none"/>
        </w:rPr>
        <w:t xml:space="preserve">             修改类型：修改</w:t>
      </w:r>
    </w:p>
    <w:p w14:paraId="7905F6C6">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宋体" w:hAnsi="宋体" w:eastAsia="宋体" w:cs="宋体"/>
          <w:bCs/>
          <w:color w:val="auto"/>
          <w:sz w:val="24"/>
          <w:szCs w:val="24"/>
          <w:highlight w:val="none"/>
        </w:rPr>
      </w:pPr>
      <w:r>
        <w:rPr>
          <w:rFonts w:hint="eastAsia" w:ascii="宋体" w:hAnsi="宋体" w:cs="宋体"/>
          <w:b/>
          <w:sz w:val="24"/>
          <w:szCs w:val="24"/>
          <w:highlight w:val="none"/>
        </w:rPr>
        <w:t>原文：</w:t>
      </w:r>
      <w:r>
        <w:rPr>
          <w:rFonts w:hint="eastAsia" w:ascii="宋体" w:hAnsi="宋体" w:eastAsia="宋体" w:cs="宋体"/>
          <w:bCs/>
          <w:color w:val="auto"/>
          <w:sz w:val="24"/>
          <w:szCs w:val="24"/>
          <w:highlight w:val="none"/>
        </w:rPr>
        <w:t>11.1投标文件由技术部分（含资格审查文件）和经济部分二部分投标文件组成。</w:t>
      </w:r>
    </w:p>
    <w:p w14:paraId="1EE1368C">
      <w:pPr>
        <w:spacing w:line="360" w:lineRule="auto"/>
        <w:ind w:firstLine="480" w:firstLineChars="200"/>
        <w:rPr>
          <w:rFonts w:ascii="宋体" w:hAnsi="宋体"/>
          <w:bCs/>
          <w:color w:val="auto"/>
          <w:sz w:val="24"/>
          <w:highlight w:val="none"/>
          <w:u w:val="single"/>
        </w:rPr>
      </w:pPr>
      <w:r>
        <w:rPr>
          <w:rFonts w:ascii="宋体" w:hAnsi="宋体"/>
          <w:bCs/>
          <w:color w:val="auto"/>
          <w:sz w:val="24"/>
          <w:highlight w:val="none"/>
          <w:u w:val="single"/>
        </w:rPr>
        <w:t>11.2</w:t>
      </w:r>
      <w:r>
        <w:rPr>
          <w:rFonts w:hint="eastAsia" w:ascii="宋体" w:hAnsi="宋体"/>
          <w:bCs/>
          <w:color w:val="auto"/>
          <w:sz w:val="24"/>
          <w:highlight w:val="none"/>
          <w:u w:val="single"/>
        </w:rPr>
        <w:t>投标文件</w:t>
      </w:r>
      <w:r>
        <w:rPr>
          <w:rFonts w:hint="eastAsia" w:ascii="宋体" w:hAnsi="宋体"/>
          <w:bCs/>
          <w:color w:val="auto"/>
          <w:sz w:val="24"/>
          <w:highlight w:val="none"/>
          <w:u w:val="single"/>
          <w:lang w:eastAsia="zh-CN"/>
        </w:rPr>
        <w:t>技术标</w:t>
      </w:r>
      <w:r>
        <w:rPr>
          <w:rFonts w:hint="eastAsia" w:ascii="宋体" w:hAnsi="宋体"/>
          <w:bCs/>
          <w:color w:val="auto"/>
          <w:sz w:val="24"/>
          <w:highlight w:val="none"/>
          <w:u w:val="single"/>
        </w:rPr>
        <w:t>部分主要包括下列内容</w:t>
      </w:r>
      <w:r>
        <w:rPr>
          <w:rFonts w:ascii="宋体" w:hAnsi="宋体"/>
          <w:bCs/>
          <w:color w:val="auto"/>
          <w:sz w:val="24"/>
          <w:highlight w:val="none"/>
          <w:u w:val="single"/>
        </w:rPr>
        <w:t>:</w:t>
      </w:r>
    </w:p>
    <w:p w14:paraId="5AF4910C">
      <w:pPr>
        <w:pStyle w:val="20"/>
        <w:spacing w:line="360" w:lineRule="auto"/>
        <w:ind w:firstLine="480"/>
        <w:rPr>
          <w:rFonts w:hint="default" w:hAnsi="宋体"/>
          <w:bCs/>
          <w:color w:val="auto"/>
          <w:sz w:val="24"/>
          <w:highlight w:val="none"/>
          <w:u w:val="single"/>
          <w:lang w:val="en-US" w:eastAsia="zh-CN"/>
        </w:rPr>
      </w:pPr>
      <w:r>
        <w:rPr>
          <w:rFonts w:hint="eastAsia" w:hAnsi="宋体"/>
          <w:bCs/>
          <w:color w:val="auto"/>
          <w:sz w:val="24"/>
          <w:highlight w:val="none"/>
          <w:u w:val="single"/>
          <w:lang w:val="en-US" w:eastAsia="zh-CN"/>
        </w:rPr>
        <w:t>11.2.1资格审查文件</w:t>
      </w:r>
    </w:p>
    <w:p w14:paraId="3151C9BF">
      <w:pPr>
        <w:numPr>
          <w:ilvl w:val="0"/>
          <w:numId w:val="3"/>
        </w:numPr>
        <w:spacing w:line="360" w:lineRule="auto"/>
        <w:ind w:firstLine="480" w:firstLineChars="200"/>
        <w:rPr>
          <w:rFonts w:ascii="宋体"/>
          <w:bCs/>
          <w:color w:val="auto"/>
          <w:sz w:val="24"/>
          <w:highlight w:val="none"/>
          <w:u w:val="single"/>
        </w:rPr>
      </w:pPr>
      <w:r>
        <w:rPr>
          <w:rFonts w:hint="eastAsia" w:ascii="宋体"/>
          <w:bCs/>
          <w:color w:val="auto"/>
          <w:sz w:val="24"/>
          <w:highlight w:val="none"/>
          <w:u w:val="single"/>
        </w:rPr>
        <w:t>投标人声明</w:t>
      </w:r>
      <w:r>
        <w:rPr>
          <w:rFonts w:hint="eastAsia" w:ascii="宋体"/>
          <w:bCs/>
          <w:color w:val="auto"/>
          <w:sz w:val="24"/>
          <w:highlight w:val="none"/>
          <w:u w:val="single"/>
          <w:lang w:val="en-US" w:eastAsia="zh-CN"/>
        </w:rPr>
        <w:t>；</w:t>
      </w:r>
    </w:p>
    <w:p w14:paraId="560828EC">
      <w:pPr>
        <w:spacing w:line="360" w:lineRule="auto"/>
        <w:ind w:firstLine="480" w:firstLineChars="200"/>
        <w:rPr>
          <w:rFonts w:ascii="宋体"/>
          <w:bCs/>
          <w:color w:val="auto"/>
          <w:sz w:val="24"/>
          <w:highlight w:val="none"/>
          <w:u w:val="single"/>
        </w:rPr>
      </w:pPr>
      <w:r>
        <w:rPr>
          <w:rFonts w:hint="eastAsia" w:ascii="宋体"/>
          <w:bCs/>
          <w:color w:val="auto"/>
          <w:sz w:val="24"/>
          <w:highlight w:val="none"/>
          <w:u w:val="single"/>
        </w:rPr>
        <w:t>（2）法定代表人证明书、法定代表人签字或盖章的本投标文件授权委托证明书</w:t>
      </w:r>
      <w:r>
        <w:rPr>
          <w:rFonts w:hint="eastAsia" w:ascii="宋体"/>
          <w:bCs/>
          <w:color w:val="auto"/>
          <w:sz w:val="24"/>
          <w:highlight w:val="none"/>
          <w:u w:val="single"/>
          <w:lang w:eastAsia="zh-CN"/>
        </w:rPr>
        <w:t>；</w:t>
      </w:r>
    </w:p>
    <w:p w14:paraId="21025ECF">
      <w:pPr>
        <w:spacing w:line="360" w:lineRule="auto"/>
        <w:ind w:firstLine="480" w:firstLineChars="200"/>
        <w:rPr>
          <w:rFonts w:hint="eastAsia" w:ascii="宋体" w:eastAsia="宋体"/>
          <w:bCs/>
          <w:color w:val="auto"/>
          <w:sz w:val="24"/>
          <w:highlight w:val="none"/>
          <w:u w:val="single"/>
          <w:lang w:eastAsia="zh-CN"/>
        </w:rPr>
      </w:pPr>
      <w:r>
        <w:rPr>
          <w:rFonts w:hint="eastAsia" w:ascii="宋体"/>
          <w:bCs/>
          <w:color w:val="auto"/>
          <w:sz w:val="24"/>
          <w:highlight w:val="none"/>
          <w:u w:val="single"/>
        </w:rPr>
        <w:t>（3）企业营业执照</w:t>
      </w:r>
      <w:r>
        <w:rPr>
          <w:rFonts w:hint="eastAsia" w:ascii="宋体"/>
          <w:bCs/>
          <w:color w:val="auto"/>
          <w:sz w:val="24"/>
          <w:highlight w:val="none"/>
          <w:u w:val="single"/>
          <w:lang w:eastAsia="zh-CN"/>
        </w:rPr>
        <w:t>；</w:t>
      </w:r>
    </w:p>
    <w:p w14:paraId="3DDC99FF">
      <w:pPr>
        <w:spacing w:line="360" w:lineRule="auto"/>
        <w:ind w:firstLine="480" w:firstLineChars="200"/>
        <w:rPr>
          <w:rFonts w:hint="eastAsia" w:ascii="宋体" w:eastAsia="宋体"/>
          <w:bCs/>
          <w:color w:val="auto"/>
          <w:sz w:val="24"/>
          <w:highlight w:val="none"/>
          <w:u w:val="single"/>
          <w:lang w:eastAsia="zh-CN"/>
        </w:rPr>
      </w:pPr>
      <w:r>
        <w:rPr>
          <w:rFonts w:hint="eastAsia" w:ascii="宋体"/>
          <w:bCs/>
          <w:color w:val="auto"/>
          <w:sz w:val="24"/>
          <w:highlight w:val="none"/>
          <w:u w:val="single"/>
        </w:rPr>
        <w:t>（4）企业资质证书</w:t>
      </w:r>
      <w:r>
        <w:rPr>
          <w:rFonts w:hint="eastAsia" w:ascii="宋体"/>
          <w:bCs/>
          <w:color w:val="auto"/>
          <w:sz w:val="24"/>
          <w:highlight w:val="none"/>
          <w:u w:val="single"/>
          <w:lang w:eastAsia="zh-CN"/>
        </w:rPr>
        <w:t>；</w:t>
      </w:r>
    </w:p>
    <w:p w14:paraId="43763C1F">
      <w:pPr>
        <w:spacing w:line="360" w:lineRule="auto"/>
        <w:ind w:firstLine="480" w:firstLineChars="200"/>
        <w:rPr>
          <w:rFonts w:hint="eastAsia" w:ascii="宋体" w:eastAsia="宋体"/>
          <w:bCs/>
          <w:color w:val="auto"/>
          <w:sz w:val="24"/>
          <w:highlight w:val="none"/>
          <w:u w:val="single"/>
          <w:lang w:eastAsia="zh-CN"/>
        </w:rPr>
      </w:pPr>
      <w:r>
        <w:rPr>
          <w:rFonts w:hint="eastAsia" w:ascii="宋体"/>
          <w:bCs/>
          <w:color w:val="auto"/>
          <w:sz w:val="24"/>
          <w:highlight w:val="none"/>
          <w:u w:val="single"/>
        </w:rPr>
        <w:t>（5）建筑施工企业安全生产许可证</w:t>
      </w:r>
      <w:r>
        <w:rPr>
          <w:rFonts w:hint="eastAsia" w:ascii="宋体"/>
          <w:bCs/>
          <w:color w:val="auto"/>
          <w:sz w:val="24"/>
          <w:highlight w:val="none"/>
          <w:u w:val="single"/>
          <w:lang w:eastAsia="zh-CN"/>
        </w:rPr>
        <w:t>；</w:t>
      </w:r>
    </w:p>
    <w:p w14:paraId="31BEB352">
      <w:pPr>
        <w:spacing w:line="360" w:lineRule="auto"/>
        <w:ind w:firstLine="480" w:firstLineChars="200"/>
        <w:rPr>
          <w:rFonts w:hint="eastAsia" w:ascii="宋体" w:hAnsi="宋体" w:eastAsia="宋体"/>
          <w:bCs/>
          <w:color w:val="auto"/>
          <w:sz w:val="24"/>
          <w:szCs w:val="24"/>
          <w:highlight w:val="none"/>
          <w:u w:val="single"/>
          <w:lang w:eastAsia="zh-CN"/>
        </w:rPr>
      </w:pPr>
      <w:r>
        <w:rPr>
          <w:rFonts w:hint="eastAsia" w:ascii="宋体"/>
          <w:bCs/>
          <w:color w:val="auto"/>
          <w:sz w:val="24"/>
          <w:highlight w:val="none"/>
          <w:u w:val="single"/>
        </w:rPr>
        <w:t>（6）</w:t>
      </w:r>
      <w:r>
        <w:rPr>
          <w:rFonts w:hint="eastAsia" w:ascii="宋体" w:hAnsi="宋体"/>
          <w:bCs/>
          <w:color w:val="auto"/>
          <w:sz w:val="24"/>
          <w:szCs w:val="24"/>
          <w:highlight w:val="none"/>
          <w:u w:val="single"/>
        </w:rPr>
        <w:t>项目负责人（按网上投标登记时选择拟投标的项目负责人</w:t>
      </w:r>
      <w:r>
        <w:rPr>
          <w:rFonts w:hint="eastAsia" w:ascii="宋体" w:hAnsi="宋体"/>
          <w:bCs/>
          <w:color w:val="auto"/>
          <w:sz w:val="24"/>
          <w:szCs w:val="24"/>
          <w:highlight w:val="none"/>
          <w:u w:val="single"/>
          <w:lang w:eastAsia="zh-CN"/>
        </w:rPr>
        <w:t>。</w:t>
      </w:r>
      <w:r>
        <w:rPr>
          <w:rFonts w:ascii="宋体" w:hAnsi="宋体"/>
          <w:color w:val="auto"/>
          <w:sz w:val="24"/>
          <w:highlight w:val="none"/>
          <w:u w:val="single"/>
        </w:rPr>
        <w:t>投标人须在</w:t>
      </w:r>
      <w:r>
        <w:rPr>
          <w:rFonts w:hint="eastAsia" w:ascii="宋体" w:hAnsi="宋体"/>
          <w:color w:val="auto"/>
          <w:sz w:val="24"/>
          <w:highlight w:val="none"/>
          <w:u w:val="single"/>
        </w:rPr>
        <w:t>广州市交通建设项目企业信息库建立企业信用信息档案，拟担任本工程项目负责人须是本企业信息档案中的在册人员</w:t>
      </w:r>
      <w:r>
        <w:rPr>
          <w:rFonts w:hint="eastAsia" w:ascii="宋体" w:hAnsi="宋体"/>
          <w:bCs/>
          <w:color w:val="auto"/>
          <w:sz w:val="24"/>
          <w:szCs w:val="24"/>
          <w:highlight w:val="none"/>
          <w:u w:val="single"/>
        </w:rPr>
        <w:t>）</w:t>
      </w:r>
      <w:r>
        <w:rPr>
          <w:rFonts w:hint="eastAsia" w:ascii="宋体" w:hAnsi="宋体"/>
          <w:bCs/>
          <w:color w:val="auto"/>
          <w:sz w:val="24"/>
          <w:szCs w:val="24"/>
          <w:highlight w:val="none"/>
          <w:u w:val="single"/>
          <w:lang w:eastAsia="zh-CN"/>
        </w:rPr>
        <w:t>；</w:t>
      </w:r>
    </w:p>
    <w:p w14:paraId="54D8E77E">
      <w:pPr>
        <w:spacing w:line="360" w:lineRule="auto"/>
        <w:ind w:firstLine="480" w:firstLineChars="200"/>
        <w:rPr>
          <w:rFonts w:hint="eastAsia" w:ascii="宋体" w:hAnsi="宋体" w:eastAsia="宋体"/>
          <w:bCs/>
          <w:color w:val="auto"/>
          <w:sz w:val="24"/>
          <w:szCs w:val="24"/>
          <w:highlight w:val="none"/>
          <w:u w:val="single"/>
          <w:lang w:eastAsia="zh-CN"/>
        </w:rPr>
      </w:pPr>
      <w:r>
        <w:rPr>
          <w:rFonts w:hint="eastAsia" w:ascii="宋体" w:hAnsi="宋体"/>
          <w:bCs/>
          <w:color w:val="auto"/>
          <w:sz w:val="24"/>
          <w:szCs w:val="24"/>
          <w:highlight w:val="none"/>
          <w:u w:val="single"/>
        </w:rPr>
        <w:t>（7）专职安全员（按网上投标登记时选择拟投标的专职安全员</w:t>
      </w:r>
      <w:r>
        <w:rPr>
          <w:rFonts w:hint="eastAsia" w:ascii="宋体" w:hAnsi="宋体"/>
          <w:bCs/>
          <w:color w:val="auto"/>
          <w:sz w:val="24"/>
          <w:szCs w:val="24"/>
          <w:highlight w:val="none"/>
          <w:u w:val="single"/>
          <w:lang w:eastAsia="zh-CN"/>
        </w:rPr>
        <w:t>，</w:t>
      </w:r>
      <w:r>
        <w:rPr>
          <w:rFonts w:ascii="宋体" w:hAnsi="宋体"/>
          <w:color w:val="auto"/>
          <w:sz w:val="24"/>
          <w:highlight w:val="none"/>
          <w:u w:val="single"/>
        </w:rPr>
        <w:t>投标人须在</w:t>
      </w:r>
      <w:r>
        <w:rPr>
          <w:rFonts w:hint="eastAsia" w:ascii="宋体" w:hAnsi="宋体"/>
          <w:color w:val="auto"/>
          <w:sz w:val="24"/>
          <w:highlight w:val="none"/>
          <w:u w:val="single"/>
        </w:rPr>
        <w:t>广州市交通建设项目企业信息库建立企业信用信息档案，拟担任本工程专职安全员须是本企业信息档案中的在册人员</w:t>
      </w:r>
      <w:r>
        <w:rPr>
          <w:rFonts w:hint="eastAsia" w:ascii="宋体" w:hAnsi="宋体"/>
          <w:bCs/>
          <w:color w:val="auto"/>
          <w:sz w:val="24"/>
          <w:szCs w:val="24"/>
          <w:highlight w:val="none"/>
          <w:u w:val="single"/>
        </w:rPr>
        <w:t>）</w:t>
      </w:r>
      <w:r>
        <w:rPr>
          <w:rFonts w:hint="eastAsia" w:ascii="宋体" w:hAnsi="宋体"/>
          <w:bCs/>
          <w:color w:val="auto"/>
          <w:sz w:val="24"/>
          <w:szCs w:val="24"/>
          <w:highlight w:val="none"/>
          <w:u w:val="single"/>
          <w:lang w:eastAsia="zh-CN"/>
        </w:rPr>
        <w:t>；</w:t>
      </w:r>
    </w:p>
    <w:p w14:paraId="708AB71A">
      <w:pPr>
        <w:spacing w:line="360" w:lineRule="auto"/>
        <w:ind w:firstLine="480" w:firstLineChars="200"/>
        <w:rPr>
          <w:rFonts w:ascii="宋体"/>
          <w:bCs/>
          <w:color w:val="auto"/>
          <w:sz w:val="24"/>
          <w:highlight w:val="none"/>
          <w:u w:val="single"/>
        </w:rPr>
      </w:pPr>
      <w:r>
        <w:rPr>
          <w:rFonts w:hint="eastAsia" w:ascii="宋体"/>
          <w:bCs/>
          <w:color w:val="auto"/>
          <w:sz w:val="24"/>
          <w:highlight w:val="none"/>
          <w:u w:val="single"/>
        </w:rPr>
        <w:t>（8）拟委派项目负责人的建造师注册证书（取自</w:t>
      </w:r>
      <w:r>
        <w:rPr>
          <w:rFonts w:hint="eastAsia" w:ascii="宋体" w:hAnsi="宋体"/>
          <w:color w:val="auto"/>
          <w:sz w:val="24"/>
          <w:highlight w:val="none"/>
          <w:u w:val="single"/>
        </w:rPr>
        <w:t>广州市交通建设项目企业信息库</w:t>
      </w:r>
      <w:r>
        <w:rPr>
          <w:rFonts w:hint="eastAsia" w:ascii="宋体"/>
          <w:bCs/>
          <w:color w:val="auto"/>
          <w:sz w:val="24"/>
          <w:highlight w:val="none"/>
          <w:u w:val="single"/>
        </w:rPr>
        <w:t xml:space="preserve">内上传件） </w:t>
      </w:r>
      <w:r>
        <w:rPr>
          <w:rFonts w:hint="eastAsia" w:ascii="宋体"/>
          <w:bCs/>
          <w:color w:val="auto"/>
          <w:sz w:val="24"/>
          <w:highlight w:val="none"/>
          <w:u w:val="single"/>
          <w:lang w:eastAsia="zh-CN"/>
        </w:rPr>
        <w:t>；</w:t>
      </w:r>
      <w:r>
        <w:rPr>
          <w:rFonts w:hint="eastAsia" w:ascii="宋体"/>
          <w:bCs/>
          <w:color w:val="auto"/>
          <w:sz w:val="24"/>
          <w:highlight w:val="none"/>
          <w:u w:val="single"/>
        </w:rPr>
        <w:t xml:space="preserve"> </w:t>
      </w:r>
    </w:p>
    <w:p w14:paraId="3A326E5A">
      <w:pPr>
        <w:spacing w:line="360" w:lineRule="auto"/>
        <w:ind w:firstLine="480" w:firstLineChars="200"/>
        <w:rPr>
          <w:rFonts w:hint="eastAsia" w:ascii="宋体" w:eastAsia="宋体"/>
          <w:bCs/>
          <w:color w:val="auto"/>
          <w:sz w:val="24"/>
          <w:highlight w:val="none"/>
          <w:u w:val="single"/>
          <w:lang w:eastAsia="zh-CN"/>
        </w:rPr>
      </w:pPr>
      <w:r>
        <w:rPr>
          <w:rFonts w:hint="eastAsia" w:ascii="宋体"/>
          <w:bCs/>
          <w:color w:val="auto"/>
          <w:sz w:val="24"/>
          <w:highlight w:val="none"/>
          <w:u w:val="single"/>
        </w:rPr>
        <w:t>（</w:t>
      </w:r>
      <w:r>
        <w:rPr>
          <w:rFonts w:hint="eastAsia" w:ascii="宋体"/>
          <w:bCs/>
          <w:color w:val="auto"/>
          <w:sz w:val="24"/>
          <w:highlight w:val="none"/>
          <w:u w:val="single"/>
          <w:lang w:val="en-US" w:eastAsia="zh-CN"/>
        </w:rPr>
        <w:t>9</w:t>
      </w:r>
      <w:r>
        <w:rPr>
          <w:rFonts w:hint="eastAsia" w:ascii="宋体"/>
          <w:bCs/>
          <w:color w:val="auto"/>
          <w:sz w:val="24"/>
          <w:highlight w:val="none"/>
          <w:u w:val="single"/>
        </w:rPr>
        <w:t>）项目负责人安全生产考核合格证明或在有效期内的安全考核合格证书（B类）或建筑施工企业项目负责人安全生产考核合格证书</w:t>
      </w:r>
      <w:r>
        <w:rPr>
          <w:rFonts w:hint="eastAsia" w:ascii="宋体"/>
          <w:bCs/>
          <w:color w:val="auto"/>
          <w:sz w:val="24"/>
          <w:highlight w:val="none"/>
          <w:u w:val="single"/>
          <w:lang w:eastAsia="zh-CN"/>
        </w:rPr>
        <w:t>；</w:t>
      </w:r>
    </w:p>
    <w:p w14:paraId="35B04874">
      <w:pPr>
        <w:spacing w:line="360" w:lineRule="auto"/>
        <w:ind w:firstLine="480" w:firstLineChars="200"/>
        <w:rPr>
          <w:rFonts w:hint="eastAsia" w:ascii="宋体" w:eastAsia="宋体"/>
          <w:bCs/>
          <w:color w:val="auto"/>
          <w:sz w:val="24"/>
          <w:szCs w:val="24"/>
          <w:highlight w:val="none"/>
          <w:u w:val="single"/>
          <w:lang w:eastAsia="zh-CN"/>
        </w:rPr>
      </w:pPr>
      <w:r>
        <w:rPr>
          <w:rFonts w:hint="eastAsia" w:ascii="宋体"/>
          <w:bCs/>
          <w:color w:val="auto"/>
          <w:sz w:val="24"/>
          <w:highlight w:val="none"/>
          <w:u w:val="single"/>
        </w:rPr>
        <w:t>（</w:t>
      </w:r>
      <w:r>
        <w:rPr>
          <w:rFonts w:hint="eastAsia" w:ascii="宋体"/>
          <w:bCs/>
          <w:color w:val="auto"/>
          <w:sz w:val="24"/>
          <w:highlight w:val="none"/>
          <w:u w:val="single"/>
          <w:lang w:val="en-US" w:eastAsia="zh-CN"/>
        </w:rPr>
        <w:t>10</w:t>
      </w:r>
      <w:r>
        <w:rPr>
          <w:rFonts w:hint="eastAsia" w:ascii="宋体"/>
          <w:bCs/>
          <w:color w:val="auto"/>
          <w:sz w:val="24"/>
          <w:highlight w:val="none"/>
          <w:u w:val="single"/>
        </w:rPr>
        <w:t>）专职安全员须具有在有效期内的安全考核合格证书（C类）或建筑施工企业专职安全生产管理人员安全生产考核合格证</w:t>
      </w:r>
      <w:r>
        <w:rPr>
          <w:rFonts w:hint="eastAsia" w:ascii="宋体" w:eastAsia="宋体" w:cs="Times New Roman"/>
          <w:bCs/>
          <w:color w:val="auto"/>
          <w:sz w:val="24"/>
          <w:highlight w:val="none"/>
          <w:u w:val="single"/>
        </w:rPr>
        <w:t>书（C3）</w:t>
      </w:r>
      <w:r>
        <w:rPr>
          <w:rFonts w:hint="eastAsia" w:ascii="宋体" w:cs="Times New Roman"/>
          <w:bCs/>
          <w:color w:val="auto"/>
          <w:sz w:val="24"/>
          <w:highlight w:val="none"/>
          <w:u w:val="single"/>
          <w:lang w:eastAsia="zh-CN"/>
        </w:rPr>
        <w:t>；</w:t>
      </w:r>
    </w:p>
    <w:p w14:paraId="50E070A1">
      <w:pPr>
        <w:spacing w:line="360" w:lineRule="auto"/>
        <w:ind w:firstLine="480" w:firstLineChars="200"/>
        <w:rPr>
          <w:rFonts w:ascii="宋体"/>
          <w:bCs/>
          <w:color w:val="auto"/>
          <w:sz w:val="24"/>
          <w:szCs w:val="24"/>
          <w:highlight w:val="none"/>
          <w:u w:val="single"/>
        </w:rPr>
      </w:pPr>
      <w:r>
        <w:rPr>
          <w:rFonts w:hint="eastAsia" w:ascii="宋体"/>
          <w:bCs/>
          <w:color w:val="auto"/>
          <w:sz w:val="24"/>
          <w:szCs w:val="24"/>
          <w:highlight w:val="none"/>
          <w:u w:val="single"/>
        </w:rPr>
        <w:t>（</w:t>
      </w:r>
      <w:r>
        <w:rPr>
          <w:rFonts w:hint="eastAsia" w:ascii="宋体"/>
          <w:bCs/>
          <w:color w:val="auto"/>
          <w:sz w:val="24"/>
          <w:szCs w:val="24"/>
          <w:highlight w:val="none"/>
          <w:u w:val="single"/>
          <w:lang w:val="en-US" w:eastAsia="zh-CN"/>
        </w:rPr>
        <w:t>11</w:t>
      </w:r>
      <w:r>
        <w:rPr>
          <w:rFonts w:hint="eastAsia" w:ascii="宋体"/>
          <w:bCs/>
          <w:color w:val="auto"/>
          <w:sz w:val="24"/>
          <w:szCs w:val="24"/>
          <w:highlight w:val="none"/>
          <w:u w:val="single"/>
        </w:rPr>
        <w:t>）</w:t>
      </w:r>
      <w:r>
        <w:rPr>
          <w:rFonts w:hint="eastAsia" w:ascii="宋体" w:hAnsi="宋体"/>
          <w:bCs/>
          <w:color w:val="auto"/>
          <w:sz w:val="24"/>
          <w:szCs w:val="24"/>
          <w:highlight w:val="none"/>
          <w:u w:val="single"/>
        </w:rPr>
        <w:t>用于资格审查的业绩（设置业绩要求时选择此项，</w:t>
      </w:r>
      <w:r>
        <w:rPr>
          <w:rFonts w:hint="eastAsia" w:ascii="宋体" w:hAnsi="宋体"/>
          <w:color w:val="auto"/>
          <w:sz w:val="24"/>
          <w:highlight w:val="none"/>
          <w:u w:val="single"/>
        </w:rPr>
        <w:t>具体格式由招标人自定</w:t>
      </w:r>
      <w:r>
        <w:rPr>
          <w:rFonts w:hint="eastAsia" w:ascii="宋体" w:hAnsi="宋体"/>
          <w:bCs/>
          <w:color w:val="auto"/>
          <w:sz w:val="24"/>
          <w:szCs w:val="24"/>
          <w:highlight w:val="none"/>
          <w:u w:val="single"/>
        </w:rPr>
        <w:t>）</w:t>
      </w:r>
    </w:p>
    <w:p w14:paraId="03C8CEB0">
      <w:pPr>
        <w:spacing w:line="360" w:lineRule="auto"/>
        <w:ind w:firstLine="480" w:firstLineChars="200"/>
        <w:rPr>
          <w:rFonts w:hint="eastAsia" w:ascii="宋体" w:hAnsi="宋体" w:eastAsia="宋体"/>
          <w:bCs/>
          <w:color w:val="auto"/>
          <w:sz w:val="24"/>
          <w:szCs w:val="24"/>
          <w:highlight w:val="none"/>
          <w:u w:val="single"/>
          <w:lang w:eastAsia="zh-CN"/>
        </w:rPr>
      </w:pPr>
      <w:r>
        <w:rPr>
          <w:rFonts w:hint="eastAsia" w:ascii="宋体" w:hAnsi="宋体"/>
          <w:bCs/>
          <w:color w:val="auto"/>
          <w:sz w:val="24"/>
          <w:szCs w:val="24"/>
          <w:highlight w:val="none"/>
          <w:u w:val="single"/>
        </w:rPr>
        <w:t>（</w:t>
      </w:r>
      <w:r>
        <w:rPr>
          <w:rFonts w:hint="eastAsia" w:ascii="宋体" w:hAnsi="宋体"/>
          <w:bCs/>
          <w:color w:val="auto"/>
          <w:sz w:val="24"/>
          <w:szCs w:val="24"/>
          <w:highlight w:val="none"/>
          <w:u w:val="single"/>
          <w:lang w:val="en-US" w:eastAsia="zh-CN"/>
        </w:rPr>
        <w:t>12</w:t>
      </w:r>
      <w:r>
        <w:rPr>
          <w:rFonts w:hint="eastAsia" w:ascii="宋体" w:hAnsi="宋体"/>
          <w:bCs/>
          <w:color w:val="auto"/>
          <w:sz w:val="24"/>
          <w:szCs w:val="24"/>
          <w:highlight w:val="none"/>
          <w:u w:val="single"/>
        </w:rPr>
        <w:t>）列明主办单位的联合体工作协议（采用联合体投标时需递交，</w:t>
      </w:r>
      <w:r>
        <w:rPr>
          <w:rFonts w:hint="eastAsia" w:ascii="宋体" w:hAnsi="宋体"/>
          <w:color w:val="auto"/>
          <w:sz w:val="24"/>
          <w:szCs w:val="24"/>
          <w:highlight w:val="none"/>
          <w:u w:val="single"/>
        </w:rPr>
        <w:t>联合体工作协议应明确约定各方拟承担的工作和责任</w:t>
      </w:r>
      <w:r>
        <w:rPr>
          <w:rFonts w:hint="eastAsia" w:ascii="宋体" w:hAnsi="宋体"/>
          <w:bCs/>
          <w:color w:val="auto"/>
          <w:sz w:val="24"/>
          <w:szCs w:val="24"/>
          <w:highlight w:val="none"/>
          <w:u w:val="single"/>
        </w:rPr>
        <w:t>）</w:t>
      </w:r>
      <w:r>
        <w:rPr>
          <w:rFonts w:hint="eastAsia" w:ascii="宋体" w:hAnsi="宋体"/>
          <w:bCs/>
          <w:color w:val="auto"/>
          <w:sz w:val="24"/>
          <w:szCs w:val="24"/>
          <w:highlight w:val="none"/>
          <w:u w:val="single"/>
          <w:lang w:eastAsia="zh-CN"/>
        </w:rPr>
        <w:t>；</w:t>
      </w:r>
    </w:p>
    <w:p w14:paraId="25666C68">
      <w:pPr>
        <w:spacing w:line="360" w:lineRule="auto"/>
        <w:ind w:firstLine="480" w:firstLineChars="200"/>
        <w:rPr>
          <w:rFonts w:hint="eastAsia" w:ascii="宋体" w:hAnsi="宋体" w:eastAsia="宋体"/>
          <w:bCs/>
          <w:color w:val="auto"/>
          <w:sz w:val="24"/>
          <w:szCs w:val="24"/>
          <w:highlight w:val="none"/>
          <w:u w:val="single"/>
          <w:lang w:eastAsia="zh-CN"/>
        </w:rPr>
      </w:pPr>
      <w:r>
        <w:rPr>
          <w:rFonts w:hint="eastAsia" w:ascii="宋体" w:hAnsi="宋体"/>
          <w:bCs/>
          <w:color w:val="auto"/>
          <w:sz w:val="24"/>
          <w:szCs w:val="24"/>
          <w:highlight w:val="none"/>
          <w:u w:val="single"/>
          <w:lang w:eastAsia="zh-CN"/>
        </w:rPr>
        <w:t>（</w:t>
      </w:r>
      <w:r>
        <w:rPr>
          <w:rFonts w:hint="eastAsia" w:ascii="宋体" w:hAnsi="宋体"/>
          <w:bCs/>
          <w:color w:val="auto"/>
          <w:sz w:val="24"/>
          <w:szCs w:val="24"/>
          <w:highlight w:val="none"/>
          <w:u w:val="single"/>
          <w:lang w:val="en-US" w:eastAsia="zh-CN"/>
        </w:rPr>
        <w:t>13）投标人认为应提交的其他资料</w:t>
      </w:r>
      <w:r>
        <w:rPr>
          <w:rFonts w:hint="eastAsia" w:ascii="宋体" w:hAnsi="宋体"/>
          <w:bCs/>
          <w:color w:val="auto"/>
          <w:sz w:val="24"/>
          <w:szCs w:val="24"/>
          <w:highlight w:val="none"/>
          <w:u w:val="single"/>
        </w:rPr>
        <w:t xml:space="preserve"> </w:t>
      </w:r>
      <w:r>
        <w:rPr>
          <w:rFonts w:hint="eastAsia" w:ascii="宋体" w:hAnsi="宋体"/>
          <w:bCs/>
          <w:color w:val="auto"/>
          <w:sz w:val="24"/>
          <w:szCs w:val="24"/>
          <w:highlight w:val="none"/>
          <w:u w:val="single"/>
          <w:lang w:eastAsia="zh-CN"/>
        </w:rPr>
        <w:t>。</w:t>
      </w:r>
    </w:p>
    <w:p w14:paraId="0F5ED6EB">
      <w:pPr>
        <w:spacing w:line="360" w:lineRule="auto"/>
        <w:ind w:firstLine="480" w:firstLineChars="200"/>
        <w:rPr>
          <w:rFonts w:hint="eastAsia" w:ascii="宋体" w:hAnsi="宋体"/>
          <w:color w:val="auto"/>
          <w:sz w:val="24"/>
          <w:highlight w:val="none"/>
          <w:u w:val="single"/>
        </w:rPr>
      </w:pPr>
      <w:r>
        <w:rPr>
          <w:rFonts w:hint="eastAsia" w:ascii="宋体" w:hAnsi="宋体"/>
          <w:color w:val="auto"/>
          <w:sz w:val="24"/>
          <w:highlight w:val="none"/>
          <w:u w:val="single"/>
        </w:rPr>
        <w:t>11.</w:t>
      </w:r>
      <w:r>
        <w:rPr>
          <w:rFonts w:hint="eastAsia" w:ascii="宋体" w:hAnsi="宋体"/>
          <w:color w:val="auto"/>
          <w:sz w:val="24"/>
          <w:highlight w:val="none"/>
          <w:u w:val="single"/>
          <w:lang w:val="en-US" w:eastAsia="zh-CN"/>
        </w:rPr>
        <w:t>2.2</w:t>
      </w:r>
      <w:r>
        <w:rPr>
          <w:rFonts w:hint="eastAsia" w:ascii="宋体" w:hAnsi="宋体"/>
          <w:color w:val="auto"/>
          <w:sz w:val="24"/>
          <w:highlight w:val="none"/>
          <w:u w:val="single"/>
        </w:rPr>
        <w:t>技术投标文件主要包括下列内容：</w:t>
      </w:r>
    </w:p>
    <w:p w14:paraId="37882F41">
      <w:pPr>
        <w:numPr>
          <w:ilvl w:val="0"/>
          <w:numId w:val="4"/>
        </w:numPr>
        <w:spacing w:line="360" w:lineRule="auto"/>
        <w:ind w:firstLine="480" w:firstLineChars="200"/>
        <w:rPr>
          <w:rFonts w:hint="eastAsia" w:ascii="宋体" w:hAnsi="宋体"/>
          <w:color w:val="auto"/>
          <w:sz w:val="24"/>
          <w:highlight w:val="none"/>
          <w:u w:val="single"/>
        </w:rPr>
      </w:pPr>
      <w:r>
        <w:rPr>
          <w:rFonts w:hint="eastAsia" w:ascii="宋体"/>
          <w:bCs/>
          <w:color w:val="auto"/>
          <w:sz w:val="24"/>
          <w:highlight w:val="none"/>
          <w:u w:val="single"/>
          <w:lang w:eastAsia="zh-CN"/>
        </w:rPr>
        <w:t>《广州建设工程施工招标投标书》；</w:t>
      </w:r>
    </w:p>
    <w:p w14:paraId="1463A4A7">
      <w:pPr>
        <w:numPr>
          <w:ilvl w:val="0"/>
          <w:numId w:val="4"/>
        </w:numPr>
        <w:spacing w:line="360" w:lineRule="auto"/>
        <w:ind w:firstLine="480" w:firstLineChars="200"/>
        <w:rPr>
          <w:rFonts w:hint="eastAsia" w:ascii="宋体" w:hAnsi="宋体"/>
          <w:color w:val="auto"/>
          <w:sz w:val="24"/>
          <w:highlight w:val="none"/>
          <w:u w:val="single"/>
        </w:rPr>
      </w:pPr>
      <w:r>
        <w:rPr>
          <w:rFonts w:hint="eastAsia" w:ascii="宋体" w:hAnsi="宋体"/>
          <w:color w:val="auto"/>
          <w:sz w:val="24"/>
          <w:highlight w:val="none"/>
          <w:u w:val="single"/>
        </w:rPr>
        <w:t>项目管理机构配备：</w:t>
      </w:r>
    </w:p>
    <w:p w14:paraId="40CE2114">
      <w:pPr>
        <w:spacing w:line="360" w:lineRule="auto"/>
        <w:ind w:firstLine="480" w:firstLineChars="200"/>
        <w:rPr>
          <w:rFonts w:hint="eastAsia" w:ascii="宋体" w:hAnsi="宋体"/>
          <w:color w:val="auto"/>
          <w:sz w:val="24"/>
          <w:highlight w:val="none"/>
          <w:u w:val="single"/>
        </w:rPr>
      </w:pPr>
      <w:r>
        <w:rPr>
          <w:rFonts w:hint="eastAsia" w:ascii="宋体" w:hAnsi="宋体" w:eastAsia="宋体"/>
          <w:color w:val="auto"/>
          <w:sz w:val="24"/>
          <w:szCs w:val="24"/>
          <w:highlight w:val="none"/>
          <w:u w:val="single"/>
        </w:rPr>
        <w:t>①</w:t>
      </w:r>
      <w:r>
        <w:rPr>
          <w:rFonts w:hint="eastAsia" w:ascii="宋体" w:hAnsi="宋体"/>
          <w:color w:val="auto"/>
          <w:sz w:val="24"/>
          <w:highlight w:val="none"/>
          <w:u w:val="single"/>
        </w:rPr>
        <w:t>投标人应列出该项目工程的施工组织机构构成和画出机构框架图及其负责人；</w:t>
      </w:r>
    </w:p>
    <w:p w14:paraId="28554445">
      <w:pPr>
        <w:spacing w:line="360" w:lineRule="auto"/>
        <w:ind w:firstLine="480" w:firstLineChars="200"/>
        <w:rPr>
          <w:rFonts w:hint="eastAsia" w:ascii="宋体" w:hAnsi="宋体"/>
          <w:color w:val="auto"/>
          <w:sz w:val="24"/>
          <w:highlight w:val="none"/>
          <w:u w:val="single"/>
        </w:rPr>
      </w:pPr>
      <w:r>
        <w:rPr>
          <w:rFonts w:hint="eastAsia" w:ascii="宋体" w:hAnsi="宋体" w:eastAsia="宋体"/>
          <w:color w:val="auto"/>
          <w:sz w:val="24"/>
          <w:szCs w:val="24"/>
          <w:highlight w:val="none"/>
          <w:u w:val="single"/>
        </w:rPr>
        <w:t>②</w:t>
      </w:r>
      <w:r>
        <w:rPr>
          <w:rFonts w:hint="eastAsia" w:ascii="宋体" w:hAnsi="宋体"/>
          <w:color w:val="auto"/>
          <w:sz w:val="24"/>
          <w:highlight w:val="none"/>
          <w:u w:val="single"/>
        </w:rPr>
        <w:t>投标人应详细列出该施工组织机构中主要成员的名单、简历资料、职务职称和在本项目中拟担任的职务等资料，并附上有关证明材料扫描件；</w:t>
      </w:r>
    </w:p>
    <w:p w14:paraId="0FD1B37D">
      <w:pPr>
        <w:spacing w:line="360" w:lineRule="auto"/>
        <w:ind w:firstLine="480" w:firstLineChars="200"/>
        <w:rPr>
          <w:rFonts w:hint="eastAsia" w:ascii="宋体" w:hAnsi="宋体"/>
          <w:color w:val="auto"/>
          <w:sz w:val="24"/>
          <w:highlight w:val="none"/>
          <w:u w:val="single"/>
        </w:rPr>
      </w:pPr>
      <w:r>
        <w:rPr>
          <w:rFonts w:hint="eastAsia" w:ascii="宋体" w:hAnsi="宋体" w:eastAsia="宋体"/>
          <w:color w:val="auto"/>
          <w:sz w:val="24"/>
          <w:szCs w:val="24"/>
          <w:highlight w:val="none"/>
          <w:u w:val="single"/>
        </w:rPr>
        <w:t>③</w:t>
      </w:r>
      <w:r>
        <w:rPr>
          <w:rFonts w:hint="eastAsia" w:ascii="宋体" w:hAnsi="宋体"/>
          <w:color w:val="auto"/>
          <w:sz w:val="24"/>
          <w:highlight w:val="none"/>
          <w:u w:val="single"/>
        </w:rPr>
        <w:t>其他辅助说明资料。</w:t>
      </w:r>
    </w:p>
    <w:p w14:paraId="3AE9F363">
      <w:pPr>
        <w:spacing w:line="360" w:lineRule="auto"/>
        <w:ind w:firstLine="480" w:firstLineChars="200"/>
        <w:rPr>
          <w:rFonts w:hint="eastAsia" w:ascii="宋体" w:hAnsi="宋体" w:eastAsia="宋体"/>
          <w:color w:val="auto"/>
          <w:sz w:val="24"/>
          <w:highlight w:val="none"/>
          <w:u w:val="single"/>
          <w:lang w:eastAsia="zh-CN"/>
        </w:rPr>
      </w:pPr>
      <w:r>
        <w:rPr>
          <w:rFonts w:hint="eastAsia" w:ascii="宋体" w:hAnsi="宋体"/>
          <w:color w:val="auto"/>
          <w:sz w:val="24"/>
          <w:highlight w:val="none"/>
          <w:u w:val="single"/>
        </w:rPr>
        <w:t>（</w:t>
      </w:r>
      <w:r>
        <w:rPr>
          <w:rFonts w:hint="eastAsia" w:ascii="宋体" w:hAnsi="宋体"/>
          <w:color w:val="auto"/>
          <w:sz w:val="24"/>
          <w:highlight w:val="none"/>
          <w:u w:val="single"/>
          <w:lang w:val="en-US" w:eastAsia="zh-CN"/>
        </w:rPr>
        <w:t>3</w:t>
      </w:r>
      <w:r>
        <w:rPr>
          <w:rFonts w:hint="eastAsia" w:ascii="宋体" w:hAnsi="宋体"/>
          <w:color w:val="auto"/>
          <w:sz w:val="24"/>
          <w:highlight w:val="none"/>
          <w:u w:val="single"/>
        </w:rPr>
        <w:t>）施工组织设计或施工方案</w:t>
      </w:r>
      <w:r>
        <w:rPr>
          <w:rFonts w:hint="eastAsia" w:ascii="宋体" w:hAnsi="宋体"/>
          <w:color w:val="auto"/>
          <w:sz w:val="24"/>
          <w:highlight w:val="none"/>
          <w:u w:val="single"/>
          <w:lang w:eastAsia="zh-CN"/>
        </w:rPr>
        <w:t>；</w:t>
      </w:r>
    </w:p>
    <w:p w14:paraId="732A1C15">
      <w:pPr>
        <w:pStyle w:val="10"/>
        <w:rPr>
          <w:rFonts w:hint="eastAsia" w:ascii="宋体" w:hAnsi="宋体" w:eastAsia="宋体" w:cs="Times New Roman"/>
          <w:color w:val="auto"/>
          <w:sz w:val="24"/>
          <w:highlight w:val="none"/>
          <w:u w:val="single"/>
          <w:lang w:val="en-US" w:eastAsia="zh-CN"/>
        </w:rPr>
      </w:pPr>
      <w:r>
        <w:rPr>
          <w:rFonts w:hint="eastAsia" w:ascii="楷体" w:hAnsi="楷体" w:eastAsia="楷体" w:cs="楷体"/>
          <w:color w:val="auto"/>
          <w:sz w:val="24"/>
          <w:highlight w:val="none"/>
          <w:u w:val="single"/>
          <w:lang w:val="en-US" w:eastAsia="zh-CN"/>
        </w:rPr>
        <w:t>注：建议招标人在招标文件中提出</w:t>
      </w:r>
      <w:r>
        <w:rPr>
          <w:rFonts w:hint="eastAsia" w:ascii="楷体" w:hAnsi="楷体" w:eastAsia="楷体" w:cs="楷体"/>
          <w:bCs w:val="0"/>
          <w:color w:val="auto"/>
          <w:kern w:val="2"/>
          <w:sz w:val="24"/>
          <w:highlight w:val="none"/>
          <w:u w:val="single"/>
        </w:rPr>
        <w:t>篇幅上限</w:t>
      </w:r>
      <w:r>
        <w:rPr>
          <w:rFonts w:hint="eastAsia" w:ascii="楷体" w:hAnsi="楷体" w:eastAsia="楷体" w:cs="楷体"/>
          <w:bCs w:val="0"/>
          <w:color w:val="auto"/>
          <w:kern w:val="2"/>
          <w:sz w:val="24"/>
          <w:highlight w:val="none"/>
          <w:u w:val="single"/>
          <w:lang w:eastAsia="zh-CN"/>
        </w:rPr>
        <w:t>，国家及地方现有工法规范已有的内容</w:t>
      </w:r>
      <w:r>
        <w:rPr>
          <w:rFonts w:hint="eastAsia" w:ascii="楷体" w:hAnsi="楷体" w:eastAsia="楷体" w:cs="楷体"/>
          <w:bCs w:val="0"/>
          <w:color w:val="auto"/>
          <w:kern w:val="2"/>
          <w:sz w:val="24"/>
          <w:highlight w:val="none"/>
          <w:u w:val="single"/>
          <w:lang w:val="en-US" w:eastAsia="zh-CN"/>
        </w:rPr>
        <w:t>无需重复提交</w:t>
      </w:r>
      <w:r>
        <w:rPr>
          <w:rFonts w:hint="eastAsia" w:ascii="楷体" w:hAnsi="楷体" w:eastAsia="楷体" w:cs="楷体"/>
          <w:bCs w:val="0"/>
          <w:color w:val="auto"/>
          <w:kern w:val="2"/>
          <w:sz w:val="24"/>
          <w:highlight w:val="none"/>
          <w:u w:val="single"/>
        </w:rPr>
        <w:t>。</w:t>
      </w:r>
    </w:p>
    <w:p w14:paraId="5B9BB136">
      <w:pPr>
        <w:spacing w:line="360" w:lineRule="auto"/>
        <w:ind w:firstLine="480" w:firstLineChars="200"/>
        <w:rPr>
          <w:rFonts w:hint="eastAsia" w:ascii="宋体" w:hAnsi="宋体" w:eastAsia="宋体"/>
          <w:color w:val="auto"/>
          <w:sz w:val="24"/>
          <w:highlight w:val="none"/>
          <w:u w:val="single"/>
          <w:lang w:eastAsia="zh-CN"/>
        </w:rPr>
      </w:pPr>
      <w:r>
        <w:rPr>
          <w:rFonts w:hint="eastAsia" w:ascii="宋体" w:hAnsi="宋体"/>
          <w:color w:val="auto"/>
          <w:sz w:val="24"/>
          <w:highlight w:val="none"/>
          <w:u w:val="single"/>
          <w:lang w:eastAsia="zh-CN"/>
        </w:rPr>
        <w:t>（</w:t>
      </w:r>
      <w:r>
        <w:rPr>
          <w:rFonts w:hint="eastAsia" w:ascii="宋体" w:hAnsi="宋体"/>
          <w:color w:val="auto"/>
          <w:sz w:val="24"/>
          <w:highlight w:val="none"/>
          <w:u w:val="single"/>
          <w:lang w:val="en-US" w:eastAsia="zh-CN"/>
        </w:rPr>
        <w:t>4）（选择性条款）</w:t>
      </w:r>
      <w:r>
        <w:rPr>
          <w:rFonts w:hint="eastAsia" w:ascii="宋体" w:hAnsi="宋体"/>
          <w:color w:val="auto"/>
          <w:sz w:val="24"/>
          <w:highlight w:val="none"/>
          <w:u w:val="single"/>
        </w:rPr>
        <w:t>有余泥渣土产生的项目</w:t>
      </w:r>
      <w:r>
        <w:rPr>
          <w:rFonts w:hint="eastAsia" w:ascii="宋体" w:hAnsi="宋体"/>
          <w:color w:val="auto"/>
          <w:sz w:val="24"/>
          <w:highlight w:val="none"/>
          <w:u w:val="single"/>
          <w:lang w:eastAsia="zh-CN"/>
        </w:rPr>
        <w:t>可要求提供</w:t>
      </w:r>
      <w:r>
        <w:rPr>
          <w:rFonts w:hint="eastAsia" w:ascii="宋体" w:hAnsi="宋体"/>
          <w:color w:val="auto"/>
          <w:sz w:val="24"/>
          <w:highlight w:val="none"/>
          <w:u w:val="single"/>
        </w:rPr>
        <w:t>余泥渣土运输与排放方案</w:t>
      </w:r>
      <w:r>
        <w:rPr>
          <w:rFonts w:hint="eastAsia" w:ascii="宋体" w:hAnsi="宋体"/>
          <w:color w:val="auto"/>
          <w:sz w:val="24"/>
          <w:highlight w:val="none"/>
          <w:u w:val="single"/>
          <w:lang w:eastAsia="zh-CN"/>
        </w:rPr>
        <w:t>；</w:t>
      </w:r>
    </w:p>
    <w:p w14:paraId="5A97FEE3">
      <w:pPr>
        <w:spacing w:line="360" w:lineRule="auto"/>
        <w:ind w:firstLine="480" w:firstLineChars="200"/>
        <w:rPr>
          <w:rFonts w:hint="eastAsia" w:ascii="宋体" w:hAnsi="宋体" w:eastAsia="宋体"/>
          <w:color w:val="auto"/>
          <w:sz w:val="24"/>
          <w:highlight w:val="none"/>
          <w:u w:val="single"/>
          <w:lang w:eastAsia="zh-CN"/>
        </w:rPr>
      </w:pPr>
      <w:r>
        <w:rPr>
          <w:rFonts w:hint="eastAsia" w:ascii="宋体" w:hAnsi="宋体"/>
          <w:color w:val="auto"/>
          <w:sz w:val="24"/>
          <w:highlight w:val="none"/>
          <w:u w:val="single"/>
        </w:rPr>
        <w:t>（</w:t>
      </w:r>
      <w:r>
        <w:rPr>
          <w:rFonts w:hint="eastAsia" w:ascii="宋体" w:hAnsi="宋体"/>
          <w:color w:val="auto"/>
          <w:sz w:val="24"/>
          <w:highlight w:val="none"/>
          <w:u w:val="single"/>
          <w:lang w:val="en-US" w:eastAsia="zh-CN"/>
        </w:rPr>
        <w:t>5</w:t>
      </w:r>
      <w:r>
        <w:rPr>
          <w:rFonts w:hint="eastAsia" w:ascii="宋体" w:hAnsi="宋体"/>
          <w:color w:val="auto"/>
          <w:sz w:val="24"/>
          <w:highlight w:val="none"/>
          <w:u w:val="single"/>
        </w:rPr>
        <w:t>）</w:t>
      </w:r>
      <w:r>
        <w:rPr>
          <w:rFonts w:hint="eastAsia" w:ascii="宋体" w:hAnsi="宋体"/>
          <w:color w:val="auto"/>
          <w:sz w:val="24"/>
          <w:highlight w:val="none"/>
          <w:u w:val="single"/>
          <w:lang w:eastAsia="zh-CN"/>
        </w:rPr>
        <w:t>（选择性条款）</w:t>
      </w:r>
      <w:r>
        <w:rPr>
          <w:rFonts w:hint="eastAsia" w:ascii="宋体" w:hAnsi="宋体"/>
          <w:color w:val="auto"/>
          <w:sz w:val="24"/>
          <w:highlight w:val="none"/>
          <w:u w:val="single"/>
        </w:rPr>
        <w:t>投标人可使用适合本工程的机械设备</w:t>
      </w:r>
      <w:r>
        <w:rPr>
          <w:rFonts w:hint="eastAsia" w:ascii="宋体" w:hAnsi="宋体"/>
          <w:color w:val="auto"/>
          <w:sz w:val="24"/>
          <w:highlight w:val="none"/>
          <w:u w:val="single"/>
          <w:lang w:eastAsia="zh-CN"/>
        </w:rPr>
        <w:t>；</w:t>
      </w:r>
    </w:p>
    <w:p w14:paraId="4C363097">
      <w:pPr>
        <w:spacing w:line="360" w:lineRule="auto"/>
        <w:ind w:firstLine="480" w:firstLineChars="200"/>
        <w:rPr>
          <w:rFonts w:hint="eastAsia" w:ascii="宋体" w:hAnsi="宋体" w:eastAsia="宋体"/>
          <w:color w:val="auto"/>
          <w:sz w:val="24"/>
          <w:highlight w:val="none"/>
          <w:u w:val="single"/>
          <w:lang w:eastAsia="zh-CN"/>
        </w:rPr>
      </w:pPr>
      <w:r>
        <w:rPr>
          <w:rFonts w:hint="eastAsia" w:ascii="宋体" w:hAnsi="宋体"/>
          <w:color w:val="auto"/>
          <w:sz w:val="24"/>
          <w:highlight w:val="none"/>
          <w:u w:val="single"/>
        </w:rPr>
        <w:t>（</w:t>
      </w:r>
      <w:r>
        <w:rPr>
          <w:rFonts w:hint="eastAsia" w:ascii="宋体" w:hAnsi="宋体"/>
          <w:color w:val="auto"/>
          <w:sz w:val="24"/>
          <w:highlight w:val="none"/>
          <w:u w:val="single"/>
          <w:lang w:val="en-US" w:eastAsia="zh-CN"/>
        </w:rPr>
        <w:t>6</w:t>
      </w:r>
      <w:r>
        <w:rPr>
          <w:rFonts w:hint="eastAsia" w:ascii="宋体" w:hAnsi="宋体"/>
          <w:color w:val="auto"/>
          <w:sz w:val="24"/>
          <w:highlight w:val="none"/>
          <w:u w:val="single"/>
        </w:rPr>
        <w:t>）</w:t>
      </w:r>
      <w:r>
        <w:rPr>
          <w:rFonts w:hint="eastAsia" w:ascii="宋体" w:hAnsi="宋体"/>
          <w:color w:val="auto"/>
          <w:sz w:val="24"/>
          <w:highlight w:val="none"/>
          <w:u w:val="single"/>
          <w:lang w:eastAsia="zh-CN"/>
        </w:rPr>
        <w:t>（选择性条款）</w:t>
      </w:r>
      <w:r>
        <w:rPr>
          <w:rFonts w:hint="eastAsia" w:ascii="宋体" w:hAnsi="宋体"/>
          <w:color w:val="auto"/>
          <w:sz w:val="24"/>
          <w:highlight w:val="none"/>
          <w:u w:val="single"/>
        </w:rPr>
        <w:t>类似工程业绩材料</w:t>
      </w:r>
      <w:r>
        <w:rPr>
          <w:rFonts w:hint="eastAsia" w:ascii="宋体" w:hAnsi="宋体"/>
          <w:color w:val="auto"/>
          <w:sz w:val="24"/>
          <w:highlight w:val="none"/>
          <w:u w:val="single"/>
          <w:lang w:eastAsia="zh-CN"/>
        </w:rPr>
        <w:t>；</w:t>
      </w:r>
    </w:p>
    <w:p w14:paraId="37F16444">
      <w:pPr>
        <w:spacing w:line="360" w:lineRule="auto"/>
        <w:ind w:firstLine="480" w:firstLineChars="200"/>
        <w:rPr>
          <w:rFonts w:hint="eastAsia" w:ascii="宋体" w:hAnsi="宋体" w:eastAsia="宋体"/>
          <w:color w:val="auto"/>
          <w:sz w:val="24"/>
          <w:highlight w:val="none"/>
          <w:u w:val="single"/>
          <w:lang w:eastAsia="zh-CN"/>
        </w:rPr>
      </w:pPr>
      <w:r>
        <w:rPr>
          <w:rFonts w:hint="eastAsia" w:ascii="宋体" w:hAnsi="宋体"/>
          <w:color w:val="auto"/>
          <w:sz w:val="24"/>
          <w:highlight w:val="none"/>
          <w:u w:val="single"/>
        </w:rPr>
        <w:t>（</w:t>
      </w:r>
      <w:r>
        <w:rPr>
          <w:rFonts w:hint="eastAsia" w:ascii="宋体" w:hAnsi="宋体"/>
          <w:color w:val="auto"/>
          <w:sz w:val="24"/>
          <w:highlight w:val="none"/>
          <w:u w:val="single"/>
          <w:lang w:val="en-US" w:eastAsia="zh-CN"/>
        </w:rPr>
        <w:t>7</w:t>
      </w:r>
      <w:r>
        <w:rPr>
          <w:rFonts w:hint="eastAsia" w:ascii="宋体" w:hAnsi="宋体"/>
          <w:color w:val="auto"/>
          <w:sz w:val="24"/>
          <w:highlight w:val="none"/>
          <w:u w:val="single"/>
        </w:rPr>
        <w:t>）按本招标文件规定提交的其它所有技术资料</w:t>
      </w:r>
      <w:r>
        <w:rPr>
          <w:rFonts w:hint="eastAsia" w:ascii="宋体" w:hAnsi="宋体"/>
          <w:color w:val="auto"/>
          <w:sz w:val="24"/>
          <w:highlight w:val="none"/>
          <w:u w:val="single"/>
          <w:lang w:eastAsia="zh-CN"/>
        </w:rPr>
        <w:t>；</w:t>
      </w:r>
    </w:p>
    <w:p w14:paraId="52151099">
      <w:pPr>
        <w:spacing w:line="360" w:lineRule="auto"/>
        <w:ind w:firstLine="480" w:firstLineChars="200"/>
        <w:rPr>
          <w:rFonts w:hint="eastAsia" w:ascii="宋体" w:hAnsi="宋体"/>
          <w:color w:val="auto"/>
          <w:sz w:val="24"/>
          <w:highlight w:val="none"/>
          <w:u w:val="single"/>
        </w:rPr>
      </w:pPr>
      <w:r>
        <w:rPr>
          <w:rFonts w:hint="eastAsia" w:ascii="宋体" w:hAnsi="宋体"/>
          <w:color w:val="auto"/>
          <w:sz w:val="24"/>
          <w:highlight w:val="none"/>
          <w:u w:val="single"/>
        </w:rPr>
        <w:t>（</w:t>
      </w:r>
      <w:r>
        <w:rPr>
          <w:rFonts w:hint="eastAsia" w:ascii="宋体" w:hAnsi="宋体"/>
          <w:color w:val="auto"/>
          <w:sz w:val="24"/>
          <w:highlight w:val="none"/>
          <w:u w:val="single"/>
          <w:lang w:val="en-US" w:eastAsia="zh-CN"/>
        </w:rPr>
        <w:t>8</w:t>
      </w:r>
      <w:r>
        <w:rPr>
          <w:rFonts w:hint="eastAsia" w:ascii="宋体" w:hAnsi="宋体"/>
          <w:color w:val="auto"/>
          <w:sz w:val="24"/>
          <w:highlight w:val="none"/>
          <w:u w:val="single"/>
        </w:rPr>
        <w:t>）按照招标文件要求填写的《参与编制技术标投标文件人员名单》。</w:t>
      </w:r>
    </w:p>
    <w:p w14:paraId="5A75C416">
      <w:pPr>
        <w:spacing w:line="360" w:lineRule="auto"/>
        <w:ind w:firstLine="480" w:firstLineChars="200"/>
        <w:rPr>
          <w:rFonts w:ascii="宋体"/>
          <w:bCs/>
          <w:color w:val="auto"/>
          <w:sz w:val="24"/>
          <w:highlight w:val="none"/>
          <w:u w:val="single"/>
        </w:rPr>
      </w:pPr>
      <w:r>
        <w:rPr>
          <w:rFonts w:ascii="宋体" w:hAnsi="宋体"/>
          <w:bCs/>
          <w:color w:val="auto"/>
          <w:sz w:val="24"/>
          <w:highlight w:val="none"/>
          <w:u w:val="single"/>
        </w:rPr>
        <w:t xml:space="preserve">11.3 </w:t>
      </w:r>
      <w:r>
        <w:rPr>
          <w:rFonts w:hint="eastAsia" w:ascii="宋体" w:hAnsi="宋体"/>
          <w:bCs/>
          <w:color w:val="auto"/>
          <w:sz w:val="24"/>
          <w:highlight w:val="none"/>
          <w:u w:val="single"/>
        </w:rPr>
        <w:t>经济部分投标文件主要包括下列内容：</w:t>
      </w:r>
    </w:p>
    <w:p w14:paraId="121D9D4B">
      <w:pPr>
        <w:spacing w:line="360" w:lineRule="auto"/>
        <w:ind w:firstLine="480" w:firstLineChars="200"/>
        <w:rPr>
          <w:rFonts w:ascii="宋体"/>
          <w:color w:val="auto"/>
          <w:sz w:val="24"/>
          <w:highlight w:val="none"/>
          <w:u w:val="single"/>
        </w:rPr>
      </w:pPr>
      <w:r>
        <w:rPr>
          <w:rFonts w:ascii="宋体" w:hAnsi="宋体"/>
          <w:color w:val="auto"/>
          <w:sz w:val="24"/>
          <w:highlight w:val="none"/>
          <w:u w:val="single"/>
        </w:rPr>
        <w:t xml:space="preserve">11.3.1 </w:t>
      </w:r>
      <w:r>
        <w:rPr>
          <w:rFonts w:hint="eastAsia" w:ascii="宋体" w:hAnsi="宋体"/>
          <w:color w:val="auto"/>
          <w:sz w:val="24"/>
          <w:highlight w:val="none"/>
          <w:u w:val="single"/>
        </w:rPr>
        <w:t>经济投标文件</w:t>
      </w:r>
    </w:p>
    <w:p w14:paraId="10FBC406">
      <w:pPr>
        <w:spacing w:line="360" w:lineRule="auto"/>
        <w:ind w:firstLine="480" w:firstLineChars="200"/>
        <w:rPr>
          <w:rFonts w:ascii="宋体"/>
          <w:color w:val="auto"/>
          <w:sz w:val="24"/>
          <w:highlight w:val="none"/>
          <w:u w:val="single"/>
        </w:rPr>
      </w:pPr>
      <w:r>
        <w:rPr>
          <w:rFonts w:ascii="宋体" w:hAnsi="宋体"/>
          <w:color w:val="auto"/>
          <w:sz w:val="24"/>
          <w:highlight w:val="none"/>
          <w:u w:val="single"/>
        </w:rPr>
        <w:t>11.3.2</w:t>
      </w:r>
      <w:r>
        <w:rPr>
          <w:rFonts w:hint="eastAsia" w:ascii="宋体" w:hAnsi="宋体"/>
          <w:color w:val="auto"/>
          <w:sz w:val="24"/>
          <w:highlight w:val="none"/>
          <w:u w:val="single"/>
        </w:rPr>
        <w:t>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w:t>
      </w:r>
      <w:r>
        <w:rPr>
          <w:rFonts w:hint="eastAsia" w:ascii="宋体" w:hAnsi="宋体"/>
          <w:color w:val="auto"/>
          <w:sz w:val="24"/>
          <w:szCs w:val="24"/>
          <w:highlight w:val="none"/>
          <w:u w:val="single"/>
        </w:rPr>
        <w:t>其中包括如下：</w:t>
      </w:r>
      <w:r>
        <w:rPr>
          <w:rFonts w:ascii="宋体"/>
          <w:color w:val="auto"/>
          <w:sz w:val="24"/>
          <w:highlight w:val="none"/>
          <w:u w:val="single"/>
        </w:rPr>
        <w:t xml:space="preserve"> </w:t>
      </w:r>
    </w:p>
    <w:p w14:paraId="2FD92144">
      <w:pPr>
        <w:spacing w:line="360" w:lineRule="auto"/>
        <w:ind w:firstLine="566" w:firstLineChars="236"/>
        <w:rPr>
          <w:rFonts w:ascii="宋体"/>
          <w:color w:val="auto"/>
          <w:sz w:val="24"/>
          <w:highlight w:val="none"/>
          <w:u w:val="single"/>
        </w:rPr>
      </w:pPr>
      <w:r>
        <w:rPr>
          <w:rFonts w:hint="eastAsia" w:ascii="宋体" w:hAnsi="宋体"/>
          <w:color w:val="auto"/>
          <w:sz w:val="24"/>
          <w:highlight w:val="none"/>
          <w:u w:val="single"/>
        </w:rPr>
        <w:t>（</w:t>
      </w:r>
      <w:r>
        <w:rPr>
          <w:rFonts w:ascii="宋体" w:hAnsi="宋体"/>
          <w:color w:val="auto"/>
          <w:sz w:val="24"/>
          <w:highlight w:val="none"/>
          <w:u w:val="single"/>
        </w:rPr>
        <w:t>1</w:t>
      </w:r>
      <w:r>
        <w:rPr>
          <w:rFonts w:hint="eastAsia" w:ascii="宋体" w:hAnsi="宋体"/>
          <w:color w:val="auto"/>
          <w:sz w:val="24"/>
          <w:highlight w:val="none"/>
          <w:u w:val="single"/>
        </w:rPr>
        <w:t>）投标总价封面、扉页；</w:t>
      </w:r>
    </w:p>
    <w:p w14:paraId="52170CDB">
      <w:pPr>
        <w:spacing w:line="360" w:lineRule="auto"/>
        <w:ind w:firstLine="566" w:firstLineChars="236"/>
        <w:rPr>
          <w:rFonts w:hint="default" w:ascii="宋体" w:hAnsi="宋体" w:eastAsia="宋体"/>
          <w:color w:val="auto"/>
          <w:sz w:val="24"/>
          <w:szCs w:val="24"/>
          <w:highlight w:val="none"/>
          <w:u w:val="single"/>
          <w:lang w:val="en-US" w:eastAsia="zh-CN"/>
        </w:rPr>
      </w:pPr>
      <w:r>
        <w:rPr>
          <w:rFonts w:hint="eastAsia" w:ascii="宋体" w:hAnsi="宋体"/>
          <w:color w:val="auto"/>
          <w:sz w:val="24"/>
          <w:szCs w:val="24"/>
          <w:highlight w:val="none"/>
          <w:u w:val="single"/>
        </w:rPr>
        <w:t>（</w:t>
      </w:r>
      <w:r>
        <w:rPr>
          <w:rFonts w:ascii="宋体" w:hAnsi="宋体"/>
          <w:color w:val="auto"/>
          <w:sz w:val="24"/>
          <w:szCs w:val="24"/>
          <w:highlight w:val="none"/>
          <w:u w:val="single"/>
        </w:rPr>
        <w:t>2</w:t>
      </w:r>
      <w:r>
        <w:rPr>
          <w:rFonts w:hint="eastAsia" w:ascii="宋体" w:hAnsi="宋体"/>
          <w:color w:val="auto"/>
          <w:sz w:val="24"/>
          <w:szCs w:val="24"/>
          <w:highlight w:val="none"/>
          <w:u w:val="single"/>
        </w:rPr>
        <w:t>）总说明</w:t>
      </w:r>
      <w:r>
        <w:rPr>
          <w:rFonts w:hint="eastAsia" w:ascii="宋体" w:hAnsi="宋体"/>
          <w:color w:val="auto"/>
          <w:sz w:val="24"/>
          <w:szCs w:val="24"/>
          <w:highlight w:val="none"/>
          <w:u w:val="single"/>
          <w:lang w:eastAsia="zh-CN"/>
        </w:rPr>
        <w:t>；</w:t>
      </w:r>
    </w:p>
    <w:p w14:paraId="6BB53894">
      <w:pPr>
        <w:spacing w:line="360" w:lineRule="auto"/>
        <w:ind w:firstLine="566" w:firstLineChars="236"/>
        <w:rPr>
          <w:rFonts w:ascii="宋体"/>
          <w:color w:val="auto"/>
          <w:sz w:val="24"/>
          <w:szCs w:val="24"/>
          <w:highlight w:val="none"/>
          <w:u w:val="single"/>
        </w:rPr>
      </w:pPr>
      <w:r>
        <w:rPr>
          <w:rFonts w:hint="eastAsia" w:ascii="宋体" w:hAnsi="宋体"/>
          <w:color w:val="auto"/>
          <w:sz w:val="24"/>
          <w:szCs w:val="24"/>
          <w:highlight w:val="none"/>
          <w:u w:val="single"/>
        </w:rPr>
        <w:t>（3）工程项目投标报价汇总表；</w:t>
      </w:r>
    </w:p>
    <w:p w14:paraId="1B3655FA">
      <w:pPr>
        <w:spacing w:line="360" w:lineRule="auto"/>
        <w:ind w:firstLine="566" w:firstLineChars="236"/>
        <w:rPr>
          <w:rFonts w:ascii="宋体" w:hAnsi="宋体"/>
          <w:color w:val="auto"/>
          <w:sz w:val="24"/>
          <w:szCs w:val="24"/>
          <w:highlight w:val="none"/>
          <w:u w:val="single"/>
        </w:rPr>
      </w:pPr>
      <w:r>
        <w:rPr>
          <w:rFonts w:hint="eastAsia" w:ascii="宋体" w:hAnsi="宋体"/>
          <w:color w:val="auto"/>
          <w:sz w:val="24"/>
          <w:szCs w:val="24"/>
          <w:highlight w:val="none"/>
          <w:u w:val="single"/>
        </w:rPr>
        <w:t>（4）单项工程投标报价汇总表；</w:t>
      </w:r>
    </w:p>
    <w:p w14:paraId="1F51E228">
      <w:pPr>
        <w:spacing w:line="360" w:lineRule="auto"/>
        <w:ind w:firstLine="566" w:firstLineChars="236"/>
        <w:rPr>
          <w:rFonts w:ascii="宋体"/>
          <w:color w:val="auto"/>
          <w:sz w:val="24"/>
          <w:szCs w:val="24"/>
          <w:highlight w:val="none"/>
          <w:u w:val="single"/>
        </w:rPr>
      </w:pPr>
      <w:r>
        <w:rPr>
          <w:rFonts w:hint="eastAsia" w:ascii="宋体" w:hAnsi="宋体"/>
          <w:color w:val="auto"/>
          <w:sz w:val="24"/>
          <w:szCs w:val="24"/>
          <w:highlight w:val="none"/>
          <w:u w:val="single"/>
        </w:rPr>
        <w:t>（5）单位工程投标报价汇总表；</w:t>
      </w:r>
    </w:p>
    <w:p w14:paraId="341F0710">
      <w:pPr>
        <w:spacing w:line="360" w:lineRule="auto"/>
        <w:ind w:firstLine="566" w:firstLineChars="236"/>
        <w:rPr>
          <w:rFonts w:ascii="宋体"/>
          <w:color w:val="auto"/>
          <w:sz w:val="24"/>
          <w:szCs w:val="24"/>
          <w:highlight w:val="none"/>
          <w:u w:val="single"/>
        </w:rPr>
      </w:pPr>
      <w:r>
        <w:rPr>
          <w:rFonts w:hint="eastAsia" w:ascii="宋体" w:hAnsi="宋体"/>
          <w:color w:val="auto"/>
          <w:sz w:val="24"/>
          <w:szCs w:val="24"/>
          <w:highlight w:val="none"/>
          <w:u w:val="single"/>
        </w:rPr>
        <w:t>（6）分部分项工程清单与计价表；</w:t>
      </w:r>
    </w:p>
    <w:p w14:paraId="1B966B78">
      <w:pPr>
        <w:spacing w:line="360" w:lineRule="auto"/>
        <w:ind w:firstLine="566" w:firstLineChars="236"/>
        <w:rPr>
          <w:rFonts w:ascii="宋体"/>
          <w:color w:val="auto"/>
          <w:sz w:val="24"/>
          <w:szCs w:val="24"/>
          <w:highlight w:val="none"/>
          <w:u w:val="single"/>
        </w:rPr>
      </w:pPr>
      <w:r>
        <w:rPr>
          <w:rFonts w:hint="eastAsia" w:ascii="宋体" w:hAnsi="宋体"/>
          <w:color w:val="auto"/>
          <w:sz w:val="24"/>
          <w:szCs w:val="24"/>
          <w:highlight w:val="none"/>
          <w:u w:val="single"/>
        </w:rPr>
        <w:t>（7）单价措施项目清单与计价表；</w:t>
      </w:r>
    </w:p>
    <w:p w14:paraId="480C607B">
      <w:pPr>
        <w:spacing w:line="360" w:lineRule="auto"/>
        <w:ind w:firstLine="566" w:firstLineChars="236"/>
        <w:rPr>
          <w:rFonts w:ascii="宋体"/>
          <w:color w:val="auto"/>
          <w:sz w:val="24"/>
          <w:szCs w:val="24"/>
          <w:highlight w:val="none"/>
          <w:u w:val="single"/>
        </w:rPr>
      </w:pPr>
      <w:r>
        <w:rPr>
          <w:rFonts w:hint="eastAsia" w:ascii="宋体" w:hAnsi="宋体"/>
          <w:color w:val="auto"/>
          <w:sz w:val="24"/>
          <w:szCs w:val="24"/>
          <w:highlight w:val="none"/>
          <w:u w:val="single"/>
        </w:rPr>
        <w:t>（8）总价措施项目清单与计价表；</w:t>
      </w:r>
    </w:p>
    <w:p w14:paraId="04095D5B">
      <w:pPr>
        <w:spacing w:line="360" w:lineRule="auto"/>
        <w:ind w:firstLine="566" w:firstLineChars="236"/>
        <w:rPr>
          <w:rFonts w:ascii="宋体"/>
          <w:color w:val="auto"/>
          <w:sz w:val="24"/>
          <w:szCs w:val="24"/>
          <w:highlight w:val="none"/>
          <w:u w:val="single"/>
        </w:rPr>
      </w:pPr>
      <w:r>
        <w:rPr>
          <w:rFonts w:hint="eastAsia" w:ascii="宋体" w:hAnsi="宋体"/>
          <w:color w:val="auto"/>
          <w:sz w:val="24"/>
          <w:szCs w:val="24"/>
          <w:highlight w:val="none"/>
          <w:u w:val="single"/>
        </w:rPr>
        <w:t>（9）综合单价分析表；</w:t>
      </w:r>
    </w:p>
    <w:p w14:paraId="37AC35F0">
      <w:pPr>
        <w:spacing w:line="360" w:lineRule="auto"/>
        <w:ind w:firstLine="480" w:firstLineChars="200"/>
        <w:rPr>
          <w:rFonts w:ascii="宋体"/>
          <w:color w:val="auto"/>
          <w:sz w:val="24"/>
          <w:szCs w:val="24"/>
          <w:highlight w:val="none"/>
          <w:u w:val="single"/>
        </w:rPr>
      </w:pPr>
      <w:r>
        <w:rPr>
          <w:rFonts w:hint="eastAsia" w:ascii="宋体" w:hAnsi="宋体"/>
          <w:color w:val="auto"/>
          <w:sz w:val="24"/>
          <w:szCs w:val="24"/>
          <w:highlight w:val="none"/>
          <w:u w:val="single"/>
        </w:rPr>
        <w:t>（10）其他项目清单与计价汇总表；</w:t>
      </w:r>
    </w:p>
    <w:p w14:paraId="6415BC7E">
      <w:pPr>
        <w:spacing w:line="360" w:lineRule="auto"/>
        <w:ind w:firstLine="480" w:firstLineChars="200"/>
        <w:rPr>
          <w:rFonts w:ascii="宋体"/>
          <w:color w:val="auto"/>
          <w:sz w:val="24"/>
          <w:szCs w:val="24"/>
          <w:highlight w:val="none"/>
          <w:u w:val="single"/>
        </w:rPr>
      </w:pPr>
      <w:r>
        <w:rPr>
          <w:rFonts w:hint="eastAsia" w:ascii="宋体" w:hAnsi="宋体"/>
          <w:color w:val="auto"/>
          <w:sz w:val="24"/>
          <w:szCs w:val="24"/>
          <w:highlight w:val="none"/>
          <w:u w:val="single"/>
        </w:rPr>
        <w:t>（11）暂列金额明细表；</w:t>
      </w:r>
    </w:p>
    <w:p w14:paraId="09AA633C">
      <w:pPr>
        <w:spacing w:line="360" w:lineRule="auto"/>
        <w:ind w:firstLine="480" w:firstLineChars="200"/>
        <w:rPr>
          <w:rFonts w:ascii="宋体"/>
          <w:color w:val="auto"/>
          <w:sz w:val="24"/>
          <w:szCs w:val="24"/>
          <w:highlight w:val="none"/>
          <w:u w:val="single"/>
        </w:rPr>
      </w:pPr>
      <w:r>
        <w:rPr>
          <w:rFonts w:hint="eastAsia" w:ascii="宋体" w:hAnsi="宋体"/>
          <w:color w:val="auto"/>
          <w:sz w:val="24"/>
          <w:szCs w:val="24"/>
          <w:highlight w:val="none"/>
          <w:u w:val="single"/>
        </w:rPr>
        <w:t>（12）材料（工程设备）暂估价明细表；</w:t>
      </w:r>
    </w:p>
    <w:p w14:paraId="4EEA839E">
      <w:pPr>
        <w:spacing w:line="360" w:lineRule="auto"/>
        <w:ind w:firstLine="480" w:firstLineChars="200"/>
        <w:rPr>
          <w:rFonts w:ascii="宋体"/>
          <w:color w:val="auto"/>
          <w:sz w:val="24"/>
          <w:szCs w:val="24"/>
          <w:highlight w:val="none"/>
          <w:u w:val="single"/>
        </w:rPr>
      </w:pPr>
      <w:r>
        <w:rPr>
          <w:rFonts w:hint="eastAsia" w:ascii="宋体" w:hAnsi="宋体"/>
          <w:color w:val="auto"/>
          <w:sz w:val="24"/>
          <w:szCs w:val="24"/>
          <w:highlight w:val="none"/>
          <w:u w:val="single"/>
        </w:rPr>
        <w:t>（13）专业工程暂估价明细表；</w:t>
      </w:r>
    </w:p>
    <w:p w14:paraId="3C839613">
      <w:pPr>
        <w:spacing w:line="360" w:lineRule="auto"/>
        <w:ind w:firstLine="480" w:firstLineChars="200"/>
        <w:rPr>
          <w:rFonts w:ascii="宋体"/>
          <w:color w:val="auto"/>
          <w:sz w:val="24"/>
          <w:szCs w:val="24"/>
          <w:highlight w:val="none"/>
          <w:u w:val="single"/>
        </w:rPr>
      </w:pPr>
      <w:r>
        <w:rPr>
          <w:rFonts w:hint="eastAsia" w:ascii="宋体" w:hAnsi="宋体"/>
          <w:color w:val="auto"/>
          <w:sz w:val="24"/>
          <w:szCs w:val="24"/>
          <w:highlight w:val="none"/>
          <w:u w:val="single"/>
        </w:rPr>
        <w:t>（14）计日工表；</w:t>
      </w:r>
    </w:p>
    <w:p w14:paraId="4FEEE243">
      <w:pPr>
        <w:spacing w:line="360" w:lineRule="auto"/>
        <w:ind w:firstLine="480" w:firstLineChars="200"/>
        <w:rPr>
          <w:rFonts w:ascii="宋体"/>
          <w:color w:val="auto"/>
          <w:sz w:val="24"/>
          <w:szCs w:val="24"/>
          <w:highlight w:val="none"/>
          <w:u w:val="single"/>
        </w:rPr>
      </w:pPr>
      <w:r>
        <w:rPr>
          <w:rFonts w:hint="eastAsia" w:ascii="宋体" w:hAnsi="宋体"/>
          <w:color w:val="auto"/>
          <w:sz w:val="24"/>
          <w:szCs w:val="24"/>
          <w:highlight w:val="none"/>
          <w:u w:val="single"/>
        </w:rPr>
        <w:t>（15）总承包服务计价表；</w:t>
      </w:r>
    </w:p>
    <w:p w14:paraId="09D07519">
      <w:pPr>
        <w:spacing w:line="360" w:lineRule="auto"/>
        <w:ind w:firstLine="480" w:firstLineChars="200"/>
        <w:rPr>
          <w:rFonts w:ascii="宋体"/>
          <w:color w:val="auto"/>
          <w:sz w:val="24"/>
          <w:szCs w:val="24"/>
          <w:highlight w:val="none"/>
          <w:u w:val="single"/>
        </w:rPr>
      </w:pPr>
      <w:r>
        <w:rPr>
          <w:rFonts w:hint="eastAsia" w:ascii="宋体" w:hAnsi="宋体"/>
          <w:color w:val="auto"/>
          <w:sz w:val="24"/>
          <w:szCs w:val="24"/>
          <w:highlight w:val="none"/>
          <w:u w:val="single"/>
        </w:rPr>
        <w:t>（16）规费和税金项目计价表；</w:t>
      </w:r>
    </w:p>
    <w:p w14:paraId="1B95E75E">
      <w:pPr>
        <w:spacing w:line="360" w:lineRule="auto"/>
        <w:ind w:firstLine="480" w:firstLineChars="200"/>
        <w:rPr>
          <w:rFonts w:ascii="宋体"/>
          <w:color w:val="auto"/>
          <w:sz w:val="24"/>
          <w:highlight w:val="none"/>
          <w:u w:val="single"/>
        </w:rPr>
      </w:pPr>
      <w:r>
        <w:rPr>
          <w:rFonts w:hint="eastAsia" w:ascii="宋体" w:hAnsi="宋体"/>
          <w:color w:val="auto"/>
          <w:sz w:val="24"/>
          <w:szCs w:val="24"/>
          <w:highlight w:val="none"/>
          <w:u w:val="single"/>
        </w:rPr>
        <w:t>（17）人工、主要材料和设备一览表</w:t>
      </w:r>
    </w:p>
    <w:p w14:paraId="7506576E">
      <w:pPr>
        <w:tabs>
          <w:tab w:val="left" w:pos="1125"/>
        </w:tabs>
        <w:spacing w:line="360" w:lineRule="auto"/>
        <w:ind w:firstLine="480" w:firstLineChars="200"/>
        <w:rPr>
          <w:rFonts w:ascii="宋体" w:hAnsi="宋体"/>
          <w:color w:val="auto"/>
          <w:sz w:val="24"/>
          <w:highlight w:val="none"/>
          <w:u w:val="single"/>
        </w:rPr>
      </w:pPr>
      <w:r>
        <w:rPr>
          <w:rFonts w:ascii="宋体" w:hAnsi="宋体"/>
          <w:color w:val="auto"/>
          <w:sz w:val="24"/>
          <w:highlight w:val="none"/>
          <w:u w:val="single"/>
        </w:rPr>
        <w:t>11.3.</w:t>
      </w:r>
      <w:r>
        <w:rPr>
          <w:rFonts w:hint="eastAsia" w:ascii="宋体" w:hAnsi="宋体"/>
          <w:color w:val="auto"/>
          <w:sz w:val="24"/>
          <w:highlight w:val="none"/>
          <w:u w:val="single"/>
        </w:rPr>
        <w:t>3按照</w:t>
      </w:r>
      <w:r>
        <w:rPr>
          <w:rFonts w:hint="eastAsia" w:ascii="宋体" w:hAnsi="宋体"/>
          <w:bCs/>
          <w:color w:val="auto"/>
          <w:sz w:val="24"/>
          <w:highlight w:val="none"/>
          <w:u w:val="single"/>
        </w:rPr>
        <w:t>招标文件要求</w:t>
      </w:r>
      <w:r>
        <w:rPr>
          <w:rFonts w:hint="eastAsia" w:ascii="宋体" w:hAnsi="宋体"/>
          <w:color w:val="auto"/>
          <w:sz w:val="24"/>
          <w:highlight w:val="none"/>
          <w:u w:val="single"/>
        </w:rPr>
        <w:t>填写的《参与编制经济标投标文件人员名单》。</w:t>
      </w:r>
    </w:p>
    <w:p w14:paraId="251C1874">
      <w:pPr>
        <w:spacing w:line="360" w:lineRule="auto"/>
        <w:ind w:firstLine="480" w:firstLineChars="200"/>
        <w:rPr>
          <w:rFonts w:hint="eastAsia" w:ascii="宋体" w:hAnsi="宋体" w:cs="宋体"/>
          <w:bCs/>
          <w:sz w:val="24"/>
          <w:szCs w:val="24"/>
          <w:highlight w:val="none"/>
        </w:rPr>
      </w:pPr>
      <w:r>
        <w:rPr>
          <w:rFonts w:hint="eastAsia" w:ascii="宋体" w:hAnsi="宋体"/>
          <w:color w:val="auto"/>
          <w:sz w:val="24"/>
          <w:highlight w:val="none"/>
          <w:u w:val="single"/>
        </w:rPr>
        <w:t>11.3.4若投标人的投标报价低于工程成本警</w:t>
      </w:r>
      <w:r>
        <w:rPr>
          <w:rFonts w:hint="eastAsia" w:ascii="宋体" w:hAnsi="宋体"/>
          <w:color w:val="auto"/>
          <w:sz w:val="24"/>
          <w:highlight w:val="none"/>
          <w:u w:val="single"/>
          <w:lang w:eastAsia="zh-CN"/>
        </w:rPr>
        <w:t>示</w:t>
      </w:r>
      <w:r>
        <w:rPr>
          <w:rFonts w:hint="eastAsia" w:ascii="宋体" w:hAnsi="宋体"/>
          <w:color w:val="auto"/>
          <w:sz w:val="24"/>
          <w:highlight w:val="none"/>
          <w:u w:val="single"/>
        </w:rPr>
        <w:t>价的，投标人还须提供详细的施工组织设计、单价、措施性费用、单价分析表、主要材料价格表、投标人成本分析供评标委员会评审</w:t>
      </w:r>
      <w:r>
        <w:rPr>
          <w:rFonts w:hint="eastAsia" w:ascii="宋体" w:hAnsi="宋体" w:cs="宋体"/>
          <w:sz w:val="24"/>
          <w:szCs w:val="24"/>
          <w:highlight w:val="none"/>
        </w:rPr>
        <w:t>。</w:t>
      </w:r>
    </w:p>
    <w:p w14:paraId="2F884756">
      <w:pPr>
        <w:spacing w:line="360" w:lineRule="auto"/>
        <w:ind w:firstLine="482" w:firstLineChars="200"/>
        <w:rPr>
          <w:rFonts w:hint="eastAsia" w:ascii="宋体" w:hAnsi="宋体" w:eastAsia="宋体" w:cs="宋体"/>
          <w:bCs/>
          <w:color w:val="auto"/>
          <w:sz w:val="24"/>
          <w:szCs w:val="24"/>
          <w:highlight w:val="none"/>
          <w:u w:val="single"/>
        </w:rPr>
      </w:pPr>
      <w:r>
        <w:rPr>
          <w:rFonts w:hint="eastAsia" w:ascii="宋体" w:hAnsi="宋体" w:cs="宋体"/>
          <w:b/>
          <w:sz w:val="24"/>
          <w:szCs w:val="24"/>
          <w:highlight w:val="none"/>
        </w:rPr>
        <w:t>现文：</w:t>
      </w:r>
      <w:r>
        <w:rPr>
          <w:rFonts w:hint="eastAsia" w:ascii="宋体" w:hAnsi="宋体" w:eastAsia="宋体" w:cs="宋体"/>
          <w:bCs/>
          <w:color w:val="auto"/>
          <w:sz w:val="24"/>
          <w:szCs w:val="24"/>
          <w:highlight w:val="none"/>
          <w:u w:val="single"/>
        </w:rPr>
        <w:t>11.1投标文件由技术部分（含资格审查文件）和经济部分、定标文件组成，其中定标文件组成详见11.4条。</w:t>
      </w:r>
    </w:p>
    <w:p w14:paraId="5222858A">
      <w:pPr>
        <w:spacing w:line="360" w:lineRule="auto"/>
        <w:ind w:firstLine="480" w:firstLineChars="200"/>
        <w:rPr>
          <w:rFonts w:hint="eastAsia" w:ascii="宋体" w:hAnsi="宋体" w:cs="宋体"/>
          <w:sz w:val="24"/>
          <w:szCs w:val="24"/>
          <w:highlight w:val="none"/>
          <w:u w:val="single"/>
        </w:rPr>
      </w:pPr>
      <w:r>
        <w:rPr>
          <w:rFonts w:hint="eastAsia" w:ascii="宋体" w:hAnsi="宋体" w:cs="宋体"/>
          <w:sz w:val="24"/>
          <w:szCs w:val="24"/>
          <w:highlight w:val="none"/>
        </w:rPr>
        <w:t>11.2投标文件技术标部分主要包括下列内容:</w:t>
      </w:r>
    </w:p>
    <w:p w14:paraId="7AC12C37">
      <w:pPr>
        <w:spacing w:line="360" w:lineRule="auto"/>
        <w:ind w:firstLine="480" w:firstLineChars="200"/>
        <w:rPr>
          <w:rFonts w:hint="eastAsia" w:ascii="宋体" w:hAnsi="宋体" w:cs="宋体"/>
          <w:b w:val="0"/>
          <w:bCs w:val="0"/>
          <w:sz w:val="24"/>
          <w:szCs w:val="24"/>
          <w:highlight w:val="none"/>
          <w:u w:val="none"/>
        </w:rPr>
      </w:pPr>
      <w:r>
        <w:rPr>
          <w:rFonts w:hint="eastAsia" w:ascii="宋体" w:hAnsi="宋体" w:cs="宋体"/>
          <w:b w:val="0"/>
          <w:bCs w:val="0"/>
          <w:sz w:val="24"/>
          <w:szCs w:val="24"/>
          <w:highlight w:val="none"/>
          <w:u w:val="none"/>
        </w:rPr>
        <w:t>11.2.</w:t>
      </w:r>
      <w:r>
        <w:rPr>
          <w:rFonts w:hint="eastAsia" w:ascii="宋体" w:hAnsi="宋体" w:cs="宋体"/>
          <w:b w:val="0"/>
          <w:bCs w:val="0"/>
          <w:sz w:val="24"/>
          <w:szCs w:val="24"/>
          <w:highlight w:val="none"/>
          <w:u w:val="none"/>
          <w:lang w:eastAsia="zh-CN"/>
        </w:rPr>
        <w:t>1</w:t>
      </w:r>
      <w:r>
        <w:rPr>
          <w:rFonts w:hint="eastAsia" w:ascii="宋体" w:hAnsi="宋体" w:cs="宋体"/>
          <w:b w:val="0"/>
          <w:bCs w:val="0"/>
          <w:sz w:val="24"/>
          <w:szCs w:val="24"/>
          <w:highlight w:val="none"/>
          <w:u w:val="none"/>
        </w:rPr>
        <w:t>资格审查文件：</w:t>
      </w:r>
    </w:p>
    <w:p w14:paraId="16728D72">
      <w:pPr>
        <w:spacing w:line="360" w:lineRule="auto"/>
        <w:ind w:firstLine="480" w:firstLineChars="200"/>
        <w:rPr>
          <w:rFonts w:hint="eastAsia" w:ascii="宋体" w:hAnsi="宋体" w:cs="宋体"/>
          <w:bCs/>
          <w:sz w:val="24"/>
          <w:szCs w:val="24"/>
          <w:highlight w:val="none"/>
          <w:u w:val="single"/>
        </w:rPr>
      </w:pPr>
      <w:r>
        <w:rPr>
          <w:rFonts w:hint="eastAsia" w:ascii="宋体" w:hAnsi="宋体" w:cs="宋体"/>
          <w:bCs/>
          <w:sz w:val="24"/>
          <w:szCs w:val="24"/>
          <w:highlight w:val="none"/>
          <w:u w:val="none"/>
        </w:rPr>
        <w:t>（1）投标人声明</w:t>
      </w:r>
      <w:r>
        <w:rPr>
          <w:rFonts w:hint="eastAsia" w:ascii="宋体" w:hAnsi="宋体" w:cs="宋体"/>
          <w:b/>
          <w:bCs w:val="0"/>
          <w:sz w:val="24"/>
          <w:szCs w:val="24"/>
          <w:highlight w:val="none"/>
          <w:u w:val="single"/>
        </w:rPr>
        <w:t>（见招标公告附件一）</w:t>
      </w:r>
      <w:r>
        <w:rPr>
          <w:rFonts w:hint="eastAsia" w:ascii="宋体" w:hAnsi="宋体" w:cs="宋体"/>
          <w:bCs/>
          <w:sz w:val="24"/>
          <w:szCs w:val="24"/>
          <w:highlight w:val="none"/>
          <w:u w:val="single"/>
        </w:rPr>
        <w:t xml:space="preserve">； </w:t>
      </w:r>
    </w:p>
    <w:p w14:paraId="41AC07E6">
      <w:pPr>
        <w:spacing w:line="360" w:lineRule="auto"/>
        <w:ind w:firstLine="480" w:firstLineChars="200"/>
        <w:rPr>
          <w:rFonts w:hint="eastAsia" w:ascii="宋体" w:hAnsi="宋体" w:cs="宋体"/>
          <w:bCs/>
          <w:sz w:val="24"/>
          <w:szCs w:val="24"/>
          <w:highlight w:val="none"/>
          <w:u w:val="single"/>
        </w:rPr>
      </w:pPr>
      <w:r>
        <w:rPr>
          <w:rFonts w:hint="eastAsia" w:ascii="宋体" w:hAnsi="宋体" w:cs="宋体"/>
          <w:bCs/>
          <w:sz w:val="24"/>
          <w:szCs w:val="24"/>
          <w:highlight w:val="none"/>
          <w:u w:val="none"/>
        </w:rPr>
        <w:t>（2）法定代表人证明书、法定代表人签字或盖章的本投标文件授权委托证明书；</w:t>
      </w:r>
    </w:p>
    <w:p w14:paraId="24AA3085">
      <w:pPr>
        <w:spacing w:line="360" w:lineRule="auto"/>
        <w:ind w:firstLine="480" w:firstLineChars="200"/>
        <w:rPr>
          <w:rFonts w:hint="eastAsia" w:ascii="宋体" w:hAnsi="宋体" w:cs="宋体"/>
          <w:bCs/>
          <w:sz w:val="24"/>
          <w:szCs w:val="24"/>
          <w:highlight w:val="none"/>
          <w:u w:val="none"/>
        </w:rPr>
      </w:pPr>
      <w:r>
        <w:rPr>
          <w:rFonts w:hint="eastAsia" w:ascii="宋体" w:hAnsi="宋体" w:cs="宋体"/>
          <w:bCs/>
          <w:sz w:val="24"/>
          <w:szCs w:val="24"/>
          <w:highlight w:val="none"/>
          <w:u w:val="none"/>
        </w:rPr>
        <w:t>（3）企业营业执照</w:t>
      </w:r>
      <w:r>
        <w:rPr>
          <w:rFonts w:hint="eastAsia" w:ascii="宋体" w:hAnsi="宋体" w:cs="宋体"/>
          <w:b/>
          <w:bCs w:val="0"/>
          <w:sz w:val="24"/>
          <w:szCs w:val="24"/>
          <w:highlight w:val="none"/>
          <w:u w:val="single"/>
        </w:rPr>
        <w:t>扫描件或电子证照</w:t>
      </w:r>
      <w:r>
        <w:rPr>
          <w:rFonts w:hint="eastAsia" w:ascii="宋体" w:hAnsi="宋体" w:cs="宋体"/>
          <w:bCs/>
          <w:sz w:val="24"/>
          <w:szCs w:val="24"/>
          <w:highlight w:val="none"/>
          <w:u w:val="none"/>
        </w:rPr>
        <w:t>；</w:t>
      </w:r>
    </w:p>
    <w:p w14:paraId="357ABDBE">
      <w:pPr>
        <w:spacing w:line="360" w:lineRule="auto"/>
        <w:ind w:firstLine="480" w:firstLineChars="200"/>
        <w:rPr>
          <w:rFonts w:hint="eastAsia" w:ascii="宋体" w:hAnsi="宋体" w:cs="宋体"/>
          <w:bCs/>
          <w:sz w:val="24"/>
          <w:szCs w:val="24"/>
          <w:highlight w:val="none"/>
          <w:u w:val="none"/>
        </w:rPr>
      </w:pPr>
      <w:r>
        <w:rPr>
          <w:rFonts w:hint="eastAsia" w:ascii="宋体" w:hAnsi="宋体" w:cs="宋体"/>
          <w:bCs/>
          <w:sz w:val="24"/>
          <w:szCs w:val="24"/>
          <w:highlight w:val="none"/>
          <w:u w:val="none"/>
        </w:rPr>
        <w:t>（4）企业资质证书</w:t>
      </w:r>
      <w:r>
        <w:rPr>
          <w:rFonts w:hint="eastAsia" w:ascii="宋体" w:hAnsi="宋体" w:cs="宋体"/>
          <w:b/>
          <w:bCs w:val="0"/>
          <w:sz w:val="24"/>
          <w:szCs w:val="24"/>
          <w:highlight w:val="none"/>
          <w:u w:val="single"/>
        </w:rPr>
        <w:t>扫描件或电子证照</w:t>
      </w:r>
      <w:r>
        <w:rPr>
          <w:rFonts w:hint="eastAsia" w:ascii="宋体" w:hAnsi="宋体" w:cs="宋体"/>
          <w:bCs/>
          <w:sz w:val="24"/>
          <w:szCs w:val="24"/>
          <w:highlight w:val="none"/>
          <w:u w:val="none"/>
        </w:rPr>
        <w:t>；</w:t>
      </w:r>
    </w:p>
    <w:p w14:paraId="315B2508">
      <w:pPr>
        <w:spacing w:line="360" w:lineRule="auto"/>
        <w:ind w:firstLine="480" w:firstLineChars="200"/>
        <w:rPr>
          <w:rFonts w:hint="eastAsia" w:ascii="宋体" w:hAnsi="宋体" w:cs="宋体"/>
          <w:bCs/>
          <w:sz w:val="24"/>
          <w:szCs w:val="24"/>
          <w:highlight w:val="none"/>
          <w:u w:val="single"/>
        </w:rPr>
      </w:pPr>
      <w:r>
        <w:rPr>
          <w:rFonts w:hint="eastAsia" w:ascii="宋体" w:hAnsi="宋体" w:cs="宋体"/>
          <w:bCs/>
          <w:sz w:val="24"/>
          <w:szCs w:val="24"/>
          <w:highlight w:val="none"/>
          <w:u w:val="none"/>
        </w:rPr>
        <w:t>（5）建筑施工企业安全生产许可证</w:t>
      </w:r>
      <w:r>
        <w:rPr>
          <w:rFonts w:hint="eastAsia" w:ascii="宋体" w:hAnsi="宋体" w:cs="宋体"/>
          <w:b/>
          <w:bCs w:val="0"/>
          <w:sz w:val="24"/>
          <w:szCs w:val="24"/>
          <w:highlight w:val="none"/>
          <w:u w:val="single"/>
        </w:rPr>
        <w:t>扫描件或电子证照</w:t>
      </w:r>
      <w:r>
        <w:rPr>
          <w:rFonts w:hint="eastAsia" w:ascii="宋体" w:hAnsi="宋体" w:cs="宋体"/>
          <w:bCs/>
          <w:sz w:val="24"/>
          <w:szCs w:val="24"/>
          <w:highlight w:val="none"/>
          <w:u w:val="none"/>
        </w:rPr>
        <w:t>；</w:t>
      </w:r>
    </w:p>
    <w:p w14:paraId="0F8E987D">
      <w:pPr>
        <w:spacing w:line="360" w:lineRule="auto"/>
        <w:ind w:firstLine="480" w:firstLineChars="200"/>
        <w:rPr>
          <w:rFonts w:hint="eastAsia" w:ascii="宋体" w:hAnsi="宋体" w:cs="宋体"/>
          <w:bCs/>
          <w:sz w:val="24"/>
          <w:szCs w:val="24"/>
          <w:highlight w:val="none"/>
          <w:u w:val="none"/>
        </w:rPr>
      </w:pPr>
      <w:r>
        <w:rPr>
          <w:rFonts w:hint="eastAsia" w:ascii="宋体" w:hAnsi="宋体" w:cs="宋体"/>
          <w:bCs/>
          <w:sz w:val="24"/>
          <w:szCs w:val="24"/>
          <w:highlight w:val="none"/>
          <w:u w:val="none"/>
        </w:rPr>
        <w:t>（6）项目负责人</w:t>
      </w:r>
      <w:r>
        <w:rPr>
          <w:rFonts w:hint="eastAsia" w:ascii="宋体" w:hAnsi="宋体" w:cs="宋体"/>
          <w:b/>
          <w:bCs w:val="0"/>
          <w:sz w:val="24"/>
          <w:szCs w:val="24"/>
          <w:highlight w:val="none"/>
          <w:u w:val="single"/>
        </w:rPr>
        <w:t>（按网上投标登记时选择拟投标的项目负责人）</w:t>
      </w:r>
      <w:r>
        <w:rPr>
          <w:rFonts w:hint="eastAsia" w:ascii="宋体" w:hAnsi="宋体" w:cs="宋体"/>
          <w:bCs/>
          <w:sz w:val="24"/>
          <w:szCs w:val="24"/>
          <w:highlight w:val="none"/>
          <w:u w:val="none"/>
        </w:rPr>
        <w:t>；</w:t>
      </w:r>
    </w:p>
    <w:p w14:paraId="4ECBCA1E">
      <w:pPr>
        <w:spacing w:line="360" w:lineRule="auto"/>
        <w:ind w:firstLine="480" w:firstLineChars="200"/>
        <w:rPr>
          <w:rFonts w:hint="eastAsia" w:ascii="宋体" w:hAnsi="宋体" w:cs="宋体"/>
          <w:bCs/>
          <w:sz w:val="24"/>
          <w:szCs w:val="24"/>
          <w:highlight w:val="none"/>
          <w:u w:val="none"/>
        </w:rPr>
      </w:pPr>
      <w:r>
        <w:rPr>
          <w:rFonts w:hint="eastAsia" w:ascii="宋体" w:hAnsi="宋体" w:cs="宋体"/>
          <w:bCs/>
          <w:sz w:val="24"/>
          <w:szCs w:val="24"/>
          <w:highlight w:val="none"/>
          <w:u w:val="none"/>
        </w:rPr>
        <w:t>（7）专职安全员</w:t>
      </w:r>
      <w:r>
        <w:rPr>
          <w:rFonts w:hint="eastAsia" w:ascii="宋体" w:hAnsi="宋体" w:cs="宋体"/>
          <w:b/>
          <w:bCs w:val="0"/>
          <w:sz w:val="24"/>
          <w:szCs w:val="24"/>
          <w:highlight w:val="none"/>
          <w:u w:val="single"/>
        </w:rPr>
        <w:t>（按网上投标登记时选择拟投标的专职安全员）</w:t>
      </w:r>
      <w:r>
        <w:rPr>
          <w:rFonts w:hint="eastAsia" w:ascii="宋体" w:hAnsi="宋体" w:cs="宋体"/>
          <w:bCs/>
          <w:sz w:val="24"/>
          <w:szCs w:val="24"/>
          <w:highlight w:val="none"/>
          <w:u w:val="none"/>
        </w:rPr>
        <w:t>；</w:t>
      </w:r>
    </w:p>
    <w:p w14:paraId="15935E78">
      <w:pPr>
        <w:spacing w:line="360" w:lineRule="auto"/>
        <w:ind w:firstLine="480" w:firstLineChars="200"/>
        <w:rPr>
          <w:rFonts w:hint="eastAsia" w:ascii="宋体" w:hAnsi="宋体" w:cs="宋体"/>
          <w:bCs/>
          <w:sz w:val="24"/>
          <w:szCs w:val="24"/>
          <w:highlight w:val="none"/>
          <w:u w:val="none"/>
        </w:rPr>
      </w:pPr>
      <w:r>
        <w:rPr>
          <w:rFonts w:hint="eastAsia" w:ascii="宋体" w:hAnsi="宋体" w:cs="宋体"/>
          <w:bCs/>
          <w:sz w:val="24"/>
          <w:szCs w:val="24"/>
          <w:highlight w:val="none"/>
          <w:u w:val="none"/>
        </w:rPr>
        <w:t>（</w:t>
      </w:r>
      <w:r>
        <w:rPr>
          <w:rFonts w:hint="eastAsia" w:ascii="宋体" w:hAnsi="宋体" w:cs="宋体"/>
          <w:bCs/>
          <w:sz w:val="24"/>
          <w:szCs w:val="24"/>
          <w:highlight w:val="none"/>
          <w:u w:val="none"/>
          <w:lang w:val="en-US" w:eastAsia="zh-CN"/>
        </w:rPr>
        <w:t>8</w:t>
      </w:r>
      <w:r>
        <w:rPr>
          <w:rFonts w:hint="eastAsia" w:ascii="宋体" w:hAnsi="宋体" w:cs="宋体"/>
          <w:bCs/>
          <w:sz w:val="24"/>
          <w:szCs w:val="24"/>
          <w:highlight w:val="none"/>
          <w:u w:val="none"/>
        </w:rPr>
        <w:t>）拟委派项目负责人的</w:t>
      </w:r>
      <w:r>
        <w:rPr>
          <w:rFonts w:hint="eastAsia" w:ascii="宋体" w:hAnsi="宋体" w:cs="宋体"/>
          <w:b/>
          <w:bCs w:val="0"/>
          <w:sz w:val="24"/>
          <w:szCs w:val="24"/>
          <w:highlight w:val="none"/>
          <w:u w:val="single"/>
        </w:rPr>
        <w:t>有效期内</w:t>
      </w:r>
      <w:r>
        <w:rPr>
          <w:rFonts w:hint="eastAsia" w:ascii="宋体" w:hAnsi="宋体" w:cs="宋体"/>
          <w:b w:val="0"/>
          <w:bCs/>
          <w:sz w:val="24"/>
          <w:szCs w:val="24"/>
          <w:highlight w:val="none"/>
          <w:u w:val="none"/>
        </w:rPr>
        <w:t>的</w:t>
      </w:r>
      <w:r>
        <w:rPr>
          <w:rFonts w:hint="eastAsia" w:ascii="宋体" w:hAnsi="宋体" w:cs="宋体"/>
          <w:bCs/>
          <w:sz w:val="24"/>
          <w:szCs w:val="24"/>
          <w:highlight w:val="none"/>
          <w:u w:val="none"/>
        </w:rPr>
        <w:t>建造师注册证书</w:t>
      </w:r>
      <w:r>
        <w:rPr>
          <w:rFonts w:hint="eastAsia" w:ascii="宋体" w:hAnsi="宋体" w:cs="宋体"/>
          <w:b/>
          <w:bCs w:val="0"/>
          <w:sz w:val="24"/>
          <w:szCs w:val="24"/>
          <w:highlight w:val="none"/>
          <w:u w:val="single"/>
        </w:rPr>
        <w:t>扫描件或电子证书</w:t>
      </w:r>
      <w:r>
        <w:rPr>
          <w:rFonts w:hint="eastAsia" w:ascii="宋体" w:hAnsi="宋体" w:cs="宋体"/>
          <w:bCs/>
          <w:sz w:val="24"/>
          <w:szCs w:val="24"/>
          <w:highlight w:val="none"/>
          <w:u w:val="none"/>
        </w:rPr>
        <w:t>；</w:t>
      </w:r>
    </w:p>
    <w:p w14:paraId="0125C070">
      <w:pPr>
        <w:spacing w:line="360" w:lineRule="auto"/>
        <w:ind w:firstLine="480" w:firstLineChars="200"/>
        <w:rPr>
          <w:rFonts w:hint="eastAsia" w:ascii="宋体" w:hAnsi="宋体"/>
          <w:sz w:val="24"/>
          <w:szCs w:val="24"/>
          <w:highlight w:val="none"/>
          <w:u w:val="none"/>
        </w:rPr>
      </w:pPr>
      <w:r>
        <w:rPr>
          <w:rFonts w:hint="eastAsia" w:ascii="宋体" w:hAnsi="宋体"/>
          <w:sz w:val="24"/>
          <w:szCs w:val="24"/>
          <w:highlight w:val="none"/>
          <w:u w:val="none"/>
        </w:rPr>
        <w:t>（</w:t>
      </w:r>
      <w:r>
        <w:rPr>
          <w:rFonts w:hint="eastAsia" w:ascii="宋体" w:hAnsi="宋体"/>
          <w:sz w:val="24"/>
          <w:szCs w:val="24"/>
          <w:highlight w:val="none"/>
          <w:u w:val="none"/>
          <w:lang w:val="en-US" w:eastAsia="zh-CN"/>
        </w:rPr>
        <w:t>9</w:t>
      </w:r>
      <w:r>
        <w:rPr>
          <w:rFonts w:hint="eastAsia" w:ascii="宋体" w:hAnsi="宋体"/>
          <w:sz w:val="24"/>
          <w:szCs w:val="24"/>
          <w:highlight w:val="none"/>
          <w:u w:val="none"/>
        </w:rPr>
        <w:t>）项目负责人安全生产考核合格证明或在有效期内的安全考核合格证书（B 类）或建筑施工企业项目负责人安全生产考核合格证书</w:t>
      </w:r>
      <w:r>
        <w:rPr>
          <w:rFonts w:hint="eastAsia" w:ascii="宋体" w:hAnsi="宋体"/>
          <w:b/>
          <w:bCs/>
          <w:sz w:val="24"/>
          <w:szCs w:val="24"/>
          <w:highlight w:val="none"/>
          <w:u w:val="single"/>
        </w:rPr>
        <w:t>扫描件或电子证书</w:t>
      </w:r>
      <w:r>
        <w:rPr>
          <w:rFonts w:hint="eastAsia" w:ascii="宋体" w:hAnsi="宋体"/>
          <w:sz w:val="24"/>
          <w:szCs w:val="24"/>
          <w:highlight w:val="none"/>
          <w:u w:val="none"/>
        </w:rPr>
        <w:t>；</w:t>
      </w:r>
    </w:p>
    <w:p w14:paraId="57134007">
      <w:pPr>
        <w:spacing w:line="440" w:lineRule="exact"/>
        <w:ind w:firstLine="480" w:firstLineChars="200"/>
        <w:rPr>
          <w:rFonts w:hint="eastAsia" w:ascii="宋体" w:hAnsi="宋体" w:cs="宋体"/>
          <w:bCs/>
          <w:sz w:val="24"/>
          <w:szCs w:val="24"/>
          <w:highlight w:val="none"/>
          <w:u w:val="none"/>
        </w:rPr>
      </w:pPr>
      <w:r>
        <w:rPr>
          <w:rFonts w:hint="eastAsia" w:ascii="宋体" w:hAnsi="宋体"/>
          <w:sz w:val="24"/>
          <w:szCs w:val="24"/>
          <w:highlight w:val="none"/>
          <w:u w:val="none"/>
        </w:rPr>
        <w:t>（</w:t>
      </w:r>
      <w:r>
        <w:rPr>
          <w:rFonts w:hint="eastAsia" w:ascii="宋体" w:hAnsi="宋体"/>
          <w:sz w:val="24"/>
          <w:szCs w:val="24"/>
          <w:highlight w:val="none"/>
          <w:u w:val="none"/>
          <w:lang w:val="en-US" w:eastAsia="zh-CN"/>
        </w:rPr>
        <w:t>10</w:t>
      </w:r>
      <w:r>
        <w:rPr>
          <w:rFonts w:hint="eastAsia" w:ascii="宋体" w:hAnsi="宋体"/>
          <w:sz w:val="24"/>
          <w:szCs w:val="24"/>
          <w:highlight w:val="none"/>
          <w:u w:val="none"/>
        </w:rPr>
        <w:t>）专职安全员须具有在有效期内的安全生产考核合格证书（C类）或建筑施工企业专职安全生产管理人员安全生产考核合格证书（C3）</w:t>
      </w:r>
      <w:r>
        <w:rPr>
          <w:rFonts w:hint="eastAsia" w:ascii="宋体" w:hAnsi="宋体"/>
          <w:b/>
          <w:bCs/>
          <w:sz w:val="24"/>
          <w:szCs w:val="24"/>
          <w:highlight w:val="none"/>
          <w:u w:val="single"/>
        </w:rPr>
        <w:t>扫描件或电子证书</w:t>
      </w:r>
      <w:r>
        <w:rPr>
          <w:rFonts w:hint="eastAsia" w:ascii="宋体" w:hAnsi="宋体" w:cs="宋体"/>
          <w:bCs/>
          <w:sz w:val="24"/>
          <w:szCs w:val="24"/>
          <w:highlight w:val="none"/>
          <w:u w:val="none"/>
        </w:rPr>
        <w:t>；</w:t>
      </w:r>
    </w:p>
    <w:p w14:paraId="50FA4AB6">
      <w:pPr>
        <w:spacing w:line="360" w:lineRule="auto"/>
        <w:ind w:firstLine="482" w:firstLineChars="200"/>
        <w:rPr>
          <w:rFonts w:hint="eastAsia" w:ascii="宋体" w:hAnsi="宋体" w:cs="宋体"/>
          <w:b/>
          <w:bCs/>
          <w:sz w:val="24"/>
          <w:szCs w:val="24"/>
          <w:highlight w:val="none"/>
          <w:u w:val="single"/>
        </w:rPr>
      </w:pPr>
      <w:r>
        <w:rPr>
          <w:rFonts w:hint="eastAsia" w:ascii="宋体" w:hAnsi="宋体"/>
          <w:b/>
          <w:bCs/>
          <w:sz w:val="24"/>
          <w:szCs w:val="24"/>
          <w:highlight w:val="none"/>
          <w:u w:val="single"/>
        </w:rPr>
        <w:t>（</w:t>
      </w:r>
      <w:r>
        <w:rPr>
          <w:rFonts w:hint="eastAsia" w:ascii="宋体" w:hAnsi="宋体"/>
          <w:b/>
          <w:bCs/>
          <w:sz w:val="24"/>
          <w:szCs w:val="24"/>
          <w:highlight w:val="none"/>
          <w:u w:val="single"/>
          <w:lang w:eastAsia="zh-CN"/>
        </w:rPr>
        <w:t>1</w:t>
      </w:r>
      <w:r>
        <w:rPr>
          <w:rFonts w:hint="eastAsia" w:ascii="宋体" w:hAnsi="宋体"/>
          <w:b/>
          <w:bCs/>
          <w:sz w:val="24"/>
          <w:szCs w:val="24"/>
          <w:highlight w:val="none"/>
          <w:u w:val="single"/>
          <w:lang w:val="en-US" w:eastAsia="zh-CN"/>
        </w:rPr>
        <w:t>1</w:t>
      </w:r>
      <w:r>
        <w:rPr>
          <w:rFonts w:hint="eastAsia" w:ascii="宋体" w:hAnsi="宋体"/>
          <w:b/>
          <w:bCs/>
          <w:sz w:val="24"/>
          <w:szCs w:val="24"/>
          <w:highlight w:val="none"/>
          <w:u w:val="single"/>
        </w:rPr>
        <w:t>）</w:t>
      </w:r>
      <w:r>
        <w:rPr>
          <w:rFonts w:hint="eastAsia" w:ascii="宋体" w:hAnsi="宋体" w:eastAsia="宋体" w:cs="宋体"/>
          <w:b/>
          <w:bCs/>
          <w:color w:val="auto"/>
          <w:sz w:val="24"/>
          <w:szCs w:val="24"/>
          <w:highlight w:val="none"/>
          <w:u w:val="single"/>
          <w:lang w:val="en-US" w:eastAsia="zh-CN"/>
        </w:rPr>
        <w:t>资格审查前，</w:t>
      </w:r>
      <w:r>
        <w:rPr>
          <w:rFonts w:hint="eastAsia" w:ascii="宋体" w:hAnsi="宋体" w:eastAsia="宋体" w:cs="宋体"/>
          <w:b/>
          <w:bCs/>
          <w:color w:val="auto"/>
          <w:sz w:val="24"/>
          <w:szCs w:val="24"/>
          <w:highlight w:val="none"/>
          <w:u w:val="single"/>
        </w:rPr>
        <w:t>投标人</w:t>
      </w:r>
      <w:r>
        <w:rPr>
          <w:rFonts w:hint="eastAsia" w:ascii="宋体" w:hAnsi="宋体" w:eastAsia="宋体" w:cs="宋体"/>
          <w:b/>
          <w:bCs/>
          <w:color w:val="auto"/>
          <w:sz w:val="24"/>
          <w:szCs w:val="24"/>
          <w:highlight w:val="none"/>
          <w:u w:val="single"/>
          <w:lang w:val="en-US" w:eastAsia="zh-CN"/>
        </w:rPr>
        <w:t>须</w:t>
      </w:r>
      <w:r>
        <w:rPr>
          <w:rFonts w:hint="eastAsia" w:ascii="宋体" w:hAnsi="宋体" w:eastAsia="宋体" w:cs="宋体"/>
          <w:b/>
          <w:bCs/>
          <w:color w:val="auto"/>
          <w:sz w:val="24"/>
          <w:szCs w:val="24"/>
          <w:highlight w:val="none"/>
          <w:u w:val="single"/>
        </w:rPr>
        <w:t>在</w:t>
      </w:r>
      <w:r>
        <w:rPr>
          <w:rFonts w:hint="eastAsia" w:ascii="宋体" w:hAnsi="宋体" w:eastAsia="宋体" w:cs="宋体"/>
          <w:b/>
          <w:bCs/>
          <w:color w:val="auto"/>
          <w:sz w:val="24"/>
          <w:szCs w:val="24"/>
          <w:highlight w:val="none"/>
          <w:u w:val="single"/>
          <w:lang w:eastAsia="zh-CN"/>
        </w:rPr>
        <w:t>广州公共资源交易中心企业库办理企业信息登记</w:t>
      </w:r>
      <w:r>
        <w:rPr>
          <w:rFonts w:hint="eastAsia" w:ascii="宋体" w:hAnsi="宋体" w:eastAsia="宋体" w:cs="宋体"/>
          <w:b/>
          <w:bCs/>
          <w:color w:val="auto"/>
          <w:sz w:val="24"/>
          <w:szCs w:val="24"/>
          <w:highlight w:val="none"/>
          <w:u w:val="single"/>
        </w:rPr>
        <w:t>，且拟担任本项目的</w:t>
      </w:r>
      <w:r>
        <w:rPr>
          <w:rFonts w:hint="eastAsia" w:ascii="宋体" w:hAnsi="宋体" w:eastAsia="宋体" w:cs="宋体"/>
          <w:b/>
          <w:bCs/>
          <w:color w:val="auto"/>
          <w:sz w:val="24"/>
          <w:szCs w:val="24"/>
          <w:highlight w:val="none"/>
          <w:u w:val="single"/>
          <w:lang w:eastAsia="zh-CN"/>
        </w:rPr>
        <w:t>项目负责人（兼任施工负责人）</w:t>
      </w:r>
      <w:r>
        <w:rPr>
          <w:rFonts w:hint="eastAsia" w:ascii="宋体" w:hAnsi="宋体" w:eastAsia="宋体" w:cs="宋体"/>
          <w:b/>
          <w:bCs/>
          <w:color w:val="auto"/>
          <w:sz w:val="24"/>
          <w:szCs w:val="24"/>
          <w:highlight w:val="none"/>
          <w:u w:val="single"/>
        </w:rPr>
        <w:t>、专职安全员是本</w:t>
      </w:r>
      <w:r>
        <w:rPr>
          <w:rFonts w:hint="eastAsia" w:ascii="宋体" w:hAnsi="宋体" w:eastAsia="宋体" w:cs="宋体"/>
          <w:b/>
          <w:bCs/>
          <w:color w:val="auto"/>
          <w:sz w:val="24"/>
          <w:szCs w:val="24"/>
          <w:highlight w:val="none"/>
          <w:u w:val="single"/>
          <w:lang w:eastAsia="zh-CN"/>
        </w:rPr>
        <w:t>企业信息登记</w:t>
      </w:r>
      <w:r>
        <w:rPr>
          <w:rFonts w:hint="eastAsia" w:ascii="宋体" w:hAnsi="宋体" w:eastAsia="宋体" w:cs="宋体"/>
          <w:b/>
          <w:bCs/>
          <w:color w:val="auto"/>
          <w:sz w:val="24"/>
          <w:szCs w:val="24"/>
          <w:highlight w:val="none"/>
          <w:u w:val="single"/>
        </w:rPr>
        <w:t>中的在册人员</w:t>
      </w:r>
      <w:r>
        <w:rPr>
          <w:rFonts w:hint="eastAsia" w:ascii="宋体" w:hAnsi="宋体" w:cs="宋体"/>
          <w:b/>
          <w:bCs/>
          <w:sz w:val="24"/>
          <w:szCs w:val="24"/>
          <w:highlight w:val="none"/>
          <w:u w:val="single"/>
        </w:rPr>
        <w:t>。</w:t>
      </w:r>
    </w:p>
    <w:p w14:paraId="4D2F9A9B">
      <w:pPr>
        <w:spacing w:line="360" w:lineRule="auto"/>
        <w:ind w:firstLine="480" w:firstLineChars="200"/>
        <w:rPr>
          <w:rFonts w:hint="eastAsia" w:ascii="宋体" w:hAnsi="宋体" w:cs="宋体"/>
          <w:bCs/>
          <w:sz w:val="24"/>
          <w:szCs w:val="24"/>
          <w:highlight w:val="none"/>
          <w:u w:val="single"/>
        </w:rPr>
      </w:pPr>
      <w:r>
        <w:rPr>
          <w:rFonts w:hint="eastAsia" w:ascii="宋体" w:hAnsi="宋体" w:cs="宋体"/>
          <w:bCs/>
          <w:sz w:val="24"/>
          <w:szCs w:val="24"/>
          <w:highlight w:val="none"/>
          <w:u w:val="none"/>
        </w:rPr>
        <w:t>（1</w:t>
      </w:r>
      <w:r>
        <w:rPr>
          <w:rFonts w:hint="eastAsia" w:ascii="宋体" w:hAnsi="宋体" w:cs="宋体"/>
          <w:bCs/>
          <w:sz w:val="24"/>
          <w:szCs w:val="24"/>
          <w:highlight w:val="none"/>
          <w:u w:val="none"/>
          <w:lang w:eastAsia="zh-CN"/>
        </w:rPr>
        <w:t>2</w:t>
      </w:r>
      <w:r>
        <w:rPr>
          <w:rFonts w:hint="eastAsia" w:ascii="宋体" w:hAnsi="宋体" w:cs="宋体"/>
          <w:bCs/>
          <w:sz w:val="24"/>
          <w:szCs w:val="24"/>
          <w:highlight w:val="none"/>
          <w:u w:val="none"/>
        </w:rPr>
        <w:t>）投标人认为应提供的其他资料。</w:t>
      </w:r>
    </w:p>
    <w:p w14:paraId="422D6E50">
      <w:pPr>
        <w:spacing w:line="360" w:lineRule="auto"/>
        <w:ind w:firstLine="482" w:firstLineChars="200"/>
        <w:rPr>
          <w:rFonts w:hint="eastAsia" w:ascii="宋体" w:hAnsi="宋体" w:cs="宋体"/>
          <w:b/>
          <w:bCs w:val="0"/>
          <w:sz w:val="24"/>
          <w:szCs w:val="24"/>
          <w:highlight w:val="none"/>
          <w:u w:val="single"/>
        </w:rPr>
      </w:pPr>
      <w:r>
        <w:rPr>
          <w:rFonts w:hint="eastAsia" w:ascii="宋体" w:hAnsi="宋体" w:cs="宋体"/>
          <w:b/>
          <w:bCs w:val="0"/>
          <w:sz w:val="24"/>
          <w:szCs w:val="24"/>
          <w:highlight w:val="none"/>
          <w:u w:val="single"/>
        </w:rPr>
        <w:t>注：1.相关电子证书按规定需打印后手写本人签名的，应按照规定手写本人签名后再扫描提交。</w:t>
      </w:r>
    </w:p>
    <w:p w14:paraId="56DA5D3D">
      <w:pPr>
        <w:numPr>
          <w:ilvl w:val="0"/>
          <w:numId w:val="5"/>
        </w:numPr>
        <w:spacing w:line="360" w:lineRule="auto"/>
        <w:ind w:firstLine="482" w:firstLineChars="200"/>
        <w:rPr>
          <w:rFonts w:hint="eastAsia" w:ascii="宋体" w:hAnsi="宋体" w:cs="宋体"/>
          <w:b/>
          <w:bCs w:val="0"/>
          <w:sz w:val="24"/>
          <w:szCs w:val="24"/>
          <w:highlight w:val="none"/>
          <w:u w:val="single"/>
        </w:rPr>
      </w:pPr>
      <w:r>
        <w:rPr>
          <w:rFonts w:hint="eastAsia" w:ascii="宋体" w:hAnsi="宋体" w:cs="宋体"/>
          <w:b/>
          <w:bCs w:val="0"/>
          <w:sz w:val="24"/>
          <w:szCs w:val="24"/>
          <w:highlight w:val="none"/>
          <w:u w:val="single"/>
        </w:rPr>
        <w:t>投标人在投标登记时选择了拟投入本项目的项目负责人、专职安全员，即已满足“资格审查前，投标人须在广州公共资源交易中心企业库办理企业信息登记，拟担任本工程项目负责人、专职安全员须是本企业信用档案中的在册人员”的要求，投标人无需提供证明材料。</w:t>
      </w:r>
    </w:p>
    <w:p w14:paraId="73FFC279">
      <w:pPr>
        <w:numPr>
          <w:ilvl w:val="0"/>
          <w:numId w:val="0"/>
        </w:numPr>
        <w:spacing w:line="360" w:lineRule="auto"/>
        <w:ind w:firstLine="480" w:firstLineChars="200"/>
        <w:rPr>
          <w:rFonts w:hint="eastAsia" w:ascii="宋体" w:hAnsi="宋体" w:cs="宋体"/>
          <w:b w:val="0"/>
          <w:bCs/>
          <w:sz w:val="24"/>
          <w:szCs w:val="24"/>
          <w:highlight w:val="none"/>
          <w:u w:val="none"/>
          <w:lang w:val="en-US" w:eastAsia="zh-CN"/>
        </w:rPr>
      </w:pPr>
      <w:r>
        <w:rPr>
          <w:rFonts w:hint="eastAsia" w:ascii="宋体" w:hAnsi="宋体" w:cs="宋体"/>
          <w:b w:val="0"/>
          <w:bCs/>
          <w:sz w:val="24"/>
          <w:szCs w:val="24"/>
          <w:highlight w:val="none"/>
          <w:u w:val="none"/>
          <w:lang w:val="en-US" w:eastAsia="zh-CN"/>
        </w:rPr>
        <w:t>11.2.2技术投标文件主要包括下列内容：</w:t>
      </w:r>
    </w:p>
    <w:p w14:paraId="24D73D38">
      <w:pPr>
        <w:numPr>
          <w:ilvl w:val="0"/>
          <w:numId w:val="0"/>
        </w:numPr>
        <w:spacing w:line="360" w:lineRule="auto"/>
        <w:ind w:firstLine="480" w:firstLineChars="200"/>
        <w:rPr>
          <w:rFonts w:hint="default" w:ascii="宋体" w:hAnsi="宋体" w:cs="宋体"/>
          <w:b w:val="0"/>
          <w:bCs/>
          <w:sz w:val="24"/>
          <w:szCs w:val="24"/>
          <w:highlight w:val="none"/>
          <w:u w:val="none"/>
        </w:rPr>
      </w:pPr>
      <w:r>
        <w:rPr>
          <w:rFonts w:hint="default" w:ascii="宋体" w:hAnsi="宋体" w:cs="宋体"/>
          <w:b w:val="0"/>
          <w:bCs/>
          <w:kern w:val="2"/>
          <w:sz w:val="24"/>
          <w:szCs w:val="24"/>
          <w:highlight w:val="none"/>
          <w:lang w:val="en-US" w:eastAsia="zh-CN" w:bidi="ar-SA"/>
        </w:rPr>
        <w:t>（1）</w:t>
      </w:r>
      <w:r>
        <w:rPr>
          <w:rFonts w:hint="default" w:ascii="宋体" w:hAnsi="宋体" w:cs="宋体"/>
          <w:b w:val="0"/>
          <w:bCs/>
          <w:sz w:val="24"/>
          <w:szCs w:val="24"/>
          <w:highlight w:val="none"/>
          <w:u w:val="none"/>
        </w:rPr>
        <w:t>《广州建设工程施工招标投标书》；</w:t>
      </w:r>
    </w:p>
    <w:p w14:paraId="389A7ED0">
      <w:pPr>
        <w:numPr>
          <w:ilvl w:val="0"/>
          <w:numId w:val="0"/>
        </w:numPr>
        <w:spacing w:line="360" w:lineRule="auto"/>
        <w:ind w:firstLine="480" w:firstLineChars="200"/>
        <w:rPr>
          <w:rFonts w:hint="default" w:ascii="宋体" w:hAnsi="宋体" w:cs="宋体"/>
          <w:b w:val="0"/>
          <w:bCs/>
          <w:sz w:val="24"/>
          <w:szCs w:val="24"/>
          <w:highlight w:val="none"/>
          <w:u w:val="none"/>
        </w:rPr>
      </w:pPr>
      <w:r>
        <w:rPr>
          <w:rFonts w:hint="default" w:ascii="宋体" w:hAnsi="宋体" w:cs="宋体"/>
          <w:b w:val="0"/>
          <w:bCs/>
          <w:kern w:val="2"/>
          <w:sz w:val="24"/>
          <w:szCs w:val="24"/>
          <w:highlight w:val="none"/>
          <w:lang w:val="en-US" w:eastAsia="zh-CN" w:bidi="ar-SA"/>
        </w:rPr>
        <w:t>（2）</w:t>
      </w:r>
      <w:r>
        <w:rPr>
          <w:rFonts w:hint="default" w:ascii="宋体" w:hAnsi="宋体" w:cs="宋体"/>
          <w:b w:val="0"/>
          <w:bCs/>
          <w:sz w:val="24"/>
          <w:szCs w:val="24"/>
          <w:highlight w:val="none"/>
          <w:u w:val="none"/>
        </w:rPr>
        <w:t>项目管理机构配备：</w:t>
      </w:r>
      <w:r>
        <w:rPr>
          <w:rFonts w:hint="eastAsia" w:ascii="宋体" w:hAnsi="宋体"/>
          <w:b/>
          <w:sz w:val="24"/>
          <w:szCs w:val="24"/>
          <w:highlight w:val="none"/>
          <w:u w:val="single"/>
        </w:rPr>
        <w:t>施工项目管理团队人员信息表。（按本招标文件第四章“投标文件格式”格式三）</w:t>
      </w:r>
    </w:p>
    <w:p w14:paraId="4B250A29">
      <w:pPr>
        <w:numPr>
          <w:ilvl w:val="0"/>
          <w:numId w:val="0"/>
        </w:numPr>
        <w:spacing w:line="360" w:lineRule="auto"/>
        <w:ind w:firstLine="480" w:firstLineChars="200"/>
        <w:rPr>
          <w:rFonts w:hint="default" w:ascii="宋体" w:hAnsi="宋体" w:cs="宋体"/>
          <w:b w:val="0"/>
          <w:bCs/>
          <w:sz w:val="24"/>
          <w:szCs w:val="24"/>
          <w:highlight w:val="none"/>
          <w:u w:val="none"/>
        </w:rPr>
      </w:pPr>
      <w:r>
        <w:rPr>
          <w:rFonts w:hint="default" w:ascii="宋体" w:hAnsi="宋体" w:cs="宋体"/>
          <w:b w:val="0"/>
          <w:bCs/>
          <w:sz w:val="24"/>
          <w:szCs w:val="24"/>
          <w:highlight w:val="none"/>
          <w:u w:val="none"/>
        </w:rPr>
        <w:t>①投标人应列出该项目工程的施工组织机构构成和画出机构框架图及其负责人；</w:t>
      </w:r>
    </w:p>
    <w:p w14:paraId="742CE64E">
      <w:pPr>
        <w:numPr>
          <w:ilvl w:val="0"/>
          <w:numId w:val="0"/>
        </w:numPr>
        <w:spacing w:line="360" w:lineRule="auto"/>
        <w:ind w:firstLine="480" w:firstLineChars="200"/>
        <w:rPr>
          <w:rFonts w:hint="default" w:ascii="宋体" w:hAnsi="宋体" w:cs="宋体"/>
          <w:b w:val="0"/>
          <w:bCs/>
          <w:sz w:val="24"/>
          <w:szCs w:val="24"/>
          <w:highlight w:val="none"/>
          <w:u w:val="none"/>
        </w:rPr>
      </w:pPr>
      <w:r>
        <w:rPr>
          <w:rFonts w:hint="default" w:ascii="宋体" w:hAnsi="宋体" w:cs="宋体"/>
          <w:b w:val="0"/>
          <w:bCs/>
          <w:sz w:val="24"/>
          <w:szCs w:val="24"/>
          <w:highlight w:val="none"/>
          <w:u w:val="none"/>
        </w:rPr>
        <w:t>②投标人应详细列出该施工组织机构中主要成员的名单、简历资料、职务职称和在本项目中拟担任的职务等资料，并附上有关证明材料扫描件；</w:t>
      </w:r>
    </w:p>
    <w:p w14:paraId="1D043458">
      <w:pPr>
        <w:numPr>
          <w:ilvl w:val="0"/>
          <w:numId w:val="0"/>
        </w:numPr>
        <w:spacing w:line="360" w:lineRule="auto"/>
        <w:ind w:firstLine="480" w:firstLineChars="200"/>
        <w:rPr>
          <w:rFonts w:hint="default" w:ascii="宋体" w:hAnsi="宋体" w:cs="宋体"/>
          <w:b w:val="0"/>
          <w:bCs/>
          <w:sz w:val="24"/>
          <w:szCs w:val="24"/>
          <w:highlight w:val="none"/>
          <w:u w:val="none"/>
        </w:rPr>
      </w:pPr>
      <w:r>
        <w:rPr>
          <w:rFonts w:hint="default" w:ascii="宋体" w:hAnsi="宋体" w:cs="宋体"/>
          <w:b w:val="0"/>
          <w:bCs/>
          <w:sz w:val="24"/>
          <w:szCs w:val="24"/>
          <w:highlight w:val="none"/>
          <w:u w:val="none"/>
        </w:rPr>
        <w:t>③其他辅助说明资料。</w:t>
      </w:r>
    </w:p>
    <w:p w14:paraId="3145D1B3">
      <w:pPr>
        <w:pStyle w:val="10"/>
        <w:spacing w:line="360" w:lineRule="auto"/>
        <w:rPr>
          <w:rFonts w:hint="eastAsia" w:ascii="宋体" w:hAnsi="宋体" w:cs="宋体"/>
          <w:bCs/>
          <w:sz w:val="24"/>
          <w:szCs w:val="24"/>
          <w:highlight w:val="none"/>
          <w:u w:val="single"/>
          <w:lang w:val="en-US" w:eastAsia="zh-CN"/>
        </w:rPr>
      </w:pPr>
      <w:r>
        <w:rPr>
          <w:rFonts w:hint="eastAsia" w:ascii="宋体" w:hAnsi="宋体" w:cs="宋体"/>
          <w:bCs/>
          <w:sz w:val="24"/>
          <w:szCs w:val="24"/>
          <w:highlight w:val="none"/>
          <w:u w:val="single"/>
          <w:lang w:val="en-US" w:eastAsia="zh-CN"/>
        </w:rPr>
        <w:t>（3）施工组织设计或施工方案。</w:t>
      </w:r>
      <w:r>
        <w:rPr>
          <w:rFonts w:hint="eastAsia" w:ascii="宋体" w:hAnsi="宋体" w:cs="宋体"/>
          <w:b/>
          <w:bCs w:val="0"/>
          <w:sz w:val="24"/>
          <w:szCs w:val="24"/>
          <w:highlight w:val="none"/>
          <w:u w:val="single"/>
          <w:lang w:val="en-US" w:eastAsia="zh-CN"/>
        </w:rPr>
        <w:t>（投标人根据本项目《技术标详细审查评分表》中“施工组织设计”的评审内容编制）</w:t>
      </w:r>
    </w:p>
    <w:p w14:paraId="39D31E08">
      <w:pPr>
        <w:pStyle w:val="10"/>
        <w:spacing w:line="360" w:lineRule="auto"/>
        <w:rPr>
          <w:rFonts w:hint="eastAsia" w:ascii="宋体" w:hAnsi="宋体" w:cs="宋体"/>
          <w:bCs/>
          <w:sz w:val="24"/>
          <w:szCs w:val="24"/>
          <w:highlight w:val="none"/>
          <w:u w:val="single"/>
          <w:lang w:val="en-US" w:eastAsia="zh-CN"/>
        </w:rPr>
      </w:pPr>
      <w:r>
        <w:rPr>
          <w:rFonts w:hint="eastAsia" w:ascii="宋体" w:hAnsi="宋体" w:cs="宋体"/>
          <w:bCs/>
          <w:sz w:val="24"/>
          <w:szCs w:val="24"/>
          <w:highlight w:val="none"/>
          <w:u w:val="single"/>
          <w:lang w:val="en-US" w:eastAsia="zh-CN"/>
        </w:rPr>
        <w:t>注：建议招标人在招标文件中提出篇幅上限，国家及地方现有工法规范已有的内容无需重复提交。</w:t>
      </w:r>
    </w:p>
    <w:p w14:paraId="1A8A0C8E">
      <w:pPr>
        <w:pStyle w:val="10"/>
        <w:spacing w:line="360" w:lineRule="auto"/>
        <w:rPr>
          <w:rFonts w:hint="eastAsia" w:ascii="宋体" w:hAnsi="宋体" w:eastAsia="宋体" w:cs="宋体"/>
          <w:bCs/>
          <w:sz w:val="24"/>
          <w:szCs w:val="24"/>
          <w:highlight w:val="none"/>
          <w:u w:val="none"/>
          <w:lang w:eastAsia="zh-CN"/>
        </w:rPr>
      </w:pPr>
      <w:r>
        <w:rPr>
          <w:rFonts w:hint="eastAsia" w:ascii="宋体" w:hAnsi="宋体" w:eastAsia="宋体" w:cs="宋体"/>
          <w:bCs/>
          <w:sz w:val="24"/>
          <w:szCs w:val="24"/>
          <w:highlight w:val="none"/>
          <w:u w:val="none"/>
        </w:rPr>
        <w:t>（</w:t>
      </w:r>
      <w:r>
        <w:rPr>
          <w:rFonts w:hint="eastAsia" w:ascii="宋体" w:hAnsi="宋体" w:eastAsia="宋体" w:cs="宋体"/>
          <w:bCs/>
          <w:sz w:val="24"/>
          <w:szCs w:val="24"/>
          <w:highlight w:val="none"/>
          <w:u w:val="none"/>
          <w:lang w:val="en-US" w:eastAsia="zh-CN"/>
        </w:rPr>
        <w:t>4</w:t>
      </w:r>
      <w:r>
        <w:rPr>
          <w:rFonts w:hint="eastAsia" w:ascii="宋体" w:hAnsi="宋体" w:eastAsia="宋体" w:cs="宋体"/>
          <w:bCs/>
          <w:sz w:val="24"/>
          <w:szCs w:val="24"/>
          <w:highlight w:val="none"/>
          <w:u w:val="none"/>
        </w:rPr>
        <w:t>）按本招标文件规定提交的其它所有技术资料</w:t>
      </w:r>
      <w:r>
        <w:rPr>
          <w:rFonts w:hint="eastAsia" w:ascii="宋体" w:hAnsi="宋体" w:eastAsia="宋体" w:cs="宋体"/>
          <w:bCs/>
          <w:sz w:val="24"/>
          <w:szCs w:val="24"/>
          <w:highlight w:val="none"/>
          <w:u w:val="none"/>
          <w:lang w:eastAsia="zh-CN"/>
        </w:rPr>
        <w:t>；</w:t>
      </w:r>
    </w:p>
    <w:p w14:paraId="1A5F200B">
      <w:pPr>
        <w:pStyle w:val="10"/>
        <w:spacing w:line="360" w:lineRule="auto"/>
        <w:rPr>
          <w:rFonts w:hint="eastAsia" w:ascii="宋体" w:hAnsi="宋体" w:eastAsia="宋体" w:cs="宋体"/>
          <w:b w:val="0"/>
          <w:bCs/>
          <w:sz w:val="24"/>
          <w:szCs w:val="24"/>
          <w:highlight w:val="none"/>
          <w:u w:val="none"/>
          <w:lang w:eastAsia="zh-CN"/>
        </w:rPr>
      </w:pPr>
      <w:r>
        <w:rPr>
          <w:rFonts w:hint="eastAsia" w:ascii="宋体" w:hAnsi="宋体" w:eastAsia="宋体" w:cs="宋体"/>
          <w:bCs/>
          <w:sz w:val="24"/>
          <w:szCs w:val="24"/>
          <w:highlight w:val="none"/>
          <w:u w:val="none"/>
        </w:rPr>
        <w:t>（</w:t>
      </w:r>
      <w:r>
        <w:rPr>
          <w:rFonts w:hint="eastAsia" w:ascii="宋体" w:hAnsi="宋体" w:eastAsia="宋体" w:cs="宋体"/>
          <w:bCs/>
          <w:sz w:val="24"/>
          <w:szCs w:val="24"/>
          <w:highlight w:val="none"/>
          <w:u w:val="none"/>
          <w:lang w:val="en-US" w:eastAsia="zh-CN"/>
        </w:rPr>
        <w:t>5</w:t>
      </w:r>
      <w:r>
        <w:rPr>
          <w:rFonts w:hint="eastAsia" w:ascii="宋体" w:hAnsi="宋体" w:eastAsia="宋体" w:cs="宋体"/>
          <w:bCs/>
          <w:sz w:val="24"/>
          <w:szCs w:val="24"/>
          <w:highlight w:val="none"/>
          <w:u w:val="none"/>
        </w:rPr>
        <w:t>）按照招标文件要求填写的《参与编制技术标投标文件人员名单》</w:t>
      </w:r>
      <w:r>
        <w:rPr>
          <w:rFonts w:hint="eastAsia" w:ascii="宋体" w:hAnsi="宋体" w:eastAsia="宋体" w:cs="宋体"/>
          <w:b/>
          <w:bCs w:val="0"/>
          <w:sz w:val="24"/>
          <w:szCs w:val="24"/>
          <w:highlight w:val="none"/>
          <w:u w:val="single"/>
        </w:rPr>
        <w:t>（按本招标文件第四章“投标文件格式”格式五）</w:t>
      </w:r>
      <w:r>
        <w:rPr>
          <w:rFonts w:hint="eastAsia" w:ascii="宋体" w:hAnsi="宋体" w:eastAsia="宋体" w:cs="宋体"/>
          <w:b/>
          <w:bCs w:val="0"/>
          <w:sz w:val="24"/>
          <w:szCs w:val="24"/>
          <w:highlight w:val="none"/>
          <w:u w:val="single"/>
          <w:lang w:eastAsia="zh-CN"/>
        </w:rPr>
        <w:t>。</w:t>
      </w:r>
    </w:p>
    <w:p w14:paraId="23BE94A3">
      <w:pPr>
        <w:pStyle w:val="10"/>
        <w:spacing w:line="360" w:lineRule="auto"/>
        <w:rPr>
          <w:rFonts w:hint="eastAsia" w:ascii="宋体" w:hAnsi="宋体" w:eastAsia="宋体" w:cs="宋体"/>
          <w:b/>
          <w:bCs w:val="0"/>
          <w:sz w:val="24"/>
          <w:szCs w:val="24"/>
          <w:highlight w:val="none"/>
          <w:u w:val="single"/>
          <w:lang w:eastAsia="zh-CN"/>
        </w:rPr>
      </w:pPr>
      <w:r>
        <w:rPr>
          <w:rFonts w:hint="eastAsia" w:ascii="宋体" w:hAnsi="宋体" w:eastAsia="宋体" w:cs="宋体"/>
          <w:b/>
          <w:bCs w:val="0"/>
          <w:sz w:val="24"/>
          <w:szCs w:val="24"/>
          <w:highlight w:val="none"/>
          <w:u w:val="single"/>
          <w:lang w:eastAsia="zh-CN"/>
        </w:rPr>
        <w:t>（</w:t>
      </w:r>
      <w:r>
        <w:rPr>
          <w:rFonts w:hint="eastAsia" w:ascii="宋体" w:hAnsi="宋体" w:eastAsia="宋体" w:cs="宋体"/>
          <w:b/>
          <w:bCs w:val="0"/>
          <w:sz w:val="24"/>
          <w:szCs w:val="24"/>
          <w:highlight w:val="none"/>
          <w:u w:val="single"/>
          <w:lang w:val="en-US" w:eastAsia="zh-CN"/>
        </w:rPr>
        <w:t>6</w:t>
      </w:r>
      <w:r>
        <w:rPr>
          <w:rFonts w:hint="eastAsia" w:ascii="宋体" w:hAnsi="宋体" w:eastAsia="宋体" w:cs="宋体"/>
          <w:b/>
          <w:bCs w:val="0"/>
          <w:sz w:val="24"/>
          <w:szCs w:val="24"/>
          <w:highlight w:val="none"/>
          <w:u w:val="single"/>
          <w:lang w:eastAsia="zh-CN"/>
        </w:rPr>
        <w:t>）</w:t>
      </w:r>
      <w:r>
        <w:rPr>
          <w:rFonts w:hint="eastAsia" w:ascii="宋体" w:hAnsi="宋体" w:eastAsia="宋体" w:cs="宋体"/>
          <w:b/>
          <w:bCs w:val="0"/>
          <w:sz w:val="24"/>
          <w:szCs w:val="24"/>
          <w:highlight w:val="none"/>
          <w:u w:val="single"/>
        </w:rPr>
        <w:t>危险性较大的分部分项工程清单及超过一定规模的危险性较大的分部分项工程清单。（按本招标文件第四章“投标文件格式”格式四）</w:t>
      </w:r>
    </w:p>
    <w:p w14:paraId="3598405B">
      <w:pPr>
        <w:pStyle w:val="10"/>
        <w:spacing w:line="360" w:lineRule="auto"/>
        <w:rPr>
          <w:rFonts w:hint="eastAsia" w:ascii="宋体" w:hAnsi="宋体" w:cs="宋体"/>
          <w:bCs/>
          <w:sz w:val="24"/>
          <w:szCs w:val="24"/>
          <w:highlight w:val="none"/>
          <w:u w:val="none"/>
        </w:rPr>
      </w:pPr>
      <w:r>
        <w:rPr>
          <w:rFonts w:hint="eastAsia" w:ascii="宋体" w:hAnsi="宋体" w:cs="宋体"/>
          <w:bCs/>
          <w:sz w:val="24"/>
          <w:szCs w:val="24"/>
          <w:highlight w:val="none"/>
          <w:u w:val="none"/>
        </w:rPr>
        <w:t>11.3经济部分投标文件主要包括下列内容：</w:t>
      </w:r>
    </w:p>
    <w:p w14:paraId="5DB613D3">
      <w:pPr>
        <w:spacing w:line="360" w:lineRule="auto"/>
        <w:ind w:firstLine="480" w:firstLineChars="200"/>
        <w:rPr>
          <w:rFonts w:hint="eastAsia" w:ascii="宋体" w:hAnsi="宋体" w:cs="宋体"/>
          <w:sz w:val="24"/>
          <w:szCs w:val="24"/>
          <w:highlight w:val="none"/>
          <w:u w:val="single"/>
        </w:rPr>
      </w:pPr>
      <w:r>
        <w:rPr>
          <w:rFonts w:hint="eastAsia" w:ascii="宋体" w:hAnsi="宋体" w:cs="宋体"/>
          <w:sz w:val="24"/>
          <w:szCs w:val="24"/>
          <w:highlight w:val="none"/>
          <w:u w:val="none"/>
        </w:rPr>
        <w:t>11.3.1经济投标文件</w:t>
      </w:r>
      <w:r>
        <w:rPr>
          <w:rFonts w:hint="eastAsia" w:ascii="宋体" w:hAnsi="宋体" w:cs="宋体"/>
          <w:b/>
          <w:bCs/>
          <w:sz w:val="24"/>
          <w:szCs w:val="24"/>
          <w:highlight w:val="none"/>
          <w:u w:val="single"/>
        </w:rPr>
        <w:t>(按招标文件的要求填写)。</w:t>
      </w:r>
    </w:p>
    <w:p w14:paraId="3043CB9E">
      <w:pPr>
        <w:spacing w:line="360" w:lineRule="auto"/>
        <w:ind w:firstLine="480" w:firstLineChars="200"/>
        <w:rPr>
          <w:rFonts w:hint="eastAsia" w:ascii="宋体" w:hAnsi="宋体" w:cs="宋体"/>
          <w:sz w:val="24"/>
          <w:szCs w:val="24"/>
          <w:highlight w:val="none"/>
          <w:u w:val="single"/>
        </w:rPr>
      </w:pPr>
      <w:r>
        <w:rPr>
          <w:rFonts w:hint="eastAsia" w:ascii="宋体" w:hAnsi="宋体" w:cs="宋体"/>
          <w:sz w:val="24"/>
          <w:szCs w:val="24"/>
          <w:highlight w:val="none"/>
          <w:u w:val="none"/>
        </w:rPr>
        <w:t>11.3.2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w:t>
      </w:r>
      <w:r>
        <w:rPr>
          <w:rFonts w:hint="eastAsia" w:ascii="宋体" w:hAnsi="宋体" w:cs="宋体"/>
          <w:b/>
          <w:bCs/>
          <w:sz w:val="24"/>
          <w:szCs w:val="24"/>
          <w:highlight w:val="none"/>
          <w:u w:val="single"/>
        </w:rPr>
        <w:t>（具体内容详见第七章工程量清单）。</w:t>
      </w:r>
    </w:p>
    <w:p w14:paraId="674FB389">
      <w:pPr>
        <w:spacing w:line="360" w:lineRule="auto"/>
        <w:ind w:firstLine="480" w:firstLineChars="200"/>
        <w:rPr>
          <w:rFonts w:hint="eastAsia" w:ascii="宋体" w:hAnsi="宋体" w:cs="宋体"/>
          <w:b/>
          <w:bCs/>
          <w:sz w:val="24"/>
          <w:szCs w:val="24"/>
          <w:highlight w:val="none"/>
          <w:u w:val="single"/>
        </w:rPr>
      </w:pPr>
      <w:r>
        <w:rPr>
          <w:rFonts w:hint="eastAsia" w:ascii="宋体" w:hAnsi="宋体" w:cs="宋体"/>
          <w:sz w:val="24"/>
          <w:szCs w:val="24"/>
          <w:highlight w:val="none"/>
          <w:u w:val="none"/>
        </w:rPr>
        <w:t>11.3.3按照招标文件要求填写的《参与编制经济标投标文件人员名单》。</w:t>
      </w:r>
      <w:r>
        <w:rPr>
          <w:rFonts w:hint="eastAsia" w:ascii="宋体" w:hAnsi="宋体" w:cs="宋体"/>
          <w:b/>
          <w:bCs/>
          <w:sz w:val="24"/>
          <w:szCs w:val="24"/>
          <w:highlight w:val="none"/>
          <w:u w:val="single"/>
        </w:rPr>
        <w:t>（按本招标文件第四章“投标文件格式”格式八）</w:t>
      </w:r>
    </w:p>
    <w:p w14:paraId="005EC978">
      <w:pPr>
        <w:pBdr>
          <w:bottom w:val="single" w:color="auto" w:sz="4" w:space="0"/>
        </w:pBdr>
        <w:spacing w:line="360" w:lineRule="auto"/>
        <w:ind w:firstLine="482" w:firstLineChars="200"/>
        <w:rPr>
          <w:rFonts w:hint="eastAsia" w:ascii="宋体" w:hAnsi="宋体" w:cs="宋体"/>
          <w:b/>
          <w:bCs/>
          <w:sz w:val="24"/>
          <w:szCs w:val="24"/>
          <w:highlight w:val="none"/>
          <w:u w:val="single"/>
        </w:rPr>
      </w:pPr>
      <w:r>
        <w:rPr>
          <w:rFonts w:hint="eastAsia" w:ascii="宋体" w:hAnsi="宋体" w:cs="宋体"/>
          <w:b/>
          <w:bCs/>
          <w:sz w:val="24"/>
          <w:szCs w:val="24"/>
          <w:highlight w:val="none"/>
          <w:u w:val="single"/>
        </w:rPr>
        <w:t>11.3.4对投标文件编制的承诺。（按本招标文件第四章“投标文件格式”格式九）</w:t>
      </w:r>
    </w:p>
    <w:p w14:paraId="6332FE51">
      <w:pPr>
        <w:spacing w:line="360" w:lineRule="auto"/>
        <w:ind w:firstLine="472" w:firstLineChars="196"/>
        <w:rPr>
          <w:rFonts w:hint="eastAsia" w:ascii="宋体" w:hAnsi="宋体" w:cs="宋体"/>
          <w:b/>
          <w:sz w:val="24"/>
          <w:szCs w:val="24"/>
          <w:highlight w:val="none"/>
        </w:rPr>
      </w:pPr>
      <w:r>
        <w:rPr>
          <w:rFonts w:hint="eastAsia" w:ascii="宋体" w:hAnsi="宋体" w:cs="宋体"/>
          <w:b/>
          <w:sz w:val="24"/>
          <w:szCs w:val="24"/>
          <w:highlight w:val="none"/>
        </w:rPr>
        <w:t>条款号：11.4              修改类型：增加</w:t>
      </w:r>
    </w:p>
    <w:p w14:paraId="343F3BA2">
      <w:pPr>
        <w:spacing w:line="360" w:lineRule="auto"/>
        <w:ind w:firstLine="540" w:firstLineChars="224"/>
        <w:rPr>
          <w:rFonts w:hint="eastAsia" w:ascii="宋体" w:hAnsi="宋体" w:cs="宋体"/>
          <w:b/>
          <w:bCs/>
          <w:sz w:val="24"/>
          <w:szCs w:val="24"/>
          <w:highlight w:val="none"/>
          <w:u w:val="single"/>
        </w:rPr>
      </w:pPr>
      <w:r>
        <w:rPr>
          <w:rFonts w:hint="eastAsia" w:ascii="宋体" w:hAnsi="宋体" w:cs="宋体"/>
          <w:b/>
          <w:sz w:val="24"/>
          <w:szCs w:val="24"/>
          <w:highlight w:val="none"/>
        </w:rPr>
        <w:t>现文：</w:t>
      </w:r>
      <w:r>
        <w:rPr>
          <w:rFonts w:hint="eastAsia" w:ascii="宋体" w:hAnsi="宋体" w:cs="宋体"/>
          <w:b/>
          <w:bCs/>
          <w:sz w:val="24"/>
          <w:szCs w:val="24"/>
          <w:highlight w:val="none"/>
          <w:u w:val="single"/>
        </w:rPr>
        <w:t>11.4定标文件的组成</w:t>
      </w:r>
    </w:p>
    <w:p w14:paraId="1356C206">
      <w:pPr>
        <w:spacing w:line="360" w:lineRule="auto"/>
        <w:ind w:firstLine="482" w:firstLineChars="200"/>
        <w:rPr>
          <w:rFonts w:hint="eastAsia" w:ascii="宋体" w:hAnsi="宋体" w:cs="宋体"/>
          <w:b/>
          <w:bCs/>
          <w:sz w:val="24"/>
          <w:szCs w:val="24"/>
          <w:highlight w:val="none"/>
          <w:u w:val="single"/>
        </w:rPr>
      </w:pPr>
      <w:r>
        <w:rPr>
          <w:rFonts w:hint="eastAsia" w:ascii="宋体" w:hAnsi="宋体" w:cs="宋体"/>
          <w:b/>
          <w:bCs/>
          <w:sz w:val="24"/>
          <w:szCs w:val="24"/>
          <w:highlight w:val="none"/>
          <w:u w:val="single"/>
        </w:rPr>
        <w:t>11.4.</w:t>
      </w:r>
      <w:r>
        <w:rPr>
          <w:rFonts w:hint="eastAsia" w:ascii="宋体" w:hAnsi="宋体" w:cs="宋体"/>
          <w:b/>
          <w:bCs/>
          <w:sz w:val="24"/>
          <w:szCs w:val="24"/>
          <w:highlight w:val="none"/>
          <w:u w:val="single"/>
          <w:lang w:val="en-US" w:eastAsia="zh-CN"/>
        </w:rPr>
        <w:t>1</w:t>
      </w:r>
      <w:r>
        <w:rPr>
          <w:rFonts w:hint="eastAsia" w:ascii="宋体" w:hAnsi="宋体" w:cs="宋体"/>
          <w:b/>
          <w:bCs/>
          <w:sz w:val="24"/>
          <w:szCs w:val="24"/>
          <w:highlight w:val="none"/>
          <w:u w:val="single"/>
        </w:rPr>
        <w:t xml:space="preserve"> 价格因素；</w:t>
      </w:r>
    </w:p>
    <w:p w14:paraId="625D1471">
      <w:pPr>
        <w:spacing w:line="360" w:lineRule="auto"/>
        <w:ind w:firstLine="482" w:firstLineChars="200"/>
        <w:rPr>
          <w:rFonts w:hint="eastAsia" w:ascii="宋体" w:hAnsi="宋体" w:cs="宋体"/>
          <w:b/>
          <w:bCs/>
          <w:sz w:val="24"/>
          <w:szCs w:val="24"/>
          <w:highlight w:val="none"/>
          <w:u w:val="single"/>
        </w:rPr>
      </w:pPr>
      <w:r>
        <w:rPr>
          <w:rFonts w:hint="eastAsia" w:ascii="宋体" w:hAnsi="宋体" w:cs="宋体"/>
          <w:b/>
          <w:bCs/>
          <w:sz w:val="24"/>
          <w:szCs w:val="24"/>
          <w:highlight w:val="none"/>
          <w:u w:val="single"/>
        </w:rPr>
        <w:t>11.4.</w:t>
      </w:r>
      <w:r>
        <w:rPr>
          <w:rFonts w:hint="eastAsia" w:ascii="宋体" w:hAnsi="宋体" w:cs="宋体"/>
          <w:b/>
          <w:bCs/>
          <w:sz w:val="24"/>
          <w:szCs w:val="24"/>
          <w:highlight w:val="none"/>
          <w:u w:val="single"/>
          <w:lang w:val="en-US" w:eastAsia="zh-CN"/>
        </w:rPr>
        <w:t>2</w:t>
      </w:r>
      <w:r>
        <w:rPr>
          <w:rFonts w:hint="eastAsia" w:ascii="宋体" w:hAnsi="宋体" w:cs="宋体"/>
          <w:b/>
          <w:bCs/>
          <w:sz w:val="24"/>
          <w:szCs w:val="24"/>
          <w:highlight w:val="none"/>
          <w:u w:val="single"/>
        </w:rPr>
        <w:t xml:space="preserve"> 方案因素；</w:t>
      </w:r>
    </w:p>
    <w:p w14:paraId="3AC5E562">
      <w:pPr>
        <w:spacing w:line="360" w:lineRule="auto"/>
        <w:ind w:firstLine="482" w:firstLineChars="200"/>
        <w:rPr>
          <w:rFonts w:hint="eastAsia" w:ascii="宋体" w:hAnsi="宋体" w:cs="宋体"/>
          <w:b/>
          <w:bCs/>
          <w:sz w:val="24"/>
          <w:szCs w:val="24"/>
          <w:highlight w:val="none"/>
          <w:u w:val="single"/>
        </w:rPr>
      </w:pPr>
      <w:r>
        <w:rPr>
          <w:rFonts w:hint="eastAsia" w:ascii="宋体" w:hAnsi="宋体" w:cs="宋体"/>
          <w:b/>
          <w:bCs/>
          <w:sz w:val="24"/>
          <w:szCs w:val="24"/>
          <w:highlight w:val="none"/>
          <w:u w:val="single"/>
          <w:lang w:val="en-US" w:eastAsia="zh-CN"/>
        </w:rPr>
        <w:t xml:space="preserve">11.4.3 </w:t>
      </w:r>
      <w:r>
        <w:rPr>
          <w:rFonts w:hint="eastAsia" w:ascii="宋体" w:hAnsi="宋体" w:cs="宋体"/>
          <w:b/>
          <w:bCs/>
          <w:sz w:val="24"/>
          <w:szCs w:val="24"/>
          <w:highlight w:val="none"/>
          <w:u w:val="single"/>
        </w:rPr>
        <w:t>投标人认为需要提交的其它文件。</w:t>
      </w:r>
    </w:p>
    <w:p w14:paraId="37F2C4A0">
      <w:pPr>
        <w:pBdr>
          <w:bottom w:val="single" w:color="auto" w:sz="6" w:space="1"/>
        </w:pBdr>
        <w:spacing w:line="360" w:lineRule="auto"/>
        <w:ind w:firstLine="590" w:firstLineChars="245"/>
        <w:rPr>
          <w:rFonts w:hint="eastAsia" w:ascii="宋体" w:hAnsi="宋体" w:cs="宋体"/>
          <w:b/>
          <w:sz w:val="24"/>
          <w:szCs w:val="24"/>
          <w:highlight w:val="none"/>
          <w:u w:val="single"/>
        </w:rPr>
      </w:pPr>
    </w:p>
    <w:p w14:paraId="6722A2B0">
      <w:pPr>
        <w:spacing w:line="360" w:lineRule="auto"/>
        <w:ind w:firstLine="472" w:firstLineChars="196"/>
        <w:rPr>
          <w:rFonts w:hint="eastAsia" w:ascii="宋体" w:hAnsi="宋体" w:cs="宋体"/>
          <w:b/>
          <w:sz w:val="24"/>
          <w:szCs w:val="24"/>
          <w:highlight w:val="none"/>
        </w:rPr>
      </w:pPr>
      <w:r>
        <w:rPr>
          <w:rFonts w:hint="eastAsia" w:ascii="宋体" w:hAnsi="宋体" w:cs="宋体"/>
          <w:b/>
          <w:sz w:val="24"/>
          <w:szCs w:val="24"/>
          <w:highlight w:val="none"/>
        </w:rPr>
        <w:t>条款号：12.2              修改类型：修改</w:t>
      </w:r>
    </w:p>
    <w:p w14:paraId="230925C1">
      <w:pPr>
        <w:pStyle w:val="4"/>
        <w:spacing w:after="0" w:line="360" w:lineRule="auto"/>
        <w:ind w:firstLine="482" w:firstLineChars="200"/>
        <w:rPr>
          <w:rFonts w:hint="eastAsia" w:ascii="宋体" w:hAnsi="宋体" w:cs="宋体"/>
          <w:sz w:val="24"/>
          <w:szCs w:val="24"/>
          <w:highlight w:val="none"/>
        </w:rPr>
      </w:pPr>
      <w:r>
        <w:rPr>
          <w:rFonts w:hint="eastAsia" w:ascii="宋体" w:hAnsi="宋体" w:cs="宋体"/>
          <w:b/>
          <w:sz w:val="24"/>
          <w:szCs w:val="24"/>
          <w:highlight w:val="none"/>
        </w:rPr>
        <w:t>原文：</w:t>
      </w:r>
      <w:r>
        <w:rPr>
          <w:rFonts w:hint="eastAsia" w:ascii="宋体" w:hAnsi="宋体" w:cs="宋体"/>
          <w:sz w:val="24"/>
          <w:szCs w:val="24"/>
          <w:highlight w:val="none"/>
        </w:rPr>
        <w:t>投标文件全部采用电子文档，投标文件所附证书证件均为原件扫描件，并采用单位数字证书，按招标文件要求在相应位置加盖电子印章。投标文件中需个人签字或盖章的，应手签后扫描上传。按照交易平台关于全流程电子化项目的相关指南进行操作。详见：</w:t>
      </w:r>
      <w:r>
        <w:rPr>
          <w:rFonts w:hint="eastAsia" w:ascii="宋体" w:hAnsi="宋体" w:cs="宋体"/>
          <w:sz w:val="24"/>
          <w:szCs w:val="24"/>
          <w:highlight w:val="none"/>
          <w:u w:val="single"/>
        </w:rPr>
        <w:t xml:space="preserve">            </w:t>
      </w:r>
      <w:r>
        <w:rPr>
          <w:rFonts w:hint="eastAsia" w:ascii="宋体" w:hAnsi="宋体" w:cs="宋体"/>
          <w:sz w:val="24"/>
          <w:szCs w:val="24"/>
          <w:highlight w:val="none"/>
        </w:rPr>
        <w:t>。</w:t>
      </w:r>
    </w:p>
    <w:p w14:paraId="0D1FB1FB">
      <w:pPr>
        <w:pBdr>
          <w:bottom w:val="single" w:color="auto" w:sz="6" w:space="1"/>
        </w:pBdr>
        <w:spacing w:line="360" w:lineRule="auto"/>
        <w:ind w:firstLine="602" w:firstLineChars="250"/>
        <w:rPr>
          <w:rFonts w:hint="eastAsia" w:ascii="宋体" w:hAnsi="宋体" w:cs="宋体"/>
          <w:sz w:val="24"/>
          <w:szCs w:val="24"/>
          <w:highlight w:val="none"/>
        </w:rPr>
      </w:pPr>
      <w:r>
        <w:rPr>
          <w:rFonts w:hint="eastAsia" w:ascii="宋体" w:hAnsi="宋体" w:cs="宋体"/>
          <w:b/>
          <w:sz w:val="24"/>
          <w:szCs w:val="24"/>
          <w:highlight w:val="none"/>
        </w:rPr>
        <w:t>现文：</w:t>
      </w:r>
      <w:r>
        <w:rPr>
          <w:rFonts w:hint="eastAsia" w:ascii="宋体" w:hAnsi="宋体" w:cs="宋体"/>
          <w:bCs/>
          <w:sz w:val="24"/>
          <w:szCs w:val="24"/>
          <w:highlight w:val="none"/>
          <w:u w:val="none"/>
        </w:rPr>
        <w:t>投标文件全部采用电子文档，投标文件所附证书证件均为原件扫描件，并采用单位数字证书，按招标文件要求在相应位置加盖电子印章。投标文件中需个人签字或盖章的，应加盖个人电子印章或在线下完成后扫描上传。由广州投标文件管理软件系统生成的“工程量清单主表--工程量清单报价表”封面页和扉页可以仅采用单位数字证书加盖电子印章处理。按照交易平台关于全流程电子化项目的相关指南进行操作。</w:t>
      </w:r>
      <w:r>
        <w:rPr>
          <w:rFonts w:hint="eastAsia" w:ascii="宋体" w:hAnsi="宋体" w:cs="宋体"/>
          <w:b/>
          <w:bCs/>
          <w:sz w:val="24"/>
          <w:szCs w:val="24"/>
          <w:highlight w:val="none"/>
          <w:u w:val="single"/>
        </w:rPr>
        <w:t>详见：</w:t>
      </w:r>
      <w:r>
        <w:rPr>
          <w:rFonts w:hint="eastAsia" w:ascii="宋体" w:hAnsi="宋体" w:cs="宋体"/>
          <w:b/>
          <w:bCs/>
          <w:kern w:val="0"/>
          <w:sz w:val="24"/>
          <w:szCs w:val="24"/>
          <w:highlight w:val="none"/>
          <w:u w:val="single"/>
        </w:rPr>
        <w:t>广州交易集团有限公司（广州公共资源交易中心）网站。</w:t>
      </w:r>
    </w:p>
    <w:p w14:paraId="579DDD12">
      <w:pPr>
        <w:spacing w:line="360" w:lineRule="auto"/>
        <w:ind w:firstLine="540" w:firstLineChars="224"/>
        <w:rPr>
          <w:rFonts w:hint="eastAsia" w:ascii="宋体" w:hAnsi="宋体" w:cs="宋体"/>
          <w:b/>
          <w:sz w:val="24"/>
          <w:szCs w:val="24"/>
          <w:highlight w:val="none"/>
        </w:rPr>
      </w:pPr>
      <w:r>
        <w:rPr>
          <w:rFonts w:hint="eastAsia" w:ascii="宋体" w:hAnsi="宋体" w:cs="宋体"/>
          <w:b/>
          <w:sz w:val="24"/>
          <w:szCs w:val="24"/>
          <w:highlight w:val="none"/>
        </w:rPr>
        <w:t>条款号：12.3                修改类型：修改</w:t>
      </w:r>
    </w:p>
    <w:p w14:paraId="3F793361">
      <w:pPr>
        <w:spacing w:line="360" w:lineRule="auto"/>
        <w:ind w:firstLine="540" w:firstLineChars="224"/>
        <w:rPr>
          <w:rFonts w:hint="eastAsia" w:ascii="宋体" w:hAnsi="宋体" w:cs="宋体"/>
          <w:b/>
          <w:sz w:val="24"/>
          <w:szCs w:val="24"/>
          <w:highlight w:val="none"/>
        </w:rPr>
      </w:pPr>
      <w:r>
        <w:rPr>
          <w:rFonts w:hint="eastAsia" w:ascii="宋体" w:hAnsi="宋体" w:cs="宋体"/>
          <w:b/>
          <w:sz w:val="24"/>
          <w:szCs w:val="24"/>
          <w:highlight w:val="none"/>
        </w:rPr>
        <w:t>原文：</w:t>
      </w:r>
      <w:r>
        <w:rPr>
          <w:rFonts w:hint="eastAsia" w:ascii="宋体" w:hAnsi="宋体" w:cs="宋体"/>
          <w:bCs/>
          <w:sz w:val="24"/>
          <w:szCs w:val="24"/>
          <w:highlight w:val="none"/>
        </w:rPr>
        <w:t>投标文件应按</w:t>
      </w:r>
      <w:r>
        <w:rPr>
          <w:rFonts w:hint="eastAsia" w:ascii="宋体" w:hAnsi="宋体" w:cs="宋体"/>
          <w:sz w:val="24"/>
          <w:szCs w:val="24"/>
          <w:highlight w:val="none"/>
        </w:rPr>
        <w:t>照交易平台关于全流程电子化项目的相关指南进行编制，详见：</w:t>
      </w:r>
      <w:r>
        <w:rPr>
          <w:rFonts w:hint="eastAsia" w:ascii="宋体" w:hAnsi="宋体" w:cs="宋体"/>
          <w:sz w:val="24"/>
          <w:szCs w:val="24"/>
          <w:highlight w:val="none"/>
          <w:u w:val="single"/>
        </w:rPr>
        <w:t xml:space="preserve">            </w:t>
      </w:r>
      <w:r>
        <w:rPr>
          <w:rFonts w:hint="eastAsia" w:ascii="宋体" w:hAnsi="宋体" w:cs="宋体"/>
          <w:sz w:val="24"/>
          <w:szCs w:val="24"/>
          <w:highlight w:val="none"/>
        </w:rPr>
        <w:t>。</w:t>
      </w:r>
    </w:p>
    <w:p w14:paraId="016B47A9">
      <w:pPr>
        <w:pBdr>
          <w:bottom w:val="single" w:color="auto" w:sz="6" w:space="1"/>
        </w:pBdr>
        <w:spacing w:line="360" w:lineRule="auto"/>
        <w:ind w:firstLine="590" w:firstLineChars="245"/>
        <w:rPr>
          <w:rFonts w:hint="eastAsia" w:ascii="宋体" w:hAnsi="宋体" w:cs="宋体"/>
          <w:sz w:val="24"/>
          <w:szCs w:val="24"/>
          <w:highlight w:val="none"/>
        </w:rPr>
      </w:pPr>
      <w:r>
        <w:rPr>
          <w:rFonts w:hint="eastAsia" w:ascii="宋体" w:hAnsi="宋体" w:cs="宋体"/>
          <w:b/>
          <w:sz w:val="24"/>
          <w:szCs w:val="24"/>
          <w:highlight w:val="none"/>
        </w:rPr>
        <w:t>现文：</w:t>
      </w:r>
      <w:r>
        <w:rPr>
          <w:rFonts w:hint="eastAsia" w:ascii="宋体" w:hAnsi="宋体" w:cs="宋体"/>
          <w:bCs/>
          <w:sz w:val="24"/>
          <w:szCs w:val="24"/>
          <w:highlight w:val="none"/>
        </w:rPr>
        <w:t>投标文件应按</w:t>
      </w:r>
      <w:r>
        <w:rPr>
          <w:rFonts w:hint="eastAsia" w:ascii="宋体" w:hAnsi="宋体" w:cs="宋体"/>
          <w:sz w:val="24"/>
          <w:szCs w:val="24"/>
          <w:highlight w:val="none"/>
        </w:rPr>
        <w:t>照交易平台关于全流程电子化项目的相关指南进行编制，详见：</w:t>
      </w:r>
      <w:r>
        <w:rPr>
          <w:rFonts w:hint="eastAsia" w:ascii="宋体" w:hAnsi="宋体" w:cs="宋体"/>
          <w:b/>
          <w:bCs w:val="0"/>
          <w:kern w:val="0"/>
          <w:sz w:val="24"/>
          <w:szCs w:val="24"/>
          <w:highlight w:val="none"/>
          <w:u w:val="single"/>
        </w:rPr>
        <w:t>广州交易集团有限公司（广州公共资源交易中心）网站</w:t>
      </w:r>
      <w:r>
        <w:rPr>
          <w:rFonts w:hint="eastAsia" w:ascii="宋体" w:hAnsi="宋体" w:cs="宋体"/>
          <w:sz w:val="24"/>
          <w:szCs w:val="24"/>
          <w:highlight w:val="none"/>
        </w:rPr>
        <w:t>。</w:t>
      </w:r>
    </w:p>
    <w:p w14:paraId="4A23F066">
      <w:pPr>
        <w:spacing w:line="360" w:lineRule="auto"/>
        <w:ind w:firstLine="540" w:firstLineChars="224"/>
        <w:rPr>
          <w:rFonts w:hint="eastAsia" w:ascii="宋体" w:hAnsi="宋体" w:cs="宋体"/>
          <w:b/>
          <w:sz w:val="24"/>
          <w:szCs w:val="24"/>
          <w:highlight w:val="none"/>
        </w:rPr>
      </w:pPr>
      <w:r>
        <w:rPr>
          <w:rFonts w:hint="eastAsia" w:ascii="宋体" w:hAnsi="宋体" w:cs="宋体"/>
          <w:b/>
          <w:sz w:val="24"/>
          <w:szCs w:val="24"/>
          <w:highlight w:val="none"/>
        </w:rPr>
        <w:t>条款号：13.9               修改类型：修改</w:t>
      </w:r>
    </w:p>
    <w:p w14:paraId="5E073B2F">
      <w:pPr>
        <w:pBdr>
          <w:bottom w:val="single" w:color="auto" w:sz="6" w:space="1"/>
        </w:pBdr>
        <w:spacing w:line="360" w:lineRule="auto"/>
        <w:ind w:firstLine="602" w:firstLineChars="250"/>
        <w:rPr>
          <w:rFonts w:hint="eastAsia" w:ascii="宋体" w:hAnsi="宋体" w:cs="宋体"/>
          <w:sz w:val="24"/>
          <w:szCs w:val="24"/>
          <w:highlight w:val="none"/>
        </w:rPr>
      </w:pPr>
      <w:r>
        <w:rPr>
          <w:rFonts w:hint="eastAsia" w:ascii="宋体" w:hAnsi="宋体" w:cs="宋体"/>
          <w:b/>
          <w:sz w:val="24"/>
          <w:szCs w:val="24"/>
          <w:highlight w:val="none"/>
        </w:rPr>
        <w:t>原文：</w:t>
      </w:r>
      <w:r>
        <w:rPr>
          <w:rFonts w:hint="eastAsia" w:ascii="宋体" w:hAnsi="宋体" w:cs="宋体"/>
          <w:sz w:val="24"/>
          <w:szCs w:val="24"/>
          <w:highlight w:val="none"/>
        </w:rPr>
        <w:t>招标人与中标人应本着实事求是、风险共担的原则，充分考虑施工合同履行期间人工、建筑材料、机械设备价格因素的影响。对于各类钢筋、混凝土等主要材料以及人工、机械设备等，应结合合同工期、各价格因素对工程总造价的影响等，合理约定调价机制。调价机制应由招标人在招标文件及合同中明确，内容包括调价范围（含材料、机械的具体名称、工种等）、价格变动时限、幅度以及相应的合同价款调整方法。</w:t>
      </w:r>
    </w:p>
    <w:p w14:paraId="0BAE4D23">
      <w:pPr>
        <w:pBdr>
          <w:bottom w:val="single" w:color="auto" w:sz="6" w:space="1"/>
        </w:pBdr>
        <w:spacing w:line="360" w:lineRule="auto"/>
        <w:ind w:firstLine="602" w:firstLineChars="250"/>
        <w:rPr>
          <w:rFonts w:hint="eastAsia" w:ascii="宋体" w:hAnsi="宋体" w:cs="宋体"/>
          <w:b/>
          <w:sz w:val="24"/>
          <w:szCs w:val="24"/>
          <w:highlight w:val="none"/>
        </w:rPr>
      </w:pPr>
      <w:r>
        <w:rPr>
          <w:rFonts w:hint="eastAsia" w:ascii="宋体" w:hAnsi="宋体" w:cs="宋体"/>
          <w:b/>
          <w:sz w:val="24"/>
          <w:szCs w:val="24"/>
          <w:highlight w:val="none"/>
        </w:rPr>
        <w:t>现文：</w:t>
      </w:r>
      <w:r>
        <w:rPr>
          <w:rFonts w:hint="eastAsia" w:ascii="宋体" w:hAnsi="宋体" w:cs="宋体"/>
          <w:sz w:val="24"/>
          <w:szCs w:val="24"/>
          <w:highlight w:val="none"/>
        </w:rPr>
        <w:t>招标人与中标人应本着实事求是、风险共担的原则，充分考虑施工合同履行期间人工、建筑材料、机械设备价格因素的影响。对于各类钢筋、混凝土等主要材料以及人工、机械设备等，应结合合同工期、各价格因素对工程总造价的影响等，合理约定调价机制。</w:t>
      </w:r>
      <w:r>
        <w:rPr>
          <w:rFonts w:hint="eastAsia" w:ascii="宋体" w:hAnsi="宋体" w:cs="宋体"/>
          <w:b/>
          <w:bCs/>
          <w:sz w:val="24"/>
          <w:szCs w:val="24"/>
          <w:highlight w:val="none"/>
          <w:u w:val="single"/>
        </w:rPr>
        <w:t>调价机制按照《施工合同》相应条款调整。</w:t>
      </w:r>
    </w:p>
    <w:p w14:paraId="1F4DECCE">
      <w:pPr>
        <w:spacing w:line="360" w:lineRule="auto"/>
        <w:ind w:firstLine="540" w:firstLineChars="224"/>
        <w:rPr>
          <w:rFonts w:hint="eastAsia" w:ascii="宋体" w:hAnsi="宋体" w:cs="宋体"/>
          <w:b/>
          <w:sz w:val="24"/>
          <w:szCs w:val="24"/>
          <w:highlight w:val="none"/>
        </w:rPr>
      </w:pPr>
      <w:r>
        <w:rPr>
          <w:rFonts w:hint="eastAsia" w:ascii="宋体" w:hAnsi="宋体" w:cs="宋体"/>
          <w:b/>
          <w:sz w:val="24"/>
          <w:szCs w:val="24"/>
          <w:highlight w:val="none"/>
        </w:rPr>
        <w:t>条款号：16.1-16.</w:t>
      </w:r>
      <w:r>
        <w:rPr>
          <w:rFonts w:hint="eastAsia" w:ascii="宋体" w:hAnsi="宋体" w:cs="宋体"/>
          <w:b/>
          <w:sz w:val="24"/>
          <w:szCs w:val="24"/>
          <w:highlight w:val="none"/>
          <w:lang w:val="en-US" w:eastAsia="zh-CN"/>
        </w:rPr>
        <w:t>5</w:t>
      </w:r>
      <w:r>
        <w:rPr>
          <w:rFonts w:hint="eastAsia" w:ascii="宋体" w:hAnsi="宋体" w:cs="宋体"/>
          <w:b/>
          <w:sz w:val="24"/>
          <w:szCs w:val="24"/>
          <w:highlight w:val="none"/>
        </w:rPr>
        <w:t xml:space="preserve">               修改类型：修改</w:t>
      </w:r>
    </w:p>
    <w:p w14:paraId="3C6ACFAD">
      <w:pPr>
        <w:spacing w:line="360" w:lineRule="auto"/>
        <w:ind w:firstLine="540" w:firstLineChars="224"/>
        <w:rPr>
          <w:rFonts w:hint="eastAsia" w:ascii="宋体" w:hAnsi="宋体" w:cs="宋体"/>
          <w:bCs/>
          <w:sz w:val="24"/>
          <w:szCs w:val="24"/>
          <w:highlight w:val="none"/>
        </w:rPr>
      </w:pPr>
      <w:r>
        <w:rPr>
          <w:rFonts w:hint="eastAsia" w:ascii="宋体" w:hAnsi="宋体" w:cs="宋体"/>
          <w:b/>
          <w:sz w:val="24"/>
          <w:szCs w:val="24"/>
          <w:highlight w:val="none"/>
        </w:rPr>
        <w:t>原文：</w:t>
      </w:r>
      <w:r>
        <w:rPr>
          <w:rFonts w:hint="eastAsia" w:ascii="宋体" w:hAnsi="宋体" w:cs="宋体"/>
          <w:bCs/>
          <w:sz w:val="24"/>
          <w:szCs w:val="24"/>
          <w:highlight w:val="none"/>
        </w:rPr>
        <w:t>投标人应按国家、省、市有关规定和投标须知前附表第 16 项所述金额和时间递交投标保证金。招标人应当允许投标人自主选择现金、银行保函、保证保险、专业工程担保公司担保等方式缴纳投标保证金。</w:t>
      </w:r>
    </w:p>
    <w:p w14:paraId="0F3B351C">
      <w:pPr>
        <w:spacing w:line="360" w:lineRule="auto"/>
        <w:ind w:firstLine="537" w:firstLineChars="224"/>
        <w:rPr>
          <w:rFonts w:hint="eastAsia" w:ascii="宋体" w:hAnsi="宋体" w:cs="宋体"/>
          <w:bCs/>
          <w:sz w:val="24"/>
          <w:szCs w:val="24"/>
          <w:highlight w:val="none"/>
        </w:rPr>
      </w:pPr>
      <w:r>
        <w:rPr>
          <w:rFonts w:hint="eastAsia" w:ascii="宋体" w:hAnsi="宋体" w:cs="宋体"/>
          <w:bCs/>
          <w:sz w:val="24"/>
          <w:szCs w:val="24"/>
          <w:highlight w:val="none"/>
        </w:rPr>
        <w:t>16.1.1 采用现金或者支票形式提交的，投标保证金须从投标人的银行基本账户转出。</w:t>
      </w:r>
    </w:p>
    <w:p w14:paraId="45C2253E">
      <w:pPr>
        <w:spacing w:line="360" w:lineRule="auto"/>
        <w:ind w:firstLine="537" w:firstLineChars="224"/>
        <w:rPr>
          <w:rFonts w:hint="eastAsia" w:ascii="宋体" w:hAnsi="宋体" w:cs="宋体"/>
          <w:bCs/>
          <w:sz w:val="24"/>
          <w:szCs w:val="24"/>
          <w:highlight w:val="none"/>
        </w:rPr>
      </w:pPr>
      <w:r>
        <w:rPr>
          <w:rFonts w:hint="eastAsia" w:ascii="宋体" w:hAnsi="宋体" w:cs="宋体"/>
          <w:bCs/>
          <w:sz w:val="24"/>
          <w:szCs w:val="24"/>
          <w:highlight w:val="none"/>
        </w:rPr>
        <w:t>16.1.2 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扫描件并加盖投标人电子印章。如投标人存在 16.4 条款所列情形的，应将纸质原件提交给招标人。</w:t>
      </w:r>
    </w:p>
    <w:p w14:paraId="2742C6EA">
      <w:pPr>
        <w:spacing w:line="360" w:lineRule="auto"/>
        <w:ind w:firstLine="537" w:firstLineChars="224"/>
        <w:rPr>
          <w:rFonts w:hint="eastAsia" w:ascii="宋体" w:hAnsi="宋体" w:cs="宋体"/>
          <w:bCs/>
          <w:sz w:val="24"/>
          <w:szCs w:val="24"/>
          <w:highlight w:val="none"/>
        </w:rPr>
      </w:pPr>
      <w:r>
        <w:rPr>
          <w:rFonts w:hint="eastAsia" w:ascii="宋体" w:hAnsi="宋体" w:cs="宋体"/>
          <w:bCs/>
          <w:sz w:val="24"/>
          <w:szCs w:val="24"/>
          <w:highlight w:val="none"/>
        </w:rPr>
        <w:t>16.1.3 采用电子形式的保函、担保或保证保险提交投标保证金的，应在招标文件中明确电子递交途径。</w:t>
      </w:r>
    </w:p>
    <w:p w14:paraId="2DFCAE50">
      <w:pPr>
        <w:spacing w:line="360" w:lineRule="auto"/>
        <w:ind w:firstLine="537" w:firstLineChars="224"/>
        <w:rPr>
          <w:rFonts w:hint="eastAsia" w:ascii="宋体" w:hAnsi="宋体" w:cs="宋体"/>
          <w:bCs/>
          <w:sz w:val="24"/>
          <w:szCs w:val="24"/>
          <w:highlight w:val="none"/>
        </w:rPr>
      </w:pPr>
      <w:r>
        <w:rPr>
          <w:rFonts w:hint="eastAsia" w:ascii="宋体" w:hAnsi="宋体" w:cs="宋体"/>
          <w:bCs/>
          <w:sz w:val="24"/>
          <w:szCs w:val="24"/>
          <w:highlight w:val="none"/>
        </w:rPr>
        <w:t>16.2开标时投标人没有按要求提供投标保证金的，其投标文件将被否决；未按招标文件要求提交符合免予提供投标保证金相关证明材料，且未提交投标保证金的投标人，视为未按要求提供投标保证金</w:t>
      </w:r>
      <w:r>
        <w:rPr>
          <w:rFonts w:hint="eastAsia" w:ascii="宋体" w:hAnsi="宋体" w:cs="宋体"/>
          <w:bCs/>
          <w:sz w:val="24"/>
          <w:szCs w:val="24"/>
          <w:highlight w:val="none"/>
          <w:lang w:eastAsia="zh-CN"/>
        </w:rPr>
        <w:t>。</w:t>
      </w:r>
    </w:p>
    <w:p w14:paraId="2BE13A02">
      <w:pPr>
        <w:spacing w:line="360" w:lineRule="auto"/>
        <w:ind w:firstLine="537" w:firstLineChars="224"/>
        <w:rPr>
          <w:rFonts w:hint="eastAsia" w:ascii="宋体" w:hAnsi="宋体" w:eastAsia="宋体" w:cs="宋体"/>
          <w:bCs/>
          <w:sz w:val="24"/>
          <w:szCs w:val="24"/>
          <w:highlight w:val="none"/>
          <w:lang w:eastAsia="zh-CN"/>
        </w:rPr>
      </w:pPr>
      <w:r>
        <w:rPr>
          <w:rFonts w:hint="eastAsia" w:ascii="宋体" w:hAnsi="宋体" w:cs="宋体"/>
          <w:bCs/>
          <w:sz w:val="24"/>
          <w:szCs w:val="24"/>
          <w:highlight w:val="none"/>
        </w:rPr>
        <w:t>16.3</w:t>
      </w:r>
      <w:r>
        <w:rPr>
          <w:rFonts w:hint="eastAsia" w:ascii="宋体" w:hAnsi="宋体" w:cs="宋体"/>
          <w:bCs/>
          <w:sz w:val="24"/>
          <w:szCs w:val="24"/>
          <w:highlight w:val="none"/>
          <w:u w:val="none"/>
        </w:rPr>
        <w:t>投标保证金应依据法律法规的相关规定退还</w:t>
      </w:r>
      <w:r>
        <w:rPr>
          <w:rFonts w:hint="eastAsia" w:ascii="宋体" w:hAnsi="宋体" w:cs="宋体"/>
          <w:bCs/>
          <w:sz w:val="24"/>
          <w:szCs w:val="24"/>
          <w:highlight w:val="none"/>
          <w:u w:val="none"/>
          <w:lang w:eastAsia="zh-CN"/>
        </w:rPr>
        <w:t>。</w:t>
      </w:r>
    </w:p>
    <w:p w14:paraId="4796D6F8">
      <w:pPr>
        <w:spacing w:line="360" w:lineRule="auto"/>
        <w:ind w:firstLine="537" w:firstLineChars="224"/>
        <w:rPr>
          <w:rFonts w:hint="eastAsia" w:ascii="宋体" w:hAnsi="宋体" w:cs="宋体"/>
          <w:bCs/>
          <w:sz w:val="24"/>
          <w:szCs w:val="24"/>
          <w:highlight w:val="none"/>
        </w:rPr>
      </w:pPr>
      <w:r>
        <w:rPr>
          <w:rFonts w:hint="eastAsia" w:ascii="宋体" w:hAnsi="宋体" w:cs="宋体"/>
          <w:bCs/>
          <w:sz w:val="24"/>
          <w:szCs w:val="24"/>
          <w:highlight w:val="none"/>
        </w:rPr>
        <w:t>16.4如有下列情况之一的，招标人可以不予退还投标保证金（是否退还投标保证金由招标人依法依规在招标文件中规定）：</w:t>
      </w:r>
    </w:p>
    <w:p w14:paraId="2C849018">
      <w:pPr>
        <w:spacing w:line="360" w:lineRule="auto"/>
        <w:ind w:firstLine="537" w:firstLineChars="224"/>
        <w:rPr>
          <w:rFonts w:hint="eastAsia" w:ascii="宋体" w:hAnsi="宋体" w:cs="宋体"/>
          <w:bCs/>
          <w:sz w:val="24"/>
          <w:szCs w:val="24"/>
          <w:highlight w:val="none"/>
        </w:rPr>
      </w:pPr>
      <w:r>
        <w:rPr>
          <w:rFonts w:hint="eastAsia" w:ascii="宋体" w:hAnsi="宋体" w:cs="宋体"/>
          <w:bCs/>
          <w:sz w:val="24"/>
          <w:szCs w:val="24"/>
          <w:highlight w:val="none"/>
        </w:rPr>
        <w:t>16.5投标人如存在下列情况之一的，将被拒绝在一定时期内参与招标人后续工程投标（由招标人依法依规在招标文件中明确）：</w:t>
      </w:r>
    </w:p>
    <w:p w14:paraId="3E9B4026">
      <w:pPr>
        <w:spacing w:line="360" w:lineRule="auto"/>
        <w:ind w:firstLine="482" w:firstLineChars="200"/>
        <w:rPr>
          <w:rFonts w:ascii="宋体" w:hAnsi="宋体"/>
          <w:color w:val="auto"/>
          <w:sz w:val="24"/>
          <w:highlight w:val="none"/>
        </w:rPr>
      </w:pPr>
      <w:r>
        <w:rPr>
          <w:rFonts w:hint="eastAsia" w:ascii="宋体" w:hAnsi="宋体" w:cs="宋体"/>
          <w:b/>
          <w:sz w:val="24"/>
          <w:szCs w:val="24"/>
          <w:highlight w:val="none"/>
        </w:rPr>
        <w:t>现文</w:t>
      </w:r>
      <w:r>
        <w:rPr>
          <w:rFonts w:hint="eastAsia" w:ascii="宋体" w:hAnsi="宋体" w:cs="宋体"/>
          <w:sz w:val="24"/>
          <w:szCs w:val="24"/>
          <w:highlight w:val="none"/>
        </w:rPr>
        <w:t>：</w:t>
      </w:r>
      <w:r>
        <w:rPr>
          <w:rFonts w:ascii="宋体" w:hAnsi="宋体"/>
          <w:color w:val="auto"/>
          <w:sz w:val="24"/>
          <w:highlight w:val="none"/>
        </w:rPr>
        <w:t>16.1</w:t>
      </w:r>
      <w:r>
        <w:rPr>
          <w:rFonts w:hint="eastAsia" w:ascii="宋体" w:hAnsi="宋体"/>
          <w:color w:val="auto"/>
          <w:sz w:val="24"/>
          <w:highlight w:val="none"/>
        </w:rPr>
        <w:t>投标人应按</w:t>
      </w:r>
      <w:r>
        <w:rPr>
          <w:rFonts w:hint="eastAsia" w:ascii="宋体" w:hAnsi="宋体"/>
          <w:color w:val="auto"/>
          <w:sz w:val="24"/>
          <w:highlight w:val="none"/>
          <w:lang w:eastAsia="zh-CN"/>
        </w:rPr>
        <w:t>国家、省、市有关规定和</w:t>
      </w:r>
      <w:r>
        <w:rPr>
          <w:rFonts w:hint="eastAsia" w:ascii="宋体" w:hAnsi="宋体"/>
          <w:color w:val="auto"/>
          <w:sz w:val="24"/>
          <w:highlight w:val="none"/>
        </w:rPr>
        <w:t>投标须知前附表第</w:t>
      </w:r>
      <w:r>
        <w:rPr>
          <w:rFonts w:hint="eastAsia" w:ascii="宋体" w:hAnsi="宋体"/>
          <w:color w:val="auto"/>
          <w:sz w:val="24"/>
          <w:highlight w:val="none"/>
          <w:lang w:val="en-US" w:eastAsia="zh-CN"/>
        </w:rPr>
        <w:t>16</w:t>
      </w:r>
      <w:r>
        <w:rPr>
          <w:rFonts w:hint="eastAsia" w:ascii="宋体" w:hAnsi="宋体"/>
          <w:color w:val="auto"/>
          <w:sz w:val="24"/>
          <w:highlight w:val="none"/>
        </w:rPr>
        <w:t>项所述金额和时间递交</w:t>
      </w:r>
      <w:r>
        <w:rPr>
          <w:rFonts w:hint="eastAsia" w:ascii="宋体" w:hAnsi="宋体"/>
          <w:bCs/>
          <w:color w:val="auto"/>
          <w:sz w:val="24"/>
          <w:highlight w:val="none"/>
        </w:rPr>
        <w:t>投标保证金</w:t>
      </w:r>
      <w:r>
        <w:rPr>
          <w:rFonts w:hint="eastAsia" w:ascii="宋体" w:hAnsi="宋体"/>
          <w:color w:val="auto"/>
          <w:sz w:val="24"/>
          <w:highlight w:val="none"/>
        </w:rPr>
        <w:t>。招标人应当允许投标人自主选择现金、银行保函、保证保险、专业工程担保公司担保等方式缴纳投标保证金。</w:t>
      </w:r>
    </w:p>
    <w:p w14:paraId="7DD42BCA">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16.1.1 采用现金或者支票形式提交的，投标保证金须从投标人的银行基本账户转出。</w:t>
      </w:r>
    </w:p>
    <w:p w14:paraId="41009FCE">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16.1.2 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扫描件并加盖投标人电子印章。如投标人存在16.4条款所列情形的，应将纸质原件提交给招标人。</w:t>
      </w:r>
    </w:p>
    <w:p w14:paraId="78CDE823">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16.1.3 采用电子形式的保函、担保或保证保险提交投标保证金的，应在招标文件中明确电子递交途径。</w:t>
      </w:r>
    </w:p>
    <w:p w14:paraId="661E63EF">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16.2开标时投标人没有按要求提供投标保证金的，其投标文件将被否决；未按招标文件要求提交符合免予提供投标保证金相关证明材料，且未提交投标保证金的投标人，视为未按要求提供投标保证金。</w:t>
      </w:r>
    </w:p>
    <w:p w14:paraId="0223E1BF">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16.3投标保证金应依据法律法规的相关规定退还。</w:t>
      </w:r>
    </w:p>
    <w:p w14:paraId="49110AD2">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16.4如有下列情况之一的，招标人可以不予退还投标保证金：</w:t>
      </w:r>
    </w:p>
    <w:p w14:paraId="0DE2488D">
      <w:pPr>
        <w:spacing w:line="360" w:lineRule="auto"/>
        <w:ind w:firstLine="482" w:firstLineChars="200"/>
        <w:rPr>
          <w:rFonts w:hint="eastAsia" w:ascii="宋体" w:hAnsi="宋体"/>
          <w:b/>
          <w:bCs/>
          <w:color w:val="auto"/>
          <w:sz w:val="24"/>
          <w:highlight w:val="none"/>
          <w:u w:val="single"/>
        </w:rPr>
      </w:pPr>
      <w:r>
        <w:rPr>
          <w:rFonts w:hint="eastAsia" w:ascii="宋体" w:hAnsi="宋体"/>
          <w:b/>
          <w:bCs/>
          <w:color w:val="auto"/>
          <w:sz w:val="24"/>
          <w:highlight w:val="none"/>
          <w:u w:val="single"/>
        </w:rPr>
        <w:t>16.</w:t>
      </w:r>
      <w:r>
        <w:rPr>
          <w:rFonts w:hint="eastAsia" w:ascii="宋体" w:hAnsi="宋体"/>
          <w:b/>
          <w:bCs/>
          <w:color w:val="auto"/>
          <w:sz w:val="24"/>
          <w:highlight w:val="none"/>
          <w:u w:val="single"/>
          <w:lang w:val="en-US" w:eastAsia="zh-CN"/>
        </w:rPr>
        <w:t>4</w:t>
      </w:r>
      <w:r>
        <w:rPr>
          <w:rFonts w:hint="eastAsia" w:ascii="宋体" w:hAnsi="宋体"/>
          <w:b/>
          <w:bCs/>
          <w:color w:val="auto"/>
          <w:sz w:val="24"/>
          <w:highlight w:val="none"/>
          <w:u w:val="single"/>
        </w:rPr>
        <w:t>.1因投标人原因造成投标文件未解密的；</w:t>
      </w:r>
    </w:p>
    <w:p w14:paraId="28274A37">
      <w:pPr>
        <w:spacing w:line="360" w:lineRule="auto"/>
        <w:ind w:firstLine="482" w:firstLineChars="200"/>
        <w:rPr>
          <w:rFonts w:hint="eastAsia" w:ascii="宋体" w:hAnsi="宋体"/>
          <w:b/>
          <w:bCs/>
          <w:color w:val="auto"/>
          <w:sz w:val="24"/>
          <w:highlight w:val="none"/>
          <w:u w:val="single"/>
        </w:rPr>
      </w:pPr>
      <w:r>
        <w:rPr>
          <w:rFonts w:hint="eastAsia" w:ascii="宋体" w:hAnsi="宋体"/>
          <w:b/>
          <w:bCs/>
          <w:color w:val="auto"/>
          <w:sz w:val="24"/>
          <w:highlight w:val="none"/>
          <w:u w:val="single"/>
        </w:rPr>
        <w:t>16.</w:t>
      </w:r>
      <w:r>
        <w:rPr>
          <w:rFonts w:hint="eastAsia" w:ascii="宋体" w:hAnsi="宋体"/>
          <w:b/>
          <w:bCs/>
          <w:color w:val="auto"/>
          <w:sz w:val="24"/>
          <w:highlight w:val="none"/>
          <w:u w:val="single"/>
          <w:lang w:val="en-US" w:eastAsia="zh-CN"/>
        </w:rPr>
        <w:t>4</w:t>
      </w:r>
      <w:r>
        <w:rPr>
          <w:rFonts w:hint="eastAsia" w:ascii="宋体" w:hAnsi="宋体"/>
          <w:b/>
          <w:bCs/>
          <w:color w:val="auto"/>
          <w:sz w:val="24"/>
          <w:highlight w:val="none"/>
          <w:u w:val="single"/>
        </w:rPr>
        <w:t>.2投标人在投标有效期内撤销投标文件；</w:t>
      </w:r>
    </w:p>
    <w:p w14:paraId="2E505EF9">
      <w:pPr>
        <w:spacing w:line="360" w:lineRule="auto"/>
        <w:ind w:firstLine="482" w:firstLineChars="200"/>
        <w:rPr>
          <w:rFonts w:hint="eastAsia" w:ascii="宋体" w:hAnsi="宋体"/>
          <w:b/>
          <w:bCs/>
          <w:color w:val="auto"/>
          <w:sz w:val="24"/>
          <w:highlight w:val="none"/>
          <w:u w:val="single"/>
        </w:rPr>
      </w:pPr>
      <w:r>
        <w:rPr>
          <w:rFonts w:hint="eastAsia" w:ascii="宋体" w:hAnsi="宋体"/>
          <w:b/>
          <w:bCs/>
          <w:color w:val="auto"/>
          <w:sz w:val="24"/>
          <w:highlight w:val="none"/>
          <w:u w:val="single"/>
        </w:rPr>
        <w:t>16.</w:t>
      </w:r>
      <w:r>
        <w:rPr>
          <w:rFonts w:hint="eastAsia" w:ascii="宋体" w:hAnsi="宋体"/>
          <w:b/>
          <w:bCs/>
          <w:color w:val="auto"/>
          <w:sz w:val="24"/>
          <w:highlight w:val="none"/>
          <w:u w:val="single"/>
          <w:lang w:val="en-US" w:eastAsia="zh-CN"/>
        </w:rPr>
        <w:t>4</w:t>
      </w:r>
      <w:r>
        <w:rPr>
          <w:rFonts w:hint="eastAsia" w:ascii="宋体" w:hAnsi="宋体"/>
          <w:b/>
          <w:bCs/>
          <w:color w:val="auto"/>
          <w:sz w:val="24"/>
          <w:highlight w:val="none"/>
          <w:u w:val="single"/>
        </w:rPr>
        <w:t>.3中标人未能在规定期限内按要求提交履约担保；</w:t>
      </w:r>
    </w:p>
    <w:p w14:paraId="76365397">
      <w:pPr>
        <w:spacing w:line="360" w:lineRule="auto"/>
        <w:ind w:firstLine="482" w:firstLineChars="200"/>
        <w:rPr>
          <w:rFonts w:ascii="宋体" w:hAnsi="宋体"/>
          <w:b/>
          <w:bCs/>
          <w:color w:val="auto"/>
          <w:sz w:val="24"/>
          <w:highlight w:val="none"/>
          <w:u w:val="single"/>
        </w:rPr>
      </w:pPr>
      <w:r>
        <w:rPr>
          <w:rFonts w:hint="eastAsia" w:ascii="宋体" w:hAnsi="宋体"/>
          <w:b/>
          <w:bCs/>
          <w:color w:val="auto"/>
          <w:sz w:val="24"/>
          <w:highlight w:val="none"/>
          <w:u w:val="single"/>
        </w:rPr>
        <w:t>16.</w:t>
      </w:r>
      <w:r>
        <w:rPr>
          <w:rFonts w:hint="eastAsia" w:ascii="宋体" w:hAnsi="宋体"/>
          <w:b/>
          <w:bCs/>
          <w:color w:val="auto"/>
          <w:sz w:val="24"/>
          <w:highlight w:val="none"/>
          <w:u w:val="single"/>
          <w:lang w:val="en-US" w:eastAsia="zh-CN"/>
        </w:rPr>
        <w:t>4</w:t>
      </w:r>
      <w:r>
        <w:rPr>
          <w:rFonts w:hint="eastAsia" w:ascii="宋体" w:hAnsi="宋体"/>
          <w:b/>
          <w:bCs/>
          <w:color w:val="auto"/>
          <w:sz w:val="24"/>
          <w:highlight w:val="none"/>
          <w:u w:val="single"/>
        </w:rPr>
        <w:t>.4中标人未能在规定期限内签署合同协议。</w:t>
      </w:r>
    </w:p>
    <w:p w14:paraId="246EBD50">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16.5投标人如存在下列情况之一的，将被拒绝在一定时期内参与招标人后续工程投标：</w:t>
      </w:r>
    </w:p>
    <w:p w14:paraId="0FD263F5">
      <w:pPr>
        <w:spacing w:line="360" w:lineRule="auto"/>
        <w:ind w:firstLine="482" w:firstLineChars="200"/>
        <w:rPr>
          <w:rFonts w:hint="eastAsia" w:ascii="宋体" w:hAnsi="宋体"/>
          <w:b/>
          <w:bCs/>
          <w:color w:val="auto"/>
          <w:sz w:val="24"/>
          <w:highlight w:val="none"/>
          <w:u w:val="single"/>
        </w:rPr>
      </w:pPr>
      <w:r>
        <w:rPr>
          <w:rFonts w:hint="eastAsia" w:ascii="宋体" w:hAnsi="宋体"/>
          <w:b/>
          <w:bCs/>
          <w:color w:val="auto"/>
          <w:sz w:val="24"/>
          <w:highlight w:val="none"/>
          <w:u w:val="single"/>
        </w:rPr>
        <w:t>16.5</w:t>
      </w:r>
      <w:r>
        <w:rPr>
          <w:rFonts w:hint="eastAsia" w:ascii="宋体" w:hAnsi="宋体"/>
          <w:b/>
          <w:bCs/>
          <w:color w:val="auto"/>
          <w:sz w:val="24"/>
          <w:highlight w:val="none"/>
          <w:u w:val="single"/>
          <w:lang w:val="en-US" w:eastAsia="zh-CN"/>
        </w:rPr>
        <w:t>.</w:t>
      </w:r>
      <w:r>
        <w:rPr>
          <w:rFonts w:hint="eastAsia" w:ascii="宋体" w:hAnsi="宋体"/>
          <w:b/>
          <w:bCs/>
          <w:color w:val="auto"/>
          <w:sz w:val="24"/>
          <w:highlight w:val="none"/>
          <w:u w:val="single"/>
        </w:rPr>
        <w:t>1将中标工程转包或者违法分包的；</w:t>
      </w:r>
    </w:p>
    <w:p w14:paraId="775EC29D">
      <w:pPr>
        <w:spacing w:line="360" w:lineRule="auto"/>
        <w:ind w:firstLine="482" w:firstLineChars="200"/>
        <w:rPr>
          <w:rFonts w:hint="eastAsia" w:ascii="宋体" w:hAnsi="宋体"/>
          <w:b/>
          <w:bCs/>
          <w:color w:val="auto"/>
          <w:sz w:val="24"/>
          <w:highlight w:val="none"/>
          <w:u w:val="single"/>
        </w:rPr>
      </w:pPr>
      <w:r>
        <w:rPr>
          <w:rFonts w:hint="eastAsia" w:ascii="宋体" w:hAnsi="宋体"/>
          <w:b/>
          <w:bCs/>
          <w:color w:val="auto"/>
          <w:sz w:val="24"/>
          <w:highlight w:val="none"/>
          <w:u w:val="single"/>
        </w:rPr>
        <w:t>16.5</w:t>
      </w:r>
      <w:r>
        <w:rPr>
          <w:rFonts w:hint="eastAsia" w:ascii="宋体" w:hAnsi="宋体"/>
          <w:b/>
          <w:bCs/>
          <w:color w:val="auto"/>
          <w:sz w:val="24"/>
          <w:highlight w:val="none"/>
          <w:u w:val="single"/>
          <w:lang w:val="en-US" w:eastAsia="zh-CN"/>
        </w:rPr>
        <w:t>.</w:t>
      </w:r>
      <w:r>
        <w:rPr>
          <w:rFonts w:hint="eastAsia" w:ascii="宋体" w:hAnsi="宋体"/>
          <w:b/>
          <w:bCs/>
          <w:color w:val="auto"/>
          <w:sz w:val="24"/>
          <w:highlight w:val="none"/>
          <w:u w:val="single"/>
        </w:rPr>
        <w:t>2在中标工程中不执行质量、安全生产相关规定的，造成质量或安全事故的；</w:t>
      </w:r>
    </w:p>
    <w:p w14:paraId="00382240">
      <w:pPr>
        <w:spacing w:line="360" w:lineRule="auto"/>
        <w:ind w:firstLine="482" w:firstLineChars="200"/>
        <w:rPr>
          <w:rFonts w:hint="eastAsia" w:ascii="宋体" w:hAnsi="宋体"/>
          <w:b/>
          <w:bCs/>
          <w:color w:val="auto"/>
          <w:sz w:val="24"/>
          <w:highlight w:val="none"/>
          <w:u w:val="single"/>
        </w:rPr>
      </w:pPr>
      <w:r>
        <w:rPr>
          <w:rFonts w:hint="eastAsia" w:ascii="宋体" w:hAnsi="宋体"/>
          <w:b/>
          <w:bCs/>
          <w:color w:val="auto"/>
          <w:sz w:val="24"/>
          <w:highlight w:val="none"/>
          <w:u w:val="single"/>
        </w:rPr>
        <w:t>16.5</w:t>
      </w:r>
      <w:r>
        <w:rPr>
          <w:rFonts w:hint="eastAsia" w:ascii="宋体" w:hAnsi="宋体"/>
          <w:b/>
          <w:bCs/>
          <w:color w:val="auto"/>
          <w:sz w:val="24"/>
          <w:highlight w:val="none"/>
          <w:u w:val="single"/>
          <w:lang w:val="en-US" w:eastAsia="zh-CN"/>
        </w:rPr>
        <w:t>.</w:t>
      </w:r>
      <w:r>
        <w:rPr>
          <w:rFonts w:hint="eastAsia" w:ascii="宋体" w:hAnsi="宋体"/>
          <w:b/>
          <w:bCs/>
          <w:color w:val="auto"/>
          <w:sz w:val="24"/>
          <w:highlight w:val="none"/>
          <w:u w:val="single"/>
        </w:rPr>
        <w:t>3出让投标资格的；</w:t>
      </w:r>
    </w:p>
    <w:p w14:paraId="6BE0DF17">
      <w:pPr>
        <w:spacing w:line="360" w:lineRule="auto"/>
        <w:ind w:firstLine="482" w:firstLineChars="200"/>
        <w:rPr>
          <w:rFonts w:hint="eastAsia" w:ascii="宋体" w:hAnsi="宋体"/>
          <w:b/>
          <w:bCs/>
          <w:color w:val="auto"/>
          <w:sz w:val="24"/>
          <w:highlight w:val="none"/>
          <w:u w:val="single"/>
        </w:rPr>
      </w:pPr>
      <w:r>
        <w:rPr>
          <w:rFonts w:hint="eastAsia" w:ascii="宋体" w:hAnsi="宋体"/>
          <w:b/>
          <w:bCs/>
          <w:color w:val="auto"/>
          <w:sz w:val="24"/>
          <w:highlight w:val="none"/>
          <w:u w:val="single"/>
        </w:rPr>
        <w:t>16.5</w:t>
      </w:r>
      <w:r>
        <w:rPr>
          <w:rFonts w:hint="eastAsia" w:ascii="宋体" w:hAnsi="宋体"/>
          <w:b/>
          <w:bCs/>
          <w:color w:val="auto"/>
          <w:sz w:val="24"/>
          <w:highlight w:val="none"/>
          <w:u w:val="single"/>
          <w:lang w:val="en-US" w:eastAsia="zh-CN"/>
        </w:rPr>
        <w:t>.</w:t>
      </w:r>
      <w:r>
        <w:rPr>
          <w:rFonts w:hint="eastAsia" w:ascii="宋体" w:hAnsi="宋体"/>
          <w:b/>
          <w:bCs/>
          <w:color w:val="auto"/>
          <w:sz w:val="24"/>
          <w:highlight w:val="none"/>
          <w:u w:val="single"/>
        </w:rPr>
        <w:t>4存在围标、串标情形的;</w:t>
      </w:r>
    </w:p>
    <w:p w14:paraId="243F8F89">
      <w:pPr>
        <w:spacing w:line="360" w:lineRule="auto"/>
        <w:ind w:firstLine="482" w:firstLineChars="200"/>
        <w:rPr>
          <w:rFonts w:hint="eastAsia" w:ascii="宋体" w:hAnsi="宋体"/>
          <w:b/>
          <w:bCs/>
          <w:color w:val="auto"/>
          <w:sz w:val="24"/>
          <w:highlight w:val="none"/>
          <w:u w:val="single"/>
        </w:rPr>
      </w:pPr>
      <w:r>
        <w:rPr>
          <w:rFonts w:hint="eastAsia" w:ascii="宋体" w:hAnsi="宋体"/>
          <w:b/>
          <w:bCs/>
          <w:color w:val="auto"/>
          <w:sz w:val="24"/>
          <w:highlight w:val="none"/>
          <w:u w:val="single"/>
        </w:rPr>
        <w:t>16.5</w:t>
      </w:r>
      <w:r>
        <w:rPr>
          <w:rFonts w:hint="eastAsia" w:ascii="宋体" w:hAnsi="宋体"/>
          <w:b/>
          <w:bCs/>
          <w:color w:val="auto"/>
          <w:sz w:val="24"/>
          <w:highlight w:val="none"/>
          <w:u w:val="single"/>
          <w:lang w:val="en-US" w:eastAsia="zh-CN"/>
        </w:rPr>
        <w:t>.</w:t>
      </w:r>
      <w:r>
        <w:rPr>
          <w:rFonts w:hint="eastAsia" w:ascii="宋体" w:hAnsi="宋体"/>
          <w:b/>
          <w:bCs/>
          <w:color w:val="auto"/>
          <w:sz w:val="24"/>
          <w:highlight w:val="none"/>
          <w:u w:val="single"/>
        </w:rPr>
        <w:t>5在投标文件中提供虚假材料的；</w:t>
      </w:r>
    </w:p>
    <w:p w14:paraId="0E860C1D">
      <w:pPr>
        <w:spacing w:line="360" w:lineRule="auto"/>
        <w:ind w:firstLine="482" w:firstLineChars="200"/>
        <w:rPr>
          <w:rFonts w:hint="eastAsia" w:ascii="宋体" w:hAnsi="宋体"/>
          <w:b/>
          <w:bCs/>
          <w:color w:val="auto"/>
          <w:sz w:val="24"/>
          <w:highlight w:val="none"/>
          <w:u w:val="single"/>
        </w:rPr>
      </w:pPr>
      <w:r>
        <w:rPr>
          <w:rFonts w:hint="eastAsia" w:ascii="宋体" w:hAnsi="宋体"/>
          <w:b/>
          <w:bCs/>
          <w:color w:val="auto"/>
          <w:sz w:val="24"/>
          <w:highlight w:val="none"/>
          <w:u w:val="single"/>
        </w:rPr>
        <w:t>16.5</w:t>
      </w:r>
      <w:r>
        <w:rPr>
          <w:rFonts w:hint="eastAsia" w:ascii="宋体" w:hAnsi="宋体"/>
          <w:b/>
          <w:bCs/>
          <w:color w:val="auto"/>
          <w:sz w:val="24"/>
          <w:highlight w:val="none"/>
          <w:u w:val="single"/>
          <w:lang w:val="en-US" w:eastAsia="zh-CN"/>
        </w:rPr>
        <w:t>.</w:t>
      </w:r>
      <w:r>
        <w:rPr>
          <w:rFonts w:hint="eastAsia" w:ascii="宋体" w:hAnsi="宋体"/>
          <w:b/>
          <w:bCs/>
          <w:color w:val="auto"/>
          <w:sz w:val="24"/>
          <w:highlight w:val="none"/>
          <w:u w:val="single"/>
        </w:rPr>
        <w:t>6存在少放、不放业绩、奖项等客观评审资料，减少自身竞争力情形的；</w:t>
      </w:r>
    </w:p>
    <w:p w14:paraId="754AB433">
      <w:pPr>
        <w:spacing w:line="360" w:lineRule="auto"/>
        <w:ind w:firstLine="482" w:firstLineChars="200"/>
        <w:rPr>
          <w:rFonts w:hint="eastAsia" w:ascii="宋体" w:hAnsi="宋体"/>
          <w:b/>
          <w:bCs/>
          <w:color w:val="auto"/>
          <w:sz w:val="24"/>
          <w:highlight w:val="none"/>
          <w:u w:val="single"/>
        </w:rPr>
      </w:pPr>
      <w:r>
        <w:rPr>
          <w:rFonts w:hint="eastAsia" w:ascii="宋体" w:hAnsi="宋体"/>
          <w:b/>
          <w:bCs/>
          <w:color w:val="auto"/>
          <w:sz w:val="24"/>
          <w:highlight w:val="none"/>
          <w:u w:val="single"/>
        </w:rPr>
        <w:t>16.5</w:t>
      </w:r>
      <w:r>
        <w:rPr>
          <w:rFonts w:hint="eastAsia" w:ascii="宋体" w:hAnsi="宋体"/>
          <w:b/>
          <w:bCs/>
          <w:color w:val="auto"/>
          <w:sz w:val="24"/>
          <w:highlight w:val="none"/>
          <w:u w:val="single"/>
          <w:lang w:val="en-US" w:eastAsia="zh-CN"/>
        </w:rPr>
        <w:t>.</w:t>
      </w:r>
      <w:r>
        <w:rPr>
          <w:rFonts w:hint="eastAsia" w:ascii="宋体" w:hAnsi="宋体"/>
          <w:b/>
          <w:bCs/>
          <w:color w:val="auto"/>
          <w:sz w:val="24"/>
          <w:highlight w:val="none"/>
          <w:u w:val="single"/>
        </w:rPr>
        <w:t>7存在行贿情形的;</w:t>
      </w:r>
    </w:p>
    <w:p w14:paraId="2241CB82">
      <w:pPr>
        <w:spacing w:line="360" w:lineRule="auto"/>
        <w:ind w:firstLine="482" w:firstLineChars="200"/>
        <w:rPr>
          <w:rFonts w:hint="eastAsia" w:ascii="宋体" w:hAnsi="宋体"/>
          <w:b/>
          <w:bCs/>
          <w:color w:val="auto"/>
          <w:sz w:val="24"/>
          <w:highlight w:val="none"/>
          <w:u w:val="single"/>
        </w:rPr>
      </w:pPr>
      <w:r>
        <w:rPr>
          <w:rFonts w:hint="eastAsia" w:ascii="宋体" w:hAnsi="宋体"/>
          <w:b/>
          <w:bCs/>
          <w:color w:val="auto"/>
          <w:sz w:val="24"/>
          <w:highlight w:val="none"/>
          <w:u w:val="single"/>
        </w:rPr>
        <w:t>16.5</w:t>
      </w:r>
      <w:r>
        <w:rPr>
          <w:rFonts w:hint="eastAsia" w:ascii="宋体" w:hAnsi="宋体"/>
          <w:b/>
          <w:bCs/>
          <w:color w:val="auto"/>
          <w:sz w:val="24"/>
          <w:highlight w:val="none"/>
          <w:u w:val="single"/>
          <w:lang w:val="en-US" w:eastAsia="zh-CN"/>
        </w:rPr>
        <w:t>.</w:t>
      </w:r>
      <w:r>
        <w:rPr>
          <w:rFonts w:hint="eastAsia" w:ascii="宋体" w:hAnsi="宋体"/>
          <w:b/>
          <w:bCs/>
          <w:color w:val="auto"/>
          <w:sz w:val="24"/>
          <w:highlight w:val="none"/>
          <w:u w:val="single"/>
        </w:rPr>
        <w:t>8拖欠农民工工资的；</w:t>
      </w:r>
    </w:p>
    <w:p w14:paraId="0C2F6E7F">
      <w:pPr>
        <w:spacing w:line="360" w:lineRule="auto"/>
        <w:ind w:firstLine="482" w:firstLineChars="200"/>
        <w:rPr>
          <w:rFonts w:hint="eastAsia" w:ascii="宋体" w:hAnsi="宋体"/>
          <w:b/>
          <w:bCs/>
          <w:color w:val="auto"/>
          <w:sz w:val="24"/>
          <w:highlight w:val="none"/>
          <w:u w:val="single"/>
        </w:rPr>
      </w:pPr>
      <w:r>
        <w:rPr>
          <w:rFonts w:hint="eastAsia" w:ascii="宋体" w:hAnsi="宋体"/>
          <w:b/>
          <w:bCs/>
          <w:color w:val="auto"/>
          <w:sz w:val="24"/>
          <w:highlight w:val="none"/>
          <w:u w:val="single"/>
        </w:rPr>
        <w:t>16.5</w:t>
      </w:r>
      <w:r>
        <w:rPr>
          <w:rFonts w:hint="eastAsia" w:ascii="宋体" w:hAnsi="宋体"/>
          <w:b/>
          <w:bCs/>
          <w:color w:val="auto"/>
          <w:sz w:val="24"/>
          <w:highlight w:val="none"/>
          <w:u w:val="single"/>
          <w:lang w:val="en-US" w:eastAsia="zh-CN"/>
        </w:rPr>
        <w:t>.</w:t>
      </w:r>
      <w:r>
        <w:rPr>
          <w:rFonts w:hint="eastAsia" w:ascii="宋体" w:hAnsi="宋体"/>
          <w:b/>
          <w:bCs/>
          <w:color w:val="auto"/>
          <w:sz w:val="24"/>
          <w:highlight w:val="none"/>
          <w:u w:val="single"/>
        </w:rPr>
        <w:t>9未按照国家、省、市有关建筑施工实名制管理和工人工资支付分账管理的规定执行，被行政监管部门处罚的；</w:t>
      </w:r>
    </w:p>
    <w:p w14:paraId="580F58C8">
      <w:pPr>
        <w:spacing w:line="360" w:lineRule="auto"/>
        <w:ind w:firstLine="482" w:firstLineChars="200"/>
        <w:rPr>
          <w:rFonts w:ascii="宋体" w:hAnsi="宋体"/>
          <w:color w:val="auto"/>
          <w:sz w:val="24"/>
          <w:highlight w:val="none"/>
        </w:rPr>
      </w:pPr>
      <w:r>
        <w:rPr>
          <w:rFonts w:hint="eastAsia" w:ascii="宋体" w:hAnsi="宋体"/>
          <w:b/>
          <w:bCs/>
          <w:color w:val="auto"/>
          <w:sz w:val="24"/>
          <w:highlight w:val="none"/>
          <w:u w:val="single"/>
        </w:rPr>
        <w:t>16.5</w:t>
      </w:r>
      <w:r>
        <w:rPr>
          <w:rFonts w:hint="eastAsia" w:ascii="宋体" w:hAnsi="宋体"/>
          <w:b/>
          <w:bCs/>
          <w:color w:val="auto"/>
          <w:sz w:val="24"/>
          <w:highlight w:val="none"/>
          <w:u w:val="single"/>
          <w:lang w:val="en-US" w:eastAsia="zh-CN"/>
        </w:rPr>
        <w:t>.</w:t>
      </w:r>
      <w:r>
        <w:rPr>
          <w:rFonts w:hint="eastAsia" w:ascii="宋体" w:hAnsi="宋体"/>
          <w:b/>
          <w:bCs/>
          <w:color w:val="auto"/>
          <w:sz w:val="24"/>
          <w:highlight w:val="none"/>
          <w:u w:val="single"/>
        </w:rPr>
        <w:t>10中标人在项目实施过程中选取的专业分包单位或劳务企业或劳务班组长与投标时不一致的（如有）</w:t>
      </w:r>
      <w:r>
        <w:rPr>
          <w:rFonts w:hint="eastAsia" w:ascii="宋体" w:hAnsi="宋体"/>
          <w:color w:val="auto"/>
          <w:sz w:val="24"/>
          <w:highlight w:val="none"/>
        </w:rPr>
        <w:t>。</w:t>
      </w:r>
    </w:p>
    <w:p w14:paraId="7CDA30F5">
      <w:pPr>
        <w:pBdr>
          <w:bottom w:val="single" w:color="auto" w:sz="6" w:space="1"/>
        </w:pBdr>
        <w:spacing w:line="360" w:lineRule="auto"/>
        <w:ind w:firstLine="588" w:firstLineChars="245"/>
        <w:rPr>
          <w:rFonts w:hint="eastAsia" w:ascii="宋体" w:hAnsi="宋体" w:cs="宋体"/>
          <w:sz w:val="24"/>
          <w:szCs w:val="24"/>
          <w:highlight w:val="none"/>
        </w:rPr>
      </w:pPr>
    </w:p>
    <w:p w14:paraId="2EE91D85">
      <w:pPr>
        <w:spacing w:line="360" w:lineRule="auto"/>
        <w:ind w:firstLine="590" w:firstLineChars="245"/>
        <w:rPr>
          <w:rFonts w:hint="eastAsia" w:ascii="宋体" w:hAnsi="宋体" w:cs="宋体"/>
          <w:b/>
          <w:sz w:val="24"/>
          <w:szCs w:val="24"/>
          <w:highlight w:val="none"/>
        </w:rPr>
      </w:pPr>
      <w:r>
        <w:rPr>
          <w:rFonts w:hint="eastAsia" w:ascii="宋体" w:hAnsi="宋体" w:cs="宋体"/>
          <w:b/>
          <w:sz w:val="24"/>
          <w:szCs w:val="24"/>
          <w:highlight w:val="none"/>
        </w:rPr>
        <w:t>条款号：17.1              修改类型：修改</w:t>
      </w:r>
    </w:p>
    <w:p w14:paraId="7F16A43C">
      <w:pPr>
        <w:spacing w:line="360" w:lineRule="auto"/>
        <w:ind w:firstLine="590" w:firstLineChars="245"/>
        <w:rPr>
          <w:rFonts w:hint="eastAsia" w:ascii="宋体" w:hAnsi="宋体" w:cs="宋体"/>
          <w:sz w:val="24"/>
          <w:szCs w:val="24"/>
          <w:highlight w:val="none"/>
        </w:rPr>
      </w:pPr>
      <w:r>
        <w:rPr>
          <w:rFonts w:hint="eastAsia" w:ascii="宋体" w:hAnsi="宋体" w:cs="宋体"/>
          <w:b/>
          <w:sz w:val="24"/>
          <w:szCs w:val="24"/>
          <w:highlight w:val="none"/>
        </w:rPr>
        <w:t>原文：</w:t>
      </w:r>
      <w:r>
        <w:rPr>
          <w:rFonts w:hint="eastAsia" w:ascii="宋体" w:hAnsi="宋体" w:cs="宋体"/>
          <w:sz w:val="24"/>
          <w:szCs w:val="24"/>
          <w:highlight w:val="none"/>
        </w:rPr>
        <w:t>投标人应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 。</w:t>
      </w:r>
    </w:p>
    <w:p w14:paraId="71567412">
      <w:pPr>
        <w:pBdr>
          <w:bottom w:val="single" w:color="auto" w:sz="6" w:space="1"/>
        </w:pBdr>
        <w:spacing w:line="360" w:lineRule="auto"/>
        <w:ind w:firstLine="602" w:firstLineChars="250"/>
        <w:rPr>
          <w:rFonts w:hint="eastAsia" w:ascii="宋体" w:hAnsi="宋体" w:cs="宋体"/>
          <w:b/>
          <w:sz w:val="24"/>
          <w:szCs w:val="24"/>
          <w:highlight w:val="none"/>
        </w:rPr>
      </w:pPr>
      <w:r>
        <w:rPr>
          <w:rFonts w:hint="eastAsia" w:ascii="宋体" w:hAnsi="宋体" w:cs="宋体"/>
          <w:b/>
          <w:sz w:val="24"/>
          <w:szCs w:val="24"/>
          <w:highlight w:val="none"/>
        </w:rPr>
        <w:t>现文：</w:t>
      </w:r>
      <w:r>
        <w:rPr>
          <w:rFonts w:hint="eastAsia" w:ascii="宋体" w:hAnsi="宋体" w:cs="宋体"/>
          <w:bCs/>
          <w:sz w:val="24"/>
          <w:szCs w:val="24"/>
          <w:highlight w:val="none"/>
          <w:u w:val="none"/>
        </w:rPr>
        <w:t>投标人应采用单位数字证书，按招标文件要求在相应位置加盖电子印章。投标文件中需个人签字或盖章的，应加盖个人电子印章或在线下完成后扫描上传。按照交易平台关于全流程电子化项目的相关指南进行操作。</w:t>
      </w:r>
      <w:r>
        <w:rPr>
          <w:rFonts w:hint="eastAsia" w:ascii="宋体" w:hAnsi="宋体" w:cs="宋体"/>
          <w:sz w:val="24"/>
          <w:szCs w:val="24"/>
          <w:highlight w:val="none"/>
          <w:u w:val="none"/>
        </w:rPr>
        <w:t>详见：</w:t>
      </w:r>
      <w:r>
        <w:rPr>
          <w:rFonts w:hint="eastAsia" w:ascii="宋体" w:hAnsi="宋体" w:cs="宋体"/>
          <w:b/>
          <w:bCs w:val="0"/>
          <w:kern w:val="0"/>
          <w:sz w:val="24"/>
          <w:szCs w:val="24"/>
          <w:highlight w:val="none"/>
          <w:u w:val="single"/>
        </w:rPr>
        <w:t>广州交易集团有限公司（广州公共资源交易中心）网站</w:t>
      </w:r>
      <w:r>
        <w:rPr>
          <w:rFonts w:hint="eastAsia" w:ascii="宋体" w:hAnsi="宋体" w:cs="宋体"/>
          <w:bCs/>
          <w:kern w:val="0"/>
          <w:sz w:val="24"/>
          <w:szCs w:val="24"/>
          <w:highlight w:val="none"/>
        </w:rPr>
        <w:t>。</w:t>
      </w:r>
      <w:r>
        <w:rPr>
          <w:rFonts w:hint="eastAsia" w:ascii="宋体" w:hAnsi="宋体" w:cs="宋体"/>
          <w:sz w:val="24"/>
          <w:szCs w:val="24"/>
          <w:highlight w:val="none"/>
        </w:rPr>
        <w:t xml:space="preserve"> </w:t>
      </w:r>
    </w:p>
    <w:p w14:paraId="708C2E81">
      <w:pPr>
        <w:spacing w:line="360" w:lineRule="auto"/>
        <w:ind w:firstLine="590" w:firstLineChars="245"/>
        <w:rPr>
          <w:rFonts w:hint="eastAsia" w:ascii="宋体" w:hAnsi="宋体" w:cs="宋体"/>
          <w:b/>
          <w:sz w:val="24"/>
          <w:szCs w:val="24"/>
          <w:highlight w:val="none"/>
        </w:rPr>
      </w:pPr>
      <w:r>
        <w:rPr>
          <w:rFonts w:hint="eastAsia" w:ascii="宋体" w:hAnsi="宋体" w:cs="宋体"/>
          <w:b/>
          <w:sz w:val="24"/>
          <w:szCs w:val="24"/>
          <w:highlight w:val="none"/>
        </w:rPr>
        <w:t>条款号：</w:t>
      </w:r>
      <w:r>
        <w:rPr>
          <w:rFonts w:hint="eastAsia" w:ascii="宋体" w:hAnsi="宋体" w:cs="宋体"/>
          <w:b/>
          <w:bCs/>
          <w:sz w:val="24"/>
          <w:szCs w:val="24"/>
          <w:highlight w:val="none"/>
        </w:rPr>
        <w:t>18.</w:t>
      </w:r>
      <w:r>
        <w:rPr>
          <w:rFonts w:hint="eastAsia" w:ascii="宋体" w:hAnsi="宋体" w:cs="宋体"/>
          <w:b/>
          <w:sz w:val="24"/>
          <w:szCs w:val="24"/>
          <w:highlight w:val="none"/>
        </w:rPr>
        <w:t xml:space="preserve">               修改类型：修改</w:t>
      </w:r>
    </w:p>
    <w:p w14:paraId="0A724FDF">
      <w:pPr>
        <w:pStyle w:val="4"/>
        <w:spacing w:after="0" w:line="360" w:lineRule="auto"/>
        <w:ind w:firstLine="600" w:firstLineChars="249"/>
        <w:rPr>
          <w:rFonts w:hint="eastAsia" w:ascii="宋体" w:hAnsi="宋体" w:cs="宋体"/>
          <w:b/>
          <w:bCs/>
          <w:sz w:val="24"/>
          <w:szCs w:val="24"/>
          <w:highlight w:val="none"/>
        </w:rPr>
      </w:pPr>
      <w:r>
        <w:rPr>
          <w:rFonts w:hint="eastAsia" w:ascii="宋体" w:hAnsi="宋体" w:cs="宋体"/>
          <w:b/>
          <w:sz w:val="24"/>
          <w:szCs w:val="24"/>
          <w:highlight w:val="none"/>
        </w:rPr>
        <w:t>原文：</w:t>
      </w:r>
      <w:r>
        <w:rPr>
          <w:rFonts w:hint="eastAsia" w:ascii="宋体" w:hAnsi="宋体" w:cs="宋体"/>
          <w:bCs/>
          <w:sz w:val="24"/>
          <w:szCs w:val="24"/>
          <w:highlight w:val="none"/>
        </w:rPr>
        <w:t>18．</w:t>
      </w:r>
      <w:r>
        <w:rPr>
          <w:rFonts w:hint="eastAsia" w:ascii="宋体" w:hAnsi="宋体" w:cs="宋体"/>
          <w:sz w:val="24"/>
          <w:szCs w:val="24"/>
          <w:highlight w:val="none"/>
        </w:rPr>
        <w:t>投标文件的密封和标记</w:t>
      </w:r>
    </w:p>
    <w:p w14:paraId="2AEA2BE5">
      <w:pPr>
        <w:spacing w:line="360" w:lineRule="auto"/>
        <w:ind w:firstLine="480" w:firstLineChars="200"/>
        <w:rPr>
          <w:rFonts w:hint="eastAsia" w:ascii="宋体" w:hAnsi="宋体" w:cs="宋体"/>
          <w:bCs/>
          <w:sz w:val="24"/>
          <w:szCs w:val="24"/>
          <w:highlight w:val="none"/>
        </w:rPr>
      </w:pPr>
      <w:r>
        <w:rPr>
          <w:rFonts w:hint="eastAsia" w:ascii="宋体" w:hAnsi="宋体" w:cs="宋体"/>
          <w:bCs/>
          <w:sz w:val="24"/>
          <w:szCs w:val="24"/>
          <w:highlight w:val="none"/>
        </w:rPr>
        <w:t>18.1递交的电子投标文件（不含备用光盘）必须进行加密。按照交易平台关于</w:t>
      </w:r>
      <w:r>
        <w:rPr>
          <w:rFonts w:hint="eastAsia" w:ascii="宋体" w:hAnsi="宋体" w:cs="宋体"/>
          <w:sz w:val="24"/>
          <w:szCs w:val="24"/>
          <w:highlight w:val="none"/>
        </w:rPr>
        <w:t>全流程电子化项目的相关指南进行操作。详见：</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 。</w:t>
      </w:r>
    </w:p>
    <w:p w14:paraId="7976523B">
      <w:pPr>
        <w:spacing w:line="360" w:lineRule="auto"/>
        <w:ind w:firstLine="480" w:firstLineChars="200"/>
        <w:rPr>
          <w:rFonts w:hint="eastAsia" w:ascii="宋体" w:hAnsi="宋体" w:cs="宋体"/>
          <w:bCs/>
          <w:sz w:val="24"/>
          <w:szCs w:val="24"/>
          <w:highlight w:val="none"/>
        </w:rPr>
      </w:pPr>
      <w:r>
        <w:rPr>
          <w:rFonts w:hint="eastAsia" w:ascii="宋体" w:hAnsi="宋体" w:cs="宋体"/>
          <w:bCs/>
          <w:sz w:val="24"/>
          <w:szCs w:val="24"/>
          <w:highlight w:val="none"/>
        </w:rPr>
        <w:t>18.2 未按要求加密的投标文件，</w:t>
      </w:r>
      <w:r>
        <w:rPr>
          <w:rFonts w:hint="eastAsia" w:ascii="宋体" w:hAnsi="宋体" w:cs="宋体"/>
          <w:sz w:val="24"/>
          <w:szCs w:val="24"/>
          <w:highlight w:val="none"/>
          <w:u w:val="single"/>
        </w:rPr>
        <w:t xml:space="preserve">        </w:t>
      </w:r>
      <w:r>
        <w:rPr>
          <w:rFonts w:hint="eastAsia" w:ascii="宋体" w:hAnsi="宋体" w:cs="宋体"/>
          <w:sz w:val="24"/>
          <w:szCs w:val="24"/>
          <w:highlight w:val="none"/>
        </w:rPr>
        <w:t>交易平台</w:t>
      </w:r>
      <w:r>
        <w:rPr>
          <w:rFonts w:hint="eastAsia" w:ascii="宋体" w:hAnsi="宋体" w:cs="宋体"/>
          <w:bCs/>
          <w:sz w:val="24"/>
          <w:szCs w:val="24"/>
          <w:highlight w:val="none"/>
        </w:rPr>
        <w:t>将予以拒收。</w:t>
      </w:r>
    </w:p>
    <w:p w14:paraId="56FCC935">
      <w:pPr>
        <w:spacing w:line="360" w:lineRule="auto"/>
        <w:ind w:firstLine="590" w:firstLineChars="245"/>
        <w:rPr>
          <w:rFonts w:hint="eastAsia" w:ascii="宋体" w:hAnsi="宋体" w:cs="宋体"/>
          <w:b/>
          <w:sz w:val="24"/>
          <w:szCs w:val="24"/>
          <w:highlight w:val="none"/>
        </w:rPr>
      </w:pPr>
      <w:r>
        <w:rPr>
          <w:rFonts w:hint="eastAsia" w:ascii="宋体" w:hAnsi="宋体" w:cs="宋体"/>
          <w:b/>
          <w:sz w:val="24"/>
          <w:szCs w:val="24"/>
          <w:highlight w:val="none"/>
        </w:rPr>
        <w:t>现文：</w:t>
      </w:r>
      <w:r>
        <w:rPr>
          <w:rFonts w:hint="eastAsia" w:ascii="宋体" w:hAnsi="宋体" w:cs="宋体"/>
          <w:sz w:val="24"/>
          <w:szCs w:val="24"/>
          <w:highlight w:val="none"/>
        </w:rPr>
        <w:t xml:space="preserve">18. </w:t>
      </w:r>
      <w:r>
        <w:rPr>
          <w:rFonts w:hint="eastAsia" w:ascii="宋体" w:hAnsi="宋体" w:cs="宋体"/>
          <w:sz w:val="24"/>
          <w:szCs w:val="24"/>
          <w:highlight w:val="none"/>
          <w:u w:val="none"/>
        </w:rPr>
        <w:t>投标文件的密封和标记</w:t>
      </w:r>
    </w:p>
    <w:p w14:paraId="1989F736">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18.1递交的电子投标文件（不含备用光盘）必须进行加密。按照交易平台关于全流程电子化项目的相关指南进行操作。详见：</w:t>
      </w:r>
      <w:r>
        <w:rPr>
          <w:rFonts w:hint="eastAsia" w:ascii="宋体" w:hAnsi="宋体" w:cs="宋体"/>
          <w:b/>
          <w:bCs/>
          <w:sz w:val="24"/>
          <w:szCs w:val="24"/>
          <w:highlight w:val="none"/>
          <w:u w:val="single"/>
        </w:rPr>
        <w:t>广州交易集团有限公司（广州公共资源交易中心）网站</w:t>
      </w:r>
      <w:r>
        <w:rPr>
          <w:rFonts w:hint="eastAsia" w:ascii="宋体" w:hAnsi="宋体" w:cs="宋体"/>
          <w:sz w:val="24"/>
          <w:szCs w:val="24"/>
          <w:highlight w:val="none"/>
        </w:rPr>
        <w:t>。</w:t>
      </w:r>
    </w:p>
    <w:p w14:paraId="660EB1CC">
      <w:pPr>
        <w:pBdr>
          <w:bottom w:val="single" w:color="auto" w:sz="6" w:space="1"/>
        </w:pBd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18.2</w:t>
      </w:r>
      <w:r>
        <w:rPr>
          <w:rFonts w:hint="eastAsia" w:ascii="宋体" w:hAnsi="宋体" w:cs="宋体"/>
          <w:bCs/>
          <w:sz w:val="24"/>
          <w:szCs w:val="24"/>
          <w:highlight w:val="none"/>
        </w:rPr>
        <w:t>未按要求加密的投标文件，</w:t>
      </w:r>
      <w:r>
        <w:rPr>
          <w:rFonts w:hint="eastAsia" w:ascii="宋体" w:hAnsi="宋体" w:cs="宋体"/>
          <w:b/>
          <w:bCs/>
          <w:sz w:val="24"/>
          <w:szCs w:val="24"/>
          <w:highlight w:val="none"/>
          <w:u w:val="single"/>
        </w:rPr>
        <w:t>广州交易集团有限公司（广州公共资源交易中心）</w:t>
      </w:r>
      <w:r>
        <w:rPr>
          <w:rFonts w:hint="eastAsia" w:ascii="宋体" w:hAnsi="宋体" w:cs="宋体"/>
          <w:sz w:val="24"/>
          <w:szCs w:val="24"/>
          <w:highlight w:val="none"/>
        </w:rPr>
        <w:t>交易平台</w:t>
      </w:r>
      <w:r>
        <w:rPr>
          <w:rFonts w:hint="eastAsia" w:ascii="宋体" w:hAnsi="宋体" w:cs="宋体"/>
          <w:bCs/>
          <w:sz w:val="24"/>
          <w:szCs w:val="24"/>
          <w:highlight w:val="none"/>
        </w:rPr>
        <w:t>将予以拒收。</w:t>
      </w:r>
    </w:p>
    <w:p w14:paraId="1BE5BA18">
      <w:pPr>
        <w:spacing w:line="360" w:lineRule="auto"/>
        <w:ind w:firstLine="590" w:firstLineChars="245"/>
        <w:rPr>
          <w:rFonts w:hint="eastAsia" w:ascii="宋体" w:hAnsi="宋体" w:cs="宋体"/>
          <w:b/>
          <w:sz w:val="24"/>
          <w:szCs w:val="24"/>
          <w:highlight w:val="none"/>
        </w:rPr>
      </w:pPr>
      <w:r>
        <w:rPr>
          <w:rFonts w:hint="eastAsia" w:ascii="宋体" w:hAnsi="宋体" w:cs="宋体"/>
          <w:b/>
          <w:sz w:val="24"/>
          <w:szCs w:val="24"/>
          <w:highlight w:val="none"/>
        </w:rPr>
        <w:t>条款号：</w:t>
      </w:r>
      <w:r>
        <w:rPr>
          <w:rFonts w:hint="eastAsia" w:ascii="宋体" w:hAnsi="宋体" w:cs="宋体"/>
          <w:b/>
          <w:bCs/>
          <w:sz w:val="24"/>
          <w:szCs w:val="24"/>
          <w:highlight w:val="none"/>
        </w:rPr>
        <w:t>19．</w:t>
      </w:r>
      <w:r>
        <w:rPr>
          <w:rFonts w:hint="eastAsia" w:ascii="宋体" w:hAnsi="宋体" w:cs="宋体"/>
          <w:b/>
          <w:sz w:val="24"/>
          <w:szCs w:val="24"/>
          <w:highlight w:val="none"/>
        </w:rPr>
        <w:t xml:space="preserve">             修改类型：修改</w:t>
      </w:r>
    </w:p>
    <w:p w14:paraId="7AF12FDE">
      <w:pPr>
        <w:spacing w:line="360" w:lineRule="auto"/>
        <w:ind w:firstLine="600" w:firstLineChars="249"/>
        <w:rPr>
          <w:rFonts w:hint="eastAsia" w:ascii="宋体" w:hAnsi="宋体" w:cs="宋体"/>
          <w:bCs/>
          <w:sz w:val="24"/>
          <w:szCs w:val="24"/>
          <w:highlight w:val="none"/>
        </w:rPr>
      </w:pPr>
      <w:r>
        <w:rPr>
          <w:rFonts w:hint="eastAsia" w:ascii="宋体" w:hAnsi="宋体" w:cs="宋体"/>
          <w:b/>
          <w:sz w:val="24"/>
          <w:szCs w:val="24"/>
          <w:highlight w:val="none"/>
        </w:rPr>
        <w:t>原文：</w:t>
      </w:r>
      <w:r>
        <w:rPr>
          <w:rFonts w:hint="eastAsia" w:ascii="宋体" w:hAnsi="宋体" w:cs="宋体"/>
          <w:bCs/>
          <w:sz w:val="24"/>
          <w:szCs w:val="24"/>
          <w:highlight w:val="none"/>
        </w:rPr>
        <w:t>投标文件的递交和接收</w:t>
      </w:r>
    </w:p>
    <w:p w14:paraId="4EE4C7A8">
      <w:pPr>
        <w:spacing w:line="360" w:lineRule="auto"/>
        <w:ind w:firstLine="480" w:firstLineChars="200"/>
        <w:rPr>
          <w:rFonts w:hint="eastAsia" w:ascii="宋体" w:hAnsi="宋体" w:cs="宋体"/>
          <w:bCs/>
          <w:sz w:val="24"/>
          <w:szCs w:val="24"/>
          <w:highlight w:val="none"/>
        </w:rPr>
      </w:pPr>
      <w:r>
        <w:rPr>
          <w:rFonts w:hint="eastAsia" w:ascii="宋体" w:hAnsi="宋体" w:cs="宋体"/>
          <w:bCs/>
          <w:sz w:val="24"/>
          <w:szCs w:val="24"/>
          <w:highlight w:val="none"/>
        </w:rPr>
        <w:t>19.1投标人通过</w:t>
      </w:r>
      <w:r>
        <w:rPr>
          <w:rFonts w:hint="eastAsia" w:ascii="宋体" w:hAnsi="宋体" w:cs="宋体"/>
          <w:sz w:val="24"/>
          <w:szCs w:val="24"/>
          <w:highlight w:val="none"/>
          <w:u w:val="single"/>
        </w:rPr>
        <w:t xml:space="preserve">        </w:t>
      </w:r>
      <w:r>
        <w:rPr>
          <w:rFonts w:hint="eastAsia" w:ascii="宋体" w:hAnsi="宋体" w:cs="宋体"/>
          <w:sz w:val="24"/>
          <w:szCs w:val="24"/>
          <w:highlight w:val="none"/>
        </w:rPr>
        <w:t>交易平台递交电子投标文件。</w:t>
      </w:r>
    </w:p>
    <w:p w14:paraId="0A975656">
      <w:pPr>
        <w:spacing w:line="360" w:lineRule="auto"/>
        <w:ind w:firstLine="480" w:firstLineChars="200"/>
        <w:rPr>
          <w:rFonts w:hint="eastAsia" w:ascii="宋体" w:hAnsi="宋体" w:cs="宋体"/>
          <w:bCs/>
          <w:sz w:val="24"/>
          <w:szCs w:val="24"/>
          <w:highlight w:val="none"/>
        </w:rPr>
      </w:pPr>
      <w:r>
        <w:rPr>
          <w:rFonts w:hint="eastAsia" w:ascii="宋体" w:hAnsi="宋体" w:cs="宋体"/>
          <w:bCs/>
          <w:sz w:val="24"/>
          <w:szCs w:val="24"/>
          <w:highlight w:val="none"/>
        </w:rPr>
        <w:t>19.2投标人完成电子</w:t>
      </w:r>
      <w:r>
        <w:rPr>
          <w:rFonts w:hint="eastAsia" w:ascii="宋体" w:hAnsi="宋体" w:cs="宋体"/>
          <w:sz w:val="24"/>
          <w:szCs w:val="24"/>
          <w:highlight w:val="none"/>
        </w:rPr>
        <w:t>投标文件</w:t>
      </w:r>
      <w:r>
        <w:rPr>
          <w:rFonts w:hint="eastAsia" w:ascii="宋体" w:hAnsi="宋体" w:cs="宋体"/>
          <w:bCs/>
          <w:sz w:val="24"/>
          <w:szCs w:val="24"/>
          <w:highlight w:val="none"/>
        </w:rPr>
        <w:t>上传后，</w:t>
      </w:r>
      <w:r>
        <w:rPr>
          <w:rFonts w:hint="eastAsia" w:ascii="宋体" w:hAnsi="宋体" w:cs="宋体"/>
          <w:sz w:val="24"/>
          <w:szCs w:val="24"/>
          <w:highlight w:val="none"/>
          <w:u w:val="single"/>
        </w:rPr>
        <w:t xml:space="preserve">        </w:t>
      </w:r>
      <w:r>
        <w:rPr>
          <w:rFonts w:hint="eastAsia" w:ascii="宋体" w:hAnsi="宋体" w:cs="宋体"/>
          <w:sz w:val="24"/>
          <w:szCs w:val="24"/>
          <w:highlight w:val="none"/>
        </w:rPr>
        <w:t>交易平台即时向投标人发出递交回执通知。递交时间以递交回执通知载明的传输完成时间为准。</w:t>
      </w:r>
    </w:p>
    <w:p w14:paraId="4EA3F3DF">
      <w:pPr>
        <w:spacing w:line="360" w:lineRule="auto"/>
        <w:ind w:firstLine="480" w:firstLineChars="200"/>
        <w:rPr>
          <w:rFonts w:hint="eastAsia" w:ascii="宋体" w:hAnsi="宋体" w:cs="宋体"/>
          <w:sz w:val="24"/>
          <w:szCs w:val="24"/>
          <w:highlight w:val="none"/>
        </w:rPr>
      </w:pPr>
      <w:r>
        <w:rPr>
          <w:rFonts w:hint="eastAsia" w:ascii="宋体" w:hAnsi="宋体" w:cs="宋体"/>
          <w:bCs/>
          <w:sz w:val="24"/>
          <w:szCs w:val="24"/>
          <w:highlight w:val="none"/>
        </w:rPr>
        <w:t>19.3逾期送达的电子投标文件，</w:t>
      </w:r>
      <w:r>
        <w:rPr>
          <w:rFonts w:hint="eastAsia" w:ascii="宋体" w:hAnsi="宋体" w:cs="宋体"/>
          <w:sz w:val="24"/>
          <w:szCs w:val="24"/>
          <w:highlight w:val="none"/>
          <w:u w:val="single"/>
        </w:rPr>
        <w:t xml:space="preserve">        </w:t>
      </w:r>
      <w:r>
        <w:rPr>
          <w:rFonts w:hint="eastAsia" w:ascii="宋体" w:hAnsi="宋体" w:cs="宋体"/>
          <w:sz w:val="24"/>
          <w:szCs w:val="24"/>
          <w:highlight w:val="none"/>
        </w:rPr>
        <w:t>交易平台将予以拒收。</w:t>
      </w:r>
    </w:p>
    <w:p w14:paraId="215836FD">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19.4 投标截止前，招标人拒绝接收符合条件的投标文件，投标人可向招标投标监督机构投诉。</w:t>
      </w:r>
    </w:p>
    <w:p w14:paraId="14BCC3FD">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19.5如技术标和经济标先后分别开启，</w:t>
      </w:r>
      <w:r>
        <w:rPr>
          <w:rFonts w:hint="eastAsia" w:ascii="宋体" w:hAnsi="宋体" w:cs="宋体"/>
          <w:sz w:val="24"/>
          <w:szCs w:val="24"/>
          <w:highlight w:val="none"/>
          <w:u w:val="single"/>
        </w:rPr>
        <w:t xml:space="preserve">        </w:t>
      </w:r>
      <w:r>
        <w:rPr>
          <w:rFonts w:hint="eastAsia" w:ascii="宋体" w:hAnsi="宋体" w:cs="宋体"/>
          <w:sz w:val="24"/>
          <w:szCs w:val="24"/>
          <w:highlight w:val="none"/>
        </w:rPr>
        <w:t>交易平台将按招标文件规定的时间分别开启技术标和经济标。</w:t>
      </w:r>
    </w:p>
    <w:p w14:paraId="2462CC32">
      <w:pPr>
        <w:spacing w:line="360" w:lineRule="auto"/>
        <w:ind w:firstLine="590" w:firstLineChars="245"/>
        <w:rPr>
          <w:rFonts w:hint="eastAsia" w:ascii="宋体" w:hAnsi="宋体" w:cs="宋体"/>
          <w:b/>
          <w:sz w:val="24"/>
          <w:szCs w:val="24"/>
          <w:highlight w:val="none"/>
        </w:rPr>
      </w:pPr>
      <w:r>
        <w:rPr>
          <w:rFonts w:hint="eastAsia" w:ascii="宋体" w:hAnsi="宋体" w:cs="宋体"/>
          <w:b/>
          <w:sz w:val="24"/>
          <w:szCs w:val="24"/>
          <w:highlight w:val="none"/>
        </w:rPr>
        <w:t>现文：</w:t>
      </w:r>
      <w:r>
        <w:rPr>
          <w:rFonts w:hint="eastAsia" w:ascii="宋体" w:hAnsi="宋体" w:cs="宋体"/>
          <w:bCs/>
          <w:sz w:val="24"/>
          <w:szCs w:val="24"/>
          <w:highlight w:val="none"/>
        </w:rPr>
        <w:t>投标文件的递交和接收</w:t>
      </w:r>
    </w:p>
    <w:p w14:paraId="1F72BF75">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19.1投标人通过</w:t>
      </w:r>
      <w:r>
        <w:rPr>
          <w:rFonts w:hint="eastAsia" w:ascii="宋体" w:hAnsi="宋体" w:cs="宋体"/>
          <w:b/>
          <w:bCs/>
          <w:sz w:val="24"/>
          <w:szCs w:val="24"/>
          <w:highlight w:val="none"/>
          <w:u w:val="single"/>
        </w:rPr>
        <w:t>广州交易集团有限公司（广州公共资源交易中心）</w:t>
      </w:r>
      <w:r>
        <w:rPr>
          <w:rFonts w:hint="eastAsia" w:ascii="宋体" w:hAnsi="宋体" w:cs="宋体"/>
          <w:sz w:val="24"/>
          <w:szCs w:val="24"/>
          <w:highlight w:val="none"/>
        </w:rPr>
        <w:t>交易平台递交电子投标文件。</w:t>
      </w:r>
    </w:p>
    <w:p w14:paraId="6470CE27">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19.2投标人完成电子投标文件上传后，</w:t>
      </w:r>
      <w:r>
        <w:rPr>
          <w:rFonts w:hint="eastAsia" w:ascii="宋体" w:hAnsi="宋体" w:cs="宋体"/>
          <w:b/>
          <w:bCs/>
          <w:sz w:val="24"/>
          <w:szCs w:val="24"/>
          <w:highlight w:val="none"/>
          <w:u w:val="single"/>
        </w:rPr>
        <w:t>广州交易集团有限公司（广州公共资源交易中心）</w:t>
      </w:r>
      <w:r>
        <w:rPr>
          <w:rFonts w:hint="eastAsia" w:ascii="宋体" w:hAnsi="宋体" w:cs="宋体"/>
          <w:sz w:val="24"/>
          <w:szCs w:val="24"/>
          <w:highlight w:val="none"/>
        </w:rPr>
        <w:t>交易平台即时向投标人发出递交回执通知。递交时间以递交回执通知载明的传输完成时间为准。</w:t>
      </w:r>
    </w:p>
    <w:p w14:paraId="18F810A7">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19.3逾期送达的电子投标文件，</w:t>
      </w:r>
      <w:r>
        <w:rPr>
          <w:rFonts w:hint="eastAsia" w:ascii="宋体" w:hAnsi="宋体" w:cs="宋体"/>
          <w:b/>
          <w:bCs/>
          <w:sz w:val="24"/>
          <w:szCs w:val="24"/>
          <w:highlight w:val="none"/>
          <w:u w:val="single"/>
        </w:rPr>
        <w:t>广州交易集团有限公司（广州公共资源交易中心）</w:t>
      </w:r>
      <w:r>
        <w:rPr>
          <w:rFonts w:hint="eastAsia" w:ascii="宋体" w:hAnsi="宋体" w:cs="宋体"/>
          <w:sz w:val="24"/>
          <w:szCs w:val="24"/>
          <w:highlight w:val="none"/>
        </w:rPr>
        <w:t>交易平台将予以拒收。</w:t>
      </w:r>
    </w:p>
    <w:p w14:paraId="3788354A">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19.4 投标截止前，招标人拒绝接收符合条件的投标文件，投标人可向招标投标监督机构投诉。</w:t>
      </w:r>
    </w:p>
    <w:p w14:paraId="6DE68A9D">
      <w:pPr>
        <w:spacing w:line="360" w:lineRule="auto"/>
        <w:ind w:firstLine="480" w:firstLineChars="200"/>
        <w:rPr>
          <w:rFonts w:hint="eastAsia" w:ascii="宋体" w:hAnsi="宋体" w:cs="宋体"/>
          <w:sz w:val="24"/>
          <w:szCs w:val="24"/>
          <w:highlight w:val="none"/>
          <w:u w:val="single"/>
        </w:rPr>
      </w:pPr>
      <w:r>
        <w:rPr>
          <w:rFonts w:hint="eastAsia" w:ascii="宋体" w:hAnsi="宋体" w:cs="宋体"/>
          <w:sz w:val="24"/>
          <w:szCs w:val="24"/>
          <w:highlight w:val="none"/>
          <w:u w:val="single"/>
        </w:rPr>
        <w:t>19.5</w:t>
      </w:r>
      <w:r>
        <w:rPr>
          <w:rFonts w:hint="eastAsia" w:ascii="宋体" w:hAnsi="宋体" w:cs="宋体"/>
          <w:b/>
          <w:bCs/>
          <w:sz w:val="24"/>
          <w:szCs w:val="24"/>
          <w:highlight w:val="none"/>
          <w:u w:val="single"/>
        </w:rPr>
        <w:t>技术标和经济标同时开启，广州交易集团有限公司（广州公共资源交易中心）交易平台将按招标文件规定的时间同时开启技术标</w:t>
      </w:r>
      <w:r>
        <w:rPr>
          <w:rFonts w:hint="eastAsia" w:ascii="宋体" w:hAnsi="宋体" w:cs="宋体"/>
          <w:b/>
          <w:bCs/>
          <w:sz w:val="24"/>
          <w:szCs w:val="24"/>
          <w:highlight w:val="none"/>
          <w:u w:val="single"/>
          <w:lang w:eastAsia="zh-CN"/>
        </w:rPr>
        <w:t>、</w:t>
      </w:r>
      <w:r>
        <w:rPr>
          <w:rFonts w:hint="eastAsia" w:ascii="宋体" w:hAnsi="宋体" w:cs="宋体"/>
          <w:b/>
          <w:bCs/>
          <w:sz w:val="24"/>
          <w:szCs w:val="24"/>
          <w:highlight w:val="none"/>
          <w:u w:val="single"/>
        </w:rPr>
        <w:t>经济标</w:t>
      </w:r>
      <w:r>
        <w:rPr>
          <w:rFonts w:hint="eastAsia" w:ascii="宋体" w:hAnsi="宋体" w:cs="宋体"/>
          <w:b/>
          <w:bCs/>
          <w:sz w:val="24"/>
          <w:szCs w:val="24"/>
          <w:highlight w:val="none"/>
          <w:u w:val="single"/>
          <w:lang w:eastAsia="zh-CN"/>
        </w:rPr>
        <w:t>及定标文件</w:t>
      </w:r>
      <w:r>
        <w:rPr>
          <w:rFonts w:hint="eastAsia" w:ascii="宋体" w:hAnsi="宋体" w:cs="宋体"/>
          <w:b/>
          <w:bCs/>
          <w:sz w:val="24"/>
          <w:szCs w:val="24"/>
          <w:highlight w:val="none"/>
          <w:u w:val="single"/>
        </w:rPr>
        <w:t>。</w:t>
      </w:r>
    </w:p>
    <w:p w14:paraId="4F1927C7">
      <w:pPr>
        <w:pBdr>
          <w:bottom w:val="single" w:color="auto" w:sz="4" w:space="0"/>
        </w:pBdr>
        <w:spacing w:line="360" w:lineRule="auto"/>
        <w:ind w:firstLineChars="200"/>
        <w:rPr>
          <w:rFonts w:hint="eastAsia" w:ascii="宋体" w:hAnsi="宋体"/>
          <w:b/>
          <w:bCs/>
          <w:sz w:val="24"/>
          <w:szCs w:val="24"/>
          <w:highlight w:val="none"/>
          <w:u w:val="single"/>
          <w:lang w:val="en-US" w:eastAsia="zh-CN" w:bidi="ar-SA"/>
        </w:rPr>
      </w:pPr>
      <w:r>
        <w:rPr>
          <w:rFonts w:hint="eastAsia" w:ascii="宋体" w:hAnsi="宋体"/>
          <w:b/>
          <w:bCs/>
          <w:sz w:val="24"/>
          <w:szCs w:val="24"/>
          <w:highlight w:val="none"/>
          <w:u w:val="single"/>
          <w:lang w:val="en-US" w:eastAsia="zh-CN" w:bidi="ar-SA"/>
        </w:rPr>
        <w:t>19.6签订合同前中标单位应向招标人递交2套投标文件纸质版。</w:t>
      </w:r>
    </w:p>
    <w:p w14:paraId="70FB7AC9">
      <w:pPr>
        <w:pStyle w:val="127"/>
        <w:rPr>
          <w:rFonts w:hint="default" w:ascii="宋体" w:hAnsi="宋体"/>
          <w:sz w:val="24"/>
          <w:szCs w:val="24"/>
          <w:highlight w:val="none"/>
          <w:u w:val="single"/>
          <w:lang w:val="en-US" w:eastAsia="zh-CN" w:bidi="ar-SA"/>
        </w:rPr>
      </w:pPr>
    </w:p>
    <w:p w14:paraId="78FCEEE7">
      <w:pPr>
        <w:spacing w:line="360" w:lineRule="auto"/>
        <w:ind w:firstLine="590" w:firstLineChars="245"/>
        <w:rPr>
          <w:rFonts w:hint="eastAsia" w:ascii="宋体" w:hAnsi="宋体" w:cs="宋体"/>
          <w:b/>
          <w:sz w:val="24"/>
          <w:szCs w:val="24"/>
          <w:highlight w:val="none"/>
        </w:rPr>
      </w:pPr>
      <w:r>
        <w:rPr>
          <w:rFonts w:hint="eastAsia" w:ascii="宋体" w:hAnsi="宋体" w:cs="宋体"/>
          <w:b/>
          <w:sz w:val="24"/>
          <w:szCs w:val="24"/>
          <w:highlight w:val="none"/>
        </w:rPr>
        <w:t>条款号：21.1              修改类型：修改</w:t>
      </w:r>
    </w:p>
    <w:p w14:paraId="4C0D22DD">
      <w:pPr>
        <w:spacing w:line="360" w:lineRule="auto"/>
        <w:ind w:firstLine="590" w:firstLineChars="245"/>
        <w:rPr>
          <w:rFonts w:hint="eastAsia" w:ascii="宋体" w:hAnsi="宋体" w:cs="宋体"/>
          <w:sz w:val="24"/>
          <w:szCs w:val="24"/>
          <w:highlight w:val="none"/>
        </w:rPr>
      </w:pPr>
      <w:r>
        <w:rPr>
          <w:rFonts w:hint="eastAsia" w:ascii="宋体" w:hAnsi="宋体" w:cs="宋体"/>
          <w:b/>
          <w:sz w:val="24"/>
          <w:szCs w:val="24"/>
          <w:highlight w:val="none"/>
        </w:rPr>
        <w:t>原文：</w:t>
      </w:r>
      <w:r>
        <w:rPr>
          <w:rFonts w:hint="eastAsia" w:ascii="宋体" w:hAnsi="宋体" w:cs="宋体"/>
          <w:sz w:val="24"/>
          <w:szCs w:val="24"/>
          <w:highlight w:val="none"/>
        </w:rPr>
        <w:t>本须知前附表第17项规定的投标截止时间</w:t>
      </w:r>
      <w:r>
        <w:rPr>
          <w:rFonts w:hint="eastAsia" w:ascii="宋体" w:hAnsi="宋体" w:cs="宋体"/>
          <w:bCs/>
          <w:sz w:val="24"/>
          <w:szCs w:val="24"/>
          <w:highlight w:val="none"/>
        </w:rPr>
        <w:t>后送达的电子投标文件，</w:t>
      </w:r>
      <w:r>
        <w:rPr>
          <w:rFonts w:hint="eastAsia" w:ascii="宋体" w:hAnsi="宋体" w:cs="宋体"/>
          <w:sz w:val="24"/>
          <w:szCs w:val="24"/>
          <w:highlight w:val="none"/>
          <w:u w:val="single"/>
        </w:rPr>
        <w:t xml:space="preserve">   </w:t>
      </w:r>
      <w:r>
        <w:rPr>
          <w:rFonts w:hint="eastAsia" w:ascii="宋体" w:hAnsi="宋体" w:cs="宋体"/>
          <w:sz w:val="24"/>
          <w:szCs w:val="24"/>
          <w:highlight w:val="none"/>
        </w:rPr>
        <w:t>交易平台将予以拒收。</w:t>
      </w:r>
    </w:p>
    <w:p w14:paraId="2B3A8196">
      <w:pPr>
        <w:pBdr>
          <w:bottom w:val="single" w:color="auto" w:sz="6" w:space="1"/>
        </w:pBdr>
        <w:spacing w:line="360" w:lineRule="auto"/>
        <w:ind w:firstLine="602" w:firstLineChars="250"/>
        <w:rPr>
          <w:rFonts w:hint="eastAsia" w:ascii="宋体" w:hAnsi="宋体" w:cs="宋体"/>
          <w:sz w:val="24"/>
          <w:szCs w:val="24"/>
          <w:highlight w:val="none"/>
        </w:rPr>
      </w:pPr>
      <w:r>
        <w:rPr>
          <w:rFonts w:hint="eastAsia" w:ascii="宋体" w:hAnsi="宋体" w:cs="宋体"/>
          <w:b/>
          <w:sz w:val="24"/>
          <w:szCs w:val="24"/>
          <w:highlight w:val="none"/>
        </w:rPr>
        <w:t>现文：</w:t>
      </w:r>
      <w:r>
        <w:rPr>
          <w:rFonts w:hint="eastAsia" w:ascii="宋体" w:hAnsi="宋体" w:cs="宋体"/>
          <w:sz w:val="24"/>
          <w:szCs w:val="24"/>
          <w:highlight w:val="none"/>
        </w:rPr>
        <w:t>本须知前附表第17项规定的投标截止时间后送达的电子投标文件，</w:t>
      </w:r>
      <w:r>
        <w:rPr>
          <w:rFonts w:hint="eastAsia" w:ascii="宋体" w:hAnsi="宋体" w:cs="宋体"/>
          <w:b/>
          <w:bCs/>
          <w:sz w:val="24"/>
          <w:szCs w:val="24"/>
          <w:highlight w:val="none"/>
          <w:u w:val="single"/>
        </w:rPr>
        <w:t>广州交易集团有限公司（广州公共资源交易中心）</w:t>
      </w:r>
      <w:r>
        <w:rPr>
          <w:rFonts w:hint="eastAsia" w:ascii="宋体" w:hAnsi="宋体" w:cs="宋体"/>
          <w:sz w:val="24"/>
          <w:szCs w:val="24"/>
          <w:highlight w:val="none"/>
        </w:rPr>
        <w:t>交易平台将予以拒收。</w:t>
      </w:r>
    </w:p>
    <w:p w14:paraId="494C4CC0">
      <w:pPr>
        <w:spacing w:line="360" w:lineRule="auto"/>
        <w:ind w:firstLine="590" w:firstLineChars="245"/>
        <w:rPr>
          <w:rFonts w:hint="eastAsia" w:ascii="宋体" w:hAnsi="宋体" w:cs="宋体"/>
          <w:b/>
          <w:sz w:val="24"/>
          <w:szCs w:val="24"/>
          <w:highlight w:val="none"/>
        </w:rPr>
      </w:pPr>
      <w:r>
        <w:rPr>
          <w:rFonts w:hint="eastAsia" w:ascii="宋体" w:hAnsi="宋体" w:cs="宋体"/>
          <w:b/>
          <w:sz w:val="24"/>
          <w:szCs w:val="24"/>
          <w:highlight w:val="none"/>
        </w:rPr>
        <w:t>条款号：24.             修改类型：修改</w:t>
      </w:r>
    </w:p>
    <w:p w14:paraId="0B46DA6D">
      <w:pPr>
        <w:spacing w:line="360" w:lineRule="auto"/>
        <w:ind w:firstLine="600" w:firstLineChars="249"/>
        <w:rPr>
          <w:rFonts w:hint="eastAsia" w:ascii="宋体" w:hAnsi="宋体" w:cs="宋体"/>
          <w:sz w:val="24"/>
          <w:szCs w:val="24"/>
          <w:highlight w:val="none"/>
        </w:rPr>
      </w:pPr>
      <w:r>
        <w:rPr>
          <w:rFonts w:hint="eastAsia" w:ascii="宋体" w:hAnsi="宋体" w:cs="宋体"/>
          <w:b/>
          <w:sz w:val="24"/>
          <w:szCs w:val="24"/>
          <w:highlight w:val="none"/>
        </w:rPr>
        <w:t>原文：</w:t>
      </w:r>
      <w:r>
        <w:rPr>
          <w:rFonts w:hint="eastAsia" w:ascii="宋体" w:hAnsi="宋体" w:cs="宋体"/>
          <w:sz w:val="24"/>
          <w:szCs w:val="24"/>
          <w:highlight w:val="none"/>
        </w:rPr>
        <w:t>24.1开标后，直至中标公示为止，凡属于对投标文件的审查、澄清、评价和比较有关的资料以及中标候选人的推荐情况，与评标有关的其他任何情况均严格保密。</w:t>
      </w:r>
    </w:p>
    <w:p w14:paraId="1A48E760">
      <w:pPr>
        <w:pBdr>
          <w:bottom w:val="single" w:color="auto" w:sz="6" w:space="1"/>
        </w:pBdr>
        <w:spacing w:line="360" w:lineRule="auto"/>
        <w:ind w:firstLine="600" w:firstLineChars="250"/>
        <w:rPr>
          <w:rFonts w:hint="eastAsia" w:ascii="宋体" w:hAnsi="宋体" w:cs="宋体"/>
          <w:sz w:val="24"/>
          <w:szCs w:val="24"/>
          <w:highlight w:val="none"/>
        </w:rPr>
      </w:pPr>
      <w:r>
        <w:rPr>
          <w:rFonts w:hint="eastAsia" w:ascii="宋体" w:hAnsi="宋体" w:cs="宋体"/>
          <w:sz w:val="24"/>
          <w:szCs w:val="24"/>
          <w:highlight w:val="none"/>
        </w:rPr>
        <w:t>24.2在投标文件的评审和比较、中标候选人推荐以及授予合同的过程中，投标人向招标人和评标委员会施加不公正影响的任何行为，都将会导致其投标被拒绝</w:t>
      </w:r>
    </w:p>
    <w:p w14:paraId="26BBA878">
      <w:pPr>
        <w:pBdr>
          <w:bottom w:val="single" w:color="auto" w:sz="6" w:space="1"/>
        </w:pBdr>
        <w:spacing w:line="360" w:lineRule="auto"/>
        <w:ind w:firstLine="602" w:firstLineChars="250"/>
        <w:rPr>
          <w:rFonts w:hint="eastAsia" w:ascii="宋体" w:hAnsi="宋体" w:cs="宋体"/>
          <w:sz w:val="24"/>
          <w:szCs w:val="24"/>
          <w:highlight w:val="none"/>
        </w:rPr>
      </w:pPr>
      <w:r>
        <w:rPr>
          <w:rFonts w:hint="eastAsia" w:ascii="宋体" w:hAnsi="宋体" w:cs="宋体"/>
          <w:b/>
          <w:sz w:val="24"/>
          <w:szCs w:val="24"/>
          <w:highlight w:val="none"/>
        </w:rPr>
        <w:t>现文：</w:t>
      </w:r>
      <w:r>
        <w:rPr>
          <w:rFonts w:hint="eastAsia" w:ascii="宋体" w:hAnsi="宋体" w:cs="宋体"/>
          <w:sz w:val="24"/>
          <w:szCs w:val="24"/>
          <w:highlight w:val="none"/>
        </w:rPr>
        <w:t>24.1开标后，直至中标公示为止，凡属于对投标文件的审查、澄清、评价和比较有关的资料以及中标候选人的推荐情况，与评标</w:t>
      </w:r>
      <w:r>
        <w:rPr>
          <w:rFonts w:hint="eastAsia" w:ascii="宋体" w:hAnsi="宋体" w:cs="宋体"/>
          <w:b/>
          <w:bCs/>
          <w:sz w:val="24"/>
          <w:szCs w:val="24"/>
          <w:highlight w:val="none"/>
          <w:u w:val="single"/>
        </w:rPr>
        <w:t>及定标</w:t>
      </w:r>
      <w:r>
        <w:rPr>
          <w:rFonts w:hint="eastAsia" w:ascii="宋体" w:hAnsi="宋体" w:cs="宋体"/>
          <w:sz w:val="24"/>
          <w:szCs w:val="24"/>
          <w:highlight w:val="none"/>
        </w:rPr>
        <w:t>有关的其他任何情况均严格保密。</w:t>
      </w:r>
    </w:p>
    <w:p w14:paraId="68F2B8F1">
      <w:pPr>
        <w:pBdr>
          <w:bottom w:val="single" w:color="auto" w:sz="6" w:space="1"/>
        </w:pBdr>
        <w:spacing w:line="360" w:lineRule="auto"/>
        <w:ind w:firstLine="600" w:firstLineChars="250"/>
        <w:rPr>
          <w:rFonts w:hint="eastAsia" w:ascii="宋体" w:hAnsi="宋体" w:cs="宋体"/>
          <w:sz w:val="24"/>
          <w:szCs w:val="24"/>
          <w:highlight w:val="none"/>
        </w:rPr>
      </w:pPr>
      <w:r>
        <w:rPr>
          <w:rFonts w:hint="eastAsia" w:ascii="宋体" w:hAnsi="宋体" w:cs="宋体"/>
          <w:sz w:val="24"/>
          <w:szCs w:val="24"/>
          <w:highlight w:val="none"/>
        </w:rPr>
        <w:t>24.2在投标文件的评审和比较、中标候选人推荐以及授予合同的过程中，投标人向招标人、评标委员会</w:t>
      </w:r>
      <w:r>
        <w:rPr>
          <w:rFonts w:hint="eastAsia" w:ascii="宋体" w:hAnsi="宋体" w:cs="宋体"/>
          <w:b/>
          <w:bCs/>
          <w:sz w:val="24"/>
          <w:szCs w:val="24"/>
          <w:highlight w:val="none"/>
          <w:u w:val="single"/>
        </w:rPr>
        <w:t>和定标委员会</w:t>
      </w:r>
      <w:r>
        <w:rPr>
          <w:rFonts w:hint="eastAsia" w:ascii="宋体" w:hAnsi="宋体" w:cs="宋体"/>
          <w:sz w:val="24"/>
          <w:szCs w:val="24"/>
          <w:highlight w:val="none"/>
        </w:rPr>
        <w:t>施加不公正影响的任何行为，都将会导致其投标被拒绝。</w:t>
      </w:r>
    </w:p>
    <w:p w14:paraId="4E0E0AEF">
      <w:pPr>
        <w:spacing w:line="360" w:lineRule="auto"/>
        <w:ind w:firstLine="540" w:firstLineChars="224"/>
        <w:rPr>
          <w:rFonts w:hint="eastAsia" w:ascii="宋体" w:hAnsi="宋体" w:cs="宋体"/>
          <w:b/>
          <w:sz w:val="24"/>
          <w:szCs w:val="24"/>
          <w:highlight w:val="none"/>
        </w:rPr>
      </w:pPr>
      <w:r>
        <w:rPr>
          <w:rFonts w:hint="eastAsia" w:ascii="宋体" w:hAnsi="宋体" w:cs="宋体"/>
          <w:b/>
          <w:sz w:val="24"/>
          <w:szCs w:val="24"/>
          <w:highlight w:val="none"/>
        </w:rPr>
        <w:t>条款号：2</w:t>
      </w:r>
      <w:r>
        <w:rPr>
          <w:rFonts w:hint="eastAsia" w:ascii="宋体" w:hAnsi="宋体" w:cs="宋体"/>
          <w:b/>
          <w:sz w:val="24"/>
          <w:szCs w:val="24"/>
          <w:highlight w:val="none"/>
          <w:lang w:val="en-US" w:eastAsia="zh-CN"/>
        </w:rPr>
        <w:t>8</w:t>
      </w:r>
      <w:r>
        <w:rPr>
          <w:rFonts w:hint="eastAsia" w:ascii="宋体" w:hAnsi="宋体" w:cs="宋体"/>
          <w:b/>
          <w:sz w:val="24"/>
          <w:szCs w:val="24"/>
          <w:highlight w:val="none"/>
        </w:rPr>
        <w:t>.1             修改类型：修改</w:t>
      </w:r>
    </w:p>
    <w:p w14:paraId="577D198A">
      <w:pPr>
        <w:spacing w:line="360" w:lineRule="auto"/>
        <w:ind w:firstLine="540" w:firstLineChars="224"/>
        <w:rPr>
          <w:rFonts w:hint="eastAsia" w:ascii="宋体" w:hAnsi="宋体" w:cs="宋体"/>
          <w:b/>
          <w:sz w:val="24"/>
          <w:szCs w:val="24"/>
          <w:highlight w:val="none"/>
        </w:rPr>
      </w:pPr>
      <w:r>
        <w:rPr>
          <w:rFonts w:hint="eastAsia" w:ascii="宋体" w:hAnsi="宋体" w:cs="宋体"/>
          <w:b/>
          <w:sz w:val="24"/>
          <w:szCs w:val="24"/>
          <w:highlight w:val="none"/>
        </w:rPr>
        <w:t>原文：</w:t>
      </w:r>
      <w:r>
        <w:rPr>
          <w:rFonts w:hint="eastAsia" w:ascii="宋体" w:hAnsi="宋体" w:cs="宋体"/>
          <w:sz w:val="24"/>
          <w:szCs w:val="24"/>
          <w:highlight w:val="none"/>
        </w:rPr>
        <w:t>2</w:t>
      </w:r>
      <w:r>
        <w:rPr>
          <w:rFonts w:hint="eastAsia" w:ascii="宋体" w:hAnsi="宋体" w:cs="宋体"/>
          <w:sz w:val="24"/>
          <w:szCs w:val="24"/>
          <w:highlight w:val="none"/>
          <w:lang w:val="en-US" w:eastAsia="zh-CN"/>
        </w:rPr>
        <w:t>8</w:t>
      </w:r>
      <w:r>
        <w:rPr>
          <w:rFonts w:hint="eastAsia" w:ascii="宋体" w:hAnsi="宋体" w:cs="宋体"/>
          <w:sz w:val="24"/>
          <w:szCs w:val="24"/>
          <w:highlight w:val="none"/>
        </w:rPr>
        <w:t>.1招标人将在</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rPr>
        <w:t>交易平台、广东省招标投标监管网和中国招标投标公共服务平台公示中标候选人，公示期为三天（最后一天应为工作日）。投标人或其他利害关系人对评标结果有异议的，应当在中标候选人公示期间提出，通过电子交易系统向招标人提出异议，招标人也应通过交易平台答复线上提交的异议，具体按照电子招标投标交易平台相关指南进行操作。作出答复前，应当暂停招标投标活动。投标人提出异议时需在线提交书面的异议书（异议书应清晰表述异议事项、依据、线索、请求或主张、有效的联系方式等）并附法定代表人证明书、有效的授权委托书、被授权人的有效身份证明。</w:t>
      </w:r>
    </w:p>
    <w:p w14:paraId="4D3E1085">
      <w:pPr>
        <w:pBdr>
          <w:bottom w:val="single" w:color="auto" w:sz="6" w:space="1"/>
        </w:pBdr>
        <w:spacing w:line="360" w:lineRule="auto"/>
        <w:ind w:firstLine="602" w:firstLineChars="250"/>
        <w:rPr>
          <w:rFonts w:hint="eastAsia" w:ascii="宋体" w:hAnsi="宋体" w:cs="宋体"/>
          <w:sz w:val="24"/>
          <w:szCs w:val="24"/>
          <w:highlight w:val="none"/>
        </w:rPr>
      </w:pPr>
      <w:r>
        <w:rPr>
          <w:rFonts w:hint="eastAsia" w:ascii="宋体" w:hAnsi="宋体" w:cs="宋体"/>
          <w:b/>
          <w:sz w:val="24"/>
          <w:szCs w:val="24"/>
          <w:highlight w:val="none"/>
        </w:rPr>
        <w:t>现文：</w:t>
      </w:r>
      <w:r>
        <w:rPr>
          <w:rFonts w:hint="eastAsia" w:ascii="宋体" w:hAnsi="宋体" w:cs="宋体"/>
          <w:sz w:val="24"/>
          <w:szCs w:val="24"/>
          <w:highlight w:val="none"/>
        </w:rPr>
        <w:t>2</w:t>
      </w:r>
      <w:r>
        <w:rPr>
          <w:rFonts w:hint="eastAsia" w:ascii="宋体" w:hAnsi="宋体" w:cs="宋体"/>
          <w:sz w:val="24"/>
          <w:szCs w:val="24"/>
          <w:highlight w:val="none"/>
          <w:lang w:val="en-US" w:eastAsia="zh-CN"/>
        </w:rPr>
        <w:t>8</w:t>
      </w:r>
      <w:r>
        <w:rPr>
          <w:rFonts w:hint="eastAsia" w:ascii="宋体" w:hAnsi="宋体" w:cs="宋体"/>
          <w:sz w:val="24"/>
          <w:szCs w:val="24"/>
          <w:highlight w:val="none"/>
        </w:rPr>
        <w:t>.1招标人将在</w:t>
      </w:r>
      <w:r>
        <w:rPr>
          <w:rFonts w:hint="eastAsia" w:ascii="宋体" w:hAnsi="宋体" w:cs="宋体"/>
          <w:b/>
          <w:bCs/>
          <w:sz w:val="24"/>
          <w:szCs w:val="24"/>
          <w:highlight w:val="none"/>
          <w:u w:val="single"/>
        </w:rPr>
        <w:t>广州交易集团有限公司（广州公共资源交易中心）</w:t>
      </w:r>
      <w:r>
        <w:rPr>
          <w:rFonts w:hint="eastAsia" w:ascii="宋体" w:hAnsi="宋体" w:cs="宋体"/>
          <w:sz w:val="24"/>
          <w:szCs w:val="24"/>
          <w:highlight w:val="none"/>
        </w:rPr>
        <w:t>交易平台、广东省招标投标监管网</w:t>
      </w:r>
      <w:r>
        <w:rPr>
          <w:rFonts w:hint="eastAsia" w:ascii="宋体" w:hAnsi="宋体" w:cs="宋体"/>
          <w:sz w:val="24"/>
          <w:szCs w:val="24"/>
          <w:highlight w:val="none"/>
          <w:lang w:eastAsia="zh-CN"/>
        </w:rPr>
        <w:t>、</w:t>
      </w:r>
      <w:r>
        <w:rPr>
          <w:rFonts w:hint="eastAsia" w:ascii="宋体" w:hAnsi="宋体" w:cs="宋体"/>
          <w:sz w:val="24"/>
          <w:szCs w:val="24"/>
          <w:highlight w:val="none"/>
        </w:rPr>
        <w:t>中国招标投标公共服务平台</w:t>
      </w:r>
      <w:r>
        <w:rPr>
          <w:rFonts w:hint="eastAsia" w:ascii="宋体" w:hAnsi="宋体" w:cs="宋体"/>
          <w:b/>
          <w:bCs/>
          <w:sz w:val="24"/>
          <w:szCs w:val="24"/>
          <w:highlight w:val="none"/>
          <w:u w:val="single"/>
        </w:rPr>
        <w:t>及广州国企阳光采购信息发布平台</w:t>
      </w:r>
      <w:r>
        <w:rPr>
          <w:rFonts w:hint="eastAsia" w:ascii="宋体" w:hAnsi="宋体" w:cs="宋体"/>
          <w:sz w:val="24"/>
          <w:szCs w:val="24"/>
          <w:highlight w:val="none"/>
        </w:rPr>
        <w:t>公示中标候选人，公示期为三天（最后一天应为工作日）。投标人或其他利害关系人对评标结果有异议的，应当在中标候选人公示期间提出，通过电子交易系统向招标人提出异议，招标人也应通过交易平台答复线上提交的异议，具体按照电子招标投标交易平台相关指南进行操作。作出答复前，应当暂停招标投标活动。投标人提出异议时需在线提交书面的异议书（异议书应清晰表述异议事项、依据、线索、请求或主张、有效的联系方式等）并附法定代表人证明书、有效的授权委托书、被授权人的有效身份证明。</w:t>
      </w:r>
    </w:p>
    <w:p w14:paraId="7AFD2FBF">
      <w:pPr>
        <w:spacing w:line="360" w:lineRule="auto"/>
        <w:ind w:firstLine="540" w:firstLineChars="224"/>
        <w:rPr>
          <w:rFonts w:hint="eastAsia" w:ascii="宋体" w:hAnsi="宋体" w:cs="宋体"/>
          <w:b/>
          <w:sz w:val="24"/>
          <w:szCs w:val="24"/>
          <w:highlight w:val="none"/>
        </w:rPr>
      </w:pPr>
      <w:r>
        <w:rPr>
          <w:rFonts w:hint="eastAsia" w:ascii="宋体" w:hAnsi="宋体" w:cs="宋体"/>
          <w:b/>
          <w:sz w:val="24"/>
          <w:szCs w:val="24"/>
          <w:highlight w:val="none"/>
        </w:rPr>
        <w:t>条款号：2</w:t>
      </w:r>
      <w:r>
        <w:rPr>
          <w:rFonts w:hint="eastAsia" w:ascii="宋体" w:hAnsi="宋体" w:cs="宋体"/>
          <w:b/>
          <w:sz w:val="24"/>
          <w:szCs w:val="24"/>
          <w:highlight w:val="none"/>
          <w:lang w:val="en-US" w:eastAsia="zh-CN"/>
        </w:rPr>
        <w:t>8</w:t>
      </w:r>
      <w:r>
        <w:rPr>
          <w:rFonts w:hint="eastAsia" w:ascii="宋体" w:hAnsi="宋体" w:cs="宋体"/>
          <w:b/>
          <w:sz w:val="24"/>
          <w:szCs w:val="24"/>
          <w:highlight w:val="none"/>
        </w:rPr>
        <w:t>.4             修改类型：修改</w:t>
      </w:r>
    </w:p>
    <w:p w14:paraId="62C61083">
      <w:pPr>
        <w:spacing w:line="360" w:lineRule="auto"/>
        <w:ind w:firstLine="540" w:firstLineChars="224"/>
        <w:rPr>
          <w:rFonts w:hint="eastAsia" w:ascii="宋体" w:hAnsi="宋体" w:cs="宋体"/>
          <w:b/>
          <w:sz w:val="24"/>
          <w:szCs w:val="24"/>
          <w:highlight w:val="none"/>
        </w:rPr>
      </w:pPr>
      <w:r>
        <w:rPr>
          <w:rFonts w:hint="eastAsia" w:ascii="宋体" w:hAnsi="宋体" w:cs="宋体"/>
          <w:b/>
          <w:sz w:val="24"/>
          <w:szCs w:val="24"/>
          <w:highlight w:val="none"/>
        </w:rPr>
        <w:t>原文：</w:t>
      </w:r>
      <w:r>
        <w:rPr>
          <w:rFonts w:hint="eastAsia" w:ascii="宋体" w:hAnsi="宋体" w:cs="宋体"/>
          <w:sz w:val="24"/>
          <w:szCs w:val="24"/>
          <w:highlight w:val="none"/>
        </w:rPr>
        <w:t>在产生中标候选人后，招标人将中标候选人的投标文件商务部分文件的所有内容（包括报价清单、人员、业绩、奖项等资料）在</w:t>
      </w:r>
      <w:r>
        <w:rPr>
          <w:rFonts w:hint="eastAsia" w:ascii="宋体" w:hAnsi="宋体" w:cs="宋体"/>
          <w:sz w:val="24"/>
          <w:szCs w:val="24"/>
          <w:highlight w:val="none"/>
          <w:u w:val="single"/>
        </w:rPr>
        <w:t xml:space="preserve">        </w:t>
      </w:r>
      <w:r>
        <w:rPr>
          <w:rFonts w:hint="eastAsia" w:ascii="宋体" w:hAnsi="宋体" w:cs="宋体"/>
          <w:sz w:val="24"/>
          <w:szCs w:val="24"/>
          <w:highlight w:val="none"/>
        </w:rPr>
        <w:t>交易平台和广东省招标投标监管网公开。</w:t>
      </w:r>
    </w:p>
    <w:p w14:paraId="1CEBB425">
      <w:pPr>
        <w:pBdr>
          <w:bottom w:val="single" w:color="auto" w:sz="6" w:space="1"/>
        </w:pBdr>
        <w:spacing w:line="360" w:lineRule="auto"/>
        <w:ind w:firstLine="590" w:firstLineChars="245"/>
        <w:rPr>
          <w:rFonts w:hint="eastAsia" w:ascii="宋体" w:hAnsi="宋体" w:cs="宋体"/>
          <w:sz w:val="24"/>
          <w:szCs w:val="24"/>
          <w:highlight w:val="none"/>
        </w:rPr>
      </w:pPr>
      <w:r>
        <w:rPr>
          <w:rFonts w:hint="eastAsia" w:ascii="宋体" w:hAnsi="宋体" w:cs="宋体"/>
          <w:b/>
          <w:sz w:val="24"/>
          <w:szCs w:val="24"/>
          <w:highlight w:val="none"/>
        </w:rPr>
        <w:t>现文：</w:t>
      </w:r>
      <w:r>
        <w:rPr>
          <w:rFonts w:hint="eastAsia" w:ascii="宋体" w:hAnsi="宋体" w:cs="宋体"/>
          <w:sz w:val="24"/>
          <w:szCs w:val="24"/>
          <w:highlight w:val="none"/>
        </w:rPr>
        <w:t>在产生中标候选人后，招标人将中标候选人的投标文件商务部分文件的所有内容（包括人员、业绩、奖项等资料）在</w:t>
      </w:r>
      <w:r>
        <w:rPr>
          <w:rFonts w:hint="eastAsia" w:ascii="宋体" w:hAnsi="宋体" w:cs="宋体"/>
          <w:b/>
          <w:bCs/>
          <w:sz w:val="24"/>
          <w:szCs w:val="24"/>
          <w:highlight w:val="none"/>
          <w:u w:val="single"/>
        </w:rPr>
        <w:t>广州交易集团有限公司（广州公共资源交易中心）</w:t>
      </w:r>
      <w:r>
        <w:rPr>
          <w:rFonts w:hint="eastAsia" w:ascii="宋体" w:hAnsi="宋体" w:cs="宋体"/>
          <w:sz w:val="24"/>
          <w:szCs w:val="24"/>
          <w:highlight w:val="none"/>
        </w:rPr>
        <w:t>交易平台和广东省招标投标监管网公开。</w:t>
      </w:r>
    </w:p>
    <w:p w14:paraId="42812D14">
      <w:pPr>
        <w:spacing w:line="360" w:lineRule="auto"/>
        <w:ind w:firstLine="590" w:firstLineChars="245"/>
        <w:rPr>
          <w:rFonts w:hint="eastAsia" w:ascii="宋体" w:hAnsi="宋体" w:cs="宋体"/>
          <w:b/>
          <w:sz w:val="24"/>
          <w:szCs w:val="24"/>
          <w:highlight w:val="none"/>
        </w:rPr>
      </w:pPr>
      <w:r>
        <w:rPr>
          <w:rFonts w:hint="eastAsia" w:ascii="宋体" w:hAnsi="宋体" w:cs="宋体"/>
          <w:b/>
          <w:sz w:val="24"/>
          <w:szCs w:val="24"/>
          <w:highlight w:val="none"/>
        </w:rPr>
        <w:t>条款号：29.1             修改类型：修改</w:t>
      </w:r>
    </w:p>
    <w:p w14:paraId="1BAADD9E">
      <w:pPr>
        <w:snapToGrid w:val="0"/>
        <w:spacing w:line="360" w:lineRule="auto"/>
        <w:ind w:firstLine="600" w:firstLineChars="249"/>
        <w:rPr>
          <w:rFonts w:hint="eastAsia" w:ascii="宋体" w:hAnsi="宋体" w:cs="宋体"/>
          <w:sz w:val="24"/>
          <w:szCs w:val="24"/>
          <w:highlight w:val="none"/>
        </w:rPr>
      </w:pPr>
      <w:r>
        <w:rPr>
          <w:rFonts w:hint="eastAsia" w:ascii="宋体" w:hAnsi="宋体" w:cs="宋体"/>
          <w:b/>
          <w:sz w:val="24"/>
          <w:szCs w:val="24"/>
          <w:highlight w:val="none"/>
        </w:rPr>
        <w:t>原文：</w:t>
      </w:r>
      <w:r>
        <w:rPr>
          <w:rFonts w:hint="eastAsia" w:ascii="宋体" w:hAnsi="宋体" w:cs="宋体"/>
          <w:sz w:val="24"/>
          <w:szCs w:val="24"/>
          <w:highlight w:val="none"/>
        </w:rPr>
        <w:t xml:space="preserve"> 招标人与中标人将于中标通知书发出之日起 30 日内，按照招标文件和中标人的投标文件商定和签订合同，招标人和中标人不得再行订立背离合同实质性内容的其他协议。</w:t>
      </w:r>
    </w:p>
    <w:p w14:paraId="605313D7">
      <w:pPr>
        <w:pBdr>
          <w:bottom w:val="single" w:color="auto" w:sz="6" w:space="1"/>
        </w:pBdr>
        <w:spacing w:line="360" w:lineRule="auto"/>
        <w:ind w:firstLine="602" w:firstLineChars="250"/>
        <w:rPr>
          <w:rFonts w:hint="eastAsia" w:ascii="宋体" w:hAnsi="宋体" w:cs="宋体"/>
          <w:sz w:val="24"/>
          <w:szCs w:val="24"/>
          <w:highlight w:val="none"/>
          <w:u w:val="single"/>
        </w:rPr>
      </w:pPr>
      <w:r>
        <w:rPr>
          <w:rFonts w:hint="eastAsia" w:ascii="宋体" w:hAnsi="宋体" w:cs="宋体"/>
          <w:b/>
          <w:sz w:val="24"/>
          <w:szCs w:val="24"/>
          <w:highlight w:val="none"/>
        </w:rPr>
        <w:t>现文：</w:t>
      </w:r>
      <w:r>
        <w:rPr>
          <w:rFonts w:hint="eastAsia" w:ascii="宋体" w:hAnsi="宋体" w:cs="宋体"/>
          <w:b/>
          <w:bCs/>
          <w:sz w:val="24"/>
          <w:szCs w:val="24"/>
          <w:highlight w:val="none"/>
          <w:u w:val="single"/>
        </w:rPr>
        <w:t>在合同签订后20日内，中标人应按本须知前附表第20项的规定向招标人递交履约担保；履约担保形式为银行保函（国内商业银行不可撤销的无条件履约保函）或其他担保方式，采用其他担保方式须经甲方批准。</w:t>
      </w:r>
    </w:p>
    <w:p w14:paraId="23CBBED5">
      <w:pPr>
        <w:spacing w:line="360" w:lineRule="auto"/>
        <w:ind w:firstLine="540" w:firstLineChars="224"/>
        <w:rPr>
          <w:rFonts w:hint="eastAsia" w:ascii="宋体" w:hAnsi="宋体" w:cs="宋体"/>
          <w:b/>
          <w:sz w:val="24"/>
          <w:szCs w:val="24"/>
          <w:highlight w:val="none"/>
        </w:rPr>
      </w:pPr>
      <w:r>
        <w:rPr>
          <w:rFonts w:hint="eastAsia" w:ascii="宋体" w:hAnsi="宋体" w:cs="宋体"/>
          <w:b/>
          <w:sz w:val="24"/>
          <w:szCs w:val="24"/>
          <w:highlight w:val="none"/>
        </w:rPr>
        <w:t>条款号：29.2             修改类型：修改</w:t>
      </w:r>
    </w:p>
    <w:p w14:paraId="04201E2A">
      <w:pPr>
        <w:pBdr>
          <w:bottom w:val="none" w:color="auto" w:sz="0" w:space="0"/>
        </w:pBdr>
        <w:spacing w:line="360" w:lineRule="auto"/>
        <w:ind w:firstLine="540" w:firstLineChars="224"/>
        <w:rPr>
          <w:rFonts w:hint="eastAsia" w:ascii="宋体" w:hAnsi="宋体" w:cs="宋体"/>
          <w:sz w:val="24"/>
          <w:szCs w:val="24"/>
          <w:highlight w:val="none"/>
        </w:rPr>
      </w:pPr>
      <w:r>
        <w:rPr>
          <w:rFonts w:hint="eastAsia" w:ascii="宋体" w:hAnsi="宋体" w:cs="宋体"/>
          <w:b/>
          <w:sz w:val="24"/>
          <w:szCs w:val="24"/>
          <w:highlight w:val="none"/>
        </w:rPr>
        <w:t>原文：</w:t>
      </w:r>
      <w:r>
        <w:rPr>
          <w:rFonts w:hint="eastAsia" w:ascii="宋体" w:hAnsi="宋体" w:cs="宋体"/>
          <w:sz w:val="24"/>
          <w:szCs w:val="24"/>
          <w:highlight w:val="none"/>
        </w:rPr>
        <w:t>中标通知书发出之日起 30 日后，中标人未按上款的规定与招标人订立合同，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1F693AA4">
      <w:pPr>
        <w:pBdr>
          <w:bottom w:val="none" w:color="auto" w:sz="0" w:space="0"/>
        </w:pBdr>
        <w:spacing w:line="360" w:lineRule="auto"/>
        <w:ind w:firstLine="540" w:firstLineChars="224"/>
        <w:rPr>
          <w:rFonts w:hint="eastAsia" w:ascii="宋体" w:hAnsi="宋体" w:cs="宋体"/>
          <w:sz w:val="24"/>
          <w:szCs w:val="24"/>
          <w:highlight w:val="none"/>
        </w:rPr>
      </w:pPr>
      <w:r>
        <w:rPr>
          <w:rFonts w:hint="eastAsia" w:ascii="宋体" w:hAnsi="宋体" w:cs="宋体"/>
          <w:b/>
          <w:sz w:val="24"/>
          <w:szCs w:val="24"/>
          <w:highlight w:val="none"/>
        </w:rPr>
        <w:t>现文：</w:t>
      </w:r>
      <w:r>
        <w:rPr>
          <w:rFonts w:hint="eastAsia" w:ascii="宋体" w:hAnsi="宋体" w:cs="宋体"/>
          <w:b/>
          <w:bCs/>
          <w:sz w:val="24"/>
          <w:szCs w:val="24"/>
          <w:highlight w:val="none"/>
          <w:u w:val="single"/>
        </w:rPr>
        <w:t>合同签订后20日内，中标人未按上款的规定递交履约担保，招标人将解除中标通知书，原中标人的投标担保不予退还，且依法承担相应法律责任。原中标人给招标人造成的损失超过投标担保数额的，还应当对超过部分予以赔偿。原中标人有异议的，可以向项目所在地人民法院起诉</w:t>
      </w:r>
      <w:r>
        <w:rPr>
          <w:rFonts w:hint="eastAsia" w:ascii="宋体" w:hAnsi="宋体" w:cs="宋体"/>
          <w:b/>
          <w:bCs/>
          <w:sz w:val="24"/>
          <w:szCs w:val="24"/>
          <w:highlight w:val="none"/>
        </w:rPr>
        <w:t>。</w:t>
      </w:r>
    </w:p>
    <w:p w14:paraId="7E192594">
      <w:pPr>
        <w:spacing w:line="360" w:lineRule="auto"/>
        <w:ind w:firstLine="540" w:firstLineChars="224"/>
        <w:rPr>
          <w:rFonts w:hint="eastAsia" w:ascii="宋体" w:hAnsi="宋体" w:cs="宋体"/>
          <w:b/>
          <w:sz w:val="24"/>
          <w:szCs w:val="24"/>
          <w:highlight w:val="none"/>
        </w:rPr>
      </w:pPr>
      <w:r>
        <w:rPr>
          <w:rFonts w:hint="eastAsia" w:ascii="宋体" w:hAnsi="宋体" w:cs="宋体"/>
          <w:b/>
          <w:sz w:val="24"/>
          <w:szCs w:val="24"/>
          <w:highlight w:val="none"/>
        </w:rPr>
        <w:t>条款号：</w:t>
      </w:r>
      <w:r>
        <w:rPr>
          <w:rFonts w:hint="eastAsia" w:ascii="宋体" w:hAnsi="宋体" w:cs="宋体"/>
          <w:b/>
          <w:sz w:val="24"/>
          <w:szCs w:val="24"/>
          <w:highlight w:val="none"/>
          <w:lang w:val="en-US" w:eastAsia="zh-CN"/>
        </w:rPr>
        <w:t>30.1、30.2</w:t>
      </w:r>
      <w:r>
        <w:rPr>
          <w:rFonts w:hint="eastAsia" w:ascii="宋体" w:hAnsi="宋体" w:cs="宋体"/>
          <w:b/>
          <w:sz w:val="24"/>
          <w:szCs w:val="24"/>
          <w:highlight w:val="none"/>
        </w:rPr>
        <w:t xml:space="preserve">             修改类型：修改</w:t>
      </w:r>
    </w:p>
    <w:p w14:paraId="769A56F4">
      <w:pPr>
        <w:snapToGrid w:val="0"/>
        <w:spacing w:line="360" w:lineRule="auto"/>
        <w:ind w:firstLine="482" w:firstLineChars="200"/>
        <w:rPr>
          <w:rFonts w:ascii="宋体"/>
          <w:color w:val="auto"/>
          <w:sz w:val="24"/>
          <w:highlight w:val="none"/>
        </w:rPr>
      </w:pPr>
      <w:r>
        <w:rPr>
          <w:rFonts w:hint="eastAsia" w:ascii="宋体" w:hAnsi="宋体" w:cs="宋体"/>
          <w:b/>
          <w:sz w:val="24"/>
          <w:szCs w:val="24"/>
          <w:highlight w:val="none"/>
        </w:rPr>
        <w:t>原文：</w:t>
      </w:r>
      <w:r>
        <w:rPr>
          <w:rFonts w:hint="eastAsia" w:ascii="宋体" w:hAnsi="宋体"/>
          <w:color w:val="auto"/>
          <w:sz w:val="24"/>
          <w:highlight w:val="none"/>
          <w:lang w:val="en-US" w:eastAsia="zh-CN"/>
        </w:rPr>
        <w:t>30</w:t>
      </w:r>
      <w:r>
        <w:rPr>
          <w:rFonts w:ascii="宋体" w:hAnsi="宋体"/>
          <w:color w:val="auto"/>
          <w:sz w:val="24"/>
          <w:highlight w:val="none"/>
        </w:rPr>
        <w:t xml:space="preserve">.1 </w:t>
      </w:r>
      <w:r>
        <w:rPr>
          <w:rFonts w:hint="eastAsia" w:ascii="宋体" w:hAnsi="宋体"/>
          <w:color w:val="auto"/>
          <w:sz w:val="24"/>
          <w:highlight w:val="none"/>
        </w:rPr>
        <w:t>在收到中标通知书后的</w:t>
      </w:r>
      <w:r>
        <w:rPr>
          <w:rFonts w:ascii="宋体" w:hAnsi="宋体"/>
          <w:b w:val="0"/>
          <w:bCs/>
          <w:color w:val="auto"/>
          <w:sz w:val="24"/>
          <w:highlight w:val="none"/>
        </w:rPr>
        <w:t>15</w:t>
      </w:r>
      <w:r>
        <w:rPr>
          <w:rFonts w:hint="eastAsia" w:ascii="宋体" w:hAnsi="宋体"/>
          <w:b w:val="0"/>
          <w:bCs/>
          <w:color w:val="auto"/>
          <w:sz w:val="24"/>
          <w:highlight w:val="none"/>
        </w:rPr>
        <w:t>日内</w:t>
      </w:r>
      <w:r>
        <w:rPr>
          <w:rFonts w:hint="eastAsia" w:ascii="宋体" w:hAnsi="宋体"/>
          <w:color w:val="auto"/>
          <w:sz w:val="24"/>
          <w:highlight w:val="none"/>
        </w:rPr>
        <w:t>，中标人应按本须知前附表第</w:t>
      </w:r>
      <w:r>
        <w:rPr>
          <w:rFonts w:ascii="宋体" w:hAnsi="宋体"/>
          <w:color w:val="auto"/>
          <w:sz w:val="24"/>
          <w:highlight w:val="none"/>
        </w:rPr>
        <w:t>2</w:t>
      </w:r>
      <w:r>
        <w:rPr>
          <w:rFonts w:hint="eastAsia" w:ascii="宋体" w:hAnsi="宋体"/>
          <w:color w:val="auto"/>
          <w:sz w:val="24"/>
          <w:highlight w:val="none"/>
        </w:rPr>
        <w:t>0项的规定向招标人提交履约担保。</w:t>
      </w:r>
    </w:p>
    <w:p w14:paraId="26E8EF11">
      <w:pPr>
        <w:spacing w:line="360" w:lineRule="auto"/>
        <w:ind w:firstLine="240" w:firstLineChars="100"/>
        <w:rPr>
          <w:rFonts w:hint="eastAsia" w:ascii="宋体" w:hAnsi="宋体"/>
          <w:color w:val="auto"/>
          <w:sz w:val="24"/>
          <w:highlight w:val="none"/>
        </w:rPr>
      </w:pPr>
      <w:r>
        <w:rPr>
          <w:rFonts w:hint="eastAsia" w:ascii="宋体" w:hAnsi="宋体"/>
          <w:color w:val="auto"/>
          <w:sz w:val="24"/>
          <w:highlight w:val="none"/>
          <w:lang w:val="en-US" w:eastAsia="zh-CN"/>
        </w:rPr>
        <w:t>30</w:t>
      </w:r>
      <w:r>
        <w:rPr>
          <w:rFonts w:ascii="宋体" w:hAnsi="宋体"/>
          <w:color w:val="auto"/>
          <w:sz w:val="24"/>
          <w:highlight w:val="none"/>
        </w:rPr>
        <w:t>.2</w:t>
      </w:r>
      <w:r>
        <w:rPr>
          <w:rFonts w:hint="eastAsia" w:ascii="宋体" w:hAnsi="宋体"/>
          <w:color w:val="auto"/>
          <w:sz w:val="24"/>
          <w:highlight w:val="none"/>
        </w:rPr>
        <w:t>中标通知书发出之日起</w:t>
      </w:r>
      <w:r>
        <w:rPr>
          <w:rFonts w:ascii="宋体" w:hAnsi="宋体"/>
          <w:color w:val="auto"/>
          <w:sz w:val="24"/>
          <w:highlight w:val="none"/>
        </w:rPr>
        <w:t>15</w:t>
      </w:r>
      <w:r>
        <w:rPr>
          <w:rFonts w:hint="eastAsia" w:ascii="宋体" w:hAnsi="宋体"/>
          <w:color w:val="auto"/>
          <w:sz w:val="24"/>
          <w:highlight w:val="none"/>
        </w:rPr>
        <w:t>日后，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45131895">
      <w:pPr>
        <w:snapToGrid w:val="0"/>
        <w:spacing w:line="360" w:lineRule="auto"/>
        <w:ind w:firstLine="482" w:firstLineChars="200"/>
        <w:rPr>
          <w:rFonts w:ascii="宋体"/>
          <w:color w:val="auto"/>
          <w:sz w:val="24"/>
          <w:highlight w:val="none"/>
        </w:rPr>
      </w:pPr>
      <w:r>
        <w:rPr>
          <w:rFonts w:hint="eastAsia" w:ascii="宋体" w:hAnsi="宋体"/>
          <w:b/>
          <w:bCs/>
          <w:color w:val="auto"/>
          <w:sz w:val="24"/>
          <w:highlight w:val="none"/>
          <w:lang w:eastAsia="zh-CN"/>
        </w:rPr>
        <w:t>现文：</w:t>
      </w:r>
      <w:r>
        <w:rPr>
          <w:rFonts w:hint="eastAsia" w:ascii="宋体" w:hAnsi="宋体"/>
          <w:color w:val="auto"/>
          <w:sz w:val="24"/>
          <w:highlight w:val="none"/>
          <w:lang w:val="en-US" w:eastAsia="zh-CN"/>
        </w:rPr>
        <w:t>30</w:t>
      </w:r>
      <w:r>
        <w:rPr>
          <w:rFonts w:ascii="宋体" w:hAnsi="宋体"/>
          <w:color w:val="auto"/>
          <w:sz w:val="24"/>
          <w:highlight w:val="none"/>
        </w:rPr>
        <w:t xml:space="preserve">.1 </w:t>
      </w:r>
      <w:r>
        <w:rPr>
          <w:rFonts w:hint="eastAsia" w:ascii="宋体" w:hAnsi="宋体" w:cs="宋体"/>
          <w:b/>
          <w:bCs/>
          <w:sz w:val="24"/>
          <w:szCs w:val="24"/>
          <w:highlight w:val="none"/>
          <w:u w:val="single"/>
        </w:rPr>
        <w:t>合同签订后20日内</w:t>
      </w:r>
      <w:r>
        <w:rPr>
          <w:rFonts w:hint="eastAsia" w:ascii="宋体" w:hAnsi="宋体"/>
          <w:color w:val="auto"/>
          <w:sz w:val="24"/>
          <w:highlight w:val="none"/>
        </w:rPr>
        <w:t>，中标人应按本须知前附表第</w:t>
      </w:r>
      <w:r>
        <w:rPr>
          <w:rFonts w:ascii="宋体" w:hAnsi="宋体"/>
          <w:color w:val="auto"/>
          <w:sz w:val="24"/>
          <w:highlight w:val="none"/>
        </w:rPr>
        <w:t>2</w:t>
      </w:r>
      <w:r>
        <w:rPr>
          <w:rFonts w:hint="eastAsia" w:ascii="宋体" w:hAnsi="宋体"/>
          <w:color w:val="auto"/>
          <w:sz w:val="24"/>
          <w:highlight w:val="none"/>
        </w:rPr>
        <w:t>0项的规定向招标人提交履约担保。</w:t>
      </w:r>
    </w:p>
    <w:p w14:paraId="065789CA">
      <w:pPr>
        <w:pBdr>
          <w:bottom w:val="single" w:color="auto" w:sz="4" w:space="0"/>
        </w:pBdr>
        <w:spacing w:line="360" w:lineRule="auto"/>
        <w:ind w:firstLine="240" w:firstLineChars="100"/>
        <w:rPr>
          <w:rFonts w:hint="eastAsia" w:ascii="宋体" w:hAnsi="宋体"/>
          <w:color w:val="auto"/>
          <w:sz w:val="24"/>
          <w:highlight w:val="none"/>
        </w:rPr>
      </w:pPr>
      <w:r>
        <w:rPr>
          <w:rFonts w:hint="eastAsia" w:ascii="宋体" w:hAnsi="宋体"/>
          <w:color w:val="auto"/>
          <w:sz w:val="24"/>
          <w:highlight w:val="none"/>
          <w:lang w:val="en-US" w:eastAsia="zh-CN"/>
        </w:rPr>
        <w:t>30</w:t>
      </w:r>
      <w:r>
        <w:rPr>
          <w:rFonts w:ascii="宋体" w:hAnsi="宋体"/>
          <w:color w:val="auto"/>
          <w:sz w:val="24"/>
          <w:highlight w:val="none"/>
        </w:rPr>
        <w:t>.2</w:t>
      </w:r>
      <w:r>
        <w:rPr>
          <w:rFonts w:hint="eastAsia" w:ascii="宋体" w:hAnsi="宋体" w:cs="宋体"/>
          <w:b/>
          <w:bCs/>
          <w:sz w:val="24"/>
          <w:szCs w:val="24"/>
          <w:highlight w:val="none"/>
          <w:u w:val="single"/>
        </w:rPr>
        <w:t>合同签订后20日</w:t>
      </w:r>
      <w:r>
        <w:rPr>
          <w:rFonts w:hint="eastAsia" w:ascii="宋体" w:hAnsi="宋体"/>
          <w:b/>
          <w:bCs/>
          <w:color w:val="auto"/>
          <w:sz w:val="24"/>
          <w:highlight w:val="none"/>
          <w:u w:val="single"/>
          <w:lang w:eastAsia="zh-CN"/>
        </w:rPr>
        <w:t>内</w:t>
      </w:r>
      <w:r>
        <w:rPr>
          <w:rFonts w:hint="eastAsia" w:ascii="宋体" w:hAnsi="宋体"/>
          <w:color w:val="auto"/>
          <w:sz w:val="24"/>
          <w:highlight w:val="none"/>
        </w:rPr>
        <w:t>，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2815066A">
      <w:pPr>
        <w:spacing w:line="360" w:lineRule="auto"/>
        <w:ind w:firstLine="211" w:firstLineChars="100"/>
        <w:rPr>
          <w:b/>
          <w:color w:val="auto"/>
          <w:szCs w:val="21"/>
          <w:highlight w:val="none"/>
        </w:rPr>
      </w:pPr>
      <w:r>
        <w:rPr>
          <w:rFonts w:hint="eastAsia"/>
          <w:b/>
          <w:color w:val="auto"/>
          <w:szCs w:val="21"/>
          <w:highlight w:val="none"/>
        </w:rPr>
        <w:t>注：以上修改，仅限于本范本中有可供选择条款的情形。</w:t>
      </w:r>
    </w:p>
    <w:p w14:paraId="7B59C759">
      <w:pPr>
        <w:spacing w:line="360" w:lineRule="auto"/>
        <w:rPr>
          <w:color w:val="auto"/>
          <w:highlight w:val="none"/>
        </w:rPr>
      </w:pPr>
      <w:r>
        <w:rPr>
          <w:rFonts w:hint="eastAsia"/>
          <w:b/>
          <w:color w:val="auto"/>
          <w:szCs w:val="21"/>
          <w:highlight w:val="none"/>
        </w:rPr>
        <w:t>（以下无正文）</w:t>
      </w:r>
    </w:p>
    <w:p w14:paraId="27B2CA66">
      <w:pPr>
        <w:pStyle w:val="7"/>
        <w:rPr>
          <w:color w:val="auto"/>
          <w:highlight w:val="none"/>
        </w:rPr>
      </w:pPr>
      <w:r>
        <w:rPr>
          <w:color w:val="auto"/>
          <w:highlight w:val="none"/>
        </w:rPr>
        <w:br w:type="page"/>
      </w:r>
      <w:bookmarkStart w:id="20" w:name="_Toc12778"/>
      <w:bookmarkStart w:id="21" w:name="_Toc10760"/>
      <w:bookmarkStart w:id="22" w:name="_Toc21525492"/>
      <w:bookmarkStart w:id="23" w:name="_Toc2272548"/>
      <w:r>
        <w:rPr>
          <w:rFonts w:hint="eastAsia"/>
          <w:color w:val="auto"/>
          <w:highlight w:val="none"/>
        </w:rPr>
        <w:t>三、投标须知通用条款</w:t>
      </w:r>
      <w:bookmarkEnd w:id="20"/>
      <w:bookmarkEnd w:id="21"/>
      <w:bookmarkEnd w:id="22"/>
      <w:bookmarkEnd w:id="23"/>
    </w:p>
    <w:p w14:paraId="639AC58E">
      <w:pPr>
        <w:pStyle w:val="8"/>
        <w:bidi w:val="0"/>
        <w:rPr>
          <w:color w:val="auto"/>
          <w:highlight w:val="none"/>
        </w:rPr>
      </w:pPr>
      <w:bookmarkStart w:id="24" w:name="_Toc21525493"/>
      <w:bookmarkStart w:id="25" w:name="_Toc752"/>
      <w:bookmarkStart w:id="26" w:name="_Toc2272549"/>
      <w:bookmarkStart w:id="27" w:name="_Toc11088"/>
      <w:r>
        <w:rPr>
          <w:rFonts w:hint="eastAsia"/>
          <w:color w:val="auto"/>
          <w:highlight w:val="none"/>
        </w:rPr>
        <w:t>（一）总则</w:t>
      </w:r>
      <w:bookmarkEnd w:id="24"/>
      <w:bookmarkEnd w:id="25"/>
      <w:bookmarkEnd w:id="26"/>
      <w:bookmarkEnd w:id="27"/>
    </w:p>
    <w:p w14:paraId="15F449E5">
      <w:pPr>
        <w:pStyle w:val="4"/>
        <w:spacing w:after="0" w:line="360" w:lineRule="auto"/>
        <w:ind w:firstLine="482" w:firstLineChars="200"/>
        <w:rPr>
          <w:rFonts w:ascii="宋体"/>
          <w:b/>
          <w:bCs/>
          <w:color w:val="auto"/>
          <w:sz w:val="24"/>
          <w:highlight w:val="none"/>
        </w:rPr>
      </w:pPr>
      <w:r>
        <w:rPr>
          <w:rFonts w:ascii="宋体" w:hAnsi="宋体"/>
          <w:b/>
          <w:bCs/>
          <w:color w:val="auto"/>
          <w:sz w:val="24"/>
          <w:highlight w:val="none"/>
        </w:rPr>
        <w:t>1</w:t>
      </w:r>
      <w:r>
        <w:rPr>
          <w:rFonts w:hint="eastAsia" w:ascii="宋体" w:hAnsi="宋体"/>
          <w:b/>
          <w:bCs/>
          <w:color w:val="auto"/>
          <w:sz w:val="24"/>
          <w:highlight w:val="none"/>
        </w:rPr>
        <w:t>、定义</w:t>
      </w:r>
    </w:p>
    <w:p w14:paraId="4CC2A065">
      <w:pPr>
        <w:pStyle w:val="4"/>
        <w:spacing w:after="0" w:line="360" w:lineRule="auto"/>
        <w:ind w:firstLine="480" w:firstLineChars="200"/>
        <w:rPr>
          <w:rFonts w:ascii="宋体"/>
          <w:b/>
          <w:bCs/>
          <w:color w:val="auto"/>
          <w:sz w:val="24"/>
          <w:highlight w:val="none"/>
        </w:rPr>
      </w:pPr>
      <w:r>
        <w:rPr>
          <w:rFonts w:hint="eastAsia" w:ascii="宋体" w:hAnsi="宋体"/>
          <w:color w:val="auto"/>
          <w:sz w:val="24"/>
          <w:highlight w:val="none"/>
        </w:rPr>
        <w:t>本招标文件使用的下列词语具有如下规定的意义：</w:t>
      </w:r>
    </w:p>
    <w:p w14:paraId="413FC0A6">
      <w:pPr>
        <w:pStyle w:val="4"/>
        <w:spacing w:after="0" w:line="360" w:lineRule="auto"/>
        <w:ind w:firstLine="480" w:firstLineChars="200"/>
        <w:rPr>
          <w:rFonts w:ascii="宋体"/>
          <w:b/>
          <w:bCs/>
          <w:color w:val="auto"/>
          <w:sz w:val="24"/>
          <w:highlight w:val="none"/>
          <w:u w:val="single"/>
        </w:rPr>
      </w:pP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）“招标人”（即发包人）、“项目建设管理单位</w:t>
      </w:r>
      <w:r>
        <w:rPr>
          <w:rFonts w:hint="eastAsia" w:ascii="宋体"/>
          <w:color w:val="auto"/>
          <w:sz w:val="24"/>
          <w:highlight w:val="none"/>
        </w:rPr>
        <w:t>”</w:t>
      </w:r>
      <w:r>
        <w:rPr>
          <w:rFonts w:hint="eastAsia" w:ascii="宋体" w:hAnsi="宋体"/>
          <w:color w:val="auto"/>
          <w:sz w:val="24"/>
          <w:highlight w:val="none"/>
        </w:rPr>
        <w:t>（或称“项目代建单位”）、“招标代理”、“设计单位”、“监理单位”均已在投标须知前附表中列明。</w:t>
      </w:r>
    </w:p>
    <w:p w14:paraId="7A3B2410">
      <w:pPr>
        <w:pStyle w:val="4"/>
        <w:spacing w:after="0" w:line="360" w:lineRule="auto"/>
        <w:ind w:firstLine="480" w:firstLineChars="200"/>
        <w:rPr>
          <w:rFonts w:ascii="宋体"/>
          <w:color w:val="auto"/>
          <w:sz w:val="24"/>
          <w:highlight w:val="none"/>
          <w:u w:val="single"/>
        </w:rPr>
      </w:pP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）“投标人”指向招标人提交投标文件的当事人。</w:t>
      </w:r>
      <w:r>
        <w:rPr>
          <w:rFonts w:ascii="宋体" w:hAnsi="宋体"/>
          <w:color w:val="auto"/>
          <w:sz w:val="24"/>
          <w:highlight w:val="none"/>
        </w:rPr>
        <w:t xml:space="preserve">   </w:t>
      </w:r>
    </w:p>
    <w:p w14:paraId="0A412905">
      <w:pPr>
        <w:pStyle w:val="4"/>
        <w:spacing w:after="0" w:line="360" w:lineRule="auto"/>
        <w:ind w:firstLine="480" w:firstLineChars="200"/>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3</w:t>
      </w:r>
      <w:r>
        <w:rPr>
          <w:rFonts w:hint="eastAsia" w:ascii="宋体" w:hAnsi="宋体"/>
          <w:color w:val="auto"/>
          <w:sz w:val="24"/>
          <w:highlight w:val="none"/>
        </w:rPr>
        <w:t>）“承包人”指其投标被招标人接受并与其签订承包合同的当事人。</w:t>
      </w:r>
    </w:p>
    <w:p w14:paraId="43903BCC">
      <w:pPr>
        <w:pStyle w:val="4"/>
        <w:spacing w:after="0" w:line="360" w:lineRule="auto"/>
        <w:ind w:firstLine="480" w:firstLineChars="200"/>
        <w:rPr>
          <w:rFonts w:ascii="宋体"/>
          <w:color w:val="auto"/>
          <w:sz w:val="24"/>
          <w:highlight w:val="none"/>
          <w:u w:val="single"/>
        </w:rPr>
      </w:pPr>
      <w:r>
        <w:rPr>
          <w:rFonts w:hint="eastAsia" w:ascii="宋体" w:hAnsi="宋体"/>
          <w:color w:val="auto"/>
          <w:sz w:val="24"/>
          <w:highlight w:val="none"/>
        </w:rPr>
        <w:t>（</w:t>
      </w:r>
      <w:r>
        <w:rPr>
          <w:rFonts w:ascii="宋体" w:hAnsi="宋体"/>
          <w:color w:val="auto"/>
          <w:sz w:val="24"/>
          <w:highlight w:val="none"/>
        </w:rPr>
        <w:t>4</w:t>
      </w:r>
      <w:r>
        <w:rPr>
          <w:rFonts w:hint="eastAsia" w:ascii="宋体" w:hAnsi="宋体"/>
          <w:color w:val="auto"/>
          <w:sz w:val="24"/>
          <w:highlight w:val="none"/>
        </w:rPr>
        <w:t>）“招标文件”指由招标代理发出的本文件（包括全部章节、附件）及招标答疑会会议纪要和</w:t>
      </w:r>
      <w:r>
        <w:rPr>
          <w:rFonts w:hint="eastAsia" w:ascii="宋体" w:hAnsi="宋体"/>
          <w:bCs/>
          <w:color w:val="auto"/>
          <w:sz w:val="24"/>
          <w:highlight w:val="none"/>
        </w:rPr>
        <w:t>招标文件的澄清与修改</w:t>
      </w:r>
      <w:r>
        <w:rPr>
          <w:rFonts w:hint="eastAsia" w:ascii="宋体" w:hAnsi="宋体"/>
          <w:color w:val="auto"/>
          <w:sz w:val="24"/>
          <w:highlight w:val="none"/>
        </w:rPr>
        <w:t>文件。</w:t>
      </w:r>
    </w:p>
    <w:p w14:paraId="2F2DCAE2">
      <w:pPr>
        <w:pStyle w:val="4"/>
        <w:spacing w:after="0" w:line="360" w:lineRule="auto"/>
        <w:ind w:firstLine="480" w:firstLineChars="200"/>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5</w:t>
      </w:r>
      <w:r>
        <w:rPr>
          <w:rFonts w:hint="eastAsia" w:ascii="宋体" w:hAnsi="宋体"/>
          <w:color w:val="auto"/>
          <w:sz w:val="24"/>
          <w:highlight w:val="none"/>
        </w:rPr>
        <w:t>）“投标文件”指投标人根据本项目招标文件向招标人提交的全部文件。</w:t>
      </w:r>
    </w:p>
    <w:p w14:paraId="5FC52AEC">
      <w:pPr>
        <w:pStyle w:val="4"/>
        <w:spacing w:after="0" w:line="360" w:lineRule="auto"/>
        <w:ind w:firstLine="480" w:firstLineChars="200"/>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6</w:t>
      </w:r>
      <w:r>
        <w:rPr>
          <w:rFonts w:hint="eastAsia" w:ascii="宋体" w:hAnsi="宋体"/>
          <w:color w:val="auto"/>
          <w:sz w:val="24"/>
          <w:highlight w:val="none"/>
        </w:rPr>
        <w:t>）“书面形式”指打字或印刷的文件和数据电文（包括电报、电传、传真、电子数据交换和电子邮件）。</w:t>
      </w:r>
    </w:p>
    <w:p w14:paraId="46A66F29">
      <w:pPr>
        <w:spacing w:line="360" w:lineRule="auto"/>
        <w:ind w:firstLine="482" w:firstLineChars="200"/>
        <w:rPr>
          <w:rFonts w:asci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、招标说明</w:t>
      </w:r>
    </w:p>
    <w:p w14:paraId="50310ACE">
      <w:pPr>
        <w:spacing w:line="360" w:lineRule="auto"/>
        <w:ind w:firstLine="480" w:firstLineChars="200"/>
        <w:rPr>
          <w:rFonts w:ascii="宋体"/>
          <w:bCs/>
          <w:color w:val="auto"/>
          <w:sz w:val="24"/>
          <w:highlight w:val="none"/>
        </w:rPr>
      </w:pPr>
      <w:r>
        <w:rPr>
          <w:rFonts w:ascii="宋体" w:hAnsi="宋体"/>
          <w:bCs/>
          <w:color w:val="auto"/>
          <w:sz w:val="24"/>
          <w:highlight w:val="none"/>
        </w:rPr>
        <w:t>2.1</w:t>
      </w:r>
      <w:r>
        <w:rPr>
          <w:rFonts w:hint="eastAsia" w:ascii="宋体" w:hAnsi="宋体"/>
          <w:bCs/>
          <w:color w:val="auto"/>
          <w:sz w:val="24"/>
          <w:highlight w:val="none"/>
        </w:rPr>
        <w:t>本招标工程项目按照《中华人民共和国招标投标法》等有关法律、行政法规、规章和规范性文件，通过招标方式选定承包人。</w:t>
      </w:r>
    </w:p>
    <w:p w14:paraId="3615F592">
      <w:pPr>
        <w:spacing w:line="360" w:lineRule="auto"/>
        <w:ind w:firstLine="480" w:firstLineChars="200"/>
        <w:rPr>
          <w:rFonts w:ascii="宋体"/>
          <w:bCs/>
          <w:color w:val="auto"/>
          <w:sz w:val="24"/>
          <w:highlight w:val="none"/>
        </w:rPr>
      </w:pPr>
      <w:r>
        <w:rPr>
          <w:rFonts w:ascii="宋体" w:hAnsi="宋体"/>
          <w:bCs/>
          <w:color w:val="auto"/>
          <w:sz w:val="24"/>
          <w:highlight w:val="none"/>
        </w:rPr>
        <w:t>2.2</w:t>
      </w:r>
      <w:r>
        <w:rPr>
          <w:rFonts w:hint="eastAsia" w:ascii="宋体" w:hAnsi="宋体"/>
          <w:bCs/>
          <w:color w:val="auto"/>
          <w:sz w:val="24"/>
          <w:highlight w:val="none"/>
        </w:rPr>
        <w:t>工程名称、</w:t>
      </w:r>
      <w:r>
        <w:rPr>
          <w:rFonts w:hint="eastAsia" w:ascii="宋体" w:hAnsi="宋体"/>
          <w:bCs/>
          <w:color w:val="auto"/>
          <w:sz w:val="24"/>
          <w:highlight w:val="none"/>
          <w:lang w:eastAsia="zh-CN"/>
        </w:rPr>
        <w:t>招标项目名称、</w:t>
      </w:r>
      <w:r>
        <w:rPr>
          <w:rFonts w:hint="eastAsia" w:ascii="宋体" w:hAnsi="宋体"/>
          <w:bCs/>
          <w:color w:val="auto"/>
          <w:sz w:val="24"/>
          <w:highlight w:val="none"/>
        </w:rPr>
        <w:t>建设地点、建设规模、承包方式、质量标准、招标范围、工期要求等均在投标须知前附表中列明。</w:t>
      </w:r>
    </w:p>
    <w:p w14:paraId="2BD40E96">
      <w:pPr>
        <w:spacing w:line="360" w:lineRule="auto"/>
        <w:ind w:firstLine="480" w:firstLineChars="200"/>
        <w:rPr>
          <w:rFonts w:ascii="宋体"/>
          <w:bCs/>
          <w:color w:val="auto"/>
          <w:sz w:val="24"/>
          <w:highlight w:val="none"/>
        </w:rPr>
      </w:pPr>
      <w:r>
        <w:rPr>
          <w:rFonts w:ascii="宋体" w:hAnsi="宋体"/>
          <w:bCs/>
          <w:color w:val="auto"/>
          <w:sz w:val="24"/>
          <w:highlight w:val="none"/>
        </w:rPr>
        <w:t>2.3</w:t>
      </w:r>
      <w:r>
        <w:rPr>
          <w:rFonts w:hint="eastAsia" w:ascii="宋体" w:hAnsi="宋体"/>
          <w:bCs/>
          <w:color w:val="auto"/>
          <w:sz w:val="24"/>
          <w:highlight w:val="none"/>
        </w:rPr>
        <w:t>设计说明：详见招标图纸。</w:t>
      </w:r>
    </w:p>
    <w:p w14:paraId="55A18EDE">
      <w:pPr>
        <w:spacing w:line="360" w:lineRule="auto"/>
        <w:ind w:firstLine="480" w:firstLineChars="200"/>
        <w:rPr>
          <w:rFonts w:hint="eastAsia" w:ascii="宋体" w:hAnsi="宋体"/>
          <w:bCs/>
          <w:color w:val="auto"/>
          <w:sz w:val="24"/>
          <w:highlight w:val="none"/>
        </w:rPr>
      </w:pPr>
      <w:r>
        <w:rPr>
          <w:rFonts w:ascii="宋体" w:hAnsi="宋体"/>
          <w:bCs/>
          <w:color w:val="auto"/>
          <w:sz w:val="24"/>
          <w:highlight w:val="none"/>
        </w:rPr>
        <w:t>2.4</w:t>
      </w:r>
      <w:r>
        <w:rPr>
          <w:rFonts w:hint="eastAsia" w:ascii="宋体" w:hAnsi="宋体"/>
          <w:bCs/>
          <w:color w:val="auto"/>
          <w:sz w:val="24"/>
          <w:highlight w:val="none"/>
        </w:rPr>
        <w:t>工程施工特点：详见招标图纸。</w:t>
      </w:r>
    </w:p>
    <w:p w14:paraId="630D5F69">
      <w:pPr>
        <w:spacing w:line="360" w:lineRule="auto"/>
        <w:ind w:firstLine="480" w:firstLineChars="200"/>
        <w:rPr>
          <w:rFonts w:ascii="宋体"/>
          <w:bCs w:val="0"/>
          <w:color w:val="auto"/>
          <w:sz w:val="24"/>
          <w:highlight w:val="none"/>
        </w:rPr>
      </w:pPr>
      <w:r>
        <w:rPr>
          <w:rFonts w:hint="eastAsia" w:ascii="宋体" w:hAnsi="宋体" w:eastAsia="宋体" w:cs="宋体"/>
          <w:b w:val="0"/>
          <w:bCs w:val="0"/>
          <w:color w:val="auto"/>
          <w:sz w:val="24"/>
          <w:szCs w:val="24"/>
          <w:highlight w:val="none"/>
          <w:u w:val="none"/>
        </w:rPr>
        <w:t>2.5</w:t>
      </w:r>
      <w:r>
        <w:rPr>
          <w:rFonts w:hint="eastAsia" w:ascii="宋体" w:hAnsi="宋体" w:eastAsia="宋体" w:cs="宋体"/>
          <w:color w:val="auto"/>
          <w:sz w:val="24"/>
          <w:szCs w:val="24"/>
          <w:highlight w:val="none"/>
          <w:u w:val="none"/>
        </w:rPr>
        <w:t>根据《建设工程质量检测管理办法》（建设部令第141号）第十二条规定，建设工程质量、安全检测业务应由建设单位依法委托，不列入本次招标范围。招标文件中与此条不一致的，以此条为准。</w:t>
      </w:r>
      <w:r>
        <w:rPr>
          <w:rFonts w:hint="eastAsia" w:ascii="宋体" w:hAnsi="宋体" w:eastAsia="宋体" w:cs="宋体"/>
          <w:color w:val="auto"/>
          <w:kern w:val="0"/>
          <w:sz w:val="24"/>
          <w:szCs w:val="24"/>
          <w:highlight w:val="none"/>
          <w:u w:val="none"/>
          <w:lang w:val="zh-CN"/>
        </w:rPr>
        <w:t>建设单位和中标人均不得委托近二年（从招标公告发布年度起逆推2年的1月1日起至投标截止时间止）因伪造检测数据、出具虚假检测报告被各级建设行政主管部门或市场监督管理部门行政处罚或通报的检测单位负责本项目的检测工作。</w:t>
      </w:r>
    </w:p>
    <w:p w14:paraId="65AB350F">
      <w:pPr>
        <w:tabs>
          <w:tab w:val="left" w:pos="105"/>
        </w:tabs>
        <w:spacing w:line="360" w:lineRule="auto"/>
        <w:ind w:firstLine="482" w:firstLineChars="200"/>
        <w:rPr>
          <w:rFonts w:ascii="宋体"/>
          <w:b/>
          <w:color w:val="auto"/>
          <w:sz w:val="24"/>
          <w:highlight w:val="none"/>
        </w:rPr>
      </w:pPr>
      <w:r>
        <w:rPr>
          <w:rFonts w:ascii="宋体" w:hAnsi="宋体"/>
          <w:b/>
          <w:color w:val="auto"/>
          <w:sz w:val="24"/>
          <w:highlight w:val="none"/>
        </w:rPr>
        <w:t>3</w:t>
      </w:r>
      <w:r>
        <w:rPr>
          <w:rFonts w:hint="eastAsia" w:ascii="宋体" w:hAnsi="宋体"/>
          <w:b/>
          <w:color w:val="auto"/>
          <w:sz w:val="24"/>
          <w:highlight w:val="none"/>
        </w:rPr>
        <w:t>．资金来源</w:t>
      </w:r>
    </w:p>
    <w:p w14:paraId="31D4B483">
      <w:pPr>
        <w:spacing w:line="360" w:lineRule="auto"/>
        <w:ind w:firstLine="480" w:firstLineChars="200"/>
        <w:rPr>
          <w:rFonts w:ascii="宋体"/>
          <w:bCs/>
          <w:color w:val="auto"/>
          <w:sz w:val="24"/>
          <w:highlight w:val="none"/>
        </w:rPr>
      </w:pPr>
      <w:r>
        <w:rPr>
          <w:rFonts w:ascii="宋体" w:hAnsi="宋体"/>
          <w:bCs/>
          <w:color w:val="auto"/>
          <w:sz w:val="24"/>
          <w:highlight w:val="none"/>
        </w:rPr>
        <w:t>3.1</w:t>
      </w:r>
      <w:r>
        <w:rPr>
          <w:rFonts w:hint="eastAsia" w:ascii="宋体" w:hAnsi="宋体"/>
          <w:bCs/>
          <w:color w:val="auto"/>
          <w:sz w:val="24"/>
          <w:highlight w:val="none"/>
        </w:rPr>
        <w:t>本招标工程项目资金来源见投标须知前附表第</w:t>
      </w:r>
      <w:r>
        <w:rPr>
          <w:rFonts w:ascii="宋体" w:hAnsi="宋体"/>
          <w:bCs/>
          <w:color w:val="auto"/>
          <w:sz w:val="24"/>
          <w:highlight w:val="none"/>
        </w:rPr>
        <w:t>9</w:t>
      </w:r>
      <w:r>
        <w:rPr>
          <w:rFonts w:hint="eastAsia" w:ascii="宋体" w:hAnsi="宋体"/>
          <w:bCs/>
          <w:color w:val="auto"/>
          <w:sz w:val="24"/>
          <w:highlight w:val="none"/>
        </w:rPr>
        <w:t>项</w:t>
      </w:r>
    </w:p>
    <w:p w14:paraId="16A1CB4C">
      <w:pPr>
        <w:tabs>
          <w:tab w:val="left" w:pos="105"/>
        </w:tabs>
        <w:spacing w:line="360" w:lineRule="auto"/>
        <w:ind w:firstLine="482" w:firstLineChars="200"/>
        <w:rPr>
          <w:rFonts w:ascii="宋体"/>
          <w:b/>
          <w:color w:val="auto"/>
          <w:sz w:val="24"/>
          <w:highlight w:val="none"/>
        </w:rPr>
      </w:pPr>
      <w:r>
        <w:rPr>
          <w:rFonts w:ascii="宋体" w:hAnsi="宋体"/>
          <w:b/>
          <w:color w:val="auto"/>
          <w:sz w:val="24"/>
          <w:highlight w:val="none"/>
        </w:rPr>
        <w:t>4</w:t>
      </w:r>
      <w:r>
        <w:rPr>
          <w:rFonts w:hint="eastAsia" w:ascii="宋体" w:hAnsi="宋体"/>
          <w:b/>
          <w:color w:val="auto"/>
          <w:sz w:val="24"/>
          <w:highlight w:val="none"/>
        </w:rPr>
        <w:t>．合格投标人的条件</w:t>
      </w:r>
    </w:p>
    <w:p w14:paraId="18C21D67">
      <w:pPr>
        <w:spacing w:line="360" w:lineRule="auto"/>
        <w:ind w:firstLine="480" w:firstLineChars="200"/>
        <w:rPr>
          <w:rFonts w:hint="eastAsia" w:ascii="宋体" w:hAnsi="宋体" w:eastAsia="宋体"/>
          <w:bCs/>
          <w:color w:val="auto"/>
          <w:sz w:val="24"/>
          <w:highlight w:val="none"/>
          <w:lang w:eastAsia="zh-CN"/>
        </w:rPr>
      </w:pPr>
      <w:r>
        <w:rPr>
          <w:rFonts w:ascii="宋体" w:hAnsi="宋体"/>
          <w:bCs/>
          <w:color w:val="auto"/>
          <w:sz w:val="24"/>
          <w:highlight w:val="none"/>
        </w:rPr>
        <w:t>4.1</w:t>
      </w:r>
      <w:r>
        <w:rPr>
          <w:rFonts w:hint="eastAsia" w:ascii="宋体" w:hAnsi="宋体"/>
          <w:bCs/>
          <w:color w:val="auto"/>
          <w:sz w:val="24"/>
          <w:highlight w:val="none"/>
          <w:lang w:eastAsia="zh-CN"/>
        </w:rPr>
        <w:t>投标人合格条件</w:t>
      </w:r>
      <w:r>
        <w:rPr>
          <w:rFonts w:hint="eastAsia" w:ascii="宋体" w:hAnsi="宋体"/>
          <w:bCs/>
          <w:color w:val="auto"/>
          <w:sz w:val="24"/>
          <w:highlight w:val="none"/>
        </w:rPr>
        <w:t>详见本项目招标公告</w:t>
      </w:r>
      <w:r>
        <w:rPr>
          <w:rFonts w:hint="eastAsia" w:ascii="宋体" w:hAnsi="宋体"/>
          <w:bCs/>
          <w:color w:val="auto"/>
          <w:sz w:val="24"/>
          <w:highlight w:val="none"/>
          <w:lang w:eastAsia="zh-CN"/>
        </w:rPr>
        <w:t>。</w:t>
      </w:r>
    </w:p>
    <w:p w14:paraId="0EF7F2A1">
      <w:pPr>
        <w:pStyle w:val="20"/>
        <w:ind w:firstLine="480" w:firstLineChars="200"/>
        <w:rPr>
          <w:rFonts w:hint="default" w:eastAsia="宋体"/>
          <w:color w:val="auto"/>
          <w:highlight w:val="none"/>
          <w:lang w:val="en-US" w:eastAsia="zh-CN"/>
        </w:rPr>
      </w:pPr>
      <w:r>
        <w:rPr>
          <w:rFonts w:hint="eastAsia" w:hAnsi="宋体"/>
          <w:bCs/>
          <w:color w:val="auto"/>
          <w:sz w:val="24"/>
          <w:highlight w:val="none"/>
          <w:lang w:val="en-US" w:eastAsia="zh-CN"/>
        </w:rPr>
        <w:t>4.2资格审查方式详见本项目招标公告。</w:t>
      </w:r>
    </w:p>
    <w:p w14:paraId="1D261F4D">
      <w:pPr>
        <w:tabs>
          <w:tab w:val="left" w:pos="105"/>
        </w:tabs>
        <w:spacing w:line="360" w:lineRule="auto"/>
        <w:ind w:firstLine="482" w:firstLineChars="200"/>
        <w:rPr>
          <w:rFonts w:ascii="宋体"/>
          <w:b/>
          <w:color w:val="auto"/>
          <w:sz w:val="24"/>
          <w:highlight w:val="none"/>
        </w:rPr>
      </w:pPr>
      <w:r>
        <w:rPr>
          <w:rFonts w:ascii="宋体" w:hAnsi="宋体"/>
          <w:b/>
          <w:color w:val="auto"/>
          <w:sz w:val="24"/>
          <w:highlight w:val="none"/>
        </w:rPr>
        <w:t>5</w:t>
      </w:r>
      <w:r>
        <w:rPr>
          <w:rFonts w:hint="eastAsia" w:ascii="宋体" w:hAnsi="宋体"/>
          <w:b/>
          <w:color w:val="auto"/>
          <w:sz w:val="24"/>
          <w:highlight w:val="none"/>
        </w:rPr>
        <w:t>．踏勘现场</w:t>
      </w:r>
    </w:p>
    <w:p w14:paraId="00FF762B">
      <w:pPr>
        <w:spacing w:line="360" w:lineRule="auto"/>
        <w:ind w:firstLine="480" w:firstLineChars="200"/>
        <w:rPr>
          <w:rFonts w:hint="eastAsia" w:ascii="宋体" w:hAnsi="宋体"/>
          <w:color w:val="auto"/>
          <w:sz w:val="24"/>
          <w:highlight w:val="none"/>
        </w:rPr>
      </w:pPr>
      <w:r>
        <w:rPr>
          <w:rFonts w:ascii="宋体" w:hAnsi="宋体"/>
          <w:bCs/>
          <w:color w:val="auto"/>
          <w:sz w:val="24"/>
          <w:highlight w:val="none"/>
        </w:rPr>
        <w:t xml:space="preserve">5.1 </w:t>
      </w:r>
      <w:r>
        <w:rPr>
          <w:rFonts w:hint="eastAsia" w:ascii="宋体" w:hAnsi="宋体" w:cs="宋体"/>
          <w:bCs/>
          <w:sz w:val="24"/>
          <w:szCs w:val="24"/>
          <w:highlight w:val="none"/>
        </w:rPr>
        <w:t>投标人应按本投标须知前附表第1</w:t>
      </w:r>
      <w:r>
        <w:rPr>
          <w:rFonts w:hint="eastAsia" w:ascii="宋体" w:hAnsi="宋体" w:cs="宋体"/>
          <w:bCs/>
          <w:sz w:val="24"/>
          <w:szCs w:val="24"/>
          <w:highlight w:val="none"/>
          <w:lang w:val="en-US" w:eastAsia="zh-CN"/>
        </w:rPr>
        <w:t>2</w:t>
      </w:r>
      <w:r>
        <w:rPr>
          <w:rFonts w:hint="eastAsia" w:ascii="宋体" w:hAnsi="宋体" w:cs="宋体"/>
          <w:bCs/>
          <w:sz w:val="24"/>
          <w:szCs w:val="24"/>
          <w:highlight w:val="none"/>
        </w:rPr>
        <w:t>项所述时间和要求对工程现场及周围环境进行踏勘，</w:t>
      </w:r>
      <w:r>
        <w:rPr>
          <w:rFonts w:hint="eastAsia" w:ascii="宋体" w:hAnsi="宋体" w:cs="宋体"/>
          <w:sz w:val="24"/>
          <w:szCs w:val="24"/>
          <w:highlight w:val="none"/>
        </w:rPr>
        <w:t>投标人应充分重视和仔细地进行这种考察，</w:t>
      </w:r>
      <w:r>
        <w:rPr>
          <w:rFonts w:hint="eastAsia" w:ascii="宋体" w:hAnsi="宋体" w:cs="宋体"/>
          <w:bCs/>
          <w:sz w:val="24"/>
          <w:szCs w:val="24"/>
          <w:highlight w:val="none"/>
        </w:rPr>
        <w:t>以便投标人获取</w:t>
      </w:r>
      <w:r>
        <w:rPr>
          <w:rFonts w:hint="eastAsia" w:ascii="宋体" w:hAnsi="宋体" w:cs="宋体"/>
          <w:sz w:val="24"/>
          <w:szCs w:val="24"/>
          <w:highlight w:val="none"/>
        </w:rPr>
        <w:t>那些须投标人自己负责的</w:t>
      </w:r>
      <w:r>
        <w:rPr>
          <w:rFonts w:hint="eastAsia" w:ascii="宋体" w:hAnsi="宋体" w:cs="宋体"/>
          <w:bCs/>
          <w:sz w:val="24"/>
          <w:szCs w:val="24"/>
          <w:highlight w:val="none"/>
        </w:rPr>
        <w:t>有关编制投标文件和签署合同所涉及现场所有的资料。</w:t>
      </w:r>
      <w:r>
        <w:rPr>
          <w:rFonts w:hint="eastAsia" w:ascii="宋体" w:hAnsi="宋体" w:cs="宋体"/>
          <w:b/>
          <w:bCs w:val="0"/>
          <w:sz w:val="24"/>
          <w:szCs w:val="24"/>
          <w:highlight w:val="none"/>
          <w:u w:val="single"/>
        </w:rPr>
        <w:t>投标人不进行踏勘的，视为已熟知现场条件，自行承担相关风险。</w:t>
      </w:r>
      <w:r>
        <w:rPr>
          <w:rFonts w:hint="eastAsia" w:ascii="宋体" w:hAnsi="宋体" w:cs="宋体"/>
          <w:sz w:val="24"/>
          <w:szCs w:val="24"/>
          <w:highlight w:val="none"/>
        </w:rPr>
        <w:t>一旦中标，这种考察即被认为其结果已在中标文件中得到充分反映</w:t>
      </w:r>
      <w:r>
        <w:rPr>
          <w:rFonts w:hint="eastAsia" w:ascii="宋体" w:hAnsi="宋体"/>
          <w:color w:val="auto"/>
          <w:sz w:val="24"/>
          <w:highlight w:val="none"/>
        </w:rPr>
        <w:t>。</w:t>
      </w:r>
    </w:p>
    <w:p w14:paraId="0921083E">
      <w:pPr>
        <w:spacing w:line="360" w:lineRule="auto"/>
        <w:ind w:firstLine="480" w:firstLineChars="200"/>
        <w:rPr>
          <w:rFonts w:ascii="宋体"/>
          <w:bCs/>
          <w:color w:val="auto"/>
          <w:sz w:val="24"/>
          <w:highlight w:val="none"/>
          <w:u w:val="single"/>
        </w:rPr>
      </w:pPr>
      <w:r>
        <w:rPr>
          <w:rFonts w:hint="eastAsia" w:ascii="宋体" w:hAnsi="宋体"/>
          <w:color w:val="auto"/>
          <w:sz w:val="24"/>
          <w:highlight w:val="none"/>
          <w:lang w:val="en-US" w:eastAsia="zh-CN"/>
        </w:rPr>
        <w:t>5.2投标人</w:t>
      </w:r>
      <w:r>
        <w:rPr>
          <w:rFonts w:hint="eastAsia" w:ascii="宋体" w:hAnsi="宋体"/>
          <w:bCs/>
          <w:color w:val="auto"/>
          <w:sz w:val="24"/>
          <w:highlight w:val="none"/>
        </w:rPr>
        <w:t>踏勘</w:t>
      </w:r>
      <w:r>
        <w:rPr>
          <w:rFonts w:hint="eastAsia" w:ascii="宋体" w:hAnsi="宋体"/>
          <w:color w:val="auto"/>
          <w:sz w:val="24"/>
          <w:highlight w:val="none"/>
        </w:rPr>
        <w:t>现场的费用</w:t>
      </w:r>
      <w:r>
        <w:rPr>
          <w:rFonts w:hint="eastAsia" w:ascii="宋体" w:hAnsi="宋体"/>
          <w:color w:val="auto"/>
          <w:sz w:val="24"/>
          <w:highlight w:val="none"/>
          <w:lang w:eastAsia="zh-CN"/>
        </w:rPr>
        <w:t>自理</w:t>
      </w:r>
      <w:r>
        <w:rPr>
          <w:rFonts w:hint="eastAsia" w:ascii="宋体" w:hAnsi="宋体"/>
          <w:color w:val="auto"/>
          <w:sz w:val="24"/>
          <w:highlight w:val="none"/>
        </w:rPr>
        <w:t>。</w:t>
      </w:r>
    </w:p>
    <w:p w14:paraId="7C3BE2CB">
      <w:pPr>
        <w:tabs>
          <w:tab w:val="left" w:pos="105"/>
        </w:tabs>
        <w:spacing w:line="360" w:lineRule="auto"/>
        <w:ind w:firstLine="480" w:firstLineChars="200"/>
        <w:rPr>
          <w:rFonts w:ascii="宋体"/>
          <w:bCs/>
          <w:color w:val="auto"/>
          <w:sz w:val="24"/>
          <w:highlight w:val="none"/>
        </w:rPr>
      </w:pPr>
      <w:r>
        <w:rPr>
          <w:rFonts w:ascii="宋体" w:hAnsi="宋体"/>
          <w:bCs/>
          <w:color w:val="auto"/>
          <w:sz w:val="24"/>
          <w:highlight w:val="none"/>
        </w:rPr>
        <w:t>5.</w:t>
      </w:r>
      <w:r>
        <w:rPr>
          <w:rFonts w:hint="eastAsia" w:ascii="宋体" w:hAnsi="宋体"/>
          <w:bCs/>
          <w:color w:val="auto"/>
          <w:sz w:val="24"/>
          <w:highlight w:val="none"/>
          <w:lang w:val="en-US" w:eastAsia="zh-CN"/>
        </w:rPr>
        <w:t>3</w:t>
      </w:r>
      <w:r>
        <w:rPr>
          <w:rFonts w:ascii="宋体" w:hAnsi="宋体"/>
          <w:bCs/>
          <w:color w:val="auto"/>
          <w:sz w:val="24"/>
          <w:highlight w:val="none"/>
        </w:rPr>
        <w:t xml:space="preserve"> </w:t>
      </w:r>
      <w:r>
        <w:rPr>
          <w:rFonts w:hint="eastAsia" w:ascii="宋体" w:hAnsi="宋体"/>
          <w:bCs/>
          <w:color w:val="auto"/>
          <w:sz w:val="24"/>
          <w:highlight w:val="none"/>
        </w:rPr>
        <w:t>招标人向投标人提供的有关现场的数据和资料，是招标人现有的能被投标人利用的资料，招标人对投标人做出的任何推论、理解和结论均不负责任。</w:t>
      </w:r>
    </w:p>
    <w:p w14:paraId="52902DAB">
      <w:pPr>
        <w:spacing w:line="360" w:lineRule="auto"/>
        <w:ind w:firstLine="480" w:firstLineChars="200"/>
        <w:rPr>
          <w:rFonts w:hint="eastAsia" w:ascii="宋体" w:hAnsi="宋体"/>
          <w:bCs/>
          <w:color w:val="auto"/>
          <w:sz w:val="24"/>
          <w:highlight w:val="none"/>
        </w:rPr>
      </w:pPr>
      <w:r>
        <w:rPr>
          <w:rFonts w:ascii="宋体" w:hAnsi="宋体"/>
          <w:bCs/>
          <w:color w:val="auto"/>
          <w:sz w:val="24"/>
          <w:highlight w:val="none"/>
        </w:rPr>
        <w:t>5.</w:t>
      </w:r>
      <w:r>
        <w:rPr>
          <w:rFonts w:hint="eastAsia" w:ascii="宋体" w:hAnsi="宋体"/>
          <w:bCs/>
          <w:color w:val="auto"/>
          <w:sz w:val="24"/>
          <w:highlight w:val="none"/>
          <w:lang w:val="en-US" w:eastAsia="zh-CN"/>
        </w:rPr>
        <w:t>4</w:t>
      </w:r>
      <w:r>
        <w:rPr>
          <w:rFonts w:ascii="宋体" w:hAnsi="宋体"/>
          <w:bCs/>
          <w:color w:val="auto"/>
          <w:sz w:val="24"/>
          <w:highlight w:val="none"/>
        </w:rPr>
        <w:t xml:space="preserve"> </w:t>
      </w:r>
      <w:r>
        <w:rPr>
          <w:rFonts w:hint="eastAsia" w:ascii="宋体" w:hAnsi="宋体"/>
          <w:bCs/>
          <w:color w:val="auto"/>
          <w:sz w:val="24"/>
          <w:highlight w:val="none"/>
        </w:rPr>
        <w:t>经招标人允许，投标人可为踏勘目的进入招标人的项目现场。</w:t>
      </w:r>
      <w:r>
        <w:rPr>
          <w:rFonts w:hint="eastAsia" w:ascii="宋体" w:hAnsi="宋体"/>
          <w:color w:val="auto"/>
          <w:sz w:val="24"/>
          <w:highlight w:val="none"/>
        </w:rPr>
        <w:t>在考察过程中，投标人及其代表必须承担那些进入现场后，由于他们的行为所造成的人身伤害（不管是否致命）、财产损失或损坏，以及其他任何原因造成的损失、损坏或费用，</w:t>
      </w:r>
      <w:r>
        <w:rPr>
          <w:rFonts w:hint="eastAsia" w:ascii="宋体" w:hAnsi="宋体"/>
          <w:bCs/>
          <w:color w:val="auto"/>
          <w:sz w:val="24"/>
          <w:highlight w:val="none"/>
        </w:rPr>
        <w:t>投标人不得因此使招标人承担有关的责任和蒙受损失。</w:t>
      </w:r>
    </w:p>
    <w:p w14:paraId="37CA591C">
      <w:pPr>
        <w:pStyle w:val="20"/>
        <w:spacing w:line="360" w:lineRule="auto"/>
        <w:rPr>
          <w:rFonts w:hint="eastAsia" w:eastAsia="宋体"/>
          <w:color w:val="auto"/>
          <w:highlight w:val="none"/>
          <w:lang w:val="en-US" w:eastAsia="zh-CN"/>
        </w:rPr>
      </w:pPr>
      <w:r>
        <w:rPr>
          <w:rFonts w:hint="eastAsia" w:hAnsi="宋体"/>
          <w:bCs/>
          <w:color w:val="auto"/>
          <w:sz w:val="24"/>
          <w:highlight w:val="none"/>
          <w:lang w:val="en-US" w:eastAsia="zh-CN"/>
        </w:rPr>
        <w:t xml:space="preserve">    5.4由于投标人没有对工程现场及周围环境进行</w:t>
      </w:r>
      <w:r>
        <w:rPr>
          <w:rFonts w:hint="eastAsia" w:ascii="宋体" w:hAnsi="宋体"/>
          <w:bCs/>
          <w:color w:val="auto"/>
          <w:sz w:val="24"/>
          <w:highlight w:val="none"/>
        </w:rPr>
        <w:t>踏勘</w:t>
      </w:r>
      <w:r>
        <w:rPr>
          <w:rFonts w:hint="eastAsia" w:ascii="宋体" w:hAnsi="宋体"/>
          <w:bCs/>
          <w:color w:val="auto"/>
          <w:sz w:val="24"/>
          <w:highlight w:val="none"/>
          <w:lang w:eastAsia="zh-CN"/>
        </w:rPr>
        <w:t>，造成投标失误的，由投标人自行承担责任和损失。</w:t>
      </w:r>
    </w:p>
    <w:p w14:paraId="310F426A">
      <w:pPr>
        <w:tabs>
          <w:tab w:val="left" w:pos="105"/>
        </w:tabs>
        <w:spacing w:line="360" w:lineRule="auto"/>
        <w:ind w:firstLine="482" w:firstLineChars="200"/>
        <w:rPr>
          <w:rFonts w:ascii="宋体"/>
          <w:b/>
          <w:color w:val="auto"/>
          <w:sz w:val="24"/>
          <w:highlight w:val="none"/>
        </w:rPr>
      </w:pPr>
      <w:r>
        <w:rPr>
          <w:rFonts w:ascii="宋体" w:hAnsi="宋体"/>
          <w:b/>
          <w:color w:val="auto"/>
          <w:sz w:val="24"/>
          <w:highlight w:val="none"/>
        </w:rPr>
        <w:t>6</w:t>
      </w:r>
      <w:r>
        <w:rPr>
          <w:rFonts w:hint="eastAsia" w:ascii="宋体" w:hAnsi="宋体"/>
          <w:b/>
          <w:color w:val="auto"/>
          <w:sz w:val="24"/>
          <w:highlight w:val="none"/>
        </w:rPr>
        <w:t>．投标费用</w:t>
      </w:r>
    </w:p>
    <w:p w14:paraId="4354A078">
      <w:pPr>
        <w:tabs>
          <w:tab w:val="left" w:pos="105"/>
        </w:tabs>
        <w:spacing w:line="360" w:lineRule="auto"/>
        <w:ind w:firstLine="480" w:firstLineChars="200"/>
        <w:rPr>
          <w:rFonts w:hint="eastAsia" w:ascii="宋体" w:hAnsi="宋体"/>
          <w:bCs/>
          <w:color w:val="auto"/>
          <w:sz w:val="24"/>
          <w:highlight w:val="none"/>
          <w:lang w:eastAsia="zh-CN"/>
        </w:rPr>
      </w:pPr>
      <w:r>
        <w:rPr>
          <w:rFonts w:ascii="宋体" w:hAnsi="宋体"/>
          <w:bCs/>
          <w:color w:val="auto"/>
          <w:sz w:val="24"/>
          <w:highlight w:val="none"/>
        </w:rPr>
        <w:t>6.1</w:t>
      </w:r>
      <w:r>
        <w:rPr>
          <w:rFonts w:hint="eastAsia" w:ascii="宋体" w:hAnsi="宋体"/>
          <w:bCs/>
          <w:color w:val="auto"/>
          <w:sz w:val="24"/>
          <w:highlight w:val="none"/>
          <w:lang w:eastAsia="zh-CN"/>
        </w:rPr>
        <w:t>投标人准备和参加投标活动发生的费用自理。</w:t>
      </w:r>
    </w:p>
    <w:p w14:paraId="1FEC3BD2">
      <w:pPr>
        <w:tabs>
          <w:tab w:val="left" w:pos="105"/>
        </w:tabs>
        <w:spacing w:line="360" w:lineRule="auto"/>
        <w:ind w:firstLine="480" w:firstLineChars="200"/>
        <w:rPr>
          <w:rFonts w:ascii="宋体"/>
          <w:bCs/>
          <w:color w:val="auto"/>
          <w:sz w:val="24"/>
          <w:highlight w:val="none"/>
        </w:rPr>
      </w:pPr>
      <w:r>
        <w:rPr>
          <w:rFonts w:hint="eastAsia" w:ascii="宋体" w:hAnsi="宋体"/>
          <w:bCs/>
          <w:color w:val="auto"/>
          <w:sz w:val="24"/>
          <w:highlight w:val="none"/>
          <w:lang w:val="en-US" w:eastAsia="zh-CN"/>
        </w:rPr>
        <w:t>6.2</w:t>
      </w:r>
      <w:r>
        <w:rPr>
          <w:rFonts w:hint="eastAsia" w:ascii="宋体" w:hAnsi="宋体"/>
          <w:color w:val="auto"/>
          <w:sz w:val="24"/>
          <w:highlight w:val="none"/>
        </w:rPr>
        <w:t>不论投标结果如何，投标人应承担</w:t>
      </w:r>
      <w:r>
        <w:rPr>
          <w:rFonts w:hint="eastAsia" w:ascii="宋体" w:hAnsi="宋体"/>
          <w:bCs/>
          <w:color w:val="auto"/>
          <w:sz w:val="24"/>
          <w:highlight w:val="none"/>
        </w:rPr>
        <w:t>自身</w:t>
      </w:r>
      <w:r>
        <w:rPr>
          <w:rFonts w:hint="eastAsia" w:ascii="宋体" w:hAnsi="宋体"/>
          <w:color w:val="auto"/>
          <w:sz w:val="24"/>
          <w:highlight w:val="none"/>
        </w:rPr>
        <w:t>因投标文件编制、递交及其他</w:t>
      </w:r>
      <w:r>
        <w:rPr>
          <w:rFonts w:hint="eastAsia" w:ascii="宋体" w:hAnsi="宋体"/>
          <w:bCs/>
          <w:color w:val="auto"/>
          <w:sz w:val="24"/>
          <w:highlight w:val="none"/>
        </w:rPr>
        <w:t>参加本招标活动</w:t>
      </w:r>
      <w:r>
        <w:rPr>
          <w:rFonts w:hint="eastAsia" w:ascii="宋体" w:hAnsi="宋体"/>
          <w:color w:val="auto"/>
          <w:sz w:val="24"/>
          <w:highlight w:val="none"/>
        </w:rPr>
        <w:t>所涉及的一切费用，招标人对上述费用不负任何责任。</w:t>
      </w:r>
    </w:p>
    <w:p w14:paraId="07371341">
      <w:pPr>
        <w:pStyle w:val="8"/>
        <w:bidi w:val="0"/>
        <w:rPr>
          <w:color w:val="auto"/>
          <w:highlight w:val="none"/>
        </w:rPr>
      </w:pPr>
      <w:bookmarkStart w:id="28" w:name="_Toc5661"/>
      <w:bookmarkStart w:id="29" w:name="_Toc10521"/>
      <w:bookmarkStart w:id="30" w:name="_Toc21525494"/>
      <w:bookmarkStart w:id="31" w:name="_Toc2272550"/>
      <w:r>
        <w:rPr>
          <w:rFonts w:hint="eastAsia"/>
          <w:color w:val="auto"/>
          <w:highlight w:val="none"/>
        </w:rPr>
        <w:t>（二）招标文件</w:t>
      </w:r>
      <w:bookmarkEnd w:id="28"/>
      <w:bookmarkEnd w:id="29"/>
      <w:bookmarkEnd w:id="30"/>
      <w:bookmarkEnd w:id="31"/>
    </w:p>
    <w:p w14:paraId="78ED95A9">
      <w:pPr>
        <w:tabs>
          <w:tab w:val="left" w:pos="105"/>
        </w:tabs>
        <w:spacing w:line="360" w:lineRule="auto"/>
        <w:ind w:firstLine="482" w:firstLineChars="200"/>
        <w:rPr>
          <w:rFonts w:ascii="宋体"/>
          <w:b/>
          <w:color w:val="auto"/>
          <w:sz w:val="24"/>
          <w:highlight w:val="none"/>
        </w:rPr>
      </w:pPr>
      <w:r>
        <w:rPr>
          <w:rFonts w:ascii="宋体" w:hAnsi="宋体"/>
          <w:b/>
          <w:color w:val="auto"/>
          <w:sz w:val="24"/>
          <w:highlight w:val="none"/>
        </w:rPr>
        <w:t>7.</w:t>
      </w:r>
      <w:r>
        <w:rPr>
          <w:rFonts w:hint="eastAsia" w:ascii="宋体" w:hAnsi="宋体"/>
          <w:b/>
          <w:color w:val="auto"/>
          <w:sz w:val="24"/>
          <w:highlight w:val="none"/>
        </w:rPr>
        <w:t>招标文件的组成</w:t>
      </w:r>
    </w:p>
    <w:p w14:paraId="0AED31B0">
      <w:pPr>
        <w:spacing w:line="360" w:lineRule="auto"/>
        <w:ind w:firstLine="480" w:firstLineChars="200"/>
        <w:rPr>
          <w:rFonts w:ascii="宋体"/>
          <w:color w:val="auto"/>
          <w:sz w:val="24"/>
          <w:highlight w:val="none"/>
          <w:u w:val="single"/>
        </w:rPr>
      </w:pPr>
      <w:r>
        <w:rPr>
          <w:rFonts w:ascii="宋体" w:hAnsi="宋体"/>
          <w:bCs/>
          <w:color w:val="auto"/>
          <w:sz w:val="24"/>
          <w:highlight w:val="none"/>
          <w:u w:val="single"/>
        </w:rPr>
        <w:t>7.1</w:t>
      </w:r>
      <w:r>
        <w:rPr>
          <w:rFonts w:hint="eastAsia" w:ascii="宋体" w:hAnsi="宋体"/>
          <w:color w:val="auto"/>
          <w:sz w:val="24"/>
          <w:highlight w:val="none"/>
          <w:u w:val="single"/>
        </w:rPr>
        <w:t>本招标文件包括下列文件，以及所有按本须知第</w:t>
      </w:r>
      <w:r>
        <w:rPr>
          <w:rFonts w:ascii="宋体" w:hAnsi="宋体"/>
          <w:color w:val="auto"/>
          <w:sz w:val="24"/>
          <w:highlight w:val="none"/>
          <w:u w:val="single"/>
        </w:rPr>
        <w:t>8</w:t>
      </w:r>
      <w:r>
        <w:rPr>
          <w:rFonts w:hint="eastAsia" w:ascii="宋体" w:hAnsi="宋体"/>
          <w:color w:val="auto"/>
          <w:sz w:val="24"/>
          <w:highlight w:val="none"/>
          <w:u w:val="single"/>
        </w:rPr>
        <w:t>条发出的招标答疑会会议纪要和按本须知第</w:t>
      </w:r>
      <w:r>
        <w:rPr>
          <w:rFonts w:ascii="宋体" w:hAnsi="宋体"/>
          <w:color w:val="auto"/>
          <w:sz w:val="24"/>
          <w:highlight w:val="none"/>
          <w:u w:val="single"/>
        </w:rPr>
        <w:t>9</w:t>
      </w:r>
      <w:r>
        <w:rPr>
          <w:rFonts w:hint="eastAsia" w:ascii="宋体" w:hAnsi="宋体"/>
          <w:color w:val="auto"/>
          <w:sz w:val="24"/>
          <w:highlight w:val="none"/>
          <w:u w:val="single"/>
        </w:rPr>
        <w:t>条发出的澄清或修改：</w:t>
      </w:r>
    </w:p>
    <w:p w14:paraId="427E534D">
      <w:pPr>
        <w:pStyle w:val="4"/>
        <w:numPr>
          <w:ilvl w:val="0"/>
          <w:numId w:val="6"/>
        </w:numPr>
        <w:spacing w:after="0" w:line="360" w:lineRule="auto"/>
        <w:ind w:left="0" w:leftChars="0" w:firstLine="480" w:firstLineChars="200"/>
        <w:rPr>
          <w:rFonts w:hint="eastAsia" w:ascii="宋体" w:hAnsi="宋体"/>
          <w:bCs/>
          <w:color w:val="auto"/>
          <w:sz w:val="24"/>
          <w:highlight w:val="none"/>
          <w:u w:val="single"/>
          <w:lang w:val="en-US" w:eastAsia="zh-CN"/>
        </w:rPr>
      </w:pPr>
      <w:r>
        <w:rPr>
          <w:rFonts w:hint="eastAsia" w:ascii="宋体" w:hAnsi="宋体"/>
          <w:bCs/>
          <w:color w:val="auto"/>
          <w:sz w:val="24"/>
          <w:highlight w:val="none"/>
          <w:u w:val="single"/>
          <w:lang w:val="en-US" w:eastAsia="zh-CN"/>
        </w:rPr>
        <w:t>招标公告</w:t>
      </w:r>
    </w:p>
    <w:p w14:paraId="033E4BEB">
      <w:pPr>
        <w:pStyle w:val="4"/>
        <w:numPr>
          <w:ilvl w:val="0"/>
          <w:numId w:val="6"/>
        </w:numPr>
        <w:spacing w:after="0" w:line="360" w:lineRule="auto"/>
        <w:ind w:left="0" w:leftChars="0" w:firstLine="480" w:firstLineChars="200"/>
        <w:rPr>
          <w:rFonts w:ascii="宋体"/>
          <w:color w:val="auto"/>
          <w:sz w:val="24"/>
          <w:highlight w:val="none"/>
          <w:u w:val="single"/>
        </w:rPr>
      </w:pPr>
      <w:r>
        <w:rPr>
          <w:rFonts w:hint="eastAsia" w:ascii="宋体" w:hAnsi="宋体"/>
          <w:color w:val="auto"/>
          <w:sz w:val="24"/>
          <w:highlight w:val="none"/>
          <w:u w:val="single"/>
        </w:rPr>
        <w:t>投标须知</w:t>
      </w:r>
    </w:p>
    <w:p w14:paraId="196D9E32">
      <w:pPr>
        <w:pStyle w:val="4"/>
        <w:numPr>
          <w:ilvl w:val="0"/>
          <w:numId w:val="6"/>
        </w:numPr>
        <w:spacing w:after="0" w:line="360" w:lineRule="auto"/>
        <w:ind w:left="0" w:leftChars="0" w:firstLine="480" w:firstLineChars="200"/>
        <w:rPr>
          <w:rFonts w:ascii="宋体"/>
          <w:color w:val="auto"/>
          <w:sz w:val="24"/>
          <w:highlight w:val="none"/>
          <w:u w:val="single"/>
        </w:rPr>
      </w:pPr>
      <w:r>
        <w:rPr>
          <w:rFonts w:hint="eastAsia" w:ascii="宋体" w:hAnsi="宋体"/>
          <w:color w:val="auto"/>
          <w:sz w:val="24"/>
          <w:highlight w:val="none"/>
          <w:u w:val="single"/>
        </w:rPr>
        <w:t>开标、评标及定标办法</w:t>
      </w:r>
    </w:p>
    <w:p w14:paraId="72F121AB">
      <w:pPr>
        <w:pStyle w:val="4"/>
        <w:numPr>
          <w:ilvl w:val="0"/>
          <w:numId w:val="6"/>
        </w:numPr>
        <w:spacing w:after="0" w:line="360" w:lineRule="auto"/>
        <w:ind w:left="0" w:leftChars="0" w:firstLine="480" w:firstLineChars="200"/>
        <w:rPr>
          <w:rFonts w:ascii="宋体"/>
          <w:color w:val="auto"/>
          <w:sz w:val="24"/>
          <w:highlight w:val="none"/>
          <w:u w:val="single"/>
        </w:rPr>
      </w:pPr>
      <w:r>
        <w:rPr>
          <w:rFonts w:hint="eastAsia" w:ascii="宋体" w:hAnsi="宋体"/>
          <w:color w:val="auto"/>
          <w:sz w:val="24"/>
          <w:highlight w:val="none"/>
          <w:u w:val="single"/>
        </w:rPr>
        <w:t>合同条款</w:t>
      </w:r>
    </w:p>
    <w:p w14:paraId="29704A50">
      <w:pPr>
        <w:pStyle w:val="4"/>
        <w:numPr>
          <w:ilvl w:val="0"/>
          <w:numId w:val="6"/>
        </w:numPr>
        <w:spacing w:after="0" w:line="360" w:lineRule="auto"/>
        <w:ind w:left="0" w:leftChars="0" w:firstLine="480" w:firstLineChars="200"/>
        <w:rPr>
          <w:rFonts w:hint="eastAsia" w:ascii="宋体" w:hAnsi="宋体"/>
          <w:color w:val="auto"/>
          <w:sz w:val="24"/>
          <w:highlight w:val="none"/>
          <w:u w:val="single"/>
        </w:rPr>
      </w:pPr>
      <w:r>
        <w:rPr>
          <w:rFonts w:hint="eastAsia" w:ascii="宋体" w:hAnsi="宋体"/>
          <w:color w:val="auto"/>
          <w:sz w:val="24"/>
          <w:highlight w:val="none"/>
          <w:u w:val="single"/>
        </w:rPr>
        <w:t>投标文件格式</w:t>
      </w:r>
    </w:p>
    <w:p w14:paraId="59D3DEAE">
      <w:pPr>
        <w:pStyle w:val="4"/>
        <w:numPr>
          <w:ilvl w:val="0"/>
          <w:numId w:val="6"/>
        </w:numPr>
        <w:spacing w:after="0" w:line="360" w:lineRule="auto"/>
        <w:ind w:left="0" w:leftChars="0" w:firstLine="480" w:firstLineChars="200"/>
        <w:rPr>
          <w:rFonts w:hint="eastAsia" w:ascii="宋体" w:hAnsi="宋体"/>
          <w:color w:val="auto"/>
          <w:sz w:val="24"/>
          <w:highlight w:val="none"/>
          <w:u w:val="single"/>
        </w:rPr>
      </w:pPr>
      <w:r>
        <w:rPr>
          <w:rFonts w:hint="eastAsia" w:ascii="宋体" w:hAnsi="宋体"/>
          <w:color w:val="auto"/>
          <w:sz w:val="24"/>
          <w:highlight w:val="none"/>
          <w:u w:val="single"/>
        </w:rPr>
        <w:t>技术条件（工程建设标准）</w:t>
      </w:r>
    </w:p>
    <w:p w14:paraId="1C8FAF35">
      <w:pPr>
        <w:pStyle w:val="4"/>
        <w:numPr>
          <w:ilvl w:val="0"/>
          <w:numId w:val="6"/>
        </w:numPr>
        <w:spacing w:after="0" w:line="360" w:lineRule="auto"/>
        <w:ind w:left="0" w:leftChars="0" w:firstLine="480" w:firstLineChars="200"/>
        <w:rPr>
          <w:rFonts w:hint="eastAsia" w:ascii="宋体" w:hAnsi="宋体"/>
          <w:color w:val="auto"/>
          <w:sz w:val="24"/>
          <w:highlight w:val="none"/>
          <w:u w:val="single"/>
        </w:rPr>
      </w:pPr>
      <w:r>
        <w:rPr>
          <w:rFonts w:hint="eastAsia" w:ascii="宋体" w:hAnsi="宋体"/>
          <w:color w:val="auto"/>
          <w:sz w:val="24"/>
          <w:highlight w:val="none"/>
          <w:u w:val="single"/>
        </w:rPr>
        <w:t>图纸资料</w:t>
      </w:r>
      <w:r>
        <w:rPr>
          <w:rFonts w:hint="eastAsia" w:ascii="宋体" w:hAnsi="宋体" w:cs="宋体"/>
          <w:sz w:val="24"/>
          <w:szCs w:val="24"/>
          <w:highlight w:val="none"/>
          <w:u w:val="single"/>
          <w:lang w:eastAsia="zh-CN"/>
        </w:rPr>
        <w:t>（另册）</w:t>
      </w:r>
    </w:p>
    <w:p w14:paraId="1FDE56D6">
      <w:pPr>
        <w:pStyle w:val="4"/>
        <w:numPr>
          <w:ilvl w:val="0"/>
          <w:numId w:val="6"/>
        </w:numPr>
        <w:spacing w:after="0" w:line="360" w:lineRule="auto"/>
        <w:ind w:left="0" w:leftChars="0" w:firstLine="480" w:firstLineChars="200"/>
        <w:rPr>
          <w:rFonts w:hint="eastAsia" w:ascii="宋体" w:hAnsi="宋体"/>
          <w:color w:val="auto"/>
          <w:sz w:val="24"/>
          <w:highlight w:val="none"/>
          <w:u w:val="single"/>
        </w:rPr>
      </w:pPr>
      <w:r>
        <w:rPr>
          <w:rFonts w:hint="eastAsia" w:ascii="宋体" w:hAnsi="宋体"/>
          <w:bCs/>
          <w:color w:val="auto"/>
          <w:sz w:val="24"/>
          <w:highlight w:val="none"/>
          <w:u w:val="single"/>
        </w:rPr>
        <w:t>招标</w:t>
      </w:r>
      <w:r>
        <w:rPr>
          <w:rFonts w:hint="eastAsia" w:ascii="宋体" w:hAnsi="宋体"/>
          <w:color w:val="auto"/>
          <w:sz w:val="24"/>
          <w:highlight w:val="none"/>
          <w:u w:val="single"/>
        </w:rPr>
        <w:t>工程量清单</w:t>
      </w:r>
      <w:r>
        <w:rPr>
          <w:rFonts w:hint="eastAsia" w:ascii="宋体" w:hAnsi="宋体" w:cs="宋体"/>
          <w:sz w:val="24"/>
          <w:szCs w:val="24"/>
          <w:highlight w:val="none"/>
          <w:u w:val="single"/>
          <w:lang w:eastAsia="zh-CN"/>
        </w:rPr>
        <w:t>（另册）</w:t>
      </w:r>
    </w:p>
    <w:p w14:paraId="2C342DB4">
      <w:pPr>
        <w:pStyle w:val="4"/>
        <w:numPr>
          <w:ilvl w:val="0"/>
          <w:numId w:val="6"/>
        </w:numPr>
        <w:spacing w:after="0" w:line="360" w:lineRule="auto"/>
        <w:ind w:left="0" w:leftChars="0" w:firstLine="480" w:firstLineChars="200"/>
        <w:rPr>
          <w:rFonts w:hint="eastAsia" w:ascii="宋体" w:hAnsi="宋体"/>
          <w:color w:val="auto"/>
          <w:sz w:val="24"/>
          <w:highlight w:val="none"/>
          <w:u w:val="single"/>
        </w:rPr>
      </w:pPr>
      <w:r>
        <w:rPr>
          <w:rFonts w:hint="eastAsia" w:ascii="宋体" w:hAnsi="宋体"/>
          <w:color w:val="auto"/>
          <w:sz w:val="24"/>
          <w:highlight w:val="none"/>
          <w:u w:val="single"/>
        </w:rPr>
        <w:t>最高投标限价</w:t>
      </w:r>
      <w:r>
        <w:rPr>
          <w:rFonts w:hint="eastAsia" w:ascii="宋体" w:hAnsi="宋体" w:cs="宋体"/>
          <w:sz w:val="24"/>
          <w:szCs w:val="24"/>
          <w:highlight w:val="none"/>
          <w:u w:val="single"/>
          <w:lang w:eastAsia="zh-CN"/>
        </w:rPr>
        <w:t>（另册）</w:t>
      </w:r>
    </w:p>
    <w:p w14:paraId="7232F5B2">
      <w:pPr>
        <w:pStyle w:val="4"/>
        <w:spacing w:after="0" w:line="360" w:lineRule="auto"/>
        <w:ind w:left="-2" w:firstLine="480" w:firstLineChars="200"/>
        <w:rPr>
          <w:rFonts w:hint="eastAsia" w:ascii="楷体" w:hAnsi="楷体" w:eastAsia="楷体" w:cs="楷体"/>
          <w:b w:val="0"/>
          <w:bCs w:val="0"/>
          <w:strike/>
          <w:dstrike w:val="0"/>
          <w:color w:val="auto"/>
          <w:kern w:val="0"/>
          <w:sz w:val="24"/>
          <w:szCs w:val="24"/>
          <w:highlight w:val="none"/>
          <w:lang w:eastAsia="zh-CN"/>
        </w:rPr>
      </w:pPr>
      <w:r>
        <w:rPr>
          <w:rFonts w:hint="eastAsia" w:ascii="楷体" w:hAnsi="楷体" w:eastAsia="楷体" w:cs="楷体"/>
          <w:b w:val="0"/>
          <w:bCs w:val="0"/>
          <w:strike/>
          <w:dstrike w:val="0"/>
          <w:color w:val="auto"/>
          <w:sz w:val="24"/>
          <w:highlight w:val="none"/>
        </w:rPr>
        <w:t>注：</w:t>
      </w:r>
      <w:r>
        <w:rPr>
          <w:rFonts w:hint="eastAsia" w:ascii="楷体" w:hAnsi="楷体" w:eastAsia="楷体" w:cs="楷体"/>
          <w:b w:val="0"/>
          <w:bCs w:val="0"/>
          <w:strike/>
          <w:dstrike w:val="0"/>
          <w:color w:val="auto"/>
          <w:kern w:val="0"/>
          <w:sz w:val="24"/>
          <w:szCs w:val="24"/>
          <w:highlight w:val="none"/>
        </w:rPr>
        <w:t>招标人应在技术条件（工程建设标准）中明确</w:t>
      </w:r>
      <w:r>
        <w:rPr>
          <w:rFonts w:hint="eastAsia" w:ascii="楷体" w:hAnsi="楷体" w:eastAsia="楷体" w:cs="楷体"/>
          <w:b w:val="0"/>
          <w:bCs w:val="0"/>
          <w:strike/>
          <w:dstrike w:val="0"/>
          <w:color w:val="auto"/>
          <w:kern w:val="0"/>
          <w:sz w:val="24"/>
          <w:szCs w:val="24"/>
          <w:highlight w:val="none"/>
          <w:lang w:eastAsia="zh-CN"/>
        </w:rPr>
        <w:t>如下内容：</w:t>
      </w:r>
    </w:p>
    <w:p w14:paraId="07464601">
      <w:pPr>
        <w:pStyle w:val="4"/>
        <w:numPr>
          <w:ilvl w:val="0"/>
          <w:numId w:val="0"/>
        </w:numPr>
        <w:spacing w:after="0" w:line="360" w:lineRule="auto"/>
        <w:ind w:leftChars="200"/>
        <w:rPr>
          <w:rFonts w:hint="eastAsia" w:ascii="楷体" w:hAnsi="楷体" w:eastAsia="楷体" w:cs="楷体"/>
          <w:b w:val="0"/>
          <w:bCs w:val="0"/>
          <w:strike/>
          <w:dstrike w:val="0"/>
          <w:color w:val="auto"/>
          <w:kern w:val="0"/>
          <w:sz w:val="24"/>
          <w:szCs w:val="24"/>
          <w:highlight w:val="none"/>
        </w:rPr>
      </w:pPr>
      <w:r>
        <w:rPr>
          <w:rFonts w:hint="eastAsia" w:ascii="楷体" w:hAnsi="楷体" w:eastAsia="楷体" w:cs="楷体"/>
          <w:b w:val="0"/>
          <w:bCs w:val="0"/>
          <w:strike/>
          <w:dstrike w:val="0"/>
          <w:color w:val="auto"/>
          <w:kern w:val="0"/>
          <w:sz w:val="24"/>
          <w:szCs w:val="24"/>
          <w:highlight w:val="none"/>
          <w:lang w:val="en-US" w:eastAsia="zh-CN"/>
        </w:rPr>
        <w:t>1.</w:t>
      </w:r>
      <w:r>
        <w:rPr>
          <w:rFonts w:hint="eastAsia" w:ascii="楷体" w:hAnsi="楷体" w:eastAsia="楷体" w:cs="楷体"/>
          <w:b w:val="0"/>
          <w:bCs w:val="0"/>
          <w:strike/>
          <w:dstrike w:val="0"/>
          <w:color w:val="auto"/>
          <w:kern w:val="0"/>
          <w:sz w:val="24"/>
          <w:szCs w:val="24"/>
          <w:highlight w:val="none"/>
        </w:rPr>
        <w:t>施工现场建筑垃圾源头减量的具体要求和建筑垃圾综合利用产品的使用要求。</w:t>
      </w:r>
    </w:p>
    <w:p w14:paraId="0FF29A8C">
      <w:pPr>
        <w:pStyle w:val="4"/>
        <w:numPr>
          <w:ilvl w:val="0"/>
          <w:numId w:val="0"/>
        </w:numPr>
        <w:spacing w:after="0" w:line="360" w:lineRule="auto"/>
        <w:ind w:leftChars="200"/>
        <w:rPr>
          <w:rFonts w:hint="eastAsia" w:ascii="楷体" w:hAnsi="楷体" w:eastAsia="楷体" w:cs="楷体"/>
          <w:b w:val="0"/>
          <w:bCs w:val="0"/>
          <w:strike/>
          <w:dstrike w:val="0"/>
          <w:color w:val="auto"/>
          <w:kern w:val="0"/>
          <w:sz w:val="24"/>
          <w:szCs w:val="24"/>
          <w:highlight w:val="none"/>
        </w:rPr>
      </w:pPr>
      <w:r>
        <w:rPr>
          <w:rFonts w:hint="eastAsia" w:ascii="楷体" w:hAnsi="楷体" w:eastAsia="楷体" w:cs="楷体"/>
          <w:b w:val="0"/>
          <w:bCs w:val="0"/>
          <w:strike/>
          <w:dstrike w:val="0"/>
          <w:color w:val="auto"/>
          <w:kern w:val="0"/>
          <w:sz w:val="24"/>
          <w:szCs w:val="24"/>
          <w:highlight w:val="none"/>
          <w:lang w:val="en-US" w:eastAsia="zh-CN"/>
        </w:rPr>
        <w:t>2.</w:t>
      </w:r>
      <w:r>
        <w:rPr>
          <w:rFonts w:hint="eastAsia" w:ascii="楷体" w:hAnsi="楷体" w:eastAsia="楷体" w:cs="楷体"/>
          <w:b w:val="0"/>
          <w:bCs w:val="0"/>
          <w:strike/>
          <w:dstrike w:val="0"/>
          <w:color w:val="auto"/>
          <w:kern w:val="0"/>
          <w:sz w:val="24"/>
          <w:szCs w:val="24"/>
          <w:highlight w:val="none"/>
          <w:lang w:eastAsia="zh-CN"/>
        </w:rPr>
        <w:t>占道施工相关告知、围蔽、修复等要求。</w:t>
      </w:r>
    </w:p>
    <w:p w14:paraId="672D0759">
      <w:pPr>
        <w:pStyle w:val="4"/>
        <w:numPr>
          <w:ilvl w:val="0"/>
          <w:numId w:val="0"/>
        </w:numPr>
        <w:spacing w:after="0" w:line="360" w:lineRule="auto"/>
        <w:ind w:leftChars="200"/>
        <w:rPr>
          <w:rFonts w:hint="eastAsia" w:ascii="楷体" w:hAnsi="楷体" w:eastAsia="楷体" w:cs="楷体"/>
          <w:b w:val="0"/>
          <w:bCs w:val="0"/>
          <w:strike/>
          <w:dstrike w:val="0"/>
          <w:color w:val="auto"/>
          <w:kern w:val="0"/>
          <w:sz w:val="24"/>
          <w:szCs w:val="24"/>
          <w:highlight w:val="none"/>
          <w:lang w:val="en-US" w:eastAsia="zh-CN"/>
        </w:rPr>
      </w:pPr>
      <w:r>
        <w:rPr>
          <w:rFonts w:hint="eastAsia" w:ascii="楷体" w:hAnsi="楷体" w:eastAsia="楷体" w:cs="楷体"/>
          <w:b w:val="0"/>
          <w:bCs w:val="0"/>
          <w:strike/>
          <w:dstrike w:val="0"/>
          <w:color w:val="auto"/>
          <w:kern w:val="0"/>
          <w:sz w:val="24"/>
          <w:szCs w:val="24"/>
          <w:highlight w:val="none"/>
          <w:lang w:val="en-US" w:eastAsia="zh-CN"/>
        </w:rPr>
        <w:t>3.</w:t>
      </w:r>
      <w:r>
        <w:rPr>
          <w:rFonts w:hint="eastAsia" w:ascii="楷体" w:hAnsi="楷体" w:eastAsia="楷体" w:cs="楷体"/>
          <w:b w:val="0"/>
          <w:bCs w:val="0"/>
          <w:strike/>
          <w:dstrike w:val="0"/>
          <w:color w:val="auto"/>
          <w:kern w:val="0"/>
          <w:sz w:val="24"/>
          <w:szCs w:val="24"/>
          <w:highlight w:val="none"/>
          <w:lang w:eastAsia="zh-CN"/>
        </w:rPr>
        <w:t>对照《广州市智能建造技术清单（</w:t>
      </w:r>
      <w:r>
        <w:rPr>
          <w:rFonts w:hint="eastAsia" w:ascii="楷体" w:hAnsi="楷体" w:eastAsia="楷体" w:cs="楷体"/>
          <w:b w:val="0"/>
          <w:bCs w:val="0"/>
          <w:strike/>
          <w:dstrike w:val="0"/>
          <w:color w:val="auto"/>
          <w:kern w:val="0"/>
          <w:sz w:val="24"/>
          <w:szCs w:val="24"/>
          <w:highlight w:val="none"/>
          <w:lang w:val="en-US" w:eastAsia="zh-CN"/>
        </w:rPr>
        <w:t>1.0版）》对招标项目智能建造提出要求。</w:t>
      </w:r>
    </w:p>
    <w:p w14:paraId="71EBA128">
      <w:pPr>
        <w:pStyle w:val="4"/>
        <w:numPr>
          <w:ilvl w:val="0"/>
          <w:numId w:val="0"/>
        </w:numPr>
        <w:spacing w:after="0" w:line="360" w:lineRule="auto"/>
        <w:ind w:leftChars="200"/>
        <w:rPr>
          <w:rFonts w:hint="eastAsia" w:ascii="楷体" w:hAnsi="楷体" w:eastAsia="楷体" w:cs="楷体"/>
          <w:b w:val="0"/>
          <w:bCs w:val="0"/>
          <w:strike/>
          <w:dstrike w:val="0"/>
          <w:color w:val="auto"/>
          <w:kern w:val="0"/>
          <w:sz w:val="24"/>
          <w:szCs w:val="24"/>
          <w:highlight w:val="none"/>
          <w:lang w:val="en-US" w:eastAsia="zh-CN"/>
        </w:rPr>
      </w:pPr>
      <w:r>
        <w:rPr>
          <w:rFonts w:hint="eastAsia" w:ascii="楷体" w:hAnsi="楷体" w:eastAsia="楷体" w:cs="楷体"/>
          <w:b w:val="0"/>
          <w:bCs w:val="0"/>
          <w:strike/>
          <w:dstrike w:val="0"/>
          <w:color w:val="auto"/>
          <w:kern w:val="0"/>
          <w:sz w:val="24"/>
          <w:szCs w:val="24"/>
          <w:highlight w:val="none"/>
          <w:lang w:val="en-US" w:eastAsia="zh-CN"/>
        </w:rPr>
        <w:t>4.招标人对中标人参与“百千万工程”的具体要求。</w:t>
      </w:r>
    </w:p>
    <w:p w14:paraId="63F0F09E">
      <w:pPr>
        <w:pStyle w:val="4"/>
        <w:numPr>
          <w:ilvl w:val="0"/>
          <w:numId w:val="0"/>
        </w:numPr>
        <w:spacing w:after="0" w:line="360" w:lineRule="auto"/>
        <w:ind w:firstLine="480" w:firstLineChars="200"/>
        <w:rPr>
          <w:rFonts w:hint="default" w:ascii="楷体" w:hAnsi="楷体" w:eastAsia="楷体" w:cs="楷体"/>
          <w:b w:val="0"/>
          <w:bCs w:val="0"/>
          <w:color w:val="auto"/>
          <w:kern w:val="0"/>
          <w:sz w:val="24"/>
          <w:szCs w:val="24"/>
          <w:highlight w:val="none"/>
          <w:lang w:val="en-US" w:eastAsia="zh-CN"/>
        </w:rPr>
      </w:pPr>
      <w:r>
        <w:rPr>
          <w:rFonts w:hint="eastAsia" w:ascii="楷体" w:hAnsi="楷体" w:eastAsia="楷体" w:cs="楷体"/>
          <w:b w:val="0"/>
          <w:bCs w:val="0"/>
          <w:strike/>
          <w:dstrike w:val="0"/>
          <w:color w:val="auto"/>
          <w:kern w:val="0"/>
          <w:sz w:val="24"/>
          <w:szCs w:val="24"/>
          <w:highlight w:val="none"/>
          <w:lang w:val="en-US" w:eastAsia="zh-CN"/>
        </w:rPr>
        <w:t>5.在建筑废弃物运输上落实《关于加快推动氢能产业高质量发展的若干措施》的要求。</w:t>
      </w:r>
    </w:p>
    <w:p w14:paraId="0D25B5FA">
      <w:pPr>
        <w:pStyle w:val="4"/>
        <w:spacing w:after="0" w:line="360" w:lineRule="auto"/>
        <w:ind w:firstLine="480" w:firstLineChars="200"/>
        <w:rPr>
          <w:rFonts w:ascii="宋体"/>
          <w:color w:val="auto"/>
          <w:sz w:val="24"/>
          <w:highlight w:val="none"/>
        </w:rPr>
      </w:pPr>
      <w:r>
        <w:rPr>
          <w:rFonts w:ascii="宋体" w:hAnsi="宋体"/>
          <w:color w:val="auto"/>
          <w:sz w:val="24"/>
          <w:highlight w:val="none"/>
        </w:rPr>
        <w:t xml:space="preserve">7.2 </w:t>
      </w:r>
      <w:r>
        <w:rPr>
          <w:rFonts w:hint="eastAsia" w:ascii="宋体" w:hAnsi="宋体"/>
          <w:color w:val="auto"/>
          <w:sz w:val="24"/>
          <w:highlight w:val="none"/>
        </w:rPr>
        <w:t>投标人获取招标文件后，应仔细检查招标文件的所有内容，认真审阅招标文件中所有的事项、格式、条款和规范要求等，若投标人的投标文件没有按招标文件要求提交全部资料，或投标文件实质上没有响应招标文件的要求，招标人将按评标办法的规定予以拒绝，并且不允许投标人通过修改或撤消其不符合要求的差异或保留使之成为具有响应性的投标文件。</w:t>
      </w:r>
    </w:p>
    <w:p w14:paraId="0CE60AEC">
      <w:pPr>
        <w:pStyle w:val="4"/>
        <w:spacing w:after="0" w:line="360" w:lineRule="auto"/>
        <w:ind w:firstLine="480" w:firstLineChars="200"/>
        <w:rPr>
          <w:rFonts w:ascii="宋体"/>
          <w:color w:val="auto"/>
          <w:sz w:val="24"/>
          <w:highlight w:val="none"/>
        </w:rPr>
      </w:pPr>
      <w:r>
        <w:rPr>
          <w:rFonts w:ascii="宋体" w:hAnsi="宋体"/>
          <w:color w:val="auto"/>
          <w:sz w:val="24"/>
          <w:highlight w:val="none"/>
        </w:rPr>
        <w:t xml:space="preserve">7.3 </w:t>
      </w:r>
      <w:r>
        <w:rPr>
          <w:rFonts w:hint="eastAsia" w:ascii="宋体" w:hAnsi="宋体"/>
          <w:color w:val="auto"/>
          <w:sz w:val="24"/>
          <w:highlight w:val="none"/>
        </w:rPr>
        <w:t>投标人一旦中标，招标文件的内容对招标人和中标人双方均有约束力。</w:t>
      </w:r>
    </w:p>
    <w:p w14:paraId="6FE5699C">
      <w:pPr>
        <w:pStyle w:val="4"/>
        <w:spacing w:after="0" w:line="360" w:lineRule="auto"/>
        <w:ind w:firstLine="482" w:firstLineChars="200"/>
        <w:rPr>
          <w:rFonts w:ascii="宋体"/>
          <w:b/>
          <w:bCs/>
          <w:color w:val="auto"/>
          <w:sz w:val="24"/>
          <w:highlight w:val="none"/>
        </w:rPr>
      </w:pPr>
      <w:r>
        <w:rPr>
          <w:rFonts w:ascii="宋体" w:hAnsi="宋体"/>
          <w:b/>
          <w:bCs/>
          <w:color w:val="auto"/>
          <w:sz w:val="24"/>
          <w:highlight w:val="none"/>
        </w:rPr>
        <w:t>8</w:t>
      </w:r>
      <w:r>
        <w:rPr>
          <w:rFonts w:hint="eastAsia" w:ascii="宋体" w:hAnsi="宋体"/>
          <w:b/>
          <w:bCs/>
          <w:color w:val="auto"/>
          <w:sz w:val="24"/>
          <w:highlight w:val="none"/>
        </w:rPr>
        <w:t>．招标答疑</w:t>
      </w:r>
    </w:p>
    <w:p w14:paraId="5394171B">
      <w:pPr>
        <w:pStyle w:val="4"/>
        <w:spacing w:after="0" w:line="360" w:lineRule="auto"/>
        <w:ind w:firstLine="480" w:firstLineChars="200"/>
        <w:rPr>
          <w:rFonts w:ascii="宋体"/>
          <w:color w:val="auto"/>
          <w:sz w:val="24"/>
          <w:highlight w:val="none"/>
        </w:rPr>
      </w:pPr>
      <w:r>
        <w:rPr>
          <w:rFonts w:ascii="宋体" w:hAnsi="宋体"/>
          <w:color w:val="auto"/>
          <w:sz w:val="24"/>
          <w:highlight w:val="none"/>
        </w:rPr>
        <w:t xml:space="preserve">8.1 </w:t>
      </w:r>
      <w:r>
        <w:rPr>
          <w:rFonts w:hint="eastAsia" w:ascii="宋体" w:hAnsi="宋体"/>
          <w:color w:val="auto"/>
          <w:sz w:val="24"/>
          <w:highlight w:val="none"/>
        </w:rPr>
        <w:t>投标人若对招标文件（包括招标图纸）中有疑问，可以书面形式</w:t>
      </w:r>
      <w:r>
        <w:rPr>
          <w:rFonts w:hint="eastAsia"/>
          <w:color w:val="auto"/>
          <w:sz w:val="24"/>
          <w:szCs w:val="24"/>
          <w:highlight w:val="none"/>
        </w:rPr>
        <w:t>通过</w:t>
      </w:r>
      <w:r>
        <w:rPr>
          <w:rFonts w:hint="eastAsia" w:ascii="宋体" w:hAnsi="宋体" w:cs="宋体"/>
          <w:b/>
          <w:bCs/>
          <w:sz w:val="24"/>
          <w:szCs w:val="24"/>
          <w:highlight w:val="none"/>
          <w:u w:val="single"/>
        </w:rPr>
        <w:t>广州交易集团有限公司（广州公共资源交易中心）</w:t>
      </w:r>
      <w:r>
        <w:rPr>
          <w:rFonts w:hint="eastAsia" w:ascii="宋体" w:hAnsi="宋体"/>
          <w:color w:val="auto"/>
          <w:sz w:val="24"/>
          <w:szCs w:val="24"/>
          <w:highlight w:val="none"/>
        </w:rPr>
        <w:t>交易平台</w:t>
      </w:r>
      <w:r>
        <w:rPr>
          <w:rFonts w:hint="eastAsia"/>
          <w:color w:val="auto"/>
          <w:sz w:val="24"/>
          <w:szCs w:val="24"/>
          <w:highlight w:val="none"/>
        </w:rPr>
        <w:t>提交</w:t>
      </w:r>
      <w:r>
        <w:rPr>
          <w:rFonts w:hint="eastAsia" w:ascii="宋体" w:hAnsi="宋体"/>
          <w:color w:val="auto"/>
          <w:sz w:val="24"/>
          <w:highlight w:val="none"/>
        </w:rPr>
        <w:t>给招标人或招标代理人，提交形式见本须知前附表第</w:t>
      </w:r>
      <w:r>
        <w:rPr>
          <w:rFonts w:hint="eastAsia" w:ascii="宋体" w:hAnsi="宋体"/>
          <w:color w:val="auto"/>
          <w:sz w:val="24"/>
          <w:highlight w:val="none"/>
          <w:lang w:val="en-US" w:eastAsia="zh-CN"/>
        </w:rPr>
        <w:t>13</w:t>
      </w:r>
      <w:r>
        <w:rPr>
          <w:rFonts w:hint="eastAsia" w:ascii="宋体" w:hAnsi="宋体"/>
          <w:color w:val="auto"/>
          <w:sz w:val="24"/>
          <w:highlight w:val="none"/>
        </w:rPr>
        <w:t>项。</w:t>
      </w:r>
    </w:p>
    <w:p w14:paraId="20006AB2">
      <w:pPr>
        <w:pStyle w:val="4"/>
        <w:spacing w:after="0" w:line="360" w:lineRule="auto"/>
        <w:ind w:firstLine="480" w:firstLineChars="200"/>
        <w:rPr>
          <w:rFonts w:ascii="宋体"/>
          <w:color w:val="auto"/>
          <w:sz w:val="24"/>
          <w:highlight w:val="none"/>
        </w:rPr>
      </w:pPr>
      <w:r>
        <w:rPr>
          <w:rFonts w:ascii="宋体" w:hAnsi="宋体"/>
          <w:color w:val="auto"/>
          <w:sz w:val="24"/>
          <w:highlight w:val="none"/>
        </w:rPr>
        <w:t>8.2</w:t>
      </w:r>
      <w:r>
        <w:rPr>
          <w:rFonts w:hint="eastAsia" w:ascii="宋体" w:hAnsi="宋体" w:cs="宋体"/>
          <w:b/>
          <w:bCs/>
          <w:sz w:val="24"/>
          <w:szCs w:val="24"/>
          <w:highlight w:val="none"/>
          <w:u w:val="single"/>
        </w:rPr>
        <w:t>招标答疑纪要</w:t>
      </w:r>
      <w:r>
        <w:rPr>
          <w:rFonts w:hint="eastAsia" w:ascii="宋体"/>
          <w:color w:val="auto"/>
          <w:sz w:val="24"/>
          <w:highlight w:val="none"/>
        </w:rPr>
        <w:t>将在提交投标文件截止时间15日前在</w:t>
      </w:r>
      <w:r>
        <w:rPr>
          <w:rFonts w:hint="eastAsia" w:ascii="宋体" w:hAnsi="宋体" w:cs="宋体"/>
          <w:b/>
          <w:bCs/>
          <w:sz w:val="24"/>
          <w:szCs w:val="24"/>
          <w:highlight w:val="none"/>
          <w:u w:val="single"/>
        </w:rPr>
        <w:t>广州交易集团有限公司（广州公共资源交易中心）</w:t>
      </w:r>
      <w:r>
        <w:rPr>
          <w:rFonts w:hint="eastAsia" w:ascii="宋体" w:hAnsi="宋体"/>
          <w:color w:val="auto"/>
          <w:sz w:val="24"/>
          <w:szCs w:val="24"/>
          <w:highlight w:val="none"/>
        </w:rPr>
        <w:t>交易平台</w:t>
      </w:r>
      <w:r>
        <w:rPr>
          <w:rFonts w:hint="eastAsia" w:ascii="宋体"/>
          <w:color w:val="auto"/>
          <w:sz w:val="24"/>
          <w:highlight w:val="none"/>
        </w:rPr>
        <w:t xml:space="preserve"> “项目答疑纪要”专区公开发布。答疑纪要一经在</w:t>
      </w:r>
      <w:r>
        <w:rPr>
          <w:rFonts w:hint="eastAsia" w:ascii="宋体" w:hAnsi="宋体" w:cs="宋体"/>
          <w:b/>
          <w:bCs/>
          <w:sz w:val="24"/>
          <w:szCs w:val="24"/>
          <w:highlight w:val="none"/>
          <w:u w:val="single"/>
        </w:rPr>
        <w:t>广州交易集团有限公司（广州公共资源交易中心）</w:t>
      </w:r>
      <w:r>
        <w:rPr>
          <w:rFonts w:hint="eastAsia" w:ascii="宋体" w:hAnsi="宋体"/>
          <w:color w:val="auto"/>
          <w:sz w:val="24"/>
          <w:szCs w:val="24"/>
          <w:highlight w:val="none"/>
        </w:rPr>
        <w:t>交易平台</w:t>
      </w:r>
      <w:r>
        <w:rPr>
          <w:rFonts w:hint="eastAsia" w:ascii="宋体"/>
          <w:color w:val="auto"/>
          <w:sz w:val="24"/>
          <w:highlight w:val="none"/>
        </w:rPr>
        <w:t>发布，视作已发放给所有投标人。</w:t>
      </w:r>
    </w:p>
    <w:p w14:paraId="36D5FBD8">
      <w:pPr>
        <w:pStyle w:val="4"/>
        <w:spacing w:after="0" w:line="360" w:lineRule="auto"/>
        <w:ind w:firstLine="480" w:firstLineChars="200"/>
        <w:rPr>
          <w:rFonts w:ascii="宋体"/>
          <w:color w:val="auto"/>
          <w:sz w:val="24"/>
          <w:highlight w:val="none"/>
        </w:rPr>
      </w:pPr>
      <w:r>
        <w:rPr>
          <w:rFonts w:ascii="宋体" w:hAnsi="宋体"/>
          <w:color w:val="auto"/>
          <w:sz w:val="24"/>
          <w:highlight w:val="none"/>
        </w:rPr>
        <w:t>8.3</w:t>
      </w:r>
      <w:r>
        <w:rPr>
          <w:rFonts w:hint="eastAsia" w:ascii="宋体" w:hAnsi="宋体"/>
          <w:color w:val="auto"/>
          <w:sz w:val="24"/>
          <w:highlight w:val="none"/>
        </w:rPr>
        <w:t>答疑会会议纪要为招标文件的一部分。</w:t>
      </w:r>
    </w:p>
    <w:p w14:paraId="7E7A787D">
      <w:pPr>
        <w:pStyle w:val="4"/>
        <w:spacing w:after="0" w:line="360" w:lineRule="auto"/>
        <w:ind w:firstLine="480" w:firstLineChars="200"/>
        <w:rPr>
          <w:rFonts w:ascii="宋体"/>
          <w:color w:val="auto"/>
          <w:sz w:val="24"/>
          <w:highlight w:val="none"/>
        </w:rPr>
      </w:pPr>
      <w:r>
        <w:rPr>
          <w:rFonts w:ascii="宋体" w:hAnsi="宋体"/>
          <w:color w:val="auto"/>
          <w:sz w:val="24"/>
          <w:highlight w:val="none"/>
        </w:rPr>
        <w:t>8.4</w:t>
      </w:r>
      <w:r>
        <w:rPr>
          <w:rFonts w:hint="eastAsia" w:ascii="宋体" w:hAnsi="宋体"/>
          <w:color w:val="auto"/>
          <w:sz w:val="24"/>
          <w:highlight w:val="none"/>
        </w:rPr>
        <w:t>若招标答疑会会议纪要与招标文件有矛盾，以答疑会议纪要最后发出的书面形式的文件为准。</w:t>
      </w:r>
    </w:p>
    <w:p w14:paraId="63ED3410">
      <w:pPr>
        <w:pStyle w:val="4"/>
        <w:spacing w:after="0" w:line="360" w:lineRule="auto"/>
        <w:ind w:firstLine="482" w:firstLineChars="200"/>
        <w:rPr>
          <w:rFonts w:ascii="宋体"/>
          <w:b/>
          <w:bCs/>
          <w:color w:val="auto"/>
          <w:sz w:val="24"/>
          <w:highlight w:val="none"/>
        </w:rPr>
      </w:pPr>
      <w:r>
        <w:rPr>
          <w:rFonts w:ascii="宋体" w:hAnsi="宋体"/>
          <w:b/>
          <w:bCs/>
          <w:color w:val="auto"/>
          <w:sz w:val="24"/>
          <w:highlight w:val="none"/>
        </w:rPr>
        <w:t>9.</w:t>
      </w:r>
      <w:r>
        <w:rPr>
          <w:rFonts w:hint="eastAsia" w:ascii="宋体" w:hAnsi="宋体"/>
          <w:b/>
          <w:bCs/>
          <w:color w:val="auto"/>
          <w:sz w:val="24"/>
          <w:highlight w:val="none"/>
        </w:rPr>
        <w:t>招标文件的澄清与修改</w:t>
      </w:r>
    </w:p>
    <w:p w14:paraId="0FA2A9F9">
      <w:pPr>
        <w:pStyle w:val="4"/>
        <w:spacing w:after="0" w:line="360" w:lineRule="auto"/>
        <w:ind w:firstLine="480" w:firstLineChars="200"/>
        <w:rPr>
          <w:rFonts w:ascii="宋体"/>
          <w:color w:val="auto"/>
          <w:sz w:val="24"/>
          <w:highlight w:val="none"/>
        </w:rPr>
      </w:pPr>
      <w:r>
        <w:rPr>
          <w:rFonts w:ascii="宋体" w:hAnsi="宋体"/>
          <w:color w:val="auto"/>
          <w:sz w:val="24"/>
          <w:highlight w:val="none"/>
        </w:rPr>
        <w:t>9.1</w:t>
      </w:r>
      <w:r>
        <w:rPr>
          <w:rFonts w:hint="eastAsia" w:ascii="宋体" w:hAnsi="宋体"/>
          <w:color w:val="auto"/>
          <w:sz w:val="24"/>
          <w:highlight w:val="none"/>
        </w:rPr>
        <w:t>招标文件发出后</w:t>
      </w:r>
      <w:r>
        <w:rPr>
          <w:rFonts w:ascii="宋体"/>
          <w:color w:val="auto"/>
          <w:sz w:val="24"/>
          <w:highlight w:val="none"/>
        </w:rPr>
        <w:t>,</w:t>
      </w:r>
      <w:r>
        <w:rPr>
          <w:rFonts w:hint="eastAsia" w:ascii="宋体" w:hAnsi="宋体"/>
          <w:color w:val="auto"/>
          <w:sz w:val="24"/>
          <w:highlight w:val="none"/>
        </w:rPr>
        <w:t>在提交投标文件截止时间15日前，招标人可对招标文件进行必要的澄清或修改。</w:t>
      </w:r>
    </w:p>
    <w:p w14:paraId="45DC8B1E">
      <w:pPr>
        <w:pStyle w:val="4"/>
        <w:spacing w:after="0" w:line="360" w:lineRule="auto"/>
        <w:ind w:firstLine="480" w:firstLineChars="200"/>
        <w:rPr>
          <w:rFonts w:ascii="宋体"/>
          <w:color w:val="auto"/>
          <w:sz w:val="24"/>
          <w:highlight w:val="none"/>
        </w:rPr>
      </w:pPr>
      <w:r>
        <w:rPr>
          <w:rFonts w:ascii="宋体" w:hAnsi="宋体"/>
          <w:color w:val="auto"/>
          <w:sz w:val="24"/>
          <w:highlight w:val="none"/>
        </w:rPr>
        <w:t>9.2</w:t>
      </w:r>
      <w:r>
        <w:rPr>
          <w:rFonts w:hint="eastAsia" w:ascii="宋体"/>
          <w:color w:val="auto"/>
          <w:sz w:val="24"/>
          <w:highlight w:val="none"/>
        </w:rPr>
        <w:t>招标文件的澄清或修改将在</w:t>
      </w:r>
      <w:r>
        <w:rPr>
          <w:rFonts w:hint="eastAsia" w:ascii="宋体" w:hAnsi="宋体" w:cs="宋体"/>
          <w:b/>
          <w:bCs/>
          <w:sz w:val="24"/>
          <w:szCs w:val="24"/>
          <w:highlight w:val="none"/>
          <w:u w:val="single"/>
        </w:rPr>
        <w:t>广州交易集团有限公司（广州公共资源交易中心）</w:t>
      </w:r>
      <w:r>
        <w:rPr>
          <w:rFonts w:hint="eastAsia" w:ascii="宋体" w:hAnsi="宋体"/>
          <w:color w:val="auto"/>
          <w:sz w:val="24"/>
          <w:szCs w:val="24"/>
          <w:highlight w:val="none"/>
        </w:rPr>
        <w:t>交易平台</w:t>
      </w:r>
      <w:r>
        <w:rPr>
          <w:rFonts w:hint="eastAsia" w:ascii="宋体"/>
          <w:color w:val="auto"/>
          <w:sz w:val="24"/>
          <w:highlight w:val="none"/>
        </w:rPr>
        <w:t>“项目答疑纪要”专区公开发布。答疑纪要一经在</w:t>
      </w:r>
      <w:r>
        <w:rPr>
          <w:rFonts w:hint="eastAsia" w:ascii="宋体" w:hAnsi="宋体" w:cs="宋体"/>
          <w:b/>
          <w:bCs/>
          <w:sz w:val="24"/>
          <w:szCs w:val="24"/>
          <w:highlight w:val="none"/>
          <w:u w:val="single"/>
        </w:rPr>
        <w:t>广州交易集团有限公司（广州公共资源交易中心）</w:t>
      </w:r>
      <w:r>
        <w:rPr>
          <w:rFonts w:hint="eastAsia" w:ascii="宋体" w:hAnsi="宋体"/>
          <w:color w:val="auto"/>
          <w:sz w:val="24"/>
          <w:szCs w:val="24"/>
          <w:highlight w:val="none"/>
        </w:rPr>
        <w:t>交易平台</w:t>
      </w:r>
      <w:r>
        <w:rPr>
          <w:rFonts w:hint="eastAsia" w:ascii="宋体"/>
          <w:color w:val="auto"/>
          <w:sz w:val="24"/>
          <w:highlight w:val="none"/>
        </w:rPr>
        <w:t>发布，视作已发放给所有投标人，以</w:t>
      </w:r>
      <w:r>
        <w:rPr>
          <w:rFonts w:hint="eastAsia" w:ascii="宋体" w:hAnsi="宋体" w:cs="宋体"/>
          <w:b/>
          <w:bCs/>
          <w:sz w:val="24"/>
          <w:szCs w:val="24"/>
          <w:highlight w:val="none"/>
          <w:u w:val="single"/>
        </w:rPr>
        <w:t>广州交易集团有限公司（广州公共资源交易中心）</w:t>
      </w:r>
      <w:r>
        <w:rPr>
          <w:rFonts w:hint="eastAsia" w:ascii="宋体" w:hAnsi="宋体"/>
          <w:color w:val="auto"/>
          <w:sz w:val="24"/>
          <w:szCs w:val="24"/>
          <w:highlight w:val="none"/>
        </w:rPr>
        <w:t>交易平台</w:t>
      </w:r>
      <w:r>
        <w:rPr>
          <w:rFonts w:hint="eastAsia" w:ascii="宋体"/>
          <w:color w:val="auto"/>
          <w:sz w:val="24"/>
          <w:highlight w:val="none"/>
        </w:rPr>
        <w:t>上网发布时间作为送达时间。</w:t>
      </w:r>
    </w:p>
    <w:p w14:paraId="510083F3">
      <w:pPr>
        <w:pStyle w:val="4"/>
        <w:spacing w:after="0" w:line="360" w:lineRule="auto"/>
        <w:ind w:firstLine="480" w:firstLineChars="200"/>
        <w:rPr>
          <w:rFonts w:hint="eastAsia" w:ascii="宋体" w:hAnsi="宋体" w:eastAsia="宋体"/>
          <w:color w:val="auto"/>
          <w:sz w:val="24"/>
          <w:highlight w:val="none"/>
        </w:rPr>
      </w:pPr>
      <w:r>
        <w:rPr>
          <w:rFonts w:ascii="宋体" w:hAnsi="宋体"/>
          <w:color w:val="auto"/>
          <w:sz w:val="24"/>
          <w:highlight w:val="none"/>
        </w:rPr>
        <w:t>9.3</w:t>
      </w:r>
      <w:r>
        <w:rPr>
          <w:rFonts w:hint="eastAsia" w:ascii="宋体" w:hAnsi="宋体"/>
          <w:color w:val="auto"/>
          <w:sz w:val="24"/>
          <w:highlight w:val="none"/>
        </w:rPr>
        <w:t>招标文件的</w:t>
      </w:r>
      <w:r>
        <w:rPr>
          <w:rFonts w:hint="eastAsia" w:ascii="宋体" w:hAnsi="宋体"/>
          <w:color w:val="auto"/>
          <w:sz w:val="24"/>
          <w:highlight w:val="none"/>
          <w:lang w:eastAsia="zh-CN"/>
        </w:rPr>
        <w:t>澄清或</w:t>
      </w:r>
      <w:r>
        <w:rPr>
          <w:rFonts w:hint="eastAsia" w:ascii="宋体" w:hAnsi="宋体" w:eastAsia="宋体"/>
          <w:color w:val="auto"/>
          <w:sz w:val="24"/>
          <w:highlight w:val="none"/>
        </w:rPr>
        <w:t>修改内容为招标文件的组成部分</w:t>
      </w:r>
      <w:r>
        <w:rPr>
          <w:rFonts w:hint="eastAsia" w:ascii="宋体" w:hAnsi="宋体" w:eastAsia="宋体"/>
          <w:color w:val="auto"/>
          <w:sz w:val="24"/>
          <w:highlight w:val="none"/>
          <w:lang w:eastAsia="zh-CN"/>
        </w:rPr>
        <w:t>，对投标人起约束作用</w:t>
      </w:r>
      <w:r>
        <w:rPr>
          <w:rFonts w:hint="eastAsia" w:ascii="宋体" w:hAnsi="宋体" w:eastAsia="宋体"/>
          <w:color w:val="auto"/>
          <w:sz w:val="24"/>
          <w:highlight w:val="none"/>
        </w:rPr>
        <w:t>。</w:t>
      </w:r>
    </w:p>
    <w:p w14:paraId="6A2DCF4E">
      <w:pPr>
        <w:pStyle w:val="4"/>
        <w:spacing w:after="0" w:line="360" w:lineRule="auto"/>
        <w:ind w:firstLine="480" w:firstLineChars="200"/>
        <w:rPr>
          <w:rFonts w:ascii="宋体"/>
          <w:color w:val="auto"/>
          <w:sz w:val="24"/>
          <w:highlight w:val="none"/>
        </w:rPr>
      </w:pPr>
      <w:r>
        <w:rPr>
          <w:rFonts w:hint="eastAsia" w:ascii="宋体" w:hAnsi="宋体" w:eastAsia="宋体"/>
          <w:color w:val="auto"/>
          <w:sz w:val="24"/>
          <w:highlight w:val="none"/>
        </w:rPr>
        <w:t>9.4招标文件的澄清或修改均以</w:t>
      </w:r>
      <w:r>
        <w:rPr>
          <w:rFonts w:hint="eastAsia" w:ascii="宋体" w:hAnsi="宋体" w:cs="宋体"/>
          <w:b/>
          <w:bCs/>
          <w:sz w:val="24"/>
          <w:szCs w:val="24"/>
          <w:highlight w:val="none"/>
          <w:u w:val="single"/>
        </w:rPr>
        <w:t>广州交易集团有限公司（广州公共资源交易中心）</w:t>
      </w:r>
      <w:r>
        <w:rPr>
          <w:rFonts w:hint="eastAsia" w:ascii="宋体" w:hAnsi="宋体" w:eastAsia="宋体"/>
          <w:color w:val="auto"/>
          <w:sz w:val="24"/>
          <w:highlight w:val="none"/>
          <w:u w:val="single"/>
          <w:lang w:eastAsia="zh-CN"/>
        </w:rPr>
        <w:t>网站</w:t>
      </w:r>
      <w:r>
        <w:rPr>
          <w:rFonts w:hint="eastAsia" w:ascii="宋体" w:hAnsi="宋体" w:eastAsia="宋体"/>
          <w:color w:val="auto"/>
          <w:sz w:val="24"/>
          <w:highlight w:val="none"/>
        </w:rPr>
        <w:t>发布的内容为准。当招标文件的澄清、修改、补充等在同一内容的表述不一致时，以最后</w:t>
      </w:r>
      <w:r>
        <w:rPr>
          <w:rFonts w:hint="eastAsia" w:ascii="宋体" w:hAnsi="宋体"/>
          <w:color w:val="auto"/>
          <w:sz w:val="24"/>
          <w:highlight w:val="none"/>
        </w:rPr>
        <w:t>发出的书面形式的文件为准。</w:t>
      </w:r>
    </w:p>
    <w:p w14:paraId="4BE7A073">
      <w:pPr>
        <w:pStyle w:val="4"/>
        <w:spacing w:after="0" w:line="360" w:lineRule="auto"/>
        <w:ind w:firstLine="480" w:firstLineChars="200"/>
        <w:rPr>
          <w:rFonts w:ascii="宋体"/>
          <w:color w:val="auto"/>
          <w:sz w:val="24"/>
          <w:highlight w:val="none"/>
        </w:rPr>
      </w:pPr>
      <w:r>
        <w:rPr>
          <w:rFonts w:ascii="宋体" w:hAnsi="宋体"/>
          <w:color w:val="auto"/>
          <w:sz w:val="24"/>
          <w:highlight w:val="none"/>
        </w:rPr>
        <w:t>9.5</w:t>
      </w:r>
      <w:r>
        <w:rPr>
          <w:rFonts w:hint="eastAsia" w:ascii="宋体" w:hAnsi="宋体"/>
          <w:color w:val="auto"/>
          <w:sz w:val="24"/>
          <w:highlight w:val="none"/>
        </w:rPr>
        <w:t>为使投标人在编制投标文件时有充分的时间对招标文件的澄清或修改等内容考虑进去，招标人将酌情延长提交投标文件的截止时间，具体时间将在招标文件的澄清或修改中予以明确。若澄清或修改中没有明确延长时间，即表示投标时间不延长。</w:t>
      </w:r>
    </w:p>
    <w:p w14:paraId="05121808">
      <w:pPr>
        <w:pStyle w:val="8"/>
        <w:bidi w:val="0"/>
        <w:rPr>
          <w:color w:val="auto"/>
          <w:highlight w:val="none"/>
        </w:rPr>
      </w:pPr>
      <w:bookmarkStart w:id="32" w:name="_Toc2272551"/>
      <w:bookmarkStart w:id="33" w:name="_Toc21525495"/>
      <w:bookmarkStart w:id="34" w:name="_Toc29709"/>
      <w:bookmarkStart w:id="35" w:name="_Toc19531"/>
      <w:r>
        <w:rPr>
          <w:rFonts w:hint="eastAsia"/>
          <w:color w:val="auto"/>
          <w:highlight w:val="none"/>
        </w:rPr>
        <w:t>（三）投标文件的编制</w:t>
      </w:r>
      <w:bookmarkEnd w:id="32"/>
      <w:bookmarkEnd w:id="33"/>
      <w:bookmarkEnd w:id="34"/>
      <w:bookmarkEnd w:id="35"/>
    </w:p>
    <w:p w14:paraId="6D7AE5E9">
      <w:pPr>
        <w:pStyle w:val="4"/>
        <w:spacing w:after="0" w:line="360" w:lineRule="auto"/>
        <w:ind w:firstLine="482" w:firstLineChars="200"/>
        <w:rPr>
          <w:rFonts w:ascii="宋体"/>
          <w:b/>
          <w:bCs/>
          <w:color w:val="auto"/>
          <w:sz w:val="24"/>
          <w:highlight w:val="none"/>
        </w:rPr>
      </w:pPr>
      <w:r>
        <w:rPr>
          <w:rFonts w:ascii="宋体" w:hAnsi="宋体"/>
          <w:b/>
          <w:bCs/>
          <w:color w:val="auto"/>
          <w:sz w:val="24"/>
          <w:highlight w:val="none"/>
        </w:rPr>
        <w:t>10</w:t>
      </w:r>
      <w:r>
        <w:rPr>
          <w:rFonts w:hint="eastAsia" w:ascii="宋体" w:hAnsi="宋体"/>
          <w:b/>
          <w:bCs/>
          <w:color w:val="auto"/>
          <w:sz w:val="24"/>
          <w:highlight w:val="none"/>
        </w:rPr>
        <w:t>．投标文件的语言及度量衡单位</w:t>
      </w:r>
    </w:p>
    <w:p w14:paraId="7F6DEC37">
      <w:pPr>
        <w:pStyle w:val="4"/>
        <w:spacing w:after="0" w:line="360" w:lineRule="auto"/>
        <w:ind w:firstLine="480" w:firstLineChars="200"/>
        <w:rPr>
          <w:rFonts w:ascii="宋体"/>
          <w:color w:val="auto"/>
          <w:sz w:val="24"/>
          <w:highlight w:val="none"/>
        </w:rPr>
      </w:pPr>
      <w:r>
        <w:rPr>
          <w:rFonts w:ascii="宋体" w:hAnsi="宋体"/>
          <w:color w:val="auto"/>
          <w:sz w:val="24"/>
          <w:highlight w:val="none"/>
        </w:rPr>
        <w:t xml:space="preserve">10.1 </w:t>
      </w:r>
      <w:r>
        <w:rPr>
          <w:rFonts w:hint="eastAsia" w:ascii="宋体" w:hAnsi="宋体"/>
          <w:color w:val="auto"/>
          <w:sz w:val="24"/>
          <w:highlight w:val="none"/>
        </w:rPr>
        <w:t>投标文件和与投标有关的所有文件均应使用中文。</w:t>
      </w:r>
    </w:p>
    <w:p w14:paraId="0BB7569B">
      <w:pPr>
        <w:pStyle w:val="4"/>
        <w:spacing w:after="0" w:line="360" w:lineRule="auto"/>
        <w:ind w:firstLine="480" w:firstLineChars="200"/>
        <w:rPr>
          <w:rFonts w:ascii="宋体"/>
          <w:color w:val="auto"/>
          <w:sz w:val="24"/>
          <w:highlight w:val="none"/>
        </w:rPr>
      </w:pPr>
      <w:r>
        <w:rPr>
          <w:rFonts w:ascii="宋体" w:hAnsi="宋体"/>
          <w:color w:val="auto"/>
          <w:sz w:val="24"/>
          <w:highlight w:val="none"/>
        </w:rPr>
        <w:t xml:space="preserve">10.2 </w:t>
      </w:r>
      <w:r>
        <w:rPr>
          <w:rFonts w:hint="eastAsia" w:ascii="宋体" w:hAnsi="宋体"/>
          <w:color w:val="auto"/>
          <w:sz w:val="24"/>
          <w:highlight w:val="none"/>
        </w:rPr>
        <w:t>除工程规范另有规定外，投标文件使用的度量衡单位，均采用中华人民共和国法定计量单位。</w:t>
      </w:r>
    </w:p>
    <w:p w14:paraId="1EBE931C">
      <w:pPr>
        <w:pStyle w:val="4"/>
        <w:spacing w:after="0" w:line="360" w:lineRule="auto"/>
        <w:ind w:firstLine="482" w:firstLineChars="200"/>
        <w:rPr>
          <w:rFonts w:ascii="宋体"/>
          <w:b/>
          <w:bCs/>
          <w:color w:val="auto"/>
          <w:sz w:val="24"/>
          <w:highlight w:val="none"/>
        </w:rPr>
      </w:pPr>
      <w:r>
        <w:rPr>
          <w:rFonts w:ascii="宋体" w:hAnsi="宋体"/>
          <w:b/>
          <w:bCs/>
          <w:color w:val="auto"/>
          <w:sz w:val="24"/>
          <w:highlight w:val="none"/>
        </w:rPr>
        <w:t>11</w:t>
      </w:r>
      <w:r>
        <w:rPr>
          <w:rFonts w:hint="eastAsia" w:ascii="宋体" w:hAnsi="宋体"/>
          <w:b/>
          <w:bCs/>
          <w:color w:val="auto"/>
          <w:sz w:val="24"/>
          <w:highlight w:val="none"/>
        </w:rPr>
        <w:t>．投标文件的组成</w:t>
      </w:r>
    </w:p>
    <w:p w14:paraId="5198FCC8">
      <w:pPr>
        <w:pStyle w:val="4"/>
        <w:spacing w:after="0" w:line="360" w:lineRule="auto"/>
        <w:ind w:firstLine="480" w:firstLineChars="200"/>
        <w:rPr>
          <w:rFonts w:ascii="宋体"/>
          <w:b/>
          <w:color w:val="auto"/>
          <w:sz w:val="24"/>
          <w:highlight w:val="none"/>
          <w:u w:val="single"/>
        </w:rPr>
      </w:pPr>
      <w:r>
        <w:rPr>
          <w:rFonts w:ascii="宋体" w:hAnsi="宋体"/>
          <w:color w:val="auto"/>
          <w:sz w:val="24"/>
          <w:highlight w:val="none"/>
          <w:u w:val="single"/>
        </w:rPr>
        <w:t xml:space="preserve">11.1 </w:t>
      </w:r>
      <w:r>
        <w:rPr>
          <w:rFonts w:hint="eastAsia" w:ascii="宋体" w:hAnsi="宋体"/>
          <w:b/>
          <w:bCs/>
          <w:color w:val="auto"/>
          <w:sz w:val="24"/>
          <w:highlight w:val="none"/>
          <w:u w:val="none"/>
        </w:rPr>
        <w:t>投标文件由技术部分（含资格审查文件）和经济部分、定标文件组成，其中定标文件组成详见11.4条。</w:t>
      </w:r>
    </w:p>
    <w:p w14:paraId="61474729">
      <w:pPr>
        <w:spacing w:line="360" w:lineRule="auto"/>
        <w:ind w:firstLine="480" w:firstLineChars="200"/>
        <w:rPr>
          <w:rFonts w:ascii="宋体" w:hAnsi="宋体"/>
          <w:bCs/>
          <w:color w:val="auto"/>
          <w:sz w:val="24"/>
          <w:highlight w:val="none"/>
          <w:u w:val="single"/>
        </w:rPr>
      </w:pPr>
      <w:r>
        <w:rPr>
          <w:rFonts w:ascii="宋体" w:hAnsi="宋体"/>
          <w:bCs/>
          <w:color w:val="auto"/>
          <w:sz w:val="24"/>
          <w:highlight w:val="none"/>
          <w:u w:val="single"/>
        </w:rPr>
        <w:t>11.2</w:t>
      </w:r>
      <w:r>
        <w:rPr>
          <w:rFonts w:hint="eastAsia" w:ascii="宋体" w:hAnsi="宋体"/>
          <w:bCs/>
          <w:color w:val="auto"/>
          <w:sz w:val="24"/>
          <w:highlight w:val="none"/>
          <w:u w:val="single"/>
        </w:rPr>
        <w:t>投标文件</w:t>
      </w:r>
      <w:r>
        <w:rPr>
          <w:rFonts w:hint="eastAsia" w:ascii="宋体" w:hAnsi="宋体"/>
          <w:bCs/>
          <w:color w:val="auto"/>
          <w:sz w:val="24"/>
          <w:highlight w:val="none"/>
          <w:u w:val="single"/>
          <w:lang w:eastAsia="zh-CN"/>
        </w:rPr>
        <w:t>技术标</w:t>
      </w:r>
      <w:r>
        <w:rPr>
          <w:rFonts w:hint="eastAsia" w:ascii="宋体" w:hAnsi="宋体"/>
          <w:bCs/>
          <w:color w:val="auto"/>
          <w:sz w:val="24"/>
          <w:highlight w:val="none"/>
          <w:u w:val="single"/>
        </w:rPr>
        <w:t>部分主要包括下列内容</w:t>
      </w:r>
      <w:r>
        <w:rPr>
          <w:rFonts w:ascii="宋体" w:hAnsi="宋体"/>
          <w:bCs/>
          <w:color w:val="auto"/>
          <w:sz w:val="24"/>
          <w:highlight w:val="none"/>
          <w:u w:val="single"/>
        </w:rPr>
        <w:t>:</w:t>
      </w:r>
    </w:p>
    <w:p w14:paraId="4490A45A">
      <w:pPr>
        <w:pStyle w:val="20"/>
        <w:spacing w:line="360" w:lineRule="auto"/>
        <w:ind w:firstLine="480"/>
        <w:rPr>
          <w:rFonts w:hint="default" w:hAnsi="宋体"/>
          <w:bCs/>
          <w:color w:val="auto"/>
          <w:sz w:val="24"/>
          <w:highlight w:val="none"/>
          <w:u w:val="single"/>
          <w:lang w:val="en-US" w:eastAsia="zh-CN"/>
        </w:rPr>
      </w:pPr>
      <w:r>
        <w:rPr>
          <w:rFonts w:hint="eastAsia" w:hAnsi="宋体"/>
          <w:bCs/>
          <w:color w:val="auto"/>
          <w:sz w:val="24"/>
          <w:highlight w:val="none"/>
          <w:u w:val="single"/>
          <w:lang w:val="en-US" w:eastAsia="zh-CN"/>
        </w:rPr>
        <w:t>11.2.1资格审查文件</w:t>
      </w:r>
    </w:p>
    <w:p w14:paraId="193A3F1A">
      <w:pPr>
        <w:numPr>
          <w:ilvl w:val="0"/>
          <w:numId w:val="3"/>
        </w:numPr>
        <w:spacing w:line="360" w:lineRule="auto"/>
        <w:ind w:firstLine="480" w:firstLineChars="200"/>
        <w:rPr>
          <w:rFonts w:ascii="宋体"/>
          <w:bCs/>
          <w:color w:val="auto"/>
          <w:sz w:val="24"/>
          <w:highlight w:val="none"/>
          <w:u w:val="single"/>
        </w:rPr>
      </w:pPr>
      <w:r>
        <w:rPr>
          <w:rFonts w:hint="eastAsia" w:ascii="宋体"/>
          <w:bCs/>
          <w:color w:val="auto"/>
          <w:sz w:val="24"/>
          <w:highlight w:val="none"/>
          <w:u w:val="single"/>
        </w:rPr>
        <w:t>投标人声明</w:t>
      </w:r>
      <w:r>
        <w:rPr>
          <w:rFonts w:hint="eastAsia" w:ascii="宋体" w:hAnsi="宋体" w:cs="宋体"/>
          <w:b/>
          <w:bCs w:val="0"/>
          <w:sz w:val="24"/>
          <w:szCs w:val="24"/>
          <w:highlight w:val="none"/>
          <w:u w:val="single"/>
        </w:rPr>
        <w:t>（见招标公告附件一）</w:t>
      </w:r>
      <w:r>
        <w:rPr>
          <w:rFonts w:hint="eastAsia" w:ascii="宋体"/>
          <w:bCs/>
          <w:color w:val="auto"/>
          <w:sz w:val="24"/>
          <w:highlight w:val="none"/>
          <w:u w:val="single"/>
          <w:lang w:val="en-US" w:eastAsia="zh-CN"/>
        </w:rPr>
        <w:t>；</w:t>
      </w:r>
    </w:p>
    <w:p w14:paraId="2E2FC4E0">
      <w:pPr>
        <w:spacing w:line="360" w:lineRule="auto"/>
        <w:ind w:firstLine="480" w:firstLineChars="200"/>
        <w:rPr>
          <w:rFonts w:ascii="宋体"/>
          <w:bCs/>
          <w:color w:val="auto"/>
          <w:sz w:val="24"/>
          <w:highlight w:val="none"/>
          <w:u w:val="single"/>
        </w:rPr>
      </w:pPr>
      <w:r>
        <w:rPr>
          <w:rFonts w:hint="eastAsia" w:ascii="宋体"/>
          <w:bCs/>
          <w:color w:val="auto"/>
          <w:sz w:val="24"/>
          <w:highlight w:val="none"/>
          <w:u w:val="single"/>
        </w:rPr>
        <w:t>（2）法定代表人证明书、法定代表人签字或盖章的本投标文件授权委托证明书</w:t>
      </w:r>
      <w:r>
        <w:rPr>
          <w:rFonts w:hint="eastAsia" w:ascii="宋体"/>
          <w:bCs/>
          <w:color w:val="auto"/>
          <w:sz w:val="24"/>
          <w:highlight w:val="none"/>
          <w:u w:val="single"/>
          <w:lang w:eastAsia="zh-CN"/>
        </w:rPr>
        <w:t>；</w:t>
      </w:r>
    </w:p>
    <w:p w14:paraId="6AC6395A">
      <w:pPr>
        <w:spacing w:line="360" w:lineRule="auto"/>
        <w:ind w:firstLine="480" w:firstLineChars="200"/>
        <w:rPr>
          <w:rFonts w:hint="eastAsia" w:ascii="宋体" w:eastAsia="宋体"/>
          <w:bCs/>
          <w:color w:val="auto"/>
          <w:sz w:val="24"/>
          <w:highlight w:val="none"/>
          <w:u w:val="single"/>
          <w:lang w:eastAsia="zh-CN"/>
        </w:rPr>
      </w:pPr>
      <w:r>
        <w:rPr>
          <w:rFonts w:hint="eastAsia" w:ascii="宋体"/>
          <w:bCs/>
          <w:color w:val="auto"/>
          <w:sz w:val="24"/>
          <w:highlight w:val="none"/>
          <w:u w:val="single"/>
        </w:rPr>
        <w:t>（3）企业营业执照</w:t>
      </w:r>
      <w:r>
        <w:rPr>
          <w:rFonts w:hint="eastAsia" w:ascii="宋体" w:hAnsi="宋体" w:cs="宋体"/>
          <w:b/>
          <w:bCs w:val="0"/>
          <w:sz w:val="24"/>
          <w:szCs w:val="24"/>
          <w:highlight w:val="none"/>
          <w:u w:val="single"/>
        </w:rPr>
        <w:t>扫描件或电子证照</w:t>
      </w:r>
      <w:r>
        <w:rPr>
          <w:rFonts w:hint="eastAsia" w:ascii="宋体"/>
          <w:bCs/>
          <w:color w:val="auto"/>
          <w:sz w:val="24"/>
          <w:highlight w:val="none"/>
          <w:u w:val="single"/>
          <w:lang w:eastAsia="zh-CN"/>
        </w:rPr>
        <w:t>；</w:t>
      </w:r>
    </w:p>
    <w:p w14:paraId="452E89B8">
      <w:pPr>
        <w:spacing w:line="360" w:lineRule="auto"/>
        <w:ind w:firstLine="480" w:firstLineChars="200"/>
        <w:rPr>
          <w:rFonts w:hint="eastAsia" w:ascii="宋体" w:eastAsia="宋体"/>
          <w:bCs/>
          <w:color w:val="auto"/>
          <w:sz w:val="24"/>
          <w:highlight w:val="none"/>
          <w:u w:val="single"/>
          <w:lang w:eastAsia="zh-CN"/>
        </w:rPr>
      </w:pPr>
      <w:r>
        <w:rPr>
          <w:rFonts w:hint="eastAsia" w:ascii="宋体"/>
          <w:bCs/>
          <w:color w:val="auto"/>
          <w:sz w:val="24"/>
          <w:highlight w:val="none"/>
          <w:u w:val="single"/>
        </w:rPr>
        <w:t>（4）企业资质证书</w:t>
      </w:r>
      <w:r>
        <w:rPr>
          <w:rFonts w:hint="eastAsia" w:ascii="宋体" w:hAnsi="宋体" w:cs="宋体"/>
          <w:b/>
          <w:bCs w:val="0"/>
          <w:sz w:val="24"/>
          <w:szCs w:val="24"/>
          <w:highlight w:val="none"/>
          <w:u w:val="single"/>
        </w:rPr>
        <w:t>扫描件或电子证照</w:t>
      </w:r>
      <w:r>
        <w:rPr>
          <w:rFonts w:hint="eastAsia" w:ascii="宋体"/>
          <w:bCs/>
          <w:color w:val="auto"/>
          <w:sz w:val="24"/>
          <w:highlight w:val="none"/>
          <w:u w:val="single"/>
          <w:lang w:eastAsia="zh-CN"/>
        </w:rPr>
        <w:t>；</w:t>
      </w:r>
    </w:p>
    <w:p w14:paraId="14D5EDE5">
      <w:pPr>
        <w:spacing w:line="360" w:lineRule="auto"/>
        <w:ind w:firstLine="480" w:firstLineChars="200"/>
        <w:rPr>
          <w:rFonts w:hint="eastAsia" w:ascii="宋体" w:eastAsia="宋体"/>
          <w:bCs/>
          <w:color w:val="auto"/>
          <w:sz w:val="24"/>
          <w:highlight w:val="none"/>
          <w:u w:val="single"/>
          <w:lang w:eastAsia="zh-CN"/>
        </w:rPr>
      </w:pPr>
      <w:r>
        <w:rPr>
          <w:rFonts w:hint="eastAsia" w:ascii="宋体"/>
          <w:bCs/>
          <w:color w:val="auto"/>
          <w:sz w:val="24"/>
          <w:highlight w:val="none"/>
          <w:u w:val="single"/>
        </w:rPr>
        <w:t>（5）建筑施工企业安全生产许可证</w:t>
      </w:r>
      <w:r>
        <w:rPr>
          <w:rFonts w:hint="eastAsia" w:ascii="宋体" w:hAnsi="宋体" w:cs="宋体"/>
          <w:b/>
          <w:bCs w:val="0"/>
          <w:sz w:val="24"/>
          <w:szCs w:val="24"/>
          <w:highlight w:val="none"/>
          <w:u w:val="single"/>
        </w:rPr>
        <w:t>扫描件或电子证照</w:t>
      </w:r>
      <w:r>
        <w:rPr>
          <w:rFonts w:hint="eastAsia" w:ascii="宋体"/>
          <w:bCs/>
          <w:color w:val="auto"/>
          <w:sz w:val="24"/>
          <w:highlight w:val="none"/>
          <w:u w:val="single"/>
          <w:lang w:eastAsia="zh-CN"/>
        </w:rPr>
        <w:t>；</w:t>
      </w:r>
    </w:p>
    <w:p w14:paraId="65EE6870">
      <w:pPr>
        <w:spacing w:line="360" w:lineRule="auto"/>
        <w:ind w:firstLine="480" w:firstLineChars="200"/>
        <w:rPr>
          <w:rFonts w:hint="eastAsia" w:ascii="宋体" w:hAnsi="宋体" w:eastAsia="宋体"/>
          <w:bCs/>
          <w:color w:val="auto"/>
          <w:sz w:val="24"/>
          <w:szCs w:val="24"/>
          <w:highlight w:val="none"/>
          <w:u w:val="single"/>
          <w:lang w:eastAsia="zh-CN"/>
        </w:rPr>
      </w:pPr>
      <w:r>
        <w:rPr>
          <w:rFonts w:hint="eastAsia" w:ascii="宋体"/>
          <w:bCs/>
          <w:color w:val="auto"/>
          <w:sz w:val="24"/>
          <w:highlight w:val="none"/>
          <w:u w:val="single"/>
        </w:rPr>
        <w:t>（6）</w:t>
      </w:r>
      <w:r>
        <w:rPr>
          <w:rFonts w:hint="eastAsia" w:ascii="宋体" w:hAnsi="宋体"/>
          <w:bCs/>
          <w:color w:val="auto"/>
          <w:sz w:val="24"/>
          <w:szCs w:val="24"/>
          <w:highlight w:val="none"/>
          <w:u w:val="single"/>
        </w:rPr>
        <w:t>项目负责人（按网上投标登记时选择拟投标的项目负责人</w:t>
      </w:r>
      <w:r>
        <w:rPr>
          <w:rFonts w:hint="eastAsia" w:ascii="宋体" w:hAnsi="宋体"/>
          <w:bCs/>
          <w:color w:val="auto"/>
          <w:sz w:val="24"/>
          <w:szCs w:val="24"/>
          <w:highlight w:val="none"/>
          <w:u w:val="single"/>
          <w:lang w:eastAsia="zh-CN"/>
        </w:rPr>
        <w:t>。</w:t>
      </w:r>
      <w:r>
        <w:rPr>
          <w:rFonts w:ascii="宋体" w:hAnsi="宋体"/>
          <w:strike/>
          <w:color w:val="auto"/>
          <w:sz w:val="24"/>
          <w:highlight w:val="none"/>
          <w:u w:val="single"/>
        </w:rPr>
        <w:t>投标人须在</w:t>
      </w:r>
      <w:r>
        <w:rPr>
          <w:rFonts w:hint="eastAsia" w:ascii="宋体" w:hAnsi="宋体"/>
          <w:strike/>
          <w:color w:val="auto"/>
          <w:sz w:val="24"/>
          <w:highlight w:val="none"/>
          <w:u w:val="single"/>
        </w:rPr>
        <w:t>广州市交通建设项目企业信息库建立企业信用信息档案，拟担任本工程项目负责人须是本企业信息档案中的在册人员</w:t>
      </w:r>
      <w:r>
        <w:rPr>
          <w:rFonts w:hint="eastAsia" w:ascii="宋体" w:hAnsi="宋体"/>
          <w:bCs/>
          <w:color w:val="auto"/>
          <w:sz w:val="24"/>
          <w:szCs w:val="24"/>
          <w:highlight w:val="none"/>
          <w:u w:val="single"/>
        </w:rPr>
        <w:t>）</w:t>
      </w:r>
      <w:r>
        <w:rPr>
          <w:rFonts w:hint="eastAsia" w:ascii="宋体" w:hAnsi="宋体"/>
          <w:bCs/>
          <w:color w:val="auto"/>
          <w:sz w:val="24"/>
          <w:szCs w:val="24"/>
          <w:highlight w:val="none"/>
          <w:u w:val="single"/>
          <w:lang w:eastAsia="zh-CN"/>
        </w:rPr>
        <w:t>；</w:t>
      </w:r>
    </w:p>
    <w:p w14:paraId="4B841019">
      <w:pPr>
        <w:spacing w:line="360" w:lineRule="auto"/>
        <w:ind w:firstLine="480" w:firstLineChars="200"/>
        <w:rPr>
          <w:rFonts w:hint="eastAsia" w:ascii="宋体" w:hAnsi="宋体" w:eastAsia="宋体"/>
          <w:bCs/>
          <w:color w:val="auto"/>
          <w:sz w:val="24"/>
          <w:szCs w:val="24"/>
          <w:highlight w:val="none"/>
          <w:u w:val="single"/>
          <w:lang w:eastAsia="zh-CN"/>
        </w:rPr>
      </w:pPr>
      <w:r>
        <w:rPr>
          <w:rFonts w:hint="eastAsia" w:ascii="宋体" w:hAnsi="宋体"/>
          <w:bCs/>
          <w:color w:val="auto"/>
          <w:sz w:val="24"/>
          <w:szCs w:val="24"/>
          <w:highlight w:val="none"/>
          <w:u w:val="single"/>
        </w:rPr>
        <w:t>（7）专职安全员（按网上投标登记时选择拟投标的专职安全员</w:t>
      </w:r>
      <w:r>
        <w:rPr>
          <w:rFonts w:hint="eastAsia" w:ascii="宋体" w:hAnsi="宋体"/>
          <w:bCs/>
          <w:strike/>
          <w:color w:val="auto"/>
          <w:sz w:val="24"/>
          <w:szCs w:val="24"/>
          <w:highlight w:val="none"/>
          <w:u w:val="single"/>
          <w:lang w:eastAsia="zh-CN"/>
        </w:rPr>
        <w:t>，</w:t>
      </w:r>
      <w:r>
        <w:rPr>
          <w:rFonts w:ascii="宋体" w:hAnsi="宋体"/>
          <w:strike/>
          <w:color w:val="auto"/>
          <w:sz w:val="24"/>
          <w:highlight w:val="none"/>
          <w:u w:val="single"/>
        </w:rPr>
        <w:t>投标人须在</w:t>
      </w:r>
      <w:r>
        <w:rPr>
          <w:rFonts w:hint="eastAsia" w:ascii="宋体" w:hAnsi="宋体"/>
          <w:strike/>
          <w:color w:val="auto"/>
          <w:sz w:val="24"/>
          <w:highlight w:val="none"/>
          <w:u w:val="single"/>
        </w:rPr>
        <w:t>广州市交通建设项目企业信息库建立企业信用信息档案，拟担任本工程专职安全员须是本企业信息档案中的在册人员</w:t>
      </w:r>
      <w:r>
        <w:rPr>
          <w:rFonts w:hint="eastAsia" w:ascii="宋体" w:hAnsi="宋体"/>
          <w:bCs/>
          <w:color w:val="auto"/>
          <w:sz w:val="24"/>
          <w:szCs w:val="24"/>
          <w:highlight w:val="none"/>
          <w:u w:val="single"/>
        </w:rPr>
        <w:t>）</w:t>
      </w:r>
      <w:r>
        <w:rPr>
          <w:rFonts w:hint="eastAsia" w:ascii="宋体" w:hAnsi="宋体"/>
          <w:bCs/>
          <w:color w:val="auto"/>
          <w:sz w:val="24"/>
          <w:szCs w:val="24"/>
          <w:highlight w:val="none"/>
          <w:u w:val="single"/>
          <w:lang w:eastAsia="zh-CN"/>
        </w:rPr>
        <w:t>；</w:t>
      </w:r>
    </w:p>
    <w:p w14:paraId="2B2D72E7">
      <w:pPr>
        <w:spacing w:line="360" w:lineRule="auto"/>
        <w:ind w:firstLine="480" w:firstLineChars="200"/>
        <w:rPr>
          <w:rFonts w:ascii="宋体"/>
          <w:bCs/>
          <w:color w:val="auto"/>
          <w:sz w:val="24"/>
          <w:highlight w:val="none"/>
          <w:u w:val="single"/>
        </w:rPr>
      </w:pPr>
      <w:r>
        <w:rPr>
          <w:rFonts w:hint="eastAsia" w:ascii="宋体"/>
          <w:bCs/>
          <w:color w:val="auto"/>
          <w:sz w:val="24"/>
          <w:highlight w:val="none"/>
          <w:u w:val="single"/>
        </w:rPr>
        <w:t>（8）拟委派项目负责人</w:t>
      </w:r>
      <w:r>
        <w:rPr>
          <w:rFonts w:hint="eastAsia" w:ascii="宋体" w:hAnsi="宋体" w:cs="宋体"/>
          <w:b/>
          <w:bCs w:val="0"/>
          <w:sz w:val="24"/>
          <w:szCs w:val="24"/>
          <w:highlight w:val="none"/>
          <w:u w:val="single"/>
        </w:rPr>
        <w:t>有效期内</w:t>
      </w:r>
      <w:r>
        <w:rPr>
          <w:rFonts w:hint="eastAsia" w:ascii="宋体"/>
          <w:bCs/>
          <w:color w:val="auto"/>
          <w:sz w:val="24"/>
          <w:highlight w:val="none"/>
          <w:u w:val="single"/>
        </w:rPr>
        <w:t>的建造师注册证书</w:t>
      </w:r>
      <w:r>
        <w:rPr>
          <w:rFonts w:hint="eastAsia" w:ascii="宋体" w:hAnsi="宋体" w:cs="宋体"/>
          <w:b/>
          <w:bCs w:val="0"/>
          <w:sz w:val="24"/>
          <w:szCs w:val="24"/>
          <w:highlight w:val="none"/>
          <w:u w:val="single"/>
        </w:rPr>
        <w:t>扫描件或电子证书</w:t>
      </w:r>
      <w:r>
        <w:rPr>
          <w:rFonts w:hint="eastAsia" w:ascii="宋体"/>
          <w:bCs/>
          <w:color w:val="auto"/>
          <w:sz w:val="24"/>
          <w:highlight w:val="none"/>
          <w:u w:val="single"/>
        </w:rPr>
        <w:t xml:space="preserve"> </w:t>
      </w:r>
      <w:r>
        <w:rPr>
          <w:rFonts w:hint="eastAsia" w:ascii="宋体"/>
          <w:bCs/>
          <w:color w:val="auto"/>
          <w:sz w:val="24"/>
          <w:highlight w:val="none"/>
          <w:u w:val="single"/>
          <w:lang w:eastAsia="zh-CN"/>
        </w:rPr>
        <w:t>；</w:t>
      </w:r>
      <w:r>
        <w:rPr>
          <w:rFonts w:hint="eastAsia" w:ascii="宋体"/>
          <w:bCs/>
          <w:color w:val="auto"/>
          <w:sz w:val="24"/>
          <w:highlight w:val="none"/>
          <w:u w:val="single"/>
        </w:rPr>
        <w:t xml:space="preserve"> </w:t>
      </w:r>
    </w:p>
    <w:p w14:paraId="7918967C">
      <w:pPr>
        <w:spacing w:line="360" w:lineRule="auto"/>
        <w:ind w:firstLine="480" w:firstLineChars="200"/>
        <w:rPr>
          <w:rFonts w:hint="eastAsia" w:ascii="宋体" w:eastAsia="宋体"/>
          <w:bCs/>
          <w:color w:val="auto"/>
          <w:sz w:val="24"/>
          <w:highlight w:val="none"/>
          <w:u w:val="single"/>
          <w:lang w:eastAsia="zh-CN"/>
        </w:rPr>
      </w:pPr>
      <w:r>
        <w:rPr>
          <w:rFonts w:hint="eastAsia" w:ascii="宋体"/>
          <w:bCs/>
          <w:color w:val="auto"/>
          <w:sz w:val="24"/>
          <w:highlight w:val="none"/>
          <w:u w:val="single"/>
        </w:rPr>
        <w:t>（</w:t>
      </w:r>
      <w:r>
        <w:rPr>
          <w:rFonts w:hint="eastAsia" w:ascii="宋体"/>
          <w:bCs/>
          <w:color w:val="auto"/>
          <w:sz w:val="24"/>
          <w:highlight w:val="none"/>
          <w:u w:val="single"/>
          <w:lang w:val="en-US" w:eastAsia="zh-CN"/>
        </w:rPr>
        <w:t>9</w:t>
      </w:r>
      <w:r>
        <w:rPr>
          <w:rFonts w:hint="eastAsia" w:ascii="宋体"/>
          <w:bCs/>
          <w:color w:val="auto"/>
          <w:sz w:val="24"/>
          <w:highlight w:val="none"/>
          <w:u w:val="single"/>
        </w:rPr>
        <w:t>）项目负责人安全生产考核合格证明或在有效期内的安全考核合格证书（B类）或建筑施工企业项目负责人安全生产考核合格证书</w:t>
      </w:r>
      <w:r>
        <w:rPr>
          <w:rFonts w:hint="eastAsia" w:ascii="宋体" w:hAnsi="宋体" w:cs="宋体"/>
          <w:b/>
          <w:bCs w:val="0"/>
          <w:sz w:val="24"/>
          <w:szCs w:val="24"/>
          <w:highlight w:val="none"/>
          <w:u w:val="single"/>
        </w:rPr>
        <w:t>扫描件或电子证书</w:t>
      </w:r>
      <w:r>
        <w:rPr>
          <w:rFonts w:hint="eastAsia" w:ascii="宋体"/>
          <w:bCs/>
          <w:color w:val="auto"/>
          <w:sz w:val="24"/>
          <w:highlight w:val="none"/>
          <w:u w:val="single"/>
          <w:lang w:eastAsia="zh-CN"/>
        </w:rPr>
        <w:t>；</w:t>
      </w:r>
    </w:p>
    <w:p w14:paraId="2CD0BAF6">
      <w:pPr>
        <w:spacing w:line="360" w:lineRule="auto"/>
        <w:ind w:firstLine="480" w:firstLineChars="200"/>
        <w:rPr>
          <w:rFonts w:hint="eastAsia" w:ascii="宋体" w:eastAsia="宋体"/>
          <w:bCs/>
          <w:color w:val="auto"/>
          <w:sz w:val="24"/>
          <w:szCs w:val="24"/>
          <w:highlight w:val="none"/>
          <w:u w:val="single"/>
          <w:lang w:eastAsia="zh-CN"/>
        </w:rPr>
      </w:pPr>
      <w:r>
        <w:rPr>
          <w:rFonts w:hint="eastAsia" w:ascii="宋体"/>
          <w:bCs/>
          <w:color w:val="auto"/>
          <w:sz w:val="24"/>
          <w:highlight w:val="none"/>
          <w:u w:val="single"/>
        </w:rPr>
        <w:t>（</w:t>
      </w:r>
      <w:r>
        <w:rPr>
          <w:rFonts w:hint="eastAsia" w:ascii="宋体"/>
          <w:bCs/>
          <w:color w:val="auto"/>
          <w:sz w:val="24"/>
          <w:highlight w:val="none"/>
          <w:u w:val="single"/>
          <w:lang w:val="en-US" w:eastAsia="zh-CN"/>
        </w:rPr>
        <w:t>10</w:t>
      </w:r>
      <w:r>
        <w:rPr>
          <w:rFonts w:hint="eastAsia" w:ascii="宋体"/>
          <w:bCs/>
          <w:color w:val="auto"/>
          <w:sz w:val="24"/>
          <w:highlight w:val="none"/>
          <w:u w:val="single"/>
        </w:rPr>
        <w:t>）专职安全员须具有在有效期内的安全考核合格证书（C类）或建筑施工企业专职安全生产管理人员安全生产考核合格证</w:t>
      </w:r>
      <w:r>
        <w:rPr>
          <w:rFonts w:hint="eastAsia" w:ascii="宋体" w:eastAsia="宋体" w:cs="Times New Roman"/>
          <w:bCs/>
          <w:color w:val="auto"/>
          <w:sz w:val="24"/>
          <w:highlight w:val="none"/>
          <w:u w:val="single"/>
        </w:rPr>
        <w:t>书（C3）</w:t>
      </w:r>
      <w:r>
        <w:rPr>
          <w:rFonts w:hint="eastAsia" w:ascii="宋体" w:hAnsi="宋体" w:cs="宋体"/>
          <w:b/>
          <w:bCs w:val="0"/>
          <w:sz w:val="24"/>
          <w:szCs w:val="24"/>
          <w:highlight w:val="none"/>
          <w:u w:val="single"/>
        </w:rPr>
        <w:t>扫描件或电子证书</w:t>
      </w:r>
      <w:r>
        <w:rPr>
          <w:rFonts w:hint="eastAsia" w:ascii="宋体" w:cs="Times New Roman"/>
          <w:bCs/>
          <w:color w:val="auto"/>
          <w:sz w:val="24"/>
          <w:highlight w:val="none"/>
          <w:u w:val="single"/>
          <w:lang w:eastAsia="zh-CN"/>
        </w:rPr>
        <w:t>；</w:t>
      </w:r>
    </w:p>
    <w:p w14:paraId="6C2CE921">
      <w:pPr>
        <w:spacing w:line="360" w:lineRule="auto"/>
        <w:ind w:firstLine="480" w:firstLineChars="200"/>
        <w:rPr>
          <w:rFonts w:ascii="宋体"/>
          <w:bCs/>
          <w:strike/>
          <w:color w:val="auto"/>
          <w:sz w:val="24"/>
          <w:szCs w:val="24"/>
          <w:highlight w:val="none"/>
          <w:u w:val="single"/>
        </w:rPr>
      </w:pPr>
      <w:r>
        <w:rPr>
          <w:rFonts w:hint="eastAsia" w:ascii="宋体"/>
          <w:bCs/>
          <w:strike/>
          <w:color w:val="auto"/>
          <w:sz w:val="24"/>
          <w:szCs w:val="24"/>
          <w:highlight w:val="none"/>
          <w:u w:val="single"/>
        </w:rPr>
        <w:t>（</w:t>
      </w:r>
      <w:r>
        <w:rPr>
          <w:rFonts w:hint="eastAsia" w:ascii="宋体"/>
          <w:bCs/>
          <w:strike/>
          <w:color w:val="auto"/>
          <w:sz w:val="24"/>
          <w:szCs w:val="24"/>
          <w:highlight w:val="none"/>
          <w:u w:val="single"/>
          <w:lang w:val="en-US" w:eastAsia="zh-CN"/>
        </w:rPr>
        <w:t>11</w:t>
      </w:r>
      <w:r>
        <w:rPr>
          <w:rFonts w:hint="eastAsia" w:ascii="宋体"/>
          <w:bCs/>
          <w:strike/>
          <w:color w:val="auto"/>
          <w:sz w:val="24"/>
          <w:szCs w:val="24"/>
          <w:highlight w:val="none"/>
          <w:u w:val="single"/>
        </w:rPr>
        <w:t>）</w:t>
      </w:r>
      <w:r>
        <w:rPr>
          <w:rFonts w:hint="eastAsia" w:ascii="宋体" w:hAnsi="宋体"/>
          <w:bCs/>
          <w:strike/>
          <w:color w:val="auto"/>
          <w:sz w:val="24"/>
          <w:szCs w:val="24"/>
          <w:highlight w:val="none"/>
          <w:u w:val="single"/>
        </w:rPr>
        <w:t>用于资格审查的业绩（设置业绩要求时选择此项，</w:t>
      </w:r>
      <w:r>
        <w:rPr>
          <w:rFonts w:hint="eastAsia" w:ascii="宋体" w:hAnsi="宋体"/>
          <w:strike/>
          <w:color w:val="auto"/>
          <w:sz w:val="24"/>
          <w:highlight w:val="none"/>
          <w:u w:val="single"/>
        </w:rPr>
        <w:t>具体格式由招标人自定</w:t>
      </w:r>
      <w:r>
        <w:rPr>
          <w:rFonts w:hint="eastAsia" w:ascii="宋体" w:hAnsi="宋体"/>
          <w:bCs/>
          <w:strike/>
          <w:color w:val="auto"/>
          <w:sz w:val="24"/>
          <w:szCs w:val="24"/>
          <w:highlight w:val="none"/>
          <w:u w:val="single"/>
        </w:rPr>
        <w:t>）</w:t>
      </w:r>
    </w:p>
    <w:p w14:paraId="6E6DEFCA">
      <w:pPr>
        <w:spacing w:line="360" w:lineRule="auto"/>
        <w:ind w:firstLine="480" w:firstLineChars="200"/>
        <w:rPr>
          <w:rFonts w:hint="eastAsia" w:ascii="宋体" w:hAnsi="宋体" w:eastAsia="宋体"/>
          <w:bCs/>
          <w:strike/>
          <w:color w:val="auto"/>
          <w:sz w:val="24"/>
          <w:szCs w:val="24"/>
          <w:highlight w:val="none"/>
          <w:u w:val="single"/>
          <w:lang w:eastAsia="zh-CN"/>
        </w:rPr>
      </w:pPr>
      <w:r>
        <w:rPr>
          <w:rFonts w:hint="eastAsia" w:ascii="宋体" w:hAnsi="宋体"/>
          <w:bCs/>
          <w:strike/>
          <w:color w:val="auto"/>
          <w:sz w:val="24"/>
          <w:szCs w:val="24"/>
          <w:highlight w:val="none"/>
          <w:u w:val="single"/>
        </w:rPr>
        <w:t>（</w:t>
      </w:r>
      <w:r>
        <w:rPr>
          <w:rFonts w:hint="eastAsia" w:ascii="宋体" w:hAnsi="宋体"/>
          <w:bCs/>
          <w:strike/>
          <w:color w:val="auto"/>
          <w:sz w:val="24"/>
          <w:szCs w:val="24"/>
          <w:highlight w:val="none"/>
          <w:u w:val="single"/>
          <w:lang w:val="en-US" w:eastAsia="zh-CN"/>
        </w:rPr>
        <w:t>12</w:t>
      </w:r>
      <w:r>
        <w:rPr>
          <w:rFonts w:hint="eastAsia" w:ascii="宋体" w:hAnsi="宋体"/>
          <w:bCs/>
          <w:strike/>
          <w:color w:val="auto"/>
          <w:sz w:val="24"/>
          <w:szCs w:val="24"/>
          <w:highlight w:val="none"/>
          <w:u w:val="single"/>
        </w:rPr>
        <w:t>）列明主办单位的联合体工作协议（采用联合体投标时需递交，</w:t>
      </w:r>
      <w:r>
        <w:rPr>
          <w:rFonts w:hint="eastAsia" w:ascii="宋体" w:hAnsi="宋体"/>
          <w:strike/>
          <w:color w:val="auto"/>
          <w:sz w:val="24"/>
          <w:szCs w:val="24"/>
          <w:highlight w:val="none"/>
          <w:u w:val="single"/>
        </w:rPr>
        <w:t>联合体工作协议应明确约定各方拟承担的工作和责任</w:t>
      </w:r>
      <w:r>
        <w:rPr>
          <w:rFonts w:hint="eastAsia" w:ascii="宋体" w:hAnsi="宋体"/>
          <w:bCs/>
          <w:strike/>
          <w:color w:val="auto"/>
          <w:sz w:val="24"/>
          <w:szCs w:val="24"/>
          <w:highlight w:val="none"/>
          <w:u w:val="single"/>
        </w:rPr>
        <w:t>）</w:t>
      </w:r>
      <w:r>
        <w:rPr>
          <w:rFonts w:hint="eastAsia" w:ascii="宋体" w:hAnsi="宋体"/>
          <w:bCs/>
          <w:strike/>
          <w:color w:val="auto"/>
          <w:sz w:val="24"/>
          <w:szCs w:val="24"/>
          <w:highlight w:val="none"/>
          <w:u w:val="single"/>
          <w:lang w:eastAsia="zh-CN"/>
        </w:rPr>
        <w:t>；</w:t>
      </w:r>
    </w:p>
    <w:p w14:paraId="595B6CE5">
      <w:pPr>
        <w:spacing w:line="360" w:lineRule="auto"/>
        <w:ind w:firstLine="482" w:firstLineChars="200"/>
        <w:rPr>
          <w:rFonts w:hint="eastAsia" w:ascii="宋体" w:hAnsi="宋体" w:cs="宋体"/>
          <w:b/>
          <w:bCs/>
          <w:sz w:val="24"/>
          <w:szCs w:val="24"/>
          <w:highlight w:val="none"/>
          <w:u w:val="single"/>
        </w:rPr>
      </w:pPr>
      <w:r>
        <w:rPr>
          <w:rFonts w:hint="eastAsia" w:ascii="宋体" w:hAnsi="宋体"/>
          <w:b/>
          <w:bCs/>
          <w:sz w:val="24"/>
          <w:szCs w:val="24"/>
          <w:highlight w:val="none"/>
          <w:u w:val="single"/>
        </w:rPr>
        <w:t>（</w:t>
      </w:r>
      <w:r>
        <w:rPr>
          <w:rFonts w:hint="eastAsia" w:ascii="宋体" w:hAnsi="宋体"/>
          <w:b/>
          <w:bCs/>
          <w:sz w:val="24"/>
          <w:szCs w:val="24"/>
          <w:highlight w:val="none"/>
          <w:u w:val="single"/>
          <w:lang w:eastAsia="zh-CN"/>
        </w:rPr>
        <w:t>1</w:t>
      </w:r>
      <w:r>
        <w:rPr>
          <w:rFonts w:hint="eastAsia" w:ascii="宋体" w:hAnsi="宋体"/>
          <w:b/>
          <w:bCs/>
          <w:sz w:val="24"/>
          <w:szCs w:val="24"/>
          <w:highlight w:val="none"/>
          <w:u w:val="single"/>
          <w:lang w:val="en-US" w:eastAsia="zh-CN"/>
        </w:rPr>
        <w:t>1</w:t>
      </w:r>
      <w:r>
        <w:rPr>
          <w:rFonts w:hint="eastAsia" w:ascii="宋体" w:hAnsi="宋体"/>
          <w:b/>
          <w:bCs/>
          <w:sz w:val="24"/>
          <w:szCs w:val="24"/>
          <w:highlight w:val="none"/>
          <w:u w:val="single"/>
        </w:rPr>
        <w:t>）</w:t>
      </w:r>
      <w:r>
        <w:rPr>
          <w:rFonts w:hint="eastAsia" w:ascii="宋体" w:hAnsi="宋体" w:eastAsia="宋体" w:cs="宋体"/>
          <w:b/>
          <w:bCs/>
          <w:color w:val="auto"/>
          <w:sz w:val="24"/>
          <w:szCs w:val="24"/>
          <w:highlight w:val="none"/>
          <w:u w:val="single"/>
          <w:lang w:val="en-US" w:eastAsia="zh-CN"/>
        </w:rPr>
        <w:t>资格审查前，</w:t>
      </w:r>
      <w:r>
        <w:rPr>
          <w:rFonts w:hint="eastAsia" w:ascii="宋体" w:hAnsi="宋体" w:eastAsia="宋体" w:cs="宋体"/>
          <w:b/>
          <w:bCs/>
          <w:color w:val="auto"/>
          <w:sz w:val="24"/>
          <w:szCs w:val="24"/>
          <w:highlight w:val="none"/>
          <w:u w:val="single"/>
        </w:rPr>
        <w:t>投标人</w:t>
      </w:r>
      <w:r>
        <w:rPr>
          <w:rFonts w:hint="eastAsia" w:ascii="宋体" w:hAnsi="宋体" w:eastAsia="宋体" w:cs="宋体"/>
          <w:b/>
          <w:bCs/>
          <w:color w:val="auto"/>
          <w:sz w:val="24"/>
          <w:szCs w:val="24"/>
          <w:highlight w:val="none"/>
          <w:u w:val="single"/>
          <w:lang w:val="en-US" w:eastAsia="zh-CN"/>
        </w:rPr>
        <w:t>须</w:t>
      </w:r>
      <w:r>
        <w:rPr>
          <w:rFonts w:hint="eastAsia" w:ascii="宋体" w:hAnsi="宋体" w:eastAsia="宋体" w:cs="宋体"/>
          <w:b/>
          <w:bCs/>
          <w:color w:val="auto"/>
          <w:sz w:val="24"/>
          <w:szCs w:val="24"/>
          <w:highlight w:val="none"/>
          <w:u w:val="single"/>
        </w:rPr>
        <w:t>在</w:t>
      </w:r>
      <w:r>
        <w:rPr>
          <w:rFonts w:hint="eastAsia" w:ascii="宋体" w:hAnsi="宋体" w:eastAsia="宋体" w:cs="宋体"/>
          <w:b/>
          <w:bCs/>
          <w:color w:val="auto"/>
          <w:sz w:val="24"/>
          <w:szCs w:val="24"/>
          <w:highlight w:val="none"/>
          <w:u w:val="single"/>
          <w:lang w:eastAsia="zh-CN"/>
        </w:rPr>
        <w:t>广州公共资源交易中心企业库办理企业信息登记</w:t>
      </w:r>
      <w:r>
        <w:rPr>
          <w:rFonts w:hint="eastAsia" w:ascii="宋体" w:hAnsi="宋体" w:eastAsia="宋体" w:cs="宋体"/>
          <w:b/>
          <w:bCs/>
          <w:color w:val="auto"/>
          <w:sz w:val="24"/>
          <w:szCs w:val="24"/>
          <w:highlight w:val="none"/>
          <w:u w:val="single"/>
        </w:rPr>
        <w:t>，且拟担任本项目的</w:t>
      </w:r>
      <w:r>
        <w:rPr>
          <w:rFonts w:hint="eastAsia" w:ascii="宋体" w:hAnsi="宋体" w:eastAsia="宋体" w:cs="宋体"/>
          <w:b/>
          <w:bCs/>
          <w:color w:val="auto"/>
          <w:sz w:val="24"/>
          <w:szCs w:val="24"/>
          <w:highlight w:val="none"/>
          <w:u w:val="single"/>
          <w:lang w:eastAsia="zh-CN"/>
        </w:rPr>
        <w:t>项目负责人（兼任施工负责人）</w:t>
      </w:r>
      <w:r>
        <w:rPr>
          <w:rFonts w:hint="eastAsia" w:ascii="宋体" w:hAnsi="宋体" w:eastAsia="宋体" w:cs="宋体"/>
          <w:b/>
          <w:bCs/>
          <w:color w:val="auto"/>
          <w:sz w:val="24"/>
          <w:szCs w:val="24"/>
          <w:highlight w:val="none"/>
          <w:u w:val="single"/>
        </w:rPr>
        <w:t>、专职安全员是本</w:t>
      </w:r>
      <w:r>
        <w:rPr>
          <w:rFonts w:hint="eastAsia" w:ascii="宋体" w:hAnsi="宋体" w:eastAsia="宋体" w:cs="宋体"/>
          <w:b/>
          <w:bCs/>
          <w:color w:val="auto"/>
          <w:sz w:val="24"/>
          <w:szCs w:val="24"/>
          <w:highlight w:val="none"/>
          <w:u w:val="single"/>
          <w:lang w:eastAsia="zh-CN"/>
        </w:rPr>
        <w:t>企业信息登记</w:t>
      </w:r>
      <w:r>
        <w:rPr>
          <w:rFonts w:hint="eastAsia" w:ascii="宋体" w:hAnsi="宋体" w:eastAsia="宋体" w:cs="宋体"/>
          <w:b/>
          <w:bCs/>
          <w:color w:val="auto"/>
          <w:sz w:val="24"/>
          <w:szCs w:val="24"/>
          <w:highlight w:val="none"/>
          <w:u w:val="single"/>
        </w:rPr>
        <w:t>中的在册人员</w:t>
      </w:r>
      <w:r>
        <w:rPr>
          <w:rFonts w:hint="eastAsia" w:ascii="宋体" w:hAnsi="宋体" w:cs="宋体"/>
          <w:b/>
          <w:bCs/>
          <w:sz w:val="24"/>
          <w:szCs w:val="24"/>
          <w:highlight w:val="none"/>
          <w:u w:val="single"/>
        </w:rPr>
        <w:t>。</w:t>
      </w:r>
    </w:p>
    <w:p w14:paraId="0CB474A4">
      <w:pPr>
        <w:spacing w:line="360" w:lineRule="auto"/>
        <w:ind w:firstLine="482" w:firstLineChars="200"/>
        <w:rPr>
          <w:rFonts w:hint="eastAsia" w:ascii="宋体" w:hAnsi="宋体"/>
          <w:bCs/>
          <w:color w:val="auto"/>
          <w:sz w:val="24"/>
          <w:szCs w:val="24"/>
          <w:highlight w:val="none"/>
          <w:u w:val="single"/>
          <w:lang w:eastAsia="zh-CN"/>
        </w:rPr>
      </w:pPr>
      <w:r>
        <w:rPr>
          <w:rFonts w:hint="eastAsia" w:ascii="宋体" w:hAnsi="宋体"/>
          <w:b/>
          <w:bCs w:val="0"/>
          <w:color w:val="auto"/>
          <w:sz w:val="24"/>
          <w:szCs w:val="24"/>
          <w:highlight w:val="none"/>
          <w:u w:val="single"/>
          <w:lang w:eastAsia="zh-CN"/>
        </w:rPr>
        <w:t>（</w:t>
      </w:r>
      <w:r>
        <w:rPr>
          <w:rFonts w:hint="eastAsia" w:ascii="宋体" w:hAnsi="宋体"/>
          <w:b/>
          <w:bCs w:val="0"/>
          <w:color w:val="auto"/>
          <w:sz w:val="24"/>
          <w:szCs w:val="24"/>
          <w:highlight w:val="none"/>
          <w:u w:val="single"/>
          <w:lang w:val="en-US" w:eastAsia="zh-CN"/>
        </w:rPr>
        <w:t>12）</w:t>
      </w:r>
      <w:r>
        <w:rPr>
          <w:rFonts w:hint="eastAsia" w:ascii="宋体" w:hAnsi="宋体"/>
          <w:bCs/>
          <w:color w:val="auto"/>
          <w:sz w:val="24"/>
          <w:szCs w:val="24"/>
          <w:highlight w:val="none"/>
          <w:u w:val="single"/>
          <w:lang w:val="en-US" w:eastAsia="zh-CN"/>
        </w:rPr>
        <w:t>投标人认为应提交的其他资料</w:t>
      </w:r>
      <w:r>
        <w:rPr>
          <w:rFonts w:hint="eastAsia" w:ascii="宋体" w:hAnsi="宋体"/>
          <w:bCs/>
          <w:color w:val="auto"/>
          <w:sz w:val="24"/>
          <w:szCs w:val="24"/>
          <w:highlight w:val="none"/>
          <w:u w:val="single"/>
        </w:rPr>
        <w:t xml:space="preserve"> </w:t>
      </w:r>
      <w:r>
        <w:rPr>
          <w:rFonts w:hint="eastAsia" w:ascii="宋体" w:hAnsi="宋体"/>
          <w:bCs/>
          <w:color w:val="auto"/>
          <w:sz w:val="24"/>
          <w:szCs w:val="24"/>
          <w:highlight w:val="none"/>
          <w:u w:val="single"/>
          <w:lang w:eastAsia="zh-CN"/>
        </w:rPr>
        <w:t>。</w:t>
      </w:r>
    </w:p>
    <w:p w14:paraId="3EE2F3A9">
      <w:pPr>
        <w:spacing w:line="360" w:lineRule="auto"/>
        <w:ind w:firstLine="482" w:firstLineChars="200"/>
        <w:rPr>
          <w:rFonts w:hint="eastAsia" w:ascii="宋体" w:hAnsi="宋体" w:cs="宋体"/>
          <w:b/>
          <w:bCs w:val="0"/>
          <w:sz w:val="24"/>
          <w:szCs w:val="24"/>
          <w:highlight w:val="none"/>
          <w:u w:val="single"/>
        </w:rPr>
      </w:pPr>
      <w:r>
        <w:rPr>
          <w:rFonts w:hint="eastAsia" w:ascii="宋体" w:hAnsi="宋体" w:cs="宋体"/>
          <w:b/>
          <w:bCs w:val="0"/>
          <w:sz w:val="24"/>
          <w:szCs w:val="24"/>
          <w:highlight w:val="none"/>
          <w:u w:val="single"/>
        </w:rPr>
        <w:t>注：1.相关电子证书按规定需打印后手写本人签名的，应按照规定手写本人签名后再扫描提交。</w:t>
      </w:r>
    </w:p>
    <w:p w14:paraId="69FB7D2F">
      <w:pPr>
        <w:spacing w:line="360" w:lineRule="auto"/>
        <w:ind w:firstLine="482" w:firstLineChars="200"/>
        <w:rPr>
          <w:rFonts w:hint="eastAsia" w:ascii="宋体" w:hAnsi="宋体" w:eastAsia="宋体"/>
          <w:bCs/>
          <w:color w:val="auto"/>
          <w:sz w:val="24"/>
          <w:szCs w:val="24"/>
          <w:highlight w:val="none"/>
          <w:u w:val="single"/>
          <w:lang w:eastAsia="zh-CN"/>
        </w:rPr>
      </w:pPr>
      <w:r>
        <w:rPr>
          <w:rFonts w:hint="eastAsia" w:ascii="宋体" w:hAnsi="宋体" w:cs="宋体"/>
          <w:b/>
          <w:bCs w:val="0"/>
          <w:sz w:val="24"/>
          <w:szCs w:val="24"/>
          <w:highlight w:val="none"/>
          <w:u w:val="single"/>
        </w:rPr>
        <w:t>投标人在投标登记时选择了拟投入本项目的项目负责人、专职安全员，即已满足“资格审查前，投标人须在广州公共资源交易中心企业库办理企业信息登记，拟担任本工程项目负责人、专职安全员须是本企业信用档案中的在册人员”的要求，投标人无需提供证明材料。</w:t>
      </w:r>
    </w:p>
    <w:p w14:paraId="2AD73AB5">
      <w:pPr>
        <w:spacing w:line="360" w:lineRule="auto"/>
        <w:ind w:firstLine="480" w:firstLineChars="200"/>
        <w:rPr>
          <w:rFonts w:hint="eastAsia" w:ascii="宋体" w:hAnsi="宋体"/>
          <w:color w:val="auto"/>
          <w:sz w:val="24"/>
          <w:highlight w:val="none"/>
          <w:u w:val="single"/>
        </w:rPr>
      </w:pPr>
      <w:r>
        <w:rPr>
          <w:rFonts w:hint="eastAsia" w:ascii="宋体" w:hAnsi="宋体"/>
          <w:color w:val="auto"/>
          <w:sz w:val="24"/>
          <w:highlight w:val="none"/>
          <w:u w:val="single"/>
        </w:rPr>
        <w:t>11.</w:t>
      </w:r>
      <w:r>
        <w:rPr>
          <w:rFonts w:hint="eastAsia" w:ascii="宋体" w:hAnsi="宋体"/>
          <w:color w:val="auto"/>
          <w:sz w:val="24"/>
          <w:highlight w:val="none"/>
          <w:u w:val="single"/>
          <w:lang w:val="en-US" w:eastAsia="zh-CN"/>
        </w:rPr>
        <w:t>2.2</w:t>
      </w:r>
      <w:r>
        <w:rPr>
          <w:rFonts w:hint="eastAsia" w:ascii="宋体" w:hAnsi="宋体"/>
          <w:color w:val="auto"/>
          <w:sz w:val="24"/>
          <w:highlight w:val="none"/>
          <w:u w:val="single"/>
        </w:rPr>
        <w:t>技术投标文件主要包括下列内容：</w:t>
      </w:r>
    </w:p>
    <w:p w14:paraId="60C71A0A">
      <w:pPr>
        <w:numPr>
          <w:ilvl w:val="0"/>
          <w:numId w:val="4"/>
        </w:numPr>
        <w:spacing w:line="360" w:lineRule="auto"/>
        <w:ind w:firstLine="480" w:firstLineChars="200"/>
        <w:rPr>
          <w:rFonts w:hint="eastAsia" w:ascii="宋体" w:hAnsi="宋体"/>
          <w:color w:val="auto"/>
          <w:sz w:val="24"/>
          <w:highlight w:val="none"/>
          <w:u w:val="single"/>
        </w:rPr>
      </w:pPr>
      <w:r>
        <w:rPr>
          <w:rFonts w:hint="eastAsia" w:ascii="宋体"/>
          <w:bCs/>
          <w:color w:val="auto"/>
          <w:sz w:val="24"/>
          <w:highlight w:val="none"/>
          <w:u w:val="single"/>
          <w:lang w:eastAsia="zh-CN"/>
        </w:rPr>
        <w:t>《广州建设工程施工招标投标书》；</w:t>
      </w:r>
    </w:p>
    <w:p w14:paraId="6E04FDC3">
      <w:pPr>
        <w:numPr>
          <w:ilvl w:val="0"/>
          <w:numId w:val="4"/>
        </w:numPr>
        <w:spacing w:line="360" w:lineRule="auto"/>
        <w:ind w:firstLine="480" w:firstLineChars="200"/>
        <w:rPr>
          <w:rFonts w:hint="eastAsia" w:ascii="宋体" w:hAnsi="宋体"/>
          <w:color w:val="auto"/>
          <w:sz w:val="24"/>
          <w:highlight w:val="none"/>
          <w:u w:val="single"/>
        </w:rPr>
      </w:pPr>
      <w:r>
        <w:rPr>
          <w:rFonts w:hint="eastAsia" w:ascii="宋体" w:hAnsi="宋体"/>
          <w:color w:val="auto"/>
          <w:sz w:val="24"/>
          <w:highlight w:val="none"/>
          <w:u w:val="single"/>
        </w:rPr>
        <w:t>项目管理机构配备：</w:t>
      </w:r>
      <w:r>
        <w:rPr>
          <w:rFonts w:hint="eastAsia" w:ascii="宋体" w:hAnsi="宋体"/>
          <w:b/>
          <w:sz w:val="24"/>
          <w:szCs w:val="24"/>
          <w:highlight w:val="none"/>
          <w:u w:val="single"/>
        </w:rPr>
        <w:t>施工项目管理团队人员信息表。（按本招标文件第四章“投标文件格式”格式三）</w:t>
      </w:r>
    </w:p>
    <w:p w14:paraId="7EE4E5AC">
      <w:pPr>
        <w:spacing w:line="360" w:lineRule="auto"/>
        <w:ind w:firstLine="480" w:firstLineChars="200"/>
        <w:rPr>
          <w:rFonts w:hint="eastAsia" w:ascii="宋体" w:hAnsi="宋体"/>
          <w:color w:val="auto"/>
          <w:sz w:val="24"/>
          <w:highlight w:val="none"/>
          <w:u w:val="single"/>
        </w:rPr>
      </w:pPr>
      <w:r>
        <w:rPr>
          <w:rFonts w:hint="eastAsia" w:ascii="宋体" w:hAnsi="宋体" w:eastAsia="宋体"/>
          <w:color w:val="auto"/>
          <w:sz w:val="24"/>
          <w:szCs w:val="24"/>
          <w:highlight w:val="none"/>
          <w:u w:val="single"/>
        </w:rPr>
        <w:t>①</w:t>
      </w:r>
      <w:r>
        <w:rPr>
          <w:rFonts w:hint="eastAsia" w:ascii="宋体" w:hAnsi="宋体"/>
          <w:color w:val="auto"/>
          <w:sz w:val="24"/>
          <w:highlight w:val="none"/>
          <w:u w:val="single"/>
        </w:rPr>
        <w:t>投标人应列出该项目工程的施工组织机构构成和画出机构框架图及其负责人；</w:t>
      </w:r>
    </w:p>
    <w:p w14:paraId="09143F72">
      <w:pPr>
        <w:spacing w:line="360" w:lineRule="auto"/>
        <w:ind w:firstLine="480" w:firstLineChars="200"/>
        <w:rPr>
          <w:rFonts w:hint="eastAsia" w:ascii="宋体" w:hAnsi="宋体"/>
          <w:color w:val="auto"/>
          <w:sz w:val="24"/>
          <w:highlight w:val="none"/>
          <w:u w:val="single"/>
        </w:rPr>
      </w:pPr>
      <w:r>
        <w:rPr>
          <w:rFonts w:hint="eastAsia" w:ascii="宋体" w:hAnsi="宋体" w:eastAsia="宋体"/>
          <w:color w:val="auto"/>
          <w:sz w:val="24"/>
          <w:szCs w:val="24"/>
          <w:highlight w:val="none"/>
          <w:u w:val="single"/>
        </w:rPr>
        <w:t>②</w:t>
      </w:r>
      <w:r>
        <w:rPr>
          <w:rFonts w:hint="eastAsia" w:ascii="宋体" w:hAnsi="宋体"/>
          <w:color w:val="auto"/>
          <w:sz w:val="24"/>
          <w:highlight w:val="none"/>
          <w:u w:val="single"/>
        </w:rPr>
        <w:t>投标人应详细列出该施工组织机构中主要成员的名单、简历资料、职务职称和在本项目中拟担任的职务等资料，并附上有关证明材料扫描件；</w:t>
      </w:r>
    </w:p>
    <w:p w14:paraId="0A61D586">
      <w:pPr>
        <w:spacing w:line="360" w:lineRule="auto"/>
        <w:ind w:firstLine="480" w:firstLineChars="200"/>
        <w:rPr>
          <w:rFonts w:hint="eastAsia" w:ascii="宋体" w:hAnsi="宋体"/>
          <w:color w:val="auto"/>
          <w:sz w:val="24"/>
          <w:highlight w:val="none"/>
          <w:u w:val="single"/>
        </w:rPr>
      </w:pPr>
      <w:r>
        <w:rPr>
          <w:rFonts w:hint="eastAsia" w:ascii="宋体" w:hAnsi="宋体" w:eastAsia="宋体"/>
          <w:color w:val="auto"/>
          <w:sz w:val="24"/>
          <w:szCs w:val="24"/>
          <w:highlight w:val="none"/>
          <w:u w:val="single"/>
        </w:rPr>
        <w:t>③</w:t>
      </w:r>
      <w:r>
        <w:rPr>
          <w:rFonts w:hint="eastAsia" w:ascii="宋体" w:hAnsi="宋体"/>
          <w:color w:val="auto"/>
          <w:sz w:val="24"/>
          <w:highlight w:val="none"/>
          <w:u w:val="single"/>
        </w:rPr>
        <w:t>其他辅助说明资料。</w:t>
      </w:r>
    </w:p>
    <w:p w14:paraId="3D87C811">
      <w:pPr>
        <w:spacing w:line="360" w:lineRule="auto"/>
        <w:ind w:firstLine="480" w:firstLineChars="200"/>
        <w:rPr>
          <w:rFonts w:hint="eastAsia" w:ascii="宋体" w:hAnsi="宋体" w:eastAsia="宋体"/>
          <w:color w:val="auto"/>
          <w:sz w:val="24"/>
          <w:highlight w:val="none"/>
          <w:u w:val="single"/>
          <w:lang w:eastAsia="zh-CN"/>
        </w:rPr>
      </w:pPr>
      <w:r>
        <w:rPr>
          <w:rFonts w:hint="eastAsia" w:ascii="宋体" w:hAnsi="宋体"/>
          <w:color w:val="auto"/>
          <w:sz w:val="24"/>
          <w:highlight w:val="none"/>
          <w:u w:val="single"/>
        </w:rPr>
        <w:t>（</w:t>
      </w:r>
      <w:r>
        <w:rPr>
          <w:rFonts w:hint="eastAsia" w:ascii="宋体" w:hAnsi="宋体"/>
          <w:color w:val="auto"/>
          <w:sz w:val="24"/>
          <w:highlight w:val="none"/>
          <w:u w:val="single"/>
          <w:lang w:val="en-US" w:eastAsia="zh-CN"/>
        </w:rPr>
        <w:t>3</w:t>
      </w:r>
      <w:r>
        <w:rPr>
          <w:rFonts w:hint="eastAsia" w:ascii="宋体" w:hAnsi="宋体"/>
          <w:color w:val="auto"/>
          <w:sz w:val="24"/>
          <w:highlight w:val="none"/>
          <w:u w:val="single"/>
        </w:rPr>
        <w:t>）施工组织设计或施工方案</w:t>
      </w:r>
      <w:r>
        <w:rPr>
          <w:rFonts w:hint="eastAsia" w:ascii="宋体" w:hAnsi="宋体"/>
          <w:color w:val="auto"/>
          <w:sz w:val="24"/>
          <w:highlight w:val="none"/>
          <w:u w:val="single"/>
          <w:lang w:eastAsia="zh-CN"/>
        </w:rPr>
        <w:t>；</w:t>
      </w:r>
      <w:r>
        <w:rPr>
          <w:rFonts w:hint="eastAsia" w:ascii="宋体" w:hAnsi="宋体" w:cs="宋体"/>
          <w:b/>
          <w:bCs w:val="0"/>
          <w:sz w:val="24"/>
          <w:szCs w:val="24"/>
          <w:highlight w:val="none"/>
          <w:u w:val="single"/>
          <w:lang w:val="en-US" w:eastAsia="zh-CN"/>
        </w:rPr>
        <w:t>（投标人根据本项目《技术标详细审查评分表》中“施工组织设计”的评审内容编制）</w:t>
      </w:r>
    </w:p>
    <w:p w14:paraId="0BDB6E23">
      <w:pPr>
        <w:pStyle w:val="10"/>
        <w:rPr>
          <w:rFonts w:hint="eastAsia" w:ascii="宋体" w:hAnsi="宋体" w:eastAsia="宋体" w:cs="Times New Roman"/>
          <w:color w:val="auto"/>
          <w:sz w:val="24"/>
          <w:highlight w:val="none"/>
          <w:u w:val="single"/>
          <w:lang w:val="en-US" w:eastAsia="zh-CN"/>
        </w:rPr>
      </w:pPr>
      <w:r>
        <w:rPr>
          <w:rFonts w:hint="eastAsia" w:ascii="楷体" w:hAnsi="楷体" w:eastAsia="楷体" w:cs="楷体"/>
          <w:color w:val="auto"/>
          <w:sz w:val="24"/>
          <w:highlight w:val="none"/>
          <w:u w:val="single"/>
          <w:lang w:val="en-US" w:eastAsia="zh-CN"/>
        </w:rPr>
        <w:t>注：建议招标人在招标文件中提出</w:t>
      </w:r>
      <w:r>
        <w:rPr>
          <w:rFonts w:hint="eastAsia" w:ascii="楷体" w:hAnsi="楷体" w:eastAsia="楷体" w:cs="楷体"/>
          <w:bCs w:val="0"/>
          <w:color w:val="auto"/>
          <w:kern w:val="2"/>
          <w:sz w:val="24"/>
          <w:highlight w:val="none"/>
          <w:u w:val="single"/>
        </w:rPr>
        <w:t>篇幅上限</w:t>
      </w:r>
      <w:r>
        <w:rPr>
          <w:rFonts w:hint="eastAsia" w:ascii="楷体" w:hAnsi="楷体" w:eastAsia="楷体" w:cs="楷体"/>
          <w:bCs w:val="0"/>
          <w:color w:val="auto"/>
          <w:kern w:val="2"/>
          <w:sz w:val="24"/>
          <w:highlight w:val="none"/>
          <w:u w:val="single"/>
          <w:lang w:eastAsia="zh-CN"/>
        </w:rPr>
        <w:t>，国家及地方现有工法规范已有的内容</w:t>
      </w:r>
      <w:r>
        <w:rPr>
          <w:rFonts w:hint="eastAsia" w:ascii="楷体" w:hAnsi="楷体" w:eastAsia="楷体" w:cs="楷体"/>
          <w:bCs w:val="0"/>
          <w:color w:val="auto"/>
          <w:kern w:val="2"/>
          <w:sz w:val="24"/>
          <w:highlight w:val="none"/>
          <w:u w:val="single"/>
          <w:lang w:val="en-US" w:eastAsia="zh-CN"/>
        </w:rPr>
        <w:t>无需重复提交</w:t>
      </w:r>
      <w:r>
        <w:rPr>
          <w:rFonts w:hint="eastAsia" w:ascii="楷体" w:hAnsi="楷体" w:eastAsia="楷体" w:cs="楷体"/>
          <w:bCs w:val="0"/>
          <w:color w:val="auto"/>
          <w:kern w:val="2"/>
          <w:sz w:val="24"/>
          <w:highlight w:val="none"/>
          <w:u w:val="single"/>
        </w:rPr>
        <w:t>。</w:t>
      </w:r>
    </w:p>
    <w:p w14:paraId="1C6FB875">
      <w:pPr>
        <w:spacing w:line="360" w:lineRule="auto"/>
        <w:ind w:firstLine="480" w:firstLineChars="200"/>
        <w:rPr>
          <w:rFonts w:hint="eastAsia" w:ascii="宋体" w:hAnsi="宋体" w:eastAsia="宋体"/>
          <w:strike/>
          <w:color w:val="auto"/>
          <w:sz w:val="24"/>
          <w:highlight w:val="none"/>
          <w:u w:val="single"/>
          <w:lang w:eastAsia="zh-CN"/>
        </w:rPr>
      </w:pPr>
      <w:r>
        <w:rPr>
          <w:rFonts w:hint="eastAsia" w:ascii="宋体" w:hAnsi="宋体"/>
          <w:strike/>
          <w:color w:val="auto"/>
          <w:sz w:val="24"/>
          <w:highlight w:val="none"/>
          <w:u w:val="single"/>
          <w:lang w:eastAsia="zh-CN"/>
        </w:rPr>
        <w:t>（</w:t>
      </w:r>
      <w:r>
        <w:rPr>
          <w:rFonts w:hint="eastAsia" w:ascii="宋体" w:hAnsi="宋体"/>
          <w:strike/>
          <w:color w:val="auto"/>
          <w:sz w:val="24"/>
          <w:highlight w:val="none"/>
          <w:u w:val="single"/>
          <w:lang w:val="en-US" w:eastAsia="zh-CN"/>
        </w:rPr>
        <w:t>4）（选择性条款）</w:t>
      </w:r>
      <w:r>
        <w:rPr>
          <w:rFonts w:hint="eastAsia" w:ascii="宋体" w:hAnsi="宋体"/>
          <w:strike/>
          <w:color w:val="auto"/>
          <w:sz w:val="24"/>
          <w:highlight w:val="none"/>
          <w:u w:val="single"/>
        </w:rPr>
        <w:t>有余泥渣土产生的项目</w:t>
      </w:r>
      <w:r>
        <w:rPr>
          <w:rFonts w:hint="eastAsia" w:ascii="宋体" w:hAnsi="宋体"/>
          <w:strike/>
          <w:color w:val="auto"/>
          <w:sz w:val="24"/>
          <w:highlight w:val="none"/>
          <w:u w:val="single"/>
          <w:lang w:eastAsia="zh-CN"/>
        </w:rPr>
        <w:t>可要求提供</w:t>
      </w:r>
      <w:r>
        <w:rPr>
          <w:rFonts w:hint="eastAsia" w:ascii="宋体" w:hAnsi="宋体"/>
          <w:strike/>
          <w:color w:val="auto"/>
          <w:sz w:val="24"/>
          <w:highlight w:val="none"/>
          <w:u w:val="single"/>
        </w:rPr>
        <w:t>余泥渣土运输与排放方案</w:t>
      </w:r>
      <w:r>
        <w:rPr>
          <w:rFonts w:hint="eastAsia" w:ascii="宋体" w:hAnsi="宋体"/>
          <w:strike/>
          <w:color w:val="auto"/>
          <w:sz w:val="24"/>
          <w:highlight w:val="none"/>
          <w:u w:val="single"/>
          <w:lang w:eastAsia="zh-CN"/>
        </w:rPr>
        <w:t>；</w:t>
      </w:r>
    </w:p>
    <w:p w14:paraId="41C4FDD7">
      <w:pPr>
        <w:spacing w:line="360" w:lineRule="auto"/>
        <w:ind w:firstLine="480" w:firstLineChars="200"/>
        <w:rPr>
          <w:rFonts w:hint="eastAsia" w:ascii="宋体" w:hAnsi="宋体" w:eastAsia="宋体"/>
          <w:strike/>
          <w:color w:val="auto"/>
          <w:sz w:val="24"/>
          <w:highlight w:val="none"/>
          <w:u w:val="single"/>
          <w:lang w:eastAsia="zh-CN"/>
        </w:rPr>
      </w:pPr>
      <w:r>
        <w:rPr>
          <w:rFonts w:hint="eastAsia" w:ascii="宋体" w:hAnsi="宋体"/>
          <w:strike/>
          <w:color w:val="auto"/>
          <w:sz w:val="24"/>
          <w:highlight w:val="none"/>
          <w:u w:val="single"/>
        </w:rPr>
        <w:t>（</w:t>
      </w:r>
      <w:r>
        <w:rPr>
          <w:rFonts w:hint="eastAsia" w:ascii="宋体" w:hAnsi="宋体"/>
          <w:strike/>
          <w:color w:val="auto"/>
          <w:sz w:val="24"/>
          <w:highlight w:val="none"/>
          <w:u w:val="single"/>
          <w:lang w:val="en-US" w:eastAsia="zh-CN"/>
        </w:rPr>
        <w:t>5</w:t>
      </w:r>
      <w:r>
        <w:rPr>
          <w:rFonts w:hint="eastAsia" w:ascii="宋体" w:hAnsi="宋体"/>
          <w:strike/>
          <w:color w:val="auto"/>
          <w:sz w:val="24"/>
          <w:highlight w:val="none"/>
          <w:u w:val="single"/>
        </w:rPr>
        <w:t>）</w:t>
      </w:r>
      <w:r>
        <w:rPr>
          <w:rFonts w:hint="eastAsia" w:ascii="宋体" w:hAnsi="宋体"/>
          <w:strike/>
          <w:color w:val="auto"/>
          <w:sz w:val="24"/>
          <w:highlight w:val="none"/>
          <w:u w:val="single"/>
          <w:lang w:eastAsia="zh-CN"/>
        </w:rPr>
        <w:t>（选择性条款）</w:t>
      </w:r>
      <w:r>
        <w:rPr>
          <w:rFonts w:hint="eastAsia" w:ascii="宋体" w:hAnsi="宋体"/>
          <w:strike/>
          <w:color w:val="auto"/>
          <w:sz w:val="24"/>
          <w:highlight w:val="none"/>
          <w:u w:val="single"/>
        </w:rPr>
        <w:t>投标人可使用适合本工程的机械设备</w:t>
      </w:r>
      <w:r>
        <w:rPr>
          <w:rFonts w:hint="eastAsia" w:ascii="宋体" w:hAnsi="宋体"/>
          <w:strike/>
          <w:color w:val="auto"/>
          <w:sz w:val="24"/>
          <w:highlight w:val="none"/>
          <w:u w:val="single"/>
          <w:lang w:eastAsia="zh-CN"/>
        </w:rPr>
        <w:t>；</w:t>
      </w:r>
    </w:p>
    <w:p w14:paraId="6BF4DD6E">
      <w:pPr>
        <w:spacing w:line="360" w:lineRule="auto"/>
        <w:ind w:firstLine="480" w:firstLineChars="200"/>
        <w:rPr>
          <w:rFonts w:hint="eastAsia" w:ascii="宋体" w:hAnsi="宋体" w:eastAsia="宋体"/>
          <w:strike/>
          <w:color w:val="auto"/>
          <w:sz w:val="24"/>
          <w:highlight w:val="none"/>
          <w:u w:val="single"/>
          <w:lang w:eastAsia="zh-CN"/>
        </w:rPr>
      </w:pPr>
      <w:r>
        <w:rPr>
          <w:rFonts w:hint="eastAsia" w:ascii="宋体" w:hAnsi="宋体"/>
          <w:strike/>
          <w:color w:val="auto"/>
          <w:sz w:val="24"/>
          <w:highlight w:val="none"/>
          <w:u w:val="single"/>
        </w:rPr>
        <w:t>（</w:t>
      </w:r>
      <w:r>
        <w:rPr>
          <w:rFonts w:hint="eastAsia" w:ascii="宋体" w:hAnsi="宋体"/>
          <w:strike/>
          <w:color w:val="auto"/>
          <w:sz w:val="24"/>
          <w:highlight w:val="none"/>
          <w:u w:val="single"/>
          <w:lang w:val="en-US" w:eastAsia="zh-CN"/>
        </w:rPr>
        <w:t>6</w:t>
      </w:r>
      <w:r>
        <w:rPr>
          <w:rFonts w:hint="eastAsia" w:ascii="宋体" w:hAnsi="宋体"/>
          <w:strike/>
          <w:color w:val="auto"/>
          <w:sz w:val="24"/>
          <w:highlight w:val="none"/>
          <w:u w:val="single"/>
        </w:rPr>
        <w:t>）</w:t>
      </w:r>
      <w:r>
        <w:rPr>
          <w:rFonts w:hint="eastAsia" w:ascii="宋体" w:hAnsi="宋体"/>
          <w:strike/>
          <w:color w:val="auto"/>
          <w:sz w:val="24"/>
          <w:highlight w:val="none"/>
          <w:u w:val="single"/>
          <w:lang w:eastAsia="zh-CN"/>
        </w:rPr>
        <w:t>（选择性条款）</w:t>
      </w:r>
      <w:r>
        <w:rPr>
          <w:rFonts w:hint="eastAsia" w:ascii="宋体" w:hAnsi="宋体"/>
          <w:strike/>
          <w:color w:val="auto"/>
          <w:sz w:val="24"/>
          <w:highlight w:val="none"/>
          <w:u w:val="single"/>
        </w:rPr>
        <w:t>类似工程业绩材料</w:t>
      </w:r>
      <w:r>
        <w:rPr>
          <w:rFonts w:hint="eastAsia" w:ascii="宋体" w:hAnsi="宋体"/>
          <w:strike/>
          <w:color w:val="auto"/>
          <w:sz w:val="24"/>
          <w:highlight w:val="none"/>
          <w:u w:val="single"/>
          <w:lang w:eastAsia="zh-CN"/>
        </w:rPr>
        <w:t>；</w:t>
      </w:r>
    </w:p>
    <w:p w14:paraId="04808B90">
      <w:pPr>
        <w:pStyle w:val="10"/>
        <w:spacing w:line="360" w:lineRule="auto"/>
        <w:rPr>
          <w:rFonts w:hint="eastAsia" w:ascii="宋体" w:hAnsi="宋体" w:eastAsia="宋体" w:cs="宋体"/>
          <w:bCs/>
          <w:sz w:val="24"/>
          <w:szCs w:val="24"/>
          <w:highlight w:val="none"/>
          <w:u w:val="none"/>
          <w:lang w:eastAsia="zh-CN"/>
        </w:rPr>
      </w:pPr>
      <w:r>
        <w:rPr>
          <w:rFonts w:hint="eastAsia" w:ascii="宋体" w:hAnsi="宋体" w:eastAsia="宋体" w:cs="宋体"/>
          <w:bCs/>
          <w:sz w:val="24"/>
          <w:szCs w:val="24"/>
          <w:highlight w:val="none"/>
          <w:u w:val="none"/>
        </w:rPr>
        <w:t>（</w:t>
      </w:r>
      <w:r>
        <w:rPr>
          <w:rFonts w:hint="eastAsia" w:ascii="宋体" w:hAnsi="宋体" w:eastAsia="宋体" w:cs="宋体"/>
          <w:bCs/>
          <w:sz w:val="24"/>
          <w:szCs w:val="24"/>
          <w:highlight w:val="none"/>
          <w:u w:val="none"/>
          <w:lang w:val="en-US" w:eastAsia="zh-CN"/>
        </w:rPr>
        <w:t>4</w:t>
      </w:r>
      <w:r>
        <w:rPr>
          <w:rFonts w:hint="eastAsia" w:ascii="宋体" w:hAnsi="宋体" w:eastAsia="宋体" w:cs="宋体"/>
          <w:bCs/>
          <w:sz w:val="24"/>
          <w:szCs w:val="24"/>
          <w:highlight w:val="none"/>
          <w:u w:val="none"/>
        </w:rPr>
        <w:t>）按本招标文件规定提交的其它所有技术资料</w:t>
      </w:r>
      <w:r>
        <w:rPr>
          <w:rFonts w:hint="eastAsia" w:ascii="宋体" w:hAnsi="宋体" w:eastAsia="宋体" w:cs="宋体"/>
          <w:bCs/>
          <w:sz w:val="24"/>
          <w:szCs w:val="24"/>
          <w:highlight w:val="none"/>
          <w:u w:val="none"/>
          <w:lang w:eastAsia="zh-CN"/>
        </w:rPr>
        <w:t>；</w:t>
      </w:r>
    </w:p>
    <w:p w14:paraId="42D00320">
      <w:pPr>
        <w:pStyle w:val="10"/>
        <w:spacing w:line="360" w:lineRule="auto"/>
        <w:rPr>
          <w:rFonts w:hint="eastAsia" w:ascii="宋体" w:hAnsi="宋体" w:eastAsia="宋体" w:cs="宋体"/>
          <w:b w:val="0"/>
          <w:bCs/>
          <w:sz w:val="24"/>
          <w:szCs w:val="24"/>
          <w:highlight w:val="none"/>
          <w:u w:val="none"/>
          <w:lang w:eastAsia="zh-CN"/>
        </w:rPr>
      </w:pPr>
      <w:r>
        <w:rPr>
          <w:rFonts w:hint="eastAsia" w:ascii="宋体" w:hAnsi="宋体" w:eastAsia="宋体" w:cs="宋体"/>
          <w:bCs/>
          <w:sz w:val="24"/>
          <w:szCs w:val="24"/>
          <w:highlight w:val="none"/>
          <w:u w:val="none"/>
        </w:rPr>
        <w:t>（</w:t>
      </w:r>
      <w:r>
        <w:rPr>
          <w:rFonts w:hint="eastAsia" w:ascii="宋体" w:hAnsi="宋体" w:eastAsia="宋体" w:cs="宋体"/>
          <w:bCs/>
          <w:sz w:val="24"/>
          <w:szCs w:val="24"/>
          <w:highlight w:val="none"/>
          <w:u w:val="none"/>
          <w:lang w:val="en-US" w:eastAsia="zh-CN"/>
        </w:rPr>
        <w:t>5</w:t>
      </w:r>
      <w:r>
        <w:rPr>
          <w:rFonts w:hint="eastAsia" w:ascii="宋体" w:hAnsi="宋体" w:eastAsia="宋体" w:cs="宋体"/>
          <w:bCs/>
          <w:sz w:val="24"/>
          <w:szCs w:val="24"/>
          <w:highlight w:val="none"/>
          <w:u w:val="none"/>
        </w:rPr>
        <w:t>）按照招标文件要求填写的《参与编制技术标投标文件人员名单》</w:t>
      </w:r>
      <w:r>
        <w:rPr>
          <w:rFonts w:hint="eastAsia" w:ascii="宋体" w:hAnsi="宋体" w:eastAsia="宋体" w:cs="宋体"/>
          <w:b/>
          <w:bCs w:val="0"/>
          <w:sz w:val="24"/>
          <w:szCs w:val="24"/>
          <w:highlight w:val="none"/>
          <w:u w:val="single"/>
        </w:rPr>
        <w:t>（按本招标文件第四章“投标文件格式”格式五）</w:t>
      </w:r>
      <w:r>
        <w:rPr>
          <w:rFonts w:hint="eastAsia" w:ascii="宋体" w:hAnsi="宋体" w:eastAsia="宋体" w:cs="宋体"/>
          <w:b/>
          <w:bCs w:val="0"/>
          <w:sz w:val="24"/>
          <w:szCs w:val="24"/>
          <w:highlight w:val="none"/>
          <w:u w:val="single"/>
          <w:lang w:eastAsia="zh-CN"/>
        </w:rPr>
        <w:t>。</w:t>
      </w:r>
    </w:p>
    <w:p w14:paraId="662014DE">
      <w:pPr>
        <w:spacing w:line="360" w:lineRule="auto"/>
        <w:ind w:firstLine="482" w:firstLineChars="200"/>
        <w:rPr>
          <w:rFonts w:hint="eastAsia" w:ascii="宋体" w:hAnsi="宋体"/>
          <w:color w:val="auto"/>
          <w:sz w:val="24"/>
          <w:highlight w:val="none"/>
          <w:u w:val="single"/>
        </w:rPr>
      </w:pPr>
      <w:r>
        <w:rPr>
          <w:rFonts w:hint="eastAsia" w:ascii="宋体" w:hAnsi="宋体" w:eastAsia="宋体" w:cs="宋体"/>
          <w:b/>
          <w:bCs w:val="0"/>
          <w:sz w:val="24"/>
          <w:szCs w:val="24"/>
          <w:highlight w:val="none"/>
          <w:u w:val="single"/>
          <w:lang w:eastAsia="zh-CN"/>
        </w:rPr>
        <w:t>（</w:t>
      </w:r>
      <w:r>
        <w:rPr>
          <w:rFonts w:hint="eastAsia" w:ascii="宋体" w:hAnsi="宋体" w:eastAsia="宋体" w:cs="宋体"/>
          <w:b/>
          <w:bCs w:val="0"/>
          <w:sz w:val="24"/>
          <w:szCs w:val="24"/>
          <w:highlight w:val="none"/>
          <w:u w:val="single"/>
          <w:lang w:val="en-US" w:eastAsia="zh-CN"/>
        </w:rPr>
        <w:t>6</w:t>
      </w:r>
      <w:r>
        <w:rPr>
          <w:rFonts w:hint="eastAsia" w:ascii="宋体" w:hAnsi="宋体" w:eastAsia="宋体" w:cs="宋体"/>
          <w:b/>
          <w:bCs w:val="0"/>
          <w:sz w:val="24"/>
          <w:szCs w:val="24"/>
          <w:highlight w:val="none"/>
          <w:u w:val="single"/>
          <w:lang w:eastAsia="zh-CN"/>
        </w:rPr>
        <w:t>）</w:t>
      </w:r>
      <w:r>
        <w:rPr>
          <w:rFonts w:hint="eastAsia" w:ascii="宋体" w:hAnsi="宋体" w:eastAsia="宋体" w:cs="宋体"/>
          <w:b/>
          <w:bCs w:val="0"/>
          <w:sz w:val="24"/>
          <w:szCs w:val="24"/>
          <w:highlight w:val="none"/>
          <w:u w:val="single"/>
        </w:rPr>
        <w:t>危险性较大的分部分项工程清单及超过一定规模的危险性较大的分部分项工程清单。（按本招标文件第四章“投标文件格式”格式四）</w:t>
      </w:r>
      <w:r>
        <w:rPr>
          <w:rFonts w:hint="eastAsia" w:ascii="宋体" w:hAnsi="宋体"/>
          <w:color w:val="auto"/>
          <w:sz w:val="24"/>
          <w:highlight w:val="none"/>
          <w:u w:val="single"/>
        </w:rPr>
        <w:t>。</w:t>
      </w:r>
    </w:p>
    <w:p w14:paraId="2BAC28A7">
      <w:pPr>
        <w:spacing w:line="360" w:lineRule="auto"/>
        <w:ind w:firstLine="480" w:firstLineChars="200"/>
        <w:rPr>
          <w:rFonts w:ascii="宋体"/>
          <w:bCs/>
          <w:color w:val="auto"/>
          <w:sz w:val="24"/>
          <w:highlight w:val="none"/>
          <w:u w:val="single"/>
        </w:rPr>
      </w:pPr>
      <w:r>
        <w:rPr>
          <w:rFonts w:ascii="宋体" w:hAnsi="宋体"/>
          <w:bCs/>
          <w:color w:val="auto"/>
          <w:sz w:val="24"/>
          <w:highlight w:val="none"/>
          <w:u w:val="single"/>
        </w:rPr>
        <w:t xml:space="preserve">11.3 </w:t>
      </w:r>
      <w:r>
        <w:rPr>
          <w:rFonts w:hint="eastAsia" w:ascii="宋体" w:hAnsi="宋体"/>
          <w:bCs/>
          <w:color w:val="auto"/>
          <w:sz w:val="24"/>
          <w:highlight w:val="none"/>
          <w:u w:val="single"/>
        </w:rPr>
        <w:t>经济部分投标文件主要包括下列内容：</w:t>
      </w:r>
    </w:p>
    <w:p w14:paraId="4D25B5C9">
      <w:pPr>
        <w:spacing w:line="360" w:lineRule="auto"/>
        <w:ind w:firstLine="480" w:firstLineChars="200"/>
        <w:rPr>
          <w:rFonts w:ascii="宋体"/>
          <w:color w:val="auto"/>
          <w:sz w:val="24"/>
          <w:highlight w:val="none"/>
          <w:u w:val="single"/>
        </w:rPr>
      </w:pPr>
      <w:r>
        <w:rPr>
          <w:rFonts w:ascii="宋体" w:hAnsi="宋体"/>
          <w:color w:val="auto"/>
          <w:sz w:val="24"/>
          <w:highlight w:val="none"/>
          <w:u w:val="single"/>
        </w:rPr>
        <w:t xml:space="preserve">11.3.1 </w:t>
      </w:r>
      <w:r>
        <w:rPr>
          <w:rFonts w:hint="eastAsia" w:ascii="宋体" w:hAnsi="宋体"/>
          <w:color w:val="auto"/>
          <w:sz w:val="24"/>
          <w:highlight w:val="none"/>
          <w:u w:val="single"/>
        </w:rPr>
        <w:t>经济投标文件</w:t>
      </w:r>
    </w:p>
    <w:p w14:paraId="78133599">
      <w:pPr>
        <w:spacing w:line="360" w:lineRule="auto"/>
        <w:ind w:firstLine="480" w:firstLineChars="200"/>
        <w:rPr>
          <w:rFonts w:ascii="宋体"/>
          <w:color w:val="auto"/>
          <w:sz w:val="24"/>
          <w:highlight w:val="none"/>
          <w:u w:val="single"/>
        </w:rPr>
      </w:pPr>
      <w:r>
        <w:rPr>
          <w:rFonts w:ascii="宋体" w:hAnsi="宋体"/>
          <w:color w:val="auto"/>
          <w:sz w:val="24"/>
          <w:highlight w:val="none"/>
          <w:u w:val="single"/>
        </w:rPr>
        <w:t>11.3.2</w:t>
      </w:r>
      <w:r>
        <w:rPr>
          <w:rFonts w:hint="eastAsia" w:ascii="宋体" w:hAnsi="宋体"/>
          <w:color w:val="auto"/>
          <w:sz w:val="24"/>
          <w:highlight w:val="none"/>
          <w:u w:val="single"/>
        </w:rPr>
        <w:t>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w:t>
      </w:r>
      <w:r>
        <w:rPr>
          <w:rFonts w:hint="eastAsia" w:ascii="宋体" w:hAnsi="宋体" w:cs="宋体"/>
          <w:b/>
          <w:bCs/>
          <w:sz w:val="24"/>
          <w:szCs w:val="24"/>
          <w:highlight w:val="none"/>
          <w:u w:val="single"/>
        </w:rPr>
        <w:t>（具体内容详见第七章工程量清单）。</w:t>
      </w:r>
    </w:p>
    <w:p w14:paraId="771D37CA">
      <w:pPr>
        <w:tabs>
          <w:tab w:val="left" w:pos="1125"/>
        </w:tabs>
        <w:spacing w:line="360" w:lineRule="auto"/>
        <w:ind w:firstLine="480" w:firstLineChars="200"/>
        <w:rPr>
          <w:rFonts w:ascii="宋体" w:hAnsi="宋体"/>
          <w:color w:val="auto"/>
          <w:sz w:val="24"/>
          <w:highlight w:val="none"/>
          <w:u w:val="single"/>
        </w:rPr>
      </w:pPr>
      <w:r>
        <w:rPr>
          <w:rFonts w:ascii="宋体" w:hAnsi="宋体"/>
          <w:color w:val="auto"/>
          <w:sz w:val="24"/>
          <w:highlight w:val="none"/>
          <w:u w:val="single"/>
        </w:rPr>
        <w:t>11.3.</w:t>
      </w:r>
      <w:r>
        <w:rPr>
          <w:rFonts w:hint="eastAsia" w:ascii="宋体" w:hAnsi="宋体"/>
          <w:color w:val="auto"/>
          <w:sz w:val="24"/>
          <w:highlight w:val="none"/>
          <w:u w:val="single"/>
        </w:rPr>
        <w:t>3按照</w:t>
      </w:r>
      <w:r>
        <w:rPr>
          <w:rFonts w:hint="eastAsia" w:ascii="宋体" w:hAnsi="宋体"/>
          <w:bCs/>
          <w:color w:val="auto"/>
          <w:sz w:val="24"/>
          <w:highlight w:val="none"/>
          <w:u w:val="single"/>
        </w:rPr>
        <w:t>招标文件要求</w:t>
      </w:r>
      <w:r>
        <w:rPr>
          <w:rFonts w:hint="eastAsia" w:ascii="宋体" w:hAnsi="宋体"/>
          <w:color w:val="auto"/>
          <w:sz w:val="24"/>
          <w:highlight w:val="none"/>
          <w:u w:val="single"/>
        </w:rPr>
        <w:t>填写的《参与编制经济标投标文件人员名单》。</w:t>
      </w:r>
      <w:r>
        <w:rPr>
          <w:rFonts w:hint="eastAsia" w:ascii="宋体" w:hAnsi="宋体" w:cs="宋体"/>
          <w:b/>
          <w:bCs/>
          <w:sz w:val="24"/>
          <w:szCs w:val="24"/>
          <w:highlight w:val="none"/>
          <w:u w:val="single"/>
        </w:rPr>
        <w:t>（按本招标文件第四章“投标文件格式”格式八）</w:t>
      </w:r>
    </w:p>
    <w:p w14:paraId="49F65C43">
      <w:pPr>
        <w:tabs>
          <w:tab w:val="left" w:pos="1125"/>
        </w:tabs>
        <w:spacing w:line="360" w:lineRule="auto"/>
        <w:ind w:firstLine="480" w:firstLineChars="200"/>
        <w:rPr>
          <w:rFonts w:hint="eastAsia" w:ascii="宋体" w:hAnsi="宋体"/>
          <w:strike/>
          <w:color w:val="auto"/>
          <w:sz w:val="24"/>
          <w:highlight w:val="none"/>
          <w:u w:val="single"/>
        </w:rPr>
      </w:pPr>
      <w:r>
        <w:rPr>
          <w:rFonts w:hint="eastAsia" w:ascii="宋体" w:hAnsi="宋体"/>
          <w:strike/>
          <w:color w:val="auto"/>
          <w:sz w:val="24"/>
          <w:highlight w:val="none"/>
          <w:u w:val="single"/>
        </w:rPr>
        <w:t>11.3.4若投标人的投标报价低于工程成本警</w:t>
      </w:r>
      <w:r>
        <w:rPr>
          <w:rFonts w:hint="eastAsia" w:ascii="宋体" w:hAnsi="宋体"/>
          <w:strike/>
          <w:color w:val="auto"/>
          <w:sz w:val="24"/>
          <w:highlight w:val="none"/>
          <w:u w:val="single"/>
          <w:lang w:eastAsia="zh-CN"/>
        </w:rPr>
        <w:t>示</w:t>
      </w:r>
      <w:r>
        <w:rPr>
          <w:rFonts w:hint="eastAsia" w:ascii="宋体" w:hAnsi="宋体"/>
          <w:strike/>
          <w:color w:val="auto"/>
          <w:sz w:val="24"/>
          <w:highlight w:val="none"/>
          <w:u w:val="single"/>
        </w:rPr>
        <w:t>价的，投标人还须提供详细的施工组织设计、单价、措施性费用、单价分析表、主要材料价格表、投标人成本分析供评标委员会评审。</w:t>
      </w:r>
    </w:p>
    <w:p w14:paraId="4FCD52E2">
      <w:pPr>
        <w:tabs>
          <w:tab w:val="left" w:pos="1125"/>
        </w:tabs>
        <w:spacing w:line="360" w:lineRule="auto"/>
        <w:ind w:firstLine="482" w:firstLineChars="200"/>
        <w:rPr>
          <w:rFonts w:ascii="宋体" w:hAnsi="宋体"/>
          <w:color w:val="auto"/>
          <w:sz w:val="24"/>
          <w:highlight w:val="none"/>
          <w:u w:val="single"/>
        </w:rPr>
      </w:pPr>
      <w:r>
        <w:rPr>
          <w:rFonts w:hint="eastAsia" w:ascii="宋体" w:hAnsi="宋体"/>
          <w:b/>
          <w:bCs/>
          <w:color w:val="auto"/>
          <w:sz w:val="24"/>
          <w:highlight w:val="none"/>
          <w:u w:val="single"/>
        </w:rPr>
        <w:t>11.3.4对投标文件编制的承诺。（按本招标文件第四章“投标文件格式”格式九）</w:t>
      </w:r>
    </w:p>
    <w:p w14:paraId="120BA87A">
      <w:pPr>
        <w:pStyle w:val="4"/>
        <w:spacing w:after="0" w:line="360" w:lineRule="auto"/>
        <w:ind w:firstLine="482" w:firstLineChars="200"/>
        <w:rPr>
          <w:rFonts w:ascii="宋体"/>
          <w:b/>
          <w:bCs/>
          <w:color w:val="auto"/>
          <w:sz w:val="24"/>
          <w:highlight w:val="none"/>
        </w:rPr>
      </w:pPr>
      <w:r>
        <w:rPr>
          <w:rFonts w:ascii="宋体" w:hAnsi="宋体"/>
          <w:b/>
          <w:bCs/>
          <w:color w:val="auto"/>
          <w:sz w:val="24"/>
          <w:highlight w:val="none"/>
        </w:rPr>
        <w:t>12</w:t>
      </w:r>
      <w:r>
        <w:rPr>
          <w:rFonts w:hint="eastAsia" w:ascii="宋体" w:hAnsi="宋体"/>
          <w:b/>
          <w:bCs/>
          <w:color w:val="auto"/>
          <w:sz w:val="24"/>
          <w:highlight w:val="none"/>
        </w:rPr>
        <w:t>．投标文件格式</w:t>
      </w:r>
    </w:p>
    <w:p w14:paraId="70E371C2">
      <w:pPr>
        <w:pStyle w:val="4"/>
        <w:spacing w:after="0" w:line="360" w:lineRule="auto"/>
        <w:ind w:firstLine="480" w:firstLineChars="200"/>
        <w:rPr>
          <w:rFonts w:ascii="宋体" w:hAnsi="宋体"/>
          <w:color w:val="auto"/>
          <w:sz w:val="24"/>
          <w:highlight w:val="none"/>
        </w:rPr>
      </w:pPr>
      <w:r>
        <w:rPr>
          <w:rFonts w:ascii="宋体" w:hAnsi="宋体"/>
          <w:color w:val="auto"/>
          <w:sz w:val="24"/>
          <w:highlight w:val="none"/>
        </w:rPr>
        <w:t xml:space="preserve">12.1 </w:t>
      </w:r>
      <w:r>
        <w:rPr>
          <w:rFonts w:hint="eastAsia" w:ascii="宋体" w:hAnsi="宋体"/>
          <w:color w:val="auto"/>
          <w:sz w:val="24"/>
          <w:highlight w:val="none"/>
        </w:rPr>
        <w:t>投标文件包括本须知第</w:t>
      </w:r>
      <w:r>
        <w:rPr>
          <w:rFonts w:ascii="宋体" w:hAnsi="宋体"/>
          <w:color w:val="auto"/>
          <w:sz w:val="24"/>
          <w:highlight w:val="none"/>
        </w:rPr>
        <w:t>11</w:t>
      </w:r>
      <w:r>
        <w:rPr>
          <w:rFonts w:hint="eastAsia" w:ascii="宋体" w:hAnsi="宋体"/>
          <w:color w:val="auto"/>
          <w:sz w:val="24"/>
          <w:highlight w:val="none"/>
        </w:rPr>
        <w:t>条中规定的内容，投标人提交的投标文件应当使用招标文件所提供的投标文件全部格式（表格可以按同样格式扩展）。</w:t>
      </w:r>
    </w:p>
    <w:p w14:paraId="0D56F135">
      <w:pPr>
        <w:pStyle w:val="4"/>
        <w:spacing w:after="0" w:line="360" w:lineRule="auto"/>
        <w:ind w:firstLine="480" w:firstLineChars="200"/>
        <w:rPr>
          <w:rFonts w:ascii="宋体" w:hAnsi="宋体"/>
          <w:color w:val="auto"/>
          <w:sz w:val="24"/>
          <w:highlight w:val="none"/>
        </w:rPr>
      </w:pPr>
      <w:r>
        <w:rPr>
          <w:rFonts w:hint="eastAsia" w:ascii="宋体" w:hAnsi="宋体"/>
          <w:color w:val="auto"/>
          <w:sz w:val="24"/>
          <w:highlight w:val="none"/>
        </w:rPr>
        <w:t>12.2 投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w:t>
      </w:r>
      <w:r>
        <w:rPr>
          <w:rFonts w:hint="eastAsia"/>
          <w:color w:val="auto"/>
          <w:sz w:val="24"/>
          <w:szCs w:val="24"/>
          <w:highlight w:val="none"/>
        </w:rPr>
        <w:t>全流程电子化项目的相关指南进行操作。详见：</w:t>
      </w:r>
      <w:r>
        <w:rPr>
          <w:rFonts w:hint="eastAsia" w:ascii="宋体" w:hAnsi="宋体" w:cs="宋体"/>
          <w:b/>
          <w:bCs/>
          <w:kern w:val="0"/>
          <w:sz w:val="24"/>
          <w:szCs w:val="24"/>
          <w:highlight w:val="none"/>
          <w:u w:val="single"/>
        </w:rPr>
        <w:t>广州交易集团有限公司（广州公共资源交易中心）网站</w:t>
      </w:r>
      <w:r>
        <w:rPr>
          <w:rFonts w:hint="eastAsia"/>
          <w:color w:val="auto"/>
          <w:sz w:val="24"/>
          <w:szCs w:val="24"/>
          <w:highlight w:val="none"/>
        </w:rPr>
        <w:t>。</w:t>
      </w:r>
    </w:p>
    <w:p w14:paraId="178FB865">
      <w:pPr>
        <w:pStyle w:val="4"/>
        <w:spacing w:after="0"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 xml:space="preserve">12.3 </w:t>
      </w:r>
      <w:r>
        <w:rPr>
          <w:rFonts w:hint="eastAsia" w:ascii="宋体" w:hAnsi="宋体"/>
          <w:bCs/>
          <w:color w:val="auto"/>
          <w:sz w:val="24"/>
          <w:szCs w:val="24"/>
          <w:highlight w:val="none"/>
        </w:rPr>
        <w:t>投标文件应按</w:t>
      </w:r>
      <w:r>
        <w:rPr>
          <w:rFonts w:hint="eastAsia" w:ascii="宋体" w:hAnsi="宋体"/>
          <w:color w:val="auto"/>
          <w:sz w:val="24"/>
          <w:highlight w:val="none"/>
        </w:rPr>
        <w:t>照交易平台关于全流程电子化项目的相关指南进行编制，详见：</w:t>
      </w:r>
      <w:r>
        <w:rPr>
          <w:rFonts w:hint="eastAsia" w:ascii="宋体" w:hAnsi="宋体" w:cs="宋体"/>
          <w:b/>
          <w:bCs/>
          <w:kern w:val="0"/>
          <w:sz w:val="24"/>
          <w:szCs w:val="24"/>
          <w:highlight w:val="none"/>
          <w:u w:val="single"/>
        </w:rPr>
        <w:t>广州交易集团有限公司（广州公共资源交易中心）网站</w:t>
      </w:r>
      <w:r>
        <w:rPr>
          <w:rFonts w:hint="eastAsia" w:ascii="宋体" w:hAnsi="宋体"/>
          <w:color w:val="auto"/>
          <w:sz w:val="24"/>
          <w:highlight w:val="none"/>
        </w:rPr>
        <w:t>。</w:t>
      </w:r>
    </w:p>
    <w:p w14:paraId="555987A3">
      <w:pPr>
        <w:pStyle w:val="4"/>
        <w:spacing w:after="0" w:line="360" w:lineRule="auto"/>
        <w:ind w:firstLine="480" w:firstLineChars="200"/>
        <w:rPr>
          <w:rFonts w:ascii="宋体" w:hAnsi="宋体"/>
          <w:color w:val="auto"/>
          <w:sz w:val="24"/>
          <w:highlight w:val="none"/>
        </w:rPr>
      </w:pPr>
      <w:r>
        <w:rPr>
          <w:rFonts w:hint="eastAsia" w:ascii="宋体" w:hAnsi="宋体"/>
          <w:bCs/>
          <w:color w:val="auto"/>
          <w:sz w:val="24"/>
          <w:szCs w:val="24"/>
          <w:highlight w:val="none"/>
        </w:rPr>
        <w:t>如不按上述要求编制引起系统无法检索、读取相关信息的，其后果由投标人承担。</w:t>
      </w:r>
    </w:p>
    <w:p w14:paraId="7C796E74">
      <w:pPr>
        <w:pStyle w:val="4"/>
        <w:spacing w:after="0" w:line="360" w:lineRule="auto"/>
        <w:ind w:firstLine="482" w:firstLineChars="200"/>
        <w:rPr>
          <w:rFonts w:ascii="宋体"/>
          <w:b/>
          <w:bCs/>
          <w:color w:val="auto"/>
          <w:sz w:val="24"/>
          <w:highlight w:val="none"/>
        </w:rPr>
      </w:pPr>
      <w:r>
        <w:rPr>
          <w:rFonts w:ascii="宋体" w:hAnsi="宋体"/>
          <w:b/>
          <w:bCs/>
          <w:color w:val="auto"/>
          <w:sz w:val="24"/>
          <w:highlight w:val="none"/>
        </w:rPr>
        <w:t>13</w:t>
      </w:r>
      <w:r>
        <w:rPr>
          <w:rFonts w:hint="eastAsia" w:ascii="宋体" w:hAnsi="宋体"/>
          <w:b/>
          <w:bCs/>
          <w:color w:val="auto"/>
          <w:sz w:val="24"/>
          <w:highlight w:val="none"/>
        </w:rPr>
        <w:t>．投标报价及造价承包和变更结算方式</w:t>
      </w:r>
    </w:p>
    <w:p w14:paraId="3FB66C49">
      <w:pPr>
        <w:pStyle w:val="4"/>
        <w:spacing w:after="0" w:line="360" w:lineRule="auto"/>
        <w:ind w:firstLine="480" w:firstLineChars="200"/>
        <w:rPr>
          <w:rFonts w:ascii="宋体"/>
          <w:color w:val="auto"/>
          <w:sz w:val="24"/>
          <w:highlight w:val="none"/>
        </w:rPr>
      </w:pPr>
      <w:r>
        <w:rPr>
          <w:rFonts w:ascii="宋体" w:hAnsi="宋体"/>
          <w:color w:val="auto"/>
          <w:sz w:val="24"/>
          <w:highlight w:val="none"/>
        </w:rPr>
        <w:t xml:space="preserve">13.1 </w:t>
      </w:r>
      <w:r>
        <w:rPr>
          <w:rFonts w:hint="eastAsia" w:ascii="宋体" w:hAnsi="宋体"/>
          <w:color w:val="auto"/>
          <w:sz w:val="24"/>
          <w:highlight w:val="none"/>
        </w:rPr>
        <w:t>本工程的投标报价采用投标须知前附表第</w:t>
      </w:r>
      <w:r>
        <w:rPr>
          <w:rFonts w:ascii="宋体" w:hAnsi="宋体"/>
          <w:color w:val="auto"/>
          <w:sz w:val="24"/>
          <w:highlight w:val="none"/>
        </w:rPr>
        <w:t>1</w:t>
      </w:r>
      <w:r>
        <w:rPr>
          <w:rFonts w:hint="eastAsia" w:ascii="宋体" w:hAnsi="宋体"/>
          <w:color w:val="auto"/>
          <w:sz w:val="24"/>
          <w:highlight w:val="none"/>
          <w:lang w:val="en-US" w:eastAsia="zh-CN"/>
        </w:rPr>
        <w:t>4</w:t>
      </w:r>
      <w:r>
        <w:rPr>
          <w:rFonts w:hint="eastAsia" w:ascii="宋体" w:hAnsi="宋体"/>
          <w:color w:val="auto"/>
          <w:sz w:val="24"/>
          <w:highlight w:val="none"/>
        </w:rPr>
        <w:t>项所规定的方式。投标报价（含单价及总价）精确到“分”。</w:t>
      </w:r>
    </w:p>
    <w:p w14:paraId="18448741">
      <w:pPr>
        <w:pStyle w:val="4"/>
        <w:spacing w:after="0" w:line="360" w:lineRule="auto"/>
        <w:ind w:firstLine="480" w:firstLineChars="200"/>
        <w:rPr>
          <w:rFonts w:ascii="宋体"/>
          <w:color w:val="auto"/>
          <w:sz w:val="24"/>
          <w:highlight w:val="none"/>
        </w:rPr>
      </w:pPr>
      <w:r>
        <w:rPr>
          <w:rFonts w:ascii="宋体" w:hAnsi="宋体"/>
          <w:color w:val="auto"/>
          <w:sz w:val="24"/>
          <w:highlight w:val="none"/>
        </w:rPr>
        <w:t>13.2</w:t>
      </w:r>
      <w:r>
        <w:rPr>
          <w:rFonts w:hint="eastAsia" w:ascii="宋体" w:hAnsi="宋体"/>
          <w:color w:val="auto"/>
          <w:sz w:val="24"/>
          <w:highlight w:val="none"/>
        </w:rPr>
        <w:t>招标人按照招标图纸制定招标工程量清单，该清单载于本招标文件第七章中，投标人按照招标人提供的招标工程量清单中列出的工程项目和工程量填报单价和合价，每一项目只允许有一个报价，任何有选择的报价将不予接受。投标人未填报单价或合价的工程项目，视为此项费用已包含在已标价工程量清单中其他项目的单价和合价之中，在实施后，此项目不得重新组价予以调整，招标人将不予支付。</w:t>
      </w:r>
    </w:p>
    <w:p w14:paraId="66DD52DB">
      <w:pPr>
        <w:pStyle w:val="4"/>
        <w:spacing w:after="0" w:line="360" w:lineRule="auto"/>
        <w:ind w:firstLine="480" w:firstLineChars="200"/>
        <w:rPr>
          <w:rFonts w:ascii="宋体"/>
          <w:color w:val="auto"/>
          <w:sz w:val="24"/>
          <w:highlight w:val="none"/>
        </w:rPr>
      </w:pPr>
      <w:r>
        <w:rPr>
          <w:rFonts w:ascii="宋体" w:hAnsi="宋体"/>
          <w:color w:val="auto"/>
          <w:sz w:val="24"/>
          <w:highlight w:val="none"/>
        </w:rPr>
        <w:t>13.3</w:t>
      </w:r>
      <w:r>
        <w:rPr>
          <w:rFonts w:hint="eastAsia" w:ascii="宋体" w:hAnsi="宋体"/>
          <w:color w:val="auto"/>
          <w:sz w:val="24"/>
          <w:highlight w:val="none"/>
        </w:rPr>
        <w:t>投标人的投标报价，应是按照投标须知前附表第</w:t>
      </w:r>
      <w:r>
        <w:rPr>
          <w:rFonts w:ascii="宋体" w:hAnsi="宋体"/>
          <w:color w:val="auto"/>
          <w:sz w:val="24"/>
          <w:highlight w:val="none"/>
        </w:rPr>
        <w:t>8</w:t>
      </w:r>
      <w:r>
        <w:rPr>
          <w:rFonts w:hint="eastAsia" w:ascii="宋体" w:hAnsi="宋体"/>
          <w:color w:val="auto"/>
          <w:sz w:val="24"/>
          <w:highlight w:val="none"/>
        </w:rPr>
        <w:t>项的工期要求，在投标须知前附表第</w:t>
      </w:r>
      <w:r>
        <w:rPr>
          <w:rFonts w:ascii="宋体" w:hAnsi="宋体"/>
          <w:color w:val="auto"/>
          <w:sz w:val="24"/>
          <w:highlight w:val="none"/>
        </w:rPr>
        <w:t>3</w:t>
      </w:r>
      <w:r>
        <w:rPr>
          <w:rFonts w:hint="eastAsia" w:ascii="宋体" w:hAnsi="宋体"/>
          <w:color w:val="auto"/>
          <w:sz w:val="24"/>
          <w:highlight w:val="none"/>
        </w:rPr>
        <w:t>项的建设地点，完成投标须知前附表第</w:t>
      </w:r>
      <w:r>
        <w:rPr>
          <w:rFonts w:ascii="宋体" w:hAnsi="宋体"/>
          <w:color w:val="auto"/>
          <w:sz w:val="24"/>
          <w:highlight w:val="none"/>
        </w:rPr>
        <w:t>7</w:t>
      </w:r>
      <w:r>
        <w:rPr>
          <w:rFonts w:hint="eastAsia" w:ascii="宋体" w:hAnsi="宋体"/>
          <w:color w:val="auto"/>
          <w:sz w:val="24"/>
          <w:highlight w:val="none"/>
        </w:rPr>
        <w:t>项的招标范围内已由招标人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w:t>
      </w:r>
      <w:r>
        <w:rPr>
          <w:rFonts w:hint="eastAsia" w:ascii="宋体" w:hAnsi="宋体"/>
          <w:color w:val="auto"/>
          <w:sz w:val="24"/>
          <w:szCs w:val="24"/>
          <w:highlight w:val="none"/>
        </w:rPr>
        <w:t>中有关规费、暂列金额、暂估价、绿色施工安全防护措施费等非竞争性项目明列了单价或合价的金额的，投标人应按照明列的单价或合价的金额报价，未按照规定金额报价的，由评标委员会按照招标文件规定的金额进行修正。</w:t>
      </w:r>
    </w:p>
    <w:p w14:paraId="1D8DF6C0">
      <w:pPr>
        <w:pStyle w:val="4"/>
        <w:spacing w:after="0" w:line="360" w:lineRule="auto"/>
        <w:ind w:firstLine="480" w:firstLineChars="200"/>
        <w:rPr>
          <w:rFonts w:ascii="宋体"/>
          <w:color w:val="auto"/>
          <w:sz w:val="24"/>
          <w:highlight w:val="none"/>
        </w:rPr>
      </w:pPr>
      <w:r>
        <w:rPr>
          <w:rFonts w:ascii="宋体" w:hAnsi="宋体"/>
          <w:color w:val="auto"/>
          <w:sz w:val="24"/>
          <w:highlight w:val="none"/>
        </w:rPr>
        <w:t>13.4</w:t>
      </w:r>
      <w:r>
        <w:rPr>
          <w:rFonts w:hint="eastAsia" w:ascii="宋体" w:hAnsi="宋体"/>
          <w:color w:val="auto"/>
          <w:sz w:val="24"/>
          <w:highlight w:val="none"/>
        </w:rPr>
        <w:t>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p>
    <w:p w14:paraId="41402994">
      <w:pPr>
        <w:pStyle w:val="4"/>
        <w:spacing w:after="0" w:line="360" w:lineRule="auto"/>
        <w:ind w:firstLine="480" w:firstLineChars="200"/>
        <w:rPr>
          <w:rFonts w:ascii="宋体"/>
          <w:color w:val="auto"/>
          <w:sz w:val="24"/>
          <w:highlight w:val="none"/>
        </w:rPr>
      </w:pPr>
      <w:r>
        <w:rPr>
          <w:rFonts w:ascii="宋体" w:hAnsi="宋体"/>
          <w:color w:val="auto"/>
          <w:sz w:val="24"/>
          <w:highlight w:val="none"/>
        </w:rPr>
        <w:t>13.5</w:t>
      </w:r>
      <w:r>
        <w:rPr>
          <w:rFonts w:hint="eastAsia" w:ascii="宋体" w:hAnsi="宋体"/>
          <w:color w:val="auto"/>
          <w:sz w:val="24"/>
          <w:highlight w:val="none"/>
        </w:rPr>
        <w:t>工程项目实施期间和结算时，招标文件工程量清单中漏列而由监理单位和招标人现场签证确认的工程项目、原设计没有而由招标人批准设计变更产生的工程项目，视为新增项目，按以下顺序确定价格：</w:t>
      </w:r>
    </w:p>
    <w:p w14:paraId="02330F2E">
      <w:pPr>
        <w:pStyle w:val="4"/>
        <w:spacing w:after="0" w:line="360" w:lineRule="auto"/>
        <w:ind w:firstLine="480" w:firstLineChars="200"/>
        <w:rPr>
          <w:rFonts w:ascii="宋体"/>
          <w:color w:val="auto"/>
          <w:sz w:val="24"/>
          <w:highlight w:val="none"/>
        </w:rPr>
      </w:pPr>
      <w:r>
        <w:rPr>
          <w:rFonts w:ascii="宋体" w:hAnsi="宋体"/>
          <w:color w:val="auto"/>
          <w:sz w:val="24"/>
          <w:highlight w:val="none"/>
        </w:rPr>
        <w:t>13.5.1</w:t>
      </w:r>
      <w:r>
        <w:rPr>
          <w:rFonts w:hint="eastAsia" w:ascii="宋体" w:hAnsi="宋体"/>
          <w:color w:val="auto"/>
          <w:sz w:val="24"/>
          <w:highlight w:val="none"/>
        </w:rPr>
        <w:t>中标的投标文件工程量清单中已有相同项目的适用综合单价，则沿用；</w:t>
      </w:r>
    </w:p>
    <w:p w14:paraId="7951CEA3">
      <w:pPr>
        <w:pStyle w:val="4"/>
        <w:spacing w:after="0" w:line="360" w:lineRule="auto"/>
        <w:ind w:firstLine="480" w:firstLineChars="200"/>
        <w:rPr>
          <w:rFonts w:ascii="宋体"/>
          <w:color w:val="auto"/>
          <w:sz w:val="24"/>
          <w:highlight w:val="none"/>
        </w:rPr>
      </w:pPr>
      <w:r>
        <w:rPr>
          <w:rFonts w:ascii="宋体" w:hAnsi="宋体"/>
          <w:color w:val="auto"/>
          <w:sz w:val="24"/>
          <w:highlight w:val="none"/>
        </w:rPr>
        <w:t>13.5.2</w:t>
      </w:r>
      <w:r>
        <w:rPr>
          <w:rFonts w:hint="eastAsia" w:ascii="宋体" w:hAnsi="宋体"/>
          <w:color w:val="auto"/>
          <w:sz w:val="24"/>
          <w:highlight w:val="none"/>
        </w:rPr>
        <w:t>中标的投标文件工程量清单中已有类似项目的综合单价，则按类似项目的综合单价对相应子目、消耗量、单价等进行调整换算，原管理费、利润水平不变。如中标的投标文件工程量清单中类似项目的综合单价有两个以上，则由招标人按消耗量最少、管理费和利润取费最低的优先顺序选择类似项目综合单价进行换算。如换算时出现类似项目中没有的材料单价，按广州市造价管理站同期《广州地区建设工程常用材料税前综合价格》计算，《广州地区建设工程常用材料税前综合价格》没有的材料单价，由招标人在招标文件中依法确定计价方式。</w:t>
      </w:r>
    </w:p>
    <w:p w14:paraId="567C07DB">
      <w:pPr>
        <w:pStyle w:val="4"/>
        <w:spacing w:after="0" w:line="360" w:lineRule="auto"/>
        <w:ind w:firstLine="480" w:firstLineChars="200"/>
        <w:rPr>
          <w:rFonts w:ascii="宋体"/>
          <w:color w:val="auto"/>
          <w:sz w:val="24"/>
          <w:highlight w:val="none"/>
        </w:rPr>
      </w:pPr>
      <w:r>
        <w:rPr>
          <w:rFonts w:ascii="宋体" w:hAnsi="宋体"/>
          <w:color w:val="auto"/>
          <w:sz w:val="24"/>
          <w:highlight w:val="none"/>
        </w:rPr>
        <w:t xml:space="preserve">13.5.3 </w:t>
      </w:r>
      <w:r>
        <w:rPr>
          <w:rFonts w:hint="eastAsia" w:ascii="宋体" w:hAnsi="宋体"/>
          <w:color w:val="auto"/>
          <w:sz w:val="24"/>
          <w:highlight w:val="none"/>
        </w:rPr>
        <w:t>中标的投标文件工程量清单中没有相同项目或类似项目的，如可套取相关定额，则以相关定额为基数下浮计算单价</w:t>
      </w:r>
      <w:r>
        <w:rPr>
          <w:rFonts w:ascii="宋体"/>
          <w:color w:val="auto"/>
          <w:sz w:val="24"/>
          <w:highlight w:val="none"/>
        </w:rPr>
        <w:t>,</w:t>
      </w:r>
      <w:r>
        <w:rPr>
          <w:rFonts w:hint="eastAsia" w:ascii="宋体" w:hAnsi="宋体"/>
          <w:color w:val="auto"/>
          <w:sz w:val="24"/>
          <w:highlight w:val="none"/>
        </w:rPr>
        <w:t>下浮率为中标价</w:t>
      </w:r>
      <w:r>
        <w:rPr>
          <w:rFonts w:hint="eastAsia" w:ascii="宋体" w:hAnsi="宋体"/>
          <w:color w:val="auto"/>
          <w:sz w:val="24"/>
          <w:szCs w:val="24"/>
          <w:highlight w:val="none"/>
        </w:rPr>
        <w:t>相对于最高投标限价的下</w:t>
      </w:r>
      <w:r>
        <w:rPr>
          <w:rFonts w:hint="eastAsia" w:ascii="宋体" w:hAnsi="宋体"/>
          <w:color w:val="auto"/>
          <w:sz w:val="24"/>
          <w:highlight w:val="none"/>
        </w:rPr>
        <w:t>浮率（下浮率</w:t>
      </w:r>
      <w:r>
        <w:rPr>
          <w:rFonts w:ascii="宋体" w:hAnsi="宋体"/>
          <w:color w:val="auto"/>
          <w:sz w:val="24"/>
          <w:highlight w:val="none"/>
        </w:rPr>
        <w:t>=(</w:t>
      </w:r>
      <w:r>
        <w:rPr>
          <w:rFonts w:hint="eastAsia" w:ascii="宋体" w:hAnsi="宋体"/>
          <w:color w:val="auto"/>
          <w:sz w:val="24"/>
          <w:szCs w:val="24"/>
          <w:highlight w:val="none"/>
        </w:rPr>
        <w:t>最高投标限价</w:t>
      </w:r>
      <w:r>
        <w:rPr>
          <w:rFonts w:ascii="宋体"/>
          <w:color w:val="auto"/>
          <w:sz w:val="24"/>
          <w:highlight w:val="none"/>
        </w:rPr>
        <w:t>-</w:t>
      </w:r>
      <w:r>
        <w:rPr>
          <w:rFonts w:hint="eastAsia" w:ascii="宋体" w:hAnsi="宋体"/>
          <w:color w:val="auto"/>
          <w:sz w:val="24"/>
          <w:highlight w:val="none"/>
        </w:rPr>
        <w:t>中标价</w:t>
      </w:r>
      <w:r>
        <w:rPr>
          <w:rFonts w:ascii="宋体" w:hAnsi="宋体"/>
          <w:color w:val="auto"/>
          <w:sz w:val="24"/>
          <w:highlight w:val="none"/>
        </w:rPr>
        <w:t>)/</w:t>
      </w:r>
      <w:r>
        <w:rPr>
          <w:rFonts w:ascii="宋体" w:hAnsi="宋体"/>
          <w:color w:val="auto"/>
          <w:sz w:val="24"/>
          <w:szCs w:val="24"/>
          <w:highlight w:val="none"/>
        </w:rPr>
        <w:t xml:space="preserve"> </w:t>
      </w:r>
      <w:r>
        <w:rPr>
          <w:rFonts w:hint="eastAsia" w:ascii="宋体" w:hAnsi="宋体"/>
          <w:color w:val="auto"/>
          <w:sz w:val="24"/>
          <w:szCs w:val="24"/>
          <w:highlight w:val="none"/>
        </w:rPr>
        <w:t>最高投标限价</w:t>
      </w:r>
      <w:r>
        <w:rPr>
          <w:rFonts w:hint="eastAsia" w:ascii="宋体" w:hAnsi="宋体"/>
          <w:color w:val="auto"/>
          <w:sz w:val="24"/>
          <w:highlight w:val="none"/>
        </w:rPr>
        <w:t>）。</w:t>
      </w:r>
    </w:p>
    <w:p w14:paraId="769A4900">
      <w:pPr>
        <w:pStyle w:val="4"/>
        <w:spacing w:after="0" w:line="360" w:lineRule="auto"/>
        <w:ind w:firstLine="480" w:firstLineChars="200"/>
        <w:rPr>
          <w:rFonts w:ascii="宋体"/>
          <w:color w:val="auto"/>
          <w:sz w:val="24"/>
          <w:highlight w:val="none"/>
        </w:rPr>
      </w:pPr>
      <w:r>
        <w:rPr>
          <w:rFonts w:ascii="宋体" w:hAnsi="宋体"/>
          <w:color w:val="auto"/>
          <w:sz w:val="24"/>
          <w:highlight w:val="none"/>
        </w:rPr>
        <w:t xml:space="preserve">13.5.4 </w:t>
      </w:r>
      <w:r>
        <w:rPr>
          <w:rFonts w:hint="eastAsia" w:ascii="宋体" w:hAnsi="宋体"/>
          <w:color w:val="auto"/>
          <w:sz w:val="24"/>
          <w:highlight w:val="none"/>
        </w:rPr>
        <w:t>如相关定额没有相应子目的，其计价方式由招标人在本招标文件第三章中另行规定。未规定的，中标后双方协商约定。</w:t>
      </w:r>
    </w:p>
    <w:p w14:paraId="75F9939B">
      <w:pPr>
        <w:pStyle w:val="4"/>
        <w:spacing w:after="0" w:line="360" w:lineRule="auto"/>
        <w:ind w:firstLine="480" w:firstLineChars="200"/>
        <w:rPr>
          <w:rFonts w:ascii="宋体"/>
          <w:color w:val="auto"/>
          <w:sz w:val="24"/>
          <w:highlight w:val="none"/>
        </w:rPr>
      </w:pPr>
      <w:r>
        <w:rPr>
          <w:rFonts w:ascii="宋体" w:hAnsi="宋体"/>
          <w:color w:val="auto"/>
          <w:sz w:val="24"/>
          <w:highlight w:val="none"/>
        </w:rPr>
        <w:t>13.6</w:t>
      </w:r>
      <w:r>
        <w:rPr>
          <w:rFonts w:hint="eastAsia" w:ascii="宋体" w:hAnsi="宋体"/>
          <w:color w:val="auto"/>
          <w:sz w:val="24"/>
          <w:highlight w:val="none"/>
        </w:rPr>
        <w:t>暂列金额、暂估价</w:t>
      </w:r>
    </w:p>
    <w:p w14:paraId="5E55D558">
      <w:pPr>
        <w:pStyle w:val="4"/>
        <w:spacing w:after="0" w:line="360" w:lineRule="auto"/>
        <w:ind w:firstLine="480" w:firstLineChars="200"/>
        <w:rPr>
          <w:rFonts w:ascii="宋体"/>
          <w:color w:val="auto"/>
          <w:sz w:val="24"/>
          <w:highlight w:val="none"/>
        </w:rPr>
      </w:pPr>
      <w:r>
        <w:rPr>
          <w:rFonts w:ascii="宋体" w:hAnsi="宋体"/>
          <w:color w:val="auto"/>
          <w:sz w:val="24"/>
          <w:highlight w:val="none"/>
        </w:rPr>
        <w:t>13.6.1</w:t>
      </w:r>
      <w:r>
        <w:rPr>
          <w:rFonts w:hint="eastAsia" w:ascii="宋体" w:hAnsi="宋体"/>
          <w:color w:val="auto"/>
          <w:sz w:val="24"/>
          <w:highlight w:val="none"/>
        </w:rPr>
        <w:t>暂列金额指招标人在工程量清单中暂定并包括在合同价款中的一笔款项。用于施工合同签订时尚未确定或者不可预见的所需材料、设备、服务的采购，施工中可能发生的工程量变更、合同约定调整因素出现时的工程价款调整以及发生的索赔、现场签证等费用。</w:t>
      </w:r>
    </w:p>
    <w:p w14:paraId="2B414513">
      <w:pPr>
        <w:pStyle w:val="4"/>
        <w:spacing w:after="0" w:line="360" w:lineRule="auto"/>
        <w:ind w:firstLine="480" w:firstLineChars="200"/>
        <w:rPr>
          <w:rFonts w:ascii="宋体"/>
          <w:color w:val="auto"/>
          <w:sz w:val="24"/>
          <w:highlight w:val="none"/>
        </w:rPr>
      </w:pPr>
      <w:r>
        <w:rPr>
          <w:rFonts w:hint="eastAsia" w:ascii="宋体" w:hAnsi="宋体"/>
          <w:color w:val="auto"/>
          <w:sz w:val="24"/>
          <w:highlight w:val="none"/>
        </w:rPr>
        <w:t>暂估价是指招标人在工程量清单中提供的用于支付必然发生但暂时不能确定价格的材料的单价以及专业工程的金额。</w:t>
      </w:r>
    </w:p>
    <w:p w14:paraId="0C53E537">
      <w:pPr>
        <w:pStyle w:val="4"/>
        <w:spacing w:after="0" w:line="360" w:lineRule="auto"/>
        <w:ind w:firstLine="480" w:firstLineChars="200"/>
        <w:rPr>
          <w:rFonts w:ascii="宋体"/>
          <w:color w:val="auto"/>
          <w:sz w:val="24"/>
          <w:highlight w:val="none"/>
        </w:rPr>
      </w:pPr>
      <w:r>
        <w:rPr>
          <w:rFonts w:ascii="宋体" w:hAnsi="宋体"/>
          <w:color w:val="auto"/>
          <w:sz w:val="24"/>
          <w:highlight w:val="none"/>
        </w:rPr>
        <w:t>13.6.2</w:t>
      </w:r>
      <w:r>
        <w:rPr>
          <w:rFonts w:hint="eastAsia" w:ascii="宋体" w:hAnsi="宋体"/>
          <w:color w:val="auto"/>
          <w:sz w:val="24"/>
          <w:highlight w:val="none"/>
        </w:rPr>
        <w:t>在工程实施中，暂列金额、暂估价所包含的工作范围和图纸、标准深化固定后，按照工程专业、设备、材料类别等分类汇总的金额，达到法定招标范围标准的，应由招标人同中标人联合招标，确定承包人和承包价格。</w:t>
      </w:r>
    </w:p>
    <w:p w14:paraId="1DFFEBF3">
      <w:pPr>
        <w:pStyle w:val="4"/>
        <w:spacing w:after="0" w:line="360" w:lineRule="auto"/>
        <w:ind w:firstLine="480" w:firstLineChars="200"/>
        <w:rPr>
          <w:rFonts w:ascii="宋体"/>
          <w:color w:val="auto"/>
          <w:sz w:val="24"/>
          <w:highlight w:val="none"/>
        </w:rPr>
      </w:pPr>
      <w:r>
        <w:rPr>
          <w:rFonts w:ascii="宋体" w:hAnsi="宋体"/>
          <w:color w:val="auto"/>
          <w:sz w:val="24"/>
          <w:highlight w:val="none"/>
        </w:rPr>
        <w:t>13.6.3</w:t>
      </w:r>
      <w:r>
        <w:rPr>
          <w:rFonts w:hint="eastAsia" w:ascii="宋体" w:hAnsi="宋体"/>
          <w:color w:val="auto"/>
          <w:sz w:val="24"/>
          <w:highlight w:val="none"/>
        </w:rPr>
        <w:t>在工程实施中，暂列金额、暂估价所包含的工作范围和图纸、标准深化固定后，按照工程专业、设备、材料类别等分类汇总的金额，未达到法定招标范围标准但适用政府采购规定的，应按照政府采购规定确定承包人和承包价格。</w:t>
      </w:r>
    </w:p>
    <w:p w14:paraId="3EC7C99A">
      <w:pPr>
        <w:pStyle w:val="4"/>
        <w:spacing w:after="0" w:line="360" w:lineRule="auto"/>
        <w:ind w:firstLine="480" w:firstLineChars="200"/>
        <w:rPr>
          <w:rFonts w:ascii="宋体"/>
          <w:color w:val="auto"/>
          <w:sz w:val="24"/>
          <w:highlight w:val="none"/>
        </w:rPr>
      </w:pPr>
      <w:r>
        <w:rPr>
          <w:rFonts w:ascii="宋体" w:hAnsi="宋体"/>
          <w:color w:val="auto"/>
          <w:sz w:val="24"/>
          <w:highlight w:val="none"/>
        </w:rPr>
        <w:t>13.6.4</w:t>
      </w:r>
      <w:r>
        <w:rPr>
          <w:rFonts w:hint="eastAsia" w:ascii="宋体" w:hAnsi="宋体"/>
          <w:color w:val="auto"/>
          <w:sz w:val="24"/>
          <w:highlight w:val="none"/>
        </w:rPr>
        <w:t>在工程实施中，暂列金额、暂估价所包含的工作范围和图纸、标准深化固定后，按照工程专业、设备、材料类别等分类汇总的金额，未达到法定招标范围标准也不适用政府采购规定，承包人有法定的承包资格的，由承包人承包，承包人无法定的承包资格但有法定的分包权的，由承包人分包，招标人同承包人结算的价格按本投标须知</w:t>
      </w:r>
      <w:r>
        <w:rPr>
          <w:rFonts w:ascii="宋体" w:hAnsi="宋体"/>
          <w:color w:val="auto"/>
          <w:sz w:val="24"/>
          <w:highlight w:val="none"/>
        </w:rPr>
        <w:t>13.5</w:t>
      </w:r>
      <w:r>
        <w:rPr>
          <w:rFonts w:hint="eastAsia" w:ascii="宋体" w:hAnsi="宋体"/>
          <w:color w:val="auto"/>
          <w:sz w:val="24"/>
          <w:highlight w:val="none"/>
        </w:rPr>
        <w:t>款规定确定。</w:t>
      </w:r>
    </w:p>
    <w:p w14:paraId="176C2B56">
      <w:pPr>
        <w:pStyle w:val="4"/>
        <w:spacing w:after="0" w:line="360" w:lineRule="auto"/>
        <w:ind w:firstLine="480" w:firstLineChars="200"/>
        <w:rPr>
          <w:rFonts w:ascii="宋体"/>
          <w:color w:val="auto"/>
          <w:sz w:val="24"/>
          <w:highlight w:val="none"/>
        </w:rPr>
      </w:pPr>
      <w:r>
        <w:rPr>
          <w:rFonts w:ascii="宋体" w:hAnsi="宋体"/>
          <w:color w:val="auto"/>
          <w:sz w:val="24"/>
          <w:highlight w:val="none"/>
        </w:rPr>
        <w:t>13.6.5</w:t>
      </w:r>
      <w:r>
        <w:rPr>
          <w:rFonts w:hint="eastAsia" w:ascii="宋体" w:hAnsi="宋体"/>
          <w:color w:val="auto"/>
          <w:sz w:val="24"/>
          <w:highlight w:val="none"/>
        </w:rPr>
        <w:t>在工程实施中，暂列金额、暂估价所包含的工作范围和图纸、标准深化固定后，按照工程专业、设备、材料类别等分类汇总的金额，未达到法定招标范围标准也不适用政府采购规定，承包人既无法定的承包资格又无法定的分包权的，由招标人另行发包。</w:t>
      </w:r>
    </w:p>
    <w:p w14:paraId="436A22AF">
      <w:pPr>
        <w:pStyle w:val="4"/>
        <w:spacing w:after="0" w:line="360" w:lineRule="auto"/>
        <w:ind w:firstLine="480" w:firstLineChars="200"/>
        <w:rPr>
          <w:rFonts w:ascii="宋体"/>
          <w:color w:val="auto"/>
          <w:sz w:val="24"/>
          <w:highlight w:val="none"/>
        </w:rPr>
      </w:pPr>
      <w:r>
        <w:rPr>
          <w:rFonts w:ascii="宋体" w:hAnsi="宋体"/>
          <w:color w:val="auto"/>
          <w:sz w:val="24"/>
          <w:highlight w:val="none"/>
        </w:rPr>
        <w:t xml:space="preserve">13.6.6 </w:t>
      </w:r>
      <w:r>
        <w:rPr>
          <w:rFonts w:hint="eastAsia" w:ascii="宋体" w:hAnsi="宋体"/>
          <w:color w:val="auto"/>
          <w:sz w:val="24"/>
          <w:highlight w:val="none"/>
        </w:rPr>
        <w:t>在工程实施中，暂列金额、暂估价所包含的工作范围由其他承包人承包的，纳入本项目承包人的管理和协调范围，由其他承包人向本项目承包人承担质量、安全、文明施工、工期责任，本项目承包人向招标人承担责任。投标人应当充分考虑此项管理和协调所发生的费用，并将其纳入招标人提供的工程量清单中的适当项目报价中。招标人将视为此项管理和协调所发生的费用已包含在其它有价款的竞争性报价内，在实施后，招标人将不予支付。</w:t>
      </w:r>
    </w:p>
    <w:p w14:paraId="14958DAB">
      <w:pPr>
        <w:pStyle w:val="4"/>
        <w:spacing w:after="0" w:line="360" w:lineRule="auto"/>
        <w:ind w:firstLine="480" w:firstLineChars="200"/>
        <w:rPr>
          <w:rFonts w:ascii="宋体"/>
          <w:color w:val="auto"/>
          <w:sz w:val="24"/>
          <w:highlight w:val="none"/>
        </w:rPr>
      </w:pPr>
      <w:r>
        <w:rPr>
          <w:rFonts w:ascii="宋体" w:hAnsi="宋体"/>
          <w:color w:val="auto"/>
          <w:sz w:val="24"/>
          <w:highlight w:val="none"/>
        </w:rPr>
        <w:t>13.7</w:t>
      </w:r>
      <w:r>
        <w:rPr>
          <w:rFonts w:hint="eastAsia" w:ascii="宋体" w:hAnsi="宋体"/>
          <w:color w:val="auto"/>
          <w:sz w:val="24"/>
          <w:highlight w:val="none"/>
        </w:rPr>
        <w:t>投标人可先到工地踏勘以充分了解工地位置、情况、道路、储存空间、装卸限制及任何其他足以影响承包价的情况，任何因忽视或误解工地情况而导致的索赔或工期延长申请将不被批准。</w:t>
      </w:r>
    </w:p>
    <w:p w14:paraId="01F25E67">
      <w:pPr>
        <w:pStyle w:val="4"/>
        <w:spacing w:after="0" w:line="360" w:lineRule="auto"/>
        <w:ind w:firstLine="480" w:firstLineChars="200"/>
        <w:rPr>
          <w:rFonts w:ascii="宋体"/>
          <w:color w:val="auto"/>
          <w:sz w:val="24"/>
          <w:highlight w:val="none"/>
        </w:rPr>
      </w:pPr>
      <w:r>
        <w:rPr>
          <w:rFonts w:ascii="宋体" w:hAnsi="宋体"/>
          <w:color w:val="auto"/>
          <w:sz w:val="24"/>
          <w:highlight w:val="none"/>
        </w:rPr>
        <w:t>13.8</w:t>
      </w:r>
      <w:r>
        <w:rPr>
          <w:rFonts w:hint="eastAsia" w:ascii="宋体" w:hAnsi="宋体"/>
          <w:color w:val="auto"/>
          <w:sz w:val="24"/>
          <w:highlight w:val="none"/>
        </w:rPr>
        <w:t>属于承包人自行采购的主要材料、设备，招标人应当在招标文件中提出材料、设备的技术标准或者质量要求，或者提出不少于</w:t>
      </w:r>
      <w:r>
        <w:rPr>
          <w:rFonts w:ascii="宋体" w:hAnsi="宋体"/>
          <w:color w:val="auto"/>
          <w:sz w:val="24"/>
          <w:highlight w:val="none"/>
        </w:rPr>
        <w:t>3</w:t>
      </w:r>
      <w:r>
        <w:rPr>
          <w:rFonts w:hint="eastAsia" w:ascii="宋体" w:hAnsi="宋体"/>
          <w:color w:val="auto"/>
          <w:sz w:val="24"/>
          <w:highlight w:val="none"/>
        </w:rPr>
        <w:t>个同等档次品牌或分包商供投标人报价时选择</w:t>
      </w:r>
      <w:r>
        <w:rPr>
          <w:rFonts w:ascii="宋体"/>
          <w:color w:val="auto"/>
          <w:sz w:val="24"/>
          <w:highlight w:val="none"/>
        </w:rPr>
        <w:t>,</w:t>
      </w:r>
      <w:r>
        <w:rPr>
          <w:rFonts w:hint="eastAsia" w:ascii="宋体" w:hAnsi="宋体"/>
          <w:color w:val="auto"/>
          <w:sz w:val="24"/>
          <w:highlight w:val="none"/>
        </w:rPr>
        <w:t>凡招标人在招标文件中提出参考品牌的，必须在参考品牌后面加上“或相当于”字样。投标人在投标文件中应明确所选用主要材料、设备的品牌、厂家以及质量等级，并且应当符合招标文件的要求。</w:t>
      </w:r>
    </w:p>
    <w:p w14:paraId="308ECC53">
      <w:pPr>
        <w:pStyle w:val="4"/>
        <w:spacing w:after="0" w:line="360" w:lineRule="auto"/>
        <w:ind w:firstLine="480" w:firstLineChars="200"/>
        <w:rPr>
          <w:rFonts w:ascii="宋体"/>
          <w:color w:val="auto"/>
          <w:sz w:val="24"/>
          <w:szCs w:val="24"/>
          <w:highlight w:val="none"/>
        </w:rPr>
      </w:pPr>
      <w:r>
        <w:rPr>
          <w:rFonts w:ascii="宋体" w:hAnsi="宋体"/>
          <w:color w:val="auto"/>
          <w:sz w:val="24"/>
          <w:highlight w:val="none"/>
        </w:rPr>
        <w:t>13.9</w:t>
      </w:r>
      <w:r>
        <w:rPr>
          <w:rFonts w:hint="eastAsia" w:ascii="宋体"/>
          <w:color w:val="auto"/>
          <w:sz w:val="24"/>
          <w:szCs w:val="24"/>
          <w:highlight w:val="none"/>
        </w:rPr>
        <w:t>招标人与中标人应本着实事求是、风险共担的原则，充分考虑施工合同履行期间人工、建筑材料、机械设备价格因素的影响。对于各类钢筋、混凝土等主要材料以及人工、机械设备等，应结合合同工期、各价格因素对工程总造价的影响等，合理约定调价机制。</w:t>
      </w:r>
      <w:r>
        <w:rPr>
          <w:rFonts w:hint="eastAsia" w:ascii="宋体" w:hAnsi="宋体" w:cs="宋体"/>
          <w:b/>
          <w:bCs/>
          <w:sz w:val="24"/>
          <w:szCs w:val="24"/>
          <w:highlight w:val="none"/>
          <w:u w:val="single"/>
        </w:rPr>
        <w:t>调价机制按照《施工合同》相应条款调整</w:t>
      </w:r>
      <w:r>
        <w:rPr>
          <w:rFonts w:hint="eastAsia" w:ascii="宋体"/>
          <w:color w:val="auto"/>
          <w:sz w:val="24"/>
          <w:szCs w:val="24"/>
          <w:highlight w:val="none"/>
        </w:rPr>
        <w:t>。</w:t>
      </w:r>
    </w:p>
    <w:p w14:paraId="4D8283C1">
      <w:pPr>
        <w:pStyle w:val="4"/>
        <w:spacing w:after="0" w:line="360" w:lineRule="auto"/>
        <w:ind w:firstLine="482" w:firstLineChars="200"/>
        <w:rPr>
          <w:rFonts w:ascii="宋体"/>
          <w:b/>
          <w:bCs/>
          <w:color w:val="auto"/>
          <w:sz w:val="24"/>
          <w:highlight w:val="none"/>
        </w:rPr>
      </w:pPr>
      <w:r>
        <w:rPr>
          <w:rFonts w:ascii="宋体" w:hAnsi="宋体"/>
          <w:b/>
          <w:bCs/>
          <w:color w:val="auto"/>
          <w:sz w:val="24"/>
          <w:highlight w:val="none"/>
        </w:rPr>
        <w:t>14</w:t>
      </w:r>
      <w:r>
        <w:rPr>
          <w:rFonts w:hint="eastAsia" w:ascii="宋体" w:hAnsi="宋体"/>
          <w:b/>
          <w:bCs/>
          <w:color w:val="auto"/>
          <w:sz w:val="24"/>
          <w:highlight w:val="none"/>
        </w:rPr>
        <w:t>．投标货币</w:t>
      </w:r>
    </w:p>
    <w:p w14:paraId="61A4C42B">
      <w:pPr>
        <w:pStyle w:val="4"/>
        <w:spacing w:after="0" w:line="360" w:lineRule="auto"/>
        <w:ind w:firstLine="480" w:firstLineChars="200"/>
        <w:rPr>
          <w:rFonts w:ascii="宋体"/>
          <w:color w:val="auto"/>
          <w:sz w:val="24"/>
          <w:highlight w:val="none"/>
        </w:rPr>
      </w:pPr>
      <w:r>
        <w:rPr>
          <w:rFonts w:ascii="宋体" w:hAnsi="宋体"/>
          <w:color w:val="auto"/>
          <w:sz w:val="24"/>
          <w:highlight w:val="none"/>
        </w:rPr>
        <w:t xml:space="preserve">14.1 </w:t>
      </w:r>
      <w:r>
        <w:rPr>
          <w:rFonts w:hint="eastAsia" w:ascii="宋体" w:hAnsi="宋体"/>
          <w:color w:val="auto"/>
          <w:sz w:val="24"/>
          <w:highlight w:val="none"/>
        </w:rPr>
        <w:t>本工程投标报价采用的币种为人民币。</w:t>
      </w:r>
    </w:p>
    <w:p w14:paraId="7A02BE31">
      <w:pPr>
        <w:pStyle w:val="4"/>
        <w:spacing w:after="0" w:line="360" w:lineRule="auto"/>
        <w:ind w:firstLine="482" w:firstLineChars="200"/>
        <w:rPr>
          <w:rFonts w:ascii="宋体"/>
          <w:color w:val="auto"/>
          <w:sz w:val="24"/>
          <w:highlight w:val="none"/>
        </w:rPr>
      </w:pPr>
      <w:r>
        <w:rPr>
          <w:rFonts w:ascii="宋体" w:hAnsi="宋体"/>
          <w:b/>
          <w:bCs/>
          <w:color w:val="auto"/>
          <w:sz w:val="24"/>
          <w:highlight w:val="none"/>
        </w:rPr>
        <w:t>15</w:t>
      </w:r>
      <w:r>
        <w:rPr>
          <w:rFonts w:hint="eastAsia" w:ascii="宋体" w:hAnsi="宋体"/>
          <w:b/>
          <w:bCs/>
          <w:color w:val="auto"/>
          <w:sz w:val="24"/>
          <w:highlight w:val="none"/>
        </w:rPr>
        <w:t>．投标有效期</w:t>
      </w:r>
    </w:p>
    <w:p w14:paraId="3F87D712">
      <w:pPr>
        <w:pStyle w:val="4"/>
        <w:spacing w:after="0" w:line="360" w:lineRule="auto"/>
        <w:ind w:firstLine="480" w:firstLineChars="200"/>
        <w:rPr>
          <w:rFonts w:ascii="宋体"/>
          <w:color w:val="auto"/>
          <w:sz w:val="24"/>
          <w:highlight w:val="none"/>
        </w:rPr>
      </w:pPr>
      <w:r>
        <w:rPr>
          <w:rFonts w:ascii="宋体" w:hAnsi="宋体"/>
          <w:color w:val="auto"/>
          <w:sz w:val="24"/>
          <w:highlight w:val="none"/>
        </w:rPr>
        <w:t xml:space="preserve">15.1 </w:t>
      </w:r>
      <w:r>
        <w:rPr>
          <w:rFonts w:hint="eastAsia" w:ascii="宋体" w:hAnsi="宋体"/>
          <w:color w:val="auto"/>
          <w:sz w:val="24"/>
          <w:highlight w:val="none"/>
        </w:rPr>
        <w:t>投标有效期见投标须知前附表第</w:t>
      </w:r>
      <w:r>
        <w:rPr>
          <w:rFonts w:hint="eastAsia" w:ascii="宋体" w:hAnsi="宋体"/>
          <w:color w:val="auto"/>
          <w:sz w:val="24"/>
          <w:highlight w:val="none"/>
          <w:lang w:val="en-US" w:eastAsia="zh-CN"/>
        </w:rPr>
        <w:t>15</w:t>
      </w:r>
      <w:r>
        <w:rPr>
          <w:rFonts w:hint="eastAsia" w:ascii="宋体" w:hAnsi="宋体"/>
          <w:color w:val="auto"/>
          <w:sz w:val="24"/>
          <w:highlight w:val="none"/>
        </w:rPr>
        <w:t>项所规定的期限，在此期限内，凡符合本招标文件要求的投标文件均保持有效。</w:t>
      </w:r>
    </w:p>
    <w:p w14:paraId="6DD39533">
      <w:pPr>
        <w:pStyle w:val="4"/>
        <w:spacing w:after="0" w:line="360" w:lineRule="auto"/>
        <w:ind w:firstLine="480" w:firstLineChars="200"/>
        <w:rPr>
          <w:rFonts w:ascii="宋体"/>
          <w:color w:val="auto"/>
          <w:sz w:val="24"/>
          <w:highlight w:val="none"/>
        </w:rPr>
      </w:pPr>
      <w:r>
        <w:rPr>
          <w:rFonts w:ascii="宋体" w:hAnsi="宋体"/>
          <w:color w:val="auto"/>
          <w:sz w:val="24"/>
          <w:highlight w:val="none"/>
        </w:rPr>
        <w:t xml:space="preserve">15.2 </w:t>
      </w:r>
      <w:r>
        <w:rPr>
          <w:rFonts w:hint="eastAsia" w:ascii="宋体" w:hAnsi="宋体"/>
          <w:color w:val="auto"/>
          <w:sz w:val="24"/>
          <w:highlight w:val="none"/>
        </w:rPr>
        <w:t>在特殊情况下，招标人在原定投标有效期内，可以根据需要以书面形式向投标人提出延长投标有效期的要求，对此要求投标人须以书面形式予以答复。投标人可以拒绝招标人这种要求，而不影响退还其投标保证金。同意延长投标有效期的投标人既不能要求也不允许修改其投标文件，但需要相应的延长投标保证金的有效期，在延长的投标有效期内，本须知第</w:t>
      </w:r>
      <w:r>
        <w:rPr>
          <w:rFonts w:ascii="宋体" w:hAnsi="宋体"/>
          <w:color w:val="auto"/>
          <w:sz w:val="24"/>
          <w:highlight w:val="none"/>
        </w:rPr>
        <w:t>16</w:t>
      </w:r>
      <w:r>
        <w:rPr>
          <w:rFonts w:hint="eastAsia" w:ascii="宋体" w:hAnsi="宋体"/>
          <w:color w:val="auto"/>
          <w:sz w:val="24"/>
          <w:highlight w:val="none"/>
        </w:rPr>
        <w:t>条关于投标保证金的退还与不予退还的规定仍然适用。</w:t>
      </w:r>
    </w:p>
    <w:p w14:paraId="457F2C0C">
      <w:pPr>
        <w:pStyle w:val="4"/>
        <w:spacing w:after="0" w:line="360" w:lineRule="auto"/>
        <w:ind w:firstLine="482" w:firstLineChars="200"/>
        <w:rPr>
          <w:rFonts w:ascii="宋体"/>
          <w:b/>
          <w:bCs/>
          <w:color w:val="auto"/>
          <w:sz w:val="24"/>
          <w:highlight w:val="none"/>
        </w:rPr>
      </w:pPr>
      <w:r>
        <w:rPr>
          <w:rFonts w:ascii="宋体" w:hAnsi="宋体"/>
          <w:b/>
          <w:bCs/>
          <w:color w:val="auto"/>
          <w:sz w:val="24"/>
          <w:highlight w:val="none"/>
        </w:rPr>
        <w:t>16</w:t>
      </w:r>
      <w:r>
        <w:rPr>
          <w:rFonts w:hint="eastAsia" w:ascii="宋体" w:hAnsi="宋体"/>
          <w:b/>
          <w:bCs/>
          <w:color w:val="auto"/>
          <w:sz w:val="24"/>
          <w:highlight w:val="none"/>
        </w:rPr>
        <w:t>．投标保证金</w:t>
      </w:r>
    </w:p>
    <w:p w14:paraId="3CE4126B">
      <w:pPr>
        <w:spacing w:line="360" w:lineRule="auto"/>
        <w:ind w:firstLine="480" w:firstLineChars="200"/>
        <w:rPr>
          <w:rFonts w:ascii="宋体" w:hAnsi="宋体"/>
          <w:color w:val="auto"/>
          <w:sz w:val="24"/>
          <w:highlight w:val="none"/>
        </w:rPr>
      </w:pPr>
      <w:r>
        <w:rPr>
          <w:rFonts w:ascii="宋体" w:hAnsi="宋体"/>
          <w:color w:val="auto"/>
          <w:sz w:val="24"/>
          <w:highlight w:val="none"/>
        </w:rPr>
        <w:t>16.1</w:t>
      </w:r>
      <w:r>
        <w:rPr>
          <w:rFonts w:hint="eastAsia" w:ascii="宋体" w:hAnsi="宋体"/>
          <w:color w:val="auto"/>
          <w:sz w:val="24"/>
          <w:highlight w:val="none"/>
        </w:rPr>
        <w:t>投标人应按</w:t>
      </w:r>
      <w:r>
        <w:rPr>
          <w:rFonts w:hint="eastAsia" w:ascii="宋体" w:hAnsi="宋体"/>
          <w:color w:val="auto"/>
          <w:sz w:val="24"/>
          <w:highlight w:val="none"/>
          <w:lang w:eastAsia="zh-CN"/>
        </w:rPr>
        <w:t>国家、省、市有关规定和</w:t>
      </w:r>
      <w:r>
        <w:rPr>
          <w:rFonts w:hint="eastAsia" w:ascii="宋体" w:hAnsi="宋体"/>
          <w:color w:val="auto"/>
          <w:sz w:val="24"/>
          <w:highlight w:val="none"/>
        </w:rPr>
        <w:t>投标须知前附表第</w:t>
      </w:r>
      <w:r>
        <w:rPr>
          <w:rFonts w:hint="eastAsia" w:ascii="宋体" w:hAnsi="宋体"/>
          <w:color w:val="auto"/>
          <w:sz w:val="24"/>
          <w:highlight w:val="none"/>
          <w:lang w:val="en-US" w:eastAsia="zh-CN"/>
        </w:rPr>
        <w:t>16</w:t>
      </w:r>
      <w:r>
        <w:rPr>
          <w:rFonts w:hint="eastAsia" w:ascii="宋体" w:hAnsi="宋体"/>
          <w:color w:val="auto"/>
          <w:sz w:val="24"/>
          <w:highlight w:val="none"/>
        </w:rPr>
        <w:t>项所述金额和时间递交</w:t>
      </w:r>
      <w:r>
        <w:rPr>
          <w:rFonts w:hint="eastAsia" w:ascii="宋体" w:hAnsi="宋体"/>
          <w:bCs/>
          <w:color w:val="auto"/>
          <w:sz w:val="24"/>
          <w:highlight w:val="none"/>
        </w:rPr>
        <w:t>投标保证金</w:t>
      </w:r>
      <w:r>
        <w:rPr>
          <w:rFonts w:hint="eastAsia" w:ascii="宋体" w:hAnsi="宋体"/>
          <w:color w:val="auto"/>
          <w:sz w:val="24"/>
          <w:highlight w:val="none"/>
        </w:rPr>
        <w:t>。招标人应当允许投标人自主选择现金、银行保函、保证保险、专业工程担保公司担保等方式缴纳投标保证金。</w:t>
      </w:r>
    </w:p>
    <w:p w14:paraId="4EDB596F">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16.1.1 采用现金或者支票形式提交的，投标保证金须从投标人的银行基本账户转出。</w:t>
      </w:r>
    </w:p>
    <w:p w14:paraId="3382EB6A">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16.1.2 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扫描件并加盖投标人电子印章。如投标人存在16.4条款所列情形的，应将纸质原件提交给招标人。</w:t>
      </w:r>
    </w:p>
    <w:p w14:paraId="5EE27267">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16.1.3 采用电子形式的保函、担保或保证保险提交投标保证金的，应在招标文件中明确电子递交途径。</w:t>
      </w:r>
    </w:p>
    <w:p w14:paraId="3C1323C9">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16.2开标时投标人没有按要求提供投标保证金的，其投标文件将被否决；未按招标文件要求提交符合免予提供投标保证金相关证明材料，且未提交投标保证金的投标人，视为未按要求提供投标保证金。</w:t>
      </w:r>
    </w:p>
    <w:p w14:paraId="40BD8FB1">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16.3投标保证金应依据法律法规的相关规定退还。</w:t>
      </w:r>
    </w:p>
    <w:p w14:paraId="6BA0FC0E">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16.4如有下列情况之一的，招标人可以不予退还投标保证金：</w:t>
      </w:r>
    </w:p>
    <w:p w14:paraId="035B3EEE">
      <w:pPr>
        <w:spacing w:line="360" w:lineRule="auto"/>
        <w:ind w:firstLine="482" w:firstLineChars="200"/>
        <w:rPr>
          <w:rFonts w:hint="eastAsia" w:ascii="宋体" w:hAnsi="宋体"/>
          <w:b/>
          <w:bCs/>
          <w:color w:val="auto"/>
          <w:sz w:val="24"/>
          <w:highlight w:val="none"/>
          <w:u w:val="single"/>
        </w:rPr>
      </w:pPr>
      <w:r>
        <w:rPr>
          <w:rFonts w:hint="eastAsia" w:ascii="宋体" w:hAnsi="宋体"/>
          <w:b/>
          <w:bCs/>
          <w:color w:val="auto"/>
          <w:sz w:val="24"/>
          <w:highlight w:val="none"/>
          <w:u w:val="single"/>
        </w:rPr>
        <w:t>16.</w:t>
      </w:r>
      <w:r>
        <w:rPr>
          <w:rFonts w:hint="eastAsia" w:ascii="宋体" w:hAnsi="宋体"/>
          <w:b/>
          <w:bCs/>
          <w:color w:val="auto"/>
          <w:sz w:val="24"/>
          <w:highlight w:val="none"/>
          <w:u w:val="single"/>
          <w:lang w:val="en-US" w:eastAsia="zh-CN"/>
        </w:rPr>
        <w:t>4</w:t>
      </w:r>
      <w:r>
        <w:rPr>
          <w:rFonts w:hint="eastAsia" w:ascii="宋体" w:hAnsi="宋体"/>
          <w:b/>
          <w:bCs/>
          <w:color w:val="auto"/>
          <w:sz w:val="24"/>
          <w:highlight w:val="none"/>
          <w:u w:val="single"/>
        </w:rPr>
        <w:t>.1因投标人原因造成投标文件未解密的；</w:t>
      </w:r>
    </w:p>
    <w:p w14:paraId="23682217">
      <w:pPr>
        <w:spacing w:line="360" w:lineRule="auto"/>
        <w:ind w:firstLine="482" w:firstLineChars="200"/>
        <w:rPr>
          <w:rFonts w:hint="eastAsia" w:ascii="宋体" w:hAnsi="宋体"/>
          <w:b/>
          <w:bCs/>
          <w:color w:val="auto"/>
          <w:sz w:val="24"/>
          <w:highlight w:val="none"/>
          <w:u w:val="single"/>
        </w:rPr>
      </w:pPr>
      <w:r>
        <w:rPr>
          <w:rFonts w:hint="eastAsia" w:ascii="宋体" w:hAnsi="宋体"/>
          <w:b/>
          <w:bCs/>
          <w:color w:val="auto"/>
          <w:sz w:val="24"/>
          <w:highlight w:val="none"/>
          <w:u w:val="single"/>
        </w:rPr>
        <w:t>16.</w:t>
      </w:r>
      <w:r>
        <w:rPr>
          <w:rFonts w:hint="eastAsia" w:ascii="宋体" w:hAnsi="宋体"/>
          <w:b/>
          <w:bCs/>
          <w:color w:val="auto"/>
          <w:sz w:val="24"/>
          <w:highlight w:val="none"/>
          <w:u w:val="single"/>
          <w:lang w:val="en-US" w:eastAsia="zh-CN"/>
        </w:rPr>
        <w:t>4</w:t>
      </w:r>
      <w:r>
        <w:rPr>
          <w:rFonts w:hint="eastAsia" w:ascii="宋体" w:hAnsi="宋体"/>
          <w:b/>
          <w:bCs/>
          <w:color w:val="auto"/>
          <w:sz w:val="24"/>
          <w:highlight w:val="none"/>
          <w:u w:val="single"/>
        </w:rPr>
        <w:t>.2投标人在投标有效期内撤销投标文件；</w:t>
      </w:r>
    </w:p>
    <w:p w14:paraId="2CCB50A7">
      <w:pPr>
        <w:spacing w:line="360" w:lineRule="auto"/>
        <w:ind w:firstLine="482" w:firstLineChars="200"/>
        <w:rPr>
          <w:rFonts w:hint="eastAsia" w:ascii="宋体" w:hAnsi="宋体"/>
          <w:b/>
          <w:bCs/>
          <w:color w:val="auto"/>
          <w:sz w:val="24"/>
          <w:highlight w:val="none"/>
          <w:u w:val="single"/>
        </w:rPr>
      </w:pPr>
      <w:r>
        <w:rPr>
          <w:rFonts w:hint="eastAsia" w:ascii="宋体" w:hAnsi="宋体"/>
          <w:b/>
          <w:bCs/>
          <w:color w:val="auto"/>
          <w:sz w:val="24"/>
          <w:highlight w:val="none"/>
          <w:u w:val="single"/>
        </w:rPr>
        <w:t>16.</w:t>
      </w:r>
      <w:r>
        <w:rPr>
          <w:rFonts w:hint="eastAsia" w:ascii="宋体" w:hAnsi="宋体"/>
          <w:b/>
          <w:bCs/>
          <w:color w:val="auto"/>
          <w:sz w:val="24"/>
          <w:highlight w:val="none"/>
          <w:u w:val="single"/>
          <w:lang w:val="en-US" w:eastAsia="zh-CN"/>
        </w:rPr>
        <w:t>4</w:t>
      </w:r>
      <w:r>
        <w:rPr>
          <w:rFonts w:hint="eastAsia" w:ascii="宋体" w:hAnsi="宋体"/>
          <w:b/>
          <w:bCs/>
          <w:color w:val="auto"/>
          <w:sz w:val="24"/>
          <w:highlight w:val="none"/>
          <w:u w:val="single"/>
        </w:rPr>
        <w:t>.3中标人未能在规定期限内按要求提交履约担保；</w:t>
      </w:r>
    </w:p>
    <w:p w14:paraId="0E9D4047">
      <w:pPr>
        <w:spacing w:line="360" w:lineRule="auto"/>
        <w:ind w:firstLine="482" w:firstLineChars="200"/>
        <w:rPr>
          <w:rFonts w:ascii="宋体" w:hAnsi="宋体"/>
          <w:b/>
          <w:bCs/>
          <w:color w:val="auto"/>
          <w:sz w:val="24"/>
          <w:highlight w:val="none"/>
          <w:u w:val="single"/>
        </w:rPr>
      </w:pPr>
      <w:r>
        <w:rPr>
          <w:rFonts w:hint="eastAsia" w:ascii="宋体" w:hAnsi="宋体"/>
          <w:b/>
          <w:bCs/>
          <w:color w:val="auto"/>
          <w:sz w:val="24"/>
          <w:highlight w:val="none"/>
          <w:u w:val="single"/>
        </w:rPr>
        <w:t>16.</w:t>
      </w:r>
      <w:r>
        <w:rPr>
          <w:rFonts w:hint="eastAsia" w:ascii="宋体" w:hAnsi="宋体"/>
          <w:b/>
          <w:bCs/>
          <w:color w:val="auto"/>
          <w:sz w:val="24"/>
          <w:highlight w:val="none"/>
          <w:u w:val="single"/>
          <w:lang w:val="en-US" w:eastAsia="zh-CN"/>
        </w:rPr>
        <w:t>4</w:t>
      </w:r>
      <w:r>
        <w:rPr>
          <w:rFonts w:hint="eastAsia" w:ascii="宋体" w:hAnsi="宋体"/>
          <w:b/>
          <w:bCs/>
          <w:color w:val="auto"/>
          <w:sz w:val="24"/>
          <w:highlight w:val="none"/>
          <w:u w:val="single"/>
        </w:rPr>
        <w:t>.4中标人未能在规定期限内签署合同协议。</w:t>
      </w:r>
    </w:p>
    <w:p w14:paraId="2CF4E735">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16.5投标人如存在下列情况之一的，将被拒绝在一定时期内参与招标人后续工程投标：</w:t>
      </w:r>
    </w:p>
    <w:p w14:paraId="4C6AF3EA">
      <w:pPr>
        <w:spacing w:line="360" w:lineRule="auto"/>
        <w:ind w:firstLine="482" w:firstLineChars="200"/>
        <w:rPr>
          <w:rFonts w:hint="eastAsia" w:ascii="宋体" w:hAnsi="宋体"/>
          <w:b/>
          <w:bCs/>
          <w:color w:val="auto"/>
          <w:sz w:val="24"/>
          <w:highlight w:val="none"/>
          <w:u w:val="single"/>
        </w:rPr>
      </w:pPr>
      <w:r>
        <w:rPr>
          <w:rFonts w:hint="eastAsia" w:ascii="宋体" w:hAnsi="宋体"/>
          <w:b/>
          <w:bCs/>
          <w:color w:val="auto"/>
          <w:sz w:val="24"/>
          <w:highlight w:val="none"/>
          <w:u w:val="single"/>
        </w:rPr>
        <w:t>16.5</w:t>
      </w:r>
      <w:r>
        <w:rPr>
          <w:rFonts w:hint="eastAsia" w:ascii="宋体" w:hAnsi="宋体"/>
          <w:b/>
          <w:bCs/>
          <w:color w:val="auto"/>
          <w:sz w:val="24"/>
          <w:highlight w:val="none"/>
          <w:u w:val="single"/>
          <w:lang w:val="en-US" w:eastAsia="zh-CN"/>
        </w:rPr>
        <w:t>.</w:t>
      </w:r>
      <w:r>
        <w:rPr>
          <w:rFonts w:hint="eastAsia" w:ascii="宋体" w:hAnsi="宋体"/>
          <w:b/>
          <w:bCs/>
          <w:color w:val="auto"/>
          <w:sz w:val="24"/>
          <w:highlight w:val="none"/>
          <w:u w:val="single"/>
        </w:rPr>
        <w:t>1将中标工程转包或者违法分包的；</w:t>
      </w:r>
    </w:p>
    <w:p w14:paraId="79839F6A">
      <w:pPr>
        <w:spacing w:line="360" w:lineRule="auto"/>
        <w:ind w:firstLine="482" w:firstLineChars="200"/>
        <w:rPr>
          <w:rFonts w:hint="eastAsia" w:ascii="宋体" w:hAnsi="宋体"/>
          <w:b/>
          <w:bCs/>
          <w:color w:val="auto"/>
          <w:sz w:val="24"/>
          <w:highlight w:val="none"/>
          <w:u w:val="single"/>
        </w:rPr>
      </w:pPr>
      <w:r>
        <w:rPr>
          <w:rFonts w:hint="eastAsia" w:ascii="宋体" w:hAnsi="宋体"/>
          <w:b/>
          <w:bCs/>
          <w:color w:val="auto"/>
          <w:sz w:val="24"/>
          <w:highlight w:val="none"/>
          <w:u w:val="single"/>
        </w:rPr>
        <w:t>16.5</w:t>
      </w:r>
      <w:r>
        <w:rPr>
          <w:rFonts w:hint="eastAsia" w:ascii="宋体" w:hAnsi="宋体"/>
          <w:b/>
          <w:bCs/>
          <w:color w:val="auto"/>
          <w:sz w:val="24"/>
          <w:highlight w:val="none"/>
          <w:u w:val="single"/>
          <w:lang w:val="en-US" w:eastAsia="zh-CN"/>
        </w:rPr>
        <w:t>.</w:t>
      </w:r>
      <w:r>
        <w:rPr>
          <w:rFonts w:hint="eastAsia" w:ascii="宋体" w:hAnsi="宋体"/>
          <w:b/>
          <w:bCs/>
          <w:color w:val="auto"/>
          <w:sz w:val="24"/>
          <w:highlight w:val="none"/>
          <w:u w:val="single"/>
        </w:rPr>
        <w:t>2在中标工程中不执行质量、安全生产相关规定的，造成质量或安全事故的；</w:t>
      </w:r>
    </w:p>
    <w:p w14:paraId="0EF1FB97">
      <w:pPr>
        <w:spacing w:line="360" w:lineRule="auto"/>
        <w:ind w:firstLine="482" w:firstLineChars="200"/>
        <w:rPr>
          <w:rFonts w:hint="eastAsia" w:ascii="宋体" w:hAnsi="宋体"/>
          <w:b/>
          <w:bCs/>
          <w:color w:val="auto"/>
          <w:sz w:val="24"/>
          <w:highlight w:val="none"/>
          <w:u w:val="single"/>
        </w:rPr>
      </w:pPr>
      <w:r>
        <w:rPr>
          <w:rFonts w:hint="eastAsia" w:ascii="宋体" w:hAnsi="宋体"/>
          <w:b/>
          <w:bCs/>
          <w:color w:val="auto"/>
          <w:sz w:val="24"/>
          <w:highlight w:val="none"/>
          <w:u w:val="single"/>
        </w:rPr>
        <w:t>16.5</w:t>
      </w:r>
      <w:r>
        <w:rPr>
          <w:rFonts w:hint="eastAsia" w:ascii="宋体" w:hAnsi="宋体"/>
          <w:b/>
          <w:bCs/>
          <w:color w:val="auto"/>
          <w:sz w:val="24"/>
          <w:highlight w:val="none"/>
          <w:u w:val="single"/>
          <w:lang w:val="en-US" w:eastAsia="zh-CN"/>
        </w:rPr>
        <w:t>.</w:t>
      </w:r>
      <w:r>
        <w:rPr>
          <w:rFonts w:hint="eastAsia" w:ascii="宋体" w:hAnsi="宋体"/>
          <w:b/>
          <w:bCs/>
          <w:color w:val="auto"/>
          <w:sz w:val="24"/>
          <w:highlight w:val="none"/>
          <w:u w:val="single"/>
        </w:rPr>
        <w:t>3出让投标资格的；</w:t>
      </w:r>
    </w:p>
    <w:p w14:paraId="323C4E48">
      <w:pPr>
        <w:spacing w:line="360" w:lineRule="auto"/>
        <w:ind w:firstLine="482" w:firstLineChars="200"/>
        <w:rPr>
          <w:rFonts w:hint="eastAsia" w:ascii="宋体" w:hAnsi="宋体"/>
          <w:b/>
          <w:bCs/>
          <w:color w:val="auto"/>
          <w:sz w:val="24"/>
          <w:highlight w:val="none"/>
          <w:u w:val="single"/>
        </w:rPr>
      </w:pPr>
      <w:r>
        <w:rPr>
          <w:rFonts w:hint="eastAsia" w:ascii="宋体" w:hAnsi="宋体"/>
          <w:b/>
          <w:bCs/>
          <w:color w:val="auto"/>
          <w:sz w:val="24"/>
          <w:highlight w:val="none"/>
          <w:u w:val="single"/>
        </w:rPr>
        <w:t>16.5</w:t>
      </w:r>
      <w:r>
        <w:rPr>
          <w:rFonts w:hint="eastAsia" w:ascii="宋体" w:hAnsi="宋体"/>
          <w:b/>
          <w:bCs/>
          <w:color w:val="auto"/>
          <w:sz w:val="24"/>
          <w:highlight w:val="none"/>
          <w:u w:val="single"/>
          <w:lang w:val="en-US" w:eastAsia="zh-CN"/>
        </w:rPr>
        <w:t>.</w:t>
      </w:r>
      <w:r>
        <w:rPr>
          <w:rFonts w:hint="eastAsia" w:ascii="宋体" w:hAnsi="宋体"/>
          <w:b/>
          <w:bCs/>
          <w:color w:val="auto"/>
          <w:sz w:val="24"/>
          <w:highlight w:val="none"/>
          <w:u w:val="single"/>
        </w:rPr>
        <w:t>4存在围标、串标情形的;</w:t>
      </w:r>
    </w:p>
    <w:p w14:paraId="3C7AB2A3">
      <w:pPr>
        <w:spacing w:line="360" w:lineRule="auto"/>
        <w:ind w:firstLine="482" w:firstLineChars="200"/>
        <w:rPr>
          <w:rFonts w:hint="eastAsia" w:ascii="宋体" w:hAnsi="宋体"/>
          <w:b/>
          <w:bCs/>
          <w:color w:val="auto"/>
          <w:sz w:val="24"/>
          <w:highlight w:val="none"/>
          <w:u w:val="single"/>
        </w:rPr>
      </w:pPr>
      <w:r>
        <w:rPr>
          <w:rFonts w:hint="eastAsia" w:ascii="宋体" w:hAnsi="宋体"/>
          <w:b/>
          <w:bCs/>
          <w:color w:val="auto"/>
          <w:sz w:val="24"/>
          <w:highlight w:val="none"/>
          <w:u w:val="single"/>
        </w:rPr>
        <w:t>16.5</w:t>
      </w:r>
      <w:r>
        <w:rPr>
          <w:rFonts w:hint="eastAsia" w:ascii="宋体" w:hAnsi="宋体"/>
          <w:b/>
          <w:bCs/>
          <w:color w:val="auto"/>
          <w:sz w:val="24"/>
          <w:highlight w:val="none"/>
          <w:u w:val="single"/>
          <w:lang w:val="en-US" w:eastAsia="zh-CN"/>
        </w:rPr>
        <w:t>.</w:t>
      </w:r>
      <w:r>
        <w:rPr>
          <w:rFonts w:hint="eastAsia" w:ascii="宋体" w:hAnsi="宋体"/>
          <w:b/>
          <w:bCs/>
          <w:color w:val="auto"/>
          <w:sz w:val="24"/>
          <w:highlight w:val="none"/>
          <w:u w:val="single"/>
        </w:rPr>
        <w:t>5在投标文件中提供虚假材料的；</w:t>
      </w:r>
    </w:p>
    <w:p w14:paraId="0BD976F5">
      <w:pPr>
        <w:spacing w:line="360" w:lineRule="auto"/>
        <w:ind w:firstLine="482" w:firstLineChars="200"/>
        <w:rPr>
          <w:rFonts w:hint="eastAsia" w:ascii="宋体" w:hAnsi="宋体"/>
          <w:b/>
          <w:bCs/>
          <w:color w:val="auto"/>
          <w:sz w:val="24"/>
          <w:highlight w:val="none"/>
          <w:u w:val="single"/>
        </w:rPr>
      </w:pPr>
      <w:r>
        <w:rPr>
          <w:rFonts w:hint="eastAsia" w:ascii="宋体" w:hAnsi="宋体"/>
          <w:b/>
          <w:bCs/>
          <w:color w:val="auto"/>
          <w:sz w:val="24"/>
          <w:highlight w:val="none"/>
          <w:u w:val="single"/>
        </w:rPr>
        <w:t>16.5</w:t>
      </w:r>
      <w:r>
        <w:rPr>
          <w:rFonts w:hint="eastAsia" w:ascii="宋体" w:hAnsi="宋体"/>
          <w:b/>
          <w:bCs/>
          <w:color w:val="auto"/>
          <w:sz w:val="24"/>
          <w:highlight w:val="none"/>
          <w:u w:val="single"/>
          <w:lang w:val="en-US" w:eastAsia="zh-CN"/>
        </w:rPr>
        <w:t>.</w:t>
      </w:r>
      <w:r>
        <w:rPr>
          <w:rFonts w:hint="eastAsia" w:ascii="宋体" w:hAnsi="宋体"/>
          <w:b/>
          <w:bCs/>
          <w:color w:val="auto"/>
          <w:sz w:val="24"/>
          <w:highlight w:val="none"/>
          <w:u w:val="single"/>
        </w:rPr>
        <w:t>6存在少放、不放业绩、奖项等客观评审资料，减少自身竞争力情形的；</w:t>
      </w:r>
    </w:p>
    <w:p w14:paraId="7748CEBA">
      <w:pPr>
        <w:spacing w:line="360" w:lineRule="auto"/>
        <w:ind w:firstLine="482" w:firstLineChars="200"/>
        <w:rPr>
          <w:rFonts w:hint="eastAsia" w:ascii="宋体" w:hAnsi="宋体"/>
          <w:b/>
          <w:bCs/>
          <w:color w:val="auto"/>
          <w:sz w:val="24"/>
          <w:highlight w:val="none"/>
          <w:u w:val="single"/>
        </w:rPr>
      </w:pPr>
      <w:r>
        <w:rPr>
          <w:rFonts w:hint="eastAsia" w:ascii="宋体" w:hAnsi="宋体"/>
          <w:b/>
          <w:bCs/>
          <w:color w:val="auto"/>
          <w:sz w:val="24"/>
          <w:highlight w:val="none"/>
          <w:u w:val="single"/>
        </w:rPr>
        <w:t>16.5</w:t>
      </w:r>
      <w:r>
        <w:rPr>
          <w:rFonts w:hint="eastAsia" w:ascii="宋体" w:hAnsi="宋体"/>
          <w:b/>
          <w:bCs/>
          <w:color w:val="auto"/>
          <w:sz w:val="24"/>
          <w:highlight w:val="none"/>
          <w:u w:val="single"/>
          <w:lang w:val="en-US" w:eastAsia="zh-CN"/>
        </w:rPr>
        <w:t>.</w:t>
      </w:r>
      <w:r>
        <w:rPr>
          <w:rFonts w:hint="eastAsia" w:ascii="宋体" w:hAnsi="宋体"/>
          <w:b/>
          <w:bCs/>
          <w:color w:val="auto"/>
          <w:sz w:val="24"/>
          <w:highlight w:val="none"/>
          <w:u w:val="single"/>
        </w:rPr>
        <w:t>7存在行贿情形的;</w:t>
      </w:r>
    </w:p>
    <w:p w14:paraId="2CF2E3EF">
      <w:pPr>
        <w:spacing w:line="360" w:lineRule="auto"/>
        <w:ind w:firstLine="482" w:firstLineChars="200"/>
        <w:rPr>
          <w:rFonts w:hint="eastAsia" w:ascii="宋体" w:hAnsi="宋体"/>
          <w:b/>
          <w:bCs/>
          <w:color w:val="auto"/>
          <w:sz w:val="24"/>
          <w:highlight w:val="none"/>
          <w:u w:val="single"/>
        </w:rPr>
      </w:pPr>
      <w:r>
        <w:rPr>
          <w:rFonts w:hint="eastAsia" w:ascii="宋体" w:hAnsi="宋体"/>
          <w:b/>
          <w:bCs/>
          <w:color w:val="auto"/>
          <w:sz w:val="24"/>
          <w:highlight w:val="none"/>
          <w:u w:val="single"/>
        </w:rPr>
        <w:t>16.5</w:t>
      </w:r>
      <w:r>
        <w:rPr>
          <w:rFonts w:hint="eastAsia" w:ascii="宋体" w:hAnsi="宋体"/>
          <w:b/>
          <w:bCs/>
          <w:color w:val="auto"/>
          <w:sz w:val="24"/>
          <w:highlight w:val="none"/>
          <w:u w:val="single"/>
          <w:lang w:val="en-US" w:eastAsia="zh-CN"/>
        </w:rPr>
        <w:t>.</w:t>
      </w:r>
      <w:r>
        <w:rPr>
          <w:rFonts w:hint="eastAsia" w:ascii="宋体" w:hAnsi="宋体"/>
          <w:b/>
          <w:bCs/>
          <w:color w:val="auto"/>
          <w:sz w:val="24"/>
          <w:highlight w:val="none"/>
          <w:u w:val="single"/>
        </w:rPr>
        <w:t>8拖欠农民工工资的；</w:t>
      </w:r>
    </w:p>
    <w:p w14:paraId="1B45233C">
      <w:pPr>
        <w:spacing w:line="360" w:lineRule="auto"/>
        <w:ind w:firstLine="482" w:firstLineChars="200"/>
        <w:rPr>
          <w:rFonts w:hint="eastAsia" w:ascii="宋体" w:hAnsi="宋体"/>
          <w:b/>
          <w:bCs/>
          <w:color w:val="auto"/>
          <w:sz w:val="24"/>
          <w:highlight w:val="none"/>
          <w:u w:val="single"/>
        </w:rPr>
      </w:pPr>
      <w:r>
        <w:rPr>
          <w:rFonts w:hint="eastAsia" w:ascii="宋体" w:hAnsi="宋体"/>
          <w:b/>
          <w:bCs/>
          <w:color w:val="auto"/>
          <w:sz w:val="24"/>
          <w:highlight w:val="none"/>
          <w:u w:val="single"/>
        </w:rPr>
        <w:t>16.5</w:t>
      </w:r>
      <w:r>
        <w:rPr>
          <w:rFonts w:hint="eastAsia" w:ascii="宋体" w:hAnsi="宋体"/>
          <w:b/>
          <w:bCs/>
          <w:color w:val="auto"/>
          <w:sz w:val="24"/>
          <w:highlight w:val="none"/>
          <w:u w:val="single"/>
          <w:lang w:val="en-US" w:eastAsia="zh-CN"/>
        </w:rPr>
        <w:t>.</w:t>
      </w:r>
      <w:r>
        <w:rPr>
          <w:rFonts w:hint="eastAsia" w:ascii="宋体" w:hAnsi="宋体"/>
          <w:b/>
          <w:bCs/>
          <w:color w:val="auto"/>
          <w:sz w:val="24"/>
          <w:highlight w:val="none"/>
          <w:u w:val="single"/>
        </w:rPr>
        <w:t>9未按照国家、省、市有关建筑施工实名制管理和工人工资支付分账管理的规定执行，被行政监管部门处罚的；</w:t>
      </w:r>
    </w:p>
    <w:p w14:paraId="46DF4C0D">
      <w:pPr>
        <w:spacing w:line="360" w:lineRule="auto"/>
        <w:ind w:firstLine="482" w:firstLineChars="200"/>
        <w:rPr>
          <w:rFonts w:ascii="宋体" w:hAnsi="宋体"/>
          <w:color w:val="auto"/>
          <w:sz w:val="24"/>
          <w:highlight w:val="none"/>
        </w:rPr>
      </w:pPr>
      <w:r>
        <w:rPr>
          <w:rFonts w:hint="eastAsia" w:ascii="宋体" w:hAnsi="宋体"/>
          <w:b/>
          <w:bCs/>
          <w:color w:val="auto"/>
          <w:sz w:val="24"/>
          <w:highlight w:val="none"/>
          <w:u w:val="single"/>
        </w:rPr>
        <w:t>16.5</w:t>
      </w:r>
      <w:r>
        <w:rPr>
          <w:rFonts w:hint="eastAsia" w:ascii="宋体" w:hAnsi="宋体"/>
          <w:b/>
          <w:bCs/>
          <w:color w:val="auto"/>
          <w:sz w:val="24"/>
          <w:highlight w:val="none"/>
          <w:u w:val="single"/>
          <w:lang w:val="en-US" w:eastAsia="zh-CN"/>
        </w:rPr>
        <w:t>.</w:t>
      </w:r>
      <w:r>
        <w:rPr>
          <w:rFonts w:hint="eastAsia" w:ascii="宋体" w:hAnsi="宋体"/>
          <w:b/>
          <w:bCs/>
          <w:color w:val="auto"/>
          <w:sz w:val="24"/>
          <w:highlight w:val="none"/>
          <w:u w:val="single"/>
        </w:rPr>
        <w:t>10中标人在项目实施过程中选取的专业分包单位或劳务企业或劳务班组长与投标时不一致的（如有）</w:t>
      </w:r>
    </w:p>
    <w:p w14:paraId="60D8AA70">
      <w:pPr>
        <w:pStyle w:val="4"/>
        <w:spacing w:after="0" w:line="360" w:lineRule="auto"/>
        <w:ind w:firstLine="482" w:firstLineChars="200"/>
        <w:rPr>
          <w:rFonts w:ascii="宋体"/>
          <w:b/>
          <w:bCs/>
          <w:color w:val="auto"/>
          <w:sz w:val="24"/>
          <w:highlight w:val="none"/>
        </w:rPr>
      </w:pPr>
      <w:r>
        <w:rPr>
          <w:rFonts w:ascii="宋体" w:hAnsi="宋体"/>
          <w:b/>
          <w:bCs/>
          <w:color w:val="auto"/>
          <w:sz w:val="24"/>
          <w:highlight w:val="none"/>
        </w:rPr>
        <w:t>17</w:t>
      </w:r>
      <w:r>
        <w:rPr>
          <w:rFonts w:hint="eastAsia" w:ascii="宋体" w:hAnsi="宋体"/>
          <w:b/>
          <w:bCs/>
          <w:color w:val="auto"/>
          <w:sz w:val="24"/>
          <w:highlight w:val="none"/>
        </w:rPr>
        <w:t>．投标文件的签署</w:t>
      </w:r>
    </w:p>
    <w:p w14:paraId="4B73F77F">
      <w:pPr>
        <w:spacing w:line="360" w:lineRule="auto"/>
        <w:ind w:firstLine="480" w:firstLineChars="200"/>
        <w:rPr>
          <w:rFonts w:ascii="宋体" w:hAnsi="宋体"/>
          <w:color w:val="auto"/>
          <w:sz w:val="24"/>
          <w:highlight w:val="none"/>
        </w:rPr>
      </w:pPr>
      <w:r>
        <w:rPr>
          <w:rFonts w:ascii="宋体" w:hAnsi="宋体"/>
          <w:color w:val="auto"/>
          <w:sz w:val="24"/>
          <w:highlight w:val="none"/>
        </w:rPr>
        <w:t>17.1</w:t>
      </w:r>
      <w:r>
        <w:rPr>
          <w:rFonts w:hint="eastAsia" w:ascii="宋体" w:hAnsi="宋体"/>
          <w:color w:val="auto"/>
          <w:sz w:val="24"/>
          <w:highlight w:val="none"/>
        </w:rPr>
        <w:t>投标人应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eastAsia" w:ascii="宋体" w:hAnsi="宋体" w:cs="宋体"/>
          <w:b/>
          <w:bCs w:val="0"/>
          <w:kern w:val="0"/>
          <w:sz w:val="24"/>
          <w:szCs w:val="24"/>
          <w:highlight w:val="none"/>
          <w:u w:val="single"/>
        </w:rPr>
        <w:t>广州交易集团有限公司（广州公共资源交易中心）网站</w:t>
      </w:r>
      <w:r>
        <w:rPr>
          <w:rFonts w:hint="eastAsia" w:ascii="宋体" w:hAnsi="宋体"/>
          <w:color w:val="auto"/>
          <w:sz w:val="24"/>
          <w:highlight w:val="none"/>
        </w:rPr>
        <w:t xml:space="preserve"> 。</w:t>
      </w:r>
    </w:p>
    <w:p w14:paraId="4E568A02">
      <w:pPr>
        <w:pStyle w:val="8"/>
        <w:bidi w:val="0"/>
        <w:rPr>
          <w:color w:val="auto"/>
          <w:highlight w:val="none"/>
        </w:rPr>
      </w:pPr>
      <w:bookmarkStart w:id="36" w:name="_Toc2272552"/>
      <w:bookmarkStart w:id="37" w:name="_Toc21525496"/>
      <w:bookmarkStart w:id="38" w:name="_Toc4944"/>
      <w:bookmarkStart w:id="39" w:name="_Toc10933"/>
      <w:r>
        <w:rPr>
          <w:rFonts w:hint="eastAsia"/>
          <w:color w:val="auto"/>
          <w:highlight w:val="none"/>
        </w:rPr>
        <w:t>（四）投标文件的提交</w:t>
      </w:r>
      <w:bookmarkEnd w:id="36"/>
      <w:bookmarkEnd w:id="37"/>
      <w:bookmarkEnd w:id="38"/>
      <w:bookmarkEnd w:id="39"/>
    </w:p>
    <w:p w14:paraId="49E6F7EC">
      <w:pPr>
        <w:pStyle w:val="4"/>
        <w:spacing w:after="0" w:line="360" w:lineRule="auto"/>
        <w:ind w:firstLine="482" w:firstLineChars="200"/>
        <w:rPr>
          <w:rFonts w:ascii="宋体"/>
          <w:b/>
          <w:bCs/>
          <w:color w:val="auto"/>
          <w:sz w:val="24"/>
          <w:highlight w:val="none"/>
        </w:rPr>
      </w:pPr>
      <w:r>
        <w:rPr>
          <w:rFonts w:ascii="宋体" w:hAnsi="宋体"/>
          <w:b/>
          <w:bCs/>
          <w:color w:val="auto"/>
          <w:sz w:val="24"/>
          <w:highlight w:val="none"/>
        </w:rPr>
        <w:t>18</w:t>
      </w:r>
      <w:r>
        <w:rPr>
          <w:rFonts w:hint="eastAsia" w:ascii="宋体" w:hAnsi="宋体"/>
          <w:b/>
          <w:bCs/>
          <w:color w:val="auto"/>
          <w:sz w:val="24"/>
          <w:highlight w:val="none"/>
        </w:rPr>
        <w:t>．</w:t>
      </w:r>
      <w:r>
        <w:rPr>
          <w:rFonts w:hint="eastAsia"/>
          <w:b/>
          <w:color w:val="auto"/>
          <w:sz w:val="24"/>
          <w:szCs w:val="24"/>
          <w:highlight w:val="none"/>
        </w:rPr>
        <w:t>投标文件的密封和标记</w:t>
      </w:r>
    </w:p>
    <w:p w14:paraId="0D3F2E3A">
      <w:pPr>
        <w:spacing w:line="360" w:lineRule="auto"/>
        <w:ind w:firstLine="480" w:firstLineChars="200"/>
        <w:rPr>
          <w:rFonts w:ascii="宋体"/>
          <w:bCs/>
          <w:color w:val="auto"/>
          <w:sz w:val="24"/>
          <w:highlight w:val="none"/>
        </w:rPr>
      </w:pPr>
      <w:r>
        <w:rPr>
          <w:rFonts w:ascii="宋体" w:hAnsi="宋体"/>
          <w:bCs/>
          <w:color w:val="auto"/>
          <w:sz w:val="24"/>
          <w:highlight w:val="none"/>
        </w:rPr>
        <w:t>1</w:t>
      </w:r>
      <w:r>
        <w:rPr>
          <w:rFonts w:hint="eastAsia" w:ascii="宋体" w:hAnsi="宋体"/>
          <w:bCs/>
          <w:color w:val="auto"/>
          <w:sz w:val="24"/>
          <w:highlight w:val="none"/>
        </w:rPr>
        <w:t>8</w:t>
      </w:r>
      <w:r>
        <w:rPr>
          <w:rFonts w:ascii="宋体" w:hAnsi="宋体"/>
          <w:bCs/>
          <w:color w:val="auto"/>
          <w:sz w:val="24"/>
          <w:highlight w:val="none"/>
        </w:rPr>
        <w:t>.1</w:t>
      </w:r>
      <w:r>
        <w:rPr>
          <w:rFonts w:hint="eastAsia" w:ascii="宋体" w:hAnsi="宋体"/>
          <w:bCs/>
          <w:color w:val="auto"/>
          <w:sz w:val="24"/>
          <w:highlight w:val="none"/>
        </w:rPr>
        <w:t>递交的电子投标文件（不含备用光盘）必须进行加密。按照交易平台关于</w:t>
      </w:r>
      <w:r>
        <w:rPr>
          <w:rFonts w:hint="eastAsia"/>
          <w:color w:val="auto"/>
          <w:sz w:val="24"/>
          <w:szCs w:val="24"/>
          <w:highlight w:val="none"/>
        </w:rPr>
        <w:t>全流程电子化项目的相关指南进行操作。详见：</w:t>
      </w:r>
      <w:r>
        <w:rPr>
          <w:rFonts w:hint="eastAsia" w:ascii="宋体" w:hAnsi="宋体" w:cs="宋体"/>
          <w:b/>
          <w:bCs w:val="0"/>
          <w:kern w:val="0"/>
          <w:sz w:val="24"/>
          <w:szCs w:val="24"/>
          <w:highlight w:val="none"/>
          <w:u w:val="single"/>
        </w:rPr>
        <w:t>广州交易集团有限公司（广州公共资源交易中心）网站</w:t>
      </w:r>
      <w:r>
        <w:rPr>
          <w:rFonts w:hint="eastAsia"/>
          <w:color w:val="auto"/>
          <w:sz w:val="24"/>
          <w:szCs w:val="24"/>
          <w:highlight w:val="none"/>
        </w:rPr>
        <w:t>。</w:t>
      </w:r>
    </w:p>
    <w:p w14:paraId="1A6A249C">
      <w:pPr>
        <w:spacing w:line="360" w:lineRule="auto"/>
        <w:ind w:firstLine="480" w:firstLineChars="200"/>
        <w:rPr>
          <w:rFonts w:ascii="宋体"/>
          <w:bCs/>
          <w:color w:val="auto"/>
          <w:sz w:val="24"/>
          <w:highlight w:val="none"/>
        </w:rPr>
      </w:pPr>
      <w:r>
        <w:rPr>
          <w:rFonts w:ascii="宋体" w:hAnsi="宋体"/>
          <w:bCs/>
          <w:color w:val="auto"/>
          <w:sz w:val="24"/>
          <w:highlight w:val="none"/>
        </w:rPr>
        <w:t>1</w:t>
      </w:r>
      <w:r>
        <w:rPr>
          <w:rFonts w:hint="eastAsia" w:ascii="宋体" w:hAnsi="宋体"/>
          <w:bCs/>
          <w:color w:val="auto"/>
          <w:sz w:val="24"/>
          <w:highlight w:val="none"/>
        </w:rPr>
        <w:t>8</w:t>
      </w:r>
      <w:r>
        <w:rPr>
          <w:rFonts w:ascii="宋体" w:hAnsi="宋体"/>
          <w:bCs/>
          <w:color w:val="auto"/>
          <w:sz w:val="24"/>
          <w:highlight w:val="none"/>
        </w:rPr>
        <w:t>.2</w:t>
      </w:r>
      <w:r>
        <w:rPr>
          <w:rFonts w:ascii="宋体"/>
          <w:bCs/>
          <w:color w:val="auto"/>
          <w:sz w:val="24"/>
          <w:highlight w:val="none"/>
        </w:rPr>
        <w:t xml:space="preserve"> </w:t>
      </w:r>
      <w:r>
        <w:rPr>
          <w:rFonts w:hint="eastAsia" w:ascii="宋体"/>
          <w:bCs/>
          <w:color w:val="auto"/>
          <w:sz w:val="24"/>
          <w:highlight w:val="none"/>
        </w:rPr>
        <w:t>未按要求加密的投标文件，</w:t>
      </w:r>
      <w:r>
        <w:rPr>
          <w:rFonts w:hint="eastAsia" w:ascii="宋体" w:hAnsi="宋体" w:cs="宋体"/>
          <w:b/>
          <w:bCs w:val="0"/>
          <w:kern w:val="0"/>
          <w:sz w:val="24"/>
          <w:szCs w:val="24"/>
          <w:highlight w:val="none"/>
          <w:u w:val="single"/>
        </w:rPr>
        <w:t>广州交易集团有限公司（广州公共资源交易中心）网站</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bCs/>
          <w:color w:val="auto"/>
          <w:sz w:val="24"/>
          <w:highlight w:val="none"/>
        </w:rPr>
        <w:t>将予以拒收。</w:t>
      </w:r>
    </w:p>
    <w:p w14:paraId="1A614471">
      <w:pPr>
        <w:spacing w:line="360" w:lineRule="auto"/>
        <w:ind w:firstLine="482" w:firstLineChars="200"/>
        <w:rPr>
          <w:rFonts w:ascii="宋体"/>
          <w:b/>
          <w:bCs/>
          <w:color w:val="auto"/>
          <w:sz w:val="24"/>
          <w:highlight w:val="none"/>
        </w:rPr>
      </w:pPr>
      <w:r>
        <w:rPr>
          <w:rFonts w:ascii="宋体" w:hAnsi="宋体"/>
          <w:b/>
          <w:bCs/>
          <w:color w:val="auto"/>
          <w:sz w:val="24"/>
          <w:highlight w:val="none"/>
        </w:rPr>
        <w:t>19</w:t>
      </w:r>
      <w:r>
        <w:rPr>
          <w:rFonts w:hint="eastAsia" w:ascii="宋体" w:hAnsi="宋体"/>
          <w:b/>
          <w:bCs/>
          <w:color w:val="auto"/>
          <w:sz w:val="24"/>
          <w:highlight w:val="none"/>
        </w:rPr>
        <w:t>．投标文件的递交和接收</w:t>
      </w:r>
    </w:p>
    <w:p w14:paraId="5FCB763E">
      <w:pPr>
        <w:spacing w:line="360" w:lineRule="auto"/>
        <w:ind w:firstLine="480" w:firstLineChars="200"/>
        <w:rPr>
          <w:rFonts w:ascii="宋体"/>
          <w:bCs/>
          <w:color w:val="auto"/>
          <w:sz w:val="24"/>
          <w:highlight w:val="none"/>
        </w:rPr>
      </w:pPr>
      <w:r>
        <w:rPr>
          <w:rFonts w:ascii="宋体" w:hAnsi="宋体"/>
          <w:bCs/>
          <w:color w:val="auto"/>
          <w:sz w:val="24"/>
          <w:highlight w:val="none"/>
        </w:rPr>
        <w:t>1</w:t>
      </w:r>
      <w:r>
        <w:rPr>
          <w:rFonts w:hint="eastAsia" w:ascii="宋体" w:hAnsi="宋体"/>
          <w:bCs/>
          <w:color w:val="auto"/>
          <w:sz w:val="24"/>
          <w:highlight w:val="none"/>
        </w:rPr>
        <w:t>9</w:t>
      </w:r>
      <w:r>
        <w:rPr>
          <w:rFonts w:ascii="宋体" w:hAnsi="宋体"/>
          <w:bCs/>
          <w:color w:val="auto"/>
          <w:sz w:val="24"/>
          <w:highlight w:val="none"/>
        </w:rPr>
        <w:t>.</w:t>
      </w:r>
      <w:r>
        <w:rPr>
          <w:rFonts w:hint="eastAsia" w:ascii="宋体" w:hAnsi="宋体"/>
          <w:bCs/>
          <w:color w:val="auto"/>
          <w:sz w:val="24"/>
          <w:highlight w:val="none"/>
        </w:rPr>
        <w:t>1投标人通过</w:t>
      </w:r>
      <w:r>
        <w:rPr>
          <w:rFonts w:hint="eastAsia" w:ascii="宋体" w:hAnsi="宋体" w:cs="宋体"/>
          <w:b/>
          <w:bCs w:val="0"/>
          <w:kern w:val="0"/>
          <w:sz w:val="24"/>
          <w:szCs w:val="24"/>
          <w:highlight w:val="none"/>
          <w:u w:val="single"/>
        </w:rPr>
        <w:t>广州交易集团有限公司（广州公共资源交易中心）网站</w:t>
      </w:r>
      <w:r>
        <w:rPr>
          <w:rFonts w:hint="eastAsia" w:ascii="宋体" w:hAnsi="宋体"/>
          <w:color w:val="auto"/>
          <w:sz w:val="24"/>
          <w:szCs w:val="24"/>
          <w:highlight w:val="none"/>
        </w:rPr>
        <w:t>交易平台</w:t>
      </w:r>
      <w:r>
        <w:rPr>
          <w:rFonts w:hint="eastAsia" w:ascii="宋体" w:hAnsi="宋体"/>
          <w:color w:val="auto"/>
          <w:sz w:val="24"/>
          <w:highlight w:val="none"/>
        </w:rPr>
        <w:t>递交电子投标文件。</w:t>
      </w:r>
    </w:p>
    <w:p w14:paraId="38CEAF5D">
      <w:pPr>
        <w:spacing w:line="360" w:lineRule="auto"/>
        <w:ind w:firstLine="480" w:firstLineChars="200"/>
        <w:rPr>
          <w:rFonts w:ascii="宋体"/>
          <w:bCs/>
          <w:color w:val="auto"/>
          <w:sz w:val="24"/>
          <w:highlight w:val="none"/>
        </w:rPr>
      </w:pPr>
      <w:r>
        <w:rPr>
          <w:rFonts w:ascii="宋体" w:hAnsi="宋体"/>
          <w:bCs/>
          <w:color w:val="auto"/>
          <w:sz w:val="24"/>
          <w:highlight w:val="none"/>
        </w:rPr>
        <w:t>1</w:t>
      </w:r>
      <w:r>
        <w:rPr>
          <w:rFonts w:hint="eastAsia" w:ascii="宋体" w:hAnsi="宋体"/>
          <w:bCs/>
          <w:color w:val="auto"/>
          <w:sz w:val="24"/>
          <w:highlight w:val="none"/>
        </w:rPr>
        <w:t>9</w:t>
      </w:r>
      <w:r>
        <w:rPr>
          <w:rFonts w:ascii="宋体" w:hAnsi="宋体"/>
          <w:bCs/>
          <w:color w:val="auto"/>
          <w:sz w:val="24"/>
          <w:highlight w:val="none"/>
        </w:rPr>
        <w:t>.</w:t>
      </w:r>
      <w:r>
        <w:rPr>
          <w:rFonts w:hint="eastAsia" w:ascii="宋体" w:hAnsi="宋体"/>
          <w:bCs/>
          <w:color w:val="auto"/>
          <w:sz w:val="24"/>
          <w:highlight w:val="none"/>
        </w:rPr>
        <w:t>2投标人完成电子</w:t>
      </w:r>
      <w:r>
        <w:rPr>
          <w:rFonts w:hint="eastAsia" w:ascii="宋体" w:hAnsi="宋体"/>
          <w:color w:val="auto"/>
          <w:sz w:val="24"/>
          <w:highlight w:val="none"/>
        </w:rPr>
        <w:t>投标文件</w:t>
      </w:r>
      <w:r>
        <w:rPr>
          <w:rFonts w:hint="eastAsia" w:ascii="宋体" w:hAnsi="宋体"/>
          <w:bCs/>
          <w:color w:val="auto"/>
          <w:sz w:val="24"/>
          <w:highlight w:val="none"/>
        </w:rPr>
        <w:t>上传后，</w:t>
      </w:r>
      <w:r>
        <w:rPr>
          <w:rFonts w:hint="eastAsia" w:ascii="宋体" w:hAnsi="宋体" w:cs="宋体"/>
          <w:b/>
          <w:bCs w:val="0"/>
          <w:kern w:val="0"/>
          <w:sz w:val="24"/>
          <w:szCs w:val="24"/>
          <w:highlight w:val="none"/>
          <w:u w:val="single"/>
        </w:rPr>
        <w:t>广州交易集团有限公司（广州公共资源交易中心）网站</w:t>
      </w:r>
      <w:r>
        <w:rPr>
          <w:rFonts w:hint="eastAsia" w:ascii="宋体" w:hAnsi="宋体"/>
          <w:color w:val="auto"/>
          <w:sz w:val="24"/>
          <w:szCs w:val="24"/>
          <w:highlight w:val="none"/>
        </w:rPr>
        <w:t>交易平台</w:t>
      </w:r>
      <w:r>
        <w:rPr>
          <w:rFonts w:hint="eastAsia" w:ascii="宋体" w:hAnsi="宋体"/>
          <w:color w:val="auto"/>
          <w:sz w:val="24"/>
          <w:highlight w:val="none"/>
        </w:rPr>
        <w:t>即时向投标人发出递交回执通知。递交时间以递交回执通知载明的传输完成时间为准。</w:t>
      </w:r>
    </w:p>
    <w:p w14:paraId="177ED1FC">
      <w:pPr>
        <w:spacing w:line="360" w:lineRule="auto"/>
        <w:ind w:firstLine="480" w:firstLineChars="200"/>
        <w:rPr>
          <w:rFonts w:ascii="宋体" w:hAnsi="宋体"/>
          <w:color w:val="auto"/>
          <w:sz w:val="24"/>
          <w:highlight w:val="none"/>
        </w:rPr>
      </w:pPr>
      <w:r>
        <w:rPr>
          <w:rFonts w:ascii="宋体" w:hAnsi="宋体"/>
          <w:bCs/>
          <w:color w:val="auto"/>
          <w:sz w:val="24"/>
          <w:highlight w:val="none"/>
        </w:rPr>
        <w:t>1</w:t>
      </w:r>
      <w:r>
        <w:rPr>
          <w:rFonts w:hint="eastAsia" w:ascii="宋体" w:hAnsi="宋体"/>
          <w:bCs/>
          <w:color w:val="auto"/>
          <w:sz w:val="24"/>
          <w:highlight w:val="none"/>
        </w:rPr>
        <w:t>9</w:t>
      </w:r>
      <w:r>
        <w:rPr>
          <w:rFonts w:ascii="宋体" w:hAnsi="宋体"/>
          <w:bCs/>
          <w:color w:val="auto"/>
          <w:sz w:val="24"/>
          <w:highlight w:val="none"/>
        </w:rPr>
        <w:t>.</w:t>
      </w:r>
      <w:r>
        <w:rPr>
          <w:rFonts w:hint="eastAsia" w:ascii="宋体" w:hAnsi="宋体"/>
          <w:bCs/>
          <w:color w:val="auto"/>
          <w:sz w:val="24"/>
          <w:highlight w:val="none"/>
        </w:rPr>
        <w:t>3</w:t>
      </w:r>
      <w:r>
        <w:rPr>
          <w:rFonts w:hint="eastAsia"/>
          <w:bCs/>
          <w:color w:val="auto"/>
          <w:sz w:val="24"/>
          <w:szCs w:val="24"/>
          <w:highlight w:val="none"/>
        </w:rPr>
        <w:t>逾期送达的</w:t>
      </w:r>
      <w:r>
        <w:rPr>
          <w:rFonts w:hint="eastAsia" w:ascii="宋体" w:hAnsi="宋体"/>
          <w:bCs/>
          <w:color w:val="auto"/>
          <w:sz w:val="24"/>
          <w:highlight w:val="none"/>
        </w:rPr>
        <w:t>电子投标文件，</w:t>
      </w:r>
      <w:r>
        <w:rPr>
          <w:rFonts w:hint="eastAsia" w:ascii="宋体" w:hAnsi="宋体" w:cs="宋体"/>
          <w:b/>
          <w:bCs w:val="0"/>
          <w:kern w:val="0"/>
          <w:sz w:val="24"/>
          <w:szCs w:val="24"/>
          <w:highlight w:val="none"/>
          <w:u w:val="single"/>
        </w:rPr>
        <w:t>广州交易集团有限公司（广州公共资源交易中心）网站</w:t>
      </w:r>
      <w:r>
        <w:rPr>
          <w:rFonts w:hint="eastAsia" w:ascii="宋体" w:hAnsi="宋体"/>
          <w:color w:val="auto"/>
          <w:sz w:val="24"/>
          <w:szCs w:val="24"/>
          <w:highlight w:val="none"/>
        </w:rPr>
        <w:t>交易平台</w:t>
      </w:r>
      <w:r>
        <w:rPr>
          <w:rFonts w:hint="eastAsia" w:ascii="宋体" w:hAnsi="宋体"/>
          <w:color w:val="auto"/>
          <w:sz w:val="24"/>
          <w:highlight w:val="none"/>
        </w:rPr>
        <w:t>将予以拒收。</w:t>
      </w:r>
    </w:p>
    <w:p w14:paraId="5BB6E37D">
      <w:pPr>
        <w:spacing w:line="360" w:lineRule="auto"/>
        <w:ind w:firstLine="480" w:firstLineChars="200"/>
        <w:rPr>
          <w:rFonts w:ascii="宋体"/>
          <w:color w:val="auto"/>
          <w:sz w:val="24"/>
          <w:highlight w:val="none"/>
        </w:rPr>
      </w:pPr>
      <w:r>
        <w:rPr>
          <w:rFonts w:ascii="宋体" w:hAnsi="宋体"/>
          <w:color w:val="auto"/>
          <w:sz w:val="24"/>
          <w:highlight w:val="none"/>
        </w:rPr>
        <w:t>19.</w:t>
      </w:r>
      <w:r>
        <w:rPr>
          <w:rFonts w:hint="eastAsia" w:ascii="宋体" w:hAnsi="宋体"/>
          <w:color w:val="auto"/>
          <w:sz w:val="24"/>
          <w:highlight w:val="none"/>
        </w:rPr>
        <w:t>4</w:t>
      </w:r>
      <w:r>
        <w:rPr>
          <w:rFonts w:ascii="宋体" w:hAnsi="宋体"/>
          <w:color w:val="auto"/>
          <w:sz w:val="24"/>
          <w:highlight w:val="none"/>
        </w:rPr>
        <w:t xml:space="preserve"> </w:t>
      </w:r>
      <w:r>
        <w:rPr>
          <w:rFonts w:hint="eastAsia" w:ascii="宋体" w:hAnsi="宋体"/>
          <w:color w:val="auto"/>
          <w:sz w:val="24"/>
          <w:szCs w:val="24"/>
          <w:highlight w:val="none"/>
        </w:rPr>
        <w:t>投标截止前，</w:t>
      </w:r>
      <w:r>
        <w:rPr>
          <w:rFonts w:hint="eastAsia"/>
          <w:color w:val="auto"/>
          <w:sz w:val="24"/>
          <w:szCs w:val="24"/>
          <w:highlight w:val="none"/>
        </w:rPr>
        <w:t>招标人拒绝接收符合条件的投标文件，投标人可向招标投标监督机构投诉。</w:t>
      </w:r>
    </w:p>
    <w:p w14:paraId="6C8C8C2C">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19.</w:t>
      </w:r>
      <w:r>
        <w:rPr>
          <w:rFonts w:hint="eastAsia" w:ascii="宋体" w:hAnsi="宋体"/>
          <w:color w:val="auto"/>
          <w:sz w:val="24"/>
          <w:highlight w:val="none"/>
        </w:rPr>
        <w:t>5</w:t>
      </w:r>
      <w:r>
        <w:rPr>
          <w:rFonts w:hint="eastAsia" w:ascii="宋体" w:hAnsi="宋体" w:cs="宋体"/>
          <w:b/>
          <w:bCs/>
          <w:sz w:val="24"/>
          <w:szCs w:val="24"/>
          <w:highlight w:val="none"/>
          <w:u w:val="single"/>
        </w:rPr>
        <w:t>技术标和经济标同时开启，广州交易集团有限公司（广州公共资源交易中心）交易平台将按招标文件规定的时间同时开启技术标</w:t>
      </w:r>
      <w:r>
        <w:rPr>
          <w:rFonts w:hint="eastAsia" w:ascii="宋体" w:hAnsi="宋体" w:cs="宋体"/>
          <w:b/>
          <w:bCs/>
          <w:sz w:val="24"/>
          <w:szCs w:val="24"/>
          <w:highlight w:val="none"/>
          <w:u w:val="single"/>
          <w:lang w:eastAsia="zh-CN"/>
        </w:rPr>
        <w:t>、</w:t>
      </w:r>
      <w:r>
        <w:rPr>
          <w:rFonts w:hint="eastAsia" w:ascii="宋体" w:hAnsi="宋体" w:cs="宋体"/>
          <w:b/>
          <w:bCs/>
          <w:sz w:val="24"/>
          <w:szCs w:val="24"/>
          <w:highlight w:val="none"/>
          <w:u w:val="single"/>
        </w:rPr>
        <w:t>经济标</w:t>
      </w:r>
      <w:r>
        <w:rPr>
          <w:rFonts w:hint="eastAsia" w:ascii="宋体" w:hAnsi="宋体" w:cs="宋体"/>
          <w:b/>
          <w:bCs/>
          <w:sz w:val="24"/>
          <w:szCs w:val="24"/>
          <w:highlight w:val="none"/>
          <w:u w:val="single"/>
          <w:lang w:eastAsia="zh-CN"/>
        </w:rPr>
        <w:t>及定标文件</w:t>
      </w:r>
      <w:r>
        <w:rPr>
          <w:rFonts w:hint="eastAsia" w:ascii="宋体" w:hAnsi="宋体"/>
          <w:color w:val="auto"/>
          <w:sz w:val="24"/>
          <w:highlight w:val="none"/>
        </w:rPr>
        <w:t>。</w:t>
      </w:r>
    </w:p>
    <w:p w14:paraId="34879E39">
      <w:pPr>
        <w:spacing w:line="360" w:lineRule="auto"/>
        <w:ind w:firstLine="482" w:firstLineChars="200"/>
        <w:rPr>
          <w:rFonts w:ascii="宋体" w:hAnsi="宋体"/>
          <w:color w:val="auto"/>
          <w:sz w:val="24"/>
          <w:highlight w:val="none"/>
        </w:rPr>
      </w:pPr>
      <w:r>
        <w:rPr>
          <w:rFonts w:hint="eastAsia" w:ascii="宋体" w:hAnsi="宋体"/>
          <w:b/>
          <w:bCs/>
          <w:sz w:val="24"/>
          <w:szCs w:val="24"/>
          <w:highlight w:val="none"/>
          <w:u w:val="single"/>
          <w:lang w:val="en-US" w:eastAsia="zh-CN" w:bidi="ar-SA"/>
        </w:rPr>
        <w:t>19.6签订合同前中标单位应向招标人递交2套投标文件纸质版。</w:t>
      </w:r>
    </w:p>
    <w:p w14:paraId="059849A8">
      <w:pPr>
        <w:spacing w:line="360" w:lineRule="auto"/>
        <w:ind w:firstLine="482" w:firstLineChars="200"/>
        <w:rPr>
          <w:rFonts w:ascii="宋体"/>
          <w:b/>
          <w:bCs/>
          <w:color w:val="auto"/>
          <w:sz w:val="24"/>
          <w:highlight w:val="none"/>
        </w:rPr>
      </w:pPr>
      <w:r>
        <w:rPr>
          <w:rFonts w:ascii="宋体" w:hAnsi="宋体"/>
          <w:b/>
          <w:bCs/>
          <w:color w:val="auto"/>
          <w:sz w:val="24"/>
          <w:highlight w:val="none"/>
        </w:rPr>
        <w:t>20</w:t>
      </w:r>
      <w:r>
        <w:rPr>
          <w:rFonts w:hint="eastAsia" w:ascii="宋体" w:hAnsi="宋体"/>
          <w:b/>
          <w:bCs/>
          <w:color w:val="auto"/>
          <w:sz w:val="24"/>
          <w:highlight w:val="none"/>
        </w:rPr>
        <w:t>．投标文件提交的截止时间</w:t>
      </w:r>
    </w:p>
    <w:p w14:paraId="3DE9DC10">
      <w:pPr>
        <w:spacing w:line="360" w:lineRule="auto"/>
        <w:ind w:firstLine="480" w:firstLineChars="200"/>
        <w:rPr>
          <w:rFonts w:ascii="宋体"/>
          <w:b/>
          <w:bCs/>
          <w:color w:val="auto"/>
          <w:sz w:val="24"/>
          <w:highlight w:val="none"/>
        </w:rPr>
      </w:pPr>
      <w:r>
        <w:rPr>
          <w:rFonts w:ascii="宋体" w:hAnsi="宋体"/>
          <w:color w:val="auto"/>
          <w:sz w:val="24"/>
          <w:highlight w:val="none"/>
        </w:rPr>
        <w:t>20.1</w:t>
      </w:r>
      <w:r>
        <w:rPr>
          <w:rFonts w:hint="eastAsia" w:ascii="宋体" w:hAnsi="宋体"/>
          <w:color w:val="auto"/>
          <w:sz w:val="24"/>
          <w:highlight w:val="none"/>
        </w:rPr>
        <w:t>投标人应在投标须知前附表第</w:t>
      </w:r>
      <w:r>
        <w:rPr>
          <w:rFonts w:hint="eastAsia" w:ascii="宋体" w:hAnsi="宋体"/>
          <w:color w:val="auto"/>
          <w:sz w:val="24"/>
          <w:highlight w:val="none"/>
          <w:lang w:val="en-US" w:eastAsia="zh-CN"/>
        </w:rPr>
        <w:t>17</w:t>
      </w:r>
      <w:r>
        <w:rPr>
          <w:rFonts w:hint="eastAsia" w:ascii="宋体" w:hAnsi="宋体"/>
          <w:color w:val="auto"/>
          <w:sz w:val="24"/>
          <w:highlight w:val="none"/>
        </w:rPr>
        <w:t>项所述的时间前提交投标文件。</w:t>
      </w:r>
    </w:p>
    <w:p w14:paraId="1579D225">
      <w:pPr>
        <w:spacing w:line="360" w:lineRule="auto"/>
        <w:ind w:firstLine="480" w:firstLineChars="200"/>
        <w:rPr>
          <w:rFonts w:ascii="宋体"/>
          <w:color w:val="auto"/>
          <w:sz w:val="24"/>
          <w:highlight w:val="none"/>
        </w:rPr>
      </w:pPr>
      <w:r>
        <w:rPr>
          <w:rFonts w:ascii="宋体" w:hAnsi="宋体"/>
          <w:color w:val="auto"/>
          <w:sz w:val="24"/>
          <w:highlight w:val="none"/>
        </w:rPr>
        <w:t>20.2</w:t>
      </w:r>
      <w:r>
        <w:rPr>
          <w:rFonts w:hint="eastAsia" w:ascii="宋体" w:hAnsi="宋体"/>
          <w:color w:val="auto"/>
          <w:sz w:val="24"/>
          <w:highlight w:val="none"/>
        </w:rPr>
        <w:t>招标人可按本须知第</w:t>
      </w:r>
      <w:r>
        <w:rPr>
          <w:rFonts w:ascii="宋体" w:hAnsi="宋体"/>
          <w:color w:val="auto"/>
          <w:sz w:val="24"/>
          <w:highlight w:val="none"/>
        </w:rPr>
        <w:t>9</w:t>
      </w:r>
      <w:r>
        <w:rPr>
          <w:rFonts w:hint="eastAsia" w:ascii="宋体" w:hAnsi="宋体"/>
          <w:color w:val="auto"/>
          <w:sz w:val="24"/>
          <w:highlight w:val="none"/>
        </w:rPr>
        <w:t>条规定以招标文件修改的方式，酌情延长提交投标文件的截止时间。在此情况下，投标人的所有权利和义务以及投标人受制约的截止时间，均以延长后新的投标截止时间为准。</w:t>
      </w:r>
    </w:p>
    <w:p w14:paraId="2F391AA4">
      <w:pPr>
        <w:spacing w:line="360" w:lineRule="auto"/>
        <w:ind w:firstLine="480" w:firstLineChars="200"/>
        <w:rPr>
          <w:rFonts w:ascii="宋体"/>
          <w:color w:val="auto"/>
          <w:sz w:val="24"/>
          <w:highlight w:val="none"/>
        </w:rPr>
      </w:pPr>
      <w:r>
        <w:rPr>
          <w:rFonts w:ascii="宋体" w:hAnsi="宋体"/>
          <w:color w:val="auto"/>
          <w:sz w:val="24"/>
          <w:highlight w:val="none"/>
        </w:rPr>
        <w:t xml:space="preserve">20.3 </w:t>
      </w:r>
      <w:r>
        <w:rPr>
          <w:rFonts w:hint="eastAsia" w:ascii="宋体" w:hAnsi="宋体"/>
          <w:color w:val="auto"/>
          <w:sz w:val="24"/>
          <w:highlight w:val="none"/>
        </w:rPr>
        <w:t>到投标截止时间止，招标人收到的投标文件少于3家的，招标人将重新组织招标</w:t>
      </w:r>
      <w:r>
        <w:rPr>
          <w:rFonts w:hint="eastAsia" w:ascii="宋体" w:hAnsi="宋体"/>
          <w:color w:val="auto"/>
          <w:sz w:val="24"/>
          <w:szCs w:val="24"/>
          <w:highlight w:val="none"/>
        </w:rPr>
        <w:t>（当</w:t>
      </w:r>
      <w:r>
        <w:rPr>
          <w:rFonts w:ascii="宋体" w:hAnsi="宋体"/>
          <w:color w:val="auto"/>
          <w:sz w:val="24"/>
          <w:szCs w:val="24"/>
          <w:highlight w:val="none"/>
        </w:rPr>
        <w:t>N</w:t>
      </w:r>
      <w:r>
        <w:rPr>
          <w:rFonts w:hint="eastAsia" w:ascii="宋体" w:hAnsi="宋体"/>
          <w:color w:val="auto"/>
          <w:sz w:val="24"/>
          <w:szCs w:val="24"/>
          <w:highlight w:val="none"/>
        </w:rPr>
        <w:t>个标段同时招标且不允许兼中时，若有效投标人不足</w:t>
      </w:r>
      <w:r>
        <w:rPr>
          <w:rFonts w:ascii="宋体" w:hAnsi="宋体"/>
          <w:color w:val="auto"/>
          <w:sz w:val="24"/>
          <w:szCs w:val="24"/>
          <w:highlight w:val="none"/>
        </w:rPr>
        <w:t>N+</w:t>
      </w:r>
      <w:r>
        <w:rPr>
          <w:rFonts w:hint="eastAsia" w:ascii="宋体" w:hAnsi="宋体"/>
          <w:color w:val="auto"/>
          <w:sz w:val="24"/>
          <w:szCs w:val="24"/>
          <w:highlight w:val="none"/>
        </w:rPr>
        <w:t>2家，则重新组织招标）</w:t>
      </w:r>
      <w:r>
        <w:rPr>
          <w:rFonts w:hint="eastAsia" w:ascii="宋体" w:hAnsi="宋体"/>
          <w:color w:val="auto"/>
          <w:sz w:val="24"/>
          <w:highlight w:val="none"/>
        </w:rPr>
        <w:t>。</w:t>
      </w:r>
    </w:p>
    <w:p w14:paraId="360DB535">
      <w:pPr>
        <w:spacing w:line="360" w:lineRule="auto"/>
        <w:ind w:firstLine="482" w:firstLineChars="200"/>
        <w:rPr>
          <w:rFonts w:ascii="宋体"/>
          <w:b/>
          <w:bCs/>
          <w:color w:val="auto"/>
          <w:sz w:val="24"/>
          <w:highlight w:val="none"/>
        </w:rPr>
      </w:pPr>
      <w:r>
        <w:rPr>
          <w:rFonts w:ascii="宋体" w:hAnsi="宋体"/>
          <w:b/>
          <w:bCs/>
          <w:color w:val="auto"/>
          <w:sz w:val="24"/>
          <w:highlight w:val="none"/>
        </w:rPr>
        <w:t>21</w:t>
      </w:r>
      <w:r>
        <w:rPr>
          <w:rFonts w:hint="eastAsia" w:ascii="宋体" w:hAnsi="宋体"/>
          <w:b/>
          <w:bCs/>
          <w:color w:val="auto"/>
          <w:sz w:val="24"/>
          <w:highlight w:val="none"/>
        </w:rPr>
        <w:t>．迟交的投标文件</w:t>
      </w:r>
    </w:p>
    <w:p w14:paraId="63C26C15">
      <w:pPr>
        <w:spacing w:line="360" w:lineRule="auto"/>
        <w:ind w:firstLine="480" w:firstLineChars="200"/>
        <w:rPr>
          <w:rFonts w:ascii="宋体"/>
          <w:color w:val="auto"/>
          <w:sz w:val="24"/>
          <w:highlight w:val="none"/>
        </w:rPr>
      </w:pPr>
      <w:r>
        <w:rPr>
          <w:rFonts w:ascii="宋体" w:hAnsi="宋体"/>
          <w:color w:val="auto"/>
          <w:sz w:val="24"/>
          <w:highlight w:val="none"/>
        </w:rPr>
        <w:t xml:space="preserve">21.1 </w:t>
      </w:r>
      <w:r>
        <w:rPr>
          <w:rFonts w:hint="eastAsia" w:ascii="宋体" w:hAnsi="宋体"/>
          <w:color w:val="auto"/>
          <w:sz w:val="24"/>
          <w:highlight w:val="none"/>
        </w:rPr>
        <w:t>本须知前附表第</w:t>
      </w:r>
      <w:r>
        <w:rPr>
          <w:rFonts w:hint="eastAsia" w:ascii="宋体" w:hAnsi="宋体"/>
          <w:color w:val="auto"/>
          <w:sz w:val="24"/>
          <w:highlight w:val="none"/>
          <w:lang w:val="en-US" w:eastAsia="zh-CN"/>
        </w:rPr>
        <w:t>17</w:t>
      </w:r>
      <w:r>
        <w:rPr>
          <w:rFonts w:hint="eastAsia" w:ascii="宋体" w:hAnsi="宋体"/>
          <w:color w:val="auto"/>
          <w:sz w:val="24"/>
          <w:highlight w:val="none"/>
        </w:rPr>
        <w:t>项规定的投标截止时间</w:t>
      </w:r>
      <w:r>
        <w:rPr>
          <w:rFonts w:hint="eastAsia"/>
          <w:bCs/>
          <w:color w:val="auto"/>
          <w:sz w:val="24"/>
          <w:szCs w:val="24"/>
          <w:highlight w:val="none"/>
        </w:rPr>
        <w:t>后送达的</w:t>
      </w:r>
      <w:r>
        <w:rPr>
          <w:rFonts w:hint="eastAsia" w:ascii="宋体" w:hAnsi="宋体"/>
          <w:bCs/>
          <w:color w:val="auto"/>
          <w:sz w:val="24"/>
          <w:highlight w:val="none"/>
        </w:rPr>
        <w:t>电子投标文件，</w:t>
      </w:r>
      <w:r>
        <w:rPr>
          <w:rFonts w:hint="eastAsia" w:ascii="宋体" w:hAnsi="宋体" w:cs="宋体"/>
          <w:b/>
          <w:bCs/>
          <w:sz w:val="24"/>
          <w:szCs w:val="24"/>
          <w:highlight w:val="none"/>
          <w:u w:val="single"/>
        </w:rPr>
        <w:t>广州交易集团有限公司（广州公共资源交易中心）</w:t>
      </w:r>
      <w:r>
        <w:rPr>
          <w:rFonts w:hint="eastAsia" w:ascii="宋体" w:hAnsi="宋体"/>
          <w:color w:val="auto"/>
          <w:sz w:val="24"/>
          <w:szCs w:val="24"/>
          <w:highlight w:val="none"/>
        </w:rPr>
        <w:t>交易平台</w:t>
      </w:r>
      <w:r>
        <w:rPr>
          <w:rFonts w:hint="eastAsia" w:ascii="宋体" w:hAnsi="宋体"/>
          <w:color w:val="auto"/>
          <w:sz w:val="24"/>
          <w:highlight w:val="none"/>
        </w:rPr>
        <w:t>将予以拒收。</w:t>
      </w:r>
    </w:p>
    <w:p w14:paraId="4E828CCF">
      <w:pPr>
        <w:spacing w:line="360" w:lineRule="auto"/>
        <w:ind w:firstLine="482" w:firstLineChars="200"/>
        <w:rPr>
          <w:rFonts w:ascii="宋体"/>
          <w:b/>
          <w:bCs/>
          <w:color w:val="auto"/>
          <w:sz w:val="24"/>
          <w:highlight w:val="none"/>
        </w:rPr>
      </w:pPr>
      <w:r>
        <w:rPr>
          <w:rFonts w:ascii="宋体" w:hAnsi="宋体"/>
          <w:b/>
          <w:bCs/>
          <w:color w:val="auto"/>
          <w:sz w:val="24"/>
          <w:highlight w:val="none"/>
        </w:rPr>
        <w:t>22</w:t>
      </w:r>
      <w:r>
        <w:rPr>
          <w:rFonts w:hint="eastAsia" w:ascii="宋体" w:hAnsi="宋体"/>
          <w:b/>
          <w:bCs/>
          <w:color w:val="auto"/>
          <w:sz w:val="24"/>
          <w:highlight w:val="none"/>
        </w:rPr>
        <w:t>．投标文件的修改与撤回</w:t>
      </w:r>
    </w:p>
    <w:p w14:paraId="7C7084E8">
      <w:pPr>
        <w:spacing w:line="360" w:lineRule="auto"/>
        <w:ind w:firstLine="480" w:firstLineChars="200"/>
        <w:rPr>
          <w:rFonts w:ascii="宋体"/>
          <w:color w:val="auto"/>
          <w:sz w:val="24"/>
          <w:highlight w:val="none"/>
        </w:rPr>
      </w:pPr>
      <w:r>
        <w:rPr>
          <w:rFonts w:ascii="宋体" w:hAnsi="宋体"/>
          <w:color w:val="auto"/>
          <w:sz w:val="24"/>
          <w:highlight w:val="none"/>
        </w:rPr>
        <w:t>22.1</w:t>
      </w:r>
      <w:r>
        <w:rPr>
          <w:rFonts w:hint="eastAsia" w:ascii="宋体" w:hAnsi="宋体"/>
          <w:color w:val="auto"/>
          <w:sz w:val="24"/>
          <w:highlight w:val="none"/>
        </w:rPr>
        <w:t>在规定的投标截止时间前，投标人可以修改或撤回已递交的投标文件，但应以书面形式通知招标人。</w:t>
      </w:r>
    </w:p>
    <w:p w14:paraId="062DE5EB">
      <w:pPr>
        <w:spacing w:line="360" w:lineRule="auto"/>
        <w:ind w:firstLine="480" w:firstLineChars="200"/>
        <w:rPr>
          <w:color w:val="auto"/>
          <w:sz w:val="24"/>
          <w:szCs w:val="24"/>
          <w:highlight w:val="none"/>
        </w:rPr>
      </w:pPr>
      <w:r>
        <w:rPr>
          <w:rFonts w:ascii="宋体" w:hAnsi="宋体"/>
          <w:color w:val="auto"/>
          <w:sz w:val="24"/>
          <w:szCs w:val="24"/>
          <w:highlight w:val="none"/>
        </w:rPr>
        <w:t>22.2</w:t>
      </w:r>
      <w:r>
        <w:rPr>
          <w:color w:val="auto"/>
          <w:sz w:val="24"/>
          <w:szCs w:val="24"/>
          <w:highlight w:val="none"/>
        </w:rPr>
        <w:t>投标人修改或撤回已递交</w:t>
      </w:r>
      <w:r>
        <w:rPr>
          <w:rFonts w:hint="eastAsia"/>
          <w:color w:val="auto"/>
          <w:sz w:val="24"/>
          <w:szCs w:val="24"/>
          <w:highlight w:val="none"/>
        </w:rPr>
        <w:t>的</w:t>
      </w:r>
      <w:r>
        <w:rPr>
          <w:color w:val="auto"/>
          <w:sz w:val="24"/>
          <w:szCs w:val="24"/>
          <w:highlight w:val="none"/>
        </w:rPr>
        <w:t>投标文件</w:t>
      </w:r>
      <w:r>
        <w:rPr>
          <w:rFonts w:hint="eastAsia"/>
          <w:color w:val="auto"/>
          <w:sz w:val="24"/>
          <w:szCs w:val="24"/>
          <w:highlight w:val="none"/>
        </w:rPr>
        <w:t>，需在</w:t>
      </w:r>
      <w:r>
        <w:rPr>
          <w:rFonts w:hint="eastAsia" w:ascii="宋体" w:hAnsi="宋体"/>
          <w:color w:val="auto"/>
          <w:sz w:val="24"/>
          <w:highlight w:val="none"/>
        </w:rPr>
        <w:t>交易平台发出修改或撤回</w:t>
      </w:r>
      <w:r>
        <w:rPr>
          <w:color w:val="auto"/>
          <w:sz w:val="24"/>
          <w:szCs w:val="24"/>
          <w:highlight w:val="none"/>
        </w:rPr>
        <w:t>通知，</w:t>
      </w:r>
      <w:r>
        <w:rPr>
          <w:rFonts w:hint="eastAsia"/>
          <w:color w:val="auto"/>
          <w:sz w:val="24"/>
          <w:szCs w:val="24"/>
          <w:highlight w:val="none"/>
        </w:rPr>
        <w:t>并按</w:t>
      </w:r>
      <w:r>
        <w:rPr>
          <w:color w:val="auto"/>
          <w:sz w:val="24"/>
          <w:szCs w:val="24"/>
          <w:highlight w:val="none"/>
        </w:rPr>
        <w:t>要求加盖电子印章。</w:t>
      </w:r>
      <w:r>
        <w:rPr>
          <w:bCs/>
          <w:iCs/>
          <w:color w:val="auto"/>
          <w:sz w:val="24"/>
          <w:szCs w:val="24"/>
          <w:highlight w:val="none"/>
        </w:rPr>
        <w:t>电子招标投标交易平台收到通知后，</w:t>
      </w:r>
      <w:r>
        <w:rPr>
          <w:color w:val="auto"/>
          <w:sz w:val="24"/>
          <w:szCs w:val="24"/>
          <w:highlight w:val="none"/>
        </w:rPr>
        <w:t>即时向投标人发出确认回执通知。</w:t>
      </w:r>
    </w:p>
    <w:p w14:paraId="27ADEAE3">
      <w:pPr>
        <w:spacing w:line="360" w:lineRule="auto"/>
        <w:ind w:firstLine="480" w:firstLineChars="200"/>
        <w:rPr>
          <w:color w:val="auto"/>
          <w:sz w:val="24"/>
          <w:szCs w:val="24"/>
          <w:highlight w:val="none"/>
        </w:rPr>
      </w:pPr>
      <w:r>
        <w:rPr>
          <w:rFonts w:hint="eastAsia" w:ascii="宋体" w:hAnsi="宋体"/>
          <w:color w:val="auto"/>
          <w:sz w:val="24"/>
          <w:szCs w:val="24"/>
          <w:highlight w:val="none"/>
        </w:rPr>
        <w:t>22.3</w:t>
      </w:r>
      <w:r>
        <w:rPr>
          <w:rFonts w:hint="eastAsia"/>
          <w:color w:val="auto"/>
          <w:sz w:val="24"/>
          <w:szCs w:val="24"/>
          <w:highlight w:val="none"/>
        </w:rPr>
        <w:t>修改后再次递交的</w:t>
      </w:r>
      <w:r>
        <w:rPr>
          <w:rFonts w:hint="eastAsia"/>
          <w:bCs/>
          <w:iCs/>
          <w:color w:val="auto"/>
          <w:sz w:val="24"/>
          <w:szCs w:val="24"/>
          <w:highlight w:val="none"/>
        </w:rPr>
        <w:t>，按19点的规</w:t>
      </w:r>
      <w:r>
        <w:rPr>
          <w:rFonts w:hint="eastAsia"/>
          <w:color w:val="auto"/>
          <w:sz w:val="24"/>
          <w:szCs w:val="24"/>
          <w:highlight w:val="none"/>
        </w:rPr>
        <w:t>定执行。</w:t>
      </w:r>
    </w:p>
    <w:p w14:paraId="13B29A7C">
      <w:pPr>
        <w:spacing w:line="360" w:lineRule="auto"/>
        <w:ind w:firstLine="480" w:firstLineChars="200"/>
        <w:rPr>
          <w:rFonts w:ascii="宋体" w:hAnsi="宋体"/>
          <w:color w:val="auto"/>
          <w:sz w:val="24"/>
          <w:highlight w:val="none"/>
        </w:rPr>
      </w:pPr>
      <w:r>
        <w:rPr>
          <w:rFonts w:ascii="宋体" w:hAnsi="宋体"/>
          <w:color w:val="auto"/>
          <w:sz w:val="24"/>
          <w:highlight w:val="none"/>
        </w:rPr>
        <w:t>22.</w:t>
      </w:r>
      <w:r>
        <w:rPr>
          <w:rFonts w:hint="eastAsia" w:ascii="宋体" w:hAnsi="宋体"/>
          <w:color w:val="auto"/>
          <w:sz w:val="24"/>
          <w:highlight w:val="none"/>
        </w:rPr>
        <w:t>4</w:t>
      </w:r>
      <w:r>
        <w:rPr>
          <w:rFonts w:ascii="宋体" w:hAnsi="宋体"/>
          <w:color w:val="auto"/>
          <w:sz w:val="24"/>
          <w:highlight w:val="none"/>
        </w:rPr>
        <w:t xml:space="preserve"> </w:t>
      </w:r>
      <w:r>
        <w:rPr>
          <w:rFonts w:hint="eastAsia" w:ascii="宋体" w:hAnsi="宋体"/>
          <w:color w:val="auto"/>
          <w:sz w:val="24"/>
          <w:highlight w:val="none"/>
        </w:rPr>
        <w:t>在投标截止时间之后，投标人不得补充、修改和更换投标文件。</w:t>
      </w:r>
    </w:p>
    <w:p w14:paraId="3B3DCADE">
      <w:pPr>
        <w:pStyle w:val="8"/>
        <w:spacing w:before="156" w:after="156"/>
        <w:rPr>
          <w:color w:val="auto"/>
          <w:highlight w:val="none"/>
        </w:rPr>
      </w:pPr>
      <w:bookmarkStart w:id="40" w:name="_Toc2272553"/>
      <w:bookmarkStart w:id="41" w:name="_Toc6026"/>
      <w:bookmarkStart w:id="42" w:name="_Toc21525497"/>
      <w:bookmarkStart w:id="43" w:name="_Toc21215"/>
      <w:r>
        <w:rPr>
          <w:rFonts w:hint="eastAsia"/>
          <w:color w:val="auto"/>
          <w:highlight w:val="none"/>
        </w:rPr>
        <w:t>（五）开标、评标、定标及合同签定</w:t>
      </w:r>
      <w:bookmarkEnd w:id="40"/>
      <w:bookmarkEnd w:id="41"/>
      <w:bookmarkEnd w:id="42"/>
      <w:bookmarkEnd w:id="43"/>
    </w:p>
    <w:p w14:paraId="75EB24EA">
      <w:pPr>
        <w:spacing w:line="360" w:lineRule="auto"/>
        <w:ind w:firstLine="482" w:firstLineChars="200"/>
        <w:rPr>
          <w:rFonts w:ascii="宋体"/>
          <w:b/>
          <w:bCs/>
          <w:color w:val="auto"/>
          <w:sz w:val="24"/>
          <w:highlight w:val="none"/>
        </w:rPr>
      </w:pPr>
      <w:r>
        <w:rPr>
          <w:rFonts w:ascii="宋体" w:hAnsi="宋体"/>
          <w:b/>
          <w:bCs/>
          <w:color w:val="auto"/>
          <w:sz w:val="24"/>
          <w:highlight w:val="none"/>
        </w:rPr>
        <w:t>23</w:t>
      </w:r>
      <w:r>
        <w:rPr>
          <w:rFonts w:hint="eastAsia" w:ascii="宋体" w:hAnsi="宋体"/>
          <w:b/>
          <w:bCs/>
          <w:color w:val="auto"/>
          <w:sz w:val="24"/>
          <w:highlight w:val="none"/>
        </w:rPr>
        <w:t>、开标。</w:t>
      </w:r>
    </w:p>
    <w:p w14:paraId="6BE0FB25">
      <w:pPr>
        <w:spacing w:line="360" w:lineRule="auto"/>
        <w:ind w:firstLine="480" w:firstLineChars="200"/>
        <w:rPr>
          <w:rFonts w:ascii="宋体"/>
          <w:color w:val="auto"/>
          <w:sz w:val="24"/>
          <w:highlight w:val="none"/>
        </w:rPr>
      </w:pPr>
      <w:r>
        <w:rPr>
          <w:rFonts w:hint="eastAsia" w:ascii="宋体" w:hAnsi="宋体"/>
          <w:color w:val="auto"/>
          <w:sz w:val="24"/>
          <w:highlight w:val="none"/>
        </w:rPr>
        <w:t>详见第二章开标、评标及定标办法</w:t>
      </w:r>
    </w:p>
    <w:p w14:paraId="22285517">
      <w:pPr>
        <w:spacing w:line="360" w:lineRule="auto"/>
        <w:ind w:firstLine="482" w:firstLineChars="200"/>
        <w:rPr>
          <w:rFonts w:ascii="宋体"/>
          <w:b/>
          <w:bCs/>
          <w:color w:val="auto"/>
          <w:sz w:val="24"/>
          <w:highlight w:val="none"/>
        </w:rPr>
      </w:pPr>
      <w:r>
        <w:rPr>
          <w:rFonts w:ascii="宋体" w:hAnsi="宋体"/>
          <w:b/>
          <w:bCs/>
          <w:color w:val="auto"/>
          <w:sz w:val="24"/>
          <w:highlight w:val="none"/>
        </w:rPr>
        <w:t>24</w:t>
      </w:r>
      <w:r>
        <w:rPr>
          <w:rFonts w:hint="eastAsia" w:ascii="宋体" w:hAnsi="宋体"/>
          <w:b/>
          <w:bCs/>
          <w:color w:val="auto"/>
          <w:sz w:val="24"/>
          <w:highlight w:val="none"/>
        </w:rPr>
        <w:t>．评标过程的保密</w:t>
      </w:r>
    </w:p>
    <w:p w14:paraId="4A4806A0">
      <w:pPr>
        <w:spacing w:line="360" w:lineRule="auto"/>
        <w:ind w:firstLine="480" w:firstLineChars="200"/>
        <w:rPr>
          <w:rFonts w:ascii="宋体"/>
          <w:color w:val="auto"/>
          <w:sz w:val="24"/>
          <w:highlight w:val="none"/>
        </w:rPr>
      </w:pPr>
      <w:r>
        <w:rPr>
          <w:rFonts w:ascii="宋体" w:hAnsi="宋体"/>
          <w:color w:val="auto"/>
          <w:sz w:val="24"/>
          <w:highlight w:val="none"/>
        </w:rPr>
        <w:t xml:space="preserve">24.1 </w:t>
      </w:r>
      <w:r>
        <w:rPr>
          <w:rFonts w:hint="eastAsia" w:ascii="宋体" w:hAnsi="宋体"/>
          <w:color w:val="auto"/>
          <w:sz w:val="24"/>
          <w:highlight w:val="none"/>
        </w:rPr>
        <w:t>开标后，直至中标公示为止，凡属于对投标文件的审查、澄清、评价和比较有关的资料以及中标候选人的推荐情况，与评标</w:t>
      </w:r>
      <w:r>
        <w:rPr>
          <w:rFonts w:hint="eastAsia" w:ascii="宋体" w:hAnsi="宋体" w:cs="宋体"/>
          <w:b/>
          <w:bCs/>
          <w:sz w:val="24"/>
          <w:szCs w:val="24"/>
          <w:highlight w:val="none"/>
          <w:u w:val="single"/>
        </w:rPr>
        <w:t>及定标</w:t>
      </w:r>
      <w:r>
        <w:rPr>
          <w:rFonts w:hint="eastAsia" w:ascii="宋体" w:hAnsi="宋体"/>
          <w:color w:val="auto"/>
          <w:sz w:val="24"/>
          <w:highlight w:val="none"/>
        </w:rPr>
        <w:t>有关的其他任何情况均严格保密。</w:t>
      </w:r>
    </w:p>
    <w:p w14:paraId="473B0C50">
      <w:pPr>
        <w:spacing w:line="360" w:lineRule="auto"/>
        <w:ind w:firstLine="480" w:firstLineChars="200"/>
        <w:rPr>
          <w:rFonts w:asci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在投标文件的评审和比较、中标候选人推荐以及授予合同的过程中，投标人向招标人和评标委员会</w:t>
      </w:r>
      <w:r>
        <w:rPr>
          <w:rFonts w:hint="eastAsia" w:ascii="宋体" w:hAnsi="宋体" w:cs="宋体"/>
          <w:b/>
          <w:bCs/>
          <w:sz w:val="24"/>
          <w:szCs w:val="24"/>
          <w:highlight w:val="none"/>
          <w:u w:val="single"/>
        </w:rPr>
        <w:t>和定标委员会</w:t>
      </w:r>
      <w:r>
        <w:rPr>
          <w:rFonts w:hint="eastAsia" w:ascii="宋体" w:hAnsi="宋体"/>
          <w:color w:val="auto"/>
          <w:sz w:val="24"/>
          <w:highlight w:val="none"/>
        </w:rPr>
        <w:t>施加不公正影响的任何行为，都将会导致其投标被拒绝。</w:t>
      </w:r>
    </w:p>
    <w:p w14:paraId="71429F14">
      <w:pPr>
        <w:spacing w:line="360" w:lineRule="auto"/>
        <w:ind w:firstLine="482" w:firstLineChars="200"/>
        <w:rPr>
          <w:rFonts w:ascii="宋体"/>
          <w:b/>
          <w:bCs/>
          <w:color w:val="auto"/>
          <w:sz w:val="24"/>
          <w:highlight w:val="none"/>
        </w:rPr>
      </w:pPr>
      <w:r>
        <w:rPr>
          <w:rFonts w:ascii="宋体" w:hAnsi="宋体"/>
          <w:b/>
          <w:bCs/>
          <w:color w:val="auto"/>
          <w:sz w:val="24"/>
          <w:highlight w:val="none"/>
        </w:rPr>
        <w:t>25</w:t>
      </w:r>
      <w:r>
        <w:rPr>
          <w:rFonts w:hint="eastAsia" w:ascii="宋体" w:hAnsi="宋体"/>
          <w:b/>
          <w:bCs/>
          <w:color w:val="auto"/>
          <w:sz w:val="24"/>
          <w:highlight w:val="none"/>
        </w:rPr>
        <w:t>．投标文件的澄清，计算错误的修正</w:t>
      </w:r>
    </w:p>
    <w:p w14:paraId="5FC93FAD">
      <w:pPr>
        <w:spacing w:line="360" w:lineRule="auto"/>
        <w:ind w:firstLine="480" w:firstLineChars="200"/>
        <w:rPr>
          <w:rFonts w:ascii="宋体"/>
          <w:color w:val="auto"/>
          <w:sz w:val="24"/>
          <w:highlight w:val="none"/>
        </w:rPr>
      </w:pPr>
      <w:r>
        <w:rPr>
          <w:rFonts w:hint="eastAsia" w:ascii="宋体" w:hAnsi="宋体"/>
          <w:color w:val="auto"/>
          <w:sz w:val="24"/>
          <w:highlight w:val="none"/>
        </w:rPr>
        <w:t>详见招标文件第二章开标、评标及定标办法</w:t>
      </w:r>
    </w:p>
    <w:p w14:paraId="77899DFD">
      <w:pPr>
        <w:spacing w:line="360" w:lineRule="auto"/>
        <w:ind w:firstLine="482" w:firstLineChars="200"/>
        <w:rPr>
          <w:rFonts w:ascii="宋体"/>
          <w:b/>
          <w:bCs/>
          <w:color w:val="auto"/>
          <w:sz w:val="24"/>
          <w:highlight w:val="none"/>
        </w:rPr>
      </w:pPr>
      <w:r>
        <w:rPr>
          <w:rFonts w:ascii="宋体" w:hAnsi="宋体"/>
          <w:b/>
          <w:bCs/>
          <w:color w:val="auto"/>
          <w:sz w:val="24"/>
          <w:highlight w:val="none"/>
        </w:rPr>
        <w:t>26</w:t>
      </w:r>
      <w:r>
        <w:rPr>
          <w:rFonts w:hint="eastAsia" w:ascii="宋体" w:hAnsi="宋体"/>
          <w:b/>
          <w:bCs/>
          <w:color w:val="auto"/>
          <w:sz w:val="24"/>
          <w:highlight w:val="none"/>
        </w:rPr>
        <w:t>．投标文件的评审、比较和否决</w:t>
      </w:r>
    </w:p>
    <w:p w14:paraId="4E3CD810">
      <w:pPr>
        <w:spacing w:line="360" w:lineRule="auto"/>
        <w:ind w:firstLine="480" w:firstLineChars="200"/>
        <w:rPr>
          <w:rFonts w:ascii="宋体"/>
          <w:bCs/>
          <w:color w:val="auto"/>
          <w:sz w:val="24"/>
          <w:szCs w:val="24"/>
          <w:highlight w:val="none"/>
        </w:rPr>
      </w:pPr>
      <w:r>
        <w:rPr>
          <w:rFonts w:hint="eastAsia" w:ascii="宋体" w:hAnsi="宋体"/>
          <w:color w:val="auto"/>
          <w:sz w:val="24"/>
          <w:highlight w:val="none"/>
        </w:rPr>
        <w:t>详见招标文件第二章开标、评标及定标办法。</w:t>
      </w:r>
    </w:p>
    <w:p w14:paraId="4A70CB42">
      <w:pPr>
        <w:numPr>
          <w:ilvl w:val="0"/>
          <w:numId w:val="7"/>
        </w:numPr>
        <w:spacing w:line="360" w:lineRule="auto"/>
        <w:ind w:firstLine="482" w:firstLineChars="200"/>
        <w:rPr>
          <w:rFonts w:hint="eastAsia" w:ascii="宋体" w:hAnsi="宋体"/>
          <w:b/>
          <w:bCs/>
          <w:color w:val="auto"/>
          <w:sz w:val="24"/>
          <w:highlight w:val="none"/>
          <w:lang w:eastAsia="zh-CN"/>
        </w:rPr>
      </w:pPr>
      <w:r>
        <w:rPr>
          <w:rFonts w:hint="eastAsia" w:ascii="宋体" w:hAnsi="宋体"/>
          <w:b/>
          <w:bCs/>
          <w:color w:val="auto"/>
          <w:sz w:val="24"/>
          <w:highlight w:val="none"/>
          <w:lang w:eastAsia="zh-CN"/>
        </w:rPr>
        <w:t>定标</w:t>
      </w:r>
    </w:p>
    <w:p w14:paraId="2CD1E79B">
      <w:pPr>
        <w:pStyle w:val="20"/>
        <w:ind w:firstLine="480" w:firstLineChars="200"/>
        <w:rPr>
          <w:rFonts w:hint="eastAsia" w:ascii="宋体" w:hAnsi="宋体" w:eastAsia="宋体" w:cs="Times New Roman"/>
          <w:color w:val="auto"/>
          <w:kern w:val="2"/>
          <w:sz w:val="24"/>
          <w:szCs w:val="22"/>
          <w:highlight w:val="none"/>
          <w:lang w:val="en-US" w:eastAsia="zh-CN" w:bidi="ar-SA"/>
        </w:rPr>
      </w:pPr>
      <w:r>
        <w:rPr>
          <w:rFonts w:hint="eastAsia" w:ascii="宋体" w:hAnsi="宋体" w:eastAsia="宋体" w:cs="Times New Roman"/>
          <w:color w:val="auto"/>
          <w:kern w:val="2"/>
          <w:sz w:val="24"/>
          <w:szCs w:val="22"/>
          <w:highlight w:val="none"/>
          <w:lang w:val="en-US" w:eastAsia="zh-CN" w:bidi="ar-SA"/>
        </w:rPr>
        <w:t>27.1按照投标人须知前附表的规定，由招标人或招标人授权的评标委员会依法确定中标人。</w:t>
      </w:r>
    </w:p>
    <w:p w14:paraId="3EDC8ABA">
      <w:pPr>
        <w:pStyle w:val="20"/>
        <w:ind w:firstLine="480" w:firstLineChars="200"/>
        <w:rPr>
          <w:rFonts w:hint="default" w:ascii="宋体" w:hAnsi="宋体" w:eastAsia="宋体" w:cs="Times New Roman"/>
          <w:color w:val="auto"/>
          <w:kern w:val="2"/>
          <w:sz w:val="24"/>
          <w:szCs w:val="22"/>
          <w:highlight w:val="none"/>
          <w:lang w:val="en-US" w:eastAsia="zh-CN" w:bidi="ar-SA"/>
        </w:rPr>
      </w:pPr>
      <w:r>
        <w:rPr>
          <w:rFonts w:hint="eastAsia" w:ascii="宋体" w:hAnsi="宋体" w:eastAsia="宋体" w:cs="Times New Roman"/>
          <w:color w:val="auto"/>
          <w:kern w:val="2"/>
          <w:sz w:val="24"/>
          <w:szCs w:val="22"/>
          <w:highlight w:val="none"/>
          <w:lang w:val="en-US" w:eastAsia="zh-CN" w:bidi="ar-SA"/>
        </w:rPr>
        <w:t>27.2采用评定分离方式确定中标人的，从其规定。</w:t>
      </w:r>
    </w:p>
    <w:p w14:paraId="473DA73C">
      <w:pPr>
        <w:pStyle w:val="20"/>
        <w:rPr>
          <w:rFonts w:hint="default"/>
          <w:b w:val="0"/>
          <w:bCs w:val="0"/>
          <w:color w:val="auto"/>
          <w:highlight w:val="none"/>
          <w:lang w:val="en-US" w:eastAsia="zh-CN"/>
        </w:rPr>
      </w:pPr>
    </w:p>
    <w:p w14:paraId="601F9B20">
      <w:pPr>
        <w:numPr>
          <w:ilvl w:val="0"/>
          <w:numId w:val="7"/>
        </w:numPr>
        <w:spacing w:line="360" w:lineRule="auto"/>
        <w:ind w:firstLine="482" w:firstLineChars="200"/>
        <w:rPr>
          <w:rFonts w:ascii="宋体"/>
          <w:b/>
          <w:bCs/>
          <w:color w:val="auto"/>
          <w:sz w:val="24"/>
          <w:highlight w:val="none"/>
        </w:rPr>
      </w:pPr>
      <w:r>
        <w:rPr>
          <w:rFonts w:hint="eastAsia" w:ascii="宋体" w:hAnsi="宋体"/>
          <w:b/>
          <w:bCs/>
          <w:color w:val="auto"/>
          <w:sz w:val="24"/>
          <w:highlight w:val="none"/>
        </w:rPr>
        <w:t>中标通知书</w:t>
      </w:r>
    </w:p>
    <w:p w14:paraId="3A334A03">
      <w:pPr>
        <w:spacing w:line="360" w:lineRule="auto"/>
        <w:ind w:firstLine="480" w:firstLineChars="200"/>
        <w:rPr>
          <w:rFonts w:hint="eastAsia" w:eastAsia="宋体"/>
          <w:color w:val="auto"/>
          <w:highlight w:val="none"/>
          <w:lang w:eastAsia="zh-CN"/>
        </w:rPr>
      </w:pPr>
      <w:r>
        <w:rPr>
          <w:rFonts w:hint="eastAsia" w:ascii="宋体" w:hAnsi="宋体"/>
          <w:color w:val="auto"/>
          <w:sz w:val="24"/>
          <w:highlight w:val="none"/>
          <w:lang w:val="en-US" w:eastAsia="zh-CN"/>
        </w:rPr>
        <w:t>28</w:t>
      </w:r>
      <w:r>
        <w:rPr>
          <w:rFonts w:hint="eastAsia" w:ascii="宋体" w:hAnsi="宋体"/>
          <w:color w:val="auto"/>
          <w:sz w:val="24"/>
          <w:highlight w:val="none"/>
        </w:rPr>
        <w:t>.1招标人将在</w:t>
      </w:r>
      <w:r>
        <w:rPr>
          <w:rFonts w:hint="eastAsia" w:ascii="宋体" w:hAnsi="宋体" w:cs="宋体"/>
          <w:b/>
          <w:bCs/>
          <w:sz w:val="24"/>
          <w:szCs w:val="24"/>
          <w:highlight w:val="none"/>
          <w:u w:val="single"/>
        </w:rPr>
        <w:t>广州交易集团有限公司（广州公共资源交易中心）</w:t>
      </w:r>
      <w:r>
        <w:rPr>
          <w:rFonts w:hint="eastAsia" w:ascii="宋体" w:hAnsi="宋体"/>
          <w:color w:val="auto"/>
          <w:sz w:val="24"/>
          <w:highlight w:val="none"/>
        </w:rPr>
        <w:t>交易平台、广东省招标投标监管网</w:t>
      </w:r>
      <w:r>
        <w:rPr>
          <w:rFonts w:hint="eastAsia" w:ascii="宋体" w:hAnsi="宋体"/>
          <w:color w:val="auto"/>
          <w:sz w:val="24"/>
          <w:highlight w:val="none"/>
          <w:lang w:eastAsia="zh-CN"/>
        </w:rPr>
        <w:t>、</w:t>
      </w:r>
      <w:r>
        <w:rPr>
          <w:rFonts w:hint="eastAsia" w:ascii="宋体" w:hAnsi="宋体"/>
          <w:color w:val="auto"/>
          <w:sz w:val="24"/>
          <w:highlight w:val="none"/>
        </w:rPr>
        <w:t>中国招标投标公共服务平台</w:t>
      </w:r>
      <w:r>
        <w:rPr>
          <w:rFonts w:hint="eastAsia" w:ascii="宋体" w:hAnsi="宋体" w:cs="宋体"/>
          <w:b/>
          <w:bCs/>
          <w:sz w:val="24"/>
          <w:szCs w:val="24"/>
          <w:highlight w:val="none"/>
          <w:u w:val="single"/>
        </w:rPr>
        <w:t>及广州国企阳光采购信息发布平台</w:t>
      </w:r>
      <w:r>
        <w:rPr>
          <w:rFonts w:hint="eastAsia" w:ascii="宋体" w:hAnsi="宋体"/>
          <w:color w:val="auto"/>
          <w:sz w:val="24"/>
          <w:highlight w:val="none"/>
        </w:rPr>
        <w:t>公示中标候选人，公示期为三天</w:t>
      </w:r>
      <w:r>
        <w:rPr>
          <w:rFonts w:hint="eastAsia" w:ascii="宋体" w:hAnsi="宋体"/>
          <w:color w:val="auto"/>
          <w:sz w:val="24"/>
          <w:highlight w:val="none"/>
          <w:lang w:eastAsia="zh-CN"/>
        </w:rPr>
        <w:t>（最后一天应为工作日）</w:t>
      </w:r>
      <w:r>
        <w:rPr>
          <w:rFonts w:hint="eastAsia" w:ascii="宋体" w:hAnsi="宋体"/>
          <w:color w:val="auto"/>
          <w:sz w:val="24"/>
          <w:highlight w:val="none"/>
        </w:rPr>
        <w:t>。投标人或其他利害关系人对评标结果有异议的，应当在中标候选人公示期间提出，通过</w:t>
      </w:r>
      <w:r>
        <w:rPr>
          <w:rFonts w:hint="eastAsia" w:ascii="宋体" w:hAnsi="宋体"/>
          <w:color w:val="auto"/>
          <w:sz w:val="24"/>
          <w:highlight w:val="none"/>
          <w:lang w:eastAsia="zh-CN"/>
        </w:rPr>
        <w:t>电子交易系统向招标人</w:t>
      </w:r>
      <w:r>
        <w:rPr>
          <w:rFonts w:hint="eastAsia" w:ascii="宋体" w:hAnsi="宋体"/>
          <w:color w:val="auto"/>
          <w:sz w:val="24"/>
          <w:highlight w:val="none"/>
        </w:rPr>
        <w:t>提出异议</w:t>
      </w:r>
      <w:r>
        <w:rPr>
          <w:rFonts w:hint="eastAsia" w:ascii="宋体" w:hAnsi="宋体"/>
          <w:color w:val="auto"/>
          <w:sz w:val="24"/>
          <w:highlight w:val="none"/>
          <w:lang w:eastAsia="zh-CN"/>
        </w:rPr>
        <w:t>，</w:t>
      </w:r>
      <w:r>
        <w:rPr>
          <w:rFonts w:hint="eastAsia" w:ascii="宋体" w:hAnsi="宋体"/>
          <w:color w:val="auto"/>
          <w:sz w:val="24"/>
          <w:highlight w:val="none"/>
        </w:rPr>
        <w:t>招标人也应通过交易平台答复线上提交的异议</w:t>
      </w:r>
      <w:r>
        <w:rPr>
          <w:rFonts w:hint="eastAsia" w:ascii="宋体" w:hAnsi="宋体"/>
          <w:color w:val="auto"/>
          <w:sz w:val="24"/>
          <w:highlight w:val="none"/>
          <w:lang w:eastAsia="zh-CN"/>
        </w:rPr>
        <w:t>，</w:t>
      </w:r>
      <w:r>
        <w:rPr>
          <w:rFonts w:hint="eastAsia" w:ascii="宋体" w:hAnsi="宋体"/>
          <w:color w:val="auto"/>
          <w:sz w:val="24"/>
          <w:highlight w:val="none"/>
        </w:rPr>
        <w:t>具体按照</w:t>
      </w:r>
      <w:r>
        <w:rPr>
          <w:rFonts w:hint="eastAsia" w:ascii="宋体" w:hAnsi="宋体"/>
          <w:color w:val="auto"/>
          <w:sz w:val="24"/>
          <w:highlight w:val="none"/>
          <w:lang w:eastAsia="zh-CN"/>
        </w:rPr>
        <w:t>电子招标投标</w:t>
      </w:r>
      <w:r>
        <w:rPr>
          <w:rFonts w:hint="eastAsia" w:ascii="宋体" w:hAnsi="宋体"/>
          <w:color w:val="auto"/>
          <w:sz w:val="24"/>
          <w:highlight w:val="none"/>
        </w:rPr>
        <w:t>交易平台相关指南进行操作。作出答复前，应当暂停招标投标活动。</w:t>
      </w:r>
      <w:r>
        <w:rPr>
          <w:rFonts w:hint="eastAsia" w:ascii="宋体" w:hAnsi="宋体"/>
          <w:color w:val="auto"/>
          <w:sz w:val="24"/>
          <w:highlight w:val="none"/>
          <w:u w:val="single"/>
          <w:lang w:eastAsia="zh-CN"/>
        </w:rPr>
        <w:t>投标人提出异议时需</w:t>
      </w:r>
      <w:r>
        <w:rPr>
          <w:rFonts w:hint="eastAsia" w:ascii="宋体" w:hAnsi="宋体"/>
          <w:color w:val="auto"/>
          <w:sz w:val="24"/>
          <w:highlight w:val="none"/>
          <w:u w:val="single"/>
          <w:lang w:val="en-US" w:eastAsia="zh-CN"/>
        </w:rPr>
        <w:t>在线提交</w:t>
      </w:r>
      <w:r>
        <w:rPr>
          <w:rFonts w:hint="eastAsia" w:ascii="宋体" w:hAnsi="宋体"/>
          <w:color w:val="auto"/>
          <w:sz w:val="24"/>
          <w:highlight w:val="none"/>
          <w:u w:val="single"/>
          <w:lang w:eastAsia="zh-CN"/>
        </w:rPr>
        <w:t>书面的异议书（异议书应清晰表述异议事项、依据、线索、请求或主张、有效的联系方式等）并附法定代表人证明书、有效的授权委托书、被授权人的有效身份证明。</w:t>
      </w:r>
    </w:p>
    <w:p w14:paraId="5A67EAFE">
      <w:pPr>
        <w:spacing w:line="360" w:lineRule="auto"/>
        <w:ind w:firstLine="480" w:firstLineChars="200"/>
        <w:rPr>
          <w:rFonts w:ascii="仿宋_GB2312" w:hAnsi="宋体" w:eastAsia="仿宋_GB2312"/>
          <w:color w:val="auto"/>
          <w:sz w:val="24"/>
          <w:highlight w:val="none"/>
        </w:rPr>
      </w:pPr>
      <w:r>
        <w:rPr>
          <w:rFonts w:hint="eastAsia" w:ascii="宋体" w:hAnsi="宋体"/>
          <w:color w:val="auto"/>
          <w:sz w:val="24"/>
          <w:highlight w:val="none"/>
          <w:lang w:val="en-US" w:eastAsia="zh-CN"/>
        </w:rPr>
        <w:t>28</w:t>
      </w:r>
      <w:r>
        <w:rPr>
          <w:rFonts w:ascii="宋体" w:hAnsi="宋体"/>
          <w:color w:val="auto"/>
          <w:sz w:val="24"/>
          <w:highlight w:val="none"/>
        </w:rPr>
        <w:t>.2</w:t>
      </w:r>
      <w:r>
        <w:rPr>
          <w:rFonts w:hint="eastAsia" w:ascii="宋体" w:hAnsi="宋体"/>
          <w:color w:val="auto"/>
          <w:sz w:val="24"/>
          <w:highlight w:val="none"/>
        </w:rPr>
        <w:t>招标人应当自确定中标人后，向招标投标监管机构提交招标投标情况的书面报告。</w:t>
      </w:r>
    </w:p>
    <w:p w14:paraId="4FDE8F80">
      <w:pPr>
        <w:spacing w:line="360" w:lineRule="auto"/>
        <w:ind w:firstLine="480" w:firstLineChars="200"/>
        <w:rPr>
          <w:rFonts w:ascii="宋体" w:hAnsi="宋体"/>
          <w:color w:val="auto"/>
          <w:sz w:val="24"/>
          <w:highlight w:val="none"/>
        </w:rPr>
      </w:pPr>
      <w:r>
        <w:rPr>
          <w:rFonts w:hint="eastAsia" w:ascii="宋体" w:hAnsi="宋体"/>
          <w:color w:val="auto"/>
          <w:sz w:val="24"/>
          <w:highlight w:val="none"/>
          <w:lang w:val="en-US" w:eastAsia="zh-CN"/>
        </w:rPr>
        <w:t>28</w:t>
      </w:r>
      <w:r>
        <w:rPr>
          <w:rFonts w:ascii="宋体" w:hAnsi="宋体"/>
          <w:color w:val="auto"/>
          <w:sz w:val="24"/>
          <w:highlight w:val="none"/>
        </w:rPr>
        <w:t>.3</w:t>
      </w:r>
      <w:r>
        <w:rPr>
          <w:rFonts w:hint="eastAsia" w:ascii="宋体" w:hAnsi="宋体"/>
          <w:color w:val="auto"/>
          <w:sz w:val="24"/>
          <w:highlight w:val="none"/>
        </w:rPr>
        <w:t>中标人必须在收到中标通知书后</w:t>
      </w:r>
      <w:r>
        <w:rPr>
          <w:rFonts w:ascii="宋体" w:hAnsi="宋体"/>
          <w:color w:val="auto"/>
          <w:sz w:val="24"/>
          <w:highlight w:val="none"/>
        </w:rPr>
        <w:t>24</w:t>
      </w:r>
      <w:r>
        <w:rPr>
          <w:rFonts w:hint="eastAsia" w:ascii="宋体" w:hAnsi="宋体"/>
          <w:color w:val="auto"/>
          <w:sz w:val="24"/>
          <w:highlight w:val="none"/>
        </w:rPr>
        <w:t>小时之内以书面形式回复招标人，确认收到。</w:t>
      </w:r>
    </w:p>
    <w:p w14:paraId="6AEFCC05">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28</w:t>
      </w:r>
      <w:r>
        <w:rPr>
          <w:rFonts w:hint="eastAsia" w:ascii="宋体" w:hAnsi="宋体"/>
          <w:color w:val="auto"/>
          <w:sz w:val="24"/>
          <w:highlight w:val="none"/>
        </w:rPr>
        <w:t>.4在产生中标候选人后，招标人将中标候选人的投标文件商务部分文件的所有内容（包括人员、业绩、奖项等资料）在</w:t>
      </w:r>
      <w:r>
        <w:rPr>
          <w:rFonts w:hint="eastAsia" w:ascii="宋体" w:hAnsi="宋体" w:cs="宋体"/>
          <w:b/>
          <w:bCs/>
          <w:sz w:val="24"/>
          <w:szCs w:val="24"/>
          <w:highlight w:val="none"/>
          <w:u w:val="single"/>
        </w:rPr>
        <w:t>广州交易集团有限公司（广州公共资源交易中心）</w:t>
      </w:r>
      <w:r>
        <w:rPr>
          <w:rFonts w:hint="eastAsia" w:ascii="宋体" w:hAnsi="宋体"/>
          <w:color w:val="auto"/>
          <w:sz w:val="24"/>
          <w:highlight w:val="none"/>
        </w:rPr>
        <w:t>交易平台和广东省招标投标监管网公开。</w:t>
      </w:r>
    </w:p>
    <w:p w14:paraId="7D20B1BC">
      <w:pPr>
        <w:spacing w:line="360" w:lineRule="auto"/>
        <w:ind w:firstLine="480" w:firstLineChars="200"/>
        <w:rPr>
          <w:rFonts w:hint="eastAsia" w:ascii="宋体" w:hAnsi="宋体" w:eastAsia="宋体" w:cs="Times New Roman"/>
          <w:strike/>
          <w:color w:val="auto"/>
          <w:sz w:val="24"/>
          <w:highlight w:val="none"/>
          <w:lang w:eastAsia="zh-CN"/>
        </w:rPr>
      </w:pPr>
      <w:r>
        <w:rPr>
          <w:rFonts w:hint="eastAsia" w:ascii="宋体" w:hAnsi="宋体" w:cs="Times New Roman"/>
          <w:strike/>
          <w:color w:val="auto"/>
          <w:sz w:val="24"/>
          <w:highlight w:val="none"/>
          <w:lang w:val="en-US" w:eastAsia="zh-CN"/>
        </w:rPr>
        <w:t>28</w:t>
      </w:r>
      <w:r>
        <w:rPr>
          <w:rFonts w:hint="eastAsia" w:ascii="宋体" w:hAnsi="宋体" w:eastAsia="宋体" w:cs="Times New Roman"/>
          <w:strike/>
          <w:color w:val="auto"/>
          <w:sz w:val="24"/>
          <w:highlight w:val="none"/>
          <w:lang w:val="en-US" w:eastAsia="zh-CN"/>
        </w:rPr>
        <w:t>.5</w:t>
      </w:r>
      <w:r>
        <w:rPr>
          <w:rFonts w:hint="eastAsia" w:ascii="宋体" w:hAnsi="宋体" w:cs="Times New Roman"/>
          <w:strike/>
          <w:color w:val="auto"/>
          <w:sz w:val="24"/>
          <w:highlight w:val="none"/>
          <w:lang w:val="en-US" w:eastAsia="zh-CN"/>
        </w:rPr>
        <w:t>（适用于轨道交通建设项目）</w:t>
      </w:r>
      <w:r>
        <w:rPr>
          <w:rFonts w:hint="eastAsia" w:ascii="宋体" w:hAnsi="宋体" w:eastAsia="宋体" w:cs="Times New Roman"/>
          <w:strike/>
          <w:color w:val="auto"/>
          <w:sz w:val="24"/>
          <w:highlight w:val="none"/>
          <w:lang w:val="en-US" w:eastAsia="zh-CN"/>
        </w:rPr>
        <w:t>如</w:t>
      </w:r>
      <w:r>
        <w:rPr>
          <w:rFonts w:hint="eastAsia" w:ascii="宋体" w:hAnsi="宋体" w:eastAsia="宋体" w:cs="Times New Roman"/>
          <w:strike/>
          <w:color w:val="auto"/>
          <w:sz w:val="24"/>
          <w:highlight w:val="none"/>
        </w:rPr>
        <w:t>项目采用整体发包的形式开展施工总承包招标，</w:t>
      </w:r>
      <w:r>
        <w:rPr>
          <w:rFonts w:hint="eastAsia" w:ascii="宋体" w:hAnsi="宋体" w:eastAsia="宋体" w:cs="Times New Roman"/>
          <w:strike/>
          <w:color w:val="auto"/>
          <w:sz w:val="24"/>
          <w:highlight w:val="none"/>
          <w:lang w:eastAsia="zh-CN"/>
        </w:rPr>
        <w:t>且</w:t>
      </w:r>
      <w:r>
        <w:rPr>
          <w:rFonts w:hint="eastAsia" w:ascii="宋体" w:hAnsi="宋体" w:eastAsia="宋体" w:cs="Times New Roman"/>
          <w:strike/>
          <w:color w:val="auto"/>
          <w:sz w:val="24"/>
          <w:highlight w:val="none"/>
        </w:rPr>
        <w:t>后续需分</w:t>
      </w:r>
      <w:r>
        <w:rPr>
          <w:rFonts w:hint="eastAsia" w:ascii="宋体" w:hAnsi="宋体" w:cs="Times New Roman"/>
          <w:strike/>
          <w:color w:val="auto"/>
          <w:sz w:val="24"/>
          <w:highlight w:val="none"/>
          <w:lang w:eastAsia="zh-CN"/>
        </w:rPr>
        <w:t>段</w:t>
      </w:r>
      <w:r>
        <w:rPr>
          <w:rFonts w:hint="eastAsia" w:ascii="宋体" w:hAnsi="宋体" w:eastAsia="宋体" w:cs="Times New Roman"/>
          <w:strike/>
          <w:color w:val="auto"/>
          <w:sz w:val="24"/>
          <w:highlight w:val="none"/>
          <w:lang w:eastAsia="zh-CN"/>
        </w:rPr>
        <w:t>办理监督手续</w:t>
      </w:r>
      <w:r>
        <w:rPr>
          <w:rFonts w:hint="eastAsia" w:ascii="宋体" w:hAnsi="宋体" w:eastAsia="宋体" w:cs="Times New Roman"/>
          <w:strike/>
          <w:color w:val="auto"/>
          <w:sz w:val="24"/>
          <w:highlight w:val="none"/>
        </w:rPr>
        <w:t>，确定中标单位后，</w:t>
      </w:r>
      <w:r>
        <w:rPr>
          <w:rFonts w:hint="eastAsia" w:ascii="宋体" w:hAnsi="宋体" w:eastAsia="宋体" w:cs="Times New Roman"/>
          <w:strike/>
          <w:color w:val="auto"/>
          <w:sz w:val="24"/>
          <w:highlight w:val="none"/>
          <w:lang w:eastAsia="zh-CN"/>
        </w:rPr>
        <w:t>招标</w:t>
      </w:r>
      <w:r>
        <w:rPr>
          <w:rFonts w:hint="eastAsia" w:ascii="宋体" w:hAnsi="宋体" w:cs="Times New Roman"/>
          <w:strike/>
          <w:color w:val="auto"/>
          <w:sz w:val="24"/>
          <w:highlight w:val="none"/>
          <w:lang w:eastAsia="zh-CN"/>
        </w:rPr>
        <w:t>人</w:t>
      </w:r>
      <w:r>
        <w:rPr>
          <w:rFonts w:hint="eastAsia" w:ascii="宋体" w:hAnsi="宋体" w:eastAsia="宋体" w:cs="Times New Roman"/>
          <w:strike/>
          <w:color w:val="auto"/>
          <w:sz w:val="24"/>
          <w:highlight w:val="none"/>
        </w:rPr>
        <w:t>在向中标单位发出的中标通知书中一并标注施工总承包项目经理和各段项目经理</w:t>
      </w:r>
      <w:r>
        <w:rPr>
          <w:rFonts w:hint="eastAsia" w:ascii="宋体" w:hAnsi="宋体" w:eastAsia="宋体" w:cs="Times New Roman"/>
          <w:strike/>
          <w:color w:val="auto"/>
          <w:sz w:val="24"/>
          <w:highlight w:val="none"/>
          <w:lang w:eastAsia="zh-CN"/>
        </w:rPr>
        <w:t>。</w:t>
      </w:r>
    </w:p>
    <w:p w14:paraId="7CF3E596">
      <w:pPr>
        <w:spacing w:line="360" w:lineRule="auto"/>
        <w:ind w:firstLine="482" w:firstLineChars="200"/>
        <w:rPr>
          <w:rFonts w:ascii="宋体"/>
          <w:b/>
          <w:bCs/>
          <w:color w:val="auto"/>
          <w:sz w:val="24"/>
          <w:highlight w:val="none"/>
        </w:rPr>
      </w:pPr>
      <w:r>
        <w:rPr>
          <w:rFonts w:hint="eastAsia" w:ascii="宋体" w:hAnsi="宋体"/>
          <w:b/>
          <w:bCs/>
          <w:color w:val="auto"/>
          <w:sz w:val="24"/>
          <w:highlight w:val="none"/>
          <w:lang w:val="en-US" w:eastAsia="zh-CN"/>
        </w:rPr>
        <w:t>29</w:t>
      </w:r>
      <w:r>
        <w:rPr>
          <w:rFonts w:hint="eastAsia" w:ascii="宋体" w:hAnsi="宋体"/>
          <w:b/>
          <w:bCs/>
          <w:color w:val="auto"/>
          <w:sz w:val="24"/>
          <w:highlight w:val="none"/>
        </w:rPr>
        <w:t>．合同协议书的签订</w:t>
      </w:r>
    </w:p>
    <w:p w14:paraId="2B8DFC25">
      <w:pPr>
        <w:spacing w:line="360" w:lineRule="auto"/>
        <w:ind w:firstLine="480" w:firstLineChars="200"/>
        <w:rPr>
          <w:rFonts w:ascii="宋体"/>
          <w:color w:val="auto"/>
          <w:sz w:val="24"/>
          <w:highlight w:val="none"/>
        </w:rPr>
      </w:pPr>
      <w:r>
        <w:rPr>
          <w:rFonts w:ascii="宋体" w:hAnsi="宋体"/>
          <w:color w:val="auto"/>
          <w:sz w:val="24"/>
          <w:highlight w:val="none"/>
        </w:rPr>
        <w:t>2</w:t>
      </w:r>
      <w:r>
        <w:rPr>
          <w:rFonts w:hint="eastAsia" w:ascii="宋体" w:hAnsi="宋体"/>
          <w:color w:val="auto"/>
          <w:sz w:val="24"/>
          <w:highlight w:val="none"/>
          <w:lang w:val="en-US" w:eastAsia="zh-CN"/>
        </w:rPr>
        <w:t>9</w:t>
      </w:r>
      <w:r>
        <w:rPr>
          <w:rFonts w:ascii="宋体" w:hAnsi="宋体"/>
          <w:color w:val="auto"/>
          <w:sz w:val="24"/>
          <w:highlight w:val="none"/>
        </w:rPr>
        <w:t xml:space="preserve">.1 </w:t>
      </w:r>
      <w:r>
        <w:rPr>
          <w:rFonts w:hint="eastAsia" w:ascii="宋体" w:hAnsi="宋体" w:cs="宋体"/>
          <w:b/>
          <w:bCs/>
          <w:sz w:val="24"/>
          <w:szCs w:val="24"/>
          <w:highlight w:val="none"/>
          <w:u w:val="single"/>
        </w:rPr>
        <w:t>在合同签订后20日内，中标人应按本须知前附表第20项的规定向招标人递交履约担保；履约担保形式为银行保函（国内商业银行不可撤销的无条件履约保函）或其他担保方式，采用其他担保方式须经甲方批准。</w:t>
      </w:r>
    </w:p>
    <w:p w14:paraId="1B708F6F">
      <w:pPr>
        <w:spacing w:line="360" w:lineRule="auto"/>
        <w:ind w:firstLine="480" w:firstLineChars="200"/>
        <w:rPr>
          <w:rFonts w:ascii="宋体"/>
          <w:color w:val="auto"/>
          <w:sz w:val="24"/>
          <w:highlight w:val="none"/>
        </w:rPr>
      </w:pPr>
      <w:r>
        <w:rPr>
          <w:rFonts w:ascii="宋体" w:hAnsi="宋体"/>
          <w:color w:val="auto"/>
          <w:sz w:val="24"/>
          <w:highlight w:val="none"/>
        </w:rPr>
        <w:t>2</w:t>
      </w:r>
      <w:r>
        <w:rPr>
          <w:rFonts w:hint="eastAsia" w:ascii="宋体" w:hAnsi="宋体"/>
          <w:color w:val="auto"/>
          <w:sz w:val="24"/>
          <w:highlight w:val="none"/>
          <w:lang w:val="en-US" w:eastAsia="zh-CN"/>
        </w:rPr>
        <w:t>9</w:t>
      </w:r>
      <w:r>
        <w:rPr>
          <w:rFonts w:ascii="宋体" w:hAnsi="宋体"/>
          <w:color w:val="auto"/>
          <w:sz w:val="24"/>
          <w:highlight w:val="none"/>
        </w:rPr>
        <w:t>.2</w:t>
      </w:r>
      <w:r>
        <w:rPr>
          <w:rFonts w:hint="eastAsia" w:ascii="宋体" w:hAnsi="宋体" w:cs="宋体"/>
          <w:b/>
          <w:bCs/>
          <w:sz w:val="24"/>
          <w:szCs w:val="24"/>
          <w:highlight w:val="none"/>
          <w:u w:val="single"/>
        </w:rPr>
        <w:t>合同签订后20日内，中标人未按上款的规定递交履约担保，招标人将解除中标通知书，原中标人的投标担保不予退还，且依法承担相应法律责任。原中标人给招标人造成的损失超过投标担保数额的，还应当对超过部分予以赔偿。原中标人有异议的，可以向项目所在地人民法院起诉</w:t>
      </w:r>
      <w:r>
        <w:rPr>
          <w:rFonts w:hint="eastAsia" w:ascii="宋体" w:hAnsi="宋体" w:cs="宋体"/>
          <w:b/>
          <w:bCs/>
          <w:sz w:val="24"/>
          <w:szCs w:val="24"/>
          <w:highlight w:val="none"/>
        </w:rPr>
        <w:t>。</w:t>
      </w:r>
    </w:p>
    <w:p w14:paraId="0D80C85B">
      <w:pPr>
        <w:spacing w:line="360" w:lineRule="auto"/>
        <w:ind w:firstLine="480" w:firstLineChars="200"/>
        <w:rPr>
          <w:rFonts w:ascii="宋体"/>
          <w:color w:val="auto"/>
          <w:sz w:val="24"/>
          <w:highlight w:val="none"/>
        </w:rPr>
      </w:pPr>
      <w:r>
        <w:rPr>
          <w:rFonts w:ascii="宋体" w:hAnsi="宋体"/>
          <w:color w:val="auto"/>
          <w:sz w:val="24"/>
          <w:highlight w:val="none"/>
        </w:rPr>
        <w:t>2</w:t>
      </w:r>
      <w:r>
        <w:rPr>
          <w:rFonts w:hint="eastAsia" w:ascii="宋体" w:hAnsi="宋体"/>
          <w:color w:val="auto"/>
          <w:sz w:val="24"/>
          <w:highlight w:val="none"/>
          <w:lang w:val="en-US" w:eastAsia="zh-CN"/>
        </w:rPr>
        <w:t>9</w:t>
      </w:r>
      <w:r>
        <w:rPr>
          <w:rFonts w:ascii="宋体" w:hAnsi="宋体"/>
          <w:color w:val="auto"/>
          <w:sz w:val="24"/>
          <w:highlight w:val="none"/>
        </w:rPr>
        <w:t>.3</w:t>
      </w:r>
      <w:r>
        <w:rPr>
          <w:rFonts w:hint="eastAsia" w:ascii="宋体" w:hAnsi="宋体"/>
          <w:color w:val="auto"/>
          <w:sz w:val="24"/>
          <w:highlight w:val="none"/>
        </w:rPr>
        <w:t>非经招标人同意，中标人在投标过程中使用的银行名称及帐号至完成竣工结算不得变更，否则招标人有权停止工程款项的</w:t>
      </w:r>
      <w:r>
        <w:rPr>
          <w:rFonts w:hint="eastAsia" w:ascii="宋体" w:hAnsi="宋体"/>
          <w:color w:val="auto"/>
          <w:sz w:val="24"/>
          <w:highlight w:val="none"/>
          <w:lang w:eastAsia="zh-CN"/>
        </w:rPr>
        <w:t>拨付</w:t>
      </w:r>
      <w:r>
        <w:rPr>
          <w:rFonts w:hint="eastAsia" w:ascii="宋体" w:hAnsi="宋体"/>
          <w:color w:val="auto"/>
          <w:sz w:val="24"/>
          <w:highlight w:val="none"/>
        </w:rPr>
        <w:t>及至解除合同，由此造成的一切责任由中标人承担。</w:t>
      </w:r>
    </w:p>
    <w:p w14:paraId="4B74B6D1">
      <w:pPr>
        <w:spacing w:line="360" w:lineRule="auto"/>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lang w:val="en-US" w:eastAsia="zh-CN"/>
        </w:rPr>
        <w:t>9</w:t>
      </w:r>
      <w:r>
        <w:rPr>
          <w:rFonts w:ascii="宋体" w:hAnsi="宋体"/>
          <w:color w:val="auto"/>
          <w:sz w:val="24"/>
          <w:highlight w:val="none"/>
        </w:rPr>
        <w:t>.4</w:t>
      </w:r>
      <w:r>
        <w:rPr>
          <w:rFonts w:hint="eastAsia" w:ascii="宋体" w:hAnsi="宋体"/>
          <w:color w:val="auto"/>
          <w:sz w:val="24"/>
          <w:highlight w:val="none"/>
        </w:rPr>
        <w:t>招标人支付工程款时，中标人应按规定开具发票</w:t>
      </w:r>
      <w:r>
        <w:rPr>
          <w:rFonts w:hint="eastAsia" w:ascii="宋体" w:hAnsi="宋体"/>
          <w:color w:val="auto"/>
          <w:sz w:val="24"/>
          <w:highlight w:val="none"/>
          <w:lang w:eastAsia="zh-CN"/>
        </w:rPr>
        <w:t>并完税</w:t>
      </w:r>
      <w:r>
        <w:rPr>
          <w:rFonts w:hint="eastAsia" w:ascii="宋体" w:hAnsi="宋体"/>
          <w:color w:val="auto"/>
          <w:sz w:val="24"/>
          <w:highlight w:val="none"/>
        </w:rPr>
        <w:t>。</w:t>
      </w:r>
    </w:p>
    <w:p w14:paraId="61458644">
      <w:pPr>
        <w:spacing w:line="360" w:lineRule="auto"/>
        <w:ind w:firstLine="482" w:firstLineChars="200"/>
        <w:rPr>
          <w:rFonts w:ascii="宋体"/>
          <w:b/>
          <w:bCs/>
          <w:color w:val="auto"/>
          <w:sz w:val="24"/>
          <w:highlight w:val="none"/>
        </w:rPr>
      </w:pPr>
      <w:r>
        <w:rPr>
          <w:rFonts w:hint="eastAsia" w:ascii="宋体" w:hAnsi="宋体"/>
          <w:b/>
          <w:bCs/>
          <w:color w:val="auto"/>
          <w:sz w:val="24"/>
          <w:highlight w:val="none"/>
          <w:lang w:val="en-US" w:eastAsia="zh-CN"/>
        </w:rPr>
        <w:t>30</w:t>
      </w:r>
      <w:r>
        <w:rPr>
          <w:rFonts w:hint="eastAsia" w:ascii="宋体" w:hAnsi="宋体"/>
          <w:b/>
          <w:bCs/>
          <w:color w:val="auto"/>
          <w:sz w:val="24"/>
          <w:highlight w:val="none"/>
        </w:rPr>
        <w:t>．履约担保</w:t>
      </w:r>
    </w:p>
    <w:p w14:paraId="19E64F3D">
      <w:pPr>
        <w:snapToGrid w:val="0"/>
        <w:spacing w:line="360" w:lineRule="auto"/>
        <w:ind w:firstLine="480" w:firstLineChars="200"/>
        <w:rPr>
          <w:rFonts w:ascii="宋体"/>
          <w:color w:val="auto"/>
          <w:sz w:val="24"/>
          <w:highlight w:val="none"/>
        </w:rPr>
      </w:pPr>
      <w:r>
        <w:rPr>
          <w:rFonts w:hint="eastAsia" w:ascii="宋体" w:hAnsi="宋体"/>
          <w:color w:val="auto"/>
          <w:sz w:val="24"/>
          <w:highlight w:val="none"/>
          <w:lang w:val="en-US" w:eastAsia="zh-CN"/>
        </w:rPr>
        <w:t>30</w:t>
      </w:r>
      <w:r>
        <w:rPr>
          <w:rFonts w:ascii="宋体" w:hAnsi="宋体"/>
          <w:color w:val="auto"/>
          <w:sz w:val="24"/>
          <w:highlight w:val="none"/>
        </w:rPr>
        <w:t xml:space="preserve">.1 </w:t>
      </w:r>
      <w:r>
        <w:rPr>
          <w:rFonts w:hint="eastAsia" w:ascii="宋体" w:hAnsi="宋体" w:cs="宋体"/>
          <w:b/>
          <w:bCs/>
          <w:sz w:val="24"/>
          <w:szCs w:val="24"/>
          <w:highlight w:val="none"/>
          <w:u w:val="single"/>
        </w:rPr>
        <w:t>合同签订后20日</w:t>
      </w:r>
      <w:r>
        <w:rPr>
          <w:rFonts w:hint="eastAsia" w:ascii="宋体" w:hAnsi="宋体"/>
          <w:b/>
          <w:bCs/>
          <w:color w:val="auto"/>
          <w:sz w:val="24"/>
          <w:highlight w:val="none"/>
          <w:u w:val="single"/>
          <w:lang w:eastAsia="zh-CN"/>
        </w:rPr>
        <w:t>内</w:t>
      </w:r>
      <w:r>
        <w:rPr>
          <w:rFonts w:hint="eastAsia" w:ascii="宋体" w:hAnsi="宋体"/>
          <w:color w:val="auto"/>
          <w:sz w:val="24"/>
          <w:highlight w:val="none"/>
        </w:rPr>
        <w:t>，中标人应按本须知前附表第</w:t>
      </w:r>
      <w:r>
        <w:rPr>
          <w:rFonts w:ascii="宋体" w:hAnsi="宋体"/>
          <w:color w:val="auto"/>
          <w:sz w:val="24"/>
          <w:highlight w:val="none"/>
        </w:rPr>
        <w:t>2</w:t>
      </w:r>
      <w:r>
        <w:rPr>
          <w:rFonts w:hint="eastAsia" w:ascii="宋体" w:hAnsi="宋体"/>
          <w:color w:val="auto"/>
          <w:sz w:val="24"/>
          <w:highlight w:val="none"/>
        </w:rPr>
        <w:t>0项的规定向招标人提交履约担保。</w:t>
      </w:r>
    </w:p>
    <w:p w14:paraId="779AC9AD">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30</w:t>
      </w:r>
      <w:r>
        <w:rPr>
          <w:rFonts w:ascii="宋体" w:hAnsi="宋体"/>
          <w:color w:val="auto"/>
          <w:sz w:val="24"/>
          <w:highlight w:val="none"/>
        </w:rPr>
        <w:t>.2</w:t>
      </w:r>
      <w:r>
        <w:rPr>
          <w:rFonts w:hint="eastAsia" w:ascii="宋体" w:hAnsi="宋体" w:cs="宋体"/>
          <w:b/>
          <w:bCs/>
          <w:sz w:val="24"/>
          <w:szCs w:val="24"/>
          <w:highlight w:val="none"/>
          <w:u w:val="single"/>
        </w:rPr>
        <w:t>合同签订后20日</w:t>
      </w:r>
      <w:r>
        <w:rPr>
          <w:rFonts w:hint="eastAsia" w:ascii="宋体" w:hAnsi="宋体"/>
          <w:b/>
          <w:bCs/>
          <w:color w:val="auto"/>
          <w:sz w:val="24"/>
          <w:highlight w:val="none"/>
          <w:u w:val="single"/>
          <w:lang w:eastAsia="zh-CN"/>
        </w:rPr>
        <w:t>内</w:t>
      </w:r>
      <w:r>
        <w:rPr>
          <w:rFonts w:hint="eastAsia" w:ascii="宋体" w:hAnsi="宋体"/>
          <w:color w:val="auto"/>
          <w:sz w:val="24"/>
          <w:highlight w:val="none"/>
        </w:rPr>
        <w:t>，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2E5B59BE">
      <w:pPr>
        <w:snapToGrid w:val="0"/>
        <w:spacing w:line="360" w:lineRule="auto"/>
        <w:ind w:firstLine="480" w:firstLineChars="200"/>
        <w:rPr>
          <w:rFonts w:ascii="宋体"/>
          <w:color w:val="auto"/>
          <w:sz w:val="24"/>
          <w:highlight w:val="none"/>
        </w:rPr>
      </w:pPr>
      <w:r>
        <w:rPr>
          <w:rFonts w:hint="eastAsia" w:ascii="宋体" w:hAnsi="宋体" w:eastAsia="宋体" w:cs="Times New Roman"/>
          <w:color w:val="auto"/>
          <w:sz w:val="24"/>
          <w:highlight w:val="none"/>
          <w:lang w:val="en-US" w:eastAsia="zh-CN"/>
        </w:rPr>
        <w:t>30.3中标候选人的经营、财务状况发生较大变化或存在违法行为，招标人认为可能影响其履约能力的，将在发出中标通知书前提请原评标委员会按照招标文件规定的标准和方法进行审查确认。</w:t>
      </w:r>
    </w:p>
    <w:p w14:paraId="09DBB71F">
      <w:pPr>
        <w:spacing w:line="360" w:lineRule="auto"/>
        <w:ind w:firstLine="482" w:firstLineChars="200"/>
        <w:rPr>
          <w:rFonts w:ascii="宋体"/>
          <w:b/>
          <w:bCs/>
          <w:color w:val="auto"/>
          <w:sz w:val="24"/>
          <w:highlight w:val="none"/>
        </w:rPr>
      </w:pPr>
      <w:r>
        <w:rPr>
          <w:rFonts w:ascii="宋体" w:hAnsi="宋体"/>
          <w:b/>
          <w:bCs/>
          <w:color w:val="auto"/>
          <w:sz w:val="24"/>
          <w:highlight w:val="none"/>
        </w:rPr>
        <w:t>3</w:t>
      </w:r>
      <w:r>
        <w:rPr>
          <w:rFonts w:hint="eastAsia" w:ascii="宋体" w:hAnsi="宋体"/>
          <w:b/>
          <w:bCs/>
          <w:color w:val="auto"/>
          <w:sz w:val="24"/>
          <w:highlight w:val="none"/>
          <w:lang w:val="en-US" w:eastAsia="zh-CN"/>
        </w:rPr>
        <w:t>1</w:t>
      </w:r>
      <w:r>
        <w:rPr>
          <w:rFonts w:hint="eastAsia" w:ascii="宋体" w:hAnsi="宋体"/>
          <w:b/>
          <w:bCs/>
          <w:color w:val="auto"/>
          <w:sz w:val="24"/>
          <w:highlight w:val="none"/>
        </w:rPr>
        <w:t>．合同生效</w:t>
      </w:r>
    </w:p>
    <w:p w14:paraId="31902153">
      <w:pPr>
        <w:spacing w:line="360" w:lineRule="auto"/>
        <w:ind w:firstLine="480" w:firstLineChars="200"/>
        <w:rPr>
          <w:rFonts w:ascii="宋体"/>
          <w:color w:val="auto"/>
          <w:sz w:val="24"/>
          <w:highlight w:val="none"/>
        </w:rPr>
      </w:pPr>
      <w:r>
        <w:rPr>
          <w:rFonts w:ascii="宋体" w:hAnsi="宋体"/>
          <w:color w:val="auto"/>
          <w:sz w:val="24"/>
          <w:highlight w:val="none"/>
        </w:rPr>
        <w:t>3</w:t>
      </w:r>
      <w:r>
        <w:rPr>
          <w:rFonts w:hint="eastAsia" w:ascii="宋体" w:hAnsi="宋体"/>
          <w:color w:val="auto"/>
          <w:sz w:val="24"/>
          <w:highlight w:val="none"/>
          <w:lang w:val="en-US" w:eastAsia="zh-CN"/>
        </w:rPr>
        <w:t>1</w:t>
      </w:r>
      <w:r>
        <w:rPr>
          <w:rFonts w:ascii="宋体" w:hAnsi="宋体"/>
          <w:color w:val="auto"/>
          <w:sz w:val="24"/>
          <w:highlight w:val="none"/>
        </w:rPr>
        <w:t>.1</w:t>
      </w:r>
      <w:r>
        <w:rPr>
          <w:rFonts w:hint="eastAsia" w:ascii="宋体" w:hAnsi="宋体"/>
          <w:color w:val="auto"/>
          <w:sz w:val="24"/>
          <w:highlight w:val="none"/>
        </w:rPr>
        <w:t>在合同双方全权代表在合同协议书上签字，并分别加盖双方单位的公章后，合同正式生效。</w:t>
      </w:r>
    </w:p>
    <w:p w14:paraId="192F7B1A">
      <w:pPr>
        <w:numPr>
          <w:ilvl w:val="0"/>
          <w:numId w:val="8"/>
        </w:numPr>
        <w:spacing w:line="360" w:lineRule="auto"/>
        <w:ind w:firstLine="482" w:firstLineChars="200"/>
        <w:rPr>
          <w:rFonts w:hint="eastAsia" w:ascii="宋体" w:hAnsi="宋体"/>
          <w:b/>
          <w:bCs/>
          <w:color w:val="auto"/>
          <w:sz w:val="24"/>
          <w:highlight w:val="none"/>
          <w:lang w:eastAsia="zh-CN"/>
        </w:rPr>
      </w:pPr>
      <w:r>
        <w:rPr>
          <w:rFonts w:hint="eastAsia" w:ascii="宋体" w:hAnsi="宋体"/>
          <w:b/>
          <w:bCs/>
          <w:color w:val="auto"/>
          <w:sz w:val="24"/>
          <w:highlight w:val="none"/>
          <w:lang w:eastAsia="zh-CN"/>
        </w:rPr>
        <w:t>专业分包</w:t>
      </w:r>
    </w:p>
    <w:p w14:paraId="2E7333AC">
      <w:pPr>
        <w:snapToGrid w:val="0"/>
        <w:spacing w:line="360" w:lineRule="auto"/>
        <w:ind w:firstLine="480" w:firstLineChars="200"/>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32.1投标人拟在中标后将中标项目的非主体、非关键性施工工作进行分包的，应符合投标须知前附表规定的分包内容、分包金额和资质要求等限制性条件，除投标人须知前附表规定的非主体、非关键性施工工作分包外，其他工作不得分包。</w:t>
      </w:r>
    </w:p>
    <w:p w14:paraId="03CDB188">
      <w:pPr>
        <w:pStyle w:val="20"/>
        <w:spacing w:line="360" w:lineRule="auto"/>
        <w:rPr>
          <w:rFonts w:hint="default"/>
          <w:color w:val="auto"/>
          <w:highlight w:val="none"/>
          <w:lang w:val="en-US" w:eastAsia="zh-CN"/>
        </w:rPr>
      </w:pPr>
      <w:r>
        <w:rPr>
          <w:rFonts w:hint="eastAsia" w:ascii="宋体" w:hAnsi="宋体" w:eastAsia="宋体" w:cs="Times New Roman"/>
          <w:color w:val="auto"/>
          <w:sz w:val="24"/>
          <w:highlight w:val="none"/>
          <w:lang w:val="en-US" w:eastAsia="zh-CN"/>
        </w:rPr>
        <w:t xml:space="preserve">    32.2中标人不得向他人转让中标项目，接受分包的人不得再次分包。中标人应当就分包项目向招标人负责，接受分包的人就分包项目承担连带责任。</w:t>
      </w:r>
    </w:p>
    <w:p w14:paraId="756CAF70">
      <w:pPr>
        <w:pStyle w:val="4"/>
        <w:spacing w:after="0" w:line="360" w:lineRule="auto"/>
        <w:ind w:firstLine="482" w:firstLineChars="200"/>
        <w:rPr>
          <w:rFonts w:ascii="宋体"/>
          <w:b/>
          <w:bCs/>
          <w:color w:val="auto"/>
          <w:sz w:val="24"/>
          <w:highlight w:val="none"/>
        </w:rPr>
      </w:pPr>
      <w:r>
        <w:rPr>
          <w:rFonts w:ascii="宋体" w:hAnsi="宋体"/>
          <w:b/>
          <w:bCs/>
          <w:color w:val="auto"/>
          <w:sz w:val="24"/>
          <w:highlight w:val="none"/>
        </w:rPr>
        <w:t>3</w:t>
      </w:r>
      <w:r>
        <w:rPr>
          <w:rFonts w:hint="eastAsia" w:ascii="宋体" w:hAnsi="宋体"/>
          <w:b/>
          <w:bCs/>
          <w:color w:val="auto"/>
          <w:sz w:val="24"/>
          <w:highlight w:val="none"/>
          <w:lang w:val="en-US" w:eastAsia="zh-CN"/>
        </w:rPr>
        <w:t>3</w:t>
      </w:r>
      <w:r>
        <w:rPr>
          <w:rFonts w:hint="eastAsia" w:ascii="宋体" w:hAnsi="宋体"/>
          <w:b/>
          <w:bCs/>
          <w:color w:val="auto"/>
          <w:sz w:val="24"/>
          <w:highlight w:val="none"/>
        </w:rPr>
        <w:t>．腐败与欺诈行为</w:t>
      </w:r>
    </w:p>
    <w:p w14:paraId="04D351AA">
      <w:pPr>
        <w:pStyle w:val="4"/>
        <w:spacing w:after="0" w:line="360" w:lineRule="auto"/>
        <w:ind w:firstLine="480" w:firstLineChars="200"/>
        <w:rPr>
          <w:rFonts w:ascii="宋体"/>
          <w:color w:val="auto"/>
          <w:sz w:val="24"/>
          <w:highlight w:val="none"/>
        </w:rPr>
      </w:pPr>
      <w:r>
        <w:rPr>
          <w:rFonts w:hint="eastAsia" w:ascii="宋体" w:hAnsi="宋体"/>
          <w:color w:val="auto"/>
          <w:sz w:val="24"/>
          <w:highlight w:val="none"/>
        </w:rPr>
        <w:t>在招标和合同实施期间，招标人要求投标人和承包人遵守最高的道德标准。</w:t>
      </w:r>
    </w:p>
    <w:p w14:paraId="0E7A0A60">
      <w:pPr>
        <w:pStyle w:val="4"/>
        <w:spacing w:after="0" w:line="360" w:lineRule="auto"/>
        <w:ind w:firstLine="480" w:firstLineChars="200"/>
        <w:rPr>
          <w:rFonts w:ascii="宋体"/>
          <w:color w:val="auto"/>
          <w:sz w:val="24"/>
          <w:highlight w:val="none"/>
        </w:rPr>
      </w:pPr>
      <w:r>
        <w:rPr>
          <w:rFonts w:ascii="宋体" w:hAnsi="宋体"/>
          <w:color w:val="auto"/>
          <w:sz w:val="24"/>
          <w:highlight w:val="none"/>
        </w:rPr>
        <w:t>3</w:t>
      </w:r>
      <w:r>
        <w:rPr>
          <w:rFonts w:hint="eastAsia" w:ascii="宋体" w:hAnsi="宋体"/>
          <w:color w:val="auto"/>
          <w:sz w:val="24"/>
          <w:highlight w:val="none"/>
          <w:lang w:val="en-US" w:eastAsia="zh-CN"/>
        </w:rPr>
        <w:t>3.</w:t>
      </w:r>
      <w:r>
        <w:rPr>
          <w:rFonts w:ascii="宋体" w:hAnsi="宋体"/>
          <w:color w:val="auto"/>
          <w:sz w:val="24"/>
          <w:highlight w:val="none"/>
        </w:rPr>
        <w:t>1</w:t>
      </w:r>
      <w:r>
        <w:rPr>
          <w:rFonts w:hint="eastAsia" w:ascii="宋体" w:hAnsi="宋体"/>
          <w:color w:val="auto"/>
          <w:sz w:val="24"/>
          <w:highlight w:val="none"/>
        </w:rPr>
        <w:t>对本条款的规定，特定义如下词汇：</w:t>
      </w:r>
    </w:p>
    <w:p w14:paraId="7E6B3E65">
      <w:pPr>
        <w:pStyle w:val="4"/>
        <w:spacing w:after="0" w:line="360" w:lineRule="auto"/>
        <w:ind w:firstLine="480" w:firstLineChars="200"/>
        <w:rPr>
          <w:rFonts w:ascii="宋体"/>
          <w:color w:val="auto"/>
          <w:sz w:val="24"/>
          <w:highlight w:val="none"/>
        </w:rPr>
      </w:pPr>
      <w:r>
        <w:rPr>
          <w:rFonts w:hint="eastAsia" w:ascii="宋体" w:hAnsi="宋体"/>
          <w:color w:val="auto"/>
          <w:sz w:val="24"/>
          <w:highlight w:val="none"/>
        </w:rPr>
        <w:t>“腐败行为”是指在招标或合同执行期间，通过提供、给予、接受或索要任何有价值的东西，从而影响招标人有关人员工作的行为；</w:t>
      </w:r>
    </w:p>
    <w:p w14:paraId="348DC62D">
      <w:pPr>
        <w:pStyle w:val="4"/>
        <w:spacing w:after="0" w:line="360" w:lineRule="auto"/>
        <w:ind w:firstLine="480" w:firstLineChars="200"/>
        <w:rPr>
          <w:rFonts w:ascii="宋体"/>
          <w:color w:val="auto"/>
          <w:sz w:val="24"/>
          <w:highlight w:val="none"/>
        </w:rPr>
      </w:pPr>
      <w:r>
        <w:rPr>
          <w:rFonts w:hint="eastAsia" w:ascii="宋体" w:hAnsi="宋体"/>
          <w:color w:val="auto"/>
          <w:sz w:val="24"/>
          <w:highlight w:val="none"/>
        </w:rPr>
        <w:t>“欺诈行为”是指通过提供伪证影响招标或合同执行，从而损害招标人利益的行为；也包括投标人之间串通（在提交投标文件之前或之后），人为地使招标过程失去竞争性，从而使招标人无法从公开的自由竞争中获得利益的行为。</w:t>
      </w:r>
    </w:p>
    <w:p w14:paraId="2726C88C">
      <w:pPr>
        <w:pStyle w:val="4"/>
        <w:spacing w:after="0" w:line="360" w:lineRule="auto"/>
        <w:ind w:firstLine="480" w:firstLineChars="200"/>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lang w:val="en-US" w:eastAsia="zh-CN"/>
        </w:rPr>
        <w:t>3.</w:t>
      </w:r>
      <w:r>
        <w:rPr>
          <w:rFonts w:ascii="宋体" w:hAnsi="宋体"/>
          <w:color w:val="auto"/>
          <w:sz w:val="24"/>
          <w:highlight w:val="none"/>
        </w:rPr>
        <w:t>2</w:t>
      </w:r>
      <w:r>
        <w:rPr>
          <w:rFonts w:hint="eastAsia" w:ascii="宋体" w:hAnsi="宋体"/>
          <w:color w:val="auto"/>
          <w:sz w:val="24"/>
          <w:highlight w:val="none"/>
        </w:rPr>
        <w:t>如果投标人被认定在本招标竞争中有腐败或欺诈行为，则会被取消投标资格。</w:t>
      </w:r>
    </w:p>
    <w:p w14:paraId="2BE01F8D">
      <w:pPr>
        <w:pStyle w:val="4"/>
        <w:spacing w:after="0" w:line="360" w:lineRule="auto"/>
        <w:ind w:firstLine="480" w:firstLineChars="200"/>
        <w:rPr>
          <w:rFonts w:hint="eastAsia" w:ascii="宋体"/>
          <w:color w:val="auto"/>
          <w:sz w:val="24"/>
          <w:highlight w:val="none"/>
        </w:rPr>
      </w:pPr>
      <w:r>
        <w:rPr>
          <w:rFonts w:hint="eastAsia" w:ascii="宋体"/>
          <w:color w:val="auto"/>
          <w:sz w:val="24"/>
          <w:highlight w:val="none"/>
        </w:rPr>
        <w:t>3</w:t>
      </w:r>
      <w:r>
        <w:rPr>
          <w:rFonts w:hint="eastAsia" w:ascii="宋体"/>
          <w:color w:val="auto"/>
          <w:sz w:val="24"/>
          <w:highlight w:val="none"/>
          <w:lang w:val="en-US" w:eastAsia="zh-CN"/>
        </w:rPr>
        <w:t>3.</w:t>
      </w:r>
      <w:r>
        <w:rPr>
          <w:rFonts w:hint="eastAsia" w:ascii="宋体"/>
          <w:color w:val="auto"/>
          <w:sz w:val="24"/>
          <w:highlight w:val="none"/>
        </w:rPr>
        <w:t>3投标人如在本项目中存在串通投标、弄虚作假骗取中标、行贿情形的，中标无效，行政监督部门将对其违法行为进行政处罚。</w:t>
      </w:r>
    </w:p>
    <w:p w14:paraId="7165F8E8">
      <w:pPr>
        <w:numPr>
          <w:ilvl w:val="0"/>
          <w:numId w:val="0"/>
        </w:numPr>
        <w:spacing w:line="360" w:lineRule="auto"/>
        <w:ind w:firstLine="482" w:firstLineChars="200"/>
        <w:rPr>
          <w:rFonts w:hint="eastAsia" w:ascii="宋体"/>
          <w:color w:val="auto"/>
          <w:sz w:val="24"/>
          <w:highlight w:val="none"/>
        </w:rPr>
      </w:pPr>
      <w:r>
        <w:rPr>
          <w:rFonts w:hint="eastAsia" w:ascii="宋体" w:hAnsi="宋体"/>
          <w:b/>
          <w:bCs/>
          <w:color w:val="auto"/>
          <w:sz w:val="24"/>
          <w:highlight w:val="none"/>
          <w:lang w:val="en-US" w:eastAsia="zh-CN"/>
        </w:rPr>
        <w:t>34.</w:t>
      </w:r>
      <w:r>
        <w:rPr>
          <w:rFonts w:hint="eastAsia" w:ascii="宋体" w:hAnsi="宋体"/>
          <w:b/>
          <w:bCs/>
          <w:color w:val="auto"/>
          <w:sz w:val="24"/>
          <w:highlight w:val="none"/>
        </w:rPr>
        <w:t>其它费用</w:t>
      </w:r>
    </w:p>
    <w:p w14:paraId="1EF9B210">
      <w:pPr>
        <w:rPr>
          <w:rFonts w:hint="eastAsia"/>
          <w:color w:val="auto"/>
          <w:highlight w:val="none"/>
        </w:rPr>
      </w:pPr>
      <w:bookmarkStart w:id="44" w:name="_Toc21525498"/>
      <w:bookmarkStart w:id="45" w:name="_Toc2272554"/>
      <w:bookmarkStart w:id="46" w:name="_Toc32047"/>
      <w:r>
        <w:rPr>
          <w:rFonts w:hint="eastAsia"/>
          <w:color w:val="auto"/>
          <w:highlight w:val="none"/>
        </w:rPr>
        <w:br w:type="page"/>
      </w:r>
    </w:p>
    <w:p w14:paraId="642B3AE3">
      <w:pPr>
        <w:pStyle w:val="2"/>
        <w:rPr>
          <w:color w:val="auto"/>
          <w:highlight w:val="none"/>
        </w:rPr>
      </w:pPr>
      <w:bookmarkStart w:id="47" w:name="_Toc32237"/>
      <w:r>
        <w:rPr>
          <w:rFonts w:hint="eastAsia"/>
          <w:color w:val="auto"/>
          <w:highlight w:val="none"/>
        </w:rPr>
        <w:t>第二章</w:t>
      </w:r>
      <w:r>
        <w:rPr>
          <w:color w:val="auto"/>
          <w:highlight w:val="none"/>
        </w:rPr>
        <w:t xml:space="preserve">  </w:t>
      </w:r>
      <w:r>
        <w:rPr>
          <w:rFonts w:hint="eastAsia"/>
          <w:color w:val="auto"/>
          <w:highlight w:val="none"/>
        </w:rPr>
        <w:t>开标、评标及定标办法</w:t>
      </w:r>
      <w:bookmarkEnd w:id="44"/>
      <w:bookmarkEnd w:id="45"/>
      <w:bookmarkEnd w:id="46"/>
      <w:bookmarkEnd w:id="47"/>
    </w:p>
    <w:p w14:paraId="7B6298E1">
      <w:pPr>
        <w:pStyle w:val="7"/>
        <w:bidi w:val="0"/>
        <w:rPr>
          <w:color w:val="auto"/>
          <w:highlight w:val="none"/>
        </w:rPr>
      </w:pPr>
      <w:bookmarkStart w:id="48" w:name="_Toc21525499"/>
      <w:bookmarkStart w:id="49" w:name="_Toc2272555"/>
      <w:bookmarkStart w:id="50" w:name="_Toc14926"/>
      <w:bookmarkStart w:id="51" w:name="_Toc15032"/>
      <w:r>
        <w:rPr>
          <w:rFonts w:hint="eastAsia"/>
          <w:color w:val="auto"/>
          <w:highlight w:val="none"/>
        </w:rPr>
        <w:t>一、开标、评标及定标办法修改表</w:t>
      </w:r>
      <w:bookmarkEnd w:id="48"/>
      <w:bookmarkEnd w:id="49"/>
      <w:bookmarkEnd w:id="50"/>
      <w:bookmarkEnd w:id="51"/>
    </w:p>
    <w:p w14:paraId="41AC549E">
      <w:pPr>
        <w:pStyle w:val="4"/>
        <w:spacing w:after="0" w:line="360" w:lineRule="auto"/>
        <w:rPr>
          <w:b/>
          <w:color w:val="auto"/>
          <w:sz w:val="21"/>
          <w:szCs w:val="21"/>
          <w:highlight w:val="none"/>
        </w:rPr>
      </w:pPr>
      <w:r>
        <w:rPr>
          <w:rFonts w:hint="eastAsia"/>
          <w:b/>
          <w:color w:val="auto"/>
          <w:szCs w:val="21"/>
          <w:highlight w:val="none"/>
        </w:rPr>
        <w:t>声明：本</w:t>
      </w:r>
      <w:r>
        <w:rPr>
          <w:rFonts w:hint="eastAsia"/>
          <w:b/>
          <w:color w:val="auto"/>
          <w:highlight w:val="none"/>
        </w:rPr>
        <w:t>开标、评标及定标办法使用</w:t>
      </w:r>
      <w:r>
        <w:rPr>
          <w:rFonts w:hint="eastAsia"/>
          <w:b/>
          <w:color w:val="auto"/>
          <w:highlight w:val="none"/>
          <w:lang w:eastAsia="zh-CN"/>
        </w:rPr>
        <w:t>GZJTZB202</w:t>
      </w:r>
      <w:r>
        <w:rPr>
          <w:rFonts w:hint="eastAsia"/>
          <w:b/>
          <w:color w:val="auto"/>
          <w:highlight w:val="none"/>
          <w:lang w:val="en-US" w:eastAsia="zh-CN"/>
        </w:rPr>
        <w:t>5</w:t>
      </w:r>
      <w:r>
        <w:rPr>
          <w:rFonts w:hint="eastAsia"/>
          <w:b/>
          <w:color w:val="auto"/>
          <w:highlight w:val="none"/>
          <w:lang w:eastAsia="zh-CN"/>
        </w:rPr>
        <w:t>-3</w:t>
      </w:r>
      <w:r>
        <w:rPr>
          <w:rFonts w:hint="eastAsia"/>
          <w:b/>
          <w:color w:val="auto"/>
          <w:highlight w:val="none"/>
        </w:rPr>
        <w:t>招标文件范本的开标、评标及定标办法通用条款，与该通用条款不同之处，均在本表中列明，并以现文为准，原</w:t>
      </w:r>
      <w:r>
        <w:rPr>
          <w:rFonts w:hint="eastAsia"/>
          <w:b/>
          <w:color w:val="auto"/>
          <w:szCs w:val="21"/>
          <w:highlight w:val="none"/>
        </w:rPr>
        <w:t>文不再有效。</w:t>
      </w:r>
      <w:r>
        <w:rPr>
          <w:rFonts w:hint="eastAsia" w:ascii="宋体" w:hAnsi="宋体"/>
          <w:b w:val="0"/>
          <w:bCs/>
          <w:color w:val="auto"/>
          <w:sz w:val="21"/>
          <w:szCs w:val="21"/>
          <w:highlight w:val="none"/>
          <w:lang w:eastAsia="zh-CN"/>
        </w:rPr>
        <w:t>（注：招标人按《开标、评标及定标办法修改表》修改的内容对应修改通用条款，属于删除的采用“</w:t>
      </w:r>
      <w:r>
        <w:rPr>
          <w:rFonts w:hint="eastAsia" w:ascii="宋体" w:hAnsi="宋体"/>
          <w:b w:val="0"/>
          <w:bCs/>
          <w:strike/>
          <w:dstrike w:val="0"/>
          <w:color w:val="auto"/>
          <w:sz w:val="21"/>
          <w:szCs w:val="21"/>
          <w:highlight w:val="none"/>
          <w:lang w:val="en-US" w:eastAsia="zh-CN"/>
        </w:rPr>
        <w:t xml:space="preserve">   </w:t>
      </w:r>
      <w:r>
        <w:rPr>
          <w:rFonts w:hint="eastAsia" w:ascii="宋体" w:hAnsi="宋体"/>
          <w:b w:val="0"/>
          <w:bCs/>
          <w:strike w:val="0"/>
          <w:dstrike w:val="0"/>
          <w:color w:val="auto"/>
          <w:sz w:val="21"/>
          <w:szCs w:val="21"/>
          <w:highlight w:val="none"/>
          <w:lang w:val="en-US" w:eastAsia="zh-CN"/>
        </w:rPr>
        <w:t>”表示，</w:t>
      </w:r>
      <w:r>
        <w:rPr>
          <w:rFonts w:hint="eastAsia" w:ascii="宋体" w:hAnsi="宋体"/>
          <w:b w:val="0"/>
          <w:bCs/>
          <w:color w:val="auto"/>
          <w:sz w:val="21"/>
          <w:szCs w:val="21"/>
          <w:highlight w:val="none"/>
          <w:lang w:eastAsia="zh-CN"/>
        </w:rPr>
        <w:t>如“</w:t>
      </w:r>
      <w:r>
        <w:rPr>
          <w:rFonts w:hint="eastAsia" w:ascii="宋体" w:hAnsi="宋体"/>
          <w:b w:val="0"/>
          <w:bCs/>
          <w:strike/>
          <w:dstrike w:val="0"/>
          <w:color w:val="auto"/>
          <w:sz w:val="21"/>
          <w:szCs w:val="21"/>
          <w:highlight w:val="none"/>
          <w:u w:val="none"/>
          <w:lang w:eastAsia="zh-CN"/>
        </w:rPr>
        <w:t>删除</w:t>
      </w:r>
      <w:r>
        <w:rPr>
          <w:rFonts w:hint="eastAsia" w:ascii="宋体" w:hAnsi="宋体"/>
          <w:b w:val="0"/>
          <w:bCs/>
          <w:color w:val="auto"/>
          <w:sz w:val="21"/>
          <w:szCs w:val="21"/>
          <w:highlight w:val="none"/>
          <w:lang w:eastAsia="zh-CN"/>
        </w:rPr>
        <w:t>”；属于新增、修改的内容，用</w:t>
      </w:r>
      <w:r>
        <w:rPr>
          <w:rFonts w:hint="eastAsia" w:ascii="宋体" w:hAnsi="宋体"/>
          <w:b/>
          <w:bCs w:val="0"/>
          <w:color w:val="auto"/>
          <w:sz w:val="21"/>
          <w:szCs w:val="21"/>
          <w:highlight w:val="none"/>
          <w:lang w:eastAsia="zh-CN"/>
        </w:rPr>
        <w:t>黑色加粗</w:t>
      </w:r>
      <w:r>
        <w:rPr>
          <w:rFonts w:hint="eastAsia" w:ascii="宋体" w:hAnsi="宋体"/>
          <w:b w:val="0"/>
          <w:bCs/>
          <w:color w:val="auto"/>
          <w:sz w:val="21"/>
          <w:szCs w:val="21"/>
          <w:highlight w:val="none"/>
          <w:lang w:eastAsia="zh-CN"/>
        </w:rPr>
        <w:t>字体显示</w:t>
      </w:r>
      <w:r>
        <w:rPr>
          <w:rFonts w:hint="eastAsia" w:ascii="宋体" w:hAnsi="宋体"/>
          <w:b w:val="0"/>
          <w:bCs/>
          <w:color w:val="auto"/>
          <w:sz w:val="21"/>
          <w:szCs w:val="21"/>
          <w:highlight w:val="none"/>
          <w:lang w:val="en-US" w:eastAsia="zh-CN"/>
        </w:rPr>
        <w:t>,并加注下划线，如“</w:t>
      </w:r>
      <w:r>
        <w:rPr>
          <w:rFonts w:hint="eastAsia" w:ascii="宋体" w:hAnsi="宋体"/>
          <w:b/>
          <w:bCs w:val="0"/>
          <w:color w:val="auto"/>
          <w:sz w:val="21"/>
          <w:szCs w:val="21"/>
          <w:highlight w:val="none"/>
          <w:u w:val="single"/>
          <w:lang w:val="en-US" w:eastAsia="zh-CN"/>
        </w:rPr>
        <w:t>新增修改</w:t>
      </w:r>
      <w:r>
        <w:rPr>
          <w:rFonts w:hint="eastAsia" w:ascii="宋体" w:hAnsi="宋体"/>
          <w:b w:val="0"/>
          <w:bCs/>
          <w:color w:val="auto"/>
          <w:sz w:val="21"/>
          <w:szCs w:val="21"/>
          <w:highlight w:val="none"/>
          <w:lang w:val="en-US" w:eastAsia="zh-CN"/>
        </w:rPr>
        <w:t>”</w:t>
      </w:r>
      <w:r>
        <w:rPr>
          <w:rFonts w:hint="eastAsia" w:ascii="宋体" w:hAnsi="宋体"/>
          <w:b w:val="0"/>
          <w:bCs/>
          <w:color w:val="auto"/>
          <w:sz w:val="21"/>
          <w:szCs w:val="21"/>
          <w:highlight w:val="none"/>
          <w:lang w:eastAsia="zh-CN"/>
        </w:rPr>
        <w:t>。）</w:t>
      </w:r>
    </w:p>
    <w:p w14:paraId="0BC4AD2F">
      <w:pPr>
        <w:spacing w:line="360" w:lineRule="auto"/>
        <w:ind w:firstLine="708" w:firstLineChars="294"/>
        <w:rPr>
          <w:rFonts w:hint="eastAsia" w:ascii="宋体" w:hAnsi="宋体" w:cs="宋体"/>
          <w:b/>
          <w:sz w:val="24"/>
          <w:szCs w:val="24"/>
          <w:highlight w:val="none"/>
        </w:rPr>
      </w:pPr>
      <w:r>
        <w:rPr>
          <w:rFonts w:hint="eastAsia" w:ascii="宋体" w:hAnsi="宋体" w:cs="宋体"/>
          <w:b/>
          <w:sz w:val="24"/>
          <w:szCs w:val="24"/>
          <w:highlight w:val="none"/>
        </w:rPr>
        <w:t>条款号：36.3            修改类型：删除</w:t>
      </w:r>
    </w:p>
    <w:p w14:paraId="35AA5765">
      <w:pPr>
        <w:pBdr>
          <w:bottom w:val="single" w:color="auto" w:sz="6" w:space="1"/>
        </w:pBdr>
        <w:spacing w:line="360" w:lineRule="auto"/>
        <w:ind w:firstLine="590" w:firstLineChars="245"/>
        <w:rPr>
          <w:rFonts w:hint="eastAsia" w:ascii="宋体" w:hAnsi="宋体" w:eastAsia="宋体" w:cs="宋体"/>
          <w:b/>
          <w:sz w:val="24"/>
          <w:szCs w:val="24"/>
          <w:highlight w:val="none"/>
          <w:lang w:eastAsia="zh-CN"/>
        </w:rPr>
      </w:pPr>
      <w:r>
        <w:rPr>
          <w:rFonts w:hint="eastAsia" w:ascii="宋体" w:hAnsi="宋体" w:cs="宋体"/>
          <w:b/>
          <w:sz w:val="24"/>
          <w:szCs w:val="24"/>
          <w:highlight w:val="none"/>
        </w:rPr>
        <w:t>原文：</w:t>
      </w:r>
      <w:r>
        <w:rPr>
          <w:rFonts w:hint="eastAsia" w:ascii="宋体" w:hAnsi="宋体" w:cs="宋体"/>
          <w:sz w:val="24"/>
          <w:szCs w:val="24"/>
          <w:highlight w:val="none"/>
        </w:rPr>
        <w:t xml:space="preserve"> 根据投标须知前附表第 19 项，如需抽取某一种评标办法供评标时使用的，可在开标时（唱标工作完成后）抽取。首先对招标文件中约定的若干种评标方法进行编号，再随机抽取某一编号，该编号所对应的评标办法供评标时使用。</w:t>
      </w:r>
    </w:p>
    <w:p w14:paraId="1F6F388A">
      <w:pPr>
        <w:spacing w:line="360" w:lineRule="auto"/>
        <w:ind w:firstLine="590" w:firstLineChars="245"/>
        <w:rPr>
          <w:rFonts w:hint="eastAsia" w:ascii="宋体" w:hAnsi="宋体" w:cs="宋体"/>
          <w:b/>
          <w:sz w:val="24"/>
          <w:szCs w:val="24"/>
          <w:highlight w:val="none"/>
        </w:rPr>
      </w:pPr>
      <w:r>
        <w:rPr>
          <w:rFonts w:hint="eastAsia" w:ascii="宋体" w:hAnsi="宋体" w:cs="宋体"/>
          <w:b/>
          <w:sz w:val="24"/>
          <w:szCs w:val="24"/>
          <w:highlight w:val="none"/>
        </w:rPr>
        <w:t>条款号</w:t>
      </w:r>
      <w:r>
        <w:rPr>
          <w:rFonts w:hint="eastAsia" w:ascii="宋体" w:hAnsi="宋体" w:cs="宋体"/>
          <w:sz w:val="24"/>
          <w:szCs w:val="24"/>
          <w:highlight w:val="none"/>
        </w:rPr>
        <w:t>：</w:t>
      </w:r>
      <w:r>
        <w:rPr>
          <w:rFonts w:hint="eastAsia" w:ascii="宋体" w:hAnsi="宋体" w:cs="宋体"/>
          <w:b/>
          <w:sz w:val="24"/>
          <w:szCs w:val="24"/>
          <w:highlight w:val="none"/>
        </w:rPr>
        <w:t>36.5.1、36.5.2</w:t>
      </w:r>
      <w:r>
        <w:rPr>
          <w:rFonts w:hint="eastAsia" w:ascii="宋体" w:hAnsi="宋体" w:cs="宋体"/>
          <w:sz w:val="24"/>
          <w:szCs w:val="24"/>
          <w:highlight w:val="none"/>
        </w:rPr>
        <w:t xml:space="preserve"> </w:t>
      </w:r>
      <w:r>
        <w:rPr>
          <w:rFonts w:hint="eastAsia" w:ascii="宋体" w:hAnsi="宋体" w:cs="宋体"/>
          <w:b/>
          <w:sz w:val="24"/>
          <w:szCs w:val="24"/>
          <w:highlight w:val="none"/>
        </w:rPr>
        <w:t xml:space="preserve">          修改类型：修改</w:t>
      </w:r>
    </w:p>
    <w:p w14:paraId="49994775">
      <w:pPr>
        <w:spacing w:line="360" w:lineRule="auto"/>
        <w:ind w:firstLine="600" w:firstLineChars="249"/>
        <w:rPr>
          <w:rFonts w:hint="eastAsia" w:ascii="宋体" w:hAnsi="宋体" w:cs="宋体"/>
          <w:sz w:val="24"/>
          <w:szCs w:val="24"/>
          <w:highlight w:val="none"/>
        </w:rPr>
      </w:pPr>
      <w:r>
        <w:rPr>
          <w:rFonts w:hint="eastAsia" w:ascii="宋体" w:hAnsi="宋体" w:cs="宋体"/>
          <w:b/>
          <w:sz w:val="24"/>
          <w:szCs w:val="24"/>
          <w:highlight w:val="none"/>
        </w:rPr>
        <w:t>原文：</w:t>
      </w:r>
      <w:r>
        <w:rPr>
          <w:rFonts w:hint="eastAsia" w:ascii="宋体" w:hAnsi="宋体" w:cs="宋体"/>
          <w:sz w:val="24"/>
          <w:szCs w:val="24"/>
          <w:highlight w:val="none"/>
        </w:rPr>
        <w:t>36.5.1在投标截止时间后</w:t>
      </w:r>
      <w:r>
        <w:rPr>
          <w:rFonts w:hint="eastAsia" w:ascii="宋体" w:hAnsi="宋体" w:cs="宋体"/>
          <w:sz w:val="24"/>
          <w:szCs w:val="24"/>
          <w:highlight w:val="none"/>
          <w:lang w:val="en-US" w:eastAsia="zh-CN"/>
        </w:rPr>
        <w:t>1</w:t>
      </w:r>
      <w:r>
        <w:rPr>
          <w:rFonts w:hint="eastAsia" w:ascii="宋体" w:hAnsi="宋体" w:cs="宋体"/>
          <w:sz w:val="24"/>
          <w:szCs w:val="24"/>
          <w:highlight w:val="none"/>
        </w:rPr>
        <w:t>小时内，投标人通过</w:t>
      </w:r>
      <w:r>
        <w:rPr>
          <w:rFonts w:hint="eastAsia" w:ascii="宋体" w:hAnsi="宋体" w:cs="宋体"/>
          <w:sz w:val="24"/>
          <w:szCs w:val="24"/>
          <w:highlight w:val="none"/>
          <w:u w:val="single"/>
        </w:rPr>
        <w:t xml:space="preserve">        </w:t>
      </w:r>
      <w:r>
        <w:rPr>
          <w:rFonts w:hint="eastAsia" w:ascii="宋体" w:hAnsi="宋体" w:cs="宋体"/>
          <w:sz w:val="24"/>
          <w:szCs w:val="24"/>
          <w:highlight w:val="none"/>
        </w:rPr>
        <w:t>交易平台对已递交的电子投标文件进行解密。投标人完成解密后，再由招标人进行解密（如有项目负责人签到环节，应在项目负责人签到完成后，招标人再进行解密）。解密完成后，公布招标项目名称、投标人名称、投标保证金的递交情况、投标报价、工期及其他内容；</w:t>
      </w:r>
    </w:p>
    <w:p w14:paraId="6C3E8C35">
      <w:pPr>
        <w:spacing w:line="360" w:lineRule="auto"/>
        <w:ind w:firstLine="597" w:firstLineChars="249"/>
        <w:rPr>
          <w:rFonts w:hint="eastAsia" w:ascii="宋体" w:hAnsi="宋体" w:cs="宋体"/>
          <w:sz w:val="24"/>
          <w:szCs w:val="24"/>
          <w:highlight w:val="none"/>
        </w:rPr>
      </w:pPr>
      <w:r>
        <w:rPr>
          <w:rFonts w:hint="eastAsia" w:ascii="宋体" w:hAnsi="宋体" w:cs="宋体"/>
          <w:sz w:val="24"/>
          <w:szCs w:val="24"/>
          <w:highlight w:val="none"/>
        </w:rPr>
        <w:t>36.5.2备用光盘的读取按投标须知前附表第3</w:t>
      </w:r>
      <w:r>
        <w:rPr>
          <w:rFonts w:hint="eastAsia" w:ascii="宋体" w:hAnsi="宋体" w:cs="宋体"/>
          <w:sz w:val="24"/>
          <w:szCs w:val="24"/>
          <w:highlight w:val="none"/>
          <w:lang w:val="en-US" w:eastAsia="zh-CN"/>
        </w:rPr>
        <w:t>5</w:t>
      </w:r>
      <w:r>
        <w:rPr>
          <w:rFonts w:hint="eastAsia" w:ascii="宋体" w:hAnsi="宋体" w:cs="宋体"/>
          <w:sz w:val="24"/>
          <w:szCs w:val="24"/>
          <w:highlight w:val="none"/>
        </w:rPr>
        <w:t>项的规定执行；</w:t>
      </w:r>
    </w:p>
    <w:p w14:paraId="5758A7FD">
      <w:pPr>
        <w:pBdr>
          <w:bottom w:val="single" w:color="auto" w:sz="6" w:space="1"/>
        </w:pBdr>
        <w:spacing w:line="360" w:lineRule="auto"/>
        <w:ind w:firstLine="658" w:firstLineChars="273"/>
        <w:rPr>
          <w:rFonts w:hint="eastAsia" w:ascii="宋体" w:hAnsi="宋体" w:cs="宋体"/>
          <w:sz w:val="24"/>
          <w:szCs w:val="24"/>
          <w:highlight w:val="none"/>
        </w:rPr>
      </w:pPr>
      <w:r>
        <w:rPr>
          <w:rFonts w:hint="eastAsia" w:ascii="宋体" w:hAnsi="宋体" w:cs="宋体"/>
          <w:b/>
          <w:sz w:val="24"/>
          <w:szCs w:val="24"/>
          <w:highlight w:val="none"/>
        </w:rPr>
        <w:t>现文：</w:t>
      </w:r>
      <w:r>
        <w:rPr>
          <w:rFonts w:hint="eastAsia" w:ascii="宋体" w:hAnsi="宋体" w:cs="宋体"/>
          <w:sz w:val="24"/>
          <w:szCs w:val="24"/>
          <w:highlight w:val="none"/>
        </w:rPr>
        <w:t>36.5.1在投标截止时间后</w:t>
      </w:r>
      <w:r>
        <w:rPr>
          <w:rFonts w:hint="eastAsia" w:ascii="宋体" w:hAnsi="宋体" w:cs="宋体"/>
          <w:sz w:val="24"/>
          <w:szCs w:val="24"/>
          <w:highlight w:val="none"/>
          <w:lang w:eastAsia="zh-CN"/>
        </w:rPr>
        <w:t>一</w:t>
      </w:r>
      <w:r>
        <w:rPr>
          <w:rFonts w:hint="eastAsia" w:ascii="宋体" w:hAnsi="宋体" w:cs="宋体"/>
          <w:sz w:val="24"/>
          <w:szCs w:val="24"/>
          <w:highlight w:val="none"/>
        </w:rPr>
        <w:t>小时内，投标人通过</w:t>
      </w:r>
      <w:r>
        <w:rPr>
          <w:rFonts w:hint="eastAsia" w:ascii="宋体" w:hAnsi="宋体" w:cs="宋体"/>
          <w:b/>
          <w:bCs/>
          <w:sz w:val="24"/>
          <w:szCs w:val="24"/>
          <w:highlight w:val="none"/>
          <w:u w:val="single"/>
        </w:rPr>
        <w:t>广州交易集团有限公司（广州公共资源交易中心）</w:t>
      </w:r>
      <w:r>
        <w:rPr>
          <w:rFonts w:hint="eastAsia" w:ascii="宋体" w:hAnsi="宋体" w:cs="宋体"/>
          <w:sz w:val="24"/>
          <w:szCs w:val="24"/>
          <w:highlight w:val="none"/>
        </w:rPr>
        <w:t>交易平台对已递交的电子投标文件进行解密。投标人完成解密后，再由招标人进行解密。解密完成后，公布招标项目名称、投标人名称、投标保证金的递交情况、投标报价、工期及其他内容；</w:t>
      </w:r>
    </w:p>
    <w:p w14:paraId="2362CE6A">
      <w:pPr>
        <w:pBdr>
          <w:bottom w:val="single" w:color="auto" w:sz="6" w:space="1"/>
        </w:pBdr>
        <w:spacing w:line="360" w:lineRule="auto"/>
        <w:ind w:firstLine="655" w:firstLineChars="273"/>
        <w:rPr>
          <w:rFonts w:hint="eastAsia" w:ascii="宋体" w:hAnsi="宋体" w:cs="宋体"/>
          <w:b/>
          <w:sz w:val="24"/>
          <w:szCs w:val="24"/>
          <w:highlight w:val="none"/>
        </w:rPr>
      </w:pPr>
      <w:r>
        <w:rPr>
          <w:rFonts w:hint="eastAsia" w:ascii="宋体" w:hAnsi="宋体" w:cs="宋体"/>
          <w:sz w:val="24"/>
          <w:szCs w:val="24"/>
          <w:highlight w:val="none"/>
        </w:rPr>
        <w:t>36.5.2备用光盘的读取按投标须知前附表第</w:t>
      </w:r>
      <w:r>
        <w:rPr>
          <w:rFonts w:hint="eastAsia" w:ascii="宋体" w:hAnsi="宋体" w:cs="宋体"/>
          <w:sz w:val="24"/>
          <w:szCs w:val="24"/>
          <w:highlight w:val="none"/>
          <w:u w:val="single"/>
          <w:lang w:val="en-US" w:eastAsia="zh-CN"/>
        </w:rPr>
        <w:t>35</w:t>
      </w:r>
      <w:r>
        <w:rPr>
          <w:rFonts w:hint="eastAsia" w:ascii="宋体" w:hAnsi="宋体" w:cs="宋体"/>
          <w:sz w:val="24"/>
          <w:szCs w:val="24"/>
          <w:highlight w:val="none"/>
        </w:rPr>
        <w:t>项的规定执行；</w:t>
      </w:r>
    </w:p>
    <w:p w14:paraId="545CE3C2">
      <w:pPr>
        <w:keepNext w:val="0"/>
        <w:keepLines w:val="0"/>
        <w:pageBreakBefore w:val="0"/>
        <w:kinsoku/>
        <w:wordWrap/>
        <w:overflowPunct/>
        <w:topLinePunct w:val="0"/>
        <w:autoSpaceDE/>
        <w:autoSpaceDN/>
        <w:bidi w:val="0"/>
        <w:spacing w:line="360" w:lineRule="auto"/>
        <w:ind w:firstLine="482" w:firstLineChars="200"/>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条款号：3</w:t>
      </w:r>
      <w:r>
        <w:rPr>
          <w:rFonts w:hint="eastAsia" w:ascii="宋体" w:hAnsi="宋体" w:eastAsia="宋体" w:cs="宋体"/>
          <w:b/>
          <w:color w:val="auto"/>
          <w:sz w:val="24"/>
          <w:szCs w:val="24"/>
          <w:highlight w:val="none"/>
          <w:lang w:val="en-US" w:eastAsia="zh-CN"/>
        </w:rPr>
        <w:t>7.1.1</w:t>
      </w:r>
      <w:r>
        <w:rPr>
          <w:rFonts w:hint="eastAsia" w:ascii="宋体" w:hAnsi="宋体" w:eastAsia="宋体" w:cs="宋体"/>
          <w:b/>
          <w:color w:val="auto"/>
          <w:sz w:val="24"/>
          <w:szCs w:val="24"/>
          <w:highlight w:val="none"/>
        </w:rPr>
        <w:t xml:space="preserve">             修改类型：</w:t>
      </w:r>
      <w:r>
        <w:rPr>
          <w:rFonts w:hint="eastAsia" w:ascii="宋体" w:hAnsi="宋体" w:eastAsia="宋体" w:cs="宋体"/>
          <w:b/>
          <w:color w:val="auto"/>
          <w:sz w:val="24"/>
          <w:szCs w:val="24"/>
          <w:highlight w:val="none"/>
          <w:lang w:eastAsia="zh-CN"/>
        </w:rPr>
        <w:t>增加</w:t>
      </w:r>
    </w:p>
    <w:p w14:paraId="6F133A7B">
      <w:pPr>
        <w:keepNext w:val="0"/>
        <w:keepLines w:val="0"/>
        <w:pageBreakBefore w:val="0"/>
        <w:pBdr>
          <w:bottom w:val="single" w:color="auto" w:sz="4" w:space="1"/>
        </w:pBdr>
        <w:kinsoku/>
        <w:wordWrap/>
        <w:overflowPunct/>
        <w:topLinePunct w:val="0"/>
        <w:autoSpaceDE/>
        <w:autoSpaceDN/>
        <w:bidi w:val="0"/>
        <w:spacing w:line="360" w:lineRule="auto"/>
        <w:ind w:firstLine="482" w:firstLineChars="200"/>
        <w:rPr>
          <w:rFonts w:hint="eastAsia" w:ascii="宋体" w:hAnsi="宋体" w:eastAsia="宋体" w:cs="宋体"/>
          <w:color w:val="auto"/>
          <w:sz w:val="24"/>
          <w:szCs w:val="24"/>
          <w:highlight w:val="none"/>
          <w:u w:val="single"/>
          <w:lang w:val="en-US" w:eastAsia="zh-CN"/>
        </w:rPr>
      </w:pPr>
      <w:r>
        <w:rPr>
          <w:rFonts w:hint="eastAsia" w:ascii="宋体" w:hAnsi="宋体" w:eastAsia="宋体" w:cs="宋体"/>
          <w:b/>
          <w:color w:val="auto"/>
          <w:sz w:val="24"/>
          <w:szCs w:val="24"/>
          <w:highlight w:val="none"/>
          <w:u w:val="single"/>
        </w:rPr>
        <w:t>现文：</w:t>
      </w:r>
      <w:r>
        <w:rPr>
          <w:rFonts w:hint="eastAsia" w:ascii="宋体" w:hAnsi="宋体" w:eastAsia="宋体" w:cs="宋体"/>
          <w:b/>
          <w:bCs/>
          <w:color w:val="auto"/>
          <w:sz w:val="24"/>
          <w:szCs w:val="24"/>
          <w:highlight w:val="none"/>
          <w:u w:val="single"/>
          <w:lang w:val="en-US" w:eastAsia="zh-CN"/>
        </w:rPr>
        <w:t>37.1.1</w:t>
      </w:r>
      <w:r>
        <w:rPr>
          <w:rFonts w:hint="eastAsia" w:ascii="宋体" w:hAnsi="宋体" w:eastAsia="宋体" w:cs="宋体"/>
          <w:b w:val="0"/>
          <w:bCs w:val="0"/>
          <w:color w:val="auto"/>
          <w:sz w:val="24"/>
          <w:szCs w:val="24"/>
          <w:highlight w:val="none"/>
          <w:u w:val="single"/>
          <w:lang w:val="en-US" w:eastAsia="zh-CN"/>
        </w:rPr>
        <w:t>评标委员会在开始评标前，应了解评标专家的职责及守则，认真阅读招标公告附件二《评标委员会成员声明》的内容并签名，签字后方可进行评标</w:t>
      </w:r>
      <w:r>
        <w:rPr>
          <w:rFonts w:hint="eastAsia" w:ascii="宋体" w:hAnsi="宋体" w:eastAsia="宋体" w:cs="宋体"/>
          <w:color w:val="auto"/>
          <w:sz w:val="24"/>
          <w:szCs w:val="24"/>
          <w:highlight w:val="none"/>
          <w:u w:val="single"/>
          <w:lang w:val="en-US" w:eastAsia="zh-CN"/>
        </w:rPr>
        <w:t>。</w:t>
      </w:r>
    </w:p>
    <w:p w14:paraId="0A59A4C0">
      <w:pPr>
        <w:keepNext w:val="0"/>
        <w:keepLines w:val="0"/>
        <w:pageBreakBefore w:val="0"/>
        <w:kinsoku/>
        <w:wordWrap/>
        <w:overflowPunct/>
        <w:topLinePunct w:val="0"/>
        <w:autoSpaceDE/>
        <w:autoSpaceDN/>
        <w:bidi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条款号：3</w:t>
      </w:r>
      <w:r>
        <w:rPr>
          <w:rFonts w:hint="eastAsia" w:ascii="宋体" w:hAnsi="宋体" w:eastAsia="宋体" w:cs="宋体"/>
          <w:b/>
          <w:color w:val="auto"/>
          <w:sz w:val="24"/>
          <w:szCs w:val="24"/>
          <w:highlight w:val="none"/>
          <w:lang w:val="en-US" w:eastAsia="zh-CN"/>
        </w:rPr>
        <w:t>7.3.2</w:t>
      </w:r>
      <w:r>
        <w:rPr>
          <w:rFonts w:hint="eastAsia" w:ascii="宋体" w:hAnsi="宋体" w:eastAsia="宋体" w:cs="宋体"/>
          <w:b/>
          <w:color w:val="auto"/>
          <w:sz w:val="24"/>
          <w:szCs w:val="24"/>
          <w:highlight w:val="none"/>
        </w:rPr>
        <w:t xml:space="preserve">             修改类型：修改</w:t>
      </w:r>
    </w:p>
    <w:p w14:paraId="3FC2D593">
      <w:pPr>
        <w:keepNext w:val="0"/>
        <w:keepLines w:val="0"/>
        <w:pageBreakBefore w:val="0"/>
        <w:kinsoku/>
        <w:wordWrap/>
        <w:overflowPunct/>
        <w:topLinePunct w:val="0"/>
        <w:autoSpaceDE/>
        <w:autoSpaceDN/>
        <w:bidi w:val="0"/>
        <w:spacing w:line="360" w:lineRule="auto"/>
        <w:ind w:firstLine="482" w:firstLineChars="200"/>
        <w:rPr>
          <w:rFonts w:hint="eastAsia" w:ascii="宋体" w:hAnsi="宋体" w:eastAsia="宋体" w:cs="宋体"/>
          <w:b w:val="0"/>
          <w:bCs/>
          <w:color w:val="auto"/>
          <w:sz w:val="24"/>
          <w:szCs w:val="24"/>
          <w:highlight w:val="none"/>
        </w:rPr>
      </w:pPr>
      <w:r>
        <w:rPr>
          <w:rFonts w:hint="eastAsia" w:ascii="宋体" w:hAnsi="宋体" w:eastAsia="宋体" w:cs="宋体"/>
          <w:b/>
          <w:color w:val="auto"/>
          <w:sz w:val="24"/>
          <w:szCs w:val="24"/>
          <w:highlight w:val="none"/>
        </w:rPr>
        <w:t>原文：37.3</w:t>
      </w:r>
      <w:r>
        <w:rPr>
          <w:rFonts w:hint="eastAsia" w:ascii="宋体" w:hAnsi="宋体" w:eastAsia="宋体" w:cs="宋体"/>
          <w:b/>
          <w:color w:val="auto"/>
          <w:sz w:val="24"/>
          <w:szCs w:val="24"/>
          <w:highlight w:val="none"/>
          <w:lang w:val="en-US" w:eastAsia="zh-CN"/>
        </w:rPr>
        <w:t>.2</w:t>
      </w:r>
      <w:r>
        <w:rPr>
          <w:rFonts w:hint="eastAsia" w:ascii="宋体" w:hAnsi="宋体" w:eastAsia="宋体" w:cs="宋体"/>
          <w:b w:val="0"/>
          <w:bCs/>
          <w:color w:val="auto"/>
          <w:sz w:val="24"/>
          <w:szCs w:val="24"/>
          <w:highlight w:val="none"/>
        </w:rPr>
        <w:t>向招标人报告评审意见，推荐合格的中标候选人。</w:t>
      </w:r>
    </w:p>
    <w:p w14:paraId="523C8B4A">
      <w:pPr>
        <w:keepNext w:val="0"/>
        <w:keepLines w:val="0"/>
        <w:pageBreakBefore w:val="0"/>
        <w:pBdr>
          <w:bottom w:val="single" w:color="auto" w:sz="4" w:space="1"/>
        </w:pBdr>
        <w:kinsoku/>
        <w:wordWrap/>
        <w:overflowPunct/>
        <w:topLinePunct w:val="0"/>
        <w:autoSpaceDE/>
        <w:autoSpaceDN/>
        <w:bidi w:val="0"/>
        <w:spacing w:line="360" w:lineRule="auto"/>
        <w:ind w:firstLine="482" w:firstLineChars="200"/>
        <w:rPr>
          <w:rFonts w:hint="eastAsia" w:ascii="宋体" w:hAnsi="宋体" w:eastAsia="宋体" w:cs="宋体"/>
          <w:color w:val="auto"/>
          <w:sz w:val="24"/>
          <w:szCs w:val="24"/>
          <w:highlight w:val="none"/>
          <w:u w:val="single"/>
          <w:lang w:val="en-US" w:eastAsia="zh-CN"/>
        </w:rPr>
      </w:pPr>
      <w:r>
        <w:rPr>
          <w:rFonts w:hint="eastAsia" w:ascii="宋体" w:hAnsi="宋体" w:eastAsia="宋体" w:cs="宋体"/>
          <w:b/>
          <w:color w:val="auto"/>
          <w:sz w:val="24"/>
          <w:szCs w:val="24"/>
          <w:highlight w:val="none"/>
        </w:rPr>
        <w:t>现文：</w:t>
      </w:r>
      <w:r>
        <w:rPr>
          <w:rFonts w:hint="eastAsia" w:ascii="宋体" w:hAnsi="宋体" w:eastAsia="宋体" w:cs="宋体"/>
          <w:b/>
          <w:bCs/>
          <w:color w:val="auto"/>
          <w:sz w:val="24"/>
          <w:szCs w:val="24"/>
          <w:highlight w:val="none"/>
          <w:lang w:val="en-US" w:eastAsia="zh-CN"/>
        </w:rPr>
        <w:t>37.3.2</w:t>
      </w:r>
      <w:r>
        <w:rPr>
          <w:rFonts w:hint="eastAsia" w:ascii="宋体" w:hAnsi="宋体" w:eastAsia="宋体" w:cs="宋体"/>
          <w:color w:val="auto"/>
          <w:sz w:val="24"/>
          <w:szCs w:val="24"/>
          <w:highlight w:val="none"/>
          <w:lang w:val="en-US" w:eastAsia="zh-CN"/>
        </w:rPr>
        <w:t>向招标人报告评审意见，</w:t>
      </w:r>
      <w:r>
        <w:rPr>
          <w:rFonts w:hint="eastAsia" w:ascii="宋体" w:hAnsi="宋体" w:eastAsia="宋体" w:cs="宋体"/>
          <w:color w:val="auto"/>
          <w:sz w:val="24"/>
          <w:szCs w:val="24"/>
          <w:highlight w:val="none"/>
          <w:u w:val="single"/>
          <w:lang w:val="en-US" w:eastAsia="zh-CN"/>
        </w:rPr>
        <w:t>推荐进入定标阶段的合格中标候选人，并递交资格审查报告和评标报告。</w:t>
      </w:r>
    </w:p>
    <w:p w14:paraId="5233D27A">
      <w:pPr>
        <w:keepNext w:val="0"/>
        <w:keepLines w:val="0"/>
        <w:pageBreakBefore w:val="0"/>
        <w:kinsoku/>
        <w:wordWrap/>
        <w:overflowPunct/>
        <w:topLinePunct w:val="0"/>
        <w:autoSpaceDE/>
        <w:autoSpaceDN/>
        <w:bidi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条款号：3</w:t>
      </w:r>
      <w:r>
        <w:rPr>
          <w:rFonts w:hint="eastAsia" w:ascii="宋体" w:hAnsi="宋体" w:eastAsia="宋体" w:cs="宋体"/>
          <w:b/>
          <w:color w:val="auto"/>
          <w:sz w:val="24"/>
          <w:szCs w:val="24"/>
          <w:highlight w:val="none"/>
          <w:lang w:val="en-US" w:eastAsia="zh-CN"/>
        </w:rPr>
        <w:t>7.6</w:t>
      </w:r>
      <w:r>
        <w:rPr>
          <w:rFonts w:hint="eastAsia" w:ascii="宋体" w:hAnsi="宋体" w:eastAsia="宋体" w:cs="宋体"/>
          <w:b/>
          <w:color w:val="auto"/>
          <w:sz w:val="24"/>
          <w:szCs w:val="24"/>
          <w:highlight w:val="none"/>
        </w:rPr>
        <w:t xml:space="preserve">       </w:t>
      </w: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 xml:space="preserve">      修改类型：修改</w:t>
      </w:r>
    </w:p>
    <w:p w14:paraId="7C448596">
      <w:pPr>
        <w:keepNext w:val="0"/>
        <w:keepLines w:val="0"/>
        <w:pageBreakBefore w:val="0"/>
        <w:kinsoku/>
        <w:wordWrap/>
        <w:overflowPunct/>
        <w:topLinePunct w:val="0"/>
        <w:autoSpaceDE/>
        <w:autoSpaceDN/>
        <w:bidi w:val="0"/>
        <w:spacing w:line="360" w:lineRule="auto"/>
        <w:ind w:firstLine="482" w:firstLineChars="200"/>
        <w:rPr>
          <w:rFonts w:hint="eastAsia" w:ascii="宋体" w:hAnsi="宋体" w:eastAsia="宋体" w:cs="宋体"/>
          <w:b w:val="0"/>
          <w:bCs/>
          <w:color w:val="auto"/>
          <w:sz w:val="24"/>
          <w:szCs w:val="24"/>
          <w:highlight w:val="none"/>
        </w:rPr>
      </w:pPr>
      <w:r>
        <w:rPr>
          <w:rFonts w:hint="eastAsia" w:ascii="宋体" w:hAnsi="宋体" w:eastAsia="宋体" w:cs="宋体"/>
          <w:b/>
          <w:color w:val="auto"/>
          <w:sz w:val="24"/>
          <w:szCs w:val="24"/>
          <w:highlight w:val="none"/>
        </w:rPr>
        <w:t>原文：37.</w:t>
      </w:r>
      <w:r>
        <w:rPr>
          <w:rFonts w:hint="eastAsia" w:ascii="宋体" w:hAnsi="宋体" w:eastAsia="宋体" w:cs="宋体"/>
          <w:b/>
          <w:color w:val="auto"/>
          <w:sz w:val="24"/>
          <w:szCs w:val="24"/>
          <w:highlight w:val="none"/>
          <w:lang w:val="en-US" w:eastAsia="zh-CN"/>
        </w:rPr>
        <w:t>6</w:t>
      </w:r>
      <w:r>
        <w:rPr>
          <w:rFonts w:hint="eastAsia" w:ascii="宋体" w:hAnsi="宋体" w:eastAsia="宋体" w:cs="宋体"/>
          <w:b w:val="0"/>
          <w:bCs/>
          <w:color w:val="auto"/>
          <w:sz w:val="24"/>
          <w:szCs w:val="24"/>
          <w:highlight w:val="none"/>
          <w:lang w:val="en-US" w:eastAsia="zh-CN"/>
        </w:rPr>
        <w:t>评标结束后，评标委员会递交评标报告并依法推荐中标候选人</w:t>
      </w:r>
      <w:r>
        <w:rPr>
          <w:rFonts w:hint="eastAsia" w:ascii="宋体" w:hAnsi="宋体" w:eastAsia="宋体" w:cs="宋体"/>
          <w:b w:val="0"/>
          <w:bCs/>
          <w:color w:val="auto"/>
          <w:sz w:val="24"/>
          <w:szCs w:val="24"/>
          <w:highlight w:val="none"/>
        </w:rPr>
        <w:t>。</w:t>
      </w:r>
    </w:p>
    <w:p w14:paraId="6AE2914B">
      <w:pPr>
        <w:keepNext w:val="0"/>
        <w:keepLines w:val="0"/>
        <w:pageBreakBefore w:val="0"/>
        <w:pBdr>
          <w:bottom w:val="single" w:color="auto" w:sz="4" w:space="0"/>
        </w:pBdr>
        <w:kinsoku/>
        <w:wordWrap/>
        <w:overflowPunct/>
        <w:topLinePunct w:val="0"/>
        <w:autoSpaceDE/>
        <w:autoSpaceDN/>
        <w:bidi w:val="0"/>
        <w:spacing w:line="360" w:lineRule="auto"/>
        <w:ind w:firstLine="482" w:firstLineChars="200"/>
        <w:rPr>
          <w:rFonts w:hint="eastAsia" w:ascii="宋体" w:hAnsi="宋体" w:eastAsia="宋体" w:cs="宋体"/>
          <w:color w:val="auto"/>
          <w:sz w:val="24"/>
          <w:szCs w:val="24"/>
          <w:highlight w:val="none"/>
          <w:u w:val="single"/>
          <w:lang w:val="en-US" w:eastAsia="zh-CN"/>
        </w:rPr>
      </w:pPr>
      <w:r>
        <w:rPr>
          <w:rFonts w:hint="eastAsia" w:ascii="宋体" w:hAnsi="宋体" w:eastAsia="宋体" w:cs="宋体"/>
          <w:b/>
          <w:color w:val="auto"/>
          <w:sz w:val="24"/>
          <w:szCs w:val="24"/>
          <w:highlight w:val="none"/>
        </w:rPr>
        <w:t>现文：</w:t>
      </w:r>
      <w:r>
        <w:rPr>
          <w:rFonts w:hint="eastAsia" w:ascii="宋体" w:hAnsi="宋体" w:eastAsia="宋体" w:cs="宋体"/>
          <w:b/>
          <w:bCs/>
          <w:color w:val="auto"/>
          <w:sz w:val="24"/>
          <w:szCs w:val="24"/>
          <w:highlight w:val="none"/>
          <w:lang w:val="en-US" w:eastAsia="zh-CN"/>
        </w:rPr>
        <w:t>37.6</w:t>
      </w:r>
      <w:r>
        <w:rPr>
          <w:rFonts w:hint="eastAsia" w:ascii="宋体" w:hAnsi="宋体" w:eastAsia="宋体" w:cs="宋体"/>
          <w:color w:val="auto"/>
          <w:sz w:val="24"/>
          <w:szCs w:val="24"/>
          <w:highlight w:val="none"/>
          <w:lang w:val="en-US" w:eastAsia="zh-CN"/>
        </w:rPr>
        <w:t>评标结束后，评标委员会递交</w:t>
      </w:r>
      <w:r>
        <w:rPr>
          <w:rFonts w:hint="eastAsia" w:ascii="宋体" w:hAnsi="宋体" w:eastAsia="宋体" w:cs="宋体"/>
          <w:color w:val="auto"/>
          <w:sz w:val="24"/>
          <w:szCs w:val="24"/>
          <w:highlight w:val="none"/>
          <w:u w:val="single"/>
          <w:lang w:val="en-US" w:eastAsia="zh-CN"/>
        </w:rPr>
        <w:t>资格审查报告和评标报告并依法推荐进入定标阶段的合格中标候选人。</w:t>
      </w:r>
    </w:p>
    <w:p w14:paraId="0EE1C95A">
      <w:pPr>
        <w:keepNext w:val="0"/>
        <w:keepLines w:val="0"/>
        <w:pageBreakBefore w:val="0"/>
        <w:kinsoku/>
        <w:wordWrap/>
        <w:overflowPunct/>
        <w:topLinePunct w:val="0"/>
        <w:autoSpaceDE/>
        <w:autoSpaceDN/>
        <w:bidi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条款号：3</w:t>
      </w:r>
      <w:r>
        <w:rPr>
          <w:rFonts w:hint="eastAsia" w:ascii="宋体" w:hAnsi="宋体" w:eastAsia="宋体" w:cs="宋体"/>
          <w:b/>
          <w:color w:val="auto"/>
          <w:sz w:val="24"/>
          <w:szCs w:val="24"/>
          <w:highlight w:val="none"/>
          <w:lang w:val="en-US" w:eastAsia="zh-CN"/>
        </w:rPr>
        <w:t>7.6</w:t>
      </w:r>
      <w:r>
        <w:rPr>
          <w:rFonts w:hint="eastAsia" w:ascii="宋体" w:hAnsi="宋体" w:eastAsia="宋体" w:cs="宋体"/>
          <w:b/>
          <w:color w:val="auto"/>
          <w:sz w:val="24"/>
          <w:szCs w:val="24"/>
          <w:highlight w:val="none"/>
        </w:rPr>
        <w:t xml:space="preserve">       </w:t>
      </w: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 xml:space="preserve">      修改类型：修改</w:t>
      </w:r>
    </w:p>
    <w:p w14:paraId="4179A432">
      <w:pPr>
        <w:keepNext w:val="0"/>
        <w:keepLines w:val="0"/>
        <w:pageBreakBefore w:val="0"/>
        <w:kinsoku/>
        <w:wordWrap/>
        <w:overflowPunct/>
        <w:topLinePunct w:val="0"/>
        <w:autoSpaceDE/>
        <w:autoSpaceDN/>
        <w:bidi w:val="0"/>
        <w:spacing w:line="360" w:lineRule="auto"/>
        <w:ind w:firstLine="482" w:firstLineChars="200"/>
        <w:rPr>
          <w:rFonts w:hint="eastAsia" w:ascii="宋体" w:hAnsi="宋体" w:eastAsia="宋体" w:cs="宋体"/>
          <w:b w:val="0"/>
          <w:bCs/>
          <w:color w:val="auto"/>
          <w:sz w:val="24"/>
          <w:szCs w:val="24"/>
          <w:highlight w:val="none"/>
        </w:rPr>
      </w:pPr>
      <w:r>
        <w:rPr>
          <w:rFonts w:hint="eastAsia" w:ascii="宋体" w:hAnsi="宋体" w:eastAsia="宋体" w:cs="宋体"/>
          <w:b/>
          <w:color w:val="auto"/>
          <w:sz w:val="24"/>
          <w:szCs w:val="24"/>
          <w:highlight w:val="none"/>
        </w:rPr>
        <w:t>原文：37.</w:t>
      </w:r>
      <w:r>
        <w:rPr>
          <w:rFonts w:hint="eastAsia" w:ascii="宋体" w:hAnsi="宋体" w:eastAsia="宋体" w:cs="宋体"/>
          <w:b/>
          <w:color w:val="auto"/>
          <w:sz w:val="24"/>
          <w:szCs w:val="24"/>
          <w:highlight w:val="none"/>
          <w:lang w:val="en-US" w:eastAsia="zh-CN"/>
        </w:rPr>
        <w:t>6</w:t>
      </w:r>
      <w:r>
        <w:rPr>
          <w:rFonts w:hint="eastAsia" w:ascii="宋体" w:hAnsi="宋体" w:eastAsia="宋体" w:cs="宋体"/>
          <w:b w:val="0"/>
          <w:bCs/>
          <w:color w:val="auto"/>
          <w:sz w:val="24"/>
          <w:szCs w:val="24"/>
          <w:highlight w:val="none"/>
          <w:lang w:val="en-US" w:eastAsia="zh-CN"/>
        </w:rPr>
        <w:t>评标结束后，评标委员会递交评标报告并依法推荐中标候选人</w:t>
      </w:r>
      <w:r>
        <w:rPr>
          <w:rFonts w:hint="eastAsia" w:ascii="宋体" w:hAnsi="宋体" w:eastAsia="宋体" w:cs="宋体"/>
          <w:b w:val="0"/>
          <w:bCs/>
          <w:color w:val="auto"/>
          <w:sz w:val="24"/>
          <w:szCs w:val="24"/>
          <w:highlight w:val="none"/>
        </w:rPr>
        <w:t>。</w:t>
      </w:r>
    </w:p>
    <w:p w14:paraId="00E9B401">
      <w:pPr>
        <w:keepNext w:val="0"/>
        <w:keepLines w:val="0"/>
        <w:pageBreakBefore w:val="0"/>
        <w:pBdr>
          <w:bottom w:val="single" w:color="auto" w:sz="4" w:space="1"/>
        </w:pBdr>
        <w:kinsoku/>
        <w:wordWrap/>
        <w:overflowPunct/>
        <w:topLinePunct w:val="0"/>
        <w:autoSpaceDE/>
        <w:autoSpaceDN/>
        <w:bidi w:val="0"/>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现文：</w:t>
      </w:r>
      <w:r>
        <w:rPr>
          <w:rFonts w:hint="eastAsia" w:ascii="宋体" w:hAnsi="宋体" w:eastAsia="宋体" w:cs="宋体"/>
          <w:b/>
          <w:bCs/>
          <w:color w:val="auto"/>
          <w:sz w:val="24"/>
          <w:szCs w:val="24"/>
          <w:highlight w:val="none"/>
          <w:lang w:val="en-US" w:eastAsia="zh-CN"/>
        </w:rPr>
        <w:t>37.6</w:t>
      </w:r>
      <w:r>
        <w:rPr>
          <w:rFonts w:hint="eastAsia" w:ascii="宋体" w:hAnsi="宋体" w:eastAsia="宋体" w:cs="宋体"/>
          <w:color w:val="auto"/>
          <w:sz w:val="24"/>
          <w:szCs w:val="24"/>
          <w:highlight w:val="none"/>
          <w:lang w:val="en-US" w:eastAsia="zh-CN"/>
        </w:rPr>
        <w:t>评标结束后，评标委员会递交</w:t>
      </w:r>
      <w:r>
        <w:rPr>
          <w:rFonts w:hint="eastAsia" w:ascii="宋体" w:hAnsi="宋体" w:eastAsia="宋体" w:cs="宋体"/>
          <w:color w:val="auto"/>
          <w:sz w:val="24"/>
          <w:szCs w:val="24"/>
          <w:highlight w:val="none"/>
          <w:u w:val="single"/>
          <w:lang w:val="en-US" w:eastAsia="zh-CN"/>
        </w:rPr>
        <w:t>资格审查报告和评标报告并依法推荐进入定标阶段的合格中标候选人。</w:t>
      </w:r>
    </w:p>
    <w:p w14:paraId="4BA2B2FF">
      <w:pPr>
        <w:keepNext w:val="0"/>
        <w:keepLines w:val="0"/>
        <w:pageBreakBefore w:val="0"/>
        <w:kinsoku/>
        <w:wordWrap/>
        <w:overflowPunct/>
        <w:topLinePunct w:val="0"/>
        <w:autoSpaceDE/>
        <w:autoSpaceDN/>
        <w:bidi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条款号：</w:t>
      </w:r>
      <w:r>
        <w:rPr>
          <w:rFonts w:hint="eastAsia" w:ascii="宋体" w:hAnsi="宋体" w:eastAsia="宋体" w:cs="宋体"/>
          <w:b/>
          <w:color w:val="auto"/>
          <w:sz w:val="24"/>
          <w:szCs w:val="24"/>
          <w:highlight w:val="none"/>
        </w:rPr>
        <w:t>39</w:t>
      </w:r>
      <w:r>
        <w:rPr>
          <w:rFonts w:hint="eastAsia" w:ascii="宋体" w:hAnsi="宋体" w:eastAsia="宋体" w:cs="宋体"/>
          <w:b/>
          <w:color w:val="auto"/>
          <w:sz w:val="24"/>
          <w:szCs w:val="24"/>
          <w:highlight w:val="none"/>
          <w:lang w:val="en-US" w:eastAsia="zh-CN"/>
        </w:rPr>
        <w:t>.</w:t>
      </w:r>
      <w:r>
        <w:rPr>
          <w:rFonts w:hint="eastAsia" w:ascii="宋体" w:hAnsi="宋体" w:eastAsia="宋体" w:cs="宋体"/>
          <w:b/>
          <w:color w:val="auto"/>
          <w:sz w:val="24"/>
          <w:szCs w:val="24"/>
          <w:highlight w:val="none"/>
        </w:rPr>
        <w:t xml:space="preserve">  </w:t>
      </w:r>
      <w:r>
        <w:rPr>
          <w:rFonts w:hint="eastAsia" w:ascii="宋体" w:hAnsi="宋体" w:eastAsia="宋体" w:cs="宋体"/>
          <w:b/>
          <w:bCs/>
          <w:color w:val="auto"/>
          <w:sz w:val="24"/>
          <w:szCs w:val="24"/>
          <w:highlight w:val="none"/>
        </w:rPr>
        <w:t xml:space="preserve">            修改类型：修改</w:t>
      </w:r>
    </w:p>
    <w:p w14:paraId="3FEFC9C6">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原文：39．定标</w:t>
      </w:r>
    </w:p>
    <w:p w14:paraId="3A8A5B64">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39.1</w:t>
      </w:r>
      <w:r>
        <w:rPr>
          <w:rFonts w:hint="eastAsia" w:ascii="宋体" w:hAnsi="宋体"/>
          <w:color w:val="auto"/>
          <w:sz w:val="24"/>
          <w:szCs w:val="24"/>
        </w:rPr>
        <w:t>招标人根据评标委员会递交的评标报告，最终审定中标人</w:t>
      </w:r>
      <w:r>
        <w:rPr>
          <w:rFonts w:hint="eastAsia" w:ascii="宋体" w:hAnsi="宋体" w:eastAsia="宋体" w:cs="宋体"/>
          <w:color w:val="auto"/>
          <w:sz w:val="24"/>
          <w:szCs w:val="24"/>
          <w:highlight w:val="none"/>
        </w:rPr>
        <w:t>。</w:t>
      </w:r>
    </w:p>
    <w:p w14:paraId="4546478A">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39.2</w:t>
      </w:r>
      <w:r>
        <w:rPr>
          <w:rFonts w:hint="eastAsia" w:ascii="宋体" w:hAnsi="宋体"/>
          <w:color w:val="auto"/>
          <w:sz w:val="24"/>
          <w:szCs w:val="24"/>
        </w:rPr>
        <w:t>依法必须进行公开招标的项目，招标人应当确定排名第一的中标候选人为中标人</w:t>
      </w:r>
      <w:r>
        <w:rPr>
          <w:rFonts w:hint="eastAsia" w:ascii="宋体" w:hAnsi="宋体"/>
          <w:color w:val="auto"/>
          <w:sz w:val="24"/>
          <w:szCs w:val="24"/>
          <w:lang w:eastAsia="zh-CN"/>
        </w:rPr>
        <w:t>。采用评定分离方式确定中标人的从其规定。若发现委派的项目负责人已在其他在建项目中任职，不符合任职数量规定时，招标人可以确定排名第二的中标候选人为中标人</w:t>
      </w:r>
      <w:r>
        <w:rPr>
          <w:rFonts w:hint="eastAsia" w:ascii="宋体" w:hAnsi="宋体" w:eastAsia="宋体" w:cs="宋体"/>
          <w:color w:val="auto"/>
          <w:sz w:val="24"/>
          <w:szCs w:val="24"/>
          <w:highlight w:val="none"/>
        </w:rPr>
        <w:t>。</w:t>
      </w:r>
    </w:p>
    <w:p w14:paraId="39E78507">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39.3</w:t>
      </w:r>
      <w:r>
        <w:rPr>
          <w:rFonts w:hint="eastAsia" w:ascii="宋体" w:hAnsi="宋体"/>
          <w:color w:val="auto"/>
          <w:sz w:val="24"/>
          <w:szCs w:val="24"/>
        </w:rPr>
        <w:t>排名第一的中标候选人放弃中标、或因不可抗力提出不能履行合同，或者招标文件规定应当提交履约担保而在规定的期限内未能提交的，</w:t>
      </w:r>
      <w:r>
        <w:rPr>
          <w:rFonts w:hint="eastAsia" w:ascii="宋体" w:hAnsi="宋体"/>
          <w:color w:val="auto"/>
          <w:sz w:val="24"/>
          <w:szCs w:val="24"/>
          <w:lang w:eastAsia="zh-CN"/>
        </w:rPr>
        <w:t>或经核查发现委派的项目负责人已在其他在建项目中任职，不符合任职数量规定时，</w:t>
      </w:r>
      <w:r>
        <w:rPr>
          <w:rFonts w:hint="eastAsia" w:ascii="宋体" w:hAnsi="宋体"/>
          <w:color w:val="auto"/>
          <w:sz w:val="24"/>
          <w:szCs w:val="24"/>
        </w:rPr>
        <w:t>招标人可以确定排名第二的中标候选人为中标人</w:t>
      </w:r>
      <w:r>
        <w:rPr>
          <w:rFonts w:hint="eastAsia" w:ascii="宋体" w:hAnsi="宋体" w:eastAsia="宋体" w:cs="宋体"/>
          <w:color w:val="auto"/>
          <w:sz w:val="24"/>
          <w:szCs w:val="24"/>
          <w:highlight w:val="none"/>
        </w:rPr>
        <w:t>。</w:t>
      </w:r>
    </w:p>
    <w:p w14:paraId="0304F56B">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39.4</w:t>
      </w:r>
      <w:r>
        <w:rPr>
          <w:rFonts w:hint="eastAsia" w:ascii="宋体" w:hAnsi="宋体"/>
          <w:color w:val="auto"/>
          <w:sz w:val="24"/>
          <w:szCs w:val="24"/>
        </w:rPr>
        <w:t>排名第二的中标候选人出现前款所列的情形的，招标人可以确定排名第三的中标候选人为中标人。以此类推，如所有中标候选人均出现前款所列的情形，为招标失败，招标人</w:t>
      </w:r>
      <w:r>
        <w:rPr>
          <w:rFonts w:hint="eastAsia" w:ascii="宋体" w:hAnsi="宋体"/>
          <w:color w:val="auto"/>
          <w:sz w:val="24"/>
          <w:szCs w:val="24"/>
          <w:lang w:eastAsia="zh-CN"/>
        </w:rPr>
        <w:t>依法重新招标</w:t>
      </w:r>
      <w:r>
        <w:rPr>
          <w:rFonts w:hint="eastAsia" w:ascii="宋体" w:hAnsi="宋体" w:eastAsia="宋体" w:cs="宋体"/>
          <w:color w:val="auto"/>
          <w:sz w:val="24"/>
          <w:szCs w:val="24"/>
          <w:highlight w:val="none"/>
        </w:rPr>
        <w:t>。</w:t>
      </w:r>
    </w:p>
    <w:p w14:paraId="67AB16D1">
      <w:pPr>
        <w:keepNext w:val="0"/>
        <w:keepLines w:val="0"/>
        <w:pageBreakBefore w:val="0"/>
        <w:kinsoku/>
        <w:wordWrap/>
        <w:overflowPunct/>
        <w:topLinePunct w:val="0"/>
        <w:autoSpaceDE/>
        <w:autoSpaceDN/>
        <w:bidi w:val="0"/>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39.5</w:t>
      </w:r>
      <w:r>
        <w:rPr>
          <w:rFonts w:hint="eastAsia" w:ascii="宋体" w:hAnsi="宋体"/>
          <w:color w:val="auto"/>
          <w:sz w:val="24"/>
          <w:szCs w:val="24"/>
        </w:rPr>
        <w:t>重新评标的，评标信息（含业绩、奖项等）仍以投标截止时投标人的信息为准。因特殊原因需要延长投标有效期，投标人拒绝延长投标有效期的，仍参与评标，但不被推荐为中标候选人</w:t>
      </w:r>
      <w:r>
        <w:rPr>
          <w:rFonts w:hint="eastAsia" w:ascii="宋体" w:hAnsi="宋体" w:eastAsia="宋体" w:cs="宋体"/>
          <w:color w:val="auto"/>
          <w:sz w:val="24"/>
          <w:szCs w:val="24"/>
          <w:highlight w:val="none"/>
        </w:rPr>
        <w:t>。</w:t>
      </w:r>
    </w:p>
    <w:p w14:paraId="1A42F7E9">
      <w:pPr>
        <w:keepNext w:val="0"/>
        <w:keepLines w:val="0"/>
        <w:pageBreakBefore w:val="0"/>
        <w:kinsoku/>
        <w:wordWrap/>
        <w:overflowPunct/>
        <w:topLinePunct w:val="0"/>
        <w:autoSpaceDE/>
        <w:autoSpaceDN/>
        <w:bidi w:val="0"/>
        <w:spacing w:line="360" w:lineRule="auto"/>
        <w:ind w:firstLine="482" w:firstLineChars="200"/>
        <w:rPr>
          <w:rFonts w:hint="eastAsia" w:ascii="宋体" w:hAnsi="宋体" w:eastAsia="宋体" w:cs="宋体"/>
          <w:b w:val="0"/>
          <w:bCs w:val="0"/>
          <w:color w:val="auto"/>
          <w:sz w:val="24"/>
          <w:szCs w:val="24"/>
          <w:highlight w:val="none"/>
        </w:rPr>
      </w:pPr>
      <w:r>
        <w:rPr>
          <w:rFonts w:hint="eastAsia" w:ascii="宋体" w:hAnsi="宋体" w:eastAsia="宋体" w:cs="宋体"/>
          <w:b/>
          <w:bCs/>
          <w:color w:val="auto"/>
          <w:sz w:val="24"/>
          <w:szCs w:val="24"/>
          <w:highlight w:val="none"/>
        </w:rPr>
        <w:t>39.6</w:t>
      </w:r>
      <w:r>
        <w:rPr>
          <w:rFonts w:hint="eastAsia" w:ascii="宋体" w:hAnsi="宋体" w:eastAsia="宋体" w:cs="宋体"/>
          <w:b w:val="0"/>
          <w:bCs w:val="0"/>
          <w:color w:val="auto"/>
          <w:sz w:val="24"/>
          <w:szCs w:val="24"/>
          <w:highlight w:val="none"/>
        </w:rPr>
        <w:t>有效投标不足3个的，评标委员会应当对投标是否明显缺乏竞争和是否需要否决全部投标进行充分论证，并在评标报告中记载论证过程和结果。</w:t>
      </w:r>
    </w:p>
    <w:p w14:paraId="467900BA">
      <w:pPr>
        <w:pStyle w:val="10"/>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eastAsia="宋体"/>
          <w:lang w:eastAsia="zh-CN"/>
        </w:rPr>
      </w:pPr>
      <w:r>
        <w:rPr>
          <w:rFonts w:hint="eastAsia" w:ascii="宋体" w:hAnsi="宋体" w:eastAsia="宋体" w:cs="宋体"/>
          <w:b w:val="0"/>
          <w:bCs w:val="0"/>
          <w:color w:val="auto"/>
          <w:sz w:val="24"/>
          <w:szCs w:val="24"/>
          <w:highlight w:val="none"/>
          <w:lang w:eastAsia="zh-CN"/>
        </w:rPr>
        <w:t>注：</w:t>
      </w:r>
      <w:r>
        <w:rPr>
          <w:rFonts w:hint="eastAsia" w:ascii="楷体" w:hAnsi="楷体" w:eastAsia="楷体" w:cs="楷体"/>
          <w:color w:val="auto"/>
          <w:sz w:val="24"/>
          <w:szCs w:val="24"/>
          <w:lang w:val="en-US" w:eastAsia="zh-CN"/>
        </w:rPr>
        <w:t>采用评定分离方式的，招标人应在招标文件中明确定标方式。</w:t>
      </w:r>
    </w:p>
    <w:p w14:paraId="5C3EF589">
      <w:pPr>
        <w:keepNext w:val="0"/>
        <w:keepLines w:val="0"/>
        <w:pageBreakBefore w:val="0"/>
        <w:pBdr>
          <w:bottom w:val="single" w:color="auto" w:sz="6" w:space="1"/>
        </w:pBdr>
        <w:kinsoku/>
        <w:wordWrap/>
        <w:overflowPunct/>
        <w:topLinePunct w:val="0"/>
        <w:autoSpaceDE/>
        <w:autoSpaceDN/>
        <w:bidi w:val="0"/>
        <w:spacing w:line="360" w:lineRule="auto"/>
        <w:ind w:firstLine="482" w:firstLineChars="200"/>
        <w:rPr>
          <w:rFonts w:hint="eastAsia" w:ascii="宋体" w:hAnsi="宋体" w:eastAsia="宋体" w:cs="宋体"/>
          <w:color w:val="auto"/>
          <w:sz w:val="24"/>
          <w:szCs w:val="24"/>
          <w:highlight w:val="none"/>
          <w:u w:val="single"/>
        </w:rPr>
      </w:pPr>
      <w:r>
        <w:rPr>
          <w:rFonts w:hint="eastAsia" w:ascii="宋体" w:hAnsi="宋体" w:eastAsia="宋体" w:cs="宋体"/>
          <w:b/>
          <w:bCs/>
          <w:color w:val="auto"/>
          <w:sz w:val="24"/>
          <w:szCs w:val="24"/>
          <w:highlight w:val="none"/>
        </w:rPr>
        <w:t>现文：39.</w:t>
      </w:r>
      <w:r>
        <w:rPr>
          <w:rFonts w:hint="eastAsia" w:ascii="宋体" w:hAnsi="宋体" w:eastAsia="宋体" w:cs="宋体"/>
          <w:color w:val="auto"/>
          <w:sz w:val="24"/>
          <w:szCs w:val="24"/>
          <w:highlight w:val="none"/>
          <w:u w:val="single"/>
        </w:rPr>
        <w:t>定标详细规定条款详见本章第5</w:t>
      </w:r>
      <w:r>
        <w:rPr>
          <w:rFonts w:hint="eastAsia" w:ascii="宋体" w:hAnsi="宋体" w:cs="宋体"/>
          <w:color w:val="auto"/>
          <w:sz w:val="24"/>
          <w:szCs w:val="24"/>
          <w:highlight w:val="none"/>
          <w:u w:val="single"/>
          <w:lang w:val="en-US" w:eastAsia="zh-CN"/>
        </w:rPr>
        <w:t>1</w:t>
      </w:r>
      <w:r>
        <w:rPr>
          <w:rFonts w:hint="eastAsia" w:ascii="宋体" w:hAnsi="宋体" w:eastAsia="宋体" w:cs="宋体"/>
          <w:color w:val="auto"/>
          <w:sz w:val="24"/>
          <w:szCs w:val="24"/>
          <w:highlight w:val="none"/>
          <w:u w:val="single"/>
        </w:rPr>
        <w:t>条内容。</w:t>
      </w:r>
    </w:p>
    <w:p w14:paraId="5E8E08D9">
      <w:pPr>
        <w:spacing w:line="360" w:lineRule="auto"/>
        <w:ind w:firstLine="590" w:firstLineChars="245"/>
        <w:rPr>
          <w:rFonts w:hint="eastAsia" w:ascii="宋体" w:hAnsi="宋体" w:cs="宋体"/>
          <w:b/>
          <w:sz w:val="24"/>
          <w:szCs w:val="24"/>
          <w:highlight w:val="none"/>
        </w:rPr>
      </w:pPr>
      <w:r>
        <w:rPr>
          <w:rFonts w:hint="eastAsia" w:ascii="宋体" w:hAnsi="宋体" w:cs="宋体"/>
          <w:b/>
          <w:sz w:val="24"/>
          <w:szCs w:val="24"/>
          <w:highlight w:val="none"/>
        </w:rPr>
        <w:t>条款号：可选办法、40.           修改类型：修改</w:t>
      </w:r>
    </w:p>
    <w:p w14:paraId="66F8EE53">
      <w:pPr>
        <w:snapToGrid w:val="0"/>
        <w:spacing w:line="360" w:lineRule="auto"/>
        <w:ind w:firstLine="482" w:firstLineChars="200"/>
        <w:rPr>
          <w:rFonts w:hint="eastAsia" w:ascii="宋体" w:hAnsi="宋体" w:cs="宋体"/>
          <w:b/>
          <w:sz w:val="24"/>
          <w:szCs w:val="24"/>
          <w:highlight w:val="none"/>
        </w:rPr>
      </w:pPr>
      <w:r>
        <w:rPr>
          <w:rFonts w:hint="eastAsia" w:ascii="宋体" w:hAnsi="宋体" w:cs="宋体"/>
          <w:b/>
          <w:sz w:val="24"/>
          <w:szCs w:val="24"/>
          <w:highlight w:val="none"/>
        </w:rPr>
        <w:t>原文：</w:t>
      </w:r>
      <w:r>
        <w:rPr>
          <w:rFonts w:hint="eastAsia" w:ascii="宋体" w:hAnsi="宋体" w:cs="宋体"/>
          <w:sz w:val="24"/>
          <w:szCs w:val="24"/>
          <w:highlight w:val="none"/>
        </w:rPr>
        <w:t>可选办法七（适合综合评分法四，技术标与经济标同时开启）</w:t>
      </w:r>
    </w:p>
    <w:p w14:paraId="7BF3DB56">
      <w:pPr>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开标和评标程序</w:t>
      </w:r>
    </w:p>
    <w:p w14:paraId="54138C11">
      <w:pPr>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40.1投标人递交技术标、经济标投标文件；</w:t>
      </w:r>
    </w:p>
    <w:p w14:paraId="7092753F">
      <w:pPr>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40.2技术标（含资格审查文件）与经济标投标文件同时公开开标；</w:t>
      </w:r>
    </w:p>
    <w:p w14:paraId="62E33FB7">
      <w:pPr>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40.3由招标人随机抽取确定该工程计算评标参考价的等分点值X（适用于区间抽取法）；</w:t>
      </w:r>
    </w:p>
    <w:p w14:paraId="4B2050EC">
      <w:pPr>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40.4由评标委员会对所有已公开开标的投标人进行资格审查；</w:t>
      </w:r>
    </w:p>
    <w:p w14:paraId="278D28B8">
      <w:pPr>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40.5技术标投标文件有效性审查；</w:t>
      </w:r>
    </w:p>
    <w:p w14:paraId="7B4834C0">
      <w:pPr>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40.6技术标详细审查评分；</w:t>
      </w:r>
    </w:p>
    <w:p w14:paraId="57CDC887">
      <w:pPr>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40.7经济标的算术校核；</w:t>
      </w:r>
    </w:p>
    <w:p w14:paraId="4DE698A0">
      <w:pPr>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 xml:space="preserve">40.8经济标详细审查评分； </w:t>
      </w:r>
    </w:p>
    <w:p w14:paraId="16FD5DFC">
      <w:pPr>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40.9评标委员会按照投标人总得分由高至低排序；</w:t>
      </w:r>
    </w:p>
    <w:p w14:paraId="4AB7ECCC">
      <w:pPr>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40.10经济标投标文件有效性审查；</w:t>
      </w:r>
    </w:p>
    <w:p w14:paraId="0C886655">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40.11评标委员会按排序向招标人推荐中标候选人名单，并递交资格审查报告及评标报告。</w:t>
      </w:r>
    </w:p>
    <w:p w14:paraId="177707DF">
      <w:pPr>
        <w:pBdr>
          <w:bottom w:val="single" w:color="auto" w:sz="6" w:space="1"/>
        </w:pBdr>
        <w:spacing w:line="360" w:lineRule="auto"/>
        <w:ind w:firstLine="590" w:firstLineChars="245"/>
        <w:rPr>
          <w:rFonts w:hint="eastAsia" w:ascii="宋体" w:hAnsi="宋体" w:cs="宋体"/>
          <w:sz w:val="24"/>
          <w:szCs w:val="24"/>
          <w:highlight w:val="none"/>
          <w:u w:val="single"/>
          <w:lang w:eastAsia="zh-CN"/>
        </w:rPr>
      </w:pPr>
      <w:r>
        <w:rPr>
          <w:rFonts w:hint="eastAsia" w:ascii="宋体" w:hAnsi="宋体" w:cs="宋体"/>
          <w:b/>
          <w:sz w:val="24"/>
          <w:szCs w:val="24"/>
          <w:highlight w:val="none"/>
        </w:rPr>
        <w:t>现文：</w:t>
      </w:r>
      <w:r>
        <w:rPr>
          <w:rFonts w:hint="eastAsia" w:ascii="宋体" w:hAnsi="宋体" w:cs="宋体"/>
          <w:sz w:val="24"/>
          <w:szCs w:val="24"/>
          <w:highlight w:val="none"/>
          <w:u w:val="single"/>
          <w:lang w:eastAsia="zh-CN"/>
        </w:rPr>
        <w:t>开标、评标及定标程序</w:t>
      </w:r>
    </w:p>
    <w:p w14:paraId="43624300">
      <w:pPr>
        <w:pBdr>
          <w:bottom w:val="single" w:color="auto" w:sz="6" w:space="1"/>
        </w:pBdr>
        <w:spacing w:line="360" w:lineRule="auto"/>
        <w:ind w:firstLine="588" w:firstLineChars="245"/>
        <w:rPr>
          <w:rFonts w:hint="eastAsia" w:ascii="宋体" w:hAnsi="宋体" w:cs="宋体"/>
          <w:sz w:val="24"/>
          <w:szCs w:val="24"/>
          <w:highlight w:val="none"/>
          <w:u w:val="single"/>
          <w:lang w:eastAsia="zh-CN"/>
        </w:rPr>
      </w:pPr>
      <w:r>
        <w:rPr>
          <w:rFonts w:hint="eastAsia" w:ascii="宋体" w:hAnsi="宋体" w:cs="宋体"/>
          <w:sz w:val="24"/>
          <w:szCs w:val="24"/>
          <w:highlight w:val="none"/>
          <w:u w:val="single"/>
          <w:lang w:eastAsia="zh-CN"/>
        </w:rPr>
        <w:t>40.1技术标投标文件（含资格审查文件）、经济标投标文件、定标文件同时公开开标；</w:t>
      </w:r>
    </w:p>
    <w:p w14:paraId="484EBA09">
      <w:pPr>
        <w:pBdr>
          <w:bottom w:val="single" w:color="auto" w:sz="6" w:space="1"/>
        </w:pBdr>
        <w:spacing w:line="360" w:lineRule="auto"/>
        <w:ind w:firstLine="588" w:firstLineChars="245"/>
        <w:rPr>
          <w:rFonts w:hint="eastAsia" w:ascii="宋体" w:hAnsi="宋体" w:cs="宋体"/>
          <w:sz w:val="24"/>
          <w:szCs w:val="24"/>
          <w:highlight w:val="none"/>
          <w:u w:val="single"/>
          <w:lang w:eastAsia="zh-CN"/>
        </w:rPr>
      </w:pPr>
      <w:r>
        <w:rPr>
          <w:rFonts w:hint="eastAsia" w:ascii="宋体" w:hAnsi="宋体" w:cs="宋体"/>
          <w:sz w:val="24"/>
          <w:szCs w:val="24"/>
          <w:highlight w:val="none"/>
          <w:u w:val="single"/>
          <w:lang w:eastAsia="zh-CN"/>
        </w:rPr>
        <w:t>40.2由评标委员会对所有已公开开标的投标人进行资格审查，并编写资格审查报告；</w:t>
      </w:r>
    </w:p>
    <w:p w14:paraId="617A28BD">
      <w:pPr>
        <w:pBdr>
          <w:bottom w:val="single" w:color="auto" w:sz="6" w:space="1"/>
        </w:pBdr>
        <w:spacing w:line="360" w:lineRule="auto"/>
        <w:ind w:firstLine="588" w:firstLineChars="245"/>
        <w:rPr>
          <w:rFonts w:hint="eastAsia" w:ascii="宋体" w:hAnsi="宋体" w:cs="宋体"/>
          <w:sz w:val="24"/>
          <w:szCs w:val="24"/>
          <w:highlight w:val="none"/>
          <w:u w:val="single"/>
          <w:lang w:eastAsia="zh-CN"/>
        </w:rPr>
      </w:pPr>
      <w:r>
        <w:rPr>
          <w:rFonts w:hint="eastAsia" w:ascii="宋体" w:hAnsi="宋体" w:cs="宋体"/>
          <w:sz w:val="24"/>
          <w:szCs w:val="24"/>
          <w:highlight w:val="none"/>
          <w:u w:val="single"/>
          <w:lang w:eastAsia="zh-CN"/>
        </w:rPr>
        <w:t>40.3技术标投标文件有效性审查；</w:t>
      </w:r>
    </w:p>
    <w:p w14:paraId="7F49BF73">
      <w:pPr>
        <w:pBdr>
          <w:bottom w:val="single" w:color="auto" w:sz="6" w:space="1"/>
        </w:pBdr>
        <w:spacing w:line="360" w:lineRule="auto"/>
        <w:ind w:firstLine="588" w:firstLineChars="245"/>
        <w:rPr>
          <w:rFonts w:hint="eastAsia" w:ascii="宋体" w:hAnsi="宋体" w:cs="宋体"/>
          <w:sz w:val="24"/>
          <w:szCs w:val="24"/>
          <w:highlight w:val="none"/>
          <w:u w:val="single"/>
          <w:lang w:eastAsia="zh-CN"/>
        </w:rPr>
      </w:pPr>
      <w:r>
        <w:rPr>
          <w:rFonts w:hint="eastAsia" w:ascii="宋体" w:hAnsi="宋体" w:cs="宋体"/>
          <w:sz w:val="24"/>
          <w:szCs w:val="24"/>
          <w:highlight w:val="none"/>
          <w:u w:val="single"/>
          <w:lang w:eastAsia="zh-CN"/>
        </w:rPr>
        <w:t>40.4技术标详细审查评分；</w:t>
      </w:r>
    </w:p>
    <w:p w14:paraId="6D512E06">
      <w:pPr>
        <w:pBdr>
          <w:bottom w:val="single" w:color="auto" w:sz="6" w:space="1"/>
        </w:pBdr>
        <w:spacing w:line="360" w:lineRule="auto"/>
        <w:ind w:firstLine="588" w:firstLineChars="245"/>
        <w:rPr>
          <w:rFonts w:hint="eastAsia" w:ascii="宋体" w:hAnsi="宋体" w:cs="宋体"/>
          <w:sz w:val="24"/>
          <w:szCs w:val="24"/>
          <w:highlight w:val="none"/>
          <w:u w:val="single"/>
          <w:lang w:eastAsia="zh-CN"/>
        </w:rPr>
      </w:pPr>
      <w:r>
        <w:rPr>
          <w:rFonts w:hint="eastAsia" w:ascii="宋体" w:hAnsi="宋体" w:cs="宋体"/>
          <w:sz w:val="24"/>
          <w:szCs w:val="24"/>
          <w:highlight w:val="none"/>
          <w:u w:val="single"/>
          <w:lang w:eastAsia="zh-CN"/>
        </w:rPr>
        <w:t>40.5评标委员会按照投标人总得分由高至低排序；</w:t>
      </w:r>
    </w:p>
    <w:p w14:paraId="7F078553">
      <w:pPr>
        <w:pBdr>
          <w:bottom w:val="single" w:color="auto" w:sz="6" w:space="1"/>
        </w:pBdr>
        <w:spacing w:line="360" w:lineRule="auto"/>
        <w:ind w:firstLine="588" w:firstLineChars="245"/>
        <w:rPr>
          <w:rFonts w:hint="eastAsia" w:ascii="宋体" w:hAnsi="宋体" w:cs="宋体"/>
          <w:sz w:val="24"/>
          <w:szCs w:val="24"/>
          <w:highlight w:val="none"/>
          <w:u w:val="single"/>
          <w:lang w:eastAsia="zh-CN"/>
        </w:rPr>
      </w:pPr>
      <w:r>
        <w:rPr>
          <w:rFonts w:hint="eastAsia" w:ascii="宋体" w:hAnsi="宋体" w:cs="宋体"/>
          <w:sz w:val="24"/>
          <w:szCs w:val="24"/>
          <w:highlight w:val="none"/>
          <w:u w:val="single"/>
          <w:lang w:eastAsia="zh-CN"/>
        </w:rPr>
        <w:t>40.6经济标投标文件有效性审查；</w:t>
      </w:r>
    </w:p>
    <w:p w14:paraId="1CB57298">
      <w:pPr>
        <w:pBdr>
          <w:bottom w:val="single" w:color="auto" w:sz="6" w:space="1"/>
        </w:pBdr>
        <w:spacing w:line="360" w:lineRule="auto"/>
        <w:ind w:firstLine="588" w:firstLineChars="245"/>
        <w:rPr>
          <w:rFonts w:hint="eastAsia" w:ascii="宋体" w:hAnsi="宋体" w:cs="宋体"/>
          <w:sz w:val="24"/>
          <w:szCs w:val="24"/>
          <w:highlight w:val="none"/>
          <w:u w:val="single"/>
          <w:lang w:eastAsia="zh-CN"/>
        </w:rPr>
      </w:pPr>
      <w:r>
        <w:rPr>
          <w:rFonts w:hint="eastAsia" w:ascii="宋体" w:hAnsi="宋体" w:cs="宋体"/>
          <w:sz w:val="24"/>
          <w:szCs w:val="24"/>
          <w:highlight w:val="none"/>
          <w:u w:val="single"/>
          <w:lang w:eastAsia="zh-CN"/>
        </w:rPr>
        <w:t>40.7评标委员会按照招标文件规定的评标程序对投标人进行评审。若通过技术标及经济标有效性审查的合格投标人大于等于3家且少于等于20家的，则推荐全部合格的投标人为合格中标候选人（不排序）进入定标阶段。若通过技术标及经济标有效性审查的合格投标人大于20家的，按投标人总得分由高至低推荐排前20名的合格中标候选人【不排序，按统一社会信用代码后4位（除校验码外）大小排位，如统一社会信用代码后4位出现字母情况的，字母以“0”进行代替大小排位；如出现后4位（除校验码外）大小一致的，则随机排位】进入定标阶段，进入定标阶段不排序。</w:t>
      </w:r>
    </w:p>
    <w:p w14:paraId="04986A59">
      <w:pPr>
        <w:pBdr>
          <w:bottom w:val="single" w:color="auto" w:sz="6" w:space="1"/>
        </w:pBdr>
        <w:spacing w:line="360" w:lineRule="auto"/>
        <w:ind w:firstLine="588" w:firstLineChars="245"/>
        <w:rPr>
          <w:rFonts w:hint="eastAsia" w:ascii="宋体" w:hAnsi="宋体" w:cs="宋体"/>
          <w:sz w:val="24"/>
          <w:szCs w:val="24"/>
          <w:highlight w:val="none"/>
          <w:u w:val="single"/>
          <w:lang w:eastAsia="zh-CN"/>
        </w:rPr>
      </w:pPr>
      <w:r>
        <w:rPr>
          <w:rFonts w:hint="eastAsia" w:ascii="宋体" w:hAnsi="宋体" w:cs="宋体"/>
          <w:sz w:val="24"/>
          <w:szCs w:val="24"/>
          <w:highlight w:val="none"/>
          <w:u w:val="single"/>
          <w:lang w:eastAsia="zh-CN"/>
        </w:rPr>
        <w:t>总得分相同的投标文件，以施工组织设计部分得分较高的排前；总得分与施工组织设计部分得分均相同的投标文件，则按名次并列计算。若名次排列出现并列，则占用下一名次(如：第一名分数均相同的投标人有N个，则该N个投标人并列为第一名，下一名按第N+1名计算，依此类推）。如排名第20名的投标人有N个，则这N个投标人都推荐进入定标阶段。</w:t>
      </w:r>
    </w:p>
    <w:p w14:paraId="1064F33B">
      <w:pPr>
        <w:pBdr>
          <w:bottom w:val="single" w:color="auto" w:sz="6" w:space="1"/>
        </w:pBdr>
        <w:spacing w:line="360" w:lineRule="auto"/>
        <w:ind w:firstLine="588" w:firstLineChars="245"/>
        <w:rPr>
          <w:rFonts w:hint="eastAsia" w:ascii="宋体" w:hAnsi="宋体" w:cs="宋体"/>
          <w:b/>
          <w:sz w:val="24"/>
          <w:szCs w:val="24"/>
          <w:highlight w:val="none"/>
        </w:rPr>
      </w:pPr>
      <w:r>
        <w:rPr>
          <w:rFonts w:hint="eastAsia" w:ascii="宋体" w:hAnsi="宋体" w:cs="宋体"/>
          <w:sz w:val="24"/>
          <w:szCs w:val="24"/>
          <w:highlight w:val="none"/>
          <w:u w:val="single"/>
          <w:lang w:eastAsia="zh-CN"/>
        </w:rPr>
        <w:t>40.8定标委员会对评标委员会推荐的合格中标候选人按《定标因素表》，以总得分=方案因素（满分</w:t>
      </w:r>
      <w:r>
        <w:rPr>
          <w:rFonts w:hint="eastAsia" w:ascii="宋体" w:hAnsi="宋体" w:cs="宋体"/>
          <w:sz w:val="24"/>
          <w:szCs w:val="24"/>
          <w:highlight w:val="none"/>
          <w:u w:val="single"/>
          <w:lang w:val="en-US" w:eastAsia="zh-CN"/>
        </w:rPr>
        <w:t>90</w:t>
      </w:r>
      <w:r>
        <w:rPr>
          <w:rFonts w:hint="eastAsia" w:ascii="宋体" w:hAnsi="宋体" w:cs="宋体"/>
          <w:sz w:val="24"/>
          <w:szCs w:val="24"/>
          <w:highlight w:val="none"/>
          <w:u w:val="single"/>
          <w:lang w:eastAsia="zh-CN"/>
        </w:rPr>
        <w:t>分）+价格因素（满分</w:t>
      </w:r>
      <w:r>
        <w:rPr>
          <w:rFonts w:hint="eastAsia" w:ascii="宋体" w:hAnsi="宋体" w:cs="宋体"/>
          <w:sz w:val="24"/>
          <w:szCs w:val="24"/>
          <w:highlight w:val="none"/>
          <w:u w:val="single"/>
          <w:lang w:val="en-US" w:eastAsia="zh-CN"/>
        </w:rPr>
        <w:t>10</w:t>
      </w:r>
      <w:r>
        <w:rPr>
          <w:rFonts w:hint="eastAsia" w:ascii="宋体" w:hAnsi="宋体" w:cs="宋体"/>
          <w:sz w:val="24"/>
          <w:szCs w:val="24"/>
          <w:highlight w:val="none"/>
          <w:u w:val="single"/>
          <w:lang w:eastAsia="zh-CN"/>
        </w:rPr>
        <w:t>分），由高至低排序合格中标候选人的名次，确定得分最高的为中标人。定标结束后，定标委员会向招标人递交定标报告</w:t>
      </w:r>
      <w:r>
        <w:rPr>
          <w:rFonts w:hint="eastAsia" w:ascii="宋体" w:hAnsi="宋体" w:cs="宋体"/>
          <w:sz w:val="24"/>
          <w:szCs w:val="24"/>
          <w:highlight w:val="none"/>
          <w:u w:val="single"/>
        </w:rPr>
        <w:t>。</w:t>
      </w:r>
    </w:p>
    <w:p w14:paraId="56E6DD4D">
      <w:pPr>
        <w:spacing w:line="360" w:lineRule="auto"/>
        <w:ind w:firstLine="590" w:firstLineChars="245"/>
        <w:rPr>
          <w:rFonts w:hint="eastAsia" w:ascii="宋体" w:hAnsi="宋体" w:cs="宋体"/>
          <w:b/>
          <w:sz w:val="24"/>
          <w:szCs w:val="24"/>
          <w:highlight w:val="none"/>
        </w:rPr>
      </w:pPr>
      <w:r>
        <w:rPr>
          <w:rFonts w:hint="eastAsia" w:ascii="宋体" w:hAnsi="宋体" w:cs="宋体"/>
          <w:b/>
          <w:sz w:val="24"/>
          <w:szCs w:val="24"/>
          <w:highlight w:val="none"/>
        </w:rPr>
        <w:t>条款号：41.1                   修改类型：修改</w:t>
      </w:r>
    </w:p>
    <w:p w14:paraId="1B1878D0">
      <w:pPr>
        <w:snapToGrid w:val="0"/>
        <w:spacing w:line="360" w:lineRule="auto"/>
        <w:ind w:firstLine="590" w:firstLineChars="245"/>
        <w:rPr>
          <w:rFonts w:hint="eastAsia" w:ascii="宋体" w:hAnsi="宋体" w:cs="宋体"/>
          <w:sz w:val="24"/>
          <w:szCs w:val="24"/>
          <w:highlight w:val="none"/>
        </w:rPr>
      </w:pPr>
      <w:r>
        <w:rPr>
          <w:rFonts w:hint="eastAsia" w:ascii="宋体" w:hAnsi="宋体" w:cs="宋体"/>
          <w:b/>
          <w:sz w:val="24"/>
          <w:szCs w:val="24"/>
          <w:highlight w:val="none"/>
        </w:rPr>
        <w:t>原文：</w:t>
      </w:r>
      <w:r>
        <w:rPr>
          <w:rFonts w:hint="eastAsia" w:ascii="宋体" w:hAnsi="宋体" w:cs="宋体"/>
          <w:sz w:val="24"/>
          <w:szCs w:val="24"/>
          <w:highlight w:val="none"/>
        </w:rPr>
        <w:t>开标由招标人主持；</w:t>
      </w:r>
    </w:p>
    <w:p w14:paraId="6785EC93">
      <w:pPr>
        <w:pBdr>
          <w:bottom w:val="single" w:color="auto" w:sz="6" w:space="1"/>
        </w:pBdr>
        <w:spacing w:line="360" w:lineRule="auto"/>
        <w:ind w:firstLine="590" w:firstLineChars="245"/>
        <w:rPr>
          <w:rFonts w:hint="eastAsia" w:ascii="宋体" w:hAnsi="宋体" w:cs="宋体"/>
          <w:b/>
          <w:sz w:val="24"/>
          <w:szCs w:val="24"/>
          <w:highlight w:val="none"/>
        </w:rPr>
      </w:pPr>
      <w:r>
        <w:rPr>
          <w:rFonts w:hint="eastAsia" w:ascii="宋体" w:hAnsi="宋体" w:cs="宋体"/>
          <w:b/>
          <w:sz w:val="24"/>
          <w:szCs w:val="24"/>
          <w:highlight w:val="none"/>
        </w:rPr>
        <w:t>现文：</w:t>
      </w:r>
      <w:r>
        <w:rPr>
          <w:rFonts w:hint="eastAsia" w:ascii="宋体" w:hAnsi="宋体" w:cs="宋体"/>
          <w:sz w:val="24"/>
          <w:szCs w:val="24"/>
          <w:highlight w:val="none"/>
          <w:u w:val="single"/>
        </w:rPr>
        <w:t>开标由招标人或招标代理主持；</w:t>
      </w:r>
    </w:p>
    <w:p w14:paraId="5485238A">
      <w:pPr>
        <w:spacing w:line="360" w:lineRule="auto"/>
        <w:ind w:firstLine="540" w:firstLineChars="224"/>
        <w:rPr>
          <w:rFonts w:hint="eastAsia" w:ascii="宋体" w:hAnsi="宋体" w:cs="宋体"/>
          <w:b/>
          <w:sz w:val="24"/>
          <w:szCs w:val="24"/>
          <w:highlight w:val="none"/>
        </w:rPr>
      </w:pPr>
      <w:r>
        <w:rPr>
          <w:rFonts w:hint="eastAsia" w:ascii="宋体" w:hAnsi="宋体" w:cs="宋体"/>
          <w:b/>
          <w:sz w:val="24"/>
          <w:szCs w:val="24"/>
          <w:highlight w:val="none"/>
        </w:rPr>
        <w:t>条款号：41.2.1             修改类型：修改</w:t>
      </w:r>
    </w:p>
    <w:p w14:paraId="6AAC74E4">
      <w:pPr>
        <w:pBdr>
          <w:bottom w:val="single" w:color="auto" w:sz="6" w:space="1"/>
        </w:pBdr>
        <w:spacing w:line="360" w:lineRule="auto"/>
        <w:ind w:firstLine="540" w:firstLineChars="224"/>
        <w:rPr>
          <w:rFonts w:hint="eastAsia" w:ascii="宋体" w:hAnsi="宋体" w:cs="宋体"/>
          <w:sz w:val="24"/>
          <w:szCs w:val="24"/>
          <w:highlight w:val="none"/>
        </w:rPr>
      </w:pPr>
      <w:r>
        <w:rPr>
          <w:rFonts w:hint="eastAsia" w:ascii="宋体" w:hAnsi="宋体" w:cs="宋体"/>
          <w:b/>
          <w:sz w:val="24"/>
          <w:szCs w:val="24"/>
          <w:highlight w:val="none"/>
        </w:rPr>
        <w:t>原文：</w:t>
      </w:r>
      <w:r>
        <w:rPr>
          <w:rFonts w:hint="eastAsia" w:ascii="宋体" w:hAnsi="宋体" w:cs="宋体"/>
          <w:sz w:val="24"/>
          <w:szCs w:val="24"/>
          <w:highlight w:val="none"/>
        </w:rPr>
        <w:t>投标截止期前，各投标人递交投标文件（包括技术标投标文件、经济标投标文件）至</w:t>
      </w:r>
      <w:r>
        <w:rPr>
          <w:rFonts w:hint="eastAsia" w:ascii="宋体" w:hAnsi="宋体" w:cs="宋体"/>
          <w:sz w:val="24"/>
          <w:szCs w:val="24"/>
          <w:highlight w:val="none"/>
          <w:u w:val="single"/>
        </w:rPr>
        <w:t xml:space="preserve">        </w:t>
      </w:r>
      <w:r>
        <w:rPr>
          <w:rFonts w:hint="eastAsia" w:ascii="宋体" w:hAnsi="宋体" w:cs="宋体"/>
          <w:sz w:val="24"/>
          <w:szCs w:val="24"/>
          <w:highlight w:val="none"/>
        </w:rPr>
        <w:t>交易平台。有关投标文件提交的事项详见第一章投标须知。</w:t>
      </w:r>
    </w:p>
    <w:p w14:paraId="2D082124">
      <w:pPr>
        <w:pBdr>
          <w:bottom w:val="single" w:color="auto" w:sz="6" w:space="1"/>
        </w:pBdr>
        <w:spacing w:line="360" w:lineRule="auto"/>
        <w:ind w:firstLine="540" w:firstLineChars="224"/>
        <w:rPr>
          <w:rFonts w:hint="eastAsia" w:ascii="宋体" w:hAnsi="宋体" w:cs="宋体"/>
          <w:sz w:val="24"/>
          <w:szCs w:val="24"/>
          <w:highlight w:val="none"/>
        </w:rPr>
      </w:pPr>
      <w:r>
        <w:rPr>
          <w:rFonts w:hint="eastAsia" w:ascii="宋体" w:hAnsi="宋体" w:cs="宋体"/>
          <w:b/>
          <w:sz w:val="24"/>
          <w:szCs w:val="24"/>
          <w:highlight w:val="none"/>
        </w:rPr>
        <w:t>现文：</w:t>
      </w:r>
      <w:r>
        <w:rPr>
          <w:rFonts w:hint="eastAsia" w:ascii="宋体" w:hAnsi="宋体" w:cs="宋体"/>
          <w:sz w:val="24"/>
          <w:szCs w:val="24"/>
          <w:highlight w:val="none"/>
        </w:rPr>
        <w:t>投标截止期前，各投标人递交投标文件（包括技术标投标文件、经济标投标文件）至</w:t>
      </w:r>
      <w:r>
        <w:rPr>
          <w:rFonts w:hint="eastAsia" w:ascii="宋体" w:hAnsi="宋体" w:cs="宋体"/>
          <w:b/>
          <w:bCs/>
          <w:sz w:val="24"/>
          <w:szCs w:val="24"/>
          <w:highlight w:val="none"/>
          <w:u w:val="single"/>
        </w:rPr>
        <w:t>广州交易集团有限公司（广州公共资源交易中心）</w:t>
      </w:r>
      <w:r>
        <w:rPr>
          <w:rFonts w:hint="eastAsia" w:ascii="宋体" w:hAnsi="宋体" w:cs="宋体"/>
          <w:sz w:val="24"/>
          <w:szCs w:val="24"/>
          <w:highlight w:val="none"/>
        </w:rPr>
        <w:t>交易平台。有关投标文件提交的事项详见第一章投标须知。</w:t>
      </w:r>
    </w:p>
    <w:p w14:paraId="76C1C6A3">
      <w:pPr>
        <w:spacing w:line="360" w:lineRule="auto"/>
        <w:ind w:firstLine="540" w:firstLineChars="224"/>
        <w:rPr>
          <w:rFonts w:hint="eastAsia" w:ascii="宋体" w:hAnsi="宋体"/>
          <w:b/>
          <w:sz w:val="24"/>
          <w:szCs w:val="24"/>
          <w:highlight w:val="none"/>
        </w:rPr>
      </w:pPr>
      <w:r>
        <w:rPr>
          <w:rFonts w:hint="eastAsia" w:ascii="宋体" w:hAnsi="宋体"/>
          <w:b/>
          <w:sz w:val="24"/>
          <w:szCs w:val="24"/>
          <w:highlight w:val="none"/>
          <w:lang w:bidi="ar"/>
        </w:rPr>
        <w:t>条款号：41.2.3.2            修改类型：删除</w:t>
      </w:r>
    </w:p>
    <w:p w14:paraId="40CF73A7">
      <w:pPr>
        <w:pBdr>
          <w:bottom w:val="single" w:color="auto" w:sz="6" w:space="1"/>
        </w:pBdr>
        <w:spacing w:line="360" w:lineRule="auto"/>
        <w:ind w:firstLine="482" w:firstLineChars="200"/>
        <w:rPr>
          <w:rFonts w:hint="eastAsia" w:ascii="宋体" w:hAnsi="宋体"/>
          <w:sz w:val="24"/>
          <w:szCs w:val="24"/>
          <w:highlight w:val="none"/>
        </w:rPr>
      </w:pPr>
      <w:r>
        <w:rPr>
          <w:rFonts w:hint="eastAsia" w:ascii="宋体" w:hAnsi="宋体"/>
          <w:b/>
          <w:bCs/>
          <w:sz w:val="24"/>
          <w:szCs w:val="24"/>
          <w:highlight w:val="none"/>
          <w:lang w:bidi="ar"/>
        </w:rPr>
        <w:t>原文：</w:t>
      </w:r>
      <w:r>
        <w:rPr>
          <w:rFonts w:hint="eastAsia" w:ascii="宋体" w:hAnsi="宋体"/>
          <w:sz w:val="24"/>
          <w:szCs w:val="24"/>
          <w:highlight w:val="none"/>
          <w:lang w:bidi="ar"/>
        </w:rPr>
        <w:t>41.2.3.2由招标人随机抽取确定该工程计算评标参考价的等分点值X。</w:t>
      </w:r>
    </w:p>
    <w:p w14:paraId="2E5CF9B6">
      <w:pPr>
        <w:spacing w:line="360" w:lineRule="auto"/>
        <w:ind w:firstLine="590" w:firstLineChars="245"/>
        <w:rPr>
          <w:rFonts w:hint="eastAsia" w:ascii="宋体" w:hAnsi="宋体" w:cs="宋体"/>
          <w:b/>
          <w:sz w:val="24"/>
          <w:szCs w:val="24"/>
          <w:highlight w:val="none"/>
        </w:rPr>
      </w:pPr>
      <w:r>
        <w:rPr>
          <w:rFonts w:hint="eastAsia" w:ascii="宋体" w:hAnsi="宋体" w:cs="宋体"/>
          <w:b/>
          <w:sz w:val="24"/>
          <w:szCs w:val="24"/>
          <w:highlight w:val="none"/>
        </w:rPr>
        <w:t>条款号： 42.2            修改类型：修改</w:t>
      </w:r>
    </w:p>
    <w:p w14:paraId="015392E6">
      <w:pPr>
        <w:spacing w:line="360" w:lineRule="auto"/>
        <w:ind w:firstLine="600" w:firstLineChars="249"/>
        <w:rPr>
          <w:rFonts w:hint="eastAsia" w:ascii="宋体" w:hAnsi="宋体" w:cs="宋体"/>
          <w:sz w:val="24"/>
          <w:szCs w:val="24"/>
          <w:highlight w:val="none"/>
        </w:rPr>
      </w:pPr>
      <w:r>
        <w:rPr>
          <w:rFonts w:hint="eastAsia" w:ascii="宋体" w:hAnsi="宋体" w:cs="宋体"/>
          <w:b/>
          <w:sz w:val="24"/>
          <w:szCs w:val="24"/>
          <w:highlight w:val="none"/>
        </w:rPr>
        <w:t>原文：</w:t>
      </w:r>
      <w:r>
        <w:rPr>
          <w:rFonts w:hint="eastAsia" w:ascii="宋体" w:hAnsi="宋体" w:cs="宋体"/>
          <w:sz w:val="24"/>
          <w:szCs w:val="24"/>
          <w:highlight w:val="none"/>
        </w:rPr>
        <w:t>评标委员会的组成：方式</w:t>
      </w:r>
      <w:r>
        <w:rPr>
          <w:rFonts w:hint="eastAsia" w:ascii="宋体" w:hAnsi="宋体" w:cs="宋体"/>
          <w:sz w:val="24"/>
          <w:szCs w:val="24"/>
          <w:highlight w:val="none"/>
          <w:u w:val="single"/>
        </w:rPr>
        <w:t xml:space="preserve">      </w:t>
      </w:r>
      <w:r>
        <w:rPr>
          <w:rFonts w:hint="eastAsia" w:ascii="宋体" w:hAnsi="宋体" w:cs="宋体"/>
          <w:sz w:val="24"/>
          <w:szCs w:val="24"/>
          <w:highlight w:val="none"/>
        </w:rPr>
        <w:t>。</w:t>
      </w:r>
    </w:p>
    <w:p w14:paraId="2102CBC9">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方式一：评标委员会为综合评标委员会，负责资格审查及评标工作。</w:t>
      </w:r>
    </w:p>
    <w:p w14:paraId="0D6FD562">
      <w:pPr>
        <w:spacing w:line="360" w:lineRule="auto"/>
        <w:ind w:firstLine="480" w:firstLineChars="200"/>
        <w:rPr>
          <w:rFonts w:hint="eastAsia" w:ascii="宋体" w:hAnsi="宋体" w:cs="宋体"/>
          <w:b/>
          <w:sz w:val="24"/>
          <w:szCs w:val="24"/>
          <w:highlight w:val="none"/>
        </w:rPr>
      </w:pPr>
      <w:r>
        <w:rPr>
          <w:rFonts w:hint="eastAsia" w:ascii="宋体" w:hAnsi="宋体" w:cs="宋体"/>
          <w:sz w:val="24"/>
          <w:szCs w:val="24"/>
          <w:highlight w:val="none"/>
        </w:rPr>
        <w:t>方式二：评标委员会由技术评审组和经济评审组组成。其中：资格审查及技术评审由技术评标组负责，经济评审由经济评审组负责。</w:t>
      </w:r>
    </w:p>
    <w:p w14:paraId="46E38EB8">
      <w:pPr>
        <w:spacing w:line="360" w:lineRule="auto"/>
        <w:ind w:firstLine="600" w:firstLineChars="249"/>
        <w:rPr>
          <w:rFonts w:hint="eastAsia" w:ascii="宋体" w:hAnsi="宋体" w:cs="宋体"/>
          <w:sz w:val="24"/>
          <w:szCs w:val="24"/>
          <w:highlight w:val="none"/>
        </w:rPr>
      </w:pPr>
      <w:r>
        <w:rPr>
          <w:rFonts w:hint="eastAsia" w:ascii="宋体" w:hAnsi="宋体" w:cs="宋体"/>
          <w:b/>
          <w:sz w:val="24"/>
          <w:szCs w:val="24"/>
          <w:highlight w:val="none"/>
        </w:rPr>
        <w:t>现文：</w:t>
      </w:r>
      <w:r>
        <w:rPr>
          <w:rFonts w:hint="eastAsia" w:ascii="宋体" w:hAnsi="宋体" w:cs="宋体"/>
          <w:sz w:val="24"/>
          <w:szCs w:val="24"/>
          <w:highlight w:val="none"/>
        </w:rPr>
        <w:t>评标委员会的组成：方式</w:t>
      </w:r>
      <w:r>
        <w:rPr>
          <w:rFonts w:hint="eastAsia" w:ascii="宋体" w:hAnsi="宋体" w:cs="宋体"/>
          <w:sz w:val="24"/>
          <w:szCs w:val="24"/>
          <w:highlight w:val="none"/>
          <w:u w:val="single"/>
        </w:rPr>
        <w:t xml:space="preserve"> 一  </w:t>
      </w:r>
      <w:r>
        <w:rPr>
          <w:rFonts w:hint="eastAsia" w:ascii="宋体" w:hAnsi="宋体" w:cs="宋体"/>
          <w:sz w:val="24"/>
          <w:szCs w:val="24"/>
          <w:highlight w:val="none"/>
        </w:rPr>
        <w:t>。</w:t>
      </w:r>
    </w:p>
    <w:p w14:paraId="4BD8ADEF">
      <w:pPr>
        <w:spacing w:line="360" w:lineRule="auto"/>
        <w:ind w:firstLine="720" w:firstLineChars="300"/>
        <w:rPr>
          <w:rFonts w:hint="eastAsia" w:ascii="宋体" w:hAnsi="宋体" w:cs="宋体"/>
          <w:sz w:val="24"/>
          <w:szCs w:val="24"/>
          <w:highlight w:val="none"/>
        </w:rPr>
      </w:pPr>
      <w:r>
        <w:rPr>
          <w:rFonts w:hint="eastAsia" w:ascii="宋体" w:hAnsi="宋体" w:cs="宋体"/>
          <w:sz w:val="24"/>
          <w:szCs w:val="24"/>
          <w:highlight w:val="none"/>
        </w:rPr>
        <w:t>方式一：评标委员会为综合评标委员会，负责资格审查及评标工作。</w:t>
      </w:r>
    </w:p>
    <w:p w14:paraId="49017A37">
      <w:pPr>
        <w:pBdr>
          <w:bottom w:val="single" w:color="auto" w:sz="6" w:space="1"/>
        </w:pBdr>
        <w:spacing w:line="360" w:lineRule="auto"/>
        <w:ind w:firstLine="590" w:firstLineChars="245"/>
        <w:rPr>
          <w:rFonts w:hint="eastAsia" w:ascii="宋体" w:hAnsi="宋体" w:cs="宋体"/>
          <w:b/>
          <w:sz w:val="24"/>
          <w:szCs w:val="24"/>
          <w:highlight w:val="none"/>
        </w:rPr>
      </w:pPr>
    </w:p>
    <w:p w14:paraId="7D7F90C5">
      <w:pPr>
        <w:spacing w:line="360" w:lineRule="auto"/>
        <w:ind w:firstLine="590" w:firstLineChars="245"/>
        <w:rPr>
          <w:rFonts w:hint="eastAsia" w:ascii="宋体" w:hAnsi="宋体" w:cs="宋体"/>
          <w:b/>
          <w:sz w:val="24"/>
          <w:szCs w:val="24"/>
          <w:highlight w:val="none"/>
        </w:rPr>
      </w:pPr>
      <w:r>
        <w:rPr>
          <w:rFonts w:hint="eastAsia" w:ascii="宋体" w:hAnsi="宋体" w:cs="宋体"/>
          <w:b/>
          <w:sz w:val="24"/>
          <w:szCs w:val="24"/>
          <w:highlight w:val="none"/>
        </w:rPr>
        <w:t>条款号： 43.3            修改类型：修改</w:t>
      </w:r>
    </w:p>
    <w:p w14:paraId="3EE2B4A1">
      <w:pPr>
        <w:spacing w:line="360" w:lineRule="auto"/>
        <w:ind w:firstLine="590" w:firstLineChars="245"/>
        <w:rPr>
          <w:rFonts w:hint="eastAsia" w:ascii="宋体" w:hAnsi="宋体" w:cs="宋体"/>
          <w:b/>
          <w:sz w:val="24"/>
          <w:szCs w:val="24"/>
          <w:highlight w:val="none"/>
        </w:rPr>
      </w:pPr>
      <w:r>
        <w:rPr>
          <w:rFonts w:hint="eastAsia" w:ascii="宋体" w:hAnsi="宋体" w:cs="宋体"/>
          <w:b/>
          <w:sz w:val="24"/>
          <w:szCs w:val="24"/>
          <w:highlight w:val="none"/>
        </w:rPr>
        <w:t>原文：</w:t>
      </w:r>
      <w:r>
        <w:rPr>
          <w:rFonts w:hint="eastAsia" w:ascii="宋体" w:hAnsi="宋体" w:cs="宋体"/>
          <w:sz w:val="24"/>
          <w:szCs w:val="24"/>
          <w:highlight w:val="none"/>
        </w:rPr>
        <w:t>资格审查不合格的投标文件不参加下一阶段的评标，不参与评标参考价的计算。</w:t>
      </w:r>
    </w:p>
    <w:p w14:paraId="7C099A3D">
      <w:pPr>
        <w:pBdr>
          <w:bottom w:val="single" w:color="auto" w:sz="6" w:space="1"/>
        </w:pBdr>
        <w:spacing w:line="360" w:lineRule="auto"/>
        <w:ind w:firstLine="590" w:firstLineChars="245"/>
        <w:rPr>
          <w:rFonts w:hint="eastAsia" w:ascii="宋体" w:hAnsi="宋体" w:cs="宋体"/>
          <w:sz w:val="24"/>
          <w:szCs w:val="24"/>
          <w:highlight w:val="none"/>
        </w:rPr>
      </w:pPr>
      <w:r>
        <w:rPr>
          <w:rFonts w:hint="eastAsia" w:ascii="宋体" w:hAnsi="宋体" w:cs="宋体"/>
          <w:b/>
          <w:sz w:val="24"/>
          <w:szCs w:val="24"/>
          <w:highlight w:val="none"/>
        </w:rPr>
        <w:t>现文：</w:t>
      </w:r>
      <w:r>
        <w:rPr>
          <w:rFonts w:hint="eastAsia" w:ascii="宋体" w:hAnsi="宋体" w:cs="宋体"/>
          <w:sz w:val="24"/>
          <w:szCs w:val="24"/>
          <w:highlight w:val="none"/>
          <w:u w:val="single"/>
        </w:rPr>
        <w:t>资格审查不合格的投标文件不参与下一阶段的评审。</w:t>
      </w:r>
    </w:p>
    <w:p w14:paraId="5A848E69">
      <w:pPr>
        <w:spacing w:line="360" w:lineRule="auto"/>
        <w:ind w:firstLine="590" w:firstLineChars="245"/>
        <w:rPr>
          <w:rFonts w:hint="eastAsia" w:ascii="宋体" w:hAnsi="宋体" w:eastAsia="宋体" w:cs="宋体"/>
          <w:b/>
          <w:sz w:val="24"/>
          <w:szCs w:val="24"/>
          <w:highlight w:val="none"/>
          <w:lang w:eastAsia="zh-CN"/>
        </w:rPr>
      </w:pPr>
      <w:r>
        <w:rPr>
          <w:rFonts w:hint="eastAsia" w:ascii="宋体" w:hAnsi="宋体" w:cs="宋体"/>
          <w:b/>
          <w:sz w:val="24"/>
          <w:szCs w:val="24"/>
          <w:highlight w:val="none"/>
        </w:rPr>
        <w:t>条款号：4</w:t>
      </w:r>
      <w:r>
        <w:rPr>
          <w:rFonts w:hint="eastAsia" w:ascii="宋体" w:hAnsi="宋体" w:cs="宋体"/>
          <w:b/>
          <w:sz w:val="24"/>
          <w:szCs w:val="24"/>
          <w:highlight w:val="none"/>
          <w:lang w:val="en-US" w:eastAsia="zh-CN"/>
        </w:rPr>
        <w:t>6</w:t>
      </w:r>
      <w:r>
        <w:rPr>
          <w:rFonts w:hint="eastAsia" w:ascii="宋体" w:hAnsi="宋体" w:cs="宋体"/>
          <w:b/>
          <w:sz w:val="24"/>
          <w:szCs w:val="24"/>
          <w:highlight w:val="none"/>
        </w:rPr>
        <w:t>.               修改类型：</w:t>
      </w:r>
      <w:r>
        <w:rPr>
          <w:rFonts w:hint="eastAsia" w:ascii="宋体" w:hAnsi="宋体" w:cs="宋体"/>
          <w:b/>
          <w:sz w:val="24"/>
          <w:szCs w:val="24"/>
          <w:highlight w:val="none"/>
          <w:lang w:eastAsia="zh-CN"/>
        </w:rPr>
        <w:t>修改</w:t>
      </w:r>
    </w:p>
    <w:p w14:paraId="560B4A79">
      <w:pPr>
        <w:pStyle w:val="4"/>
        <w:tabs>
          <w:tab w:val="left" w:pos="7380"/>
        </w:tabs>
        <w:snapToGrid w:val="0"/>
        <w:spacing w:after="0" w:line="360" w:lineRule="auto"/>
        <w:ind w:firstLine="600" w:firstLineChars="249"/>
        <w:rPr>
          <w:rFonts w:hint="eastAsia" w:ascii="宋体" w:hAnsi="宋体" w:cs="宋体"/>
          <w:b/>
          <w:sz w:val="24"/>
          <w:szCs w:val="24"/>
          <w:highlight w:val="none"/>
        </w:rPr>
      </w:pPr>
      <w:r>
        <w:rPr>
          <w:rFonts w:hint="eastAsia" w:ascii="宋体" w:hAnsi="宋体" w:cs="宋体"/>
          <w:b/>
          <w:sz w:val="24"/>
          <w:szCs w:val="24"/>
          <w:highlight w:val="none"/>
        </w:rPr>
        <w:t>原文：</w:t>
      </w:r>
      <w:r>
        <w:rPr>
          <w:rFonts w:hint="eastAsia" w:ascii="宋体" w:hAnsi="宋体" w:cs="宋体"/>
          <w:sz w:val="24"/>
          <w:szCs w:val="24"/>
          <w:highlight w:val="none"/>
        </w:rPr>
        <w:t>4</w:t>
      </w:r>
      <w:r>
        <w:rPr>
          <w:rFonts w:hint="eastAsia" w:ascii="宋体" w:hAnsi="宋体" w:cs="宋体"/>
          <w:sz w:val="24"/>
          <w:szCs w:val="24"/>
          <w:highlight w:val="none"/>
          <w:lang w:val="en-US" w:eastAsia="zh-CN"/>
        </w:rPr>
        <w:t>6</w:t>
      </w:r>
      <w:r>
        <w:rPr>
          <w:rFonts w:hint="eastAsia" w:ascii="宋体" w:hAnsi="宋体" w:cs="宋体"/>
          <w:sz w:val="24"/>
          <w:szCs w:val="24"/>
          <w:highlight w:val="none"/>
        </w:rPr>
        <w:t>.经济标评审和得分汇总</w:t>
      </w:r>
    </w:p>
    <w:p w14:paraId="28BAF3C6">
      <w:pPr>
        <w:pStyle w:val="4"/>
        <w:tabs>
          <w:tab w:val="left" w:pos="7380"/>
        </w:tabs>
        <w:snapToGrid w:val="0"/>
        <w:spacing w:after="0" w:line="360" w:lineRule="auto"/>
        <w:ind w:firstLine="600" w:firstLineChars="250"/>
        <w:rPr>
          <w:rFonts w:hint="eastAsia" w:ascii="宋体" w:hAnsi="宋体" w:cs="宋体"/>
          <w:sz w:val="24"/>
          <w:szCs w:val="24"/>
          <w:highlight w:val="none"/>
        </w:rPr>
      </w:pPr>
      <w:r>
        <w:rPr>
          <w:rFonts w:hint="eastAsia" w:ascii="宋体" w:hAnsi="宋体" w:cs="宋体"/>
          <w:sz w:val="24"/>
          <w:szCs w:val="24"/>
          <w:highlight w:val="none"/>
        </w:rPr>
        <w:t>4</w:t>
      </w:r>
      <w:r>
        <w:rPr>
          <w:rFonts w:hint="eastAsia" w:ascii="宋体" w:hAnsi="宋体" w:cs="宋体"/>
          <w:sz w:val="24"/>
          <w:szCs w:val="24"/>
          <w:highlight w:val="none"/>
          <w:lang w:val="en-US" w:eastAsia="zh-CN"/>
        </w:rPr>
        <w:t>6</w:t>
      </w:r>
      <w:r>
        <w:rPr>
          <w:rFonts w:hint="eastAsia" w:ascii="宋体" w:hAnsi="宋体" w:cs="宋体"/>
          <w:sz w:val="24"/>
          <w:szCs w:val="24"/>
          <w:highlight w:val="none"/>
        </w:rPr>
        <w:t>.1若通过技术标有效性审查的投标人中所有投标报价均大于等于最高投标限价的（具体金额为：</w:t>
      </w:r>
      <w:r>
        <w:rPr>
          <w:rFonts w:hint="eastAsia" w:ascii="宋体" w:hAnsi="宋体" w:cs="宋体"/>
          <w:sz w:val="24"/>
          <w:szCs w:val="24"/>
          <w:highlight w:val="none"/>
          <w:u w:val="single"/>
        </w:rPr>
        <w:t xml:space="preserve">      </w:t>
      </w:r>
      <w:r>
        <w:rPr>
          <w:rFonts w:hint="eastAsia" w:ascii="宋体" w:hAnsi="宋体" w:cs="宋体"/>
          <w:sz w:val="24"/>
          <w:szCs w:val="24"/>
          <w:highlight w:val="none"/>
        </w:rPr>
        <w:t>元），则本项目招标失败，由招标人依法重新招标。</w:t>
      </w:r>
    </w:p>
    <w:p w14:paraId="11FD84C7">
      <w:pPr>
        <w:pStyle w:val="4"/>
        <w:widowControl/>
        <w:tabs>
          <w:tab w:val="left" w:pos="7380"/>
        </w:tabs>
        <w:snapToGrid w:val="0"/>
        <w:spacing w:line="360" w:lineRule="auto"/>
        <w:ind w:firstLine="600" w:firstLineChars="250"/>
        <w:rPr>
          <w:rFonts w:hint="eastAsia" w:ascii="宋体" w:hAnsi="宋体"/>
          <w:color w:val="auto"/>
          <w:sz w:val="24"/>
          <w:szCs w:val="24"/>
          <w:highlight w:val="none"/>
        </w:rPr>
      </w:pPr>
      <w:r>
        <w:rPr>
          <w:rFonts w:hint="eastAsia" w:ascii="宋体" w:hAnsi="宋体"/>
          <w:color w:val="auto"/>
          <w:sz w:val="24"/>
          <w:szCs w:val="24"/>
          <w:highlight w:val="none"/>
        </w:rPr>
        <w:t>4</w:t>
      </w:r>
      <w:r>
        <w:rPr>
          <w:rFonts w:hint="eastAsia" w:ascii="宋体" w:hAnsi="宋体"/>
          <w:color w:val="auto"/>
          <w:sz w:val="24"/>
          <w:szCs w:val="24"/>
          <w:highlight w:val="none"/>
          <w:lang w:val="en-US" w:eastAsia="zh-CN"/>
        </w:rPr>
        <w:t>6</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按</w:t>
      </w:r>
      <w:r>
        <w:rPr>
          <w:rFonts w:hint="eastAsia" w:ascii="宋体" w:hAnsi="宋体"/>
          <w:color w:val="auto"/>
          <w:sz w:val="24"/>
          <w:szCs w:val="24"/>
          <w:highlight w:val="none"/>
          <w:lang w:eastAsia="zh-CN"/>
        </w:rPr>
        <w:t>以下</w:t>
      </w:r>
      <w:r>
        <w:rPr>
          <w:rFonts w:hint="eastAsia" w:ascii="宋体" w:hAnsi="宋体"/>
          <w:color w:val="auto"/>
          <w:sz w:val="24"/>
          <w:szCs w:val="24"/>
          <w:highlight w:val="none"/>
        </w:rPr>
        <w:t>方法计算评标参考价：</w:t>
      </w:r>
    </w:p>
    <w:p w14:paraId="08B4EA2C">
      <w:pPr>
        <w:pStyle w:val="4"/>
        <w:widowControl/>
        <w:tabs>
          <w:tab w:val="left" w:pos="7380"/>
        </w:tabs>
        <w:snapToGrid w:val="0"/>
        <w:spacing w:line="360" w:lineRule="auto"/>
        <w:ind w:firstLine="602" w:firstLineChars="250"/>
        <w:rPr>
          <w:rFonts w:ascii="宋体" w:hAnsi="宋体"/>
          <w:b/>
          <w:bCs/>
          <w:color w:val="auto"/>
          <w:kern w:val="0"/>
          <w:sz w:val="24"/>
          <w:szCs w:val="24"/>
          <w:highlight w:val="none"/>
        </w:rPr>
      </w:pPr>
      <w:r>
        <w:rPr>
          <w:rFonts w:hint="eastAsia" w:ascii="宋体" w:hAnsi="宋体" w:cs="仿宋"/>
          <w:b/>
          <w:bCs/>
          <w:color w:val="auto"/>
          <w:kern w:val="0"/>
          <w:sz w:val="24"/>
          <w:szCs w:val="24"/>
          <w:highlight w:val="none"/>
        </w:rPr>
        <w:t>区间抽取法</w:t>
      </w:r>
    </w:p>
    <w:p w14:paraId="166C6F30">
      <w:pPr>
        <w:widowControl/>
        <w:adjustRightInd/>
        <w:snapToGrid/>
        <w:spacing w:line="360" w:lineRule="auto"/>
        <w:ind w:firstLine="597" w:firstLineChars="249"/>
        <w:jc w:val="left"/>
        <w:rPr>
          <w:rFonts w:hint="eastAsia" w:ascii="宋体" w:hAnsi="宋体" w:cs="宋体"/>
          <w:kern w:val="0"/>
          <w:sz w:val="24"/>
          <w:szCs w:val="24"/>
          <w:highlight w:val="none"/>
        </w:rPr>
      </w:pPr>
      <w:r>
        <w:rPr>
          <w:rFonts w:hint="eastAsia" w:ascii="宋体" w:hAnsi="宋体" w:cs="宋体"/>
          <w:sz w:val="24"/>
          <w:szCs w:val="24"/>
          <w:highlight w:val="none"/>
        </w:rPr>
        <w:t>设立入围合格分数线（技术标或技术标加诚信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14:paraId="2981928D">
      <w:pPr>
        <w:widowControl/>
        <w:adjustRightInd w:val="0"/>
        <w:snapToGrid w:val="0"/>
        <w:spacing w:line="360" w:lineRule="auto"/>
        <w:ind w:firstLine="600" w:firstLineChars="250"/>
        <w:jc w:val="left"/>
        <w:rPr>
          <w:rFonts w:hint="eastAsia" w:ascii="宋体" w:hAnsi="宋体" w:cs="宋体"/>
          <w:kern w:val="0"/>
          <w:sz w:val="24"/>
          <w:szCs w:val="24"/>
          <w:highlight w:val="none"/>
        </w:rPr>
      </w:pPr>
      <w:r>
        <w:rPr>
          <w:rFonts w:hint="eastAsia" w:ascii="宋体" w:hAnsi="宋体" w:cs="宋体"/>
          <w:kern w:val="0"/>
          <w:sz w:val="24"/>
          <w:szCs w:val="24"/>
          <w:highlight w:val="none"/>
        </w:rPr>
        <w:t>评标参考价=（Q高-Q低）/100*Ｘ+Q低</w:t>
      </w:r>
    </w:p>
    <w:p w14:paraId="3D4EBD7E">
      <w:pPr>
        <w:widowControl/>
        <w:adjustRightInd w:val="0"/>
        <w:snapToGrid w:val="0"/>
        <w:spacing w:line="360" w:lineRule="auto"/>
        <w:ind w:firstLine="600" w:firstLineChars="250"/>
        <w:jc w:val="left"/>
        <w:rPr>
          <w:rFonts w:hint="eastAsia" w:ascii="宋体" w:hAnsi="宋体" w:cs="宋体"/>
          <w:kern w:val="0"/>
          <w:sz w:val="24"/>
          <w:szCs w:val="24"/>
          <w:highlight w:val="none"/>
        </w:rPr>
      </w:pPr>
      <w:r>
        <w:rPr>
          <w:rFonts w:hint="eastAsia" w:ascii="宋体" w:hAnsi="宋体" w:cs="宋体"/>
          <w:kern w:val="0"/>
          <w:sz w:val="24"/>
          <w:szCs w:val="24"/>
          <w:highlight w:val="none"/>
        </w:rPr>
        <w:t>Q低：为达到或超过技术标及格分数线的投标人最低报价与工程成本警示价两者中的较高值；</w:t>
      </w:r>
    </w:p>
    <w:p w14:paraId="5C5BAB28">
      <w:pPr>
        <w:widowControl/>
        <w:adjustRightInd w:val="0"/>
        <w:snapToGrid w:val="0"/>
        <w:spacing w:line="360" w:lineRule="auto"/>
        <w:ind w:firstLine="600" w:firstLineChars="250"/>
        <w:jc w:val="left"/>
        <w:rPr>
          <w:rFonts w:hint="eastAsia" w:ascii="宋体" w:hAnsi="宋体" w:cs="宋体"/>
          <w:kern w:val="0"/>
          <w:sz w:val="24"/>
          <w:szCs w:val="24"/>
          <w:highlight w:val="none"/>
        </w:rPr>
      </w:pPr>
      <w:r>
        <w:rPr>
          <w:rFonts w:hint="eastAsia" w:ascii="宋体" w:hAnsi="宋体" w:cs="宋体"/>
          <w:kern w:val="0"/>
          <w:sz w:val="24"/>
          <w:szCs w:val="24"/>
          <w:highlight w:val="none"/>
        </w:rPr>
        <w:t>Q高：为最高投标限价*D%（政府投资项目，D的取值范围为[94-100],由招标人自主确定；非政府投资项目由招标人自主确定取值范围），具体金额为               元。</w:t>
      </w:r>
    </w:p>
    <w:p w14:paraId="683307F0">
      <w:pPr>
        <w:widowControl/>
        <w:adjustRightInd w:val="0"/>
        <w:snapToGrid w:val="0"/>
        <w:spacing w:line="360" w:lineRule="auto"/>
        <w:ind w:firstLine="600" w:firstLineChars="250"/>
        <w:jc w:val="left"/>
        <w:rPr>
          <w:rFonts w:hint="eastAsia" w:ascii="宋体" w:hAnsi="宋体" w:cs="宋体"/>
          <w:kern w:val="0"/>
          <w:sz w:val="24"/>
          <w:szCs w:val="24"/>
          <w:highlight w:val="none"/>
        </w:rPr>
      </w:pPr>
      <w:r>
        <w:rPr>
          <w:rFonts w:hint="eastAsia" w:ascii="宋体" w:hAnsi="宋体" w:cs="宋体"/>
          <w:kern w:val="0"/>
          <w:sz w:val="24"/>
          <w:szCs w:val="24"/>
          <w:highlight w:val="none"/>
        </w:rPr>
        <w:t>X:为等分点值，在开标前从[0,100]整数中随机抽取</w:t>
      </w:r>
    </w:p>
    <w:p w14:paraId="6CE7E3C0">
      <w:pPr>
        <w:spacing w:line="360" w:lineRule="auto"/>
        <w:ind w:firstLine="600" w:firstLineChars="250"/>
        <w:rPr>
          <w:rFonts w:hint="eastAsia" w:ascii="宋体" w:hAnsi="宋体" w:cs="宋体"/>
          <w:sz w:val="24"/>
          <w:szCs w:val="24"/>
          <w:highlight w:val="none"/>
        </w:rPr>
      </w:pPr>
      <w:r>
        <w:rPr>
          <w:rFonts w:hint="eastAsia" w:ascii="宋体" w:hAnsi="宋体" w:cs="宋体"/>
          <w:kern w:val="0"/>
          <w:sz w:val="24"/>
          <w:szCs w:val="24"/>
          <w:highlight w:val="none"/>
        </w:rPr>
        <w:t>46.3当标价等于评标参考价时得100分，标价每高于评标参考价1%，扣1.5分，每低于评标参考价1%，扣1分，扣至0分为止，得出经济分，精确到小数点后两位。</w:t>
      </w:r>
    </w:p>
    <w:p w14:paraId="7578AAB1">
      <w:pPr>
        <w:pBdr>
          <w:bottom w:val="single" w:color="auto" w:sz="6" w:space="1"/>
        </w:pBdr>
        <w:spacing w:line="360" w:lineRule="auto"/>
        <w:ind w:firstLine="588" w:firstLineChars="245"/>
        <w:rPr>
          <w:rFonts w:hint="eastAsia" w:ascii="宋体" w:hAnsi="宋体" w:cs="宋体"/>
          <w:sz w:val="24"/>
          <w:szCs w:val="24"/>
          <w:highlight w:val="none"/>
        </w:rPr>
      </w:pPr>
      <w:r>
        <w:rPr>
          <w:rFonts w:hint="eastAsia" w:ascii="宋体" w:hAnsi="宋体" w:cs="宋体"/>
          <w:sz w:val="24"/>
          <w:szCs w:val="24"/>
          <w:highlight w:val="none"/>
        </w:rPr>
        <w:t>4</w:t>
      </w:r>
      <w:r>
        <w:rPr>
          <w:rFonts w:hint="eastAsia" w:ascii="宋体" w:hAnsi="宋体" w:cs="宋体"/>
          <w:sz w:val="24"/>
          <w:szCs w:val="24"/>
          <w:highlight w:val="none"/>
          <w:lang w:val="en-US" w:eastAsia="zh-CN"/>
        </w:rPr>
        <w:t>6</w:t>
      </w:r>
      <w:r>
        <w:rPr>
          <w:rFonts w:hint="eastAsia" w:ascii="宋体" w:hAnsi="宋体" w:cs="宋体"/>
          <w:sz w:val="24"/>
          <w:szCs w:val="24"/>
          <w:highlight w:val="none"/>
        </w:rPr>
        <w:t>.4计算通过技术标有效性审查的投标人总得分。投标人总得分=（技术得分×  %（技术得分权重）＋经济得分×  %（经济得分权重）×（1-信用评价分数权重）＋信用评价得分×  %（企业信用评价得分权重，招标人可在[10%-20%]范围内自主确定）。技术、经济得分权重按投标须知前附表的规定执行。总得分四舍五入保留两位小数。</w:t>
      </w:r>
    </w:p>
    <w:p w14:paraId="4EE27BD0">
      <w:pPr>
        <w:pBdr>
          <w:bottom w:val="single" w:color="auto" w:sz="6" w:space="1"/>
        </w:pBdr>
        <w:spacing w:line="360" w:lineRule="auto"/>
        <w:ind w:firstLine="590" w:firstLineChars="245"/>
        <w:rPr>
          <w:rFonts w:hint="eastAsia" w:ascii="宋体" w:hAnsi="宋体" w:cs="宋体"/>
          <w:sz w:val="24"/>
          <w:szCs w:val="24"/>
          <w:highlight w:val="none"/>
          <w:u w:val="single"/>
        </w:rPr>
      </w:pPr>
      <w:r>
        <w:rPr>
          <w:rFonts w:hint="eastAsia" w:ascii="宋体" w:hAnsi="宋体" w:cs="宋体"/>
          <w:b/>
          <w:bCs/>
          <w:sz w:val="24"/>
          <w:szCs w:val="24"/>
          <w:highlight w:val="none"/>
        </w:rPr>
        <w:t>现文：</w:t>
      </w:r>
      <w:r>
        <w:rPr>
          <w:rFonts w:hint="eastAsia" w:ascii="宋体" w:hAnsi="宋体" w:cs="宋体"/>
          <w:sz w:val="24"/>
          <w:szCs w:val="24"/>
          <w:highlight w:val="none"/>
          <w:u w:val="single"/>
        </w:rPr>
        <w:t>4</w:t>
      </w:r>
      <w:r>
        <w:rPr>
          <w:rFonts w:hint="eastAsia" w:ascii="宋体" w:hAnsi="宋体" w:cs="宋体"/>
          <w:sz w:val="24"/>
          <w:szCs w:val="24"/>
          <w:highlight w:val="none"/>
          <w:u w:val="single"/>
          <w:lang w:val="en-US" w:eastAsia="zh-CN"/>
        </w:rPr>
        <w:t>6</w:t>
      </w:r>
      <w:r>
        <w:rPr>
          <w:rFonts w:hint="eastAsia" w:ascii="宋体" w:hAnsi="宋体" w:cs="宋体"/>
          <w:sz w:val="24"/>
          <w:szCs w:val="24"/>
          <w:highlight w:val="none"/>
          <w:u w:val="single"/>
        </w:rPr>
        <w:t>.得分汇总</w:t>
      </w:r>
    </w:p>
    <w:p w14:paraId="6CA03A50">
      <w:pPr>
        <w:pBdr>
          <w:bottom w:val="single" w:color="auto" w:sz="6" w:space="1"/>
        </w:pBdr>
        <w:spacing w:line="360" w:lineRule="auto"/>
        <w:ind w:firstLine="588" w:firstLineChars="245"/>
        <w:rPr>
          <w:rFonts w:hint="eastAsia" w:ascii="宋体" w:hAnsi="宋体" w:cs="宋体"/>
          <w:sz w:val="24"/>
          <w:szCs w:val="24"/>
          <w:highlight w:val="none"/>
          <w:u w:val="single"/>
        </w:rPr>
      </w:pPr>
      <w:r>
        <w:rPr>
          <w:rFonts w:hint="eastAsia" w:ascii="宋体" w:hAnsi="宋体" w:cs="宋体"/>
          <w:sz w:val="24"/>
          <w:szCs w:val="24"/>
          <w:highlight w:val="none"/>
          <w:u w:val="single"/>
        </w:rPr>
        <w:t>46.1若通过技术标有效性审查的投标人中所有投标报价均大于等于最高投标限价，则本项目招标失败，由招标人依法重新招标。</w:t>
      </w:r>
    </w:p>
    <w:p w14:paraId="51DBB363">
      <w:pPr>
        <w:pBdr>
          <w:bottom w:val="single" w:color="auto" w:sz="6" w:space="1"/>
        </w:pBdr>
        <w:spacing w:line="360" w:lineRule="auto"/>
        <w:ind w:firstLine="588" w:firstLineChars="245"/>
        <w:rPr>
          <w:rFonts w:hint="eastAsia" w:ascii="宋体" w:hAnsi="宋体" w:cs="宋体"/>
          <w:sz w:val="24"/>
          <w:szCs w:val="24"/>
          <w:highlight w:val="none"/>
          <w:u w:val="single"/>
        </w:rPr>
      </w:pPr>
      <w:r>
        <w:rPr>
          <w:rFonts w:hint="eastAsia" w:ascii="宋体" w:hAnsi="宋体" w:cs="宋体"/>
          <w:sz w:val="24"/>
          <w:szCs w:val="24"/>
          <w:highlight w:val="none"/>
          <w:u w:val="single"/>
        </w:rPr>
        <w:t>46.2计算通过技术标有效性审查的投标人总得分。投标人总得分=技术得分（满分100分）×100%。相关部分得分权重按投标须知前附表的规定执行。总得分四舍五入保留两位小数。</w:t>
      </w:r>
    </w:p>
    <w:p w14:paraId="18CFE9B2">
      <w:pPr>
        <w:spacing w:line="360" w:lineRule="auto"/>
        <w:ind w:firstLine="590" w:firstLineChars="245"/>
        <w:rPr>
          <w:rFonts w:hint="eastAsia" w:ascii="宋体" w:hAnsi="宋体" w:cs="宋体"/>
          <w:b/>
          <w:sz w:val="24"/>
          <w:szCs w:val="24"/>
          <w:highlight w:val="none"/>
        </w:rPr>
      </w:pPr>
      <w:r>
        <w:rPr>
          <w:rFonts w:hint="eastAsia" w:ascii="宋体" w:hAnsi="宋体" w:cs="宋体"/>
          <w:b/>
          <w:sz w:val="24"/>
          <w:szCs w:val="24"/>
          <w:highlight w:val="none"/>
        </w:rPr>
        <w:t>条款号：4</w:t>
      </w:r>
      <w:r>
        <w:rPr>
          <w:rFonts w:hint="eastAsia" w:ascii="宋体" w:hAnsi="宋体" w:cs="宋体"/>
          <w:b/>
          <w:sz w:val="24"/>
          <w:szCs w:val="24"/>
          <w:highlight w:val="none"/>
          <w:lang w:val="en-US" w:eastAsia="zh-CN"/>
        </w:rPr>
        <w:t>8</w:t>
      </w:r>
      <w:r>
        <w:rPr>
          <w:rFonts w:hint="eastAsia" w:ascii="宋体" w:hAnsi="宋体" w:cs="宋体"/>
          <w:b/>
          <w:sz w:val="24"/>
          <w:szCs w:val="24"/>
          <w:highlight w:val="none"/>
        </w:rPr>
        <w:t>.、</w:t>
      </w:r>
      <w:r>
        <w:rPr>
          <w:rFonts w:hint="eastAsia" w:ascii="宋体" w:hAnsi="宋体" w:cs="宋体"/>
          <w:b/>
          <w:kern w:val="0"/>
          <w:sz w:val="24"/>
          <w:szCs w:val="24"/>
          <w:highlight w:val="none"/>
        </w:rPr>
        <w:t>4</w:t>
      </w:r>
      <w:r>
        <w:rPr>
          <w:rFonts w:hint="eastAsia" w:ascii="宋体" w:hAnsi="宋体" w:cs="宋体"/>
          <w:b/>
          <w:kern w:val="0"/>
          <w:sz w:val="24"/>
          <w:szCs w:val="24"/>
          <w:highlight w:val="none"/>
          <w:lang w:val="en-US" w:eastAsia="zh-CN"/>
        </w:rPr>
        <w:t>9</w:t>
      </w:r>
      <w:r>
        <w:rPr>
          <w:rFonts w:hint="eastAsia" w:ascii="宋体" w:hAnsi="宋体" w:cs="宋体"/>
          <w:b/>
          <w:kern w:val="0"/>
          <w:sz w:val="24"/>
          <w:szCs w:val="24"/>
          <w:highlight w:val="none"/>
        </w:rPr>
        <w:t>.</w:t>
      </w:r>
      <w:r>
        <w:rPr>
          <w:rFonts w:hint="eastAsia" w:ascii="宋体" w:hAnsi="宋体" w:cs="宋体"/>
          <w:b/>
          <w:sz w:val="24"/>
          <w:szCs w:val="24"/>
          <w:highlight w:val="none"/>
        </w:rPr>
        <w:t xml:space="preserve">                修改类型：修改</w:t>
      </w:r>
    </w:p>
    <w:p w14:paraId="43249FE3">
      <w:pPr>
        <w:spacing w:line="360" w:lineRule="auto"/>
        <w:ind w:firstLine="595" w:firstLineChars="247"/>
        <w:rPr>
          <w:rFonts w:hint="eastAsia" w:ascii="宋体" w:hAnsi="宋体" w:cs="宋体"/>
          <w:b/>
          <w:sz w:val="24"/>
          <w:szCs w:val="24"/>
          <w:highlight w:val="none"/>
        </w:rPr>
      </w:pPr>
      <w:r>
        <w:rPr>
          <w:rFonts w:hint="eastAsia" w:ascii="宋体" w:hAnsi="宋体" w:cs="宋体"/>
          <w:b/>
          <w:sz w:val="24"/>
          <w:szCs w:val="24"/>
          <w:highlight w:val="none"/>
        </w:rPr>
        <w:t>原文：</w:t>
      </w:r>
      <w:r>
        <w:rPr>
          <w:rFonts w:hint="eastAsia" w:ascii="宋体" w:hAnsi="宋体" w:cs="宋体"/>
          <w:sz w:val="24"/>
          <w:szCs w:val="24"/>
          <w:highlight w:val="none"/>
        </w:rPr>
        <w:t>4</w:t>
      </w:r>
      <w:r>
        <w:rPr>
          <w:rFonts w:hint="eastAsia" w:ascii="宋体" w:hAnsi="宋体" w:cs="宋体"/>
          <w:sz w:val="24"/>
          <w:szCs w:val="24"/>
          <w:highlight w:val="none"/>
          <w:lang w:val="en-US" w:eastAsia="zh-CN"/>
        </w:rPr>
        <w:t>8</w:t>
      </w:r>
      <w:r>
        <w:rPr>
          <w:rFonts w:hint="eastAsia" w:ascii="宋体" w:hAnsi="宋体" w:cs="宋体"/>
          <w:sz w:val="24"/>
          <w:szCs w:val="24"/>
          <w:highlight w:val="none"/>
        </w:rPr>
        <w:t>.评标委员会按只有通过有效性审查的投标人的投标文件方可进入下一阶段评审的评审原则，根据有效性审查结果，取消被否决投标的投标人的排序，其余通过有效性审查的投标人的排序依次上升替补确定，以此类推。直至评审出3名投标人通过经济标有效性审查，经济标有效性审查结束。</w:t>
      </w:r>
    </w:p>
    <w:p w14:paraId="52D1DEF0">
      <w:pPr>
        <w:spacing w:line="360" w:lineRule="auto"/>
        <w:ind w:firstLine="592" w:firstLineChars="247"/>
        <w:rPr>
          <w:rFonts w:hint="eastAsia" w:ascii="宋体" w:hAnsi="宋体" w:cs="宋体"/>
          <w:sz w:val="24"/>
          <w:szCs w:val="24"/>
          <w:highlight w:val="none"/>
        </w:rPr>
      </w:pPr>
      <w:r>
        <w:rPr>
          <w:rFonts w:hint="eastAsia" w:ascii="宋体" w:hAnsi="宋体" w:cs="宋体"/>
          <w:sz w:val="24"/>
          <w:szCs w:val="24"/>
          <w:highlight w:val="none"/>
        </w:rPr>
        <w:t>4</w:t>
      </w:r>
      <w:r>
        <w:rPr>
          <w:rFonts w:hint="eastAsia" w:ascii="宋体" w:hAnsi="宋体" w:cs="宋体"/>
          <w:sz w:val="24"/>
          <w:szCs w:val="24"/>
          <w:highlight w:val="none"/>
          <w:lang w:val="en-US" w:eastAsia="zh-CN"/>
        </w:rPr>
        <w:t>9</w:t>
      </w:r>
      <w:r>
        <w:rPr>
          <w:rFonts w:hint="eastAsia" w:ascii="宋体" w:hAnsi="宋体" w:cs="宋体"/>
          <w:sz w:val="24"/>
          <w:szCs w:val="24"/>
          <w:highlight w:val="none"/>
        </w:rPr>
        <w:t>.评标委员会应在通过投标文件经济标有效性审查的投标人中，按步骤45.4确定的投标人第二阶段排序，推荐前3名依次为第一中标候选人至第三中标候选人,并编制评标报告。</w:t>
      </w:r>
    </w:p>
    <w:p w14:paraId="3B98CBA6">
      <w:pPr>
        <w:spacing w:line="360" w:lineRule="auto"/>
        <w:ind w:firstLine="595" w:firstLineChars="247"/>
        <w:rPr>
          <w:rFonts w:hint="eastAsia" w:ascii="宋体" w:hAnsi="宋体" w:cs="宋体"/>
          <w:b/>
          <w:sz w:val="24"/>
          <w:szCs w:val="24"/>
          <w:highlight w:val="none"/>
          <w:u w:val="single"/>
        </w:rPr>
      </w:pPr>
      <w:r>
        <w:rPr>
          <w:rFonts w:hint="eastAsia" w:ascii="宋体" w:hAnsi="宋体" w:cs="宋体"/>
          <w:b/>
          <w:sz w:val="24"/>
          <w:szCs w:val="24"/>
          <w:highlight w:val="none"/>
        </w:rPr>
        <w:t>现文：</w:t>
      </w:r>
      <w:r>
        <w:rPr>
          <w:rFonts w:hint="eastAsia" w:ascii="宋体" w:hAnsi="宋体" w:cs="宋体"/>
          <w:sz w:val="24"/>
          <w:szCs w:val="24"/>
          <w:highlight w:val="none"/>
          <w:u w:val="single"/>
        </w:rPr>
        <w:t>4</w:t>
      </w:r>
      <w:r>
        <w:rPr>
          <w:rFonts w:hint="eastAsia" w:ascii="宋体" w:hAnsi="宋体" w:cs="宋体"/>
          <w:sz w:val="24"/>
          <w:szCs w:val="24"/>
          <w:highlight w:val="none"/>
          <w:u w:val="single"/>
          <w:lang w:val="en-US" w:eastAsia="zh-CN"/>
        </w:rPr>
        <w:t>8</w:t>
      </w:r>
      <w:r>
        <w:rPr>
          <w:rFonts w:hint="eastAsia" w:ascii="宋体" w:hAnsi="宋体" w:cs="宋体"/>
          <w:sz w:val="24"/>
          <w:szCs w:val="24"/>
          <w:highlight w:val="none"/>
          <w:u w:val="single"/>
        </w:rPr>
        <w:t>.评标委员会按只有通过有效性审查的投标人的投标文件方可进入下一阶段有效性审查的原则，根据有效性审查结果，取消被否决投标的投标人进入定标阶段的入围合格的中标候选人资格，其余通过全部有效性审查的投标人均可进入定标阶段。</w:t>
      </w:r>
    </w:p>
    <w:p w14:paraId="6F791024">
      <w:pPr>
        <w:pBdr>
          <w:bottom w:val="single" w:color="auto" w:sz="6" w:space="1"/>
        </w:pBdr>
        <w:spacing w:line="360" w:lineRule="auto"/>
        <w:ind w:firstLine="588" w:firstLineChars="245"/>
        <w:rPr>
          <w:rFonts w:hint="eastAsia" w:ascii="宋体" w:hAnsi="宋体" w:cs="宋体"/>
          <w:sz w:val="24"/>
          <w:szCs w:val="24"/>
          <w:highlight w:val="none"/>
        </w:rPr>
      </w:pPr>
      <w:r>
        <w:rPr>
          <w:rFonts w:hint="eastAsia" w:ascii="宋体" w:hAnsi="宋体" w:cs="宋体"/>
          <w:sz w:val="24"/>
          <w:szCs w:val="24"/>
          <w:highlight w:val="none"/>
          <w:u w:val="single"/>
        </w:rPr>
        <w:t>4</w:t>
      </w:r>
      <w:r>
        <w:rPr>
          <w:rFonts w:hint="eastAsia" w:ascii="宋体" w:hAnsi="宋体" w:cs="宋体"/>
          <w:sz w:val="24"/>
          <w:szCs w:val="24"/>
          <w:highlight w:val="none"/>
          <w:u w:val="single"/>
          <w:lang w:val="en-US" w:eastAsia="zh-CN"/>
        </w:rPr>
        <w:t>9</w:t>
      </w:r>
      <w:r>
        <w:rPr>
          <w:rFonts w:hint="eastAsia" w:ascii="宋体" w:hAnsi="宋体" w:cs="宋体"/>
          <w:sz w:val="24"/>
          <w:szCs w:val="24"/>
          <w:highlight w:val="none"/>
          <w:u w:val="single"/>
        </w:rPr>
        <w:t>.评标委员会应在通过投标文件经济标有效性审查的投标人中，按第一章投标须知“一、投标须知前附表”第19项的规定推荐合格中标候选人,并编制评标报告。</w:t>
      </w:r>
    </w:p>
    <w:p w14:paraId="5A0F718E">
      <w:pPr>
        <w:spacing w:line="360" w:lineRule="auto"/>
        <w:ind w:firstLine="590" w:firstLineChars="245"/>
        <w:rPr>
          <w:rFonts w:hint="eastAsia" w:ascii="宋体" w:hAnsi="宋体" w:cs="宋体"/>
          <w:b/>
          <w:sz w:val="24"/>
          <w:szCs w:val="24"/>
          <w:highlight w:val="none"/>
        </w:rPr>
      </w:pPr>
      <w:r>
        <w:rPr>
          <w:rFonts w:hint="eastAsia" w:ascii="宋体" w:hAnsi="宋体" w:cs="宋体"/>
          <w:b/>
          <w:sz w:val="24"/>
          <w:szCs w:val="24"/>
          <w:highlight w:val="none"/>
        </w:rPr>
        <w:t>条款号：</w:t>
      </w:r>
      <w:r>
        <w:rPr>
          <w:rFonts w:hint="eastAsia" w:ascii="宋体" w:hAnsi="宋体" w:cs="宋体"/>
          <w:b/>
          <w:kern w:val="0"/>
          <w:sz w:val="24"/>
          <w:szCs w:val="24"/>
          <w:highlight w:val="none"/>
        </w:rPr>
        <w:t>5</w:t>
      </w:r>
      <w:r>
        <w:rPr>
          <w:rFonts w:hint="eastAsia" w:ascii="宋体" w:hAnsi="宋体" w:cs="宋体"/>
          <w:b/>
          <w:kern w:val="0"/>
          <w:sz w:val="24"/>
          <w:szCs w:val="24"/>
          <w:highlight w:val="none"/>
          <w:lang w:val="en-US" w:eastAsia="zh-CN"/>
        </w:rPr>
        <w:t>1</w:t>
      </w:r>
      <w:r>
        <w:rPr>
          <w:rFonts w:hint="eastAsia" w:ascii="宋体" w:hAnsi="宋体" w:cs="宋体"/>
          <w:b/>
          <w:kern w:val="0"/>
          <w:sz w:val="24"/>
          <w:szCs w:val="24"/>
          <w:highlight w:val="none"/>
        </w:rPr>
        <w:t>.</w:t>
      </w:r>
      <w:r>
        <w:rPr>
          <w:rFonts w:hint="eastAsia" w:ascii="宋体" w:hAnsi="宋体" w:cs="宋体"/>
          <w:kern w:val="0"/>
          <w:sz w:val="24"/>
          <w:szCs w:val="24"/>
          <w:highlight w:val="none"/>
        </w:rPr>
        <w:t xml:space="preserve">                       </w:t>
      </w:r>
      <w:r>
        <w:rPr>
          <w:rFonts w:hint="eastAsia" w:ascii="宋体" w:hAnsi="宋体" w:cs="宋体"/>
          <w:b/>
          <w:sz w:val="24"/>
          <w:szCs w:val="24"/>
          <w:highlight w:val="none"/>
        </w:rPr>
        <w:t>修改类型：增加</w:t>
      </w:r>
    </w:p>
    <w:p w14:paraId="03EEF463">
      <w:pPr>
        <w:spacing w:line="360" w:lineRule="auto"/>
        <w:ind w:firstLine="482" w:firstLineChars="200"/>
        <w:rPr>
          <w:rFonts w:hint="eastAsia" w:ascii="宋体" w:hAnsi="宋体" w:cs="宋体"/>
          <w:sz w:val="24"/>
          <w:szCs w:val="24"/>
          <w:highlight w:val="none"/>
          <w:u w:val="single"/>
        </w:rPr>
      </w:pPr>
      <w:r>
        <w:rPr>
          <w:rFonts w:hint="eastAsia" w:ascii="宋体" w:hAnsi="宋体" w:cs="宋体"/>
          <w:b/>
          <w:sz w:val="24"/>
          <w:szCs w:val="24"/>
          <w:highlight w:val="none"/>
        </w:rPr>
        <w:t>现文：</w:t>
      </w:r>
      <w:r>
        <w:rPr>
          <w:rFonts w:hint="eastAsia" w:ascii="宋体" w:hAnsi="宋体" w:cs="宋体"/>
          <w:sz w:val="24"/>
          <w:szCs w:val="24"/>
          <w:highlight w:val="none"/>
          <w:u w:val="single"/>
        </w:rPr>
        <w:t>5</w:t>
      </w:r>
      <w:r>
        <w:rPr>
          <w:rFonts w:hint="eastAsia" w:ascii="宋体" w:hAnsi="宋体" w:cs="宋体"/>
          <w:sz w:val="24"/>
          <w:szCs w:val="24"/>
          <w:highlight w:val="none"/>
          <w:u w:val="single"/>
          <w:lang w:val="en-US" w:eastAsia="zh-CN"/>
        </w:rPr>
        <w:t>1</w:t>
      </w:r>
      <w:r>
        <w:rPr>
          <w:rFonts w:hint="eastAsia" w:ascii="宋体" w:hAnsi="宋体" w:cs="宋体"/>
          <w:sz w:val="24"/>
          <w:szCs w:val="24"/>
          <w:highlight w:val="none"/>
          <w:u w:val="single"/>
        </w:rPr>
        <w:t>.定标</w:t>
      </w:r>
    </w:p>
    <w:p w14:paraId="3149EA0A">
      <w:pPr>
        <w:spacing w:line="360" w:lineRule="auto"/>
        <w:ind w:firstLine="480" w:firstLineChars="200"/>
        <w:rPr>
          <w:rFonts w:hint="eastAsia" w:ascii="宋体" w:hAnsi="宋体" w:cs="宋体"/>
          <w:sz w:val="24"/>
          <w:szCs w:val="24"/>
          <w:highlight w:val="none"/>
          <w:u w:val="single"/>
        </w:rPr>
      </w:pPr>
      <w:r>
        <w:rPr>
          <w:rFonts w:hint="eastAsia" w:ascii="宋体" w:hAnsi="宋体" w:cs="宋体"/>
          <w:sz w:val="24"/>
          <w:szCs w:val="24"/>
          <w:highlight w:val="none"/>
          <w:u w:val="single"/>
        </w:rPr>
        <w:t>评标结束后，招标人按以下规定组建定标委员会，在评标委员会推荐的合格投标人中确定中标候选人：</w:t>
      </w:r>
    </w:p>
    <w:p w14:paraId="38E6D280">
      <w:pPr>
        <w:spacing w:line="360" w:lineRule="auto"/>
        <w:ind w:firstLine="480" w:firstLineChars="200"/>
        <w:rPr>
          <w:rFonts w:hint="eastAsia" w:ascii="宋体" w:hAnsi="宋体" w:cs="宋体"/>
          <w:sz w:val="24"/>
          <w:szCs w:val="24"/>
          <w:highlight w:val="none"/>
          <w:u w:val="single"/>
        </w:rPr>
      </w:pPr>
      <w:r>
        <w:rPr>
          <w:rFonts w:hint="eastAsia" w:ascii="宋体" w:hAnsi="宋体" w:cs="宋体"/>
          <w:sz w:val="24"/>
          <w:szCs w:val="24"/>
          <w:highlight w:val="none"/>
          <w:u w:val="single"/>
        </w:rPr>
        <w:t>定标由招标人依法组建的定标委员会负责。</w:t>
      </w:r>
    </w:p>
    <w:p w14:paraId="7C472A32">
      <w:pPr>
        <w:spacing w:line="360" w:lineRule="auto"/>
        <w:ind w:firstLine="480" w:firstLineChars="200"/>
        <w:rPr>
          <w:rFonts w:hint="eastAsia" w:ascii="宋体" w:hAnsi="宋体" w:cs="宋体"/>
          <w:bCs/>
          <w:sz w:val="24"/>
          <w:szCs w:val="24"/>
          <w:highlight w:val="none"/>
          <w:u w:val="single"/>
        </w:rPr>
      </w:pPr>
      <w:r>
        <w:rPr>
          <w:rFonts w:hint="eastAsia" w:ascii="宋体" w:hAnsi="宋体" w:cs="宋体"/>
          <w:bCs/>
          <w:sz w:val="24"/>
          <w:szCs w:val="24"/>
          <w:highlight w:val="none"/>
          <w:u w:val="single"/>
        </w:rPr>
        <w:t>5</w:t>
      </w:r>
      <w:r>
        <w:rPr>
          <w:rFonts w:hint="eastAsia" w:ascii="宋体" w:hAnsi="宋体" w:cs="宋体"/>
          <w:bCs/>
          <w:sz w:val="24"/>
          <w:szCs w:val="24"/>
          <w:highlight w:val="none"/>
          <w:u w:val="single"/>
          <w:lang w:val="en-US" w:eastAsia="zh-CN"/>
        </w:rPr>
        <w:t>1</w:t>
      </w:r>
      <w:r>
        <w:rPr>
          <w:rFonts w:hint="eastAsia" w:ascii="宋体" w:hAnsi="宋体" w:cs="宋体"/>
          <w:bCs/>
          <w:sz w:val="24"/>
          <w:szCs w:val="24"/>
          <w:highlight w:val="none"/>
          <w:u w:val="single"/>
        </w:rPr>
        <w:t>.1 定标时间和地点</w:t>
      </w:r>
    </w:p>
    <w:p w14:paraId="0E6A56B1">
      <w:pPr>
        <w:spacing w:line="360" w:lineRule="auto"/>
        <w:ind w:firstLine="480" w:firstLineChars="200"/>
        <w:rPr>
          <w:rFonts w:hint="eastAsia" w:ascii="宋体" w:hAnsi="宋体" w:cs="宋体"/>
          <w:sz w:val="24"/>
          <w:szCs w:val="24"/>
          <w:highlight w:val="none"/>
          <w:u w:val="single"/>
        </w:rPr>
      </w:pPr>
      <w:r>
        <w:rPr>
          <w:rFonts w:hint="eastAsia" w:ascii="宋体" w:hAnsi="宋体" w:cs="宋体"/>
          <w:sz w:val="24"/>
          <w:szCs w:val="24"/>
          <w:highlight w:val="none"/>
          <w:u w:val="single"/>
        </w:rPr>
        <w:t>招标人在合格的中标候选人公示完成后，</w:t>
      </w:r>
      <w:r>
        <w:rPr>
          <w:rFonts w:hint="eastAsia" w:ascii="宋体" w:hAnsi="宋体" w:cs="宋体"/>
          <w:sz w:val="24"/>
          <w:szCs w:val="24"/>
          <w:highlight w:val="none"/>
          <w:u w:val="single"/>
          <w:lang w:val="en-US" w:eastAsia="zh-CN"/>
        </w:rPr>
        <w:t>5</w:t>
      </w:r>
      <w:r>
        <w:rPr>
          <w:rFonts w:hint="eastAsia" w:ascii="宋体" w:hAnsi="宋体" w:cs="宋体"/>
          <w:sz w:val="24"/>
          <w:szCs w:val="24"/>
          <w:highlight w:val="none"/>
          <w:u w:val="single"/>
        </w:rPr>
        <w:t>个工作日内在广州交易集团有限公司（广州公共资源交易中心）开展定标工作，招标人按规定程序在投标人须知的时间和地点完成定标工作。</w:t>
      </w:r>
    </w:p>
    <w:p w14:paraId="08D8776A">
      <w:pPr>
        <w:spacing w:line="360" w:lineRule="auto"/>
        <w:ind w:firstLine="480" w:firstLineChars="200"/>
        <w:rPr>
          <w:rFonts w:hint="eastAsia" w:ascii="宋体" w:hAnsi="宋体" w:cs="宋体"/>
          <w:sz w:val="24"/>
          <w:szCs w:val="24"/>
          <w:highlight w:val="none"/>
          <w:u w:val="single"/>
        </w:rPr>
      </w:pPr>
      <w:r>
        <w:rPr>
          <w:rFonts w:hint="eastAsia" w:ascii="宋体" w:hAnsi="宋体" w:cs="宋体"/>
          <w:sz w:val="24"/>
          <w:szCs w:val="24"/>
          <w:highlight w:val="none"/>
          <w:u w:val="single"/>
          <w:lang w:val="en-US" w:eastAsia="zh-CN"/>
        </w:rPr>
        <w:t>51.2</w:t>
      </w:r>
      <w:r>
        <w:rPr>
          <w:rFonts w:hint="eastAsia" w:ascii="宋体" w:hAnsi="宋体" w:cs="宋体"/>
          <w:sz w:val="24"/>
          <w:szCs w:val="24"/>
          <w:highlight w:val="none"/>
          <w:u w:val="single"/>
        </w:rPr>
        <w:t>定标规则及程序</w:t>
      </w:r>
    </w:p>
    <w:p w14:paraId="044ED3BE">
      <w:pPr>
        <w:spacing w:line="360" w:lineRule="auto"/>
        <w:ind w:firstLine="480" w:firstLineChars="200"/>
        <w:rPr>
          <w:rFonts w:hint="eastAsia" w:ascii="宋体" w:hAnsi="宋体" w:cs="宋体"/>
          <w:sz w:val="24"/>
          <w:szCs w:val="24"/>
          <w:highlight w:val="none"/>
          <w:u w:val="single"/>
        </w:rPr>
      </w:pPr>
      <w:r>
        <w:rPr>
          <w:rFonts w:hint="eastAsia" w:ascii="宋体" w:hAnsi="宋体" w:cs="宋体"/>
          <w:sz w:val="24"/>
          <w:szCs w:val="24"/>
          <w:highlight w:val="none"/>
          <w:u w:val="single"/>
          <w:lang w:val="en-US" w:eastAsia="zh-CN"/>
        </w:rPr>
        <w:t>51.2</w:t>
      </w:r>
      <w:r>
        <w:rPr>
          <w:rFonts w:hint="eastAsia" w:ascii="宋体" w:hAnsi="宋体" w:cs="宋体"/>
          <w:sz w:val="24"/>
          <w:szCs w:val="24"/>
          <w:highlight w:val="none"/>
          <w:u w:val="single"/>
        </w:rPr>
        <w:t>.1 本项目</w:t>
      </w:r>
      <w:r>
        <w:rPr>
          <w:rFonts w:hint="eastAsia" w:ascii="宋体" w:hAnsi="宋体" w:cs="宋体"/>
          <w:sz w:val="24"/>
          <w:szCs w:val="24"/>
          <w:highlight w:val="none"/>
          <w:u w:val="single"/>
          <w:lang w:eastAsia="zh-CN"/>
        </w:rPr>
        <w:t>定标办法</w:t>
      </w:r>
      <w:r>
        <w:rPr>
          <w:rFonts w:hint="eastAsia" w:ascii="宋体" w:hAnsi="宋体" w:cs="宋体"/>
          <w:sz w:val="24"/>
          <w:szCs w:val="24"/>
          <w:highlight w:val="none"/>
          <w:u w:val="single"/>
        </w:rPr>
        <w:t>采用评分法，定标委员会应根据</w:t>
      </w:r>
      <w:r>
        <w:rPr>
          <w:rFonts w:hint="eastAsia" w:ascii="宋体" w:hAnsi="宋体" w:cs="宋体"/>
          <w:sz w:val="24"/>
          <w:szCs w:val="24"/>
          <w:highlight w:val="none"/>
          <w:u w:val="single"/>
          <w:lang w:eastAsia="zh-CN"/>
        </w:rPr>
        <w:t>定标</w:t>
      </w:r>
      <w:r>
        <w:rPr>
          <w:rFonts w:hint="eastAsia" w:ascii="宋体" w:hAnsi="宋体" w:cs="宋体"/>
          <w:sz w:val="24"/>
          <w:szCs w:val="24"/>
          <w:highlight w:val="none"/>
          <w:u w:val="single"/>
        </w:rPr>
        <w:t>因素对合格的中标候选人的各项能力进行评审，确定总得分最高合格的中标候选人为中标人；</w:t>
      </w:r>
    </w:p>
    <w:p w14:paraId="4EEC62E7">
      <w:pPr>
        <w:spacing w:line="360" w:lineRule="auto"/>
        <w:ind w:firstLine="480" w:firstLineChars="200"/>
        <w:rPr>
          <w:rFonts w:hint="eastAsia" w:ascii="宋体" w:hAnsi="宋体" w:cs="宋体"/>
          <w:sz w:val="24"/>
          <w:szCs w:val="24"/>
          <w:highlight w:val="none"/>
          <w:u w:val="single"/>
        </w:rPr>
      </w:pPr>
      <w:r>
        <w:rPr>
          <w:rFonts w:hint="eastAsia" w:ascii="宋体" w:hAnsi="宋体" w:cs="宋体"/>
          <w:sz w:val="24"/>
          <w:szCs w:val="24"/>
          <w:highlight w:val="none"/>
          <w:u w:val="single"/>
          <w:lang w:val="en-US" w:eastAsia="zh-CN"/>
        </w:rPr>
        <w:t>51.2</w:t>
      </w:r>
      <w:r>
        <w:rPr>
          <w:rFonts w:hint="eastAsia" w:ascii="宋体" w:hAnsi="宋体" w:cs="宋体"/>
          <w:sz w:val="24"/>
          <w:szCs w:val="24"/>
          <w:highlight w:val="none"/>
          <w:u w:val="single"/>
        </w:rPr>
        <w:t>.2 定标工作开始后，定标委员会应推荐一人为定标委员会组长，主持当次定标会议。</w:t>
      </w:r>
    </w:p>
    <w:p w14:paraId="4C4E7E09">
      <w:pPr>
        <w:spacing w:line="360" w:lineRule="auto"/>
        <w:ind w:firstLine="480" w:firstLineChars="200"/>
        <w:rPr>
          <w:rFonts w:hint="eastAsia" w:ascii="宋体" w:hAnsi="宋体" w:cs="宋体"/>
          <w:sz w:val="24"/>
          <w:szCs w:val="24"/>
          <w:highlight w:val="none"/>
          <w:u w:val="single"/>
        </w:rPr>
      </w:pPr>
      <w:r>
        <w:rPr>
          <w:rFonts w:hint="eastAsia" w:ascii="宋体" w:hAnsi="宋体" w:cs="宋体"/>
          <w:sz w:val="24"/>
          <w:szCs w:val="24"/>
          <w:highlight w:val="none"/>
          <w:u w:val="single"/>
          <w:lang w:val="en-US" w:eastAsia="zh-CN"/>
        </w:rPr>
        <w:t>51.2</w:t>
      </w:r>
      <w:r>
        <w:rPr>
          <w:rFonts w:hint="eastAsia" w:ascii="宋体" w:hAnsi="宋体" w:cs="宋体"/>
          <w:sz w:val="24"/>
          <w:szCs w:val="24"/>
          <w:highlight w:val="none"/>
          <w:u w:val="single"/>
        </w:rPr>
        <w:t>.3 定标辅助资料为评标阶段的评标报告、投标人提交的投标文件与定标文件。</w:t>
      </w:r>
    </w:p>
    <w:p w14:paraId="664D671A">
      <w:pPr>
        <w:spacing w:line="360" w:lineRule="auto"/>
        <w:ind w:firstLine="480" w:firstLineChars="200"/>
        <w:rPr>
          <w:rFonts w:hint="eastAsia" w:ascii="宋体" w:hAnsi="宋体" w:cs="宋体"/>
          <w:sz w:val="24"/>
          <w:szCs w:val="24"/>
          <w:highlight w:val="none"/>
          <w:u w:val="single"/>
        </w:rPr>
      </w:pPr>
      <w:r>
        <w:rPr>
          <w:rFonts w:hint="eastAsia" w:ascii="宋体" w:hAnsi="宋体" w:cs="宋体"/>
          <w:sz w:val="24"/>
          <w:szCs w:val="24"/>
          <w:highlight w:val="none"/>
          <w:u w:val="single"/>
          <w:lang w:val="en-US" w:eastAsia="zh-CN"/>
        </w:rPr>
        <w:t>51.2</w:t>
      </w:r>
      <w:r>
        <w:rPr>
          <w:rFonts w:hint="eastAsia" w:ascii="宋体" w:hAnsi="宋体" w:cs="宋体"/>
          <w:sz w:val="24"/>
          <w:szCs w:val="24"/>
          <w:highlight w:val="none"/>
          <w:u w:val="single"/>
        </w:rPr>
        <w:t>.4 定标委员会根据定标辅助资料，在同等条件下，定标因素的相对标准按以下几个方面进行：</w:t>
      </w:r>
    </w:p>
    <w:p w14:paraId="1449D9F8">
      <w:pPr>
        <w:spacing w:line="360" w:lineRule="auto"/>
        <w:ind w:firstLine="480" w:firstLineChars="200"/>
        <w:rPr>
          <w:rFonts w:hint="eastAsia" w:ascii="宋体" w:hAnsi="宋体" w:cs="宋体"/>
          <w:sz w:val="24"/>
          <w:szCs w:val="24"/>
          <w:highlight w:val="none"/>
          <w:u w:val="single"/>
        </w:rPr>
      </w:pPr>
      <w:r>
        <w:rPr>
          <w:rFonts w:hint="eastAsia" w:ascii="宋体" w:hAnsi="宋体" w:cs="宋体"/>
          <w:sz w:val="24"/>
          <w:szCs w:val="24"/>
          <w:highlight w:val="none"/>
          <w:u w:val="single"/>
        </w:rPr>
        <w:t>1、价格因素。</w:t>
      </w:r>
    </w:p>
    <w:p w14:paraId="471DCB9A">
      <w:pPr>
        <w:spacing w:line="360" w:lineRule="auto"/>
        <w:ind w:firstLine="480" w:firstLineChars="200"/>
        <w:rPr>
          <w:rFonts w:hint="eastAsia" w:ascii="宋体" w:hAnsi="宋体" w:cs="宋体"/>
          <w:sz w:val="24"/>
          <w:szCs w:val="24"/>
          <w:highlight w:val="none"/>
          <w:u w:val="single"/>
        </w:rPr>
      </w:pPr>
      <w:r>
        <w:rPr>
          <w:rFonts w:hint="eastAsia" w:ascii="宋体" w:hAnsi="宋体" w:cs="宋体"/>
          <w:sz w:val="24"/>
          <w:szCs w:val="24"/>
          <w:highlight w:val="none"/>
          <w:u w:val="single"/>
        </w:rPr>
        <w:t>2、方案因素；</w:t>
      </w:r>
    </w:p>
    <w:p w14:paraId="6B0B3F88">
      <w:pPr>
        <w:spacing w:line="360" w:lineRule="auto"/>
        <w:ind w:firstLine="480" w:firstLineChars="200"/>
        <w:rPr>
          <w:rFonts w:hint="eastAsia" w:ascii="宋体" w:hAnsi="宋体" w:cs="宋体"/>
          <w:sz w:val="24"/>
          <w:szCs w:val="24"/>
          <w:highlight w:val="none"/>
          <w:u w:val="single"/>
        </w:rPr>
      </w:pPr>
      <w:r>
        <w:rPr>
          <w:rFonts w:hint="eastAsia" w:ascii="宋体" w:hAnsi="宋体" w:cs="宋体"/>
          <w:sz w:val="24"/>
          <w:szCs w:val="24"/>
          <w:highlight w:val="none"/>
          <w:u w:val="single"/>
        </w:rPr>
        <w:t>具体评价标准详见附表</w:t>
      </w:r>
      <w:r>
        <w:rPr>
          <w:rFonts w:hint="eastAsia" w:ascii="宋体" w:hAnsi="宋体" w:cs="宋体"/>
          <w:sz w:val="24"/>
          <w:szCs w:val="24"/>
          <w:highlight w:val="none"/>
          <w:u w:val="single"/>
          <w:lang w:eastAsia="zh-CN"/>
        </w:rPr>
        <w:t>六</w:t>
      </w:r>
      <w:r>
        <w:rPr>
          <w:rFonts w:hint="eastAsia" w:ascii="宋体" w:hAnsi="宋体" w:cs="宋体"/>
          <w:sz w:val="24"/>
          <w:szCs w:val="24"/>
          <w:highlight w:val="none"/>
          <w:u w:val="single"/>
        </w:rPr>
        <w:t>：《定标因素表》。</w:t>
      </w:r>
    </w:p>
    <w:p w14:paraId="658974C4">
      <w:pPr>
        <w:spacing w:line="360" w:lineRule="auto"/>
        <w:ind w:firstLine="480" w:firstLineChars="200"/>
        <w:rPr>
          <w:rFonts w:hint="eastAsia" w:ascii="宋体" w:hAnsi="宋体" w:cs="宋体"/>
          <w:sz w:val="24"/>
          <w:szCs w:val="24"/>
          <w:highlight w:val="none"/>
          <w:u w:val="single"/>
        </w:rPr>
      </w:pPr>
      <w:r>
        <w:rPr>
          <w:rFonts w:hint="eastAsia" w:ascii="宋体" w:hAnsi="宋体" w:cs="宋体"/>
          <w:sz w:val="24"/>
          <w:szCs w:val="24"/>
          <w:highlight w:val="none"/>
          <w:u w:val="single"/>
          <w:lang w:val="en-US" w:eastAsia="zh-CN"/>
        </w:rPr>
        <w:t>51.2</w:t>
      </w:r>
      <w:r>
        <w:rPr>
          <w:rFonts w:hint="eastAsia" w:ascii="宋体" w:hAnsi="宋体" w:cs="宋体"/>
          <w:sz w:val="24"/>
          <w:szCs w:val="24"/>
          <w:highlight w:val="none"/>
          <w:u w:val="single"/>
        </w:rPr>
        <w:t>.5 定标规则：定标委员会根据合格的中标候选人总得分由高至低对合格的中标候选人进行排序。合格的中标候选人总得分=方案因素（</w:t>
      </w:r>
      <w:r>
        <w:rPr>
          <w:rFonts w:hint="eastAsia" w:ascii="宋体" w:hAnsi="宋体" w:cs="宋体"/>
          <w:sz w:val="24"/>
          <w:szCs w:val="24"/>
          <w:highlight w:val="none"/>
          <w:u w:val="single"/>
          <w:lang w:val="en-US" w:eastAsia="zh-CN"/>
        </w:rPr>
        <w:t>90</w:t>
      </w:r>
      <w:r>
        <w:rPr>
          <w:rFonts w:hint="eastAsia" w:ascii="宋体" w:hAnsi="宋体" w:cs="宋体"/>
          <w:sz w:val="24"/>
          <w:szCs w:val="24"/>
          <w:highlight w:val="none"/>
          <w:u w:val="single"/>
        </w:rPr>
        <w:t>分）+价格因素（</w:t>
      </w:r>
      <w:r>
        <w:rPr>
          <w:rFonts w:hint="eastAsia" w:ascii="宋体" w:hAnsi="宋体" w:cs="宋体"/>
          <w:sz w:val="24"/>
          <w:szCs w:val="24"/>
          <w:highlight w:val="none"/>
          <w:u w:val="single"/>
          <w:lang w:val="en-US" w:eastAsia="zh-CN"/>
        </w:rPr>
        <w:t>10</w:t>
      </w:r>
      <w:r>
        <w:rPr>
          <w:rFonts w:hint="eastAsia" w:ascii="宋体" w:hAnsi="宋体" w:cs="宋体"/>
          <w:sz w:val="24"/>
          <w:szCs w:val="24"/>
          <w:highlight w:val="none"/>
          <w:u w:val="single"/>
        </w:rPr>
        <w:t>分）。总得分四舍五入保留两位小数。</w:t>
      </w:r>
    </w:p>
    <w:p w14:paraId="6E7BF3EC">
      <w:pPr>
        <w:spacing w:line="360" w:lineRule="auto"/>
        <w:ind w:firstLine="480" w:firstLineChars="200"/>
        <w:rPr>
          <w:rFonts w:hint="eastAsia" w:ascii="宋体" w:hAnsi="宋体" w:cs="宋体"/>
          <w:sz w:val="24"/>
          <w:szCs w:val="24"/>
          <w:highlight w:val="none"/>
          <w:u w:val="single"/>
        </w:rPr>
      </w:pPr>
      <w:r>
        <w:rPr>
          <w:rFonts w:hint="eastAsia" w:ascii="宋体" w:hAnsi="宋体" w:cs="宋体"/>
          <w:sz w:val="24"/>
          <w:szCs w:val="24"/>
          <w:highlight w:val="none"/>
          <w:u w:val="single"/>
        </w:rPr>
        <w:t>注：若合格的中标候选人总得分相同且影响定标排序的，以方案因素得分高的排前；若方案因素得分仍相同的，以价格因素得分高的排前，若价格因素得分仍相同的，由定标委员会投票确定排序。</w:t>
      </w:r>
    </w:p>
    <w:p w14:paraId="1A17E1BC">
      <w:pPr>
        <w:spacing w:line="360" w:lineRule="auto"/>
        <w:ind w:firstLine="480" w:firstLineChars="200"/>
        <w:rPr>
          <w:rFonts w:hint="eastAsia" w:ascii="宋体" w:hAnsi="宋体" w:cs="宋体"/>
          <w:sz w:val="24"/>
          <w:szCs w:val="24"/>
          <w:highlight w:val="none"/>
          <w:u w:val="single"/>
        </w:rPr>
      </w:pPr>
      <w:r>
        <w:rPr>
          <w:rFonts w:hint="eastAsia" w:ascii="宋体" w:hAnsi="宋体" w:cs="宋体"/>
          <w:sz w:val="24"/>
          <w:szCs w:val="24"/>
          <w:highlight w:val="none"/>
          <w:u w:val="single"/>
          <w:lang w:val="en-US" w:eastAsia="zh-CN"/>
        </w:rPr>
        <w:t>51.2</w:t>
      </w:r>
      <w:r>
        <w:rPr>
          <w:rFonts w:hint="eastAsia" w:ascii="宋体" w:hAnsi="宋体" w:cs="宋体"/>
          <w:sz w:val="24"/>
          <w:szCs w:val="24"/>
          <w:highlight w:val="none"/>
          <w:u w:val="single"/>
        </w:rPr>
        <w:t>.6定标委员会确定总得分最高的合格的中标候选人为中标人。</w:t>
      </w:r>
    </w:p>
    <w:p w14:paraId="51B17D6E">
      <w:pPr>
        <w:spacing w:line="360" w:lineRule="auto"/>
        <w:ind w:firstLine="480" w:firstLineChars="200"/>
        <w:rPr>
          <w:rFonts w:hint="eastAsia" w:ascii="宋体" w:hAnsi="宋体" w:cs="宋体"/>
          <w:sz w:val="24"/>
          <w:szCs w:val="24"/>
          <w:highlight w:val="none"/>
          <w:u w:val="single"/>
        </w:rPr>
      </w:pPr>
      <w:r>
        <w:rPr>
          <w:rFonts w:hint="eastAsia" w:ascii="宋体" w:hAnsi="宋体" w:cs="宋体"/>
          <w:sz w:val="24"/>
          <w:szCs w:val="24"/>
          <w:highlight w:val="none"/>
          <w:u w:val="single"/>
          <w:lang w:val="en-US" w:eastAsia="zh-CN"/>
        </w:rPr>
        <w:t>51.2</w:t>
      </w:r>
      <w:r>
        <w:rPr>
          <w:rFonts w:hint="eastAsia" w:ascii="宋体" w:hAnsi="宋体" w:cs="宋体"/>
          <w:sz w:val="24"/>
          <w:szCs w:val="24"/>
          <w:highlight w:val="none"/>
          <w:u w:val="single"/>
        </w:rPr>
        <w:t>.7 编写定标报告，定标委员会全体确认后签署定标报告。</w:t>
      </w:r>
    </w:p>
    <w:p w14:paraId="381FFD0A">
      <w:pPr>
        <w:spacing w:line="360" w:lineRule="auto"/>
        <w:ind w:firstLine="480" w:firstLineChars="200"/>
        <w:rPr>
          <w:rFonts w:hint="eastAsia" w:ascii="宋体" w:hAnsi="宋体" w:cs="宋体"/>
          <w:sz w:val="24"/>
          <w:szCs w:val="24"/>
          <w:highlight w:val="none"/>
          <w:u w:val="single"/>
        </w:rPr>
      </w:pPr>
      <w:r>
        <w:rPr>
          <w:rFonts w:hint="eastAsia" w:ascii="宋体" w:hAnsi="宋体" w:cs="宋体"/>
          <w:sz w:val="24"/>
          <w:szCs w:val="24"/>
          <w:highlight w:val="none"/>
          <w:u w:val="single"/>
          <w:lang w:val="en-US" w:eastAsia="zh-CN"/>
        </w:rPr>
        <w:t>51.3</w:t>
      </w:r>
      <w:r>
        <w:rPr>
          <w:rFonts w:hint="eastAsia" w:ascii="宋体" w:hAnsi="宋体" w:cs="宋体"/>
          <w:sz w:val="24"/>
          <w:szCs w:val="24"/>
          <w:highlight w:val="none"/>
          <w:u w:val="single"/>
        </w:rPr>
        <w:t>因质疑或投诉生效，需要重新评标或定标的，评标、定标信息（含业绩、奖项等）仍以投标截止时投标人的信息为准。因特殊原因需要延长投标有效期，投标人拒绝延长投标有效期的，仍参与评标、定标，但不被推荐为中标候选人。</w:t>
      </w:r>
    </w:p>
    <w:p w14:paraId="7018C484">
      <w:pPr>
        <w:spacing w:line="360" w:lineRule="auto"/>
        <w:ind w:firstLine="480" w:firstLineChars="200"/>
        <w:rPr>
          <w:rFonts w:hint="eastAsia" w:ascii="宋体" w:hAnsi="宋体" w:cs="宋体"/>
          <w:sz w:val="24"/>
          <w:szCs w:val="24"/>
          <w:highlight w:val="none"/>
          <w:u w:val="single"/>
        </w:rPr>
      </w:pPr>
      <w:r>
        <w:rPr>
          <w:rFonts w:hint="eastAsia" w:ascii="宋体" w:hAnsi="宋体" w:cs="宋体"/>
          <w:sz w:val="24"/>
          <w:szCs w:val="24"/>
          <w:highlight w:val="none"/>
          <w:u w:val="single"/>
          <w:lang w:val="en-US" w:eastAsia="zh-CN"/>
        </w:rPr>
        <w:t>51.4</w:t>
      </w:r>
      <w:r>
        <w:rPr>
          <w:rFonts w:hint="eastAsia" w:ascii="宋体" w:hAnsi="宋体" w:cs="宋体"/>
          <w:sz w:val="24"/>
          <w:szCs w:val="24"/>
          <w:highlight w:val="none"/>
          <w:u w:val="single"/>
        </w:rPr>
        <w:t>定标委员会向招标人提交书面定标报告后即解散，定标过程中使用的文件、表格以及其他资料不得私自带离。</w:t>
      </w:r>
    </w:p>
    <w:p w14:paraId="2A5316F5">
      <w:pPr>
        <w:spacing w:line="360" w:lineRule="auto"/>
        <w:ind w:firstLine="480" w:firstLineChars="200"/>
        <w:rPr>
          <w:rFonts w:hint="eastAsia" w:ascii="宋体" w:hAnsi="宋体" w:cs="宋体"/>
          <w:sz w:val="24"/>
          <w:szCs w:val="24"/>
          <w:highlight w:val="none"/>
          <w:u w:val="single"/>
        </w:rPr>
      </w:pPr>
      <w:r>
        <w:rPr>
          <w:rFonts w:hint="eastAsia" w:ascii="宋体" w:hAnsi="宋体" w:cs="宋体"/>
          <w:sz w:val="24"/>
          <w:szCs w:val="24"/>
          <w:highlight w:val="none"/>
          <w:u w:val="single"/>
          <w:lang w:val="en-US" w:eastAsia="zh-CN"/>
        </w:rPr>
        <w:t>51.</w:t>
      </w:r>
      <w:r>
        <w:rPr>
          <w:rFonts w:hint="eastAsia" w:ascii="宋体" w:hAnsi="宋体" w:cs="宋体"/>
          <w:sz w:val="24"/>
          <w:szCs w:val="24"/>
          <w:highlight w:val="none"/>
          <w:u w:val="single"/>
        </w:rPr>
        <w:t>5招标人应当在定标工作完成后的3日内公示中标结果。</w:t>
      </w:r>
    </w:p>
    <w:p w14:paraId="49B614B0">
      <w:pPr>
        <w:pBdr>
          <w:bottom w:val="single" w:color="auto" w:sz="6" w:space="1"/>
        </w:pBdr>
        <w:spacing w:line="360" w:lineRule="auto"/>
        <w:ind w:firstLine="420" w:firstLineChars="175"/>
        <w:rPr>
          <w:rFonts w:hint="eastAsia" w:ascii="宋体" w:hAnsi="宋体" w:cs="宋体"/>
          <w:sz w:val="24"/>
          <w:szCs w:val="24"/>
          <w:highlight w:val="none"/>
        </w:rPr>
      </w:pPr>
      <w:r>
        <w:rPr>
          <w:rFonts w:hint="eastAsia" w:ascii="宋体" w:hAnsi="宋体" w:cs="宋体"/>
          <w:sz w:val="24"/>
          <w:szCs w:val="24"/>
          <w:highlight w:val="none"/>
          <w:u w:val="single"/>
          <w:lang w:val="en-US" w:eastAsia="zh-CN"/>
        </w:rPr>
        <w:t>51.</w:t>
      </w:r>
      <w:r>
        <w:rPr>
          <w:rFonts w:hint="eastAsia" w:ascii="宋体" w:hAnsi="宋体" w:cs="宋体"/>
          <w:sz w:val="24"/>
          <w:szCs w:val="24"/>
          <w:highlight w:val="none"/>
          <w:u w:val="single"/>
        </w:rPr>
        <w:t>6定标后出现中标人不符合法定情形的，招标人可从其他合格的中标候选人中采用原定标办法，由原定标委员会确定中标人，也可以重新招标。</w:t>
      </w:r>
    </w:p>
    <w:p w14:paraId="3FDD5875">
      <w:pPr>
        <w:spacing w:line="360" w:lineRule="auto"/>
        <w:ind w:firstLine="590" w:firstLineChars="245"/>
        <w:rPr>
          <w:rFonts w:hint="eastAsia" w:ascii="宋体" w:hAnsi="宋体" w:cs="宋体"/>
          <w:b/>
          <w:sz w:val="24"/>
          <w:szCs w:val="24"/>
          <w:highlight w:val="none"/>
        </w:rPr>
      </w:pPr>
      <w:r>
        <w:rPr>
          <w:rFonts w:hint="eastAsia" w:ascii="宋体" w:hAnsi="宋体" w:cs="宋体"/>
          <w:b/>
          <w:sz w:val="24"/>
          <w:szCs w:val="24"/>
          <w:highlight w:val="none"/>
        </w:rPr>
        <w:t>条款号：</w:t>
      </w:r>
      <w:r>
        <w:rPr>
          <w:rFonts w:hint="eastAsia" w:ascii="宋体" w:hAnsi="宋体" w:cs="宋体"/>
          <w:b/>
          <w:kern w:val="0"/>
          <w:sz w:val="24"/>
          <w:szCs w:val="24"/>
          <w:highlight w:val="none"/>
        </w:rPr>
        <w:t>5</w:t>
      </w:r>
      <w:r>
        <w:rPr>
          <w:rFonts w:hint="eastAsia" w:ascii="宋体" w:hAnsi="宋体" w:cs="宋体"/>
          <w:b/>
          <w:kern w:val="0"/>
          <w:sz w:val="24"/>
          <w:szCs w:val="24"/>
          <w:highlight w:val="none"/>
          <w:lang w:val="en-US" w:eastAsia="zh-CN"/>
        </w:rPr>
        <w:t>2</w:t>
      </w:r>
      <w:r>
        <w:rPr>
          <w:rFonts w:hint="eastAsia" w:ascii="宋体" w:hAnsi="宋体" w:cs="宋体"/>
          <w:b/>
          <w:kern w:val="0"/>
          <w:sz w:val="24"/>
          <w:szCs w:val="24"/>
          <w:highlight w:val="none"/>
        </w:rPr>
        <w:t>.</w:t>
      </w:r>
      <w:r>
        <w:rPr>
          <w:rFonts w:hint="eastAsia" w:ascii="宋体" w:hAnsi="宋体" w:cs="宋体"/>
          <w:kern w:val="0"/>
          <w:sz w:val="24"/>
          <w:szCs w:val="24"/>
          <w:highlight w:val="none"/>
        </w:rPr>
        <w:t xml:space="preserve">                       </w:t>
      </w:r>
      <w:r>
        <w:rPr>
          <w:rFonts w:hint="eastAsia" w:ascii="宋体" w:hAnsi="宋体" w:cs="宋体"/>
          <w:b/>
          <w:sz w:val="24"/>
          <w:szCs w:val="24"/>
          <w:highlight w:val="none"/>
        </w:rPr>
        <w:t>修改类型：增加</w:t>
      </w:r>
    </w:p>
    <w:p w14:paraId="66A61669">
      <w:pPr>
        <w:pBdr>
          <w:bottom w:val="single" w:color="auto" w:sz="6" w:space="1"/>
        </w:pBdr>
        <w:spacing w:line="360" w:lineRule="auto"/>
        <w:ind w:firstLine="422" w:firstLineChars="175"/>
        <w:rPr>
          <w:rFonts w:hint="eastAsia" w:ascii="宋体" w:hAnsi="宋体" w:cs="宋体"/>
          <w:sz w:val="24"/>
          <w:szCs w:val="24"/>
          <w:highlight w:val="none"/>
          <w:u w:val="single"/>
        </w:rPr>
      </w:pPr>
      <w:r>
        <w:rPr>
          <w:rFonts w:hint="eastAsia" w:ascii="宋体" w:hAnsi="宋体" w:cs="宋体"/>
          <w:b/>
          <w:sz w:val="24"/>
          <w:szCs w:val="24"/>
          <w:highlight w:val="none"/>
        </w:rPr>
        <w:t>现文：</w:t>
      </w:r>
      <w:r>
        <w:rPr>
          <w:rFonts w:hint="eastAsia" w:ascii="宋体" w:hAnsi="宋体" w:cs="宋体"/>
          <w:sz w:val="24"/>
          <w:szCs w:val="24"/>
          <w:highlight w:val="none"/>
          <w:u w:val="single"/>
        </w:rPr>
        <w:t>5</w:t>
      </w:r>
      <w:r>
        <w:rPr>
          <w:rFonts w:hint="eastAsia" w:ascii="宋体" w:hAnsi="宋体" w:cs="宋体"/>
          <w:sz w:val="24"/>
          <w:szCs w:val="24"/>
          <w:highlight w:val="none"/>
          <w:u w:val="single"/>
          <w:lang w:val="en-US" w:eastAsia="zh-CN"/>
        </w:rPr>
        <w:t>2</w:t>
      </w:r>
      <w:r>
        <w:rPr>
          <w:rFonts w:hint="eastAsia" w:ascii="宋体" w:hAnsi="宋体" w:cs="宋体"/>
          <w:sz w:val="24"/>
          <w:szCs w:val="24"/>
          <w:highlight w:val="none"/>
          <w:u w:val="single"/>
        </w:rPr>
        <w:t>.组建监督小组</w:t>
      </w:r>
    </w:p>
    <w:p w14:paraId="160E0801">
      <w:pPr>
        <w:pBdr>
          <w:bottom w:val="single" w:color="auto" w:sz="6" w:space="1"/>
        </w:pBdr>
        <w:spacing w:line="360" w:lineRule="auto"/>
        <w:ind w:firstLine="420" w:firstLineChars="175"/>
        <w:rPr>
          <w:rFonts w:hint="eastAsia" w:ascii="宋体" w:hAnsi="宋体" w:cs="宋体"/>
          <w:sz w:val="24"/>
          <w:szCs w:val="24"/>
          <w:highlight w:val="none"/>
        </w:rPr>
      </w:pPr>
      <w:r>
        <w:rPr>
          <w:rFonts w:hint="eastAsia" w:ascii="宋体" w:hAnsi="宋体" w:cs="宋体"/>
          <w:sz w:val="24"/>
          <w:szCs w:val="24"/>
          <w:highlight w:val="none"/>
          <w:u w:val="single"/>
        </w:rPr>
        <w:t>招标开始前，招标人组建监督小组，监督小组由2人或以上人数组成。监督小组对招标投标活动全过程进行监督，有权对定标委员会的组建、定标过程及招标人在定标前的清标和对中标候选人的考察等（如有）进行全程监督，有权对定标委员会违反定标规则的行为进行质询，确保定标过程公平、公正。监督小组对发现的异常情况应及时提醒并纠正，但不得就评标、定标涉及的实质内容发表意见或者参与评标、定标讨论。</w:t>
      </w:r>
    </w:p>
    <w:p w14:paraId="079C19D2">
      <w:pPr>
        <w:pBdr>
          <w:bottom w:val="single" w:color="auto" w:sz="4" w:space="1"/>
        </w:pBdr>
        <w:spacing w:line="360" w:lineRule="auto"/>
        <w:ind w:firstLine="540" w:firstLineChars="224"/>
        <w:rPr>
          <w:rFonts w:hint="eastAsia" w:ascii="宋体" w:hAnsi="宋体" w:cs="宋体"/>
          <w:b/>
          <w:sz w:val="24"/>
          <w:szCs w:val="24"/>
          <w:highlight w:val="none"/>
        </w:rPr>
      </w:pPr>
      <w:r>
        <w:rPr>
          <w:rFonts w:hint="eastAsia" w:ascii="宋体" w:hAnsi="宋体" w:cs="宋体"/>
          <w:b/>
          <w:sz w:val="24"/>
          <w:szCs w:val="24"/>
          <w:highlight w:val="none"/>
        </w:rPr>
        <w:t>条款号：评标办法                                       修改类型：删除</w:t>
      </w:r>
    </w:p>
    <w:p w14:paraId="604145F2">
      <w:pPr>
        <w:pBdr>
          <w:bottom w:val="single" w:color="auto" w:sz="4" w:space="1"/>
        </w:pBdr>
        <w:spacing w:line="360" w:lineRule="auto"/>
        <w:ind w:firstLine="540" w:firstLineChars="224"/>
        <w:rPr>
          <w:rFonts w:hint="eastAsia" w:ascii="宋体" w:hAnsi="宋体" w:cs="宋体"/>
          <w:b/>
          <w:sz w:val="24"/>
          <w:szCs w:val="24"/>
          <w:highlight w:val="none"/>
        </w:rPr>
      </w:pPr>
      <w:r>
        <w:rPr>
          <w:rFonts w:hint="eastAsia" w:ascii="宋体" w:hAnsi="宋体" w:cs="宋体"/>
          <w:b/>
          <w:sz w:val="24"/>
          <w:szCs w:val="24"/>
          <w:highlight w:val="none"/>
        </w:rPr>
        <w:t>原文：</w:t>
      </w:r>
      <w:bookmarkStart w:id="52" w:name="_Toc420050320"/>
      <w:r>
        <w:rPr>
          <w:rFonts w:hint="eastAsia" w:ascii="宋体" w:hAnsi="宋体" w:cs="宋体"/>
          <w:sz w:val="24"/>
          <w:szCs w:val="24"/>
          <w:highlight w:val="none"/>
        </w:rPr>
        <w:t>可选办法一（适合</w:t>
      </w:r>
      <w:r>
        <w:rPr>
          <w:rFonts w:hint="eastAsia" w:ascii="宋体" w:hAnsi="宋体" w:cs="宋体"/>
          <w:kern w:val="0"/>
          <w:sz w:val="24"/>
          <w:szCs w:val="24"/>
          <w:highlight w:val="none"/>
        </w:rPr>
        <w:t>综合评分法一</w:t>
      </w:r>
      <w:r>
        <w:rPr>
          <w:rFonts w:hint="eastAsia" w:ascii="宋体" w:hAnsi="宋体" w:cs="宋体"/>
          <w:sz w:val="24"/>
          <w:szCs w:val="24"/>
          <w:highlight w:val="none"/>
        </w:rPr>
        <w:t>，技术标与经济标先后分别开启）</w:t>
      </w:r>
      <w:bookmarkEnd w:id="52"/>
    </w:p>
    <w:p w14:paraId="6CDB91EA">
      <w:pPr>
        <w:spacing w:line="360" w:lineRule="auto"/>
        <w:ind w:firstLine="540" w:firstLineChars="224"/>
        <w:rPr>
          <w:rFonts w:hint="eastAsia" w:ascii="宋体" w:hAnsi="宋体" w:cs="宋体"/>
          <w:b/>
          <w:sz w:val="24"/>
          <w:szCs w:val="24"/>
          <w:highlight w:val="none"/>
        </w:rPr>
      </w:pPr>
      <w:r>
        <w:rPr>
          <w:rFonts w:hint="eastAsia" w:ascii="宋体" w:hAnsi="宋体" w:cs="宋体"/>
          <w:b/>
          <w:sz w:val="24"/>
          <w:szCs w:val="24"/>
          <w:highlight w:val="none"/>
        </w:rPr>
        <w:t>条款号：评标办法                                       修改类型：删除</w:t>
      </w:r>
    </w:p>
    <w:p w14:paraId="53E6AAA1">
      <w:pPr>
        <w:pBdr>
          <w:bottom w:val="single" w:color="auto" w:sz="4" w:space="1"/>
        </w:pBdr>
        <w:spacing w:line="360" w:lineRule="auto"/>
        <w:ind w:firstLine="540" w:firstLineChars="224"/>
        <w:rPr>
          <w:rFonts w:hint="eastAsia" w:ascii="宋体" w:hAnsi="宋体" w:cs="宋体"/>
          <w:sz w:val="24"/>
          <w:szCs w:val="24"/>
          <w:highlight w:val="none"/>
        </w:rPr>
      </w:pPr>
      <w:r>
        <w:rPr>
          <w:rFonts w:hint="eastAsia" w:ascii="宋体" w:hAnsi="宋体" w:cs="宋体"/>
          <w:b/>
          <w:sz w:val="24"/>
          <w:szCs w:val="24"/>
          <w:highlight w:val="none"/>
        </w:rPr>
        <w:t>原文：</w:t>
      </w:r>
      <w:r>
        <w:rPr>
          <w:rFonts w:hint="eastAsia" w:ascii="宋体" w:hAnsi="宋体" w:cs="宋体"/>
          <w:sz w:val="24"/>
          <w:szCs w:val="24"/>
          <w:highlight w:val="none"/>
        </w:rPr>
        <w:t>可选办法二（适合综合评分法一，技术标与经济标同时开启）</w:t>
      </w:r>
    </w:p>
    <w:p w14:paraId="6163AB2D">
      <w:pPr>
        <w:spacing w:line="360" w:lineRule="auto"/>
        <w:ind w:firstLine="540" w:firstLineChars="224"/>
        <w:rPr>
          <w:rFonts w:hint="eastAsia" w:ascii="宋体" w:hAnsi="宋体" w:cs="宋体"/>
          <w:b/>
          <w:sz w:val="24"/>
          <w:szCs w:val="24"/>
          <w:highlight w:val="none"/>
        </w:rPr>
      </w:pPr>
      <w:r>
        <w:rPr>
          <w:rFonts w:hint="eastAsia" w:ascii="宋体" w:hAnsi="宋体" w:cs="宋体"/>
          <w:b/>
          <w:sz w:val="24"/>
          <w:szCs w:val="24"/>
          <w:highlight w:val="none"/>
        </w:rPr>
        <w:t>条款号：评标办法                                       修改类型：删除</w:t>
      </w:r>
    </w:p>
    <w:p w14:paraId="17016762">
      <w:pPr>
        <w:pBdr>
          <w:bottom w:val="single" w:color="auto" w:sz="4" w:space="1"/>
        </w:pBdr>
        <w:spacing w:line="360" w:lineRule="auto"/>
        <w:ind w:firstLine="540" w:firstLineChars="224"/>
        <w:rPr>
          <w:rFonts w:hint="eastAsia" w:ascii="宋体" w:hAnsi="宋体" w:cs="宋体"/>
          <w:b/>
          <w:sz w:val="24"/>
          <w:szCs w:val="24"/>
          <w:highlight w:val="none"/>
        </w:rPr>
      </w:pPr>
      <w:r>
        <w:rPr>
          <w:rFonts w:hint="eastAsia" w:ascii="宋体" w:hAnsi="宋体" w:cs="宋体"/>
          <w:b/>
          <w:sz w:val="24"/>
          <w:szCs w:val="24"/>
          <w:highlight w:val="none"/>
        </w:rPr>
        <w:t>原文：</w:t>
      </w:r>
      <w:r>
        <w:rPr>
          <w:rFonts w:hint="eastAsia" w:ascii="宋体" w:hAnsi="宋体" w:cs="宋体"/>
          <w:sz w:val="24"/>
          <w:szCs w:val="24"/>
          <w:highlight w:val="none"/>
        </w:rPr>
        <w:t>可选办法三（适合综合评分法二，技术标与经济标先后分别开启）</w:t>
      </w:r>
    </w:p>
    <w:p w14:paraId="79FBD08F">
      <w:pPr>
        <w:spacing w:line="360" w:lineRule="auto"/>
        <w:ind w:firstLine="540" w:firstLineChars="224"/>
        <w:rPr>
          <w:rFonts w:hint="eastAsia" w:ascii="宋体" w:hAnsi="宋体" w:cs="宋体"/>
          <w:b/>
          <w:sz w:val="24"/>
          <w:szCs w:val="24"/>
          <w:highlight w:val="none"/>
        </w:rPr>
      </w:pPr>
      <w:r>
        <w:rPr>
          <w:rFonts w:hint="eastAsia" w:ascii="宋体" w:hAnsi="宋体" w:cs="宋体"/>
          <w:b/>
          <w:sz w:val="24"/>
          <w:szCs w:val="24"/>
          <w:highlight w:val="none"/>
        </w:rPr>
        <w:t>条款号：评标办法                                       修改类型：删除</w:t>
      </w:r>
    </w:p>
    <w:p w14:paraId="5AC9FCB5">
      <w:pPr>
        <w:pBdr>
          <w:bottom w:val="single" w:color="auto" w:sz="4" w:space="1"/>
        </w:pBdr>
        <w:spacing w:line="360" w:lineRule="auto"/>
        <w:ind w:firstLine="540" w:firstLineChars="224"/>
        <w:rPr>
          <w:rFonts w:hint="eastAsia" w:ascii="宋体" w:hAnsi="宋体" w:cs="宋体"/>
          <w:b/>
          <w:sz w:val="24"/>
          <w:szCs w:val="24"/>
          <w:highlight w:val="none"/>
        </w:rPr>
      </w:pPr>
      <w:r>
        <w:rPr>
          <w:rFonts w:hint="eastAsia" w:ascii="宋体" w:hAnsi="宋体" w:cs="宋体"/>
          <w:b/>
          <w:sz w:val="24"/>
          <w:szCs w:val="24"/>
          <w:highlight w:val="none"/>
        </w:rPr>
        <w:t>原文：</w:t>
      </w:r>
      <w:bookmarkStart w:id="53" w:name="_Toc420050322"/>
      <w:bookmarkStart w:id="54" w:name="_Toc416358012"/>
      <w:r>
        <w:rPr>
          <w:rFonts w:hint="eastAsia" w:ascii="宋体" w:hAnsi="宋体" w:cs="宋体"/>
          <w:sz w:val="24"/>
          <w:szCs w:val="24"/>
          <w:highlight w:val="none"/>
        </w:rPr>
        <w:t>可选办法四（适合综合评分法二，技术标与经济标同时开启）</w:t>
      </w:r>
      <w:bookmarkEnd w:id="53"/>
      <w:bookmarkEnd w:id="54"/>
    </w:p>
    <w:p w14:paraId="2E4887B0">
      <w:pPr>
        <w:spacing w:line="360" w:lineRule="auto"/>
        <w:ind w:firstLine="540" w:firstLineChars="224"/>
        <w:rPr>
          <w:rFonts w:hint="eastAsia" w:ascii="宋体" w:hAnsi="宋体" w:cs="宋体"/>
          <w:b/>
          <w:sz w:val="24"/>
          <w:szCs w:val="24"/>
          <w:highlight w:val="none"/>
        </w:rPr>
      </w:pPr>
      <w:r>
        <w:rPr>
          <w:rFonts w:hint="eastAsia" w:ascii="宋体" w:hAnsi="宋体" w:cs="宋体"/>
          <w:b/>
          <w:sz w:val="24"/>
          <w:szCs w:val="24"/>
          <w:highlight w:val="none"/>
        </w:rPr>
        <w:t>条款号：评标办法                                       修改类型：删除</w:t>
      </w:r>
    </w:p>
    <w:p w14:paraId="6CCDC892">
      <w:pPr>
        <w:pBdr>
          <w:bottom w:val="single" w:color="auto" w:sz="4" w:space="1"/>
        </w:pBdr>
        <w:spacing w:line="360" w:lineRule="auto"/>
        <w:ind w:firstLine="540" w:firstLineChars="224"/>
        <w:rPr>
          <w:rFonts w:hint="eastAsia" w:ascii="宋体" w:hAnsi="宋体" w:cs="宋体"/>
          <w:b/>
          <w:sz w:val="24"/>
          <w:szCs w:val="24"/>
          <w:highlight w:val="none"/>
        </w:rPr>
      </w:pPr>
      <w:r>
        <w:rPr>
          <w:rFonts w:hint="eastAsia" w:ascii="宋体" w:hAnsi="宋体" w:cs="宋体"/>
          <w:b/>
          <w:sz w:val="24"/>
          <w:szCs w:val="24"/>
          <w:highlight w:val="none"/>
        </w:rPr>
        <w:t>原文：</w:t>
      </w:r>
      <w:r>
        <w:rPr>
          <w:rFonts w:hint="eastAsia" w:ascii="宋体" w:hAnsi="宋体" w:cs="宋体"/>
          <w:sz w:val="24"/>
          <w:szCs w:val="24"/>
          <w:highlight w:val="none"/>
        </w:rPr>
        <w:t>可选办法五（适合综合评分法三，技术标与经济标先后分别开启）</w:t>
      </w:r>
    </w:p>
    <w:p w14:paraId="5D563152">
      <w:pPr>
        <w:spacing w:line="360" w:lineRule="auto"/>
        <w:ind w:firstLine="540" w:firstLineChars="224"/>
        <w:rPr>
          <w:rFonts w:hint="eastAsia" w:ascii="宋体" w:hAnsi="宋体" w:cs="宋体"/>
          <w:b/>
          <w:sz w:val="24"/>
          <w:szCs w:val="24"/>
          <w:highlight w:val="none"/>
        </w:rPr>
      </w:pPr>
      <w:r>
        <w:rPr>
          <w:rFonts w:hint="eastAsia" w:ascii="宋体" w:hAnsi="宋体" w:cs="宋体"/>
          <w:b/>
          <w:sz w:val="24"/>
          <w:szCs w:val="24"/>
          <w:highlight w:val="none"/>
        </w:rPr>
        <w:t>条款号：评标办法                                       修改类型：删除</w:t>
      </w:r>
    </w:p>
    <w:p w14:paraId="6B98ED26">
      <w:pPr>
        <w:pBdr>
          <w:bottom w:val="single" w:color="auto" w:sz="4" w:space="1"/>
        </w:pBdr>
        <w:spacing w:line="360" w:lineRule="auto"/>
        <w:ind w:firstLine="540" w:firstLineChars="224"/>
        <w:rPr>
          <w:rFonts w:hint="eastAsia" w:ascii="宋体" w:hAnsi="宋体" w:cs="宋体"/>
          <w:b/>
          <w:sz w:val="24"/>
          <w:szCs w:val="24"/>
          <w:highlight w:val="none"/>
        </w:rPr>
      </w:pPr>
      <w:r>
        <w:rPr>
          <w:rFonts w:hint="eastAsia" w:ascii="宋体" w:hAnsi="宋体" w:cs="宋体"/>
          <w:b/>
          <w:sz w:val="24"/>
          <w:szCs w:val="24"/>
          <w:highlight w:val="none"/>
        </w:rPr>
        <w:t>原文：</w:t>
      </w:r>
      <w:bookmarkStart w:id="55" w:name="_Toc420050324"/>
      <w:bookmarkStart w:id="56" w:name="_Toc416358016"/>
      <w:r>
        <w:rPr>
          <w:rFonts w:hint="eastAsia" w:ascii="宋体" w:hAnsi="宋体" w:cs="宋体"/>
          <w:sz w:val="24"/>
          <w:szCs w:val="24"/>
          <w:highlight w:val="none"/>
        </w:rPr>
        <w:t>可选办法六（适合综合评分法三，技术标与经济标同时开启）</w:t>
      </w:r>
      <w:bookmarkEnd w:id="55"/>
      <w:bookmarkEnd w:id="56"/>
    </w:p>
    <w:p w14:paraId="04815AB1">
      <w:pPr>
        <w:spacing w:line="360" w:lineRule="auto"/>
        <w:ind w:firstLine="540" w:firstLineChars="224"/>
        <w:rPr>
          <w:rFonts w:hint="eastAsia" w:ascii="宋体" w:hAnsi="宋体" w:cs="宋体"/>
          <w:b/>
          <w:sz w:val="24"/>
          <w:szCs w:val="24"/>
          <w:highlight w:val="none"/>
        </w:rPr>
      </w:pPr>
      <w:r>
        <w:rPr>
          <w:rFonts w:hint="eastAsia" w:ascii="宋体" w:hAnsi="宋体" w:cs="宋体"/>
          <w:b/>
          <w:sz w:val="24"/>
          <w:szCs w:val="24"/>
          <w:highlight w:val="none"/>
        </w:rPr>
        <w:t>条款号：评标办法                                       修改类型：删除</w:t>
      </w:r>
    </w:p>
    <w:p w14:paraId="79CDD052">
      <w:pPr>
        <w:pBdr>
          <w:bottom w:val="single" w:color="auto" w:sz="6" w:space="1"/>
        </w:pBdr>
        <w:spacing w:line="360" w:lineRule="auto"/>
        <w:ind w:firstLine="540" w:firstLineChars="224"/>
        <w:rPr>
          <w:rFonts w:hint="eastAsia" w:ascii="宋体" w:hAnsi="宋体" w:cs="宋体"/>
          <w:sz w:val="24"/>
          <w:szCs w:val="24"/>
          <w:highlight w:val="none"/>
        </w:rPr>
      </w:pPr>
      <w:r>
        <w:rPr>
          <w:rFonts w:hint="eastAsia" w:ascii="宋体" w:hAnsi="宋体" w:cs="宋体"/>
          <w:b/>
          <w:sz w:val="24"/>
          <w:szCs w:val="24"/>
          <w:highlight w:val="none"/>
        </w:rPr>
        <w:t>原文：</w:t>
      </w:r>
      <w:r>
        <w:rPr>
          <w:rFonts w:hint="eastAsia" w:ascii="宋体" w:hAnsi="宋体" w:cs="宋体"/>
          <w:sz w:val="24"/>
          <w:szCs w:val="24"/>
          <w:highlight w:val="none"/>
        </w:rPr>
        <w:t>可选办法八（适合经评审的最低投标价法，技术标与经济标同时开启）</w:t>
      </w:r>
    </w:p>
    <w:p w14:paraId="2E330221">
      <w:pPr>
        <w:spacing w:line="360" w:lineRule="auto"/>
        <w:ind w:firstLine="540" w:firstLineChars="224"/>
        <w:rPr>
          <w:rFonts w:hint="eastAsia" w:ascii="宋体" w:hAnsi="宋体" w:eastAsia="宋体" w:cs="宋体"/>
          <w:b/>
          <w:sz w:val="24"/>
          <w:szCs w:val="24"/>
          <w:highlight w:val="none"/>
        </w:rPr>
      </w:pPr>
      <w:r>
        <w:rPr>
          <w:rFonts w:hint="eastAsia" w:ascii="宋体" w:hAnsi="宋体" w:eastAsia="宋体" w:cs="宋体"/>
          <w:b/>
          <w:sz w:val="24"/>
          <w:szCs w:val="24"/>
          <w:highlight w:val="none"/>
        </w:rPr>
        <w:t>条款号：附表一 《资格审查表》                          修改类型：修改</w:t>
      </w:r>
    </w:p>
    <w:p w14:paraId="517C8405">
      <w:pPr>
        <w:spacing w:line="336" w:lineRule="auto"/>
        <w:ind w:firstLine="422" w:firstLineChars="200"/>
        <w:rPr>
          <w:rFonts w:ascii="宋体" w:hAnsi="宋体" w:cs="宋体"/>
          <w:b/>
          <w:color w:val="000000"/>
          <w:szCs w:val="21"/>
          <w:highlight w:val="none"/>
        </w:rPr>
      </w:pPr>
      <w:r>
        <w:rPr>
          <w:rFonts w:hint="eastAsia" w:ascii="宋体" w:hAnsi="宋体" w:cs="宋体"/>
          <w:b/>
          <w:color w:val="000000"/>
          <w:szCs w:val="21"/>
          <w:highlight w:val="none"/>
        </w:rPr>
        <w:t>原文：</w:t>
      </w:r>
      <w:r>
        <w:rPr>
          <w:rFonts w:hint="eastAsia" w:ascii="宋体" w:hAnsi="宋体" w:cs="宋体"/>
          <w:color w:val="000000"/>
          <w:szCs w:val="21"/>
          <w:highlight w:val="none"/>
        </w:rPr>
        <w:t>见范本</w:t>
      </w:r>
    </w:p>
    <w:p w14:paraId="2AA141E1">
      <w:pPr>
        <w:pBdr>
          <w:bottom w:val="single" w:color="auto" w:sz="6" w:space="1"/>
        </w:pBdr>
        <w:spacing w:line="336" w:lineRule="auto"/>
        <w:ind w:firstLine="422" w:firstLineChars="200"/>
        <w:rPr>
          <w:rFonts w:ascii="宋体" w:hAnsi="宋体" w:cs="宋体"/>
          <w:color w:val="000000"/>
          <w:highlight w:val="none"/>
        </w:rPr>
      </w:pPr>
      <w:r>
        <w:rPr>
          <w:rFonts w:hint="eastAsia" w:ascii="宋体" w:hAnsi="宋体" w:cs="宋体"/>
          <w:b/>
          <w:color w:val="000000"/>
          <w:szCs w:val="21"/>
          <w:highlight w:val="none"/>
        </w:rPr>
        <w:t>现文：</w:t>
      </w:r>
      <w:r>
        <w:rPr>
          <w:rFonts w:hint="eastAsia" w:ascii="宋体" w:hAnsi="宋体" w:cs="宋体"/>
          <w:color w:val="000000"/>
          <w:szCs w:val="21"/>
          <w:highlight w:val="none"/>
        </w:rPr>
        <w:t>见后附（附表一《资格审查表》）</w:t>
      </w:r>
    </w:p>
    <w:p w14:paraId="3EFD5743">
      <w:pPr>
        <w:spacing w:line="360" w:lineRule="auto"/>
        <w:ind w:firstLine="540" w:firstLineChars="224"/>
        <w:rPr>
          <w:rFonts w:hint="eastAsia" w:ascii="宋体" w:hAnsi="宋体" w:eastAsia="宋体" w:cs="宋体"/>
          <w:b/>
          <w:sz w:val="24"/>
          <w:szCs w:val="24"/>
          <w:highlight w:val="none"/>
        </w:rPr>
      </w:pPr>
      <w:r>
        <w:rPr>
          <w:rFonts w:hint="eastAsia" w:ascii="宋体" w:hAnsi="宋体" w:eastAsia="宋体" w:cs="宋体"/>
          <w:b/>
          <w:sz w:val="24"/>
          <w:szCs w:val="24"/>
          <w:highlight w:val="none"/>
        </w:rPr>
        <w:t>条款号：附表二 《技术标有效性审查表》                  修改类型：修改</w:t>
      </w:r>
    </w:p>
    <w:p w14:paraId="0AAC7FF5">
      <w:pPr>
        <w:pBdr>
          <w:bottom w:val="single" w:color="auto" w:sz="6" w:space="1"/>
        </w:pBdr>
        <w:spacing w:line="360" w:lineRule="auto"/>
        <w:ind w:firstLine="540" w:firstLineChars="224"/>
        <w:rPr>
          <w:rFonts w:hint="eastAsia" w:ascii="宋体" w:hAnsi="宋体" w:eastAsia="宋体" w:cs="宋体"/>
          <w:b/>
          <w:sz w:val="24"/>
          <w:szCs w:val="24"/>
          <w:highlight w:val="none"/>
        </w:rPr>
      </w:pPr>
      <w:r>
        <w:rPr>
          <w:rFonts w:hint="eastAsia" w:ascii="宋体" w:hAnsi="宋体" w:eastAsia="宋体" w:cs="宋体"/>
          <w:b/>
          <w:sz w:val="24"/>
          <w:szCs w:val="24"/>
          <w:highlight w:val="none"/>
        </w:rPr>
        <w:t>原文：</w:t>
      </w:r>
      <w:r>
        <w:rPr>
          <w:rFonts w:hint="eastAsia" w:ascii="宋体" w:hAnsi="宋体" w:eastAsia="宋体" w:cs="宋体"/>
          <w:b w:val="0"/>
          <w:bCs/>
          <w:sz w:val="24"/>
          <w:szCs w:val="24"/>
          <w:highlight w:val="none"/>
        </w:rPr>
        <w:t>见范本</w:t>
      </w:r>
    </w:p>
    <w:p w14:paraId="2412F011">
      <w:pPr>
        <w:pBdr>
          <w:bottom w:val="single" w:color="auto" w:sz="6" w:space="1"/>
        </w:pBdr>
        <w:spacing w:line="360" w:lineRule="auto"/>
        <w:ind w:firstLine="540" w:firstLineChars="224"/>
        <w:rPr>
          <w:rFonts w:hint="eastAsia" w:ascii="宋体" w:hAnsi="宋体" w:eastAsia="宋体" w:cs="宋体"/>
          <w:b/>
          <w:sz w:val="24"/>
          <w:szCs w:val="24"/>
          <w:highlight w:val="none"/>
        </w:rPr>
      </w:pPr>
      <w:r>
        <w:rPr>
          <w:rFonts w:hint="eastAsia" w:ascii="宋体" w:hAnsi="宋体" w:eastAsia="宋体" w:cs="宋体"/>
          <w:b/>
          <w:sz w:val="24"/>
          <w:szCs w:val="24"/>
          <w:highlight w:val="none"/>
        </w:rPr>
        <w:t>现文：</w:t>
      </w:r>
      <w:r>
        <w:rPr>
          <w:rFonts w:hint="eastAsia" w:ascii="宋体" w:hAnsi="宋体" w:eastAsia="宋体" w:cs="宋体"/>
          <w:b w:val="0"/>
          <w:bCs/>
          <w:sz w:val="24"/>
          <w:szCs w:val="24"/>
          <w:highlight w:val="none"/>
        </w:rPr>
        <w:t>见后附（附表二《技术标有效性审查表》）</w:t>
      </w:r>
    </w:p>
    <w:p w14:paraId="46DCE728">
      <w:pPr>
        <w:spacing w:line="360" w:lineRule="auto"/>
        <w:ind w:firstLine="540" w:firstLineChars="224"/>
        <w:rPr>
          <w:rFonts w:hint="eastAsia" w:ascii="宋体" w:hAnsi="宋体" w:eastAsia="宋体" w:cs="宋体"/>
          <w:b/>
          <w:sz w:val="24"/>
          <w:szCs w:val="24"/>
          <w:highlight w:val="none"/>
        </w:rPr>
      </w:pPr>
      <w:r>
        <w:rPr>
          <w:rFonts w:hint="eastAsia" w:ascii="宋体" w:hAnsi="宋体" w:eastAsia="宋体" w:cs="宋体"/>
          <w:b/>
          <w:sz w:val="24"/>
          <w:szCs w:val="24"/>
          <w:highlight w:val="none"/>
        </w:rPr>
        <w:t>条款号：附表三 《经济标有效性审查表》                  修改类型：修改</w:t>
      </w:r>
    </w:p>
    <w:p w14:paraId="47FEAE83">
      <w:pPr>
        <w:pBdr>
          <w:bottom w:val="single" w:color="auto" w:sz="6" w:space="1"/>
        </w:pBdr>
        <w:spacing w:line="360" w:lineRule="auto"/>
        <w:ind w:firstLine="540" w:firstLineChars="224"/>
        <w:rPr>
          <w:rFonts w:hint="eastAsia" w:ascii="宋体" w:hAnsi="宋体" w:eastAsia="宋体" w:cs="宋体"/>
          <w:b/>
          <w:sz w:val="24"/>
          <w:szCs w:val="24"/>
          <w:highlight w:val="none"/>
        </w:rPr>
      </w:pPr>
      <w:r>
        <w:rPr>
          <w:rFonts w:hint="eastAsia" w:ascii="宋体" w:hAnsi="宋体" w:eastAsia="宋体" w:cs="宋体"/>
          <w:b/>
          <w:sz w:val="24"/>
          <w:szCs w:val="24"/>
          <w:highlight w:val="none"/>
        </w:rPr>
        <w:t>原文：</w:t>
      </w:r>
      <w:r>
        <w:rPr>
          <w:rFonts w:hint="eastAsia" w:ascii="宋体" w:hAnsi="宋体" w:eastAsia="宋体" w:cs="宋体"/>
          <w:b w:val="0"/>
          <w:bCs/>
          <w:sz w:val="24"/>
          <w:szCs w:val="24"/>
          <w:highlight w:val="none"/>
        </w:rPr>
        <w:t>见范本</w:t>
      </w:r>
    </w:p>
    <w:p w14:paraId="1B51A8FB">
      <w:pPr>
        <w:pBdr>
          <w:bottom w:val="single" w:color="auto" w:sz="6" w:space="1"/>
        </w:pBdr>
        <w:spacing w:line="360" w:lineRule="auto"/>
        <w:ind w:firstLine="540" w:firstLineChars="224"/>
        <w:rPr>
          <w:rFonts w:hint="eastAsia" w:ascii="宋体" w:hAnsi="宋体" w:eastAsia="宋体" w:cs="宋体"/>
          <w:b/>
          <w:sz w:val="24"/>
          <w:szCs w:val="24"/>
          <w:highlight w:val="none"/>
        </w:rPr>
      </w:pPr>
      <w:r>
        <w:rPr>
          <w:rFonts w:hint="eastAsia" w:ascii="宋体" w:hAnsi="宋体" w:eastAsia="宋体" w:cs="宋体"/>
          <w:b/>
          <w:sz w:val="24"/>
          <w:szCs w:val="24"/>
          <w:highlight w:val="none"/>
        </w:rPr>
        <w:t>现文：</w:t>
      </w:r>
      <w:r>
        <w:rPr>
          <w:rFonts w:hint="eastAsia" w:ascii="宋体" w:hAnsi="宋体" w:eastAsia="宋体" w:cs="宋体"/>
          <w:b w:val="0"/>
          <w:bCs/>
          <w:sz w:val="24"/>
          <w:szCs w:val="24"/>
          <w:highlight w:val="none"/>
        </w:rPr>
        <w:t>见后附（附表三《经济标有效性审查表》）</w:t>
      </w:r>
    </w:p>
    <w:p w14:paraId="5F133462">
      <w:pPr>
        <w:spacing w:line="360" w:lineRule="auto"/>
        <w:ind w:firstLine="540" w:firstLineChars="224"/>
        <w:rPr>
          <w:rFonts w:hint="eastAsia" w:ascii="宋体" w:hAnsi="宋体" w:eastAsia="宋体" w:cs="宋体"/>
          <w:b/>
          <w:sz w:val="24"/>
          <w:szCs w:val="24"/>
          <w:highlight w:val="none"/>
        </w:rPr>
      </w:pPr>
      <w:r>
        <w:rPr>
          <w:rFonts w:hint="eastAsia" w:ascii="宋体" w:hAnsi="宋体" w:eastAsia="宋体" w:cs="宋体"/>
          <w:b/>
          <w:sz w:val="24"/>
          <w:szCs w:val="24"/>
          <w:highlight w:val="none"/>
        </w:rPr>
        <w:t>条款号：附表四 《技术标详细审查评分表》                修改类型：修改</w:t>
      </w:r>
    </w:p>
    <w:p w14:paraId="1C7762B1">
      <w:pPr>
        <w:pBdr>
          <w:bottom w:val="single" w:color="auto" w:sz="6" w:space="1"/>
        </w:pBdr>
        <w:spacing w:line="360" w:lineRule="auto"/>
        <w:ind w:firstLine="540" w:firstLineChars="224"/>
        <w:rPr>
          <w:rFonts w:hint="eastAsia" w:ascii="宋体" w:hAnsi="宋体" w:eastAsia="宋体" w:cs="宋体"/>
          <w:b w:val="0"/>
          <w:bCs/>
          <w:sz w:val="24"/>
          <w:szCs w:val="24"/>
          <w:highlight w:val="none"/>
        </w:rPr>
      </w:pPr>
      <w:r>
        <w:rPr>
          <w:rFonts w:hint="eastAsia" w:ascii="宋体" w:hAnsi="宋体" w:eastAsia="宋体" w:cs="宋体"/>
          <w:b/>
          <w:sz w:val="24"/>
          <w:szCs w:val="24"/>
          <w:highlight w:val="none"/>
        </w:rPr>
        <w:t>原文：</w:t>
      </w:r>
      <w:r>
        <w:rPr>
          <w:rFonts w:hint="eastAsia" w:ascii="宋体" w:hAnsi="宋体" w:eastAsia="宋体" w:cs="宋体"/>
          <w:b w:val="0"/>
          <w:bCs/>
          <w:sz w:val="24"/>
          <w:szCs w:val="24"/>
          <w:highlight w:val="none"/>
        </w:rPr>
        <w:t>见范本</w:t>
      </w:r>
    </w:p>
    <w:p w14:paraId="57A0E00F">
      <w:pPr>
        <w:spacing w:line="360" w:lineRule="auto"/>
        <w:ind w:firstLine="540" w:firstLineChars="224"/>
        <w:rPr>
          <w:rFonts w:hint="eastAsia" w:ascii="宋体" w:hAnsi="宋体" w:eastAsia="宋体" w:cs="宋体"/>
          <w:b/>
          <w:sz w:val="24"/>
          <w:szCs w:val="24"/>
          <w:highlight w:val="none"/>
        </w:rPr>
      </w:pPr>
      <w:r>
        <w:rPr>
          <w:rFonts w:hint="eastAsia" w:ascii="宋体" w:hAnsi="宋体" w:eastAsia="宋体" w:cs="宋体"/>
          <w:b/>
          <w:sz w:val="24"/>
          <w:szCs w:val="24"/>
          <w:highlight w:val="none"/>
        </w:rPr>
        <w:t>条款号：附表五 《经济标评分表》                        修改类型：删除</w:t>
      </w:r>
    </w:p>
    <w:p w14:paraId="09888CCB">
      <w:pPr>
        <w:pBdr>
          <w:bottom w:val="single" w:color="auto" w:sz="6" w:space="1"/>
        </w:pBdr>
        <w:spacing w:line="360" w:lineRule="auto"/>
        <w:ind w:firstLine="540" w:firstLineChars="224"/>
        <w:rPr>
          <w:rFonts w:hint="eastAsia" w:ascii="宋体" w:hAnsi="宋体" w:eastAsia="宋体" w:cs="宋体"/>
          <w:b/>
          <w:sz w:val="24"/>
          <w:szCs w:val="24"/>
          <w:highlight w:val="none"/>
        </w:rPr>
      </w:pPr>
      <w:r>
        <w:rPr>
          <w:rFonts w:hint="eastAsia" w:ascii="宋体" w:hAnsi="宋体" w:eastAsia="宋体" w:cs="宋体"/>
          <w:b/>
          <w:sz w:val="24"/>
          <w:szCs w:val="24"/>
          <w:highlight w:val="none"/>
        </w:rPr>
        <w:t>原文：</w:t>
      </w:r>
      <w:r>
        <w:rPr>
          <w:rFonts w:hint="eastAsia" w:ascii="宋体" w:hAnsi="宋体" w:eastAsia="宋体" w:cs="宋体"/>
          <w:b w:val="0"/>
          <w:bCs/>
          <w:sz w:val="24"/>
          <w:szCs w:val="24"/>
          <w:highlight w:val="none"/>
        </w:rPr>
        <w:t>见范本</w:t>
      </w:r>
    </w:p>
    <w:p w14:paraId="507C5DE2">
      <w:pPr>
        <w:spacing w:line="360" w:lineRule="auto"/>
        <w:ind w:firstLine="540" w:firstLineChars="224"/>
        <w:rPr>
          <w:rFonts w:hint="eastAsia" w:ascii="宋体" w:hAnsi="宋体" w:eastAsia="宋体" w:cs="宋体"/>
          <w:b/>
          <w:sz w:val="24"/>
          <w:szCs w:val="24"/>
          <w:highlight w:val="none"/>
        </w:rPr>
      </w:pPr>
      <w:r>
        <w:rPr>
          <w:rFonts w:hint="eastAsia" w:ascii="宋体" w:hAnsi="宋体" w:eastAsia="宋体" w:cs="宋体"/>
          <w:b/>
          <w:sz w:val="24"/>
          <w:szCs w:val="24"/>
          <w:highlight w:val="none"/>
        </w:rPr>
        <w:t>条款号：附表</w:t>
      </w:r>
      <w:r>
        <w:rPr>
          <w:rFonts w:hint="eastAsia" w:ascii="宋体" w:hAnsi="宋体" w:eastAsia="宋体" w:cs="宋体"/>
          <w:b/>
          <w:sz w:val="24"/>
          <w:szCs w:val="24"/>
          <w:highlight w:val="none"/>
          <w:lang w:val="en-US" w:eastAsia="zh-CN"/>
        </w:rPr>
        <w:t>六</w:t>
      </w:r>
      <w:r>
        <w:rPr>
          <w:rFonts w:hint="eastAsia" w:ascii="宋体" w:hAnsi="宋体" w:eastAsia="宋体" w:cs="宋体"/>
          <w:b/>
          <w:sz w:val="24"/>
          <w:szCs w:val="24"/>
          <w:highlight w:val="none"/>
        </w:rPr>
        <w:t>《定标因素表（含附表）》                 修改类型：增加</w:t>
      </w:r>
    </w:p>
    <w:p w14:paraId="2E7084EF">
      <w:pPr>
        <w:pBdr>
          <w:bottom w:val="single" w:color="auto" w:sz="6" w:space="1"/>
        </w:pBdr>
        <w:spacing w:line="360" w:lineRule="auto"/>
        <w:ind w:firstLine="602" w:firstLineChars="250"/>
        <w:rPr>
          <w:color w:val="auto"/>
          <w:highlight w:val="none"/>
        </w:rPr>
      </w:pPr>
      <w:r>
        <w:rPr>
          <w:rFonts w:hint="eastAsia" w:ascii="宋体" w:hAnsi="宋体" w:eastAsia="宋体" w:cs="宋体"/>
          <w:b/>
          <w:sz w:val="24"/>
          <w:szCs w:val="24"/>
          <w:highlight w:val="none"/>
        </w:rPr>
        <w:t>现文：</w:t>
      </w:r>
      <w:r>
        <w:rPr>
          <w:rFonts w:hint="eastAsia" w:ascii="宋体" w:hAnsi="宋体" w:eastAsia="宋体" w:cs="宋体"/>
          <w:b w:val="0"/>
          <w:bCs/>
          <w:sz w:val="24"/>
          <w:szCs w:val="24"/>
          <w:highlight w:val="none"/>
        </w:rPr>
        <w:t>见后附（附表七《定标因素表（含附表）》）</w:t>
      </w:r>
    </w:p>
    <w:p w14:paraId="7B90026D">
      <w:pPr>
        <w:spacing w:line="360" w:lineRule="auto"/>
        <w:ind w:firstLine="211" w:firstLineChars="100"/>
        <w:rPr>
          <w:b/>
          <w:color w:val="auto"/>
          <w:szCs w:val="21"/>
          <w:highlight w:val="none"/>
        </w:rPr>
      </w:pPr>
      <w:r>
        <w:rPr>
          <w:rFonts w:hint="eastAsia"/>
          <w:b/>
          <w:color w:val="auto"/>
          <w:szCs w:val="21"/>
          <w:highlight w:val="none"/>
        </w:rPr>
        <w:t>注：以上修改，仅限于本范本中有可供选择条款的情形。</w:t>
      </w:r>
    </w:p>
    <w:p w14:paraId="6EB6ED7A">
      <w:pPr>
        <w:spacing w:line="360" w:lineRule="auto"/>
        <w:rPr>
          <w:color w:val="auto"/>
          <w:highlight w:val="none"/>
        </w:rPr>
      </w:pPr>
      <w:r>
        <w:rPr>
          <w:rFonts w:hint="eastAsia"/>
          <w:b/>
          <w:color w:val="auto"/>
          <w:szCs w:val="21"/>
          <w:highlight w:val="none"/>
        </w:rPr>
        <w:t>（以下无正文）</w:t>
      </w:r>
    </w:p>
    <w:p w14:paraId="5FF18757">
      <w:pPr>
        <w:pStyle w:val="10"/>
        <w:spacing w:line="360" w:lineRule="auto"/>
        <w:rPr>
          <w:color w:val="auto"/>
          <w:highlight w:val="none"/>
        </w:rPr>
      </w:pPr>
      <w:r>
        <w:rPr>
          <w:color w:val="auto"/>
          <w:highlight w:val="none"/>
        </w:rPr>
        <w:br w:type="page"/>
      </w:r>
    </w:p>
    <w:p w14:paraId="4E55343F">
      <w:pPr>
        <w:pStyle w:val="7"/>
        <w:bidi w:val="0"/>
        <w:rPr>
          <w:color w:val="auto"/>
          <w:highlight w:val="none"/>
        </w:rPr>
      </w:pPr>
      <w:bookmarkStart w:id="57" w:name="_Toc21525500"/>
      <w:bookmarkStart w:id="58" w:name="_Toc2272556"/>
      <w:bookmarkStart w:id="59" w:name="_Toc5116"/>
      <w:bookmarkStart w:id="60" w:name="_Toc9828"/>
      <w:r>
        <w:rPr>
          <w:rFonts w:hint="eastAsia"/>
          <w:color w:val="auto"/>
          <w:highlight w:val="none"/>
        </w:rPr>
        <w:t>二、开标、评标及定标办法通用条款</w:t>
      </w:r>
      <w:bookmarkEnd w:id="57"/>
      <w:bookmarkEnd w:id="58"/>
      <w:bookmarkEnd w:id="59"/>
      <w:bookmarkEnd w:id="60"/>
    </w:p>
    <w:p w14:paraId="580DD7D4">
      <w:pPr>
        <w:pStyle w:val="8"/>
        <w:bidi w:val="0"/>
        <w:ind w:firstLine="480" w:firstLineChars="200"/>
        <w:rPr>
          <w:rFonts w:hint="eastAsia"/>
          <w:color w:val="auto"/>
          <w:highlight w:val="none"/>
          <w:lang w:val="en-US" w:eastAsia="zh-CN"/>
        </w:rPr>
      </w:pPr>
      <w:bookmarkStart w:id="61" w:name="_Toc17461"/>
      <w:bookmarkStart w:id="62" w:name="_Toc26489"/>
      <w:r>
        <w:rPr>
          <w:rFonts w:hint="eastAsia"/>
          <w:color w:val="auto"/>
          <w:highlight w:val="none"/>
          <w:lang w:val="en-US" w:eastAsia="zh-CN"/>
        </w:rPr>
        <w:t>（一）总则</w:t>
      </w:r>
      <w:bookmarkEnd w:id="61"/>
    </w:p>
    <w:p w14:paraId="16241A94">
      <w:pPr>
        <w:bidi w:val="0"/>
        <w:spacing w:line="360" w:lineRule="auto"/>
        <w:ind w:firstLine="480" w:firstLineChars="200"/>
        <w:rPr>
          <w:rFonts w:hint="eastAsia" w:ascii="宋体" w:hAnsi="宋体" w:cs="Times New Roman"/>
          <w:color w:val="auto"/>
          <w:sz w:val="24"/>
          <w:szCs w:val="24"/>
          <w:highlight w:val="none"/>
        </w:rPr>
      </w:pPr>
      <w:r>
        <w:rPr>
          <w:rFonts w:hint="eastAsia" w:ascii="宋体" w:hAnsi="宋体" w:cs="Times New Roman"/>
          <w:color w:val="auto"/>
          <w:sz w:val="24"/>
          <w:szCs w:val="24"/>
          <w:highlight w:val="none"/>
          <w:lang w:val="en-US" w:eastAsia="zh-CN"/>
        </w:rPr>
        <w:t>35.</w:t>
      </w:r>
      <w:r>
        <w:rPr>
          <w:rFonts w:hint="eastAsia" w:ascii="宋体" w:hAnsi="宋体" w:cs="Times New Roman"/>
          <w:color w:val="auto"/>
          <w:sz w:val="24"/>
          <w:szCs w:val="24"/>
          <w:highlight w:val="none"/>
        </w:rPr>
        <w:t>开标、评标及定标所依据的规则</w:t>
      </w:r>
      <w:bookmarkEnd w:id="62"/>
    </w:p>
    <w:p w14:paraId="276AE08F">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lang w:val="en-US" w:eastAsia="zh-CN"/>
        </w:rPr>
        <w:t>35</w:t>
      </w:r>
      <w:r>
        <w:rPr>
          <w:rFonts w:hint="eastAsia" w:ascii="宋体" w:hAnsi="宋体"/>
          <w:color w:val="auto"/>
          <w:sz w:val="24"/>
          <w:szCs w:val="24"/>
          <w:highlight w:val="none"/>
        </w:rPr>
        <w:t>.1《中华人民共和国招标投标法》；</w:t>
      </w:r>
    </w:p>
    <w:p w14:paraId="0410C7BA">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lang w:val="en-US" w:eastAsia="zh-CN"/>
        </w:rPr>
        <w:t>35</w:t>
      </w:r>
      <w:r>
        <w:rPr>
          <w:rFonts w:ascii="宋体" w:hAnsi="宋体"/>
          <w:color w:val="auto"/>
          <w:sz w:val="24"/>
          <w:szCs w:val="24"/>
          <w:highlight w:val="none"/>
        </w:rPr>
        <w:t>.2</w:t>
      </w:r>
      <w:r>
        <w:rPr>
          <w:rFonts w:hint="eastAsia" w:ascii="宋体" w:hAnsi="宋体"/>
          <w:color w:val="auto"/>
          <w:sz w:val="24"/>
          <w:szCs w:val="24"/>
          <w:highlight w:val="none"/>
        </w:rPr>
        <w:t>《中华人民共和国招标投标法实施条例》；</w:t>
      </w:r>
    </w:p>
    <w:p w14:paraId="449D958D">
      <w:pPr>
        <w:spacing w:line="360" w:lineRule="auto"/>
        <w:ind w:firstLine="480" w:firstLineChars="200"/>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val="en-US" w:eastAsia="zh-CN"/>
        </w:rPr>
        <w:t>35</w:t>
      </w:r>
      <w:r>
        <w:rPr>
          <w:rFonts w:ascii="宋体" w:hAnsi="宋体"/>
          <w:color w:val="auto"/>
          <w:sz w:val="24"/>
          <w:szCs w:val="24"/>
          <w:highlight w:val="none"/>
        </w:rPr>
        <w:t>.3</w:t>
      </w:r>
      <w:r>
        <w:rPr>
          <w:rFonts w:hint="eastAsia" w:ascii="宋体" w:hAnsi="宋体"/>
          <w:color w:val="auto"/>
          <w:sz w:val="24"/>
          <w:szCs w:val="24"/>
          <w:highlight w:val="none"/>
        </w:rPr>
        <w:t>《评标委员会和评标方法暂行规定》（七部委第</w:t>
      </w:r>
      <w:r>
        <w:rPr>
          <w:rFonts w:ascii="宋体" w:hAnsi="宋体"/>
          <w:color w:val="auto"/>
          <w:sz w:val="24"/>
          <w:szCs w:val="24"/>
          <w:highlight w:val="none"/>
        </w:rPr>
        <w:t>12</w:t>
      </w:r>
      <w:r>
        <w:rPr>
          <w:rFonts w:hint="eastAsia" w:ascii="宋体" w:hAnsi="宋体"/>
          <w:color w:val="auto"/>
          <w:sz w:val="24"/>
          <w:szCs w:val="24"/>
          <w:highlight w:val="none"/>
        </w:rPr>
        <w:t>号令）</w:t>
      </w:r>
      <w:r>
        <w:rPr>
          <w:rFonts w:hint="eastAsia" w:ascii="宋体" w:hAnsi="宋体"/>
          <w:color w:val="auto"/>
          <w:sz w:val="24"/>
          <w:szCs w:val="24"/>
          <w:highlight w:val="none"/>
          <w:lang w:eastAsia="zh-CN"/>
        </w:rPr>
        <w:t>；</w:t>
      </w:r>
    </w:p>
    <w:p w14:paraId="4BD31A5B">
      <w:pPr>
        <w:spacing w:line="360" w:lineRule="auto"/>
        <w:ind w:firstLine="480" w:firstLineChars="200"/>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val="en-US" w:eastAsia="zh-CN"/>
        </w:rPr>
        <w:t>35</w:t>
      </w:r>
      <w:r>
        <w:rPr>
          <w:rFonts w:ascii="宋体" w:hAnsi="宋体"/>
          <w:color w:val="auto"/>
          <w:sz w:val="24"/>
          <w:szCs w:val="24"/>
          <w:highlight w:val="none"/>
        </w:rPr>
        <w:t>.4</w:t>
      </w:r>
      <w:r>
        <w:rPr>
          <w:rFonts w:hint="eastAsia" w:ascii="宋体" w:hAnsi="宋体"/>
          <w:color w:val="auto"/>
          <w:sz w:val="24"/>
          <w:szCs w:val="24"/>
          <w:highlight w:val="none"/>
        </w:rPr>
        <w:t>《工程建设项目施工招标投标办法》（七部委</w:t>
      </w:r>
      <w:r>
        <w:rPr>
          <w:rFonts w:ascii="宋体" w:hAnsi="宋体"/>
          <w:color w:val="auto"/>
          <w:sz w:val="24"/>
          <w:szCs w:val="24"/>
          <w:highlight w:val="none"/>
        </w:rPr>
        <w:t>2003</w:t>
      </w:r>
      <w:r>
        <w:rPr>
          <w:rFonts w:hint="eastAsia" w:ascii="宋体" w:hAnsi="宋体"/>
          <w:color w:val="auto"/>
          <w:sz w:val="24"/>
          <w:szCs w:val="24"/>
          <w:highlight w:val="none"/>
        </w:rPr>
        <w:t>年第</w:t>
      </w:r>
      <w:r>
        <w:rPr>
          <w:rFonts w:ascii="宋体" w:hAnsi="宋体"/>
          <w:color w:val="auto"/>
          <w:sz w:val="24"/>
          <w:szCs w:val="24"/>
          <w:highlight w:val="none"/>
        </w:rPr>
        <w:t>30</w:t>
      </w:r>
      <w:r>
        <w:rPr>
          <w:rFonts w:hint="eastAsia" w:ascii="宋体" w:hAnsi="宋体"/>
          <w:color w:val="auto"/>
          <w:sz w:val="24"/>
          <w:szCs w:val="24"/>
          <w:highlight w:val="none"/>
        </w:rPr>
        <w:t>号令）</w:t>
      </w:r>
      <w:r>
        <w:rPr>
          <w:rFonts w:hint="eastAsia" w:ascii="宋体" w:hAnsi="宋体"/>
          <w:color w:val="auto"/>
          <w:sz w:val="24"/>
          <w:szCs w:val="24"/>
          <w:highlight w:val="none"/>
          <w:lang w:eastAsia="zh-CN"/>
        </w:rPr>
        <w:t>；</w:t>
      </w:r>
    </w:p>
    <w:p w14:paraId="154B9CFF">
      <w:pPr>
        <w:spacing w:line="360" w:lineRule="auto"/>
        <w:ind w:firstLine="480" w:firstLineChars="200"/>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35</w:t>
      </w:r>
      <w:r>
        <w:rPr>
          <w:rFonts w:ascii="宋体" w:hAnsi="宋体"/>
          <w:color w:val="auto"/>
          <w:sz w:val="24"/>
          <w:szCs w:val="24"/>
          <w:highlight w:val="none"/>
        </w:rPr>
        <w:t>.5</w:t>
      </w:r>
      <w:r>
        <w:rPr>
          <w:rFonts w:hint="eastAsia" w:ascii="宋体" w:hAnsi="宋体"/>
          <w:color w:val="auto"/>
          <w:sz w:val="24"/>
          <w:szCs w:val="24"/>
          <w:highlight w:val="none"/>
          <w:lang w:eastAsia="zh-CN"/>
        </w:rPr>
        <w:t>《电子招标投标办法</w:t>
      </w:r>
      <w:r>
        <w:rPr>
          <w:rFonts w:hint="eastAsia" w:ascii="宋体" w:hAnsi="宋体"/>
          <w:color w:val="auto"/>
          <w:sz w:val="24"/>
          <w:szCs w:val="24"/>
          <w:highlight w:val="none"/>
          <w:lang w:val="en-US" w:eastAsia="zh-CN"/>
        </w:rPr>
        <w:t>》；</w:t>
      </w:r>
    </w:p>
    <w:p w14:paraId="7620AB51">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lang w:val="en-US" w:eastAsia="zh-CN"/>
        </w:rPr>
        <w:t>35.6</w:t>
      </w:r>
      <w:r>
        <w:rPr>
          <w:rFonts w:hint="eastAsia" w:ascii="宋体" w:hAnsi="宋体"/>
          <w:color w:val="auto"/>
          <w:sz w:val="24"/>
          <w:szCs w:val="24"/>
          <w:highlight w:val="none"/>
        </w:rPr>
        <w:t>《广东省实施〈中华人民共和国招标投标法〉办法》；</w:t>
      </w:r>
    </w:p>
    <w:p w14:paraId="21B8E823">
      <w:pPr>
        <w:spacing w:line="360" w:lineRule="auto"/>
        <w:ind w:firstLine="480" w:firstLineChars="200"/>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val="en-US" w:eastAsia="zh-CN"/>
        </w:rPr>
        <w:t>35</w:t>
      </w:r>
      <w:r>
        <w:rPr>
          <w:rFonts w:ascii="宋体" w:hAnsi="宋体"/>
          <w:color w:val="auto"/>
          <w:sz w:val="24"/>
          <w:szCs w:val="24"/>
          <w:highlight w:val="none"/>
        </w:rPr>
        <w:t>.</w:t>
      </w:r>
      <w:r>
        <w:rPr>
          <w:rFonts w:hint="eastAsia" w:ascii="宋体" w:hAnsi="宋体"/>
          <w:color w:val="auto"/>
          <w:sz w:val="24"/>
          <w:szCs w:val="24"/>
          <w:highlight w:val="none"/>
          <w:lang w:val="en-US" w:eastAsia="zh-CN"/>
        </w:rPr>
        <w:t>7</w:t>
      </w:r>
      <w:r>
        <w:rPr>
          <w:rFonts w:hint="eastAsia" w:ascii="宋体" w:hAnsi="宋体"/>
          <w:color w:val="auto"/>
          <w:sz w:val="24"/>
          <w:szCs w:val="24"/>
          <w:highlight w:val="none"/>
        </w:rPr>
        <w:t>《房屋建筑和市政基础设施工程施工招标投标管理办法》（建设部令第</w:t>
      </w:r>
      <w:r>
        <w:rPr>
          <w:rFonts w:ascii="宋体" w:hAnsi="宋体"/>
          <w:color w:val="auto"/>
          <w:sz w:val="24"/>
          <w:szCs w:val="24"/>
          <w:highlight w:val="none"/>
        </w:rPr>
        <w:t>89</w:t>
      </w:r>
      <w:r>
        <w:rPr>
          <w:rFonts w:hint="eastAsia" w:ascii="宋体" w:hAnsi="宋体"/>
          <w:color w:val="auto"/>
          <w:sz w:val="24"/>
          <w:szCs w:val="24"/>
          <w:highlight w:val="none"/>
        </w:rPr>
        <w:t>号）</w:t>
      </w:r>
      <w:r>
        <w:rPr>
          <w:rFonts w:hint="eastAsia" w:ascii="宋体" w:hAnsi="宋体"/>
          <w:color w:val="auto"/>
          <w:sz w:val="24"/>
          <w:szCs w:val="24"/>
          <w:highlight w:val="none"/>
          <w:lang w:eastAsia="zh-CN"/>
        </w:rPr>
        <w:t>；</w:t>
      </w:r>
    </w:p>
    <w:p w14:paraId="68869E13">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lang w:val="en-US" w:eastAsia="zh-CN"/>
        </w:rPr>
        <w:t>35</w:t>
      </w:r>
      <w:r>
        <w:rPr>
          <w:rFonts w:ascii="宋体" w:hAnsi="宋体"/>
          <w:color w:val="auto"/>
          <w:sz w:val="24"/>
          <w:szCs w:val="24"/>
          <w:highlight w:val="none"/>
        </w:rPr>
        <w:t>.</w:t>
      </w:r>
      <w:r>
        <w:rPr>
          <w:rFonts w:hint="eastAsia" w:ascii="宋体" w:hAnsi="宋体"/>
          <w:color w:val="auto"/>
          <w:sz w:val="24"/>
          <w:szCs w:val="24"/>
          <w:highlight w:val="none"/>
          <w:lang w:val="en-US" w:eastAsia="zh-CN"/>
        </w:rPr>
        <w:t>8</w:t>
      </w:r>
      <w:r>
        <w:rPr>
          <w:rFonts w:hint="eastAsia" w:ascii="宋体" w:hAnsi="宋体"/>
          <w:color w:val="auto"/>
          <w:sz w:val="24"/>
          <w:szCs w:val="24"/>
          <w:highlight w:val="none"/>
        </w:rPr>
        <w:t>《广东省加强建设工程招标投标监督管理的若干规定》（粤发[2004]4号）；</w:t>
      </w:r>
    </w:p>
    <w:p w14:paraId="46AE7F5F">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lang w:val="en-US" w:eastAsia="zh-CN"/>
        </w:rPr>
        <w:t>35</w:t>
      </w:r>
      <w:r>
        <w:rPr>
          <w:rFonts w:ascii="宋体" w:hAnsi="宋体"/>
          <w:color w:val="auto"/>
          <w:sz w:val="24"/>
          <w:szCs w:val="24"/>
          <w:highlight w:val="none"/>
        </w:rPr>
        <w:t>.</w:t>
      </w:r>
      <w:r>
        <w:rPr>
          <w:rFonts w:hint="eastAsia" w:ascii="宋体" w:hAnsi="宋体"/>
          <w:color w:val="auto"/>
          <w:sz w:val="24"/>
          <w:szCs w:val="24"/>
          <w:highlight w:val="none"/>
          <w:lang w:val="en-US" w:eastAsia="zh-CN"/>
        </w:rPr>
        <w:t>9</w:t>
      </w:r>
      <w:r>
        <w:rPr>
          <w:rFonts w:hint="eastAsia" w:ascii="宋体" w:hAnsi="宋体" w:eastAsia="宋体"/>
          <w:color w:val="auto"/>
          <w:sz w:val="24"/>
          <w:szCs w:val="24"/>
          <w:highlight w:val="none"/>
        </w:rPr>
        <w:t>《广州市工程建设项目招标投标管理办法》（穗建规字〔</w:t>
      </w:r>
      <w:r>
        <w:rPr>
          <w:rFonts w:ascii="宋体" w:hAnsi="宋体" w:eastAsia="宋体"/>
          <w:color w:val="auto"/>
          <w:sz w:val="24"/>
          <w:szCs w:val="24"/>
          <w:highlight w:val="none"/>
        </w:rPr>
        <w:t>2023</w:t>
      </w:r>
      <w:r>
        <w:rPr>
          <w:rFonts w:hint="eastAsia" w:ascii="宋体" w:hAnsi="宋体" w:eastAsia="宋体"/>
          <w:color w:val="auto"/>
          <w:sz w:val="24"/>
          <w:szCs w:val="24"/>
          <w:highlight w:val="none"/>
        </w:rPr>
        <w:t>〕</w:t>
      </w:r>
      <w:r>
        <w:rPr>
          <w:rFonts w:ascii="宋体" w:hAnsi="宋体" w:eastAsia="宋体"/>
          <w:color w:val="auto"/>
          <w:sz w:val="24"/>
          <w:szCs w:val="24"/>
          <w:highlight w:val="none"/>
        </w:rPr>
        <w:t>12</w:t>
      </w:r>
      <w:r>
        <w:rPr>
          <w:rFonts w:hint="eastAsia" w:ascii="宋体" w:hAnsi="宋体" w:eastAsia="宋体"/>
          <w:color w:val="auto"/>
          <w:sz w:val="24"/>
          <w:szCs w:val="24"/>
          <w:highlight w:val="none"/>
        </w:rPr>
        <w:t>号）</w:t>
      </w:r>
      <w:r>
        <w:rPr>
          <w:rFonts w:hint="eastAsia" w:ascii="宋体" w:hAnsi="宋体"/>
          <w:color w:val="auto"/>
          <w:sz w:val="24"/>
          <w:szCs w:val="24"/>
          <w:highlight w:val="none"/>
        </w:rPr>
        <w:t>。</w:t>
      </w:r>
    </w:p>
    <w:p w14:paraId="52B4D0A7">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lang w:val="en-US" w:eastAsia="zh-CN"/>
        </w:rPr>
        <w:t>35</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10</w:t>
      </w:r>
      <w:r>
        <w:rPr>
          <w:rFonts w:hint="eastAsia" w:ascii="宋体" w:hAnsi="宋体"/>
          <w:color w:val="auto"/>
          <w:sz w:val="24"/>
          <w:szCs w:val="24"/>
          <w:highlight w:val="none"/>
        </w:rPr>
        <w:t>本项目招标文件。</w:t>
      </w:r>
    </w:p>
    <w:p w14:paraId="3AD89196">
      <w:pPr>
        <w:bidi w:val="0"/>
        <w:spacing w:line="360" w:lineRule="auto"/>
        <w:ind w:firstLine="480" w:firstLineChars="200"/>
        <w:rPr>
          <w:rFonts w:hint="eastAsia" w:ascii="宋体" w:hAnsi="宋体" w:cs="Times New Roman"/>
          <w:color w:val="auto"/>
          <w:sz w:val="24"/>
          <w:szCs w:val="24"/>
          <w:highlight w:val="none"/>
        </w:rPr>
      </w:pPr>
      <w:bookmarkStart w:id="63" w:name="_Toc1310"/>
      <w:r>
        <w:rPr>
          <w:rFonts w:hint="eastAsia" w:ascii="宋体" w:hAnsi="宋体" w:cs="Times New Roman"/>
          <w:color w:val="auto"/>
          <w:sz w:val="24"/>
          <w:szCs w:val="24"/>
          <w:highlight w:val="none"/>
          <w:lang w:val="en-US" w:eastAsia="zh-CN"/>
        </w:rPr>
        <w:t>36</w:t>
      </w:r>
      <w:r>
        <w:rPr>
          <w:rFonts w:hint="eastAsia" w:ascii="宋体" w:hAnsi="宋体" w:cs="Times New Roman"/>
          <w:color w:val="auto"/>
          <w:sz w:val="24"/>
          <w:szCs w:val="24"/>
          <w:highlight w:val="none"/>
        </w:rPr>
        <w:t>．开标</w:t>
      </w:r>
      <w:bookmarkEnd w:id="63"/>
    </w:p>
    <w:p w14:paraId="67AB072E">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36.1 招标人按投标须知前附表第18项所规定的时间和地点</w:t>
      </w:r>
      <w:r>
        <w:rPr>
          <w:rFonts w:hint="eastAsia" w:ascii="宋体" w:hAnsi="宋体"/>
          <w:color w:val="auto"/>
          <w:sz w:val="24"/>
          <w:szCs w:val="24"/>
          <w:highlight w:val="none"/>
          <w:lang w:eastAsia="zh-CN"/>
        </w:rPr>
        <w:t>通过电子招标投标交易平台</w:t>
      </w:r>
      <w:r>
        <w:rPr>
          <w:rFonts w:hint="eastAsia" w:ascii="宋体" w:hAnsi="宋体"/>
          <w:color w:val="auto"/>
          <w:sz w:val="24"/>
          <w:szCs w:val="24"/>
          <w:highlight w:val="none"/>
        </w:rPr>
        <w:t>公开开标，并邀请所有投标人参加</w:t>
      </w:r>
      <w:r>
        <w:rPr>
          <w:rFonts w:hint="eastAsia" w:ascii="宋体" w:hAnsi="宋体"/>
          <w:color w:val="auto"/>
          <w:sz w:val="24"/>
          <w:szCs w:val="24"/>
          <w:highlight w:val="none"/>
          <w:lang w:eastAsia="zh-CN"/>
        </w:rPr>
        <w:t>，投标人可选择在开标室参加开标或准时在线参加开标，也可以不参加开标，均不影响开标程序</w:t>
      </w:r>
      <w:r>
        <w:rPr>
          <w:rFonts w:hint="eastAsia" w:ascii="宋体" w:hAnsi="宋体"/>
          <w:color w:val="auto"/>
          <w:sz w:val="24"/>
          <w:szCs w:val="24"/>
          <w:highlight w:val="none"/>
        </w:rPr>
        <w:t>。</w:t>
      </w:r>
      <w:r>
        <w:rPr>
          <w:rFonts w:hint="eastAsia"/>
          <w:color w:val="auto"/>
          <w:sz w:val="24"/>
          <w:highlight w:val="none"/>
        </w:rPr>
        <w:t>投标人不派代表</w:t>
      </w:r>
      <w:r>
        <w:rPr>
          <w:rFonts w:hint="eastAsia"/>
          <w:color w:val="auto"/>
          <w:sz w:val="24"/>
          <w:highlight w:val="none"/>
          <w:lang w:eastAsia="zh-CN"/>
        </w:rPr>
        <w:t>参加</w:t>
      </w:r>
      <w:r>
        <w:rPr>
          <w:rFonts w:hint="eastAsia"/>
          <w:color w:val="auto"/>
          <w:sz w:val="24"/>
          <w:highlight w:val="none"/>
        </w:rPr>
        <w:t>开标会，则视其为放弃参与开标的权利，认可开标结果。</w:t>
      </w:r>
      <w:r>
        <w:rPr>
          <w:rFonts w:hint="eastAsia" w:ascii="宋体" w:hAnsi="宋体"/>
          <w:color w:val="auto"/>
          <w:sz w:val="24"/>
          <w:szCs w:val="24"/>
          <w:highlight w:val="none"/>
        </w:rPr>
        <w:t>截标后，开标开始时间因故推迟的，相关评标信息仍以原定的开标开始时间的信息为准。</w:t>
      </w:r>
    </w:p>
    <w:p w14:paraId="22CE499B">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36.2</w:t>
      </w:r>
      <w:r>
        <w:rPr>
          <w:rFonts w:hint="eastAsia" w:ascii="宋体" w:hAnsi="宋体"/>
          <w:color w:val="auto"/>
          <w:sz w:val="24"/>
          <w:szCs w:val="24"/>
          <w:highlight w:val="none"/>
        </w:rPr>
        <w:t xml:space="preserve"> 招标人在招标文件要求提交投标文件的截止时间前收到的投标文件，开标时都当众予以解密、公布。</w:t>
      </w:r>
    </w:p>
    <w:p w14:paraId="52D8321B">
      <w:pPr>
        <w:spacing w:line="360" w:lineRule="auto"/>
        <w:ind w:firstLine="480" w:firstLineChars="200"/>
        <w:rPr>
          <w:rFonts w:ascii="宋体" w:hAnsi="宋体"/>
          <w:color w:val="auto"/>
          <w:sz w:val="24"/>
          <w:szCs w:val="24"/>
          <w:highlight w:val="none"/>
        </w:rPr>
      </w:pPr>
      <w:r>
        <w:rPr>
          <w:rFonts w:hint="eastAsia" w:ascii="宋体" w:hAnsi="宋体"/>
          <w:strike/>
          <w:color w:val="auto"/>
          <w:sz w:val="24"/>
          <w:szCs w:val="24"/>
          <w:highlight w:val="none"/>
        </w:rPr>
        <w:t>36.3根据投标须知前附表第19项，如需抽取某一种评标办法供评标时使用的，</w:t>
      </w:r>
      <w:r>
        <w:rPr>
          <w:rFonts w:hint="eastAsia" w:ascii="宋体" w:hAnsi="宋体"/>
          <w:strike/>
          <w:color w:val="auto"/>
          <w:sz w:val="24"/>
          <w:szCs w:val="24"/>
          <w:highlight w:val="none"/>
          <w:lang w:val="en-US" w:eastAsia="zh-CN"/>
        </w:rPr>
        <w:t>可</w:t>
      </w:r>
      <w:r>
        <w:rPr>
          <w:rFonts w:hint="eastAsia" w:ascii="宋体" w:hAnsi="宋体"/>
          <w:strike/>
          <w:color w:val="auto"/>
          <w:sz w:val="24"/>
          <w:szCs w:val="24"/>
          <w:highlight w:val="none"/>
        </w:rPr>
        <w:t>在开标</w:t>
      </w:r>
      <w:r>
        <w:rPr>
          <w:rFonts w:hint="eastAsia" w:ascii="宋体" w:hAnsi="宋体"/>
          <w:strike/>
          <w:color w:val="auto"/>
          <w:sz w:val="24"/>
          <w:szCs w:val="24"/>
          <w:highlight w:val="none"/>
          <w:lang w:val="en-US" w:eastAsia="zh-CN"/>
        </w:rPr>
        <w:t>时（唱标工作完成后）</w:t>
      </w:r>
      <w:r>
        <w:rPr>
          <w:rFonts w:hint="eastAsia" w:ascii="宋体" w:hAnsi="宋体"/>
          <w:strike/>
          <w:color w:val="auto"/>
          <w:sz w:val="24"/>
          <w:szCs w:val="24"/>
          <w:highlight w:val="none"/>
        </w:rPr>
        <w:t>抽取。首先对招标文件中约定的若干种评标方法进行编号，再随机抽取某一编号，该编号所对应的评标办法供评标时使用。</w:t>
      </w:r>
    </w:p>
    <w:p w14:paraId="23E6095E">
      <w:pPr>
        <w:spacing w:line="360" w:lineRule="auto"/>
        <w:ind w:firstLine="480" w:firstLineChars="200"/>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36.4若递交投标文件的投标人不足3家，则重新组织招标。（当</w:t>
      </w:r>
      <w:r>
        <w:rPr>
          <w:rFonts w:ascii="宋体" w:hAnsi="宋体"/>
          <w:color w:val="auto"/>
          <w:sz w:val="24"/>
          <w:szCs w:val="24"/>
          <w:highlight w:val="none"/>
        </w:rPr>
        <w:t>N</w:t>
      </w:r>
      <w:r>
        <w:rPr>
          <w:rFonts w:hint="eastAsia" w:ascii="宋体" w:hAnsi="宋体"/>
          <w:color w:val="auto"/>
          <w:sz w:val="24"/>
          <w:szCs w:val="24"/>
          <w:highlight w:val="none"/>
        </w:rPr>
        <w:t>个标段同时招标且不允许兼中时，若有效投标人不足</w:t>
      </w:r>
      <w:r>
        <w:rPr>
          <w:rFonts w:ascii="宋体" w:hAnsi="宋体"/>
          <w:color w:val="auto"/>
          <w:sz w:val="24"/>
          <w:szCs w:val="24"/>
          <w:highlight w:val="none"/>
        </w:rPr>
        <w:t>N+</w:t>
      </w:r>
      <w:r>
        <w:rPr>
          <w:rFonts w:hint="eastAsia" w:ascii="宋体" w:hAnsi="宋体"/>
          <w:color w:val="auto"/>
          <w:sz w:val="24"/>
          <w:szCs w:val="24"/>
          <w:highlight w:val="none"/>
        </w:rPr>
        <w:t>2家，则重新组织招标）</w:t>
      </w:r>
      <w:r>
        <w:rPr>
          <w:rFonts w:hint="eastAsia" w:ascii="宋体" w:hAnsi="宋体"/>
          <w:color w:val="auto"/>
          <w:sz w:val="24"/>
          <w:szCs w:val="24"/>
          <w:highlight w:val="none"/>
          <w:lang w:eastAsia="zh-CN"/>
        </w:rPr>
        <w:t>。</w:t>
      </w:r>
    </w:p>
    <w:p w14:paraId="7ADE61C0">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36.5按下列程序进行开标：</w:t>
      </w:r>
    </w:p>
    <w:p w14:paraId="381D54FF">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36.5.1在投标截止时间后</w:t>
      </w:r>
      <w:r>
        <w:rPr>
          <w:rFonts w:hint="eastAsia" w:ascii="宋体" w:hAnsi="宋体"/>
          <w:color w:val="auto"/>
          <w:sz w:val="24"/>
          <w:highlight w:val="none"/>
          <w:u w:val="single"/>
          <w:lang w:val="en-US" w:eastAsia="zh-CN"/>
        </w:rPr>
        <w:t>1</w:t>
      </w:r>
      <w:r>
        <w:rPr>
          <w:rFonts w:hint="eastAsia" w:ascii="宋体" w:hAnsi="宋体"/>
          <w:color w:val="auto"/>
          <w:sz w:val="24"/>
          <w:highlight w:val="none"/>
        </w:rPr>
        <w:t>小时内，投标人通过</w:t>
      </w:r>
      <w:r>
        <w:rPr>
          <w:rFonts w:hint="eastAsia" w:ascii="宋体" w:hAnsi="宋体" w:cs="宋体"/>
          <w:b/>
          <w:bCs/>
          <w:sz w:val="24"/>
          <w:szCs w:val="24"/>
          <w:highlight w:val="none"/>
          <w:u w:val="single"/>
        </w:rPr>
        <w:t>广州交易集团有限公司（广州公共资源交易中心）</w:t>
      </w:r>
      <w:r>
        <w:rPr>
          <w:rFonts w:hint="eastAsia" w:ascii="宋体" w:hAnsi="宋体"/>
          <w:color w:val="auto"/>
          <w:sz w:val="24"/>
          <w:highlight w:val="none"/>
        </w:rPr>
        <w:t>交易平台对已递交的电子投标文件进行解密。投标人完成解密后，再由招标人进行解密。解密完成后，公布招标项目名称、投标人名称、投标保证金的递交情况、投标报价、工期及其他内容；</w:t>
      </w:r>
    </w:p>
    <w:p w14:paraId="1E04F726">
      <w:pPr>
        <w:tabs>
          <w:tab w:val="left" w:pos="105"/>
        </w:tabs>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36.5.2备用光盘的读取按投标须知前附表第3</w:t>
      </w:r>
      <w:r>
        <w:rPr>
          <w:rFonts w:hint="eastAsia" w:ascii="宋体" w:hAnsi="宋体"/>
          <w:color w:val="auto"/>
          <w:sz w:val="24"/>
          <w:highlight w:val="none"/>
          <w:lang w:val="en-US" w:eastAsia="zh-CN"/>
        </w:rPr>
        <w:t>5</w:t>
      </w:r>
      <w:r>
        <w:rPr>
          <w:rFonts w:hint="eastAsia" w:ascii="宋体" w:hAnsi="宋体"/>
          <w:color w:val="auto"/>
          <w:sz w:val="24"/>
          <w:highlight w:val="none"/>
        </w:rPr>
        <w:t>项的规定执行；</w:t>
      </w:r>
    </w:p>
    <w:p w14:paraId="3955614D">
      <w:pPr>
        <w:spacing w:line="360" w:lineRule="auto"/>
        <w:ind w:firstLine="480" w:firstLineChars="200"/>
        <w:rPr>
          <w:rFonts w:ascii="宋体" w:hAnsi="宋体"/>
          <w:color w:val="auto"/>
          <w:sz w:val="24"/>
          <w:highlight w:val="none"/>
        </w:rPr>
      </w:pPr>
      <w:bookmarkStart w:id="64" w:name="_Toc501"/>
      <w:r>
        <w:rPr>
          <w:rFonts w:hint="eastAsia" w:ascii="宋体" w:hAnsi="宋体"/>
          <w:color w:val="auto"/>
          <w:sz w:val="24"/>
          <w:highlight w:val="none"/>
        </w:rPr>
        <w:t>36.5.</w:t>
      </w:r>
      <w:r>
        <w:rPr>
          <w:rFonts w:hint="eastAsia" w:ascii="宋体" w:hAnsi="宋体"/>
          <w:color w:val="auto"/>
          <w:sz w:val="24"/>
          <w:highlight w:val="none"/>
          <w:lang w:val="en-US" w:eastAsia="zh-CN"/>
        </w:rPr>
        <w:t>3</w:t>
      </w:r>
      <w:r>
        <w:rPr>
          <w:rFonts w:hint="eastAsia" w:ascii="宋体" w:hAnsi="宋体"/>
          <w:color w:val="auto"/>
          <w:sz w:val="24"/>
          <w:highlight w:val="none"/>
        </w:rPr>
        <w:t>投标人代表、招标人代表、监标人、记录人等有关人员在开标记录上签字确认；若有关人员不签字的，不影响开标程序；</w:t>
      </w:r>
    </w:p>
    <w:p w14:paraId="2938641A">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36.5.</w:t>
      </w:r>
      <w:r>
        <w:rPr>
          <w:rFonts w:hint="eastAsia" w:ascii="宋体" w:hAnsi="宋体"/>
          <w:color w:val="auto"/>
          <w:sz w:val="24"/>
          <w:highlight w:val="none"/>
          <w:lang w:val="en-US" w:eastAsia="zh-CN"/>
        </w:rPr>
        <w:t>6</w:t>
      </w:r>
      <w:r>
        <w:rPr>
          <w:rFonts w:hint="eastAsia" w:ascii="宋体" w:hAnsi="宋体"/>
          <w:color w:val="auto"/>
          <w:sz w:val="24"/>
          <w:highlight w:val="none"/>
        </w:rPr>
        <w:t>开标结束。</w:t>
      </w:r>
    </w:p>
    <w:p w14:paraId="53551DB7">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36.6投标截止时间前未完成投标文件传输的或因投标人之外的原因造成投标文件未解密且未按要求递交备用光盘的，视为投标人撤回投标文件。因投标人原因造成投标文件未解密或未在规定的时间内解密的，视为撤销其投标文件。</w:t>
      </w:r>
    </w:p>
    <w:p w14:paraId="1FC009BC">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36.7开标时，两个（含两个）以上的投标人加密打包投标文件电脑机器特征码一致的，由评标委员会否决其投标。</w:t>
      </w:r>
    </w:p>
    <w:p w14:paraId="6DAEB9B5">
      <w:pPr>
        <w:pStyle w:val="20"/>
        <w:ind w:firstLine="480"/>
        <w:rPr>
          <w:rFonts w:hint="eastAsia" w:hAnsi="宋体"/>
          <w:color w:val="auto"/>
          <w:sz w:val="24"/>
          <w:highlight w:val="none"/>
          <w:lang w:val="en-US" w:eastAsia="zh-CN"/>
        </w:rPr>
      </w:pPr>
      <w:r>
        <w:rPr>
          <w:rFonts w:hint="eastAsia" w:hAnsi="宋体"/>
          <w:color w:val="auto"/>
          <w:sz w:val="24"/>
          <w:highlight w:val="none"/>
          <w:lang w:val="en-US" w:eastAsia="zh-CN"/>
        </w:rPr>
        <w:t>36.8开标异议</w:t>
      </w:r>
    </w:p>
    <w:p w14:paraId="4785254A">
      <w:pPr>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36.8.1</w:t>
      </w:r>
      <w:r>
        <w:rPr>
          <w:rFonts w:hint="eastAsia" w:ascii="宋体" w:hAnsi="宋体" w:eastAsia="宋体" w:cs="Times New Roman"/>
          <w:color w:val="auto"/>
          <w:sz w:val="24"/>
          <w:highlight w:val="none"/>
        </w:rPr>
        <w:t>参加现场开标的投标人对开标结果有异议的，应当在开标现场提出，该投标人代表须同时出示本人身份证原件，招标人应当当场作出答复，并制作记录。</w:t>
      </w:r>
    </w:p>
    <w:p w14:paraId="01BBF7B5">
      <w:pPr>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36.8.2</w:t>
      </w:r>
      <w:r>
        <w:rPr>
          <w:rFonts w:hint="eastAsia" w:ascii="宋体" w:hAnsi="宋体" w:eastAsia="宋体" w:cs="Times New Roman"/>
          <w:color w:val="auto"/>
          <w:sz w:val="24"/>
          <w:highlight w:val="none"/>
        </w:rPr>
        <w:t>参加在线开标的投标人对开标结果有异议的，应当在唱标结束后的规定时间内、使用单位数字证书登录电子招标投标交易平台后通过电子招标投标交易平台提出。招标人授权招标代理机构工作人员使用招标代理机构数字证书登录电子招标投标交易平台答复异议，异议答复是招标人真实意思表示。未答复的，开标程序不得结束。</w:t>
      </w:r>
    </w:p>
    <w:p w14:paraId="05B1C8F0">
      <w:pPr>
        <w:pStyle w:val="20"/>
        <w:spacing w:line="360" w:lineRule="auto"/>
        <w:ind w:firstLine="480"/>
        <w:rPr>
          <w:rFonts w:hint="eastAsia"/>
          <w:color w:val="auto"/>
          <w:sz w:val="24"/>
          <w:highlight w:val="none"/>
          <w:lang w:eastAsia="zh-CN"/>
        </w:rPr>
      </w:pPr>
      <w:r>
        <w:rPr>
          <w:rFonts w:hint="eastAsia" w:ascii="宋体" w:hAnsi="宋体" w:eastAsia="宋体" w:cs="Times New Roman"/>
          <w:color w:val="auto"/>
          <w:sz w:val="24"/>
          <w:highlight w:val="none"/>
          <w:lang w:val="en-US" w:eastAsia="zh-CN"/>
        </w:rPr>
        <w:t>36.8.3</w:t>
      </w:r>
      <w:r>
        <w:rPr>
          <w:rFonts w:hint="eastAsia" w:ascii="宋体" w:hAnsi="宋体" w:cs="宋体"/>
          <w:color w:val="auto"/>
          <w:kern w:val="0"/>
          <w:sz w:val="24"/>
          <w:szCs w:val="24"/>
          <w:highlight w:val="none"/>
        </w:rPr>
        <w:t>对开标的异议，招标人应当当场作出答复并予以书面记录，异议成立的，招标人应当及时采取纠正措施，或者提交评标委员会评审确认；异议不成立的，招标人应当当场给予解释说明。</w:t>
      </w:r>
      <w:r>
        <w:rPr>
          <w:rFonts w:hint="eastAsia"/>
          <w:color w:val="auto"/>
          <w:sz w:val="24"/>
          <w:highlight w:val="none"/>
          <w:lang w:eastAsia="zh-CN"/>
        </w:rPr>
        <w:t>投标人未参加开标或在规定的时间内未提出异议的，视为对开标无异议。</w:t>
      </w:r>
      <w:bookmarkEnd w:id="64"/>
    </w:p>
    <w:p w14:paraId="6F53C339">
      <w:pPr>
        <w:pStyle w:val="20"/>
        <w:spacing w:line="360" w:lineRule="auto"/>
        <w:ind w:firstLine="480"/>
        <w:rPr>
          <w:rFonts w:hint="eastAsia" w:ascii="宋体" w:hAnsi="宋体" w:eastAsia="宋体" w:cs="宋体"/>
          <w:color w:val="auto"/>
          <w:kern w:val="0"/>
          <w:sz w:val="24"/>
          <w:szCs w:val="24"/>
          <w:highlight w:val="none"/>
          <w:lang w:val="en-US" w:eastAsia="zh-CN"/>
        </w:rPr>
      </w:pPr>
      <w:r>
        <w:rPr>
          <w:rFonts w:hint="eastAsia"/>
          <w:color w:val="auto"/>
          <w:sz w:val="24"/>
          <w:highlight w:val="none"/>
          <w:lang w:val="en-US" w:eastAsia="zh-CN"/>
        </w:rPr>
        <w:t>36.8.4</w:t>
      </w:r>
      <w:r>
        <w:rPr>
          <w:rFonts w:hint="eastAsia" w:ascii="宋体" w:hAnsi="宋体" w:cs="宋体"/>
          <w:color w:val="auto"/>
          <w:kern w:val="0"/>
          <w:sz w:val="24"/>
          <w:szCs w:val="24"/>
          <w:highlight w:val="none"/>
        </w:rPr>
        <w:t>招标人应当按照同一异议提起人一份记录的方式，对异议事项的处理应逐条进行书面记录，并由异议提起人、招标人签名确认。书面记录含义应清晰而明确，包括但不限于纠正的措施、解释说明的内容、相关依据等</w:t>
      </w:r>
      <w:r>
        <w:rPr>
          <w:rFonts w:hint="eastAsia" w:ascii="宋体" w:hAnsi="宋体" w:cs="宋体"/>
          <w:color w:val="auto"/>
          <w:kern w:val="0"/>
          <w:sz w:val="24"/>
          <w:szCs w:val="24"/>
          <w:highlight w:val="none"/>
          <w:lang w:eastAsia="zh-CN"/>
        </w:rPr>
        <w:t>。</w:t>
      </w:r>
    </w:p>
    <w:p w14:paraId="3E26ABAF">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rPr>
        <w:t>．评标</w:t>
      </w:r>
    </w:p>
    <w:p w14:paraId="3D2BC6CC">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37.1</w:t>
      </w:r>
      <w:r>
        <w:rPr>
          <w:rFonts w:hint="eastAsia" w:ascii="宋体" w:hAnsi="宋体"/>
          <w:color w:val="auto"/>
          <w:sz w:val="24"/>
          <w:highlight w:val="none"/>
        </w:rPr>
        <w:t>评标由招标人依法组建的评标委员会负责。评标委员会由有关技术、经济等方面的专家和招标人代表组成，专家</w:t>
      </w:r>
      <w:r>
        <w:rPr>
          <w:rFonts w:hint="eastAsia" w:ascii="宋体" w:hAnsi="宋体"/>
          <w:color w:val="auto"/>
          <w:sz w:val="24"/>
          <w:highlight w:val="none"/>
          <w:lang w:eastAsia="zh-CN"/>
        </w:rPr>
        <w:t>从广东省综合评标评审</w:t>
      </w:r>
      <w:r>
        <w:rPr>
          <w:rFonts w:hint="eastAsia" w:ascii="宋体" w:hAnsi="宋体"/>
          <w:color w:val="auto"/>
          <w:sz w:val="24"/>
          <w:highlight w:val="none"/>
        </w:rPr>
        <w:t>专家库中抽取或按远程异地评标专家抽取相关规定组建。评标委员会成员人数以及技术、经济等方面专家的确定方式见投标人须知前附表</w:t>
      </w:r>
      <w:r>
        <w:rPr>
          <w:rFonts w:hint="eastAsia" w:ascii="宋体" w:hAnsi="宋体"/>
          <w:color w:val="auto"/>
          <w:sz w:val="24"/>
          <w:highlight w:val="none"/>
          <w:lang w:eastAsia="zh-CN"/>
        </w:rPr>
        <w:t>第</w:t>
      </w:r>
      <w:r>
        <w:rPr>
          <w:rFonts w:hint="eastAsia" w:ascii="宋体" w:hAnsi="宋体"/>
          <w:color w:val="auto"/>
          <w:sz w:val="24"/>
          <w:highlight w:val="none"/>
          <w:lang w:val="en-US" w:eastAsia="zh-CN"/>
        </w:rPr>
        <w:t>30项</w:t>
      </w:r>
      <w:r>
        <w:rPr>
          <w:rFonts w:hint="eastAsia" w:ascii="宋体" w:hAnsi="宋体"/>
          <w:color w:val="auto"/>
          <w:sz w:val="24"/>
          <w:szCs w:val="24"/>
          <w:highlight w:val="none"/>
        </w:rPr>
        <w:t>。</w:t>
      </w:r>
    </w:p>
    <w:p w14:paraId="7FF114B8">
      <w:pPr>
        <w:spacing w:line="360" w:lineRule="auto"/>
        <w:ind w:firstLine="482" w:firstLineChars="200"/>
        <w:rPr>
          <w:rFonts w:ascii="宋体" w:hAnsi="宋体"/>
          <w:b/>
          <w:bCs/>
          <w:color w:val="auto"/>
          <w:sz w:val="24"/>
          <w:szCs w:val="24"/>
          <w:highlight w:val="none"/>
          <w:u w:val="single"/>
        </w:rPr>
      </w:pPr>
      <w:r>
        <w:rPr>
          <w:rFonts w:hint="eastAsia" w:ascii="宋体" w:hAnsi="宋体"/>
          <w:b/>
          <w:bCs/>
          <w:color w:val="auto"/>
          <w:sz w:val="24"/>
          <w:szCs w:val="24"/>
          <w:highlight w:val="none"/>
          <w:u w:val="single"/>
        </w:rPr>
        <w:t>37.1.1评标委员会在开始评标前，应了解评标专家的职责及守则，认真阅读招标公告附件二《评标委员会成员声明》的内容并签名，签字后方可进行评标。</w:t>
      </w:r>
    </w:p>
    <w:p w14:paraId="6368E6E0">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lang w:val="en-US" w:eastAsia="zh-CN"/>
        </w:rPr>
        <w:t>37.2</w:t>
      </w:r>
      <w:r>
        <w:rPr>
          <w:rFonts w:hint="eastAsia" w:ascii="宋体" w:hAnsi="宋体"/>
          <w:color w:val="auto"/>
          <w:sz w:val="24"/>
          <w:highlight w:val="none"/>
        </w:rPr>
        <w:t>评标委员会成员有下列情形之一的，应当回避：</w:t>
      </w:r>
    </w:p>
    <w:p w14:paraId="470B2BD2">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（1）招标人或投标人的主要负责人的近亲属；</w:t>
      </w:r>
    </w:p>
    <w:p w14:paraId="7BF40860">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（2）项目主管部门或者行政监督部门的人员；</w:t>
      </w:r>
    </w:p>
    <w:p w14:paraId="2B0189B4">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3</w:t>
      </w:r>
      <w:r>
        <w:rPr>
          <w:rFonts w:hint="eastAsia" w:ascii="宋体" w:hAnsi="宋体"/>
          <w:color w:val="auto"/>
          <w:sz w:val="24"/>
          <w:highlight w:val="none"/>
          <w:lang w:eastAsia="zh-CN"/>
        </w:rPr>
        <w:t>）</w:t>
      </w:r>
      <w:r>
        <w:rPr>
          <w:rFonts w:hint="eastAsia" w:ascii="宋体" w:hAnsi="宋体"/>
          <w:color w:val="auto"/>
          <w:sz w:val="24"/>
          <w:highlight w:val="none"/>
        </w:rPr>
        <w:t>招标人</w:t>
      </w:r>
      <w:r>
        <w:rPr>
          <w:rFonts w:hint="eastAsia" w:ascii="宋体" w:hAnsi="宋体"/>
          <w:color w:val="auto"/>
          <w:sz w:val="24"/>
          <w:highlight w:val="none"/>
          <w:lang w:val="en-US" w:eastAsia="zh-CN"/>
        </w:rPr>
        <w:t>或</w:t>
      </w:r>
      <w:r>
        <w:rPr>
          <w:rFonts w:hint="eastAsia" w:ascii="宋体" w:hAnsi="宋体"/>
          <w:color w:val="auto"/>
          <w:sz w:val="24"/>
          <w:highlight w:val="none"/>
        </w:rPr>
        <w:t>投标人的工作人员、退休或离职未满3年的人员；</w:t>
      </w:r>
    </w:p>
    <w:p w14:paraId="4F0A19CF">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4</w:t>
      </w:r>
      <w:r>
        <w:rPr>
          <w:rFonts w:hint="eastAsia" w:ascii="宋体" w:hAnsi="宋体"/>
          <w:color w:val="auto"/>
          <w:sz w:val="24"/>
          <w:highlight w:val="none"/>
        </w:rPr>
        <w:t>）与投标人有经济利益关系，可能影响对投标公正评审的；</w:t>
      </w:r>
    </w:p>
    <w:p w14:paraId="0F56950D">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5</w:t>
      </w:r>
      <w:r>
        <w:rPr>
          <w:rFonts w:hint="eastAsia" w:ascii="宋体" w:hAnsi="宋体"/>
          <w:color w:val="auto"/>
          <w:sz w:val="24"/>
          <w:highlight w:val="none"/>
        </w:rPr>
        <w:t>）曾因在招标、评标以及其他与招标投标有关活动中从事违法行为而受过行政处罚或刑事处罚的。</w:t>
      </w:r>
    </w:p>
    <w:p w14:paraId="538DF919">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6</w:t>
      </w:r>
      <w:r>
        <w:rPr>
          <w:rFonts w:hint="eastAsia" w:ascii="宋体" w:hAnsi="宋体"/>
          <w:color w:val="auto"/>
          <w:sz w:val="24"/>
          <w:highlight w:val="none"/>
        </w:rPr>
        <w:t>）与投标人有其他利害关系。</w:t>
      </w:r>
    </w:p>
    <w:p w14:paraId="5D4284AD">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评标委员会的职责及守则：</w:t>
      </w:r>
    </w:p>
    <w:p w14:paraId="175EAF71">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lang w:val="en-US" w:eastAsia="zh-CN"/>
        </w:rPr>
        <w:t>3</w:t>
      </w:r>
      <w:r>
        <w:rPr>
          <w:rFonts w:ascii="宋体" w:hAnsi="宋体"/>
          <w:color w:val="auto"/>
          <w:sz w:val="24"/>
          <w:szCs w:val="24"/>
          <w:highlight w:val="none"/>
        </w:rPr>
        <w:t>.1</w:t>
      </w:r>
      <w:r>
        <w:rPr>
          <w:rFonts w:hint="eastAsia" w:ascii="宋体" w:hAnsi="宋体"/>
          <w:color w:val="auto"/>
          <w:sz w:val="24"/>
          <w:szCs w:val="24"/>
          <w:highlight w:val="none"/>
        </w:rPr>
        <w:t>根据评标细则，对</w:t>
      </w:r>
      <w:r>
        <w:rPr>
          <w:rFonts w:hint="eastAsia" w:ascii="宋体" w:hAnsi="宋体"/>
          <w:color w:val="auto"/>
          <w:sz w:val="24"/>
          <w:highlight w:val="none"/>
        </w:rPr>
        <w:t>投标文件</w:t>
      </w:r>
      <w:r>
        <w:rPr>
          <w:rFonts w:hint="eastAsia" w:ascii="宋体" w:hAnsi="宋体"/>
          <w:color w:val="auto"/>
          <w:sz w:val="24"/>
          <w:szCs w:val="24"/>
          <w:highlight w:val="none"/>
        </w:rPr>
        <w:t>进行认真评审，完成评审报告；</w:t>
      </w:r>
    </w:p>
    <w:p w14:paraId="08D5D2A5">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lang w:val="en-US" w:eastAsia="zh-CN"/>
        </w:rPr>
        <w:t>3</w:t>
      </w:r>
      <w:r>
        <w:rPr>
          <w:rFonts w:ascii="宋体" w:hAnsi="宋体"/>
          <w:color w:val="auto"/>
          <w:sz w:val="24"/>
          <w:szCs w:val="24"/>
          <w:highlight w:val="none"/>
        </w:rPr>
        <w:t>.2</w:t>
      </w:r>
      <w:r>
        <w:rPr>
          <w:rFonts w:hint="eastAsia" w:ascii="宋体" w:hAnsi="宋体"/>
          <w:b/>
          <w:bCs/>
          <w:color w:val="auto"/>
          <w:sz w:val="24"/>
          <w:szCs w:val="24"/>
          <w:highlight w:val="none"/>
          <w:u w:val="single"/>
        </w:rPr>
        <w:t>向招标人报告评审意见，推荐进入定标阶段的合格中标候选人，并递交资格审查报告和评标报告</w:t>
      </w:r>
      <w:r>
        <w:rPr>
          <w:rFonts w:hint="eastAsia" w:ascii="宋体" w:hAnsi="宋体"/>
          <w:color w:val="auto"/>
          <w:sz w:val="24"/>
          <w:szCs w:val="24"/>
          <w:highlight w:val="none"/>
        </w:rPr>
        <w:t>。</w:t>
      </w:r>
    </w:p>
    <w:p w14:paraId="6F6918E1">
      <w:pPr>
        <w:spacing w:line="360" w:lineRule="auto"/>
        <w:ind w:firstLine="480" w:firstLineChars="200"/>
        <w:rPr>
          <w:rFonts w:ascii="宋体" w:hAnsi="宋体"/>
          <w:color w:val="auto"/>
          <w:sz w:val="24"/>
          <w:szCs w:val="24"/>
          <w:highlight w:val="none"/>
        </w:rPr>
      </w:pPr>
      <w:r>
        <w:rPr>
          <w:rFonts w:ascii="宋体" w:hAnsi="宋体"/>
          <w:bCs/>
          <w:color w:val="auto"/>
          <w:sz w:val="24"/>
          <w:szCs w:val="24"/>
          <w:highlight w:val="none"/>
        </w:rPr>
        <w:t>37.</w:t>
      </w:r>
      <w:r>
        <w:rPr>
          <w:rFonts w:hint="eastAsia" w:ascii="宋体" w:hAnsi="宋体"/>
          <w:bCs/>
          <w:color w:val="auto"/>
          <w:sz w:val="24"/>
          <w:szCs w:val="24"/>
          <w:highlight w:val="none"/>
          <w:lang w:val="en-US" w:eastAsia="zh-CN"/>
        </w:rPr>
        <w:t>3</w:t>
      </w:r>
      <w:r>
        <w:rPr>
          <w:rFonts w:ascii="宋体" w:hAnsi="宋体"/>
          <w:bCs/>
          <w:color w:val="auto"/>
          <w:sz w:val="24"/>
          <w:szCs w:val="24"/>
          <w:highlight w:val="none"/>
        </w:rPr>
        <w:t>.3</w:t>
      </w:r>
      <w:r>
        <w:rPr>
          <w:rFonts w:ascii="宋体" w:hAnsi="宋体"/>
          <w:b/>
          <w:bCs/>
          <w:color w:val="auto"/>
          <w:sz w:val="24"/>
          <w:szCs w:val="24"/>
          <w:highlight w:val="none"/>
        </w:rPr>
        <w:t xml:space="preserve"> </w:t>
      </w:r>
      <w:r>
        <w:rPr>
          <w:rFonts w:hint="eastAsia" w:ascii="宋体" w:hAnsi="宋体"/>
          <w:color w:val="auto"/>
          <w:sz w:val="24"/>
          <w:szCs w:val="24"/>
          <w:highlight w:val="none"/>
        </w:rPr>
        <w:t>所有参加评标人员必须遵守国家、地方政府制定的有关工程招标投标的法则、规定，遵守有关工程招标投标的保密制度；如有违反者，给予行政处分；情节严重，构成犯罪的，由司法机关依法追究其刑事责任。</w:t>
      </w:r>
    </w:p>
    <w:p w14:paraId="117DEEA7">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lang w:val="en-US" w:eastAsia="zh-CN"/>
        </w:rPr>
        <w:t>3</w:t>
      </w:r>
      <w:r>
        <w:rPr>
          <w:rFonts w:ascii="宋体" w:hAnsi="宋体"/>
          <w:color w:val="auto"/>
          <w:sz w:val="24"/>
          <w:szCs w:val="24"/>
          <w:highlight w:val="none"/>
        </w:rPr>
        <w:t>.4</w:t>
      </w:r>
      <w:r>
        <w:rPr>
          <w:rFonts w:hint="eastAsia" w:ascii="宋体" w:hAnsi="宋体"/>
          <w:color w:val="auto"/>
          <w:sz w:val="24"/>
          <w:szCs w:val="24"/>
          <w:highlight w:val="none"/>
        </w:rPr>
        <w:t>全体参与评标人员：</w:t>
      </w:r>
    </w:p>
    <w:p w14:paraId="0F2D8655">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lang w:val="en-US" w:eastAsia="zh-CN"/>
        </w:rPr>
        <w:t>3</w:t>
      </w:r>
      <w:r>
        <w:rPr>
          <w:rFonts w:ascii="宋体" w:hAnsi="宋体"/>
          <w:color w:val="auto"/>
          <w:sz w:val="24"/>
          <w:szCs w:val="24"/>
          <w:highlight w:val="none"/>
        </w:rPr>
        <w:t xml:space="preserve">.4.1 </w:t>
      </w:r>
      <w:r>
        <w:rPr>
          <w:rFonts w:hint="eastAsia" w:ascii="宋体" w:hAnsi="宋体"/>
          <w:color w:val="auto"/>
          <w:sz w:val="24"/>
          <w:szCs w:val="24"/>
          <w:highlight w:val="none"/>
        </w:rPr>
        <w:t>必须遵守评标纪律、不得泄密；</w:t>
      </w:r>
    </w:p>
    <w:p w14:paraId="4AD2DC3D">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lang w:val="en-US" w:eastAsia="zh-CN"/>
        </w:rPr>
        <w:t>3</w:t>
      </w:r>
      <w:r>
        <w:rPr>
          <w:rFonts w:ascii="宋体" w:hAnsi="宋体"/>
          <w:color w:val="auto"/>
          <w:sz w:val="24"/>
          <w:szCs w:val="24"/>
          <w:highlight w:val="none"/>
        </w:rPr>
        <w:t xml:space="preserve">.4.2 </w:t>
      </w:r>
      <w:r>
        <w:rPr>
          <w:rFonts w:hint="eastAsia" w:ascii="宋体" w:hAnsi="宋体"/>
          <w:color w:val="auto"/>
          <w:sz w:val="24"/>
          <w:szCs w:val="24"/>
          <w:highlight w:val="none"/>
        </w:rPr>
        <w:t>必须公正、不得循私；</w:t>
      </w:r>
    </w:p>
    <w:p w14:paraId="459B8463">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lang w:val="en-US" w:eastAsia="zh-CN"/>
        </w:rPr>
        <w:t>3</w:t>
      </w:r>
      <w:r>
        <w:rPr>
          <w:rFonts w:ascii="宋体" w:hAnsi="宋体"/>
          <w:color w:val="auto"/>
          <w:sz w:val="24"/>
          <w:szCs w:val="24"/>
          <w:highlight w:val="none"/>
        </w:rPr>
        <w:t xml:space="preserve">.4.3 </w:t>
      </w:r>
      <w:r>
        <w:rPr>
          <w:rFonts w:hint="eastAsia" w:ascii="宋体" w:hAnsi="宋体"/>
          <w:color w:val="auto"/>
          <w:sz w:val="24"/>
          <w:szCs w:val="24"/>
          <w:highlight w:val="none"/>
        </w:rPr>
        <w:t>必须科学、不得草率；</w:t>
      </w:r>
    </w:p>
    <w:p w14:paraId="43970A15">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lang w:val="en-US" w:eastAsia="zh-CN"/>
        </w:rPr>
        <w:t>3</w:t>
      </w:r>
      <w:r>
        <w:rPr>
          <w:rFonts w:ascii="宋体" w:hAnsi="宋体"/>
          <w:color w:val="auto"/>
          <w:sz w:val="24"/>
          <w:szCs w:val="24"/>
          <w:highlight w:val="none"/>
        </w:rPr>
        <w:t xml:space="preserve">.4.4 </w:t>
      </w:r>
      <w:r>
        <w:rPr>
          <w:rFonts w:hint="eastAsia" w:ascii="宋体" w:hAnsi="宋体"/>
          <w:color w:val="auto"/>
          <w:sz w:val="24"/>
          <w:szCs w:val="24"/>
          <w:highlight w:val="none"/>
        </w:rPr>
        <w:t>必须客观、不得带有成见；</w:t>
      </w:r>
    </w:p>
    <w:p w14:paraId="0D3D835E">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lang w:val="en-US" w:eastAsia="zh-CN"/>
        </w:rPr>
        <w:t>3</w:t>
      </w:r>
      <w:r>
        <w:rPr>
          <w:rFonts w:ascii="宋体" w:hAnsi="宋体"/>
          <w:color w:val="auto"/>
          <w:sz w:val="24"/>
          <w:szCs w:val="24"/>
          <w:highlight w:val="none"/>
        </w:rPr>
        <w:t xml:space="preserve">.4.5 </w:t>
      </w:r>
      <w:r>
        <w:rPr>
          <w:rFonts w:hint="eastAsia" w:ascii="宋体" w:hAnsi="宋体"/>
          <w:color w:val="auto"/>
          <w:sz w:val="24"/>
          <w:szCs w:val="24"/>
          <w:highlight w:val="none"/>
        </w:rPr>
        <w:t>必须平等、不得强加于人；</w:t>
      </w:r>
    </w:p>
    <w:p w14:paraId="468B3CD0">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lang w:val="en-US" w:eastAsia="zh-CN"/>
        </w:rPr>
        <w:t>3</w:t>
      </w:r>
      <w:r>
        <w:rPr>
          <w:rFonts w:ascii="宋体" w:hAnsi="宋体"/>
          <w:color w:val="auto"/>
          <w:sz w:val="24"/>
          <w:szCs w:val="24"/>
          <w:highlight w:val="none"/>
        </w:rPr>
        <w:t xml:space="preserve">.4.6 </w:t>
      </w:r>
      <w:r>
        <w:rPr>
          <w:rFonts w:hint="eastAsia" w:ascii="宋体" w:hAnsi="宋体"/>
          <w:color w:val="auto"/>
          <w:sz w:val="24"/>
          <w:szCs w:val="24"/>
          <w:highlight w:val="none"/>
        </w:rPr>
        <w:t>必须严谨、不得随意马虎。</w:t>
      </w:r>
    </w:p>
    <w:p w14:paraId="65BC12C3">
      <w:pPr>
        <w:pStyle w:val="20"/>
        <w:spacing w:line="360" w:lineRule="auto"/>
        <w:ind w:firstLine="480" w:firstLineChars="20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37.4 评标工作开始前，招标人应当向评标委员会提供评标所需的信息，包括招标项目的范围、性质、特殊性、需求目标和实施要点，以及招标文件规定的评标方法、评标因素及标准等，但不得明示或者暗示其倾向或者排斥特定投标人。</w:t>
      </w:r>
    </w:p>
    <w:p w14:paraId="06A0B3E6">
      <w:pPr>
        <w:spacing w:line="360" w:lineRule="auto"/>
        <w:ind w:firstLine="480" w:firstLineChars="200"/>
        <w:rPr>
          <w:rFonts w:hint="eastAsia" w:ascii="宋体" w:hAnsi="宋体" w:eastAsia="宋体"/>
          <w:color w:val="auto"/>
          <w:sz w:val="24"/>
          <w:highlight w:val="none"/>
          <w:lang w:val="en-US" w:eastAsia="zh-CN"/>
        </w:rPr>
      </w:pPr>
      <w:r>
        <w:rPr>
          <w:rFonts w:hint="eastAsia" w:ascii="宋体" w:hAnsi="宋体" w:eastAsia="宋体" w:cs="Times New Roman"/>
          <w:color w:val="auto"/>
          <w:kern w:val="2"/>
          <w:sz w:val="24"/>
          <w:szCs w:val="24"/>
          <w:highlight w:val="none"/>
          <w:lang w:val="en-US" w:eastAsia="zh-CN" w:bidi="ar-SA"/>
        </w:rPr>
        <w:t>37.5</w:t>
      </w:r>
      <w:r>
        <w:rPr>
          <w:rFonts w:hint="eastAsia" w:ascii="宋体" w:hAnsi="宋体"/>
          <w:color w:val="auto"/>
          <w:sz w:val="24"/>
          <w:highlight w:val="none"/>
        </w:rPr>
        <w:t>评标委员会按照第</w:t>
      </w:r>
      <w:r>
        <w:rPr>
          <w:rFonts w:hint="eastAsia" w:ascii="宋体" w:hAnsi="宋体"/>
          <w:color w:val="auto"/>
          <w:sz w:val="24"/>
          <w:highlight w:val="none"/>
          <w:lang w:eastAsia="zh-CN"/>
        </w:rPr>
        <w:t>二</w:t>
      </w:r>
      <w:r>
        <w:rPr>
          <w:rFonts w:hint="eastAsia" w:ascii="宋体" w:hAnsi="宋体"/>
          <w:color w:val="auto"/>
          <w:sz w:val="24"/>
          <w:highlight w:val="none"/>
        </w:rPr>
        <w:t>章“</w:t>
      </w:r>
      <w:r>
        <w:rPr>
          <w:rFonts w:hint="eastAsia" w:ascii="宋体" w:hAnsi="宋体"/>
          <w:color w:val="auto"/>
          <w:sz w:val="24"/>
          <w:highlight w:val="none"/>
          <w:lang w:eastAsia="zh-CN"/>
        </w:rPr>
        <w:t>开标、</w:t>
      </w:r>
      <w:r>
        <w:rPr>
          <w:rFonts w:hint="eastAsia" w:ascii="宋体" w:hAnsi="宋体"/>
          <w:color w:val="auto"/>
          <w:sz w:val="24"/>
          <w:highlight w:val="none"/>
        </w:rPr>
        <w:t>评标</w:t>
      </w:r>
      <w:r>
        <w:rPr>
          <w:rFonts w:hint="eastAsia" w:ascii="宋体" w:hAnsi="宋体"/>
          <w:color w:val="auto"/>
          <w:sz w:val="24"/>
          <w:highlight w:val="none"/>
          <w:lang w:eastAsia="zh-CN"/>
        </w:rPr>
        <w:t>及定标</w:t>
      </w:r>
      <w:r>
        <w:rPr>
          <w:rFonts w:hint="eastAsia" w:ascii="宋体" w:hAnsi="宋体"/>
          <w:color w:val="auto"/>
          <w:sz w:val="24"/>
          <w:highlight w:val="none"/>
        </w:rPr>
        <w:t>办法”规定的方法、评审因素、标准和程序对投标文件进行评审。第三章“</w:t>
      </w:r>
      <w:r>
        <w:rPr>
          <w:rFonts w:hint="eastAsia" w:ascii="宋体" w:hAnsi="宋体"/>
          <w:color w:val="auto"/>
          <w:sz w:val="24"/>
          <w:highlight w:val="none"/>
          <w:lang w:eastAsia="zh-CN"/>
        </w:rPr>
        <w:t>开标、</w:t>
      </w:r>
      <w:r>
        <w:rPr>
          <w:rFonts w:hint="eastAsia" w:ascii="宋体" w:hAnsi="宋体"/>
          <w:color w:val="auto"/>
          <w:sz w:val="24"/>
          <w:highlight w:val="none"/>
        </w:rPr>
        <w:t>评标</w:t>
      </w:r>
      <w:r>
        <w:rPr>
          <w:rFonts w:hint="eastAsia" w:ascii="宋体" w:hAnsi="宋体"/>
          <w:color w:val="auto"/>
          <w:sz w:val="24"/>
          <w:highlight w:val="none"/>
          <w:lang w:eastAsia="zh-CN"/>
        </w:rPr>
        <w:t>及定标</w:t>
      </w:r>
      <w:r>
        <w:rPr>
          <w:rFonts w:hint="eastAsia" w:ascii="宋体" w:hAnsi="宋体"/>
          <w:color w:val="auto"/>
          <w:sz w:val="24"/>
          <w:highlight w:val="none"/>
        </w:rPr>
        <w:t>办法”没有规定的方法、评审因素和标准，不作为评标依据</w:t>
      </w:r>
      <w:r>
        <w:rPr>
          <w:rFonts w:hint="eastAsia" w:ascii="宋体" w:hAnsi="宋体"/>
          <w:color w:val="auto"/>
          <w:sz w:val="24"/>
          <w:highlight w:val="none"/>
          <w:lang w:eastAsia="zh-CN"/>
        </w:rPr>
        <w:t>。</w:t>
      </w:r>
    </w:p>
    <w:p w14:paraId="45A4D752">
      <w:pPr>
        <w:spacing w:line="360" w:lineRule="auto"/>
        <w:ind w:firstLine="480" w:firstLineChars="20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olor w:val="auto"/>
          <w:sz w:val="24"/>
          <w:highlight w:val="none"/>
          <w:lang w:val="en-US" w:eastAsia="zh-CN"/>
        </w:rPr>
        <w:t>37.6</w:t>
      </w:r>
      <w:r>
        <w:rPr>
          <w:rFonts w:hint="eastAsia" w:ascii="宋体" w:hAnsi="宋体" w:eastAsia="宋体" w:cs="Times New Roman"/>
          <w:b/>
          <w:bCs/>
          <w:color w:val="auto"/>
          <w:kern w:val="2"/>
          <w:sz w:val="24"/>
          <w:szCs w:val="24"/>
          <w:highlight w:val="none"/>
          <w:u w:val="single"/>
          <w:lang w:val="en-US" w:eastAsia="zh-CN" w:bidi="ar-SA"/>
        </w:rPr>
        <w:t>评标结束后，评标委员会递交资格审查报告和评标报告并依法推荐进入定标阶段的合格中标候选人</w:t>
      </w:r>
      <w:r>
        <w:rPr>
          <w:rFonts w:hint="eastAsia" w:ascii="宋体" w:hAnsi="宋体" w:eastAsia="宋体" w:cs="Times New Roman"/>
          <w:color w:val="auto"/>
          <w:kern w:val="2"/>
          <w:sz w:val="24"/>
          <w:szCs w:val="24"/>
          <w:highlight w:val="none"/>
          <w:lang w:val="en-US" w:eastAsia="zh-CN" w:bidi="ar-SA"/>
        </w:rPr>
        <w:t>。</w:t>
      </w:r>
    </w:p>
    <w:p w14:paraId="15242EF2">
      <w:pPr>
        <w:spacing w:line="360" w:lineRule="auto"/>
        <w:ind w:firstLine="480" w:firstLineChars="20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38．投标文件的澄清</w:t>
      </w:r>
    </w:p>
    <w:p w14:paraId="5CCB745B">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38.1</w:t>
      </w:r>
      <w:r>
        <w:rPr>
          <w:rFonts w:hint="eastAsia" w:ascii="宋体" w:hAnsi="宋体"/>
          <w:color w:val="auto"/>
          <w:sz w:val="24"/>
          <w:szCs w:val="24"/>
          <w:highlight w:val="none"/>
        </w:rPr>
        <w:t>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w:t>
      </w:r>
      <w:r>
        <w:rPr>
          <w:rFonts w:hint="eastAsia" w:ascii="宋体" w:hAnsi="宋体"/>
          <w:color w:val="auto"/>
          <w:sz w:val="24"/>
          <w:szCs w:val="24"/>
          <w:highlight w:val="none"/>
          <w:lang w:eastAsia="zh-CN"/>
        </w:rPr>
        <w:t>、对同类问题表述不一致，有明显</w:t>
      </w:r>
      <w:r>
        <w:rPr>
          <w:rFonts w:hint="eastAsia" w:ascii="宋体" w:hAnsi="宋体"/>
          <w:color w:val="auto"/>
          <w:sz w:val="24"/>
          <w:szCs w:val="24"/>
          <w:highlight w:val="none"/>
          <w:lang w:val="en-US" w:eastAsia="zh-CN"/>
        </w:rPr>
        <w:t>格式或</w:t>
      </w:r>
      <w:r>
        <w:rPr>
          <w:rFonts w:hint="eastAsia" w:ascii="宋体" w:hAnsi="宋体"/>
          <w:color w:val="auto"/>
          <w:sz w:val="24"/>
          <w:szCs w:val="24"/>
          <w:highlight w:val="none"/>
          <w:lang w:eastAsia="zh-CN"/>
        </w:rPr>
        <w:t>文字、计算错误</w:t>
      </w:r>
      <w:r>
        <w:rPr>
          <w:rFonts w:hint="eastAsia" w:ascii="宋体" w:hAnsi="宋体"/>
          <w:color w:val="auto"/>
          <w:sz w:val="24"/>
          <w:szCs w:val="24"/>
          <w:highlight w:val="none"/>
        </w:rPr>
        <w:t>的内容作出澄清。</w:t>
      </w:r>
    </w:p>
    <w:p w14:paraId="1AF1AA3A">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 xml:space="preserve">38.2 </w:t>
      </w:r>
      <w:r>
        <w:rPr>
          <w:rFonts w:hint="eastAsia" w:ascii="宋体" w:hAnsi="宋体"/>
          <w:color w:val="auto"/>
          <w:sz w:val="24"/>
          <w:szCs w:val="24"/>
          <w:highlight w:val="none"/>
        </w:rPr>
        <w:t>投标人应以书面形式进行澄清，澄清中的承诺性意思表示在投标文件有效期内均对投标人有约束力。除评标委员会对评标中发现算术错误进行修正后要求投标人以澄清形式进行的核实和确认外，澄清不得超出投标文件的范围或改变投标文件的实质性内容，超出部分不作为评标委员会评审的依据。</w:t>
      </w:r>
    </w:p>
    <w:p w14:paraId="3B1E677D">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 xml:space="preserve">38.3 </w:t>
      </w:r>
      <w:r>
        <w:rPr>
          <w:rFonts w:hint="eastAsia" w:ascii="宋体" w:hAnsi="宋体"/>
          <w:color w:val="auto"/>
          <w:sz w:val="24"/>
          <w:szCs w:val="24"/>
          <w:highlight w:val="none"/>
        </w:rPr>
        <w:t>评标委员会或评标委员会专业评审组成员均应当阅读投标人的澄清，但应独立参考澄清对投标文件进行评审。</w:t>
      </w:r>
    </w:p>
    <w:p w14:paraId="1E164969">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38.4</w:t>
      </w:r>
      <w:r>
        <w:rPr>
          <w:rFonts w:hint="eastAsia" w:ascii="宋体" w:hAnsi="宋体"/>
          <w:color w:val="auto"/>
          <w:sz w:val="24"/>
          <w:szCs w:val="24"/>
          <w:highlight w:val="none"/>
        </w:rPr>
        <w:t>如果投标文件实质上不响应招标文件的各项要求，评标委员会将按照符合性审查标准予以拒绝，不接受投标人通过修改或撤销其不符合要求的差异或保留，使之成为具有响应性的投标。</w:t>
      </w:r>
    </w:p>
    <w:p w14:paraId="25254CC7">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38.5投标人如在本项目中存在串通投标、弄虚作假、行贿情形且在评标过程中未被发现的，该投标不改变本项目评标结果排序，其中标无效。招标人按照《中华人民共和国招标投标法实施条例》第五十五条的规定依次确定中标人或</w:t>
      </w:r>
      <w:r>
        <w:rPr>
          <w:rFonts w:hint="eastAsia" w:ascii="宋体" w:hAnsi="宋体"/>
          <w:color w:val="auto"/>
          <w:sz w:val="24"/>
          <w:szCs w:val="24"/>
          <w:highlight w:val="none"/>
          <w:lang w:eastAsia="zh-CN"/>
        </w:rPr>
        <w:t>依法重新招标</w:t>
      </w:r>
      <w:r>
        <w:rPr>
          <w:rFonts w:hint="eastAsia" w:ascii="宋体" w:hAnsi="宋体"/>
          <w:color w:val="auto"/>
          <w:sz w:val="24"/>
          <w:szCs w:val="24"/>
          <w:highlight w:val="none"/>
        </w:rPr>
        <w:t>。</w:t>
      </w:r>
    </w:p>
    <w:p w14:paraId="60510C8E">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39</w:t>
      </w:r>
      <w:r>
        <w:rPr>
          <w:rFonts w:hint="eastAsia" w:ascii="宋体" w:hAnsi="宋体"/>
          <w:color w:val="auto"/>
          <w:sz w:val="24"/>
          <w:szCs w:val="24"/>
          <w:highlight w:val="none"/>
        </w:rPr>
        <w:t>．定标</w:t>
      </w:r>
    </w:p>
    <w:p w14:paraId="0975A419">
      <w:pPr>
        <w:spacing w:line="360" w:lineRule="auto"/>
        <w:ind w:firstLine="480" w:firstLineChars="200"/>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eastAsia="zh-CN"/>
        </w:rPr>
        <w:t>定标详细规定条款详见本章第51条内容。</w:t>
      </w:r>
    </w:p>
    <w:p w14:paraId="12CBE14D">
      <w:pPr>
        <w:spacing w:line="360" w:lineRule="auto"/>
        <w:ind w:firstLine="480" w:firstLineChars="200"/>
        <w:rPr>
          <w:rFonts w:ascii="宋体" w:hAnsi="宋体"/>
          <w:strike/>
          <w:color w:val="auto"/>
          <w:sz w:val="24"/>
          <w:szCs w:val="24"/>
          <w:highlight w:val="none"/>
        </w:rPr>
      </w:pPr>
      <w:r>
        <w:rPr>
          <w:rFonts w:ascii="宋体" w:hAnsi="宋体"/>
          <w:strike/>
          <w:color w:val="auto"/>
          <w:sz w:val="24"/>
          <w:szCs w:val="24"/>
          <w:highlight w:val="none"/>
        </w:rPr>
        <w:t xml:space="preserve">39.1 </w:t>
      </w:r>
      <w:r>
        <w:rPr>
          <w:rFonts w:hint="eastAsia" w:ascii="宋体" w:hAnsi="宋体"/>
          <w:b w:val="0"/>
          <w:bCs w:val="0"/>
          <w:strike/>
          <w:color w:val="auto"/>
          <w:sz w:val="24"/>
          <w:szCs w:val="24"/>
          <w:highlight w:val="none"/>
          <w:u w:val="single"/>
        </w:rPr>
        <w:t>招标人根据评标委员会递交的评标报告，最终审定中标人</w:t>
      </w:r>
      <w:r>
        <w:rPr>
          <w:rFonts w:hint="eastAsia" w:ascii="宋体" w:hAnsi="宋体"/>
          <w:strike/>
          <w:color w:val="auto"/>
          <w:sz w:val="24"/>
          <w:szCs w:val="24"/>
          <w:highlight w:val="none"/>
        </w:rPr>
        <w:t>。</w:t>
      </w:r>
    </w:p>
    <w:p w14:paraId="035A8E09">
      <w:pPr>
        <w:spacing w:line="360" w:lineRule="auto"/>
        <w:ind w:firstLine="480" w:firstLineChars="200"/>
        <w:rPr>
          <w:rFonts w:hint="eastAsia" w:ascii="宋体" w:hAnsi="宋体" w:eastAsia="宋体"/>
          <w:strike/>
          <w:color w:val="auto"/>
          <w:sz w:val="24"/>
          <w:szCs w:val="24"/>
          <w:highlight w:val="none"/>
          <w:lang w:eastAsia="zh-CN"/>
        </w:rPr>
      </w:pPr>
      <w:r>
        <w:rPr>
          <w:rFonts w:ascii="宋体" w:hAnsi="宋体"/>
          <w:strike/>
          <w:color w:val="auto"/>
          <w:sz w:val="24"/>
          <w:szCs w:val="24"/>
          <w:highlight w:val="none"/>
        </w:rPr>
        <w:t xml:space="preserve">39.2 </w:t>
      </w:r>
      <w:r>
        <w:rPr>
          <w:rFonts w:hint="eastAsia" w:ascii="宋体" w:hAnsi="宋体"/>
          <w:strike/>
          <w:color w:val="auto"/>
          <w:sz w:val="24"/>
          <w:szCs w:val="24"/>
          <w:highlight w:val="none"/>
        </w:rPr>
        <w:t>依法必须进行公开招标的项目，招标人应当确定排名第一的中标候选人为中标人</w:t>
      </w:r>
      <w:r>
        <w:rPr>
          <w:rFonts w:hint="eastAsia" w:ascii="宋体" w:hAnsi="宋体"/>
          <w:strike/>
          <w:color w:val="auto"/>
          <w:sz w:val="24"/>
          <w:szCs w:val="24"/>
          <w:highlight w:val="none"/>
          <w:lang w:eastAsia="zh-CN"/>
        </w:rPr>
        <w:t>。采用评定分离方式确定中标人的从其规定。若发现委派的项目负责人已在其他在建项目中任职，不符合任职数量规定时，招标人可以确定排名第二的中标候选人为中标人。</w:t>
      </w:r>
    </w:p>
    <w:p w14:paraId="2EA4BFA0">
      <w:pPr>
        <w:spacing w:line="360" w:lineRule="auto"/>
        <w:ind w:firstLine="480" w:firstLineChars="200"/>
        <w:rPr>
          <w:rFonts w:ascii="宋体" w:hAnsi="宋体"/>
          <w:strike/>
          <w:color w:val="auto"/>
          <w:sz w:val="24"/>
          <w:szCs w:val="24"/>
          <w:highlight w:val="none"/>
        </w:rPr>
      </w:pPr>
      <w:r>
        <w:rPr>
          <w:rFonts w:ascii="宋体" w:hAnsi="宋体"/>
          <w:strike/>
          <w:color w:val="auto"/>
          <w:sz w:val="24"/>
          <w:szCs w:val="24"/>
          <w:highlight w:val="none"/>
        </w:rPr>
        <w:t>39.3</w:t>
      </w:r>
      <w:r>
        <w:rPr>
          <w:rFonts w:hint="eastAsia" w:ascii="宋体" w:hAnsi="宋体"/>
          <w:strike/>
          <w:color w:val="auto"/>
          <w:sz w:val="24"/>
          <w:szCs w:val="24"/>
          <w:highlight w:val="none"/>
        </w:rPr>
        <w:t>排名第一的中标候选人放弃中标、或因不可抗力提出不能履行合同，或者招标文件规定应当提交履约担保而在规定的期限内未能提交的，</w:t>
      </w:r>
      <w:r>
        <w:rPr>
          <w:rFonts w:hint="eastAsia" w:ascii="宋体" w:hAnsi="宋体"/>
          <w:strike/>
          <w:color w:val="auto"/>
          <w:sz w:val="24"/>
          <w:szCs w:val="24"/>
          <w:highlight w:val="none"/>
          <w:lang w:eastAsia="zh-CN"/>
        </w:rPr>
        <w:t>或经核查发现委派的项目负责人已在其他在建项目中任职，不符合任职数量规定时，</w:t>
      </w:r>
      <w:r>
        <w:rPr>
          <w:rFonts w:hint="eastAsia" w:ascii="宋体" w:hAnsi="宋体"/>
          <w:strike/>
          <w:color w:val="auto"/>
          <w:sz w:val="24"/>
          <w:szCs w:val="24"/>
          <w:highlight w:val="none"/>
        </w:rPr>
        <w:t>招标人可以确定排名第二的中标候选人为中标人。</w:t>
      </w:r>
    </w:p>
    <w:p w14:paraId="0DA168C0">
      <w:pPr>
        <w:spacing w:line="360" w:lineRule="auto"/>
        <w:ind w:firstLine="480" w:firstLineChars="200"/>
        <w:rPr>
          <w:rFonts w:ascii="宋体" w:hAnsi="宋体"/>
          <w:strike/>
          <w:color w:val="auto"/>
          <w:sz w:val="24"/>
          <w:szCs w:val="24"/>
          <w:highlight w:val="none"/>
        </w:rPr>
      </w:pPr>
      <w:r>
        <w:rPr>
          <w:rFonts w:ascii="宋体" w:hAnsi="宋体"/>
          <w:strike/>
          <w:color w:val="auto"/>
          <w:sz w:val="24"/>
          <w:szCs w:val="24"/>
          <w:highlight w:val="none"/>
        </w:rPr>
        <w:t>39.4</w:t>
      </w:r>
      <w:r>
        <w:rPr>
          <w:rFonts w:hint="eastAsia" w:ascii="宋体" w:hAnsi="宋体"/>
          <w:strike/>
          <w:color w:val="auto"/>
          <w:sz w:val="24"/>
          <w:szCs w:val="24"/>
          <w:highlight w:val="none"/>
        </w:rPr>
        <w:t>排名第二的中标候选人出现前款所列的情形的，招标人可以确定排名第三的中标候选人为中标人。以此类推，如所有中标候选人均出现前款所列的情形，为招标失败，招标人</w:t>
      </w:r>
      <w:r>
        <w:rPr>
          <w:rFonts w:hint="eastAsia" w:ascii="宋体" w:hAnsi="宋体"/>
          <w:strike/>
          <w:color w:val="auto"/>
          <w:sz w:val="24"/>
          <w:szCs w:val="24"/>
          <w:highlight w:val="none"/>
          <w:lang w:eastAsia="zh-CN"/>
        </w:rPr>
        <w:t>依法重新招标</w:t>
      </w:r>
      <w:r>
        <w:rPr>
          <w:rFonts w:hint="eastAsia" w:ascii="宋体" w:hAnsi="宋体"/>
          <w:strike/>
          <w:color w:val="auto"/>
          <w:sz w:val="24"/>
          <w:szCs w:val="24"/>
          <w:highlight w:val="none"/>
        </w:rPr>
        <w:t>。</w:t>
      </w:r>
    </w:p>
    <w:p w14:paraId="5CDFF9FE">
      <w:pPr>
        <w:spacing w:line="360" w:lineRule="auto"/>
        <w:ind w:firstLine="480" w:firstLineChars="200"/>
        <w:rPr>
          <w:rFonts w:hint="eastAsia" w:ascii="宋体" w:hAnsi="宋体"/>
          <w:strike/>
          <w:color w:val="auto"/>
          <w:sz w:val="24"/>
          <w:szCs w:val="24"/>
          <w:highlight w:val="none"/>
        </w:rPr>
      </w:pPr>
      <w:r>
        <w:rPr>
          <w:rFonts w:hint="eastAsia" w:ascii="宋体" w:hAnsi="宋体"/>
          <w:strike/>
          <w:color w:val="auto"/>
          <w:sz w:val="24"/>
          <w:szCs w:val="24"/>
          <w:highlight w:val="none"/>
        </w:rPr>
        <w:t>39.5 重新评标的，评标信息（含业绩、奖项等）仍以投标截止时投标人的信息为准。因特殊原因需要延长投标有效期，投标人拒绝延长投标有效期的，仍参与评标，但不被推荐为中标候选人。</w:t>
      </w:r>
    </w:p>
    <w:p w14:paraId="77CE1925">
      <w:pPr>
        <w:spacing w:line="360" w:lineRule="auto"/>
        <w:ind w:firstLine="480" w:firstLineChars="200"/>
        <w:rPr>
          <w:rFonts w:hint="eastAsia" w:ascii="宋体" w:hAnsi="宋体"/>
          <w:strike/>
          <w:color w:val="auto"/>
          <w:sz w:val="24"/>
          <w:szCs w:val="24"/>
          <w:highlight w:val="none"/>
        </w:rPr>
      </w:pPr>
      <w:r>
        <w:rPr>
          <w:rFonts w:hint="eastAsia" w:ascii="宋体" w:hAnsi="宋体" w:eastAsia="宋体" w:cs="Times New Roman"/>
          <w:strike/>
          <w:color w:val="auto"/>
          <w:kern w:val="2"/>
          <w:sz w:val="24"/>
          <w:szCs w:val="24"/>
          <w:highlight w:val="none"/>
          <w:lang w:val="en-US" w:eastAsia="zh-CN" w:bidi="ar-SA"/>
        </w:rPr>
        <w:t>39.6有效投标不足3个的，评标委员会应当对投标是否明显缺乏竞争和是否需要否决全部投标进行充分论证，并在评标报告中记载论证过程和结果</w:t>
      </w:r>
      <w:r>
        <w:rPr>
          <w:rFonts w:hint="eastAsia" w:ascii="宋体" w:hAnsi="宋体"/>
          <w:strike/>
          <w:color w:val="auto"/>
          <w:sz w:val="24"/>
          <w:szCs w:val="24"/>
          <w:highlight w:val="none"/>
        </w:rPr>
        <w:t>。</w:t>
      </w:r>
    </w:p>
    <w:p w14:paraId="04929570">
      <w:pPr>
        <w:pStyle w:val="20"/>
        <w:rPr>
          <w:rFonts w:hint="default" w:ascii="宋体" w:hAnsi="宋体" w:eastAsia="宋体"/>
          <w:color w:val="auto"/>
          <w:sz w:val="24"/>
          <w:szCs w:val="24"/>
          <w:highlight w:val="none"/>
          <w:lang w:val="en-US" w:eastAsia="zh-CN"/>
        </w:rPr>
      </w:pPr>
      <w:r>
        <w:rPr>
          <w:rFonts w:hint="eastAsia" w:hAnsi="宋体"/>
          <w:strike/>
          <w:color w:val="auto"/>
          <w:sz w:val="24"/>
          <w:szCs w:val="24"/>
          <w:highlight w:val="none"/>
          <w:lang w:val="en-US" w:eastAsia="zh-CN"/>
        </w:rPr>
        <w:t xml:space="preserve">    </w:t>
      </w:r>
      <w:r>
        <w:rPr>
          <w:rFonts w:hint="eastAsia" w:ascii="楷体" w:hAnsi="楷体" w:eastAsia="楷体" w:cs="楷体"/>
          <w:strike/>
          <w:color w:val="auto"/>
          <w:sz w:val="24"/>
          <w:szCs w:val="24"/>
          <w:highlight w:val="none"/>
          <w:lang w:val="en-US" w:eastAsia="zh-CN"/>
        </w:rPr>
        <w:t>注：采用评定分离方式的，招标人应在招标文件中明确定标方式。</w:t>
      </w:r>
    </w:p>
    <w:p w14:paraId="2EEF1C57">
      <w:pPr>
        <w:rPr>
          <w:rFonts w:hint="eastAsia"/>
          <w:highlight w:val="none"/>
        </w:rPr>
      </w:pPr>
    </w:p>
    <w:p w14:paraId="23CEDA85">
      <w:pPr>
        <w:pStyle w:val="20"/>
        <w:jc w:val="center"/>
        <w:rPr>
          <w:rStyle w:val="46"/>
          <w:b/>
          <w:sz w:val="28"/>
          <w:szCs w:val="28"/>
          <w:highlight w:val="none"/>
        </w:rPr>
      </w:pPr>
      <w:bookmarkStart w:id="65" w:name="_Toc31469"/>
      <w:bookmarkStart w:id="66" w:name="_Toc21525502"/>
      <w:bookmarkStart w:id="67" w:name="_Toc2272558"/>
      <w:bookmarkStart w:id="68" w:name="_Toc32429"/>
      <w:r>
        <w:rPr>
          <w:rStyle w:val="46"/>
          <w:rFonts w:hint="eastAsia"/>
          <w:b/>
          <w:bCs/>
          <w:color w:val="auto"/>
          <w:sz w:val="28"/>
          <w:szCs w:val="28"/>
          <w:highlight w:val="none"/>
          <w:lang w:eastAsia="zh-CN"/>
        </w:rPr>
        <w:t>（二）</w:t>
      </w:r>
      <w:r>
        <w:rPr>
          <w:rStyle w:val="46"/>
          <w:rFonts w:hint="eastAsia"/>
          <w:b/>
          <w:bCs/>
          <w:color w:val="auto"/>
          <w:sz w:val="28"/>
          <w:szCs w:val="28"/>
          <w:highlight w:val="none"/>
        </w:rPr>
        <w:t>开标评标办法程序和细则</w:t>
      </w:r>
      <w:bookmarkEnd w:id="65"/>
      <w:bookmarkEnd w:id="66"/>
      <w:bookmarkEnd w:id="67"/>
      <w:bookmarkStart w:id="69" w:name="_Toc7116"/>
    </w:p>
    <w:bookmarkEnd w:id="68"/>
    <w:p w14:paraId="74382E0E">
      <w:pPr>
        <w:spacing w:before="156" w:after="156"/>
        <w:ind w:firstLine="482" w:firstLineChars="200"/>
        <w:rPr>
          <w:b/>
          <w:bCs/>
          <w:sz w:val="24"/>
          <w:szCs w:val="24"/>
          <w:highlight w:val="none"/>
        </w:rPr>
      </w:pPr>
      <w:bookmarkStart w:id="70" w:name="_Toc9750"/>
      <w:bookmarkStart w:id="71" w:name="_Toc2272564"/>
      <w:r>
        <w:rPr>
          <w:rFonts w:hint="eastAsia"/>
          <w:b/>
          <w:bCs/>
          <w:sz w:val="24"/>
          <w:szCs w:val="24"/>
          <w:highlight w:val="none"/>
        </w:rPr>
        <w:t>可选办法七（适合综合评分法四，技术标与经济标同时开启）</w:t>
      </w:r>
      <w:bookmarkEnd w:id="70"/>
      <w:bookmarkEnd w:id="71"/>
    </w:p>
    <w:p w14:paraId="704C973E">
      <w:pPr>
        <w:snapToGrid w:val="0"/>
        <w:spacing w:line="360" w:lineRule="auto"/>
        <w:ind w:firstLine="482" w:firstLineChars="200"/>
        <w:rPr>
          <w:rFonts w:hint="eastAsia" w:ascii="宋体"/>
          <w:b/>
          <w:bCs/>
          <w:color w:val="auto"/>
          <w:sz w:val="24"/>
          <w:szCs w:val="24"/>
          <w:highlight w:val="none"/>
          <w:u w:val="single"/>
        </w:rPr>
      </w:pPr>
      <w:r>
        <w:rPr>
          <w:rFonts w:hint="eastAsia" w:ascii="宋体"/>
          <w:b/>
          <w:bCs/>
          <w:color w:val="auto"/>
          <w:sz w:val="24"/>
          <w:szCs w:val="24"/>
          <w:highlight w:val="none"/>
          <w:u w:val="single"/>
        </w:rPr>
        <w:t>开标、评标及定标程序</w:t>
      </w:r>
    </w:p>
    <w:p w14:paraId="14F8A30F">
      <w:pPr>
        <w:snapToGrid w:val="0"/>
        <w:spacing w:line="360" w:lineRule="auto"/>
        <w:ind w:firstLine="482" w:firstLineChars="200"/>
        <w:rPr>
          <w:rFonts w:hint="eastAsia" w:ascii="宋体"/>
          <w:b/>
          <w:bCs/>
          <w:color w:val="auto"/>
          <w:sz w:val="24"/>
          <w:szCs w:val="24"/>
          <w:highlight w:val="none"/>
          <w:u w:val="single"/>
        </w:rPr>
      </w:pPr>
      <w:r>
        <w:rPr>
          <w:rFonts w:hint="eastAsia" w:ascii="宋体"/>
          <w:b/>
          <w:bCs/>
          <w:color w:val="auto"/>
          <w:sz w:val="24"/>
          <w:szCs w:val="24"/>
          <w:highlight w:val="none"/>
          <w:u w:val="single"/>
        </w:rPr>
        <w:t>40.1技术标投标文件（含资格审查文件）、经济标投标文件、定标文件同时公开开标；</w:t>
      </w:r>
    </w:p>
    <w:p w14:paraId="0B921A0F">
      <w:pPr>
        <w:snapToGrid w:val="0"/>
        <w:spacing w:line="360" w:lineRule="auto"/>
        <w:ind w:firstLine="482" w:firstLineChars="200"/>
        <w:rPr>
          <w:rFonts w:hint="eastAsia" w:ascii="宋体"/>
          <w:b/>
          <w:bCs/>
          <w:color w:val="auto"/>
          <w:sz w:val="24"/>
          <w:szCs w:val="24"/>
          <w:highlight w:val="none"/>
          <w:u w:val="single"/>
        </w:rPr>
      </w:pPr>
      <w:r>
        <w:rPr>
          <w:rFonts w:hint="eastAsia" w:ascii="宋体"/>
          <w:b/>
          <w:bCs/>
          <w:color w:val="auto"/>
          <w:sz w:val="24"/>
          <w:szCs w:val="24"/>
          <w:highlight w:val="none"/>
          <w:u w:val="single"/>
        </w:rPr>
        <w:t>40.2由评标委员会对所有已公开开标的投标人进行资格审查，并编写资格审查报告；</w:t>
      </w:r>
    </w:p>
    <w:p w14:paraId="0FAC32A9">
      <w:pPr>
        <w:snapToGrid w:val="0"/>
        <w:spacing w:line="360" w:lineRule="auto"/>
        <w:ind w:firstLine="482" w:firstLineChars="200"/>
        <w:rPr>
          <w:rFonts w:hint="eastAsia" w:ascii="宋体"/>
          <w:b/>
          <w:bCs/>
          <w:color w:val="auto"/>
          <w:sz w:val="24"/>
          <w:szCs w:val="24"/>
          <w:highlight w:val="none"/>
          <w:u w:val="single"/>
        </w:rPr>
      </w:pPr>
      <w:r>
        <w:rPr>
          <w:rFonts w:hint="eastAsia" w:ascii="宋体"/>
          <w:b/>
          <w:bCs/>
          <w:color w:val="auto"/>
          <w:sz w:val="24"/>
          <w:szCs w:val="24"/>
          <w:highlight w:val="none"/>
          <w:u w:val="single"/>
        </w:rPr>
        <w:t>40.3技术标投标文件有效性审查；</w:t>
      </w:r>
    </w:p>
    <w:p w14:paraId="2FC352F3">
      <w:pPr>
        <w:snapToGrid w:val="0"/>
        <w:spacing w:line="360" w:lineRule="auto"/>
        <w:ind w:firstLine="482" w:firstLineChars="200"/>
        <w:rPr>
          <w:rFonts w:hint="eastAsia" w:ascii="宋体"/>
          <w:b/>
          <w:bCs/>
          <w:color w:val="auto"/>
          <w:sz w:val="24"/>
          <w:szCs w:val="24"/>
          <w:highlight w:val="none"/>
          <w:u w:val="single"/>
        </w:rPr>
      </w:pPr>
      <w:r>
        <w:rPr>
          <w:rFonts w:hint="eastAsia" w:ascii="宋体"/>
          <w:b/>
          <w:bCs/>
          <w:color w:val="auto"/>
          <w:sz w:val="24"/>
          <w:szCs w:val="24"/>
          <w:highlight w:val="none"/>
          <w:u w:val="single"/>
        </w:rPr>
        <w:t>40.4技术标详细审查评分；</w:t>
      </w:r>
    </w:p>
    <w:p w14:paraId="25880A55">
      <w:pPr>
        <w:snapToGrid w:val="0"/>
        <w:spacing w:line="360" w:lineRule="auto"/>
        <w:ind w:firstLine="482" w:firstLineChars="200"/>
        <w:rPr>
          <w:rFonts w:hint="eastAsia" w:ascii="宋体"/>
          <w:b/>
          <w:bCs/>
          <w:color w:val="auto"/>
          <w:sz w:val="24"/>
          <w:szCs w:val="24"/>
          <w:highlight w:val="none"/>
          <w:u w:val="single"/>
        </w:rPr>
      </w:pPr>
      <w:r>
        <w:rPr>
          <w:rFonts w:hint="eastAsia" w:ascii="宋体"/>
          <w:b/>
          <w:bCs/>
          <w:color w:val="auto"/>
          <w:sz w:val="24"/>
          <w:szCs w:val="24"/>
          <w:highlight w:val="none"/>
          <w:u w:val="single"/>
        </w:rPr>
        <w:t>40.5评标委员会按照投标人总得分由高至低排序；</w:t>
      </w:r>
    </w:p>
    <w:p w14:paraId="64C8939D">
      <w:pPr>
        <w:snapToGrid w:val="0"/>
        <w:spacing w:line="360" w:lineRule="auto"/>
        <w:ind w:firstLine="482" w:firstLineChars="200"/>
        <w:rPr>
          <w:rFonts w:hint="eastAsia" w:ascii="宋体"/>
          <w:b/>
          <w:bCs/>
          <w:color w:val="auto"/>
          <w:sz w:val="24"/>
          <w:szCs w:val="24"/>
          <w:highlight w:val="none"/>
          <w:u w:val="single"/>
        </w:rPr>
      </w:pPr>
      <w:r>
        <w:rPr>
          <w:rFonts w:hint="eastAsia" w:ascii="宋体"/>
          <w:b/>
          <w:bCs/>
          <w:color w:val="auto"/>
          <w:sz w:val="24"/>
          <w:szCs w:val="24"/>
          <w:highlight w:val="none"/>
          <w:u w:val="single"/>
        </w:rPr>
        <w:t>40.6经济标投标文件有效性审查；</w:t>
      </w:r>
    </w:p>
    <w:p w14:paraId="6C0A79BF">
      <w:pPr>
        <w:snapToGrid w:val="0"/>
        <w:spacing w:line="360" w:lineRule="auto"/>
        <w:ind w:firstLine="482" w:firstLineChars="200"/>
        <w:rPr>
          <w:rFonts w:hint="eastAsia" w:ascii="宋体"/>
          <w:b/>
          <w:bCs/>
          <w:color w:val="auto"/>
          <w:sz w:val="24"/>
          <w:szCs w:val="24"/>
          <w:highlight w:val="none"/>
          <w:u w:val="single"/>
        </w:rPr>
      </w:pPr>
      <w:r>
        <w:rPr>
          <w:rFonts w:hint="eastAsia" w:ascii="宋体"/>
          <w:b/>
          <w:bCs/>
          <w:color w:val="auto"/>
          <w:sz w:val="24"/>
          <w:szCs w:val="24"/>
          <w:highlight w:val="none"/>
          <w:u w:val="single"/>
        </w:rPr>
        <w:t>40.7评标委员会按照招标文件规定的评标程序对投标人进行评审。若通过技术标及经济标有效性审查的合格投标人大于等于3家且少于等于20家的，则推荐全部合格的投标人为合格中标候选人（不排序）进入定标阶段。若通过技术标及经济标有效性审查的合格投标人大于20家的，按投标人总得分由高至低推荐排前20名的合格中标候选人【不排序，按统一社会信用代码后4位（除校验码外）大小排位，如统一社会信用代码后4位出现字母情况的，字母以“0”进行代替大小排位；如出现后4位（除校验码外）大小一致的，则随机排位】进入定标阶段，进入定标阶段不排序。</w:t>
      </w:r>
    </w:p>
    <w:p w14:paraId="51F8EA16">
      <w:pPr>
        <w:snapToGrid w:val="0"/>
        <w:spacing w:line="360" w:lineRule="auto"/>
        <w:ind w:firstLine="482" w:firstLineChars="200"/>
        <w:rPr>
          <w:rFonts w:hint="eastAsia" w:ascii="宋体"/>
          <w:b/>
          <w:bCs/>
          <w:color w:val="auto"/>
          <w:sz w:val="24"/>
          <w:szCs w:val="24"/>
          <w:highlight w:val="none"/>
          <w:u w:val="single"/>
        </w:rPr>
      </w:pPr>
      <w:r>
        <w:rPr>
          <w:rFonts w:hint="eastAsia" w:ascii="宋体"/>
          <w:b/>
          <w:bCs/>
          <w:color w:val="auto"/>
          <w:sz w:val="24"/>
          <w:szCs w:val="24"/>
          <w:highlight w:val="none"/>
          <w:u w:val="single"/>
        </w:rPr>
        <w:t>总得分相同的投标文件，以施工组织设计部分得分较高的排前；总得分与施工组织设计部分得分均相同的投标文件，则按名次并列计算。若名次排列出现并列，则占用下一名次(如：第一名分数均相同的投标人有N个，则该N个投标人并列为第一名，下一名按第N+1名计算，依此类推）。如排名第20名的投标人有N个，则这N个投标人都推荐进入定标阶段。</w:t>
      </w:r>
    </w:p>
    <w:p w14:paraId="2A2594C9">
      <w:pPr>
        <w:snapToGrid w:val="0"/>
        <w:spacing w:line="360" w:lineRule="auto"/>
        <w:ind w:firstLine="482" w:firstLineChars="200"/>
        <w:rPr>
          <w:rFonts w:ascii="宋体"/>
          <w:color w:val="auto"/>
          <w:szCs w:val="21"/>
          <w:highlight w:val="none"/>
        </w:rPr>
      </w:pPr>
      <w:r>
        <w:rPr>
          <w:rFonts w:hint="eastAsia" w:ascii="宋体"/>
          <w:b/>
          <w:bCs/>
          <w:color w:val="auto"/>
          <w:sz w:val="24"/>
          <w:szCs w:val="24"/>
          <w:highlight w:val="none"/>
          <w:u w:val="single"/>
        </w:rPr>
        <w:t>40.8定标委员会对评标委员会推荐的合格中标候选人按《定标因素表》，以总得分=方案因素（满分90分）+价格因素（满分10分），由高至低排序合格中标候选人的名次，确定得分最高的为中标人。定标结束后，定标委员会向招标人递交定标报告</w:t>
      </w:r>
    </w:p>
    <w:p w14:paraId="39215BE2">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41．开标细则</w:t>
      </w:r>
    </w:p>
    <w:p w14:paraId="053EE5FD">
      <w:pPr>
        <w:snapToGrid w:val="0"/>
        <w:spacing w:line="360" w:lineRule="auto"/>
        <w:ind w:firstLine="480" w:firstLineChars="200"/>
        <w:rPr>
          <w:rFonts w:hint="eastAsia" w:ascii="宋体" w:eastAsia="宋体"/>
          <w:color w:val="auto"/>
          <w:sz w:val="24"/>
          <w:szCs w:val="24"/>
          <w:highlight w:val="none"/>
          <w:lang w:eastAsia="zh-CN"/>
        </w:rPr>
      </w:pPr>
      <w:r>
        <w:rPr>
          <w:rFonts w:hint="eastAsia" w:ascii="宋体"/>
          <w:color w:val="auto"/>
          <w:sz w:val="24"/>
          <w:szCs w:val="24"/>
          <w:highlight w:val="none"/>
        </w:rPr>
        <w:t>41.1开标由招标人主持</w:t>
      </w:r>
      <w:r>
        <w:rPr>
          <w:rFonts w:hint="eastAsia" w:ascii="宋体"/>
          <w:color w:val="auto"/>
          <w:sz w:val="24"/>
          <w:szCs w:val="24"/>
          <w:highlight w:val="none"/>
          <w:lang w:eastAsia="zh-CN"/>
        </w:rPr>
        <w:t>。</w:t>
      </w:r>
    </w:p>
    <w:p w14:paraId="79BEA113">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41.2 细则</w:t>
      </w:r>
    </w:p>
    <w:p w14:paraId="4370B489">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41.2.1投标截止期前，各投标人递交投标文件（包括技术标投标文件、经济标投标文件）至</w:t>
      </w:r>
      <w:r>
        <w:rPr>
          <w:rFonts w:hint="eastAsia" w:ascii="宋体" w:hAnsi="宋体" w:cs="宋体"/>
          <w:b/>
          <w:bCs/>
          <w:sz w:val="24"/>
          <w:szCs w:val="24"/>
          <w:highlight w:val="none"/>
          <w:u w:val="single"/>
        </w:rPr>
        <w:t>广州交易集团有限公司（广州公共资源交易中心）</w:t>
      </w:r>
      <w:r>
        <w:rPr>
          <w:rFonts w:hint="eastAsia" w:ascii="宋体"/>
          <w:color w:val="auto"/>
          <w:sz w:val="24"/>
          <w:szCs w:val="24"/>
          <w:highlight w:val="none"/>
        </w:rPr>
        <w:t xml:space="preserve">交易平台。有关投标文件提交的事项详见第一章投标须知。 </w:t>
      </w:r>
    </w:p>
    <w:p w14:paraId="07E979C2">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41.2.2</w:t>
      </w:r>
      <w:r>
        <w:rPr>
          <w:rFonts w:hint="eastAsia" w:ascii="宋体" w:hAnsi="宋体"/>
          <w:color w:val="auto"/>
          <w:sz w:val="24"/>
          <w:szCs w:val="24"/>
          <w:highlight w:val="none"/>
        </w:rPr>
        <w:t>开标时，投标人代表有权参加现场开标或在线开标，也可以自主决定不参加开标，若投标人代表对开标过程有异议的，参加现场开标的应当在开标现场提出，同时出示本人身份证原件，招标人应当当场作出答复，并制作记录；参加在线开标的，投标人应通过交易平台在线提出，招标人应通过交易平台答复，答复后方可结束开标。</w:t>
      </w:r>
    </w:p>
    <w:p w14:paraId="6B0CF40D">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41.2.</w:t>
      </w:r>
      <w:r>
        <w:rPr>
          <w:rFonts w:hint="eastAsia" w:ascii="宋体"/>
          <w:color w:val="auto"/>
          <w:sz w:val="24"/>
          <w:szCs w:val="24"/>
          <w:highlight w:val="none"/>
          <w:lang w:val="en-US" w:eastAsia="zh-CN"/>
        </w:rPr>
        <w:t>3</w:t>
      </w:r>
      <w:r>
        <w:rPr>
          <w:rFonts w:hint="eastAsia" w:ascii="宋体"/>
          <w:color w:val="auto"/>
          <w:sz w:val="24"/>
          <w:szCs w:val="24"/>
          <w:highlight w:val="none"/>
        </w:rPr>
        <w:t xml:space="preserve">按36.5.1的规定完成解密后，公布下列内容，并予以记录，记录提交评标委员会评审： </w:t>
      </w:r>
    </w:p>
    <w:p w14:paraId="5688BAAE">
      <w:pPr>
        <w:snapToGrid w:val="0"/>
        <w:spacing w:line="360" w:lineRule="auto"/>
        <w:ind w:firstLine="480" w:firstLineChars="200"/>
        <w:rPr>
          <w:rFonts w:hint="eastAsia" w:ascii="宋体"/>
          <w:color w:val="auto"/>
          <w:sz w:val="24"/>
          <w:szCs w:val="24"/>
          <w:highlight w:val="none"/>
        </w:rPr>
      </w:pPr>
      <w:r>
        <w:rPr>
          <w:rFonts w:hint="eastAsia" w:ascii="宋体"/>
          <w:color w:val="auto"/>
          <w:sz w:val="24"/>
          <w:szCs w:val="24"/>
          <w:highlight w:val="none"/>
        </w:rPr>
        <w:t>41.2.</w:t>
      </w:r>
      <w:r>
        <w:rPr>
          <w:rFonts w:hint="eastAsia" w:ascii="宋体"/>
          <w:color w:val="auto"/>
          <w:sz w:val="24"/>
          <w:szCs w:val="24"/>
          <w:highlight w:val="none"/>
          <w:lang w:val="en-US" w:eastAsia="zh-CN"/>
        </w:rPr>
        <w:t>3</w:t>
      </w:r>
      <w:r>
        <w:rPr>
          <w:rFonts w:hint="eastAsia" w:ascii="宋体"/>
          <w:color w:val="auto"/>
          <w:sz w:val="24"/>
          <w:szCs w:val="24"/>
          <w:highlight w:val="none"/>
        </w:rPr>
        <w:t>.1开标时，公布：</w:t>
      </w:r>
      <w:r>
        <w:rPr>
          <w:rFonts w:hint="eastAsia" w:ascii="宋体" w:hAnsi="宋体"/>
          <w:color w:val="auto"/>
          <w:sz w:val="24"/>
          <w:szCs w:val="24"/>
          <w:highlight w:val="none"/>
        </w:rPr>
        <w:t>a、投标人名称；</w:t>
      </w:r>
      <w:r>
        <w:rPr>
          <w:rFonts w:ascii="宋体" w:hAnsi="宋体"/>
          <w:color w:val="auto"/>
          <w:sz w:val="24"/>
          <w:szCs w:val="24"/>
          <w:highlight w:val="none"/>
        </w:rPr>
        <w:t>b</w:t>
      </w:r>
      <w:r>
        <w:rPr>
          <w:rFonts w:hint="eastAsia" w:ascii="宋体" w:hAnsi="宋体"/>
          <w:color w:val="auto"/>
          <w:sz w:val="24"/>
          <w:szCs w:val="24"/>
          <w:highlight w:val="none"/>
        </w:rPr>
        <w:t>、</w:t>
      </w:r>
      <w:r>
        <w:rPr>
          <w:rFonts w:hint="eastAsia" w:ascii="宋体" w:hAnsi="宋体"/>
          <w:color w:val="auto"/>
          <w:sz w:val="24"/>
          <w:szCs w:val="24"/>
          <w:highlight w:val="none"/>
          <w:lang w:eastAsia="zh-CN"/>
        </w:rPr>
        <w:t>投标文件递交情况</w:t>
      </w:r>
      <w:r>
        <w:rPr>
          <w:rFonts w:ascii="宋体" w:hAnsi="宋体"/>
          <w:color w:val="auto"/>
          <w:sz w:val="24"/>
          <w:szCs w:val="24"/>
          <w:highlight w:val="none"/>
        </w:rPr>
        <w:t>c</w:t>
      </w:r>
      <w:r>
        <w:rPr>
          <w:rFonts w:hint="eastAsia" w:ascii="宋体" w:hAnsi="宋体"/>
          <w:color w:val="auto"/>
          <w:sz w:val="24"/>
          <w:szCs w:val="24"/>
          <w:highlight w:val="none"/>
        </w:rPr>
        <w:t>、</w:t>
      </w:r>
      <w:r>
        <w:rPr>
          <w:rFonts w:hint="eastAsia" w:ascii="宋体" w:hAnsi="宋体"/>
          <w:color w:val="auto"/>
          <w:sz w:val="24"/>
          <w:highlight w:val="none"/>
        </w:rPr>
        <w:t>投标文件</w:t>
      </w:r>
      <w:r>
        <w:rPr>
          <w:rFonts w:hint="eastAsia" w:ascii="宋体" w:hAnsi="宋体"/>
          <w:color w:val="auto"/>
          <w:sz w:val="24"/>
          <w:highlight w:val="none"/>
          <w:lang w:eastAsia="zh-CN"/>
        </w:rPr>
        <w:t>解</w:t>
      </w:r>
      <w:r>
        <w:rPr>
          <w:rFonts w:hint="eastAsia" w:ascii="宋体" w:hAnsi="宋体"/>
          <w:color w:val="auto"/>
          <w:sz w:val="24"/>
          <w:szCs w:val="24"/>
          <w:highlight w:val="none"/>
        </w:rPr>
        <w:t>密情况；</w:t>
      </w:r>
      <w:r>
        <w:rPr>
          <w:rFonts w:ascii="宋体" w:hAnsi="宋体"/>
          <w:color w:val="auto"/>
          <w:sz w:val="24"/>
          <w:szCs w:val="24"/>
          <w:highlight w:val="none"/>
        </w:rPr>
        <w:t>d</w:t>
      </w:r>
      <w:r>
        <w:rPr>
          <w:rFonts w:hint="eastAsia" w:ascii="宋体" w:hAnsi="宋体"/>
          <w:color w:val="auto"/>
          <w:sz w:val="24"/>
          <w:szCs w:val="24"/>
          <w:highlight w:val="none"/>
        </w:rPr>
        <w:t>、法定代表人证明及授权委托；</w:t>
      </w:r>
      <w:r>
        <w:rPr>
          <w:rFonts w:ascii="宋体" w:hAnsi="宋体"/>
          <w:color w:val="auto"/>
          <w:sz w:val="24"/>
          <w:szCs w:val="24"/>
          <w:highlight w:val="none"/>
        </w:rPr>
        <w:t>e</w:t>
      </w:r>
      <w:r>
        <w:rPr>
          <w:rFonts w:hint="eastAsia" w:ascii="宋体" w:hAnsi="宋体"/>
          <w:color w:val="auto"/>
          <w:sz w:val="24"/>
          <w:szCs w:val="24"/>
          <w:highlight w:val="none"/>
        </w:rPr>
        <w:t>、投标保证金；</w:t>
      </w:r>
      <w:r>
        <w:rPr>
          <w:rFonts w:hint="eastAsia" w:ascii="宋体" w:hAnsi="宋体"/>
          <w:color w:val="auto"/>
          <w:sz w:val="24"/>
          <w:szCs w:val="24"/>
          <w:highlight w:val="none"/>
          <w:lang w:val="en-US" w:eastAsia="zh-CN"/>
        </w:rPr>
        <w:t>f、</w:t>
      </w:r>
      <w:r>
        <w:rPr>
          <w:rFonts w:hint="eastAsia" w:ascii="宋体" w:hAnsi="宋体"/>
          <w:color w:val="auto"/>
          <w:sz w:val="24"/>
          <w:szCs w:val="24"/>
          <w:highlight w:val="none"/>
        </w:rPr>
        <w:t>项目经理（负责人）名称；</w:t>
      </w:r>
      <w:r>
        <w:rPr>
          <w:rFonts w:ascii="宋体" w:hAnsi="宋体"/>
          <w:color w:val="auto"/>
          <w:sz w:val="24"/>
          <w:szCs w:val="24"/>
          <w:highlight w:val="none"/>
        </w:rPr>
        <w:t>f</w:t>
      </w:r>
      <w:r>
        <w:rPr>
          <w:rFonts w:hint="eastAsia" w:ascii="宋体" w:hAnsi="宋体"/>
          <w:color w:val="auto"/>
          <w:sz w:val="24"/>
          <w:szCs w:val="24"/>
          <w:highlight w:val="none"/>
        </w:rPr>
        <w:t>、投标报价等</w:t>
      </w:r>
      <w:r>
        <w:rPr>
          <w:rFonts w:hint="eastAsia" w:ascii="宋体"/>
          <w:color w:val="auto"/>
          <w:sz w:val="24"/>
          <w:szCs w:val="24"/>
          <w:highlight w:val="none"/>
        </w:rPr>
        <w:t>主要内容及开标记录表中的其他必要内容。投标报价以数字和文字两种方式表述的，应公布文字表述的投标报价。</w:t>
      </w:r>
    </w:p>
    <w:p w14:paraId="3D106F76">
      <w:pPr>
        <w:snapToGrid w:val="0"/>
        <w:spacing w:line="360" w:lineRule="auto"/>
        <w:ind w:firstLine="480" w:firstLineChars="200"/>
        <w:rPr>
          <w:rFonts w:hint="eastAsia" w:ascii="宋体" w:eastAsia="宋体"/>
          <w:strike/>
          <w:color w:val="auto"/>
          <w:sz w:val="24"/>
          <w:szCs w:val="24"/>
          <w:highlight w:val="none"/>
          <w:lang w:val="en-US" w:eastAsia="zh-CN"/>
        </w:rPr>
      </w:pPr>
      <w:r>
        <w:rPr>
          <w:rFonts w:hint="eastAsia" w:ascii="宋体"/>
          <w:strike/>
          <w:color w:val="auto"/>
          <w:sz w:val="24"/>
          <w:szCs w:val="24"/>
          <w:highlight w:val="none"/>
          <w:lang w:val="en-US" w:eastAsia="zh-CN"/>
        </w:rPr>
        <w:t>41.2.3.2</w:t>
      </w:r>
      <w:r>
        <w:rPr>
          <w:rFonts w:hint="eastAsia" w:ascii="宋体"/>
          <w:strike/>
          <w:color w:val="auto"/>
          <w:sz w:val="24"/>
          <w:szCs w:val="24"/>
          <w:highlight w:val="none"/>
        </w:rPr>
        <w:t>由招标人随机抽取确定该工程计算评标参考价的等分点值X</w:t>
      </w:r>
      <w:r>
        <w:rPr>
          <w:rFonts w:hint="eastAsia" w:ascii="宋体"/>
          <w:strike/>
          <w:color w:val="auto"/>
          <w:sz w:val="24"/>
          <w:szCs w:val="24"/>
          <w:highlight w:val="none"/>
          <w:lang w:eastAsia="zh-CN"/>
        </w:rPr>
        <w:t>。</w:t>
      </w:r>
    </w:p>
    <w:p w14:paraId="42A746D2">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41.3招标人对开标过程进行记录，并存档备查。</w:t>
      </w:r>
    </w:p>
    <w:p w14:paraId="309CCD01">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41.4 招标人将上述符合要求的投标文件，送至评标委员会进行评审。</w:t>
      </w:r>
    </w:p>
    <w:p w14:paraId="5BFFF79B">
      <w:pPr>
        <w:pStyle w:val="4"/>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42. 资格审查及评标细则</w:t>
      </w:r>
    </w:p>
    <w:p w14:paraId="12F60C2E">
      <w:pPr>
        <w:pStyle w:val="4"/>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42.1资格审查及评标均由招标人依法组建的评标委员会负责。</w:t>
      </w:r>
    </w:p>
    <w:p w14:paraId="4ADD5F44">
      <w:pPr>
        <w:pStyle w:val="4"/>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42.2评标委员会的组成：方式</w:t>
      </w:r>
      <w:r>
        <w:rPr>
          <w:rFonts w:hint="eastAsia" w:ascii="宋体"/>
          <w:b/>
          <w:bCs/>
          <w:color w:val="auto"/>
          <w:sz w:val="24"/>
          <w:szCs w:val="24"/>
          <w:highlight w:val="none"/>
          <w:u w:val="single"/>
          <w:lang w:eastAsia="zh-CN"/>
        </w:rPr>
        <w:t>一</w:t>
      </w:r>
      <w:r>
        <w:rPr>
          <w:rFonts w:hint="eastAsia" w:ascii="宋体"/>
          <w:color w:val="auto"/>
          <w:sz w:val="24"/>
          <w:szCs w:val="24"/>
          <w:highlight w:val="none"/>
        </w:rPr>
        <w:t>。</w:t>
      </w:r>
    </w:p>
    <w:p w14:paraId="136BEF50">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方式一：评标委员会为综合评标委员会，负责资格审查及评标工作。</w:t>
      </w:r>
    </w:p>
    <w:p w14:paraId="2FFA21A3">
      <w:pPr>
        <w:pStyle w:val="4"/>
        <w:tabs>
          <w:tab w:val="left" w:pos="7380"/>
        </w:tabs>
        <w:snapToGrid w:val="0"/>
        <w:spacing w:after="0" w:line="360" w:lineRule="auto"/>
        <w:rPr>
          <w:rFonts w:ascii="宋体"/>
          <w:strike/>
          <w:color w:val="auto"/>
          <w:sz w:val="24"/>
          <w:szCs w:val="24"/>
          <w:highlight w:val="none"/>
        </w:rPr>
      </w:pPr>
      <w:r>
        <w:rPr>
          <w:rFonts w:hint="eastAsia" w:ascii="宋体"/>
          <w:strike/>
          <w:color w:val="auto"/>
          <w:sz w:val="24"/>
          <w:szCs w:val="24"/>
          <w:highlight w:val="none"/>
        </w:rPr>
        <w:t>方式二：评标委员会由技术评审组和经济评审组组成。其中：资格审查及技术评审由技术评标组负责，经济评审由经济评审组负责。</w:t>
      </w:r>
    </w:p>
    <w:p w14:paraId="0E17F580">
      <w:pPr>
        <w:pStyle w:val="4"/>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43．投标人资格审查</w:t>
      </w:r>
    </w:p>
    <w:p w14:paraId="3A92F438">
      <w:pPr>
        <w:pStyle w:val="4"/>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43.1资格审查文件中全部符合附表一《资格审查表》中情形的，为资格审查合格；否则为资格审查不合格。如评标委员会成员的评审意见不一致时，以评标委员会过半数成员的意见作为评标委员会对该情形的认定结论。评委发现资格审查文件中含义不明确、对同类问题表述不一致、有明显文字和计算错误的，应当要求投标人作必要的澄清、说明后再判定投标人是否通过资格审查，不得直接认定其不通过资格审查。</w:t>
      </w:r>
    </w:p>
    <w:p w14:paraId="5D5F4555">
      <w:pPr>
        <w:pStyle w:val="4"/>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43.2汇总资格审查情况，编写资格审查报告。</w:t>
      </w:r>
    </w:p>
    <w:p w14:paraId="4696CBD4">
      <w:pPr>
        <w:pStyle w:val="4"/>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43.3资格审查不合格的投标文件不参加下一阶段的评标</w:t>
      </w:r>
      <w:r>
        <w:rPr>
          <w:rFonts w:hint="eastAsia" w:ascii="宋体"/>
          <w:strike/>
          <w:color w:val="auto"/>
          <w:sz w:val="24"/>
          <w:szCs w:val="24"/>
          <w:highlight w:val="none"/>
        </w:rPr>
        <w:t>，不参与评标参考价的计算</w:t>
      </w:r>
      <w:r>
        <w:rPr>
          <w:rFonts w:hint="eastAsia" w:ascii="宋体"/>
          <w:color w:val="auto"/>
          <w:sz w:val="24"/>
          <w:szCs w:val="24"/>
          <w:highlight w:val="none"/>
        </w:rPr>
        <w:t>。</w:t>
      </w:r>
    </w:p>
    <w:p w14:paraId="4D21F1D2">
      <w:pPr>
        <w:pStyle w:val="4"/>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43.4资格审查时，投标企业名称已经工商变更的，但企业及个人的资质证书未完成企业名称变更，仍然承认其有效。资质证书、安全生产许可证之间登记的信息不一致，应当允许投标人澄清，不得直接否决其投标。</w:t>
      </w:r>
    </w:p>
    <w:p w14:paraId="5B2F24BB">
      <w:pPr>
        <w:pStyle w:val="4"/>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43.5资审合格后，投标人的资格发生变化而不满足投标人合格条件，在发出中标通知书前，资格问题仍未解决的，招标人将取消其中标资格。</w:t>
      </w:r>
    </w:p>
    <w:p w14:paraId="79F6BB91">
      <w:pPr>
        <w:pStyle w:val="4"/>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43.6资格审查合格的投标人少于3名的（当N个标段同时招标且不允许兼中时，资格审查合格的投标人少于N+2名），则本项目招标失败</w:t>
      </w:r>
      <w:r>
        <w:rPr>
          <w:rFonts w:hint="eastAsia" w:ascii="宋体"/>
          <w:color w:val="auto"/>
          <w:sz w:val="24"/>
          <w:szCs w:val="24"/>
          <w:highlight w:val="none"/>
          <w:lang w:eastAsia="zh-CN"/>
        </w:rPr>
        <w:t>，由招标人依法重新招标</w:t>
      </w:r>
      <w:r>
        <w:rPr>
          <w:rFonts w:hint="eastAsia" w:ascii="宋体"/>
          <w:color w:val="auto"/>
          <w:sz w:val="24"/>
          <w:szCs w:val="24"/>
          <w:highlight w:val="none"/>
        </w:rPr>
        <w:t>。</w:t>
      </w:r>
    </w:p>
    <w:p w14:paraId="648086F3">
      <w:pPr>
        <w:pStyle w:val="4"/>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44．技术标评审</w:t>
      </w:r>
    </w:p>
    <w:p w14:paraId="4B8AFD61">
      <w:pPr>
        <w:pStyle w:val="4"/>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44.1</w:t>
      </w:r>
      <w:r>
        <w:rPr>
          <w:rFonts w:hint="eastAsia" w:ascii="宋体" w:hAnsi="宋体"/>
          <w:color w:val="auto"/>
          <w:sz w:val="24"/>
          <w:szCs w:val="24"/>
          <w:highlight w:val="none"/>
        </w:rPr>
        <w:t>技术标的有效性审查：投标文件中没有任一种列于本办法附表二《技术标有效性审查表》中情形的，为有效投标文件。否则其投标文件将被否决。被否决的投标人不参与下一阶段评审，不参与评标参考价的计算。如评标委员会成员的评审意见不一致时，以评标委员会过半数成员的意见作为评标委员会对该情形的认定结论。若通过技术标有效性审查的投标人不足三家，则</w:t>
      </w:r>
      <w:r>
        <w:rPr>
          <w:rFonts w:hint="eastAsia" w:ascii="宋体" w:hAnsi="宋体"/>
          <w:color w:val="auto"/>
          <w:sz w:val="24"/>
          <w:szCs w:val="24"/>
          <w:highlight w:val="none"/>
          <w:lang w:eastAsia="zh-CN"/>
        </w:rPr>
        <w:t>本项目招标失败</w:t>
      </w:r>
      <w:r>
        <w:rPr>
          <w:rFonts w:hint="eastAsia" w:ascii="宋体" w:hAnsi="宋体"/>
          <w:color w:val="auto"/>
          <w:sz w:val="24"/>
          <w:szCs w:val="24"/>
          <w:highlight w:val="none"/>
        </w:rPr>
        <w:t>（当N个标段同时招标且不允许兼中时，通过技术标有效性审查投标人</w:t>
      </w:r>
      <w:r>
        <w:rPr>
          <w:rFonts w:hint="eastAsia" w:ascii="宋体" w:hAnsi="宋体"/>
          <w:color w:val="auto"/>
          <w:sz w:val="24"/>
          <w:szCs w:val="24"/>
          <w:highlight w:val="none"/>
          <w:lang w:eastAsia="zh-CN"/>
        </w:rPr>
        <w:t>应≥</w:t>
      </w:r>
      <w:r>
        <w:rPr>
          <w:rFonts w:hint="eastAsia" w:ascii="宋体" w:hAnsi="宋体"/>
          <w:color w:val="auto"/>
          <w:sz w:val="24"/>
          <w:szCs w:val="24"/>
          <w:highlight w:val="none"/>
        </w:rPr>
        <w:t>N+2）</w:t>
      </w:r>
      <w:r>
        <w:rPr>
          <w:rFonts w:hint="eastAsia" w:ascii="宋体"/>
          <w:color w:val="auto"/>
          <w:sz w:val="24"/>
          <w:szCs w:val="24"/>
          <w:highlight w:val="none"/>
          <w:lang w:eastAsia="zh-CN"/>
        </w:rPr>
        <w:t>，由招标人依法重新招标</w:t>
      </w:r>
      <w:r>
        <w:rPr>
          <w:rFonts w:hint="eastAsia" w:ascii="宋体" w:hAnsi="宋体"/>
          <w:color w:val="auto"/>
          <w:sz w:val="24"/>
          <w:szCs w:val="24"/>
          <w:highlight w:val="none"/>
        </w:rPr>
        <w:t>。评委发现投标文件中含义不明确、对同类问题表述不一致、有明显文字和计算错误的，应当要求投标人作必要的澄清、说明后再判定投标人是否通过有效性审查，不得直接否决投标。</w:t>
      </w:r>
    </w:p>
    <w:p w14:paraId="516DCB75">
      <w:pPr>
        <w:pStyle w:val="4"/>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44.2技术标详细审查评分：评标委员会按照附表四《技术标详细审查评分表》的标准，对通过技术标有效性审查的投标文件技术标进行详细审查，评出技术分，得分四舍五入精确到小数点后两位。</w:t>
      </w:r>
    </w:p>
    <w:p w14:paraId="6CD021E6">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经济标的算术校核。评标委员会对进行经济标有效性审查的投标文件投标报价按照就低不就高的原则进行算术校核，具体标准如下：</w:t>
      </w:r>
    </w:p>
    <w:p w14:paraId="1DE0FA64">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lang w:val="en-US" w:eastAsia="zh-CN"/>
        </w:rPr>
        <w:t>45.</w:t>
      </w:r>
      <w:r>
        <w:rPr>
          <w:rFonts w:hint="eastAsia" w:ascii="宋体" w:hAnsi="宋体"/>
          <w:color w:val="auto"/>
          <w:sz w:val="24"/>
          <w:szCs w:val="24"/>
          <w:highlight w:val="none"/>
        </w:rPr>
        <w:t>1如果数字表示的金额和用文字表示的金额不一致时，应以文字表示的金额为准；</w:t>
      </w:r>
    </w:p>
    <w:p w14:paraId="49EE8E80">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lang w:val="en-US" w:eastAsia="zh-CN"/>
        </w:rPr>
        <w:t>45.</w:t>
      </w:r>
      <w:r>
        <w:rPr>
          <w:rFonts w:hint="eastAsia" w:ascii="宋体" w:hAnsi="宋体"/>
          <w:color w:val="auto"/>
          <w:sz w:val="24"/>
          <w:szCs w:val="24"/>
          <w:highlight w:val="none"/>
        </w:rPr>
        <w:t>2经算术复核的投标人报价与其投标报价不一致时，按就低不就高原则确定其最终报价；</w:t>
      </w:r>
    </w:p>
    <w:p w14:paraId="64268664">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lang w:val="en-US" w:eastAsia="zh-CN"/>
        </w:rPr>
        <w:t>45.</w:t>
      </w:r>
      <w:r>
        <w:rPr>
          <w:rFonts w:hint="eastAsia" w:ascii="宋体" w:hAnsi="宋体"/>
          <w:color w:val="auto"/>
          <w:sz w:val="24"/>
          <w:szCs w:val="24"/>
          <w:highlight w:val="none"/>
        </w:rPr>
        <w:t>3当单价与数量均符合招标文件要求时，若单价与数量的乘积与合价不一致时，按就低不就高原则确定修改单价或是合价。当单价与数量的乘积小于合价，以单价为准，修改合价，除非评标委员会认为单价有明显的小数点错误，此时应以标出的合价为准，并修改单价；当单价与数量的乘积大于合价，以合价为准，修改单价；</w:t>
      </w:r>
    </w:p>
    <w:p w14:paraId="3BDB08EF">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w:t>
      </w:r>
      <w:r>
        <w:rPr>
          <w:rFonts w:ascii="宋体" w:hAnsi="宋体"/>
          <w:color w:val="auto"/>
          <w:sz w:val="24"/>
          <w:szCs w:val="24"/>
          <w:highlight w:val="none"/>
        </w:rPr>
        <w:t>4</w:t>
      </w:r>
      <w:r>
        <w:rPr>
          <w:rFonts w:hint="eastAsia" w:ascii="宋体" w:hAnsi="宋体"/>
          <w:color w:val="auto"/>
          <w:sz w:val="24"/>
          <w:szCs w:val="24"/>
          <w:highlight w:val="none"/>
        </w:rPr>
        <w:t>当合价、金额累加错误时，按就低不就高原则，如果累加修正值小于原累加值，则按累加修正值；如果累加修正值大于原累加值，则按原累加值；</w:t>
      </w:r>
    </w:p>
    <w:p w14:paraId="7E52072A">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w:t>
      </w:r>
      <w:r>
        <w:rPr>
          <w:rFonts w:ascii="宋体" w:hAnsi="宋体"/>
          <w:color w:val="auto"/>
          <w:sz w:val="24"/>
          <w:szCs w:val="24"/>
          <w:highlight w:val="none"/>
        </w:rPr>
        <w:t>5</w:t>
      </w:r>
      <w:r>
        <w:rPr>
          <w:rFonts w:hint="eastAsia" w:ascii="宋体" w:hAnsi="宋体"/>
          <w:color w:val="auto"/>
          <w:sz w:val="24"/>
          <w:szCs w:val="24"/>
          <w:highlight w:val="none"/>
        </w:rPr>
        <w:t>如果投标人的有关规费、暂列金额、暂估价、绿色施工安全防护措施费等未按招标文件规定的金额填写的，由评标委员会按照招标文件规定的金额进行修正；</w:t>
      </w:r>
    </w:p>
    <w:p w14:paraId="2EE5A1D6">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lang w:val="en-US" w:eastAsia="zh-CN"/>
        </w:rPr>
        <w:t>5.</w:t>
      </w:r>
      <w:r>
        <w:rPr>
          <w:rFonts w:ascii="宋体" w:hAnsi="宋体"/>
          <w:color w:val="auto"/>
          <w:sz w:val="24"/>
          <w:szCs w:val="24"/>
          <w:highlight w:val="none"/>
        </w:rPr>
        <w:t>6</w:t>
      </w:r>
      <w:r>
        <w:rPr>
          <w:rFonts w:hint="eastAsia" w:ascii="宋体" w:hAnsi="宋体"/>
          <w:color w:val="auto"/>
          <w:sz w:val="24"/>
          <w:szCs w:val="24"/>
          <w:highlight w:val="none"/>
        </w:rPr>
        <w:t>①分部分项工程量比招标文件少、单位比招标文件小或错误时，以招标文件的工程量或单位为准，合价不变，修改综合单价。分部分项工程量比招标文件多或单位比招标文件大时，工程量、单位、综合单价及合价均不作修改；②分部分项项目对比招标文件（招标工程量清单）漏项的，则该漏项费用视为已分配在其他项目中，不再修改；③分部分项工程量清单中的综合单价与综合单价分析表中的综合单价不一致时，以价低者为准；④分部分项工程量计价表中的项目编码或项目名称或计量单位或工程数量缺省或不填时，由评委以招标文件中招标人工程量清单为准进行修正；若同时缺省或不填项目编码和项目名称，则该项按增项处理；⑤分部分项项目增项的，不予修改；⑥其它招标文件规定需要修改的，均以就低不就高原则进行修改；</w:t>
      </w:r>
    </w:p>
    <w:p w14:paraId="7E7344FC">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lang w:val="en-US" w:eastAsia="zh-CN"/>
        </w:rPr>
        <w:t>5.</w:t>
      </w:r>
      <w:r>
        <w:rPr>
          <w:rFonts w:ascii="宋体" w:hAnsi="宋体"/>
          <w:color w:val="auto"/>
          <w:sz w:val="24"/>
          <w:szCs w:val="24"/>
          <w:highlight w:val="none"/>
        </w:rPr>
        <w:t>7</w:t>
      </w:r>
      <w:r>
        <w:rPr>
          <w:rFonts w:hint="eastAsia" w:ascii="宋体" w:hAnsi="宋体"/>
          <w:color w:val="auto"/>
          <w:sz w:val="24"/>
          <w:szCs w:val="24"/>
          <w:highlight w:val="none"/>
        </w:rPr>
        <w:t>按就低不就高原则，当修正后报价小于原报价，总价按修正后报价；当修正后报价大于原报价，总价按原报价，并在签订合同时载明在结算价中扣除修正报价与原报价的差额。</w:t>
      </w:r>
    </w:p>
    <w:p w14:paraId="6639486B">
      <w:pPr>
        <w:pStyle w:val="4"/>
        <w:tabs>
          <w:tab w:val="left" w:pos="7380"/>
        </w:tabs>
        <w:snapToGrid w:val="0"/>
        <w:spacing w:after="0"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lang w:val="en-US" w:eastAsia="zh-CN"/>
        </w:rPr>
        <w:t>5.</w:t>
      </w:r>
      <w:r>
        <w:rPr>
          <w:rFonts w:ascii="宋体" w:hAnsi="宋体"/>
          <w:color w:val="auto"/>
          <w:sz w:val="24"/>
          <w:szCs w:val="24"/>
          <w:highlight w:val="none"/>
        </w:rPr>
        <w:t>8</w:t>
      </w:r>
      <w:r>
        <w:rPr>
          <w:rFonts w:hint="eastAsia" w:ascii="宋体" w:hAnsi="宋体"/>
          <w:color w:val="auto"/>
          <w:sz w:val="24"/>
          <w:szCs w:val="24"/>
          <w:highlight w:val="none"/>
        </w:rPr>
        <w:t>评标委员会按上述修正错误的原则及方法调整或修正</w:t>
      </w:r>
      <w:r>
        <w:rPr>
          <w:rFonts w:hint="eastAsia" w:ascii="宋体" w:hAnsi="宋体"/>
          <w:color w:val="auto"/>
          <w:sz w:val="24"/>
          <w:szCs w:val="24"/>
          <w:highlight w:val="none"/>
          <w:lang w:eastAsia="zh-CN"/>
        </w:rPr>
        <w:t>经济标</w:t>
      </w:r>
      <w:r>
        <w:rPr>
          <w:rFonts w:hint="eastAsia" w:ascii="宋体" w:hAnsi="宋体"/>
          <w:color w:val="auto"/>
          <w:sz w:val="24"/>
          <w:szCs w:val="24"/>
          <w:highlight w:val="none"/>
        </w:rPr>
        <w:t>投标文件的投标报价</w:t>
      </w:r>
      <w:r>
        <w:rPr>
          <w:rFonts w:hint="eastAsia" w:ascii="宋体" w:hAnsi="宋体"/>
          <w:color w:val="auto"/>
          <w:sz w:val="24"/>
          <w:szCs w:val="24"/>
          <w:highlight w:val="none"/>
          <w:lang w:eastAsia="zh-CN"/>
        </w:rPr>
        <w:t>。评标委员会应</w:t>
      </w:r>
      <w:r>
        <w:rPr>
          <w:rFonts w:hint="eastAsia" w:ascii="宋体" w:hAnsi="宋体"/>
          <w:color w:val="auto"/>
          <w:sz w:val="24"/>
          <w:szCs w:val="24"/>
          <w:highlight w:val="none"/>
        </w:rPr>
        <w:t>要求投标人以澄清形式进行核实和确认</w:t>
      </w:r>
      <w:r>
        <w:rPr>
          <w:rFonts w:hint="eastAsia" w:ascii="宋体" w:hAnsi="宋体"/>
          <w:color w:val="auto"/>
          <w:sz w:val="24"/>
          <w:szCs w:val="24"/>
          <w:highlight w:val="none"/>
          <w:lang w:eastAsia="zh-CN"/>
        </w:rPr>
        <w:t>调整或修正的经济标投标文件的投标报价，投标人应在评标委员会在评标系统发出要求澄清的通知起</w:t>
      </w:r>
      <w:r>
        <w:rPr>
          <w:rFonts w:hint="eastAsia" w:ascii="宋体" w:hAnsi="宋体"/>
          <w:color w:val="auto"/>
          <w:sz w:val="24"/>
          <w:szCs w:val="24"/>
          <w:highlight w:val="none"/>
          <w:lang w:val="en-US" w:eastAsia="zh-CN"/>
        </w:rPr>
        <w:t>120分钟内将核实和确认结果书面回复评标委员会，逾时不回复视作同意评标委员会调整或修正投标文件的投标报价。</w:t>
      </w:r>
      <w:r>
        <w:rPr>
          <w:rFonts w:hint="eastAsia" w:ascii="宋体" w:hAnsi="宋体"/>
          <w:color w:val="auto"/>
          <w:sz w:val="24"/>
          <w:szCs w:val="24"/>
          <w:highlight w:val="none"/>
        </w:rPr>
        <w:t>调整后的投标报价对投标人起约束作用。如果投标人</w:t>
      </w:r>
      <w:r>
        <w:rPr>
          <w:rFonts w:hint="eastAsia" w:ascii="宋体" w:hAnsi="宋体"/>
          <w:color w:val="auto"/>
          <w:sz w:val="24"/>
          <w:szCs w:val="24"/>
          <w:highlight w:val="none"/>
          <w:lang w:eastAsia="zh-CN"/>
        </w:rPr>
        <w:t>无正当理由</w:t>
      </w:r>
      <w:r>
        <w:rPr>
          <w:rFonts w:hint="eastAsia" w:ascii="宋体" w:hAnsi="宋体"/>
          <w:color w:val="auto"/>
          <w:sz w:val="24"/>
          <w:szCs w:val="24"/>
          <w:highlight w:val="none"/>
        </w:rPr>
        <w:t>不接受修正后的报价，则取消其投标资格，并且其投标保证金也将不予退还。</w:t>
      </w:r>
    </w:p>
    <w:p w14:paraId="355CAAD0">
      <w:pPr>
        <w:pStyle w:val="4"/>
        <w:tabs>
          <w:tab w:val="left" w:pos="7380"/>
        </w:tabs>
        <w:snapToGrid w:val="0"/>
        <w:spacing w:after="0" w:line="360" w:lineRule="auto"/>
        <w:ind w:firstLine="482" w:firstLineChars="200"/>
        <w:rPr>
          <w:rFonts w:hint="eastAsia" w:ascii="宋体"/>
          <w:b/>
          <w:bCs/>
          <w:color w:val="auto"/>
          <w:sz w:val="24"/>
          <w:szCs w:val="24"/>
          <w:highlight w:val="none"/>
          <w:u w:val="single"/>
        </w:rPr>
      </w:pPr>
      <w:r>
        <w:rPr>
          <w:rFonts w:hint="eastAsia" w:ascii="宋体"/>
          <w:b/>
          <w:bCs/>
          <w:color w:val="auto"/>
          <w:sz w:val="24"/>
          <w:szCs w:val="24"/>
          <w:highlight w:val="none"/>
          <w:u w:val="single"/>
        </w:rPr>
        <w:t>46.得分汇总</w:t>
      </w:r>
    </w:p>
    <w:p w14:paraId="3EC7545A">
      <w:pPr>
        <w:pStyle w:val="4"/>
        <w:tabs>
          <w:tab w:val="left" w:pos="7380"/>
        </w:tabs>
        <w:snapToGrid w:val="0"/>
        <w:spacing w:after="0" w:line="360" w:lineRule="auto"/>
        <w:ind w:firstLine="482" w:firstLineChars="200"/>
        <w:rPr>
          <w:rFonts w:hint="eastAsia" w:ascii="宋体"/>
          <w:b/>
          <w:bCs/>
          <w:color w:val="auto"/>
          <w:sz w:val="24"/>
          <w:szCs w:val="24"/>
          <w:highlight w:val="none"/>
          <w:u w:val="single"/>
        </w:rPr>
      </w:pPr>
      <w:r>
        <w:rPr>
          <w:rFonts w:hint="eastAsia" w:ascii="宋体"/>
          <w:b/>
          <w:bCs/>
          <w:color w:val="auto"/>
          <w:sz w:val="24"/>
          <w:szCs w:val="24"/>
          <w:highlight w:val="none"/>
          <w:u w:val="single"/>
        </w:rPr>
        <w:t>46.1若通过技术标有效性审查的投标人中所有投标报价均大于等于最高投标限价，则本项目招标失败，由招标人依法重新招标。</w:t>
      </w:r>
    </w:p>
    <w:p w14:paraId="4810B5A9">
      <w:pPr>
        <w:pStyle w:val="4"/>
        <w:tabs>
          <w:tab w:val="left" w:pos="7380"/>
        </w:tabs>
        <w:snapToGrid w:val="0"/>
        <w:spacing w:after="0" w:line="360" w:lineRule="auto"/>
        <w:ind w:firstLine="482" w:firstLineChars="200"/>
        <w:rPr>
          <w:rFonts w:ascii="宋体"/>
          <w:b/>
          <w:bCs/>
          <w:color w:val="auto"/>
          <w:sz w:val="24"/>
          <w:szCs w:val="24"/>
          <w:highlight w:val="none"/>
          <w:u w:val="single"/>
        </w:rPr>
      </w:pPr>
      <w:r>
        <w:rPr>
          <w:rFonts w:hint="eastAsia" w:ascii="宋体"/>
          <w:b/>
          <w:bCs/>
          <w:color w:val="auto"/>
          <w:sz w:val="24"/>
          <w:szCs w:val="24"/>
          <w:highlight w:val="none"/>
          <w:u w:val="single"/>
        </w:rPr>
        <w:t>46.2计算通过技术标有效性审查的投标人总得分。投标人总得分=技术得分（满分100分）×100%。相关部分得分权重按投标须知前附表的规定执行。总得分四舍五入保留两位小数。</w:t>
      </w:r>
    </w:p>
    <w:p w14:paraId="6AE78B02">
      <w:pPr>
        <w:pStyle w:val="4"/>
        <w:tabs>
          <w:tab w:val="left" w:pos="7380"/>
        </w:tabs>
        <w:snapToGrid w:val="0"/>
        <w:spacing w:after="0"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w:t>
      </w:r>
      <w:r>
        <w:rPr>
          <w:rFonts w:hint="eastAsia" w:ascii="宋体" w:hAnsi="宋体"/>
          <w:color w:val="auto"/>
          <w:sz w:val="24"/>
          <w:szCs w:val="24"/>
          <w:highlight w:val="none"/>
          <w:lang w:val="en-US" w:eastAsia="zh-CN"/>
        </w:rPr>
        <w:t>7</w:t>
      </w:r>
      <w:r>
        <w:rPr>
          <w:rFonts w:hint="eastAsia" w:ascii="宋体" w:hAnsi="宋体"/>
          <w:color w:val="auto"/>
          <w:sz w:val="24"/>
          <w:szCs w:val="24"/>
          <w:highlight w:val="none"/>
        </w:rPr>
        <w:t>.经济标的有效性审查</w:t>
      </w:r>
    </w:p>
    <w:p w14:paraId="2AF56227">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w:t>
      </w:r>
      <w:r>
        <w:rPr>
          <w:rFonts w:hint="eastAsia" w:ascii="宋体" w:hAnsi="宋体"/>
          <w:color w:val="auto"/>
          <w:sz w:val="24"/>
          <w:szCs w:val="24"/>
          <w:highlight w:val="none"/>
          <w:lang w:val="en-US" w:eastAsia="zh-CN"/>
        </w:rPr>
        <w:t>7</w:t>
      </w:r>
      <w:r>
        <w:rPr>
          <w:rFonts w:hint="eastAsia" w:ascii="宋体" w:hAnsi="宋体"/>
          <w:color w:val="auto"/>
          <w:sz w:val="24"/>
          <w:szCs w:val="24"/>
          <w:highlight w:val="none"/>
        </w:rPr>
        <w:t>.1经济标的有效性审查：按照投标人总得分排序，依次对投标文件进行经济标有效性审查，投标文件中没有任一种列于本办法附表三《经济标有效性审查表》中情形的，为有效投标文件，否则其投标文件将被否决。如评标委员会成员的评审意见不一致时，以评标委员会过半数成员的意见作为评标委员会对该情形的认定结论。评委发现投标文件中含义不明确、对同类问题表述不一致、有明显文字和计算错误、投标报价可能低于成本影响履约的，应当要求投标人作必要的澄清、说明后再判定投标人是否通过有效性审查，不得直接否决投标。</w:t>
      </w:r>
      <w:r>
        <w:rPr>
          <w:rFonts w:hint="eastAsia" w:ascii="宋体" w:hAnsi="宋体" w:cs="Times New Roman"/>
          <w:color w:val="auto"/>
          <w:sz w:val="24"/>
          <w:szCs w:val="24"/>
          <w:highlight w:val="none"/>
          <w:lang w:eastAsia="zh-CN"/>
        </w:rPr>
        <w:t>属于经济标算术校核范围的不得作为否决投标的情形。</w:t>
      </w:r>
    </w:p>
    <w:p w14:paraId="623FBE57">
      <w:pPr>
        <w:spacing w:line="360" w:lineRule="auto"/>
        <w:ind w:firstLine="595" w:firstLineChars="247"/>
        <w:rPr>
          <w:rFonts w:hint="eastAsia" w:ascii="宋体" w:hAnsi="宋体" w:cs="宋体"/>
          <w:b/>
          <w:bCs/>
          <w:sz w:val="24"/>
          <w:szCs w:val="24"/>
          <w:highlight w:val="none"/>
          <w:u w:val="single"/>
        </w:rPr>
      </w:pPr>
      <w:r>
        <w:rPr>
          <w:rFonts w:hint="eastAsia" w:ascii="宋体" w:hAnsi="宋体" w:cs="宋体"/>
          <w:b/>
          <w:bCs/>
          <w:sz w:val="24"/>
          <w:szCs w:val="24"/>
          <w:highlight w:val="none"/>
          <w:u w:val="single"/>
        </w:rPr>
        <w:t>4</w:t>
      </w:r>
      <w:r>
        <w:rPr>
          <w:rFonts w:hint="eastAsia" w:ascii="宋体" w:hAnsi="宋体" w:cs="宋体"/>
          <w:b/>
          <w:bCs/>
          <w:sz w:val="24"/>
          <w:szCs w:val="24"/>
          <w:highlight w:val="none"/>
          <w:u w:val="single"/>
          <w:lang w:val="en-US" w:eastAsia="zh-CN"/>
        </w:rPr>
        <w:t>8</w:t>
      </w:r>
      <w:r>
        <w:rPr>
          <w:rFonts w:hint="eastAsia" w:ascii="宋体" w:hAnsi="宋体" w:cs="宋体"/>
          <w:b/>
          <w:bCs/>
          <w:sz w:val="24"/>
          <w:szCs w:val="24"/>
          <w:highlight w:val="none"/>
          <w:u w:val="single"/>
        </w:rPr>
        <w:t>.评标委员会按只有通过有效性审查的投标人的投标文件方可进入下一阶段有效性审查的原则，根据有效性审查结果，取消被否决投标的投标人进入定标阶段的入围合格的中标候选人资格，其余通过全部有效性审查的投标人均可进入定标阶段。</w:t>
      </w:r>
    </w:p>
    <w:p w14:paraId="2C214024">
      <w:pPr>
        <w:spacing w:line="360" w:lineRule="auto"/>
        <w:ind w:firstLine="482" w:firstLineChars="200"/>
        <w:rPr>
          <w:rFonts w:ascii="宋体" w:hAnsi="宋体"/>
          <w:b/>
          <w:bCs/>
          <w:color w:val="auto"/>
          <w:sz w:val="24"/>
          <w:szCs w:val="24"/>
          <w:highlight w:val="none"/>
        </w:rPr>
      </w:pPr>
      <w:r>
        <w:rPr>
          <w:rFonts w:hint="eastAsia" w:ascii="宋体" w:hAnsi="宋体" w:cs="宋体"/>
          <w:b/>
          <w:bCs/>
          <w:sz w:val="24"/>
          <w:szCs w:val="24"/>
          <w:highlight w:val="none"/>
          <w:u w:val="single"/>
        </w:rPr>
        <w:t>4</w:t>
      </w:r>
      <w:r>
        <w:rPr>
          <w:rFonts w:hint="eastAsia" w:ascii="宋体" w:hAnsi="宋体" w:cs="宋体"/>
          <w:b/>
          <w:bCs/>
          <w:sz w:val="24"/>
          <w:szCs w:val="24"/>
          <w:highlight w:val="none"/>
          <w:u w:val="single"/>
          <w:lang w:val="en-US" w:eastAsia="zh-CN"/>
        </w:rPr>
        <w:t>9</w:t>
      </w:r>
      <w:r>
        <w:rPr>
          <w:rFonts w:hint="eastAsia" w:ascii="宋体" w:hAnsi="宋体" w:cs="宋体"/>
          <w:b/>
          <w:bCs/>
          <w:sz w:val="24"/>
          <w:szCs w:val="24"/>
          <w:highlight w:val="none"/>
          <w:u w:val="single"/>
        </w:rPr>
        <w:t>.评标委员会应在通过投标文件经济标有效性审查的投标人中，按第一章投标须知“一、投标须知前附表”第19项的规定推荐合格中标候选人,并编制评标报告</w:t>
      </w:r>
      <w:r>
        <w:rPr>
          <w:rFonts w:hint="eastAsia" w:ascii="宋体" w:hAnsi="宋体"/>
          <w:b/>
          <w:bCs/>
          <w:color w:val="auto"/>
          <w:sz w:val="24"/>
          <w:szCs w:val="24"/>
          <w:highlight w:val="none"/>
        </w:rPr>
        <w:t>。</w:t>
      </w:r>
    </w:p>
    <w:p w14:paraId="70275876">
      <w:pPr>
        <w:spacing w:line="360" w:lineRule="auto"/>
        <w:ind w:firstLine="480" w:firstLineChars="200"/>
        <w:rPr>
          <w:rFonts w:hint="eastAsia" w:ascii="宋体" w:hAnsi="宋体"/>
          <w:color w:val="auto"/>
          <w:sz w:val="24"/>
          <w:szCs w:val="24"/>
          <w:highlight w:val="none"/>
          <w:lang w:eastAsia="zh-CN"/>
        </w:rPr>
      </w:pPr>
      <w:r>
        <w:rPr>
          <w:rFonts w:hint="eastAsia" w:ascii="宋体" w:hAnsi="宋体"/>
          <w:color w:val="auto"/>
          <w:sz w:val="24"/>
          <w:szCs w:val="24"/>
          <w:highlight w:val="none"/>
          <w:lang w:val="en-US" w:eastAsia="zh-CN"/>
        </w:rPr>
        <w:t>50</w:t>
      </w:r>
      <w:r>
        <w:rPr>
          <w:rFonts w:hint="eastAsia" w:ascii="宋体" w:hAnsi="宋体"/>
          <w:color w:val="auto"/>
          <w:sz w:val="24"/>
          <w:szCs w:val="24"/>
          <w:highlight w:val="none"/>
        </w:rPr>
        <w:t>.若通过经济标有效性审查的投标人不足三家，</w:t>
      </w:r>
      <w:r>
        <w:rPr>
          <w:rFonts w:hint="eastAsia" w:ascii="宋体" w:hAnsi="宋体"/>
          <w:color w:val="auto"/>
          <w:sz w:val="24"/>
          <w:szCs w:val="24"/>
          <w:highlight w:val="none"/>
          <w:lang w:eastAsia="zh-CN"/>
        </w:rPr>
        <w:t>则本项目招标失败，由招标人依法重新招标</w:t>
      </w:r>
      <w:r>
        <w:rPr>
          <w:rFonts w:hint="eastAsia" w:ascii="宋体" w:hAnsi="宋体"/>
          <w:color w:val="auto"/>
          <w:sz w:val="24"/>
          <w:szCs w:val="24"/>
          <w:highlight w:val="none"/>
        </w:rPr>
        <w:t>（当</w:t>
      </w:r>
      <w:r>
        <w:rPr>
          <w:rFonts w:ascii="宋体" w:hAnsi="宋体"/>
          <w:color w:val="auto"/>
          <w:sz w:val="24"/>
          <w:szCs w:val="24"/>
          <w:highlight w:val="none"/>
        </w:rPr>
        <w:t>N</w:t>
      </w:r>
      <w:r>
        <w:rPr>
          <w:rFonts w:hint="eastAsia" w:ascii="宋体" w:hAnsi="宋体"/>
          <w:color w:val="auto"/>
          <w:sz w:val="24"/>
          <w:szCs w:val="24"/>
          <w:highlight w:val="none"/>
        </w:rPr>
        <w:t>个标段同时招标且不允许兼中时，有效投标人</w:t>
      </w:r>
      <w:r>
        <w:rPr>
          <w:rFonts w:hint="eastAsia" w:ascii="宋体" w:hAnsi="宋体"/>
          <w:color w:val="auto"/>
          <w:sz w:val="24"/>
          <w:szCs w:val="24"/>
          <w:highlight w:val="none"/>
          <w:lang w:eastAsia="zh-CN"/>
        </w:rPr>
        <w:t>应≥</w:t>
      </w:r>
      <w:r>
        <w:rPr>
          <w:rFonts w:ascii="宋体" w:hAnsi="宋体"/>
          <w:color w:val="auto"/>
          <w:sz w:val="24"/>
          <w:szCs w:val="24"/>
          <w:highlight w:val="none"/>
        </w:rPr>
        <w:t>N+2</w:t>
      </w:r>
      <w:r>
        <w:rPr>
          <w:rFonts w:hint="eastAsia" w:ascii="宋体" w:hAnsi="宋体"/>
          <w:color w:val="auto"/>
          <w:sz w:val="24"/>
          <w:szCs w:val="24"/>
          <w:highlight w:val="none"/>
        </w:rPr>
        <w:t>家）</w:t>
      </w:r>
      <w:r>
        <w:rPr>
          <w:rFonts w:hint="eastAsia" w:ascii="宋体" w:hAnsi="宋体"/>
          <w:color w:val="auto"/>
          <w:sz w:val="24"/>
          <w:szCs w:val="24"/>
          <w:highlight w:val="none"/>
          <w:lang w:eastAsia="zh-CN"/>
        </w:rPr>
        <w:t>。</w:t>
      </w:r>
    </w:p>
    <w:p w14:paraId="13B61857">
      <w:pPr>
        <w:spacing w:line="360" w:lineRule="auto"/>
        <w:ind w:firstLine="482" w:firstLineChars="200"/>
        <w:rPr>
          <w:rFonts w:hint="eastAsia" w:ascii="宋体" w:hAnsi="宋体"/>
          <w:b/>
          <w:bCs/>
          <w:color w:val="auto"/>
          <w:sz w:val="24"/>
          <w:szCs w:val="24"/>
          <w:highlight w:val="none"/>
          <w:u w:val="single"/>
          <w:lang w:eastAsia="zh-CN"/>
        </w:rPr>
      </w:pPr>
      <w:r>
        <w:rPr>
          <w:rFonts w:hint="eastAsia" w:ascii="宋体" w:hAnsi="宋体"/>
          <w:b/>
          <w:bCs/>
          <w:color w:val="auto"/>
          <w:sz w:val="24"/>
          <w:szCs w:val="24"/>
          <w:highlight w:val="none"/>
          <w:u w:val="single"/>
          <w:lang w:eastAsia="zh-CN"/>
        </w:rPr>
        <w:t>51.定标</w:t>
      </w:r>
    </w:p>
    <w:p w14:paraId="229FCADF">
      <w:pPr>
        <w:spacing w:line="360" w:lineRule="auto"/>
        <w:ind w:firstLine="482" w:firstLineChars="200"/>
        <w:rPr>
          <w:rFonts w:hint="eastAsia" w:ascii="宋体" w:hAnsi="宋体"/>
          <w:b/>
          <w:bCs/>
          <w:color w:val="auto"/>
          <w:sz w:val="24"/>
          <w:szCs w:val="24"/>
          <w:highlight w:val="none"/>
          <w:u w:val="single"/>
          <w:lang w:eastAsia="zh-CN"/>
        </w:rPr>
      </w:pPr>
      <w:r>
        <w:rPr>
          <w:rFonts w:hint="eastAsia" w:ascii="宋体" w:hAnsi="宋体"/>
          <w:b/>
          <w:bCs/>
          <w:color w:val="auto"/>
          <w:sz w:val="24"/>
          <w:szCs w:val="24"/>
          <w:highlight w:val="none"/>
          <w:u w:val="single"/>
          <w:lang w:eastAsia="zh-CN"/>
        </w:rPr>
        <w:t>评标结束后，招标人按以下规定组建定标委员会，在评标委员会推荐的合格投标人中确定中标候选人：</w:t>
      </w:r>
    </w:p>
    <w:p w14:paraId="25F03FBE">
      <w:pPr>
        <w:spacing w:line="360" w:lineRule="auto"/>
        <w:ind w:firstLine="482" w:firstLineChars="200"/>
        <w:rPr>
          <w:rFonts w:hint="eastAsia" w:ascii="宋体" w:hAnsi="宋体"/>
          <w:b/>
          <w:bCs/>
          <w:color w:val="auto"/>
          <w:sz w:val="24"/>
          <w:szCs w:val="24"/>
          <w:highlight w:val="none"/>
          <w:u w:val="single"/>
          <w:lang w:eastAsia="zh-CN"/>
        </w:rPr>
      </w:pPr>
      <w:r>
        <w:rPr>
          <w:rFonts w:hint="eastAsia" w:ascii="宋体" w:hAnsi="宋体"/>
          <w:b/>
          <w:bCs/>
          <w:color w:val="auto"/>
          <w:sz w:val="24"/>
          <w:szCs w:val="24"/>
          <w:highlight w:val="none"/>
          <w:u w:val="single"/>
          <w:lang w:eastAsia="zh-CN"/>
        </w:rPr>
        <w:t>定标由招标人依法组建的定标委员会负责。</w:t>
      </w:r>
    </w:p>
    <w:p w14:paraId="690ECD27">
      <w:pPr>
        <w:spacing w:line="360" w:lineRule="auto"/>
        <w:ind w:firstLine="482" w:firstLineChars="200"/>
        <w:rPr>
          <w:rFonts w:hint="eastAsia" w:ascii="宋体" w:hAnsi="宋体"/>
          <w:b/>
          <w:bCs/>
          <w:color w:val="auto"/>
          <w:sz w:val="24"/>
          <w:szCs w:val="24"/>
          <w:highlight w:val="none"/>
          <w:u w:val="single"/>
          <w:lang w:eastAsia="zh-CN"/>
        </w:rPr>
      </w:pPr>
      <w:r>
        <w:rPr>
          <w:rFonts w:hint="eastAsia" w:ascii="宋体" w:hAnsi="宋体"/>
          <w:b/>
          <w:bCs/>
          <w:color w:val="auto"/>
          <w:sz w:val="24"/>
          <w:szCs w:val="24"/>
          <w:highlight w:val="none"/>
          <w:u w:val="single"/>
          <w:lang w:eastAsia="zh-CN"/>
        </w:rPr>
        <w:t>51.1 定标时间和地点</w:t>
      </w:r>
    </w:p>
    <w:p w14:paraId="4C5DD5BF">
      <w:pPr>
        <w:spacing w:line="360" w:lineRule="auto"/>
        <w:ind w:firstLine="482" w:firstLineChars="200"/>
        <w:rPr>
          <w:rFonts w:hint="eastAsia" w:ascii="宋体" w:hAnsi="宋体"/>
          <w:b/>
          <w:bCs/>
          <w:color w:val="auto"/>
          <w:sz w:val="24"/>
          <w:szCs w:val="24"/>
          <w:highlight w:val="none"/>
          <w:u w:val="single"/>
          <w:lang w:eastAsia="zh-CN"/>
        </w:rPr>
      </w:pPr>
      <w:r>
        <w:rPr>
          <w:rFonts w:hint="eastAsia" w:ascii="宋体" w:hAnsi="宋体"/>
          <w:b/>
          <w:bCs/>
          <w:color w:val="auto"/>
          <w:sz w:val="24"/>
          <w:szCs w:val="24"/>
          <w:highlight w:val="none"/>
          <w:u w:val="single"/>
          <w:lang w:eastAsia="zh-CN"/>
        </w:rPr>
        <w:t>招标人在合格的中标候选人公示完成后，5个工作日内在广州交易集团有限公司（广州公共资源交易中心）开展定标工作，招标人按规定程序在投标人须知的时间和地点完成定标工作。</w:t>
      </w:r>
    </w:p>
    <w:p w14:paraId="59392D79">
      <w:pPr>
        <w:spacing w:line="360" w:lineRule="auto"/>
        <w:ind w:firstLine="482" w:firstLineChars="200"/>
        <w:rPr>
          <w:rFonts w:hint="eastAsia" w:ascii="宋体" w:hAnsi="宋体"/>
          <w:b/>
          <w:bCs/>
          <w:color w:val="auto"/>
          <w:sz w:val="24"/>
          <w:szCs w:val="24"/>
          <w:highlight w:val="none"/>
          <w:u w:val="single"/>
          <w:lang w:eastAsia="zh-CN"/>
        </w:rPr>
      </w:pPr>
      <w:r>
        <w:rPr>
          <w:rFonts w:hint="eastAsia" w:ascii="宋体" w:hAnsi="宋体"/>
          <w:b/>
          <w:bCs/>
          <w:color w:val="auto"/>
          <w:sz w:val="24"/>
          <w:szCs w:val="24"/>
          <w:highlight w:val="none"/>
          <w:u w:val="single"/>
          <w:lang w:eastAsia="zh-CN"/>
        </w:rPr>
        <w:t>51.2定标规则及程序</w:t>
      </w:r>
    </w:p>
    <w:p w14:paraId="4902FDC4">
      <w:pPr>
        <w:spacing w:line="360" w:lineRule="auto"/>
        <w:ind w:firstLine="482" w:firstLineChars="200"/>
        <w:rPr>
          <w:rFonts w:hint="eastAsia" w:ascii="宋体" w:hAnsi="宋体"/>
          <w:b/>
          <w:bCs/>
          <w:color w:val="auto"/>
          <w:sz w:val="24"/>
          <w:szCs w:val="24"/>
          <w:highlight w:val="none"/>
          <w:u w:val="single"/>
          <w:lang w:eastAsia="zh-CN"/>
        </w:rPr>
      </w:pPr>
      <w:r>
        <w:rPr>
          <w:rFonts w:hint="eastAsia" w:ascii="宋体" w:hAnsi="宋体"/>
          <w:b/>
          <w:bCs/>
          <w:color w:val="auto"/>
          <w:sz w:val="24"/>
          <w:szCs w:val="24"/>
          <w:highlight w:val="none"/>
          <w:u w:val="single"/>
          <w:lang w:eastAsia="zh-CN"/>
        </w:rPr>
        <w:t>51.2.1 本项目定标办法采用评分法，定标委员会应根据定标因素对合格的中标候选人的各项能力进行评审，确定总得分最高合格的中标候选人为中标人；</w:t>
      </w:r>
    </w:p>
    <w:p w14:paraId="1DCB7672">
      <w:pPr>
        <w:spacing w:line="360" w:lineRule="auto"/>
        <w:ind w:firstLine="482" w:firstLineChars="200"/>
        <w:rPr>
          <w:rFonts w:hint="eastAsia" w:ascii="宋体" w:hAnsi="宋体"/>
          <w:b/>
          <w:bCs/>
          <w:color w:val="auto"/>
          <w:sz w:val="24"/>
          <w:szCs w:val="24"/>
          <w:highlight w:val="none"/>
          <w:u w:val="single"/>
          <w:lang w:eastAsia="zh-CN"/>
        </w:rPr>
      </w:pPr>
      <w:r>
        <w:rPr>
          <w:rFonts w:hint="eastAsia" w:ascii="宋体" w:hAnsi="宋体"/>
          <w:b/>
          <w:bCs/>
          <w:color w:val="auto"/>
          <w:sz w:val="24"/>
          <w:szCs w:val="24"/>
          <w:highlight w:val="none"/>
          <w:u w:val="single"/>
          <w:lang w:eastAsia="zh-CN"/>
        </w:rPr>
        <w:t>51.2.2 定标工作开始后，定标委员会应推荐一人为定标委员会组长，主持当次定标会议。</w:t>
      </w:r>
    </w:p>
    <w:p w14:paraId="1ACDDD4E">
      <w:pPr>
        <w:spacing w:line="360" w:lineRule="auto"/>
        <w:ind w:firstLine="482" w:firstLineChars="200"/>
        <w:rPr>
          <w:rFonts w:hint="eastAsia" w:ascii="宋体" w:hAnsi="宋体"/>
          <w:b/>
          <w:bCs/>
          <w:color w:val="auto"/>
          <w:sz w:val="24"/>
          <w:szCs w:val="24"/>
          <w:highlight w:val="none"/>
          <w:u w:val="single"/>
          <w:lang w:eastAsia="zh-CN"/>
        </w:rPr>
      </w:pPr>
      <w:r>
        <w:rPr>
          <w:rFonts w:hint="eastAsia" w:ascii="宋体" w:hAnsi="宋体"/>
          <w:b/>
          <w:bCs/>
          <w:color w:val="auto"/>
          <w:sz w:val="24"/>
          <w:szCs w:val="24"/>
          <w:highlight w:val="none"/>
          <w:u w:val="single"/>
          <w:lang w:eastAsia="zh-CN"/>
        </w:rPr>
        <w:t>51.2.3 定标辅助资料为评标阶段的评标报告、投标人提交的投标文件与定标文件。</w:t>
      </w:r>
    </w:p>
    <w:p w14:paraId="02340427">
      <w:pPr>
        <w:spacing w:line="360" w:lineRule="auto"/>
        <w:ind w:firstLine="482" w:firstLineChars="200"/>
        <w:rPr>
          <w:rFonts w:hint="eastAsia" w:ascii="宋体" w:hAnsi="宋体"/>
          <w:b/>
          <w:bCs/>
          <w:color w:val="auto"/>
          <w:sz w:val="24"/>
          <w:szCs w:val="24"/>
          <w:highlight w:val="none"/>
          <w:u w:val="single"/>
          <w:lang w:eastAsia="zh-CN"/>
        </w:rPr>
      </w:pPr>
      <w:r>
        <w:rPr>
          <w:rFonts w:hint="eastAsia" w:ascii="宋体" w:hAnsi="宋体"/>
          <w:b/>
          <w:bCs/>
          <w:color w:val="auto"/>
          <w:sz w:val="24"/>
          <w:szCs w:val="24"/>
          <w:highlight w:val="none"/>
          <w:u w:val="single"/>
          <w:lang w:eastAsia="zh-CN"/>
        </w:rPr>
        <w:t>51.2.4 定标委员会根据定标辅助资料，在同等条件下，定标因素的相对标准按以下几个方面进行：</w:t>
      </w:r>
    </w:p>
    <w:p w14:paraId="7B323427">
      <w:pPr>
        <w:spacing w:line="360" w:lineRule="auto"/>
        <w:ind w:firstLine="482" w:firstLineChars="200"/>
        <w:rPr>
          <w:rFonts w:hint="eastAsia" w:ascii="宋体" w:hAnsi="宋体"/>
          <w:b/>
          <w:bCs/>
          <w:color w:val="auto"/>
          <w:sz w:val="24"/>
          <w:szCs w:val="24"/>
          <w:highlight w:val="none"/>
          <w:u w:val="single"/>
          <w:lang w:eastAsia="zh-CN"/>
        </w:rPr>
      </w:pPr>
      <w:r>
        <w:rPr>
          <w:rFonts w:hint="eastAsia" w:ascii="宋体" w:hAnsi="宋体"/>
          <w:b/>
          <w:bCs/>
          <w:color w:val="auto"/>
          <w:sz w:val="24"/>
          <w:szCs w:val="24"/>
          <w:highlight w:val="none"/>
          <w:u w:val="single"/>
          <w:lang w:eastAsia="zh-CN"/>
        </w:rPr>
        <w:t>1、价格因素。</w:t>
      </w:r>
    </w:p>
    <w:p w14:paraId="63FE2874">
      <w:pPr>
        <w:spacing w:line="360" w:lineRule="auto"/>
        <w:ind w:firstLine="482" w:firstLineChars="200"/>
        <w:rPr>
          <w:rFonts w:hint="eastAsia" w:ascii="宋体" w:hAnsi="宋体"/>
          <w:b/>
          <w:bCs/>
          <w:color w:val="auto"/>
          <w:sz w:val="24"/>
          <w:szCs w:val="24"/>
          <w:highlight w:val="none"/>
          <w:u w:val="single"/>
          <w:lang w:eastAsia="zh-CN"/>
        </w:rPr>
      </w:pPr>
      <w:r>
        <w:rPr>
          <w:rFonts w:hint="eastAsia" w:ascii="宋体" w:hAnsi="宋体"/>
          <w:b/>
          <w:bCs/>
          <w:color w:val="auto"/>
          <w:sz w:val="24"/>
          <w:szCs w:val="24"/>
          <w:highlight w:val="none"/>
          <w:u w:val="single"/>
          <w:lang w:eastAsia="zh-CN"/>
        </w:rPr>
        <w:t>2、方案因素；</w:t>
      </w:r>
    </w:p>
    <w:p w14:paraId="6C2961D7">
      <w:pPr>
        <w:spacing w:line="360" w:lineRule="auto"/>
        <w:ind w:firstLine="482" w:firstLineChars="200"/>
        <w:rPr>
          <w:rFonts w:hint="eastAsia" w:ascii="宋体" w:hAnsi="宋体"/>
          <w:b/>
          <w:bCs/>
          <w:color w:val="auto"/>
          <w:sz w:val="24"/>
          <w:szCs w:val="24"/>
          <w:highlight w:val="none"/>
          <w:u w:val="single"/>
          <w:lang w:eastAsia="zh-CN"/>
        </w:rPr>
      </w:pPr>
      <w:r>
        <w:rPr>
          <w:rFonts w:hint="eastAsia" w:ascii="宋体" w:hAnsi="宋体"/>
          <w:b/>
          <w:bCs/>
          <w:color w:val="auto"/>
          <w:sz w:val="24"/>
          <w:szCs w:val="24"/>
          <w:highlight w:val="none"/>
          <w:u w:val="single"/>
          <w:lang w:eastAsia="zh-CN"/>
        </w:rPr>
        <w:t>具体评价标准详见附表六：《定标因素表》。</w:t>
      </w:r>
    </w:p>
    <w:p w14:paraId="6AE98667">
      <w:pPr>
        <w:spacing w:line="360" w:lineRule="auto"/>
        <w:ind w:firstLine="482" w:firstLineChars="200"/>
        <w:rPr>
          <w:rFonts w:hint="eastAsia" w:ascii="宋体" w:hAnsi="宋体"/>
          <w:b/>
          <w:bCs/>
          <w:color w:val="auto"/>
          <w:sz w:val="24"/>
          <w:szCs w:val="24"/>
          <w:highlight w:val="none"/>
          <w:u w:val="single"/>
          <w:lang w:eastAsia="zh-CN"/>
        </w:rPr>
      </w:pPr>
      <w:r>
        <w:rPr>
          <w:rFonts w:hint="eastAsia" w:ascii="宋体" w:hAnsi="宋体"/>
          <w:b/>
          <w:bCs/>
          <w:color w:val="auto"/>
          <w:sz w:val="24"/>
          <w:szCs w:val="24"/>
          <w:highlight w:val="none"/>
          <w:u w:val="single"/>
          <w:lang w:eastAsia="zh-CN"/>
        </w:rPr>
        <w:t>51.2.5 定标规则：定标委员会根据合格的中标候选人总得分由高至低对合格的中标候选人进行排序。合格的中标候选人总得分=方案因素（90分）+价格因素（10分）。总得分四舍五入保留两位小数。</w:t>
      </w:r>
    </w:p>
    <w:p w14:paraId="768FB735">
      <w:pPr>
        <w:spacing w:line="360" w:lineRule="auto"/>
        <w:ind w:firstLine="482" w:firstLineChars="200"/>
        <w:rPr>
          <w:rFonts w:hint="eastAsia" w:ascii="宋体" w:hAnsi="宋体"/>
          <w:b/>
          <w:bCs/>
          <w:color w:val="auto"/>
          <w:sz w:val="24"/>
          <w:szCs w:val="24"/>
          <w:highlight w:val="none"/>
          <w:u w:val="single"/>
          <w:lang w:eastAsia="zh-CN"/>
        </w:rPr>
      </w:pPr>
      <w:r>
        <w:rPr>
          <w:rFonts w:hint="eastAsia" w:ascii="宋体" w:hAnsi="宋体"/>
          <w:b/>
          <w:bCs/>
          <w:color w:val="auto"/>
          <w:sz w:val="24"/>
          <w:szCs w:val="24"/>
          <w:highlight w:val="none"/>
          <w:u w:val="single"/>
          <w:lang w:eastAsia="zh-CN"/>
        </w:rPr>
        <w:t>注：若合格的中标候选人总得分相同且影响定标排序的，以方案因素得分高的排前；若方案因素得分仍相同的，以价格因素得分高的排前，若价格因素得分仍相同的，由定标委员会投票确定排序。</w:t>
      </w:r>
    </w:p>
    <w:p w14:paraId="54DEE9E7">
      <w:pPr>
        <w:spacing w:line="360" w:lineRule="auto"/>
        <w:ind w:firstLine="482" w:firstLineChars="200"/>
        <w:rPr>
          <w:rFonts w:hint="eastAsia" w:ascii="宋体" w:hAnsi="宋体"/>
          <w:b/>
          <w:bCs/>
          <w:color w:val="auto"/>
          <w:sz w:val="24"/>
          <w:szCs w:val="24"/>
          <w:highlight w:val="none"/>
          <w:u w:val="single"/>
          <w:lang w:eastAsia="zh-CN"/>
        </w:rPr>
      </w:pPr>
      <w:r>
        <w:rPr>
          <w:rFonts w:hint="eastAsia" w:ascii="宋体" w:hAnsi="宋体"/>
          <w:b/>
          <w:bCs/>
          <w:color w:val="auto"/>
          <w:sz w:val="24"/>
          <w:szCs w:val="24"/>
          <w:highlight w:val="none"/>
          <w:u w:val="single"/>
          <w:lang w:eastAsia="zh-CN"/>
        </w:rPr>
        <w:t>51.2.6定标委员会确定总得分最高的合格的中标候选人为中标人。</w:t>
      </w:r>
    </w:p>
    <w:p w14:paraId="0889C882">
      <w:pPr>
        <w:spacing w:line="360" w:lineRule="auto"/>
        <w:ind w:firstLine="482" w:firstLineChars="200"/>
        <w:rPr>
          <w:rFonts w:hint="eastAsia" w:ascii="宋体" w:hAnsi="宋体"/>
          <w:b/>
          <w:bCs/>
          <w:color w:val="auto"/>
          <w:sz w:val="24"/>
          <w:szCs w:val="24"/>
          <w:highlight w:val="none"/>
          <w:u w:val="single"/>
          <w:lang w:eastAsia="zh-CN"/>
        </w:rPr>
      </w:pPr>
      <w:r>
        <w:rPr>
          <w:rFonts w:hint="eastAsia" w:ascii="宋体" w:hAnsi="宋体"/>
          <w:b/>
          <w:bCs/>
          <w:color w:val="auto"/>
          <w:sz w:val="24"/>
          <w:szCs w:val="24"/>
          <w:highlight w:val="none"/>
          <w:u w:val="single"/>
          <w:lang w:eastAsia="zh-CN"/>
        </w:rPr>
        <w:t>51.2.7 编写定标报告，定标委员会全体确认后签署定标报告。</w:t>
      </w:r>
    </w:p>
    <w:p w14:paraId="058D4A2C">
      <w:pPr>
        <w:spacing w:line="360" w:lineRule="auto"/>
        <w:ind w:firstLine="482" w:firstLineChars="200"/>
        <w:rPr>
          <w:rFonts w:hint="eastAsia" w:ascii="宋体" w:hAnsi="宋体"/>
          <w:b/>
          <w:bCs/>
          <w:color w:val="auto"/>
          <w:sz w:val="24"/>
          <w:szCs w:val="24"/>
          <w:highlight w:val="none"/>
          <w:u w:val="single"/>
          <w:lang w:eastAsia="zh-CN"/>
        </w:rPr>
      </w:pPr>
      <w:r>
        <w:rPr>
          <w:rFonts w:hint="eastAsia" w:ascii="宋体" w:hAnsi="宋体"/>
          <w:b/>
          <w:bCs/>
          <w:color w:val="auto"/>
          <w:sz w:val="24"/>
          <w:szCs w:val="24"/>
          <w:highlight w:val="none"/>
          <w:u w:val="single"/>
          <w:lang w:eastAsia="zh-CN"/>
        </w:rPr>
        <w:t>51.3因质疑或投诉生效，需要重新评标或定标的，评标、定标信息（含业绩、奖项等）仍以投标截止时投标人的信息为准。因特殊原因需要延长投标有效期，投标人拒绝延长投标有效期的，仍参与评标、定标，但不被推荐为中标候选人。</w:t>
      </w:r>
    </w:p>
    <w:p w14:paraId="4BC72F02">
      <w:pPr>
        <w:spacing w:line="360" w:lineRule="auto"/>
        <w:ind w:firstLine="482" w:firstLineChars="200"/>
        <w:rPr>
          <w:rFonts w:hint="eastAsia" w:ascii="宋体" w:hAnsi="宋体"/>
          <w:b/>
          <w:bCs/>
          <w:color w:val="auto"/>
          <w:sz w:val="24"/>
          <w:szCs w:val="24"/>
          <w:highlight w:val="none"/>
          <w:u w:val="single"/>
          <w:lang w:eastAsia="zh-CN"/>
        </w:rPr>
      </w:pPr>
      <w:r>
        <w:rPr>
          <w:rFonts w:hint="eastAsia" w:ascii="宋体" w:hAnsi="宋体"/>
          <w:b/>
          <w:bCs/>
          <w:color w:val="auto"/>
          <w:sz w:val="24"/>
          <w:szCs w:val="24"/>
          <w:highlight w:val="none"/>
          <w:u w:val="single"/>
          <w:lang w:eastAsia="zh-CN"/>
        </w:rPr>
        <w:t>51.4定标委员会向招标人提交书面定标报告后即解散，定标过程中使用的文件、表格以及其他资料不得私自带离。</w:t>
      </w:r>
    </w:p>
    <w:p w14:paraId="22C1A3A6">
      <w:pPr>
        <w:spacing w:line="360" w:lineRule="auto"/>
        <w:ind w:firstLine="482" w:firstLineChars="200"/>
        <w:rPr>
          <w:rFonts w:hint="eastAsia" w:ascii="宋体" w:hAnsi="宋体"/>
          <w:b/>
          <w:bCs/>
          <w:color w:val="auto"/>
          <w:sz w:val="24"/>
          <w:szCs w:val="24"/>
          <w:highlight w:val="none"/>
          <w:u w:val="single"/>
          <w:lang w:eastAsia="zh-CN"/>
        </w:rPr>
      </w:pPr>
      <w:r>
        <w:rPr>
          <w:rFonts w:hint="eastAsia" w:ascii="宋体" w:hAnsi="宋体"/>
          <w:b/>
          <w:bCs/>
          <w:color w:val="auto"/>
          <w:sz w:val="24"/>
          <w:szCs w:val="24"/>
          <w:highlight w:val="none"/>
          <w:u w:val="single"/>
          <w:lang w:eastAsia="zh-CN"/>
        </w:rPr>
        <w:t>51.5招标人应当在定标工作完成后的3日内公示中标结果。</w:t>
      </w:r>
    </w:p>
    <w:p w14:paraId="3D610247">
      <w:pPr>
        <w:spacing w:line="360" w:lineRule="auto"/>
        <w:ind w:firstLine="482" w:firstLineChars="200"/>
        <w:rPr>
          <w:rFonts w:hint="eastAsia" w:ascii="宋体" w:hAnsi="宋体"/>
          <w:b/>
          <w:bCs/>
          <w:color w:val="auto"/>
          <w:sz w:val="24"/>
          <w:szCs w:val="24"/>
          <w:highlight w:val="none"/>
          <w:u w:val="single"/>
          <w:lang w:eastAsia="zh-CN"/>
        </w:rPr>
      </w:pPr>
      <w:r>
        <w:rPr>
          <w:rFonts w:hint="eastAsia" w:ascii="宋体" w:hAnsi="宋体"/>
          <w:b/>
          <w:bCs/>
          <w:color w:val="auto"/>
          <w:sz w:val="24"/>
          <w:szCs w:val="24"/>
          <w:highlight w:val="none"/>
          <w:u w:val="single"/>
          <w:lang w:eastAsia="zh-CN"/>
        </w:rPr>
        <w:t>51.6定标后出现中标人不符合法定情形的，招标人可从其他合格的中标候选人中采用原定标办法，由原定标委员会确定中标人，也可以重新招标。</w:t>
      </w:r>
    </w:p>
    <w:p w14:paraId="1E338F18">
      <w:pPr>
        <w:spacing w:line="360" w:lineRule="auto"/>
        <w:ind w:firstLine="482" w:firstLineChars="200"/>
        <w:rPr>
          <w:rFonts w:hint="eastAsia" w:ascii="宋体" w:hAnsi="宋体"/>
          <w:b/>
          <w:bCs/>
          <w:color w:val="auto"/>
          <w:sz w:val="24"/>
          <w:szCs w:val="24"/>
          <w:highlight w:val="none"/>
          <w:u w:val="single"/>
          <w:lang w:eastAsia="zh-CN"/>
        </w:rPr>
      </w:pPr>
      <w:r>
        <w:rPr>
          <w:rFonts w:hint="eastAsia" w:ascii="宋体" w:hAnsi="宋体"/>
          <w:b/>
          <w:bCs/>
          <w:color w:val="auto"/>
          <w:sz w:val="24"/>
          <w:szCs w:val="24"/>
          <w:highlight w:val="none"/>
          <w:u w:val="single"/>
          <w:lang w:eastAsia="zh-CN"/>
        </w:rPr>
        <w:t>52.组建监督小组</w:t>
      </w:r>
    </w:p>
    <w:p w14:paraId="38D688AB">
      <w:pPr>
        <w:spacing w:line="360" w:lineRule="auto"/>
        <w:ind w:firstLine="482" w:firstLineChars="200"/>
        <w:rPr>
          <w:rFonts w:hint="eastAsia" w:ascii="宋体" w:hAnsi="宋体" w:eastAsia="宋体"/>
          <w:color w:val="auto"/>
          <w:sz w:val="24"/>
          <w:szCs w:val="24"/>
          <w:highlight w:val="none"/>
          <w:lang w:eastAsia="zh-CN"/>
        </w:rPr>
      </w:pPr>
      <w:r>
        <w:rPr>
          <w:rFonts w:hint="eastAsia" w:ascii="宋体" w:hAnsi="宋体"/>
          <w:b/>
          <w:bCs/>
          <w:color w:val="auto"/>
          <w:sz w:val="24"/>
          <w:szCs w:val="24"/>
          <w:highlight w:val="none"/>
          <w:u w:val="single"/>
          <w:lang w:eastAsia="zh-CN"/>
        </w:rPr>
        <w:t>招标开始前，招标人组建监督小组，监督小组由2人或以上人数组成。监督小组对招标投标活动全过程进行监督，有权对定标委员会的组建、定标过程及招标人在定标前的清标和对中标候选人的考察等（如有）进行全程监督，有权对定标委员会违反定标规则的行为进行质询，确保定标过程公平、公正。监督小组对发现的异常情况应及时提醒并纠正，但不得就评标、定标涉及的实质内容发表意见或者参与评标、定标讨论。</w:t>
      </w:r>
    </w:p>
    <w:p w14:paraId="7BD4B120">
      <w:pPr>
        <w:spacing w:before="156" w:after="156"/>
        <w:ind w:firstLine="482" w:firstLineChars="200"/>
        <w:rPr>
          <w:rFonts w:hint="eastAsia"/>
          <w:b/>
          <w:bCs/>
          <w:sz w:val="24"/>
          <w:szCs w:val="24"/>
          <w:highlight w:val="none"/>
        </w:rPr>
      </w:pPr>
      <w:bookmarkStart w:id="72" w:name="_Toc31037"/>
    </w:p>
    <w:p w14:paraId="6EEEBC63">
      <w:pPr>
        <w:spacing w:before="0" w:after="0"/>
        <w:ind w:firstLine="0" w:firstLineChars="0"/>
        <w:rPr>
          <w:rFonts w:hint="eastAsia"/>
          <w:b/>
          <w:bCs/>
          <w:sz w:val="24"/>
          <w:szCs w:val="24"/>
          <w:highlight w:val="none"/>
        </w:rPr>
      </w:pPr>
      <w:r>
        <w:rPr>
          <w:rFonts w:hint="eastAsia"/>
          <w:b/>
          <w:bCs/>
          <w:sz w:val="24"/>
          <w:szCs w:val="24"/>
          <w:highlight w:val="none"/>
        </w:rPr>
        <w:br w:type="page"/>
      </w:r>
    </w:p>
    <w:bookmarkEnd w:id="69"/>
    <w:bookmarkEnd w:id="72"/>
    <w:p w14:paraId="70D7E491">
      <w:pPr>
        <w:widowControl/>
        <w:snapToGrid w:val="0"/>
        <w:spacing w:line="360" w:lineRule="auto"/>
        <w:ind w:right="102"/>
        <w:jc w:val="left"/>
        <w:rPr>
          <w:rFonts w:hint="eastAsia" w:ascii="宋体" w:hAnsi="宋体" w:cs="宋体"/>
          <w:szCs w:val="21"/>
          <w:highlight w:val="none"/>
        </w:rPr>
      </w:pPr>
      <w:r>
        <w:rPr>
          <w:rFonts w:hint="eastAsia" w:ascii="宋体" w:hAnsi="宋体" w:cs="宋体"/>
          <w:szCs w:val="21"/>
          <w:highlight w:val="none"/>
        </w:rPr>
        <w:t>附表一：</w:t>
      </w:r>
    </w:p>
    <w:p w14:paraId="183ED03E">
      <w:pPr>
        <w:jc w:val="center"/>
        <w:rPr>
          <w:rFonts w:hint="eastAsia" w:ascii="宋体" w:hAnsi="宋体" w:cs="宋体"/>
          <w:b/>
          <w:sz w:val="32"/>
          <w:szCs w:val="32"/>
          <w:highlight w:val="none"/>
        </w:rPr>
      </w:pPr>
      <w:r>
        <w:rPr>
          <w:rFonts w:hint="eastAsia" w:ascii="宋体" w:hAnsi="宋体" w:cs="宋体"/>
          <w:b/>
          <w:sz w:val="32"/>
          <w:szCs w:val="32"/>
          <w:highlight w:val="none"/>
        </w:rPr>
        <w:t>资格审查表</w:t>
      </w:r>
    </w:p>
    <w:p w14:paraId="38A86817">
      <w:pPr>
        <w:rPr>
          <w:rFonts w:hint="eastAsia" w:ascii="宋体" w:hAnsi="宋体" w:cs="宋体"/>
          <w:sz w:val="24"/>
          <w:szCs w:val="24"/>
          <w:highlight w:val="none"/>
        </w:rPr>
      </w:pPr>
      <w:r>
        <w:rPr>
          <w:rFonts w:hint="eastAsia" w:ascii="宋体" w:hAnsi="宋体" w:cs="宋体"/>
          <w:sz w:val="24"/>
          <w:szCs w:val="24"/>
          <w:highlight w:val="none"/>
        </w:rPr>
        <w:t>工程名称：</w:t>
      </w:r>
    </w:p>
    <w:p w14:paraId="69C48507">
      <w:pPr>
        <w:rPr>
          <w:rFonts w:hint="eastAsia" w:ascii="宋体" w:hAnsi="宋体" w:cs="宋体"/>
          <w:sz w:val="24"/>
          <w:szCs w:val="24"/>
          <w:highlight w:val="none"/>
        </w:rPr>
      </w:pPr>
      <w:r>
        <w:rPr>
          <w:rFonts w:hint="eastAsia" w:ascii="宋体" w:hAnsi="宋体" w:cs="宋体"/>
          <w:sz w:val="24"/>
          <w:szCs w:val="24"/>
          <w:highlight w:val="none"/>
        </w:rPr>
        <w:t>投标人名称：</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8"/>
        <w:gridCol w:w="4493"/>
        <w:gridCol w:w="3557"/>
        <w:gridCol w:w="748"/>
      </w:tblGrid>
      <w:tr w14:paraId="0E5D1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8" w:type="dxa"/>
            <w:tcBorders>
              <w:top w:val="single" w:color="auto" w:sz="4" w:space="0"/>
              <w:left w:val="single" w:color="auto" w:sz="4" w:space="0"/>
              <w:bottom w:val="single" w:color="auto" w:sz="4" w:space="0"/>
              <w:right w:val="single" w:color="auto" w:sz="4" w:space="0"/>
            </w:tcBorders>
            <w:noWrap w:val="0"/>
            <w:vAlign w:val="center"/>
          </w:tcPr>
          <w:p w14:paraId="32D2D683">
            <w:pPr>
              <w:spacing w:before="120" w:after="60" w:line="360" w:lineRule="auto"/>
              <w:jc w:val="center"/>
              <w:rPr>
                <w:rFonts w:hint="eastAsia" w:ascii="宋体" w:hAnsi="宋体" w:cs="宋体"/>
                <w:b/>
                <w:bCs/>
                <w:sz w:val="24"/>
                <w:szCs w:val="24"/>
                <w:highlight w:val="none"/>
              </w:rPr>
            </w:pPr>
            <w:r>
              <w:rPr>
                <w:rFonts w:hint="eastAsia" w:ascii="宋体" w:hAnsi="宋体" w:cs="宋体"/>
                <w:b/>
                <w:bCs/>
                <w:sz w:val="24"/>
                <w:szCs w:val="24"/>
                <w:highlight w:val="none"/>
              </w:rPr>
              <w:t>序号</w:t>
            </w:r>
          </w:p>
        </w:tc>
        <w:tc>
          <w:tcPr>
            <w:tcW w:w="4493" w:type="dxa"/>
            <w:tcBorders>
              <w:top w:val="single" w:color="auto" w:sz="4" w:space="0"/>
              <w:left w:val="nil"/>
              <w:bottom w:val="single" w:color="auto" w:sz="4" w:space="0"/>
              <w:right w:val="single" w:color="auto" w:sz="4" w:space="0"/>
            </w:tcBorders>
            <w:noWrap w:val="0"/>
            <w:vAlign w:val="center"/>
          </w:tcPr>
          <w:p w14:paraId="3D02DF63">
            <w:pPr>
              <w:spacing w:before="120" w:after="60" w:line="360" w:lineRule="auto"/>
              <w:jc w:val="center"/>
              <w:rPr>
                <w:rFonts w:hint="eastAsia" w:ascii="宋体" w:hAnsi="宋体" w:cs="宋体"/>
                <w:b/>
                <w:bCs/>
                <w:sz w:val="24"/>
                <w:szCs w:val="24"/>
                <w:highlight w:val="none"/>
              </w:rPr>
            </w:pPr>
            <w:r>
              <w:rPr>
                <w:rFonts w:hint="eastAsia" w:ascii="宋体" w:hAnsi="宋体" w:cs="宋体"/>
                <w:b/>
                <w:bCs/>
                <w:sz w:val="24"/>
                <w:szCs w:val="24"/>
                <w:highlight w:val="none"/>
              </w:rPr>
              <w:t>审查项目</w:t>
            </w:r>
          </w:p>
        </w:tc>
        <w:tc>
          <w:tcPr>
            <w:tcW w:w="3557" w:type="dxa"/>
            <w:tcBorders>
              <w:top w:val="single" w:color="auto" w:sz="4" w:space="0"/>
              <w:left w:val="nil"/>
              <w:bottom w:val="single" w:color="auto" w:sz="4" w:space="0"/>
              <w:right w:val="single" w:color="auto" w:sz="4" w:space="0"/>
            </w:tcBorders>
            <w:noWrap w:val="0"/>
            <w:vAlign w:val="center"/>
          </w:tcPr>
          <w:p w14:paraId="5560E1B1">
            <w:pPr>
              <w:spacing w:before="120" w:after="60" w:line="360" w:lineRule="auto"/>
              <w:jc w:val="center"/>
              <w:rPr>
                <w:rFonts w:hint="eastAsia" w:ascii="宋体" w:hAnsi="宋体" w:cs="宋体"/>
                <w:b/>
                <w:bCs/>
                <w:sz w:val="24"/>
                <w:szCs w:val="24"/>
                <w:highlight w:val="none"/>
              </w:rPr>
            </w:pPr>
            <w:r>
              <w:rPr>
                <w:rFonts w:hint="eastAsia" w:ascii="宋体" w:hAnsi="宋体" w:cs="宋体"/>
                <w:b/>
                <w:bCs/>
                <w:sz w:val="24"/>
                <w:szCs w:val="24"/>
                <w:highlight w:val="none"/>
              </w:rPr>
              <w:t>须审查的资料</w:t>
            </w:r>
          </w:p>
        </w:tc>
        <w:tc>
          <w:tcPr>
            <w:tcW w:w="748" w:type="dxa"/>
            <w:tcBorders>
              <w:top w:val="single" w:color="auto" w:sz="4" w:space="0"/>
              <w:left w:val="nil"/>
              <w:bottom w:val="single" w:color="auto" w:sz="4" w:space="0"/>
              <w:right w:val="single" w:color="auto" w:sz="4" w:space="0"/>
            </w:tcBorders>
            <w:noWrap w:val="0"/>
            <w:vAlign w:val="center"/>
          </w:tcPr>
          <w:p w14:paraId="2A8A7284">
            <w:pPr>
              <w:spacing w:before="120" w:after="60" w:line="360" w:lineRule="auto"/>
              <w:jc w:val="center"/>
              <w:rPr>
                <w:rFonts w:hint="eastAsia" w:ascii="宋体" w:hAnsi="宋体" w:cs="宋体"/>
                <w:b/>
                <w:bCs/>
                <w:sz w:val="24"/>
                <w:szCs w:val="24"/>
                <w:highlight w:val="none"/>
              </w:rPr>
            </w:pPr>
            <w:r>
              <w:rPr>
                <w:rFonts w:hint="eastAsia" w:ascii="宋体" w:hAnsi="宋体" w:cs="宋体"/>
                <w:b/>
                <w:bCs/>
                <w:sz w:val="24"/>
                <w:szCs w:val="24"/>
                <w:highlight w:val="none"/>
              </w:rPr>
              <w:t>审查结果</w:t>
            </w:r>
          </w:p>
        </w:tc>
      </w:tr>
      <w:tr w14:paraId="2246C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488" w:type="dxa"/>
            <w:tcBorders>
              <w:top w:val="single" w:color="auto" w:sz="4" w:space="0"/>
              <w:left w:val="single" w:color="auto" w:sz="4" w:space="0"/>
              <w:bottom w:val="single" w:color="auto" w:sz="4" w:space="0"/>
              <w:right w:val="single" w:color="auto" w:sz="4" w:space="0"/>
            </w:tcBorders>
            <w:noWrap w:val="0"/>
            <w:vAlign w:val="center"/>
          </w:tcPr>
          <w:p w14:paraId="1C50E46C">
            <w:pPr>
              <w:spacing w:before="120" w:after="60"/>
              <w:jc w:val="center"/>
              <w:rPr>
                <w:rFonts w:hint="eastAsia" w:ascii="宋体" w:hAnsi="宋体" w:cs="宋体"/>
                <w:sz w:val="24"/>
                <w:szCs w:val="24"/>
                <w:highlight w:val="none"/>
              </w:rPr>
            </w:pPr>
            <w:r>
              <w:rPr>
                <w:rFonts w:hint="eastAsia" w:ascii="宋体" w:hAnsi="宋体" w:cs="宋体"/>
                <w:highlight w:val="none"/>
              </w:rPr>
              <w:t>1</w:t>
            </w:r>
          </w:p>
        </w:tc>
        <w:tc>
          <w:tcPr>
            <w:tcW w:w="4493" w:type="dxa"/>
            <w:tcBorders>
              <w:top w:val="single" w:color="auto" w:sz="4" w:space="0"/>
              <w:left w:val="nil"/>
              <w:bottom w:val="single" w:color="auto" w:sz="4" w:space="0"/>
              <w:right w:val="single" w:color="auto" w:sz="4" w:space="0"/>
            </w:tcBorders>
            <w:noWrap w:val="0"/>
            <w:vAlign w:val="center"/>
          </w:tcPr>
          <w:p w14:paraId="51E7ADD9">
            <w:pPr>
              <w:spacing w:before="120" w:after="60"/>
              <w:jc w:val="center"/>
              <w:rPr>
                <w:rFonts w:hint="eastAsia" w:ascii="宋体" w:hAnsi="宋体" w:cs="宋体"/>
                <w:sz w:val="24"/>
                <w:szCs w:val="24"/>
                <w:highlight w:val="none"/>
              </w:rPr>
            </w:pPr>
            <w:r>
              <w:rPr>
                <w:rFonts w:hint="eastAsia" w:ascii="宋体" w:hAnsi="宋体" w:cs="宋体"/>
                <w:highlight w:val="none"/>
              </w:rPr>
              <w:t>投标人参加投标的意思表达清楚，投标人代表被授权有效</w:t>
            </w:r>
          </w:p>
        </w:tc>
        <w:tc>
          <w:tcPr>
            <w:tcW w:w="3557" w:type="dxa"/>
            <w:tcBorders>
              <w:top w:val="single" w:color="auto" w:sz="4" w:space="0"/>
              <w:left w:val="nil"/>
              <w:bottom w:val="single" w:color="auto" w:sz="4" w:space="0"/>
              <w:right w:val="single" w:color="auto" w:sz="4" w:space="0"/>
            </w:tcBorders>
            <w:noWrap w:val="0"/>
            <w:vAlign w:val="center"/>
          </w:tcPr>
          <w:p w14:paraId="6710B4B5">
            <w:pPr>
              <w:spacing w:before="120" w:after="60"/>
              <w:jc w:val="center"/>
              <w:rPr>
                <w:rFonts w:hint="eastAsia" w:ascii="宋体" w:hAnsi="宋体" w:cs="宋体"/>
                <w:sz w:val="24"/>
                <w:szCs w:val="24"/>
                <w:highlight w:val="none"/>
              </w:rPr>
            </w:pPr>
            <w:r>
              <w:rPr>
                <w:rFonts w:hint="eastAsia" w:ascii="宋体" w:hAnsi="宋体" w:cs="宋体"/>
                <w:highlight w:val="none"/>
              </w:rPr>
              <w:t>投标人声明、法定代表人证明书；委托投标的还应提供法人授权委托证明书</w:t>
            </w:r>
          </w:p>
        </w:tc>
        <w:tc>
          <w:tcPr>
            <w:tcW w:w="748" w:type="dxa"/>
            <w:tcBorders>
              <w:top w:val="single" w:color="auto" w:sz="4" w:space="0"/>
              <w:left w:val="nil"/>
              <w:bottom w:val="single" w:color="auto" w:sz="4" w:space="0"/>
              <w:right w:val="single" w:color="auto" w:sz="4" w:space="0"/>
            </w:tcBorders>
            <w:noWrap w:val="0"/>
            <w:vAlign w:val="center"/>
          </w:tcPr>
          <w:p w14:paraId="4D2131D8">
            <w:pPr>
              <w:spacing w:before="120" w:after="60" w:line="360" w:lineRule="auto"/>
              <w:jc w:val="center"/>
              <w:rPr>
                <w:rFonts w:hint="eastAsia" w:ascii="宋体" w:hAnsi="宋体" w:cs="宋体"/>
                <w:sz w:val="24"/>
                <w:szCs w:val="24"/>
                <w:highlight w:val="none"/>
              </w:rPr>
            </w:pPr>
          </w:p>
        </w:tc>
      </w:tr>
      <w:tr w14:paraId="527C0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8" w:type="dxa"/>
            <w:tcBorders>
              <w:top w:val="single" w:color="auto" w:sz="4" w:space="0"/>
              <w:left w:val="single" w:color="auto" w:sz="4" w:space="0"/>
              <w:bottom w:val="single" w:color="auto" w:sz="4" w:space="0"/>
              <w:right w:val="single" w:color="auto" w:sz="4" w:space="0"/>
            </w:tcBorders>
            <w:noWrap w:val="0"/>
            <w:vAlign w:val="center"/>
          </w:tcPr>
          <w:p w14:paraId="02F6E52A">
            <w:pPr>
              <w:spacing w:before="120" w:after="60"/>
              <w:jc w:val="center"/>
              <w:rPr>
                <w:rFonts w:hint="eastAsia" w:ascii="宋体" w:hAnsi="宋体" w:cs="宋体"/>
                <w:sz w:val="24"/>
                <w:szCs w:val="24"/>
                <w:highlight w:val="none"/>
              </w:rPr>
            </w:pPr>
            <w:r>
              <w:rPr>
                <w:rFonts w:hint="eastAsia" w:ascii="宋体" w:hAnsi="宋体" w:cs="宋体"/>
                <w:highlight w:val="none"/>
              </w:rPr>
              <w:t>2</w:t>
            </w:r>
          </w:p>
        </w:tc>
        <w:tc>
          <w:tcPr>
            <w:tcW w:w="4493" w:type="dxa"/>
            <w:tcBorders>
              <w:top w:val="single" w:color="auto" w:sz="4" w:space="0"/>
              <w:left w:val="nil"/>
              <w:bottom w:val="single" w:color="auto" w:sz="4" w:space="0"/>
              <w:right w:val="single" w:color="auto" w:sz="4" w:space="0"/>
            </w:tcBorders>
            <w:noWrap w:val="0"/>
            <w:vAlign w:val="center"/>
          </w:tcPr>
          <w:p w14:paraId="45C223A8">
            <w:pPr>
              <w:spacing w:before="120" w:after="60"/>
              <w:jc w:val="center"/>
              <w:rPr>
                <w:rFonts w:hint="eastAsia" w:ascii="宋体" w:hAnsi="宋体" w:cs="宋体"/>
                <w:sz w:val="24"/>
                <w:szCs w:val="24"/>
                <w:highlight w:val="none"/>
              </w:rPr>
            </w:pPr>
            <w:r>
              <w:rPr>
                <w:rFonts w:hint="eastAsia" w:ascii="宋体" w:hAnsi="宋体" w:cs="宋体"/>
                <w:highlight w:val="none"/>
              </w:rPr>
              <w:t>投标人均具有独立法人资格，按国家法律经营</w:t>
            </w:r>
          </w:p>
        </w:tc>
        <w:tc>
          <w:tcPr>
            <w:tcW w:w="3557" w:type="dxa"/>
            <w:tcBorders>
              <w:top w:val="single" w:color="auto" w:sz="4" w:space="0"/>
              <w:left w:val="nil"/>
              <w:bottom w:val="single" w:color="auto" w:sz="4" w:space="0"/>
              <w:right w:val="single" w:color="auto" w:sz="4" w:space="0"/>
            </w:tcBorders>
            <w:noWrap w:val="0"/>
            <w:vAlign w:val="center"/>
          </w:tcPr>
          <w:p w14:paraId="212937F2">
            <w:pPr>
              <w:spacing w:before="120" w:after="60"/>
              <w:jc w:val="center"/>
              <w:rPr>
                <w:rFonts w:hint="eastAsia" w:ascii="宋体" w:hAnsi="宋体" w:cs="宋体"/>
                <w:sz w:val="24"/>
                <w:szCs w:val="24"/>
                <w:highlight w:val="none"/>
              </w:rPr>
            </w:pPr>
            <w:r>
              <w:rPr>
                <w:rFonts w:hint="eastAsia" w:ascii="宋体" w:hAnsi="宋体" w:eastAsia="宋体" w:cs="宋体"/>
                <w:color w:val="auto"/>
                <w:sz w:val="21"/>
                <w:szCs w:val="21"/>
                <w:highlight w:val="none"/>
                <w:vertAlign w:val="baseline"/>
              </w:rPr>
              <w:t>营业执照</w:t>
            </w:r>
            <w:r>
              <w:rPr>
                <w:rFonts w:hint="eastAsia" w:ascii="宋体" w:hAnsi="宋体" w:eastAsia="宋体" w:cs="宋体"/>
                <w:color w:val="auto"/>
                <w:sz w:val="21"/>
                <w:szCs w:val="21"/>
                <w:highlight w:val="none"/>
                <w:u w:val="single"/>
                <w:vertAlign w:val="baseline"/>
              </w:rPr>
              <w:t>扫描件或电子证照</w:t>
            </w:r>
          </w:p>
        </w:tc>
        <w:tc>
          <w:tcPr>
            <w:tcW w:w="748" w:type="dxa"/>
            <w:tcBorders>
              <w:top w:val="single" w:color="auto" w:sz="4" w:space="0"/>
              <w:left w:val="nil"/>
              <w:bottom w:val="single" w:color="auto" w:sz="4" w:space="0"/>
              <w:right w:val="single" w:color="auto" w:sz="4" w:space="0"/>
            </w:tcBorders>
            <w:noWrap w:val="0"/>
            <w:vAlign w:val="center"/>
          </w:tcPr>
          <w:p w14:paraId="16F8459A">
            <w:pPr>
              <w:spacing w:before="120" w:after="60" w:line="360" w:lineRule="auto"/>
              <w:jc w:val="center"/>
              <w:rPr>
                <w:rFonts w:hint="eastAsia" w:ascii="宋体" w:hAnsi="宋体" w:cs="宋体"/>
                <w:sz w:val="24"/>
                <w:szCs w:val="24"/>
                <w:highlight w:val="none"/>
              </w:rPr>
            </w:pPr>
          </w:p>
        </w:tc>
      </w:tr>
      <w:tr w14:paraId="2644F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8" w:type="dxa"/>
            <w:tcBorders>
              <w:top w:val="single" w:color="auto" w:sz="4" w:space="0"/>
              <w:left w:val="single" w:color="auto" w:sz="4" w:space="0"/>
              <w:bottom w:val="single" w:color="auto" w:sz="4" w:space="0"/>
              <w:right w:val="single" w:color="auto" w:sz="4" w:space="0"/>
            </w:tcBorders>
            <w:noWrap w:val="0"/>
            <w:vAlign w:val="center"/>
          </w:tcPr>
          <w:p w14:paraId="2DF42A87">
            <w:pPr>
              <w:spacing w:before="120" w:after="60"/>
              <w:jc w:val="center"/>
              <w:rPr>
                <w:rFonts w:hint="eastAsia" w:ascii="宋体" w:hAnsi="宋体" w:cs="宋体"/>
                <w:sz w:val="24"/>
                <w:szCs w:val="24"/>
                <w:highlight w:val="none"/>
              </w:rPr>
            </w:pPr>
            <w:r>
              <w:rPr>
                <w:rFonts w:hint="eastAsia" w:ascii="宋体" w:hAnsi="宋体" w:cs="宋体"/>
                <w:highlight w:val="none"/>
              </w:rPr>
              <w:t>3</w:t>
            </w:r>
          </w:p>
        </w:tc>
        <w:tc>
          <w:tcPr>
            <w:tcW w:w="4493" w:type="dxa"/>
            <w:tcBorders>
              <w:top w:val="single" w:color="auto" w:sz="4" w:space="0"/>
              <w:left w:val="nil"/>
              <w:bottom w:val="single" w:color="auto" w:sz="4" w:space="0"/>
              <w:right w:val="single" w:color="auto" w:sz="4" w:space="0"/>
            </w:tcBorders>
            <w:noWrap w:val="0"/>
            <w:vAlign w:val="center"/>
          </w:tcPr>
          <w:p w14:paraId="3E1672B5">
            <w:pPr>
              <w:spacing w:before="120" w:after="60"/>
              <w:jc w:val="center"/>
              <w:rPr>
                <w:rFonts w:hint="eastAsia" w:ascii="宋体" w:hAnsi="宋体" w:cs="宋体"/>
                <w:sz w:val="24"/>
                <w:szCs w:val="24"/>
                <w:highlight w:val="none"/>
              </w:rPr>
            </w:pPr>
            <w:r>
              <w:rPr>
                <w:rFonts w:hint="eastAsia" w:ascii="宋体" w:hAnsi="宋体" w:cs="宋体"/>
                <w:highlight w:val="none"/>
              </w:rPr>
              <w:t>投标人均持有建设行政主管部门颁发</w:t>
            </w:r>
            <w:r>
              <w:rPr>
                <w:rFonts w:hint="eastAsia" w:ascii="宋体" w:hAnsi="宋体" w:cs="宋体"/>
                <w:highlight w:val="none"/>
                <w:lang w:eastAsia="zh-CN"/>
              </w:rPr>
              <w:t>有效期内</w:t>
            </w:r>
            <w:r>
              <w:rPr>
                <w:rFonts w:hint="eastAsia" w:ascii="宋体" w:hAnsi="宋体" w:cs="宋体"/>
                <w:highlight w:val="none"/>
              </w:rPr>
              <w:t>的企业资质证书及安全生产许可证；投标人资质符合公告要求</w:t>
            </w:r>
          </w:p>
        </w:tc>
        <w:tc>
          <w:tcPr>
            <w:tcW w:w="3557" w:type="dxa"/>
            <w:tcBorders>
              <w:top w:val="single" w:color="auto" w:sz="4" w:space="0"/>
              <w:left w:val="nil"/>
              <w:bottom w:val="single" w:color="auto" w:sz="4" w:space="0"/>
              <w:right w:val="single" w:color="auto" w:sz="4" w:space="0"/>
            </w:tcBorders>
            <w:noWrap w:val="0"/>
            <w:vAlign w:val="center"/>
          </w:tcPr>
          <w:p w14:paraId="41437389">
            <w:pPr>
              <w:spacing w:before="120" w:after="60"/>
              <w:jc w:val="center"/>
              <w:rPr>
                <w:rFonts w:hint="eastAsia" w:ascii="宋体" w:hAnsi="宋体" w:cs="宋体"/>
                <w:sz w:val="24"/>
                <w:szCs w:val="24"/>
                <w:highlight w:val="none"/>
              </w:rPr>
            </w:pPr>
            <w:r>
              <w:rPr>
                <w:rFonts w:hint="eastAsia" w:ascii="宋体" w:hAnsi="宋体" w:eastAsia="宋体" w:cs="宋体"/>
                <w:color w:val="auto"/>
                <w:spacing w:val="-4"/>
                <w:sz w:val="21"/>
                <w:szCs w:val="21"/>
                <w:highlight w:val="none"/>
              </w:rPr>
              <w:t>资质证书</w:t>
            </w:r>
            <w:r>
              <w:rPr>
                <w:rFonts w:hint="eastAsia" w:ascii="宋体" w:hAnsi="宋体" w:eastAsia="宋体" w:cs="宋体"/>
                <w:color w:val="auto"/>
                <w:spacing w:val="-4"/>
                <w:sz w:val="21"/>
                <w:szCs w:val="21"/>
                <w:highlight w:val="none"/>
                <w:u w:val="single"/>
              </w:rPr>
              <w:t>扫描件或电子证照</w:t>
            </w:r>
            <w:r>
              <w:rPr>
                <w:rFonts w:hint="eastAsia" w:ascii="宋体" w:hAnsi="宋体" w:eastAsia="宋体" w:cs="宋体"/>
                <w:color w:val="auto"/>
                <w:spacing w:val="-4"/>
                <w:sz w:val="21"/>
                <w:szCs w:val="21"/>
                <w:highlight w:val="none"/>
              </w:rPr>
              <w:t>、安全生产许可证</w:t>
            </w:r>
            <w:r>
              <w:rPr>
                <w:rFonts w:hint="eastAsia" w:ascii="宋体" w:hAnsi="宋体" w:eastAsia="宋体" w:cs="宋体"/>
                <w:color w:val="auto"/>
                <w:spacing w:val="-4"/>
                <w:sz w:val="21"/>
                <w:szCs w:val="21"/>
                <w:highlight w:val="none"/>
                <w:u w:val="single"/>
              </w:rPr>
              <w:t>扫描件或电子证照</w:t>
            </w:r>
          </w:p>
        </w:tc>
        <w:tc>
          <w:tcPr>
            <w:tcW w:w="748" w:type="dxa"/>
            <w:tcBorders>
              <w:top w:val="single" w:color="auto" w:sz="4" w:space="0"/>
              <w:left w:val="nil"/>
              <w:bottom w:val="single" w:color="auto" w:sz="4" w:space="0"/>
              <w:right w:val="single" w:color="auto" w:sz="4" w:space="0"/>
            </w:tcBorders>
            <w:noWrap w:val="0"/>
            <w:vAlign w:val="center"/>
          </w:tcPr>
          <w:p w14:paraId="733D5722">
            <w:pPr>
              <w:spacing w:before="120" w:after="60" w:line="360" w:lineRule="auto"/>
              <w:jc w:val="center"/>
              <w:rPr>
                <w:rFonts w:hint="eastAsia" w:ascii="宋体" w:hAnsi="宋体" w:cs="宋体"/>
                <w:sz w:val="24"/>
                <w:szCs w:val="24"/>
                <w:highlight w:val="none"/>
              </w:rPr>
            </w:pPr>
          </w:p>
        </w:tc>
      </w:tr>
      <w:tr w14:paraId="031A1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8" w:type="dxa"/>
            <w:tcBorders>
              <w:top w:val="single" w:color="auto" w:sz="4" w:space="0"/>
              <w:left w:val="single" w:color="auto" w:sz="4" w:space="0"/>
              <w:bottom w:val="single" w:color="auto" w:sz="4" w:space="0"/>
              <w:right w:val="single" w:color="auto" w:sz="4" w:space="0"/>
            </w:tcBorders>
            <w:noWrap w:val="0"/>
            <w:vAlign w:val="center"/>
          </w:tcPr>
          <w:p w14:paraId="2FBDA02A">
            <w:pPr>
              <w:spacing w:before="120" w:after="60"/>
              <w:jc w:val="center"/>
              <w:rPr>
                <w:rFonts w:hint="eastAsia" w:ascii="宋体" w:hAnsi="宋体" w:cs="宋体"/>
                <w:sz w:val="24"/>
                <w:szCs w:val="24"/>
                <w:highlight w:val="none"/>
              </w:rPr>
            </w:pPr>
            <w:r>
              <w:rPr>
                <w:rFonts w:hint="eastAsia" w:ascii="宋体" w:hAnsi="宋体" w:cs="宋体"/>
                <w:highlight w:val="none"/>
              </w:rPr>
              <w:t>4</w:t>
            </w:r>
          </w:p>
        </w:tc>
        <w:tc>
          <w:tcPr>
            <w:tcW w:w="4493" w:type="dxa"/>
            <w:tcBorders>
              <w:top w:val="single" w:color="auto" w:sz="4" w:space="0"/>
              <w:left w:val="nil"/>
              <w:bottom w:val="single" w:color="auto" w:sz="4" w:space="0"/>
              <w:right w:val="single" w:color="auto" w:sz="4" w:space="0"/>
            </w:tcBorders>
            <w:noWrap w:val="0"/>
            <w:vAlign w:val="center"/>
          </w:tcPr>
          <w:p w14:paraId="2A45A5F3">
            <w:pPr>
              <w:spacing w:before="120" w:after="60"/>
              <w:jc w:val="center"/>
              <w:rPr>
                <w:rFonts w:hint="eastAsia" w:ascii="宋体" w:hAnsi="宋体" w:cs="宋体"/>
                <w:sz w:val="24"/>
                <w:szCs w:val="24"/>
                <w:highlight w:val="none"/>
              </w:rPr>
            </w:pPr>
            <w:r>
              <w:rPr>
                <w:rFonts w:hint="eastAsia" w:ascii="宋体" w:hAnsi="宋体" w:cs="宋体"/>
                <w:highlight w:val="none"/>
              </w:rPr>
              <w:t>投标人拟担任本工程项目负责人符合公告要求</w:t>
            </w:r>
          </w:p>
        </w:tc>
        <w:tc>
          <w:tcPr>
            <w:tcW w:w="3557" w:type="dxa"/>
            <w:tcBorders>
              <w:top w:val="single" w:color="auto" w:sz="4" w:space="0"/>
              <w:left w:val="nil"/>
              <w:bottom w:val="single" w:color="auto" w:sz="4" w:space="0"/>
              <w:right w:val="single" w:color="auto" w:sz="4" w:space="0"/>
            </w:tcBorders>
            <w:noWrap w:val="0"/>
            <w:vAlign w:val="center"/>
          </w:tcPr>
          <w:p w14:paraId="3E609CD0">
            <w:pPr>
              <w:spacing w:before="120" w:after="60"/>
              <w:jc w:val="center"/>
              <w:rPr>
                <w:rFonts w:hint="eastAsia" w:ascii="宋体" w:hAnsi="宋体" w:cs="宋体"/>
                <w:sz w:val="24"/>
                <w:szCs w:val="24"/>
                <w:highlight w:val="none"/>
              </w:rPr>
            </w:pPr>
            <w:r>
              <w:rPr>
                <w:rFonts w:hint="eastAsia" w:ascii="宋体" w:hAnsi="宋体" w:eastAsia="宋体" w:cs="宋体"/>
                <w:color w:val="auto"/>
                <w:sz w:val="21"/>
                <w:szCs w:val="21"/>
                <w:highlight w:val="none"/>
                <w:u w:val="none"/>
              </w:rPr>
              <w:t>使用有效期内的注册建造师注册证书</w:t>
            </w:r>
            <w:r>
              <w:rPr>
                <w:rFonts w:hint="eastAsia" w:ascii="宋体" w:hAnsi="宋体" w:eastAsia="宋体" w:cs="宋体"/>
                <w:color w:val="auto"/>
                <w:sz w:val="21"/>
                <w:szCs w:val="21"/>
                <w:highlight w:val="none"/>
              </w:rPr>
              <w:t>扫描件或电子证书（注：打印建造师电子证书后，在个人签名处手写本人签名再扫描提交。）</w:t>
            </w:r>
          </w:p>
        </w:tc>
        <w:tc>
          <w:tcPr>
            <w:tcW w:w="748" w:type="dxa"/>
            <w:tcBorders>
              <w:top w:val="single" w:color="auto" w:sz="4" w:space="0"/>
              <w:left w:val="nil"/>
              <w:bottom w:val="single" w:color="auto" w:sz="4" w:space="0"/>
              <w:right w:val="single" w:color="auto" w:sz="4" w:space="0"/>
            </w:tcBorders>
            <w:noWrap w:val="0"/>
            <w:vAlign w:val="center"/>
          </w:tcPr>
          <w:p w14:paraId="20FA3197">
            <w:pPr>
              <w:spacing w:before="120" w:after="60" w:line="360" w:lineRule="auto"/>
              <w:jc w:val="center"/>
              <w:rPr>
                <w:rFonts w:hint="eastAsia" w:ascii="宋体" w:hAnsi="宋体" w:cs="宋体"/>
                <w:sz w:val="24"/>
                <w:szCs w:val="24"/>
                <w:highlight w:val="none"/>
              </w:rPr>
            </w:pPr>
          </w:p>
        </w:tc>
      </w:tr>
      <w:tr w14:paraId="40B3E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8" w:type="dxa"/>
            <w:tcBorders>
              <w:top w:val="single" w:color="auto" w:sz="4" w:space="0"/>
              <w:left w:val="single" w:color="auto" w:sz="4" w:space="0"/>
              <w:bottom w:val="single" w:color="auto" w:sz="4" w:space="0"/>
              <w:right w:val="single" w:color="auto" w:sz="4" w:space="0"/>
            </w:tcBorders>
            <w:noWrap w:val="0"/>
            <w:vAlign w:val="center"/>
          </w:tcPr>
          <w:p w14:paraId="5E9D9C4E">
            <w:pPr>
              <w:spacing w:before="120" w:after="60"/>
              <w:jc w:val="center"/>
              <w:rPr>
                <w:rFonts w:hint="eastAsia" w:ascii="宋体" w:hAnsi="宋体" w:cs="宋体"/>
                <w:sz w:val="24"/>
                <w:szCs w:val="24"/>
                <w:highlight w:val="none"/>
              </w:rPr>
            </w:pPr>
            <w:r>
              <w:rPr>
                <w:rFonts w:hint="eastAsia" w:ascii="宋体" w:hAnsi="宋体" w:cs="宋体"/>
                <w:highlight w:val="none"/>
              </w:rPr>
              <w:t>5</w:t>
            </w:r>
          </w:p>
        </w:tc>
        <w:tc>
          <w:tcPr>
            <w:tcW w:w="4493" w:type="dxa"/>
            <w:tcBorders>
              <w:top w:val="single" w:color="auto" w:sz="4" w:space="0"/>
              <w:left w:val="nil"/>
              <w:bottom w:val="single" w:color="auto" w:sz="4" w:space="0"/>
              <w:right w:val="single" w:color="auto" w:sz="4" w:space="0"/>
            </w:tcBorders>
            <w:noWrap w:val="0"/>
            <w:vAlign w:val="center"/>
          </w:tcPr>
          <w:p w14:paraId="61FFF610">
            <w:pPr>
              <w:spacing w:before="120" w:after="60"/>
              <w:jc w:val="center"/>
              <w:rPr>
                <w:rFonts w:hint="eastAsia" w:ascii="宋体" w:hAnsi="宋体" w:cs="宋体"/>
                <w:sz w:val="24"/>
                <w:szCs w:val="24"/>
                <w:highlight w:val="none"/>
              </w:rPr>
            </w:pPr>
            <w:r>
              <w:rPr>
                <w:rFonts w:hint="eastAsia" w:ascii="宋体" w:hAnsi="宋体" w:cs="宋体"/>
                <w:highlight w:val="none"/>
              </w:rPr>
              <w:t>持有项目负责人安全生产考核合格证（B类）或建筑施工企业项目负责人安全生产考核合格证</w:t>
            </w:r>
          </w:p>
        </w:tc>
        <w:tc>
          <w:tcPr>
            <w:tcW w:w="3557" w:type="dxa"/>
            <w:tcBorders>
              <w:top w:val="single" w:color="auto" w:sz="4" w:space="0"/>
              <w:left w:val="nil"/>
              <w:bottom w:val="single" w:color="auto" w:sz="4" w:space="0"/>
              <w:right w:val="single" w:color="auto" w:sz="4" w:space="0"/>
            </w:tcBorders>
            <w:noWrap w:val="0"/>
            <w:vAlign w:val="center"/>
          </w:tcPr>
          <w:p w14:paraId="37D532D7">
            <w:pPr>
              <w:spacing w:before="120" w:after="60"/>
              <w:jc w:val="center"/>
              <w:rPr>
                <w:rFonts w:hint="eastAsia" w:ascii="宋体" w:hAnsi="宋体" w:cs="宋体"/>
                <w:sz w:val="24"/>
                <w:szCs w:val="24"/>
                <w:highlight w:val="none"/>
              </w:rPr>
            </w:pPr>
            <w:r>
              <w:rPr>
                <w:rFonts w:hint="eastAsia" w:ascii="宋体" w:hAnsi="宋体" w:cs="宋体"/>
                <w:highlight w:val="none"/>
              </w:rPr>
              <w:t>项目负责人安全生产考核合格证（B类）或建筑施工企业项目负责人安全生产考核合格证</w:t>
            </w:r>
          </w:p>
        </w:tc>
        <w:tc>
          <w:tcPr>
            <w:tcW w:w="748" w:type="dxa"/>
            <w:tcBorders>
              <w:top w:val="single" w:color="auto" w:sz="4" w:space="0"/>
              <w:left w:val="nil"/>
              <w:bottom w:val="single" w:color="auto" w:sz="4" w:space="0"/>
              <w:right w:val="single" w:color="auto" w:sz="4" w:space="0"/>
            </w:tcBorders>
            <w:noWrap w:val="0"/>
            <w:vAlign w:val="center"/>
          </w:tcPr>
          <w:p w14:paraId="1A6D5A53">
            <w:pPr>
              <w:spacing w:before="120" w:after="60" w:line="360" w:lineRule="auto"/>
              <w:jc w:val="center"/>
              <w:rPr>
                <w:rFonts w:hint="eastAsia" w:ascii="宋体" w:hAnsi="宋体" w:cs="宋体"/>
                <w:sz w:val="24"/>
                <w:szCs w:val="24"/>
                <w:highlight w:val="none"/>
              </w:rPr>
            </w:pPr>
          </w:p>
        </w:tc>
      </w:tr>
      <w:tr w14:paraId="65535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8" w:type="dxa"/>
            <w:tcBorders>
              <w:top w:val="single" w:color="auto" w:sz="4" w:space="0"/>
              <w:left w:val="single" w:color="auto" w:sz="4" w:space="0"/>
              <w:bottom w:val="single" w:color="auto" w:sz="4" w:space="0"/>
              <w:right w:val="single" w:color="auto" w:sz="4" w:space="0"/>
            </w:tcBorders>
            <w:noWrap w:val="0"/>
            <w:vAlign w:val="center"/>
          </w:tcPr>
          <w:p w14:paraId="1D6EC68B">
            <w:pPr>
              <w:rPr>
                <w:highlight w:val="none"/>
              </w:rPr>
            </w:pPr>
          </w:p>
        </w:tc>
        <w:tc>
          <w:tcPr>
            <w:tcW w:w="4493" w:type="dxa"/>
            <w:tcBorders>
              <w:top w:val="single" w:color="auto" w:sz="4" w:space="0"/>
              <w:left w:val="nil"/>
              <w:bottom w:val="single" w:color="auto" w:sz="4" w:space="0"/>
              <w:right w:val="single" w:color="auto" w:sz="4" w:space="0"/>
            </w:tcBorders>
            <w:noWrap w:val="0"/>
            <w:vAlign w:val="center"/>
          </w:tcPr>
          <w:p w14:paraId="374940F9">
            <w:pPr>
              <w:rPr>
                <w:highlight w:val="none"/>
              </w:rPr>
            </w:pPr>
          </w:p>
        </w:tc>
        <w:tc>
          <w:tcPr>
            <w:tcW w:w="3557" w:type="dxa"/>
            <w:tcBorders>
              <w:top w:val="single" w:color="auto" w:sz="4" w:space="0"/>
              <w:left w:val="nil"/>
              <w:bottom w:val="single" w:color="auto" w:sz="4" w:space="0"/>
              <w:right w:val="single" w:color="auto" w:sz="4" w:space="0"/>
            </w:tcBorders>
            <w:noWrap w:val="0"/>
            <w:vAlign w:val="center"/>
          </w:tcPr>
          <w:p w14:paraId="7C5603AD">
            <w:pPr>
              <w:rPr>
                <w:highlight w:val="none"/>
              </w:rPr>
            </w:pPr>
          </w:p>
        </w:tc>
        <w:tc>
          <w:tcPr>
            <w:tcW w:w="748" w:type="dxa"/>
            <w:tcBorders>
              <w:top w:val="single" w:color="auto" w:sz="4" w:space="0"/>
              <w:left w:val="nil"/>
              <w:bottom w:val="single" w:color="auto" w:sz="4" w:space="0"/>
              <w:right w:val="single" w:color="auto" w:sz="4" w:space="0"/>
            </w:tcBorders>
            <w:noWrap w:val="0"/>
            <w:vAlign w:val="center"/>
          </w:tcPr>
          <w:p w14:paraId="3C2C745C">
            <w:pPr>
              <w:rPr>
                <w:highlight w:val="none"/>
              </w:rPr>
            </w:pPr>
          </w:p>
        </w:tc>
      </w:tr>
      <w:tr w14:paraId="06467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8" w:type="dxa"/>
            <w:tcBorders>
              <w:top w:val="single" w:color="auto" w:sz="4" w:space="0"/>
              <w:left w:val="single" w:color="auto" w:sz="4" w:space="0"/>
              <w:bottom w:val="single" w:color="auto" w:sz="4" w:space="0"/>
              <w:right w:val="single" w:color="auto" w:sz="4" w:space="0"/>
            </w:tcBorders>
            <w:noWrap w:val="0"/>
            <w:vAlign w:val="center"/>
          </w:tcPr>
          <w:p w14:paraId="2AF15827">
            <w:pPr>
              <w:spacing w:before="120" w:after="60"/>
              <w:jc w:val="center"/>
              <w:rPr>
                <w:rFonts w:hint="eastAsia" w:ascii="宋体" w:hAnsi="宋体" w:eastAsia="宋体" w:cs="宋体"/>
                <w:sz w:val="24"/>
                <w:szCs w:val="24"/>
                <w:highlight w:val="none"/>
                <w:lang w:eastAsia="zh-CN"/>
              </w:rPr>
            </w:pPr>
            <w:r>
              <w:rPr>
                <w:rFonts w:hint="eastAsia" w:ascii="宋体" w:hAnsi="宋体" w:cs="宋体"/>
                <w:highlight w:val="none"/>
                <w:lang w:val="en-US" w:eastAsia="zh-CN"/>
              </w:rPr>
              <w:t>6</w:t>
            </w:r>
          </w:p>
        </w:tc>
        <w:tc>
          <w:tcPr>
            <w:tcW w:w="4493" w:type="dxa"/>
            <w:tcBorders>
              <w:top w:val="single" w:color="auto" w:sz="4" w:space="0"/>
              <w:left w:val="nil"/>
              <w:bottom w:val="single" w:color="auto" w:sz="4" w:space="0"/>
              <w:right w:val="single" w:color="auto" w:sz="4" w:space="0"/>
            </w:tcBorders>
            <w:noWrap w:val="0"/>
            <w:vAlign w:val="center"/>
          </w:tcPr>
          <w:p w14:paraId="1D39D585">
            <w:pPr>
              <w:spacing w:before="120" w:after="60"/>
              <w:jc w:val="center"/>
              <w:rPr>
                <w:rFonts w:hint="eastAsia" w:ascii="宋体" w:hAnsi="宋体" w:eastAsia="宋体" w:cs="宋体"/>
                <w:sz w:val="24"/>
                <w:szCs w:val="24"/>
                <w:highlight w:val="none"/>
                <w:lang w:eastAsia="zh-CN"/>
              </w:rPr>
            </w:pPr>
            <w:r>
              <w:rPr>
                <w:rFonts w:hint="eastAsia" w:ascii="宋体" w:hAnsi="宋体" w:cs="宋体"/>
                <w:highlight w:val="none"/>
              </w:rPr>
              <w:t>拟配备的专职安全员不少于</w:t>
            </w:r>
            <w:r>
              <w:rPr>
                <w:rFonts w:hint="eastAsia" w:ascii="宋体" w:hAnsi="宋体" w:cs="宋体"/>
                <w:highlight w:val="none"/>
                <w:lang w:val="en-US" w:eastAsia="zh-CN"/>
              </w:rPr>
              <w:t>1人，</w:t>
            </w:r>
            <w:r>
              <w:rPr>
                <w:rFonts w:hint="eastAsia" w:ascii="宋体" w:hAnsi="宋体" w:cs="宋体"/>
                <w:highlight w:val="none"/>
              </w:rPr>
              <w:t>专职安全员须具有</w:t>
            </w:r>
            <w:r>
              <w:rPr>
                <w:rFonts w:hint="eastAsia" w:ascii="宋体" w:hAnsi="宋体" w:cs="宋体"/>
                <w:highlight w:val="none"/>
                <w:u w:val="single"/>
              </w:rPr>
              <w:t>在有效期内</w:t>
            </w:r>
            <w:r>
              <w:rPr>
                <w:rFonts w:hint="eastAsia" w:ascii="宋体" w:hAnsi="宋体" w:cs="宋体"/>
                <w:highlight w:val="none"/>
              </w:rPr>
              <w:t>的安全生产考核合格证书（C类），或建筑施工企业专职安全生产管理人员安全生产考核合格证书</w:t>
            </w:r>
            <w:r>
              <w:rPr>
                <w:rFonts w:hint="eastAsia" w:ascii="宋体" w:hAnsi="宋体" w:cs="宋体"/>
                <w:highlight w:val="none"/>
                <w:lang w:eastAsia="zh-CN"/>
              </w:rPr>
              <w:t>（</w:t>
            </w:r>
            <w:r>
              <w:rPr>
                <w:rFonts w:hint="eastAsia" w:ascii="宋体" w:hAnsi="宋体" w:cs="宋体"/>
                <w:highlight w:val="none"/>
                <w:lang w:val="en-US" w:eastAsia="zh-CN"/>
              </w:rPr>
              <w:t>C3</w:t>
            </w:r>
            <w:r>
              <w:rPr>
                <w:rFonts w:hint="eastAsia" w:ascii="宋体" w:hAnsi="宋体" w:cs="宋体"/>
                <w:highlight w:val="none"/>
                <w:lang w:eastAsia="zh-CN"/>
              </w:rPr>
              <w:t>）</w:t>
            </w:r>
          </w:p>
        </w:tc>
        <w:tc>
          <w:tcPr>
            <w:tcW w:w="3557" w:type="dxa"/>
            <w:tcBorders>
              <w:top w:val="single" w:color="auto" w:sz="4" w:space="0"/>
              <w:left w:val="nil"/>
              <w:bottom w:val="single" w:color="auto" w:sz="4" w:space="0"/>
              <w:right w:val="single" w:color="auto" w:sz="4" w:space="0"/>
            </w:tcBorders>
            <w:noWrap w:val="0"/>
            <w:vAlign w:val="center"/>
          </w:tcPr>
          <w:p w14:paraId="7607EF43">
            <w:pPr>
              <w:spacing w:before="120" w:after="60"/>
              <w:jc w:val="center"/>
              <w:rPr>
                <w:rFonts w:hint="eastAsia" w:ascii="宋体" w:hAnsi="宋体" w:cs="宋体"/>
                <w:sz w:val="24"/>
                <w:szCs w:val="24"/>
                <w:highlight w:val="none"/>
              </w:rPr>
            </w:pPr>
            <w:r>
              <w:rPr>
                <w:rFonts w:hint="eastAsia" w:ascii="宋体" w:hAnsi="宋体" w:cs="宋体"/>
                <w:highlight w:val="none"/>
              </w:rPr>
              <w:t>专职安全员的安全生产考核合格证（C类）或建筑施工企业专职安全生产管理人员安全生产考核合格证证书</w:t>
            </w:r>
            <w:r>
              <w:rPr>
                <w:rFonts w:hint="eastAsia" w:ascii="宋体" w:hAnsi="宋体" w:cs="宋体"/>
                <w:highlight w:val="none"/>
                <w:lang w:eastAsia="zh-CN"/>
              </w:rPr>
              <w:t>（</w:t>
            </w:r>
            <w:r>
              <w:rPr>
                <w:rFonts w:hint="eastAsia" w:ascii="宋体" w:hAnsi="宋体" w:cs="宋体"/>
                <w:highlight w:val="none"/>
                <w:lang w:val="en-US" w:eastAsia="zh-CN"/>
              </w:rPr>
              <w:t>C3</w:t>
            </w:r>
            <w:r>
              <w:rPr>
                <w:rFonts w:hint="eastAsia" w:ascii="宋体" w:hAnsi="宋体" w:cs="宋体"/>
                <w:highlight w:val="none"/>
                <w:lang w:eastAsia="zh-CN"/>
              </w:rPr>
              <w:t>）</w:t>
            </w:r>
            <w:r>
              <w:rPr>
                <w:rFonts w:hint="eastAsia" w:ascii="宋体" w:hAnsi="宋体" w:cs="宋体"/>
                <w:highlight w:val="none"/>
                <w:u w:val="single"/>
              </w:rPr>
              <w:t>扫描件或电子证书</w:t>
            </w:r>
          </w:p>
        </w:tc>
        <w:tc>
          <w:tcPr>
            <w:tcW w:w="748" w:type="dxa"/>
            <w:tcBorders>
              <w:top w:val="single" w:color="auto" w:sz="4" w:space="0"/>
              <w:left w:val="nil"/>
              <w:bottom w:val="single" w:color="auto" w:sz="4" w:space="0"/>
              <w:right w:val="single" w:color="auto" w:sz="4" w:space="0"/>
            </w:tcBorders>
            <w:noWrap w:val="0"/>
            <w:vAlign w:val="center"/>
          </w:tcPr>
          <w:p w14:paraId="4DDF8F80">
            <w:pPr>
              <w:spacing w:before="120" w:after="60" w:line="360" w:lineRule="auto"/>
              <w:jc w:val="center"/>
              <w:rPr>
                <w:rFonts w:hint="eastAsia" w:ascii="宋体" w:hAnsi="宋体" w:cs="宋体"/>
                <w:sz w:val="24"/>
                <w:szCs w:val="24"/>
                <w:highlight w:val="none"/>
              </w:rPr>
            </w:pPr>
          </w:p>
        </w:tc>
      </w:tr>
      <w:tr w14:paraId="1C3E8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88" w:type="dxa"/>
            <w:tcBorders>
              <w:top w:val="single" w:color="auto" w:sz="4" w:space="0"/>
              <w:left w:val="single" w:color="auto" w:sz="4" w:space="0"/>
              <w:bottom w:val="single" w:color="auto" w:sz="4" w:space="0"/>
              <w:right w:val="single" w:color="auto" w:sz="4" w:space="0"/>
            </w:tcBorders>
            <w:noWrap w:val="0"/>
            <w:vAlign w:val="center"/>
          </w:tcPr>
          <w:p w14:paraId="7128AD72">
            <w:pPr>
              <w:spacing w:before="120" w:after="60"/>
              <w:jc w:val="center"/>
              <w:rPr>
                <w:rFonts w:hint="eastAsia" w:ascii="宋体" w:hAnsi="宋体" w:eastAsia="宋体" w:cs="宋体"/>
                <w:sz w:val="24"/>
                <w:szCs w:val="24"/>
                <w:highlight w:val="none"/>
                <w:lang w:eastAsia="zh-CN"/>
              </w:rPr>
            </w:pPr>
            <w:r>
              <w:rPr>
                <w:rFonts w:hint="eastAsia" w:ascii="宋体" w:hAnsi="宋体" w:cs="宋体"/>
                <w:highlight w:val="none"/>
                <w:lang w:val="en-US" w:eastAsia="zh-CN"/>
              </w:rPr>
              <w:t>7</w:t>
            </w:r>
          </w:p>
        </w:tc>
        <w:tc>
          <w:tcPr>
            <w:tcW w:w="4493" w:type="dxa"/>
            <w:tcBorders>
              <w:top w:val="single" w:color="auto" w:sz="4" w:space="0"/>
              <w:left w:val="nil"/>
              <w:bottom w:val="single" w:color="auto" w:sz="4" w:space="0"/>
              <w:right w:val="single" w:color="auto" w:sz="4" w:space="0"/>
            </w:tcBorders>
            <w:noWrap w:val="0"/>
            <w:vAlign w:val="center"/>
          </w:tcPr>
          <w:p w14:paraId="060404B3">
            <w:pPr>
              <w:spacing w:before="120" w:after="60"/>
              <w:jc w:val="center"/>
              <w:rPr>
                <w:rFonts w:hint="eastAsia" w:ascii="宋体" w:hAnsi="宋体" w:cs="宋体"/>
                <w:sz w:val="24"/>
                <w:szCs w:val="24"/>
                <w:highlight w:val="none"/>
              </w:rPr>
            </w:pPr>
            <w:r>
              <w:rPr>
                <w:rFonts w:hint="eastAsia" w:ascii="宋体" w:hAnsi="宋体" w:cs="宋体"/>
                <w:highlight w:val="none"/>
              </w:rPr>
              <w:t>投标人提供的投标人声明符合公告要求</w:t>
            </w:r>
          </w:p>
        </w:tc>
        <w:tc>
          <w:tcPr>
            <w:tcW w:w="3557" w:type="dxa"/>
            <w:tcBorders>
              <w:top w:val="single" w:color="auto" w:sz="4" w:space="0"/>
              <w:left w:val="nil"/>
              <w:bottom w:val="single" w:color="auto" w:sz="4" w:space="0"/>
              <w:right w:val="single" w:color="auto" w:sz="4" w:space="0"/>
            </w:tcBorders>
            <w:noWrap w:val="0"/>
            <w:vAlign w:val="center"/>
          </w:tcPr>
          <w:p w14:paraId="3E3B488A">
            <w:pPr>
              <w:spacing w:before="120" w:after="60"/>
              <w:jc w:val="center"/>
              <w:rPr>
                <w:rFonts w:hint="eastAsia" w:ascii="宋体" w:hAnsi="宋体" w:cs="宋体"/>
                <w:sz w:val="24"/>
                <w:szCs w:val="24"/>
                <w:highlight w:val="none"/>
              </w:rPr>
            </w:pPr>
            <w:r>
              <w:rPr>
                <w:rFonts w:hint="eastAsia" w:ascii="宋体" w:hAnsi="宋体" w:cs="宋体"/>
                <w:highlight w:val="none"/>
              </w:rPr>
              <w:t>投标人声明</w:t>
            </w:r>
          </w:p>
        </w:tc>
        <w:tc>
          <w:tcPr>
            <w:tcW w:w="748" w:type="dxa"/>
            <w:tcBorders>
              <w:top w:val="single" w:color="auto" w:sz="4" w:space="0"/>
              <w:left w:val="nil"/>
              <w:bottom w:val="single" w:color="auto" w:sz="4" w:space="0"/>
              <w:right w:val="single" w:color="auto" w:sz="4" w:space="0"/>
            </w:tcBorders>
            <w:noWrap w:val="0"/>
            <w:vAlign w:val="center"/>
          </w:tcPr>
          <w:p w14:paraId="6EA4BC1E">
            <w:pPr>
              <w:spacing w:before="120" w:after="60" w:line="360" w:lineRule="auto"/>
              <w:jc w:val="center"/>
              <w:rPr>
                <w:rFonts w:hint="eastAsia" w:ascii="宋体" w:hAnsi="宋体" w:cs="宋体"/>
                <w:sz w:val="24"/>
                <w:szCs w:val="24"/>
                <w:highlight w:val="none"/>
              </w:rPr>
            </w:pPr>
          </w:p>
        </w:tc>
      </w:tr>
      <w:tr w14:paraId="11407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8" w:type="dxa"/>
            <w:tcBorders>
              <w:top w:val="single" w:color="auto" w:sz="4" w:space="0"/>
              <w:left w:val="single" w:color="auto" w:sz="4" w:space="0"/>
              <w:bottom w:val="single" w:color="auto" w:sz="4" w:space="0"/>
              <w:right w:val="single" w:color="auto" w:sz="4" w:space="0"/>
            </w:tcBorders>
            <w:noWrap w:val="0"/>
            <w:vAlign w:val="center"/>
          </w:tcPr>
          <w:p w14:paraId="40E3F3F7">
            <w:pPr>
              <w:spacing w:before="120" w:after="60"/>
              <w:jc w:val="center"/>
              <w:rPr>
                <w:rFonts w:hint="eastAsia" w:ascii="宋体" w:hAnsi="宋体" w:eastAsia="宋体" w:cs="宋体"/>
                <w:sz w:val="24"/>
                <w:szCs w:val="24"/>
                <w:highlight w:val="none"/>
                <w:lang w:eastAsia="zh-CN"/>
              </w:rPr>
            </w:pPr>
            <w:r>
              <w:rPr>
                <w:rFonts w:hint="eastAsia" w:ascii="宋体" w:hAnsi="宋体" w:cs="宋体"/>
                <w:highlight w:val="none"/>
                <w:lang w:val="en-US" w:eastAsia="zh-CN"/>
              </w:rPr>
              <w:t>8</w:t>
            </w:r>
          </w:p>
        </w:tc>
        <w:tc>
          <w:tcPr>
            <w:tcW w:w="4493" w:type="dxa"/>
            <w:tcBorders>
              <w:top w:val="single" w:color="auto" w:sz="4" w:space="0"/>
              <w:left w:val="nil"/>
              <w:bottom w:val="single" w:color="auto" w:sz="4" w:space="0"/>
              <w:right w:val="single" w:color="auto" w:sz="4" w:space="0"/>
            </w:tcBorders>
            <w:noWrap w:val="0"/>
            <w:vAlign w:val="center"/>
          </w:tcPr>
          <w:p w14:paraId="6780D332">
            <w:pPr>
              <w:spacing w:before="120" w:after="60"/>
              <w:jc w:val="center"/>
              <w:rPr>
                <w:rFonts w:hint="eastAsia" w:ascii="宋体" w:hAnsi="宋体" w:cs="宋体"/>
                <w:sz w:val="24"/>
                <w:szCs w:val="24"/>
                <w:highlight w:val="none"/>
              </w:rPr>
            </w:pPr>
            <w:r>
              <w:rPr>
                <w:rFonts w:hint="eastAsia" w:ascii="宋体" w:hAnsi="宋体" w:cs="宋体"/>
                <w:highlight w:val="none"/>
              </w:rPr>
              <w:t>投标人声明中签字的项目负责人和技术负责人与本项目拟派的项目负责人和技术负责人一致</w:t>
            </w:r>
          </w:p>
        </w:tc>
        <w:tc>
          <w:tcPr>
            <w:tcW w:w="3557" w:type="dxa"/>
            <w:tcBorders>
              <w:top w:val="single" w:color="auto" w:sz="4" w:space="0"/>
              <w:left w:val="nil"/>
              <w:bottom w:val="single" w:color="auto" w:sz="4" w:space="0"/>
              <w:right w:val="single" w:color="auto" w:sz="4" w:space="0"/>
            </w:tcBorders>
            <w:noWrap w:val="0"/>
            <w:vAlign w:val="center"/>
          </w:tcPr>
          <w:p w14:paraId="77EA1D5D">
            <w:pPr>
              <w:spacing w:before="120" w:after="60"/>
              <w:jc w:val="center"/>
              <w:rPr>
                <w:rFonts w:hint="eastAsia" w:ascii="宋体" w:hAnsi="宋体" w:cs="宋体"/>
                <w:sz w:val="24"/>
                <w:szCs w:val="24"/>
                <w:highlight w:val="none"/>
              </w:rPr>
            </w:pPr>
            <w:r>
              <w:rPr>
                <w:rFonts w:hint="eastAsia" w:ascii="宋体" w:hAnsi="宋体" w:cs="宋体"/>
                <w:highlight w:val="none"/>
              </w:rPr>
              <w:t>网上投标时选择拟投标的项目负责人、资格审查文件中拟委派的技术负责人及投标人声明</w:t>
            </w:r>
          </w:p>
        </w:tc>
        <w:tc>
          <w:tcPr>
            <w:tcW w:w="748" w:type="dxa"/>
            <w:tcBorders>
              <w:top w:val="single" w:color="auto" w:sz="4" w:space="0"/>
              <w:left w:val="nil"/>
              <w:bottom w:val="single" w:color="auto" w:sz="4" w:space="0"/>
              <w:right w:val="single" w:color="auto" w:sz="4" w:space="0"/>
            </w:tcBorders>
            <w:noWrap w:val="0"/>
            <w:vAlign w:val="center"/>
          </w:tcPr>
          <w:p w14:paraId="5D42316A">
            <w:pPr>
              <w:spacing w:before="120" w:after="60" w:line="360" w:lineRule="auto"/>
              <w:jc w:val="center"/>
              <w:rPr>
                <w:rFonts w:hint="eastAsia" w:ascii="宋体" w:hAnsi="宋体" w:cs="宋体"/>
                <w:sz w:val="24"/>
                <w:szCs w:val="24"/>
                <w:highlight w:val="none"/>
              </w:rPr>
            </w:pPr>
          </w:p>
        </w:tc>
      </w:tr>
      <w:tr w14:paraId="2201A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8" w:type="dxa"/>
            <w:tcBorders>
              <w:top w:val="single" w:color="auto" w:sz="4" w:space="0"/>
              <w:left w:val="single" w:color="auto" w:sz="4" w:space="0"/>
              <w:bottom w:val="single" w:color="auto" w:sz="4" w:space="0"/>
              <w:right w:val="single" w:color="auto" w:sz="4" w:space="0"/>
            </w:tcBorders>
            <w:noWrap w:val="0"/>
            <w:vAlign w:val="center"/>
          </w:tcPr>
          <w:p w14:paraId="36710515">
            <w:pPr>
              <w:spacing w:before="120" w:after="60"/>
              <w:jc w:val="center"/>
              <w:rPr>
                <w:rFonts w:hint="eastAsia" w:ascii="宋体" w:hAnsi="宋体" w:eastAsia="宋体" w:cs="宋体"/>
                <w:sz w:val="24"/>
                <w:szCs w:val="24"/>
                <w:highlight w:val="none"/>
                <w:lang w:eastAsia="zh-CN"/>
              </w:rPr>
            </w:pPr>
            <w:r>
              <w:rPr>
                <w:rFonts w:hint="eastAsia" w:ascii="宋体" w:hAnsi="宋体" w:cs="宋体"/>
                <w:highlight w:val="none"/>
                <w:lang w:val="en-US" w:eastAsia="zh-CN"/>
              </w:rPr>
              <w:t>9</w:t>
            </w:r>
          </w:p>
        </w:tc>
        <w:tc>
          <w:tcPr>
            <w:tcW w:w="4493" w:type="dxa"/>
            <w:tcBorders>
              <w:top w:val="single" w:color="auto" w:sz="4" w:space="0"/>
              <w:left w:val="nil"/>
              <w:bottom w:val="single" w:color="auto" w:sz="4" w:space="0"/>
              <w:right w:val="single" w:color="auto" w:sz="4" w:space="0"/>
            </w:tcBorders>
            <w:noWrap w:val="0"/>
            <w:vAlign w:val="center"/>
          </w:tcPr>
          <w:p w14:paraId="6BC45DC4">
            <w:pPr>
              <w:spacing w:before="120" w:after="60"/>
              <w:jc w:val="center"/>
              <w:rPr>
                <w:rFonts w:hint="eastAsia" w:ascii="宋体" w:hAnsi="宋体" w:cs="宋体"/>
                <w:sz w:val="24"/>
                <w:szCs w:val="24"/>
                <w:highlight w:val="none"/>
              </w:rPr>
            </w:pPr>
            <w:r>
              <w:rPr>
                <w:rFonts w:hint="eastAsia" w:ascii="宋体" w:hAnsi="宋体" w:cs="宋体"/>
                <w:highlight w:val="none"/>
              </w:rPr>
              <w:t>资格审查前，投标人须在广州公共资源交易中心企业库办理企业信息登记，且拟担任本项目的项目负责人、专职安全员是本企业信息登记中的在册人员</w:t>
            </w:r>
          </w:p>
        </w:tc>
        <w:tc>
          <w:tcPr>
            <w:tcW w:w="3557" w:type="dxa"/>
            <w:tcBorders>
              <w:top w:val="single" w:color="auto" w:sz="4" w:space="0"/>
              <w:left w:val="nil"/>
              <w:bottom w:val="single" w:color="auto" w:sz="4" w:space="0"/>
              <w:right w:val="single" w:color="auto" w:sz="4" w:space="0"/>
            </w:tcBorders>
            <w:noWrap w:val="0"/>
            <w:vAlign w:val="center"/>
          </w:tcPr>
          <w:p w14:paraId="25637A0E">
            <w:pPr>
              <w:spacing w:before="120" w:after="60"/>
              <w:jc w:val="center"/>
              <w:rPr>
                <w:rFonts w:hint="eastAsia" w:ascii="宋体" w:hAnsi="宋体" w:cs="宋体"/>
                <w:sz w:val="24"/>
                <w:szCs w:val="24"/>
                <w:highlight w:val="none"/>
              </w:rPr>
            </w:pPr>
            <w:r>
              <w:rPr>
                <w:rFonts w:hint="eastAsia" w:ascii="宋体" w:hAnsi="宋体" w:cs="宋体"/>
                <w:highlight w:val="none"/>
              </w:rPr>
              <w:t>投标人在投标登记时选择了拟投入本项目的项目负责人、专职安全员，即已满足“资格审查前，投标人须在广州公共资源交易中心企业库办理企业信息登记，拟担任本工程项目负责人、专职安全员须是本企业信用档案中的在册人员”的要求，投标人无需提供证明材料</w:t>
            </w:r>
          </w:p>
        </w:tc>
        <w:tc>
          <w:tcPr>
            <w:tcW w:w="748" w:type="dxa"/>
            <w:tcBorders>
              <w:top w:val="single" w:color="auto" w:sz="4" w:space="0"/>
              <w:left w:val="nil"/>
              <w:bottom w:val="single" w:color="auto" w:sz="4" w:space="0"/>
              <w:right w:val="single" w:color="auto" w:sz="4" w:space="0"/>
            </w:tcBorders>
            <w:noWrap w:val="0"/>
            <w:vAlign w:val="center"/>
          </w:tcPr>
          <w:p w14:paraId="0B4A245F">
            <w:pPr>
              <w:spacing w:before="120" w:after="60" w:line="360" w:lineRule="auto"/>
              <w:jc w:val="center"/>
              <w:rPr>
                <w:rFonts w:hint="eastAsia" w:ascii="宋体" w:hAnsi="宋体" w:cs="宋体"/>
                <w:sz w:val="24"/>
                <w:szCs w:val="24"/>
                <w:highlight w:val="none"/>
              </w:rPr>
            </w:pPr>
          </w:p>
        </w:tc>
      </w:tr>
      <w:tr w14:paraId="7EE3D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8" w:type="dxa"/>
            <w:tcBorders>
              <w:top w:val="single" w:color="auto" w:sz="4" w:space="0"/>
              <w:left w:val="single" w:color="auto" w:sz="4" w:space="0"/>
              <w:bottom w:val="single" w:color="auto" w:sz="4" w:space="0"/>
              <w:right w:val="single" w:color="auto" w:sz="4" w:space="0"/>
            </w:tcBorders>
            <w:noWrap w:val="0"/>
            <w:vAlign w:val="center"/>
          </w:tcPr>
          <w:p w14:paraId="23028573">
            <w:pPr>
              <w:spacing w:before="120" w:after="60"/>
              <w:jc w:val="center"/>
              <w:rPr>
                <w:rFonts w:hint="default" w:ascii="宋体" w:hAnsi="宋体" w:eastAsia="宋体" w:cs="宋体"/>
                <w:sz w:val="24"/>
                <w:szCs w:val="24"/>
                <w:highlight w:val="none"/>
                <w:lang w:val="en-US" w:eastAsia="zh-CN"/>
              </w:rPr>
            </w:pPr>
            <w:r>
              <w:rPr>
                <w:rFonts w:hint="eastAsia" w:ascii="宋体" w:hAnsi="宋体" w:cs="宋体"/>
                <w:highlight w:val="none"/>
                <w:lang w:val="en-US" w:eastAsia="zh-CN"/>
              </w:rPr>
              <w:t>10</w:t>
            </w:r>
          </w:p>
        </w:tc>
        <w:tc>
          <w:tcPr>
            <w:tcW w:w="4493" w:type="dxa"/>
            <w:tcBorders>
              <w:top w:val="single" w:color="auto" w:sz="4" w:space="0"/>
              <w:left w:val="nil"/>
              <w:bottom w:val="single" w:color="auto" w:sz="4" w:space="0"/>
              <w:right w:val="single" w:color="auto" w:sz="4" w:space="0"/>
            </w:tcBorders>
            <w:noWrap w:val="0"/>
            <w:vAlign w:val="center"/>
          </w:tcPr>
          <w:p w14:paraId="68E742BA">
            <w:pPr>
              <w:spacing w:before="120" w:after="60"/>
              <w:jc w:val="center"/>
              <w:rPr>
                <w:rFonts w:hint="eastAsia" w:ascii="宋体" w:hAnsi="宋体" w:cs="宋体"/>
                <w:sz w:val="24"/>
                <w:szCs w:val="24"/>
                <w:highlight w:val="none"/>
              </w:rPr>
            </w:pPr>
            <w:r>
              <w:rPr>
                <w:rFonts w:hint="eastAsia" w:ascii="宋体" w:hAnsi="宋体" w:cs="宋体"/>
                <w:highlight w:val="none"/>
              </w:rPr>
              <w:t>投标人未出现以下情形：与其它投标人的单位负责人为同一人或者存在控股、管理关系的（按投标人提供的《投标人声明》第八条内容进行评审）</w:t>
            </w:r>
          </w:p>
        </w:tc>
        <w:tc>
          <w:tcPr>
            <w:tcW w:w="3557" w:type="dxa"/>
            <w:tcBorders>
              <w:top w:val="single" w:color="auto" w:sz="4" w:space="0"/>
              <w:left w:val="nil"/>
              <w:bottom w:val="single" w:color="auto" w:sz="4" w:space="0"/>
              <w:right w:val="single" w:color="auto" w:sz="4" w:space="0"/>
            </w:tcBorders>
            <w:noWrap w:val="0"/>
            <w:vAlign w:val="center"/>
          </w:tcPr>
          <w:p w14:paraId="02D0F8BB">
            <w:pPr>
              <w:spacing w:before="120" w:after="60"/>
              <w:jc w:val="center"/>
              <w:rPr>
                <w:rFonts w:hint="eastAsia" w:ascii="宋体" w:hAnsi="宋体" w:cs="宋体"/>
                <w:sz w:val="24"/>
                <w:szCs w:val="24"/>
                <w:highlight w:val="none"/>
              </w:rPr>
            </w:pPr>
            <w:r>
              <w:rPr>
                <w:rFonts w:hint="eastAsia" w:ascii="宋体" w:hAnsi="宋体" w:cs="宋体"/>
                <w:highlight w:val="none"/>
              </w:rPr>
              <w:t>投标人声明</w:t>
            </w:r>
          </w:p>
        </w:tc>
        <w:tc>
          <w:tcPr>
            <w:tcW w:w="748" w:type="dxa"/>
            <w:tcBorders>
              <w:top w:val="single" w:color="auto" w:sz="4" w:space="0"/>
              <w:left w:val="nil"/>
              <w:bottom w:val="single" w:color="auto" w:sz="4" w:space="0"/>
              <w:right w:val="single" w:color="auto" w:sz="4" w:space="0"/>
            </w:tcBorders>
            <w:noWrap w:val="0"/>
            <w:vAlign w:val="center"/>
          </w:tcPr>
          <w:p w14:paraId="52FFBCEA">
            <w:pPr>
              <w:spacing w:before="120" w:after="60" w:line="360" w:lineRule="auto"/>
              <w:jc w:val="center"/>
              <w:rPr>
                <w:rFonts w:hint="eastAsia" w:ascii="宋体" w:hAnsi="宋体" w:cs="宋体"/>
                <w:sz w:val="24"/>
                <w:szCs w:val="24"/>
                <w:highlight w:val="none"/>
              </w:rPr>
            </w:pPr>
          </w:p>
        </w:tc>
      </w:tr>
      <w:tr w14:paraId="08991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8" w:type="dxa"/>
            <w:tcBorders>
              <w:top w:val="single" w:color="auto" w:sz="4" w:space="0"/>
              <w:left w:val="single" w:color="auto" w:sz="4" w:space="0"/>
              <w:bottom w:val="single" w:color="auto" w:sz="4" w:space="0"/>
              <w:right w:val="single" w:color="auto" w:sz="4" w:space="0"/>
            </w:tcBorders>
            <w:noWrap w:val="0"/>
            <w:vAlign w:val="center"/>
          </w:tcPr>
          <w:p w14:paraId="46AD0185">
            <w:pPr>
              <w:spacing w:before="120" w:after="60"/>
              <w:jc w:val="center"/>
              <w:rPr>
                <w:rFonts w:hint="default" w:ascii="宋体" w:hAnsi="宋体" w:eastAsia="宋体" w:cs="宋体"/>
                <w:sz w:val="24"/>
                <w:szCs w:val="24"/>
                <w:highlight w:val="none"/>
                <w:lang w:val="en-US" w:eastAsia="zh-CN"/>
              </w:rPr>
            </w:pPr>
            <w:r>
              <w:rPr>
                <w:rFonts w:hint="eastAsia" w:ascii="宋体" w:hAnsi="宋体" w:cs="宋体"/>
                <w:highlight w:val="none"/>
                <w:lang w:val="en-US" w:eastAsia="zh-CN"/>
              </w:rPr>
              <w:t>11</w:t>
            </w:r>
          </w:p>
        </w:tc>
        <w:tc>
          <w:tcPr>
            <w:tcW w:w="4493" w:type="dxa"/>
            <w:tcBorders>
              <w:top w:val="single" w:color="auto" w:sz="4" w:space="0"/>
              <w:left w:val="nil"/>
              <w:bottom w:val="single" w:color="auto" w:sz="4" w:space="0"/>
              <w:right w:val="single" w:color="auto" w:sz="4" w:space="0"/>
            </w:tcBorders>
            <w:noWrap w:val="0"/>
            <w:vAlign w:val="center"/>
          </w:tcPr>
          <w:p w14:paraId="79EF7B87">
            <w:pPr>
              <w:spacing w:before="120" w:after="60"/>
              <w:jc w:val="center"/>
              <w:rPr>
                <w:rFonts w:hint="eastAsia" w:ascii="宋体" w:hAnsi="宋体" w:cs="宋体"/>
                <w:sz w:val="24"/>
                <w:szCs w:val="24"/>
                <w:highlight w:val="none"/>
              </w:rPr>
            </w:pPr>
            <w:r>
              <w:rPr>
                <w:rFonts w:hint="eastAsia" w:ascii="宋体" w:hAnsi="宋体" w:cs="宋体"/>
                <w:highlight w:val="none"/>
              </w:rPr>
              <w:t>未被列入拖欠农民工工资失信联合惩戒对象名单</w:t>
            </w:r>
          </w:p>
        </w:tc>
        <w:tc>
          <w:tcPr>
            <w:tcW w:w="3557" w:type="dxa"/>
            <w:tcBorders>
              <w:top w:val="single" w:color="auto" w:sz="4" w:space="0"/>
              <w:left w:val="nil"/>
              <w:bottom w:val="single" w:color="auto" w:sz="4" w:space="0"/>
              <w:right w:val="single" w:color="auto" w:sz="4" w:space="0"/>
            </w:tcBorders>
            <w:noWrap w:val="0"/>
            <w:vAlign w:val="center"/>
          </w:tcPr>
          <w:p w14:paraId="22C20695">
            <w:pPr>
              <w:spacing w:before="120" w:after="60"/>
              <w:jc w:val="center"/>
              <w:rPr>
                <w:rFonts w:hint="eastAsia" w:ascii="宋体" w:hAnsi="宋体" w:cs="宋体"/>
                <w:sz w:val="24"/>
                <w:szCs w:val="24"/>
                <w:highlight w:val="none"/>
              </w:rPr>
            </w:pPr>
            <w:r>
              <w:rPr>
                <w:rFonts w:hint="eastAsia" w:ascii="宋体" w:hAnsi="宋体" w:cs="宋体"/>
                <w:highlight w:val="none"/>
              </w:rPr>
              <w:t>投标人无需提供资料，按投标截止时间交易系统比对的结果进行评审</w:t>
            </w:r>
          </w:p>
        </w:tc>
        <w:tc>
          <w:tcPr>
            <w:tcW w:w="748" w:type="dxa"/>
            <w:tcBorders>
              <w:top w:val="single" w:color="auto" w:sz="4" w:space="0"/>
              <w:left w:val="nil"/>
              <w:bottom w:val="single" w:color="auto" w:sz="4" w:space="0"/>
              <w:right w:val="single" w:color="auto" w:sz="4" w:space="0"/>
            </w:tcBorders>
            <w:noWrap w:val="0"/>
            <w:vAlign w:val="center"/>
          </w:tcPr>
          <w:p w14:paraId="22C8869B">
            <w:pPr>
              <w:spacing w:before="120" w:after="60" w:line="360" w:lineRule="auto"/>
              <w:jc w:val="center"/>
              <w:rPr>
                <w:rFonts w:hint="eastAsia" w:ascii="宋体" w:hAnsi="宋体" w:cs="宋体"/>
                <w:sz w:val="24"/>
                <w:szCs w:val="24"/>
                <w:highlight w:val="none"/>
              </w:rPr>
            </w:pPr>
          </w:p>
        </w:tc>
      </w:tr>
    </w:tbl>
    <w:p w14:paraId="3DE4E026">
      <w:pPr>
        <w:spacing w:line="48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备注：</w:t>
      </w:r>
    </w:p>
    <w:p w14:paraId="1F1DF1EC">
      <w:pPr>
        <w:spacing w:line="480" w:lineRule="auto"/>
        <w:ind w:firstLine="537" w:firstLineChars="224"/>
        <w:rPr>
          <w:rFonts w:hint="eastAsia" w:ascii="宋体" w:hAnsi="宋体" w:cs="宋体"/>
          <w:sz w:val="24"/>
          <w:szCs w:val="24"/>
          <w:highlight w:val="none"/>
        </w:rPr>
      </w:pPr>
      <w:r>
        <w:rPr>
          <w:rFonts w:hint="eastAsia" w:ascii="宋体" w:hAnsi="宋体" w:cs="宋体"/>
          <w:sz w:val="24"/>
          <w:szCs w:val="24"/>
          <w:highlight w:val="none"/>
        </w:rPr>
        <w:t xml:space="preserve">1、每一项目符合的打“○”，不符合的打“×”； </w:t>
      </w:r>
    </w:p>
    <w:p w14:paraId="489C89CB">
      <w:pPr>
        <w:spacing w:line="480" w:lineRule="auto"/>
        <w:ind w:firstLine="537" w:firstLineChars="224"/>
        <w:rPr>
          <w:rFonts w:hint="eastAsia" w:ascii="宋体" w:hAnsi="宋体" w:cs="宋体"/>
          <w:sz w:val="24"/>
          <w:szCs w:val="24"/>
          <w:highlight w:val="none"/>
        </w:rPr>
      </w:pPr>
      <w:r>
        <w:rPr>
          <w:rFonts w:hint="eastAsia" w:ascii="宋体" w:hAnsi="宋体" w:cs="宋体"/>
          <w:sz w:val="24"/>
          <w:szCs w:val="24"/>
          <w:highlight w:val="none"/>
        </w:rPr>
        <w:t>2、若评委意见不一致时，则按少数服从多数的原则，作出评审结论。汇总后，出现一个“×”的结论为“不通过”。</w:t>
      </w:r>
    </w:p>
    <w:p w14:paraId="173683BA">
      <w:pPr>
        <w:spacing w:line="480" w:lineRule="auto"/>
        <w:ind w:firstLine="537" w:firstLineChars="224"/>
        <w:rPr>
          <w:rFonts w:hint="eastAsia" w:ascii="宋体" w:hAnsi="宋体" w:cs="宋体"/>
          <w:sz w:val="24"/>
          <w:szCs w:val="24"/>
          <w:highlight w:val="none"/>
        </w:rPr>
        <w:sectPr>
          <w:footerReference r:id="rId7" w:type="first"/>
          <w:headerReference r:id="rId3" w:type="default"/>
          <w:footerReference r:id="rId5" w:type="default"/>
          <w:headerReference r:id="rId4" w:type="even"/>
          <w:footerReference r:id="rId6" w:type="even"/>
          <w:endnotePr>
            <w:numFmt w:val="decimal"/>
          </w:endnotePr>
          <w:pgSz w:w="11906" w:h="16838"/>
          <w:pgMar w:top="1134" w:right="1418" w:bottom="993" w:left="1418" w:header="851" w:footer="519" w:gutter="0"/>
          <w:pgNumType w:start="0"/>
          <w:cols w:space="720" w:num="1"/>
          <w:titlePg/>
          <w:docGrid w:type="lines" w:linePitch="312" w:charSpace="0"/>
        </w:sectPr>
      </w:pPr>
      <w:r>
        <w:rPr>
          <w:rFonts w:hint="eastAsia" w:ascii="宋体" w:hAnsi="宋体" w:cs="宋体"/>
          <w:sz w:val="24"/>
          <w:szCs w:val="24"/>
          <w:highlight w:val="none"/>
        </w:rPr>
        <w:t>3、不得将文件顺序、明显的文字错误等列为否决投标的情形。评委发现资格审查文件中含义不明确、对同类问题表述不一致、有明显文字和计算错误的，应当要求投标人作必要的澄清、说明后再判定投标人是否通过资格审查，不得直接认定其不通过资格审查。</w:t>
      </w:r>
    </w:p>
    <w:p w14:paraId="0CC95759">
      <w:pPr>
        <w:rPr>
          <w:rFonts w:hint="eastAsia" w:ascii="宋体" w:hAnsi="宋体" w:cs="宋体"/>
          <w:szCs w:val="21"/>
          <w:highlight w:val="none"/>
        </w:rPr>
      </w:pPr>
      <w:r>
        <w:rPr>
          <w:rFonts w:hint="eastAsia" w:ascii="宋体" w:hAnsi="宋体" w:cs="宋体"/>
          <w:szCs w:val="21"/>
          <w:highlight w:val="none"/>
        </w:rPr>
        <w:t>附表二</w:t>
      </w:r>
    </w:p>
    <w:p w14:paraId="1E7CF585">
      <w:pPr>
        <w:jc w:val="center"/>
        <w:rPr>
          <w:rFonts w:hint="eastAsia" w:ascii="宋体" w:hAnsi="宋体" w:cs="宋体"/>
          <w:b/>
          <w:bCs/>
          <w:sz w:val="36"/>
          <w:szCs w:val="36"/>
          <w:highlight w:val="none"/>
        </w:rPr>
      </w:pPr>
      <w:r>
        <w:rPr>
          <w:rFonts w:hint="eastAsia" w:ascii="宋体" w:hAnsi="宋体" w:cs="宋体"/>
          <w:b/>
          <w:bCs/>
          <w:sz w:val="36"/>
          <w:szCs w:val="36"/>
          <w:highlight w:val="none"/>
        </w:rPr>
        <w:t>技术标有效性审查表</w:t>
      </w:r>
    </w:p>
    <w:p w14:paraId="58A96075">
      <w:pPr>
        <w:rPr>
          <w:rFonts w:hint="eastAsia" w:ascii="宋体" w:hAnsi="宋体" w:cs="宋体"/>
          <w:highlight w:val="none"/>
        </w:rPr>
      </w:pPr>
      <w:r>
        <w:rPr>
          <w:rFonts w:hint="eastAsia" w:ascii="宋体" w:hAnsi="宋体" w:cs="宋体"/>
          <w:highlight w:val="none"/>
        </w:rPr>
        <w:t>工程名称：</w:t>
      </w:r>
    </w:p>
    <w:tbl>
      <w:tblPr>
        <w:tblStyle w:val="36"/>
        <w:tblW w:w="1462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3"/>
        <w:gridCol w:w="9818"/>
        <w:gridCol w:w="1275"/>
        <w:gridCol w:w="1380"/>
        <w:gridCol w:w="1630"/>
      </w:tblGrid>
      <w:tr w14:paraId="5266E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523" w:type="dxa"/>
            <w:tcBorders>
              <w:top w:val="single" w:color="auto" w:sz="4" w:space="0"/>
              <w:left w:val="single" w:color="auto" w:sz="4" w:space="0"/>
              <w:bottom w:val="single" w:color="auto" w:sz="4" w:space="0"/>
              <w:right w:val="single" w:color="auto" w:sz="4" w:space="0"/>
            </w:tcBorders>
            <w:noWrap w:val="0"/>
            <w:vAlign w:val="center"/>
          </w:tcPr>
          <w:p w14:paraId="0EF45F0D">
            <w:pPr>
              <w:spacing w:line="360" w:lineRule="auto"/>
              <w:rPr>
                <w:rFonts w:hint="eastAsia" w:ascii="宋体" w:hAnsi="宋体" w:cs="宋体"/>
                <w:sz w:val="24"/>
                <w:szCs w:val="24"/>
                <w:highlight w:val="none"/>
              </w:rPr>
            </w:pPr>
            <w:r>
              <w:rPr>
                <w:rFonts w:hint="eastAsia" w:ascii="宋体" w:hAnsi="宋体" w:cs="宋体"/>
                <w:sz w:val="24"/>
                <w:szCs w:val="24"/>
                <w:highlight w:val="none"/>
              </w:rPr>
              <w:t>序号</w:t>
            </w:r>
          </w:p>
        </w:tc>
        <w:tc>
          <w:tcPr>
            <w:tcW w:w="9818" w:type="dxa"/>
            <w:tcBorders>
              <w:top w:val="single" w:color="auto" w:sz="4" w:space="0"/>
              <w:left w:val="nil"/>
              <w:bottom w:val="single" w:color="auto" w:sz="4" w:space="0"/>
              <w:right w:val="single" w:color="auto" w:sz="4" w:space="0"/>
              <w:tl2br w:val="single" w:color="auto" w:sz="4" w:space="0"/>
            </w:tcBorders>
            <w:noWrap w:val="0"/>
            <w:vAlign w:val="top"/>
          </w:tcPr>
          <w:p w14:paraId="2DA4AF86">
            <w:pPr>
              <w:spacing w:line="360" w:lineRule="auto"/>
              <w:ind w:firstLine="3960" w:firstLineChars="1650"/>
              <w:jc w:val="right"/>
              <w:rPr>
                <w:rFonts w:hint="eastAsia" w:ascii="宋体" w:hAnsi="宋体" w:cs="宋体"/>
                <w:sz w:val="24"/>
                <w:szCs w:val="24"/>
                <w:highlight w:val="none"/>
              </w:rPr>
            </w:pPr>
            <w:r>
              <w:rPr>
                <w:rFonts w:hint="eastAsia" w:ascii="宋体" w:hAnsi="宋体" w:cs="宋体"/>
                <w:sz w:val="24"/>
                <w:szCs w:val="24"/>
                <w:highlight w:val="none"/>
              </w:rPr>
              <w:t>投标人</w:t>
            </w:r>
          </w:p>
          <w:p w14:paraId="5462BB50">
            <w:pPr>
              <w:spacing w:line="360" w:lineRule="auto"/>
              <w:rPr>
                <w:rFonts w:hint="eastAsia" w:ascii="宋体" w:hAnsi="宋体" w:cs="宋体"/>
                <w:sz w:val="24"/>
                <w:szCs w:val="24"/>
                <w:highlight w:val="none"/>
              </w:rPr>
            </w:pPr>
            <w:r>
              <w:rPr>
                <w:rFonts w:hint="eastAsia" w:ascii="宋体" w:hAnsi="宋体" w:cs="宋体"/>
                <w:sz w:val="24"/>
                <w:szCs w:val="24"/>
                <w:highlight w:val="none"/>
              </w:rPr>
              <w:t>评审内容</w:t>
            </w:r>
          </w:p>
        </w:tc>
        <w:tc>
          <w:tcPr>
            <w:tcW w:w="1275" w:type="dxa"/>
            <w:tcBorders>
              <w:top w:val="single" w:color="auto" w:sz="4" w:space="0"/>
              <w:left w:val="nil"/>
              <w:bottom w:val="single" w:color="auto" w:sz="4" w:space="0"/>
              <w:right w:val="single" w:color="auto" w:sz="4" w:space="0"/>
            </w:tcBorders>
            <w:noWrap w:val="0"/>
            <w:vAlign w:val="top"/>
          </w:tcPr>
          <w:p w14:paraId="245B3827">
            <w:pPr>
              <w:spacing w:line="360" w:lineRule="auto"/>
              <w:rPr>
                <w:rFonts w:hint="eastAsia" w:ascii="宋体" w:hAnsi="宋体" w:cs="宋体"/>
                <w:sz w:val="24"/>
                <w:szCs w:val="24"/>
                <w:highlight w:val="none"/>
              </w:rPr>
            </w:pPr>
          </w:p>
        </w:tc>
        <w:tc>
          <w:tcPr>
            <w:tcW w:w="1380" w:type="dxa"/>
            <w:tcBorders>
              <w:top w:val="single" w:color="auto" w:sz="4" w:space="0"/>
              <w:left w:val="nil"/>
              <w:bottom w:val="single" w:color="auto" w:sz="4" w:space="0"/>
              <w:right w:val="single" w:color="auto" w:sz="4" w:space="0"/>
            </w:tcBorders>
            <w:noWrap w:val="0"/>
            <w:vAlign w:val="top"/>
          </w:tcPr>
          <w:p w14:paraId="5508188A">
            <w:pPr>
              <w:spacing w:line="360" w:lineRule="auto"/>
              <w:rPr>
                <w:rFonts w:hint="eastAsia" w:ascii="宋体" w:hAnsi="宋体" w:cs="宋体"/>
                <w:sz w:val="24"/>
                <w:szCs w:val="24"/>
                <w:highlight w:val="none"/>
              </w:rPr>
            </w:pPr>
          </w:p>
        </w:tc>
        <w:tc>
          <w:tcPr>
            <w:tcW w:w="1630" w:type="dxa"/>
            <w:tcBorders>
              <w:top w:val="single" w:color="auto" w:sz="4" w:space="0"/>
              <w:left w:val="nil"/>
              <w:bottom w:val="single" w:color="auto" w:sz="4" w:space="0"/>
              <w:right w:val="single" w:color="auto" w:sz="4" w:space="0"/>
            </w:tcBorders>
            <w:noWrap w:val="0"/>
            <w:vAlign w:val="top"/>
          </w:tcPr>
          <w:p w14:paraId="56A1AB50">
            <w:pPr>
              <w:spacing w:line="360" w:lineRule="auto"/>
              <w:rPr>
                <w:rFonts w:hint="eastAsia" w:ascii="宋体" w:hAnsi="宋体" w:cs="宋体"/>
                <w:sz w:val="24"/>
                <w:szCs w:val="24"/>
                <w:highlight w:val="none"/>
              </w:rPr>
            </w:pPr>
          </w:p>
        </w:tc>
      </w:tr>
      <w:tr w14:paraId="60FF2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523" w:type="dxa"/>
            <w:tcBorders>
              <w:top w:val="single" w:color="auto" w:sz="4" w:space="0"/>
              <w:left w:val="single" w:color="auto" w:sz="4" w:space="0"/>
              <w:bottom w:val="single" w:color="auto" w:sz="4" w:space="0"/>
              <w:right w:val="single" w:color="auto" w:sz="4" w:space="0"/>
            </w:tcBorders>
            <w:noWrap w:val="0"/>
            <w:vAlign w:val="center"/>
          </w:tcPr>
          <w:p w14:paraId="4F343393">
            <w:pPr>
              <w:spacing w:line="360" w:lineRule="auto"/>
              <w:rPr>
                <w:rFonts w:hint="eastAsia" w:ascii="宋体" w:hAnsi="宋体" w:cs="宋体"/>
                <w:sz w:val="24"/>
                <w:szCs w:val="24"/>
                <w:highlight w:val="none"/>
              </w:rPr>
            </w:pPr>
            <w:r>
              <w:rPr>
                <w:rFonts w:hint="eastAsia" w:ascii="宋体" w:hAnsi="宋体" w:cs="宋体"/>
                <w:sz w:val="24"/>
                <w:szCs w:val="24"/>
                <w:highlight w:val="none"/>
              </w:rPr>
              <w:t>1</w:t>
            </w:r>
          </w:p>
        </w:tc>
        <w:tc>
          <w:tcPr>
            <w:tcW w:w="9818" w:type="dxa"/>
            <w:tcBorders>
              <w:top w:val="single" w:color="auto" w:sz="4" w:space="0"/>
              <w:left w:val="nil"/>
              <w:bottom w:val="single" w:color="auto" w:sz="4" w:space="0"/>
              <w:right w:val="single" w:color="auto" w:sz="4" w:space="0"/>
            </w:tcBorders>
            <w:noWrap w:val="0"/>
            <w:vAlign w:val="top"/>
          </w:tcPr>
          <w:p w14:paraId="02EFDF17">
            <w:pPr>
              <w:rPr>
                <w:rFonts w:hint="eastAsia" w:ascii="宋体" w:hAnsi="宋体" w:cs="宋体"/>
                <w:sz w:val="24"/>
                <w:szCs w:val="24"/>
                <w:highlight w:val="none"/>
              </w:rPr>
            </w:pPr>
            <w:r>
              <w:rPr>
                <w:rFonts w:hint="eastAsia" w:ascii="宋体" w:hAnsi="宋体" w:cs="宋体"/>
                <w:sz w:val="24"/>
                <w:szCs w:val="24"/>
                <w:highlight w:val="none"/>
              </w:rPr>
              <w:t>不能满足完成投标项目工期的；</w:t>
            </w:r>
          </w:p>
        </w:tc>
        <w:tc>
          <w:tcPr>
            <w:tcW w:w="1275" w:type="dxa"/>
            <w:tcBorders>
              <w:top w:val="single" w:color="auto" w:sz="4" w:space="0"/>
              <w:left w:val="nil"/>
              <w:bottom w:val="single" w:color="auto" w:sz="4" w:space="0"/>
              <w:right w:val="single" w:color="auto" w:sz="4" w:space="0"/>
            </w:tcBorders>
            <w:noWrap w:val="0"/>
            <w:vAlign w:val="top"/>
          </w:tcPr>
          <w:p w14:paraId="376A6EF0">
            <w:pPr>
              <w:spacing w:line="360" w:lineRule="auto"/>
              <w:rPr>
                <w:rFonts w:hint="eastAsia" w:ascii="宋体" w:hAnsi="宋体" w:cs="宋体"/>
                <w:sz w:val="24"/>
                <w:szCs w:val="24"/>
                <w:highlight w:val="none"/>
              </w:rPr>
            </w:pPr>
          </w:p>
        </w:tc>
        <w:tc>
          <w:tcPr>
            <w:tcW w:w="1380" w:type="dxa"/>
            <w:tcBorders>
              <w:top w:val="single" w:color="auto" w:sz="4" w:space="0"/>
              <w:left w:val="nil"/>
              <w:bottom w:val="single" w:color="auto" w:sz="4" w:space="0"/>
              <w:right w:val="single" w:color="auto" w:sz="4" w:space="0"/>
            </w:tcBorders>
            <w:noWrap w:val="0"/>
            <w:vAlign w:val="top"/>
          </w:tcPr>
          <w:p w14:paraId="60432045">
            <w:pPr>
              <w:spacing w:line="360" w:lineRule="auto"/>
              <w:rPr>
                <w:rFonts w:hint="eastAsia" w:ascii="宋体" w:hAnsi="宋体" w:cs="宋体"/>
                <w:sz w:val="24"/>
                <w:szCs w:val="24"/>
                <w:highlight w:val="none"/>
              </w:rPr>
            </w:pPr>
          </w:p>
        </w:tc>
        <w:tc>
          <w:tcPr>
            <w:tcW w:w="1630" w:type="dxa"/>
            <w:tcBorders>
              <w:top w:val="single" w:color="auto" w:sz="4" w:space="0"/>
              <w:left w:val="nil"/>
              <w:bottom w:val="single" w:color="auto" w:sz="4" w:space="0"/>
              <w:right w:val="single" w:color="auto" w:sz="4" w:space="0"/>
            </w:tcBorders>
            <w:noWrap w:val="0"/>
            <w:vAlign w:val="top"/>
          </w:tcPr>
          <w:p w14:paraId="4C11ED13">
            <w:pPr>
              <w:spacing w:line="360" w:lineRule="auto"/>
              <w:rPr>
                <w:rFonts w:hint="eastAsia" w:ascii="宋体" w:hAnsi="宋体" w:cs="宋体"/>
                <w:sz w:val="24"/>
                <w:szCs w:val="24"/>
                <w:highlight w:val="none"/>
              </w:rPr>
            </w:pPr>
          </w:p>
        </w:tc>
      </w:tr>
      <w:tr w14:paraId="3C219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523" w:type="dxa"/>
            <w:tcBorders>
              <w:top w:val="single" w:color="auto" w:sz="4" w:space="0"/>
              <w:left w:val="single" w:color="auto" w:sz="4" w:space="0"/>
              <w:bottom w:val="single" w:color="auto" w:sz="4" w:space="0"/>
              <w:right w:val="single" w:color="auto" w:sz="4" w:space="0"/>
            </w:tcBorders>
            <w:noWrap w:val="0"/>
            <w:vAlign w:val="center"/>
          </w:tcPr>
          <w:p w14:paraId="482EF1EF">
            <w:pPr>
              <w:spacing w:line="360" w:lineRule="auto"/>
              <w:rPr>
                <w:rFonts w:hint="eastAsia" w:ascii="宋体" w:hAnsi="宋体" w:cs="宋体"/>
                <w:sz w:val="24"/>
                <w:szCs w:val="24"/>
                <w:highlight w:val="none"/>
              </w:rPr>
            </w:pPr>
            <w:r>
              <w:rPr>
                <w:rFonts w:hint="eastAsia" w:ascii="宋体" w:hAnsi="宋体" w:cs="宋体"/>
                <w:sz w:val="24"/>
                <w:szCs w:val="24"/>
                <w:highlight w:val="none"/>
              </w:rPr>
              <w:t>2</w:t>
            </w:r>
          </w:p>
        </w:tc>
        <w:tc>
          <w:tcPr>
            <w:tcW w:w="9818" w:type="dxa"/>
            <w:tcBorders>
              <w:top w:val="single" w:color="auto" w:sz="4" w:space="0"/>
              <w:left w:val="nil"/>
              <w:bottom w:val="single" w:color="auto" w:sz="4" w:space="0"/>
              <w:right w:val="single" w:color="auto" w:sz="4" w:space="0"/>
            </w:tcBorders>
            <w:noWrap w:val="0"/>
            <w:vAlign w:val="top"/>
          </w:tcPr>
          <w:p w14:paraId="4CA4A11E">
            <w:pPr>
              <w:rPr>
                <w:rFonts w:hint="eastAsia" w:ascii="宋体" w:hAnsi="宋体" w:cs="宋体"/>
                <w:sz w:val="24"/>
                <w:szCs w:val="24"/>
                <w:highlight w:val="none"/>
              </w:rPr>
            </w:pPr>
            <w:r>
              <w:rPr>
                <w:rFonts w:hint="eastAsia" w:ascii="宋体" w:hAnsi="宋体" w:cs="宋体"/>
                <w:sz w:val="24"/>
                <w:szCs w:val="24"/>
                <w:highlight w:val="none"/>
              </w:rPr>
              <w:t>不符合招标文件及有关技术规格、质量要求、检验标准和方法的；</w:t>
            </w:r>
          </w:p>
        </w:tc>
        <w:tc>
          <w:tcPr>
            <w:tcW w:w="1275" w:type="dxa"/>
            <w:tcBorders>
              <w:top w:val="single" w:color="auto" w:sz="4" w:space="0"/>
              <w:left w:val="nil"/>
              <w:bottom w:val="single" w:color="auto" w:sz="4" w:space="0"/>
              <w:right w:val="single" w:color="auto" w:sz="4" w:space="0"/>
            </w:tcBorders>
            <w:noWrap w:val="0"/>
            <w:vAlign w:val="top"/>
          </w:tcPr>
          <w:p w14:paraId="2E30D7E2">
            <w:pPr>
              <w:spacing w:line="360" w:lineRule="auto"/>
              <w:rPr>
                <w:rFonts w:hint="eastAsia" w:ascii="宋体" w:hAnsi="宋体" w:cs="宋体"/>
                <w:sz w:val="24"/>
                <w:szCs w:val="24"/>
                <w:highlight w:val="none"/>
              </w:rPr>
            </w:pPr>
          </w:p>
        </w:tc>
        <w:tc>
          <w:tcPr>
            <w:tcW w:w="1380" w:type="dxa"/>
            <w:tcBorders>
              <w:top w:val="single" w:color="auto" w:sz="4" w:space="0"/>
              <w:left w:val="nil"/>
              <w:bottom w:val="single" w:color="auto" w:sz="4" w:space="0"/>
              <w:right w:val="single" w:color="auto" w:sz="4" w:space="0"/>
            </w:tcBorders>
            <w:noWrap w:val="0"/>
            <w:vAlign w:val="top"/>
          </w:tcPr>
          <w:p w14:paraId="3BDFF32A">
            <w:pPr>
              <w:spacing w:line="360" w:lineRule="auto"/>
              <w:rPr>
                <w:rFonts w:hint="eastAsia" w:ascii="宋体" w:hAnsi="宋体" w:cs="宋体"/>
                <w:sz w:val="24"/>
                <w:szCs w:val="24"/>
                <w:highlight w:val="none"/>
              </w:rPr>
            </w:pPr>
          </w:p>
        </w:tc>
        <w:tc>
          <w:tcPr>
            <w:tcW w:w="1630" w:type="dxa"/>
            <w:tcBorders>
              <w:top w:val="single" w:color="auto" w:sz="4" w:space="0"/>
              <w:left w:val="nil"/>
              <w:bottom w:val="single" w:color="auto" w:sz="4" w:space="0"/>
              <w:right w:val="single" w:color="auto" w:sz="4" w:space="0"/>
            </w:tcBorders>
            <w:noWrap w:val="0"/>
            <w:vAlign w:val="top"/>
          </w:tcPr>
          <w:p w14:paraId="36EE18FF">
            <w:pPr>
              <w:spacing w:line="360" w:lineRule="auto"/>
              <w:rPr>
                <w:rFonts w:hint="eastAsia" w:ascii="宋体" w:hAnsi="宋体" w:cs="宋体"/>
                <w:sz w:val="24"/>
                <w:szCs w:val="24"/>
                <w:highlight w:val="none"/>
              </w:rPr>
            </w:pPr>
          </w:p>
        </w:tc>
      </w:tr>
      <w:tr w14:paraId="02F40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523" w:type="dxa"/>
            <w:tcBorders>
              <w:top w:val="single" w:color="auto" w:sz="4" w:space="0"/>
              <w:left w:val="single" w:color="auto" w:sz="4" w:space="0"/>
              <w:bottom w:val="single" w:color="auto" w:sz="4" w:space="0"/>
              <w:right w:val="single" w:color="auto" w:sz="4" w:space="0"/>
            </w:tcBorders>
            <w:noWrap w:val="0"/>
            <w:vAlign w:val="center"/>
          </w:tcPr>
          <w:p w14:paraId="556ED843">
            <w:pPr>
              <w:spacing w:line="360" w:lineRule="auto"/>
              <w:rPr>
                <w:rFonts w:hint="eastAsia" w:ascii="宋体" w:hAnsi="宋体" w:cs="宋体"/>
                <w:sz w:val="24"/>
                <w:szCs w:val="24"/>
                <w:highlight w:val="none"/>
              </w:rPr>
            </w:pPr>
            <w:r>
              <w:rPr>
                <w:rFonts w:hint="eastAsia" w:ascii="宋体" w:hAnsi="宋体" w:cs="宋体"/>
                <w:sz w:val="24"/>
                <w:szCs w:val="24"/>
                <w:highlight w:val="none"/>
              </w:rPr>
              <w:t>3</w:t>
            </w:r>
          </w:p>
        </w:tc>
        <w:tc>
          <w:tcPr>
            <w:tcW w:w="9818" w:type="dxa"/>
            <w:tcBorders>
              <w:top w:val="single" w:color="auto" w:sz="4" w:space="0"/>
              <w:left w:val="nil"/>
              <w:bottom w:val="single" w:color="auto" w:sz="4" w:space="0"/>
              <w:right w:val="single" w:color="auto" w:sz="4" w:space="0"/>
            </w:tcBorders>
            <w:noWrap w:val="0"/>
            <w:vAlign w:val="top"/>
          </w:tcPr>
          <w:p w14:paraId="13E2CEB8">
            <w:pPr>
              <w:rPr>
                <w:rFonts w:hint="eastAsia" w:ascii="宋体" w:hAnsi="宋体" w:cs="宋体"/>
                <w:sz w:val="24"/>
                <w:szCs w:val="24"/>
                <w:highlight w:val="none"/>
              </w:rPr>
            </w:pPr>
            <w:r>
              <w:rPr>
                <w:rFonts w:hint="eastAsia" w:ascii="宋体" w:hAnsi="宋体" w:cs="宋体"/>
                <w:sz w:val="24"/>
                <w:szCs w:val="24"/>
                <w:highlight w:val="none"/>
              </w:rPr>
              <w:t>投标文件中没有有效的法定代表人证明书，或由委托代理人签署的投标文件中没有法定代表人授权书；</w:t>
            </w:r>
          </w:p>
        </w:tc>
        <w:tc>
          <w:tcPr>
            <w:tcW w:w="1275" w:type="dxa"/>
            <w:tcBorders>
              <w:top w:val="single" w:color="auto" w:sz="4" w:space="0"/>
              <w:left w:val="nil"/>
              <w:bottom w:val="single" w:color="auto" w:sz="4" w:space="0"/>
              <w:right w:val="single" w:color="auto" w:sz="4" w:space="0"/>
            </w:tcBorders>
            <w:noWrap w:val="0"/>
            <w:vAlign w:val="top"/>
          </w:tcPr>
          <w:p w14:paraId="57512CDC">
            <w:pPr>
              <w:spacing w:line="360" w:lineRule="auto"/>
              <w:rPr>
                <w:rFonts w:hint="eastAsia" w:ascii="宋体" w:hAnsi="宋体" w:cs="宋体"/>
                <w:sz w:val="24"/>
                <w:szCs w:val="24"/>
                <w:highlight w:val="none"/>
              </w:rPr>
            </w:pPr>
          </w:p>
        </w:tc>
        <w:tc>
          <w:tcPr>
            <w:tcW w:w="1380" w:type="dxa"/>
            <w:tcBorders>
              <w:top w:val="single" w:color="auto" w:sz="4" w:space="0"/>
              <w:left w:val="nil"/>
              <w:bottom w:val="single" w:color="auto" w:sz="4" w:space="0"/>
              <w:right w:val="single" w:color="auto" w:sz="4" w:space="0"/>
            </w:tcBorders>
            <w:noWrap w:val="0"/>
            <w:vAlign w:val="top"/>
          </w:tcPr>
          <w:p w14:paraId="3EB8B047">
            <w:pPr>
              <w:spacing w:line="360" w:lineRule="auto"/>
              <w:rPr>
                <w:rFonts w:hint="eastAsia" w:ascii="宋体" w:hAnsi="宋体" w:cs="宋体"/>
                <w:sz w:val="24"/>
                <w:szCs w:val="24"/>
                <w:highlight w:val="none"/>
              </w:rPr>
            </w:pPr>
          </w:p>
        </w:tc>
        <w:tc>
          <w:tcPr>
            <w:tcW w:w="1630" w:type="dxa"/>
            <w:tcBorders>
              <w:top w:val="single" w:color="auto" w:sz="4" w:space="0"/>
              <w:left w:val="nil"/>
              <w:bottom w:val="single" w:color="auto" w:sz="4" w:space="0"/>
              <w:right w:val="single" w:color="auto" w:sz="4" w:space="0"/>
            </w:tcBorders>
            <w:noWrap w:val="0"/>
            <w:vAlign w:val="top"/>
          </w:tcPr>
          <w:p w14:paraId="6BF6051A">
            <w:pPr>
              <w:spacing w:line="360" w:lineRule="auto"/>
              <w:rPr>
                <w:rFonts w:hint="eastAsia" w:ascii="宋体" w:hAnsi="宋体" w:cs="宋体"/>
                <w:sz w:val="24"/>
                <w:szCs w:val="24"/>
                <w:highlight w:val="none"/>
              </w:rPr>
            </w:pPr>
          </w:p>
        </w:tc>
      </w:tr>
      <w:tr w14:paraId="2849C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523" w:type="dxa"/>
            <w:tcBorders>
              <w:top w:val="single" w:color="auto" w:sz="4" w:space="0"/>
              <w:left w:val="single" w:color="auto" w:sz="4" w:space="0"/>
              <w:bottom w:val="single" w:color="auto" w:sz="4" w:space="0"/>
              <w:right w:val="single" w:color="auto" w:sz="4" w:space="0"/>
            </w:tcBorders>
            <w:noWrap w:val="0"/>
            <w:vAlign w:val="center"/>
          </w:tcPr>
          <w:p w14:paraId="383843E9">
            <w:pPr>
              <w:spacing w:line="360" w:lineRule="auto"/>
              <w:rPr>
                <w:rFonts w:hint="eastAsia" w:ascii="宋体" w:hAnsi="宋体" w:cs="宋体"/>
                <w:sz w:val="24"/>
                <w:szCs w:val="24"/>
                <w:highlight w:val="none"/>
              </w:rPr>
            </w:pPr>
            <w:r>
              <w:rPr>
                <w:rFonts w:hint="eastAsia" w:ascii="宋体" w:hAnsi="宋体" w:cs="宋体"/>
                <w:sz w:val="24"/>
                <w:szCs w:val="24"/>
                <w:highlight w:val="none"/>
              </w:rPr>
              <w:t>4</w:t>
            </w:r>
          </w:p>
        </w:tc>
        <w:tc>
          <w:tcPr>
            <w:tcW w:w="9818" w:type="dxa"/>
            <w:tcBorders>
              <w:top w:val="single" w:color="auto" w:sz="4" w:space="0"/>
              <w:left w:val="nil"/>
              <w:bottom w:val="single" w:color="auto" w:sz="4" w:space="0"/>
              <w:right w:val="single" w:color="auto" w:sz="4" w:space="0"/>
            </w:tcBorders>
            <w:noWrap w:val="0"/>
            <w:vAlign w:val="top"/>
          </w:tcPr>
          <w:p w14:paraId="1F0159AF">
            <w:pPr>
              <w:rPr>
                <w:rFonts w:hint="eastAsia" w:ascii="宋体" w:hAnsi="宋体" w:cs="宋体"/>
                <w:sz w:val="24"/>
                <w:szCs w:val="24"/>
                <w:highlight w:val="none"/>
              </w:rPr>
            </w:pPr>
            <w:r>
              <w:rPr>
                <w:rFonts w:hint="eastAsia" w:ascii="宋体" w:hAnsi="宋体" w:cs="宋体"/>
                <w:sz w:val="24"/>
                <w:szCs w:val="24"/>
                <w:highlight w:val="none"/>
              </w:rPr>
              <w:t>投标文件未按规定的格式填写，或主要内容不全，或关键字迹模糊、无法辨认的；</w:t>
            </w:r>
          </w:p>
        </w:tc>
        <w:tc>
          <w:tcPr>
            <w:tcW w:w="1275" w:type="dxa"/>
            <w:tcBorders>
              <w:top w:val="single" w:color="auto" w:sz="4" w:space="0"/>
              <w:left w:val="nil"/>
              <w:bottom w:val="single" w:color="auto" w:sz="4" w:space="0"/>
              <w:right w:val="single" w:color="auto" w:sz="4" w:space="0"/>
            </w:tcBorders>
            <w:noWrap w:val="0"/>
            <w:vAlign w:val="top"/>
          </w:tcPr>
          <w:p w14:paraId="494078A1">
            <w:pPr>
              <w:spacing w:line="360" w:lineRule="auto"/>
              <w:rPr>
                <w:rFonts w:hint="eastAsia" w:ascii="宋体" w:hAnsi="宋体" w:cs="宋体"/>
                <w:sz w:val="24"/>
                <w:szCs w:val="24"/>
                <w:highlight w:val="none"/>
              </w:rPr>
            </w:pPr>
          </w:p>
        </w:tc>
        <w:tc>
          <w:tcPr>
            <w:tcW w:w="1380" w:type="dxa"/>
            <w:tcBorders>
              <w:top w:val="single" w:color="auto" w:sz="4" w:space="0"/>
              <w:left w:val="nil"/>
              <w:bottom w:val="single" w:color="auto" w:sz="4" w:space="0"/>
              <w:right w:val="single" w:color="auto" w:sz="4" w:space="0"/>
            </w:tcBorders>
            <w:noWrap w:val="0"/>
            <w:vAlign w:val="top"/>
          </w:tcPr>
          <w:p w14:paraId="6E230263">
            <w:pPr>
              <w:spacing w:line="360" w:lineRule="auto"/>
              <w:rPr>
                <w:rFonts w:hint="eastAsia" w:ascii="宋体" w:hAnsi="宋体" w:cs="宋体"/>
                <w:sz w:val="24"/>
                <w:szCs w:val="24"/>
                <w:highlight w:val="none"/>
              </w:rPr>
            </w:pPr>
          </w:p>
        </w:tc>
        <w:tc>
          <w:tcPr>
            <w:tcW w:w="1630" w:type="dxa"/>
            <w:tcBorders>
              <w:top w:val="single" w:color="auto" w:sz="4" w:space="0"/>
              <w:left w:val="nil"/>
              <w:bottom w:val="single" w:color="auto" w:sz="4" w:space="0"/>
              <w:right w:val="single" w:color="auto" w:sz="4" w:space="0"/>
            </w:tcBorders>
            <w:noWrap w:val="0"/>
            <w:vAlign w:val="top"/>
          </w:tcPr>
          <w:p w14:paraId="397CAFDC">
            <w:pPr>
              <w:spacing w:line="360" w:lineRule="auto"/>
              <w:rPr>
                <w:rFonts w:hint="eastAsia" w:ascii="宋体" w:hAnsi="宋体" w:cs="宋体"/>
                <w:sz w:val="24"/>
                <w:szCs w:val="24"/>
                <w:highlight w:val="none"/>
              </w:rPr>
            </w:pPr>
          </w:p>
        </w:tc>
      </w:tr>
      <w:tr w14:paraId="72F5A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523" w:type="dxa"/>
            <w:tcBorders>
              <w:top w:val="single" w:color="auto" w:sz="4" w:space="0"/>
              <w:left w:val="single" w:color="auto" w:sz="4" w:space="0"/>
              <w:bottom w:val="single" w:color="auto" w:sz="4" w:space="0"/>
              <w:right w:val="single" w:color="auto" w:sz="4" w:space="0"/>
            </w:tcBorders>
            <w:noWrap w:val="0"/>
            <w:vAlign w:val="center"/>
          </w:tcPr>
          <w:p w14:paraId="1F32F5E1">
            <w:pPr>
              <w:spacing w:line="360" w:lineRule="auto"/>
              <w:rPr>
                <w:rFonts w:hint="eastAsia" w:ascii="宋体" w:hAnsi="宋体" w:cs="宋体"/>
                <w:sz w:val="24"/>
                <w:szCs w:val="24"/>
                <w:highlight w:val="none"/>
              </w:rPr>
            </w:pPr>
            <w:r>
              <w:rPr>
                <w:rFonts w:hint="eastAsia" w:ascii="宋体" w:hAnsi="宋体" w:cs="宋体"/>
                <w:sz w:val="24"/>
                <w:szCs w:val="24"/>
                <w:highlight w:val="none"/>
              </w:rPr>
              <w:t>5</w:t>
            </w:r>
          </w:p>
        </w:tc>
        <w:tc>
          <w:tcPr>
            <w:tcW w:w="9818" w:type="dxa"/>
            <w:tcBorders>
              <w:top w:val="single" w:color="auto" w:sz="4" w:space="0"/>
              <w:left w:val="nil"/>
              <w:bottom w:val="single" w:color="auto" w:sz="4" w:space="0"/>
              <w:right w:val="single" w:color="auto" w:sz="4" w:space="0"/>
            </w:tcBorders>
            <w:noWrap w:val="0"/>
            <w:vAlign w:val="top"/>
          </w:tcPr>
          <w:p w14:paraId="1B6D81AC">
            <w:pPr>
              <w:rPr>
                <w:rFonts w:hint="eastAsia" w:ascii="宋体" w:hAnsi="宋体" w:cs="宋体"/>
                <w:sz w:val="24"/>
                <w:szCs w:val="24"/>
                <w:highlight w:val="none"/>
              </w:rPr>
            </w:pPr>
            <w:r>
              <w:rPr>
                <w:rFonts w:hint="eastAsia" w:ascii="宋体" w:hAnsi="宋体" w:cs="宋体"/>
                <w:sz w:val="24"/>
                <w:szCs w:val="24"/>
                <w:highlight w:val="none"/>
              </w:rPr>
              <w:t>投标人之间存在《广东省实施&lt;中华人民共和国招标投标法&gt;》第十六条所禁止的情形的；</w:t>
            </w:r>
          </w:p>
        </w:tc>
        <w:tc>
          <w:tcPr>
            <w:tcW w:w="1275" w:type="dxa"/>
            <w:tcBorders>
              <w:top w:val="single" w:color="auto" w:sz="4" w:space="0"/>
              <w:left w:val="nil"/>
              <w:bottom w:val="single" w:color="auto" w:sz="4" w:space="0"/>
              <w:right w:val="single" w:color="auto" w:sz="4" w:space="0"/>
            </w:tcBorders>
            <w:noWrap w:val="0"/>
            <w:vAlign w:val="top"/>
          </w:tcPr>
          <w:p w14:paraId="651E34CA">
            <w:pPr>
              <w:spacing w:line="360" w:lineRule="auto"/>
              <w:rPr>
                <w:rFonts w:hint="eastAsia" w:ascii="宋体" w:hAnsi="宋体" w:cs="宋体"/>
                <w:sz w:val="24"/>
                <w:szCs w:val="24"/>
                <w:highlight w:val="none"/>
              </w:rPr>
            </w:pPr>
          </w:p>
        </w:tc>
        <w:tc>
          <w:tcPr>
            <w:tcW w:w="1380" w:type="dxa"/>
            <w:tcBorders>
              <w:top w:val="single" w:color="auto" w:sz="4" w:space="0"/>
              <w:left w:val="nil"/>
              <w:bottom w:val="single" w:color="auto" w:sz="4" w:space="0"/>
              <w:right w:val="single" w:color="auto" w:sz="4" w:space="0"/>
            </w:tcBorders>
            <w:noWrap w:val="0"/>
            <w:vAlign w:val="top"/>
          </w:tcPr>
          <w:p w14:paraId="23FA933B">
            <w:pPr>
              <w:spacing w:line="360" w:lineRule="auto"/>
              <w:rPr>
                <w:rFonts w:hint="eastAsia" w:ascii="宋体" w:hAnsi="宋体" w:cs="宋体"/>
                <w:sz w:val="24"/>
                <w:szCs w:val="24"/>
                <w:highlight w:val="none"/>
              </w:rPr>
            </w:pPr>
          </w:p>
        </w:tc>
        <w:tc>
          <w:tcPr>
            <w:tcW w:w="1630" w:type="dxa"/>
            <w:tcBorders>
              <w:top w:val="single" w:color="auto" w:sz="4" w:space="0"/>
              <w:left w:val="nil"/>
              <w:bottom w:val="single" w:color="auto" w:sz="4" w:space="0"/>
              <w:right w:val="single" w:color="auto" w:sz="4" w:space="0"/>
            </w:tcBorders>
            <w:noWrap w:val="0"/>
            <w:vAlign w:val="top"/>
          </w:tcPr>
          <w:p w14:paraId="7871C2F4">
            <w:pPr>
              <w:spacing w:line="360" w:lineRule="auto"/>
              <w:rPr>
                <w:rFonts w:hint="eastAsia" w:ascii="宋体" w:hAnsi="宋体" w:cs="宋体"/>
                <w:sz w:val="24"/>
                <w:szCs w:val="24"/>
                <w:highlight w:val="none"/>
              </w:rPr>
            </w:pPr>
          </w:p>
        </w:tc>
      </w:tr>
      <w:tr w14:paraId="6820F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523" w:type="dxa"/>
            <w:tcBorders>
              <w:top w:val="single" w:color="auto" w:sz="4" w:space="0"/>
              <w:left w:val="single" w:color="auto" w:sz="4" w:space="0"/>
              <w:bottom w:val="single" w:color="auto" w:sz="4" w:space="0"/>
              <w:right w:val="single" w:color="auto" w:sz="4" w:space="0"/>
            </w:tcBorders>
            <w:noWrap w:val="0"/>
            <w:vAlign w:val="center"/>
          </w:tcPr>
          <w:p w14:paraId="23DAB979">
            <w:pPr>
              <w:spacing w:line="360" w:lineRule="auto"/>
              <w:rPr>
                <w:rFonts w:hint="eastAsia" w:ascii="宋体" w:hAnsi="宋体" w:cs="宋体"/>
                <w:sz w:val="24"/>
                <w:szCs w:val="24"/>
                <w:highlight w:val="none"/>
              </w:rPr>
            </w:pPr>
            <w:r>
              <w:rPr>
                <w:rFonts w:hint="eastAsia" w:ascii="宋体" w:hAnsi="宋体" w:cs="宋体"/>
                <w:sz w:val="24"/>
                <w:szCs w:val="24"/>
                <w:highlight w:val="none"/>
              </w:rPr>
              <w:t>6</w:t>
            </w:r>
          </w:p>
        </w:tc>
        <w:tc>
          <w:tcPr>
            <w:tcW w:w="9818" w:type="dxa"/>
            <w:tcBorders>
              <w:top w:val="single" w:color="auto" w:sz="4" w:space="0"/>
              <w:left w:val="nil"/>
              <w:bottom w:val="single" w:color="auto" w:sz="4" w:space="0"/>
              <w:right w:val="single" w:color="auto" w:sz="4" w:space="0"/>
            </w:tcBorders>
            <w:noWrap w:val="0"/>
            <w:vAlign w:val="top"/>
          </w:tcPr>
          <w:p w14:paraId="241E317F">
            <w:pPr>
              <w:rPr>
                <w:rFonts w:hint="eastAsia" w:ascii="宋体" w:hAnsi="宋体" w:cs="宋体"/>
                <w:sz w:val="24"/>
                <w:szCs w:val="24"/>
                <w:highlight w:val="none"/>
              </w:rPr>
            </w:pPr>
            <w:r>
              <w:rPr>
                <w:rFonts w:hint="eastAsia" w:ascii="宋体" w:hAnsi="宋体" w:cs="宋体"/>
                <w:sz w:val="24"/>
                <w:szCs w:val="24"/>
                <w:highlight w:val="none"/>
              </w:rPr>
              <w:t>无《参与编制技术标投标文件人员名单》的；</w:t>
            </w:r>
          </w:p>
        </w:tc>
        <w:tc>
          <w:tcPr>
            <w:tcW w:w="1275" w:type="dxa"/>
            <w:tcBorders>
              <w:top w:val="single" w:color="auto" w:sz="4" w:space="0"/>
              <w:left w:val="nil"/>
              <w:bottom w:val="single" w:color="auto" w:sz="4" w:space="0"/>
              <w:right w:val="single" w:color="auto" w:sz="4" w:space="0"/>
            </w:tcBorders>
            <w:noWrap w:val="0"/>
            <w:vAlign w:val="top"/>
          </w:tcPr>
          <w:p w14:paraId="6B48C5C6">
            <w:pPr>
              <w:spacing w:line="360" w:lineRule="auto"/>
              <w:rPr>
                <w:rFonts w:hint="eastAsia" w:ascii="宋体" w:hAnsi="宋体" w:cs="宋体"/>
                <w:sz w:val="24"/>
                <w:szCs w:val="24"/>
                <w:highlight w:val="none"/>
              </w:rPr>
            </w:pPr>
          </w:p>
        </w:tc>
        <w:tc>
          <w:tcPr>
            <w:tcW w:w="1380" w:type="dxa"/>
            <w:tcBorders>
              <w:top w:val="single" w:color="auto" w:sz="4" w:space="0"/>
              <w:left w:val="nil"/>
              <w:bottom w:val="single" w:color="auto" w:sz="4" w:space="0"/>
              <w:right w:val="single" w:color="auto" w:sz="4" w:space="0"/>
            </w:tcBorders>
            <w:noWrap w:val="0"/>
            <w:vAlign w:val="top"/>
          </w:tcPr>
          <w:p w14:paraId="21E577B2">
            <w:pPr>
              <w:spacing w:line="360" w:lineRule="auto"/>
              <w:rPr>
                <w:rFonts w:hint="eastAsia" w:ascii="宋体" w:hAnsi="宋体" w:cs="宋体"/>
                <w:sz w:val="24"/>
                <w:szCs w:val="24"/>
                <w:highlight w:val="none"/>
              </w:rPr>
            </w:pPr>
          </w:p>
        </w:tc>
        <w:tc>
          <w:tcPr>
            <w:tcW w:w="1630" w:type="dxa"/>
            <w:tcBorders>
              <w:top w:val="single" w:color="auto" w:sz="4" w:space="0"/>
              <w:left w:val="nil"/>
              <w:bottom w:val="single" w:color="auto" w:sz="4" w:space="0"/>
              <w:right w:val="single" w:color="auto" w:sz="4" w:space="0"/>
            </w:tcBorders>
            <w:noWrap w:val="0"/>
            <w:vAlign w:val="top"/>
          </w:tcPr>
          <w:p w14:paraId="3CF1EFEA">
            <w:pPr>
              <w:spacing w:line="360" w:lineRule="auto"/>
              <w:rPr>
                <w:rFonts w:hint="eastAsia" w:ascii="宋体" w:hAnsi="宋体" w:cs="宋体"/>
                <w:sz w:val="24"/>
                <w:szCs w:val="24"/>
                <w:highlight w:val="none"/>
              </w:rPr>
            </w:pPr>
          </w:p>
        </w:tc>
      </w:tr>
      <w:tr w14:paraId="3A081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523" w:type="dxa"/>
            <w:tcBorders>
              <w:top w:val="single" w:color="auto" w:sz="4" w:space="0"/>
              <w:left w:val="single" w:color="auto" w:sz="4" w:space="0"/>
              <w:bottom w:val="single" w:color="auto" w:sz="4" w:space="0"/>
              <w:right w:val="single" w:color="auto" w:sz="4" w:space="0"/>
            </w:tcBorders>
            <w:noWrap w:val="0"/>
            <w:vAlign w:val="center"/>
          </w:tcPr>
          <w:p w14:paraId="7F7EB8A2">
            <w:pPr>
              <w:spacing w:line="360" w:lineRule="auto"/>
              <w:rPr>
                <w:rFonts w:hint="eastAsia" w:ascii="宋体" w:hAnsi="宋体" w:cs="宋体"/>
                <w:sz w:val="24"/>
                <w:szCs w:val="24"/>
                <w:highlight w:val="none"/>
              </w:rPr>
            </w:pPr>
            <w:r>
              <w:rPr>
                <w:rFonts w:hint="eastAsia" w:ascii="宋体" w:hAnsi="宋体" w:cs="宋体"/>
                <w:sz w:val="24"/>
                <w:szCs w:val="24"/>
                <w:highlight w:val="none"/>
              </w:rPr>
              <w:t>7</w:t>
            </w:r>
          </w:p>
        </w:tc>
        <w:tc>
          <w:tcPr>
            <w:tcW w:w="9818" w:type="dxa"/>
            <w:tcBorders>
              <w:top w:val="single" w:color="auto" w:sz="4" w:space="0"/>
              <w:left w:val="nil"/>
              <w:bottom w:val="single" w:color="auto" w:sz="4" w:space="0"/>
              <w:right w:val="single" w:color="auto" w:sz="4" w:space="0"/>
            </w:tcBorders>
            <w:noWrap w:val="0"/>
            <w:vAlign w:val="top"/>
          </w:tcPr>
          <w:p w14:paraId="1036F9BB">
            <w:pPr>
              <w:rPr>
                <w:rFonts w:hint="eastAsia" w:ascii="宋体" w:hAnsi="宋体" w:cs="宋体"/>
                <w:sz w:val="24"/>
                <w:szCs w:val="24"/>
                <w:highlight w:val="none"/>
              </w:rPr>
            </w:pPr>
            <w:r>
              <w:rPr>
                <w:rFonts w:hint="eastAsia" w:ascii="宋体" w:hAnsi="宋体" w:cs="宋体"/>
                <w:sz w:val="24"/>
                <w:szCs w:val="24"/>
                <w:highlight w:val="none"/>
              </w:rPr>
              <w:t>投标人未按要求提交投标保证金的；</w:t>
            </w:r>
          </w:p>
        </w:tc>
        <w:tc>
          <w:tcPr>
            <w:tcW w:w="1275" w:type="dxa"/>
            <w:tcBorders>
              <w:top w:val="single" w:color="auto" w:sz="4" w:space="0"/>
              <w:left w:val="nil"/>
              <w:bottom w:val="single" w:color="auto" w:sz="4" w:space="0"/>
              <w:right w:val="single" w:color="auto" w:sz="4" w:space="0"/>
            </w:tcBorders>
            <w:noWrap w:val="0"/>
            <w:vAlign w:val="top"/>
          </w:tcPr>
          <w:p w14:paraId="1FC9512B">
            <w:pPr>
              <w:spacing w:line="360" w:lineRule="auto"/>
              <w:rPr>
                <w:rFonts w:hint="eastAsia" w:ascii="宋体" w:hAnsi="宋体" w:cs="宋体"/>
                <w:sz w:val="24"/>
                <w:szCs w:val="24"/>
                <w:highlight w:val="none"/>
              </w:rPr>
            </w:pPr>
          </w:p>
        </w:tc>
        <w:tc>
          <w:tcPr>
            <w:tcW w:w="1380" w:type="dxa"/>
            <w:tcBorders>
              <w:top w:val="single" w:color="auto" w:sz="4" w:space="0"/>
              <w:left w:val="nil"/>
              <w:bottom w:val="single" w:color="auto" w:sz="4" w:space="0"/>
              <w:right w:val="single" w:color="auto" w:sz="4" w:space="0"/>
            </w:tcBorders>
            <w:noWrap w:val="0"/>
            <w:vAlign w:val="top"/>
          </w:tcPr>
          <w:p w14:paraId="40587220">
            <w:pPr>
              <w:spacing w:line="360" w:lineRule="auto"/>
              <w:rPr>
                <w:rFonts w:hint="eastAsia" w:ascii="宋体" w:hAnsi="宋体" w:cs="宋体"/>
                <w:sz w:val="24"/>
                <w:szCs w:val="24"/>
                <w:highlight w:val="none"/>
              </w:rPr>
            </w:pPr>
          </w:p>
        </w:tc>
        <w:tc>
          <w:tcPr>
            <w:tcW w:w="1630" w:type="dxa"/>
            <w:tcBorders>
              <w:top w:val="single" w:color="auto" w:sz="4" w:space="0"/>
              <w:left w:val="nil"/>
              <w:bottom w:val="single" w:color="auto" w:sz="4" w:space="0"/>
              <w:right w:val="single" w:color="auto" w:sz="4" w:space="0"/>
            </w:tcBorders>
            <w:noWrap w:val="0"/>
            <w:vAlign w:val="top"/>
          </w:tcPr>
          <w:p w14:paraId="0BA32F21">
            <w:pPr>
              <w:spacing w:line="360" w:lineRule="auto"/>
              <w:rPr>
                <w:rFonts w:hint="eastAsia" w:ascii="宋体" w:hAnsi="宋体" w:cs="宋体"/>
                <w:sz w:val="24"/>
                <w:szCs w:val="24"/>
                <w:highlight w:val="none"/>
              </w:rPr>
            </w:pPr>
          </w:p>
        </w:tc>
      </w:tr>
      <w:tr w14:paraId="74FF8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523" w:type="dxa"/>
            <w:tcBorders>
              <w:top w:val="single" w:color="auto" w:sz="4" w:space="0"/>
              <w:left w:val="single" w:color="auto" w:sz="4" w:space="0"/>
              <w:bottom w:val="single" w:color="auto" w:sz="4" w:space="0"/>
              <w:right w:val="single" w:color="auto" w:sz="4" w:space="0"/>
            </w:tcBorders>
            <w:noWrap w:val="0"/>
            <w:vAlign w:val="center"/>
          </w:tcPr>
          <w:p w14:paraId="199D8CD3">
            <w:pPr>
              <w:spacing w:line="360" w:lineRule="auto"/>
              <w:rPr>
                <w:rFonts w:hint="eastAsia" w:ascii="宋体" w:hAnsi="宋体" w:cs="宋体"/>
                <w:sz w:val="24"/>
                <w:szCs w:val="24"/>
                <w:highlight w:val="none"/>
              </w:rPr>
            </w:pPr>
            <w:r>
              <w:rPr>
                <w:rFonts w:hint="eastAsia" w:ascii="宋体" w:hAnsi="宋体" w:cs="宋体"/>
                <w:sz w:val="24"/>
                <w:szCs w:val="24"/>
                <w:highlight w:val="none"/>
              </w:rPr>
              <w:t>8</w:t>
            </w:r>
          </w:p>
        </w:tc>
        <w:tc>
          <w:tcPr>
            <w:tcW w:w="9818" w:type="dxa"/>
            <w:tcBorders>
              <w:top w:val="single" w:color="auto" w:sz="4" w:space="0"/>
              <w:left w:val="nil"/>
              <w:bottom w:val="single" w:color="auto" w:sz="4" w:space="0"/>
              <w:right w:val="single" w:color="auto" w:sz="4" w:space="0"/>
            </w:tcBorders>
            <w:noWrap w:val="0"/>
            <w:vAlign w:val="top"/>
          </w:tcPr>
          <w:p w14:paraId="34626CB4">
            <w:pPr>
              <w:rPr>
                <w:rFonts w:hint="eastAsia" w:ascii="宋体" w:hAnsi="宋体" w:cs="宋体"/>
                <w:sz w:val="24"/>
                <w:szCs w:val="24"/>
                <w:highlight w:val="none"/>
              </w:rPr>
            </w:pPr>
            <w:r>
              <w:rPr>
                <w:rFonts w:hint="eastAsia" w:ascii="宋体" w:hAnsi="宋体" w:cs="宋体"/>
                <w:sz w:val="24"/>
                <w:szCs w:val="24"/>
                <w:highlight w:val="none"/>
              </w:rPr>
              <w:t>投标人与本项目其他投标人加密打包投标文件电脑机器特征码一致的(以广州交易集团有限公司（广州公共资源交易中心）交易平台评标系统的检索信息为准)；</w:t>
            </w:r>
          </w:p>
        </w:tc>
        <w:tc>
          <w:tcPr>
            <w:tcW w:w="1275" w:type="dxa"/>
            <w:tcBorders>
              <w:top w:val="single" w:color="auto" w:sz="4" w:space="0"/>
              <w:left w:val="nil"/>
              <w:bottom w:val="single" w:color="auto" w:sz="4" w:space="0"/>
              <w:right w:val="single" w:color="auto" w:sz="4" w:space="0"/>
            </w:tcBorders>
            <w:noWrap w:val="0"/>
            <w:vAlign w:val="top"/>
          </w:tcPr>
          <w:p w14:paraId="7388992C">
            <w:pPr>
              <w:spacing w:line="360" w:lineRule="auto"/>
              <w:rPr>
                <w:rFonts w:hint="eastAsia" w:ascii="宋体" w:hAnsi="宋体" w:cs="宋体"/>
                <w:sz w:val="24"/>
                <w:szCs w:val="24"/>
                <w:highlight w:val="none"/>
              </w:rPr>
            </w:pPr>
          </w:p>
        </w:tc>
        <w:tc>
          <w:tcPr>
            <w:tcW w:w="1380" w:type="dxa"/>
            <w:tcBorders>
              <w:top w:val="single" w:color="auto" w:sz="4" w:space="0"/>
              <w:left w:val="nil"/>
              <w:bottom w:val="single" w:color="auto" w:sz="4" w:space="0"/>
              <w:right w:val="single" w:color="auto" w:sz="4" w:space="0"/>
            </w:tcBorders>
            <w:noWrap w:val="0"/>
            <w:vAlign w:val="top"/>
          </w:tcPr>
          <w:p w14:paraId="5459931F">
            <w:pPr>
              <w:spacing w:line="360" w:lineRule="auto"/>
              <w:rPr>
                <w:rFonts w:hint="eastAsia" w:ascii="宋体" w:hAnsi="宋体" w:cs="宋体"/>
                <w:sz w:val="24"/>
                <w:szCs w:val="24"/>
                <w:highlight w:val="none"/>
              </w:rPr>
            </w:pPr>
          </w:p>
        </w:tc>
        <w:tc>
          <w:tcPr>
            <w:tcW w:w="1630" w:type="dxa"/>
            <w:tcBorders>
              <w:top w:val="single" w:color="auto" w:sz="4" w:space="0"/>
              <w:left w:val="nil"/>
              <w:bottom w:val="single" w:color="auto" w:sz="4" w:space="0"/>
              <w:right w:val="single" w:color="auto" w:sz="4" w:space="0"/>
            </w:tcBorders>
            <w:noWrap w:val="0"/>
            <w:vAlign w:val="top"/>
          </w:tcPr>
          <w:p w14:paraId="67222693">
            <w:pPr>
              <w:spacing w:line="360" w:lineRule="auto"/>
              <w:rPr>
                <w:rFonts w:hint="eastAsia" w:ascii="宋体" w:hAnsi="宋体" w:cs="宋体"/>
                <w:sz w:val="24"/>
                <w:szCs w:val="24"/>
                <w:highlight w:val="none"/>
              </w:rPr>
            </w:pPr>
          </w:p>
        </w:tc>
      </w:tr>
    </w:tbl>
    <w:p w14:paraId="0328298F">
      <w:pPr>
        <w:rPr>
          <w:rFonts w:hint="eastAsia" w:ascii="宋体" w:hAnsi="宋体" w:cs="宋体"/>
          <w:sz w:val="24"/>
          <w:szCs w:val="24"/>
          <w:highlight w:val="none"/>
        </w:rPr>
      </w:pPr>
      <w:r>
        <w:rPr>
          <w:rFonts w:hint="eastAsia" w:ascii="宋体" w:hAnsi="宋体" w:cs="宋体"/>
          <w:sz w:val="24"/>
          <w:szCs w:val="24"/>
          <w:highlight w:val="none"/>
        </w:rPr>
        <w:t>注：1.本表使用招标文件范本，与范本内容不同之处均以下划线标明。技术标评审中，响应性、承诺性内容不应作为评分因素，可在该表中对上述内容进行符合性审查。审查标准须具备可操作性。</w:t>
      </w:r>
    </w:p>
    <w:p w14:paraId="2514CA63">
      <w:pPr>
        <w:ind w:firstLine="480" w:firstLineChars="200"/>
        <w:rPr>
          <w:rFonts w:hint="eastAsia" w:ascii="宋体" w:hAnsi="宋体" w:cs="宋体"/>
          <w:sz w:val="24"/>
          <w:szCs w:val="24"/>
          <w:highlight w:val="none"/>
        </w:rPr>
      </w:pPr>
      <w:r>
        <w:rPr>
          <w:rFonts w:hint="eastAsia" w:ascii="宋体" w:hAnsi="宋体" w:cs="宋体"/>
          <w:sz w:val="24"/>
          <w:szCs w:val="24"/>
          <w:highlight w:val="none"/>
        </w:rPr>
        <w:t>2.不得将文件顺序、明显的文字错误等列为否决投标的情形。评委发现投标文件中含义不明确、对同类问题表述不一致、有明显文字和计算错误的，应当要求投标人作必要的澄清、说明后再判定投标人是否通过有效性审查，不得直接否决投标，若出现评标委员会否决投标的，应在评标报告中载明否决投标的具体情形、原因。</w:t>
      </w:r>
    </w:p>
    <w:p w14:paraId="6B214088">
      <w:pPr>
        <w:ind w:firstLine="480" w:firstLineChars="200"/>
        <w:rPr>
          <w:rFonts w:hint="eastAsia" w:ascii="宋体" w:hAnsi="宋体" w:cs="宋体"/>
          <w:sz w:val="24"/>
          <w:szCs w:val="24"/>
          <w:highlight w:val="none"/>
        </w:rPr>
      </w:pPr>
      <w:r>
        <w:rPr>
          <w:rFonts w:hint="eastAsia" w:ascii="宋体" w:hAnsi="宋体" w:cs="宋体"/>
          <w:sz w:val="24"/>
          <w:szCs w:val="24"/>
          <w:highlight w:val="none"/>
        </w:rPr>
        <w:t>3.凡出现以上任何一项情形，结论均为无效，否则就为有效。</w:t>
      </w:r>
    </w:p>
    <w:p w14:paraId="4C38F16A">
      <w:pPr>
        <w:ind w:firstLine="480" w:firstLineChars="200"/>
        <w:rPr>
          <w:rFonts w:hint="eastAsia" w:ascii="宋体" w:hAnsi="宋体" w:cs="宋体"/>
          <w:sz w:val="24"/>
          <w:szCs w:val="24"/>
          <w:highlight w:val="none"/>
        </w:rPr>
      </w:pPr>
      <w:r>
        <w:rPr>
          <w:rFonts w:hint="eastAsia" w:ascii="宋体" w:hAnsi="宋体" w:cs="宋体"/>
          <w:sz w:val="24"/>
          <w:szCs w:val="24"/>
          <w:highlight w:val="none"/>
        </w:rPr>
        <w:t>4.如对本表中某种情形的评审意见不一致时，以评标委员会过半数成员的意见作为评标委员会对该情形的认定结论。</w:t>
      </w:r>
    </w:p>
    <w:p w14:paraId="008172CA">
      <w:pPr>
        <w:rPr>
          <w:rFonts w:hint="eastAsia" w:ascii="宋体" w:hAnsi="宋体" w:cs="宋体"/>
          <w:sz w:val="24"/>
          <w:szCs w:val="24"/>
          <w:highlight w:val="none"/>
        </w:rPr>
      </w:pPr>
      <w:r>
        <w:rPr>
          <w:rFonts w:hint="eastAsia" w:ascii="宋体" w:hAnsi="宋体" w:cs="宋体"/>
          <w:sz w:val="24"/>
          <w:szCs w:val="24"/>
          <w:highlight w:val="none"/>
        </w:rPr>
        <w:t>评委签名：</w:t>
      </w:r>
    </w:p>
    <w:p w14:paraId="225A141A">
      <w:pPr>
        <w:rPr>
          <w:rFonts w:hint="eastAsia" w:ascii="宋体" w:hAnsi="宋体" w:cs="宋体"/>
          <w:szCs w:val="21"/>
          <w:highlight w:val="none"/>
        </w:rPr>
      </w:pPr>
      <w:r>
        <w:rPr>
          <w:rFonts w:hint="eastAsia" w:ascii="宋体" w:hAnsi="宋体" w:cs="宋体"/>
          <w:highlight w:val="none"/>
        </w:rPr>
        <w:br w:type="page"/>
      </w:r>
      <w:r>
        <w:rPr>
          <w:rFonts w:hint="eastAsia" w:ascii="宋体" w:hAnsi="宋体" w:cs="宋体"/>
          <w:szCs w:val="21"/>
          <w:highlight w:val="none"/>
        </w:rPr>
        <w:t>附表三</w:t>
      </w:r>
    </w:p>
    <w:p w14:paraId="4CEABDFD">
      <w:pPr>
        <w:jc w:val="center"/>
        <w:rPr>
          <w:rFonts w:hint="eastAsia" w:ascii="宋体" w:hAnsi="宋体" w:cs="宋体"/>
          <w:b/>
          <w:sz w:val="36"/>
          <w:szCs w:val="36"/>
          <w:highlight w:val="none"/>
        </w:rPr>
      </w:pPr>
      <w:r>
        <w:rPr>
          <w:rFonts w:hint="eastAsia" w:ascii="宋体" w:hAnsi="宋体" w:cs="宋体"/>
          <w:b/>
          <w:sz w:val="36"/>
          <w:szCs w:val="36"/>
          <w:highlight w:val="none"/>
        </w:rPr>
        <w:t>经济标有效性审查表</w:t>
      </w:r>
    </w:p>
    <w:p w14:paraId="17BFD42A">
      <w:pPr>
        <w:rPr>
          <w:rFonts w:hint="eastAsia" w:ascii="宋体" w:hAnsi="宋体" w:cs="宋体"/>
          <w:szCs w:val="21"/>
          <w:highlight w:val="none"/>
        </w:rPr>
      </w:pPr>
      <w:r>
        <w:rPr>
          <w:rFonts w:hint="eastAsia" w:ascii="宋体" w:hAnsi="宋体" w:cs="宋体"/>
          <w:szCs w:val="21"/>
          <w:highlight w:val="none"/>
        </w:rPr>
        <w:t>工程名称：</w:t>
      </w:r>
    </w:p>
    <w:tbl>
      <w:tblPr>
        <w:tblStyle w:val="36"/>
        <w:tblW w:w="147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10293"/>
        <w:gridCol w:w="1119"/>
        <w:gridCol w:w="1397"/>
        <w:gridCol w:w="1397"/>
      </w:tblGrid>
      <w:tr w14:paraId="173F3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14:paraId="120D32A0">
            <w:pPr>
              <w:spacing w:line="360" w:lineRule="auto"/>
              <w:rPr>
                <w:rFonts w:hint="eastAsia" w:ascii="宋体" w:hAnsi="宋体" w:cs="宋体"/>
                <w:sz w:val="24"/>
                <w:szCs w:val="24"/>
                <w:highlight w:val="none"/>
              </w:rPr>
            </w:pPr>
            <w:r>
              <w:rPr>
                <w:rFonts w:hint="eastAsia" w:ascii="宋体" w:hAnsi="宋体" w:cs="宋体"/>
                <w:sz w:val="24"/>
                <w:szCs w:val="24"/>
                <w:highlight w:val="none"/>
              </w:rPr>
              <w:t>序号</w:t>
            </w:r>
          </w:p>
        </w:tc>
        <w:tc>
          <w:tcPr>
            <w:tcW w:w="10293" w:type="dxa"/>
            <w:tcBorders>
              <w:top w:val="single" w:color="auto" w:sz="4" w:space="0"/>
              <w:left w:val="single" w:color="auto" w:sz="4" w:space="0"/>
              <w:bottom w:val="single" w:color="auto" w:sz="4" w:space="0"/>
              <w:right w:val="single" w:color="auto" w:sz="4" w:space="0"/>
              <w:tl2br w:val="single" w:color="auto" w:sz="4" w:space="0"/>
            </w:tcBorders>
            <w:noWrap w:val="0"/>
            <w:vAlign w:val="top"/>
          </w:tcPr>
          <w:p w14:paraId="55DBE026">
            <w:pPr>
              <w:spacing w:line="360" w:lineRule="auto"/>
              <w:jc w:val="right"/>
              <w:rPr>
                <w:rFonts w:hint="eastAsia" w:ascii="宋体" w:hAnsi="宋体" w:cs="宋体"/>
                <w:sz w:val="24"/>
                <w:szCs w:val="24"/>
                <w:highlight w:val="none"/>
              </w:rPr>
            </w:pPr>
            <w:r>
              <w:rPr>
                <w:rFonts w:hint="eastAsia" w:ascii="宋体" w:hAnsi="宋体" w:cs="宋体"/>
                <w:sz w:val="24"/>
                <w:szCs w:val="24"/>
                <w:highlight w:val="none"/>
              </w:rPr>
              <w:t xml:space="preserve">               投标人</w:t>
            </w:r>
          </w:p>
          <w:p w14:paraId="0C5A74E0">
            <w:pPr>
              <w:spacing w:line="360" w:lineRule="auto"/>
              <w:rPr>
                <w:rFonts w:hint="eastAsia" w:ascii="宋体" w:hAnsi="宋体" w:cs="宋体"/>
                <w:sz w:val="24"/>
                <w:szCs w:val="24"/>
                <w:highlight w:val="none"/>
              </w:rPr>
            </w:pPr>
            <w:r>
              <w:rPr>
                <w:rFonts w:hint="eastAsia" w:ascii="宋体" w:hAnsi="宋体" w:cs="宋体"/>
                <w:sz w:val="24"/>
                <w:szCs w:val="24"/>
                <w:highlight w:val="none"/>
              </w:rPr>
              <w:t>评审内容</w:t>
            </w:r>
          </w:p>
        </w:tc>
        <w:tc>
          <w:tcPr>
            <w:tcW w:w="1119" w:type="dxa"/>
            <w:tcBorders>
              <w:top w:val="single" w:color="auto" w:sz="4" w:space="0"/>
              <w:left w:val="single" w:color="auto" w:sz="4" w:space="0"/>
              <w:bottom w:val="single" w:color="auto" w:sz="4" w:space="0"/>
              <w:right w:val="single" w:color="auto" w:sz="4" w:space="0"/>
            </w:tcBorders>
            <w:noWrap w:val="0"/>
            <w:vAlign w:val="top"/>
          </w:tcPr>
          <w:p w14:paraId="76AAFC38">
            <w:pPr>
              <w:spacing w:line="360" w:lineRule="auto"/>
              <w:rPr>
                <w:rFonts w:hint="eastAsia" w:ascii="宋体" w:hAnsi="宋体" w:cs="宋体"/>
                <w:sz w:val="24"/>
                <w:szCs w:val="24"/>
                <w:highlight w:val="none"/>
              </w:rPr>
            </w:pPr>
          </w:p>
        </w:tc>
        <w:tc>
          <w:tcPr>
            <w:tcW w:w="1397" w:type="dxa"/>
            <w:tcBorders>
              <w:top w:val="single" w:color="auto" w:sz="4" w:space="0"/>
              <w:left w:val="single" w:color="auto" w:sz="4" w:space="0"/>
              <w:bottom w:val="single" w:color="auto" w:sz="4" w:space="0"/>
              <w:right w:val="single" w:color="auto" w:sz="4" w:space="0"/>
            </w:tcBorders>
            <w:noWrap w:val="0"/>
            <w:vAlign w:val="top"/>
          </w:tcPr>
          <w:p w14:paraId="0725A724">
            <w:pPr>
              <w:spacing w:line="360" w:lineRule="auto"/>
              <w:rPr>
                <w:rFonts w:hint="eastAsia" w:ascii="宋体" w:hAnsi="宋体" w:cs="宋体"/>
                <w:sz w:val="24"/>
                <w:szCs w:val="24"/>
                <w:highlight w:val="none"/>
              </w:rPr>
            </w:pPr>
          </w:p>
        </w:tc>
        <w:tc>
          <w:tcPr>
            <w:tcW w:w="1397" w:type="dxa"/>
            <w:tcBorders>
              <w:top w:val="single" w:color="auto" w:sz="4" w:space="0"/>
              <w:left w:val="single" w:color="auto" w:sz="4" w:space="0"/>
              <w:bottom w:val="single" w:color="auto" w:sz="4" w:space="0"/>
              <w:right w:val="single" w:color="auto" w:sz="4" w:space="0"/>
            </w:tcBorders>
            <w:noWrap w:val="0"/>
            <w:vAlign w:val="top"/>
          </w:tcPr>
          <w:p w14:paraId="597F0EEF">
            <w:pPr>
              <w:spacing w:line="360" w:lineRule="auto"/>
              <w:rPr>
                <w:rFonts w:hint="eastAsia" w:ascii="宋体" w:hAnsi="宋体" w:cs="宋体"/>
                <w:sz w:val="24"/>
                <w:szCs w:val="24"/>
                <w:highlight w:val="none"/>
              </w:rPr>
            </w:pPr>
          </w:p>
        </w:tc>
      </w:tr>
      <w:tr w14:paraId="79BFF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14:paraId="2925E70C">
            <w:pPr>
              <w:spacing w:line="360" w:lineRule="auto"/>
              <w:rPr>
                <w:rFonts w:hint="eastAsia" w:ascii="宋体" w:hAnsi="宋体" w:cs="宋体"/>
                <w:sz w:val="24"/>
                <w:szCs w:val="24"/>
                <w:highlight w:val="none"/>
              </w:rPr>
            </w:pPr>
            <w:r>
              <w:rPr>
                <w:rFonts w:hint="eastAsia" w:ascii="宋体" w:hAnsi="宋体" w:cs="宋体"/>
                <w:sz w:val="24"/>
                <w:szCs w:val="24"/>
                <w:highlight w:val="none"/>
              </w:rPr>
              <w:t>1</w:t>
            </w:r>
          </w:p>
        </w:tc>
        <w:tc>
          <w:tcPr>
            <w:tcW w:w="10293" w:type="dxa"/>
            <w:tcBorders>
              <w:top w:val="single" w:color="auto" w:sz="4" w:space="0"/>
              <w:left w:val="single" w:color="auto" w:sz="4" w:space="0"/>
              <w:bottom w:val="single" w:color="auto" w:sz="4" w:space="0"/>
              <w:right w:val="single" w:color="auto" w:sz="4" w:space="0"/>
            </w:tcBorders>
            <w:noWrap w:val="0"/>
            <w:vAlign w:val="center"/>
          </w:tcPr>
          <w:p w14:paraId="59DB4BB1">
            <w:pPr>
              <w:rPr>
                <w:rFonts w:hint="eastAsia" w:ascii="宋体" w:hAnsi="宋体" w:cs="宋体"/>
                <w:sz w:val="24"/>
                <w:szCs w:val="24"/>
                <w:highlight w:val="none"/>
              </w:rPr>
            </w:pPr>
            <w:r>
              <w:rPr>
                <w:rFonts w:hint="eastAsia" w:ascii="宋体" w:hAnsi="宋体" w:cs="宋体"/>
                <w:sz w:val="24"/>
                <w:szCs w:val="24"/>
                <w:highlight w:val="none"/>
              </w:rPr>
              <w:t>对同一招标项目出现两个或以上的投标报价，且没有申明哪个有效；</w:t>
            </w:r>
          </w:p>
        </w:tc>
        <w:tc>
          <w:tcPr>
            <w:tcW w:w="1119" w:type="dxa"/>
            <w:tcBorders>
              <w:top w:val="single" w:color="auto" w:sz="4" w:space="0"/>
              <w:left w:val="single" w:color="auto" w:sz="4" w:space="0"/>
              <w:bottom w:val="single" w:color="auto" w:sz="4" w:space="0"/>
              <w:right w:val="single" w:color="auto" w:sz="4" w:space="0"/>
            </w:tcBorders>
            <w:noWrap w:val="0"/>
            <w:vAlign w:val="top"/>
          </w:tcPr>
          <w:p w14:paraId="7F2CD932">
            <w:pPr>
              <w:spacing w:line="360" w:lineRule="auto"/>
              <w:rPr>
                <w:rFonts w:hint="eastAsia" w:ascii="宋体" w:hAnsi="宋体" w:cs="宋体"/>
                <w:sz w:val="24"/>
                <w:szCs w:val="24"/>
                <w:highlight w:val="none"/>
              </w:rPr>
            </w:pPr>
          </w:p>
        </w:tc>
        <w:tc>
          <w:tcPr>
            <w:tcW w:w="1397" w:type="dxa"/>
            <w:tcBorders>
              <w:top w:val="single" w:color="auto" w:sz="4" w:space="0"/>
              <w:left w:val="single" w:color="auto" w:sz="4" w:space="0"/>
              <w:bottom w:val="single" w:color="auto" w:sz="4" w:space="0"/>
              <w:right w:val="single" w:color="auto" w:sz="4" w:space="0"/>
            </w:tcBorders>
            <w:noWrap w:val="0"/>
            <w:vAlign w:val="top"/>
          </w:tcPr>
          <w:p w14:paraId="1D06B220">
            <w:pPr>
              <w:spacing w:line="360" w:lineRule="auto"/>
              <w:rPr>
                <w:rFonts w:hint="eastAsia" w:ascii="宋体" w:hAnsi="宋体" w:cs="宋体"/>
                <w:sz w:val="24"/>
                <w:szCs w:val="24"/>
                <w:highlight w:val="none"/>
              </w:rPr>
            </w:pPr>
          </w:p>
        </w:tc>
        <w:tc>
          <w:tcPr>
            <w:tcW w:w="1397" w:type="dxa"/>
            <w:tcBorders>
              <w:top w:val="single" w:color="auto" w:sz="4" w:space="0"/>
              <w:left w:val="single" w:color="auto" w:sz="4" w:space="0"/>
              <w:bottom w:val="single" w:color="auto" w:sz="4" w:space="0"/>
              <w:right w:val="single" w:color="auto" w:sz="4" w:space="0"/>
            </w:tcBorders>
            <w:noWrap w:val="0"/>
            <w:vAlign w:val="top"/>
          </w:tcPr>
          <w:p w14:paraId="0CBC3D12">
            <w:pPr>
              <w:spacing w:line="360" w:lineRule="auto"/>
              <w:rPr>
                <w:rFonts w:hint="eastAsia" w:ascii="宋体" w:hAnsi="宋体" w:cs="宋体"/>
                <w:sz w:val="24"/>
                <w:szCs w:val="24"/>
                <w:highlight w:val="none"/>
              </w:rPr>
            </w:pPr>
          </w:p>
        </w:tc>
      </w:tr>
      <w:tr w14:paraId="37E79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14:paraId="6E53CEAB">
            <w:pPr>
              <w:spacing w:line="360" w:lineRule="auto"/>
              <w:rPr>
                <w:rFonts w:hint="eastAsia" w:ascii="宋体" w:hAnsi="宋体" w:cs="宋体"/>
                <w:sz w:val="24"/>
                <w:szCs w:val="24"/>
                <w:highlight w:val="none"/>
              </w:rPr>
            </w:pPr>
            <w:r>
              <w:rPr>
                <w:rFonts w:hint="eastAsia" w:ascii="宋体" w:hAnsi="宋体" w:cs="宋体"/>
                <w:sz w:val="24"/>
                <w:szCs w:val="24"/>
                <w:highlight w:val="none"/>
              </w:rPr>
              <w:t>2</w:t>
            </w:r>
          </w:p>
        </w:tc>
        <w:tc>
          <w:tcPr>
            <w:tcW w:w="10293" w:type="dxa"/>
            <w:tcBorders>
              <w:top w:val="single" w:color="auto" w:sz="4" w:space="0"/>
              <w:left w:val="single" w:color="auto" w:sz="4" w:space="0"/>
              <w:bottom w:val="single" w:color="auto" w:sz="4" w:space="0"/>
              <w:right w:val="single" w:color="auto" w:sz="4" w:space="0"/>
            </w:tcBorders>
            <w:noWrap w:val="0"/>
            <w:vAlign w:val="center"/>
          </w:tcPr>
          <w:p w14:paraId="344E76F6">
            <w:pPr>
              <w:rPr>
                <w:rFonts w:hint="eastAsia" w:ascii="宋体" w:hAnsi="宋体" w:cs="宋体"/>
                <w:sz w:val="24"/>
                <w:szCs w:val="24"/>
                <w:highlight w:val="none"/>
              </w:rPr>
            </w:pPr>
            <w:r>
              <w:rPr>
                <w:rFonts w:hint="eastAsia" w:ascii="宋体" w:hAnsi="宋体" w:cs="宋体"/>
                <w:sz w:val="24"/>
                <w:szCs w:val="24"/>
                <w:highlight w:val="none"/>
              </w:rPr>
              <w:t>投标报价高于最高投标限价的；</w:t>
            </w:r>
          </w:p>
        </w:tc>
        <w:tc>
          <w:tcPr>
            <w:tcW w:w="1119" w:type="dxa"/>
            <w:tcBorders>
              <w:top w:val="single" w:color="auto" w:sz="4" w:space="0"/>
              <w:left w:val="single" w:color="auto" w:sz="4" w:space="0"/>
              <w:bottom w:val="single" w:color="auto" w:sz="4" w:space="0"/>
              <w:right w:val="single" w:color="auto" w:sz="4" w:space="0"/>
            </w:tcBorders>
            <w:noWrap w:val="0"/>
            <w:vAlign w:val="top"/>
          </w:tcPr>
          <w:p w14:paraId="53D5E857">
            <w:pPr>
              <w:spacing w:line="360" w:lineRule="auto"/>
              <w:rPr>
                <w:rFonts w:hint="eastAsia" w:ascii="宋体" w:hAnsi="宋体" w:cs="宋体"/>
                <w:sz w:val="24"/>
                <w:szCs w:val="24"/>
                <w:highlight w:val="none"/>
              </w:rPr>
            </w:pPr>
          </w:p>
        </w:tc>
        <w:tc>
          <w:tcPr>
            <w:tcW w:w="1397" w:type="dxa"/>
            <w:tcBorders>
              <w:top w:val="single" w:color="auto" w:sz="4" w:space="0"/>
              <w:left w:val="single" w:color="auto" w:sz="4" w:space="0"/>
              <w:bottom w:val="single" w:color="auto" w:sz="4" w:space="0"/>
              <w:right w:val="single" w:color="auto" w:sz="4" w:space="0"/>
            </w:tcBorders>
            <w:noWrap w:val="0"/>
            <w:vAlign w:val="top"/>
          </w:tcPr>
          <w:p w14:paraId="78857E84">
            <w:pPr>
              <w:spacing w:line="360" w:lineRule="auto"/>
              <w:rPr>
                <w:rFonts w:hint="eastAsia" w:ascii="宋体" w:hAnsi="宋体" w:cs="宋体"/>
                <w:sz w:val="24"/>
                <w:szCs w:val="24"/>
                <w:highlight w:val="none"/>
              </w:rPr>
            </w:pPr>
          </w:p>
        </w:tc>
        <w:tc>
          <w:tcPr>
            <w:tcW w:w="1397" w:type="dxa"/>
            <w:tcBorders>
              <w:top w:val="single" w:color="auto" w:sz="4" w:space="0"/>
              <w:left w:val="single" w:color="auto" w:sz="4" w:space="0"/>
              <w:bottom w:val="single" w:color="auto" w:sz="4" w:space="0"/>
              <w:right w:val="single" w:color="auto" w:sz="4" w:space="0"/>
            </w:tcBorders>
            <w:noWrap w:val="0"/>
            <w:vAlign w:val="top"/>
          </w:tcPr>
          <w:p w14:paraId="2EFB6300">
            <w:pPr>
              <w:spacing w:line="360" w:lineRule="auto"/>
              <w:rPr>
                <w:rFonts w:hint="eastAsia" w:ascii="宋体" w:hAnsi="宋体" w:cs="宋体"/>
                <w:sz w:val="24"/>
                <w:szCs w:val="24"/>
                <w:highlight w:val="none"/>
              </w:rPr>
            </w:pPr>
          </w:p>
        </w:tc>
      </w:tr>
      <w:tr w14:paraId="4C0AE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14:paraId="693998CA">
            <w:pPr>
              <w:spacing w:line="360" w:lineRule="auto"/>
              <w:rPr>
                <w:rFonts w:hint="eastAsia" w:ascii="宋体" w:hAnsi="宋体" w:cs="宋体"/>
                <w:sz w:val="24"/>
                <w:szCs w:val="24"/>
                <w:highlight w:val="none"/>
              </w:rPr>
            </w:pPr>
            <w:r>
              <w:rPr>
                <w:rFonts w:hint="eastAsia" w:ascii="宋体" w:hAnsi="宋体" w:cs="宋体"/>
                <w:sz w:val="24"/>
                <w:szCs w:val="24"/>
                <w:highlight w:val="none"/>
              </w:rPr>
              <w:t>3</w:t>
            </w:r>
          </w:p>
        </w:tc>
        <w:tc>
          <w:tcPr>
            <w:tcW w:w="10293" w:type="dxa"/>
            <w:tcBorders>
              <w:top w:val="single" w:color="auto" w:sz="4" w:space="0"/>
              <w:left w:val="single" w:color="auto" w:sz="4" w:space="0"/>
              <w:bottom w:val="single" w:color="auto" w:sz="4" w:space="0"/>
              <w:right w:val="single" w:color="auto" w:sz="4" w:space="0"/>
            </w:tcBorders>
            <w:noWrap w:val="0"/>
            <w:vAlign w:val="center"/>
          </w:tcPr>
          <w:p w14:paraId="54A1B2B0">
            <w:pPr>
              <w:rPr>
                <w:rFonts w:hint="eastAsia" w:ascii="宋体" w:hAnsi="宋体" w:cs="宋体"/>
                <w:sz w:val="24"/>
                <w:szCs w:val="24"/>
                <w:highlight w:val="none"/>
              </w:rPr>
            </w:pPr>
            <w:r>
              <w:rPr>
                <w:rFonts w:hint="eastAsia" w:ascii="宋体" w:hAnsi="宋体" w:cs="宋体"/>
                <w:sz w:val="24"/>
                <w:szCs w:val="24"/>
                <w:highlight w:val="none"/>
              </w:rPr>
              <w:t>投标报价低于成本的；</w:t>
            </w:r>
          </w:p>
        </w:tc>
        <w:tc>
          <w:tcPr>
            <w:tcW w:w="1119" w:type="dxa"/>
            <w:tcBorders>
              <w:top w:val="single" w:color="auto" w:sz="4" w:space="0"/>
              <w:left w:val="single" w:color="auto" w:sz="4" w:space="0"/>
              <w:bottom w:val="single" w:color="auto" w:sz="4" w:space="0"/>
              <w:right w:val="single" w:color="auto" w:sz="4" w:space="0"/>
            </w:tcBorders>
            <w:noWrap w:val="0"/>
            <w:vAlign w:val="top"/>
          </w:tcPr>
          <w:p w14:paraId="531B876C">
            <w:pPr>
              <w:spacing w:line="360" w:lineRule="auto"/>
              <w:rPr>
                <w:rFonts w:hint="eastAsia" w:ascii="宋体" w:hAnsi="宋体" w:cs="宋体"/>
                <w:sz w:val="24"/>
                <w:szCs w:val="24"/>
                <w:highlight w:val="none"/>
              </w:rPr>
            </w:pPr>
          </w:p>
        </w:tc>
        <w:tc>
          <w:tcPr>
            <w:tcW w:w="1397" w:type="dxa"/>
            <w:tcBorders>
              <w:top w:val="single" w:color="auto" w:sz="4" w:space="0"/>
              <w:left w:val="single" w:color="auto" w:sz="4" w:space="0"/>
              <w:bottom w:val="single" w:color="auto" w:sz="4" w:space="0"/>
              <w:right w:val="single" w:color="auto" w:sz="4" w:space="0"/>
            </w:tcBorders>
            <w:noWrap w:val="0"/>
            <w:vAlign w:val="top"/>
          </w:tcPr>
          <w:p w14:paraId="201921DE">
            <w:pPr>
              <w:spacing w:line="360" w:lineRule="auto"/>
              <w:rPr>
                <w:rFonts w:hint="eastAsia" w:ascii="宋体" w:hAnsi="宋体" w:cs="宋体"/>
                <w:sz w:val="24"/>
                <w:szCs w:val="24"/>
                <w:highlight w:val="none"/>
              </w:rPr>
            </w:pPr>
          </w:p>
        </w:tc>
        <w:tc>
          <w:tcPr>
            <w:tcW w:w="1397" w:type="dxa"/>
            <w:tcBorders>
              <w:top w:val="single" w:color="auto" w:sz="4" w:space="0"/>
              <w:left w:val="single" w:color="auto" w:sz="4" w:space="0"/>
              <w:bottom w:val="single" w:color="auto" w:sz="4" w:space="0"/>
              <w:right w:val="single" w:color="auto" w:sz="4" w:space="0"/>
            </w:tcBorders>
            <w:noWrap w:val="0"/>
            <w:vAlign w:val="top"/>
          </w:tcPr>
          <w:p w14:paraId="5F79D8EC">
            <w:pPr>
              <w:spacing w:line="360" w:lineRule="auto"/>
              <w:rPr>
                <w:rFonts w:hint="eastAsia" w:ascii="宋体" w:hAnsi="宋体" w:cs="宋体"/>
                <w:sz w:val="24"/>
                <w:szCs w:val="24"/>
                <w:highlight w:val="none"/>
              </w:rPr>
            </w:pPr>
          </w:p>
        </w:tc>
      </w:tr>
      <w:tr w14:paraId="224CE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14:paraId="24E4D89D">
            <w:pPr>
              <w:spacing w:line="360" w:lineRule="auto"/>
              <w:rPr>
                <w:rFonts w:hint="eastAsia" w:ascii="宋体" w:hAnsi="宋体" w:cs="宋体"/>
                <w:sz w:val="24"/>
                <w:szCs w:val="24"/>
                <w:highlight w:val="none"/>
              </w:rPr>
            </w:pPr>
            <w:r>
              <w:rPr>
                <w:rFonts w:hint="eastAsia" w:ascii="宋体" w:hAnsi="宋体" w:cs="宋体"/>
                <w:sz w:val="24"/>
                <w:szCs w:val="24"/>
                <w:highlight w:val="none"/>
              </w:rPr>
              <w:t>4</w:t>
            </w:r>
          </w:p>
        </w:tc>
        <w:tc>
          <w:tcPr>
            <w:tcW w:w="10293" w:type="dxa"/>
            <w:tcBorders>
              <w:top w:val="single" w:color="auto" w:sz="4" w:space="0"/>
              <w:left w:val="single" w:color="auto" w:sz="4" w:space="0"/>
              <w:bottom w:val="single" w:color="auto" w:sz="4" w:space="0"/>
              <w:right w:val="single" w:color="auto" w:sz="4" w:space="0"/>
            </w:tcBorders>
            <w:noWrap w:val="0"/>
            <w:vAlign w:val="center"/>
          </w:tcPr>
          <w:p w14:paraId="5F61BF6B">
            <w:pPr>
              <w:rPr>
                <w:rFonts w:hint="eastAsia" w:ascii="宋体" w:hAnsi="宋体" w:cs="宋体"/>
                <w:sz w:val="24"/>
                <w:szCs w:val="24"/>
                <w:highlight w:val="none"/>
              </w:rPr>
            </w:pPr>
            <w:r>
              <w:rPr>
                <w:rFonts w:hint="eastAsia" w:ascii="宋体" w:hAnsi="宋体" w:cs="宋体"/>
                <w:sz w:val="24"/>
                <w:szCs w:val="24"/>
                <w:highlight w:val="none"/>
              </w:rPr>
              <w:t>投标文件未按规定的格式填写，或主要内容不全，或关键字迹模糊、无法辨认的；</w:t>
            </w:r>
          </w:p>
        </w:tc>
        <w:tc>
          <w:tcPr>
            <w:tcW w:w="1119" w:type="dxa"/>
            <w:tcBorders>
              <w:top w:val="single" w:color="auto" w:sz="4" w:space="0"/>
              <w:left w:val="single" w:color="auto" w:sz="4" w:space="0"/>
              <w:bottom w:val="single" w:color="auto" w:sz="4" w:space="0"/>
              <w:right w:val="single" w:color="auto" w:sz="4" w:space="0"/>
            </w:tcBorders>
            <w:noWrap w:val="0"/>
            <w:vAlign w:val="top"/>
          </w:tcPr>
          <w:p w14:paraId="32A85BF1">
            <w:pPr>
              <w:spacing w:line="360" w:lineRule="auto"/>
              <w:rPr>
                <w:rFonts w:hint="eastAsia" w:ascii="宋体" w:hAnsi="宋体" w:cs="宋体"/>
                <w:sz w:val="24"/>
                <w:szCs w:val="24"/>
                <w:highlight w:val="none"/>
              </w:rPr>
            </w:pPr>
          </w:p>
        </w:tc>
        <w:tc>
          <w:tcPr>
            <w:tcW w:w="1397" w:type="dxa"/>
            <w:tcBorders>
              <w:top w:val="single" w:color="auto" w:sz="4" w:space="0"/>
              <w:left w:val="single" w:color="auto" w:sz="4" w:space="0"/>
              <w:bottom w:val="single" w:color="auto" w:sz="4" w:space="0"/>
              <w:right w:val="single" w:color="auto" w:sz="4" w:space="0"/>
            </w:tcBorders>
            <w:noWrap w:val="0"/>
            <w:vAlign w:val="top"/>
          </w:tcPr>
          <w:p w14:paraId="218BF9A4">
            <w:pPr>
              <w:spacing w:line="360" w:lineRule="auto"/>
              <w:rPr>
                <w:rFonts w:hint="eastAsia" w:ascii="宋体" w:hAnsi="宋体" w:cs="宋体"/>
                <w:sz w:val="24"/>
                <w:szCs w:val="24"/>
                <w:highlight w:val="none"/>
              </w:rPr>
            </w:pPr>
          </w:p>
        </w:tc>
        <w:tc>
          <w:tcPr>
            <w:tcW w:w="1397" w:type="dxa"/>
            <w:tcBorders>
              <w:top w:val="single" w:color="auto" w:sz="4" w:space="0"/>
              <w:left w:val="single" w:color="auto" w:sz="4" w:space="0"/>
              <w:bottom w:val="single" w:color="auto" w:sz="4" w:space="0"/>
              <w:right w:val="single" w:color="auto" w:sz="4" w:space="0"/>
            </w:tcBorders>
            <w:noWrap w:val="0"/>
            <w:vAlign w:val="top"/>
          </w:tcPr>
          <w:p w14:paraId="5E209A13">
            <w:pPr>
              <w:spacing w:line="360" w:lineRule="auto"/>
              <w:rPr>
                <w:rFonts w:hint="eastAsia" w:ascii="宋体" w:hAnsi="宋体" w:cs="宋体"/>
                <w:sz w:val="24"/>
                <w:szCs w:val="24"/>
                <w:highlight w:val="none"/>
              </w:rPr>
            </w:pPr>
          </w:p>
        </w:tc>
      </w:tr>
      <w:tr w14:paraId="281C4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14:paraId="769F0BE1">
            <w:pPr>
              <w:spacing w:line="360" w:lineRule="auto"/>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5</w:t>
            </w:r>
          </w:p>
        </w:tc>
        <w:tc>
          <w:tcPr>
            <w:tcW w:w="10293" w:type="dxa"/>
            <w:tcBorders>
              <w:top w:val="single" w:color="auto" w:sz="4" w:space="0"/>
              <w:left w:val="single" w:color="auto" w:sz="4" w:space="0"/>
              <w:bottom w:val="single" w:color="auto" w:sz="4" w:space="0"/>
              <w:right w:val="single" w:color="auto" w:sz="4" w:space="0"/>
            </w:tcBorders>
            <w:noWrap w:val="0"/>
            <w:vAlign w:val="top"/>
          </w:tcPr>
          <w:p w14:paraId="1C0A7F89">
            <w:pPr>
              <w:rPr>
                <w:rFonts w:hint="eastAsia" w:ascii="宋体" w:hAnsi="宋体" w:cs="宋体"/>
                <w:sz w:val="24"/>
                <w:szCs w:val="24"/>
                <w:highlight w:val="none"/>
              </w:rPr>
            </w:pPr>
            <w:r>
              <w:rPr>
                <w:rFonts w:hint="eastAsia" w:ascii="宋体" w:hAnsi="宋体" w:cs="宋体"/>
                <w:sz w:val="24"/>
                <w:szCs w:val="24"/>
                <w:highlight w:val="none"/>
              </w:rPr>
              <w:t>投标人之间存在《广东省实施&lt;中华人民共和国招标投标法&gt;办法》第十六条所禁止的情形的；</w:t>
            </w:r>
          </w:p>
        </w:tc>
        <w:tc>
          <w:tcPr>
            <w:tcW w:w="1119" w:type="dxa"/>
            <w:tcBorders>
              <w:top w:val="single" w:color="auto" w:sz="4" w:space="0"/>
              <w:left w:val="single" w:color="auto" w:sz="4" w:space="0"/>
              <w:bottom w:val="single" w:color="auto" w:sz="4" w:space="0"/>
              <w:right w:val="single" w:color="auto" w:sz="4" w:space="0"/>
            </w:tcBorders>
            <w:noWrap w:val="0"/>
            <w:vAlign w:val="top"/>
          </w:tcPr>
          <w:p w14:paraId="68BBEACD">
            <w:pPr>
              <w:spacing w:line="360" w:lineRule="auto"/>
              <w:rPr>
                <w:rFonts w:hint="eastAsia" w:ascii="宋体" w:hAnsi="宋体" w:cs="宋体"/>
                <w:sz w:val="24"/>
                <w:szCs w:val="24"/>
                <w:highlight w:val="none"/>
              </w:rPr>
            </w:pPr>
          </w:p>
        </w:tc>
        <w:tc>
          <w:tcPr>
            <w:tcW w:w="1397" w:type="dxa"/>
            <w:tcBorders>
              <w:top w:val="single" w:color="auto" w:sz="4" w:space="0"/>
              <w:left w:val="single" w:color="auto" w:sz="4" w:space="0"/>
              <w:bottom w:val="single" w:color="auto" w:sz="4" w:space="0"/>
              <w:right w:val="single" w:color="auto" w:sz="4" w:space="0"/>
            </w:tcBorders>
            <w:noWrap w:val="0"/>
            <w:vAlign w:val="top"/>
          </w:tcPr>
          <w:p w14:paraId="142D6609">
            <w:pPr>
              <w:spacing w:line="360" w:lineRule="auto"/>
              <w:rPr>
                <w:rFonts w:hint="eastAsia" w:ascii="宋体" w:hAnsi="宋体" w:cs="宋体"/>
                <w:sz w:val="24"/>
                <w:szCs w:val="24"/>
                <w:highlight w:val="none"/>
              </w:rPr>
            </w:pPr>
          </w:p>
        </w:tc>
        <w:tc>
          <w:tcPr>
            <w:tcW w:w="1397" w:type="dxa"/>
            <w:tcBorders>
              <w:top w:val="single" w:color="auto" w:sz="4" w:space="0"/>
              <w:left w:val="single" w:color="auto" w:sz="4" w:space="0"/>
              <w:bottom w:val="single" w:color="auto" w:sz="4" w:space="0"/>
              <w:right w:val="single" w:color="auto" w:sz="4" w:space="0"/>
            </w:tcBorders>
            <w:noWrap w:val="0"/>
            <w:vAlign w:val="top"/>
          </w:tcPr>
          <w:p w14:paraId="262AA6FD">
            <w:pPr>
              <w:spacing w:line="360" w:lineRule="auto"/>
              <w:rPr>
                <w:rFonts w:hint="eastAsia" w:ascii="宋体" w:hAnsi="宋体" w:cs="宋体"/>
                <w:sz w:val="24"/>
                <w:szCs w:val="24"/>
                <w:highlight w:val="none"/>
              </w:rPr>
            </w:pPr>
          </w:p>
        </w:tc>
      </w:tr>
      <w:tr w14:paraId="1CF87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14:paraId="56158540">
            <w:pPr>
              <w:spacing w:line="360" w:lineRule="auto"/>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6</w:t>
            </w:r>
          </w:p>
        </w:tc>
        <w:tc>
          <w:tcPr>
            <w:tcW w:w="10293" w:type="dxa"/>
            <w:tcBorders>
              <w:top w:val="single" w:color="auto" w:sz="4" w:space="0"/>
              <w:left w:val="single" w:color="auto" w:sz="4" w:space="0"/>
              <w:bottom w:val="single" w:color="auto" w:sz="4" w:space="0"/>
              <w:right w:val="single" w:color="auto" w:sz="4" w:space="0"/>
            </w:tcBorders>
            <w:noWrap w:val="0"/>
            <w:vAlign w:val="top"/>
          </w:tcPr>
          <w:p w14:paraId="1F0F20DB">
            <w:pPr>
              <w:rPr>
                <w:rFonts w:hint="eastAsia" w:ascii="宋体" w:hAnsi="宋体" w:cs="宋体"/>
                <w:sz w:val="24"/>
                <w:szCs w:val="24"/>
                <w:highlight w:val="none"/>
              </w:rPr>
            </w:pPr>
            <w:r>
              <w:rPr>
                <w:rFonts w:hint="eastAsia" w:ascii="宋体" w:hAnsi="宋体" w:cs="宋体"/>
                <w:sz w:val="24"/>
                <w:szCs w:val="24"/>
                <w:highlight w:val="none"/>
              </w:rPr>
              <w:t>无《参与编制经济标投标文件人员名单》的；</w:t>
            </w:r>
          </w:p>
        </w:tc>
        <w:tc>
          <w:tcPr>
            <w:tcW w:w="1119" w:type="dxa"/>
            <w:tcBorders>
              <w:top w:val="single" w:color="auto" w:sz="4" w:space="0"/>
              <w:left w:val="single" w:color="auto" w:sz="4" w:space="0"/>
              <w:bottom w:val="single" w:color="auto" w:sz="4" w:space="0"/>
              <w:right w:val="single" w:color="auto" w:sz="4" w:space="0"/>
            </w:tcBorders>
            <w:noWrap w:val="0"/>
            <w:vAlign w:val="top"/>
          </w:tcPr>
          <w:p w14:paraId="44D526D8">
            <w:pPr>
              <w:spacing w:line="360" w:lineRule="auto"/>
              <w:rPr>
                <w:rFonts w:hint="eastAsia" w:ascii="宋体" w:hAnsi="宋体" w:cs="宋体"/>
                <w:sz w:val="24"/>
                <w:szCs w:val="24"/>
                <w:highlight w:val="none"/>
              </w:rPr>
            </w:pPr>
          </w:p>
        </w:tc>
        <w:tc>
          <w:tcPr>
            <w:tcW w:w="1397" w:type="dxa"/>
            <w:tcBorders>
              <w:top w:val="single" w:color="auto" w:sz="4" w:space="0"/>
              <w:left w:val="single" w:color="auto" w:sz="4" w:space="0"/>
              <w:bottom w:val="single" w:color="auto" w:sz="4" w:space="0"/>
              <w:right w:val="single" w:color="auto" w:sz="4" w:space="0"/>
            </w:tcBorders>
            <w:noWrap w:val="0"/>
            <w:vAlign w:val="top"/>
          </w:tcPr>
          <w:p w14:paraId="144BE939">
            <w:pPr>
              <w:spacing w:line="360" w:lineRule="auto"/>
              <w:rPr>
                <w:rFonts w:hint="eastAsia" w:ascii="宋体" w:hAnsi="宋体" w:cs="宋体"/>
                <w:sz w:val="24"/>
                <w:szCs w:val="24"/>
                <w:highlight w:val="none"/>
              </w:rPr>
            </w:pPr>
          </w:p>
        </w:tc>
        <w:tc>
          <w:tcPr>
            <w:tcW w:w="1397" w:type="dxa"/>
            <w:tcBorders>
              <w:top w:val="single" w:color="auto" w:sz="4" w:space="0"/>
              <w:left w:val="single" w:color="auto" w:sz="4" w:space="0"/>
              <w:bottom w:val="single" w:color="auto" w:sz="4" w:space="0"/>
              <w:right w:val="single" w:color="auto" w:sz="4" w:space="0"/>
            </w:tcBorders>
            <w:noWrap w:val="0"/>
            <w:vAlign w:val="top"/>
          </w:tcPr>
          <w:p w14:paraId="7C08300E">
            <w:pPr>
              <w:spacing w:line="360" w:lineRule="auto"/>
              <w:rPr>
                <w:rFonts w:hint="eastAsia" w:ascii="宋体" w:hAnsi="宋体" w:cs="宋体"/>
                <w:sz w:val="24"/>
                <w:szCs w:val="24"/>
                <w:highlight w:val="none"/>
              </w:rPr>
            </w:pPr>
          </w:p>
        </w:tc>
      </w:tr>
      <w:tr w14:paraId="5B7F3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14:paraId="1948554F">
            <w:pPr>
              <w:spacing w:line="360" w:lineRule="auto"/>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7</w:t>
            </w:r>
          </w:p>
        </w:tc>
        <w:tc>
          <w:tcPr>
            <w:tcW w:w="10293" w:type="dxa"/>
            <w:tcBorders>
              <w:top w:val="single" w:color="auto" w:sz="4" w:space="0"/>
              <w:left w:val="single" w:color="auto" w:sz="4" w:space="0"/>
              <w:bottom w:val="single" w:color="auto" w:sz="4" w:space="0"/>
              <w:right w:val="single" w:color="auto" w:sz="4" w:space="0"/>
            </w:tcBorders>
            <w:noWrap w:val="0"/>
            <w:vAlign w:val="top"/>
          </w:tcPr>
          <w:p w14:paraId="3CE0C5EE">
            <w:pPr>
              <w:rPr>
                <w:rFonts w:hint="eastAsia" w:ascii="宋体" w:hAnsi="宋体" w:cs="宋体"/>
                <w:sz w:val="24"/>
                <w:szCs w:val="24"/>
                <w:highlight w:val="none"/>
              </w:rPr>
            </w:pPr>
            <w:r>
              <w:rPr>
                <w:rFonts w:hint="eastAsia" w:ascii="宋体" w:hAnsi="宋体" w:cs="宋体"/>
                <w:sz w:val="24"/>
                <w:szCs w:val="24"/>
                <w:highlight w:val="none"/>
              </w:rPr>
              <w:t>无《对投标文件编制的承诺》</w:t>
            </w:r>
          </w:p>
        </w:tc>
        <w:tc>
          <w:tcPr>
            <w:tcW w:w="1119" w:type="dxa"/>
            <w:tcBorders>
              <w:top w:val="single" w:color="auto" w:sz="4" w:space="0"/>
              <w:left w:val="single" w:color="auto" w:sz="4" w:space="0"/>
              <w:bottom w:val="single" w:color="auto" w:sz="4" w:space="0"/>
              <w:right w:val="single" w:color="auto" w:sz="4" w:space="0"/>
            </w:tcBorders>
            <w:noWrap w:val="0"/>
            <w:vAlign w:val="top"/>
          </w:tcPr>
          <w:p w14:paraId="1A0ADE3B">
            <w:pPr>
              <w:spacing w:line="360" w:lineRule="auto"/>
              <w:rPr>
                <w:rFonts w:hint="eastAsia" w:ascii="宋体" w:hAnsi="宋体" w:cs="宋体"/>
                <w:sz w:val="24"/>
                <w:szCs w:val="24"/>
                <w:highlight w:val="none"/>
              </w:rPr>
            </w:pPr>
          </w:p>
        </w:tc>
        <w:tc>
          <w:tcPr>
            <w:tcW w:w="1397" w:type="dxa"/>
            <w:tcBorders>
              <w:top w:val="single" w:color="auto" w:sz="4" w:space="0"/>
              <w:left w:val="single" w:color="auto" w:sz="4" w:space="0"/>
              <w:bottom w:val="single" w:color="auto" w:sz="4" w:space="0"/>
              <w:right w:val="single" w:color="auto" w:sz="4" w:space="0"/>
            </w:tcBorders>
            <w:noWrap w:val="0"/>
            <w:vAlign w:val="top"/>
          </w:tcPr>
          <w:p w14:paraId="718E04DA">
            <w:pPr>
              <w:spacing w:line="360" w:lineRule="auto"/>
              <w:rPr>
                <w:rFonts w:hint="eastAsia" w:ascii="宋体" w:hAnsi="宋体" w:cs="宋体"/>
                <w:sz w:val="24"/>
                <w:szCs w:val="24"/>
                <w:highlight w:val="none"/>
              </w:rPr>
            </w:pPr>
          </w:p>
        </w:tc>
        <w:tc>
          <w:tcPr>
            <w:tcW w:w="1397" w:type="dxa"/>
            <w:tcBorders>
              <w:top w:val="single" w:color="auto" w:sz="4" w:space="0"/>
              <w:left w:val="single" w:color="auto" w:sz="4" w:space="0"/>
              <w:bottom w:val="single" w:color="auto" w:sz="4" w:space="0"/>
              <w:right w:val="single" w:color="auto" w:sz="4" w:space="0"/>
            </w:tcBorders>
            <w:noWrap w:val="0"/>
            <w:vAlign w:val="top"/>
          </w:tcPr>
          <w:p w14:paraId="3FF67D99">
            <w:pPr>
              <w:spacing w:line="360" w:lineRule="auto"/>
              <w:rPr>
                <w:rFonts w:hint="eastAsia" w:ascii="宋体" w:hAnsi="宋体" w:cs="宋体"/>
                <w:sz w:val="24"/>
                <w:szCs w:val="24"/>
                <w:highlight w:val="none"/>
              </w:rPr>
            </w:pPr>
          </w:p>
        </w:tc>
      </w:tr>
      <w:tr w14:paraId="6E476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14:paraId="26567DDD">
            <w:pPr>
              <w:rPr>
                <w:rFonts w:hint="default" w:ascii="宋体" w:hAnsi="宋体" w:cs="宋体"/>
                <w:sz w:val="24"/>
                <w:szCs w:val="24"/>
                <w:highlight w:val="none"/>
                <w:lang w:val="en-US"/>
              </w:rPr>
            </w:pPr>
            <w:r>
              <w:rPr>
                <w:rFonts w:hint="eastAsia" w:ascii="宋体" w:hAnsi="宋体"/>
                <w:color w:val="000000"/>
                <w:szCs w:val="21"/>
                <w:highlight w:val="none"/>
              </w:rPr>
              <w:t>8</w:t>
            </w:r>
          </w:p>
        </w:tc>
        <w:tc>
          <w:tcPr>
            <w:tcW w:w="10293" w:type="dxa"/>
            <w:tcBorders>
              <w:top w:val="single" w:color="auto" w:sz="4" w:space="0"/>
              <w:left w:val="single" w:color="auto" w:sz="4" w:space="0"/>
              <w:bottom w:val="single" w:color="auto" w:sz="4" w:space="0"/>
              <w:right w:val="single" w:color="auto" w:sz="4" w:space="0"/>
            </w:tcBorders>
            <w:noWrap w:val="0"/>
            <w:vAlign w:val="center"/>
          </w:tcPr>
          <w:p w14:paraId="3C853EBB">
            <w:pPr>
              <w:rPr>
                <w:rFonts w:hint="eastAsia" w:ascii="宋体" w:hAnsi="宋体" w:cs="宋体"/>
                <w:sz w:val="24"/>
                <w:szCs w:val="24"/>
                <w:highlight w:val="none"/>
              </w:rPr>
            </w:pPr>
            <w:r>
              <w:rPr>
                <w:rFonts w:hint="eastAsia" w:ascii="宋体" w:hAnsi="宋体"/>
                <w:color w:val="000000"/>
                <w:szCs w:val="21"/>
                <w:highlight w:val="none"/>
              </w:rPr>
              <w:t>投标人与本项目其他投标人的投标文件工程量清单编制机器硬件信息一致的（以交易平台评标系统的检索信息为准）</w:t>
            </w:r>
          </w:p>
        </w:tc>
        <w:tc>
          <w:tcPr>
            <w:tcW w:w="1119" w:type="dxa"/>
            <w:tcBorders>
              <w:top w:val="single" w:color="auto" w:sz="4" w:space="0"/>
              <w:left w:val="single" w:color="auto" w:sz="4" w:space="0"/>
              <w:bottom w:val="single" w:color="auto" w:sz="4" w:space="0"/>
              <w:right w:val="single" w:color="auto" w:sz="4" w:space="0"/>
            </w:tcBorders>
            <w:noWrap w:val="0"/>
            <w:vAlign w:val="top"/>
          </w:tcPr>
          <w:p w14:paraId="33DA778E">
            <w:pPr>
              <w:spacing w:line="360" w:lineRule="auto"/>
              <w:rPr>
                <w:rFonts w:hint="eastAsia" w:ascii="宋体" w:hAnsi="宋体" w:cs="宋体"/>
                <w:sz w:val="24"/>
                <w:szCs w:val="24"/>
                <w:highlight w:val="none"/>
              </w:rPr>
            </w:pPr>
          </w:p>
        </w:tc>
        <w:tc>
          <w:tcPr>
            <w:tcW w:w="1397" w:type="dxa"/>
            <w:tcBorders>
              <w:top w:val="single" w:color="auto" w:sz="4" w:space="0"/>
              <w:left w:val="single" w:color="auto" w:sz="4" w:space="0"/>
              <w:bottom w:val="single" w:color="auto" w:sz="4" w:space="0"/>
              <w:right w:val="single" w:color="auto" w:sz="4" w:space="0"/>
            </w:tcBorders>
            <w:noWrap w:val="0"/>
            <w:vAlign w:val="top"/>
          </w:tcPr>
          <w:p w14:paraId="345A09C4">
            <w:pPr>
              <w:spacing w:line="360" w:lineRule="auto"/>
              <w:rPr>
                <w:rFonts w:hint="eastAsia" w:ascii="宋体" w:hAnsi="宋体" w:cs="宋体"/>
                <w:sz w:val="24"/>
                <w:szCs w:val="24"/>
                <w:highlight w:val="none"/>
              </w:rPr>
            </w:pPr>
          </w:p>
        </w:tc>
        <w:tc>
          <w:tcPr>
            <w:tcW w:w="1397" w:type="dxa"/>
            <w:tcBorders>
              <w:top w:val="single" w:color="auto" w:sz="4" w:space="0"/>
              <w:left w:val="single" w:color="auto" w:sz="4" w:space="0"/>
              <w:bottom w:val="single" w:color="auto" w:sz="4" w:space="0"/>
              <w:right w:val="single" w:color="auto" w:sz="4" w:space="0"/>
            </w:tcBorders>
            <w:noWrap w:val="0"/>
            <w:vAlign w:val="top"/>
          </w:tcPr>
          <w:p w14:paraId="1D39A5CD">
            <w:pPr>
              <w:spacing w:line="360" w:lineRule="auto"/>
              <w:rPr>
                <w:rFonts w:hint="eastAsia" w:ascii="宋体" w:hAnsi="宋体" w:cs="宋体"/>
                <w:sz w:val="24"/>
                <w:szCs w:val="24"/>
                <w:highlight w:val="none"/>
              </w:rPr>
            </w:pPr>
          </w:p>
        </w:tc>
      </w:tr>
    </w:tbl>
    <w:p w14:paraId="685D2D28">
      <w:pPr>
        <w:rPr>
          <w:rFonts w:hint="eastAsia" w:ascii="宋体" w:hAnsi="宋体" w:cs="宋体"/>
          <w:sz w:val="24"/>
          <w:szCs w:val="24"/>
          <w:highlight w:val="none"/>
        </w:rPr>
      </w:pPr>
      <w:r>
        <w:rPr>
          <w:rFonts w:hint="eastAsia" w:ascii="宋体" w:hAnsi="宋体" w:cs="宋体"/>
          <w:sz w:val="24"/>
          <w:szCs w:val="24"/>
          <w:highlight w:val="none"/>
        </w:rPr>
        <w:t>注：1.本表使用招标文件范本，与范本内容不同之处均以下划线标明。</w:t>
      </w:r>
    </w:p>
    <w:p w14:paraId="5280F36D">
      <w:pPr>
        <w:ind w:firstLine="458"/>
        <w:rPr>
          <w:rFonts w:hint="eastAsia" w:ascii="宋体" w:hAnsi="宋体" w:cs="宋体"/>
          <w:sz w:val="24"/>
          <w:szCs w:val="24"/>
          <w:highlight w:val="none"/>
        </w:rPr>
      </w:pPr>
      <w:r>
        <w:rPr>
          <w:rFonts w:hint="eastAsia" w:ascii="宋体" w:hAnsi="宋体" w:cs="宋体"/>
          <w:sz w:val="24"/>
          <w:szCs w:val="24"/>
          <w:highlight w:val="none"/>
        </w:rPr>
        <w:t>2.凡出现以上任何一项情形，结论均为无效，否则就为有效。</w:t>
      </w:r>
    </w:p>
    <w:p w14:paraId="41E8E775">
      <w:pPr>
        <w:ind w:firstLine="458"/>
        <w:rPr>
          <w:rFonts w:hint="eastAsia" w:ascii="宋体" w:hAnsi="宋体" w:cs="宋体"/>
          <w:sz w:val="24"/>
          <w:szCs w:val="24"/>
          <w:highlight w:val="none"/>
        </w:rPr>
      </w:pPr>
      <w:r>
        <w:rPr>
          <w:rFonts w:hint="eastAsia" w:ascii="宋体" w:hAnsi="宋体" w:cs="宋体"/>
          <w:sz w:val="24"/>
          <w:szCs w:val="24"/>
          <w:highlight w:val="none"/>
        </w:rPr>
        <w:t>3.如对本表中某种情形的评审意见不一致时，以评标委员会过半数成员的意见作为评标委员会对该情形的认定结论。</w:t>
      </w:r>
    </w:p>
    <w:p w14:paraId="2A48F2B6">
      <w:pPr>
        <w:ind w:firstLine="458"/>
        <w:rPr>
          <w:rFonts w:ascii="宋体" w:hAnsi="宋体" w:cs="宋体"/>
          <w:sz w:val="24"/>
          <w:szCs w:val="24"/>
          <w:highlight w:val="none"/>
        </w:rPr>
      </w:pPr>
      <w:r>
        <w:rPr>
          <w:rFonts w:hint="eastAsia" w:ascii="宋体" w:hAnsi="宋体" w:cs="宋体"/>
          <w:sz w:val="24"/>
          <w:szCs w:val="24"/>
          <w:highlight w:val="none"/>
        </w:rPr>
        <w:t>4.不得将文件顺序、明显的文字错误等列为否决投标的情形。评委发现投标文件中含义不明确、对同类问题表述不一致、有明显文字和计算错误、投标报价可能低于成本影响履约的，应当要求投标人作必要的澄清、说明后再判定投标人是否通过有效性审查，不得直接否决投标。</w:t>
      </w:r>
    </w:p>
    <w:p w14:paraId="3188DF50">
      <w:pPr>
        <w:pStyle w:val="4"/>
        <w:ind w:firstLine="458"/>
        <w:rPr>
          <w:rFonts w:hint="eastAsia" w:ascii="宋体" w:hAnsi="宋体" w:cs="宋体"/>
          <w:sz w:val="24"/>
          <w:szCs w:val="24"/>
          <w:highlight w:val="none"/>
        </w:rPr>
        <w:sectPr>
          <w:endnotePr>
            <w:numFmt w:val="decimal"/>
          </w:endnotePr>
          <w:pgSz w:w="16838" w:h="11906" w:orient="landscape"/>
          <w:pgMar w:top="1418" w:right="1247" w:bottom="1418" w:left="1134" w:header="851" w:footer="907" w:gutter="0"/>
          <w:cols w:space="720" w:num="1"/>
          <w:titlePg/>
          <w:docGrid w:type="lines" w:linePitch="312" w:charSpace="0"/>
        </w:sectPr>
      </w:pPr>
      <w:r>
        <w:rPr>
          <w:rFonts w:hint="eastAsia" w:ascii="宋体" w:hAnsi="宋体" w:cs="宋体"/>
          <w:sz w:val="24"/>
          <w:szCs w:val="24"/>
          <w:highlight w:val="none"/>
        </w:rPr>
        <w:t>评委签名：</w:t>
      </w:r>
    </w:p>
    <w:p w14:paraId="1BD7AB65">
      <w:pPr>
        <w:jc w:val="left"/>
        <w:rPr>
          <w:rFonts w:hint="eastAsia" w:ascii="宋体" w:hAnsi="宋体"/>
          <w:b/>
          <w:sz w:val="36"/>
          <w:szCs w:val="36"/>
          <w:highlight w:val="none"/>
        </w:rPr>
      </w:pPr>
      <w:r>
        <w:rPr>
          <w:rFonts w:hint="eastAsia" w:ascii="宋体" w:hAnsi="宋体"/>
          <w:szCs w:val="21"/>
          <w:highlight w:val="none"/>
        </w:rPr>
        <w:t>附表四</w:t>
      </w:r>
    </w:p>
    <w:p w14:paraId="2C1EFDFE">
      <w:pPr>
        <w:jc w:val="center"/>
        <w:rPr>
          <w:rFonts w:ascii="宋体" w:hAnsi="宋体"/>
          <w:b/>
          <w:sz w:val="28"/>
          <w:szCs w:val="28"/>
          <w:highlight w:val="none"/>
        </w:rPr>
      </w:pPr>
      <w:r>
        <w:rPr>
          <w:rFonts w:hint="eastAsia" w:ascii="宋体" w:hAnsi="宋体"/>
          <w:b/>
          <w:sz w:val="36"/>
          <w:szCs w:val="36"/>
          <w:highlight w:val="none"/>
        </w:rPr>
        <w:t>技术标详细审查评分表</w:t>
      </w:r>
    </w:p>
    <w:tbl>
      <w:tblPr>
        <w:tblStyle w:val="36"/>
        <w:tblW w:w="4991" w:type="pct"/>
        <w:jc w:val="center"/>
        <w:tblLayout w:type="fixed"/>
        <w:tblCellMar>
          <w:top w:w="0" w:type="dxa"/>
          <w:left w:w="108" w:type="dxa"/>
          <w:bottom w:w="0" w:type="dxa"/>
          <w:right w:w="108" w:type="dxa"/>
        </w:tblCellMar>
      </w:tblPr>
      <w:tblGrid>
        <w:gridCol w:w="850"/>
        <w:gridCol w:w="1717"/>
        <w:gridCol w:w="606"/>
        <w:gridCol w:w="11474"/>
      </w:tblGrid>
      <w:tr w14:paraId="178B18B0">
        <w:tblPrEx>
          <w:tblCellMar>
            <w:top w:w="0" w:type="dxa"/>
            <w:left w:w="108" w:type="dxa"/>
            <w:bottom w:w="0" w:type="dxa"/>
            <w:right w:w="108" w:type="dxa"/>
          </w:tblCellMar>
        </w:tblPrEx>
        <w:trPr>
          <w:trHeight w:val="434" w:hRule="atLeast"/>
          <w:tblHeader/>
          <w:jc w:val="center"/>
        </w:trPr>
        <w:tc>
          <w:tcPr>
            <w:tcW w:w="290" w:type="pct"/>
            <w:tcBorders>
              <w:top w:val="single" w:color="auto" w:sz="8" w:space="0"/>
              <w:left w:val="single" w:color="auto" w:sz="8" w:space="0"/>
              <w:bottom w:val="single" w:color="auto" w:sz="4" w:space="0"/>
              <w:right w:val="single" w:color="auto" w:sz="4" w:space="0"/>
            </w:tcBorders>
            <w:noWrap w:val="0"/>
            <w:vAlign w:val="center"/>
          </w:tcPr>
          <w:p w14:paraId="4C70459F">
            <w:pPr>
              <w:spacing w:line="0" w:lineRule="atLeast"/>
              <w:jc w:val="center"/>
              <w:rPr>
                <w:rFonts w:hint="eastAsia" w:ascii="宋体" w:hAnsi="宋体" w:eastAsia="宋体"/>
                <w:szCs w:val="21"/>
                <w:highlight w:val="none"/>
              </w:rPr>
            </w:pPr>
            <w:r>
              <w:rPr>
                <w:rFonts w:hint="eastAsia" w:ascii="宋体" w:hAnsi="宋体" w:eastAsia="宋体"/>
                <w:szCs w:val="21"/>
                <w:highlight w:val="none"/>
              </w:rPr>
              <w:t>评分</w:t>
            </w:r>
          </w:p>
          <w:p w14:paraId="4AD96004">
            <w:pPr>
              <w:spacing w:line="0" w:lineRule="atLeast"/>
              <w:jc w:val="center"/>
              <w:rPr>
                <w:rFonts w:hint="eastAsia" w:ascii="宋体" w:hAnsi="宋体" w:eastAsia="宋体"/>
                <w:szCs w:val="21"/>
                <w:highlight w:val="none"/>
              </w:rPr>
            </w:pPr>
            <w:r>
              <w:rPr>
                <w:rFonts w:hint="eastAsia" w:ascii="宋体" w:hAnsi="宋体" w:eastAsia="宋体"/>
                <w:szCs w:val="21"/>
                <w:highlight w:val="none"/>
              </w:rPr>
              <w:t>项目</w:t>
            </w:r>
          </w:p>
        </w:tc>
        <w:tc>
          <w:tcPr>
            <w:tcW w:w="586" w:type="pct"/>
            <w:tcBorders>
              <w:top w:val="single" w:color="auto" w:sz="8" w:space="0"/>
              <w:left w:val="nil"/>
              <w:bottom w:val="single" w:color="auto" w:sz="4" w:space="0"/>
              <w:right w:val="single" w:color="auto" w:sz="4" w:space="0"/>
            </w:tcBorders>
            <w:noWrap w:val="0"/>
            <w:vAlign w:val="center"/>
          </w:tcPr>
          <w:p w14:paraId="7FAB8C8C">
            <w:pPr>
              <w:spacing w:line="0" w:lineRule="atLeast"/>
              <w:jc w:val="center"/>
              <w:rPr>
                <w:rFonts w:hint="eastAsia" w:ascii="宋体" w:hAnsi="宋体" w:eastAsia="宋体"/>
                <w:szCs w:val="21"/>
                <w:highlight w:val="none"/>
              </w:rPr>
            </w:pPr>
            <w:r>
              <w:rPr>
                <w:rFonts w:hint="eastAsia" w:ascii="宋体" w:hAnsi="宋体" w:eastAsia="宋体"/>
                <w:szCs w:val="21"/>
                <w:highlight w:val="none"/>
              </w:rPr>
              <w:t>评分内容</w:t>
            </w:r>
          </w:p>
        </w:tc>
        <w:tc>
          <w:tcPr>
            <w:tcW w:w="206" w:type="pct"/>
            <w:tcBorders>
              <w:top w:val="single" w:color="auto" w:sz="8" w:space="0"/>
              <w:left w:val="nil"/>
              <w:bottom w:val="single" w:color="auto" w:sz="4" w:space="0"/>
              <w:right w:val="single" w:color="auto" w:sz="4" w:space="0"/>
            </w:tcBorders>
            <w:noWrap w:val="0"/>
            <w:vAlign w:val="center"/>
          </w:tcPr>
          <w:p w14:paraId="1809DD96">
            <w:pPr>
              <w:spacing w:line="0" w:lineRule="atLeast"/>
              <w:jc w:val="center"/>
              <w:rPr>
                <w:rFonts w:hint="eastAsia" w:ascii="宋体" w:hAnsi="宋体" w:eastAsia="宋体"/>
                <w:szCs w:val="21"/>
                <w:highlight w:val="none"/>
              </w:rPr>
            </w:pPr>
            <w:r>
              <w:rPr>
                <w:rFonts w:hint="eastAsia" w:ascii="宋体" w:hAnsi="宋体" w:eastAsia="宋体"/>
                <w:szCs w:val="21"/>
                <w:highlight w:val="none"/>
              </w:rPr>
              <w:t>分值</w:t>
            </w:r>
          </w:p>
        </w:tc>
        <w:tc>
          <w:tcPr>
            <w:tcW w:w="3916" w:type="pct"/>
            <w:tcBorders>
              <w:top w:val="single" w:color="auto" w:sz="8" w:space="0"/>
              <w:left w:val="nil"/>
              <w:bottom w:val="single" w:color="auto" w:sz="4" w:space="0"/>
              <w:right w:val="single" w:color="auto" w:sz="4" w:space="0"/>
            </w:tcBorders>
            <w:noWrap w:val="0"/>
            <w:vAlign w:val="center"/>
          </w:tcPr>
          <w:p w14:paraId="147F9C9A">
            <w:pPr>
              <w:spacing w:line="0" w:lineRule="atLeast"/>
              <w:jc w:val="center"/>
              <w:rPr>
                <w:rFonts w:hint="eastAsia" w:ascii="宋体" w:hAnsi="宋体" w:eastAsia="宋体"/>
                <w:szCs w:val="21"/>
                <w:highlight w:val="none"/>
              </w:rPr>
            </w:pPr>
            <w:r>
              <w:rPr>
                <w:rFonts w:hint="eastAsia" w:ascii="宋体" w:hAnsi="宋体" w:eastAsia="宋体"/>
                <w:szCs w:val="21"/>
                <w:highlight w:val="none"/>
              </w:rPr>
              <w:t>评审标准</w:t>
            </w:r>
          </w:p>
        </w:tc>
      </w:tr>
      <w:tr w14:paraId="2B0D01C7">
        <w:tblPrEx>
          <w:tblCellMar>
            <w:top w:w="0" w:type="dxa"/>
            <w:left w:w="108" w:type="dxa"/>
            <w:bottom w:w="0" w:type="dxa"/>
            <w:right w:w="108" w:type="dxa"/>
          </w:tblCellMar>
        </w:tblPrEx>
        <w:trPr>
          <w:cantSplit/>
          <w:trHeight w:val="785" w:hRule="atLeast"/>
          <w:jc w:val="center"/>
        </w:trPr>
        <w:tc>
          <w:tcPr>
            <w:tcW w:w="290" w:type="pct"/>
            <w:vMerge w:val="restart"/>
            <w:tcBorders>
              <w:top w:val="nil"/>
              <w:left w:val="single" w:color="auto" w:sz="8" w:space="0"/>
              <w:right w:val="single" w:color="auto" w:sz="4" w:space="0"/>
            </w:tcBorders>
            <w:noWrap w:val="0"/>
            <w:vAlign w:val="center"/>
          </w:tcPr>
          <w:p w14:paraId="6616B40E">
            <w:pPr>
              <w:spacing w:line="0" w:lineRule="atLeast"/>
              <w:jc w:val="left"/>
              <w:rPr>
                <w:rFonts w:hint="eastAsia" w:ascii="宋体" w:hAnsi="宋体" w:eastAsia="宋体"/>
                <w:szCs w:val="21"/>
                <w:highlight w:val="none"/>
              </w:rPr>
            </w:pPr>
            <w:r>
              <w:rPr>
                <w:rFonts w:hint="eastAsia" w:ascii="宋体" w:hAnsi="宋体" w:eastAsia="宋体"/>
                <w:szCs w:val="21"/>
                <w:highlight w:val="none"/>
              </w:rPr>
              <w:t>一、项目管理机构能力（30分）</w:t>
            </w:r>
          </w:p>
        </w:tc>
        <w:tc>
          <w:tcPr>
            <w:tcW w:w="586" w:type="pct"/>
            <w:tcBorders>
              <w:top w:val="single" w:color="auto" w:sz="4" w:space="0"/>
              <w:left w:val="nil"/>
              <w:bottom w:val="single" w:color="auto" w:sz="4" w:space="0"/>
              <w:right w:val="single" w:color="auto" w:sz="4" w:space="0"/>
            </w:tcBorders>
            <w:noWrap w:val="0"/>
            <w:vAlign w:val="center"/>
          </w:tcPr>
          <w:p w14:paraId="407FCA7E">
            <w:pPr>
              <w:widowControl/>
              <w:snapToGrid w:val="0"/>
              <w:spacing w:line="280" w:lineRule="exact"/>
              <w:jc w:val="center"/>
              <w:rPr>
                <w:rFonts w:hint="eastAsia" w:ascii="宋体" w:hAnsi="宋体" w:eastAsia="宋体" w:cs="Times New Roman"/>
                <w:sz w:val="21"/>
                <w:szCs w:val="21"/>
                <w:highlight w:val="none"/>
                <w:lang w:val="zh-CN" w:bidi="ar"/>
              </w:rPr>
            </w:pPr>
            <w:r>
              <w:rPr>
                <w:rFonts w:hint="eastAsia" w:ascii="宋体" w:hAnsi="宋体" w:eastAsia="宋体" w:cs="Times New Roman"/>
                <w:sz w:val="21"/>
                <w:szCs w:val="21"/>
                <w:highlight w:val="none"/>
                <w:lang w:val="zh-CN" w:bidi="ar"/>
              </w:rPr>
              <w:t>技术负责人</w:t>
            </w:r>
          </w:p>
        </w:tc>
        <w:tc>
          <w:tcPr>
            <w:tcW w:w="206" w:type="pct"/>
            <w:tcBorders>
              <w:top w:val="single" w:color="auto" w:sz="4" w:space="0"/>
              <w:left w:val="nil"/>
              <w:bottom w:val="single" w:color="auto" w:sz="4" w:space="0"/>
              <w:right w:val="single" w:color="auto" w:sz="4" w:space="0"/>
            </w:tcBorders>
            <w:noWrap w:val="0"/>
            <w:vAlign w:val="center"/>
          </w:tcPr>
          <w:p w14:paraId="56FC6D0A">
            <w:pPr>
              <w:widowControl/>
              <w:snapToGrid w:val="0"/>
              <w:spacing w:line="280" w:lineRule="exact"/>
              <w:jc w:val="center"/>
              <w:rPr>
                <w:rFonts w:hint="default" w:ascii="宋体" w:hAnsi="宋体" w:eastAsia="宋体" w:cs="Times New Roman"/>
                <w:sz w:val="21"/>
                <w:szCs w:val="21"/>
                <w:highlight w:val="none"/>
                <w:lang w:val="en-US" w:eastAsia="zh-CN" w:bidi="ar"/>
              </w:rPr>
            </w:pPr>
            <w:r>
              <w:rPr>
                <w:rFonts w:hint="eastAsia" w:ascii="宋体" w:hAnsi="宋体" w:eastAsia="宋体" w:cs="Times New Roman"/>
                <w:sz w:val="21"/>
                <w:szCs w:val="21"/>
                <w:highlight w:val="none"/>
                <w:lang w:val="en-US" w:eastAsia="zh-CN" w:bidi="ar"/>
              </w:rPr>
              <w:t>10</w:t>
            </w:r>
          </w:p>
        </w:tc>
        <w:tc>
          <w:tcPr>
            <w:tcW w:w="3916" w:type="pct"/>
            <w:tcBorders>
              <w:top w:val="single" w:color="auto" w:sz="4" w:space="0"/>
              <w:left w:val="nil"/>
              <w:bottom w:val="single" w:color="auto" w:sz="4" w:space="0"/>
              <w:right w:val="single" w:color="auto" w:sz="4" w:space="0"/>
            </w:tcBorders>
            <w:noWrap w:val="0"/>
            <w:vAlign w:val="center"/>
          </w:tcPr>
          <w:p w14:paraId="24D9A983">
            <w:pPr>
              <w:widowControl/>
              <w:snapToGrid w:val="0"/>
              <w:spacing w:line="280" w:lineRule="exact"/>
              <w:jc w:val="left"/>
              <w:rPr>
                <w:rFonts w:hint="eastAsia" w:ascii="宋体" w:hAnsi="宋体" w:eastAsia="宋体" w:cs="Times New Roman"/>
                <w:sz w:val="21"/>
                <w:szCs w:val="21"/>
                <w:highlight w:val="none"/>
                <w:lang w:val="zh-CN" w:bidi="ar"/>
              </w:rPr>
            </w:pPr>
            <w:r>
              <w:rPr>
                <w:rFonts w:hint="eastAsia" w:ascii="宋体" w:hAnsi="宋体" w:eastAsia="宋体" w:cs="Times New Roman"/>
                <w:sz w:val="21"/>
                <w:szCs w:val="21"/>
                <w:highlight w:val="none"/>
                <w:lang w:val="zh-CN" w:bidi="ar"/>
              </w:rPr>
              <w:t>拟派技术负责人</w:t>
            </w:r>
            <w:r>
              <w:rPr>
                <w:rFonts w:hint="eastAsia" w:ascii="宋体" w:hAnsi="宋体" w:eastAsia="宋体" w:cs="Times New Roman"/>
                <w:sz w:val="21"/>
                <w:szCs w:val="21"/>
                <w:highlight w:val="none"/>
                <w:lang w:val="en-US" w:eastAsia="zh-CN" w:bidi="ar"/>
              </w:rPr>
              <w:t>具有</w:t>
            </w:r>
            <w:r>
              <w:rPr>
                <w:rFonts w:hint="eastAsia" w:ascii="宋体" w:hAnsi="宋体" w:eastAsia="宋体" w:cs="Times New Roman"/>
                <w:sz w:val="21"/>
                <w:szCs w:val="21"/>
                <w:highlight w:val="none"/>
                <w:lang w:val="zh-CN" w:bidi="ar"/>
              </w:rPr>
              <w:t>市政</w:t>
            </w:r>
            <w:r>
              <w:rPr>
                <w:rFonts w:hint="eastAsia" w:ascii="宋体" w:hAnsi="宋体" w:eastAsia="宋体" w:cs="Times New Roman"/>
                <w:sz w:val="21"/>
                <w:szCs w:val="21"/>
                <w:highlight w:val="none"/>
                <w:lang w:val="en-US" w:eastAsia="zh-CN" w:bidi="ar"/>
              </w:rPr>
              <w:t>工程</w:t>
            </w:r>
            <w:r>
              <w:rPr>
                <w:rFonts w:hint="eastAsia" w:ascii="宋体" w:hAnsi="宋体" w:eastAsia="宋体" w:cs="Times New Roman"/>
                <w:sz w:val="21"/>
                <w:szCs w:val="21"/>
                <w:highlight w:val="none"/>
                <w:lang w:val="zh-CN" w:bidi="ar"/>
              </w:rPr>
              <w:t>相关专业高级(或以上)工程师职称的，得</w:t>
            </w:r>
            <w:r>
              <w:rPr>
                <w:rFonts w:hint="eastAsia" w:ascii="宋体" w:hAnsi="宋体" w:eastAsia="宋体" w:cs="Times New Roman"/>
                <w:sz w:val="21"/>
                <w:szCs w:val="21"/>
                <w:highlight w:val="none"/>
                <w:lang w:val="en-US" w:eastAsia="zh-CN" w:bidi="ar"/>
              </w:rPr>
              <w:t>10</w:t>
            </w:r>
            <w:r>
              <w:rPr>
                <w:rFonts w:hint="eastAsia" w:ascii="宋体" w:hAnsi="宋体" w:eastAsia="宋体" w:cs="Times New Roman"/>
                <w:sz w:val="21"/>
                <w:szCs w:val="21"/>
                <w:highlight w:val="none"/>
                <w:lang w:val="zh-CN" w:bidi="ar"/>
              </w:rPr>
              <w:t>分。</w:t>
            </w:r>
          </w:p>
        </w:tc>
      </w:tr>
      <w:tr w14:paraId="76700D88">
        <w:tblPrEx>
          <w:tblCellMar>
            <w:top w:w="0" w:type="dxa"/>
            <w:left w:w="108" w:type="dxa"/>
            <w:bottom w:w="0" w:type="dxa"/>
            <w:right w:w="108" w:type="dxa"/>
          </w:tblCellMar>
        </w:tblPrEx>
        <w:trPr>
          <w:cantSplit/>
          <w:trHeight w:val="850" w:hRule="atLeast"/>
          <w:jc w:val="center"/>
        </w:trPr>
        <w:tc>
          <w:tcPr>
            <w:tcW w:w="290" w:type="pct"/>
            <w:vMerge w:val="continue"/>
            <w:tcBorders>
              <w:left w:val="single" w:color="auto" w:sz="8" w:space="0"/>
              <w:right w:val="single" w:color="auto" w:sz="4" w:space="0"/>
            </w:tcBorders>
            <w:noWrap w:val="0"/>
            <w:vAlign w:val="center"/>
          </w:tcPr>
          <w:p w14:paraId="2EE5014C">
            <w:pPr>
              <w:spacing w:line="0" w:lineRule="atLeast"/>
              <w:jc w:val="left"/>
              <w:rPr>
                <w:rFonts w:hint="eastAsia" w:ascii="宋体" w:hAnsi="宋体" w:eastAsia="宋体"/>
                <w:szCs w:val="21"/>
                <w:highlight w:val="none"/>
              </w:rPr>
            </w:pPr>
          </w:p>
        </w:tc>
        <w:tc>
          <w:tcPr>
            <w:tcW w:w="586" w:type="pct"/>
            <w:tcBorders>
              <w:top w:val="single" w:color="auto" w:sz="4" w:space="0"/>
              <w:left w:val="nil"/>
              <w:bottom w:val="single" w:color="auto" w:sz="4" w:space="0"/>
              <w:right w:val="single" w:color="auto" w:sz="4" w:space="0"/>
            </w:tcBorders>
            <w:noWrap w:val="0"/>
            <w:vAlign w:val="center"/>
          </w:tcPr>
          <w:p w14:paraId="6077C1BE">
            <w:pPr>
              <w:widowControl/>
              <w:snapToGrid w:val="0"/>
              <w:spacing w:line="280" w:lineRule="exact"/>
              <w:jc w:val="center"/>
              <w:rPr>
                <w:rFonts w:hint="eastAsia" w:ascii="宋体" w:hAnsi="宋体" w:eastAsia="宋体" w:cs="Times New Roman"/>
                <w:sz w:val="21"/>
                <w:szCs w:val="21"/>
                <w:highlight w:val="none"/>
                <w:lang w:val="en-US" w:eastAsia="zh-CN" w:bidi="ar"/>
              </w:rPr>
            </w:pPr>
            <w:r>
              <w:rPr>
                <w:rFonts w:hint="eastAsia" w:ascii="宋体" w:hAnsi="宋体" w:eastAsia="宋体" w:cs="Times New Roman"/>
                <w:sz w:val="21"/>
                <w:szCs w:val="21"/>
                <w:highlight w:val="none"/>
                <w:lang w:val="zh-CN" w:bidi="ar"/>
              </w:rPr>
              <w:t>安全负责人（与专职安全员不为同一人）</w:t>
            </w:r>
          </w:p>
        </w:tc>
        <w:tc>
          <w:tcPr>
            <w:tcW w:w="206" w:type="pct"/>
            <w:tcBorders>
              <w:top w:val="single" w:color="auto" w:sz="4" w:space="0"/>
              <w:left w:val="nil"/>
              <w:bottom w:val="single" w:color="auto" w:sz="4" w:space="0"/>
              <w:right w:val="single" w:color="auto" w:sz="4" w:space="0"/>
            </w:tcBorders>
            <w:noWrap w:val="0"/>
            <w:vAlign w:val="center"/>
          </w:tcPr>
          <w:p w14:paraId="3302A195">
            <w:pPr>
              <w:widowControl/>
              <w:snapToGrid w:val="0"/>
              <w:spacing w:line="280" w:lineRule="exact"/>
              <w:jc w:val="center"/>
              <w:rPr>
                <w:rFonts w:hint="default" w:ascii="宋体" w:hAnsi="宋体" w:eastAsia="宋体" w:cs="Times New Roman"/>
                <w:sz w:val="21"/>
                <w:szCs w:val="21"/>
                <w:highlight w:val="none"/>
                <w:lang w:val="en-US" w:eastAsia="zh-CN" w:bidi="ar"/>
              </w:rPr>
            </w:pPr>
            <w:r>
              <w:rPr>
                <w:rFonts w:hint="eastAsia" w:ascii="宋体" w:hAnsi="宋体" w:eastAsia="宋体" w:cs="Times New Roman"/>
                <w:sz w:val="21"/>
                <w:szCs w:val="21"/>
                <w:highlight w:val="none"/>
                <w:lang w:val="en-US" w:eastAsia="zh-CN" w:bidi="ar"/>
              </w:rPr>
              <w:t>10</w:t>
            </w:r>
          </w:p>
        </w:tc>
        <w:tc>
          <w:tcPr>
            <w:tcW w:w="3916" w:type="pct"/>
            <w:tcBorders>
              <w:top w:val="single" w:color="auto" w:sz="4" w:space="0"/>
              <w:left w:val="nil"/>
              <w:bottom w:val="single" w:color="auto" w:sz="4" w:space="0"/>
              <w:right w:val="single" w:color="auto" w:sz="4" w:space="0"/>
            </w:tcBorders>
            <w:noWrap w:val="0"/>
            <w:vAlign w:val="center"/>
          </w:tcPr>
          <w:p w14:paraId="273D8DF9">
            <w:pPr>
              <w:widowControl/>
              <w:snapToGrid w:val="0"/>
              <w:spacing w:line="280" w:lineRule="exact"/>
              <w:jc w:val="left"/>
              <w:rPr>
                <w:rFonts w:hint="eastAsia" w:ascii="宋体" w:hAnsi="宋体" w:eastAsia="宋体" w:cs="Times New Roman"/>
                <w:sz w:val="21"/>
                <w:szCs w:val="21"/>
                <w:highlight w:val="none"/>
                <w:lang w:val="en-US" w:eastAsia="zh-CN" w:bidi="ar"/>
              </w:rPr>
            </w:pPr>
            <w:r>
              <w:rPr>
                <w:rFonts w:hint="eastAsia" w:ascii="宋体" w:hAnsi="宋体" w:eastAsia="宋体" w:cs="Times New Roman"/>
                <w:sz w:val="21"/>
                <w:szCs w:val="21"/>
                <w:highlight w:val="none"/>
                <w:lang w:val="zh-CN" w:bidi="ar"/>
              </w:rPr>
              <w:t>拟派安全负责人</w:t>
            </w:r>
            <w:r>
              <w:rPr>
                <w:rFonts w:hint="eastAsia" w:ascii="宋体" w:hAnsi="宋体" w:eastAsia="宋体" w:cs="Times New Roman"/>
                <w:sz w:val="21"/>
                <w:szCs w:val="21"/>
                <w:highlight w:val="none"/>
                <w:lang w:val="en-US" w:eastAsia="zh-CN" w:bidi="ar"/>
              </w:rPr>
              <w:t>具有注册安全工程师的</w:t>
            </w:r>
            <w:r>
              <w:rPr>
                <w:rFonts w:hint="eastAsia" w:ascii="宋体" w:hAnsi="宋体" w:eastAsia="宋体" w:cs="Times New Roman"/>
                <w:sz w:val="21"/>
                <w:szCs w:val="21"/>
                <w:highlight w:val="none"/>
                <w:lang w:val="zh-CN" w:bidi="ar"/>
              </w:rPr>
              <w:t>，得</w:t>
            </w:r>
            <w:r>
              <w:rPr>
                <w:rFonts w:hint="eastAsia" w:ascii="宋体" w:hAnsi="宋体" w:eastAsia="宋体" w:cs="Times New Roman"/>
                <w:sz w:val="21"/>
                <w:szCs w:val="21"/>
                <w:highlight w:val="none"/>
                <w:lang w:val="en-US" w:eastAsia="zh-CN" w:bidi="ar"/>
              </w:rPr>
              <w:t>10</w:t>
            </w:r>
            <w:r>
              <w:rPr>
                <w:rFonts w:hint="eastAsia" w:ascii="宋体" w:hAnsi="宋体" w:eastAsia="宋体" w:cs="Times New Roman"/>
                <w:sz w:val="21"/>
                <w:szCs w:val="21"/>
                <w:highlight w:val="none"/>
                <w:lang w:val="zh-CN" w:bidi="ar"/>
              </w:rPr>
              <w:t>分。</w:t>
            </w:r>
            <w:bookmarkStart w:id="129" w:name="_GoBack"/>
            <w:bookmarkEnd w:id="129"/>
          </w:p>
        </w:tc>
      </w:tr>
      <w:tr w14:paraId="76263A8F">
        <w:tblPrEx>
          <w:tblCellMar>
            <w:top w:w="0" w:type="dxa"/>
            <w:left w:w="108" w:type="dxa"/>
            <w:bottom w:w="0" w:type="dxa"/>
            <w:right w:w="108" w:type="dxa"/>
          </w:tblCellMar>
        </w:tblPrEx>
        <w:trPr>
          <w:cantSplit/>
          <w:trHeight w:val="900" w:hRule="atLeast"/>
          <w:jc w:val="center"/>
        </w:trPr>
        <w:tc>
          <w:tcPr>
            <w:tcW w:w="290" w:type="pct"/>
            <w:vMerge w:val="continue"/>
            <w:tcBorders>
              <w:left w:val="single" w:color="auto" w:sz="8" w:space="0"/>
              <w:bottom w:val="single" w:color="auto" w:sz="4" w:space="0"/>
              <w:right w:val="single" w:color="auto" w:sz="4" w:space="0"/>
            </w:tcBorders>
            <w:noWrap w:val="0"/>
            <w:vAlign w:val="center"/>
          </w:tcPr>
          <w:p w14:paraId="3E7685A1">
            <w:pPr>
              <w:spacing w:line="0" w:lineRule="atLeast"/>
              <w:jc w:val="left"/>
              <w:rPr>
                <w:rFonts w:hint="eastAsia" w:ascii="宋体" w:hAnsi="宋体" w:eastAsia="宋体"/>
                <w:szCs w:val="21"/>
                <w:highlight w:val="none"/>
              </w:rPr>
            </w:pPr>
          </w:p>
        </w:tc>
        <w:tc>
          <w:tcPr>
            <w:tcW w:w="586" w:type="pct"/>
            <w:tcBorders>
              <w:top w:val="single" w:color="auto" w:sz="4" w:space="0"/>
              <w:left w:val="nil"/>
              <w:bottom w:val="single" w:color="auto" w:sz="4" w:space="0"/>
              <w:right w:val="single" w:color="auto" w:sz="4" w:space="0"/>
            </w:tcBorders>
            <w:noWrap w:val="0"/>
            <w:vAlign w:val="center"/>
          </w:tcPr>
          <w:p w14:paraId="5872E310">
            <w:pPr>
              <w:widowControl/>
              <w:snapToGrid w:val="0"/>
              <w:spacing w:line="280" w:lineRule="exact"/>
              <w:jc w:val="center"/>
              <w:rPr>
                <w:rFonts w:hint="eastAsia" w:ascii="宋体" w:hAnsi="宋体" w:eastAsia="宋体" w:cs="Times New Roman"/>
                <w:sz w:val="21"/>
                <w:szCs w:val="21"/>
                <w:highlight w:val="none"/>
                <w:lang w:val="en-US" w:eastAsia="zh-CN" w:bidi="ar"/>
              </w:rPr>
            </w:pPr>
            <w:r>
              <w:rPr>
                <w:rFonts w:hint="eastAsia" w:ascii="宋体" w:hAnsi="宋体" w:eastAsia="宋体" w:cs="Times New Roman"/>
                <w:sz w:val="21"/>
                <w:szCs w:val="21"/>
                <w:highlight w:val="none"/>
                <w:lang w:val="zh-CN" w:bidi="ar"/>
              </w:rPr>
              <w:t>造价负责人</w:t>
            </w:r>
          </w:p>
        </w:tc>
        <w:tc>
          <w:tcPr>
            <w:tcW w:w="206" w:type="pct"/>
            <w:tcBorders>
              <w:top w:val="single" w:color="auto" w:sz="4" w:space="0"/>
              <w:left w:val="nil"/>
              <w:bottom w:val="single" w:color="auto" w:sz="4" w:space="0"/>
              <w:right w:val="single" w:color="auto" w:sz="4" w:space="0"/>
            </w:tcBorders>
            <w:noWrap w:val="0"/>
            <w:vAlign w:val="center"/>
          </w:tcPr>
          <w:p w14:paraId="5C9FEAAA">
            <w:pPr>
              <w:widowControl/>
              <w:snapToGrid w:val="0"/>
              <w:spacing w:line="280" w:lineRule="exact"/>
              <w:jc w:val="center"/>
              <w:rPr>
                <w:rFonts w:hint="default" w:ascii="宋体" w:hAnsi="宋体" w:eastAsia="宋体" w:cs="Times New Roman"/>
                <w:sz w:val="21"/>
                <w:szCs w:val="21"/>
                <w:highlight w:val="none"/>
                <w:lang w:val="en-US" w:eastAsia="zh-CN" w:bidi="ar"/>
              </w:rPr>
            </w:pPr>
            <w:r>
              <w:rPr>
                <w:rFonts w:hint="eastAsia" w:ascii="宋体" w:hAnsi="宋体" w:eastAsia="宋体" w:cs="Times New Roman"/>
                <w:sz w:val="21"/>
                <w:szCs w:val="21"/>
                <w:highlight w:val="none"/>
                <w:lang w:val="en-US" w:eastAsia="zh-CN" w:bidi="ar"/>
              </w:rPr>
              <w:t>10</w:t>
            </w:r>
          </w:p>
        </w:tc>
        <w:tc>
          <w:tcPr>
            <w:tcW w:w="3916" w:type="pct"/>
            <w:tcBorders>
              <w:top w:val="single" w:color="auto" w:sz="4" w:space="0"/>
              <w:left w:val="nil"/>
              <w:bottom w:val="single" w:color="auto" w:sz="4" w:space="0"/>
              <w:right w:val="single" w:color="auto" w:sz="4" w:space="0"/>
            </w:tcBorders>
            <w:noWrap w:val="0"/>
            <w:vAlign w:val="center"/>
          </w:tcPr>
          <w:p w14:paraId="0906879D">
            <w:pPr>
              <w:widowControl/>
              <w:snapToGrid w:val="0"/>
              <w:spacing w:line="280" w:lineRule="exact"/>
              <w:jc w:val="left"/>
              <w:rPr>
                <w:rFonts w:hint="eastAsia" w:ascii="宋体" w:hAnsi="宋体" w:eastAsia="宋体" w:cs="Times New Roman"/>
                <w:sz w:val="21"/>
                <w:szCs w:val="21"/>
                <w:highlight w:val="none"/>
                <w:lang w:val="en-US" w:eastAsia="zh-CN" w:bidi="ar"/>
              </w:rPr>
            </w:pPr>
            <w:r>
              <w:rPr>
                <w:rFonts w:hint="eastAsia" w:ascii="宋体" w:hAnsi="宋体" w:eastAsia="宋体" w:cs="Times New Roman"/>
                <w:sz w:val="21"/>
                <w:szCs w:val="21"/>
                <w:highlight w:val="none"/>
                <w:lang w:val="en-US" w:eastAsia="zh-CN" w:bidi="ar"/>
              </w:rPr>
              <w:t>拟派</w:t>
            </w:r>
            <w:r>
              <w:rPr>
                <w:rFonts w:hint="eastAsia" w:ascii="宋体" w:hAnsi="宋体" w:eastAsia="宋体" w:cs="Times New Roman"/>
                <w:sz w:val="21"/>
                <w:szCs w:val="21"/>
                <w:highlight w:val="none"/>
                <w:lang w:val="zh-CN" w:bidi="ar"/>
              </w:rPr>
              <w:t>造价负责人</w:t>
            </w:r>
            <w:r>
              <w:rPr>
                <w:rFonts w:hint="eastAsia" w:ascii="宋体" w:hAnsi="宋体" w:eastAsia="宋体" w:cs="Times New Roman"/>
                <w:sz w:val="21"/>
                <w:szCs w:val="21"/>
                <w:highlight w:val="none"/>
                <w:lang w:val="en-US" w:eastAsia="zh-CN" w:bidi="ar"/>
              </w:rPr>
              <w:t>具有注册造价工程师（一级造价工程师）证的，加4分；具备造价相关专业高级工程师或以上技术职称的，加3分；拥有造价相关专业的本科（或以上）学历的，加3分。本小项最多得10分。</w:t>
            </w:r>
          </w:p>
        </w:tc>
      </w:tr>
      <w:tr w14:paraId="2CDAD5BE">
        <w:tblPrEx>
          <w:tblCellMar>
            <w:top w:w="0" w:type="dxa"/>
            <w:left w:w="108" w:type="dxa"/>
            <w:bottom w:w="0" w:type="dxa"/>
            <w:right w:w="108" w:type="dxa"/>
          </w:tblCellMar>
        </w:tblPrEx>
        <w:trPr>
          <w:cantSplit/>
          <w:trHeight w:val="570" w:hRule="atLeast"/>
          <w:jc w:val="center"/>
        </w:trPr>
        <w:tc>
          <w:tcPr>
            <w:tcW w:w="290" w:type="pct"/>
            <w:vMerge w:val="restart"/>
            <w:tcBorders>
              <w:top w:val="single" w:color="auto" w:sz="4" w:space="0"/>
              <w:left w:val="single" w:color="auto" w:sz="4" w:space="0"/>
              <w:right w:val="single" w:color="auto" w:sz="4" w:space="0"/>
            </w:tcBorders>
            <w:noWrap w:val="0"/>
            <w:vAlign w:val="center"/>
          </w:tcPr>
          <w:p w14:paraId="1B6AC3E6">
            <w:pPr>
              <w:spacing w:line="0" w:lineRule="atLeast"/>
              <w:jc w:val="left"/>
              <w:rPr>
                <w:rFonts w:hint="eastAsia" w:ascii="宋体" w:hAnsi="宋体" w:eastAsia="宋体"/>
                <w:szCs w:val="21"/>
                <w:highlight w:val="none"/>
              </w:rPr>
            </w:pPr>
            <w:r>
              <w:rPr>
                <w:rFonts w:hint="eastAsia" w:ascii="宋体" w:hAnsi="宋体" w:eastAsia="宋体"/>
                <w:szCs w:val="21"/>
                <w:highlight w:val="none"/>
              </w:rPr>
              <w:t>二、企业资信（20分）</w:t>
            </w:r>
          </w:p>
        </w:tc>
        <w:tc>
          <w:tcPr>
            <w:tcW w:w="586" w:type="pct"/>
            <w:tcBorders>
              <w:top w:val="single" w:color="auto" w:sz="4" w:space="0"/>
              <w:left w:val="nil"/>
              <w:bottom w:val="single" w:color="auto" w:sz="4" w:space="0"/>
              <w:right w:val="single" w:color="auto" w:sz="4" w:space="0"/>
            </w:tcBorders>
            <w:noWrap w:val="0"/>
            <w:vAlign w:val="center"/>
          </w:tcPr>
          <w:p w14:paraId="5AAB1D28">
            <w:pPr>
              <w:spacing w:line="0" w:lineRule="atLeast"/>
              <w:jc w:val="left"/>
              <w:rPr>
                <w:rFonts w:hint="eastAsia" w:ascii="宋体" w:hAnsi="宋体" w:eastAsia="宋体"/>
                <w:szCs w:val="21"/>
                <w:highlight w:val="none"/>
              </w:rPr>
            </w:pPr>
            <w:r>
              <w:rPr>
                <w:rFonts w:hint="eastAsia" w:ascii="宋体" w:hAnsi="宋体" w:eastAsia="宋体"/>
                <w:szCs w:val="21"/>
                <w:highlight w:val="none"/>
              </w:rPr>
              <w:t>企业业绩</w:t>
            </w:r>
          </w:p>
        </w:tc>
        <w:tc>
          <w:tcPr>
            <w:tcW w:w="206" w:type="pct"/>
            <w:tcBorders>
              <w:top w:val="single" w:color="auto" w:sz="4" w:space="0"/>
              <w:left w:val="nil"/>
              <w:bottom w:val="single" w:color="auto" w:sz="4" w:space="0"/>
              <w:right w:val="single" w:color="auto" w:sz="4" w:space="0"/>
            </w:tcBorders>
            <w:noWrap w:val="0"/>
            <w:vAlign w:val="center"/>
          </w:tcPr>
          <w:p w14:paraId="01872D17">
            <w:pPr>
              <w:spacing w:line="0" w:lineRule="atLeast"/>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14</w:t>
            </w:r>
          </w:p>
        </w:tc>
        <w:tc>
          <w:tcPr>
            <w:tcW w:w="3916" w:type="pct"/>
            <w:tcBorders>
              <w:top w:val="single" w:color="auto" w:sz="4" w:space="0"/>
              <w:left w:val="nil"/>
              <w:bottom w:val="single" w:color="auto" w:sz="4" w:space="0"/>
              <w:right w:val="single" w:color="auto" w:sz="4" w:space="0"/>
            </w:tcBorders>
            <w:noWrap w:val="0"/>
            <w:vAlign w:val="center"/>
          </w:tcPr>
          <w:p w14:paraId="47CF75CE">
            <w:pPr>
              <w:widowControl/>
              <w:snapToGrid w:val="0"/>
              <w:spacing w:line="280" w:lineRule="exact"/>
              <w:jc w:val="left"/>
              <w:rPr>
                <w:rFonts w:hint="eastAsia" w:ascii="宋体" w:hAnsi="宋体" w:eastAsia="宋体" w:cs="Times New Roman"/>
                <w:sz w:val="21"/>
                <w:szCs w:val="21"/>
                <w:highlight w:val="none"/>
                <w:lang w:val="en-US" w:eastAsia="zh-CN" w:bidi="ar"/>
              </w:rPr>
            </w:pPr>
            <w:r>
              <w:rPr>
                <w:rFonts w:hint="eastAsia" w:ascii="宋体" w:hAnsi="宋体" w:eastAsia="宋体" w:cs="Times New Roman"/>
                <w:sz w:val="21"/>
                <w:szCs w:val="21"/>
                <w:highlight w:val="none"/>
                <w:lang w:val="en-US" w:eastAsia="zh-CN" w:bidi="ar"/>
              </w:rPr>
              <w:t>投标人自2020年1月1日至投标截止时间完成质量合格的类似市政业绩，每项得7分，本小项最高得14分。</w:t>
            </w:r>
          </w:p>
          <w:p w14:paraId="348D9EA3">
            <w:pPr>
              <w:widowControl/>
              <w:snapToGrid w:val="0"/>
              <w:spacing w:line="280" w:lineRule="exact"/>
              <w:jc w:val="left"/>
              <w:rPr>
                <w:rFonts w:hint="eastAsia" w:ascii="宋体" w:hAnsi="宋体" w:eastAsia="宋体" w:cs="Times New Roman"/>
                <w:sz w:val="21"/>
                <w:szCs w:val="21"/>
                <w:highlight w:val="none"/>
                <w:lang w:val="en-US" w:eastAsia="zh-CN" w:bidi="ar"/>
              </w:rPr>
            </w:pPr>
            <w:r>
              <w:rPr>
                <w:rFonts w:hint="eastAsia" w:ascii="宋体" w:hAnsi="宋体" w:eastAsia="宋体" w:cs="Times New Roman"/>
                <w:sz w:val="21"/>
                <w:szCs w:val="21"/>
                <w:highlight w:val="none"/>
                <w:lang w:val="en-US" w:eastAsia="zh-CN" w:bidi="ar"/>
              </w:rPr>
              <w:t>注：施工类似业绩是指投标人自2020年1月1日至投标截止时间为止，完成过质量合格的市政公用类工程中标金额大于或等于</w:t>
            </w:r>
            <w:r>
              <w:rPr>
                <w:rFonts w:hint="eastAsia" w:ascii="宋体" w:hAnsi="宋体" w:cs="Times New Roman"/>
                <w:sz w:val="21"/>
                <w:szCs w:val="21"/>
                <w:highlight w:val="none"/>
                <w:lang w:val="en-US" w:eastAsia="zh-CN" w:bidi="ar"/>
              </w:rPr>
              <w:t>1</w:t>
            </w:r>
            <w:r>
              <w:rPr>
                <w:rFonts w:hint="eastAsia" w:ascii="宋体" w:hAnsi="宋体" w:eastAsia="宋体" w:cs="Times New Roman"/>
                <w:sz w:val="21"/>
                <w:szCs w:val="21"/>
                <w:highlight w:val="none"/>
                <w:lang w:val="en-US" w:eastAsia="zh-CN" w:bidi="ar"/>
              </w:rPr>
              <w:t>000万元的施工总承包业绩。投标人所提供的证明资料：需同时提供中标通知书（或免招标证明）原件复印件、施工合同原件复印件、竣工验收报告复印件或完工证明原件复印件，业绩金额以中标通知书（或免招标证明）为准，业绩完成时间以竣工验收报告复印件或完工证明为准。</w:t>
            </w:r>
          </w:p>
        </w:tc>
      </w:tr>
      <w:tr w14:paraId="0120CBBA">
        <w:tblPrEx>
          <w:tblCellMar>
            <w:top w:w="0" w:type="dxa"/>
            <w:left w:w="108" w:type="dxa"/>
            <w:bottom w:w="0" w:type="dxa"/>
            <w:right w:w="108" w:type="dxa"/>
          </w:tblCellMar>
        </w:tblPrEx>
        <w:trPr>
          <w:cantSplit/>
          <w:trHeight w:val="570" w:hRule="atLeast"/>
          <w:jc w:val="center"/>
        </w:trPr>
        <w:tc>
          <w:tcPr>
            <w:tcW w:w="290" w:type="pct"/>
            <w:vMerge w:val="continue"/>
            <w:tcBorders>
              <w:left w:val="single" w:color="auto" w:sz="4" w:space="0"/>
              <w:right w:val="single" w:color="auto" w:sz="4" w:space="0"/>
            </w:tcBorders>
            <w:noWrap w:val="0"/>
            <w:vAlign w:val="center"/>
          </w:tcPr>
          <w:p w14:paraId="3D43A41F">
            <w:pPr>
              <w:spacing w:line="0" w:lineRule="atLeast"/>
              <w:jc w:val="left"/>
              <w:rPr>
                <w:rFonts w:hint="eastAsia" w:ascii="宋体" w:hAnsi="宋体" w:eastAsia="宋体"/>
                <w:szCs w:val="21"/>
                <w:highlight w:val="none"/>
              </w:rPr>
            </w:pPr>
          </w:p>
        </w:tc>
        <w:tc>
          <w:tcPr>
            <w:tcW w:w="586" w:type="pct"/>
            <w:tcBorders>
              <w:top w:val="single" w:color="auto" w:sz="4" w:space="0"/>
              <w:left w:val="nil"/>
              <w:bottom w:val="single" w:color="auto" w:sz="4" w:space="0"/>
              <w:right w:val="single" w:color="auto" w:sz="4" w:space="0"/>
            </w:tcBorders>
            <w:noWrap w:val="0"/>
            <w:vAlign w:val="center"/>
          </w:tcPr>
          <w:p w14:paraId="3EEB14D5">
            <w:pPr>
              <w:spacing w:line="0" w:lineRule="atLeast"/>
              <w:jc w:val="left"/>
              <w:rPr>
                <w:rFonts w:hint="eastAsia" w:ascii="宋体" w:hAnsi="宋体" w:eastAsia="宋体"/>
                <w:szCs w:val="21"/>
                <w:highlight w:val="none"/>
                <w:lang w:val="en-US" w:eastAsia="zh-CN"/>
              </w:rPr>
            </w:pPr>
            <w:r>
              <w:rPr>
                <w:rFonts w:hint="eastAsia" w:ascii="宋体" w:hAnsi="宋体"/>
                <w:szCs w:val="21"/>
                <w:highlight w:val="none"/>
                <w:lang w:val="en-US" w:eastAsia="zh-CN"/>
              </w:rPr>
              <w:t>第三方评价</w:t>
            </w:r>
          </w:p>
        </w:tc>
        <w:tc>
          <w:tcPr>
            <w:tcW w:w="206" w:type="pct"/>
            <w:tcBorders>
              <w:top w:val="single" w:color="auto" w:sz="4" w:space="0"/>
              <w:left w:val="nil"/>
              <w:bottom w:val="single" w:color="auto" w:sz="4" w:space="0"/>
              <w:right w:val="single" w:color="auto" w:sz="4" w:space="0"/>
            </w:tcBorders>
            <w:noWrap w:val="0"/>
            <w:vAlign w:val="center"/>
          </w:tcPr>
          <w:p w14:paraId="52D1AEF3">
            <w:pPr>
              <w:spacing w:line="0" w:lineRule="atLeast"/>
              <w:jc w:val="center"/>
              <w:rPr>
                <w:rFonts w:hint="eastAsia" w:ascii="宋体" w:hAnsi="宋体" w:eastAsia="宋体"/>
                <w:szCs w:val="21"/>
                <w:highlight w:val="none"/>
                <w:lang w:val="en-US" w:eastAsia="zh-CN"/>
              </w:rPr>
            </w:pPr>
            <w:r>
              <w:rPr>
                <w:rFonts w:hint="eastAsia" w:ascii="宋体" w:hAnsi="宋体"/>
                <w:szCs w:val="21"/>
                <w:highlight w:val="none"/>
                <w:lang w:val="en-US" w:eastAsia="zh-CN"/>
              </w:rPr>
              <w:t>6</w:t>
            </w:r>
          </w:p>
        </w:tc>
        <w:tc>
          <w:tcPr>
            <w:tcW w:w="3916" w:type="pct"/>
            <w:tcBorders>
              <w:top w:val="single" w:color="auto" w:sz="4" w:space="0"/>
              <w:left w:val="nil"/>
              <w:bottom w:val="single" w:color="auto" w:sz="4" w:space="0"/>
              <w:right w:val="single" w:color="auto" w:sz="4" w:space="0"/>
            </w:tcBorders>
            <w:noWrap w:val="0"/>
            <w:vAlign w:val="center"/>
          </w:tcPr>
          <w:p w14:paraId="32592C22">
            <w:pPr>
              <w:widowControl/>
              <w:snapToGrid w:val="0"/>
              <w:spacing w:line="280" w:lineRule="exact"/>
              <w:jc w:val="left"/>
              <w:rPr>
                <w:rFonts w:hint="eastAsia" w:ascii="宋体" w:hAnsi="宋体" w:eastAsia="宋体" w:cs="Times New Roman"/>
                <w:sz w:val="21"/>
                <w:szCs w:val="21"/>
                <w:highlight w:val="none"/>
                <w:lang w:val="zh-CN" w:bidi="ar"/>
              </w:rPr>
            </w:pPr>
            <w:r>
              <w:rPr>
                <w:rFonts w:hint="eastAsia" w:ascii="宋体" w:hAnsi="宋体" w:eastAsia="宋体" w:cs="Times New Roman"/>
                <w:sz w:val="21"/>
                <w:szCs w:val="21"/>
                <w:highlight w:val="none"/>
                <w:lang w:val="en-US" w:eastAsia="zh-CN" w:bidi="ar"/>
              </w:rPr>
              <w:t>1、</w:t>
            </w:r>
            <w:r>
              <w:rPr>
                <w:rFonts w:hint="eastAsia" w:ascii="宋体" w:hAnsi="宋体" w:eastAsia="宋体" w:cs="Times New Roman"/>
                <w:sz w:val="21"/>
                <w:szCs w:val="21"/>
                <w:highlight w:val="none"/>
                <w:lang w:val="zh-CN" w:bidi="ar"/>
              </w:rPr>
              <w:t>投标人具有有效期内的“质量管理体系认证”、“测量管理体系”、“工程施工现场环境与卫生控制规范认证”、“工程绿色施工企业评价体系认证”、“工程施工安全标准化体系认证”。具有以上任意</w:t>
            </w:r>
            <w:r>
              <w:rPr>
                <w:rFonts w:hint="eastAsia" w:ascii="宋体" w:hAnsi="宋体" w:eastAsia="宋体" w:cs="Times New Roman"/>
                <w:sz w:val="21"/>
                <w:szCs w:val="21"/>
                <w:highlight w:val="none"/>
                <w:lang w:val="en-US" w:eastAsia="zh-CN" w:bidi="ar"/>
              </w:rPr>
              <w:t>四</w:t>
            </w:r>
            <w:r>
              <w:rPr>
                <w:rFonts w:hint="eastAsia" w:ascii="宋体" w:hAnsi="宋体" w:eastAsia="宋体" w:cs="Times New Roman"/>
                <w:sz w:val="21"/>
                <w:szCs w:val="21"/>
                <w:highlight w:val="none"/>
                <w:lang w:val="zh-CN" w:bidi="ar"/>
              </w:rPr>
              <w:t>项认证证书且在有效期内的得</w:t>
            </w:r>
            <w:r>
              <w:rPr>
                <w:rFonts w:hint="eastAsia" w:ascii="宋体" w:hAnsi="宋体" w:eastAsia="宋体" w:cs="Times New Roman"/>
                <w:sz w:val="21"/>
                <w:szCs w:val="21"/>
                <w:highlight w:val="none"/>
                <w:lang w:val="en-US" w:eastAsia="zh-CN" w:bidi="ar"/>
              </w:rPr>
              <w:t>1</w:t>
            </w:r>
            <w:r>
              <w:rPr>
                <w:rFonts w:hint="eastAsia" w:ascii="宋体" w:hAnsi="宋体" w:eastAsia="宋体" w:cs="Times New Roman"/>
                <w:sz w:val="21"/>
                <w:szCs w:val="21"/>
                <w:highlight w:val="none"/>
                <w:lang w:val="zh-CN" w:bidi="ar"/>
              </w:rPr>
              <w:t>分；</w:t>
            </w:r>
            <w:r>
              <w:rPr>
                <w:rFonts w:hint="eastAsia" w:ascii="宋体" w:hAnsi="宋体" w:eastAsia="宋体" w:cs="Times New Roman"/>
                <w:sz w:val="21"/>
                <w:szCs w:val="21"/>
                <w:highlight w:val="none"/>
                <w:lang w:val="en-US" w:eastAsia="zh-CN" w:bidi="ar"/>
              </w:rPr>
              <w:t>同时</w:t>
            </w:r>
            <w:r>
              <w:rPr>
                <w:rFonts w:hint="eastAsia" w:ascii="宋体" w:hAnsi="宋体" w:eastAsia="宋体" w:cs="Times New Roman"/>
                <w:sz w:val="21"/>
                <w:szCs w:val="21"/>
                <w:highlight w:val="none"/>
                <w:lang w:val="zh-CN" w:bidi="ar"/>
              </w:rPr>
              <w:t>具有以上</w:t>
            </w:r>
            <w:r>
              <w:rPr>
                <w:rFonts w:hint="eastAsia" w:ascii="宋体" w:hAnsi="宋体" w:eastAsia="宋体" w:cs="Times New Roman"/>
                <w:sz w:val="21"/>
                <w:szCs w:val="21"/>
                <w:highlight w:val="none"/>
                <w:lang w:val="en-US" w:eastAsia="zh-CN" w:bidi="ar"/>
              </w:rPr>
              <w:t>五</w:t>
            </w:r>
            <w:r>
              <w:rPr>
                <w:rFonts w:hint="eastAsia" w:ascii="宋体" w:hAnsi="宋体" w:eastAsia="宋体" w:cs="Times New Roman"/>
                <w:sz w:val="21"/>
                <w:szCs w:val="21"/>
                <w:highlight w:val="none"/>
                <w:lang w:val="zh-CN" w:bidi="ar"/>
              </w:rPr>
              <w:t>项认证证书且在有效期内的得</w:t>
            </w:r>
            <w:r>
              <w:rPr>
                <w:rFonts w:hint="eastAsia" w:ascii="宋体" w:hAnsi="宋体" w:eastAsia="宋体" w:cs="Times New Roman"/>
                <w:sz w:val="21"/>
                <w:szCs w:val="21"/>
                <w:highlight w:val="none"/>
                <w:lang w:val="en-US" w:eastAsia="zh-CN" w:bidi="ar"/>
              </w:rPr>
              <w:t>3</w:t>
            </w:r>
            <w:r>
              <w:rPr>
                <w:rFonts w:hint="eastAsia" w:ascii="宋体" w:hAnsi="宋体" w:eastAsia="宋体" w:cs="Times New Roman"/>
                <w:sz w:val="21"/>
                <w:szCs w:val="21"/>
                <w:highlight w:val="none"/>
                <w:lang w:val="zh-CN" w:bidi="ar"/>
              </w:rPr>
              <w:t>分。其他情况不得分。</w:t>
            </w:r>
          </w:p>
          <w:p w14:paraId="095E8D29">
            <w:pPr>
              <w:widowControl/>
              <w:snapToGrid w:val="0"/>
              <w:spacing w:line="280" w:lineRule="exact"/>
              <w:jc w:val="left"/>
              <w:rPr>
                <w:rFonts w:hint="eastAsia" w:ascii="宋体" w:hAnsi="宋体" w:eastAsia="宋体" w:cs="Times New Roman"/>
                <w:sz w:val="21"/>
                <w:szCs w:val="21"/>
                <w:highlight w:val="none"/>
                <w:lang w:val="zh-CN" w:bidi="ar"/>
              </w:rPr>
            </w:pPr>
            <w:r>
              <w:rPr>
                <w:rFonts w:hint="eastAsia" w:ascii="宋体" w:hAnsi="宋体" w:eastAsia="宋体" w:cs="Times New Roman"/>
                <w:sz w:val="21"/>
                <w:szCs w:val="21"/>
                <w:highlight w:val="none"/>
                <w:lang w:val="en-US" w:eastAsia="zh-CN" w:bidi="ar"/>
              </w:rPr>
              <w:t>2、</w:t>
            </w:r>
            <w:r>
              <w:rPr>
                <w:rFonts w:hint="eastAsia" w:ascii="宋体" w:hAnsi="宋体" w:eastAsia="宋体" w:cs="Times New Roman"/>
                <w:sz w:val="21"/>
                <w:szCs w:val="21"/>
                <w:highlight w:val="none"/>
                <w:lang w:val="zh-CN" w:bidi="ar"/>
              </w:rPr>
              <w:t>投标人自2021年1月1日至投标截止日止，获得过省级(或以上)“科技创新企业”类相关证书的，每获得一次得</w:t>
            </w:r>
            <w:r>
              <w:rPr>
                <w:rFonts w:hint="eastAsia" w:ascii="宋体" w:hAnsi="宋体" w:eastAsia="宋体" w:cs="Times New Roman"/>
                <w:sz w:val="21"/>
                <w:szCs w:val="21"/>
                <w:highlight w:val="none"/>
                <w:lang w:val="en-US" w:eastAsia="zh-CN" w:bidi="ar"/>
              </w:rPr>
              <w:t>1.5</w:t>
            </w:r>
            <w:r>
              <w:rPr>
                <w:rFonts w:hint="eastAsia" w:ascii="宋体" w:hAnsi="宋体" w:eastAsia="宋体" w:cs="Times New Roman"/>
                <w:sz w:val="21"/>
                <w:szCs w:val="21"/>
                <w:highlight w:val="none"/>
                <w:lang w:val="zh-CN" w:bidi="ar"/>
              </w:rPr>
              <w:t>分，本</w:t>
            </w:r>
            <w:r>
              <w:rPr>
                <w:rFonts w:hint="eastAsia" w:ascii="宋体" w:hAnsi="宋体" w:eastAsia="宋体" w:cs="Times New Roman"/>
                <w:sz w:val="21"/>
                <w:szCs w:val="21"/>
                <w:highlight w:val="none"/>
                <w:lang w:val="en-US" w:eastAsia="zh-CN" w:bidi="ar"/>
              </w:rPr>
              <w:t>小</w:t>
            </w:r>
            <w:r>
              <w:rPr>
                <w:rFonts w:hint="eastAsia" w:ascii="宋体" w:hAnsi="宋体" w:eastAsia="宋体" w:cs="Times New Roman"/>
                <w:sz w:val="21"/>
                <w:szCs w:val="21"/>
                <w:highlight w:val="none"/>
                <w:lang w:val="zh-CN" w:bidi="ar"/>
              </w:rPr>
              <w:t>项最高得</w:t>
            </w:r>
            <w:r>
              <w:rPr>
                <w:rFonts w:hint="eastAsia" w:ascii="宋体" w:hAnsi="宋体" w:eastAsia="宋体" w:cs="Times New Roman"/>
                <w:sz w:val="21"/>
                <w:szCs w:val="21"/>
                <w:highlight w:val="none"/>
                <w:lang w:val="en-US" w:eastAsia="zh-CN" w:bidi="ar"/>
              </w:rPr>
              <w:t>3</w:t>
            </w:r>
            <w:r>
              <w:rPr>
                <w:rFonts w:hint="eastAsia" w:ascii="宋体" w:hAnsi="宋体" w:eastAsia="宋体" w:cs="Times New Roman"/>
                <w:sz w:val="21"/>
                <w:szCs w:val="21"/>
                <w:highlight w:val="none"/>
                <w:lang w:val="zh-CN" w:bidi="ar"/>
              </w:rPr>
              <w:t>分。</w:t>
            </w:r>
          </w:p>
          <w:p w14:paraId="5C9737AA">
            <w:pPr>
              <w:widowControl/>
              <w:snapToGrid w:val="0"/>
              <w:spacing w:line="280" w:lineRule="exact"/>
              <w:jc w:val="left"/>
              <w:rPr>
                <w:rFonts w:hint="eastAsia" w:ascii="宋体" w:hAnsi="宋体" w:eastAsia="宋体" w:cs="Times New Roman"/>
                <w:sz w:val="21"/>
                <w:szCs w:val="21"/>
                <w:highlight w:val="none"/>
                <w:lang w:val="zh-CN" w:bidi="ar"/>
              </w:rPr>
            </w:pPr>
            <w:r>
              <w:rPr>
                <w:rFonts w:hint="eastAsia" w:ascii="宋体" w:hAnsi="宋体" w:eastAsia="宋体" w:cs="Times New Roman"/>
                <w:sz w:val="21"/>
                <w:szCs w:val="21"/>
                <w:highlight w:val="none"/>
                <w:lang w:val="zh-CN" w:bidi="ar"/>
              </w:rPr>
              <w:t>注：①体系认证证书须是投标人在本项目招标公告发布时间之前获得且在有效期内的才可计算得分，须同时提供在有效期内的证书扫描件和国家认证认可监督管理委员会官方网站（www.cnca.gov.cn）查询页的截图。②科技创新企业相关的荣誉称号须提供网上查询荣誉名单公示或公布截图（须由建设行政主管部门或行业协会或学会颁发）以及荣誉证书的扫描件（证书获奖单位必须与投标单位名称一致，不包含上级公司、子分公司及区域公司），时间以网上查询结果截图或证书载明的年度为准。若颁发单位是行业协会或学会，须同时提供该颁发单位在“中国社会组织公共服务平台”网站(https://chinanpo.mca.gov.cn)登记的查询结果截图，否则该荣誉证书不予认定。不满足上述要求的或未提供相关证明材料的不计分。</w:t>
            </w:r>
          </w:p>
        </w:tc>
      </w:tr>
      <w:tr w14:paraId="3B78DC03">
        <w:tblPrEx>
          <w:tblCellMar>
            <w:top w:w="0" w:type="dxa"/>
            <w:left w:w="108" w:type="dxa"/>
            <w:bottom w:w="0" w:type="dxa"/>
            <w:right w:w="108" w:type="dxa"/>
          </w:tblCellMar>
        </w:tblPrEx>
        <w:trPr>
          <w:cantSplit/>
          <w:trHeight w:val="1031" w:hRule="atLeast"/>
          <w:jc w:val="center"/>
        </w:trPr>
        <w:tc>
          <w:tcPr>
            <w:tcW w:w="290" w:type="pct"/>
            <w:vMerge w:val="restart"/>
            <w:tcBorders>
              <w:top w:val="single" w:color="auto" w:sz="4" w:space="0"/>
              <w:left w:val="single" w:color="auto" w:sz="4" w:space="0"/>
              <w:right w:val="single" w:color="auto" w:sz="4" w:space="0"/>
            </w:tcBorders>
            <w:noWrap w:val="0"/>
            <w:vAlign w:val="center"/>
          </w:tcPr>
          <w:p w14:paraId="61FE52E7">
            <w:pPr>
              <w:spacing w:line="0" w:lineRule="atLeast"/>
              <w:jc w:val="left"/>
              <w:rPr>
                <w:rFonts w:hint="eastAsia" w:ascii="宋体" w:hAnsi="宋体" w:eastAsia="宋体"/>
                <w:szCs w:val="21"/>
                <w:highlight w:val="none"/>
              </w:rPr>
            </w:pPr>
            <w:r>
              <w:rPr>
                <w:rFonts w:hint="eastAsia" w:ascii="宋体" w:hAnsi="宋体" w:eastAsia="宋体"/>
                <w:sz w:val="21"/>
                <w:szCs w:val="21"/>
                <w:highlight w:val="none"/>
              </w:rPr>
              <w:t>三、施工组织设计（50分）</w:t>
            </w:r>
          </w:p>
        </w:tc>
        <w:tc>
          <w:tcPr>
            <w:tcW w:w="586" w:type="pct"/>
            <w:tcBorders>
              <w:top w:val="single" w:color="auto" w:sz="4" w:space="0"/>
              <w:left w:val="single" w:color="auto" w:sz="4" w:space="0"/>
              <w:bottom w:val="single" w:color="auto" w:sz="4" w:space="0"/>
              <w:right w:val="single" w:color="auto" w:sz="4" w:space="0"/>
            </w:tcBorders>
            <w:noWrap w:val="0"/>
            <w:vAlign w:val="center"/>
          </w:tcPr>
          <w:p w14:paraId="095B8D9B">
            <w:pPr>
              <w:widowControl/>
              <w:snapToGrid w:val="0"/>
              <w:spacing w:line="280" w:lineRule="exact"/>
              <w:jc w:val="left"/>
              <w:rPr>
                <w:rFonts w:hint="eastAsia" w:ascii="宋体" w:hAnsi="宋体" w:eastAsia="宋体" w:cs="Times New Roman"/>
                <w:sz w:val="21"/>
                <w:szCs w:val="21"/>
                <w:highlight w:val="none"/>
                <w:lang w:bidi="ar"/>
              </w:rPr>
            </w:pPr>
            <w:r>
              <w:rPr>
                <w:rFonts w:hint="eastAsia" w:ascii="宋体" w:hAnsi="宋体" w:eastAsia="宋体" w:cs="Times New Roman"/>
                <w:sz w:val="21"/>
                <w:szCs w:val="21"/>
                <w:highlight w:val="none"/>
                <w:lang w:val="zh-TW" w:eastAsia="zh-CN" w:bidi="ar"/>
              </w:rPr>
              <w:t>进度控制措施</w:t>
            </w:r>
          </w:p>
        </w:tc>
        <w:tc>
          <w:tcPr>
            <w:tcW w:w="206" w:type="pct"/>
            <w:tcBorders>
              <w:top w:val="single" w:color="auto" w:sz="4" w:space="0"/>
              <w:left w:val="nil"/>
              <w:right w:val="single" w:color="auto" w:sz="4" w:space="0"/>
            </w:tcBorders>
            <w:noWrap w:val="0"/>
            <w:vAlign w:val="center"/>
          </w:tcPr>
          <w:p w14:paraId="5FD72EC4">
            <w:pPr>
              <w:widowControl/>
              <w:snapToGrid w:val="0"/>
              <w:spacing w:line="280" w:lineRule="exact"/>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10</w:t>
            </w:r>
          </w:p>
        </w:tc>
        <w:tc>
          <w:tcPr>
            <w:tcW w:w="3916" w:type="pct"/>
            <w:tcBorders>
              <w:top w:val="single" w:color="auto" w:sz="4" w:space="0"/>
              <w:left w:val="nil"/>
              <w:bottom w:val="single" w:color="auto" w:sz="4" w:space="0"/>
              <w:right w:val="single" w:color="auto" w:sz="4" w:space="0"/>
            </w:tcBorders>
            <w:noWrap w:val="0"/>
            <w:vAlign w:val="center"/>
          </w:tcPr>
          <w:p w14:paraId="28D73F59">
            <w:pPr>
              <w:widowControl/>
              <w:snapToGrid w:val="0"/>
              <w:spacing w:line="280" w:lineRule="exact"/>
              <w:jc w:val="left"/>
              <w:rPr>
                <w:rFonts w:hint="eastAsia" w:ascii="宋体" w:hAnsi="宋体" w:eastAsia="宋体" w:cs="Times New Roman"/>
                <w:sz w:val="21"/>
                <w:szCs w:val="21"/>
                <w:highlight w:val="none"/>
                <w:lang w:val="zh-CN" w:bidi="ar"/>
              </w:rPr>
            </w:pPr>
            <w:r>
              <w:rPr>
                <w:rFonts w:hint="eastAsia" w:ascii="宋体" w:hAnsi="宋体" w:eastAsia="宋体" w:cs="Times New Roman"/>
                <w:sz w:val="21"/>
                <w:szCs w:val="21"/>
                <w:highlight w:val="none"/>
                <w:lang w:val="zh-CN" w:bidi="ar"/>
              </w:rPr>
              <w:t>优：施工工期计划目标对比招标文件要求提前5天或以上完工的，得</w:t>
            </w:r>
            <w:r>
              <w:rPr>
                <w:rFonts w:hint="eastAsia" w:ascii="宋体" w:hAnsi="宋体" w:eastAsia="宋体" w:cs="Times New Roman"/>
                <w:sz w:val="21"/>
                <w:szCs w:val="21"/>
                <w:highlight w:val="none"/>
                <w:lang w:val="en-US" w:eastAsia="zh-CN" w:bidi="ar"/>
              </w:rPr>
              <w:t>10</w:t>
            </w:r>
            <w:r>
              <w:rPr>
                <w:rFonts w:hint="eastAsia" w:ascii="宋体" w:hAnsi="宋体" w:eastAsia="宋体" w:cs="Times New Roman"/>
                <w:sz w:val="21"/>
                <w:szCs w:val="21"/>
                <w:highlight w:val="none"/>
                <w:lang w:val="zh-CN" w:bidi="ar"/>
              </w:rPr>
              <w:t>分；</w:t>
            </w:r>
          </w:p>
          <w:p w14:paraId="755641EE">
            <w:pPr>
              <w:widowControl/>
              <w:snapToGrid w:val="0"/>
              <w:spacing w:line="280" w:lineRule="exact"/>
              <w:jc w:val="left"/>
              <w:rPr>
                <w:rFonts w:hint="eastAsia" w:ascii="宋体" w:hAnsi="宋体" w:eastAsia="宋体" w:cs="Times New Roman"/>
                <w:sz w:val="21"/>
                <w:szCs w:val="21"/>
                <w:highlight w:val="none"/>
                <w:lang w:val="zh-CN" w:bidi="ar"/>
              </w:rPr>
            </w:pPr>
            <w:r>
              <w:rPr>
                <w:rFonts w:hint="eastAsia" w:ascii="宋体" w:hAnsi="宋体" w:eastAsia="宋体" w:cs="Times New Roman"/>
                <w:sz w:val="21"/>
                <w:szCs w:val="21"/>
                <w:highlight w:val="none"/>
                <w:lang w:val="zh-CN" w:bidi="ar"/>
              </w:rPr>
              <w:t>良：施工工期计划目标对比招标文件要求提前1至4天完工的，得</w:t>
            </w:r>
            <w:r>
              <w:rPr>
                <w:rFonts w:hint="eastAsia" w:ascii="宋体" w:hAnsi="宋体" w:eastAsia="宋体" w:cs="Times New Roman"/>
                <w:sz w:val="21"/>
                <w:szCs w:val="21"/>
                <w:highlight w:val="none"/>
                <w:lang w:val="en-US" w:eastAsia="zh-CN" w:bidi="ar"/>
              </w:rPr>
              <w:t>5</w:t>
            </w:r>
            <w:r>
              <w:rPr>
                <w:rFonts w:hint="eastAsia" w:ascii="宋体" w:hAnsi="宋体" w:eastAsia="宋体" w:cs="Times New Roman"/>
                <w:sz w:val="21"/>
                <w:szCs w:val="21"/>
                <w:highlight w:val="none"/>
                <w:lang w:val="zh-CN" w:bidi="ar"/>
              </w:rPr>
              <w:t>分；</w:t>
            </w:r>
          </w:p>
          <w:p w14:paraId="2726C962">
            <w:pPr>
              <w:widowControl/>
              <w:snapToGrid w:val="0"/>
              <w:spacing w:line="280" w:lineRule="exact"/>
              <w:jc w:val="left"/>
              <w:rPr>
                <w:rFonts w:hint="eastAsia" w:ascii="宋体" w:hAnsi="宋体" w:eastAsia="宋体" w:cs="Times New Roman"/>
                <w:sz w:val="21"/>
                <w:szCs w:val="21"/>
                <w:highlight w:val="none"/>
                <w:lang w:val="zh-CN" w:bidi="ar"/>
              </w:rPr>
            </w:pPr>
            <w:r>
              <w:rPr>
                <w:rFonts w:hint="eastAsia" w:ascii="宋体" w:hAnsi="宋体" w:eastAsia="宋体" w:cs="Times New Roman"/>
                <w:sz w:val="21"/>
                <w:szCs w:val="21"/>
                <w:highlight w:val="none"/>
                <w:lang w:val="zh-CN" w:bidi="ar"/>
              </w:rPr>
              <w:t>中：施工工期计划目标符合招标文件要求的，得2分；</w:t>
            </w:r>
          </w:p>
          <w:p w14:paraId="593C5A4D">
            <w:pPr>
              <w:widowControl/>
              <w:snapToGrid w:val="0"/>
              <w:spacing w:line="280" w:lineRule="exact"/>
              <w:jc w:val="left"/>
              <w:rPr>
                <w:rFonts w:hint="eastAsia"/>
                <w:highlight w:val="none"/>
              </w:rPr>
            </w:pPr>
            <w:r>
              <w:rPr>
                <w:rFonts w:hint="eastAsia" w:ascii="宋体" w:hAnsi="宋体" w:eastAsia="宋体" w:cs="Times New Roman"/>
                <w:sz w:val="21"/>
                <w:szCs w:val="21"/>
                <w:highlight w:val="none"/>
                <w:lang w:val="zh-CN" w:bidi="ar"/>
              </w:rPr>
              <w:t>差：不满足前述要求的，得0分。</w:t>
            </w:r>
          </w:p>
        </w:tc>
      </w:tr>
      <w:tr w14:paraId="63BD8887">
        <w:tblPrEx>
          <w:tblCellMar>
            <w:top w:w="0" w:type="dxa"/>
            <w:left w:w="108" w:type="dxa"/>
            <w:bottom w:w="0" w:type="dxa"/>
            <w:right w:w="108" w:type="dxa"/>
          </w:tblCellMar>
        </w:tblPrEx>
        <w:trPr>
          <w:cantSplit/>
          <w:trHeight w:val="1031" w:hRule="atLeast"/>
          <w:jc w:val="center"/>
        </w:trPr>
        <w:tc>
          <w:tcPr>
            <w:tcW w:w="290" w:type="pct"/>
            <w:vMerge w:val="continue"/>
            <w:tcBorders>
              <w:left w:val="single" w:color="auto" w:sz="4" w:space="0"/>
              <w:right w:val="single" w:color="auto" w:sz="4" w:space="0"/>
            </w:tcBorders>
            <w:noWrap w:val="0"/>
            <w:vAlign w:val="center"/>
          </w:tcPr>
          <w:p w14:paraId="4B685594">
            <w:pPr>
              <w:spacing w:line="0" w:lineRule="atLeast"/>
              <w:jc w:val="left"/>
              <w:rPr>
                <w:rFonts w:hint="eastAsia" w:ascii="宋体" w:hAnsi="宋体" w:eastAsia="宋体"/>
                <w:sz w:val="21"/>
                <w:szCs w:val="21"/>
                <w:highlight w:val="none"/>
              </w:rPr>
            </w:pPr>
          </w:p>
        </w:tc>
        <w:tc>
          <w:tcPr>
            <w:tcW w:w="586" w:type="pct"/>
            <w:tcBorders>
              <w:top w:val="single" w:color="auto" w:sz="4" w:space="0"/>
              <w:left w:val="single" w:color="auto" w:sz="4" w:space="0"/>
              <w:bottom w:val="single" w:color="auto" w:sz="4" w:space="0"/>
              <w:right w:val="single" w:color="auto" w:sz="4" w:space="0"/>
            </w:tcBorders>
            <w:noWrap w:val="0"/>
            <w:vAlign w:val="center"/>
          </w:tcPr>
          <w:p w14:paraId="516CE165">
            <w:pPr>
              <w:widowControl/>
              <w:snapToGrid w:val="0"/>
              <w:spacing w:line="280" w:lineRule="exact"/>
              <w:jc w:val="left"/>
              <w:rPr>
                <w:rFonts w:hint="eastAsia" w:ascii="宋体" w:hAnsi="宋体" w:eastAsia="宋体" w:cs="Times New Roman"/>
                <w:sz w:val="21"/>
                <w:szCs w:val="21"/>
                <w:highlight w:val="none"/>
                <w:lang w:bidi="ar"/>
              </w:rPr>
            </w:pPr>
            <w:r>
              <w:rPr>
                <w:rFonts w:hint="eastAsia" w:ascii="宋体" w:hAnsi="宋体" w:eastAsia="宋体" w:cs="Times New Roman"/>
                <w:sz w:val="21"/>
                <w:szCs w:val="21"/>
                <w:highlight w:val="none"/>
                <w:lang w:bidi="ar"/>
              </w:rPr>
              <w:t>质量管理保证措施</w:t>
            </w:r>
          </w:p>
        </w:tc>
        <w:tc>
          <w:tcPr>
            <w:tcW w:w="206" w:type="pct"/>
            <w:tcBorders>
              <w:top w:val="single" w:color="auto" w:sz="4" w:space="0"/>
              <w:left w:val="nil"/>
              <w:right w:val="single" w:color="auto" w:sz="4" w:space="0"/>
            </w:tcBorders>
            <w:noWrap w:val="0"/>
            <w:vAlign w:val="center"/>
          </w:tcPr>
          <w:p w14:paraId="1910F75C">
            <w:pPr>
              <w:widowControl/>
              <w:snapToGrid w:val="0"/>
              <w:spacing w:line="280" w:lineRule="exact"/>
              <w:jc w:val="center"/>
              <w:rPr>
                <w:rFonts w:hint="default" w:ascii="宋体" w:hAnsi="宋体" w:eastAsia="宋体"/>
                <w:sz w:val="21"/>
                <w:szCs w:val="21"/>
                <w:highlight w:val="none"/>
                <w:lang w:val="en-US" w:eastAsia="zh-CN" w:bidi="ar"/>
              </w:rPr>
            </w:pPr>
            <w:r>
              <w:rPr>
                <w:rFonts w:hint="eastAsia" w:ascii="宋体" w:hAnsi="宋体"/>
                <w:sz w:val="21"/>
                <w:szCs w:val="21"/>
                <w:highlight w:val="none"/>
                <w:lang w:val="en-US" w:eastAsia="zh-CN" w:bidi="ar"/>
              </w:rPr>
              <w:t>10</w:t>
            </w:r>
          </w:p>
        </w:tc>
        <w:tc>
          <w:tcPr>
            <w:tcW w:w="3916" w:type="pct"/>
            <w:tcBorders>
              <w:top w:val="single" w:color="auto" w:sz="4" w:space="0"/>
              <w:left w:val="nil"/>
              <w:bottom w:val="single" w:color="auto" w:sz="4" w:space="0"/>
              <w:right w:val="single" w:color="auto" w:sz="4" w:space="0"/>
            </w:tcBorders>
            <w:noWrap w:val="0"/>
            <w:vAlign w:val="center"/>
          </w:tcPr>
          <w:p w14:paraId="032CF6E9">
            <w:pPr>
              <w:widowControl/>
              <w:snapToGrid w:val="0"/>
              <w:spacing w:line="280" w:lineRule="exact"/>
              <w:jc w:val="left"/>
              <w:rPr>
                <w:rFonts w:hint="eastAsia" w:ascii="宋体" w:hAnsi="宋体" w:eastAsia="宋体" w:cs="Times New Roman"/>
                <w:sz w:val="21"/>
                <w:szCs w:val="21"/>
                <w:highlight w:val="none"/>
                <w:lang w:val="zh-CN" w:bidi="ar"/>
              </w:rPr>
            </w:pPr>
            <w:r>
              <w:rPr>
                <w:rFonts w:hint="eastAsia" w:ascii="宋体" w:hAnsi="宋体" w:eastAsia="宋体" w:cs="Times New Roman"/>
                <w:sz w:val="21"/>
                <w:szCs w:val="21"/>
                <w:highlight w:val="none"/>
                <w:lang w:val="zh-CN" w:bidi="ar"/>
              </w:rPr>
              <w:t>优：有制定质量管理保证措施，措施内容包括施工质量目标、材料选用及进场质量验收措施、施工工艺质量保证措施及施工组织管理质量保证措施，得</w:t>
            </w:r>
            <w:r>
              <w:rPr>
                <w:rFonts w:hint="eastAsia" w:ascii="宋体" w:hAnsi="宋体" w:eastAsia="宋体" w:cs="Times New Roman"/>
                <w:sz w:val="21"/>
                <w:szCs w:val="21"/>
                <w:highlight w:val="none"/>
                <w:lang w:val="en-US" w:eastAsia="zh-CN" w:bidi="ar"/>
              </w:rPr>
              <w:t>10</w:t>
            </w:r>
            <w:r>
              <w:rPr>
                <w:rFonts w:hint="eastAsia" w:ascii="宋体" w:hAnsi="宋体" w:eastAsia="宋体" w:cs="Times New Roman"/>
                <w:sz w:val="21"/>
                <w:szCs w:val="21"/>
                <w:highlight w:val="none"/>
                <w:lang w:val="zh-CN" w:bidi="ar"/>
              </w:rPr>
              <w:t>分。</w:t>
            </w:r>
          </w:p>
          <w:p w14:paraId="6E480E76">
            <w:pPr>
              <w:widowControl/>
              <w:snapToGrid w:val="0"/>
              <w:spacing w:line="280" w:lineRule="exact"/>
              <w:jc w:val="left"/>
              <w:rPr>
                <w:rFonts w:hint="eastAsia" w:ascii="宋体" w:hAnsi="宋体" w:eastAsia="宋体" w:cs="Times New Roman"/>
                <w:sz w:val="21"/>
                <w:szCs w:val="21"/>
                <w:highlight w:val="none"/>
                <w:lang w:val="zh-CN" w:bidi="ar"/>
              </w:rPr>
            </w:pPr>
            <w:r>
              <w:rPr>
                <w:rFonts w:hint="eastAsia" w:ascii="宋体" w:hAnsi="宋体" w:eastAsia="宋体" w:cs="Times New Roman"/>
                <w:sz w:val="21"/>
                <w:szCs w:val="21"/>
                <w:highlight w:val="none"/>
                <w:lang w:val="zh-CN" w:bidi="ar"/>
              </w:rPr>
              <w:t>良：有制定质量管理保证措施，措施内容包括施工质量目标、材料选用及进场质量验收措施、施工工艺质量保证措施，得</w:t>
            </w:r>
            <w:r>
              <w:rPr>
                <w:rFonts w:hint="eastAsia" w:ascii="宋体" w:hAnsi="宋体" w:eastAsia="宋体" w:cs="Times New Roman"/>
                <w:sz w:val="21"/>
                <w:szCs w:val="21"/>
                <w:highlight w:val="none"/>
                <w:lang w:val="en-US" w:eastAsia="zh-CN" w:bidi="ar"/>
              </w:rPr>
              <w:t>5</w:t>
            </w:r>
            <w:r>
              <w:rPr>
                <w:rFonts w:hint="eastAsia" w:ascii="宋体" w:hAnsi="宋体" w:eastAsia="宋体" w:cs="Times New Roman"/>
                <w:sz w:val="21"/>
                <w:szCs w:val="21"/>
                <w:highlight w:val="none"/>
                <w:lang w:val="zh-CN" w:bidi="ar"/>
              </w:rPr>
              <w:t>分。</w:t>
            </w:r>
          </w:p>
          <w:p w14:paraId="70ACE139">
            <w:pPr>
              <w:widowControl/>
              <w:snapToGrid w:val="0"/>
              <w:spacing w:line="280" w:lineRule="exact"/>
              <w:jc w:val="left"/>
              <w:rPr>
                <w:rFonts w:hint="eastAsia" w:ascii="宋体" w:hAnsi="宋体" w:eastAsia="宋体" w:cs="Times New Roman"/>
                <w:sz w:val="21"/>
                <w:szCs w:val="21"/>
                <w:highlight w:val="none"/>
                <w:lang w:val="zh-CN" w:bidi="ar"/>
              </w:rPr>
            </w:pPr>
            <w:r>
              <w:rPr>
                <w:rFonts w:hint="eastAsia" w:ascii="宋体" w:hAnsi="宋体" w:eastAsia="宋体" w:cs="Times New Roman"/>
                <w:sz w:val="21"/>
                <w:szCs w:val="21"/>
                <w:highlight w:val="none"/>
                <w:lang w:val="zh-CN" w:bidi="ar"/>
              </w:rPr>
              <w:t>中：有制定质量管理保证措施，措施内容包括施工质量目标、施工工艺质量保证措施，得2分。</w:t>
            </w:r>
          </w:p>
          <w:p w14:paraId="3D31B63A">
            <w:pPr>
              <w:widowControl/>
              <w:snapToGrid w:val="0"/>
              <w:spacing w:line="280" w:lineRule="exact"/>
              <w:jc w:val="left"/>
              <w:rPr>
                <w:rFonts w:hint="eastAsia" w:ascii="宋体" w:hAnsi="宋体" w:eastAsia="宋体" w:cs="Times New Roman"/>
                <w:sz w:val="21"/>
                <w:szCs w:val="21"/>
                <w:highlight w:val="none"/>
                <w:lang w:bidi="ar"/>
              </w:rPr>
            </w:pPr>
            <w:r>
              <w:rPr>
                <w:rFonts w:hint="eastAsia" w:ascii="宋体" w:hAnsi="宋体" w:eastAsia="宋体" w:cs="Times New Roman"/>
                <w:sz w:val="21"/>
                <w:szCs w:val="21"/>
                <w:highlight w:val="none"/>
                <w:lang w:val="zh-CN" w:bidi="ar"/>
              </w:rPr>
              <w:t>差：不满足前述要求的，得0分。</w:t>
            </w:r>
          </w:p>
        </w:tc>
      </w:tr>
      <w:tr w14:paraId="10EE63C8">
        <w:tblPrEx>
          <w:tblCellMar>
            <w:top w:w="0" w:type="dxa"/>
            <w:left w:w="108" w:type="dxa"/>
            <w:bottom w:w="0" w:type="dxa"/>
            <w:right w:w="108" w:type="dxa"/>
          </w:tblCellMar>
        </w:tblPrEx>
        <w:trPr>
          <w:cantSplit/>
          <w:trHeight w:val="1031" w:hRule="atLeast"/>
          <w:jc w:val="center"/>
        </w:trPr>
        <w:tc>
          <w:tcPr>
            <w:tcW w:w="290" w:type="pct"/>
            <w:vMerge w:val="continue"/>
            <w:tcBorders>
              <w:left w:val="single" w:color="auto" w:sz="4" w:space="0"/>
              <w:right w:val="single" w:color="auto" w:sz="4" w:space="0"/>
            </w:tcBorders>
            <w:noWrap w:val="0"/>
            <w:vAlign w:val="center"/>
          </w:tcPr>
          <w:p w14:paraId="57F14A51">
            <w:pPr>
              <w:spacing w:line="0" w:lineRule="atLeast"/>
              <w:jc w:val="left"/>
              <w:rPr>
                <w:rFonts w:hint="eastAsia" w:ascii="宋体" w:hAnsi="宋体" w:eastAsia="宋体"/>
                <w:sz w:val="21"/>
                <w:szCs w:val="21"/>
                <w:highlight w:val="none"/>
              </w:rPr>
            </w:pPr>
          </w:p>
        </w:tc>
        <w:tc>
          <w:tcPr>
            <w:tcW w:w="586" w:type="pct"/>
            <w:tcBorders>
              <w:top w:val="single" w:color="auto" w:sz="4" w:space="0"/>
              <w:left w:val="single" w:color="auto" w:sz="4" w:space="0"/>
              <w:bottom w:val="single" w:color="auto" w:sz="4" w:space="0"/>
              <w:right w:val="single" w:color="auto" w:sz="4" w:space="0"/>
            </w:tcBorders>
            <w:noWrap w:val="0"/>
            <w:vAlign w:val="center"/>
          </w:tcPr>
          <w:p w14:paraId="57D26354">
            <w:pPr>
              <w:widowControl/>
              <w:snapToGrid w:val="0"/>
              <w:spacing w:line="280" w:lineRule="exact"/>
              <w:jc w:val="left"/>
              <w:rPr>
                <w:rFonts w:hint="eastAsia" w:ascii="宋体" w:hAnsi="宋体" w:eastAsia="宋体" w:cs="Times New Roman"/>
                <w:sz w:val="21"/>
                <w:szCs w:val="21"/>
                <w:highlight w:val="none"/>
                <w:lang w:bidi="ar"/>
              </w:rPr>
            </w:pPr>
            <w:r>
              <w:rPr>
                <w:rFonts w:hint="eastAsia" w:ascii="宋体" w:hAnsi="宋体" w:eastAsia="宋体" w:cs="Times New Roman"/>
                <w:sz w:val="21"/>
                <w:szCs w:val="21"/>
                <w:highlight w:val="none"/>
                <w:lang w:val="en-US" w:eastAsia="zh-CN" w:bidi="ar"/>
              </w:rPr>
              <w:t>安全文明施工措施</w:t>
            </w:r>
          </w:p>
        </w:tc>
        <w:tc>
          <w:tcPr>
            <w:tcW w:w="206" w:type="pct"/>
            <w:tcBorders>
              <w:top w:val="single" w:color="auto" w:sz="4" w:space="0"/>
              <w:left w:val="nil"/>
              <w:right w:val="single" w:color="auto" w:sz="4" w:space="0"/>
            </w:tcBorders>
            <w:noWrap w:val="0"/>
            <w:vAlign w:val="center"/>
          </w:tcPr>
          <w:p w14:paraId="4A7BDA41">
            <w:pPr>
              <w:widowControl/>
              <w:snapToGrid w:val="0"/>
              <w:spacing w:line="280" w:lineRule="exact"/>
              <w:jc w:val="center"/>
              <w:rPr>
                <w:rFonts w:hint="default" w:ascii="宋体" w:hAnsi="宋体" w:eastAsia="宋体"/>
                <w:sz w:val="21"/>
                <w:szCs w:val="21"/>
                <w:highlight w:val="none"/>
                <w:lang w:val="en-US" w:eastAsia="zh-CN" w:bidi="ar"/>
              </w:rPr>
            </w:pPr>
            <w:r>
              <w:rPr>
                <w:rFonts w:hint="eastAsia" w:ascii="宋体" w:hAnsi="宋体"/>
                <w:sz w:val="21"/>
                <w:szCs w:val="21"/>
                <w:highlight w:val="none"/>
                <w:lang w:val="en-US" w:eastAsia="zh-CN" w:bidi="ar"/>
              </w:rPr>
              <w:t>10</w:t>
            </w:r>
          </w:p>
        </w:tc>
        <w:tc>
          <w:tcPr>
            <w:tcW w:w="3916" w:type="pct"/>
            <w:tcBorders>
              <w:top w:val="single" w:color="auto" w:sz="4" w:space="0"/>
              <w:left w:val="nil"/>
              <w:bottom w:val="single" w:color="auto" w:sz="4" w:space="0"/>
              <w:right w:val="single" w:color="auto" w:sz="4" w:space="0"/>
            </w:tcBorders>
            <w:noWrap w:val="0"/>
            <w:vAlign w:val="center"/>
          </w:tcPr>
          <w:p w14:paraId="157AB924">
            <w:pPr>
              <w:widowControl/>
              <w:snapToGrid w:val="0"/>
              <w:spacing w:line="280" w:lineRule="exact"/>
              <w:jc w:val="left"/>
              <w:rPr>
                <w:rFonts w:hint="eastAsia" w:ascii="宋体" w:hAnsi="宋体" w:eastAsia="宋体" w:cs="Times New Roman"/>
                <w:sz w:val="21"/>
                <w:szCs w:val="21"/>
                <w:highlight w:val="none"/>
                <w:lang w:val="zh-CN" w:bidi="ar"/>
              </w:rPr>
            </w:pPr>
            <w:r>
              <w:rPr>
                <w:rFonts w:hint="eastAsia" w:ascii="宋体" w:hAnsi="宋体" w:eastAsia="宋体" w:cs="Times New Roman"/>
                <w:sz w:val="21"/>
                <w:szCs w:val="21"/>
                <w:highlight w:val="none"/>
                <w:lang w:val="zh-CN" w:bidi="ar"/>
              </w:rPr>
              <w:t>优：有制定安全文明施工措施，措施内容包括安全文明施工目标、安全文明施工保证体系、安全文明施工保证措施及施工安全保障方案，得</w:t>
            </w:r>
            <w:r>
              <w:rPr>
                <w:rFonts w:hint="eastAsia" w:ascii="宋体" w:hAnsi="宋体" w:eastAsia="宋体" w:cs="Times New Roman"/>
                <w:sz w:val="21"/>
                <w:szCs w:val="21"/>
                <w:highlight w:val="none"/>
                <w:lang w:val="en-US" w:eastAsia="zh-CN" w:bidi="ar"/>
              </w:rPr>
              <w:t>10</w:t>
            </w:r>
            <w:r>
              <w:rPr>
                <w:rFonts w:hint="eastAsia" w:ascii="宋体" w:hAnsi="宋体" w:eastAsia="宋体" w:cs="Times New Roman"/>
                <w:sz w:val="21"/>
                <w:szCs w:val="21"/>
                <w:highlight w:val="none"/>
                <w:lang w:val="zh-CN" w:bidi="ar"/>
              </w:rPr>
              <w:t>分。</w:t>
            </w:r>
          </w:p>
          <w:p w14:paraId="1DFBB730">
            <w:pPr>
              <w:widowControl/>
              <w:snapToGrid w:val="0"/>
              <w:spacing w:line="280" w:lineRule="exact"/>
              <w:jc w:val="left"/>
              <w:rPr>
                <w:rFonts w:hint="eastAsia" w:ascii="宋体" w:hAnsi="宋体" w:eastAsia="宋体" w:cs="Times New Roman"/>
                <w:sz w:val="21"/>
                <w:szCs w:val="21"/>
                <w:highlight w:val="none"/>
                <w:lang w:val="zh-CN" w:bidi="ar"/>
              </w:rPr>
            </w:pPr>
            <w:r>
              <w:rPr>
                <w:rFonts w:hint="eastAsia" w:ascii="宋体" w:hAnsi="宋体" w:eastAsia="宋体" w:cs="Times New Roman"/>
                <w:sz w:val="21"/>
                <w:szCs w:val="21"/>
                <w:highlight w:val="none"/>
                <w:lang w:val="zh-CN" w:bidi="ar"/>
              </w:rPr>
              <w:t>良：有制定安全文明施工措施，措施内容包括安全文明施工目标、安全文明施工保证体系，安全文明施工保证措施，得</w:t>
            </w:r>
            <w:r>
              <w:rPr>
                <w:rFonts w:hint="eastAsia" w:ascii="宋体" w:hAnsi="宋体" w:eastAsia="宋体" w:cs="Times New Roman"/>
                <w:sz w:val="21"/>
                <w:szCs w:val="21"/>
                <w:highlight w:val="none"/>
                <w:lang w:val="en-US" w:eastAsia="zh-CN" w:bidi="ar"/>
              </w:rPr>
              <w:t>5</w:t>
            </w:r>
            <w:r>
              <w:rPr>
                <w:rFonts w:hint="eastAsia" w:ascii="宋体" w:hAnsi="宋体" w:eastAsia="宋体" w:cs="Times New Roman"/>
                <w:sz w:val="21"/>
                <w:szCs w:val="21"/>
                <w:highlight w:val="none"/>
                <w:lang w:val="zh-CN" w:bidi="ar"/>
              </w:rPr>
              <w:t>分。</w:t>
            </w:r>
          </w:p>
          <w:p w14:paraId="699A639B">
            <w:pPr>
              <w:widowControl/>
              <w:snapToGrid w:val="0"/>
              <w:spacing w:line="280" w:lineRule="exact"/>
              <w:jc w:val="left"/>
              <w:rPr>
                <w:rFonts w:hint="eastAsia" w:ascii="宋体" w:hAnsi="宋体" w:eastAsia="宋体" w:cs="Times New Roman"/>
                <w:sz w:val="21"/>
                <w:szCs w:val="21"/>
                <w:highlight w:val="none"/>
                <w:lang w:val="zh-CN" w:bidi="ar"/>
              </w:rPr>
            </w:pPr>
            <w:r>
              <w:rPr>
                <w:rFonts w:hint="eastAsia" w:ascii="宋体" w:hAnsi="宋体" w:eastAsia="宋体" w:cs="Times New Roman"/>
                <w:sz w:val="21"/>
                <w:szCs w:val="21"/>
                <w:highlight w:val="none"/>
                <w:lang w:val="zh-CN" w:bidi="ar"/>
              </w:rPr>
              <w:t>中：有制定安全文明施工措施，措施内容包括安全文明施工目标，安全、文明施工保证措施，得2分。</w:t>
            </w:r>
          </w:p>
          <w:p w14:paraId="7750649F">
            <w:pPr>
              <w:widowControl/>
              <w:snapToGrid w:val="0"/>
              <w:spacing w:line="280" w:lineRule="exact"/>
              <w:jc w:val="left"/>
              <w:rPr>
                <w:rFonts w:hint="eastAsia" w:ascii="宋体" w:hAnsi="宋体" w:eastAsia="宋体" w:cs="Times New Roman"/>
                <w:sz w:val="21"/>
                <w:szCs w:val="21"/>
                <w:highlight w:val="none"/>
                <w:lang w:bidi="ar"/>
              </w:rPr>
            </w:pPr>
            <w:r>
              <w:rPr>
                <w:rFonts w:hint="eastAsia" w:ascii="宋体" w:hAnsi="宋体" w:eastAsia="宋体" w:cs="Times New Roman"/>
                <w:sz w:val="21"/>
                <w:szCs w:val="21"/>
                <w:highlight w:val="none"/>
                <w:lang w:val="zh-CN" w:bidi="ar"/>
              </w:rPr>
              <w:t>差：不满足前述要求的，得0分。</w:t>
            </w:r>
          </w:p>
        </w:tc>
      </w:tr>
      <w:tr w14:paraId="10B8ADAA">
        <w:tblPrEx>
          <w:tblCellMar>
            <w:top w:w="0" w:type="dxa"/>
            <w:left w:w="108" w:type="dxa"/>
            <w:bottom w:w="0" w:type="dxa"/>
            <w:right w:w="108" w:type="dxa"/>
          </w:tblCellMar>
        </w:tblPrEx>
        <w:trPr>
          <w:cantSplit/>
          <w:trHeight w:val="1031" w:hRule="atLeast"/>
          <w:jc w:val="center"/>
        </w:trPr>
        <w:tc>
          <w:tcPr>
            <w:tcW w:w="290" w:type="pct"/>
            <w:vMerge w:val="continue"/>
            <w:tcBorders>
              <w:left w:val="single" w:color="auto" w:sz="4" w:space="0"/>
              <w:right w:val="single" w:color="auto" w:sz="4" w:space="0"/>
            </w:tcBorders>
            <w:noWrap w:val="0"/>
            <w:vAlign w:val="center"/>
          </w:tcPr>
          <w:p w14:paraId="5C4EEEE3">
            <w:pPr>
              <w:spacing w:line="0" w:lineRule="atLeast"/>
              <w:jc w:val="left"/>
              <w:rPr>
                <w:rFonts w:hint="eastAsia" w:ascii="宋体" w:hAnsi="宋体" w:eastAsia="宋体"/>
                <w:sz w:val="21"/>
                <w:szCs w:val="21"/>
                <w:highlight w:val="none"/>
              </w:rPr>
            </w:pPr>
          </w:p>
        </w:tc>
        <w:tc>
          <w:tcPr>
            <w:tcW w:w="586" w:type="pct"/>
            <w:tcBorders>
              <w:top w:val="single" w:color="auto" w:sz="4" w:space="0"/>
              <w:left w:val="single" w:color="auto" w:sz="4" w:space="0"/>
              <w:bottom w:val="single" w:color="auto" w:sz="4" w:space="0"/>
              <w:right w:val="single" w:color="auto" w:sz="4" w:space="0"/>
            </w:tcBorders>
            <w:noWrap w:val="0"/>
            <w:vAlign w:val="center"/>
          </w:tcPr>
          <w:p w14:paraId="2C3FAFFB">
            <w:pPr>
              <w:widowControl/>
              <w:snapToGrid w:val="0"/>
              <w:spacing w:line="280" w:lineRule="exact"/>
              <w:jc w:val="left"/>
              <w:rPr>
                <w:rFonts w:hint="eastAsia" w:ascii="宋体" w:hAnsi="宋体" w:eastAsia="宋体" w:cs="Times New Roman"/>
                <w:sz w:val="21"/>
                <w:szCs w:val="21"/>
                <w:highlight w:val="none"/>
                <w:lang w:val="en-US" w:eastAsia="zh-CN" w:bidi="ar"/>
              </w:rPr>
            </w:pPr>
            <w:r>
              <w:rPr>
                <w:rFonts w:hint="eastAsia" w:ascii="宋体" w:hAnsi="宋体" w:eastAsia="宋体" w:cs="Times New Roman"/>
                <w:sz w:val="21"/>
                <w:szCs w:val="21"/>
                <w:highlight w:val="none"/>
                <w:lang w:val="zh-TW" w:eastAsia="zh-CN" w:bidi="ar"/>
              </w:rPr>
              <w:t>绿色节能控制措施</w:t>
            </w:r>
          </w:p>
        </w:tc>
        <w:tc>
          <w:tcPr>
            <w:tcW w:w="206" w:type="pct"/>
            <w:tcBorders>
              <w:top w:val="single" w:color="auto" w:sz="4" w:space="0"/>
              <w:left w:val="nil"/>
              <w:right w:val="single" w:color="auto" w:sz="4" w:space="0"/>
            </w:tcBorders>
            <w:noWrap w:val="0"/>
            <w:vAlign w:val="center"/>
          </w:tcPr>
          <w:p w14:paraId="67858257">
            <w:pPr>
              <w:widowControl/>
              <w:snapToGrid w:val="0"/>
              <w:spacing w:line="280" w:lineRule="exact"/>
              <w:jc w:val="center"/>
              <w:rPr>
                <w:rFonts w:hint="default" w:ascii="宋体" w:hAnsi="宋体" w:eastAsia="宋体"/>
                <w:sz w:val="21"/>
                <w:szCs w:val="21"/>
                <w:highlight w:val="none"/>
                <w:lang w:val="en-US" w:eastAsia="zh-CN" w:bidi="ar"/>
              </w:rPr>
            </w:pPr>
            <w:r>
              <w:rPr>
                <w:rFonts w:hint="eastAsia" w:ascii="宋体" w:hAnsi="宋体"/>
                <w:sz w:val="21"/>
                <w:szCs w:val="21"/>
                <w:highlight w:val="none"/>
                <w:lang w:val="en-US" w:eastAsia="zh-CN" w:bidi="ar"/>
              </w:rPr>
              <w:t>10</w:t>
            </w:r>
          </w:p>
        </w:tc>
        <w:tc>
          <w:tcPr>
            <w:tcW w:w="3916" w:type="pct"/>
            <w:tcBorders>
              <w:top w:val="single" w:color="auto" w:sz="4" w:space="0"/>
              <w:left w:val="nil"/>
              <w:bottom w:val="single" w:color="auto" w:sz="4" w:space="0"/>
              <w:right w:val="single" w:color="auto" w:sz="4" w:space="0"/>
            </w:tcBorders>
            <w:noWrap w:val="0"/>
            <w:vAlign w:val="center"/>
          </w:tcPr>
          <w:p w14:paraId="368B0E1A">
            <w:pPr>
              <w:widowControl/>
              <w:snapToGrid w:val="0"/>
              <w:spacing w:line="280" w:lineRule="exact"/>
              <w:jc w:val="left"/>
              <w:rPr>
                <w:rFonts w:hint="eastAsia" w:ascii="宋体" w:hAnsi="宋体" w:eastAsia="宋体" w:cs="Times New Roman"/>
                <w:sz w:val="21"/>
                <w:szCs w:val="21"/>
                <w:highlight w:val="none"/>
                <w:lang w:val="zh-CN" w:bidi="ar"/>
              </w:rPr>
            </w:pPr>
            <w:r>
              <w:rPr>
                <w:rFonts w:hint="eastAsia" w:ascii="宋体" w:hAnsi="宋体" w:eastAsia="宋体" w:cs="Times New Roman"/>
                <w:sz w:val="21"/>
                <w:szCs w:val="21"/>
                <w:highlight w:val="none"/>
                <w:lang w:val="zh-CN" w:bidi="ar"/>
              </w:rPr>
              <w:t>优：有绿色节能控制措施，内容有总则、绿色节能控制措施、材料消耗控制措施、建筑废弃物的循序使用措施的，得</w:t>
            </w:r>
            <w:r>
              <w:rPr>
                <w:rFonts w:hint="eastAsia" w:ascii="宋体" w:hAnsi="宋体" w:eastAsia="宋体" w:cs="Times New Roman"/>
                <w:sz w:val="21"/>
                <w:szCs w:val="21"/>
                <w:highlight w:val="none"/>
                <w:lang w:val="en-US" w:eastAsia="zh-CN" w:bidi="ar"/>
              </w:rPr>
              <w:t>10</w:t>
            </w:r>
            <w:r>
              <w:rPr>
                <w:rFonts w:hint="eastAsia" w:ascii="宋体" w:hAnsi="宋体" w:eastAsia="宋体" w:cs="Times New Roman"/>
                <w:sz w:val="21"/>
                <w:szCs w:val="21"/>
                <w:highlight w:val="none"/>
                <w:lang w:val="zh-CN" w:bidi="ar"/>
              </w:rPr>
              <w:t>分；</w:t>
            </w:r>
          </w:p>
          <w:p w14:paraId="1DE646F6">
            <w:pPr>
              <w:widowControl/>
              <w:snapToGrid w:val="0"/>
              <w:spacing w:line="280" w:lineRule="exact"/>
              <w:jc w:val="left"/>
              <w:rPr>
                <w:rFonts w:hint="eastAsia" w:ascii="宋体" w:hAnsi="宋体" w:eastAsia="宋体" w:cs="Times New Roman"/>
                <w:sz w:val="21"/>
                <w:szCs w:val="21"/>
                <w:highlight w:val="none"/>
                <w:lang w:val="zh-CN" w:bidi="ar"/>
              </w:rPr>
            </w:pPr>
            <w:r>
              <w:rPr>
                <w:rFonts w:hint="eastAsia" w:ascii="宋体" w:hAnsi="宋体" w:eastAsia="宋体" w:cs="Times New Roman"/>
                <w:sz w:val="21"/>
                <w:szCs w:val="21"/>
                <w:highlight w:val="none"/>
                <w:lang w:val="zh-CN" w:bidi="ar"/>
              </w:rPr>
              <w:t>良：有绿色节能控制措施，内容有总则、绿色节能控制措施、材料消耗控制措施的，得</w:t>
            </w:r>
            <w:r>
              <w:rPr>
                <w:rFonts w:hint="eastAsia" w:ascii="宋体" w:hAnsi="宋体" w:eastAsia="宋体" w:cs="Times New Roman"/>
                <w:sz w:val="21"/>
                <w:szCs w:val="21"/>
                <w:highlight w:val="none"/>
                <w:lang w:val="en-US" w:eastAsia="zh-CN" w:bidi="ar"/>
              </w:rPr>
              <w:t>5</w:t>
            </w:r>
            <w:r>
              <w:rPr>
                <w:rFonts w:hint="eastAsia" w:ascii="宋体" w:hAnsi="宋体" w:eastAsia="宋体" w:cs="Times New Roman"/>
                <w:sz w:val="21"/>
                <w:szCs w:val="21"/>
                <w:highlight w:val="none"/>
                <w:lang w:val="zh-CN" w:bidi="ar"/>
              </w:rPr>
              <w:t>分；</w:t>
            </w:r>
          </w:p>
          <w:p w14:paraId="6D11C2F4">
            <w:pPr>
              <w:widowControl/>
              <w:snapToGrid w:val="0"/>
              <w:spacing w:line="280" w:lineRule="exact"/>
              <w:jc w:val="left"/>
              <w:rPr>
                <w:rFonts w:hint="eastAsia" w:ascii="宋体" w:hAnsi="宋体" w:eastAsia="宋体" w:cs="Times New Roman"/>
                <w:sz w:val="21"/>
                <w:szCs w:val="21"/>
                <w:highlight w:val="none"/>
                <w:lang w:val="zh-CN" w:bidi="ar"/>
              </w:rPr>
            </w:pPr>
            <w:r>
              <w:rPr>
                <w:rFonts w:hint="eastAsia" w:ascii="宋体" w:hAnsi="宋体" w:eastAsia="宋体" w:cs="Times New Roman"/>
                <w:sz w:val="21"/>
                <w:szCs w:val="21"/>
                <w:highlight w:val="none"/>
                <w:lang w:val="zh-CN" w:bidi="ar"/>
              </w:rPr>
              <w:t>中：有绿色节能控制措施，内容有总则、绿色节能控制措施的，得2分。</w:t>
            </w:r>
          </w:p>
          <w:p w14:paraId="1395A70D">
            <w:pPr>
              <w:widowControl/>
              <w:snapToGrid w:val="0"/>
              <w:spacing w:line="280" w:lineRule="exact"/>
              <w:jc w:val="left"/>
              <w:rPr>
                <w:rFonts w:hint="eastAsia" w:ascii="宋体" w:hAnsi="宋体" w:eastAsia="宋体" w:cs="Times New Roman"/>
                <w:sz w:val="21"/>
                <w:szCs w:val="21"/>
                <w:highlight w:val="none"/>
                <w:lang w:bidi="ar"/>
              </w:rPr>
            </w:pPr>
            <w:r>
              <w:rPr>
                <w:rFonts w:hint="eastAsia" w:ascii="宋体" w:hAnsi="宋体" w:eastAsia="宋体" w:cs="Times New Roman"/>
                <w:sz w:val="21"/>
                <w:szCs w:val="21"/>
                <w:highlight w:val="none"/>
                <w:lang w:val="zh-CN" w:bidi="ar"/>
              </w:rPr>
              <w:t>差：无提供绿色节能控制措施的不得分。</w:t>
            </w:r>
          </w:p>
        </w:tc>
      </w:tr>
      <w:tr w14:paraId="7FA4D50D">
        <w:tblPrEx>
          <w:tblCellMar>
            <w:top w:w="0" w:type="dxa"/>
            <w:left w:w="108" w:type="dxa"/>
            <w:bottom w:w="0" w:type="dxa"/>
            <w:right w:w="108" w:type="dxa"/>
          </w:tblCellMar>
        </w:tblPrEx>
        <w:trPr>
          <w:cantSplit/>
          <w:trHeight w:val="1031" w:hRule="atLeast"/>
          <w:jc w:val="center"/>
        </w:trPr>
        <w:tc>
          <w:tcPr>
            <w:tcW w:w="290" w:type="pct"/>
            <w:vMerge w:val="continue"/>
            <w:tcBorders>
              <w:left w:val="single" w:color="auto" w:sz="4" w:space="0"/>
              <w:bottom w:val="single" w:color="auto" w:sz="4" w:space="0"/>
              <w:right w:val="single" w:color="auto" w:sz="4" w:space="0"/>
            </w:tcBorders>
            <w:noWrap w:val="0"/>
            <w:vAlign w:val="center"/>
          </w:tcPr>
          <w:p w14:paraId="66B22E9D">
            <w:pPr>
              <w:spacing w:line="0" w:lineRule="atLeast"/>
              <w:jc w:val="left"/>
              <w:rPr>
                <w:rFonts w:hint="eastAsia" w:ascii="宋体" w:hAnsi="宋体" w:eastAsia="宋体"/>
                <w:sz w:val="21"/>
                <w:szCs w:val="21"/>
                <w:highlight w:val="none"/>
              </w:rPr>
            </w:pPr>
          </w:p>
        </w:tc>
        <w:tc>
          <w:tcPr>
            <w:tcW w:w="586" w:type="pct"/>
            <w:tcBorders>
              <w:top w:val="single" w:color="auto" w:sz="4" w:space="0"/>
              <w:left w:val="single" w:color="auto" w:sz="4" w:space="0"/>
              <w:bottom w:val="single" w:color="auto" w:sz="4" w:space="0"/>
              <w:right w:val="single" w:color="auto" w:sz="4" w:space="0"/>
            </w:tcBorders>
            <w:noWrap w:val="0"/>
            <w:vAlign w:val="center"/>
          </w:tcPr>
          <w:p w14:paraId="1AD922F0">
            <w:pPr>
              <w:widowControl/>
              <w:snapToGrid w:val="0"/>
              <w:spacing w:line="280" w:lineRule="exact"/>
              <w:jc w:val="left"/>
              <w:rPr>
                <w:rFonts w:hint="eastAsia" w:ascii="宋体" w:hAnsi="宋体" w:eastAsia="宋体" w:cs="Times New Roman"/>
                <w:sz w:val="21"/>
                <w:szCs w:val="21"/>
                <w:highlight w:val="none"/>
                <w:lang w:bidi="ar"/>
              </w:rPr>
            </w:pPr>
            <w:r>
              <w:rPr>
                <w:rFonts w:hint="eastAsia" w:ascii="宋体" w:hAnsi="宋体" w:eastAsia="宋体" w:cs="Times New Roman"/>
                <w:sz w:val="21"/>
                <w:szCs w:val="21"/>
                <w:highlight w:val="none"/>
                <w:lang w:bidi="ar"/>
              </w:rPr>
              <w:t>针对本项目重点难点措施</w:t>
            </w:r>
          </w:p>
        </w:tc>
        <w:tc>
          <w:tcPr>
            <w:tcW w:w="206" w:type="pct"/>
            <w:tcBorders>
              <w:top w:val="single" w:color="auto" w:sz="4" w:space="0"/>
              <w:left w:val="nil"/>
              <w:right w:val="single" w:color="auto" w:sz="4" w:space="0"/>
            </w:tcBorders>
            <w:noWrap w:val="0"/>
            <w:vAlign w:val="center"/>
          </w:tcPr>
          <w:p w14:paraId="41EBC5FB">
            <w:pPr>
              <w:widowControl/>
              <w:snapToGrid w:val="0"/>
              <w:spacing w:line="280" w:lineRule="exact"/>
              <w:jc w:val="center"/>
              <w:rPr>
                <w:rFonts w:hint="default" w:ascii="宋体" w:hAnsi="宋体" w:eastAsia="宋体"/>
                <w:sz w:val="21"/>
                <w:szCs w:val="21"/>
                <w:highlight w:val="none"/>
                <w:lang w:val="en-US" w:eastAsia="zh-CN" w:bidi="ar"/>
              </w:rPr>
            </w:pPr>
            <w:r>
              <w:rPr>
                <w:rFonts w:hint="eastAsia" w:ascii="宋体" w:hAnsi="宋体"/>
                <w:sz w:val="21"/>
                <w:szCs w:val="21"/>
                <w:highlight w:val="none"/>
                <w:lang w:val="en-US" w:eastAsia="zh-CN" w:bidi="ar"/>
              </w:rPr>
              <w:t>10</w:t>
            </w:r>
          </w:p>
        </w:tc>
        <w:tc>
          <w:tcPr>
            <w:tcW w:w="3916" w:type="pct"/>
            <w:tcBorders>
              <w:top w:val="single" w:color="auto" w:sz="4" w:space="0"/>
              <w:left w:val="nil"/>
              <w:bottom w:val="single" w:color="auto" w:sz="4" w:space="0"/>
              <w:right w:val="single" w:color="auto" w:sz="4" w:space="0"/>
            </w:tcBorders>
            <w:noWrap w:val="0"/>
            <w:vAlign w:val="center"/>
          </w:tcPr>
          <w:p w14:paraId="1C5C5EC4">
            <w:pPr>
              <w:widowControl/>
              <w:snapToGrid w:val="0"/>
              <w:spacing w:line="280" w:lineRule="exact"/>
              <w:jc w:val="left"/>
              <w:rPr>
                <w:rFonts w:hint="eastAsia" w:ascii="宋体" w:hAnsi="宋体" w:eastAsia="宋体" w:cs="Times New Roman"/>
                <w:sz w:val="21"/>
                <w:szCs w:val="21"/>
                <w:highlight w:val="none"/>
                <w:lang w:bidi="ar"/>
              </w:rPr>
            </w:pPr>
            <w:r>
              <w:rPr>
                <w:rFonts w:hint="eastAsia" w:ascii="宋体" w:hAnsi="宋体" w:eastAsia="宋体" w:cs="Times New Roman"/>
                <w:sz w:val="21"/>
                <w:szCs w:val="21"/>
                <w:highlight w:val="none"/>
                <w:lang w:bidi="ar"/>
              </w:rPr>
              <w:t>针对本工程制定了重点难点措施，措施具体、合理可行、针对性强；措施为优的得</w:t>
            </w:r>
            <w:r>
              <w:rPr>
                <w:rFonts w:hint="eastAsia" w:ascii="宋体" w:hAnsi="宋体" w:eastAsia="宋体" w:cs="Times New Roman"/>
                <w:sz w:val="21"/>
                <w:szCs w:val="21"/>
                <w:highlight w:val="none"/>
                <w:lang w:val="en-US" w:eastAsia="zh-CN" w:bidi="ar"/>
              </w:rPr>
              <w:t>10</w:t>
            </w:r>
            <w:r>
              <w:rPr>
                <w:rFonts w:hint="eastAsia" w:ascii="宋体" w:hAnsi="宋体" w:eastAsia="宋体" w:cs="Times New Roman"/>
                <w:sz w:val="21"/>
                <w:szCs w:val="21"/>
                <w:highlight w:val="none"/>
                <w:lang w:bidi="ar"/>
              </w:rPr>
              <w:t>分，措施为</w:t>
            </w:r>
            <w:r>
              <w:rPr>
                <w:rFonts w:hint="eastAsia" w:ascii="宋体" w:hAnsi="宋体" w:eastAsia="宋体" w:cs="Times New Roman"/>
                <w:sz w:val="21"/>
                <w:szCs w:val="21"/>
                <w:highlight w:val="none"/>
                <w:lang w:val="en-US" w:eastAsia="zh-CN" w:bidi="ar"/>
              </w:rPr>
              <w:t>良</w:t>
            </w:r>
            <w:r>
              <w:rPr>
                <w:rFonts w:hint="eastAsia" w:ascii="宋体" w:hAnsi="宋体" w:eastAsia="宋体" w:cs="Times New Roman"/>
                <w:sz w:val="21"/>
                <w:szCs w:val="21"/>
                <w:highlight w:val="none"/>
                <w:lang w:bidi="ar"/>
              </w:rPr>
              <w:t>的得</w:t>
            </w:r>
            <w:r>
              <w:rPr>
                <w:rFonts w:hint="eastAsia" w:ascii="宋体" w:hAnsi="宋体" w:eastAsia="宋体" w:cs="Times New Roman"/>
                <w:sz w:val="21"/>
                <w:szCs w:val="21"/>
                <w:highlight w:val="none"/>
                <w:lang w:val="en-US" w:eastAsia="zh-CN" w:bidi="ar"/>
              </w:rPr>
              <w:t>5</w:t>
            </w:r>
            <w:r>
              <w:rPr>
                <w:rFonts w:hint="eastAsia" w:ascii="宋体" w:hAnsi="宋体" w:eastAsia="宋体" w:cs="Times New Roman"/>
                <w:sz w:val="21"/>
                <w:szCs w:val="21"/>
                <w:highlight w:val="none"/>
                <w:lang w:bidi="ar"/>
              </w:rPr>
              <w:t>分，措施为</w:t>
            </w:r>
            <w:r>
              <w:rPr>
                <w:rFonts w:hint="eastAsia" w:ascii="宋体" w:hAnsi="宋体" w:eastAsia="宋体" w:cs="Times New Roman"/>
                <w:sz w:val="21"/>
                <w:szCs w:val="21"/>
                <w:highlight w:val="none"/>
                <w:lang w:val="en-US" w:eastAsia="zh-CN" w:bidi="ar"/>
              </w:rPr>
              <w:t>中</w:t>
            </w:r>
            <w:r>
              <w:rPr>
                <w:rFonts w:hint="eastAsia" w:ascii="宋体" w:hAnsi="宋体" w:eastAsia="宋体" w:cs="Times New Roman"/>
                <w:sz w:val="21"/>
                <w:szCs w:val="21"/>
                <w:highlight w:val="none"/>
                <w:lang w:bidi="ar"/>
              </w:rPr>
              <w:t>得</w:t>
            </w:r>
            <w:r>
              <w:rPr>
                <w:rFonts w:hint="eastAsia" w:ascii="宋体" w:hAnsi="宋体" w:eastAsia="宋体" w:cs="Times New Roman"/>
                <w:sz w:val="21"/>
                <w:szCs w:val="21"/>
                <w:highlight w:val="none"/>
                <w:lang w:val="en-US" w:eastAsia="zh-CN" w:bidi="ar"/>
              </w:rPr>
              <w:t>2</w:t>
            </w:r>
            <w:r>
              <w:rPr>
                <w:rFonts w:hint="eastAsia" w:ascii="宋体" w:hAnsi="宋体" w:eastAsia="宋体" w:cs="Times New Roman"/>
                <w:sz w:val="21"/>
                <w:szCs w:val="21"/>
                <w:highlight w:val="none"/>
                <w:lang w:bidi="ar"/>
              </w:rPr>
              <w:t>分，无此部分内容得0分。</w:t>
            </w:r>
          </w:p>
        </w:tc>
      </w:tr>
      <w:tr w14:paraId="11ED2DAB">
        <w:tblPrEx>
          <w:tblCellMar>
            <w:top w:w="0" w:type="dxa"/>
            <w:left w:w="108" w:type="dxa"/>
            <w:bottom w:w="0" w:type="dxa"/>
            <w:right w:w="108" w:type="dxa"/>
          </w:tblCellMar>
        </w:tblPrEx>
        <w:trPr>
          <w:cantSplit/>
          <w:trHeight w:val="470" w:hRule="atLeast"/>
          <w:jc w:val="center"/>
        </w:trPr>
        <w:tc>
          <w:tcPr>
            <w:tcW w:w="876" w:type="pct"/>
            <w:gridSpan w:val="2"/>
            <w:tcBorders>
              <w:top w:val="single" w:color="auto" w:sz="4" w:space="0"/>
              <w:left w:val="single" w:color="auto" w:sz="8" w:space="0"/>
              <w:bottom w:val="single" w:color="auto" w:sz="4" w:space="0"/>
              <w:right w:val="single" w:color="auto" w:sz="4" w:space="0"/>
            </w:tcBorders>
            <w:noWrap w:val="0"/>
            <w:vAlign w:val="center"/>
          </w:tcPr>
          <w:p w14:paraId="69AA0040">
            <w:pPr>
              <w:spacing w:line="0" w:lineRule="atLeast"/>
              <w:jc w:val="center"/>
              <w:rPr>
                <w:rFonts w:hint="eastAsia" w:ascii="宋体" w:hAnsi="宋体" w:eastAsia="宋体"/>
                <w:szCs w:val="21"/>
                <w:highlight w:val="none"/>
              </w:rPr>
            </w:pPr>
            <w:r>
              <w:rPr>
                <w:rFonts w:hint="eastAsia" w:ascii="宋体" w:hAnsi="宋体" w:eastAsia="宋体"/>
                <w:szCs w:val="21"/>
                <w:highlight w:val="none"/>
              </w:rPr>
              <w:t>合计（一+二+三）</w:t>
            </w:r>
          </w:p>
        </w:tc>
        <w:tc>
          <w:tcPr>
            <w:tcW w:w="206" w:type="pct"/>
            <w:tcBorders>
              <w:top w:val="single" w:color="auto" w:sz="4" w:space="0"/>
              <w:left w:val="nil"/>
              <w:bottom w:val="single" w:color="auto" w:sz="4" w:space="0"/>
              <w:right w:val="single" w:color="auto" w:sz="4" w:space="0"/>
            </w:tcBorders>
            <w:noWrap w:val="0"/>
            <w:vAlign w:val="center"/>
          </w:tcPr>
          <w:p w14:paraId="4EF67AB8">
            <w:pPr>
              <w:spacing w:line="0" w:lineRule="atLeast"/>
              <w:jc w:val="center"/>
              <w:rPr>
                <w:rFonts w:hint="eastAsia" w:ascii="宋体" w:hAnsi="宋体" w:eastAsia="宋体"/>
                <w:szCs w:val="21"/>
                <w:highlight w:val="none"/>
              </w:rPr>
            </w:pPr>
            <w:r>
              <w:rPr>
                <w:rFonts w:hint="eastAsia" w:ascii="宋体" w:hAnsi="宋体" w:eastAsia="宋体"/>
                <w:szCs w:val="21"/>
                <w:highlight w:val="none"/>
              </w:rPr>
              <w:t>100</w:t>
            </w:r>
          </w:p>
        </w:tc>
        <w:tc>
          <w:tcPr>
            <w:tcW w:w="3916" w:type="pct"/>
            <w:tcBorders>
              <w:top w:val="single" w:color="auto" w:sz="4" w:space="0"/>
              <w:left w:val="nil"/>
              <w:bottom w:val="single" w:color="auto" w:sz="4" w:space="0"/>
              <w:right w:val="single" w:color="auto" w:sz="4" w:space="0"/>
            </w:tcBorders>
            <w:noWrap w:val="0"/>
            <w:vAlign w:val="center"/>
          </w:tcPr>
          <w:p w14:paraId="6A161976">
            <w:pPr>
              <w:spacing w:line="0" w:lineRule="atLeast"/>
              <w:rPr>
                <w:rFonts w:hint="eastAsia" w:ascii="宋体" w:hAnsi="宋体" w:eastAsia="宋体"/>
                <w:szCs w:val="21"/>
                <w:highlight w:val="none"/>
              </w:rPr>
            </w:pPr>
          </w:p>
        </w:tc>
      </w:tr>
    </w:tbl>
    <w:p w14:paraId="71C301FB">
      <w:pPr>
        <w:spacing w:line="360" w:lineRule="auto"/>
        <w:jc w:val="left"/>
        <w:rPr>
          <w:rFonts w:hint="eastAsia" w:ascii="宋体" w:hAnsi="宋体" w:eastAsia="宋体" w:cs="Times New Roman"/>
          <w:szCs w:val="21"/>
          <w:highlight w:val="none"/>
        </w:rPr>
      </w:pPr>
      <w:r>
        <w:rPr>
          <w:rFonts w:hint="eastAsia" w:ascii="宋体" w:hAnsi="宋体" w:eastAsia="宋体" w:cs="Times New Roman"/>
          <w:szCs w:val="21"/>
          <w:highlight w:val="none"/>
        </w:rPr>
        <w:t>备注：本表按百分制评分，所有评委每个分项的分数汇总后去掉一个最高分和一个最低分的算术平均值为投标人的最终得分。分数出现小数点，保留小数点后二位小数，第三位小数四舍五入。</w:t>
      </w:r>
    </w:p>
    <w:p w14:paraId="15C03BA4">
      <w:pPr>
        <w:spacing w:line="360" w:lineRule="auto"/>
        <w:jc w:val="left"/>
        <w:rPr>
          <w:rFonts w:hint="eastAsia" w:ascii="宋体" w:hAnsi="宋体" w:eastAsia="宋体" w:cs="宋体"/>
          <w:b/>
          <w:bCs/>
          <w:highlight w:val="none"/>
          <w:lang w:val="en-US" w:eastAsia="zh-CN"/>
        </w:rPr>
      </w:pPr>
      <w:r>
        <w:rPr>
          <w:rFonts w:hint="eastAsia" w:ascii="宋体" w:hAnsi="宋体" w:eastAsia="宋体" w:cs="Times New Roman"/>
          <w:szCs w:val="21"/>
          <w:highlight w:val="none"/>
          <w:lang w:val="zh-TW" w:eastAsia="zh-TW"/>
        </w:rPr>
        <w:t xml:space="preserve">评委签名： </w:t>
      </w:r>
      <w:r>
        <w:rPr>
          <w:rFonts w:hint="eastAsia" w:ascii="宋体" w:hAnsi="宋体" w:eastAsia="宋体" w:cs="Times New Roman"/>
          <w:szCs w:val="21"/>
          <w:highlight w:val="none"/>
        </w:rPr>
        <w:t xml:space="preserve">                           　　　　　　　　　　　　　　　　　　　　　　　　　　　　　　　　　　　 日期：     年   月   日</w:t>
      </w:r>
      <w:r>
        <w:rPr>
          <w:rFonts w:hint="eastAsia" w:ascii="宋体" w:hAnsi="宋体" w:cs="宋体"/>
          <w:highlight w:val="none"/>
        </w:rPr>
        <w:br w:type="page"/>
      </w:r>
      <w:r>
        <w:rPr>
          <w:rFonts w:hint="eastAsia" w:ascii="宋体" w:hAnsi="宋体" w:cs="宋体"/>
          <w:highlight w:val="none"/>
        </w:rPr>
        <w:t>附表</w:t>
      </w:r>
      <w:r>
        <w:rPr>
          <w:rFonts w:hint="eastAsia" w:ascii="宋体" w:hAnsi="宋体" w:cs="宋体"/>
          <w:highlight w:val="none"/>
          <w:lang w:eastAsia="zh-CN"/>
        </w:rPr>
        <w:t>五：</w:t>
      </w:r>
    </w:p>
    <w:p w14:paraId="7C9346EB">
      <w:pPr>
        <w:jc w:val="center"/>
        <w:rPr>
          <w:rFonts w:hint="eastAsia" w:ascii="宋体" w:hAnsi="宋体" w:cs="宋体"/>
          <w:b/>
          <w:bCs/>
          <w:sz w:val="36"/>
          <w:szCs w:val="36"/>
          <w:highlight w:val="none"/>
        </w:rPr>
      </w:pPr>
      <w:r>
        <w:rPr>
          <w:rFonts w:hint="eastAsia" w:ascii="宋体" w:hAnsi="宋体" w:cs="宋体"/>
          <w:b/>
          <w:bCs/>
          <w:sz w:val="36"/>
          <w:szCs w:val="36"/>
          <w:highlight w:val="none"/>
        </w:rPr>
        <w:t>算术复核表</w:t>
      </w:r>
    </w:p>
    <w:p w14:paraId="5CE472F3">
      <w:pPr>
        <w:rPr>
          <w:rFonts w:hint="eastAsia" w:ascii="宋体" w:hAnsi="宋体" w:cs="宋体"/>
          <w:kern w:val="0"/>
          <w:highlight w:val="none"/>
        </w:rPr>
      </w:pPr>
      <w:r>
        <w:rPr>
          <w:rFonts w:hint="eastAsia" w:ascii="宋体" w:hAnsi="宋体" w:cs="宋体"/>
          <w:kern w:val="0"/>
          <w:highlight w:val="none"/>
        </w:rPr>
        <w:t>工程名称：投标人:                                                  单位：元</w:t>
      </w:r>
    </w:p>
    <w:tbl>
      <w:tblPr>
        <w:tblStyle w:val="36"/>
        <w:tblW w:w="0" w:type="auto"/>
        <w:tblInd w:w="108" w:type="dxa"/>
        <w:tblLayout w:type="fixed"/>
        <w:tblCellMar>
          <w:top w:w="0" w:type="dxa"/>
          <w:left w:w="108" w:type="dxa"/>
          <w:bottom w:w="0" w:type="dxa"/>
          <w:right w:w="108" w:type="dxa"/>
        </w:tblCellMar>
      </w:tblPr>
      <w:tblGrid>
        <w:gridCol w:w="645"/>
        <w:gridCol w:w="4488"/>
        <w:gridCol w:w="1602"/>
        <w:gridCol w:w="1575"/>
        <w:gridCol w:w="1575"/>
        <w:gridCol w:w="1470"/>
        <w:gridCol w:w="3465"/>
      </w:tblGrid>
      <w:tr w14:paraId="43C5F907">
        <w:tblPrEx>
          <w:tblCellMar>
            <w:top w:w="0" w:type="dxa"/>
            <w:left w:w="108" w:type="dxa"/>
            <w:bottom w:w="0" w:type="dxa"/>
            <w:right w:w="108" w:type="dxa"/>
          </w:tblCellMar>
        </w:tblPrEx>
        <w:trPr>
          <w:trHeight w:val="705" w:hRule="atLeast"/>
        </w:trPr>
        <w:tc>
          <w:tcPr>
            <w:tcW w:w="645" w:type="dxa"/>
            <w:tcBorders>
              <w:top w:val="single" w:color="auto" w:sz="4" w:space="0"/>
              <w:left w:val="single" w:color="auto" w:sz="4" w:space="0"/>
              <w:bottom w:val="single" w:color="auto" w:sz="4" w:space="0"/>
              <w:right w:val="single" w:color="auto" w:sz="4" w:space="0"/>
            </w:tcBorders>
            <w:noWrap w:val="0"/>
            <w:vAlign w:val="center"/>
          </w:tcPr>
          <w:p w14:paraId="31E130A1">
            <w:pPr>
              <w:rPr>
                <w:rFonts w:hint="eastAsia" w:ascii="宋体" w:hAnsi="宋体" w:cs="宋体"/>
                <w:kern w:val="0"/>
                <w:sz w:val="24"/>
                <w:szCs w:val="24"/>
                <w:highlight w:val="none"/>
              </w:rPr>
            </w:pPr>
            <w:r>
              <w:rPr>
                <w:rFonts w:hint="eastAsia" w:ascii="宋体" w:hAnsi="宋体" w:cs="宋体"/>
                <w:kern w:val="0"/>
                <w:sz w:val="24"/>
                <w:szCs w:val="24"/>
                <w:highlight w:val="none"/>
              </w:rPr>
              <w:t>编号</w:t>
            </w:r>
          </w:p>
        </w:tc>
        <w:tc>
          <w:tcPr>
            <w:tcW w:w="4488" w:type="dxa"/>
            <w:tcBorders>
              <w:top w:val="single" w:color="auto" w:sz="4" w:space="0"/>
              <w:left w:val="nil"/>
              <w:bottom w:val="single" w:color="auto" w:sz="4" w:space="0"/>
              <w:right w:val="single" w:color="auto" w:sz="4" w:space="0"/>
            </w:tcBorders>
            <w:noWrap w:val="0"/>
            <w:vAlign w:val="center"/>
          </w:tcPr>
          <w:p w14:paraId="6767C22F">
            <w:pPr>
              <w:rPr>
                <w:rFonts w:hint="eastAsia" w:ascii="宋体" w:hAnsi="宋体" w:cs="宋体"/>
                <w:kern w:val="0"/>
                <w:sz w:val="24"/>
                <w:szCs w:val="24"/>
                <w:highlight w:val="none"/>
              </w:rPr>
            </w:pPr>
            <w:r>
              <w:rPr>
                <w:rFonts w:hint="eastAsia" w:ascii="宋体" w:hAnsi="宋体" w:cs="宋体"/>
                <w:kern w:val="0"/>
                <w:sz w:val="24"/>
                <w:szCs w:val="24"/>
                <w:highlight w:val="none"/>
              </w:rPr>
              <w:t>算术校核项目</w:t>
            </w:r>
          </w:p>
        </w:tc>
        <w:tc>
          <w:tcPr>
            <w:tcW w:w="1602" w:type="dxa"/>
            <w:tcBorders>
              <w:top w:val="single" w:color="auto" w:sz="4" w:space="0"/>
              <w:left w:val="nil"/>
              <w:bottom w:val="single" w:color="auto" w:sz="4" w:space="0"/>
              <w:right w:val="single" w:color="auto" w:sz="4" w:space="0"/>
            </w:tcBorders>
            <w:noWrap w:val="0"/>
            <w:vAlign w:val="center"/>
          </w:tcPr>
          <w:p w14:paraId="0FD9A416">
            <w:pPr>
              <w:rPr>
                <w:rFonts w:hint="eastAsia" w:ascii="宋体" w:hAnsi="宋体" w:cs="宋体"/>
                <w:kern w:val="0"/>
                <w:sz w:val="24"/>
                <w:szCs w:val="24"/>
                <w:highlight w:val="none"/>
              </w:rPr>
            </w:pPr>
            <w:r>
              <w:rPr>
                <w:rFonts w:hint="eastAsia" w:ascii="宋体" w:hAnsi="宋体" w:cs="宋体"/>
                <w:kern w:val="0"/>
                <w:sz w:val="24"/>
                <w:szCs w:val="24"/>
                <w:highlight w:val="none"/>
              </w:rPr>
              <w:t>修正前投标</w:t>
            </w:r>
          </w:p>
          <w:p w14:paraId="04F199E5">
            <w:pPr>
              <w:rPr>
                <w:rFonts w:hint="eastAsia" w:ascii="宋体" w:hAnsi="宋体" w:cs="宋体"/>
                <w:kern w:val="0"/>
                <w:sz w:val="24"/>
                <w:szCs w:val="24"/>
                <w:highlight w:val="none"/>
              </w:rPr>
            </w:pPr>
            <w:r>
              <w:rPr>
                <w:rFonts w:hint="eastAsia" w:ascii="宋体" w:hAnsi="宋体" w:cs="宋体"/>
                <w:kern w:val="0"/>
                <w:sz w:val="24"/>
                <w:szCs w:val="24"/>
                <w:highlight w:val="none"/>
              </w:rPr>
              <w:t>报价A</w:t>
            </w:r>
          </w:p>
        </w:tc>
        <w:tc>
          <w:tcPr>
            <w:tcW w:w="1575" w:type="dxa"/>
            <w:tcBorders>
              <w:top w:val="single" w:color="auto" w:sz="4" w:space="0"/>
              <w:left w:val="nil"/>
              <w:bottom w:val="single" w:color="auto" w:sz="4" w:space="0"/>
              <w:right w:val="single" w:color="auto" w:sz="4" w:space="0"/>
            </w:tcBorders>
            <w:noWrap w:val="0"/>
            <w:vAlign w:val="center"/>
          </w:tcPr>
          <w:p w14:paraId="2B351A2A">
            <w:pPr>
              <w:rPr>
                <w:rFonts w:hint="eastAsia" w:ascii="宋体" w:hAnsi="宋体" w:cs="宋体"/>
                <w:kern w:val="0"/>
                <w:sz w:val="24"/>
                <w:szCs w:val="24"/>
                <w:highlight w:val="none"/>
              </w:rPr>
            </w:pPr>
            <w:r>
              <w:rPr>
                <w:rFonts w:hint="eastAsia" w:ascii="宋体" w:hAnsi="宋体" w:cs="宋体"/>
                <w:kern w:val="0"/>
                <w:sz w:val="24"/>
                <w:szCs w:val="24"/>
                <w:highlight w:val="none"/>
              </w:rPr>
              <w:t>修正后投标</w:t>
            </w:r>
          </w:p>
          <w:p w14:paraId="2989443A">
            <w:pPr>
              <w:rPr>
                <w:rFonts w:hint="eastAsia" w:ascii="宋体" w:hAnsi="宋体" w:cs="宋体"/>
                <w:kern w:val="0"/>
                <w:sz w:val="24"/>
                <w:szCs w:val="24"/>
                <w:highlight w:val="none"/>
              </w:rPr>
            </w:pPr>
            <w:r>
              <w:rPr>
                <w:rFonts w:hint="eastAsia" w:ascii="宋体" w:hAnsi="宋体" w:cs="宋体"/>
                <w:kern w:val="0"/>
                <w:sz w:val="24"/>
                <w:szCs w:val="24"/>
                <w:highlight w:val="none"/>
              </w:rPr>
              <w:t>报价B</w:t>
            </w:r>
          </w:p>
        </w:tc>
        <w:tc>
          <w:tcPr>
            <w:tcW w:w="1575" w:type="dxa"/>
            <w:tcBorders>
              <w:top w:val="single" w:color="auto" w:sz="4" w:space="0"/>
              <w:left w:val="nil"/>
              <w:bottom w:val="single" w:color="auto" w:sz="4" w:space="0"/>
              <w:right w:val="single" w:color="auto" w:sz="4" w:space="0"/>
            </w:tcBorders>
            <w:noWrap w:val="0"/>
            <w:vAlign w:val="center"/>
          </w:tcPr>
          <w:p w14:paraId="6267F287">
            <w:pPr>
              <w:rPr>
                <w:rFonts w:hint="eastAsia" w:ascii="宋体" w:hAnsi="宋体" w:cs="宋体"/>
                <w:kern w:val="0"/>
                <w:sz w:val="24"/>
                <w:szCs w:val="24"/>
                <w:highlight w:val="none"/>
              </w:rPr>
            </w:pPr>
            <w:r>
              <w:rPr>
                <w:rFonts w:hint="eastAsia" w:ascii="宋体" w:hAnsi="宋体" w:cs="宋体"/>
                <w:kern w:val="0"/>
                <w:sz w:val="24"/>
                <w:szCs w:val="24"/>
                <w:highlight w:val="none"/>
              </w:rPr>
              <w:t>修正率</w:t>
            </w:r>
            <w:r>
              <w:rPr>
                <w:rFonts w:hint="eastAsia" w:ascii="宋体" w:hAnsi="宋体" w:cs="宋体"/>
                <w:kern w:val="0"/>
                <w:sz w:val="24"/>
                <w:szCs w:val="24"/>
                <w:highlight w:val="none"/>
              </w:rPr>
              <w:br w:type="textWrapping"/>
            </w:r>
            <w:r>
              <w:rPr>
                <w:rFonts w:hint="eastAsia" w:ascii="宋体" w:hAnsi="宋体" w:cs="宋体"/>
                <w:kern w:val="0"/>
                <w:sz w:val="24"/>
                <w:szCs w:val="24"/>
                <w:highlight w:val="none"/>
              </w:rPr>
              <w:t>r=|A-B|/A*100%</w:t>
            </w:r>
          </w:p>
        </w:tc>
        <w:tc>
          <w:tcPr>
            <w:tcW w:w="1470" w:type="dxa"/>
            <w:tcBorders>
              <w:top w:val="single" w:color="auto" w:sz="4" w:space="0"/>
              <w:left w:val="nil"/>
              <w:bottom w:val="single" w:color="auto" w:sz="4" w:space="0"/>
              <w:right w:val="single" w:color="auto" w:sz="4" w:space="0"/>
            </w:tcBorders>
            <w:noWrap w:val="0"/>
            <w:vAlign w:val="center"/>
          </w:tcPr>
          <w:p w14:paraId="0BF8D415">
            <w:pPr>
              <w:rPr>
                <w:rFonts w:hint="eastAsia" w:ascii="宋体" w:hAnsi="宋体" w:cs="宋体"/>
                <w:kern w:val="0"/>
                <w:sz w:val="24"/>
                <w:szCs w:val="24"/>
                <w:highlight w:val="none"/>
              </w:rPr>
            </w:pPr>
            <w:r>
              <w:rPr>
                <w:rFonts w:hint="eastAsia" w:ascii="宋体" w:hAnsi="宋体" w:cs="宋体"/>
                <w:kern w:val="0"/>
                <w:sz w:val="24"/>
                <w:szCs w:val="24"/>
                <w:highlight w:val="none"/>
              </w:rPr>
              <w:t>经评审的最终投标报价</w:t>
            </w:r>
          </w:p>
        </w:tc>
        <w:tc>
          <w:tcPr>
            <w:tcW w:w="3465" w:type="dxa"/>
            <w:tcBorders>
              <w:top w:val="single" w:color="auto" w:sz="4" w:space="0"/>
              <w:left w:val="nil"/>
              <w:bottom w:val="single" w:color="auto" w:sz="4" w:space="0"/>
              <w:right w:val="single" w:color="auto" w:sz="4" w:space="0"/>
            </w:tcBorders>
            <w:noWrap w:val="0"/>
            <w:vAlign w:val="center"/>
          </w:tcPr>
          <w:p w14:paraId="36DE3F1F">
            <w:pPr>
              <w:rPr>
                <w:rFonts w:hint="eastAsia" w:ascii="宋体" w:hAnsi="宋体" w:cs="宋体"/>
                <w:kern w:val="0"/>
                <w:sz w:val="24"/>
                <w:szCs w:val="24"/>
                <w:highlight w:val="none"/>
              </w:rPr>
            </w:pPr>
            <w:r>
              <w:rPr>
                <w:rFonts w:hint="eastAsia" w:ascii="宋体" w:hAnsi="宋体" w:cs="宋体"/>
                <w:kern w:val="0"/>
                <w:sz w:val="24"/>
                <w:szCs w:val="24"/>
                <w:highlight w:val="none"/>
              </w:rPr>
              <w:t>当B&gt;A时，修正后报价与原报价的差额；当B≤A时,R=0</w:t>
            </w:r>
          </w:p>
        </w:tc>
      </w:tr>
      <w:tr w14:paraId="5C9730BB">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noWrap w:val="0"/>
            <w:vAlign w:val="center"/>
          </w:tcPr>
          <w:p w14:paraId="456FAA32">
            <w:pPr>
              <w:rPr>
                <w:rFonts w:hint="eastAsia" w:ascii="宋体" w:hAnsi="宋体" w:cs="宋体"/>
                <w:kern w:val="0"/>
                <w:sz w:val="24"/>
                <w:szCs w:val="24"/>
                <w:highlight w:val="none"/>
              </w:rPr>
            </w:pPr>
            <w:r>
              <w:rPr>
                <w:rFonts w:hint="eastAsia" w:ascii="宋体" w:hAnsi="宋体" w:cs="宋体"/>
                <w:kern w:val="0"/>
                <w:sz w:val="24"/>
                <w:szCs w:val="24"/>
                <w:highlight w:val="none"/>
              </w:rPr>
              <w:t>1</w:t>
            </w:r>
          </w:p>
        </w:tc>
        <w:tc>
          <w:tcPr>
            <w:tcW w:w="4488" w:type="dxa"/>
            <w:tcBorders>
              <w:top w:val="nil"/>
              <w:left w:val="nil"/>
              <w:bottom w:val="single" w:color="auto" w:sz="4" w:space="0"/>
              <w:right w:val="single" w:color="auto" w:sz="4" w:space="0"/>
            </w:tcBorders>
            <w:noWrap w:val="0"/>
            <w:vAlign w:val="center"/>
          </w:tcPr>
          <w:p w14:paraId="1916C205">
            <w:pPr>
              <w:rPr>
                <w:rFonts w:hint="eastAsia" w:ascii="宋体" w:hAnsi="宋体" w:cs="宋体"/>
                <w:kern w:val="0"/>
                <w:sz w:val="24"/>
                <w:szCs w:val="24"/>
                <w:highlight w:val="none"/>
              </w:rPr>
            </w:pPr>
            <w:r>
              <w:rPr>
                <w:rFonts w:hint="eastAsia" w:ascii="宋体" w:hAnsi="宋体" w:cs="宋体"/>
                <w:kern w:val="0"/>
                <w:sz w:val="24"/>
                <w:szCs w:val="24"/>
                <w:highlight w:val="none"/>
              </w:rPr>
              <w:t>[单位工程1]</w:t>
            </w:r>
          </w:p>
        </w:tc>
        <w:tc>
          <w:tcPr>
            <w:tcW w:w="1602" w:type="dxa"/>
            <w:tcBorders>
              <w:top w:val="nil"/>
              <w:left w:val="nil"/>
              <w:bottom w:val="single" w:color="auto" w:sz="4" w:space="0"/>
              <w:right w:val="single" w:color="auto" w:sz="4" w:space="0"/>
            </w:tcBorders>
            <w:noWrap w:val="0"/>
            <w:vAlign w:val="center"/>
          </w:tcPr>
          <w:p w14:paraId="63A8963C">
            <w:pPr>
              <w:rPr>
                <w:rFonts w:hint="eastAsia" w:ascii="宋体" w:hAnsi="宋体" w:cs="宋体"/>
                <w:kern w:val="0"/>
                <w:sz w:val="24"/>
                <w:szCs w:val="24"/>
                <w:highlight w:val="none"/>
              </w:rPr>
            </w:pPr>
            <w:r>
              <w:rPr>
                <w:rFonts w:hint="eastAsia" w:ascii="宋体" w:hAnsi="宋体" w:cs="宋体"/>
                <w:kern w:val="0"/>
                <w:sz w:val="24"/>
                <w:szCs w:val="24"/>
                <w:highlight w:val="none"/>
              </w:rPr>
              <w:t>　</w:t>
            </w:r>
          </w:p>
        </w:tc>
        <w:tc>
          <w:tcPr>
            <w:tcW w:w="1575" w:type="dxa"/>
            <w:tcBorders>
              <w:top w:val="nil"/>
              <w:left w:val="nil"/>
              <w:bottom w:val="single" w:color="auto" w:sz="4" w:space="0"/>
              <w:right w:val="single" w:color="auto" w:sz="4" w:space="0"/>
            </w:tcBorders>
            <w:noWrap w:val="0"/>
            <w:vAlign w:val="center"/>
          </w:tcPr>
          <w:p w14:paraId="24C9670F">
            <w:pPr>
              <w:rPr>
                <w:rFonts w:hint="eastAsia" w:ascii="宋体" w:hAnsi="宋体" w:cs="宋体"/>
                <w:kern w:val="0"/>
                <w:sz w:val="24"/>
                <w:szCs w:val="24"/>
                <w:highlight w:val="none"/>
              </w:rPr>
            </w:pPr>
            <w:r>
              <w:rPr>
                <w:rFonts w:hint="eastAsia" w:ascii="宋体" w:hAnsi="宋体" w:cs="宋体"/>
                <w:kern w:val="0"/>
                <w:sz w:val="24"/>
                <w:szCs w:val="24"/>
                <w:highlight w:val="none"/>
              </w:rPr>
              <w:t>　</w:t>
            </w:r>
          </w:p>
        </w:tc>
        <w:tc>
          <w:tcPr>
            <w:tcW w:w="1575" w:type="dxa"/>
            <w:tcBorders>
              <w:top w:val="nil"/>
              <w:left w:val="nil"/>
              <w:bottom w:val="single" w:color="auto" w:sz="4" w:space="0"/>
              <w:right w:val="single" w:color="auto" w:sz="4" w:space="0"/>
            </w:tcBorders>
            <w:noWrap w:val="0"/>
            <w:vAlign w:val="center"/>
          </w:tcPr>
          <w:p w14:paraId="1C6618C0">
            <w:pPr>
              <w:rPr>
                <w:rFonts w:hint="eastAsia" w:ascii="宋体" w:hAnsi="宋体" w:cs="宋体"/>
                <w:kern w:val="0"/>
                <w:sz w:val="24"/>
                <w:szCs w:val="24"/>
                <w:highlight w:val="none"/>
              </w:rPr>
            </w:pPr>
            <w:r>
              <w:rPr>
                <w:rFonts w:hint="eastAsia" w:ascii="宋体" w:hAnsi="宋体" w:cs="宋体"/>
                <w:kern w:val="0"/>
                <w:sz w:val="24"/>
                <w:szCs w:val="24"/>
                <w:highlight w:val="none"/>
              </w:rPr>
              <w:t>　</w:t>
            </w:r>
          </w:p>
        </w:tc>
        <w:tc>
          <w:tcPr>
            <w:tcW w:w="1470" w:type="dxa"/>
            <w:tcBorders>
              <w:top w:val="nil"/>
              <w:left w:val="nil"/>
              <w:bottom w:val="single" w:color="auto" w:sz="4" w:space="0"/>
              <w:right w:val="single" w:color="auto" w:sz="4" w:space="0"/>
            </w:tcBorders>
            <w:noWrap w:val="0"/>
            <w:vAlign w:val="center"/>
          </w:tcPr>
          <w:p w14:paraId="1869414E">
            <w:pPr>
              <w:rPr>
                <w:rFonts w:hint="eastAsia" w:ascii="宋体" w:hAnsi="宋体" w:cs="宋体"/>
                <w:kern w:val="0"/>
                <w:sz w:val="24"/>
                <w:szCs w:val="24"/>
                <w:highlight w:val="none"/>
              </w:rPr>
            </w:pPr>
            <w:r>
              <w:rPr>
                <w:rFonts w:hint="eastAsia" w:ascii="宋体" w:hAnsi="宋体" w:cs="宋体"/>
                <w:kern w:val="0"/>
                <w:sz w:val="24"/>
                <w:szCs w:val="24"/>
                <w:highlight w:val="none"/>
              </w:rPr>
              <w:t>　</w:t>
            </w:r>
          </w:p>
        </w:tc>
        <w:tc>
          <w:tcPr>
            <w:tcW w:w="3465" w:type="dxa"/>
            <w:tcBorders>
              <w:top w:val="single" w:color="auto" w:sz="4" w:space="0"/>
              <w:left w:val="nil"/>
              <w:bottom w:val="single" w:color="auto" w:sz="4" w:space="0"/>
              <w:right w:val="single" w:color="auto" w:sz="4" w:space="0"/>
            </w:tcBorders>
            <w:noWrap w:val="0"/>
            <w:vAlign w:val="center"/>
          </w:tcPr>
          <w:p w14:paraId="27D18F4D">
            <w:pPr>
              <w:rPr>
                <w:rFonts w:hint="eastAsia" w:ascii="宋体" w:hAnsi="宋体" w:cs="宋体"/>
                <w:kern w:val="0"/>
                <w:sz w:val="24"/>
                <w:szCs w:val="24"/>
                <w:highlight w:val="none"/>
              </w:rPr>
            </w:pPr>
          </w:p>
        </w:tc>
      </w:tr>
      <w:tr w14:paraId="51AF26D0">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noWrap w:val="0"/>
            <w:vAlign w:val="center"/>
          </w:tcPr>
          <w:p w14:paraId="475BFF6F">
            <w:pPr>
              <w:rPr>
                <w:rFonts w:hint="eastAsia" w:ascii="宋体" w:hAnsi="宋体" w:cs="宋体"/>
                <w:kern w:val="0"/>
                <w:sz w:val="24"/>
                <w:szCs w:val="24"/>
                <w:highlight w:val="none"/>
              </w:rPr>
            </w:pPr>
            <w:r>
              <w:rPr>
                <w:rFonts w:hint="eastAsia" w:ascii="宋体" w:hAnsi="宋体" w:cs="宋体"/>
                <w:kern w:val="0"/>
                <w:sz w:val="24"/>
                <w:szCs w:val="24"/>
                <w:highlight w:val="none"/>
              </w:rPr>
              <w:t>2</w:t>
            </w:r>
          </w:p>
        </w:tc>
        <w:tc>
          <w:tcPr>
            <w:tcW w:w="4488" w:type="dxa"/>
            <w:tcBorders>
              <w:top w:val="nil"/>
              <w:left w:val="nil"/>
              <w:bottom w:val="single" w:color="auto" w:sz="4" w:space="0"/>
              <w:right w:val="single" w:color="auto" w:sz="4" w:space="0"/>
            </w:tcBorders>
            <w:noWrap w:val="0"/>
            <w:vAlign w:val="center"/>
          </w:tcPr>
          <w:p w14:paraId="060D3A12">
            <w:pPr>
              <w:rPr>
                <w:rFonts w:hint="eastAsia" w:ascii="宋体" w:hAnsi="宋体" w:cs="宋体"/>
                <w:kern w:val="0"/>
                <w:sz w:val="24"/>
                <w:szCs w:val="24"/>
                <w:highlight w:val="none"/>
              </w:rPr>
            </w:pPr>
            <w:r>
              <w:rPr>
                <w:rFonts w:hint="eastAsia" w:ascii="宋体" w:hAnsi="宋体" w:cs="宋体"/>
                <w:kern w:val="0"/>
                <w:sz w:val="24"/>
                <w:szCs w:val="24"/>
                <w:highlight w:val="none"/>
              </w:rPr>
              <w:t>[单位工程2]</w:t>
            </w:r>
          </w:p>
        </w:tc>
        <w:tc>
          <w:tcPr>
            <w:tcW w:w="1602" w:type="dxa"/>
            <w:tcBorders>
              <w:top w:val="nil"/>
              <w:left w:val="nil"/>
              <w:bottom w:val="single" w:color="auto" w:sz="4" w:space="0"/>
              <w:right w:val="single" w:color="auto" w:sz="4" w:space="0"/>
            </w:tcBorders>
            <w:noWrap w:val="0"/>
            <w:vAlign w:val="center"/>
          </w:tcPr>
          <w:p w14:paraId="4EF5B702">
            <w:pPr>
              <w:rPr>
                <w:rFonts w:hint="eastAsia" w:ascii="宋体" w:hAnsi="宋体" w:cs="宋体"/>
                <w:kern w:val="0"/>
                <w:sz w:val="24"/>
                <w:szCs w:val="24"/>
                <w:highlight w:val="none"/>
              </w:rPr>
            </w:pPr>
            <w:r>
              <w:rPr>
                <w:rFonts w:hint="eastAsia" w:ascii="宋体" w:hAnsi="宋体" w:cs="宋体"/>
                <w:kern w:val="0"/>
                <w:sz w:val="24"/>
                <w:szCs w:val="24"/>
                <w:highlight w:val="none"/>
              </w:rPr>
              <w:t>　</w:t>
            </w:r>
          </w:p>
        </w:tc>
        <w:tc>
          <w:tcPr>
            <w:tcW w:w="1575" w:type="dxa"/>
            <w:tcBorders>
              <w:top w:val="nil"/>
              <w:left w:val="nil"/>
              <w:bottom w:val="single" w:color="auto" w:sz="4" w:space="0"/>
              <w:right w:val="single" w:color="auto" w:sz="4" w:space="0"/>
            </w:tcBorders>
            <w:noWrap w:val="0"/>
            <w:vAlign w:val="center"/>
          </w:tcPr>
          <w:p w14:paraId="70220ECF">
            <w:pPr>
              <w:rPr>
                <w:rFonts w:hint="eastAsia" w:ascii="宋体" w:hAnsi="宋体" w:cs="宋体"/>
                <w:kern w:val="0"/>
                <w:sz w:val="24"/>
                <w:szCs w:val="24"/>
                <w:highlight w:val="none"/>
              </w:rPr>
            </w:pPr>
            <w:r>
              <w:rPr>
                <w:rFonts w:hint="eastAsia" w:ascii="宋体" w:hAnsi="宋体" w:cs="宋体"/>
                <w:kern w:val="0"/>
                <w:sz w:val="24"/>
                <w:szCs w:val="24"/>
                <w:highlight w:val="none"/>
              </w:rPr>
              <w:t>　</w:t>
            </w:r>
          </w:p>
        </w:tc>
        <w:tc>
          <w:tcPr>
            <w:tcW w:w="1575" w:type="dxa"/>
            <w:tcBorders>
              <w:top w:val="nil"/>
              <w:left w:val="nil"/>
              <w:bottom w:val="single" w:color="auto" w:sz="4" w:space="0"/>
              <w:right w:val="single" w:color="auto" w:sz="4" w:space="0"/>
            </w:tcBorders>
            <w:noWrap w:val="0"/>
            <w:vAlign w:val="center"/>
          </w:tcPr>
          <w:p w14:paraId="1BC07E42">
            <w:pPr>
              <w:rPr>
                <w:rFonts w:hint="eastAsia" w:ascii="宋体" w:hAnsi="宋体" w:cs="宋体"/>
                <w:kern w:val="0"/>
                <w:sz w:val="24"/>
                <w:szCs w:val="24"/>
                <w:highlight w:val="none"/>
              </w:rPr>
            </w:pPr>
            <w:r>
              <w:rPr>
                <w:rFonts w:hint="eastAsia" w:ascii="宋体" w:hAnsi="宋体" w:cs="宋体"/>
                <w:kern w:val="0"/>
                <w:sz w:val="24"/>
                <w:szCs w:val="24"/>
                <w:highlight w:val="none"/>
              </w:rPr>
              <w:t>　</w:t>
            </w:r>
          </w:p>
        </w:tc>
        <w:tc>
          <w:tcPr>
            <w:tcW w:w="1470" w:type="dxa"/>
            <w:tcBorders>
              <w:top w:val="nil"/>
              <w:left w:val="nil"/>
              <w:bottom w:val="single" w:color="auto" w:sz="4" w:space="0"/>
              <w:right w:val="single" w:color="auto" w:sz="4" w:space="0"/>
            </w:tcBorders>
            <w:noWrap w:val="0"/>
            <w:vAlign w:val="center"/>
          </w:tcPr>
          <w:p w14:paraId="74857A74">
            <w:pPr>
              <w:rPr>
                <w:rFonts w:hint="eastAsia" w:ascii="宋体" w:hAnsi="宋体" w:cs="宋体"/>
                <w:kern w:val="0"/>
                <w:sz w:val="24"/>
                <w:szCs w:val="24"/>
                <w:highlight w:val="none"/>
              </w:rPr>
            </w:pPr>
            <w:r>
              <w:rPr>
                <w:rFonts w:hint="eastAsia" w:ascii="宋体" w:hAnsi="宋体" w:cs="宋体"/>
                <w:kern w:val="0"/>
                <w:sz w:val="24"/>
                <w:szCs w:val="24"/>
                <w:highlight w:val="none"/>
              </w:rPr>
              <w:t>　</w:t>
            </w:r>
          </w:p>
        </w:tc>
        <w:tc>
          <w:tcPr>
            <w:tcW w:w="3465" w:type="dxa"/>
            <w:tcBorders>
              <w:top w:val="single" w:color="auto" w:sz="4" w:space="0"/>
              <w:left w:val="nil"/>
              <w:bottom w:val="single" w:color="auto" w:sz="4" w:space="0"/>
              <w:right w:val="single" w:color="auto" w:sz="4" w:space="0"/>
            </w:tcBorders>
            <w:noWrap w:val="0"/>
            <w:vAlign w:val="center"/>
          </w:tcPr>
          <w:p w14:paraId="6FB3AA1B">
            <w:pPr>
              <w:rPr>
                <w:rFonts w:hint="eastAsia" w:ascii="宋体" w:hAnsi="宋体" w:cs="宋体"/>
                <w:kern w:val="0"/>
                <w:sz w:val="24"/>
                <w:szCs w:val="24"/>
                <w:highlight w:val="none"/>
              </w:rPr>
            </w:pPr>
          </w:p>
        </w:tc>
      </w:tr>
      <w:tr w14:paraId="266D2A2E">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noWrap w:val="0"/>
            <w:vAlign w:val="center"/>
          </w:tcPr>
          <w:p w14:paraId="65F81E6A">
            <w:pPr>
              <w:rPr>
                <w:rFonts w:hint="eastAsia" w:ascii="宋体" w:hAnsi="宋体" w:cs="宋体"/>
                <w:kern w:val="0"/>
                <w:sz w:val="24"/>
                <w:szCs w:val="24"/>
                <w:highlight w:val="none"/>
              </w:rPr>
            </w:pPr>
            <w:r>
              <w:rPr>
                <w:rFonts w:hint="eastAsia" w:ascii="宋体" w:hAnsi="宋体" w:cs="宋体"/>
                <w:kern w:val="0"/>
                <w:sz w:val="24"/>
                <w:szCs w:val="24"/>
                <w:highlight w:val="none"/>
              </w:rPr>
              <w:t>…</w:t>
            </w:r>
          </w:p>
        </w:tc>
        <w:tc>
          <w:tcPr>
            <w:tcW w:w="4488" w:type="dxa"/>
            <w:tcBorders>
              <w:top w:val="nil"/>
              <w:left w:val="nil"/>
              <w:bottom w:val="single" w:color="auto" w:sz="4" w:space="0"/>
              <w:right w:val="single" w:color="auto" w:sz="4" w:space="0"/>
            </w:tcBorders>
            <w:noWrap w:val="0"/>
            <w:vAlign w:val="center"/>
          </w:tcPr>
          <w:p w14:paraId="140C43D8">
            <w:pPr>
              <w:rPr>
                <w:rFonts w:hint="eastAsia" w:ascii="宋体" w:hAnsi="宋体" w:cs="宋体"/>
                <w:kern w:val="0"/>
                <w:sz w:val="24"/>
                <w:szCs w:val="24"/>
                <w:highlight w:val="none"/>
              </w:rPr>
            </w:pPr>
            <w:r>
              <w:rPr>
                <w:rFonts w:hint="eastAsia" w:ascii="宋体" w:hAnsi="宋体" w:cs="宋体"/>
                <w:kern w:val="0"/>
                <w:sz w:val="24"/>
                <w:szCs w:val="24"/>
                <w:highlight w:val="none"/>
              </w:rPr>
              <w:t>…</w:t>
            </w:r>
          </w:p>
        </w:tc>
        <w:tc>
          <w:tcPr>
            <w:tcW w:w="1602" w:type="dxa"/>
            <w:tcBorders>
              <w:top w:val="nil"/>
              <w:left w:val="nil"/>
              <w:bottom w:val="single" w:color="auto" w:sz="4" w:space="0"/>
              <w:right w:val="single" w:color="auto" w:sz="4" w:space="0"/>
            </w:tcBorders>
            <w:noWrap w:val="0"/>
            <w:vAlign w:val="center"/>
          </w:tcPr>
          <w:p w14:paraId="5188A84E">
            <w:pPr>
              <w:rPr>
                <w:rFonts w:hint="eastAsia" w:ascii="宋体" w:hAnsi="宋体" w:cs="宋体"/>
                <w:kern w:val="0"/>
                <w:sz w:val="24"/>
                <w:szCs w:val="24"/>
                <w:highlight w:val="none"/>
              </w:rPr>
            </w:pPr>
            <w:r>
              <w:rPr>
                <w:rFonts w:hint="eastAsia" w:ascii="宋体" w:hAnsi="宋体" w:cs="宋体"/>
                <w:kern w:val="0"/>
                <w:sz w:val="24"/>
                <w:szCs w:val="24"/>
                <w:highlight w:val="none"/>
              </w:rPr>
              <w:t>　</w:t>
            </w:r>
          </w:p>
        </w:tc>
        <w:tc>
          <w:tcPr>
            <w:tcW w:w="1575" w:type="dxa"/>
            <w:tcBorders>
              <w:top w:val="nil"/>
              <w:left w:val="nil"/>
              <w:bottom w:val="single" w:color="auto" w:sz="4" w:space="0"/>
              <w:right w:val="single" w:color="auto" w:sz="4" w:space="0"/>
            </w:tcBorders>
            <w:noWrap w:val="0"/>
            <w:vAlign w:val="center"/>
          </w:tcPr>
          <w:p w14:paraId="625CFF4F">
            <w:pPr>
              <w:rPr>
                <w:rFonts w:hint="eastAsia" w:ascii="宋体" w:hAnsi="宋体" w:cs="宋体"/>
                <w:kern w:val="0"/>
                <w:sz w:val="24"/>
                <w:szCs w:val="24"/>
                <w:highlight w:val="none"/>
              </w:rPr>
            </w:pPr>
            <w:r>
              <w:rPr>
                <w:rFonts w:hint="eastAsia" w:ascii="宋体" w:hAnsi="宋体" w:cs="宋体"/>
                <w:kern w:val="0"/>
                <w:sz w:val="24"/>
                <w:szCs w:val="24"/>
                <w:highlight w:val="none"/>
              </w:rPr>
              <w:t>　</w:t>
            </w:r>
          </w:p>
        </w:tc>
        <w:tc>
          <w:tcPr>
            <w:tcW w:w="1575" w:type="dxa"/>
            <w:tcBorders>
              <w:top w:val="nil"/>
              <w:left w:val="nil"/>
              <w:bottom w:val="single" w:color="auto" w:sz="4" w:space="0"/>
              <w:right w:val="single" w:color="auto" w:sz="4" w:space="0"/>
            </w:tcBorders>
            <w:noWrap w:val="0"/>
            <w:vAlign w:val="center"/>
          </w:tcPr>
          <w:p w14:paraId="0121E946">
            <w:pPr>
              <w:rPr>
                <w:rFonts w:hint="eastAsia" w:ascii="宋体" w:hAnsi="宋体" w:cs="宋体"/>
                <w:kern w:val="0"/>
                <w:sz w:val="24"/>
                <w:szCs w:val="24"/>
                <w:highlight w:val="none"/>
              </w:rPr>
            </w:pPr>
            <w:r>
              <w:rPr>
                <w:rFonts w:hint="eastAsia" w:ascii="宋体" w:hAnsi="宋体" w:cs="宋体"/>
                <w:kern w:val="0"/>
                <w:sz w:val="24"/>
                <w:szCs w:val="24"/>
                <w:highlight w:val="none"/>
              </w:rPr>
              <w:t>　</w:t>
            </w:r>
          </w:p>
        </w:tc>
        <w:tc>
          <w:tcPr>
            <w:tcW w:w="1470" w:type="dxa"/>
            <w:tcBorders>
              <w:top w:val="nil"/>
              <w:left w:val="nil"/>
              <w:bottom w:val="single" w:color="auto" w:sz="4" w:space="0"/>
              <w:right w:val="single" w:color="auto" w:sz="4" w:space="0"/>
            </w:tcBorders>
            <w:noWrap w:val="0"/>
            <w:vAlign w:val="center"/>
          </w:tcPr>
          <w:p w14:paraId="3DB910FC">
            <w:pPr>
              <w:rPr>
                <w:rFonts w:hint="eastAsia" w:ascii="宋体" w:hAnsi="宋体" w:cs="宋体"/>
                <w:kern w:val="0"/>
                <w:sz w:val="24"/>
                <w:szCs w:val="24"/>
                <w:highlight w:val="none"/>
              </w:rPr>
            </w:pPr>
            <w:r>
              <w:rPr>
                <w:rFonts w:hint="eastAsia" w:ascii="宋体" w:hAnsi="宋体" w:cs="宋体"/>
                <w:kern w:val="0"/>
                <w:sz w:val="24"/>
                <w:szCs w:val="24"/>
                <w:highlight w:val="none"/>
              </w:rPr>
              <w:t>　</w:t>
            </w:r>
          </w:p>
        </w:tc>
        <w:tc>
          <w:tcPr>
            <w:tcW w:w="3465" w:type="dxa"/>
            <w:tcBorders>
              <w:top w:val="single" w:color="auto" w:sz="4" w:space="0"/>
              <w:left w:val="nil"/>
              <w:bottom w:val="single" w:color="auto" w:sz="4" w:space="0"/>
              <w:right w:val="single" w:color="auto" w:sz="4" w:space="0"/>
            </w:tcBorders>
            <w:noWrap w:val="0"/>
            <w:vAlign w:val="center"/>
          </w:tcPr>
          <w:p w14:paraId="3B4D9D94">
            <w:pPr>
              <w:rPr>
                <w:rFonts w:hint="eastAsia" w:ascii="宋体" w:hAnsi="宋体" w:cs="宋体"/>
                <w:kern w:val="0"/>
                <w:sz w:val="24"/>
                <w:szCs w:val="24"/>
                <w:highlight w:val="none"/>
              </w:rPr>
            </w:pPr>
          </w:p>
        </w:tc>
      </w:tr>
      <w:tr w14:paraId="3E3F95DB">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noWrap w:val="0"/>
            <w:vAlign w:val="center"/>
          </w:tcPr>
          <w:p w14:paraId="7F88C24B">
            <w:pPr>
              <w:rPr>
                <w:rFonts w:hint="eastAsia" w:ascii="宋体" w:hAnsi="宋体" w:cs="宋体"/>
                <w:kern w:val="0"/>
                <w:sz w:val="24"/>
                <w:szCs w:val="24"/>
                <w:highlight w:val="none"/>
              </w:rPr>
            </w:pPr>
            <w:r>
              <w:rPr>
                <w:rFonts w:hint="eastAsia" w:ascii="宋体" w:hAnsi="宋体" w:cs="宋体"/>
                <w:kern w:val="0"/>
                <w:sz w:val="24"/>
                <w:szCs w:val="24"/>
                <w:highlight w:val="none"/>
              </w:rPr>
              <w:t>…</w:t>
            </w:r>
          </w:p>
        </w:tc>
        <w:tc>
          <w:tcPr>
            <w:tcW w:w="4488" w:type="dxa"/>
            <w:tcBorders>
              <w:top w:val="nil"/>
              <w:left w:val="nil"/>
              <w:bottom w:val="single" w:color="auto" w:sz="4" w:space="0"/>
              <w:right w:val="single" w:color="auto" w:sz="4" w:space="0"/>
            </w:tcBorders>
            <w:noWrap w:val="0"/>
            <w:vAlign w:val="center"/>
          </w:tcPr>
          <w:p w14:paraId="0D389ACA">
            <w:pPr>
              <w:rPr>
                <w:rFonts w:hint="eastAsia" w:ascii="宋体" w:hAnsi="宋体" w:cs="宋体"/>
                <w:kern w:val="0"/>
                <w:sz w:val="24"/>
                <w:szCs w:val="24"/>
                <w:highlight w:val="none"/>
              </w:rPr>
            </w:pPr>
            <w:r>
              <w:rPr>
                <w:rFonts w:hint="eastAsia" w:ascii="宋体" w:hAnsi="宋体" w:cs="宋体"/>
                <w:kern w:val="0"/>
                <w:sz w:val="24"/>
                <w:szCs w:val="24"/>
                <w:highlight w:val="none"/>
              </w:rPr>
              <w:t>…</w:t>
            </w:r>
          </w:p>
        </w:tc>
        <w:tc>
          <w:tcPr>
            <w:tcW w:w="1602" w:type="dxa"/>
            <w:tcBorders>
              <w:top w:val="nil"/>
              <w:left w:val="nil"/>
              <w:bottom w:val="single" w:color="auto" w:sz="4" w:space="0"/>
              <w:right w:val="single" w:color="auto" w:sz="4" w:space="0"/>
            </w:tcBorders>
            <w:noWrap w:val="0"/>
            <w:vAlign w:val="center"/>
          </w:tcPr>
          <w:p w14:paraId="6C229E5D">
            <w:pPr>
              <w:rPr>
                <w:rFonts w:hint="eastAsia" w:ascii="宋体" w:hAnsi="宋体" w:cs="宋体"/>
                <w:kern w:val="0"/>
                <w:sz w:val="24"/>
                <w:szCs w:val="24"/>
                <w:highlight w:val="none"/>
              </w:rPr>
            </w:pPr>
            <w:r>
              <w:rPr>
                <w:rFonts w:hint="eastAsia" w:ascii="宋体" w:hAnsi="宋体" w:cs="宋体"/>
                <w:kern w:val="0"/>
                <w:sz w:val="24"/>
                <w:szCs w:val="24"/>
                <w:highlight w:val="none"/>
              </w:rPr>
              <w:t>　</w:t>
            </w:r>
          </w:p>
        </w:tc>
        <w:tc>
          <w:tcPr>
            <w:tcW w:w="1575" w:type="dxa"/>
            <w:tcBorders>
              <w:top w:val="nil"/>
              <w:left w:val="nil"/>
              <w:bottom w:val="single" w:color="auto" w:sz="4" w:space="0"/>
              <w:right w:val="single" w:color="auto" w:sz="4" w:space="0"/>
            </w:tcBorders>
            <w:noWrap w:val="0"/>
            <w:vAlign w:val="center"/>
          </w:tcPr>
          <w:p w14:paraId="58EABD80">
            <w:pPr>
              <w:rPr>
                <w:rFonts w:hint="eastAsia" w:ascii="宋体" w:hAnsi="宋体" w:cs="宋体"/>
                <w:kern w:val="0"/>
                <w:sz w:val="24"/>
                <w:szCs w:val="24"/>
                <w:highlight w:val="none"/>
              </w:rPr>
            </w:pPr>
            <w:r>
              <w:rPr>
                <w:rFonts w:hint="eastAsia" w:ascii="宋体" w:hAnsi="宋体" w:cs="宋体"/>
                <w:kern w:val="0"/>
                <w:sz w:val="24"/>
                <w:szCs w:val="24"/>
                <w:highlight w:val="none"/>
              </w:rPr>
              <w:t>　</w:t>
            </w:r>
          </w:p>
        </w:tc>
        <w:tc>
          <w:tcPr>
            <w:tcW w:w="1575" w:type="dxa"/>
            <w:tcBorders>
              <w:top w:val="nil"/>
              <w:left w:val="nil"/>
              <w:bottom w:val="single" w:color="auto" w:sz="4" w:space="0"/>
              <w:right w:val="single" w:color="auto" w:sz="4" w:space="0"/>
            </w:tcBorders>
            <w:noWrap w:val="0"/>
            <w:vAlign w:val="center"/>
          </w:tcPr>
          <w:p w14:paraId="73C9DB22">
            <w:pPr>
              <w:rPr>
                <w:rFonts w:hint="eastAsia" w:ascii="宋体" w:hAnsi="宋体" w:cs="宋体"/>
                <w:kern w:val="0"/>
                <w:sz w:val="24"/>
                <w:szCs w:val="24"/>
                <w:highlight w:val="none"/>
              </w:rPr>
            </w:pPr>
            <w:r>
              <w:rPr>
                <w:rFonts w:hint="eastAsia" w:ascii="宋体" w:hAnsi="宋体" w:cs="宋体"/>
                <w:kern w:val="0"/>
                <w:sz w:val="24"/>
                <w:szCs w:val="24"/>
                <w:highlight w:val="none"/>
              </w:rPr>
              <w:t>　</w:t>
            </w:r>
          </w:p>
        </w:tc>
        <w:tc>
          <w:tcPr>
            <w:tcW w:w="1470" w:type="dxa"/>
            <w:tcBorders>
              <w:top w:val="nil"/>
              <w:left w:val="nil"/>
              <w:bottom w:val="single" w:color="auto" w:sz="4" w:space="0"/>
              <w:right w:val="single" w:color="auto" w:sz="4" w:space="0"/>
            </w:tcBorders>
            <w:noWrap w:val="0"/>
            <w:vAlign w:val="center"/>
          </w:tcPr>
          <w:p w14:paraId="6B597DC7">
            <w:pPr>
              <w:rPr>
                <w:rFonts w:hint="eastAsia" w:ascii="宋体" w:hAnsi="宋体" w:cs="宋体"/>
                <w:kern w:val="0"/>
                <w:sz w:val="24"/>
                <w:szCs w:val="24"/>
                <w:highlight w:val="none"/>
              </w:rPr>
            </w:pPr>
            <w:r>
              <w:rPr>
                <w:rFonts w:hint="eastAsia" w:ascii="宋体" w:hAnsi="宋体" w:cs="宋体"/>
                <w:kern w:val="0"/>
                <w:sz w:val="24"/>
                <w:szCs w:val="24"/>
                <w:highlight w:val="none"/>
              </w:rPr>
              <w:t>　</w:t>
            </w:r>
          </w:p>
        </w:tc>
        <w:tc>
          <w:tcPr>
            <w:tcW w:w="3465" w:type="dxa"/>
            <w:tcBorders>
              <w:top w:val="single" w:color="auto" w:sz="4" w:space="0"/>
              <w:left w:val="nil"/>
              <w:bottom w:val="single" w:color="auto" w:sz="4" w:space="0"/>
              <w:right w:val="single" w:color="auto" w:sz="4" w:space="0"/>
            </w:tcBorders>
            <w:noWrap w:val="0"/>
            <w:vAlign w:val="center"/>
          </w:tcPr>
          <w:p w14:paraId="7EEFD723">
            <w:pPr>
              <w:rPr>
                <w:rFonts w:hint="eastAsia" w:ascii="宋体" w:hAnsi="宋体" w:cs="宋体"/>
                <w:kern w:val="0"/>
                <w:sz w:val="24"/>
                <w:szCs w:val="24"/>
                <w:highlight w:val="none"/>
              </w:rPr>
            </w:pPr>
          </w:p>
        </w:tc>
      </w:tr>
      <w:tr w14:paraId="16130BB6">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noWrap w:val="0"/>
            <w:vAlign w:val="center"/>
          </w:tcPr>
          <w:p w14:paraId="569F97B6">
            <w:pPr>
              <w:rPr>
                <w:rFonts w:hint="eastAsia" w:ascii="宋体" w:hAnsi="宋体" w:cs="宋体"/>
                <w:kern w:val="0"/>
                <w:sz w:val="24"/>
                <w:szCs w:val="24"/>
                <w:highlight w:val="none"/>
              </w:rPr>
            </w:pPr>
            <w:r>
              <w:rPr>
                <w:rFonts w:hint="eastAsia" w:ascii="宋体" w:hAnsi="宋体" w:cs="宋体"/>
                <w:kern w:val="0"/>
                <w:sz w:val="24"/>
                <w:szCs w:val="24"/>
                <w:highlight w:val="none"/>
              </w:rPr>
              <w:t>…</w:t>
            </w:r>
          </w:p>
        </w:tc>
        <w:tc>
          <w:tcPr>
            <w:tcW w:w="4488" w:type="dxa"/>
            <w:tcBorders>
              <w:top w:val="nil"/>
              <w:left w:val="nil"/>
              <w:bottom w:val="single" w:color="auto" w:sz="4" w:space="0"/>
              <w:right w:val="single" w:color="auto" w:sz="4" w:space="0"/>
            </w:tcBorders>
            <w:noWrap w:val="0"/>
            <w:vAlign w:val="center"/>
          </w:tcPr>
          <w:p w14:paraId="701B8826">
            <w:pPr>
              <w:rPr>
                <w:rFonts w:hint="eastAsia" w:ascii="宋体" w:hAnsi="宋体" w:cs="宋体"/>
                <w:kern w:val="0"/>
                <w:sz w:val="24"/>
                <w:szCs w:val="24"/>
                <w:highlight w:val="none"/>
              </w:rPr>
            </w:pPr>
            <w:r>
              <w:rPr>
                <w:rFonts w:hint="eastAsia" w:ascii="宋体" w:hAnsi="宋体" w:cs="宋体"/>
                <w:kern w:val="0"/>
                <w:sz w:val="24"/>
                <w:szCs w:val="24"/>
                <w:highlight w:val="none"/>
              </w:rPr>
              <w:t>…</w:t>
            </w:r>
          </w:p>
        </w:tc>
        <w:tc>
          <w:tcPr>
            <w:tcW w:w="1602" w:type="dxa"/>
            <w:tcBorders>
              <w:top w:val="nil"/>
              <w:left w:val="nil"/>
              <w:bottom w:val="single" w:color="auto" w:sz="4" w:space="0"/>
              <w:right w:val="single" w:color="auto" w:sz="4" w:space="0"/>
            </w:tcBorders>
            <w:noWrap w:val="0"/>
            <w:vAlign w:val="center"/>
          </w:tcPr>
          <w:p w14:paraId="71126496">
            <w:pPr>
              <w:rPr>
                <w:rFonts w:hint="eastAsia" w:ascii="宋体" w:hAnsi="宋体" w:cs="宋体"/>
                <w:kern w:val="0"/>
                <w:sz w:val="24"/>
                <w:szCs w:val="24"/>
                <w:highlight w:val="none"/>
              </w:rPr>
            </w:pPr>
            <w:r>
              <w:rPr>
                <w:rFonts w:hint="eastAsia" w:ascii="宋体" w:hAnsi="宋体" w:cs="宋体"/>
                <w:kern w:val="0"/>
                <w:sz w:val="24"/>
                <w:szCs w:val="24"/>
                <w:highlight w:val="none"/>
              </w:rPr>
              <w:t>　</w:t>
            </w:r>
          </w:p>
        </w:tc>
        <w:tc>
          <w:tcPr>
            <w:tcW w:w="1575" w:type="dxa"/>
            <w:tcBorders>
              <w:top w:val="nil"/>
              <w:left w:val="nil"/>
              <w:bottom w:val="single" w:color="auto" w:sz="4" w:space="0"/>
              <w:right w:val="single" w:color="auto" w:sz="4" w:space="0"/>
            </w:tcBorders>
            <w:noWrap w:val="0"/>
            <w:vAlign w:val="center"/>
          </w:tcPr>
          <w:p w14:paraId="45D7808C">
            <w:pPr>
              <w:rPr>
                <w:rFonts w:hint="eastAsia" w:ascii="宋体" w:hAnsi="宋体" w:cs="宋体"/>
                <w:kern w:val="0"/>
                <w:sz w:val="24"/>
                <w:szCs w:val="24"/>
                <w:highlight w:val="none"/>
              </w:rPr>
            </w:pPr>
            <w:r>
              <w:rPr>
                <w:rFonts w:hint="eastAsia" w:ascii="宋体" w:hAnsi="宋体" w:cs="宋体"/>
                <w:kern w:val="0"/>
                <w:sz w:val="24"/>
                <w:szCs w:val="24"/>
                <w:highlight w:val="none"/>
              </w:rPr>
              <w:t>　</w:t>
            </w:r>
          </w:p>
        </w:tc>
        <w:tc>
          <w:tcPr>
            <w:tcW w:w="1575" w:type="dxa"/>
            <w:tcBorders>
              <w:top w:val="nil"/>
              <w:left w:val="nil"/>
              <w:bottom w:val="single" w:color="auto" w:sz="4" w:space="0"/>
              <w:right w:val="single" w:color="auto" w:sz="4" w:space="0"/>
            </w:tcBorders>
            <w:noWrap w:val="0"/>
            <w:vAlign w:val="center"/>
          </w:tcPr>
          <w:p w14:paraId="0F653F4A">
            <w:pPr>
              <w:rPr>
                <w:rFonts w:hint="eastAsia" w:ascii="宋体" w:hAnsi="宋体" w:cs="宋体"/>
                <w:kern w:val="0"/>
                <w:sz w:val="24"/>
                <w:szCs w:val="24"/>
                <w:highlight w:val="none"/>
              </w:rPr>
            </w:pPr>
            <w:r>
              <w:rPr>
                <w:rFonts w:hint="eastAsia" w:ascii="宋体" w:hAnsi="宋体" w:cs="宋体"/>
                <w:kern w:val="0"/>
                <w:sz w:val="24"/>
                <w:szCs w:val="24"/>
                <w:highlight w:val="none"/>
              </w:rPr>
              <w:t>　</w:t>
            </w:r>
          </w:p>
        </w:tc>
        <w:tc>
          <w:tcPr>
            <w:tcW w:w="1470" w:type="dxa"/>
            <w:tcBorders>
              <w:top w:val="nil"/>
              <w:left w:val="nil"/>
              <w:bottom w:val="single" w:color="auto" w:sz="4" w:space="0"/>
              <w:right w:val="single" w:color="auto" w:sz="4" w:space="0"/>
            </w:tcBorders>
            <w:noWrap w:val="0"/>
            <w:vAlign w:val="center"/>
          </w:tcPr>
          <w:p w14:paraId="216116A4">
            <w:pPr>
              <w:rPr>
                <w:rFonts w:hint="eastAsia" w:ascii="宋体" w:hAnsi="宋体" w:cs="宋体"/>
                <w:kern w:val="0"/>
                <w:sz w:val="24"/>
                <w:szCs w:val="24"/>
                <w:highlight w:val="none"/>
              </w:rPr>
            </w:pPr>
            <w:r>
              <w:rPr>
                <w:rFonts w:hint="eastAsia" w:ascii="宋体" w:hAnsi="宋体" w:cs="宋体"/>
                <w:kern w:val="0"/>
                <w:sz w:val="24"/>
                <w:szCs w:val="24"/>
                <w:highlight w:val="none"/>
              </w:rPr>
              <w:t>　</w:t>
            </w:r>
          </w:p>
        </w:tc>
        <w:tc>
          <w:tcPr>
            <w:tcW w:w="3465" w:type="dxa"/>
            <w:tcBorders>
              <w:top w:val="single" w:color="auto" w:sz="4" w:space="0"/>
              <w:left w:val="nil"/>
              <w:bottom w:val="single" w:color="auto" w:sz="4" w:space="0"/>
              <w:right w:val="single" w:color="auto" w:sz="4" w:space="0"/>
            </w:tcBorders>
            <w:noWrap w:val="0"/>
            <w:vAlign w:val="center"/>
          </w:tcPr>
          <w:p w14:paraId="22F0849B">
            <w:pPr>
              <w:rPr>
                <w:rFonts w:hint="eastAsia" w:ascii="宋体" w:hAnsi="宋体" w:cs="宋体"/>
                <w:kern w:val="0"/>
                <w:sz w:val="24"/>
                <w:szCs w:val="24"/>
                <w:highlight w:val="none"/>
              </w:rPr>
            </w:pPr>
          </w:p>
        </w:tc>
      </w:tr>
      <w:tr w14:paraId="47718747">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noWrap w:val="0"/>
            <w:vAlign w:val="center"/>
          </w:tcPr>
          <w:p w14:paraId="66F08D7F">
            <w:pPr>
              <w:rPr>
                <w:rFonts w:hint="eastAsia" w:ascii="宋体" w:hAnsi="宋体" w:cs="宋体"/>
                <w:kern w:val="0"/>
                <w:sz w:val="24"/>
                <w:szCs w:val="24"/>
                <w:highlight w:val="none"/>
              </w:rPr>
            </w:pPr>
            <w:r>
              <w:rPr>
                <w:rFonts w:hint="eastAsia" w:ascii="宋体" w:hAnsi="宋体" w:cs="宋体"/>
                <w:kern w:val="0"/>
                <w:sz w:val="24"/>
                <w:szCs w:val="24"/>
                <w:highlight w:val="none"/>
              </w:rPr>
              <w:t>n</w:t>
            </w:r>
          </w:p>
        </w:tc>
        <w:tc>
          <w:tcPr>
            <w:tcW w:w="4488" w:type="dxa"/>
            <w:tcBorders>
              <w:top w:val="nil"/>
              <w:left w:val="nil"/>
              <w:bottom w:val="single" w:color="auto" w:sz="4" w:space="0"/>
              <w:right w:val="single" w:color="auto" w:sz="4" w:space="0"/>
            </w:tcBorders>
            <w:noWrap w:val="0"/>
            <w:vAlign w:val="center"/>
          </w:tcPr>
          <w:p w14:paraId="0F0A1BBC">
            <w:pPr>
              <w:rPr>
                <w:rFonts w:hint="eastAsia" w:ascii="宋体" w:hAnsi="宋体" w:cs="宋体"/>
                <w:kern w:val="0"/>
                <w:sz w:val="24"/>
                <w:szCs w:val="24"/>
                <w:highlight w:val="none"/>
              </w:rPr>
            </w:pPr>
            <w:r>
              <w:rPr>
                <w:rFonts w:hint="eastAsia" w:ascii="宋体" w:hAnsi="宋体" w:cs="宋体"/>
                <w:kern w:val="0"/>
                <w:sz w:val="24"/>
                <w:szCs w:val="24"/>
                <w:highlight w:val="none"/>
              </w:rPr>
              <w:t>[单位工程n]</w:t>
            </w:r>
          </w:p>
        </w:tc>
        <w:tc>
          <w:tcPr>
            <w:tcW w:w="1602" w:type="dxa"/>
            <w:tcBorders>
              <w:top w:val="nil"/>
              <w:left w:val="nil"/>
              <w:bottom w:val="single" w:color="auto" w:sz="4" w:space="0"/>
              <w:right w:val="single" w:color="auto" w:sz="4" w:space="0"/>
            </w:tcBorders>
            <w:noWrap w:val="0"/>
            <w:vAlign w:val="center"/>
          </w:tcPr>
          <w:p w14:paraId="7E16CA43">
            <w:pPr>
              <w:rPr>
                <w:rFonts w:hint="eastAsia" w:ascii="宋体" w:hAnsi="宋体" w:cs="宋体"/>
                <w:kern w:val="0"/>
                <w:sz w:val="24"/>
                <w:szCs w:val="24"/>
                <w:highlight w:val="none"/>
              </w:rPr>
            </w:pPr>
            <w:r>
              <w:rPr>
                <w:rFonts w:hint="eastAsia" w:ascii="宋体" w:hAnsi="宋体" w:cs="宋体"/>
                <w:kern w:val="0"/>
                <w:sz w:val="24"/>
                <w:szCs w:val="24"/>
                <w:highlight w:val="none"/>
              </w:rPr>
              <w:t>　</w:t>
            </w:r>
          </w:p>
        </w:tc>
        <w:tc>
          <w:tcPr>
            <w:tcW w:w="1575" w:type="dxa"/>
            <w:tcBorders>
              <w:top w:val="nil"/>
              <w:left w:val="nil"/>
              <w:bottom w:val="single" w:color="auto" w:sz="4" w:space="0"/>
              <w:right w:val="single" w:color="auto" w:sz="4" w:space="0"/>
            </w:tcBorders>
            <w:noWrap w:val="0"/>
            <w:vAlign w:val="center"/>
          </w:tcPr>
          <w:p w14:paraId="13E0BC34">
            <w:pPr>
              <w:rPr>
                <w:rFonts w:hint="eastAsia" w:ascii="宋体" w:hAnsi="宋体" w:cs="宋体"/>
                <w:kern w:val="0"/>
                <w:sz w:val="24"/>
                <w:szCs w:val="24"/>
                <w:highlight w:val="none"/>
              </w:rPr>
            </w:pPr>
            <w:r>
              <w:rPr>
                <w:rFonts w:hint="eastAsia" w:ascii="宋体" w:hAnsi="宋体" w:cs="宋体"/>
                <w:kern w:val="0"/>
                <w:sz w:val="24"/>
                <w:szCs w:val="24"/>
                <w:highlight w:val="none"/>
              </w:rPr>
              <w:t>　</w:t>
            </w:r>
          </w:p>
        </w:tc>
        <w:tc>
          <w:tcPr>
            <w:tcW w:w="1575" w:type="dxa"/>
            <w:tcBorders>
              <w:top w:val="nil"/>
              <w:left w:val="nil"/>
              <w:bottom w:val="single" w:color="auto" w:sz="4" w:space="0"/>
              <w:right w:val="single" w:color="auto" w:sz="4" w:space="0"/>
            </w:tcBorders>
            <w:noWrap w:val="0"/>
            <w:vAlign w:val="center"/>
          </w:tcPr>
          <w:p w14:paraId="508185DA">
            <w:pPr>
              <w:rPr>
                <w:rFonts w:hint="eastAsia" w:ascii="宋体" w:hAnsi="宋体" w:cs="宋体"/>
                <w:kern w:val="0"/>
                <w:sz w:val="24"/>
                <w:szCs w:val="24"/>
                <w:highlight w:val="none"/>
              </w:rPr>
            </w:pPr>
            <w:r>
              <w:rPr>
                <w:rFonts w:hint="eastAsia" w:ascii="宋体" w:hAnsi="宋体" w:cs="宋体"/>
                <w:kern w:val="0"/>
                <w:sz w:val="24"/>
                <w:szCs w:val="24"/>
                <w:highlight w:val="none"/>
              </w:rPr>
              <w:t>　</w:t>
            </w:r>
          </w:p>
        </w:tc>
        <w:tc>
          <w:tcPr>
            <w:tcW w:w="1470" w:type="dxa"/>
            <w:tcBorders>
              <w:top w:val="nil"/>
              <w:left w:val="nil"/>
              <w:bottom w:val="single" w:color="auto" w:sz="4" w:space="0"/>
              <w:right w:val="single" w:color="auto" w:sz="4" w:space="0"/>
            </w:tcBorders>
            <w:noWrap w:val="0"/>
            <w:vAlign w:val="center"/>
          </w:tcPr>
          <w:p w14:paraId="7C0286CA">
            <w:pPr>
              <w:rPr>
                <w:rFonts w:hint="eastAsia" w:ascii="宋体" w:hAnsi="宋体" w:cs="宋体"/>
                <w:kern w:val="0"/>
                <w:sz w:val="24"/>
                <w:szCs w:val="24"/>
                <w:highlight w:val="none"/>
              </w:rPr>
            </w:pPr>
            <w:r>
              <w:rPr>
                <w:rFonts w:hint="eastAsia" w:ascii="宋体" w:hAnsi="宋体" w:cs="宋体"/>
                <w:kern w:val="0"/>
                <w:sz w:val="24"/>
                <w:szCs w:val="24"/>
                <w:highlight w:val="none"/>
              </w:rPr>
              <w:t>　</w:t>
            </w:r>
          </w:p>
        </w:tc>
        <w:tc>
          <w:tcPr>
            <w:tcW w:w="3465" w:type="dxa"/>
            <w:tcBorders>
              <w:top w:val="single" w:color="auto" w:sz="4" w:space="0"/>
              <w:left w:val="nil"/>
              <w:bottom w:val="single" w:color="auto" w:sz="4" w:space="0"/>
              <w:right w:val="single" w:color="auto" w:sz="4" w:space="0"/>
            </w:tcBorders>
            <w:noWrap w:val="0"/>
            <w:vAlign w:val="center"/>
          </w:tcPr>
          <w:p w14:paraId="00D6A305">
            <w:pPr>
              <w:rPr>
                <w:rFonts w:hint="eastAsia" w:ascii="宋体" w:hAnsi="宋体" w:cs="宋体"/>
                <w:kern w:val="0"/>
                <w:sz w:val="24"/>
                <w:szCs w:val="24"/>
                <w:highlight w:val="none"/>
              </w:rPr>
            </w:pPr>
          </w:p>
        </w:tc>
      </w:tr>
      <w:tr w14:paraId="0FAB4161">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noWrap w:val="0"/>
            <w:vAlign w:val="center"/>
          </w:tcPr>
          <w:p w14:paraId="27BEA07A">
            <w:pPr>
              <w:rPr>
                <w:rFonts w:hint="eastAsia" w:ascii="宋体" w:hAnsi="宋体" w:cs="宋体"/>
                <w:kern w:val="0"/>
                <w:sz w:val="24"/>
                <w:szCs w:val="24"/>
                <w:highlight w:val="none"/>
              </w:rPr>
            </w:pPr>
            <w:r>
              <w:rPr>
                <w:rFonts w:hint="eastAsia" w:ascii="宋体" w:hAnsi="宋体" w:cs="宋体"/>
                <w:kern w:val="0"/>
                <w:sz w:val="24"/>
                <w:szCs w:val="24"/>
                <w:highlight w:val="none"/>
              </w:rPr>
              <w:t>∑</w:t>
            </w:r>
          </w:p>
        </w:tc>
        <w:tc>
          <w:tcPr>
            <w:tcW w:w="4488" w:type="dxa"/>
            <w:tcBorders>
              <w:top w:val="nil"/>
              <w:left w:val="nil"/>
              <w:bottom w:val="single" w:color="auto" w:sz="4" w:space="0"/>
              <w:right w:val="single" w:color="auto" w:sz="4" w:space="0"/>
            </w:tcBorders>
            <w:noWrap w:val="0"/>
            <w:vAlign w:val="center"/>
          </w:tcPr>
          <w:p w14:paraId="0FFA601F">
            <w:pPr>
              <w:rPr>
                <w:rFonts w:hint="eastAsia" w:ascii="宋体" w:hAnsi="宋体" w:cs="宋体"/>
                <w:kern w:val="0"/>
                <w:sz w:val="24"/>
                <w:szCs w:val="24"/>
                <w:highlight w:val="none"/>
              </w:rPr>
            </w:pPr>
            <w:r>
              <w:rPr>
                <w:rFonts w:hint="eastAsia" w:ascii="宋体" w:hAnsi="宋体" w:cs="宋体"/>
                <w:kern w:val="0"/>
                <w:sz w:val="24"/>
                <w:szCs w:val="24"/>
                <w:highlight w:val="none"/>
              </w:rPr>
              <w:t>投标总报价</w:t>
            </w:r>
          </w:p>
        </w:tc>
        <w:tc>
          <w:tcPr>
            <w:tcW w:w="1602" w:type="dxa"/>
            <w:tcBorders>
              <w:top w:val="nil"/>
              <w:left w:val="nil"/>
              <w:bottom w:val="single" w:color="auto" w:sz="4" w:space="0"/>
              <w:right w:val="single" w:color="auto" w:sz="4" w:space="0"/>
            </w:tcBorders>
            <w:noWrap w:val="0"/>
            <w:vAlign w:val="center"/>
          </w:tcPr>
          <w:p w14:paraId="66C18B63">
            <w:pPr>
              <w:rPr>
                <w:rFonts w:hint="eastAsia" w:ascii="宋体" w:hAnsi="宋体" w:cs="宋体"/>
                <w:kern w:val="0"/>
                <w:sz w:val="24"/>
                <w:szCs w:val="24"/>
                <w:highlight w:val="none"/>
              </w:rPr>
            </w:pPr>
            <w:r>
              <w:rPr>
                <w:rFonts w:hint="eastAsia" w:ascii="宋体" w:hAnsi="宋体" w:cs="宋体"/>
                <w:kern w:val="0"/>
                <w:sz w:val="24"/>
                <w:szCs w:val="24"/>
                <w:highlight w:val="none"/>
              </w:rPr>
              <w:t>　</w:t>
            </w:r>
          </w:p>
        </w:tc>
        <w:tc>
          <w:tcPr>
            <w:tcW w:w="1575" w:type="dxa"/>
            <w:tcBorders>
              <w:top w:val="nil"/>
              <w:left w:val="nil"/>
              <w:bottom w:val="single" w:color="auto" w:sz="4" w:space="0"/>
              <w:right w:val="single" w:color="auto" w:sz="4" w:space="0"/>
            </w:tcBorders>
            <w:noWrap w:val="0"/>
            <w:vAlign w:val="center"/>
          </w:tcPr>
          <w:p w14:paraId="4996210D">
            <w:pPr>
              <w:rPr>
                <w:rFonts w:hint="eastAsia" w:ascii="宋体" w:hAnsi="宋体" w:cs="宋体"/>
                <w:kern w:val="0"/>
                <w:sz w:val="24"/>
                <w:szCs w:val="24"/>
                <w:highlight w:val="none"/>
              </w:rPr>
            </w:pPr>
            <w:r>
              <w:rPr>
                <w:rFonts w:hint="eastAsia" w:ascii="宋体" w:hAnsi="宋体" w:cs="宋体"/>
                <w:kern w:val="0"/>
                <w:sz w:val="24"/>
                <w:szCs w:val="24"/>
                <w:highlight w:val="none"/>
              </w:rPr>
              <w:t>　</w:t>
            </w:r>
          </w:p>
        </w:tc>
        <w:tc>
          <w:tcPr>
            <w:tcW w:w="1575" w:type="dxa"/>
            <w:tcBorders>
              <w:top w:val="nil"/>
              <w:left w:val="nil"/>
              <w:bottom w:val="single" w:color="auto" w:sz="4" w:space="0"/>
              <w:right w:val="single" w:color="auto" w:sz="4" w:space="0"/>
            </w:tcBorders>
            <w:noWrap w:val="0"/>
            <w:vAlign w:val="center"/>
          </w:tcPr>
          <w:p w14:paraId="30CF0FEE">
            <w:pPr>
              <w:rPr>
                <w:rFonts w:hint="eastAsia" w:ascii="宋体" w:hAnsi="宋体" w:cs="宋体"/>
                <w:kern w:val="0"/>
                <w:sz w:val="24"/>
                <w:szCs w:val="24"/>
                <w:highlight w:val="none"/>
              </w:rPr>
            </w:pPr>
            <w:r>
              <w:rPr>
                <w:rFonts w:hint="eastAsia" w:ascii="宋体" w:hAnsi="宋体" w:cs="宋体"/>
                <w:kern w:val="0"/>
                <w:sz w:val="24"/>
                <w:szCs w:val="24"/>
                <w:highlight w:val="none"/>
              </w:rPr>
              <w:t>　</w:t>
            </w:r>
          </w:p>
        </w:tc>
        <w:tc>
          <w:tcPr>
            <w:tcW w:w="1470" w:type="dxa"/>
            <w:tcBorders>
              <w:top w:val="nil"/>
              <w:left w:val="nil"/>
              <w:bottom w:val="single" w:color="auto" w:sz="4" w:space="0"/>
              <w:right w:val="single" w:color="auto" w:sz="4" w:space="0"/>
            </w:tcBorders>
            <w:noWrap w:val="0"/>
            <w:vAlign w:val="center"/>
          </w:tcPr>
          <w:p w14:paraId="74F3C229">
            <w:pPr>
              <w:rPr>
                <w:rFonts w:hint="eastAsia" w:ascii="宋体" w:hAnsi="宋体" w:cs="宋体"/>
                <w:kern w:val="0"/>
                <w:sz w:val="24"/>
                <w:szCs w:val="24"/>
                <w:highlight w:val="none"/>
              </w:rPr>
            </w:pPr>
            <w:r>
              <w:rPr>
                <w:rFonts w:hint="eastAsia" w:ascii="宋体" w:hAnsi="宋体" w:cs="宋体"/>
                <w:kern w:val="0"/>
                <w:sz w:val="24"/>
                <w:szCs w:val="24"/>
                <w:highlight w:val="none"/>
              </w:rPr>
              <w:t>　</w:t>
            </w:r>
          </w:p>
        </w:tc>
        <w:tc>
          <w:tcPr>
            <w:tcW w:w="3465" w:type="dxa"/>
            <w:tcBorders>
              <w:top w:val="single" w:color="auto" w:sz="4" w:space="0"/>
              <w:left w:val="nil"/>
              <w:bottom w:val="single" w:color="auto" w:sz="4" w:space="0"/>
              <w:right w:val="single" w:color="auto" w:sz="4" w:space="0"/>
            </w:tcBorders>
            <w:noWrap w:val="0"/>
            <w:vAlign w:val="center"/>
          </w:tcPr>
          <w:p w14:paraId="5699E750">
            <w:pPr>
              <w:rPr>
                <w:rFonts w:hint="eastAsia" w:ascii="宋体" w:hAnsi="宋体" w:cs="宋体"/>
                <w:kern w:val="0"/>
                <w:sz w:val="24"/>
                <w:szCs w:val="24"/>
                <w:highlight w:val="none"/>
              </w:rPr>
            </w:pPr>
            <w:r>
              <w:rPr>
                <w:rFonts w:hint="eastAsia" w:ascii="宋体" w:hAnsi="宋体" w:cs="宋体"/>
                <w:kern w:val="0"/>
                <w:sz w:val="24"/>
                <w:szCs w:val="24"/>
                <w:highlight w:val="none"/>
              </w:rPr>
              <w:t>∑A=A</w:t>
            </w:r>
            <w:r>
              <w:rPr>
                <w:rFonts w:hint="eastAsia" w:ascii="宋体" w:hAnsi="宋体" w:cs="宋体"/>
                <w:kern w:val="0"/>
                <w:sz w:val="24"/>
                <w:szCs w:val="24"/>
                <w:highlight w:val="none"/>
                <w:vertAlign w:val="subscript"/>
              </w:rPr>
              <w:t>1</w:t>
            </w:r>
            <w:r>
              <w:rPr>
                <w:rFonts w:hint="eastAsia" w:ascii="宋体" w:hAnsi="宋体" w:cs="宋体"/>
                <w:kern w:val="0"/>
                <w:sz w:val="24"/>
                <w:szCs w:val="24"/>
                <w:highlight w:val="none"/>
              </w:rPr>
              <w:t>+A</w:t>
            </w:r>
            <w:r>
              <w:rPr>
                <w:rFonts w:hint="eastAsia" w:ascii="宋体" w:hAnsi="宋体" w:cs="宋体"/>
                <w:kern w:val="0"/>
                <w:sz w:val="24"/>
                <w:szCs w:val="24"/>
                <w:highlight w:val="none"/>
                <w:vertAlign w:val="subscript"/>
              </w:rPr>
              <w:t>2</w:t>
            </w:r>
            <w:r>
              <w:rPr>
                <w:rFonts w:hint="eastAsia" w:ascii="宋体" w:hAnsi="宋体" w:cs="宋体"/>
                <w:kern w:val="0"/>
                <w:sz w:val="24"/>
                <w:szCs w:val="24"/>
                <w:highlight w:val="none"/>
              </w:rPr>
              <w:t>+…An；∑B=B</w:t>
            </w:r>
            <w:r>
              <w:rPr>
                <w:rFonts w:hint="eastAsia" w:ascii="宋体" w:hAnsi="宋体" w:cs="宋体"/>
                <w:kern w:val="0"/>
                <w:sz w:val="24"/>
                <w:szCs w:val="24"/>
                <w:highlight w:val="none"/>
                <w:vertAlign w:val="subscript"/>
              </w:rPr>
              <w:t>1</w:t>
            </w:r>
            <w:r>
              <w:rPr>
                <w:rFonts w:hint="eastAsia" w:ascii="宋体" w:hAnsi="宋体" w:cs="宋体"/>
                <w:kern w:val="0"/>
                <w:sz w:val="24"/>
                <w:szCs w:val="24"/>
                <w:highlight w:val="none"/>
              </w:rPr>
              <w:t>+B</w:t>
            </w:r>
            <w:r>
              <w:rPr>
                <w:rFonts w:hint="eastAsia" w:ascii="宋体" w:hAnsi="宋体" w:cs="宋体"/>
                <w:kern w:val="0"/>
                <w:sz w:val="24"/>
                <w:szCs w:val="24"/>
                <w:highlight w:val="none"/>
                <w:vertAlign w:val="subscript"/>
              </w:rPr>
              <w:t>2</w:t>
            </w:r>
            <w:r>
              <w:rPr>
                <w:rFonts w:hint="eastAsia" w:ascii="宋体" w:hAnsi="宋体" w:cs="宋体"/>
                <w:kern w:val="0"/>
                <w:sz w:val="24"/>
                <w:szCs w:val="24"/>
                <w:highlight w:val="none"/>
              </w:rPr>
              <w:t>+…Bn</w:t>
            </w:r>
          </w:p>
        </w:tc>
      </w:tr>
    </w:tbl>
    <w:p w14:paraId="4CB74A56">
      <w:pPr>
        <w:rPr>
          <w:rFonts w:hint="eastAsia" w:ascii="宋体" w:hAnsi="宋体" w:cs="宋体"/>
          <w:kern w:val="0"/>
          <w:highlight w:val="none"/>
        </w:rPr>
      </w:pPr>
      <w:r>
        <w:rPr>
          <w:rFonts w:hint="eastAsia" w:ascii="宋体" w:hAnsi="宋体" w:cs="宋体"/>
          <w:kern w:val="0"/>
          <w:highlight w:val="none"/>
        </w:rPr>
        <w:t>修正原则：</w:t>
      </w:r>
      <w:r>
        <w:rPr>
          <w:rFonts w:hint="eastAsia" w:ascii="宋体" w:hAnsi="宋体" w:cs="宋体"/>
          <w:highlight w:val="none"/>
        </w:rPr>
        <w:t>按就低不就高原则，当修正后报价小于原报价，总价按修正后报价；当修正后报价大于原报价，总价按原报价，并在签订合同时载明在结算价中扣除修正报价与原报价的差额。</w:t>
      </w:r>
      <w:r>
        <w:rPr>
          <w:rFonts w:hint="eastAsia" w:ascii="宋体" w:hAnsi="宋体" w:cs="宋体"/>
          <w:kern w:val="0"/>
          <w:highlight w:val="none"/>
        </w:rPr>
        <w:tab/>
      </w:r>
    </w:p>
    <w:p w14:paraId="7F3EAC3A">
      <w:pPr>
        <w:rPr>
          <w:rFonts w:hint="eastAsia" w:ascii="宋体" w:hAnsi="宋体" w:cs="宋体"/>
          <w:kern w:val="0"/>
          <w:highlight w:val="none"/>
        </w:rPr>
      </w:pPr>
      <w:r>
        <w:rPr>
          <w:rFonts w:hint="eastAsia" w:ascii="宋体" w:hAnsi="宋体" w:cs="宋体"/>
          <w:kern w:val="0"/>
          <w:highlight w:val="none"/>
        </w:rPr>
        <w:t>评委签名：</w:t>
      </w:r>
      <w:r>
        <w:rPr>
          <w:rFonts w:hint="eastAsia" w:ascii="宋体" w:hAnsi="宋体" w:cs="宋体"/>
          <w:kern w:val="0"/>
          <w:highlight w:val="none"/>
        </w:rPr>
        <w:tab/>
      </w:r>
      <w:r>
        <w:rPr>
          <w:rFonts w:hint="eastAsia" w:ascii="宋体" w:hAnsi="宋体" w:cs="宋体"/>
          <w:kern w:val="0"/>
          <w:highlight w:val="none"/>
        </w:rPr>
        <w:tab/>
      </w:r>
      <w:r>
        <w:rPr>
          <w:rFonts w:hint="eastAsia" w:ascii="宋体" w:hAnsi="宋体" w:cs="宋体"/>
          <w:kern w:val="0"/>
          <w:highlight w:val="none"/>
        </w:rPr>
        <w:tab/>
      </w:r>
      <w:r>
        <w:rPr>
          <w:rFonts w:hint="eastAsia" w:ascii="宋体" w:hAnsi="宋体" w:cs="宋体"/>
          <w:kern w:val="0"/>
          <w:highlight w:val="none"/>
        </w:rPr>
        <w:tab/>
      </w:r>
      <w:r>
        <w:rPr>
          <w:rFonts w:hint="eastAsia" w:ascii="宋体" w:hAnsi="宋体" w:cs="宋体"/>
          <w:kern w:val="0"/>
          <w:highlight w:val="none"/>
        </w:rPr>
        <w:tab/>
      </w:r>
      <w:r>
        <w:rPr>
          <w:rFonts w:hint="eastAsia" w:ascii="宋体" w:hAnsi="宋体" w:cs="宋体"/>
          <w:kern w:val="0"/>
          <w:highlight w:val="none"/>
        </w:rPr>
        <w:t>日期：</w:t>
      </w:r>
    </w:p>
    <w:p w14:paraId="1C723536">
      <w:pPr>
        <w:rPr>
          <w:rFonts w:hint="eastAsia" w:ascii="宋体" w:hAnsi="宋体" w:cs="宋体"/>
          <w:highlight w:val="none"/>
        </w:rPr>
      </w:pPr>
      <w:r>
        <w:rPr>
          <w:rFonts w:hint="eastAsia" w:ascii="宋体" w:hAnsi="宋体" w:cs="宋体"/>
          <w:highlight w:val="none"/>
        </w:rPr>
        <w:t xml:space="preserve"> </w:t>
      </w:r>
    </w:p>
    <w:p w14:paraId="60E380FB">
      <w:pPr>
        <w:jc w:val="center"/>
        <w:rPr>
          <w:rFonts w:hint="eastAsia" w:ascii="宋体" w:hAnsi="宋体" w:cs="宋体"/>
          <w:b/>
          <w:bCs/>
          <w:sz w:val="36"/>
          <w:szCs w:val="36"/>
          <w:highlight w:val="none"/>
        </w:rPr>
      </w:pPr>
      <w:r>
        <w:rPr>
          <w:rFonts w:hint="eastAsia" w:ascii="宋体" w:hAnsi="宋体" w:cs="宋体"/>
          <w:b/>
          <w:bCs/>
          <w:sz w:val="36"/>
          <w:szCs w:val="36"/>
          <w:highlight w:val="none"/>
        </w:rPr>
        <w:br w:type="page"/>
      </w:r>
      <w:r>
        <w:rPr>
          <w:rFonts w:hint="eastAsia" w:ascii="宋体" w:hAnsi="宋体" w:cs="宋体"/>
          <w:b/>
          <w:bCs/>
          <w:sz w:val="36"/>
          <w:szCs w:val="36"/>
          <w:highlight w:val="none"/>
        </w:rPr>
        <w:t>算术复核表</w:t>
      </w:r>
    </w:p>
    <w:p w14:paraId="37652FC0">
      <w:pPr>
        <w:rPr>
          <w:rFonts w:hint="eastAsia" w:ascii="宋体" w:hAnsi="宋体" w:cs="宋体"/>
          <w:highlight w:val="none"/>
        </w:rPr>
      </w:pPr>
      <w:r>
        <w:rPr>
          <w:rFonts w:hint="eastAsia" w:ascii="宋体" w:hAnsi="宋体" w:cs="宋体"/>
          <w:highlight w:val="none"/>
        </w:rPr>
        <w:t>工程名称：</w:t>
      </w:r>
    </w:p>
    <w:tbl>
      <w:tblPr>
        <w:tblStyle w:val="3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3"/>
        <w:gridCol w:w="4297"/>
        <w:gridCol w:w="2330"/>
        <w:gridCol w:w="3101"/>
        <w:gridCol w:w="3423"/>
      </w:tblGrid>
      <w:tr w14:paraId="5FFB3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noWrap w:val="0"/>
            <w:vAlign w:val="top"/>
          </w:tcPr>
          <w:p w14:paraId="7E31DEE1">
            <w:pPr>
              <w:rPr>
                <w:rFonts w:hint="eastAsia" w:ascii="宋体" w:hAnsi="宋体" w:cs="宋体"/>
                <w:b/>
                <w:bCs/>
                <w:sz w:val="28"/>
                <w:szCs w:val="28"/>
                <w:highlight w:val="none"/>
              </w:rPr>
            </w:pPr>
            <w:r>
              <w:rPr>
                <w:rFonts w:hint="eastAsia" w:ascii="宋体" w:hAnsi="宋体" w:cs="宋体"/>
                <w:b/>
                <w:bCs/>
                <w:sz w:val="28"/>
                <w:szCs w:val="28"/>
                <w:highlight w:val="none"/>
              </w:rPr>
              <w:t>编号</w:t>
            </w:r>
          </w:p>
        </w:tc>
        <w:tc>
          <w:tcPr>
            <w:tcW w:w="4297" w:type="dxa"/>
            <w:tcBorders>
              <w:top w:val="single" w:color="auto" w:sz="4" w:space="0"/>
              <w:left w:val="nil"/>
              <w:bottom w:val="single" w:color="auto" w:sz="4" w:space="0"/>
              <w:right w:val="single" w:color="auto" w:sz="4" w:space="0"/>
            </w:tcBorders>
            <w:noWrap w:val="0"/>
            <w:vAlign w:val="top"/>
          </w:tcPr>
          <w:p w14:paraId="2938A2A0">
            <w:pPr>
              <w:rPr>
                <w:rFonts w:hint="eastAsia" w:ascii="宋体" w:hAnsi="宋体" w:cs="宋体"/>
                <w:b/>
                <w:bCs/>
                <w:sz w:val="28"/>
                <w:szCs w:val="28"/>
                <w:highlight w:val="none"/>
              </w:rPr>
            </w:pPr>
            <w:r>
              <w:rPr>
                <w:rFonts w:hint="eastAsia" w:ascii="宋体" w:hAnsi="宋体" w:cs="宋体"/>
                <w:b/>
                <w:bCs/>
                <w:sz w:val="28"/>
                <w:szCs w:val="28"/>
                <w:highlight w:val="none"/>
              </w:rPr>
              <w:t>投标人名称</w:t>
            </w:r>
          </w:p>
        </w:tc>
        <w:tc>
          <w:tcPr>
            <w:tcW w:w="2330" w:type="dxa"/>
            <w:tcBorders>
              <w:top w:val="single" w:color="auto" w:sz="4" w:space="0"/>
              <w:left w:val="nil"/>
              <w:bottom w:val="single" w:color="auto" w:sz="4" w:space="0"/>
              <w:right w:val="single" w:color="auto" w:sz="4" w:space="0"/>
            </w:tcBorders>
            <w:noWrap w:val="0"/>
            <w:vAlign w:val="top"/>
          </w:tcPr>
          <w:p w14:paraId="633CA2D6">
            <w:pPr>
              <w:rPr>
                <w:rFonts w:hint="eastAsia" w:ascii="宋体" w:hAnsi="宋体" w:cs="宋体"/>
                <w:b/>
                <w:bCs/>
                <w:sz w:val="28"/>
                <w:szCs w:val="28"/>
                <w:highlight w:val="none"/>
              </w:rPr>
            </w:pPr>
            <w:r>
              <w:rPr>
                <w:rFonts w:hint="eastAsia" w:ascii="宋体" w:hAnsi="宋体" w:cs="宋体"/>
                <w:b/>
                <w:bCs/>
                <w:sz w:val="28"/>
                <w:szCs w:val="28"/>
                <w:highlight w:val="none"/>
              </w:rPr>
              <w:t>原投标报价（A）</w:t>
            </w:r>
          </w:p>
        </w:tc>
        <w:tc>
          <w:tcPr>
            <w:tcW w:w="3101" w:type="dxa"/>
            <w:tcBorders>
              <w:top w:val="single" w:color="auto" w:sz="4" w:space="0"/>
              <w:left w:val="nil"/>
              <w:bottom w:val="single" w:color="auto" w:sz="4" w:space="0"/>
              <w:right w:val="single" w:color="auto" w:sz="4" w:space="0"/>
            </w:tcBorders>
            <w:noWrap w:val="0"/>
            <w:vAlign w:val="top"/>
          </w:tcPr>
          <w:p w14:paraId="3E398657">
            <w:pPr>
              <w:rPr>
                <w:rFonts w:hint="eastAsia" w:ascii="宋体" w:hAnsi="宋体" w:cs="宋体"/>
                <w:b/>
                <w:bCs/>
                <w:sz w:val="28"/>
                <w:szCs w:val="28"/>
                <w:highlight w:val="none"/>
              </w:rPr>
            </w:pPr>
            <w:r>
              <w:rPr>
                <w:rFonts w:hint="eastAsia" w:ascii="宋体" w:hAnsi="宋体" w:cs="宋体"/>
                <w:b/>
                <w:bCs/>
                <w:sz w:val="28"/>
                <w:szCs w:val="28"/>
                <w:highlight w:val="none"/>
              </w:rPr>
              <w:t>算数复核后投标报价（B）</w:t>
            </w:r>
          </w:p>
        </w:tc>
        <w:tc>
          <w:tcPr>
            <w:tcW w:w="3423" w:type="dxa"/>
            <w:tcBorders>
              <w:top w:val="single" w:color="auto" w:sz="4" w:space="0"/>
              <w:left w:val="nil"/>
              <w:bottom w:val="single" w:color="auto" w:sz="4" w:space="0"/>
              <w:right w:val="single" w:color="auto" w:sz="4" w:space="0"/>
            </w:tcBorders>
            <w:noWrap w:val="0"/>
            <w:vAlign w:val="top"/>
          </w:tcPr>
          <w:p w14:paraId="7C754F2A">
            <w:pPr>
              <w:rPr>
                <w:rFonts w:hint="eastAsia" w:ascii="宋体" w:hAnsi="宋体" w:cs="宋体"/>
                <w:b/>
                <w:bCs/>
                <w:sz w:val="28"/>
                <w:szCs w:val="28"/>
                <w:highlight w:val="none"/>
              </w:rPr>
            </w:pPr>
            <w:r>
              <w:rPr>
                <w:rFonts w:hint="eastAsia" w:ascii="宋体" w:hAnsi="宋体" w:cs="宋体"/>
                <w:b/>
                <w:bCs/>
                <w:sz w:val="28"/>
                <w:szCs w:val="28"/>
                <w:highlight w:val="none"/>
              </w:rPr>
              <w:t>误差率（r=|A-B|/A*100%）</w:t>
            </w:r>
          </w:p>
        </w:tc>
      </w:tr>
      <w:tr w14:paraId="3756C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noWrap w:val="0"/>
            <w:vAlign w:val="top"/>
          </w:tcPr>
          <w:p w14:paraId="4217BD68">
            <w:pPr>
              <w:rPr>
                <w:rFonts w:hint="eastAsia" w:ascii="宋体" w:hAnsi="宋体" w:cs="宋体"/>
                <w:sz w:val="36"/>
                <w:szCs w:val="36"/>
                <w:highlight w:val="none"/>
              </w:rPr>
            </w:pPr>
          </w:p>
        </w:tc>
        <w:tc>
          <w:tcPr>
            <w:tcW w:w="4297" w:type="dxa"/>
            <w:tcBorders>
              <w:top w:val="single" w:color="auto" w:sz="4" w:space="0"/>
              <w:left w:val="nil"/>
              <w:bottom w:val="single" w:color="auto" w:sz="4" w:space="0"/>
              <w:right w:val="single" w:color="auto" w:sz="4" w:space="0"/>
            </w:tcBorders>
            <w:noWrap w:val="0"/>
            <w:vAlign w:val="top"/>
          </w:tcPr>
          <w:p w14:paraId="07630FBE">
            <w:pPr>
              <w:rPr>
                <w:rFonts w:hint="eastAsia" w:ascii="宋体" w:hAnsi="宋体" w:cs="宋体"/>
                <w:sz w:val="36"/>
                <w:szCs w:val="36"/>
                <w:highlight w:val="none"/>
              </w:rPr>
            </w:pPr>
          </w:p>
        </w:tc>
        <w:tc>
          <w:tcPr>
            <w:tcW w:w="2330" w:type="dxa"/>
            <w:tcBorders>
              <w:top w:val="single" w:color="auto" w:sz="4" w:space="0"/>
              <w:left w:val="nil"/>
              <w:bottom w:val="single" w:color="auto" w:sz="4" w:space="0"/>
              <w:right w:val="single" w:color="auto" w:sz="4" w:space="0"/>
            </w:tcBorders>
            <w:noWrap w:val="0"/>
            <w:vAlign w:val="top"/>
          </w:tcPr>
          <w:p w14:paraId="2F0E56F7">
            <w:pPr>
              <w:rPr>
                <w:rFonts w:hint="eastAsia" w:ascii="宋体" w:hAnsi="宋体" w:cs="宋体"/>
                <w:sz w:val="36"/>
                <w:szCs w:val="36"/>
                <w:highlight w:val="none"/>
              </w:rPr>
            </w:pPr>
          </w:p>
        </w:tc>
        <w:tc>
          <w:tcPr>
            <w:tcW w:w="3101" w:type="dxa"/>
            <w:tcBorders>
              <w:top w:val="single" w:color="auto" w:sz="4" w:space="0"/>
              <w:left w:val="nil"/>
              <w:bottom w:val="single" w:color="auto" w:sz="4" w:space="0"/>
              <w:right w:val="single" w:color="auto" w:sz="4" w:space="0"/>
            </w:tcBorders>
            <w:noWrap w:val="0"/>
            <w:vAlign w:val="top"/>
          </w:tcPr>
          <w:p w14:paraId="5BBA8D07">
            <w:pPr>
              <w:rPr>
                <w:rFonts w:hint="eastAsia" w:ascii="宋体" w:hAnsi="宋体" w:cs="宋体"/>
                <w:sz w:val="36"/>
                <w:szCs w:val="36"/>
                <w:highlight w:val="none"/>
              </w:rPr>
            </w:pPr>
          </w:p>
        </w:tc>
        <w:tc>
          <w:tcPr>
            <w:tcW w:w="3423" w:type="dxa"/>
            <w:tcBorders>
              <w:top w:val="single" w:color="auto" w:sz="4" w:space="0"/>
              <w:left w:val="nil"/>
              <w:bottom w:val="single" w:color="auto" w:sz="4" w:space="0"/>
              <w:right w:val="single" w:color="auto" w:sz="4" w:space="0"/>
            </w:tcBorders>
            <w:noWrap w:val="0"/>
            <w:vAlign w:val="top"/>
          </w:tcPr>
          <w:p w14:paraId="41BFEF7C">
            <w:pPr>
              <w:rPr>
                <w:rFonts w:hint="eastAsia" w:ascii="宋体" w:hAnsi="宋体" w:cs="宋体"/>
                <w:sz w:val="36"/>
                <w:szCs w:val="36"/>
                <w:highlight w:val="none"/>
              </w:rPr>
            </w:pPr>
          </w:p>
        </w:tc>
      </w:tr>
      <w:tr w14:paraId="0CC7F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noWrap w:val="0"/>
            <w:vAlign w:val="top"/>
          </w:tcPr>
          <w:p w14:paraId="0C0B4667">
            <w:pPr>
              <w:rPr>
                <w:rFonts w:hint="eastAsia" w:ascii="宋体" w:hAnsi="宋体" w:cs="宋体"/>
                <w:sz w:val="36"/>
                <w:szCs w:val="36"/>
                <w:highlight w:val="none"/>
              </w:rPr>
            </w:pPr>
          </w:p>
        </w:tc>
        <w:tc>
          <w:tcPr>
            <w:tcW w:w="4297" w:type="dxa"/>
            <w:tcBorders>
              <w:top w:val="single" w:color="auto" w:sz="4" w:space="0"/>
              <w:left w:val="nil"/>
              <w:bottom w:val="single" w:color="auto" w:sz="4" w:space="0"/>
              <w:right w:val="single" w:color="auto" w:sz="4" w:space="0"/>
            </w:tcBorders>
            <w:noWrap w:val="0"/>
            <w:vAlign w:val="top"/>
          </w:tcPr>
          <w:p w14:paraId="28650C7C">
            <w:pPr>
              <w:rPr>
                <w:rFonts w:hint="eastAsia" w:ascii="宋体" w:hAnsi="宋体" w:cs="宋体"/>
                <w:sz w:val="36"/>
                <w:szCs w:val="36"/>
                <w:highlight w:val="none"/>
              </w:rPr>
            </w:pPr>
          </w:p>
        </w:tc>
        <w:tc>
          <w:tcPr>
            <w:tcW w:w="2330" w:type="dxa"/>
            <w:tcBorders>
              <w:top w:val="single" w:color="auto" w:sz="4" w:space="0"/>
              <w:left w:val="nil"/>
              <w:bottom w:val="single" w:color="auto" w:sz="4" w:space="0"/>
              <w:right w:val="single" w:color="auto" w:sz="4" w:space="0"/>
            </w:tcBorders>
            <w:noWrap w:val="0"/>
            <w:vAlign w:val="top"/>
          </w:tcPr>
          <w:p w14:paraId="5CB379BF">
            <w:pPr>
              <w:rPr>
                <w:rFonts w:hint="eastAsia" w:ascii="宋体" w:hAnsi="宋体" w:cs="宋体"/>
                <w:sz w:val="36"/>
                <w:szCs w:val="36"/>
                <w:highlight w:val="none"/>
              </w:rPr>
            </w:pPr>
          </w:p>
        </w:tc>
        <w:tc>
          <w:tcPr>
            <w:tcW w:w="3101" w:type="dxa"/>
            <w:tcBorders>
              <w:top w:val="single" w:color="auto" w:sz="4" w:space="0"/>
              <w:left w:val="nil"/>
              <w:bottom w:val="single" w:color="auto" w:sz="4" w:space="0"/>
              <w:right w:val="single" w:color="auto" w:sz="4" w:space="0"/>
            </w:tcBorders>
            <w:noWrap w:val="0"/>
            <w:vAlign w:val="top"/>
          </w:tcPr>
          <w:p w14:paraId="4FB156D3">
            <w:pPr>
              <w:rPr>
                <w:rFonts w:hint="eastAsia" w:ascii="宋体" w:hAnsi="宋体" w:cs="宋体"/>
                <w:sz w:val="36"/>
                <w:szCs w:val="36"/>
                <w:highlight w:val="none"/>
              </w:rPr>
            </w:pPr>
          </w:p>
        </w:tc>
        <w:tc>
          <w:tcPr>
            <w:tcW w:w="3423" w:type="dxa"/>
            <w:tcBorders>
              <w:top w:val="single" w:color="auto" w:sz="4" w:space="0"/>
              <w:left w:val="nil"/>
              <w:bottom w:val="single" w:color="auto" w:sz="4" w:space="0"/>
              <w:right w:val="single" w:color="auto" w:sz="4" w:space="0"/>
            </w:tcBorders>
            <w:noWrap w:val="0"/>
            <w:vAlign w:val="top"/>
          </w:tcPr>
          <w:p w14:paraId="5EEB3D09">
            <w:pPr>
              <w:rPr>
                <w:rFonts w:hint="eastAsia" w:ascii="宋体" w:hAnsi="宋体" w:cs="宋体"/>
                <w:sz w:val="36"/>
                <w:szCs w:val="36"/>
                <w:highlight w:val="none"/>
              </w:rPr>
            </w:pPr>
          </w:p>
        </w:tc>
      </w:tr>
      <w:tr w14:paraId="56EA9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noWrap w:val="0"/>
            <w:vAlign w:val="top"/>
          </w:tcPr>
          <w:p w14:paraId="6E052E75">
            <w:pPr>
              <w:rPr>
                <w:rFonts w:hint="eastAsia" w:ascii="宋体" w:hAnsi="宋体" w:cs="宋体"/>
                <w:sz w:val="36"/>
                <w:szCs w:val="36"/>
                <w:highlight w:val="none"/>
              </w:rPr>
            </w:pPr>
          </w:p>
        </w:tc>
        <w:tc>
          <w:tcPr>
            <w:tcW w:w="4297" w:type="dxa"/>
            <w:tcBorders>
              <w:top w:val="single" w:color="auto" w:sz="4" w:space="0"/>
              <w:left w:val="nil"/>
              <w:bottom w:val="single" w:color="auto" w:sz="4" w:space="0"/>
              <w:right w:val="single" w:color="auto" w:sz="4" w:space="0"/>
            </w:tcBorders>
            <w:noWrap w:val="0"/>
            <w:vAlign w:val="top"/>
          </w:tcPr>
          <w:p w14:paraId="703AC10B">
            <w:pPr>
              <w:rPr>
                <w:rFonts w:hint="eastAsia" w:ascii="宋体" w:hAnsi="宋体" w:cs="宋体"/>
                <w:sz w:val="36"/>
                <w:szCs w:val="36"/>
                <w:highlight w:val="none"/>
              </w:rPr>
            </w:pPr>
          </w:p>
        </w:tc>
        <w:tc>
          <w:tcPr>
            <w:tcW w:w="2330" w:type="dxa"/>
            <w:tcBorders>
              <w:top w:val="single" w:color="auto" w:sz="4" w:space="0"/>
              <w:left w:val="nil"/>
              <w:bottom w:val="single" w:color="auto" w:sz="4" w:space="0"/>
              <w:right w:val="single" w:color="auto" w:sz="4" w:space="0"/>
            </w:tcBorders>
            <w:noWrap w:val="0"/>
            <w:vAlign w:val="top"/>
          </w:tcPr>
          <w:p w14:paraId="56A31BE8">
            <w:pPr>
              <w:rPr>
                <w:rFonts w:hint="eastAsia" w:ascii="宋体" w:hAnsi="宋体" w:cs="宋体"/>
                <w:sz w:val="36"/>
                <w:szCs w:val="36"/>
                <w:highlight w:val="none"/>
              </w:rPr>
            </w:pPr>
          </w:p>
        </w:tc>
        <w:tc>
          <w:tcPr>
            <w:tcW w:w="3101" w:type="dxa"/>
            <w:tcBorders>
              <w:top w:val="single" w:color="auto" w:sz="4" w:space="0"/>
              <w:left w:val="nil"/>
              <w:bottom w:val="single" w:color="auto" w:sz="4" w:space="0"/>
              <w:right w:val="single" w:color="auto" w:sz="4" w:space="0"/>
            </w:tcBorders>
            <w:noWrap w:val="0"/>
            <w:vAlign w:val="top"/>
          </w:tcPr>
          <w:p w14:paraId="11F9FE96">
            <w:pPr>
              <w:rPr>
                <w:rFonts w:hint="eastAsia" w:ascii="宋体" w:hAnsi="宋体" w:cs="宋体"/>
                <w:sz w:val="36"/>
                <w:szCs w:val="36"/>
                <w:highlight w:val="none"/>
              </w:rPr>
            </w:pPr>
          </w:p>
        </w:tc>
        <w:tc>
          <w:tcPr>
            <w:tcW w:w="3423" w:type="dxa"/>
            <w:tcBorders>
              <w:top w:val="single" w:color="auto" w:sz="4" w:space="0"/>
              <w:left w:val="nil"/>
              <w:bottom w:val="single" w:color="auto" w:sz="4" w:space="0"/>
              <w:right w:val="single" w:color="auto" w:sz="4" w:space="0"/>
            </w:tcBorders>
            <w:noWrap w:val="0"/>
            <w:vAlign w:val="top"/>
          </w:tcPr>
          <w:p w14:paraId="04D816E7">
            <w:pPr>
              <w:rPr>
                <w:rFonts w:hint="eastAsia" w:ascii="宋体" w:hAnsi="宋体" w:cs="宋体"/>
                <w:sz w:val="36"/>
                <w:szCs w:val="36"/>
                <w:highlight w:val="none"/>
              </w:rPr>
            </w:pPr>
          </w:p>
        </w:tc>
      </w:tr>
      <w:tr w14:paraId="74C00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noWrap w:val="0"/>
            <w:vAlign w:val="top"/>
          </w:tcPr>
          <w:p w14:paraId="64D0C193">
            <w:pPr>
              <w:rPr>
                <w:rFonts w:hint="eastAsia" w:ascii="宋体" w:hAnsi="宋体" w:cs="宋体"/>
                <w:sz w:val="36"/>
                <w:szCs w:val="36"/>
                <w:highlight w:val="none"/>
              </w:rPr>
            </w:pPr>
          </w:p>
        </w:tc>
        <w:tc>
          <w:tcPr>
            <w:tcW w:w="4297" w:type="dxa"/>
            <w:tcBorders>
              <w:top w:val="single" w:color="auto" w:sz="4" w:space="0"/>
              <w:left w:val="nil"/>
              <w:bottom w:val="single" w:color="auto" w:sz="4" w:space="0"/>
              <w:right w:val="single" w:color="auto" w:sz="4" w:space="0"/>
            </w:tcBorders>
            <w:noWrap w:val="0"/>
            <w:vAlign w:val="top"/>
          </w:tcPr>
          <w:p w14:paraId="7C707E8E">
            <w:pPr>
              <w:rPr>
                <w:rFonts w:hint="eastAsia" w:ascii="宋体" w:hAnsi="宋体" w:cs="宋体"/>
                <w:sz w:val="36"/>
                <w:szCs w:val="36"/>
                <w:highlight w:val="none"/>
              </w:rPr>
            </w:pPr>
          </w:p>
        </w:tc>
        <w:tc>
          <w:tcPr>
            <w:tcW w:w="2330" w:type="dxa"/>
            <w:tcBorders>
              <w:top w:val="single" w:color="auto" w:sz="4" w:space="0"/>
              <w:left w:val="nil"/>
              <w:bottom w:val="single" w:color="auto" w:sz="4" w:space="0"/>
              <w:right w:val="single" w:color="auto" w:sz="4" w:space="0"/>
            </w:tcBorders>
            <w:noWrap w:val="0"/>
            <w:vAlign w:val="top"/>
          </w:tcPr>
          <w:p w14:paraId="36772CD3">
            <w:pPr>
              <w:rPr>
                <w:rFonts w:hint="eastAsia" w:ascii="宋体" w:hAnsi="宋体" w:cs="宋体"/>
                <w:sz w:val="36"/>
                <w:szCs w:val="36"/>
                <w:highlight w:val="none"/>
              </w:rPr>
            </w:pPr>
          </w:p>
        </w:tc>
        <w:tc>
          <w:tcPr>
            <w:tcW w:w="3101" w:type="dxa"/>
            <w:tcBorders>
              <w:top w:val="single" w:color="auto" w:sz="4" w:space="0"/>
              <w:left w:val="nil"/>
              <w:bottom w:val="single" w:color="auto" w:sz="4" w:space="0"/>
              <w:right w:val="single" w:color="auto" w:sz="4" w:space="0"/>
            </w:tcBorders>
            <w:noWrap w:val="0"/>
            <w:vAlign w:val="top"/>
          </w:tcPr>
          <w:p w14:paraId="67C4E585">
            <w:pPr>
              <w:rPr>
                <w:rFonts w:hint="eastAsia" w:ascii="宋体" w:hAnsi="宋体" w:cs="宋体"/>
                <w:sz w:val="36"/>
                <w:szCs w:val="36"/>
                <w:highlight w:val="none"/>
              </w:rPr>
            </w:pPr>
          </w:p>
        </w:tc>
        <w:tc>
          <w:tcPr>
            <w:tcW w:w="3423" w:type="dxa"/>
            <w:tcBorders>
              <w:top w:val="single" w:color="auto" w:sz="4" w:space="0"/>
              <w:left w:val="nil"/>
              <w:bottom w:val="single" w:color="auto" w:sz="4" w:space="0"/>
              <w:right w:val="single" w:color="auto" w:sz="4" w:space="0"/>
            </w:tcBorders>
            <w:noWrap w:val="0"/>
            <w:vAlign w:val="top"/>
          </w:tcPr>
          <w:p w14:paraId="06A9904A">
            <w:pPr>
              <w:rPr>
                <w:rFonts w:hint="eastAsia" w:ascii="宋体" w:hAnsi="宋体" w:cs="宋体"/>
                <w:sz w:val="36"/>
                <w:szCs w:val="36"/>
                <w:highlight w:val="none"/>
              </w:rPr>
            </w:pPr>
          </w:p>
        </w:tc>
      </w:tr>
      <w:tr w14:paraId="54B27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noWrap w:val="0"/>
            <w:vAlign w:val="top"/>
          </w:tcPr>
          <w:p w14:paraId="2A05690E">
            <w:pPr>
              <w:rPr>
                <w:rFonts w:hint="eastAsia" w:ascii="宋体" w:hAnsi="宋体" w:cs="宋体"/>
                <w:sz w:val="36"/>
                <w:szCs w:val="36"/>
                <w:highlight w:val="none"/>
              </w:rPr>
            </w:pPr>
          </w:p>
        </w:tc>
        <w:tc>
          <w:tcPr>
            <w:tcW w:w="4297" w:type="dxa"/>
            <w:tcBorders>
              <w:top w:val="single" w:color="auto" w:sz="4" w:space="0"/>
              <w:left w:val="nil"/>
              <w:bottom w:val="single" w:color="auto" w:sz="4" w:space="0"/>
              <w:right w:val="single" w:color="auto" w:sz="4" w:space="0"/>
            </w:tcBorders>
            <w:noWrap w:val="0"/>
            <w:vAlign w:val="top"/>
          </w:tcPr>
          <w:p w14:paraId="29102889">
            <w:pPr>
              <w:rPr>
                <w:rFonts w:hint="eastAsia" w:ascii="宋体" w:hAnsi="宋体" w:cs="宋体"/>
                <w:sz w:val="36"/>
                <w:szCs w:val="36"/>
                <w:highlight w:val="none"/>
              </w:rPr>
            </w:pPr>
          </w:p>
        </w:tc>
        <w:tc>
          <w:tcPr>
            <w:tcW w:w="2330" w:type="dxa"/>
            <w:tcBorders>
              <w:top w:val="single" w:color="auto" w:sz="4" w:space="0"/>
              <w:left w:val="nil"/>
              <w:bottom w:val="single" w:color="auto" w:sz="4" w:space="0"/>
              <w:right w:val="single" w:color="auto" w:sz="4" w:space="0"/>
            </w:tcBorders>
            <w:noWrap w:val="0"/>
            <w:vAlign w:val="top"/>
          </w:tcPr>
          <w:p w14:paraId="2A3BAEC4">
            <w:pPr>
              <w:rPr>
                <w:rFonts w:hint="eastAsia" w:ascii="宋体" w:hAnsi="宋体" w:cs="宋体"/>
                <w:sz w:val="36"/>
                <w:szCs w:val="36"/>
                <w:highlight w:val="none"/>
              </w:rPr>
            </w:pPr>
          </w:p>
        </w:tc>
        <w:tc>
          <w:tcPr>
            <w:tcW w:w="3101" w:type="dxa"/>
            <w:tcBorders>
              <w:top w:val="single" w:color="auto" w:sz="4" w:space="0"/>
              <w:left w:val="nil"/>
              <w:bottom w:val="single" w:color="auto" w:sz="4" w:space="0"/>
              <w:right w:val="single" w:color="auto" w:sz="4" w:space="0"/>
            </w:tcBorders>
            <w:noWrap w:val="0"/>
            <w:vAlign w:val="top"/>
          </w:tcPr>
          <w:p w14:paraId="01200FA3">
            <w:pPr>
              <w:rPr>
                <w:rFonts w:hint="eastAsia" w:ascii="宋体" w:hAnsi="宋体" w:cs="宋体"/>
                <w:sz w:val="36"/>
                <w:szCs w:val="36"/>
                <w:highlight w:val="none"/>
              </w:rPr>
            </w:pPr>
          </w:p>
        </w:tc>
        <w:tc>
          <w:tcPr>
            <w:tcW w:w="3423" w:type="dxa"/>
            <w:tcBorders>
              <w:top w:val="single" w:color="auto" w:sz="4" w:space="0"/>
              <w:left w:val="nil"/>
              <w:bottom w:val="single" w:color="auto" w:sz="4" w:space="0"/>
              <w:right w:val="single" w:color="auto" w:sz="4" w:space="0"/>
            </w:tcBorders>
            <w:noWrap w:val="0"/>
            <w:vAlign w:val="top"/>
          </w:tcPr>
          <w:p w14:paraId="546D02AD">
            <w:pPr>
              <w:rPr>
                <w:rFonts w:hint="eastAsia" w:ascii="宋体" w:hAnsi="宋体" w:cs="宋体"/>
                <w:sz w:val="36"/>
                <w:szCs w:val="36"/>
                <w:highlight w:val="none"/>
              </w:rPr>
            </w:pPr>
          </w:p>
        </w:tc>
      </w:tr>
      <w:tr w14:paraId="73F11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noWrap w:val="0"/>
            <w:vAlign w:val="top"/>
          </w:tcPr>
          <w:p w14:paraId="375D64A4">
            <w:pPr>
              <w:rPr>
                <w:rFonts w:hint="eastAsia" w:ascii="宋体" w:hAnsi="宋体" w:cs="宋体"/>
                <w:sz w:val="36"/>
                <w:szCs w:val="36"/>
                <w:highlight w:val="none"/>
              </w:rPr>
            </w:pPr>
          </w:p>
        </w:tc>
        <w:tc>
          <w:tcPr>
            <w:tcW w:w="4297" w:type="dxa"/>
            <w:tcBorders>
              <w:top w:val="single" w:color="auto" w:sz="4" w:space="0"/>
              <w:left w:val="nil"/>
              <w:bottom w:val="single" w:color="auto" w:sz="4" w:space="0"/>
              <w:right w:val="single" w:color="auto" w:sz="4" w:space="0"/>
            </w:tcBorders>
            <w:noWrap w:val="0"/>
            <w:vAlign w:val="top"/>
          </w:tcPr>
          <w:p w14:paraId="1E16F452">
            <w:pPr>
              <w:rPr>
                <w:rFonts w:hint="eastAsia" w:ascii="宋体" w:hAnsi="宋体" w:cs="宋体"/>
                <w:sz w:val="36"/>
                <w:szCs w:val="36"/>
                <w:highlight w:val="none"/>
              </w:rPr>
            </w:pPr>
          </w:p>
        </w:tc>
        <w:tc>
          <w:tcPr>
            <w:tcW w:w="2330" w:type="dxa"/>
            <w:tcBorders>
              <w:top w:val="single" w:color="auto" w:sz="4" w:space="0"/>
              <w:left w:val="nil"/>
              <w:bottom w:val="single" w:color="auto" w:sz="4" w:space="0"/>
              <w:right w:val="single" w:color="auto" w:sz="4" w:space="0"/>
            </w:tcBorders>
            <w:noWrap w:val="0"/>
            <w:vAlign w:val="top"/>
          </w:tcPr>
          <w:p w14:paraId="60C58F90">
            <w:pPr>
              <w:rPr>
                <w:rFonts w:hint="eastAsia" w:ascii="宋体" w:hAnsi="宋体" w:cs="宋体"/>
                <w:sz w:val="36"/>
                <w:szCs w:val="36"/>
                <w:highlight w:val="none"/>
              </w:rPr>
            </w:pPr>
          </w:p>
        </w:tc>
        <w:tc>
          <w:tcPr>
            <w:tcW w:w="3101" w:type="dxa"/>
            <w:tcBorders>
              <w:top w:val="single" w:color="auto" w:sz="4" w:space="0"/>
              <w:left w:val="nil"/>
              <w:bottom w:val="single" w:color="auto" w:sz="4" w:space="0"/>
              <w:right w:val="single" w:color="auto" w:sz="4" w:space="0"/>
            </w:tcBorders>
            <w:noWrap w:val="0"/>
            <w:vAlign w:val="top"/>
          </w:tcPr>
          <w:p w14:paraId="4166BE05">
            <w:pPr>
              <w:rPr>
                <w:rFonts w:hint="eastAsia" w:ascii="宋体" w:hAnsi="宋体" w:cs="宋体"/>
                <w:sz w:val="36"/>
                <w:szCs w:val="36"/>
                <w:highlight w:val="none"/>
              </w:rPr>
            </w:pPr>
          </w:p>
        </w:tc>
        <w:tc>
          <w:tcPr>
            <w:tcW w:w="3423" w:type="dxa"/>
            <w:tcBorders>
              <w:top w:val="single" w:color="auto" w:sz="4" w:space="0"/>
              <w:left w:val="nil"/>
              <w:bottom w:val="single" w:color="auto" w:sz="4" w:space="0"/>
              <w:right w:val="single" w:color="auto" w:sz="4" w:space="0"/>
            </w:tcBorders>
            <w:noWrap w:val="0"/>
            <w:vAlign w:val="top"/>
          </w:tcPr>
          <w:p w14:paraId="39AD0B48">
            <w:pPr>
              <w:rPr>
                <w:rFonts w:hint="eastAsia" w:ascii="宋体" w:hAnsi="宋体" w:cs="宋体"/>
                <w:sz w:val="36"/>
                <w:szCs w:val="36"/>
                <w:highlight w:val="none"/>
              </w:rPr>
            </w:pPr>
          </w:p>
        </w:tc>
      </w:tr>
      <w:tr w14:paraId="3B1BF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noWrap w:val="0"/>
            <w:vAlign w:val="top"/>
          </w:tcPr>
          <w:p w14:paraId="1D0D9E26">
            <w:pPr>
              <w:rPr>
                <w:rFonts w:hint="eastAsia" w:ascii="宋体" w:hAnsi="宋体" w:cs="宋体"/>
                <w:sz w:val="36"/>
                <w:szCs w:val="36"/>
                <w:highlight w:val="none"/>
              </w:rPr>
            </w:pPr>
          </w:p>
        </w:tc>
        <w:tc>
          <w:tcPr>
            <w:tcW w:w="4297" w:type="dxa"/>
            <w:tcBorders>
              <w:top w:val="single" w:color="auto" w:sz="4" w:space="0"/>
              <w:left w:val="nil"/>
              <w:bottom w:val="single" w:color="auto" w:sz="4" w:space="0"/>
              <w:right w:val="single" w:color="auto" w:sz="4" w:space="0"/>
            </w:tcBorders>
            <w:noWrap w:val="0"/>
            <w:vAlign w:val="top"/>
          </w:tcPr>
          <w:p w14:paraId="0463E6D6">
            <w:pPr>
              <w:rPr>
                <w:rFonts w:hint="eastAsia" w:ascii="宋体" w:hAnsi="宋体" w:cs="宋体"/>
                <w:sz w:val="36"/>
                <w:szCs w:val="36"/>
                <w:highlight w:val="none"/>
              </w:rPr>
            </w:pPr>
          </w:p>
        </w:tc>
        <w:tc>
          <w:tcPr>
            <w:tcW w:w="2330" w:type="dxa"/>
            <w:tcBorders>
              <w:top w:val="single" w:color="auto" w:sz="4" w:space="0"/>
              <w:left w:val="nil"/>
              <w:bottom w:val="single" w:color="auto" w:sz="4" w:space="0"/>
              <w:right w:val="single" w:color="auto" w:sz="4" w:space="0"/>
            </w:tcBorders>
            <w:noWrap w:val="0"/>
            <w:vAlign w:val="top"/>
          </w:tcPr>
          <w:p w14:paraId="058F574E">
            <w:pPr>
              <w:rPr>
                <w:rFonts w:hint="eastAsia" w:ascii="宋体" w:hAnsi="宋体" w:cs="宋体"/>
                <w:sz w:val="36"/>
                <w:szCs w:val="36"/>
                <w:highlight w:val="none"/>
              </w:rPr>
            </w:pPr>
          </w:p>
        </w:tc>
        <w:tc>
          <w:tcPr>
            <w:tcW w:w="3101" w:type="dxa"/>
            <w:tcBorders>
              <w:top w:val="single" w:color="auto" w:sz="4" w:space="0"/>
              <w:left w:val="nil"/>
              <w:bottom w:val="single" w:color="auto" w:sz="4" w:space="0"/>
              <w:right w:val="single" w:color="auto" w:sz="4" w:space="0"/>
            </w:tcBorders>
            <w:noWrap w:val="0"/>
            <w:vAlign w:val="top"/>
          </w:tcPr>
          <w:p w14:paraId="0C610A33">
            <w:pPr>
              <w:rPr>
                <w:rFonts w:hint="eastAsia" w:ascii="宋体" w:hAnsi="宋体" w:cs="宋体"/>
                <w:sz w:val="36"/>
                <w:szCs w:val="36"/>
                <w:highlight w:val="none"/>
              </w:rPr>
            </w:pPr>
          </w:p>
        </w:tc>
        <w:tc>
          <w:tcPr>
            <w:tcW w:w="3423" w:type="dxa"/>
            <w:tcBorders>
              <w:top w:val="single" w:color="auto" w:sz="4" w:space="0"/>
              <w:left w:val="nil"/>
              <w:bottom w:val="single" w:color="auto" w:sz="4" w:space="0"/>
              <w:right w:val="single" w:color="auto" w:sz="4" w:space="0"/>
            </w:tcBorders>
            <w:noWrap w:val="0"/>
            <w:vAlign w:val="top"/>
          </w:tcPr>
          <w:p w14:paraId="3B7D36A1">
            <w:pPr>
              <w:rPr>
                <w:rFonts w:hint="eastAsia" w:ascii="宋体" w:hAnsi="宋体" w:cs="宋体"/>
                <w:sz w:val="36"/>
                <w:szCs w:val="36"/>
                <w:highlight w:val="none"/>
              </w:rPr>
            </w:pPr>
          </w:p>
        </w:tc>
      </w:tr>
      <w:tr w14:paraId="13689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noWrap w:val="0"/>
            <w:vAlign w:val="top"/>
          </w:tcPr>
          <w:p w14:paraId="534FEAAE">
            <w:pPr>
              <w:rPr>
                <w:rFonts w:hint="eastAsia" w:ascii="宋体" w:hAnsi="宋体" w:cs="宋体"/>
                <w:sz w:val="36"/>
                <w:szCs w:val="36"/>
                <w:highlight w:val="none"/>
              </w:rPr>
            </w:pPr>
          </w:p>
        </w:tc>
        <w:tc>
          <w:tcPr>
            <w:tcW w:w="4297" w:type="dxa"/>
            <w:tcBorders>
              <w:top w:val="single" w:color="auto" w:sz="4" w:space="0"/>
              <w:left w:val="nil"/>
              <w:bottom w:val="single" w:color="auto" w:sz="4" w:space="0"/>
              <w:right w:val="single" w:color="auto" w:sz="4" w:space="0"/>
            </w:tcBorders>
            <w:noWrap w:val="0"/>
            <w:vAlign w:val="top"/>
          </w:tcPr>
          <w:p w14:paraId="54496EE5">
            <w:pPr>
              <w:rPr>
                <w:rFonts w:hint="eastAsia" w:ascii="宋体" w:hAnsi="宋体" w:cs="宋体"/>
                <w:sz w:val="36"/>
                <w:szCs w:val="36"/>
                <w:highlight w:val="none"/>
              </w:rPr>
            </w:pPr>
          </w:p>
        </w:tc>
        <w:tc>
          <w:tcPr>
            <w:tcW w:w="2330" w:type="dxa"/>
            <w:tcBorders>
              <w:top w:val="single" w:color="auto" w:sz="4" w:space="0"/>
              <w:left w:val="nil"/>
              <w:bottom w:val="single" w:color="auto" w:sz="4" w:space="0"/>
              <w:right w:val="single" w:color="auto" w:sz="4" w:space="0"/>
            </w:tcBorders>
            <w:noWrap w:val="0"/>
            <w:vAlign w:val="top"/>
          </w:tcPr>
          <w:p w14:paraId="4D264549">
            <w:pPr>
              <w:rPr>
                <w:rFonts w:hint="eastAsia" w:ascii="宋体" w:hAnsi="宋体" w:cs="宋体"/>
                <w:sz w:val="36"/>
                <w:szCs w:val="36"/>
                <w:highlight w:val="none"/>
              </w:rPr>
            </w:pPr>
          </w:p>
        </w:tc>
        <w:tc>
          <w:tcPr>
            <w:tcW w:w="3101" w:type="dxa"/>
            <w:tcBorders>
              <w:top w:val="single" w:color="auto" w:sz="4" w:space="0"/>
              <w:left w:val="nil"/>
              <w:bottom w:val="single" w:color="auto" w:sz="4" w:space="0"/>
              <w:right w:val="single" w:color="auto" w:sz="4" w:space="0"/>
            </w:tcBorders>
            <w:noWrap w:val="0"/>
            <w:vAlign w:val="top"/>
          </w:tcPr>
          <w:p w14:paraId="78350E0B">
            <w:pPr>
              <w:rPr>
                <w:rFonts w:hint="eastAsia" w:ascii="宋体" w:hAnsi="宋体" w:cs="宋体"/>
                <w:sz w:val="36"/>
                <w:szCs w:val="36"/>
                <w:highlight w:val="none"/>
              </w:rPr>
            </w:pPr>
          </w:p>
        </w:tc>
        <w:tc>
          <w:tcPr>
            <w:tcW w:w="3423" w:type="dxa"/>
            <w:tcBorders>
              <w:top w:val="single" w:color="auto" w:sz="4" w:space="0"/>
              <w:left w:val="nil"/>
              <w:bottom w:val="single" w:color="auto" w:sz="4" w:space="0"/>
              <w:right w:val="single" w:color="auto" w:sz="4" w:space="0"/>
            </w:tcBorders>
            <w:noWrap w:val="0"/>
            <w:vAlign w:val="top"/>
          </w:tcPr>
          <w:p w14:paraId="09643865">
            <w:pPr>
              <w:rPr>
                <w:rFonts w:hint="eastAsia" w:ascii="宋体" w:hAnsi="宋体" w:cs="宋体"/>
                <w:sz w:val="36"/>
                <w:szCs w:val="36"/>
                <w:highlight w:val="none"/>
              </w:rPr>
            </w:pPr>
          </w:p>
        </w:tc>
      </w:tr>
    </w:tbl>
    <w:p w14:paraId="749B8B16">
      <w:pPr>
        <w:spacing w:line="360" w:lineRule="auto"/>
        <w:rPr>
          <w:rFonts w:hint="eastAsia" w:ascii="宋体" w:hAnsi="宋体" w:cs="宋体"/>
          <w:szCs w:val="21"/>
          <w:highlight w:val="none"/>
        </w:rPr>
        <w:sectPr>
          <w:headerReference r:id="rId10" w:type="first"/>
          <w:footerReference r:id="rId13" w:type="first"/>
          <w:headerReference r:id="rId8" w:type="default"/>
          <w:footerReference r:id="rId11" w:type="default"/>
          <w:headerReference r:id="rId9" w:type="even"/>
          <w:footerReference r:id="rId12" w:type="even"/>
          <w:endnotePr>
            <w:numFmt w:val="decimal"/>
          </w:endnotePr>
          <w:pgSz w:w="16838" w:h="11906" w:orient="landscape"/>
          <w:pgMar w:top="1418" w:right="1247" w:bottom="1418" w:left="1134" w:header="851" w:footer="907" w:gutter="0"/>
          <w:cols w:space="720" w:num="1"/>
          <w:titlePg/>
          <w:docGrid w:type="lines" w:linePitch="312" w:charSpace="0"/>
        </w:sectPr>
      </w:pPr>
      <w:r>
        <w:rPr>
          <w:rFonts w:hint="eastAsia" w:ascii="宋体" w:hAnsi="宋体" w:cs="宋体"/>
          <w:highlight w:val="none"/>
        </w:rPr>
        <w:t>评委签名：</w:t>
      </w:r>
    </w:p>
    <w:p w14:paraId="4459188D">
      <w:pPr>
        <w:pStyle w:val="118"/>
        <w:rPr>
          <w:rFonts w:hint="eastAsia" w:ascii="宋体" w:hAnsi="宋体" w:cs="宋体"/>
          <w:sz w:val="24"/>
          <w:szCs w:val="24"/>
          <w:highlight w:val="none"/>
        </w:rPr>
      </w:pPr>
      <w:r>
        <w:rPr>
          <w:rFonts w:hint="eastAsia" w:ascii="宋体" w:hAnsi="宋体" w:cs="宋体"/>
          <w:b/>
          <w:sz w:val="24"/>
          <w:szCs w:val="24"/>
          <w:highlight w:val="none"/>
        </w:rPr>
        <w:t>附表</w:t>
      </w:r>
      <w:r>
        <w:rPr>
          <w:rFonts w:hint="eastAsia" w:ascii="宋体" w:hAnsi="宋体" w:cs="宋体"/>
          <w:b/>
          <w:sz w:val="24"/>
          <w:szCs w:val="24"/>
          <w:highlight w:val="none"/>
          <w:lang w:val="en-US" w:eastAsia="zh-CN"/>
        </w:rPr>
        <w:t>六</w:t>
      </w:r>
      <w:r>
        <w:rPr>
          <w:rFonts w:hint="eastAsia" w:ascii="宋体" w:hAnsi="宋体" w:cs="宋体"/>
          <w:b/>
          <w:sz w:val="24"/>
          <w:szCs w:val="24"/>
          <w:highlight w:val="none"/>
        </w:rPr>
        <w:t>：</w:t>
      </w:r>
    </w:p>
    <w:p w14:paraId="1A3BB3F8">
      <w:pPr>
        <w:jc w:val="center"/>
        <w:rPr>
          <w:rFonts w:hint="eastAsia" w:ascii="宋体" w:hAnsi="宋体" w:cs="宋体"/>
          <w:b/>
          <w:sz w:val="32"/>
          <w:szCs w:val="32"/>
          <w:highlight w:val="none"/>
        </w:rPr>
      </w:pPr>
      <w:r>
        <w:rPr>
          <w:rFonts w:hint="eastAsia" w:ascii="宋体" w:hAnsi="宋体" w:cs="宋体"/>
          <w:b/>
          <w:sz w:val="32"/>
          <w:szCs w:val="32"/>
          <w:highlight w:val="none"/>
        </w:rPr>
        <w:t>定标因素表（定标阶段用表）</w:t>
      </w:r>
    </w:p>
    <w:p w14:paraId="33D88E30">
      <w:pPr>
        <w:rPr>
          <w:rFonts w:hint="eastAsia" w:ascii="宋体" w:hAnsi="宋体" w:cs="宋体"/>
          <w:sz w:val="24"/>
          <w:szCs w:val="24"/>
          <w:highlight w:val="none"/>
        </w:rPr>
      </w:pPr>
    </w:p>
    <w:p w14:paraId="4166E8C0">
      <w:pPr>
        <w:rPr>
          <w:rFonts w:hint="eastAsia" w:ascii="宋体" w:hAnsi="宋体" w:cs="宋体"/>
          <w:sz w:val="24"/>
          <w:szCs w:val="24"/>
          <w:highlight w:val="none"/>
        </w:rPr>
      </w:pPr>
    </w:p>
    <w:p w14:paraId="1449C40F">
      <w:pPr>
        <w:rPr>
          <w:rFonts w:hint="eastAsia" w:ascii="宋体" w:hAnsi="宋体" w:cs="宋体"/>
          <w:sz w:val="24"/>
          <w:szCs w:val="24"/>
          <w:highlight w:val="none"/>
        </w:rPr>
      </w:pPr>
      <w:r>
        <w:rPr>
          <w:rFonts w:hint="eastAsia" w:ascii="宋体" w:hAnsi="宋体" w:cs="宋体"/>
          <w:sz w:val="24"/>
          <w:szCs w:val="24"/>
          <w:highlight w:val="none"/>
        </w:rPr>
        <w:t>工程名称：</w:t>
      </w:r>
    </w:p>
    <w:tbl>
      <w:tblPr>
        <w:tblStyle w:val="36"/>
        <w:tblW w:w="531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2"/>
        <w:gridCol w:w="1535"/>
        <w:gridCol w:w="6832"/>
      </w:tblGrid>
      <w:tr w14:paraId="302F2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blHeader/>
        </w:trPr>
        <w:tc>
          <w:tcPr>
            <w:tcW w:w="382" w:type="pct"/>
            <w:tcBorders>
              <w:top w:val="single" w:color="auto" w:sz="4" w:space="0"/>
              <w:left w:val="single" w:color="auto" w:sz="4" w:space="0"/>
              <w:bottom w:val="single" w:color="auto" w:sz="4" w:space="0"/>
              <w:right w:val="single" w:color="auto" w:sz="4" w:space="0"/>
            </w:tcBorders>
            <w:noWrap w:val="0"/>
            <w:vAlign w:val="center"/>
          </w:tcPr>
          <w:p w14:paraId="01044C4D">
            <w:pPr>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序号</w:t>
            </w:r>
          </w:p>
        </w:tc>
        <w:tc>
          <w:tcPr>
            <w:tcW w:w="847" w:type="pct"/>
            <w:tcBorders>
              <w:top w:val="single" w:color="auto" w:sz="4" w:space="0"/>
              <w:left w:val="single" w:color="auto" w:sz="4" w:space="0"/>
              <w:bottom w:val="single" w:color="auto" w:sz="4" w:space="0"/>
              <w:right w:val="single" w:color="auto" w:sz="4" w:space="0"/>
            </w:tcBorders>
            <w:noWrap w:val="0"/>
            <w:vAlign w:val="center"/>
          </w:tcPr>
          <w:p w14:paraId="3DA562C8">
            <w:pPr>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评价项目</w:t>
            </w:r>
          </w:p>
        </w:tc>
        <w:tc>
          <w:tcPr>
            <w:tcW w:w="3769" w:type="pct"/>
            <w:tcBorders>
              <w:top w:val="single" w:color="auto" w:sz="4" w:space="0"/>
              <w:left w:val="single" w:color="auto" w:sz="4" w:space="0"/>
              <w:bottom w:val="single" w:color="auto" w:sz="4" w:space="0"/>
              <w:right w:val="single" w:color="auto" w:sz="4" w:space="0"/>
            </w:tcBorders>
            <w:noWrap w:val="0"/>
            <w:vAlign w:val="center"/>
          </w:tcPr>
          <w:p w14:paraId="3C648466">
            <w:pPr>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定标评价的内容</w:t>
            </w:r>
          </w:p>
        </w:tc>
      </w:tr>
      <w:tr w14:paraId="21C4F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382" w:type="pct"/>
            <w:vMerge w:val="restart"/>
            <w:tcBorders>
              <w:top w:val="single" w:color="auto" w:sz="4" w:space="0"/>
              <w:left w:val="single" w:color="auto" w:sz="4" w:space="0"/>
              <w:right w:val="single" w:color="auto" w:sz="4" w:space="0"/>
            </w:tcBorders>
            <w:noWrap w:val="0"/>
            <w:vAlign w:val="center"/>
          </w:tcPr>
          <w:p w14:paraId="1137E914">
            <w:pPr>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847" w:type="pct"/>
            <w:vMerge w:val="restart"/>
            <w:tcBorders>
              <w:top w:val="single" w:color="auto" w:sz="4" w:space="0"/>
              <w:left w:val="single" w:color="auto" w:sz="4" w:space="0"/>
              <w:right w:val="single" w:color="auto" w:sz="4" w:space="0"/>
            </w:tcBorders>
            <w:noWrap w:val="0"/>
            <w:vAlign w:val="center"/>
          </w:tcPr>
          <w:p w14:paraId="4AFC7551">
            <w:pPr>
              <w:jc w:val="center"/>
              <w:rPr>
                <w:rFonts w:ascii="宋体" w:hAnsi="宋体" w:cs="宋体"/>
                <w:color w:val="auto"/>
                <w:sz w:val="24"/>
                <w:szCs w:val="24"/>
                <w:highlight w:val="none"/>
              </w:rPr>
            </w:pPr>
            <w:r>
              <w:rPr>
                <w:rFonts w:hint="eastAsia" w:ascii="宋体" w:hAnsi="宋体" w:cs="宋体"/>
                <w:color w:val="auto"/>
                <w:sz w:val="24"/>
                <w:szCs w:val="24"/>
                <w:highlight w:val="none"/>
              </w:rPr>
              <w:t>方案因素（</w:t>
            </w:r>
            <w:r>
              <w:rPr>
                <w:rFonts w:hint="eastAsia" w:ascii="宋体" w:hAnsi="宋体" w:cs="宋体"/>
                <w:color w:val="auto"/>
                <w:sz w:val="24"/>
                <w:szCs w:val="24"/>
                <w:highlight w:val="none"/>
                <w:lang w:val="en-US" w:eastAsia="zh-CN"/>
              </w:rPr>
              <w:t>90</w:t>
            </w:r>
            <w:r>
              <w:rPr>
                <w:rFonts w:hint="eastAsia" w:ascii="宋体" w:hAnsi="宋体" w:cs="宋体"/>
                <w:color w:val="auto"/>
                <w:sz w:val="24"/>
                <w:szCs w:val="24"/>
                <w:highlight w:val="none"/>
              </w:rPr>
              <w:t>分）</w:t>
            </w:r>
          </w:p>
        </w:tc>
        <w:tc>
          <w:tcPr>
            <w:tcW w:w="7718" w:type="dxa"/>
            <w:tcBorders>
              <w:top w:val="single" w:color="auto" w:sz="4" w:space="0"/>
              <w:left w:val="single" w:color="auto" w:sz="4" w:space="0"/>
              <w:bottom w:val="single" w:color="auto" w:sz="4" w:space="0"/>
              <w:right w:val="single" w:color="auto" w:sz="4" w:space="0"/>
            </w:tcBorders>
            <w:noWrap w:val="0"/>
            <w:vAlign w:val="center"/>
          </w:tcPr>
          <w:p w14:paraId="39D051B8">
            <w:pPr>
              <w:spacing w:line="360" w:lineRule="auto"/>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定标委员会对合格的中标候选人的安全控制措施进行评审：</w:t>
            </w:r>
          </w:p>
          <w:p w14:paraId="1D12F304">
            <w:pPr>
              <w:spacing w:line="360" w:lineRule="auto"/>
              <w:jc w:val="left"/>
              <w:rPr>
                <w:rFonts w:ascii="宋体" w:hAnsi="宋体" w:cs="宋体"/>
                <w:color w:val="auto"/>
                <w:sz w:val="24"/>
                <w:szCs w:val="24"/>
                <w:highlight w:val="none"/>
              </w:rPr>
            </w:pPr>
            <w:r>
              <w:rPr>
                <w:rFonts w:hint="eastAsia" w:ascii="宋体" w:hAnsi="宋体" w:cs="宋体"/>
                <w:b w:val="0"/>
                <w:bCs w:val="0"/>
                <w:color w:val="auto"/>
                <w:sz w:val="24"/>
                <w:szCs w:val="24"/>
                <w:highlight w:val="none"/>
              </w:rPr>
              <w:t>（1）</w:t>
            </w:r>
            <w:r>
              <w:rPr>
                <w:rFonts w:hint="eastAsia" w:ascii="宋体" w:hAnsi="宋体"/>
                <w:color w:val="auto"/>
                <w:sz w:val="24"/>
                <w:szCs w:val="24"/>
                <w:highlight w:val="none"/>
              </w:rPr>
              <w:t>针对</w:t>
            </w:r>
            <w:r>
              <w:rPr>
                <w:rFonts w:hint="eastAsia" w:ascii="宋体" w:hAnsi="宋体"/>
                <w:color w:val="auto"/>
                <w:sz w:val="24"/>
                <w:highlight w:val="none"/>
              </w:rPr>
              <w:t>本项目</w:t>
            </w:r>
            <w:r>
              <w:rPr>
                <w:rFonts w:hint="eastAsia" w:ascii="宋体" w:hAnsi="宋体"/>
                <w:color w:val="auto"/>
                <w:sz w:val="24"/>
                <w:szCs w:val="24"/>
                <w:highlight w:val="none"/>
              </w:rPr>
              <w:t>建立了完善的安全文明施工保证体系、施工安全管理制度，承诺不发生安全事故，有安全应急预案、目标明确、制度健全，施工安全保护措施，措施明确、具体、可行、针对性强，措施完善的，得</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25</w:t>
            </w: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）分；</w:t>
            </w:r>
          </w:p>
          <w:p w14:paraId="6C30BCA2">
            <w:pPr>
              <w:spacing w:line="360" w:lineRule="auto"/>
              <w:jc w:val="left"/>
              <w:rPr>
                <w:rFonts w:ascii="宋体" w:hAnsi="宋体" w:cs="宋体"/>
                <w:color w:val="auto"/>
                <w:sz w:val="24"/>
                <w:szCs w:val="24"/>
                <w:highlight w:val="none"/>
              </w:rPr>
            </w:pPr>
            <w:r>
              <w:rPr>
                <w:rFonts w:hint="eastAsia" w:ascii="宋体" w:hAnsi="宋体" w:cs="宋体"/>
                <w:b w:val="0"/>
                <w:bCs w:val="0"/>
                <w:color w:val="auto"/>
                <w:sz w:val="24"/>
                <w:szCs w:val="24"/>
                <w:highlight w:val="none"/>
              </w:rPr>
              <w:t>（2）</w:t>
            </w:r>
            <w:r>
              <w:rPr>
                <w:rFonts w:hint="eastAsia" w:ascii="宋体" w:hAnsi="宋体"/>
                <w:color w:val="auto"/>
                <w:sz w:val="24"/>
                <w:szCs w:val="24"/>
                <w:highlight w:val="none"/>
              </w:rPr>
              <w:t>针对</w:t>
            </w:r>
            <w:r>
              <w:rPr>
                <w:rFonts w:hint="eastAsia" w:ascii="宋体" w:hAnsi="宋体"/>
                <w:color w:val="auto"/>
                <w:sz w:val="24"/>
                <w:highlight w:val="none"/>
              </w:rPr>
              <w:t>本项目</w:t>
            </w:r>
            <w:r>
              <w:rPr>
                <w:rFonts w:hint="eastAsia" w:ascii="宋体" w:hAnsi="宋体"/>
                <w:color w:val="auto"/>
                <w:sz w:val="24"/>
                <w:szCs w:val="24"/>
                <w:highlight w:val="none"/>
              </w:rPr>
              <w:t>建立了较完善的安全文明施工保证体系、施工安全管理制度，承诺不发生安全事故，有安全应急预案、目标明确、制度较健全，施工安全保护措施，措施较明确、较具体、较可行、针对性较强，措施较好的，得</w:t>
            </w: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10</w:t>
            </w:r>
            <w:r>
              <w:rPr>
                <w:rFonts w:hint="eastAsia" w:ascii="宋体" w:hAnsi="宋体" w:cs="宋体"/>
                <w:color w:val="auto"/>
                <w:sz w:val="24"/>
                <w:szCs w:val="24"/>
                <w:highlight w:val="none"/>
              </w:rPr>
              <w:t>）分；</w:t>
            </w:r>
          </w:p>
          <w:p w14:paraId="52BCAF99">
            <w:pPr>
              <w:spacing w:line="360" w:lineRule="auto"/>
              <w:jc w:val="left"/>
              <w:rPr>
                <w:rFonts w:ascii="宋体" w:hAnsi="宋体" w:cs="宋体"/>
                <w:color w:val="auto"/>
                <w:sz w:val="24"/>
                <w:szCs w:val="24"/>
                <w:highlight w:val="none"/>
              </w:rPr>
            </w:pPr>
            <w:r>
              <w:rPr>
                <w:rFonts w:hint="eastAsia" w:ascii="宋体" w:hAnsi="宋体" w:cs="宋体"/>
                <w:b w:val="0"/>
                <w:bCs w:val="0"/>
                <w:color w:val="auto"/>
                <w:sz w:val="24"/>
                <w:szCs w:val="24"/>
                <w:highlight w:val="none"/>
              </w:rPr>
              <w:t>（3）</w:t>
            </w:r>
            <w:r>
              <w:rPr>
                <w:rFonts w:hint="eastAsia" w:ascii="宋体" w:hAnsi="宋体"/>
                <w:color w:val="auto"/>
                <w:sz w:val="24"/>
                <w:szCs w:val="24"/>
                <w:highlight w:val="none"/>
              </w:rPr>
              <w:t>针对</w:t>
            </w:r>
            <w:r>
              <w:rPr>
                <w:rFonts w:hint="eastAsia" w:ascii="宋体" w:hAnsi="宋体"/>
                <w:color w:val="auto"/>
                <w:sz w:val="24"/>
                <w:highlight w:val="none"/>
              </w:rPr>
              <w:t>本项目</w:t>
            </w:r>
            <w:r>
              <w:rPr>
                <w:rFonts w:hint="eastAsia" w:ascii="宋体" w:hAnsi="宋体"/>
                <w:color w:val="auto"/>
                <w:sz w:val="24"/>
                <w:szCs w:val="24"/>
                <w:highlight w:val="none"/>
              </w:rPr>
              <w:t>建立了完善的安全文明施工保证体系、施工安全管理制度，承诺不发生安全事故，有安全应急预案、目标、有制度，有施工安全保护措施，但明确性一般，具体、可行、针对性一般，措施一般的</w:t>
            </w:r>
            <w:r>
              <w:rPr>
                <w:rFonts w:hint="eastAsia" w:ascii="宋体" w:hAnsi="宋体" w:cs="宋体"/>
                <w:color w:val="auto"/>
                <w:sz w:val="24"/>
                <w:szCs w:val="24"/>
                <w:highlight w:val="none"/>
              </w:rPr>
              <w:t>，得[</w:t>
            </w:r>
            <w:r>
              <w:rPr>
                <w:rFonts w:hint="eastAsia" w:ascii="宋体" w:hAnsi="宋体" w:cs="宋体"/>
                <w:color w:val="auto"/>
                <w:sz w:val="24"/>
                <w:szCs w:val="24"/>
                <w:highlight w:val="none"/>
                <w:lang w:val="en-US" w:eastAsia="zh-CN"/>
              </w:rPr>
              <w:t>10</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）分；</w:t>
            </w:r>
          </w:p>
          <w:p w14:paraId="1AD788D7">
            <w:pPr>
              <w:spacing w:line="360" w:lineRule="auto"/>
              <w:jc w:val="left"/>
              <w:rPr>
                <w:rFonts w:ascii="宋体" w:hAnsi="宋体" w:cs="宋体"/>
                <w:color w:val="auto"/>
                <w:sz w:val="24"/>
                <w:szCs w:val="24"/>
                <w:highlight w:val="none"/>
              </w:rPr>
            </w:pPr>
            <w:r>
              <w:rPr>
                <w:rFonts w:hint="eastAsia" w:ascii="宋体" w:hAnsi="宋体" w:cs="宋体"/>
                <w:b w:val="0"/>
                <w:bCs w:val="0"/>
                <w:color w:val="auto"/>
                <w:sz w:val="24"/>
                <w:szCs w:val="24"/>
                <w:highlight w:val="none"/>
              </w:rPr>
              <w:t>（</w:t>
            </w:r>
            <w:r>
              <w:rPr>
                <w:rFonts w:ascii="宋体" w:hAnsi="宋体" w:cs="宋体"/>
                <w:b w:val="0"/>
                <w:bCs w:val="0"/>
                <w:color w:val="auto"/>
                <w:sz w:val="24"/>
                <w:szCs w:val="24"/>
                <w:highlight w:val="none"/>
              </w:rPr>
              <w:t>4</w:t>
            </w:r>
            <w:r>
              <w:rPr>
                <w:rFonts w:hint="eastAsia" w:ascii="宋体" w:hAnsi="宋体" w:cs="宋体"/>
                <w:b w:val="0"/>
                <w:bCs w:val="0"/>
                <w:color w:val="auto"/>
                <w:sz w:val="24"/>
                <w:szCs w:val="24"/>
                <w:highlight w:val="none"/>
              </w:rPr>
              <w:t>）</w:t>
            </w:r>
            <w:r>
              <w:rPr>
                <w:rFonts w:hint="eastAsia" w:ascii="宋体" w:hAnsi="宋体" w:cs="宋体"/>
                <w:color w:val="auto"/>
                <w:sz w:val="24"/>
                <w:szCs w:val="24"/>
                <w:highlight w:val="none"/>
              </w:rPr>
              <w:t>不满足前述要求者或不提供内容的，得[</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-0</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分。</w:t>
            </w:r>
          </w:p>
        </w:tc>
      </w:tr>
      <w:tr w14:paraId="241A4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382" w:type="pct"/>
            <w:vMerge w:val="continue"/>
            <w:tcBorders>
              <w:left w:val="single" w:color="auto" w:sz="4" w:space="0"/>
              <w:right w:val="single" w:color="auto" w:sz="4" w:space="0"/>
            </w:tcBorders>
            <w:noWrap w:val="0"/>
            <w:vAlign w:val="center"/>
          </w:tcPr>
          <w:p w14:paraId="61F85E00">
            <w:pPr>
              <w:spacing w:line="360" w:lineRule="auto"/>
              <w:jc w:val="left"/>
              <w:rPr>
                <w:color w:val="auto"/>
                <w:sz w:val="24"/>
                <w:szCs w:val="24"/>
                <w:highlight w:val="none"/>
              </w:rPr>
            </w:pPr>
          </w:p>
        </w:tc>
        <w:tc>
          <w:tcPr>
            <w:tcW w:w="847" w:type="pct"/>
            <w:vMerge w:val="continue"/>
            <w:tcBorders>
              <w:left w:val="single" w:color="auto" w:sz="4" w:space="0"/>
              <w:right w:val="single" w:color="auto" w:sz="4" w:space="0"/>
            </w:tcBorders>
            <w:noWrap w:val="0"/>
            <w:vAlign w:val="center"/>
          </w:tcPr>
          <w:p w14:paraId="353912F7">
            <w:pPr>
              <w:spacing w:line="360" w:lineRule="auto"/>
              <w:jc w:val="left"/>
              <w:rPr>
                <w:color w:val="auto"/>
                <w:sz w:val="24"/>
                <w:szCs w:val="24"/>
                <w:highlight w:val="none"/>
              </w:rPr>
            </w:pPr>
          </w:p>
        </w:tc>
        <w:tc>
          <w:tcPr>
            <w:tcW w:w="7718" w:type="dxa"/>
            <w:tcBorders>
              <w:top w:val="single" w:color="auto" w:sz="4" w:space="0"/>
              <w:left w:val="single" w:color="auto" w:sz="4" w:space="0"/>
              <w:bottom w:val="single" w:color="auto" w:sz="4" w:space="0"/>
              <w:right w:val="single" w:color="auto" w:sz="4" w:space="0"/>
            </w:tcBorders>
            <w:noWrap w:val="0"/>
            <w:vAlign w:val="center"/>
          </w:tcPr>
          <w:p w14:paraId="30550CAE">
            <w:pPr>
              <w:spacing w:line="360" w:lineRule="auto"/>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定标委员会对合格的中标候选人的质量控制措施进行评审：</w:t>
            </w:r>
          </w:p>
          <w:p w14:paraId="696F7004">
            <w:pPr>
              <w:spacing w:line="360" w:lineRule="auto"/>
              <w:jc w:val="left"/>
              <w:rPr>
                <w:rFonts w:ascii="宋体" w:hAnsi="宋体" w:cs="宋体"/>
                <w:color w:val="auto"/>
                <w:sz w:val="24"/>
                <w:szCs w:val="24"/>
                <w:highlight w:val="none"/>
              </w:rPr>
            </w:pPr>
            <w:r>
              <w:rPr>
                <w:rFonts w:hint="eastAsia" w:ascii="宋体" w:hAnsi="宋体" w:cs="宋体"/>
                <w:b w:val="0"/>
                <w:bCs w:val="0"/>
                <w:color w:val="auto"/>
                <w:sz w:val="24"/>
                <w:szCs w:val="24"/>
                <w:highlight w:val="none"/>
              </w:rPr>
              <w:t>（1）</w:t>
            </w:r>
            <w:r>
              <w:rPr>
                <w:rFonts w:hint="eastAsia" w:ascii="宋体" w:hAnsi="宋体"/>
                <w:color w:val="auto"/>
                <w:sz w:val="24"/>
                <w:szCs w:val="24"/>
                <w:highlight w:val="none"/>
              </w:rPr>
              <w:t>针对</w:t>
            </w:r>
            <w:r>
              <w:rPr>
                <w:rFonts w:hint="eastAsia" w:ascii="宋体" w:hAnsi="宋体"/>
                <w:color w:val="auto"/>
                <w:sz w:val="24"/>
                <w:highlight w:val="none"/>
              </w:rPr>
              <w:t>本项目</w:t>
            </w:r>
            <w:r>
              <w:rPr>
                <w:rFonts w:hint="eastAsia" w:ascii="宋体" w:hAnsi="宋体"/>
                <w:color w:val="auto"/>
                <w:sz w:val="24"/>
                <w:szCs w:val="24"/>
                <w:highlight w:val="none"/>
              </w:rPr>
              <w:t>编制了施工质量目标、施工质量管理体系与程序、质量管理措施，根据本工程的质量目标，针对项目的特点，从质量保证体系、材料的检测、质量通病的防治等方面提出详细的质量保证措施，措施为完善的，得</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25</w:t>
            </w: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）分；</w:t>
            </w:r>
          </w:p>
          <w:p w14:paraId="66A773E3">
            <w:pPr>
              <w:spacing w:line="360" w:lineRule="auto"/>
              <w:jc w:val="left"/>
              <w:rPr>
                <w:rFonts w:ascii="宋体" w:hAnsi="宋体" w:cs="宋体"/>
                <w:color w:val="auto"/>
                <w:sz w:val="24"/>
                <w:szCs w:val="24"/>
                <w:highlight w:val="none"/>
              </w:rPr>
            </w:pPr>
            <w:r>
              <w:rPr>
                <w:rFonts w:hint="eastAsia" w:ascii="宋体" w:hAnsi="宋体" w:cs="宋体"/>
                <w:b w:val="0"/>
                <w:bCs w:val="0"/>
                <w:color w:val="auto"/>
                <w:sz w:val="24"/>
                <w:szCs w:val="24"/>
                <w:highlight w:val="none"/>
              </w:rPr>
              <w:t>（2）</w:t>
            </w:r>
            <w:r>
              <w:rPr>
                <w:rFonts w:hint="eastAsia" w:ascii="宋体" w:hAnsi="宋体"/>
                <w:color w:val="auto"/>
                <w:sz w:val="24"/>
                <w:szCs w:val="24"/>
                <w:highlight w:val="none"/>
              </w:rPr>
              <w:t>针对</w:t>
            </w:r>
            <w:r>
              <w:rPr>
                <w:rFonts w:hint="eastAsia" w:ascii="宋体" w:hAnsi="宋体"/>
                <w:color w:val="auto"/>
                <w:sz w:val="24"/>
                <w:highlight w:val="none"/>
              </w:rPr>
              <w:t>本项目</w:t>
            </w:r>
            <w:r>
              <w:rPr>
                <w:rFonts w:hint="eastAsia" w:ascii="宋体" w:hAnsi="宋体"/>
                <w:color w:val="auto"/>
                <w:sz w:val="24"/>
                <w:szCs w:val="24"/>
                <w:highlight w:val="none"/>
              </w:rPr>
              <w:t>编制了施工质量目标、施工质量管理体系与程序、质量管理措施，根据本工程的质量目标，针对项目的特点，从质量保证体系、材料的检测、质量通病的防治等方面提出较详细的质量保证措施，措施为较好的，得</w:t>
            </w: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10</w:t>
            </w:r>
            <w:r>
              <w:rPr>
                <w:rFonts w:hint="eastAsia" w:ascii="宋体" w:hAnsi="宋体" w:cs="宋体"/>
                <w:color w:val="auto"/>
                <w:sz w:val="24"/>
                <w:szCs w:val="24"/>
                <w:highlight w:val="none"/>
              </w:rPr>
              <w:t>）；</w:t>
            </w:r>
          </w:p>
          <w:p w14:paraId="1E24FD09">
            <w:pPr>
              <w:spacing w:line="360" w:lineRule="auto"/>
              <w:jc w:val="left"/>
              <w:rPr>
                <w:rFonts w:ascii="宋体" w:hAnsi="宋体" w:cs="宋体"/>
                <w:color w:val="auto"/>
                <w:sz w:val="24"/>
                <w:szCs w:val="24"/>
                <w:highlight w:val="none"/>
              </w:rPr>
            </w:pPr>
            <w:r>
              <w:rPr>
                <w:rFonts w:hint="eastAsia" w:ascii="宋体" w:hAnsi="宋体" w:cs="宋体"/>
                <w:b w:val="0"/>
                <w:bCs w:val="0"/>
                <w:color w:val="auto"/>
                <w:sz w:val="24"/>
                <w:szCs w:val="24"/>
                <w:highlight w:val="none"/>
              </w:rPr>
              <w:t>（3）</w:t>
            </w:r>
            <w:r>
              <w:rPr>
                <w:rFonts w:hint="eastAsia" w:ascii="宋体" w:hAnsi="宋体"/>
                <w:color w:val="auto"/>
                <w:sz w:val="24"/>
                <w:szCs w:val="24"/>
                <w:highlight w:val="none"/>
              </w:rPr>
              <w:t>针对</w:t>
            </w:r>
            <w:r>
              <w:rPr>
                <w:rFonts w:hint="eastAsia" w:ascii="宋体" w:hAnsi="宋体"/>
                <w:color w:val="auto"/>
                <w:sz w:val="24"/>
                <w:highlight w:val="none"/>
              </w:rPr>
              <w:t>本项目</w:t>
            </w:r>
            <w:r>
              <w:rPr>
                <w:rFonts w:hint="eastAsia" w:ascii="宋体" w:hAnsi="宋体"/>
                <w:color w:val="auto"/>
                <w:sz w:val="24"/>
                <w:szCs w:val="24"/>
                <w:highlight w:val="none"/>
              </w:rPr>
              <w:t>编制了施工质量目标、施工质量管理体系与程序、质量管理措施，根据本工程的质量目标，针对项目的特点，从质量保证体系、材料的检测、质量通病的防治等方面提出质量保证措施，措施一般的</w:t>
            </w:r>
            <w:r>
              <w:rPr>
                <w:rFonts w:hint="eastAsia" w:ascii="宋体" w:hAnsi="宋体" w:cs="宋体"/>
                <w:color w:val="auto"/>
                <w:sz w:val="24"/>
                <w:szCs w:val="24"/>
                <w:highlight w:val="none"/>
              </w:rPr>
              <w:t>，得[</w:t>
            </w:r>
            <w:r>
              <w:rPr>
                <w:rFonts w:hint="eastAsia" w:ascii="宋体" w:hAnsi="宋体" w:cs="宋体"/>
                <w:color w:val="auto"/>
                <w:sz w:val="24"/>
                <w:szCs w:val="24"/>
                <w:highlight w:val="none"/>
                <w:lang w:val="en-US" w:eastAsia="zh-CN"/>
              </w:rPr>
              <w:t>10</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）分；</w:t>
            </w:r>
          </w:p>
          <w:p w14:paraId="1E98D51E">
            <w:pPr>
              <w:spacing w:line="360" w:lineRule="auto"/>
              <w:jc w:val="left"/>
              <w:rPr>
                <w:rFonts w:ascii="宋体" w:hAnsi="宋体" w:cs="宋体"/>
                <w:color w:val="auto"/>
                <w:sz w:val="24"/>
                <w:szCs w:val="24"/>
                <w:highlight w:val="none"/>
              </w:rPr>
            </w:pPr>
            <w:r>
              <w:rPr>
                <w:rFonts w:hint="eastAsia" w:ascii="宋体" w:hAnsi="宋体" w:cs="宋体"/>
                <w:b w:val="0"/>
                <w:bCs w:val="0"/>
                <w:color w:val="auto"/>
                <w:sz w:val="24"/>
                <w:szCs w:val="24"/>
                <w:highlight w:val="none"/>
              </w:rPr>
              <w:t>（</w:t>
            </w:r>
            <w:r>
              <w:rPr>
                <w:rFonts w:ascii="宋体" w:hAnsi="宋体" w:cs="宋体"/>
                <w:b w:val="0"/>
                <w:bCs w:val="0"/>
                <w:color w:val="auto"/>
                <w:sz w:val="24"/>
                <w:szCs w:val="24"/>
                <w:highlight w:val="none"/>
              </w:rPr>
              <w:t>4</w:t>
            </w:r>
            <w:r>
              <w:rPr>
                <w:rFonts w:hint="eastAsia" w:ascii="宋体" w:hAnsi="宋体" w:cs="宋体"/>
                <w:b w:val="0"/>
                <w:bCs w:val="0"/>
                <w:color w:val="auto"/>
                <w:sz w:val="24"/>
                <w:szCs w:val="24"/>
                <w:highlight w:val="none"/>
              </w:rPr>
              <w:t>）</w:t>
            </w:r>
            <w:r>
              <w:rPr>
                <w:rFonts w:hint="eastAsia" w:ascii="宋体" w:hAnsi="宋体" w:cs="宋体"/>
                <w:color w:val="auto"/>
                <w:sz w:val="24"/>
                <w:szCs w:val="24"/>
                <w:highlight w:val="none"/>
              </w:rPr>
              <w:t>不满足前述要求者或不提供</w:t>
            </w:r>
            <w:r>
              <w:rPr>
                <w:rFonts w:hint="eastAsia" w:ascii="宋体" w:hAnsi="宋体" w:cs="宋体"/>
                <w:color w:val="auto"/>
                <w:sz w:val="24"/>
                <w:highlight w:val="none"/>
              </w:rPr>
              <w:t>相关质量保证措施</w:t>
            </w:r>
            <w:r>
              <w:rPr>
                <w:rFonts w:hint="eastAsia" w:ascii="宋体" w:hAnsi="宋体" w:cs="宋体"/>
                <w:color w:val="auto"/>
                <w:sz w:val="24"/>
                <w:szCs w:val="24"/>
                <w:highlight w:val="none"/>
              </w:rPr>
              <w:t>内容的，得[</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-0</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分。</w:t>
            </w:r>
          </w:p>
        </w:tc>
      </w:tr>
      <w:tr w14:paraId="74DC4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382" w:type="pct"/>
            <w:vMerge w:val="continue"/>
            <w:tcBorders>
              <w:left w:val="single" w:color="auto" w:sz="4" w:space="0"/>
              <w:right w:val="single" w:color="auto" w:sz="4" w:space="0"/>
            </w:tcBorders>
            <w:noWrap w:val="0"/>
            <w:vAlign w:val="center"/>
          </w:tcPr>
          <w:p w14:paraId="3C9EF3AE">
            <w:pPr>
              <w:spacing w:line="360" w:lineRule="auto"/>
              <w:jc w:val="left"/>
              <w:rPr>
                <w:rFonts w:ascii="宋体" w:hAnsi="宋体" w:cs="宋体"/>
                <w:color w:val="auto"/>
                <w:sz w:val="24"/>
                <w:szCs w:val="24"/>
                <w:highlight w:val="none"/>
              </w:rPr>
            </w:pPr>
          </w:p>
        </w:tc>
        <w:tc>
          <w:tcPr>
            <w:tcW w:w="847" w:type="pct"/>
            <w:vMerge w:val="continue"/>
            <w:tcBorders>
              <w:left w:val="single" w:color="auto" w:sz="4" w:space="0"/>
              <w:right w:val="single" w:color="auto" w:sz="4" w:space="0"/>
            </w:tcBorders>
            <w:noWrap w:val="0"/>
            <w:vAlign w:val="center"/>
          </w:tcPr>
          <w:p w14:paraId="5033481E">
            <w:pPr>
              <w:spacing w:line="360" w:lineRule="auto"/>
              <w:jc w:val="left"/>
              <w:rPr>
                <w:rFonts w:ascii="宋体" w:hAnsi="宋体" w:cs="宋体"/>
                <w:color w:val="auto"/>
                <w:sz w:val="24"/>
                <w:szCs w:val="24"/>
                <w:highlight w:val="none"/>
              </w:rPr>
            </w:pPr>
          </w:p>
        </w:tc>
        <w:tc>
          <w:tcPr>
            <w:tcW w:w="7718" w:type="dxa"/>
            <w:tcBorders>
              <w:top w:val="single" w:color="auto" w:sz="4" w:space="0"/>
              <w:left w:val="single" w:color="auto" w:sz="4" w:space="0"/>
              <w:bottom w:val="single" w:color="auto" w:sz="4" w:space="0"/>
              <w:right w:val="single" w:color="auto" w:sz="4" w:space="0"/>
            </w:tcBorders>
            <w:noWrap w:val="0"/>
            <w:vAlign w:val="center"/>
          </w:tcPr>
          <w:p w14:paraId="110D7803">
            <w:pPr>
              <w:spacing w:line="360" w:lineRule="auto"/>
              <w:jc w:val="lef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定标委员会对合格的中标候选人的进度控制措施进行评审：</w:t>
            </w:r>
          </w:p>
          <w:p w14:paraId="65CE074D">
            <w:pPr>
              <w:spacing w:line="360" w:lineRule="auto"/>
              <w:jc w:val="left"/>
              <w:rPr>
                <w:rFonts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rPr>
              <w:t>（</w:t>
            </w:r>
            <w:r>
              <w:rPr>
                <w:rFonts w:ascii="宋体" w:hAnsi="宋体" w:eastAsia="宋体" w:cs="宋体"/>
                <w:b w:val="0"/>
                <w:bCs w:val="0"/>
                <w:color w:val="auto"/>
                <w:sz w:val="24"/>
                <w:szCs w:val="24"/>
                <w:highlight w:val="none"/>
              </w:rPr>
              <w:t>1</w:t>
            </w:r>
            <w:r>
              <w:rPr>
                <w:rFonts w:hint="eastAsia" w:ascii="宋体" w:hAnsi="宋体" w:eastAsia="宋体" w:cs="宋体"/>
                <w:b w:val="0"/>
                <w:bCs w:val="0"/>
                <w:color w:val="auto"/>
                <w:sz w:val="24"/>
                <w:szCs w:val="24"/>
                <w:highlight w:val="none"/>
              </w:rPr>
              <w:t>）</w:t>
            </w:r>
            <w:r>
              <w:rPr>
                <w:rFonts w:hint="eastAsia" w:ascii="宋体" w:hAnsi="宋体" w:eastAsia="宋体" w:cs="宋体"/>
                <w:color w:val="auto"/>
                <w:sz w:val="24"/>
                <w:szCs w:val="24"/>
                <w:highlight w:val="none"/>
              </w:rPr>
              <w:t>针对本项目编制了施工总进度计划及工期保证措施，并针对项目特点编制施工总进度计划及工期保证措施，确保实现工程进度目标，措施完善的，得</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20</w:t>
            </w: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w:t>
            </w:r>
            <w:r>
              <w:rPr>
                <w:rFonts w:hint="eastAsia" w:ascii="宋体" w:hAnsi="宋体" w:eastAsia="宋体" w:cs="宋体"/>
                <w:color w:val="auto"/>
                <w:sz w:val="24"/>
                <w:szCs w:val="24"/>
                <w:highlight w:val="none"/>
              </w:rPr>
              <w:t>分；</w:t>
            </w:r>
          </w:p>
          <w:p w14:paraId="6C9C2D44">
            <w:pPr>
              <w:spacing w:line="360" w:lineRule="auto"/>
              <w:jc w:val="left"/>
              <w:rPr>
                <w:rFonts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rPr>
              <w:t>（</w:t>
            </w:r>
            <w:r>
              <w:rPr>
                <w:rFonts w:ascii="宋体" w:hAnsi="宋体" w:eastAsia="宋体" w:cs="宋体"/>
                <w:b w:val="0"/>
                <w:bCs w:val="0"/>
                <w:color w:val="auto"/>
                <w:sz w:val="24"/>
                <w:szCs w:val="24"/>
                <w:highlight w:val="none"/>
              </w:rPr>
              <w:t>2</w:t>
            </w:r>
            <w:r>
              <w:rPr>
                <w:rFonts w:hint="eastAsia" w:ascii="宋体" w:hAnsi="宋体" w:eastAsia="宋体" w:cs="宋体"/>
                <w:b w:val="0"/>
                <w:bCs w:val="0"/>
                <w:color w:val="auto"/>
                <w:sz w:val="24"/>
                <w:szCs w:val="24"/>
                <w:highlight w:val="none"/>
              </w:rPr>
              <w:t>）</w:t>
            </w:r>
            <w:r>
              <w:rPr>
                <w:rFonts w:hint="eastAsia" w:ascii="宋体" w:hAnsi="宋体" w:eastAsia="宋体" w:cs="宋体"/>
                <w:color w:val="auto"/>
                <w:sz w:val="24"/>
                <w:szCs w:val="24"/>
                <w:highlight w:val="none"/>
              </w:rPr>
              <w:t>针对本项目编制了施工总进度计划及工期保证措施，并针对项目特点编制施工总进度计划及工期保证措施，确保实现工程进度目标，措施为较好的，得</w:t>
            </w:r>
            <w:r>
              <w:rPr>
                <w:rFonts w:ascii="宋体" w:hAnsi="宋体" w:eastAsia="宋体" w:cs="宋体"/>
                <w:color w:val="auto"/>
                <w:sz w:val="24"/>
                <w:szCs w:val="24"/>
                <w:highlight w:val="none"/>
              </w:rPr>
              <w:t>[</w:t>
            </w: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5</w:t>
            </w:r>
            <w:r>
              <w:rPr>
                <w:rFonts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p>
          <w:p w14:paraId="2DCE8A22">
            <w:pPr>
              <w:spacing w:line="360" w:lineRule="auto"/>
              <w:jc w:val="left"/>
              <w:rPr>
                <w:rFonts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rPr>
              <w:t>（</w:t>
            </w:r>
            <w:r>
              <w:rPr>
                <w:rFonts w:ascii="宋体" w:hAnsi="宋体" w:eastAsia="宋体" w:cs="宋体"/>
                <w:b w:val="0"/>
                <w:bCs w:val="0"/>
                <w:color w:val="auto"/>
                <w:sz w:val="24"/>
                <w:szCs w:val="24"/>
                <w:highlight w:val="none"/>
              </w:rPr>
              <w:t>3）</w:t>
            </w:r>
            <w:r>
              <w:rPr>
                <w:rFonts w:hint="eastAsia" w:ascii="宋体" w:hAnsi="宋体" w:eastAsia="宋体" w:cs="宋体"/>
                <w:color w:val="auto"/>
                <w:sz w:val="24"/>
                <w:szCs w:val="24"/>
                <w:highlight w:val="none"/>
              </w:rPr>
              <w:t>针对本项目编制了施工总进度计划及工期保证措施，或针对项目特点编制施工总进度计划及工期保证措施，确保实现工程进度目标，措施一般的</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得</w:t>
            </w:r>
            <w:r>
              <w:rPr>
                <w:rFonts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10</w:t>
            </w:r>
            <w:r>
              <w:rPr>
                <w:rFonts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p w14:paraId="67A61682">
            <w:pPr>
              <w:spacing w:line="360" w:lineRule="auto"/>
              <w:jc w:val="left"/>
              <w:rPr>
                <w:rFonts w:ascii="宋体" w:hAnsi="宋体" w:cs="宋体"/>
                <w:color w:val="auto"/>
                <w:sz w:val="24"/>
                <w:szCs w:val="24"/>
                <w:highlight w:val="none"/>
              </w:rPr>
            </w:pPr>
            <w:r>
              <w:rPr>
                <w:rFonts w:hint="eastAsia" w:ascii="宋体" w:hAnsi="宋体" w:eastAsia="宋体" w:cs="宋体"/>
                <w:b w:val="0"/>
                <w:bCs w:val="0"/>
                <w:color w:val="auto"/>
                <w:sz w:val="24"/>
                <w:szCs w:val="24"/>
                <w:highlight w:val="none"/>
              </w:rPr>
              <w:t>（</w:t>
            </w:r>
            <w:r>
              <w:rPr>
                <w:rFonts w:ascii="宋体" w:hAnsi="宋体" w:eastAsia="宋体" w:cs="宋体"/>
                <w:b w:val="0"/>
                <w:bCs w:val="0"/>
                <w:color w:val="auto"/>
                <w:sz w:val="24"/>
                <w:szCs w:val="24"/>
                <w:highlight w:val="none"/>
              </w:rPr>
              <w:t>4</w:t>
            </w:r>
            <w:r>
              <w:rPr>
                <w:rFonts w:hint="eastAsia" w:ascii="宋体" w:hAnsi="宋体" w:eastAsia="宋体" w:cs="宋体"/>
                <w:b w:val="0"/>
                <w:bCs w:val="0"/>
                <w:color w:val="auto"/>
                <w:sz w:val="24"/>
                <w:szCs w:val="24"/>
                <w:highlight w:val="none"/>
              </w:rPr>
              <w:t>）</w:t>
            </w:r>
            <w:r>
              <w:rPr>
                <w:rFonts w:hint="eastAsia" w:ascii="宋体" w:hAnsi="宋体" w:eastAsia="宋体" w:cs="宋体"/>
                <w:color w:val="auto"/>
                <w:sz w:val="24"/>
                <w:szCs w:val="24"/>
                <w:highlight w:val="none"/>
              </w:rPr>
              <w:t>不满足前述要求者或不提供内容的，得</w:t>
            </w:r>
            <w:r>
              <w:rPr>
                <w:rFonts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5</w:t>
            </w:r>
            <w:r>
              <w:rPr>
                <w:rFonts w:ascii="宋体" w:hAnsi="宋体" w:eastAsia="宋体" w:cs="宋体"/>
                <w:color w:val="auto"/>
                <w:sz w:val="24"/>
                <w:szCs w:val="24"/>
                <w:highlight w:val="none"/>
              </w:rPr>
              <w:t>-</w:t>
            </w: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分。</w:t>
            </w:r>
          </w:p>
        </w:tc>
      </w:tr>
      <w:tr w14:paraId="41169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8" w:hRule="atLeast"/>
        </w:trPr>
        <w:tc>
          <w:tcPr>
            <w:tcW w:w="382" w:type="pct"/>
            <w:vMerge w:val="continue"/>
            <w:tcBorders>
              <w:left w:val="single" w:color="auto" w:sz="4" w:space="0"/>
              <w:right w:val="single" w:color="auto" w:sz="4" w:space="0"/>
            </w:tcBorders>
            <w:noWrap w:val="0"/>
            <w:vAlign w:val="center"/>
          </w:tcPr>
          <w:p w14:paraId="15401A3F">
            <w:pPr>
              <w:spacing w:line="360" w:lineRule="auto"/>
              <w:jc w:val="left"/>
              <w:rPr>
                <w:rFonts w:ascii="宋体" w:hAnsi="宋体" w:cs="宋体"/>
                <w:color w:val="auto"/>
                <w:sz w:val="24"/>
                <w:szCs w:val="24"/>
                <w:highlight w:val="none"/>
              </w:rPr>
            </w:pPr>
          </w:p>
        </w:tc>
        <w:tc>
          <w:tcPr>
            <w:tcW w:w="847" w:type="pct"/>
            <w:vMerge w:val="continue"/>
            <w:tcBorders>
              <w:left w:val="single" w:color="auto" w:sz="4" w:space="0"/>
              <w:right w:val="single" w:color="auto" w:sz="4" w:space="0"/>
            </w:tcBorders>
            <w:noWrap w:val="0"/>
            <w:vAlign w:val="center"/>
          </w:tcPr>
          <w:p w14:paraId="11F6DF11">
            <w:pPr>
              <w:spacing w:line="360" w:lineRule="auto"/>
              <w:jc w:val="left"/>
              <w:rPr>
                <w:rFonts w:ascii="宋体" w:hAnsi="宋体" w:cs="宋体"/>
                <w:color w:val="auto"/>
                <w:sz w:val="24"/>
                <w:szCs w:val="24"/>
                <w:highlight w:val="none"/>
              </w:rPr>
            </w:pPr>
          </w:p>
        </w:tc>
        <w:tc>
          <w:tcPr>
            <w:tcW w:w="7718" w:type="dxa"/>
            <w:tcBorders>
              <w:top w:val="single" w:color="auto" w:sz="4" w:space="0"/>
              <w:left w:val="single" w:color="auto" w:sz="4" w:space="0"/>
              <w:bottom w:val="single" w:color="auto" w:sz="4" w:space="0"/>
              <w:right w:val="single" w:color="auto" w:sz="4" w:space="0"/>
            </w:tcBorders>
            <w:noWrap w:val="0"/>
            <w:vAlign w:val="center"/>
          </w:tcPr>
          <w:p w14:paraId="56E09A5F">
            <w:pPr>
              <w:spacing w:line="360" w:lineRule="auto"/>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定标委员会对合格的中标候选人的绿色节能控制措施进行评审：</w:t>
            </w:r>
          </w:p>
          <w:p w14:paraId="32D7E05A">
            <w:pPr>
              <w:pStyle w:val="20"/>
              <w:spacing w:line="360" w:lineRule="auto"/>
              <w:rPr>
                <w:rFonts w:hAnsi="宋体"/>
                <w:color w:val="auto"/>
                <w:sz w:val="24"/>
                <w:szCs w:val="24"/>
                <w:highlight w:val="none"/>
              </w:rPr>
            </w:pPr>
            <w:r>
              <w:rPr>
                <w:rFonts w:hint="eastAsia" w:hAnsi="宋体" w:cs="宋体"/>
                <w:b w:val="0"/>
                <w:bCs w:val="0"/>
                <w:color w:val="auto"/>
                <w:sz w:val="24"/>
                <w:szCs w:val="24"/>
                <w:highlight w:val="none"/>
              </w:rPr>
              <w:t>（1）</w:t>
            </w:r>
            <w:r>
              <w:rPr>
                <w:rFonts w:hint="eastAsia" w:hAnsi="宋体"/>
                <w:color w:val="auto"/>
                <w:sz w:val="24"/>
                <w:szCs w:val="24"/>
                <w:highlight w:val="none"/>
              </w:rPr>
              <w:t>有绿色节能控制措施，措施明确、具体、可行、针对性强，措施完善的，并有承诺在施工过程中通过科学管理和先进的技术手段，最大限度地节约资源与减少对环境的负面影响，以达到四节一环保（节能、节地、节水、节材和环境保护）的目标，得</w:t>
            </w:r>
            <w:r>
              <w:rPr>
                <w:rFonts w:hint="eastAsia" w:hAnsi="宋体" w:cs="宋体"/>
                <w:color w:val="auto"/>
                <w:sz w:val="24"/>
                <w:szCs w:val="24"/>
                <w:highlight w:val="none"/>
              </w:rPr>
              <w:t>[</w:t>
            </w:r>
            <w:r>
              <w:rPr>
                <w:rFonts w:hint="eastAsia" w:hAnsi="宋体" w:cs="宋体"/>
                <w:color w:val="auto"/>
                <w:sz w:val="24"/>
                <w:szCs w:val="24"/>
                <w:highlight w:val="none"/>
                <w:lang w:val="en-US" w:eastAsia="zh-CN"/>
              </w:rPr>
              <w:t>20</w:t>
            </w:r>
            <w:r>
              <w:rPr>
                <w:rFonts w:hint="eastAsia" w:hAnsi="宋体" w:cs="宋体"/>
                <w:color w:val="auto"/>
                <w:sz w:val="24"/>
                <w:szCs w:val="24"/>
                <w:highlight w:val="none"/>
              </w:rPr>
              <w:t>-1</w:t>
            </w:r>
            <w:r>
              <w:rPr>
                <w:rFonts w:hint="eastAsia" w:hAnsi="宋体" w:cs="宋体"/>
                <w:color w:val="auto"/>
                <w:sz w:val="24"/>
                <w:szCs w:val="24"/>
                <w:highlight w:val="none"/>
                <w:lang w:val="en-US" w:eastAsia="zh-CN"/>
              </w:rPr>
              <w:t>5</w:t>
            </w:r>
            <w:r>
              <w:rPr>
                <w:rFonts w:hint="eastAsia" w:hAnsi="宋体" w:cs="宋体"/>
                <w:color w:val="auto"/>
                <w:sz w:val="24"/>
                <w:szCs w:val="24"/>
                <w:highlight w:val="none"/>
              </w:rPr>
              <w:t>）分</w:t>
            </w:r>
            <w:r>
              <w:rPr>
                <w:rFonts w:hint="eastAsia" w:hAnsi="宋体"/>
                <w:color w:val="auto"/>
                <w:sz w:val="24"/>
                <w:szCs w:val="24"/>
                <w:highlight w:val="none"/>
              </w:rPr>
              <w:t>；</w:t>
            </w:r>
          </w:p>
          <w:p w14:paraId="7E2CCD42">
            <w:pPr>
              <w:spacing w:line="360" w:lineRule="auto"/>
              <w:rPr>
                <w:rFonts w:ascii="宋体" w:hAnsi="宋体"/>
                <w:color w:val="auto"/>
                <w:sz w:val="24"/>
                <w:szCs w:val="24"/>
                <w:highlight w:val="none"/>
              </w:rPr>
            </w:pPr>
            <w:r>
              <w:rPr>
                <w:rFonts w:hint="eastAsia" w:hAnsi="宋体"/>
                <w:b w:val="0"/>
                <w:bCs w:val="0"/>
                <w:color w:val="auto"/>
                <w:sz w:val="24"/>
                <w:szCs w:val="24"/>
                <w:highlight w:val="none"/>
              </w:rPr>
              <w:t>（2）</w:t>
            </w:r>
            <w:r>
              <w:rPr>
                <w:rFonts w:hint="eastAsia" w:ascii="宋体" w:hAnsi="宋体"/>
                <w:color w:val="auto"/>
                <w:sz w:val="24"/>
                <w:szCs w:val="24"/>
                <w:highlight w:val="none"/>
              </w:rPr>
              <w:t>有绿色节能控制措施，措施较明确、较具体、较可行、针对性较强，措施较完善的，有承诺在施工过程中通过科学管理和先进的技术手段，较好地节约资源与减少对环境的负面影响，以达到四节一环保（节能、节地、节水、节材和环境保护）的目标，得</w:t>
            </w: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10</w:t>
            </w:r>
            <w:r>
              <w:rPr>
                <w:rFonts w:hint="eastAsia" w:ascii="宋体" w:hAnsi="宋体" w:cs="宋体"/>
                <w:color w:val="auto"/>
                <w:sz w:val="24"/>
                <w:szCs w:val="24"/>
                <w:highlight w:val="none"/>
              </w:rPr>
              <w:t>）分</w:t>
            </w:r>
            <w:r>
              <w:rPr>
                <w:rFonts w:hint="eastAsia" w:ascii="宋体" w:hAnsi="宋体"/>
                <w:color w:val="auto"/>
                <w:sz w:val="24"/>
                <w:szCs w:val="24"/>
                <w:highlight w:val="none"/>
              </w:rPr>
              <w:t>；</w:t>
            </w:r>
          </w:p>
          <w:p w14:paraId="22F050E0">
            <w:pPr>
              <w:pStyle w:val="20"/>
              <w:spacing w:line="360" w:lineRule="auto"/>
              <w:rPr>
                <w:rFonts w:hAnsi="宋体"/>
                <w:color w:val="auto"/>
                <w:sz w:val="24"/>
                <w:szCs w:val="24"/>
                <w:highlight w:val="none"/>
              </w:rPr>
            </w:pPr>
            <w:r>
              <w:rPr>
                <w:rFonts w:hint="eastAsia" w:hAnsi="宋体"/>
                <w:b w:val="0"/>
                <w:bCs w:val="0"/>
                <w:color w:val="auto"/>
                <w:sz w:val="24"/>
                <w:szCs w:val="24"/>
                <w:highlight w:val="none"/>
              </w:rPr>
              <w:t>（3）</w:t>
            </w:r>
            <w:r>
              <w:rPr>
                <w:rFonts w:hint="eastAsia" w:hAnsi="宋体"/>
                <w:color w:val="auto"/>
                <w:sz w:val="24"/>
                <w:szCs w:val="24"/>
                <w:highlight w:val="none"/>
              </w:rPr>
              <w:t>有绿色节能控制措施，但明确性一般，具体、可行、针对性一般，措施一般的，有承诺在施工过程中通过科学管理和先进的技术手段，节约资源与减少对环境的负面影响，达到四节一环保（节能、节地、节水、节材和环境保护）的目标，</w:t>
            </w:r>
            <w:r>
              <w:rPr>
                <w:rFonts w:hint="eastAsia" w:hAnsi="宋体" w:cs="宋体"/>
                <w:color w:val="auto"/>
                <w:sz w:val="24"/>
                <w:szCs w:val="24"/>
                <w:highlight w:val="none"/>
              </w:rPr>
              <w:t>得[</w:t>
            </w:r>
            <w:r>
              <w:rPr>
                <w:rFonts w:hint="eastAsia" w:hAnsi="宋体" w:cs="宋体"/>
                <w:color w:val="auto"/>
                <w:sz w:val="24"/>
                <w:szCs w:val="24"/>
                <w:highlight w:val="none"/>
                <w:lang w:val="en-US" w:eastAsia="zh-CN"/>
              </w:rPr>
              <w:t>10</w:t>
            </w:r>
            <w:r>
              <w:rPr>
                <w:rFonts w:hint="eastAsia" w:hAnsi="宋体" w:cs="宋体"/>
                <w:color w:val="auto"/>
                <w:sz w:val="24"/>
                <w:szCs w:val="24"/>
                <w:highlight w:val="none"/>
              </w:rPr>
              <w:t>-</w:t>
            </w:r>
            <w:r>
              <w:rPr>
                <w:rFonts w:hint="eastAsia" w:hAnsi="宋体" w:cs="宋体"/>
                <w:color w:val="auto"/>
                <w:sz w:val="24"/>
                <w:szCs w:val="24"/>
                <w:highlight w:val="none"/>
                <w:lang w:val="en-US" w:eastAsia="zh-CN"/>
              </w:rPr>
              <w:t>5</w:t>
            </w:r>
            <w:r>
              <w:rPr>
                <w:rFonts w:hint="eastAsia" w:hAnsi="宋体" w:cs="宋体"/>
                <w:color w:val="auto"/>
                <w:sz w:val="24"/>
                <w:szCs w:val="24"/>
                <w:highlight w:val="none"/>
              </w:rPr>
              <w:t>）分；</w:t>
            </w:r>
          </w:p>
          <w:p w14:paraId="264F14F3">
            <w:pPr>
              <w:spacing w:line="360" w:lineRule="auto"/>
              <w:rPr>
                <w:color w:val="auto"/>
                <w:sz w:val="24"/>
                <w:szCs w:val="24"/>
                <w:highlight w:val="none"/>
              </w:rPr>
            </w:pPr>
            <w:r>
              <w:rPr>
                <w:rFonts w:hint="eastAsia" w:ascii="宋体" w:hAnsi="宋体" w:cs="宋体"/>
                <w:b w:val="0"/>
                <w:bCs w:val="0"/>
                <w:color w:val="auto"/>
                <w:sz w:val="24"/>
                <w:szCs w:val="24"/>
                <w:highlight w:val="none"/>
              </w:rPr>
              <w:t>（</w:t>
            </w:r>
            <w:r>
              <w:rPr>
                <w:rFonts w:ascii="宋体" w:hAnsi="宋体" w:cs="宋体"/>
                <w:b w:val="0"/>
                <w:bCs w:val="0"/>
                <w:color w:val="auto"/>
                <w:sz w:val="24"/>
                <w:szCs w:val="24"/>
                <w:highlight w:val="none"/>
              </w:rPr>
              <w:t>4</w:t>
            </w:r>
            <w:r>
              <w:rPr>
                <w:rFonts w:hint="eastAsia" w:ascii="宋体" w:hAnsi="宋体" w:cs="宋体"/>
                <w:b w:val="0"/>
                <w:bCs w:val="0"/>
                <w:color w:val="auto"/>
                <w:sz w:val="24"/>
                <w:szCs w:val="24"/>
                <w:highlight w:val="none"/>
              </w:rPr>
              <w:t>）</w:t>
            </w:r>
            <w:r>
              <w:rPr>
                <w:rFonts w:hint="eastAsia" w:ascii="宋体" w:hAnsi="宋体" w:cs="宋体"/>
                <w:color w:val="auto"/>
                <w:sz w:val="24"/>
                <w:szCs w:val="24"/>
                <w:highlight w:val="none"/>
              </w:rPr>
              <w:t>不满足前述要求者或不提供内容的，得[</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-0</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分。</w:t>
            </w:r>
          </w:p>
        </w:tc>
      </w:tr>
      <w:tr w14:paraId="0B5EA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382" w:type="pct"/>
            <w:tcBorders>
              <w:top w:val="single" w:color="auto" w:sz="4" w:space="0"/>
              <w:left w:val="single" w:color="auto" w:sz="4" w:space="0"/>
              <w:bottom w:val="single" w:color="auto" w:sz="4" w:space="0"/>
              <w:right w:val="single" w:color="auto" w:sz="4" w:space="0"/>
            </w:tcBorders>
            <w:noWrap w:val="0"/>
            <w:vAlign w:val="center"/>
          </w:tcPr>
          <w:p w14:paraId="22C64B03">
            <w:pPr>
              <w:jc w:val="center"/>
              <w:rPr>
                <w:rFonts w:ascii="宋体" w:hAnsi="宋体" w:cs="宋体"/>
                <w:color w:val="auto"/>
                <w:sz w:val="24"/>
                <w:szCs w:val="24"/>
                <w:highlight w:val="none"/>
              </w:rPr>
            </w:pPr>
            <w:r>
              <w:rPr>
                <w:rFonts w:hint="eastAsia" w:ascii="宋体" w:hAnsi="宋体" w:cs="宋体"/>
                <w:color w:val="auto"/>
                <w:sz w:val="24"/>
                <w:szCs w:val="24"/>
                <w:highlight w:val="none"/>
              </w:rPr>
              <w:t>2</w:t>
            </w:r>
          </w:p>
        </w:tc>
        <w:tc>
          <w:tcPr>
            <w:tcW w:w="847" w:type="pct"/>
            <w:tcBorders>
              <w:top w:val="single" w:color="auto" w:sz="4" w:space="0"/>
              <w:left w:val="single" w:color="auto" w:sz="4" w:space="0"/>
              <w:bottom w:val="single" w:color="auto" w:sz="4" w:space="0"/>
              <w:right w:val="single" w:color="auto" w:sz="4" w:space="0"/>
            </w:tcBorders>
            <w:noWrap w:val="0"/>
            <w:vAlign w:val="center"/>
          </w:tcPr>
          <w:p w14:paraId="45C9935A">
            <w:pPr>
              <w:spacing w:line="46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价格因素（</w:t>
            </w:r>
            <w:r>
              <w:rPr>
                <w:rFonts w:hint="eastAsia" w:ascii="宋体" w:hAnsi="宋体" w:cs="宋体"/>
                <w:color w:val="auto"/>
                <w:sz w:val="24"/>
                <w:szCs w:val="24"/>
                <w:highlight w:val="none"/>
                <w:lang w:val="en-US" w:eastAsia="zh-CN"/>
              </w:rPr>
              <w:t>10</w:t>
            </w:r>
            <w:r>
              <w:rPr>
                <w:rFonts w:hint="eastAsia" w:ascii="宋体" w:hAnsi="宋体" w:cs="宋体"/>
                <w:color w:val="auto"/>
                <w:sz w:val="24"/>
                <w:szCs w:val="24"/>
                <w:highlight w:val="none"/>
              </w:rPr>
              <w:t>分）</w:t>
            </w:r>
          </w:p>
        </w:tc>
        <w:tc>
          <w:tcPr>
            <w:tcW w:w="3769" w:type="pct"/>
            <w:tcBorders>
              <w:top w:val="single" w:color="auto" w:sz="4" w:space="0"/>
              <w:left w:val="single" w:color="auto" w:sz="4" w:space="0"/>
              <w:bottom w:val="single" w:color="auto" w:sz="4" w:space="0"/>
              <w:right w:val="single" w:color="auto" w:sz="4" w:space="0"/>
            </w:tcBorders>
            <w:noWrap w:val="0"/>
            <w:vAlign w:val="center"/>
          </w:tcPr>
          <w:p w14:paraId="51B5097A">
            <w:pPr>
              <w:pStyle w:val="20"/>
              <w:widowControl/>
              <w:spacing w:line="360" w:lineRule="auto"/>
              <w:jc w:val="left"/>
              <w:rPr>
                <w:rFonts w:hAnsi="宋体"/>
                <w:b/>
                <w:bCs/>
                <w:color w:val="auto"/>
                <w:sz w:val="24"/>
                <w:szCs w:val="24"/>
                <w:highlight w:val="none"/>
                <w:lang w:bidi="ar"/>
              </w:rPr>
            </w:pPr>
            <w:r>
              <w:rPr>
                <w:rFonts w:hint="eastAsia" w:hAnsi="宋体"/>
                <w:b/>
                <w:bCs/>
                <w:color w:val="auto"/>
                <w:sz w:val="24"/>
                <w:szCs w:val="24"/>
                <w:highlight w:val="none"/>
                <w:lang w:bidi="ar"/>
              </w:rPr>
              <w:t>定标委员会对合格的中标候选人投标报价进行评审：</w:t>
            </w:r>
          </w:p>
          <w:p w14:paraId="67B8DB3A">
            <w:pPr>
              <w:pStyle w:val="20"/>
              <w:widowControl/>
              <w:spacing w:line="360" w:lineRule="auto"/>
              <w:jc w:val="left"/>
              <w:rPr>
                <w:rFonts w:hint="eastAsia" w:hAnsi="宋体"/>
                <w:color w:val="auto"/>
                <w:sz w:val="24"/>
                <w:szCs w:val="24"/>
                <w:highlight w:val="none"/>
                <w:lang w:bidi="ar"/>
              </w:rPr>
            </w:pPr>
            <w:r>
              <w:rPr>
                <w:rFonts w:hint="eastAsia" w:hAnsi="宋体"/>
                <w:color w:val="auto"/>
                <w:sz w:val="24"/>
                <w:szCs w:val="24"/>
                <w:highlight w:val="none"/>
                <w:lang w:bidi="ar"/>
              </w:rPr>
              <w:t>定标委员会对合格的中标候选人投标报价进行打分，合格的中标候选人中最低的投标报价，其投标报价得分为</w:t>
            </w:r>
            <w:r>
              <w:rPr>
                <w:rFonts w:hint="eastAsia" w:hAnsi="宋体"/>
                <w:color w:val="auto"/>
                <w:sz w:val="24"/>
                <w:szCs w:val="24"/>
                <w:highlight w:val="none"/>
                <w:lang w:val="en-US" w:eastAsia="zh-CN" w:bidi="ar"/>
              </w:rPr>
              <w:t>10</w:t>
            </w:r>
            <w:r>
              <w:rPr>
                <w:rFonts w:hint="eastAsia" w:hAnsi="宋体"/>
                <w:color w:val="auto"/>
                <w:sz w:val="24"/>
                <w:szCs w:val="24"/>
                <w:highlight w:val="none"/>
                <w:lang w:bidi="ar"/>
              </w:rPr>
              <w:t>分。</w:t>
            </w:r>
          </w:p>
          <w:p w14:paraId="4B0AB6FC">
            <w:pPr>
              <w:pStyle w:val="20"/>
              <w:widowControl/>
              <w:spacing w:line="360" w:lineRule="auto"/>
              <w:jc w:val="left"/>
              <w:rPr>
                <w:rFonts w:hAnsi="宋体" w:cs="宋体"/>
                <w:color w:val="auto"/>
                <w:sz w:val="24"/>
                <w:szCs w:val="24"/>
                <w:highlight w:val="none"/>
              </w:rPr>
            </w:pPr>
            <w:r>
              <w:rPr>
                <w:rFonts w:hint="eastAsia" w:hAnsi="宋体"/>
                <w:color w:val="auto"/>
                <w:sz w:val="24"/>
                <w:szCs w:val="24"/>
                <w:highlight w:val="none"/>
                <w:lang w:bidi="ar"/>
              </w:rPr>
              <w:t>对应合格的中标候选人价格因素得分=（合格的中标候选人中最低的投标报价/对应投标报价）×</w:t>
            </w:r>
            <w:r>
              <w:rPr>
                <w:rFonts w:hint="eastAsia" w:hAnsi="宋体"/>
                <w:color w:val="auto"/>
                <w:sz w:val="24"/>
                <w:szCs w:val="24"/>
                <w:highlight w:val="none"/>
                <w:lang w:val="en-US" w:eastAsia="zh-CN" w:bidi="ar"/>
              </w:rPr>
              <w:t>10</w:t>
            </w:r>
            <w:r>
              <w:rPr>
                <w:rFonts w:hint="eastAsia" w:hAnsi="宋体"/>
                <w:color w:val="auto"/>
                <w:sz w:val="24"/>
                <w:szCs w:val="24"/>
                <w:highlight w:val="none"/>
                <w:lang w:bidi="ar"/>
              </w:rPr>
              <w:t>。</w:t>
            </w:r>
          </w:p>
        </w:tc>
      </w:tr>
    </w:tbl>
    <w:p w14:paraId="1165FDE4">
      <w:pPr>
        <w:pStyle w:val="20"/>
        <w:rPr>
          <w:rFonts w:hint="eastAsia"/>
          <w:highlight w:val="none"/>
        </w:rPr>
      </w:pPr>
    </w:p>
    <w:p w14:paraId="11189773">
      <w:pPr>
        <w:rPr>
          <w:highlight w:val="none"/>
        </w:rPr>
      </w:pPr>
      <w:r>
        <w:rPr>
          <w:rFonts w:hint="eastAsia" w:ascii="宋体" w:hAnsi="宋体" w:cs="宋体"/>
          <w:highlight w:val="none"/>
        </w:rPr>
        <w:br w:type="page"/>
      </w:r>
    </w:p>
    <w:p w14:paraId="47176382">
      <w:pPr>
        <w:pStyle w:val="118"/>
        <w:rPr>
          <w:rFonts w:hint="eastAsia" w:ascii="宋体" w:hAnsi="宋体" w:cs="宋体"/>
          <w:highlight w:val="none"/>
        </w:rPr>
      </w:pPr>
    </w:p>
    <w:p w14:paraId="7649540A">
      <w:pPr>
        <w:pStyle w:val="2"/>
        <w:rPr>
          <w:rFonts w:hint="eastAsia" w:ascii="宋体" w:hAnsi="宋体" w:cs="宋体"/>
          <w:highlight w:val="none"/>
        </w:rPr>
      </w:pPr>
      <w:bookmarkStart w:id="73" w:name="_Toc13845"/>
    </w:p>
    <w:p w14:paraId="29C5F8E7">
      <w:pPr>
        <w:pStyle w:val="2"/>
        <w:rPr>
          <w:rFonts w:hint="eastAsia" w:ascii="宋体" w:hAnsi="宋体" w:cs="宋体"/>
          <w:highlight w:val="none"/>
        </w:rPr>
      </w:pPr>
    </w:p>
    <w:p w14:paraId="2EB4B819">
      <w:pPr>
        <w:pStyle w:val="2"/>
        <w:rPr>
          <w:rFonts w:hint="eastAsia" w:ascii="宋体" w:hAnsi="宋体" w:cs="宋体"/>
          <w:highlight w:val="none"/>
        </w:rPr>
      </w:pPr>
    </w:p>
    <w:p w14:paraId="255315DA">
      <w:pPr>
        <w:pStyle w:val="2"/>
        <w:rPr>
          <w:rFonts w:hint="eastAsia" w:ascii="宋体" w:hAnsi="宋体" w:cs="宋体"/>
          <w:highlight w:val="none"/>
        </w:rPr>
      </w:pPr>
    </w:p>
    <w:p w14:paraId="6C18162C">
      <w:pPr>
        <w:pStyle w:val="2"/>
        <w:rPr>
          <w:rFonts w:hint="eastAsia" w:ascii="宋体" w:hAnsi="宋体" w:cs="宋体"/>
          <w:highlight w:val="none"/>
        </w:rPr>
      </w:pPr>
    </w:p>
    <w:p w14:paraId="7F2FC5C2">
      <w:pPr>
        <w:pStyle w:val="2"/>
        <w:rPr>
          <w:rFonts w:hint="eastAsia" w:ascii="宋体" w:hAnsi="宋体" w:cs="宋体"/>
          <w:highlight w:val="none"/>
        </w:rPr>
      </w:pPr>
      <w:bookmarkStart w:id="74" w:name="_Toc9482"/>
      <w:r>
        <w:rPr>
          <w:rFonts w:hint="eastAsia" w:ascii="宋体" w:hAnsi="宋体" w:cs="宋体"/>
          <w:highlight w:val="none"/>
        </w:rPr>
        <w:t>第三章  合同条款</w:t>
      </w:r>
      <w:bookmarkEnd w:id="73"/>
      <w:bookmarkEnd w:id="74"/>
    </w:p>
    <w:p w14:paraId="57BFEDCC">
      <w:pPr>
        <w:jc w:val="center"/>
        <w:rPr>
          <w:rFonts w:hint="eastAsia" w:ascii="宋体" w:hAnsi="宋体" w:cs="宋体"/>
          <w:b/>
          <w:sz w:val="24"/>
          <w:szCs w:val="24"/>
          <w:highlight w:val="none"/>
        </w:rPr>
      </w:pPr>
      <w:r>
        <w:rPr>
          <w:rFonts w:hint="eastAsia" w:ascii="宋体" w:hAnsi="宋体" w:cs="宋体"/>
          <w:sz w:val="24"/>
          <w:szCs w:val="24"/>
          <w:highlight w:val="none"/>
        </w:rPr>
        <w:t>注：另册。</w:t>
      </w:r>
    </w:p>
    <w:p w14:paraId="1C85971F">
      <w:pPr>
        <w:rPr>
          <w:rFonts w:hint="eastAsia" w:ascii="宋体" w:hAnsi="宋体" w:cs="宋体"/>
          <w:sz w:val="24"/>
          <w:szCs w:val="24"/>
          <w:highlight w:val="none"/>
        </w:rPr>
      </w:pPr>
    </w:p>
    <w:p w14:paraId="2DA8EDEE">
      <w:pPr>
        <w:pStyle w:val="4"/>
        <w:spacing w:line="360" w:lineRule="auto"/>
        <w:rPr>
          <w:rFonts w:hint="eastAsia" w:ascii="宋体" w:hAnsi="宋体" w:cs="宋体"/>
          <w:sz w:val="24"/>
          <w:szCs w:val="24"/>
          <w:highlight w:val="none"/>
        </w:rPr>
      </w:pPr>
    </w:p>
    <w:p w14:paraId="02B8F1C6">
      <w:pPr>
        <w:pStyle w:val="4"/>
        <w:spacing w:line="360" w:lineRule="auto"/>
        <w:rPr>
          <w:rFonts w:hint="eastAsia" w:ascii="宋体" w:hAnsi="宋体" w:cs="宋体"/>
          <w:sz w:val="24"/>
          <w:szCs w:val="24"/>
          <w:highlight w:val="none"/>
        </w:rPr>
      </w:pPr>
    </w:p>
    <w:p w14:paraId="4291447D">
      <w:pPr>
        <w:pStyle w:val="4"/>
        <w:spacing w:line="360" w:lineRule="auto"/>
        <w:rPr>
          <w:rFonts w:hint="eastAsia" w:ascii="宋体" w:hAnsi="宋体" w:cs="宋体"/>
          <w:sz w:val="24"/>
          <w:szCs w:val="24"/>
          <w:highlight w:val="none"/>
        </w:rPr>
      </w:pPr>
    </w:p>
    <w:p w14:paraId="744DF7A2">
      <w:pPr>
        <w:pStyle w:val="4"/>
        <w:spacing w:line="360" w:lineRule="auto"/>
        <w:rPr>
          <w:rFonts w:hint="eastAsia" w:ascii="宋体" w:hAnsi="宋体" w:cs="宋体"/>
          <w:sz w:val="24"/>
          <w:szCs w:val="24"/>
          <w:highlight w:val="none"/>
        </w:rPr>
      </w:pPr>
    </w:p>
    <w:p w14:paraId="585088DF">
      <w:pPr>
        <w:pStyle w:val="4"/>
        <w:spacing w:line="360" w:lineRule="auto"/>
        <w:rPr>
          <w:rFonts w:hint="eastAsia" w:ascii="宋体" w:hAnsi="宋体" w:cs="宋体"/>
          <w:sz w:val="24"/>
          <w:szCs w:val="24"/>
          <w:highlight w:val="none"/>
        </w:rPr>
      </w:pPr>
    </w:p>
    <w:p w14:paraId="32FB1FEE">
      <w:pPr>
        <w:pStyle w:val="4"/>
        <w:spacing w:line="360" w:lineRule="auto"/>
        <w:rPr>
          <w:rFonts w:hint="eastAsia" w:ascii="宋体" w:hAnsi="宋体" w:cs="宋体"/>
          <w:sz w:val="24"/>
          <w:szCs w:val="24"/>
          <w:highlight w:val="none"/>
        </w:rPr>
      </w:pPr>
    </w:p>
    <w:p w14:paraId="1AAF0F8D">
      <w:pPr>
        <w:pStyle w:val="4"/>
        <w:spacing w:line="360" w:lineRule="auto"/>
        <w:rPr>
          <w:rFonts w:hint="eastAsia" w:ascii="宋体" w:hAnsi="宋体" w:cs="宋体"/>
          <w:sz w:val="24"/>
          <w:szCs w:val="24"/>
          <w:highlight w:val="none"/>
        </w:rPr>
      </w:pPr>
    </w:p>
    <w:p w14:paraId="42E09076">
      <w:pPr>
        <w:pStyle w:val="4"/>
        <w:spacing w:line="360" w:lineRule="auto"/>
        <w:rPr>
          <w:rFonts w:hint="eastAsia" w:ascii="宋体" w:hAnsi="宋体" w:cs="宋体"/>
          <w:sz w:val="24"/>
          <w:szCs w:val="24"/>
          <w:highlight w:val="none"/>
        </w:rPr>
      </w:pPr>
    </w:p>
    <w:p w14:paraId="73CB4C50">
      <w:pPr>
        <w:pStyle w:val="4"/>
        <w:spacing w:line="360" w:lineRule="auto"/>
        <w:rPr>
          <w:rFonts w:hint="eastAsia" w:ascii="宋体" w:hAnsi="宋体" w:cs="宋体"/>
          <w:sz w:val="24"/>
          <w:szCs w:val="24"/>
          <w:highlight w:val="none"/>
        </w:rPr>
      </w:pPr>
    </w:p>
    <w:p w14:paraId="6525D7A6">
      <w:pPr>
        <w:pStyle w:val="4"/>
        <w:spacing w:line="360" w:lineRule="auto"/>
        <w:rPr>
          <w:rFonts w:hint="eastAsia" w:ascii="宋体" w:hAnsi="宋体" w:cs="宋体"/>
          <w:sz w:val="24"/>
          <w:szCs w:val="24"/>
          <w:highlight w:val="none"/>
        </w:rPr>
      </w:pPr>
    </w:p>
    <w:p w14:paraId="41D68D2C">
      <w:pPr>
        <w:pStyle w:val="4"/>
        <w:spacing w:line="360" w:lineRule="auto"/>
        <w:rPr>
          <w:rFonts w:hint="eastAsia" w:ascii="宋体" w:hAnsi="宋体" w:cs="宋体"/>
          <w:sz w:val="24"/>
          <w:szCs w:val="24"/>
          <w:highlight w:val="none"/>
        </w:rPr>
      </w:pPr>
    </w:p>
    <w:p w14:paraId="6E9EF584">
      <w:pPr>
        <w:pStyle w:val="4"/>
        <w:spacing w:line="360" w:lineRule="auto"/>
        <w:rPr>
          <w:rFonts w:hint="eastAsia" w:ascii="宋体" w:hAnsi="宋体" w:cs="宋体"/>
          <w:sz w:val="24"/>
          <w:szCs w:val="24"/>
          <w:highlight w:val="none"/>
        </w:rPr>
      </w:pPr>
    </w:p>
    <w:p w14:paraId="5F004476">
      <w:pPr>
        <w:pStyle w:val="4"/>
        <w:spacing w:line="360" w:lineRule="auto"/>
        <w:rPr>
          <w:rFonts w:hint="eastAsia" w:ascii="宋体" w:hAnsi="宋体" w:cs="宋体"/>
          <w:sz w:val="24"/>
          <w:szCs w:val="24"/>
          <w:highlight w:val="none"/>
        </w:rPr>
      </w:pPr>
    </w:p>
    <w:p w14:paraId="4341BFE5">
      <w:pPr>
        <w:pStyle w:val="4"/>
        <w:spacing w:line="360" w:lineRule="auto"/>
        <w:rPr>
          <w:rFonts w:hint="eastAsia" w:ascii="宋体" w:hAnsi="宋体" w:cs="宋体"/>
          <w:sz w:val="24"/>
          <w:szCs w:val="24"/>
          <w:highlight w:val="none"/>
        </w:rPr>
      </w:pPr>
    </w:p>
    <w:p w14:paraId="67A33D7C">
      <w:pPr>
        <w:pStyle w:val="4"/>
        <w:spacing w:line="360" w:lineRule="auto"/>
        <w:rPr>
          <w:rFonts w:hint="eastAsia" w:ascii="宋体" w:hAnsi="宋体" w:cs="宋体"/>
          <w:sz w:val="24"/>
          <w:szCs w:val="24"/>
          <w:highlight w:val="none"/>
        </w:rPr>
      </w:pPr>
    </w:p>
    <w:p w14:paraId="59E054DD">
      <w:pPr>
        <w:pStyle w:val="4"/>
        <w:spacing w:line="360" w:lineRule="auto"/>
        <w:rPr>
          <w:rFonts w:hint="eastAsia" w:ascii="宋体" w:hAnsi="宋体" w:cs="宋体"/>
          <w:sz w:val="24"/>
          <w:szCs w:val="24"/>
          <w:highlight w:val="none"/>
        </w:rPr>
      </w:pPr>
    </w:p>
    <w:p w14:paraId="680E1079">
      <w:pPr>
        <w:pStyle w:val="20"/>
        <w:spacing w:line="360" w:lineRule="auto"/>
        <w:rPr>
          <w:rFonts w:hint="eastAsia" w:hAnsi="宋体" w:cs="宋体"/>
          <w:sz w:val="24"/>
          <w:szCs w:val="24"/>
          <w:highlight w:val="none"/>
        </w:rPr>
      </w:pPr>
    </w:p>
    <w:p w14:paraId="057F90DF">
      <w:pPr>
        <w:pStyle w:val="2"/>
        <w:rPr>
          <w:rFonts w:hint="eastAsia" w:ascii="宋体" w:hAnsi="宋体" w:cs="宋体"/>
          <w:highlight w:val="none"/>
        </w:rPr>
      </w:pPr>
      <w:bookmarkStart w:id="75" w:name="_Toc19223"/>
      <w:bookmarkStart w:id="76" w:name="_Toc8301"/>
      <w:r>
        <w:rPr>
          <w:rFonts w:hint="eastAsia" w:ascii="宋体" w:hAnsi="宋体" w:cs="宋体"/>
          <w:highlight w:val="none"/>
        </w:rPr>
        <w:t>第四章  投标文件格式</w:t>
      </w:r>
      <w:bookmarkEnd w:id="75"/>
      <w:bookmarkEnd w:id="76"/>
    </w:p>
    <w:p w14:paraId="26D0BF94">
      <w:pPr>
        <w:autoSpaceDE w:val="0"/>
        <w:autoSpaceDN w:val="0"/>
        <w:adjustRightInd w:val="0"/>
        <w:rPr>
          <w:rFonts w:hint="eastAsia" w:ascii="宋体" w:hAnsi="宋体" w:cs="宋体"/>
          <w:sz w:val="24"/>
          <w:szCs w:val="24"/>
          <w:highlight w:val="none"/>
        </w:rPr>
      </w:pPr>
    </w:p>
    <w:p w14:paraId="03F44336">
      <w:pPr>
        <w:autoSpaceDE w:val="0"/>
        <w:autoSpaceDN w:val="0"/>
        <w:adjustRightInd w:val="0"/>
        <w:rPr>
          <w:rFonts w:hint="eastAsia" w:ascii="宋体" w:hAnsi="宋体" w:cs="宋体"/>
          <w:sz w:val="24"/>
          <w:szCs w:val="24"/>
          <w:highlight w:val="none"/>
        </w:rPr>
      </w:pPr>
    </w:p>
    <w:p w14:paraId="51D8EA85">
      <w:pPr>
        <w:pStyle w:val="119"/>
        <w:rPr>
          <w:rFonts w:hint="eastAsia" w:cs="宋体"/>
          <w:highlight w:val="none"/>
        </w:rPr>
      </w:pPr>
    </w:p>
    <w:p w14:paraId="5F4FD68F">
      <w:pPr>
        <w:pStyle w:val="120"/>
        <w:spacing w:beforeLines="0" w:afterLines="0" w:line="360" w:lineRule="auto"/>
        <w:outlineLvl w:val="0"/>
        <w:rPr>
          <w:rFonts w:hint="eastAsia" w:ascii="宋体" w:hAnsi="宋体" w:eastAsia="宋体" w:cs="宋体"/>
          <w:highlight w:val="none"/>
        </w:rPr>
      </w:pPr>
      <w:bookmarkStart w:id="77" w:name="_Toc32308"/>
      <w:bookmarkStart w:id="78" w:name="_Toc9915"/>
      <w:bookmarkStart w:id="79" w:name="_Toc18279"/>
      <w:r>
        <w:rPr>
          <w:rFonts w:hint="eastAsia" w:ascii="宋体" w:hAnsi="宋体" w:eastAsia="宋体" w:cs="宋体"/>
          <w:highlight w:val="none"/>
        </w:rPr>
        <w:t>一、技术标投标文件格式</w:t>
      </w:r>
      <w:bookmarkEnd w:id="77"/>
      <w:bookmarkEnd w:id="78"/>
      <w:bookmarkEnd w:id="79"/>
    </w:p>
    <w:p w14:paraId="7689B451">
      <w:pPr>
        <w:pStyle w:val="121"/>
        <w:spacing w:beforeLines="0" w:afterLines="0" w:line="360" w:lineRule="auto"/>
        <w:rPr>
          <w:rFonts w:hint="eastAsia" w:ascii="宋体" w:eastAsia="宋体" w:cs="宋体"/>
          <w:highlight w:val="none"/>
        </w:rPr>
      </w:pPr>
      <w:r>
        <w:rPr>
          <w:rFonts w:hint="eastAsia" w:ascii="宋体" w:eastAsia="宋体" w:cs="宋体"/>
          <w:highlight w:val="none"/>
        </w:rPr>
        <w:br w:type="page"/>
      </w:r>
      <w:bookmarkStart w:id="80" w:name="_Toc25349"/>
      <w:bookmarkStart w:id="81" w:name="_Toc532475353"/>
      <w:bookmarkStart w:id="82" w:name="_Toc532475786"/>
      <w:bookmarkStart w:id="83" w:name="_Toc23989"/>
      <w:bookmarkStart w:id="84" w:name="_Toc995"/>
      <w:bookmarkStart w:id="85" w:name="_Toc510963883"/>
      <w:r>
        <w:rPr>
          <w:rFonts w:hint="eastAsia" w:ascii="宋体" w:eastAsia="宋体" w:cs="宋体"/>
          <w:highlight w:val="none"/>
        </w:rPr>
        <w:t>格式一：技术标封面</w:t>
      </w:r>
      <w:bookmarkEnd w:id="80"/>
      <w:bookmarkEnd w:id="81"/>
      <w:bookmarkEnd w:id="82"/>
      <w:bookmarkEnd w:id="83"/>
      <w:bookmarkEnd w:id="84"/>
      <w:bookmarkEnd w:id="85"/>
    </w:p>
    <w:p w14:paraId="2A9087F6">
      <w:pPr>
        <w:pStyle w:val="122"/>
        <w:ind w:firstLine="496"/>
        <w:rPr>
          <w:rFonts w:hint="eastAsia" w:ascii="宋体" w:hAnsi="宋体" w:cs="宋体"/>
          <w:highlight w:val="none"/>
        </w:rPr>
      </w:pPr>
    </w:p>
    <w:p w14:paraId="344ADD55">
      <w:pPr>
        <w:pStyle w:val="122"/>
        <w:ind w:firstLine="496"/>
        <w:rPr>
          <w:rFonts w:hint="eastAsia" w:ascii="宋体" w:hAnsi="宋体" w:cs="宋体"/>
          <w:highlight w:val="none"/>
        </w:rPr>
      </w:pPr>
    </w:p>
    <w:p w14:paraId="37DD8C0F">
      <w:pPr>
        <w:pStyle w:val="122"/>
        <w:ind w:firstLine="496"/>
        <w:rPr>
          <w:rFonts w:hint="eastAsia" w:ascii="宋体" w:hAnsi="宋体" w:cs="宋体"/>
          <w:highlight w:val="none"/>
        </w:rPr>
      </w:pPr>
    </w:p>
    <w:p w14:paraId="79475DC1">
      <w:pPr>
        <w:pStyle w:val="123"/>
        <w:rPr>
          <w:rFonts w:hint="eastAsia" w:ascii="宋体" w:hAnsi="宋体" w:eastAsia="宋体" w:cs="宋体"/>
          <w:b w:val="0"/>
          <w:highlight w:val="none"/>
          <w:u w:val="single"/>
        </w:rPr>
      </w:pPr>
      <w:r>
        <w:rPr>
          <w:rFonts w:hint="eastAsia" w:ascii="宋体" w:hAnsi="宋体" w:eastAsia="宋体" w:cs="宋体"/>
          <w:b w:val="0"/>
          <w:highlight w:val="none"/>
          <w:u w:val="single"/>
        </w:rPr>
        <w:t xml:space="preserve">[工程名称] </w:t>
      </w:r>
    </w:p>
    <w:p w14:paraId="08B17134">
      <w:pPr>
        <w:pStyle w:val="122"/>
        <w:ind w:firstLine="496"/>
        <w:rPr>
          <w:rFonts w:hint="eastAsia" w:ascii="宋体" w:hAnsi="宋体" w:cs="宋体"/>
          <w:highlight w:val="none"/>
        </w:rPr>
      </w:pPr>
    </w:p>
    <w:p w14:paraId="1C7BEBA9">
      <w:pPr>
        <w:pStyle w:val="122"/>
        <w:ind w:firstLine="496"/>
        <w:rPr>
          <w:rFonts w:hint="eastAsia" w:ascii="宋体" w:hAnsi="宋体" w:cs="宋体"/>
          <w:highlight w:val="none"/>
        </w:rPr>
      </w:pPr>
    </w:p>
    <w:p w14:paraId="504606C3">
      <w:pPr>
        <w:pStyle w:val="122"/>
        <w:ind w:firstLine="496"/>
        <w:rPr>
          <w:rFonts w:hint="eastAsia" w:ascii="宋体" w:hAnsi="宋体" w:cs="宋体"/>
          <w:highlight w:val="none"/>
        </w:rPr>
      </w:pPr>
    </w:p>
    <w:p w14:paraId="664B18B9">
      <w:pPr>
        <w:pStyle w:val="122"/>
        <w:ind w:firstLine="496"/>
        <w:rPr>
          <w:rFonts w:hint="eastAsia" w:ascii="宋体" w:hAnsi="宋体" w:cs="宋体"/>
          <w:highlight w:val="none"/>
        </w:rPr>
      </w:pPr>
    </w:p>
    <w:p w14:paraId="147A665D">
      <w:pPr>
        <w:pStyle w:val="124"/>
        <w:rPr>
          <w:rFonts w:hint="eastAsia" w:ascii="宋体" w:hAnsi="宋体" w:eastAsia="宋体" w:cs="宋体"/>
          <w:b w:val="0"/>
          <w:highlight w:val="none"/>
        </w:rPr>
      </w:pPr>
      <w:r>
        <w:rPr>
          <w:rFonts w:hint="eastAsia" w:ascii="宋体" w:hAnsi="宋体" w:eastAsia="宋体" w:cs="宋体"/>
          <w:b w:val="0"/>
          <w:highlight w:val="none"/>
        </w:rPr>
        <w:t>投标文件</w:t>
      </w:r>
    </w:p>
    <w:p w14:paraId="2E67DEBA">
      <w:pPr>
        <w:pStyle w:val="123"/>
        <w:rPr>
          <w:rFonts w:hint="eastAsia" w:ascii="宋体" w:hAnsi="宋体" w:eastAsia="宋体" w:cs="宋体"/>
          <w:b w:val="0"/>
          <w:highlight w:val="none"/>
        </w:rPr>
      </w:pPr>
      <w:r>
        <w:rPr>
          <w:rFonts w:hint="eastAsia" w:ascii="宋体" w:hAnsi="宋体" w:eastAsia="宋体" w:cs="宋体"/>
          <w:b w:val="0"/>
          <w:highlight w:val="none"/>
        </w:rPr>
        <w:t>技术投标文件（含资格审查文件）</w:t>
      </w:r>
    </w:p>
    <w:p w14:paraId="7A53EC96">
      <w:pPr>
        <w:pStyle w:val="122"/>
        <w:ind w:firstLine="496"/>
        <w:rPr>
          <w:rFonts w:hint="eastAsia" w:ascii="宋体" w:hAnsi="宋体" w:cs="宋体"/>
          <w:highlight w:val="none"/>
        </w:rPr>
      </w:pPr>
    </w:p>
    <w:p w14:paraId="29772293">
      <w:pPr>
        <w:pStyle w:val="122"/>
        <w:ind w:firstLine="496"/>
        <w:rPr>
          <w:rFonts w:hint="eastAsia" w:ascii="宋体" w:hAnsi="宋体" w:cs="宋体"/>
          <w:highlight w:val="none"/>
        </w:rPr>
      </w:pPr>
    </w:p>
    <w:p w14:paraId="30894838">
      <w:pPr>
        <w:pStyle w:val="122"/>
        <w:ind w:firstLine="496"/>
        <w:rPr>
          <w:rFonts w:hint="eastAsia" w:ascii="宋体" w:hAnsi="宋体" w:cs="宋体"/>
          <w:highlight w:val="none"/>
        </w:rPr>
      </w:pPr>
    </w:p>
    <w:p w14:paraId="29619BAA">
      <w:pPr>
        <w:pStyle w:val="122"/>
        <w:ind w:firstLine="496"/>
        <w:rPr>
          <w:rFonts w:hint="eastAsia" w:ascii="宋体" w:hAnsi="宋体" w:cs="宋体"/>
          <w:highlight w:val="none"/>
        </w:rPr>
      </w:pPr>
    </w:p>
    <w:p w14:paraId="3460D664">
      <w:pPr>
        <w:pStyle w:val="125"/>
        <w:ind w:firstLine="616"/>
        <w:rPr>
          <w:rFonts w:hint="eastAsia" w:ascii="宋体" w:hAnsi="宋体" w:eastAsia="宋体" w:cs="宋体"/>
          <w:highlight w:val="none"/>
        </w:rPr>
      </w:pPr>
      <w:r>
        <w:rPr>
          <w:rFonts w:hint="eastAsia" w:ascii="宋体" w:hAnsi="宋体" w:eastAsia="宋体" w:cs="宋体"/>
          <w:highlight w:val="none"/>
        </w:rPr>
        <w:t>投标人：</w:t>
      </w:r>
      <w:r>
        <w:rPr>
          <w:rFonts w:hint="eastAsia" w:ascii="宋体" w:hAnsi="宋体" w:eastAsia="宋体" w:cs="宋体"/>
          <w:highlight w:val="none"/>
          <w:u w:val="single"/>
        </w:rPr>
        <w:t xml:space="preserve">    （填写投标人单位名称）    （盖章）</w:t>
      </w:r>
    </w:p>
    <w:p w14:paraId="3CB32CD8">
      <w:pPr>
        <w:pStyle w:val="125"/>
        <w:ind w:firstLine="616"/>
        <w:rPr>
          <w:rFonts w:hint="eastAsia" w:ascii="宋体" w:hAnsi="宋体" w:eastAsia="宋体" w:cs="宋体"/>
          <w:highlight w:val="none"/>
        </w:rPr>
      </w:pPr>
    </w:p>
    <w:p w14:paraId="2178D9EF">
      <w:pPr>
        <w:pStyle w:val="125"/>
        <w:ind w:firstLine="616"/>
        <w:rPr>
          <w:rFonts w:hint="eastAsia" w:ascii="宋体" w:hAnsi="宋体" w:eastAsia="宋体" w:cs="宋体"/>
          <w:highlight w:val="none"/>
        </w:rPr>
      </w:pPr>
      <w:r>
        <w:rPr>
          <w:rFonts w:hint="eastAsia" w:ascii="宋体" w:hAnsi="宋体" w:eastAsia="宋体" w:cs="宋体"/>
          <w:highlight w:val="none"/>
        </w:rPr>
        <w:t>法定代表人或</w:t>
      </w:r>
    </w:p>
    <w:p w14:paraId="293C00FD">
      <w:pPr>
        <w:pStyle w:val="125"/>
        <w:ind w:firstLine="616"/>
        <w:rPr>
          <w:rFonts w:hint="eastAsia" w:ascii="宋体" w:hAnsi="宋体" w:eastAsia="宋体" w:cs="宋体"/>
          <w:highlight w:val="none"/>
        </w:rPr>
      </w:pPr>
      <w:r>
        <w:rPr>
          <w:rFonts w:hint="eastAsia" w:ascii="宋体" w:hAnsi="宋体" w:eastAsia="宋体" w:cs="宋体"/>
          <w:highlight w:val="none"/>
        </w:rPr>
        <w:t>其委托代理人：</w:t>
      </w:r>
      <w:r>
        <w:rPr>
          <w:rFonts w:hint="eastAsia" w:ascii="宋体" w:hAnsi="宋体" w:eastAsia="宋体" w:cs="宋体"/>
          <w:highlight w:val="none"/>
          <w:u w:val="single"/>
        </w:rPr>
        <w:t xml:space="preserve">                    （签名或盖章）</w:t>
      </w:r>
    </w:p>
    <w:p w14:paraId="0FC6CBBA">
      <w:pPr>
        <w:pStyle w:val="125"/>
        <w:ind w:firstLine="616"/>
        <w:rPr>
          <w:rFonts w:hint="eastAsia" w:ascii="宋体" w:hAnsi="宋体" w:eastAsia="宋体" w:cs="宋体"/>
          <w:sz w:val="24"/>
          <w:szCs w:val="24"/>
          <w:highlight w:val="none"/>
        </w:rPr>
      </w:pPr>
      <w:r>
        <w:rPr>
          <w:rFonts w:hint="eastAsia" w:ascii="宋体" w:hAnsi="宋体" w:eastAsia="宋体" w:cs="宋体"/>
          <w:highlight w:val="none"/>
        </w:rPr>
        <w:t>日  期：</w:t>
      </w:r>
      <w:r>
        <w:rPr>
          <w:rFonts w:hint="eastAsia" w:ascii="宋体" w:hAnsi="宋体" w:eastAsia="宋体" w:cs="宋体"/>
          <w:highlight w:val="none"/>
          <w:u w:val="single"/>
        </w:rPr>
        <w:t xml:space="preserve">                                       </w:t>
      </w:r>
    </w:p>
    <w:p w14:paraId="0A39A7D1">
      <w:pPr>
        <w:pStyle w:val="122"/>
        <w:ind w:firstLine="496"/>
        <w:rPr>
          <w:rFonts w:hint="eastAsia" w:ascii="宋体" w:hAnsi="宋体" w:cs="宋体"/>
          <w:highlight w:val="none"/>
        </w:rPr>
      </w:pPr>
    </w:p>
    <w:p w14:paraId="6D8F8611">
      <w:pPr>
        <w:widowControl/>
        <w:spacing w:line="400" w:lineRule="exact"/>
        <w:ind w:right="90"/>
        <w:jc w:val="left"/>
        <w:rPr>
          <w:rFonts w:hint="eastAsia" w:ascii="宋体" w:hAnsi="宋体" w:cs="宋体"/>
          <w:b/>
          <w:bCs/>
          <w:snapToGrid w:val="0"/>
          <w:spacing w:val="4"/>
          <w:kern w:val="0"/>
          <w:sz w:val="24"/>
          <w:szCs w:val="21"/>
          <w:highlight w:val="none"/>
        </w:rPr>
      </w:pPr>
      <w:r>
        <w:rPr>
          <w:rFonts w:hint="eastAsia" w:ascii="宋体" w:cs="宋体"/>
          <w:b/>
          <w:highlight w:val="none"/>
        </w:rPr>
        <w:br w:type="page"/>
      </w:r>
      <w:bookmarkStart w:id="86" w:name="_Toc23424912"/>
      <w:r>
        <w:rPr>
          <w:rFonts w:hint="eastAsia" w:ascii="宋体" w:hAnsi="宋体" w:cs="宋体"/>
          <w:b/>
          <w:snapToGrid w:val="0"/>
          <w:spacing w:val="4"/>
          <w:kern w:val="0"/>
          <w:sz w:val="24"/>
          <w:szCs w:val="24"/>
          <w:highlight w:val="none"/>
        </w:rPr>
        <w:t>格式二：广州建设工程施工招标投标书</w:t>
      </w:r>
      <w:bookmarkEnd w:id="86"/>
    </w:p>
    <w:p w14:paraId="3E0D98D2">
      <w:pPr>
        <w:spacing w:line="360" w:lineRule="auto"/>
        <w:rPr>
          <w:rFonts w:hint="eastAsia" w:ascii="宋体" w:hAnsi="宋体" w:cs="宋体"/>
          <w:sz w:val="24"/>
          <w:highlight w:val="none"/>
        </w:rPr>
      </w:pPr>
    </w:p>
    <w:p w14:paraId="43B746A3">
      <w:pPr>
        <w:spacing w:line="360" w:lineRule="auto"/>
        <w:rPr>
          <w:rFonts w:hint="eastAsia" w:ascii="宋体" w:hAnsi="宋体" w:cs="宋体"/>
          <w:sz w:val="24"/>
          <w:highlight w:val="none"/>
        </w:rPr>
      </w:pPr>
    </w:p>
    <w:p w14:paraId="4E38FDCC">
      <w:pPr>
        <w:autoSpaceDE w:val="0"/>
        <w:autoSpaceDN w:val="0"/>
        <w:adjustRightInd w:val="0"/>
        <w:ind w:left="-178" w:leftChars="-85"/>
        <w:jc w:val="center"/>
        <w:rPr>
          <w:rFonts w:hint="eastAsia" w:ascii="宋体" w:hAnsi="宋体" w:cs="宋体"/>
          <w:b/>
          <w:bCs/>
          <w:sz w:val="52"/>
          <w:szCs w:val="52"/>
          <w:highlight w:val="none"/>
        </w:rPr>
      </w:pPr>
      <w:r>
        <w:rPr>
          <w:rFonts w:hint="eastAsia" w:ascii="宋体" w:hAnsi="宋体" w:cs="宋体"/>
          <w:b/>
          <w:bCs/>
          <w:sz w:val="44"/>
          <w:szCs w:val="44"/>
          <w:highlight w:val="none"/>
          <w:lang w:val="zh-CN"/>
        </w:rPr>
        <w:t>广州建设工程施工招标投标书</w:t>
      </w:r>
    </w:p>
    <w:p w14:paraId="38398B51">
      <w:pPr>
        <w:ind w:right="560"/>
        <w:jc w:val="center"/>
        <w:rPr>
          <w:rFonts w:hint="eastAsia" w:ascii="宋体" w:hAnsi="宋体" w:cs="宋体"/>
          <w:b/>
          <w:sz w:val="28"/>
          <w:szCs w:val="28"/>
          <w:highlight w:val="none"/>
          <w:lang w:val="zh-CN"/>
        </w:rPr>
      </w:pPr>
    </w:p>
    <w:tbl>
      <w:tblPr>
        <w:tblStyle w:val="36"/>
        <w:tblpPr w:leftFromText="180" w:rightFromText="180" w:vertAnchor="text" w:horzAnchor="margin" w:tblpXSpec="center" w:tblpY="27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6"/>
        <w:gridCol w:w="4219"/>
      </w:tblGrid>
      <w:tr w14:paraId="16CA5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4286" w:type="dxa"/>
            <w:tcBorders>
              <w:top w:val="single" w:color="auto" w:sz="4" w:space="0"/>
              <w:left w:val="single" w:color="auto" w:sz="4" w:space="0"/>
              <w:bottom w:val="single" w:color="auto" w:sz="4" w:space="0"/>
              <w:right w:val="single" w:color="auto" w:sz="4" w:space="0"/>
            </w:tcBorders>
            <w:noWrap w:val="0"/>
            <w:vAlign w:val="center"/>
          </w:tcPr>
          <w:p w14:paraId="4E3F1F80">
            <w:pPr>
              <w:autoSpaceDE w:val="0"/>
              <w:autoSpaceDN w:val="0"/>
              <w:adjustRightInd w:val="0"/>
              <w:jc w:val="center"/>
              <w:rPr>
                <w:rFonts w:hint="eastAsia" w:ascii="宋体" w:hAnsi="宋体" w:cs="宋体"/>
                <w:bCs/>
                <w:sz w:val="24"/>
                <w:szCs w:val="24"/>
                <w:highlight w:val="none"/>
                <w:lang w:val="zh-CN"/>
              </w:rPr>
            </w:pPr>
            <w:r>
              <w:rPr>
                <w:rFonts w:hint="eastAsia" w:ascii="宋体" w:hAnsi="宋体" w:cs="宋体"/>
                <w:b/>
                <w:sz w:val="24"/>
                <w:szCs w:val="24"/>
                <w:highlight w:val="none"/>
                <w:lang w:val="zh-CN"/>
              </w:rPr>
              <w:t>工 程 名 称</w:t>
            </w:r>
          </w:p>
        </w:tc>
        <w:tc>
          <w:tcPr>
            <w:tcW w:w="4219" w:type="dxa"/>
            <w:tcBorders>
              <w:top w:val="single" w:color="auto" w:sz="4" w:space="0"/>
              <w:left w:val="single" w:color="auto" w:sz="4" w:space="0"/>
              <w:bottom w:val="single" w:color="auto" w:sz="4" w:space="0"/>
              <w:right w:val="single" w:color="auto" w:sz="4" w:space="0"/>
            </w:tcBorders>
            <w:noWrap w:val="0"/>
            <w:vAlign w:val="center"/>
          </w:tcPr>
          <w:p w14:paraId="584CF820">
            <w:pPr>
              <w:autoSpaceDE w:val="0"/>
              <w:autoSpaceDN w:val="0"/>
              <w:adjustRightInd w:val="0"/>
              <w:rPr>
                <w:rFonts w:hint="eastAsia" w:ascii="宋体" w:hAnsi="宋体" w:cs="宋体"/>
                <w:bCs/>
                <w:sz w:val="24"/>
                <w:szCs w:val="24"/>
                <w:highlight w:val="none"/>
                <w:lang w:val="zh-CN"/>
              </w:rPr>
            </w:pPr>
          </w:p>
        </w:tc>
      </w:tr>
      <w:tr w14:paraId="4CFAE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4286" w:type="dxa"/>
            <w:tcBorders>
              <w:top w:val="single" w:color="auto" w:sz="4" w:space="0"/>
              <w:left w:val="single" w:color="auto" w:sz="4" w:space="0"/>
              <w:bottom w:val="single" w:color="auto" w:sz="4" w:space="0"/>
              <w:right w:val="single" w:color="auto" w:sz="4" w:space="0"/>
            </w:tcBorders>
            <w:noWrap w:val="0"/>
            <w:vAlign w:val="center"/>
          </w:tcPr>
          <w:p w14:paraId="1BD94528">
            <w:pPr>
              <w:autoSpaceDE w:val="0"/>
              <w:autoSpaceDN w:val="0"/>
              <w:adjustRightInd w:val="0"/>
              <w:jc w:val="center"/>
              <w:rPr>
                <w:rFonts w:hint="eastAsia" w:ascii="宋体" w:hAnsi="宋体" w:cs="宋体"/>
                <w:sz w:val="24"/>
                <w:szCs w:val="24"/>
                <w:highlight w:val="none"/>
                <w:lang w:val="zh-CN"/>
              </w:rPr>
            </w:pPr>
            <w:r>
              <w:rPr>
                <w:rFonts w:hint="eastAsia" w:ascii="宋体" w:hAnsi="宋体" w:cs="宋体"/>
                <w:b/>
                <w:sz w:val="24"/>
                <w:szCs w:val="24"/>
                <w:highlight w:val="none"/>
                <w:lang w:val="zh-CN"/>
              </w:rPr>
              <w:t>投标总报价（元）</w:t>
            </w:r>
          </w:p>
        </w:tc>
        <w:tc>
          <w:tcPr>
            <w:tcW w:w="4219" w:type="dxa"/>
            <w:tcBorders>
              <w:top w:val="single" w:color="auto" w:sz="4" w:space="0"/>
              <w:left w:val="single" w:color="auto" w:sz="4" w:space="0"/>
              <w:bottom w:val="single" w:color="auto" w:sz="4" w:space="0"/>
              <w:right w:val="single" w:color="auto" w:sz="4" w:space="0"/>
            </w:tcBorders>
            <w:noWrap w:val="0"/>
            <w:vAlign w:val="top"/>
          </w:tcPr>
          <w:p w14:paraId="4F37F5F9">
            <w:pPr>
              <w:autoSpaceDE w:val="0"/>
              <w:autoSpaceDN w:val="0"/>
              <w:adjustRightInd w:val="0"/>
              <w:rPr>
                <w:rFonts w:hint="eastAsia" w:ascii="宋体" w:hAnsi="宋体" w:cs="宋体"/>
                <w:bCs/>
                <w:sz w:val="24"/>
                <w:szCs w:val="24"/>
                <w:highlight w:val="none"/>
                <w:lang w:val="zh-CN"/>
              </w:rPr>
            </w:pPr>
          </w:p>
        </w:tc>
      </w:tr>
      <w:tr w14:paraId="0A259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4286" w:type="dxa"/>
            <w:tcBorders>
              <w:top w:val="single" w:color="auto" w:sz="4" w:space="0"/>
              <w:left w:val="single" w:color="auto" w:sz="4" w:space="0"/>
              <w:bottom w:val="single" w:color="auto" w:sz="4" w:space="0"/>
              <w:right w:val="single" w:color="auto" w:sz="4" w:space="0"/>
            </w:tcBorders>
            <w:noWrap w:val="0"/>
            <w:vAlign w:val="center"/>
          </w:tcPr>
          <w:p w14:paraId="2DB47383">
            <w:pPr>
              <w:autoSpaceDE w:val="0"/>
              <w:autoSpaceDN w:val="0"/>
              <w:adjustRightInd w:val="0"/>
              <w:jc w:val="center"/>
              <w:rPr>
                <w:rFonts w:hint="eastAsia" w:ascii="宋体" w:hAnsi="宋体" w:cs="宋体"/>
                <w:sz w:val="24"/>
                <w:szCs w:val="24"/>
                <w:highlight w:val="none"/>
                <w:lang w:val="zh-CN"/>
              </w:rPr>
            </w:pPr>
            <w:r>
              <w:rPr>
                <w:rFonts w:hint="eastAsia" w:ascii="宋体" w:hAnsi="宋体" w:cs="宋体"/>
                <w:b/>
                <w:sz w:val="24"/>
                <w:szCs w:val="24"/>
                <w:highlight w:val="none"/>
                <w:lang w:val="zh-CN"/>
              </w:rPr>
              <w:t>其中：</w:t>
            </w:r>
            <w:r>
              <w:rPr>
                <w:rFonts w:hint="eastAsia" w:ascii="宋体" w:hAnsi="宋体" w:cs="宋体"/>
                <w:b/>
                <w:bCs/>
                <w:sz w:val="24"/>
                <w:szCs w:val="24"/>
                <w:highlight w:val="none"/>
                <w:lang w:val="zh-CN"/>
              </w:rPr>
              <w:t>人工费</w:t>
            </w:r>
            <w:r>
              <w:rPr>
                <w:rFonts w:hint="eastAsia" w:ascii="宋体" w:hAnsi="宋体" w:cs="宋体"/>
                <w:b/>
                <w:sz w:val="24"/>
                <w:szCs w:val="24"/>
                <w:highlight w:val="none"/>
                <w:lang w:val="zh-CN"/>
              </w:rPr>
              <w:t>（元）</w:t>
            </w:r>
          </w:p>
        </w:tc>
        <w:tc>
          <w:tcPr>
            <w:tcW w:w="4219" w:type="dxa"/>
            <w:tcBorders>
              <w:top w:val="single" w:color="auto" w:sz="4" w:space="0"/>
              <w:left w:val="single" w:color="auto" w:sz="4" w:space="0"/>
              <w:bottom w:val="single" w:color="auto" w:sz="4" w:space="0"/>
              <w:right w:val="single" w:color="auto" w:sz="4" w:space="0"/>
            </w:tcBorders>
            <w:noWrap w:val="0"/>
            <w:vAlign w:val="top"/>
          </w:tcPr>
          <w:p w14:paraId="0D71EAF0">
            <w:pPr>
              <w:autoSpaceDE w:val="0"/>
              <w:autoSpaceDN w:val="0"/>
              <w:adjustRightInd w:val="0"/>
              <w:rPr>
                <w:rFonts w:hint="eastAsia" w:ascii="宋体" w:hAnsi="宋体" w:cs="宋体"/>
                <w:bCs/>
                <w:sz w:val="24"/>
                <w:szCs w:val="24"/>
                <w:highlight w:val="none"/>
                <w:lang w:val="zh-CN"/>
              </w:rPr>
            </w:pPr>
          </w:p>
        </w:tc>
      </w:tr>
      <w:tr w14:paraId="1EEC2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4286" w:type="dxa"/>
            <w:tcBorders>
              <w:top w:val="single" w:color="auto" w:sz="4" w:space="0"/>
              <w:left w:val="single" w:color="auto" w:sz="4" w:space="0"/>
              <w:bottom w:val="single" w:color="auto" w:sz="4" w:space="0"/>
              <w:right w:val="single" w:color="auto" w:sz="4" w:space="0"/>
            </w:tcBorders>
            <w:noWrap w:val="0"/>
            <w:vAlign w:val="center"/>
          </w:tcPr>
          <w:p w14:paraId="34138E64">
            <w:pPr>
              <w:widowControl/>
              <w:jc w:val="center"/>
              <w:rPr>
                <w:rFonts w:hint="eastAsia" w:ascii="宋体" w:hAnsi="宋体" w:cs="宋体"/>
                <w:sz w:val="24"/>
                <w:szCs w:val="24"/>
                <w:highlight w:val="none"/>
              </w:rPr>
            </w:pPr>
            <w:r>
              <w:rPr>
                <w:rFonts w:hint="eastAsia" w:ascii="宋体" w:hAnsi="宋体" w:cs="宋体"/>
                <w:b/>
                <w:bCs/>
                <w:sz w:val="24"/>
                <w:szCs w:val="24"/>
                <w:highlight w:val="none"/>
                <w:lang w:val="zh-CN"/>
              </w:rPr>
              <w:t>其中：</w:t>
            </w:r>
            <w:r>
              <w:rPr>
                <w:rFonts w:hint="eastAsia" w:ascii="宋体" w:hAnsi="宋体" w:cs="宋体"/>
                <w:b/>
                <w:sz w:val="24"/>
                <w:szCs w:val="24"/>
                <w:highlight w:val="none"/>
                <w:lang w:val="zh-CN"/>
              </w:rPr>
              <w:t>绿色施工安全防护措施费（元）</w:t>
            </w:r>
          </w:p>
        </w:tc>
        <w:tc>
          <w:tcPr>
            <w:tcW w:w="4219" w:type="dxa"/>
            <w:tcBorders>
              <w:top w:val="single" w:color="auto" w:sz="4" w:space="0"/>
              <w:left w:val="single" w:color="auto" w:sz="4" w:space="0"/>
              <w:bottom w:val="single" w:color="auto" w:sz="4" w:space="0"/>
              <w:right w:val="single" w:color="auto" w:sz="4" w:space="0"/>
            </w:tcBorders>
            <w:noWrap w:val="0"/>
            <w:vAlign w:val="top"/>
          </w:tcPr>
          <w:p w14:paraId="192852FE">
            <w:pPr>
              <w:autoSpaceDE w:val="0"/>
              <w:autoSpaceDN w:val="0"/>
              <w:adjustRightInd w:val="0"/>
              <w:rPr>
                <w:rFonts w:hint="eastAsia" w:ascii="宋体" w:hAnsi="宋体" w:cs="宋体"/>
                <w:bCs/>
                <w:sz w:val="24"/>
                <w:szCs w:val="24"/>
                <w:highlight w:val="none"/>
                <w:lang w:val="zh-CN"/>
              </w:rPr>
            </w:pPr>
          </w:p>
        </w:tc>
      </w:tr>
      <w:tr w14:paraId="1DB70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4286" w:type="dxa"/>
            <w:tcBorders>
              <w:top w:val="single" w:color="auto" w:sz="4" w:space="0"/>
              <w:left w:val="single" w:color="auto" w:sz="4" w:space="0"/>
              <w:bottom w:val="single" w:color="auto" w:sz="4" w:space="0"/>
              <w:right w:val="single" w:color="auto" w:sz="4" w:space="0"/>
            </w:tcBorders>
            <w:noWrap w:val="0"/>
            <w:vAlign w:val="center"/>
          </w:tcPr>
          <w:p w14:paraId="34205DE4">
            <w:pPr>
              <w:jc w:val="center"/>
              <w:rPr>
                <w:rFonts w:hint="eastAsia" w:ascii="宋体" w:hAnsi="宋体" w:cs="宋体"/>
                <w:bCs/>
                <w:sz w:val="24"/>
                <w:szCs w:val="24"/>
                <w:highlight w:val="none"/>
                <w:lang w:val="zh-CN"/>
              </w:rPr>
            </w:pPr>
            <w:r>
              <w:rPr>
                <w:rFonts w:hint="eastAsia" w:ascii="宋体" w:hAnsi="宋体" w:cs="宋体"/>
                <w:b/>
                <w:sz w:val="24"/>
                <w:szCs w:val="24"/>
                <w:highlight w:val="none"/>
                <w:lang w:val="zh-CN"/>
              </w:rPr>
              <w:t>投标总工期</w:t>
            </w:r>
          </w:p>
        </w:tc>
        <w:tc>
          <w:tcPr>
            <w:tcW w:w="4219" w:type="dxa"/>
            <w:tcBorders>
              <w:top w:val="single" w:color="auto" w:sz="4" w:space="0"/>
              <w:left w:val="single" w:color="auto" w:sz="4" w:space="0"/>
              <w:bottom w:val="single" w:color="auto" w:sz="4" w:space="0"/>
              <w:right w:val="single" w:color="auto" w:sz="4" w:space="0"/>
            </w:tcBorders>
            <w:noWrap w:val="0"/>
            <w:vAlign w:val="top"/>
          </w:tcPr>
          <w:p w14:paraId="69B21157">
            <w:pPr>
              <w:autoSpaceDE w:val="0"/>
              <w:autoSpaceDN w:val="0"/>
              <w:adjustRightInd w:val="0"/>
              <w:rPr>
                <w:rFonts w:hint="eastAsia" w:ascii="宋体" w:hAnsi="宋体" w:cs="宋体"/>
                <w:bCs/>
                <w:sz w:val="24"/>
                <w:szCs w:val="24"/>
                <w:highlight w:val="none"/>
                <w:lang w:val="zh-CN"/>
              </w:rPr>
            </w:pPr>
          </w:p>
        </w:tc>
      </w:tr>
      <w:tr w14:paraId="66CCA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4286" w:type="dxa"/>
            <w:tcBorders>
              <w:top w:val="single" w:color="auto" w:sz="4" w:space="0"/>
              <w:left w:val="single" w:color="auto" w:sz="4" w:space="0"/>
              <w:bottom w:val="single" w:color="auto" w:sz="4" w:space="0"/>
              <w:right w:val="single" w:color="auto" w:sz="4" w:space="0"/>
            </w:tcBorders>
            <w:noWrap w:val="0"/>
            <w:vAlign w:val="center"/>
          </w:tcPr>
          <w:p w14:paraId="063862AE">
            <w:pPr>
              <w:jc w:val="center"/>
              <w:rPr>
                <w:rFonts w:hint="eastAsia" w:ascii="宋体" w:hAnsi="宋体" w:cs="宋体"/>
                <w:sz w:val="24"/>
                <w:szCs w:val="24"/>
                <w:highlight w:val="none"/>
                <w:lang w:val="zh-CN"/>
              </w:rPr>
            </w:pPr>
            <w:r>
              <w:rPr>
                <w:rFonts w:hint="eastAsia" w:ascii="宋体" w:hAnsi="宋体" w:cs="宋体"/>
                <w:b/>
                <w:sz w:val="24"/>
                <w:szCs w:val="24"/>
                <w:highlight w:val="none"/>
                <w:lang w:val="zh-CN"/>
              </w:rPr>
              <w:t>工程质量标准</w:t>
            </w:r>
          </w:p>
        </w:tc>
        <w:tc>
          <w:tcPr>
            <w:tcW w:w="4219" w:type="dxa"/>
            <w:tcBorders>
              <w:top w:val="single" w:color="auto" w:sz="4" w:space="0"/>
              <w:left w:val="single" w:color="auto" w:sz="4" w:space="0"/>
              <w:bottom w:val="single" w:color="auto" w:sz="4" w:space="0"/>
              <w:right w:val="single" w:color="auto" w:sz="4" w:space="0"/>
            </w:tcBorders>
            <w:noWrap w:val="0"/>
            <w:vAlign w:val="top"/>
          </w:tcPr>
          <w:p w14:paraId="0B8ABAF5">
            <w:pPr>
              <w:autoSpaceDE w:val="0"/>
              <w:autoSpaceDN w:val="0"/>
              <w:adjustRightInd w:val="0"/>
              <w:rPr>
                <w:rFonts w:hint="eastAsia" w:ascii="宋体" w:hAnsi="宋体" w:cs="宋体"/>
                <w:bCs/>
                <w:sz w:val="24"/>
                <w:szCs w:val="24"/>
                <w:highlight w:val="none"/>
                <w:lang w:val="zh-CN"/>
              </w:rPr>
            </w:pPr>
          </w:p>
        </w:tc>
      </w:tr>
      <w:tr w14:paraId="776CB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4286" w:type="dxa"/>
            <w:tcBorders>
              <w:top w:val="single" w:color="auto" w:sz="4" w:space="0"/>
              <w:left w:val="single" w:color="auto" w:sz="4" w:space="0"/>
              <w:bottom w:val="single" w:color="auto" w:sz="4" w:space="0"/>
              <w:right w:val="single" w:color="auto" w:sz="4" w:space="0"/>
            </w:tcBorders>
            <w:noWrap w:val="0"/>
            <w:vAlign w:val="center"/>
          </w:tcPr>
          <w:p w14:paraId="60A1B090">
            <w:pPr>
              <w:jc w:val="center"/>
              <w:rPr>
                <w:rFonts w:hint="eastAsia" w:ascii="宋体" w:hAnsi="宋体" w:cs="宋体"/>
                <w:b/>
                <w:sz w:val="24"/>
                <w:szCs w:val="24"/>
                <w:highlight w:val="none"/>
                <w:lang w:val="zh-CN"/>
              </w:rPr>
            </w:pPr>
            <w:r>
              <w:rPr>
                <w:rFonts w:hint="eastAsia" w:ascii="宋体" w:hAnsi="宋体" w:cs="宋体"/>
                <w:b/>
                <w:sz w:val="24"/>
                <w:szCs w:val="24"/>
                <w:highlight w:val="none"/>
                <w:lang w:val="zh-CN"/>
              </w:rPr>
              <w:t>保修期限</w:t>
            </w:r>
          </w:p>
        </w:tc>
        <w:tc>
          <w:tcPr>
            <w:tcW w:w="4219" w:type="dxa"/>
            <w:tcBorders>
              <w:top w:val="single" w:color="auto" w:sz="4" w:space="0"/>
              <w:left w:val="single" w:color="auto" w:sz="4" w:space="0"/>
              <w:bottom w:val="single" w:color="auto" w:sz="4" w:space="0"/>
              <w:right w:val="single" w:color="auto" w:sz="4" w:space="0"/>
            </w:tcBorders>
            <w:noWrap w:val="0"/>
            <w:vAlign w:val="top"/>
          </w:tcPr>
          <w:p w14:paraId="20AB89AD">
            <w:pPr>
              <w:autoSpaceDE w:val="0"/>
              <w:autoSpaceDN w:val="0"/>
              <w:adjustRightInd w:val="0"/>
              <w:rPr>
                <w:rFonts w:hint="eastAsia" w:ascii="宋体" w:hAnsi="宋体" w:cs="宋体"/>
                <w:bCs/>
                <w:sz w:val="24"/>
                <w:szCs w:val="24"/>
                <w:highlight w:val="none"/>
                <w:lang w:val="zh-CN"/>
              </w:rPr>
            </w:pPr>
          </w:p>
        </w:tc>
      </w:tr>
      <w:tr w14:paraId="634FA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4286" w:type="dxa"/>
            <w:tcBorders>
              <w:top w:val="single" w:color="auto" w:sz="4" w:space="0"/>
              <w:left w:val="single" w:color="auto" w:sz="4" w:space="0"/>
              <w:bottom w:val="single" w:color="auto" w:sz="4" w:space="0"/>
              <w:right w:val="single" w:color="auto" w:sz="4" w:space="0"/>
            </w:tcBorders>
            <w:noWrap w:val="0"/>
            <w:vAlign w:val="center"/>
          </w:tcPr>
          <w:p w14:paraId="41251177">
            <w:pPr>
              <w:jc w:val="center"/>
              <w:rPr>
                <w:rFonts w:hint="eastAsia" w:ascii="宋体" w:hAnsi="宋体" w:cs="宋体"/>
                <w:b/>
                <w:sz w:val="24"/>
                <w:szCs w:val="24"/>
                <w:highlight w:val="none"/>
                <w:lang w:val="zh-CN"/>
              </w:rPr>
            </w:pPr>
            <w:r>
              <w:rPr>
                <w:rFonts w:hint="eastAsia" w:ascii="宋体" w:hAnsi="宋体" w:cs="宋体"/>
                <w:b/>
                <w:sz w:val="24"/>
                <w:szCs w:val="24"/>
                <w:highlight w:val="none"/>
                <w:lang w:val="zh-CN"/>
              </w:rPr>
              <w:t>项目负责人</w:t>
            </w:r>
          </w:p>
        </w:tc>
        <w:tc>
          <w:tcPr>
            <w:tcW w:w="4219" w:type="dxa"/>
            <w:tcBorders>
              <w:top w:val="single" w:color="auto" w:sz="4" w:space="0"/>
              <w:left w:val="single" w:color="auto" w:sz="4" w:space="0"/>
              <w:bottom w:val="single" w:color="auto" w:sz="4" w:space="0"/>
              <w:right w:val="single" w:color="auto" w:sz="4" w:space="0"/>
            </w:tcBorders>
            <w:noWrap w:val="0"/>
            <w:vAlign w:val="top"/>
          </w:tcPr>
          <w:p w14:paraId="2187324D">
            <w:pPr>
              <w:autoSpaceDE w:val="0"/>
              <w:autoSpaceDN w:val="0"/>
              <w:adjustRightInd w:val="0"/>
              <w:rPr>
                <w:rFonts w:hint="eastAsia" w:ascii="宋体" w:hAnsi="宋体" w:cs="宋体"/>
                <w:bCs/>
                <w:sz w:val="24"/>
                <w:szCs w:val="24"/>
                <w:highlight w:val="none"/>
                <w:lang w:val="zh-CN"/>
              </w:rPr>
            </w:pPr>
          </w:p>
        </w:tc>
      </w:tr>
      <w:tr w14:paraId="2F14C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4286" w:type="dxa"/>
            <w:tcBorders>
              <w:top w:val="single" w:color="auto" w:sz="4" w:space="0"/>
              <w:left w:val="single" w:color="auto" w:sz="4" w:space="0"/>
              <w:bottom w:val="single" w:color="auto" w:sz="4" w:space="0"/>
              <w:right w:val="single" w:color="auto" w:sz="4" w:space="0"/>
            </w:tcBorders>
            <w:noWrap w:val="0"/>
            <w:vAlign w:val="center"/>
          </w:tcPr>
          <w:p w14:paraId="7CD77998">
            <w:pPr>
              <w:jc w:val="center"/>
              <w:rPr>
                <w:rFonts w:hint="eastAsia" w:ascii="宋体" w:hAnsi="宋体" w:cs="宋体"/>
                <w:b/>
                <w:sz w:val="24"/>
                <w:szCs w:val="24"/>
                <w:highlight w:val="none"/>
              </w:rPr>
            </w:pPr>
            <w:r>
              <w:rPr>
                <w:rFonts w:hint="eastAsia" w:ascii="宋体" w:hAnsi="宋体" w:cs="宋体"/>
                <w:b/>
                <w:sz w:val="24"/>
                <w:szCs w:val="24"/>
                <w:highlight w:val="none"/>
              </w:rPr>
              <w:t>技术负责人</w:t>
            </w:r>
          </w:p>
        </w:tc>
        <w:tc>
          <w:tcPr>
            <w:tcW w:w="4219" w:type="dxa"/>
            <w:tcBorders>
              <w:top w:val="single" w:color="auto" w:sz="4" w:space="0"/>
              <w:left w:val="single" w:color="auto" w:sz="4" w:space="0"/>
              <w:bottom w:val="single" w:color="auto" w:sz="4" w:space="0"/>
              <w:right w:val="single" w:color="auto" w:sz="4" w:space="0"/>
            </w:tcBorders>
            <w:noWrap w:val="0"/>
            <w:vAlign w:val="top"/>
          </w:tcPr>
          <w:p w14:paraId="509B1DD3">
            <w:pPr>
              <w:autoSpaceDE w:val="0"/>
              <w:autoSpaceDN w:val="0"/>
              <w:adjustRightInd w:val="0"/>
              <w:rPr>
                <w:rFonts w:hint="eastAsia" w:ascii="宋体" w:hAnsi="宋体" w:cs="宋体"/>
                <w:bCs/>
                <w:sz w:val="24"/>
                <w:szCs w:val="24"/>
                <w:highlight w:val="none"/>
                <w:lang w:val="zh-CN"/>
              </w:rPr>
            </w:pPr>
          </w:p>
        </w:tc>
      </w:tr>
      <w:tr w14:paraId="2A14F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4286" w:type="dxa"/>
            <w:tcBorders>
              <w:top w:val="single" w:color="auto" w:sz="4" w:space="0"/>
              <w:left w:val="single" w:color="auto" w:sz="4" w:space="0"/>
              <w:bottom w:val="single" w:color="auto" w:sz="4" w:space="0"/>
              <w:right w:val="single" w:color="auto" w:sz="4" w:space="0"/>
            </w:tcBorders>
            <w:noWrap w:val="0"/>
            <w:vAlign w:val="center"/>
          </w:tcPr>
          <w:p w14:paraId="001D0B99">
            <w:pPr>
              <w:jc w:val="center"/>
              <w:rPr>
                <w:rFonts w:hint="eastAsia" w:ascii="宋体" w:hAnsi="宋体" w:cs="宋体"/>
                <w:b/>
                <w:sz w:val="24"/>
                <w:szCs w:val="24"/>
                <w:highlight w:val="none"/>
                <w:lang w:val="zh-CN"/>
              </w:rPr>
            </w:pPr>
            <w:r>
              <w:rPr>
                <w:rFonts w:hint="eastAsia" w:ascii="宋体" w:hAnsi="宋体" w:cs="宋体"/>
                <w:b/>
                <w:sz w:val="24"/>
                <w:szCs w:val="24"/>
                <w:highlight w:val="none"/>
                <w:lang w:val="zh-CN"/>
              </w:rPr>
              <w:t>专职安全员</w:t>
            </w:r>
          </w:p>
        </w:tc>
        <w:tc>
          <w:tcPr>
            <w:tcW w:w="4219" w:type="dxa"/>
            <w:tcBorders>
              <w:top w:val="single" w:color="auto" w:sz="4" w:space="0"/>
              <w:left w:val="single" w:color="auto" w:sz="4" w:space="0"/>
              <w:bottom w:val="single" w:color="auto" w:sz="4" w:space="0"/>
              <w:right w:val="single" w:color="auto" w:sz="4" w:space="0"/>
            </w:tcBorders>
            <w:noWrap w:val="0"/>
            <w:vAlign w:val="top"/>
          </w:tcPr>
          <w:p w14:paraId="2087E79F">
            <w:pPr>
              <w:autoSpaceDE w:val="0"/>
              <w:autoSpaceDN w:val="0"/>
              <w:adjustRightInd w:val="0"/>
              <w:rPr>
                <w:rFonts w:hint="eastAsia" w:ascii="宋体" w:hAnsi="宋体" w:cs="宋体"/>
                <w:bCs/>
                <w:sz w:val="24"/>
                <w:szCs w:val="24"/>
                <w:highlight w:val="none"/>
                <w:lang w:val="zh-CN"/>
              </w:rPr>
            </w:pPr>
          </w:p>
        </w:tc>
      </w:tr>
    </w:tbl>
    <w:p w14:paraId="26CD534A">
      <w:pPr>
        <w:spacing w:line="360" w:lineRule="auto"/>
        <w:rPr>
          <w:rFonts w:hint="eastAsia" w:ascii="宋体" w:hAnsi="宋体" w:cs="宋体"/>
          <w:highlight w:val="none"/>
        </w:rPr>
      </w:pPr>
    </w:p>
    <w:p w14:paraId="781109AF">
      <w:pPr>
        <w:autoSpaceDE w:val="0"/>
        <w:autoSpaceDN w:val="0"/>
        <w:adjustRightInd w:val="0"/>
        <w:outlineLvl w:val="2"/>
        <w:rPr>
          <w:rFonts w:hint="eastAsia" w:ascii="宋体" w:hAnsi="宋体" w:cs="宋体"/>
          <w:b/>
          <w:snapToGrid w:val="0"/>
          <w:spacing w:val="4"/>
          <w:kern w:val="0"/>
          <w:sz w:val="24"/>
          <w:szCs w:val="24"/>
          <w:highlight w:val="none"/>
        </w:rPr>
      </w:pPr>
    </w:p>
    <w:p w14:paraId="0C8520A7">
      <w:pPr>
        <w:autoSpaceDE w:val="0"/>
        <w:autoSpaceDN w:val="0"/>
        <w:adjustRightInd w:val="0"/>
        <w:outlineLvl w:val="2"/>
        <w:rPr>
          <w:rFonts w:hint="eastAsia" w:ascii="宋体" w:hAnsi="宋体" w:cs="宋体"/>
          <w:b/>
          <w:snapToGrid w:val="0"/>
          <w:spacing w:val="4"/>
          <w:kern w:val="0"/>
          <w:sz w:val="24"/>
          <w:szCs w:val="24"/>
          <w:highlight w:val="none"/>
        </w:rPr>
      </w:pPr>
    </w:p>
    <w:p w14:paraId="091794FA">
      <w:pPr>
        <w:autoSpaceDE w:val="0"/>
        <w:autoSpaceDN w:val="0"/>
        <w:adjustRightInd w:val="0"/>
        <w:outlineLvl w:val="2"/>
        <w:rPr>
          <w:rFonts w:hint="eastAsia" w:ascii="宋体" w:hAnsi="宋体" w:cs="宋体"/>
          <w:b/>
          <w:snapToGrid w:val="0"/>
          <w:spacing w:val="4"/>
          <w:kern w:val="0"/>
          <w:sz w:val="24"/>
          <w:szCs w:val="24"/>
          <w:highlight w:val="none"/>
        </w:rPr>
      </w:pPr>
    </w:p>
    <w:p w14:paraId="7667D0E4">
      <w:pPr>
        <w:autoSpaceDE w:val="0"/>
        <w:autoSpaceDN w:val="0"/>
        <w:adjustRightInd w:val="0"/>
        <w:outlineLvl w:val="2"/>
        <w:rPr>
          <w:rFonts w:hint="eastAsia" w:ascii="宋体" w:hAnsi="宋体" w:cs="宋体"/>
          <w:b/>
          <w:snapToGrid w:val="0"/>
          <w:spacing w:val="4"/>
          <w:kern w:val="0"/>
          <w:sz w:val="24"/>
          <w:szCs w:val="24"/>
          <w:highlight w:val="none"/>
        </w:rPr>
      </w:pPr>
    </w:p>
    <w:p w14:paraId="78870A7B">
      <w:pPr>
        <w:autoSpaceDE w:val="0"/>
        <w:autoSpaceDN w:val="0"/>
        <w:adjustRightInd w:val="0"/>
        <w:outlineLvl w:val="2"/>
        <w:rPr>
          <w:rFonts w:hint="eastAsia" w:ascii="宋体" w:hAnsi="宋体" w:cs="宋体"/>
          <w:b/>
          <w:snapToGrid w:val="0"/>
          <w:spacing w:val="4"/>
          <w:kern w:val="0"/>
          <w:sz w:val="24"/>
          <w:szCs w:val="24"/>
          <w:highlight w:val="none"/>
        </w:rPr>
      </w:pPr>
    </w:p>
    <w:p w14:paraId="6AF73114">
      <w:pPr>
        <w:autoSpaceDE w:val="0"/>
        <w:autoSpaceDN w:val="0"/>
        <w:adjustRightInd w:val="0"/>
        <w:outlineLvl w:val="2"/>
        <w:rPr>
          <w:rFonts w:hint="eastAsia" w:ascii="宋体" w:hAnsi="宋体" w:cs="宋体"/>
          <w:b/>
          <w:snapToGrid w:val="0"/>
          <w:spacing w:val="4"/>
          <w:kern w:val="0"/>
          <w:sz w:val="24"/>
          <w:szCs w:val="24"/>
          <w:highlight w:val="none"/>
        </w:rPr>
      </w:pPr>
    </w:p>
    <w:p w14:paraId="5AD555D9">
      <w:pPr>
        <w:autoSpaceDE w:val="0"/>
        <w:autoSpaceDN w:val="0"/>
        <w:adjustRightInd w:val="0"/>
        <w:outlineLvl w:val="2"/>
        <w:rPr>
          <w:rFonts w:hint="eastAsia" w:ascii="宋体" w:hAnsi="宋体" w:cs="宋体"/>
          <w:b/>
          <w:snapToGrid w:val="0"/>
          <w:spacing w:val="4"/>
          <w:kern w:val="0"/>
          <w:sz w:val="24"/>
          <w:szCs w:val="24"/>
          <w:highlight w:val="none"/>
        </w:rPr>
      </w:pPr>
    </w:p>
    <w:p w14:paraId="16163FA3">
      <w:pPr>
        <w:autoSpaceDE w:val="0"/>
        <w:autoSpaceDN w:val="0"/>
        <w:adjustRightInd w:val="0"/>
        <w:outlineLvl w:val="2"/>
        <w:rPr>
          <w:rFonts w:hint="eastAsia" w:ascii="宋体" w:hAnsi="宋体" w:cs="宋体"/>
          <w:b/>
          <w:snapToGrid w:val="0"/>
          <w:spacing w:val="4"/>
          <w:kern w:val="0"/>
          <w:sz w:val="24"/>
          <w:szCs w:val="24"/>
          <w:highlight w:val="none"/>
        </w:rPr>
      </w:pPr>
    </w:p>
    <w:p w14:paraId="6BC7E05D">
      <w:pPr>
        <w:autoSpaceDE w:val="0"/>
        <w:autoSpaceDN w:val="0"/>
        <w:adjustRightInd w:val="0"/>
        <w:outlineLvl w:val="2"/>
        <w:rPr>
          <w:rFonts w:hint="eastAsia" w:ascii="宋体" w:hAnsi="宋体" w:cs="宋体"/>
          <w:b/>
          <w:snapToGrid w:val="0"/>
          <w:spacing w:val="4"/>
          <w:kern w:val="0"/>
          <w:sz w:val="24"/>
          <w:szCs w:val="24"/>
          <w:highlight w:val="none"/>
        </w:rPr>
      </w:pPr>
    </w:p>
    <w:p w14:paraId="17F9C3D8">
      <w:pPr>
        <w:autoSpaceDE w:val="0"/>
        <w:autoSpaceDN w:val="0"/>
        <w:adjustRightInd w:val="0"/>
        <w:outlineLvl w:val="2"/>
        <w:rPr>
          <w:rFonts w:hint="eastAsia" w:ascii="宋体" w:hAnsi="宋体" w:cs="宋体"/>
          <w:b/>
          <w:snapToGrid w:val="0"/>
          <w:spacing w:val="4"/>
          <w:kern w:val="0"/>
          <w:sz w:val="24"/>
          <w:szCs w:val="24"/>
          <w:highlight w:val="none"/>
        </w:rPr>
      </w:pPr>
    </w:p>
    <w:p w14:paraId="10F822D5">
      <w:pPr>
        <w:autoSpaceDE w:val="0"/>
        <w:autoSpaceDN w:val="0"/>
        <w:adjustRightInd w:val="0"/>
        <w:outlineLvl w:val="2"/>
        <w:rPr>
          <w:rFonts w:hint="eastAsia" w:ascii="宋体" w:hAnsi="宋体" w:cs="宋体"/>
          <w:b/>
          <w:snapToGrid w:val="0"/>
          <w:spacing w:val="4"/>
          <w:kern w:val="0"/>
          <w:sz w:val="24"/>
          <w:szCs w:val="24"/>
          <w:highlight w:val="none"/>
        </w:rPr>
      </w:pPr>
    </w:p>
    <w:p w14:paraId="1C40E768">
      <w:pPr>
        <w:autoSpaceDE w:val="0"/>
        <w:autoSpaceDN w:val="0"/>
        <w:adjustRightInd w:val="0"/>
        <w:outlineLvl w:val="2"/>
        <w:rPr>
          <w:rFonts w:hint="eastAsia" w:ascii="宋体" w:hAnsi="宋体" w:cs="宋体"/>
          <w:b/>
          <w:snapToGrid w:val="0"/>
          <w:spacing w:val="4"/>
          <w:kern w:val="0"/>
          <w:sz w:val="24"/>
          <w:szCs w:val="24"/>
          <w:highlight w:val="none"/>
        </w:rPr>
      </w:pPr>
    </w:p>
    <w:p w14:paraId="3E890D3E">
      <w:pPr>
        <w:autoSpaceDE w:val="0"/>
        <w:autoSpaceDN w:val="0"/>
        <w:adjustRightInd w:val="0"/>
        <w:outlineLvl w:val="2"/>
        <w:rPr>
          <w:rFonts w:hint="eastAsia" w:ascii="宋体" w:hAnsi="宋体" w:cs="宋体"/>
          <w:b/>
          <w:snapToGrid w:val="0"/>
          <w:spacing w:val="4"/>
          <w:kern w:val="0"/>
          <w:sz w:val="24"/>
          <w:szCs w:val="24"/>
          <w:highlight w:val="none"/>
        </w:rPr>
      </w:pPr>
    </w:p>
    <w:p w14:paraId="335F86D8">
      <w:pPr>
        <w:autoSpaceDE w:val="0"/>
        <w:autoSpaceDN w:val="0"/>
        <w:adjustRightInd w:val="0"/>
        <w:outlineLvl w:val="2"/>
        <w:rPr>
          <w:rFonts w:ascii="宋体" w:hAnsi="宋体" w:cs="宋体"/>
          <w:sz w:val="24"/>
          <w:szCs w:val="24"/>
          <w:highlight w:val="none"/>
        </w:rPr>
      </w:pPr>
      <w:bookmarkStart w:id="87" w:name="_Toc12362"/>
      <w:bookmarkStart w:id="88" w:name="_Toc22246"/>
      <w:r>
        <w:rPr>
          <w:rFonts w:hint="eastAsia" w:ascii="宋体" w:hAnsi="宋体" w:cs="宋体"/>
          <w:b/>
          <w:snapToGrid w:val="0"/>
          <w:spacing w:val="4"/>
          <w:kern w:val="0"/>
          <w:sz w:val="24"/>
          <w:szCs w:val="24"/>
          <w:highlight w:val="none"/>
        </w:rPr>
        <w:t>格式三：施工项目管理团队人员信息表</w:t>
      </w:r>
      <w:bookmarkEnd w:id="87"/>
      <w:bookmarkEnd w:id="88"/>
    </w:p>
    <w:p w14:paraId="3A5EFD51">
      <w:pPr>
        <w:pStyle w:val="5"/>
        <w:jc w:val="center"/>
        <w:rPr>
          <w:rFonts w:ascii="宋体" w:hAnsi="宋体" w:cs="宋体"/>
          <w:b/>
          <w:bCs/>
          <w:sz w:val="24"/>
          <w:szCs w:val="24"/>
          <w:highlight w:val="none"/>
        </w:rPr>
      </w:pPr>
    </w:p>
    <w:p w14:paraId="773447E3">
      <w:pPr>
        <w:pStyle w:val="5"/>
        <w:jc w:val="center"/>
        <w:rPr>
          <w:rFonts w:ascii="宋体" w:hAnsi="宋体" w:cs="宋体"/>
          <w:b/>
          <w:bCs/>
          <w:sz w:val="24"/>
          <w:szCs w:val="24"/>
          <w:highlight w:val="none"/>
        </w:rPr>
      </w:pPr>
      <w:r>
        <w:rPr>
          <w:rFonts w:hint="eastAsia" w:ascii="宋体" w:hAnsi="宋体" w:cs="宋体"/>
          <w:b/>
          <w:bCs/>
          <w:sz w:val="24"/>
          <w:szCs w:val="24"/>
          <w:highlight w:val="none"/>
        </w:rPr>
        <w:t>施工项目管理团队人员信息表</w:t>
      </w:r>
    </w:p>
    <w:tbl>
      <w:tblPr>
        <w:tblStyle w:val="36"/>
        <w:tblW w:w="5000" w:type="pct"/>
        <w:tblInd w:w="0" w:type="dxa"/>
        <w:tblLayout w:type="autofit"/>
        <w:tblCellMar>
          <w:top w:w="0" w:type="dxa"/>
          <w:left w:w="0" w:type="dxa"/>
          <w:bottom w:w="0" w:type="dxa"/>
          <w:right w:w="0" w:type="dxa"/>
        </w:tblCellMar>
      </w:tblPr>
      <w:tblGrid>
        <w:gridCol w:w="583"/>
        <w:gridCol w:w="1476"/>
        <w:gridCol w:w="1801"/>
        <w:gridCol w:w="1801"/>
        <w:gridCol w:w="2675"/>
      </w:tblGrid>
      <w:tr w14:paraId="69A1C0C8">
        <w:tblPrEx>
          <w:tblCellMar>
            <w:top w:w="0" w:type="dxa"/>
            <w:left w:w="0" w:type="dxa"/>
            <w:bottom w:w="0" w:type="dxa"/>
            <w:right w:w="0" w:type="dxa"/>
          </w:tblCellMar>
        </w:tblPrEx>
        <w:trPr>
          <w:trHeight w:val="975" w:hRule="atLeast"/>
        </w:trPr>
        <w:tc>
          <w:tcPr>
            <w:tcW w:w="35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7DF5AD">
            <w:pPr>
              <w:widowControl/>
              <w:jc w:val="center"/>
              <w:textAlignment w:val="center"/>
              <w:rPr>
                <w:rFonts w:ascii="宋体" w:hAnsi="宋体" w:cs="宋体"/>
                <w:b/>
                <w:sz w:val="24"/>
                <w:szCs w:val="24"/>
                <w:highlight w:val="none"/>
              </w:rPr>
            </w:pPr>
            <w:r>
              <w:rPr>
                <w:rFonts w:hint="eastAsia" w:ascii="宋体" w:hAnsi="宋体" w:cs="宋体"/>
                <w:b/>
                <w:kern w:val="0"/>
                <w:sz w:val="24"/>
                <w:szCs w:val="24"/>
                <w:highlight w:val="none"/>
              </w:rPr>
              <w:t>序号</w:t>
            </w:r>
          </w:p>
        </w:tc>
        <w:tc>
          <w:tcPr>
            <w:tcW w:w="88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B4C3F6">
            <w:pPr>
              <w:widowControl/>
              <w:jc w:val="center"/>
              <w:textAlignment w:val="center"/>
              <w:rPr>
                <w:rFonts w:ascii="宋体" w:hAnsi="宋体" w:cs="宋体"/>
                <w:b/>
                <w:sz w:val="24"/>
                <w:szCs w:val="24"/>
                <w:highlight w:val="none"/>
              </w:rPr>
            </w:pPr>
            <w:r>
              <w:rPr>
                <w:rFonts w:hint="eastAsia" w:ascii="宋体" w:hAnsi="宋体" w:cs="宋体"/>
                <w:b/>
                <w:kern w:val="0"/>
                <w:sz w:val="24"/>
                <w:szCs w:val="24"/>
                <w:highlight w:val="none"/>
              </w:rPr>
              <w:t>姓名</w:t>
            </w:r>
          </w:p>
        </w:tc>
        <w:tc>
          <w:tcPr>
            <w:tcW w:w="108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F4F696">
            <w:pPr>
              <w:widowControl/>
              <w:jc w:val="center"/>
              <w:textAlignment w:val="center"/>
              <w:rPr>
                <w:rFonts w:ascii="宋体" w:hAnsi="宋体" w:cs="宋体"/>
                <w:b/>
                <w:sz w:val="24"/>
                <w:szCs w:val="24"/>
                <w:highlight w:val="none"/>
              </w:rPr>
            </w:pPr>
            <w:r>
              <w:rPr>
                <w:rFonts w:hint="eastAsia" w:ascii="宋体" w:hAnsi="宋体" w:cs="宋体"/>
                <w:b/>
                <w:kern w:val="0"/>
                <w:sz w:val="24"/>
                <w:szCs w:val="24"/>
                <w:highlight w:val="none"/>
              </w:rPr>
              <w:t>岗位</w:t>
            </w:r>
          </w:p>
        </w:tc>
        <w:tc>
          <w:tcPr>
            <w:tcW w:w="108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B080A8">
            <w:pPr>
              <w:widowControl/>
              <w:jc w:val="center"/>
              <w:textAlignment w:val="center"/>
              <w:rPr>
                <w:rFonts w:ascii="宋体" w:hAnsi="宋体" w:cs="宋体"/>
                <w:b/>
                <w:sz w:val="24"/>
                <w:szCs w:val="24"/>
                <w:highlight w:val="none"/>
              </w:rPr>
            </w:pPr>
            <w:r>
              <w:rPr>
                <w:rFonts w:hint="eastAsia" w:ascii="宋体" w:hAnsi="宋体" w:cs="宋体"/>
                <w:b/>
                <w:kern w:val="0"/>
                <w:sz w:val="24"/>
                <w:szCs w:val="24"/>
                <w:highlight w:val="none"/>
              </w:rPr>
              <w:t>职称</w:t>
            </w:r>
          </w:p>
        </w:tc>
        <w:tc>
          <w:tcPr>
            <w:tcW w:w="160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99BA2E">
            <w:pPr>
              <w:widowControl/>
              <w:jc w:val="center"/>
              <w:textAlignment w:val="center"/>
              <w:rPr>
                <w:rFonts w:ascii="宋体" w:hAnsi="宋体" w:cs="宋体"/>
                <w:b/>
                <w:sz w:val="24"/>
                <w:szCs w:val="24"/>
                <w:highlight w:val="none"/>
              </w:rPr>
            </w:pPr>
            <w:r>
              <w:rPr>
                <w:rFonts w:hint="eastAsia" w:ascii="宋体" w:hAnsi="宋体" w:cs="宋体"/>
                <w:b/>
                <w:kern w:val="0"/>
                <w:sz w:val="24"/>
                <w:szCs w:val="24"/>
                <w:highlight w:val="none"/>
              </w:rPr>
              <w:t>职称证书或资格证书编号</w:t>
            </w:r>
          </w:p>
        </w:tc>
      </w:tr>
      <w:tr w14:paraId="770EF99C">
        <w:tblPrEx>
          <w:tblCellMar>
            <w:top w:w="0" w:type="dxa"/>
            <w:left w:w="0" w:type="dxa"/>
            <w:bottom w:w="0" w:type="dxa"/>
            <w:right w:w="0" w:type="dxa"/>
          </w:tblCellMar>
        </w:tblPrEx>
        <w:trPr>
          <w:trHeight w:val="555" w:hRule="atLeast"/>
        </w:trPr>
        <w:tc>
          <w:tcPr>
            <w:tcW w:w="35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567EF1">
            <w:pPr>
              <w:widowControl/>
              <w:jc w:val="center"/>
              <w:textAlignment w:val="center"/>
              <w:rPr>
                <w:rFonts w:ascii="宋体" w:hAnsi="宋体" w:cs="宋体"/>
                <w:sz w:val="24"/>
                <w:szCs w:val="24"/>
                <w:highlight w:val="none"/>
              </w:rPr>
            </w:pPr>
            <w:r>
              <w:rPr>
                <w:rFonts w:hint="eastAsia" w:ascii="宋体" w:hAnsi="宋体" w:cs="宋体"/>
                <w:kern w:val="0"/>
                <w:sz w:val="24"/>
                <w:szCs w:val="24"/>
                <w:highlight w:val="none"/>
              </w:rPr>
              <w:t>1</w:t>
            </w:r>
          </w:p>
        </w:tc>
        <w:tc>
          <w:tcPr>
            <w:tcW w:w="88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630C31">
            <w:pPr>
              <w:jc w:val="center"/>
              <w:rPr>
                <w:rFonts w:ascii="宋体" w:hAnsi="宋体" w:cs="宋体"/>
                <w:sz w:val="24"/>
                <w:szCs w:val="24"/>
                <w:highlight w:val="none"/>
              </w:rPr>
            </w:pPr>
          </w:p>
        </w:tc>
        <w:tc>
          <w:tcPr>
            <w:tcW w:w="108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66BF33">
            <w:pPr>
              <w:jc w:val="center"/>
              <w:rPr>
                <w:rFonts w:ascii="宋体" w:hAnsi="宋体" w:cs="宋体"/>
                <w:sz w:val="24"/>
                <w:szCs w:val="24"/>
                <w:highlight w:val="none"/>
              </w:rPr>
            </w:pPr>
            <w:r>
              <w:rPr>
                <w:rFonts w:hint="eastAsia" w:ascii="宋体" w:hAnsi="宋体" w:cs="宋体"/>
                <w:sz w:val="24"/>
                <w:szCs w:val="24"/>
                <w:highlight w:val="none"/>
              </w:rPr>
              <w:t>技术负责人</w:t>
            </w:r>
          </w:p>
        </w:tc>
        <w:tc>
          <w:tcPr>
            <w:tcW w:w="108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0DB33B">
            <w:pPr>
              <w:jc w:val="center"/>
              <w:rPr>
                <w:rFonts w:ascii="宋体" w:hAnsi="宋体" w:cs="宋体"/>
                <w:sz w:val="24"/>
                <w:szCs w:val="24"/>
                <w:highlight w:val="none"/>
              </w:rPr>
            </w:pPr>
          </w:p>
        </w:tc>
        <w:tc>
          <w:tcPr>
            <w:tcW w:w="160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3C0776">
            <w:pPr>
              <w:jc w:val="center"/>
              <w:rPr>
                <w:rFonts w:ascii="宋体" w:hAnsi="宋体" w:cs="宋体"/>
                <w:sz w:val="24"/>
                <w:szCs w:val="24"/>
                <w:highlight w:val="none"/>
              </w:rPr>
            </w:pPr>
          </w:p>
        </w:tc>
      </w:tr>
      <w:tr w14:paraId="226B0D05">
        <w:tblPrEx>
          <w:tblCellMar>
            <w:top w:w="0" w:type="dxa"/>
            <w:left w:w="0" w:type="dxa"/>
            <w:bottom w:w="0" w:type="dxa"/>
            <w:right w:w="0" w:type="dxa"/>
          </w:tblCellMar>
        </w:tblPrEx>
        <w:trPr>
          <w:trHeight w:val="555" w:hRule="atLeast"/>
        </w:trPr>
        <w:tc>
          <w:tcPr>
            <w:tcW w:w="35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0B01F9">
            <w:pPr>
              <w:widowControl/>
              <w:jc w:val="center"/>
              <w:textAlignment w:val="center"/>
              <w:rPr>
                <w:rFonts w:ascii="宋体" w:hAnsi="宋体" w:cs="宋体"/>
                <w:sz w:val="24"/>
                <w:szCs w:val="24"/>
                <w:highlight w:val="none"/>
              </w:rPr>
            </w:pPr>
            <w:r>
              <w:rPr>
                <w:rFonts w:hint="eastAsia" w:ascii="宋体" w:hAnsi="宋体" w:cs="宋体"/>
                <w:sz w:val="24"/>
                <w:szCs w:val="24"/>
                <w:highlight w:val="none"/>
              </w:rPr>
              <w:t>2</w:t>
            </w:r>
          </w:p>
        </w:tc>
        <w:tc>
          <w:tcPr>
            <w:tcW w:w="88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DC7844">
            <w:pPr>
              <w:jc w:val="center"/>
              <w:rPr>
                <w:rFonts w:ascii="宋体" w:hAnsi="宋体" w:cs="宋体"/>
                <w:sz w:val="24"/>
                <w:szCs w:val="24"/>
                <w:highlight w:val="none"/>
              </w:rPr>
            </w:pPr>
          </w:p>
        </w:tc>
        <w:tc>
          <w:tcPr>
            <w:tcW w:w="108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468778">
            <w:pPr>
              <w:jc w:val="center"/>
              <w:rPr>
                <w:rFonts w:ascii="宋体" w:hAnsi="宋体" w:cs="宋体"/>
                <w:sz w:val="24"/>
                <w:szCs w:val="24"/>
                <w:highlight w:val="none"/>
              </w:rPr>
            </w:pPr>
            <w:r>
              <w:rPr>
                <w:rFonts w:hint="eastAsia" w:ascii="宋体" w:hAnsi="宋体" w:cs="宋体"/>
                <w:sz w:val="24"/>
                <w:szCs w:val="24"/>
                <w:highlight w:val="none"/>
              </w:rPr>
              <w:t>质量负责人</w:t>
            </w:r>
          </w:p>
        </w:tc>
        <w:tc>
          <w:tcPr>
            <w:tcW w:w="108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621873">
            <w:pPr>
              <w:jc w:val="center"/>
              <w:rPr>
                <w:rFonts w:ascii="宋体" w:hAnsi="宋体" w:cs="宋体"/>
                <w:sz w:val="24"/>
                <w:szCs w:val="24"/>
                <w:highlight w:val="none"/>
              </w:rPr>
            </w:pPr>
          </w:p>
        </w:tc>
        <w:tc>
          <w:tcPr>
            <w:tcW w:w="160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BF4D52">
            <w:pPr>
              <w:jc w:val="center"/>
              <w:rPr>
                <w:rFonts w:ascii="宋体" w:hAnsi="宋体" w:cs="宋体"/>
                <w:sz w:val="24"/>
                <w:szCs w:val="24"/>
                <w:highlight w:val="none"/>
              </w:rPr>
            </w:pPr>
          </w:p>
        </w:tc>
      </w:tr>
      <w:tr w14:paraId="44005037">
        <w:tblPrEx>
          <w:tblCellMar>
            <w:top w:w="0" w:type="dxa"/>
            <w:left w:w="0" w:type="dxa"/>
            <w:bottom w:w="0" w:type="dxa"/>
            <w:right w:w="0" w:type="dxa"/>
          </w:tblCellMar>
        </w:tblPrEx>
        <w:trPr>
          <w:trHeight w:val="555" w:hRule="atLeast"/>
        </w:trPr>
        <w:tc>
          <w:tcPr>
            <w:tcW w:w="35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D41603">
            <w:pPr>
              <w:widowControl/>
              <w:jc w:val="center"/>
              <w:textAlignment w:val="center"/>
              <w:rPr>
                <w:rFonts w:ascii="宋体" w:hAnsi="宋体" w:cs="宋体"/>
                <w:sz w:val="24"/>
                <w:szCs w:val="24"/>
                <w:highlight w:val="none"/>
              </w:rPr>
            </w:pPr>
            <w:r>
              <w:rPr>
                <w:rFonts w:hint="eastAsia" w:ascii="宋体" w:hAnsi="宋体" w:cs="宋体"/>
                <w:sz w:val="24"/>
                <w:szCs w:val="24"/>
                <w:highlight w:val="none"/>
              </w:rPr>
              <w:t>3</w:t>
            </w:r>
          </w:p>
        </w:tc>
        <w:tc>
          <w:tcPr>
            <w:tcW w:w="88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B8DCBE">
            <w:pPr>
              <w:jc w:val="center"/>
              <w:rPr>
                <w:rFonts w:ascii="宋体" w:hAnsi="宋体" w:cs="宋体"/>
                <w:sz w:val="24"/>
                <w:szCs w:val="24"/>
                <w:highlight w:val="none"/>
              </w:rPr>
            </w:pPr>
          </w:p>
        </w:tc>
        <w:tc>
          <w:tcPr>
            <w:tcW w:w="108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B70C82">
            <w:pPr>
              <w:jc w:val="center"/>
              <w:rPr>
                <w:rFonts w:ascii="宋体" w:hAnsi="宋体" w:cs="宋体"/>
                <w:sz w:val="24"/>
                <w:szCs w:val="24"/>
                <w:highlight w:val="none"/>
              </w:rPr>
            </w:pPr>
            <w:r>
              <w:rPr>
                <w:rFonts w:hint="eastAsia" w:ascii="宋体" w:hAnsi="宋体" w:cs="宋体"/>
                <w:sz w:val="24"/>
                <w:szCs w:val="24"/>
                <w:highlight w:val="none"/>
              </w:rPr>
              <w:t>安全负责人</w:t>
            </w:r>
          </w:p>
        </w:tc>
        <w:tc>
          <w:tcPr>
            <w:tcW w:w="108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CE7318">
            <w:pPr>
              <w:jc w:val="center"/>
              <w:rPr>
                <w:rFonts w:ascii="宋体" w:hAnsi="宋体" w:cs="宋体"/>
                <w:sz w:val="24"/>
                <w:szCs w:val="24"/>
                <w:highlight w:val="none"/>
              </w:rPr>
            </w:pPr>
          </w:p>
        </w:tc>
        <w:tc>
          <w:tcPr>
            <w:tcW w:w="160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3C4DAF">
            <w:pPr>
              <w:jc w:val="center"/>
              <w:rPr>
                <w:rFonts w:ascii="宋体" w:hAnsi="宋体" w:cs="宋体"/>
                <w:sz w:val="24"/>
                <w:szCs w:val="24"/>
                <w:highlight w:val="none"/>
              </w:rPr>
            </w:pPr>
          </w:p>
        </w:tc>
      </w:tr>
      <w:tr w14:paraId="6079FA66">
        <w:tblPrEx>
          <w:tblCellMar>
            <w:top w:w="0" w:type="dxa"/>
            <w:left w:w="0" w:type="dxa"/>
            <w:bottom w:w="0" w:type="dxa"/>
            <w:right w:w="0" w:type="dxa"/>
          </w:tblCellMar>
        </w:tblPrEx>
        <w:trPr>
          <w:trHeight w:val="555" w:hRule="atLeast"/>
        </w:trPr>
        <w:tc>
          <w:tcPr>
            <w:tcW w:w="35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3FFAA2">
            <w:pPr>
              <w:widowControl/>
              <w:jc w:val="center"/>
              <w:textAlignment w:val="center"/>
              <w:rPr>
                <w:rFonts w:ascii="宋体" w:hAnsi="宋体" w:cs="宋体"/>
                <w:sz w:val="24"/>
                <w:szCs w:val="24"/>
                <w:highlight w:val="none"/>
              </w:rPr>
            </w:pPr>
            <w:r>
              <w:rPr>
                <w:rFonts w:hint="eastAsia" w:ascii="宋体" w:hAnsi="宋体" w:cs="宋体"/>
                <w:sz w:val="24"/>
                <w:szCs w:val="24"/>
                <w:highlight w:val="none"/>
              </w:rPr>
              <w:t>4</w:t>
            </w:r>
          </w:p>
        </w:tc>
        <w:tc>
          <w:tcPr>
            <w:tcW w:w="88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5ED638">
            <w:pPr>
              <w:jc w:val="center"/>
              <w:rPr>
                <w:rFonts w:ascii="宋体" w:hAnsi="宋体" w:cs="宋体"/>
                <w:sz w:val="24"/>
                <w:szCs w:val="24"/>
                <w:highlight w:val="none"/>
              </w:rPr>
            </w:pPr>
          </w:p>
        </w:tc>
        <w:tc>
          <w:tcPr>
            <w:tcW w:w="108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39C3F4">
            <w:pPr>
              <w:jc w:val="center"/>
              <w:rPr>
                <w:rFonts w:ascii="宋体" w:hAnsi="宋体" w:cs="宋体"/>
                <w:sz w:val="24"/>
                <w:szCs w:val="24"/>
                <w:highlight w:val="none"/>
              </w:rPr>
            </w:pPr>
            <w:r>
              <w:rPr>
                <w:rFonts w:hint="eastAsia" w:ascii="宋体" w:hAnsi="宋体" w:cs="宋体"/>
                <w:sz w:val="24"/>
                <w:szCs w:val="24"/>
                <w:highlight w:val="none"/>
              </w:rPr>
              <w:t>造价负责人</w:t>
            </w:r>
          </w:p>
        </w:tc>
        <w:tc>
          <w:tcPr>
            <w:tcW w:w="108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1A3A04">
            <w:pPr>
              <w:jc w:val="center"/>
              <w:rPr>
                <w:rFonts w:ascii="宋体" w:hAnsi="宋体" w:cs="宋体"/>
                <w:sz w:val="24"/>
                <w:szCs w:val="24"/>
                <w:highlight w:val="none"/>
              </w:rPr>
            </w:pPr>
          </w:p>
        </w:tc>
        <w:tc>
          <w:tcPr>
            <w:tcW w:w="160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BA7422">
            <w:pPr>
              <w:jc w:val="center"/>
              <w:rPr>
                <w:rFonts w:ascii="宋体" w:hAnsi="宋体" w:cs="宋体"/>
                <w:sz w:val="24"/>
                <w:szCs w:val="24"/>
                <w:highlight w:val="none"/>
              </w:rPr>
            </w:pPr>
          </w:p>
        </w:tc>
      </w:tr>
      <w:tr w14:paraId="48DFE2D7">
        <w:tblPrEx>
          <w:tblCellMar>
            <w:top w:w="0" w:type="dxa"/>
            <w:left w:w="0" w:type="dxa"/>
            <w:bottom w:w="0" w:type="dxa"/>
            <w:right w:w="0" w:type="dxa"/>
          </w:tblCellMar>
        </w:tblPrEx>
        <w:trPr>
          <w:trHeight w:val="555" w:hRule="atLeast"/>
        </w:trPr>
        <w:tc>
          <w:tcPr>
            <w:tcW w:w="35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DD0EBC">
            <w:pPr>
              <w:widowControl/>
              <w:jc w:val="center"/>
              <w:textAlignment w:val="center"/>
              <w:rPr>
                <w:rFonts w:ascii="宋体" w:hAnsi="宋体" w:cs="宋体"/>
                <w:sz w:val="24"/>
                <w:szCs w:val="24"/>
                <w:highlight w:val="none"/>
              </w:rPr>
            </w:pPr>
            <w:r>
              <w:rPr>
                <w:rFonts w:hint="eastAsia" w:ascii="宋体" w:hAnsi="宋体" w:cs="宋体"/>
                <w:kern w:val="0"/>
                <w:sz w:val="24"/>
                <w:szCs w:val="24"/>
                <w:highlight w:val="none"/>
              </w:rPr>
              <w:t>……</w:t>
            </w:r>
          </w:p>
        </w:tc>
        <w:tc>
          <w:tcPr>
            <w:tcW w:w="88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E4DCD6">
            <w:pPr>
              <w:jc w:val="center"/>
              <w:rPr>
                <w:rFonts w:ascii="宋体" w:hAnsi="宋体" w:cs="宋体"/>
                <w:sz w:val="24"/>
                <w:szCs w:val="24"/>
                <w:highlight w:val="none"/>
              </w:rPr>
            </w:pPr>
          </w:p>
        </w:tc>
        <w:tc>
          <w:tcPr>
            <w:tcW w:w="108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621487">
            <w:pPr>
              <w:jc w:val="center"/>
              <w:rPr>
                <w:rFonts w:ascii="宋体" w:hAnsi="宋体" w:cs="宋体"/>
                <w:sz w:val="24"/>
                <w:szCs w:val="24"/>
                <w:highlight w:val="none"/>
              </w:rPr>
            </w:pPr>
          </w:p>
        </w:tc>
        <w:tc>
          <w:tcPr>
            <w:tcW w:w="108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94CE34">
            <w:pPr>
              <w:jc w:val="center"/>
              <w:rPr>
                <w:rFonts w:ascii="宋体" w:hAnsi="宋体" w:cs="宋体"/>
                <w:sz w:val="24"/>
                <w:szCs w:val="24"/>
                <w:highlight w:val="none"/>
              </w:rPr>
            </w:pPr>
          </w:p>
        </w:tc>
        <w:tc>
          <w:tcPr>
            <w:tcW w:w="160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FF307B">
            <w:pPr>
              <w:jc w:val="center"/>
              <w:rPr>
                <w:rFonts w:ascii="宋体" w:hAnsi="宋体" w:cs="宋体"/>
                <w:sz w:val="24"/>
                <w:szCs w:val="24"/>
                <w:highlight w:val="none"/>
              </w:rPr>
            </w:pPr>
          </w:p>
        </w:tc>
      </w:tr>
    </w:tbl>
    <w:p w14:paraId="6BD4391C">
      <w:pPr>
        <w:autoSpaceDE w:val="0"/>
        <w:autoSpaceDN w:val="0"/>
        <w:adjustRightInd w:val="0"/>
        <w:rPr>
          <w:rFonts w:ascii="宋体" w:hAnsi="宋体" w:cs="宋体"/>
          <w:szCs w:val="21"/>
          <w:highlight w:val="none"/>
        </w:rPr>
      </w:pPr>
    </w:p>
    <w:p w14:paraId="14E64E25">
      <w:pPr>
        <w:autoSpaceDE w:val="0"/>
        <w:autoSpaceDN w:val="0"/>
        <w:adjustRightInd w:val="0"/>
        <w:rPr>
          <w:rFonts w:ascii="宋体" w:hAnsi="宋体" w:cs="宋体"/>
          <w:szCs w:val="21"/>
          <w:highlight w:val="none"/>
        </w:rPr>
      </w:pPr>
      <w:r>
        <w:rPr>
          <w:rFonts w:hint="eastAsia" w:ascii="宋体" w:hAnsi="宋体" w:cs="宋体"/>
          <w:szCs w:val="21"/>
          <w:highlight w:val="none"/>
        </w:rPr>
        <w:t>注：投标人可根据投入情况，在本表的基础上自行扩展。</w:t>
      </w:r>
    </w:p>
    <w:p w14:paraId="64A079FE">
      <w:pPr>
        <w:pStyle w:val="5"/>
        <w:rPr>
          <w:rFonts w:hint="eastAsia" w:ascii="宋体" w:hAnsi="宋体" w:cs="宋体"/>
          <w:highlight w:val="none"/>
        </w:rPr>
      </w:pPr>
    </w:p>
    <w:p w14:paraId="7EEAEBAF">
      <w:pPr>
        <w:rPr>
          <w:rFonts w:hint="eastAsia" w:ascii="宋体" w:hAnsi="宋体" w:cs="宋体"/>
          <w:highlight w:val="none"/>
        </w:rPr>
      </w:pPr>
    </w:p>
    <w:p w14:paraId="5077C002">
      <w:pPr>
        <w:pStyle w:val="5"/>
        <w:rPr>
          <w:rFonts w:hint="eastAsia" w:ascii="宋体" w:hAnsi="宋体" w:cs="宋体"/>
          <w:highlight w:val="none"/>
        </w:rPr>
      </w:pPr>
    </w:p>
    <w:p w14:paraId="10D51F05">
      <w:pPr>
        <w:rPr>
          <w:rFonts w:hint="eastAsia" w:ascii="宋体" w:hAnsi="宋体" w:cs="宋体"/>
          <w:highlight w:val="none"/>
        </w:rPr>
      </w:pPr>
    </w:p>
    <w:p w14:paraId="3D1E0DCE">
      <w:pPr>
        <w:pStyle w:val="5"/>
        <w:rPr>
          <w:rFonts w:hint="eastAsia" w:ascii="宋体" w:hAnsi="宋体" w:cs="宋体"/>
          <w:highlight w:val="none"/>
        </w:rPr>
      </w:pPr>
    </w:p>
    <w:p w14:paraId="75193ED4">
      <w:pPr>
        <w:rPr>
          <w:rFonts w:hint="eastAsia" w:ascii="宋体" w:hAnsi="宋体" w:cs="宋体"/>
          <w:highlight w:val="none"/>
        </w:rPr>
      </w:pPr>
    </w:p>
    <w:p w14:paraId="34AB2E64">
      <w:pPr>
        <w:pStyle w:val="5"/>
        <w:rPr>
          <w:rFonts w:hint="eastAsia" w:ascii="宋体" w:hAnsi="宋体" w:cs="宋体"/>
          <w:highlight w:val="none"/>
        </w:rPr>
      </w:pPr>
    </w:p>
    <w:p w14:paraId="6E7B1E7C">
      <w:pPr>
        <w:rPr>
          <w:rFonts w:hint="eastAsia" w:ascii="宋体" w:hAnsi="宋体" w:cs="宋体"/>
          <w:highlight w:val="none"/>
        </w:rPr>
      </w:pPr>
    </w:p>
    <w:p w14:paraId="5A627F73">
      <w:pPr>
        <w:pStyle w:val="5"/>
        <w:rPr>
          <w:rFonts w:hint="eastAsia" w:ascii="宋体" w:hAnsi="宋体" w:cs="宋体"/>
          <w:highlight w:val="none"/>
        </w:rPr>
      </w:pPr>
    </w:p>
    <w:p w14:paraId="29784894">
      <w:pPr>
        <w:rPr>
          <w:rFonts w:hint="eastAsia" w:ascii="宋体" w:hAnsi="宋体" w:cs="宋体"/>
          <w:highlight w:val="none"/>
        </w:rPr>
      </w:pPr>
    </w:p>
    <w:p w14:paraId="2D351A5A">
      <w:pPr>
        <w:jc w:val="center"/>
        <w:rPr>
          <w:rFonts w:hint="eastAsia" w:ascii="宋体" w:hAnsi="宋体" w:cs="宋体"/>
          <w:b/>
          <w:snapToGrid w:val="0"/>
          <w:spacing w:val="4"/>
          <w:kern w:val="0"/>
          <w:sz w:val="24"/>
          <w:szCs w:val="24"/>
          <w:highlight w:val="none"/>
        </w:rPr>
      </w:pPr>
    </w:p>
    <w:p w14:paraId="69EC5DAA">
      <w:pPr>
        <w:jc w:val="center"/>
        <w:rPr>
          <w:rFonts w:hint="eastAsia" w:ascii="宋体" w:hAnsi="宋体" w:cs="宋体"/>
          <w:b/>
          <w:snapToGrid w:val="0"/>
          <w:spacing w:val="4"/>
          <w:kern w:val="0"/>
          <w:sz w:val="24"/>
          <w:szCs w:val="24"/>
          <w:highlight w:val="none"/>
        </w:rPr>
      </w:pPr>
    </w:p>
    <w:p w14:paraId="73881AA6">
      <w:pPr>
        <w:jc w:val="center"/>
        <w:rPr>
          <w:rFonts w:hint="eastAsia" w:ascii="宋体" w:hAnsi="宋体" w:cs="宋体"/>
          <w:b/>
          <w:snapToGrid w:val="0"/>
          <w:spacing w:val="4"/>
          <w:kern w:val="0"/>
          <w:sz w:val="24"/>
          <w:szCs w:val="24"/>
          <w:highlight w:val="none"/>
        </w:rPr>
      </w:pPr>
    </w:p>
    <w:p w14:paraId="658332F1">
      <w:pPr>
        <w:jc w:val="center"/>
        <w:rPr>
          <w:rFonts w:hint="eastAsia" w:ascii="宋体" w:hAnsi="宋体" w:cs="宋体"/>
          <w:b/>
          <w:snapToGrid w:val="0"/>
          <w:spacing w:val="4"/>
          <w:kern w:val="0"/>
          <w:sz w:val="24"/>
          <w:szCs w:val="24"/>
          <w:highlight w:val="none"/>
        </w:rPr>
      </w:pPr>
    </w:p>
    <w:p w14:paraId="202DCD26">
      <w:pPr>
        <w:jc w:val="center"/>
        <w:rPr>
          <w:rFonts w:hint="eastAsia" w:ascii="宋体" w:hAnsi="宋体" w:cs="宋体"/>
          <w:b/>
          <w:snapToGrid w:val="0"/>
          <w:spacing w:val="4"/>
          <w:kern w:val="0"/>
          <w:sz w:val="24"/>
          <w:szCs w:val="24"/>
          <w:highlight w:val="none"/>
        </w:rPr>
      </w:pPr>
    </w:p>
    <w:p w14:paraId="06E2B8A8">
      <w:pPr>
        <w:jc w:val="center"/>
        <w:rPr>
          <w:rFonts w:hint="eastAsia" w:ascii="宋体" w:hAnsi="宋体" w:cs="宋体"/>
          <w:b/>
          <w:snapToGrid w:val="0"/>
          <w:spacing w:val="4"/>
          <w:kern w:val="0"/>
          <w:sz w:val="24"/>
          <w:szCs w:val="24"/>
          <w:highlight w:val="none"/>
        </w:rPr>
      </w:pPr>
    </w:p>
    <w:p w14:paraId="5AD54658">
      <w:pPr>
        <w:jc w:val="center"/>
        <w:rPr>
          <w:rFonts w:hint="eastAsia" w:ascii="宋体" w:hAnsi="宋体" w:cs="宋体"/>
          <w:b/>
          <w:snapToGrid w:val="0"/>
          <w:spacing w:val="4"/>
          <w:kern w:val="0"/>
          <w:sz w:val="24"/>
          <w:szCs w:val="24"/>
          <w:highlight w:val="none"/>
        </w:rPr>
      </w:pPr>
    </w:p>
    <w:p w14:paraId="31B7A73F">
      <w:pPr>
        <w:jc w:val="center"/>
        <w:rPr>
          <w:rFonts w:hint="eastAsia" w:ascii="宋体" w:hAnsi="宋体" w:cs="宋体"/>
          <w:b/>
          <w:snapToGrid w:val="0"/>
          <w:spacing w:val="4"/>
          <w:kern w:val="0"/>
          <w:sz w:val="24"/>
          <w:szCs w:val="24"/>
          <w:highlight w:val="none"/>
        </w:rPr>
      </w:pPr>
    </w:p>
    <w:p w14:paraId="56CAFB06">
      <w:pPr>
        <w:jc w:val="center"/>
        <w:rPr>
          <w:rFonts w:hint="eastAsia" w:ascii="宋体" w:hAnsi="宋体" w:cs="宋体"/>
          <w:b/>
          <w:snapToGrid w:val="0"/>
          <w:spacing w:val="4"/>
          <w:kern w:val="0"/>
          <w:sz w:val="24"/>
          <w:szCs w:val="24"/>
          <w:highlight w:val="none"/>
        </w:rPr>
      </w:pPr>
    </w:p>
    <w:p w14:paraId="240FA240">
      <w:pPr>
        <w:jc w:val="center"/>
        <w:rPr>
          <w:rFonts w:hint="eastAsia" w:ascii="宋体" w:hAnsi="宋体" w:cs="宋体"/>
          <w:b/>
          <w:snapToGrid w:val="0"/>
          <w:spacing w:val="4"/>
          <w:kern w:val="0"/>
          <w:sz w:val="24"/>
          <w:szCs w:val="24"/>
          <w:highlight w:val="none"/>
        </w:rPr>
      </w:pPr>
    </w:p>
    <w:p w14:paraId="7E0C9442">
      <w:pPr>
        <w:jc w:val="center"/>
        <w:rPr>
          <w:rFonts w:hint="eastAsia" w:ascii="宋体" w:hAnsi="宋体" w:cs="宋体"/>
          <w:b/>
          <w:snapToGrid w:val="0"/>
          <w:spacing w:val="4"/>
          <w:kern w:val="0"/>
          <w:sz w:val="24"/>
          <w:szCs w:val="24"/>
          <w:highlight w:val="none"/>
        </w:rPr>
      </w:pPr>
    </w:p>
    <w:p w14:paraId="393FACB4">
      <w:pPr>
        <w:jc w:val="center"/>
        <w:rPr>
          <w:rFonts w:hint="eastAsia" w:ascii="宋体" w:hAnsi="宋体" w:cs="宋体"/>
          <w:b/>
          <w:snapToGrid w:val="0"/>
          <w:spacing w:val="4"/>
          <w:kern w:val="0"/>
          <w:sz w:val="24"/>
          <w:szCs w:val="24"/>
          <w:highlight w:val="none"/>
        </w:rPr>
      </w:pPr>
    </w:p>
    <w:p w14:paraId="65B058B1">
      <w:pPr>
        <w:jc w:val="center"/>
        <w:rPr>
          <w:rFonts w:hint="eastAsia" w:ascii="宋体" w:hAnsi="宋体" w:cs="宋体"/>
          <w:b/>
          <w:snapToGrid w:val="0"/>
          <w:spacing w:val="4"/>
          <w:kern w:val="0"/>
          <w:sz w:val="24"/>
          <w:szCs w:val="24"/>
          <w:highlight w:val="none"/>
        </w:rPr>
      </w:pPr>
    </w:p>
    <w:p w14:paraId="236F544A">
      <w:pPr>
        <w:jc w:val="center"/>
        <w:rPr>
          <w:rFonts w:hint="eastAsia" w:ascii="宋体" w:hAnsi="宋体" w:cs="宋体"/>
          <w:b/>
          <w:snapToGrid w:val="0"/>
          <w:spacing w:val="4"/>
          <w:kern w:val="0"/>
          <w:sz w:val="24"/>
          <w:szCs w:val="24"/>
          <w:highlight w:val="none"/>
        </w:rPr>
      </w:pPr>
    </w:p>
    <w:p w14:paraId="3F703900">
      <w:pPr>
        <w:jc w:val="center"/>
        <w:rPr>
          <w:rFonts w:hint="eastAsia" w:ascii="宋体" w:hAnsi="宋体" w:cs="宋体"/>
          <w:b/>
          <w:snapToGrid w:val="0"/>
          <w:spacing w:val="4"/>
          <w:kern w:val="0"/>
          <w:sz w:val="24"/>
          <w:szCs w:val="24"/>
          <w:highlight w:val="none"/>
        </w:rPr>
      </w:pPr>
    </w:p>
    <w:p w14:paraId="45B38FAF">
      <w:pPr>
        <w:jc w:val="center"/>
        <w:rPr>
          <w:rFonts w:hint="eastAsia" w:ascii="宋体" w:hAnsi="宋体" w:cs="宋体"/>
          <w:b/>
          <w:snapToGrid w:val="0"/>
          <w:spacing w:val="4"/>
          <w:kern w:val="0"/>
          <w:sz w:val="24"/>
          <w:szCs w:val="24"/>
          <w:highlight w:val="none"/>
        </w:rPr>
      </w:pPr>
    </w:p>
    <w:p w14:paraId="0FF89272">
      <w:pPr>
        <w:jc w:val="center"/>
        <w:rPr>
          <w:rFonts w:hint="eastAsia" w:ascii="宋体" w:hAnsi="宋体" w:cs="宋体"/>
          <w:b/>
          <w:snapToGrid w:val="0"/>
          <w:spacing w:val="4"/>
          <w:kern w:val="0"/>
          <w:sz w:val="24"/>
          <w:szCs w:val="24"/>
          <w:highlight w:val="none"/>
        </w:rPr>
      </w:pPr>
    </w:p>
    <w:p w14:paraId="1B2DC601">
      <w:pPr>
        <w:jc w:val="center"/>
        <w:rPr>
          <w:rFonts w:ascii="宋体" w:hAnsi="宋体"/>
          <w:sz w:val="24"/>
          <w:szCs w:val="24"/>
          <w:highlight w:val="none"/>
        </w:rPr>
      </w:pPr>
      <w:r>
        <w:rPr>
          <w:rFonts w:hint="eastAsia" w:ascii="宋体" w:hAnsi="宋体" w:cs="宋体"/>
          <w:b/>
          <w:snapToGrid w:val="0"/>
          <w:spacing w:val="4"/>
          <w:kern w:val="0"/>
          <w:sz w:val="24"/>
          <w:szCs w:val="24"/>
          <w:highlight w:val="none"/>
        </w:rPr>
        <w:t>格式四：</w:t>
      </w:r>
      <w:r>
        <w:rPr>
          <w:rFonts w:hint="eastAsia" w:ascii="宋体" w:hAnsi="宋体"/>
          <w:b/>
          <w:sz w:val="24"/>
          <w:szCs w:val="24"/>
          <w:highlight w:val="none"/>
        </w:rPr>
        <w:t>危险性较大的分部分项工程清单及超过一定规模的危险性较大的分部分项工程清单</w:t>
      </w:r>
    </w:p>
    <w:p w14:paraId="68AFE387">
      <w:pPr>
        <w:widowControl/>
        <w:textAlignment w:val="center"/>
        <w:rPr>
          <w:rFonts w:hint="eastAsia" w:ascii="宋体" w:hAnsi="宋体" w:cs="方正大标宋简体"/>
          <w:b/>
          <w:kern w:val="0"/>
          <w:sz w:val="24"/>
          <w:szCs w:val="24"/>
          <w:highlight w:val="none"/>
          <w:lang w:bidi="ar"/>
        </w:rPr>
      </w:pPr>
    </w:p>
    <w:p w14:paraId="5339B348">
      <w:pPr>
        <w:pStyle w:val="5"/>
        <w:rPr>
          <w:rFonts w:hint="eastAsia"/>
          <w:highlight w:val="none"/>
        </w:rPr>
      </w:pPr>
    </w:p>
    <w:p w14:paraId="6F0A907F">
      <w:pPr>
        <w:jc w:val="center"/>
        <w:rPr>
          <w:rFonts w:ascii="宋体" w:hAnsi="宋体"/>
          <w:sz w:val="30"/>
          <w:szCs w:val="30"/>
          <w:highlight w:val="none"/>
        </w:rPr>
      </w:pPr>
      <w:r>
        <w:rPr>
          <w:rFonts w:hint="eastAsia" w:ascii="宋体" w:hAnsi="宋体"/>
          <w:b/>
          <w:sz w:val="30"/>
          <w:szCs w:val="30"/>
          <w:highlight w:val="none"/>
        </w:rPr>
        <w:t>危险性较大的分部分项工程清单及超过一定规模的危险性较大的分部分项工程清单</w:t>
      </w:r>
    </w:p>
    <w:p w14:paraId="6591B4CD">
      <w:pPr>
        <w:pStyle w:val="110"/>
        <w:numPr>
          <w:ilvl w:val="0"/>
          <w:numId w:val="9"/>
        </w:numPr>
        <w:autoSpaceDE w:val="0"/>
        <w:autoSpaceDN w:val="0"/>
        <w:adjustRightInd w:val="0"/>
        <w:spacing w:line="360" w:lineRule="auto"/>
        <w:ind w:firstLineChars="0"/>
        <w:jc w:val="left"/>
        <w:rPr>
          <w:rFonts w:ascii="宋体" w:hAnsi="宋体"/>
          <w:sz w:val="24"/>
          <w:szCs w:val="28"/>
          <w:highlight w:val="none"/>
        </w:rPr>
      </w:pPr>
      <w:r>
        <w:rPr>
          <w:rFonts w:hint="eastAsia" w:ascii="宋体" w:hAnsi="宋体"/>
          <w:sz w:val="24"/>
          <w:szCs w:val="28"/>
          <w:highlight w:val="none"/>
        </w:rPr>
        <w:t>根据中华人民共和国住房和城乡建设部令第37号《危险性较大的分部分项工程安全管理规定》（以下简称“37号文”），投标人在投标时须补充完善危大工程清单并明确相应的安全管理措施。</w:t>
      </w:r>
    </w:p>
    <w:p w14:paraId="5F289F88">
      <w:pPr>
        <w:pStyle w:val="110"/>
        <w:numPr>
          <w:ilvl w:val="0"/>
          <w:numId w:val="9"/>
        </w:numPr>
        <w:autoSpaceDE w:val="0"/>
        <w:autoSpaceDN w:val="0"/>
        <w:adjustRightInd w:val="0"/>
        <w:spacing w:line="360" w:lineRule="auto"/>
        <w:ind w:firstLineChars="0"/>
        <w:jc w:val="left"/>
        <w:rPr>
          <w:rFonts w:ascii="宋体" w:hAnsi="宋体"/>
          <w:sz w:val="24"/>
          <w:szCs w:val="28"/>
          <w:highlight w:val="none"/>
        </w:rPr>
      </w:pPr>
      <w:r>
        <w:rPr>
          <w:rFonts w:hint="eastAsia" w:ascii="宋体" w:hAnsi="宋体"/>
          <w:sz w:val="24"/>
          <w:szCs w:val="28"/>
          <w:highlight w:val="none"/>
        </w:rPr>
        <w:t>招标人根据设计文件的要求及37号文的规定列出“危险性较大的分部分项工程清单及超过一定规模的危险性较大的分部分项工程清单”中与本招标项目相关的清单项，具体详见第5点“打√”标识。</w:t>
      </w:r>
    </w:p>
    <w:p w14:paraId="432BC93F">
      <w:pPr>
        <w:pStyle w:val="110"/>
        <w:numPr>
          <w:ilvl w:val="0"/>
          <w:numId w:val="10"/>
        </w:numPr>
        <w:autoSpaceDE w:val="0"/>
        <w:autoSpaceDN w:val="0"/>
        <w:adjustRightInd w:val="0"/>
        <w:spacing w:line="360" w:lineRule="auto"/>
        <w:ind w:firstLineChars="0"/>
        <w:jc w:val="left"/>
        <w:rPr>
          <w:rFonts w:ascii="宋体" w:hAnsi="宋体"/>
          <w:sz w:val="24"/>
          <w:szCs w:val="36"/>
          <w:highlight w:val="none"/>
        </w:rPr>
      </w:pPr>
      <w:r>
        <w:rPr>
          <w:rFonts w:hint="eastAsia" w:ascii="宋体" w:hAnsi="宋体"/>
          <w:sz w:val="24"/>
          <w:szCs w:val="28"/>
          <w:highlight w:val="none"/>
        </w:rPr>
        <w:t>投标单位同意建设单位在清单中标识的该项请在对应项打“√”标识，并在中标后的施工组织设计中编制安全管理措施。</w:t>
      </w:r>
    </w:p>
    <w:p w14:paraId="435FC57A">
      <w:pPr>
        <w:pStyle w:val="110"/>
        <w:numPr>
          <w:ilvl w:val="0"/>
          <w:numId w:val="10"/>
        </w:numPr>
        <w:autoSpaceDE w:val="0"/>
        <w:autoSpaceDN w:val="0"/>
        <w:adjustRightInd w:val="0"/>
        <w:spacing w:line="360" w:lineRule="auto"/>
        <w:ind w:firstLineChars="0"/>
        <w:jc w:val="left"/>
        <w:rPr>
          <w:rFonts w:ascii="宋体" w:hAnsi="宋体"/>
          <w:sz w:val="24"/>
          <w:szCs w:val="36"/>
          <w:highlight w:val="none"/>
        </w:rPr>
      </w:pPr>
      <w:r>
        <w:rPr>
          <w:rFonts w:hint="eastAsia" w:ascii="宋体" w:hAnsi="宋体"/>
          <w:sz w:val="24"/>
          <w:szCs w:val="28"/>
          <w:highlight w:val="none"/>
        </w:rPr>
        <w:t>投标单位对清单中认为需要补充的该项请在对应项打“√”标识，并在中标后的施工组织设计中编制安全管理措施。</w:t>
      </w:r>
    </w:p>
    <w:p w14:paraId="0760DB0D">
      <w:pPr>
        <w:pStyle w:val="110"/>
        <w:numPr>
          <w:ilvl w:val="0"/>
          <w:numId w:val="10"/>
        </w:numPr>
        <w:autoSpaceDE w:val="0"/>
        <w:autoSpaceDN w:val="0"/>
        <w:adjustRightInd w:val="0"/>
        <w:spacing w:line="360" w:lineRule="auto"/>
        <w:ind w:firstLineChars="0"/>
        <w:jc w:val="left"/>
        <w:rPr>
          <w:rFonts w:ascii="宋体" w:hAnsi="宋体"/>
          <w:sz w:val="24"/>
          <w:szCs w:val="28"/>
          <w:highlight w:val="none"/>
        </w:rPr>
      </w:pPr>
      <w:r>
        <w:rPr>
          <w:rFonts w:hint="eastAsia" w:ascii="宋体" w:hAnsi="宋体"/>
          <w:sz w:val="24"/>
          <w:szCs w:val="36"/>
          <w:highlight w:val="none"/>
        </w:rPr>
        <w:t>投标单位不同意建设单位在清单中标识的该项请在对应项打“×”标识，并在备注栏填上相关说明。</w:t>
      </w:r>
    </w:p>
    <w:p w14:paraId="6051B334">
      <w:pPr>
        <w:pStyle w:val="110"/>
        <w:numPr>
          <w:ilvl w:val="0"/>
          <w:numId w:val="9"/>
        </w:numPr>
        <w:autoSpaceDE w:val="0"/>
        <w:autoSpaceDN w:val="0"/>
        <w:adjustRightInd w:val="0"/>
        <w:spacing w:line="360" w:lineRule="auto"/>
        <w:ind w:firstLineChars="0"/>
        <w:jc w:val="left"/>
        <w:rPr>
          <w:rFonts w:ascii="宋体" w:hAnsi="宋体"/>
          <w:sz w:val="24"/>
          <w:szCs w:val="28"/>
          <w:highlight w:val="none"/>
        </w:rPr>
      </w:pPr>
      <w:r>
        <w:rPr>
          <w:rFonts w:hint="eastAsia" w:ascii="宋体" w:hAnsi="宋体"/>
          <w:sz w:val="24"/>
          <w:szCs w:val="28"/>
          <w:highlight w:val="none"/>
        </w:rPr>
        <w:t>投标单位应当在投标时根据招标人提供的下述第5点清单，在投标施工组织中编制专项施工方案</w:t>
      </w:r>
      <w:r>
        <w:rPr>
          <w:rFonts w:hint="eastAsia" w:ascii="宋体" w:hAnsi="宋体"/>
          <w:sz w:val="24"/>
          <w:szCs w:val="28"/>
          <w:highlight w:val="none"/>
          <w:lang w:eastAsia="zh-CN"/>
        </w:rPr>
        <w:t>。</w:t>
      </w:r>
    </w:p>
    <w:p w14:paraId="4A471D3F">
      <w:pPr>
        <w:pStyle w:val="110"/>
        <w:numPr>
          <w:ilvl w:val="0"/>
          <w:numId w:val="9"/>
        </w:numPr>
        <w:autoSpaceDE w:val="0"/>
        <w:autoSpaceDN w:val="0"/>
        <w:adjustRightInd w:val="0"/>
        <w:spacing w:line="360" w:lineRule="auto"/>
        <w:ind w:firstLineChars="0"/>
        <w:jc w:val="left"/>
        <w:rPr>
          <w:rFonts w:ascii="宋体" w:hAnsi="宋体"/>
          <w:sz w:val="24"/>
          <w:szCs w:val="28"/>
          <w:highlight w:val="none"/>
        </w:rPr>
      </w:pPr>
      <w:r>
        <w:rPr>
          <w:rFonts w:hint="eastAsia" w:ascii="宋体" w:hAnsi="宋体"/>
          <w:sz w:val="24"/>
          <w:szCs w:val="28"/>
          <w:highlight w:val="none"/>
        </w:rPr>
        <w:t>对于超过一定规模的危大工程，中标单位应当组织召开专家论证会对专项施工方案进行论证。实行施工总承包的，由施工总承包单位组织召开专家论证会。专家论证前专项施工方案应当通过施工总承包单位审核和总监理工程师审查。</w:t>
      </w:r>
    </w:p>
    <w:p w14:paraId="3BEB599B">
      <w:pPr>
        <w:pStyle w:val="110"/>
        <w:numPr>
          <w:ilvl w:val="0"/>
          <w:numId w:val="9"/>
        </w:numPr>
        <w:autoSpaceDE w:val="0"/>
        <w:autoSpaceDN w:val="0"/>
        <w:adjustRightInd w:val="0"/>
        <w:spacing w:line="360" w:lineRule="auto"/>
        <w:ind w:firstLineChars="0"/>
        <w:jc w:val="left"/>
        <w:rPr>
          <w:rFonts w:ascii="宋体" w:hAnsi="宋体"/>
          <w:sz w:val="24"/>
          <w:szCs w:val="28"/>
          <w:highlight w:val="none"/>
        </w:rPr>
      </w:pPr>
      <w:r>
        <w:rPr>
          <w:rFonts w:hint="eastAsia" w:ascii="宋体" w:hAnsi="宋体"/>
          <w:sz w:val="24"/>
          <w:szCs w:val="28"/>
          <w:highlight w:val="none"/>
        </w:rPr>
        <w:t>危险性较大的分部分项工程清单及超过一定规模的危险性较大的分部分项工程清单：</w:t>
      </w:r>
    </w:p>
    <w:tbl>
      <w:tblPr>
        <w:tblStyle w:val="36"/>
        <w:tblW w:w="9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95"/>
        <w:gridCol w:w="1361"/>
        <w:gridCol w:w="1361"/>
        <w:gridCol w:w="1063"/>
      </w:tblGrid>
      <w:tr w14:paraId="47F47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5495" w:type="dxa"/>
            <w:tcBorders>
              <w:top w:val="single" w:color="auto" w:sz="4" w:space="0"/>
              <w:left w:val="single" w:color="auto" w:sz="4" w:space="0"/>
              <w:bottom w:val="single" w:color="auto" w:sz="4" w:space="0"/>
              <w:right w:val="single" w:color="auto" w:sz="4" w:space="0"/>
            </w:tcBorders>
            <w:noWrap w:val="0"/>
            <w:vAlign w:val="center"/>
          </w:tcPr>
          <w:p w14:paraId="0D15D2F3">
            <w:pPr>
              <w:jc w:val="center"/>
              <w:rPr>
                <w:rFonts w:ascii="宋体" w:hAnsi="宋体"/>
                <w:b/>
                <w:sz w:val="24"/>
                <w:highlight w:val="none"/>
              </w:rPr>
            </w:pPr>
            <w:r>
              <w:rPr>
                <w:rFonts w:hint="eastAsia" w:ascii="宋体" w:hAnsi="宋体"/>
                <w:b/>
                <w:sz w:val="24"/>
                <w:highlight w:val="none"/>
              </w:rPr>
              <w:t>一、危险性较大的分部分项工程清单</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4B0760F5">
            <w:pPr>
              <w:jc w:val="center"/>
              <w:rPr>
                <w:rFonts w:ascii="宋体" w:hAnsi="宋体"/>
                <w:b/>
                <w:sz w:val="24"/>
                <w:szCs w:val="36"/>
                <w:highlight w:val="none"/>
              </w:rPr>
            </w:pPr>
            <w:r>
              <w:rPr>
                <w:rFonts w:hint="eastAsia" w:ascii="宋体" w:hAnsi="宋体"/>
                <w:b/>
                <w:sz w:val="24"/>
                <w:szCs w:val="36"/>
                <w:highlight w:val="none"/>
              </w:rPr>
              <w:t>建设单位</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08CF8D86">
            <w:pPr>
              <w:jc w:val="center"/>
              <w:rPr>
                <w:rFonts w:ascii="宋体" w:hAnsi="宋体"/>
                <w:b/>
                <w:sz w:val="24"/>
                <w:szCs w:val="36"/>
                <w:highlight w:val="none"/>
              </w:rPr>
            </w:pPr>
            <w:r>
              <w:rPr>
                <w:rFonts w:hint="eastAsia" w:ascii="宋体" w:hAnsi="宋体"/>
                <w:b/>
                <w:sz w:val="24"/>
                <w:szCs w:val="36"/>
                <w:highlight w:val="none"/>
              </w:rPr>
              <w:t>投标单位</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550954FF">
            <w:pPr>
              <w:jc w:val="center"/>
              <w:rPr>
                <w:rFonts w:ascii="宋体" w:hAnsi="宋体"/>
                <w:b/>
                <w:sz w:val="24"/>
                <w:szCs w:val="36"/>
                <w:highlight w:val="none"/>
              </w:rPr>
            </w:pPr>
            <w:r>
              <w:rPr>
                <w:rFonts w:hint="eastAsia" w:ascii="宋体" w:hAnsi="宋体"/>
                <w:b/>
                <w:sz w:val="24"/>
                <w:szCs w:val="36"/>
                <w:highlight w:val="none"/>
              </w:rPr>
              <w:t>备注</w:t>
            </w:r>
          </w:p>
        </w:tc>
      </w:tr>
      <w:tr w14:paraId="186EF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495" w:type="dxa"/>
            <w:tcBorders>
              <w:top w:val="single" w:color="auto" w:sz="4" w:space="0"/>
              <w:left w:val="single" w:color="auto" w:sz="4" w:space="0"/>
              <w:bottom w:val="single" w:color="auto" w:sz="4" w:space="0"/>
              <w:right w:val="single" w:color="auto" w:sz="4" w:space="0"/>
            </w:tcBorders>
            <w:noWrap w:val="0"/>
            <w:vAlign w:val="center"/>
          </w:tcPr>
          <w:p w14:paraId="144B976A">
            <w:pPr>
              <w:rPr>
                <w:rFonts w:ascii="宋体" w:hAnsi="宋体"/>
                <w:sz w:val="24"/>
                <w:highlight w:val="none"/>
              </w:rPr>
            </w:pPr>
            <w:r>
              <w:rPr>
                <w:rFonts w:hint="eastAsia" w:ascii="宋体" w:hAnsi="宋体"/>
                <w:sz w:val="24"/>
                <w:highlight w:val="none"/>
              </w:rPr>
              <w:t>一、基坑支护</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4026F716">
            <w:pPr>
              <w:jc w:val="center"/>
              <w:rPr>
                <w:rFonts w:ascii="宋体" w:hAnsi="宋体"/>
                <w:sz w:val="24"/>
                <w:szCs w:val="36"/>
                <w:highlight w:val="none"/>
              </w:rPr>
            </w:pPr>
            <w:r>
              <w:rPr>
                <w:rFonts w:hint="eastAsia" w:ascii="宋体" w:hAnsi="宋体"/>
                <w:sz w:val="24"/>
                <w:szCs w:val="36"/>
                <w:highlight w:val="none"/>
              </w:rPr>
              <w:t>(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0A1F8092">
            <w:pPr>
              <w:jc w:val="center"/>
              <w:rPr>
                <w:rFonts w:ascii="宋体" w:hAnsi="宋体"/>
                <w:highlight w:val="none"/>
              </w:rPr>
            </w:pPr>
            <w:r>
              <w:rPr>
                <w:rFonts w:hint="eastAsia" w:ascii="宋体" w:hAnsi="宋体"/>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740C51CF">
            <w:pPr>
              <w:rPr>
                <w:rFonts w:ascii="宋体" w:hAnsi="宋体"/>
                <w:sz w:val="24"/>
                <w:szCs w:val="36"/>
                <w:highlight w:val="none"/>
              </w:rPr>
            </w:pPr>
          </w:p>
        </w:tc>
      </w:tr>
      <w:tr w14:paraId="28A3B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495" w:type="dxa"/>
            <w:tcBorders>
              <w:top w:val="single" w:color="auto" w:sz="4" w:space="0"/>
              <w:left w:val="single" w:color="auto" w:sz="4" w:space="0"/>
              <w:bottom w:val="single" w:color="auto" w:sz="4" w:space="0"/>
              <w:right w:val="single" w:color="auto" w:sz="4" w:space="0"/>
            </w:tcBorders>
            <w:noWrap w:val="0"/>
            <w:vAlign w:val="center"/>
          </w:tcPr>
          <w:p w14:paraId="7E4F7703">
            <w:pPr>
              <w:rPr>
                <w:rFonts w:ascii="宋体" w:hAnsi="宋体"/>
                <w:sz w:val="24"/>
                <w:highlight w:val="none"/>
              </w:rPr>
            </w:pPr>
            <w:r>
              <w:rPr>
                <w:rFonts w:hint="eastAsia" w:ascii="宋体" w:hAnsi="宋体"/>
                <w:sz w:val="24"/>
                <w:highlight w:val="none"/>
              </w:rPr>
              <w:t>（一）开挖深度超过3m（含3m）的基坑（槽）的土方开挖、支护、降水工程。</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4D433F82">
            <w:pPr>
              <w:jc w:val="center"/>
              <w:rPr>
                <w:rFonts w:ascii="宋体" w:hAnsi="宋体"/>
                <w:highlight w:val="none"/>
              </w:rPr>
            </w:pPr>
            <w:r>
              <w:rPr>
                <w:rFonts w:hint="eastAsia" w:ascii="宋体" w:hAnsi="宋体"/>
                <w:sz w:val="24"/>
                <w:szCs w:val="36"/>
                <w:highlight w:val="none"/>
              </w:rPr>
              <w:t xml:space="preserve">( </w:t>
            </w:r>
            <w:r>
              <w:rPr>
                <w:rFonts w:ascii="宋体" w:hAnsi="宋体"/>
                <w:sz w:val="24"/>
                <w:szCs w:val="36"/>
                <w:highlight w:val="none"/>
              </w:rPr>
              <w:t xml:space="preserve">  </w:t>
            </w:r>
            <w:r>
              <w:rPr>
                <w:rFonts w:hint="eastAsia" w:ascii="宋体" w:hAnsi="宋体"/>
                <w:sz w:val="24"/>
                <w:szCs w:val="36"/>
                <w:highlight w:val="none"/>
              </w:rPr>
              <w:t>)</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27A25A2D">
            <w:pPr>
              <w:jc w:val="center"/>
              <w:rPr>
                <w:rFonts w:ascii="宋体" w:hAnsi="宋体"/>
                <w:highlight w:val="none"/>
              </w:rPr>
            </w:pPr>
            <w:r>
              <w:rPr>
                <w:rFonts w:hint="eastAsia" w:ascii="宋体" w:hAnsi="宋体"/>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2C83A034">
            <w:pPr>
              <w:rPr>
                <w:rFonts w:ascii="宋体" w:hAnsi="宋体"/>
                <w:sz w:val="24"/>
                <w:szCs w:val="36"/>
                <w:highlight w:val="none"/>
              </w:rPr>
            </w:pPr>
          </w:p>
        </w:tc>
      </w:tr>
      <w:tr w14:paraId="7162F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495" w:type="dxa"/>
            <w:tcBorders>
              <w:top w:val="single" w:color="auto" w:sz="4" w:space="0"/>
              <w:left w:val="single" w:color="auto" w:sz="4" w:space="0"/>
              <w:bottom w:val="single" w:color="auto" w:sz="4" w:space="0"/>
              <w:right w:val="single" w:color="auto" w:sz="4" w:space="0"/>
            </w:tcBorders>
            <w:noWrap w:val="0"/>
            <w:vAlign w:val="center"/>
          </w:tcPr>
          <w:p w14:paraId="673A7B0E">
            <w:pPr>
              <w:rPr>
                <w:rFonts w:ascii="宋体" w:hAnsi="宋体"/>
                <w:sz w:val="24"/>
                <w:highlight w:val="none"/>
              </w:rPr>
            </w:pPr>
            <w:r>
              <w:rPr>
                <w:rFonts w:hint="eastAsia" w:ascii="宋体" w:hAnsi="宋体"/>
                <w:sz w:val="24"/>
                <w:highlight w:val="none"/>
              </w:rPr>
              <w:t>（二）开挖深度虽未超过3m，但地质条件、周围环境和地下管线复杂，或影响毗邻建、构筑物安全的基坑（槽）的土方开挖、支护、降水工程。</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03E8BDEE">
            <w:pPr>
              <w:jc w:val="center"/>
              <w:rPr>
                <w:rFonts w:ascii="宋体" w:hAnsi="宋体"/>
                <w:highlight w:val="none"/>
              </w:rPr>
            </w:pPr>
            <w:r>
              <w:rPr>
                <w:rFonts w:hint="eastAsia" w:ascii="宋体" w:hAnsi="宋体"/>
                <w:sz w:val="24"/>
                <w:szCs w:val="36"/>
                <w:highlight w:val="none"/>
              </w:rPr>
              <w:t xml:space="preserve">( </w:t>
            </w:r>
            <w:r>
              <w:rPr>
                <w:rFonts w:ascii="宋体" w:hAnsi="宋体"/>
                <w:sz w:val="24"/>
                <w:szCs w:val="36"/>
                <w:highlight w:val="none"/>
              </w:rPr>
              <w:t xml:space="preserve">  </w:t>
            </w:r>
            <w:r>
              <w:rPr>
                <w:rFonts w:hint="eastAsia" w:ascii="宋体" w:hAnsi="宋体"/>
                <w:sz w:val="24"/>
                <w:szCs w:val="36"/>
                <w:highlight w:val="none"/>
              </w:rPr>
              <w:t>)</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3DC37634">
            <w:pPr>
              <w:jc w:val="center"/>
              <w:rPr>
                <w:rFonts w:ascii="宋体" w:hAnsi="宋体"/>
                <w:highlight w:val="none"/>
              </w:rPr>
            </w:pPr>
            <w:r>
              <w:rPr>
                <w:rFonts w:hint="eastAsia" w:ascii="宋体" w:hAnsi="宋体"/>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4C5BFFE6">
            <w:pPr>
              <w:rPr>
                <w:rFonts w:ascii="宋体" w:hAnsi="宋体"/>
                <w:sz w:val="24"/>
                <w:szCs w:val="36"/>
                <w:highlight w:val="none"/>
              </w:rPr>
            </w:pPr>
          </w:p>
        </w:tc>
      </w:tr>
      <w:tr w14:paraId="291C3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495" w:type="dxa"/>
            <w:tcBorders>
              <w:top w:val="single" w:color="auto" w:sz="4" w:space="0"/>
              <w:left w:val="single" w:color="auto" w:sz="4" w:space="0"/>
              <w:bottom w:val="single" w:color="auto" w:sz="4" w:space="0"/>
              <w:right w:val="single" w:color="auto" w:sz="4" w:space="0"/>
            </w:tcBorders>
            <w:noWrap w:val="0"/>
            <w:vAlign w:val="center"/>
          </w:tcPr>
          <w:p w14:paraId="6FD0B4D5">
            <w:pPr>
              <w:rPr>
                <w:rFonts w:ascii="宋体" w:hAnsi="宋体"/>
                <w:sz w:val="24"/>
                <w:highlight w:val="none"/>
              </w:rPr>
            </w:pPr>
            <w:r>
              <w:rPr>
                <w:rFonts w:hint="eastAsia" w:ascii="宋体" w:hAnsi="宋体"/>
                <w:sz w:val="24"/>
                <w:highlight w:val="none"/>
              </w:rPr>
              <w:t>二、模板工程及支撑体系</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4F03557A">
            <w:pPr>
              <w:jc w:val="center"/>
              <w:rPr>
                <w:rFonts w:ascii="宋体" w:hAnsi="宋体"/>
                <w:highlight w:val="none"/>
              </w:rPr>
            </w:pPr>
            <w:r>
              <w:rPr>
                <w:rFonts w:hint="eastAsia" w:ascii="宋体" w:hAnsi="宋体"/>
                <w:sz w:val="24"/>
                <w:szCs w:val="36"/>
                <w:highlight w:val="none"/>
              </w:rPr>
              <w:t>(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03B5DC35">
            <w:pPr>
              <w:jc w:val="center"/>
              <w:rPr>
                <w:rFonts w:ascii="宋体" w:hAnsi="宋体"/>
                <w:highlight w:val="none"/>
              </w:rPr>
            </w:pPr>
            <w:r>
              <w:rPr>
                <w:rFonts w:hint="eastAsia" w:ascii="宋体" w:hAnsi="宋体"/>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28483E03">
            <w:pPr>
              <w:rPr>
                <w:rFonts w:ascii="宋体" w:hAnsi="宋体"/>
                <w:sz w:val="24"/>
                <w:szCs w:val="36"/>
                <w:highlight w:val="none"/>
              </w:rPr>
            </w:pPr>
          </w:p>
        </w:tc>
      </w:tr>
      <w:tr w14:paraId="3BB52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495" w:type="dxa"/>
            <w:tcBorders>
              <w:top w:val="single" w:color="auto" w:sz="4" w:space="0"/>
              <w:left w:val="single" w:color="auto" w:sz="4" w:space="0"/>
              <w:bottom w:val="single" w:color="auto" w:sz="4" w:space="0"/>
              <w:right w:val="single" w:color="auto" w:sz="4" w:space="0"/>
            </w:tcBorders>
            <w:noWrap w:val="0"/>
            <w:vAlign w:val="center"/>
          </w:tcPr>
          <w:p w14:paraId="6E94EDDB">
            <w:pPr>
              <w:rPr>
                <w:rFonts w:ascii="宋体" w:hAnsi="宋体"/>
                <w:sz w:val="24"/>
                <w:highlight w:val="none"/>
              </w:rPr>
            </w:pPr>
            <w:r>
              <w:rPr>
                <w:rFonts w:hint="eastAsia" w:ascii="宋体" w:hAnsi="宋体"/>
                <w:sz w:val="24"/>
                <w:highlight w:val="none"/>
              </w:rPr>
              <w:t>（一）各类工具式模板工程：包括滑模、爬模、飞模、隧道模等工程。</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73A2ECDD">
            <w:pPr>
              <w:jc w:val="center"/>
              <w:rPr>
                <w:rFonts w:ascii="宋体" w:hAnsi="宋体"/>
                <w:highlight w:val="none"/>
              </w:rPr>
            </w:pPr>
            <w:r>
              <w:rPr>
                <w:rFonts w:hint="eastAsia" w:ascii="宋体" w:hAnsi="宋体"/>
                <w:sz w:val="24"/>
                <w:szCs w:val="36"/>
                <w:highlight w:val="none"/>
              </w:rPr>
              <w:t xml:space="preserve">(   </w:t>
            </w:r>
            <w:r>
              <w:rPr>
                <w:rFonts w:ascii="宋体" w:hAnsi="宋体"/>
                <w:sz w:val="24"/>
                <w:szCs w:val="36"/>
                <w:highlight w:val="none"/>
              </w:rPr>
              <w:t xml:space="preserve">  </w:t>
            </w:r>
            <w:r>
              <w:rPr>
                <w:rFonts w:hint="eastAsia" w:ascii="宋体" w:hAnsi="宋体"/>
                <w:sz w:val="24"/>
                <w:szCs w:val="36"/>
                <w:highlight w:val="none"/>
              </w:rPr>
              <w:t>)</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389D70A1">
            <w:pPr>
              <w:jc w:val="center"/>
              <w:rPr>
                <w:rFonts w:ascii="宋体" w:hAnsi="宋体"/>
                <w:highlight w:val="none"/>
              </w:rPr>
            </w:pPr>
            <w:r>
              <w:rPr>
                <w:rFonts w:hint="eastAsia" w:ascii="宋体" w:hAnsi="宋体"/>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273F08A1">
            <w:pPr>
              <w:rPr>
                <w:rFonts w:ascii="宋体" w:hAnsi="宋体"/>
                <w:sz w:val="24"/>
                <w:szCs w:val="36"/>
                <w:highlight w:val="none"/>
              </w:rPr>
            </w:pPr>
          </w:p>
        </w:tc>
      </w:tr>
      <w:tr w14:paraId="72685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495" w:type="dxa"/>
            <w:tcBorders>
              <w:top w:val="single" w:color="auto" w:sz="4" w:space="0"/>
              <w:left w:val="single" w:color="auto" w:sz="4" w:space="0"/>
              <w:bottom w:val="single" w:color="auto" w:sz="4" w:space="0"/>
              <w:right w:val="single" w:color="auto" w:sz="4" w:space="0"/>
            </w:tcBorders>
            <w:noWrap w:val="0"/>
            <w:vAlign w:val="center"/>
          </w:tcPr>
          <w:p w14:paraId="740B60A1">
            <w:pPr>
              <w:rPr>
                <w:rFonts w:ascii="宋体" w:hAnsi="宋体"/>
                <w:sz w:val="24"/>
                <w:highlight w:val="none"/>
              </w:rPr>
            </w:pPr>
            <w:r>
              <w:rPr>
                <w:rFonts w:hint="eastAsia" w:ascii="宋体" w:hAnsi="宋体"/>
                <w:sz w:val="24"/>
                <w:highlight w:val="none"/>
              </w:rPr>
              <w:t>（二）混凝土模板支撑工程：搭设高度5m及以上，或搭设跨度10m及以上，或施工总荷载（荷载效应基本组合的设计值，以下简称设计值）10kN/m2及以上，或集中线荷载（设计值）15kN/m及以上，或高度大于支撑水平投影宽度且相对独立无联系构件的混凝土模板支撑工程。</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07A624D5">
            <w:pPr>
              <w:jc w:val="center"/>
              <w:rPr>
                <w:rFonts w:ascii="宋体" w:hAnsi="宋体"/>
                <w:highlight w:val="none"/>
              </w:rPr>
            </w:pPr>
            <w:r>
              <w:rPr>
                <w:rFonts w:hint="eastAsia" w:ascii="宋体" w:hAnsi="宋体"/>
                <w:sz w:val="24"/>
                <w:szCs w:val="36"/>
                <w:highlight w:val="none"/>
              </w:rPr>
              <w:t xml:space="preserve">( </w:t>
            </w:r>
            <w:r>
              <w:rPr>
                <w:rFonts w:ascii="宋体" w:hAnsi="宋体"/>
                <w:sz w:val="24"/>
                <w:szCs w:val="36"/>
                <w:highlight w:val="none"/>
              </w:rPr>
              <w:t xml:space="preserve">   </w:t>
            </w:r>
            <w:r>
              <w:rPr>
                <w:rFonts w:hint="eastAsia" w:ascii="宋体" w:hAnsi="宋体"/>
                <w:sz w:val="24"/>
                <w:szCs w:val="36"/>
                <w:highlight w:val="none"/>
              </w:rPr>
              <w:t>)</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66A8730F">
            <w:pPr>
              <w:jc w:val="center"/>
              <w:rPr>
                <w:rFonts w:ascii="宋体" w:hAnsi="宋体"/>
                <w:highlight w:val="none"/>
              </w:rPr>
            </w:pPr>
            <w:r>
              <w:rPr>
                <w:rFonts w:hint="eastAsia" w:ascii="宋体" w:hAnsi="宋体"/>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6AEFEEE9">
            <w:pPr>
              <w:rPr>
                <w:rFonts w:ascii="宋体" w:hAnsi="宋体"/>
                <w:sz w:val="24"/>
                <w:szCs w:val="36"/>
                <w:highlight w:val="none"/>
              </w:rPr>
            </w:pPr>
          </w:p>
        </w:tc>
      </w:tr>
      <w:tr w14:paraId="732E6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495" w:type="dxa"/>
            <w:tcBorders>
              <w:top w:val="single" w:color="auto" w:sz="4" w:space="0"/>
              <w:left w:val="single" w:color="auto" w:sz="4" w:space="0"/>
              <w:bottom w:val="single" w:color="auto" w:sz="4" w:space="0"/>
              <w:right w:val="single" w:color="auto" w:sz="4" w:space="0"/>
            </w:tcBorders>
            <w:noWrap w:val="0"/>
            <w:vAlign w:val="center"/>
          </w:tcPr>
          <w:p w14:paraId="67FF77A6">
            <w:pPr>
              <w:widowControl/>
              <w:spacing w:line="360" w:lineRule="atLeast"/>
              <w:rPr>
                <w:rFonts w:ascii="宋体" w:hAnsi="宋体" w:cs="宋体"/>
                <w:sz w:val="24"/>
                <w:highlight w:val="none"/>
              </w:rPr>
            </w:pPr>
            <w:r>
              <w:rPr>
                <w:rFonts w:hint="eastAsia" w:ascii="宋体" w:hAnsi="宋体" w:cs="宋体"/>
                <w:sz w:val="24"/>
                <w:highlight w:val="none"/>
              </w:rPr>
              <w:t>（三）承重支撑体系：用于钢结构安装等满堂支撑体系。</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5B2DD137">
            <w:pPr>
              <w:jc w:val="center"/>
              <w:rPr>
                <w:rFonts w:ascii="宋体" w:hAnsi="宋体"/>
                <w:highlight w:val="none"/>
              </w:rPr>
            </w:pPr>
            <w:r>
              <w:rPr>
                <w:rFonts w:hint="eastAsia" w:ascii="宋体" w:hAnsi="宋体"/>
                <w:sz w:val="24"/>
                <w:szCs w:val="36"/>
                <w:highlight w:val="none"/>
              </w:rPr>
              <w:t xml:space="preserve">( </w:t>
            </w:r>
            <w:r>
              <w:rPr>
                <w:rFonts w:ascii="宋体" w:hAnsi="宋体"/>
                <w:sz w:val="24"/>
                <w:szCs w:val="36"/>
                <w:highlight w:val="none"/>
              </w:rPr>
              <w:t xml:space="preserve">  </w:t>
            </w:r>
            <w:r>
              <w:rPr>
                <w:rFonts w:hint="eastAsia" w:ascii="宋体" w:hAnsi="宋体"/>
                <w:sz w:val="24"/>
                <w:szCs w:val="36"/>
                <w:highlight w:val="none"/>
              </w:rPr>
              <w:t xml:space="preserve">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76A25F12">
            <w:pPr>
              <w:jc w:val="center"/>
              <w:rPr>
                <w:rFonts w:ascii="宋体" w:hAnsi="宋体"/>
                <w:highlight w:val="none"/>
              </w:rPr>
            </w:pPr>
            <w:r>
              <w:rPr>
                <w:rFonts w:hint="eastAsia" w:ascii="宋体" w:hAnsi="宋体"/>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650B271C">
            <w:pPr>
              <w:rPr>
                <w:rFonts w:ascii="宋体" w:hAnsi="宋体"/>
                <w:sz w:val="24"/>
                <w:szCs w:val="36"/>
                <w:highlight w:val="none"/>
              </w:rPr>
            </w:pPr>
          </w:p>
        </w:tc>
      </w:tr>
      <w:tr w14:paraId="69CC4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495" w:type="dxa"/>
            <w:tcBorders>
              <w:top w:val="single" w:color="auto" w:sz="4" w:space="0"/>
              <w:left w:val="single" w:color="auto" w:sz="4" w:space="0"/>
              <w:bottom w:val="single" w:color="auto" w:sz="4" w:space="0"/>
              <w:right w:val="single" w:color="auto" w:sz="4" w:space="0"/>
            </w:tcBorders>
            <w:noWrap w:val="0"/>
            <w:vAlign w:val="center"/>
          </w:tcPr>
          <w:p w14:paraId="6DB3FE8F">
            <w:pPr>
              <w:widowControl/>
              <w:spacing w:line="360" w:lineRule="atLeast"/>
              <w:rPr>
                <w:rFonts w:ascii="宋体" w:hAnsi="宋体" w:cs="宋体"/>
                <w:sz w:val="24"/>
                <w:highlight w:val="none"/>
              </w:rPr>
            </w:pPr>
            <w:r>
              <w:rPr>
                <w:rFonts w:hint="eastAsia" w:ascii="宋体" w:hAnsi="宋体" w:cs="宋体"/>
                <w:sz w:val="24"/>
                <w:highlight w:val="none"/>
              </w:rPr>
              <w:t>　三、起重吊装及起重机械安装拆卸工程</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103BEDC7">
            <w:pPr>
              <w:jc w:val="center"/>
              <w:rPr>
                <w:rFonts w:ascii="宋体" w:hAnsi="宋体"/>
                <w:highlight w:val="none"/>
              </w:rPr>
            </w:pPr>
            <w:r>
              <w:rPr>
                <w:rFonts w:hint="eastAsia" w:ascii="宋体" w:hAnsi="宋体"/>
                <w:sz w:val="24"/>
                <w:szCs w:val="36"/>
                <w:highlight w:val="none"/>
              </w:rPr>
              <w:t xml:space="preserve">( </w:t>
            </w:r>
            <w:r>
              <w:rPr>
                <w:rFonts w:hint="eastAsia" w:ascii="宋体" w:hAnsi="宋体"/>
                <w:sz w:val="24"/>
                <w:szCs w:val="36"/>
                <w:highlight w:val="none"/>
                <w:lang w:val="en-US" w:eastAsia="zh-CN"/>
              </w:rPr>
              <w:t xml:space="preserve">  </w:t>
            </w:r>
            <w:r>
              <w:rPr>
                <w:rFonts w:hint="eastAsia" w:ascii="宋体" w:hAnsi="宋体"/>
                <w:sz w:val="24"/>
                <w:szCs w:val="36"/>
                <w:highlight w:val="none"/>
              </w:rPr>
              <w:t xml:space="preserve">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4A0287C8">
            <w:pPr>
              <w:jc w:val="center"/>
              <w:rPr>
                <w:rFonts w:ascii="宋体" w:hAnsi="宋体"/>
                <w:highlight w:val="none"/>
              </w:rPr>
            </w:pPr>
            <w:r>
              <w:rPr>
                <w:rFonts w:hint="eastAsia" w:ascii="宋体" w:hAnsi="宋体"/>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4E7EACC9">
            <w:pPr>
              <w:rPr>
                <w:rFonts w:ascii="宋体" w:hAnsi="宋体"/>
                <w:sz w:val="24"/>
                <w:szCs w:val="36"/>
                <w:highlight w:val="none"/>
              </w:rPr>
            </w:pPr>
          </w:p>
        </w:tc>
      </w:tr>
      <w:tr w14:paraId="54DDA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495" w:type="dxa"/>
            <w:tcBorders>
              <w:top w:val="single" w:color="auto" w:sz="4" w:space="0"/>
              <w:left w:val="single" w:color="auto" w:sz="4" w:space="0"/>
              <w:bottom w:val="single" w:color="auto" w:sz="4" w:space="0"/>
              <w:right w:val="single" w:color="auto" w:sz="4" w:space="0"/>
            </w:tcBorders>
            <w:noWrap w:val="0"/>
            <w:vAlign w:val="center"/>
          </w:tcPr>
          <w:p w14:paraId="05E9CA10">
            <w:pPr>
              <w:widowControl/>
              <w:spacing w:line="360" w:lineRule="atLeast"/>
              <w:rPr>
                <w:rFonts w:ascii="宋体" w:hAnsi="宋体" w:cs="宋体"/>
                <w:sz w:val="24"/>
                <w:highlight w:val="none"/>
              </w:rPr>
            </w:pPr>
            <w:r>
              <w:rPr>
                <w:rFonts w:hint="eastAsia" w:ascii="宋体" w:hAnsi="宋体" w:cs="宋体"/>
                <w:sz w:val="24"/>
                <w:highlight w:val="none"/>
              </w:rPr>
              <w:t>（一）采用非常规起重设备、方法，且单件起吊重量在10kN及以上的起重吊装工程。</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7F89655B">
            <w:pPr>
              <w:jc w:val="center"/>
              <w:rPr>
                <w:rFonts w:ascii="宋体" w:hAnsi="宋体"/>
                <w:highlight w:val="none"/>
              </w:rPr>
            </w:pPr>
            <w:r>
              <w:rPr>
                <w:rFonts w:hint="eastAsia" w:ascii="宋体" w:hAnsi="宋体"/>
                <w:sz w:val="24"/>
                <w:szCs w:val="36"/>
                <w:highlight w:val="none"/>
              </w:rPr>
              <w:t xml:space="preserve">(  </w:t>
            </w:r>
            <w:r>
              <w:rPr>
                <w:rFonts w:ascii="宋体" w:hAnsi="宋体"/>
                <w:sz w:val="24"/>
                <w:szCs w:val="36"/>
                <w:highlight w:val="none"/>
              </w:rPr>
              <w:t xml:space="preserve"> </w:t>
            </w:r>
            <w:r>
              <w:rPr>
                <w:rFonts w:hint="eastAsia" w:ascii="宋体" w:hAnsi="宋体"/>
                <w:sz w:val="24"/>
                <w:szCs w:val="36"/>
                <w:highlight w:val="none"/>
              </w:rPr>
              <w:t xml:space="preserve">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5B00C241">
            <w:pPr>
              <w:jc w:val="center"/>
              <w:rPr>
                <w:rFonts w:ascii="宋体" w:hAnsi="宋体"/>
                <w:highlight w:val="none"/>
              </w:rPr>
            </w:pPr>
            <w:r>
              <w:rPr>
                <w:rFonts w:hint="eastAsia" w:ascii="宋体" w:hAnsi="宋体"/>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76B297E8">
            <w:pPr>
              <w:rPr>
                <w:rFonts w:ascii="宋体" w:hAnsi="宋体"/>
                <w:sz w:val="24"/>
                <w:szCs w:val="36"/>
                <w:highlight w:val="none"/>
              </w:rPr>
            </w:pPr>
          </w:p>
        </w:tc>
      </w:tr>
      <w:tr w14:paraId="49530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495" w:type="dxa"/>
            <w:tcBorders>
              <w:top w:val="single" w:color="auto" w:sz="4" w:space="0"/>
              <w:left w:val="single" w:color="auto" w:sz="4" w:space="0"/>
              <w:bottom w:val="single" w:color="auto" w:sz="4" w:space="0"/>
              <w:right w:val="single" w:color="auto" w:sz="4" w:space="0"/>
            </w:tcBorders>
            <w:noWrap w:val="0"/>
            <w:vAlign w:val="center"/>
          </w:tcPr>
          <w:p w14:paraId="0CDF63B5">
            <w:pPr>
              <w:rPr>
                <w:rFonts w:ascii="宋体" w:hAnsi="宋体"/>
                <w:sz w:val="24"/>
                <w:highlight w:val="none"/>
              </w:rPr>
            </w:pPr>
            <w:r>
              <w:rPr>
                <w:rFonts w:hint="eastAsia" w:ascii="宋体" w:hAnsi="宋体" w:cs="宋体"/>
                <w:sz w:val="24"/>
                <w:highlight w:val="none"/>
              </w:rPr>
              <w:t>（二）采用起重机械进行安装的工程。</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40331A06">
            <w:pPr>
              <w:jc w:val="center"/>
              <w:rPr>
                <w:rFonts w:ascii="宋体" w:hAnsi="宋体"/>
                <w:highlight w:val="none"/>
              </w:rPr>
            </w:pPr>
            <w:r>
              <w:rPr>
                <w:rFonts w:hint="eastAsia" w:ascii="宋体" w:hAnsi="宋体"/>
                <w:sz w:val="24"/>
                <w:szCs w:val="36"/>
                <w:highlight w:val="none"/>
              </w:rPr>
              <w:t>(</w:t>
            </w:r>
            <w:r>
              <w:rPr>
                <w:rFonts w:ascii="宋体" w:hAnsi="宋体"/>
                <w:sz w:val="24"/>
                <w:szCs w:val="36"/>
                <w:highlight w:val="none"/>
              </w:rPr>
              <w:t xml:space="preserve"> </w:t>
            </w:r>
            <w:r>
              <w:rPr>
                <w:rFonts w:hint="eastAsia" w:ascii="宋体" w:hAnsi="宋体"/>
                <w:sz w:val="24"/>
                <w:szCs w:val="36"/>
                <w:highlight w:val="none"/>
                <w:lang w:val="en-US" w:eastAsia="zh-CN"/>
              </w:rPr>
              <w:t xml:space="preserve">  </w:t>
            </w:r>
            <w:r>
              <w:rPr>
                <w:rFonts w:hint="eastAsia" w:ascii="宋体" w:hAnsi="宋体"/>
                <w:sz w:val="24"/>
                <w:szCs w:val="36"/>
                <w:highlight w:val="none"/>
              </w:rPr>
              <w:t xml:space="preserve">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25E402D8">
            <w:pPr>
              <w:jc w:val="center"/>
              <w:rPr>
                <w:rFonts w:ascii="宋体" w:hAnsi="宋体"/>
                <w:highlight w:val="none"/>
              </w:rPr>
            </w:pPr>
            <w:r>
              <w:rPr>
                <w:rFonts w:hint="eastAsia" w:ascii="宋体" w:hAnsi="宋体"/>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4D217894">
            <w:pPr>
              <w:rPr>
                <w:rFonts w:ascii="宋体" w:hAnsi="宋体"/>
                <w:sz w:val="24"/>
                <w:szCs w:val="36"/>
                <w:highlight w:val="none"/>
              </w:rPr>
            </w:pPr>
          </w:p>
        </w:tc>
      </w:tr>
      <w:tr w14:paraId="0C278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495" w:type="dxa"/>
            <w:tcBorders>
              <w:top w:val="single" w:color="auto" w:sz="4" w:space="0"/>
              <w:left w:val="single" w:color="auto" w:sz="4" w:space="0"/>
              <w:bottom w:val="single" w:color="auto" w:sz="4" w:space="0"/>
              <w:right w:val="single" w:color="auto" w:sz="4" w:space="0"/>
            </w:tcBorders>
            <w:noWrap w:val="0"/>
            <w:vAlign w:val="center"/>
          </w:tcPr>
          <w:p w14:paraId="643C3024">
            <w:pPr>
              <w:rPr>
                <w:rFonts w:ascii="宋体" w:hAnsi="宋体" w:cs="宋体"/>
                <w:sz w:val="24"/>
                <w:highlight w:val="none"/>
              </w:rPr>
            </w:pPr>
            <w:r>
              <w:rPr>
                <w:rFonts w:hint="eastAsia" w:ascii="宋体" w:hAnsi="宋体" w:cs="宋体"/>
                <w:sz w:val="24"/>
                <w:highlight w:val="none"/>
              </w:rPr>
              <w:t>（三）起重机械安装和拆卸工程。</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31B086A4">
            <w:pPr>
              <w:jc w:val="center"/>
              <w:rPr>
                <w:rFonts w:ascii="宋体" w:hAnsi="宋体"/>
                <w:sz w:val="24"/>
                <w:szCs w:val="36"/>
                <w:highlight w:val="none"/>
              </w:rPr>
            </w:pPr>
            <w:r>
              <w:rPr>
                <w:rFonts w:hint="eastAsia" w:ascii="宋体" w:hAnsi="宋体"/>
                <w:sz w:val="24"/>
                <w:szCs w:val="36"/>
                <w:highlight w:val="none"/>
              </w:rPr>
              <w:t xml:space="preserve">( </w:t>
            </w:r>
            <w:r>
              <w:rPr>
                <w:rFonts w:ascii="宋体" w:hAnsi="宋体"/>
                <w:sz w:val="24"/>
                <w:szCs w:val="36"/>
                <w:highlight w:val="none"/>
              </w:rPr>
              <w:t xml:space="preserve"> </w:t>
            </w:r>
            <w:r>
              <w:rPr>
                <w:rFonts w:hint="eastAsia" w:ascii="宋体" w:hAnsi="宋体"/>
                <w:sz w:val="24"/>
                <w:szCs w:val="36"/>
                <w:highlight w:val="none"/>
              </w:rPr>
              <w:t xml:space="preserve">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766A883A">
            <w:pPr>
              <w:jc w:val="center"/>
              <w:rPr>
                <w:rFonts w:ascii="宋体" w:hAnsi="宋体"/>
                <w:highlight w:val="none"/>
              </w:rPr>
            </w:pPr>
            <w:r>
              <w:rPr>
                <w:rFonts w:hint="eastAsia" w:ascii="宋体" w:hAnsi="宋体"/>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6B751EF2">
            <w:pPr>
              <w:rPr>
                <w:rFonts w:ascii="宋体" w:hAnsi="宋体"/>
                <w:sz w:val="24"/>
                <w:szCs w:val="36"/>
                <w:highlight w:val="none"/>
              </w:rPr>
            </w:pPr>
          </w:p>
        </w:tc>
      </w:tr>
      <w:tr w14:paraId="2F9A7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495" w:type="dxa"/>
            <w:tcBorders>
              <w:top w:val="single" w:color="auto" w:sz="4" w:space="0"/>
              <w:left w:val="single" w:color="auto" w:sz="4" w:space="0"/>
              <w:bottom w:val="single" w:color="auto" w:sz="4" w:space="0"/>
              <w:right w:val="single" w:color="auto" w:sz="4" w:space="0"/>
            </w:tcBorders>
            <w:noWrap w:val="0"/>
            <w:vAlign w:val="center"/>
          </w:tcPr>
          <w:p w14:paraId="47972D3E">
            <w:pPr>
              <w:rPr>
                <w:rFonts w:ascii="宋体" w:hAnsi="宋体"/>
                <w:sz w:val="24"/>
                <w:highlight w:val="none"/>
              </w:rPr>
            </w:pPr>
            <w:r>
              <w:rPr>
                <w:rFonts w:hint="eastAsia" w:ascii="宋体" w:hAnsi="宋体"/>
                <w:sz w:val="24"/>
                <w:highlight w:val="none"/>
              </w:rPr>
              <w:t>四、脚手架工程</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40F77CC9">
            <w:pPr>
              <w:jc w:val="center"/>
              <w:rPr>
                <w:rFonts w:ascii="宋体" w:hAnsi="宋体"/>
                <w:highlight w:val="none"/>
              </w:rPr>
            </w:pPr>
            <w:r>
              <w:rPr>
                <w:rFonts w:hint="eastAsia" w:ascii="宋体" w:hAnsi="宋体"/>
                <w:sz w:val="24"/>
                <w:szCs w:val="36"/>
                <w:highlight w:val="none"/>
              </w:rPr>
              <w:t xml:space="preserve">( </w:t>
            </w:r>
            <w:r>
              <w:rPr>
                <w:rFonts w:ascii="宋体" w:hAnsi="宋体"/>
                <w:sz w:val="24"/>
                <w:szCs w:val="36"/>
                <w:highlight w:val="none"/>
              </w:rPr>
              <w:t xml:space="preserve"> </w:t>
            </w:r>
            <w:r>
              <w:rPr>
                <w:rFonts w:hint="eastAsia" w:ascii="宋体" w:hAnsi="宋体"/>
                <w:sz w:val="24"/>
                <w:szCs w:val="36"/>
                <w:highlight w:val="none"/>
              </w:rPr>
              <w:t xml:space="preserve">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6EA460CD">
            <w:pPr>
              <w:jc w:val="center"/>
              <w:rPr>
                <w:rFonts w:ascii="宋体" w:hAnsi="宋体"/>
                <w:highlight w:val="none"/>
              </w:rPr>
            </w:pPr>
            <w:r>
              <w:rPr>
                <w:rFonts w:hint="eastAsia" w:ascii="宋体" w:hAnsi="宋体"/>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6BBDB992">
            <w:pPr>
              <w:rPr>
                <w:rFonts w:ascii="宋体" w:hAnsi="宋体"/>
                <w:sz w:val="24"/>
                <w:szCs w:val="36"/>
                <w:highlight w:val="none"/>
              </w:rPr>
            </w:pPr>
          </w:p>
        </w:tc>
      </w:tr>
      <w:tr w14:paraId="7B853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495" w:type="dxa"/>
            <w:tcBorders>
              <w:top w:val="single" w:color="auto" w:sz="4" w:space="0"/>
              <w:left w:val="single" w:color="auto" w:sz="4" w:space="0"/>
              <w:bottom w:val="single" w:color="auto" w:sz="4" w:space="0"/>
              <w:right w:val="single" w:color="auto" w:sz="4" w:space="0"/>
            </w:tcBorders>
            <w:noWrap w:val="0"/>
            <w:vAlign w:val="center"/>
          </w:tcPr>
          <w:p w14:paraId="2AB6A95E">
            <w:pPr>
              <w:rPr>
                <w:rFonts w:ascii="宋体" w:hAnsi="宋体"/>
                <w:sz w:val="24"/>
                <w:highlight w:val="none"/>
              </w:rPr>
            </w:pPr>
            <w:r>
              <w:rPr>
                <w:rFonts w:hint="eastAsia" w:ascii="宋体" w:hAnsi="宋体"/>
                <w:sz w:val="24"/>
                <w:highlight w:val="none"/>
              </w:rPr>
              <w:t>（一）搭设高度24m及以上的落地式钢管脚手架工程（包括采光井、电梯井脚手架）。</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7CDA3E88">
            <w:pPr>
              <w:jc w:val="center"/>
              <w:rPr>
                <w:rFonts w:ascii="宋体" w:hAnsi="宋体"/>
                <w:highlight w:val="none"/>
              </w:rPr>
            </w:pPr>
            <w:r>
              <w:rPr>
                <w:rFonts w:hint="eastAsia" w:ascii="宋体" w:hAnsi="宋体"/>
                <w:sz w:val="24"/>
                <w:szCs w:val="36"/>
                <w:highlight w:val="none"/>
              </w:rPr>
              <w:t xml:space="preserve">(  </w:t>
            </w:r>
            <w:r>
              <w:rPr>
                <w:rFonts w:ascii="宋体" w:hAnsi="宋体"/>
                <w:sz w:val="24"/>
                <w:szCs w:val="36"/>
                <w:highlight w:val="none"/>
              </w:rPr>
              <w:t xml:space="preserve"> </w:t>
            </w:r>
            <w:r>
              <w:rPr>
                <w:rFonts w:hint="eastAsia" w:ascii="宋体" w:hAnsi="宋体"/>
                <w:sz w:val="24"/>
                <w:szCs w:val="36"/>
                <w:highlight w:val="none"/>
              </w:rPr>
              <w:t xml:space="preserve">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26C873D6">
            <w:pPr>
              <w:jc w:val="center"/>
              <w:rPr>
                <w:rFonts w:ascii="宋体" w:hAnsi="宋体"/>
                <w:highlight w:val="none"/>
              </w:rPr>
            </w:pPr>
            <w:r>
              <w:rPr>
                <w:rFonts w:hint="eastAsia" w:ascii="宋体" w:hAnsi="宋体"/>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1D7F3E60">
            <w:pPr>
              <w:rPr>
                <w:rFonts w:ascii="宋体" w:hAnsi="宋体"/>
                <w:sz w:val="24"/>
                <w:szCs w:val="36"/>
                <w:highlight w:val="none"/>
              </w:rPr>
            </w:pPr>
          </w:p>
        </w:tc>
      </w:tr>
      <w:tr w14:paraId="39087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495" w:type="dxa"/>
            <w:tcBorders>
              <w:top w:val="single" w:color="auto" w:sz="4" w:space="0"/>
              <w:left w:val="single" w:color="auto" w:sz="4" w:space="0"/>
              <w:bottom w:val="single" w:color="auto" w:sz="4" w:space="0"/>
              <w:right w:val="single" w:color="auto" w:sz="4" w:space="0"/>
            </w:tcBorders>
            <w:noWrap w:val="0"/>
            <w:vAlign w:val="center"/>
          </w:tcPr>
          <w:p w14:paraId="310C9990">
            <w:pPr>
              <w:rPr>
                <w:rFonts w:ascii="宋体" w:hAnsi="宋体"/>
                <w:sz w:val="24"/>
                <w:highlight w:val="none"/>
              </w:rPr>
            </w:pPr>
            <w:r>
              <w:rPr>
                <w:rFonts w:hint="eastAsia" w:ascii="宋体" w:hAnsi="宋体"/>
                <w:sz w:val="24"/>
                <w:highlight w:val="none"/>
              </w:rPr>
              <w:t>（二）附着式升降脚手架工程。</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73718EFA">
            <w:pPr>
              <w:jc w:val="center"/>
              <w:rPr>
                <w:rFonts w:ascii="宋体" w:hAnsi="宋体"/>
                <w:highlight w:val="none"/>
              </w:rPr>
            </w:pPr>
            <w:r>
              <w:rPr>
                <w:rFonts w:hint="eastAsia" w:ascii="宋体" w:hAnsi="宋体"/>
                <w:sz w:val="24"/>
                <w:szCs w:val="36"/>
                <w:highlight w:val="none"/>
              </w:rPr>
              <w:t>(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6766BCD2">
            <w:pPr>
              <w:jc w:val="center"/>
              <w:rPr>
                <w:rFonts w:ascii="宋体" w:hAnsi="宋体"/>
                <w:highlight w:val="none"/>
              </w:rPr>
            </w:pPr>
            <w:r>
              <w:rPr>
                <w:rFonts w:hint="eastAsia" w:ascii="宋体" w:hAnsi="宋体"/>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1AF0BF81">
            <w:pPr>
              <w:rPr>
                <w:rFonts w:ascii="宋体" w:hAnsi="宋体"/>
                <w:sz w:val="24"/>
                <w:szCs w:val="36"/>
                <w:highlight w:val="none"/>
              </w:rPr>
            </w:pPr>
          </w:p>
        </w:tc>
      </w:tr>
      <w:tr w14:paraId="2901D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495" w:type="dxa"/>
            <w:tcBorders>
              <w:top w:val="single" w:color="auto" w:sz="4" w:space="0"/>
              <w:left w:val="single" w:color="auto" w:sz="4" w:space="0"/>
              <w:bottom w:val="single" w:color="auto" w:sz="4" w:space="0"/>
              <w:right w:val="single" w:color="auto" w:sz="4" w:space="0"/>
            </w:tcBorders>
            <w:noWrap w:val="0"/>
            <w:vAlign w:val="center"/>
          </w:tcPr>
          <w:p w14:paraId="68BFD9E4">
            <w:pPr>
              <w:rPr>
                <w:rFonts w:ascii="宋体" w:hAnsi="宋体"/>
                <w:sz w:val="24"/>
                <w:highlight w:val="none"/>
              </w:rPr>
            </w:pPr>
            <w:r>
              <w:rPr>
                <w:rFonts w:hint="eastAsia" w:ascii="宋体" w:hAnsi="宋体"/>
                <w:sz w:val="24"/>
                <w:highlight w:val="none"/>
              </w:rPr>
              <w:t>（三）悬挑式脚手架工程。</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0BE286C5">
            <w:pPr>
              <w:jc w:val="center"/>
              <w:rPr>
                <w:rFonts w:ascii="宋体" w:hAnsi="宋体"/>
                <w:highlight w:val="none"/>
              </w:rPr>
            </w:pPr>
            <w:r>
              <w:rPr>
                <w:rFonts w:hint="eastAsia" w:ascii="宋体" w:hAnsi="宋体"/>
                <w:sz w:val="24"/>
                <w:szCs w:val="36"/>
                <w:highlight w:val="none"/>
              </w:rPr>
              <w:t xml:space="preserve">(  </w:t>
            </w:r>
            <w:r>
              <w:rPr>
                <w:rFonts w:ascii="宋体" w:hAnsi="宋体"/>
                <w:sz w:val="24"/>
                <w:szCs w:val="36"/>
                <w:highlight w:val="none"/>
              </w:rPr>
              <w:t xml:space="preserve"> </w:t>
            </w:r>
            <w:r>
              <w:rPr>
                <w:rFonts w:hint="eastAsia" w:ascii="宋体" w:hAnsi="宋体"/>
                <w:sz w:val="24"/>
                <w:szCs w:val="36"/>
                <w:highlight w:val="none"/>
              </w:rPr>
              <w:t xml:space="preserve">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6B578D9B">
            <w:pPr>
              <w:jc w:val="center"/>
              <w:rPr>
                <w:rFonts w:ascii="宋体" w:hAnsi="宋体"/>
                <w:highlight w:val="none"/>
              </w:rPr>
            </w:pPr>
            <w:r>
              <w:rPr>
                <w:rFonts w:hint="eastAsia" w:ascii="宋体" w:hAnsi="宋体"/>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74965D1A">
            <w:pPr>
              <w:rPr>
                <w:rFonts w:ascii="宋体" w:hAnsi="宋体"/>
                <w:sz w:val="24"/>
                <w:szCs w:val="36"/>
                <w:highlight w:val="none"/>
              </w:rPr>
            </w:pPr>
          </w:p>
        </w:tc>
      </w:tr>
      <w:tr w14:paraId="75FF0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495" w:type="dxa"/>
            <w:tcBorders>
              <w:top w:val="single" w:color="auto" w:sz="4" w:space="0"/>
              <w:left w:val="single" w:color="auto" w:sz="4" w:space="0"/>
              <w:bottom w:val="single" w:color="auto" w:sz="4" w:space="0"/>
              <w:right w:val="single" w:color="auto" w:sz="4" w:space="0"/>
            </w:tcBorders>
            <w:noWrap w:val="0"/>
            <w:vAlign w:val="center"/>
          </w:tcPr>
          <w:p w14:paraId="02EC20BE">
            <w:pPr>
              <w:rPr>
                <w:rFonts w:ascii="宋体" w:hAnsi="宋体"/>
                <w:sz w:val="24"/>
                <w:highlight w:val="none"/>
              </w:rPr>
            </w:pPr>
            <w:r>
              <w:rPr>
                <w:rFonts w:hint="eastAsia" w:ascii="宋体" w:hAnsi="宋体"/>
                <w:sz w:val="24"/>
                <w:highlight w:val="none"/>
              </w:rPr>
              <w:t>（四）高处作业吊篮。</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77EFE05E">
            <w:pPr>
              <w:jc w:val="center"/>
              <w:rPr>
                <w:rFonts w:ascii="宋体" w:hAnsi="宋体"/>
                <w:highlight w:val="none"/>
              </w:rPr>
            </w:pPr>
            <w:r>
              <w:rPr>
                <w:rFonts w:hint="eastAsia" w:ascii="宋体" w:hAnsi="宋体"/>
                <w:sz w:val="24"/>
                <w:szCs w:val="36"/>
                <w:highlight w:val="none"/>
              </w:rPr>
              <w:t>(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7B27F5D7">
            <w:pPr>
              <w:jc w:val="center"/>
              <w:rPr>
                <w:rFonts w:ascii="宋体" w:hAnsi="宋体"/>
                <w:highlight w:val="none"/>
              </w:rPr>
            </w:pPr>
            <w:r>
              <w:rPr>
                <w:rFonts w:hint="eastAsia" w:ascii="宋体" w:hAnsi="宋体"/>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6C3FC507">
            <w:pPr>
              <w:rPr>
                <w:rFonts w:ascii="宋体" w:hAnsi="宋体"/>
                <w:sz w:val="24"/>
                <w:szCs w:val="36"/>
                <w:highlight w:val="none"/>
              </w:rPr>
            </w:pPr>
          </w:p>
        </w:tc>
      </w:tr>
      <w:tr w14:paraId="43137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495" w:type="dxa"/>
            <w:tcBorders>
              <w:top w:val="single" w:color="auto" w:sz="4" w:space="0"/>
              <w:left w:val="single" w:color="auto" w:sz="4" w:space="0"/>
              <w:bottom w:val="single" w:color="auto" w:sz="4" w:space="0"/>
              <w:right w:val="single" w:color="auto" w:sz="4" w:space="0"/>
            </w:tcBorders>
            <w:noWrap w:val="0"/>
            <w:vAlign w:val="center"/>
          </w:tcPr>
          <w:p w14:paraId="328978D2">
            <w:pPr>
              <w:rPr>
                <w:rFonts w:ascii="宋体" w:hAnsi="宋体"/>
                <w:sz w:val="24"/>
                <w:highlight w:val="none"/>
              </w:rPr>
            </w:pPr>
            <w:r>
              <w:rPr>
                <w:rFonts w:hint="eastAsia" w:ascii="宋体" w:hAnsi="宋体"/>
                <w:sz w:val="24"/>
                <w:highlight w:val="none"/>
              </w:rPr>
              <w:t>（五）卸料平台、操作平台工程。</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0BAAAF4B">
            <w:pPr>
              <w:jc w:val="center"/>
              <w:rPr>
                <w:rFonts w:ascii="宋体" w:hAnsi="宋体"/>
                <w:highlight w:val="none"/>
              </w:rPr>
            </w:pPr>
            <w:r>
              <w:rPr>
                <w:rFonts w:hint="eastAsia" w:ascii="宋体" w:hAnsi="宋体"/>
                <w:sz w:val="24"/>
                <w:szCs w:val="36"/>
                <w:highlight w:val="none"/>
              </w:rPr>
              <w:t>(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18B586DB">
            <w:pPr>
              <w:jc w:val="center"/>
              <w:rPr>
                <w:rFonts w:ascii="宋体" w:hAnsi="宋体"/>
                <w:highlight w:val="none"/>
              </w:rPr>
            </w:pPr>
            <w:r>
              <w:rPr>
                <w:rFonts w:hint="eastAsia" w:ascii="宋体" w:hAnsi="宋体"/>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0595BBAA">
            <w:pPr>
              <w:rPr>
                <w:rFonts w:ascii="宋体" w:hAnsi="宋体"/>
                <w:sz w:val="24"/>
                <w:szCs w:val="36"/>
                <w:highlight w:val="none"/>
              </w:rPr>
            </w:pPr>
          </w:p>
        </w:tc>
      </w:tr>
      <w:tr w14:paraId="6A2D7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495" w:type="dxa"/>
            <w:tcBorders>
              <w:top w:val="single" w:color="auto" w:sz="4" w:space="0"/>
              <w:left w:val="single" w:color="auto" w:sz="4" w:space="0"/>
              <w:bottom w:val="single" w:color="auto" w:sz="4" w:space="0"/>
              <w:right w:val="single" w:color="auto" w:sz="4" w:space="0"/>
            </w:tcBorders>
            <w:noWrap w:val="0"/>
            <w:vAlign w:val="center"/>
          </w:tcPr>
          <w:p w14:paraId="708F48BE">
            <w:pPr>
              <w:rPr>
                <w:rFonts w:ascii="宋体" w:hAnsi="宋体"/>
                <w:sz w:val="24"/>
                <w:highlight w:val="none"/>
              </w:rPr>
            </w:pPr>
            <w:r>
              <w:rPr>
                <w:rFonts w:hint="eastAsia" w:ascii="宋体" w:hAnsi="宋体"/>
                <w:sz w:val="24"/>
                <w:highlight w:val="none"/>
              </w:rPr>
              <w:t>（六）异型脚手架工程。</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0D08DB9B">
            <w:pPr>
              <w:jc w:val="center"/>
              <w:rPr>
                <w:rFonts w:ascii="宋体" w:hAnsi="宋体"/>
                <w:highlight w:val="none"/>
              </w:rPr>
            </w:pPr>
            <w:r>
              <w:rPr>
                <w:rFonts w:hint="eastAsia" w:ascii="宋体" w:hAnsi="宋体"/>
                <w:sz w:val="24"/>
                <w:szCs w:val="36"/>
                <w:highlight w:val="none"/>
              </w:rPr>
              <w:t>(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417FB149">
            <w:pPr>
              <w:jc w:val="center"/>
              <w:rPr>
                <w:rFonts w:ascii="宋体" w:hAnsi="宋体"/>
                <w:highlight w:val="none"/>
              </w:rPr>
            </w:pPr>
            <w:r>
              <w:rPr>
                <w:rFonts w:hint="eastAsia" w:ascii="宋体" w:hAnsi="宋体"/>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14CAFF6E">
            <w:pPr>
              <w:rPr>
                <w:rFonts w:ascii="宋体" w:hAnsi="宋体"/>
                <w:sz w:val="24"/>
                <w:szCs w:val="36"/>
                <w:highlight w:val="none"/>
              </w:rPr>
            </w:pPr>
          </w:p>
        </w:tc>
      </w:tr>
      <w:tr w14:paraId="72531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495" w:type="dxa"/>
            <w:tcBorders>
              <w:top w:val="single" w:color="auto" w:sz="4" w:space="0"/>
              <w:left w:val="single" w:color="auto" w:sz="4" w:space="0"/>
              <w:bottom w:val="single" w:color="auto" w:sz="4" w:space="0"/>
              <w:right w:val="single" w:color="auto" w:sz="4" w:space="0"/>
            </w:tcBorders>
            <w:noWrap w:val="0"/>
            <w:vAlign w:val="center"/>
          </w:tcPr>
          <w:p w14:paraId="7C15F316">
            <w:pPr>
              <w:rPr>
                <w:rFonts w:ascii="宋体" w:hAnsi="宋体"/>
                <w:sz w:val="24"/>
                <w:highlight w:val="none"/>
              </w:rPr>
            </w:pPr>
            <w:r>
              <w:rPr>
                <w:rFonts w:hint="eastAsia" w:ascii="宋体" w:hAnsi="宋体"/>
                <w:sz w:val="24"/>
                <w:highlight w:val="none"/>
              </w:rPr>
              <w:t>五、拆除工程</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717BDD4A">
            <w:pPr>
              <w:jc w:val="center"/>
              <w:rPr>
                <w:rFonts w:ascii="宋体" w:hAnsi="宋体"/>
                <w:highlight w:val="none"/>
              </w:rPr>
            </w:pPr>
            <w:r>
              <w:rPr>
                <w:rFonts w:hint="eastAsia" w:ascii="宋体" w:hAnsi="宋体"/>
                <w:sz w:val="24"/>
                <w:szCs w:val="36"/>
                <w:highlight w:val="none"/>
              </w:rPr>
              <w:t>(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31BDF532">
            <w:pPr>
              <w:jc w:val="center"/>
              <w:rPr>
                <w:rFonts w:ascii="宋体" w:hAnsi="宋体"/>
                <w:highlight w:val="none"/>
              </w:rPr>
            </w:pPr>
            <w:r>
              <w:rPr>
                <w:rFonts w:hint="eastAsia" w:ascii="宋体" w:hAnsi="宋体"/>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0CC75738">
            <w:pPr>
              <w:rPr>
                <w:rFonts w:ascii="宋体" w:hAnsi="宋体"/>
                <w:sz w:val="24"/>
                <w:szCs w:val="36"/>
                <w:highlight w:val="none"/>
              </w:rPr>
            </w:pPr>
          </w:p>
        </w:tc>
      </w:tr>
      <w:tr w14:paraId="6F364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495" w:type="dxa"/>
            <w:tcBorders>
              <w:top w:val="single" w:color="auto" w:sz="4" w:space="0"/>
              <w:left w:val="single" w:color="auto" w:sz="4" w:space="0"/>
              <w:bottom w:val="single" w:color="auto" w:sz="4" w:space="0"/>
              <w:right w:val="single" w:color="auto" w:sz="4" w:space="0"/>
            </w:tcBorders>
            <w:noWrap w:val="0"/>
            <w:vAlign w:val="center"/>
          </w:tcPr>
          <w:p w14:paraId="575A822F">
            <w:pPr>
              <w:rPr>
                <w:rFonts w:ascii="宋体" w:hAnsi="宋体"/>
                <w:sz w:val="24"/>
                <w:highlight w:val="none"/>
              </w:rPr>
            </w:pPr>
            <w:r>
              <w:rPr>
                <w:rFonts w:hint="eastAsia" w:ascii="宋体" w:hAnsi="宋体"/>
                <w:sz w:val="24"/>
                <w:highlight w:val="none"/>
              </w:rPr>
              <w:t>可能影响行人、交通、电力设施、通讯设施或其它建、构筑物安全的拆除工程。</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0B1BE11B">
            <w:pPr>
              <w:jc w:val="center"/>
              <w:rPr>
                <w:rFonts w:ascii="宋体" w:hAnsi="宋体"/>
                <w:highlight w:val="none"/>
              </w:rPr>
            </w:pPr>
            <w:r>
              <w:rPr>
                <w:rFonts w:hint="eastAsia" w:ascii="宋体" w:hAnsi="宋体"/>
                <w:sz w:val="24"/>
                <w:szCs w:val="36"/>
                <w:highlight w:val="none"/>
              </w:rPr>
              <w:t xml:space="preserve">( </w:t>
            </w:r>
            <w:r>
              <w:rPr>
                <w:rFonts w:ascii="宋体" w:hAnsi="宋体"/>
                <w:sz w:val="24"/>
                <w:szCs w:val="36"/>
                <w:highlight w:val="none"/>
              </w:rPr>
              <w:t xml:space="preserve"> </w:t>
            </w:r>
            <w:r>
              <w:rPr>
                <w:rFonts w:hint="eastAsia" w:ascii="宋体" w:hAnsi="宋体"/>
                <w:sz w:val="24"/>
                <w:szCs w:val="36"/>
                <w:highlight w:val="none"/>
              </w:rPr>
              <w:t xml:space="preserve">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749175AC">
            <w:pPr>
              <w:jc w:val="center"/>
              <w:rPr>
                <w:rFonts w:ascii="宋体" w:hAnsi="宋体"/>
                <w:highlight w:val="none"/>
              </w:rPr>
            </w:pPr>
            <w:r>
              <w:rPr>
                <w:rFonts w:hint="eastAsia" w:ascii="宋体" w:hAnsi="宋体"/>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0DFEBF73">
            <w:pPr>
              <w:rPr>
                <w:rFonts w:ascii="宋体" w:hAnsi="宋体"/>
                <w:sz w:val="24"/>
                <w:szCs w:val="36"/>
                <w:highlight w:val="none"/>
              </w:rPr>
            </w:pPr>
          </w:p>
        </w:tc>
      </w:tr>
      <w:tr w14:paraId="09D1E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495" w:type="dxa"/>
            <w:tcBorders>
              <w:top w:val="single" w:color="auto" w:sz="4" w:space="0"/>
              <w:left w:val="single" w:color="auto" w:sz="4" w:space="0"/>
              <w:bottom w:val="single" w:color="auto" w:sz="4" w:space="0"/>
              <w:right w:val="single" w:color="auto" w:sz="4" w:space="0"/>
            </w:tcBorders>
            <w:noWrap w:val="0"/>
            <w:vAlign w:val="center"/>
          </w:tcPr>
          <w:p w14:paraId="6A973810">
            <w:pPr>
              <w:rPr>
                <w:rFonts w:ascii="宋体" w:hAnsi="宋体"/>
                <w:sz w:val="24"/>
                <w:highlight w:val="none"/>
              </w:rPr>
            </w:pPr>
            <w:r>
              <w:rPr>
                <w:rFonts w:hint="eastAsia" w:ascii="宋体" w:hAnsi="宋体"/>
                <w:sz w:val="24"/>
                <w:highlight w:val="none"/>
              </w:rPr>
              <w:t>　六、暗挖工程</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348CED6E">
            <w:pPr>
              <w:jc w:val="center"/>
              <w:rPr>
                <w:rFonts w:ascii="宋体" w:hAnsi="宋体"/>
                <w:highlight w:val="none"/>
              </w:rPr>
            </w:pPr>
            <w:r>
              <w:rPr>
                <w:rFonts w:hint="eastAsia" w:ascii="宋体" w:hAnsi="宋体"/>
                <w:sz w:val="24"/>
                <w:szCs w:val="36"/>
                <w:highlight w:val="none"/>
              </w:rPr>
              <w:t>(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61BE4606">
            <w:pPr>
              <w:jc w:val="center"/>
              <w:rPr>
                <w:rFonts w:ascii="宋体" w:hAnsi="宋体"/>
                <w:highlight w:val="none"/>
              </w:rPr>
            </w:pPr>
            <w:r>
              <w:rPr>
                <w:rFonts w:hint="eastAsia" w:ascii="宋体" w:hAnsi="宋体"/>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3D507872">
            <w:pPr>
              <w:rPr>
                <w:rFonts w:ascii="宋体" w:hAnsi="宋体"/>
                <w:sz w:val="24"/>
                <w:szCs w:val="36"/>
                <w:highlight w:val="none"/>
              </w:rPr>
            </w:pPr>
          </w:p>
        </w:tc>
      </w:tr>
      <w:tr w14:paraId="51075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495" w:type="dxa"/>
            <w:tcBorders>
              <w:top w:val="single" w:color="auto" w:sz="4" w:space="0"/>
              <w:left w:val="single" w:color="auto" w:sz="4" w:space="0"/>
              <w:bottom w:val="single" w:color="auto" w:sz="4" w:space="0"/>
              <w:right w:val="single" w:color="auto" w:sz="4" w:space="0"/>
            </w:tcBorders>
            <w:noWrap w:val="0"/>
            <w:vAlign w:val="center"/>
          </w:tcPr>
          <w:p w14:paraId="1BDB2657">
            <w:pPr>
              <w:rPr>
                <w:rFonts w:ascii="宋体" w:hAnsi="宋体"/>
                <w:sz w:val="24"/>
                <w:highlight w:val="none"/>
              </w:rPr>
            </w:pPr>
            <w:r>
              <w:rPr>
                <w:rFonts w:hint="eastAsia" w:ascii="宋体" w:hAnsi="宋体"/>
                <w:sz w:val="24"/>
                <w:highlight w:val="none"/>
              </w:rPr>
              <w:t>采用矿山法、盾构法、顶管法施工的隧道、洞室工程。</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2516FD01">
            <w:pPr>
              <w:jc w:val="center"/>
              <w:rPr>
                <w:rFonts w:ascii="宋体" w:hAnsi="宋体"/>
                <w:highlight w:val="none"/>
              </w:rPr>
            </w:pPr>
            <w:r>
              <w:rPr>
                <w:rFonts w:hint="eastAsia" w:ascii="宋体" w:hAnsi="宋体"/>
                <w:sz w:val="24"/>
                <w:szCs w:val="36"/>
                <w:highlight w:val="none"/>
              </w:rPr>
              <w:t xml:space="preserve">(  </w:t>
            </w:r>
            <w:r>
              <w:rPr>
                <w:rFonts w:ascii="宋体" w:hAnsi="宋体"/>
                <w:sz w:val="24"/>
                <w:szCs w:val="36"/>
                <w:highlight w:val="none"/>
              </w:rPr>
              <w:t xml:space="preserve"> </w:t>
            </w:r>
            <w:r>
              <w:rPr>
                <w:rFonts w:hint="eastAsia" w:ascii="宋体" w:hAnsi="宋体"/>
                <w:sz w:val="24"/>
                <w:szCs w:val="36"/>
                <w:highlight w:val="none"/>
              </w:rPr>
              <w:t xml:space="preserve">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3132724B">
            <w:pPr>
              <w:jc w:val="center"/>
              <w:rPr>
                <w:rFonts w:ascii="宋体" w:hAnsi="宋体"/>
                <w:highlight w:val="none"/>
              </w:rPr>
            </w:pPr>
            <w:r>
              <w:rPr>
                <w:rFonts w:hint="eastAsia" w:ascii="宋体" w:hAnsi="宋体"/>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04EDCDBB">
            <w:pPr>
              <w:rPr>
                <w:rFonts w:ascii="宋体" w:hAnsi="宋体"/>
                <w:sz w:val="24"/>
                <w:szCs w:val="36"/>
                <w:highlight w:val="none"/>
              </w:rPr>
            </w:pPr>
          </w:p>
        </w:tc>
      </w:tr>
      <w:tr w14:paraId="034CF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495" w:type="dxa"/>
            <w:tcBorders>
              <w:top w:val="single" w:color="auto" w:sz="4" w:space="0"/>
              <w:left w:val="single" w:color="auto" w:sz="4" w:space="0"/>
              <w:bottom w:val="single" w:color="auto" w:sz="4" w:space="0"/>
              <w:right w:val="single" w:color="auto" w:sz="4" w:space="0"/>
            </w:tcBorders>
            <w:noWrap w:val="0"/>
            <w:vAlign w:val="center"/>
          </w:tcPr>
          <w:p w14:paraId="2CFC630E">
            <w:pPr>
              <w:rPr>
                <w:rFonts w:ascii="宋体" w:hAnsi="宋体"/>
                <w:sz w:val="24"/>
                <w:highlight w:val="none"/>
              </w:rPr>
            </w:pPr>
            <w:r>
              <w:rPr>
                <w:rFonts w:hint="eastAsia" w:ascii="宋体" w:hAnsi="宋体"/>
                <w:sz w:val="24"/>
                <w:highlight w:val="none"/>
              </w:rPr>
              <w:t>七、其它</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09DF724A">
            <w:pPr>
              <w:jc w:val="center"/>
              <w:rPr>
                <w:rFonts w:ascii="宋体" w:hAnsi="宋体"/>
                <w:highlight w:val="none"/>
              </w:rPr>
            </w:pPr>
            <w:r>
              <w:rPr>
                <w:rFonts w:hint="eastAsia" w:ascii="宋体" w:hAnsi="宋体"/>
                <w:sz w:val="24"/>
                <w:szCs w:val="36"/>
                <w:highlight w:val="none"/>
              </w:rPr>
              <w:t>(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2D5B9992">
            <w:pPr>
              <w:jc w:val="center"/>
              <w:rPr>
                <w:rFonts w:ascii="宋体" w:hAnsi="宋体"/>
                <w:highlight w:val="none"/>
              </w:rPr>
            </w:pPr>
            <w:r>
              <w:rPr>
                <w:rFonts w:hint="eastAsia" w:ascii="宋体" w:hAnsi="宋体"/>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259C8D2A">
            <w:pPr>
              <w:rPr>
                <w:rFonts w:ascii="宋体" w:hAnsi="宋体"/>
                <w:sz w:val="24"/>
                <w:szCs w:val="36"/>
                <w:highlight w:val="none"/>
              </w:rPr>
            </w:pPr>
          </w:p>
        </w:tc>
      </w:tr>
      <w:tr w14:paraId="71EF5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495" w:type="dxa"/>
            <w:tcBorders>
              <w:top w:val="single" w:color="auto" w:sz="4" w:space="0"/>
              <w:left w:val="single" w:color="auto" w:sz="4" w:space="0"/>
              <w:bottom w:val="single" w:color="auto" w:sz="4" w:space="0"/>
              <w:right w:val="single" w:color="auto" w:sz="4" w:space="0"/>
            </w:tcBorders>
            <w:noWrap w:val="0"/>
            <w:vAlign w:val="center"/>
          </w:tcPr>
          <w:p w14:paraId="19B153E5">
            <w:pPr>
              <w:rPr>
                <w:rFonts w:ascii="宋体" w:hAnsi="宋体"/>
                <w:sz w:val="24"/>
                <w:highlight w:val="none"/>
              </w:rPr>
            </w:pPr>
            <w:r>
              <w:rPr>
                <w:rFonts w:hint="eastAsia" w:ascii="宋体" w:hAnsi="宋体"/>
                <w:sz w:val="24"/>
                <w:highlight w:val="none"/>
              </w:rPr>
              <w:t>（一）灰岩地区桥梁钻孔灌注桩工程。</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24ED626B">
            <w:pPr>
              <w:jc w:val="center"/>
              <w:rPr>
                <w:rFonts w:ascii="宋体" w:hAnsi="宋体"/>
                <w:highlight w:val="none"/>
              </w:rPr>
            </w:pPr>
            <w:r>
              <w:rPr>
                <w:rFonts w:hint="eastAsia" w:ascii="宋体" w:hAnsi="宋体"/>
                <w:sz w:val="24"/>
                <w:szCs w:val="36"/>
                <w:highlight w:val="none"/>
              </w:rPr>
              <w:t xml:space="preserve">(  </w:t>
            </w:r>
            <w:r>
              <w:rPr>
                <w:rFonts w:ascii="宋体" w:hAnsi="宋体"/>
                <w:sz w:val="24"/>
                <w:szCs w:val="36"/>
                <w:highlight w:val="none"/>
              </w:rPr>
              <w:t xml:space="preserve"> </w:t>
            </w:r>
            <w:r>
              <w:rPr>
                <w:rFonts w:hint="eastAsia" w:ascii="宋体" w:hAnsi="宋体"/>
                <w:sz w:val="24"/>
                <w:szCs w:val="36"/>
                <w:highlight w:val="none"/>
              </w:rPr>
              <w:t xml:space="preserve">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71989967">
            <w:pPr>
              <w:jc w:val="center"/>
              <w:rPr>
                <w:rFonts w:ascii="宋体" w:hAnsi="宋体"/>
                <w:highlight w:val="none"/>
              </w:rPr>
            </w:pPr>
            <w:r>
              <w:rPr>
                <w:rFonts w:hint="eastAsia" w:ascii="宋体" w:hAnsi="宋体"/>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096DD0A8">
            <w:pPr>
              <w:rPr>
                <w:rFonts w:ascii="宋体" w:hAnsi="宋体"/>
                <w:sz w:val="24"/>
                <w:szCs w:val="36"/>
                <w:highlight w:val="none"/>
              </w:rPr>
            </w:pPr>
          </w:p>
        </w:tc>
      </w:tr>
      <w:tr w14:paraId="5478C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495" w:type="dxa"/>
            <w:tcBorders>
              <w:top w:val="single" w:color="auto" w:sz="4" w:space="0"/>
              <w:left w:val="single" w:color="auto" w:sz="4" w:space="0"/>
              <w:bottom w:val="single" w:color="auto" w:sz="4" w:space="0"/>
              <w:right w:val="single" w:color="auto" w:sz="4" w:space="0"/>
            </w:tcBorders>
            <w:noWrap w:val="0"/>
            <w:vAlign w:val="center"/>
          </w:tcPr>
          <w:p w14:paraId="104E3890">
            <w:pPr>
              <w:rPr>
                <w:rFonts w:ascii="宋体" w:hAnsi="宋体"/>
                <w:sz w:val="24"/>
                <w:highlight w:val="none"/>
              </w:rPr>
            </w:pPr>
            <w:r>
              <w:rPr>
                <w:rFonts w:hint="eastAsia" w:ascii="宋体" w:hAnsi="宋体"/>
                <w:sz w:val="24"/>
                <w:highlight w:val="none"/>
              </w:rPr>
              <w:t>（二）水上施工工程。</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335419B4">
            <w:pPr>
              <w:jc w:val="center"/>
              <w:rPr>
                <w:rFonts w:ascii="宋体" w:hAnsi="宋体"/>
                <w:highlight w:val="none"/>
              </w:rPr>
            </w:pPr>
            <w:r>
              <w:rPr>
                <w:rFonts w:hint="eastAsia" w:ascii="宋体" w:hAnsi="宋体"/>
                <w:sz w:val="24"/>
                <w:szCs w:val="36"/>
                <w:highlight w:val="none"/>
              </w:rPr>
              <w:t xml:space="preserve">( </w:t>
            </w:r>
            <w:r>
              <w:rPr>
                <w:rFonts w:ascii="宋体" w:hAnsi="宋体"/>
                <w:sz w:val="24"/>
                <w:szCs w:val="36"/>
                <w:highlight w:val="none"/>
              </w:rPr>
              <w:t xml:space="preserve">   </w:t>
            </w:r>
            <w:r>
              <w:rPr>
                <w:rFonts w:hint="eastAsia" w:ascii="宋体" w:hAnsi="宋体"/>
                <w:sz w:val="24"/>
                <w:szCs w:val="36"/>
                <w:highlight w:val="none"/>
              </w:rPr>
              <w:t>)</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2144DA12">
            <w:pPr>
              <w:jc w:val="center"/>
              <w:rPr>
                <w:rFonts w:ascii="宋体" w:hAnsi="宋体"/>
                <w:highlight w:val="none"/>
              </w:rPr>
            </w:pPr>
            <w:r>
              <w:rPr>
                <w:rFonts w:hint="eastAsia" w:ascii="宋体" w:hAnsi="宋体"/>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0F47E4BA">
            <w:pPr>
              <w:rPr>
                <w:rFonts w:ascii="宋体" w:hAnsi="宋体"/>
                <w:sz w:val="24"/>
                <w:szCs w:val="36"/>
                <w:highlight w:val="none"/>
              </w:rPr>
            </w:pPr>
          </w:p>
        </w:tc>
      </w:tr>
      <w:tr w14:paraId="06B09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495" w:type="dxa"/>
            <w:tcBorders>
              <w:top w:val="single" w:color="auto" w:sz="4" w:space="0"/>
              <w:left w:val="single" w:color="auto" w:sz="4" w:space="0"/>
              <w:bottom w:val="single" w:color="auto" w:sz="4" w:space="0"/>
              <w:right w:val="single" w:color="auto" w:sz="4" w:space="0"/>
            </w:tcBorders>
            <w:noWrap w:val="0"/>
            <w:vAlign w:val="center"/>
          </w:tcPr>
          <w:p w14:paraId="26D09EC1">
            <w:pPr>
              <w:rPr>
                <w:rFonts w:ascii="宋体" w:hAnsi="宋体"/>
                <w:sz w:val="24"/>
                <w:highlight w:val="none"/>
              </w:rPr>
            </w:pPr>
            <w:r>
              <w:rPr>
                <w:rFonts w:hint="eastAsia" w:ascii="宋体" w:hAnsi="宋体"/>
                <w:sz w:val="24"/>
                <w:highlight w:val="none"/>
              </w:rPr>
              <w:t>（三）水下作业工程。</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6A564174">
            <w:pPr>
              <w:jc w:val="center"/>
              <w:rPr>
                <w:rFonts w:ascii="宋体" w:hAnsi="宋体"/>
                <w:highlight w:val="none"/>
              </w:rPr>
            </w:pPr>
            <w:r>
              <w:rPr>
                <w:rFonts w:hint="eastAsia" w:ascii="宋体" w:hAnsi="宋体"/>
                <w:sz w:val="24"/>
                <w:szCs w:val="36"/>
                <w:highlight w:val="none"/>
              </w:rPr>
              <w:t xml:space="preserve">(  </w:t>
            </w:r>
            <w:r>
              <w:rPr>
                <w:rFonts w:ascii="宋体" w:hAnsi="宋体"/>
                <w:sz w:val="24"/>
                <w:szCs w:val="36"/>
                <w:highlight w:val="none"/>
              </w:rPr>
              <w:t xml:space="preserve"> </w:t>
            </w:r>
            <w:r>
              <w:rPr>
                <w:rFonts w:hint="eastAsia" w:ascii="宋体" w:hAnsi="宋体"/>
                <w:sz w:val="24"/>
                <w:szCs w:val="36"/>
                <w:highlight w:val="none"/>
              </w:rPr>
              <w:t xml:space="preserve">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79B78452">
            <w:pPr>
              <w:jc w:val="center"/>
              <w:rPr>
                <w:rFonts w:ascii="宋体" w:hAnsi="宋体"/>
                <w:highlight w:val="none"/>
              </w:rPr>
            </w:pPr>
            <w:r>
              <w:rPr>
                <w:rFonts w:hint="eastAsia" w:ascii="宋体" w:hAnsi="宋体"/>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192B0CED">
            <w:pPr>
              <w:rPr>
                <w:rFonts w:ascii="宋体" w:hAnsi="宋体"/>
                <w:sz w:val="24"/>
                <w:szCs w:val="36"/>
                <w:highlight w:val="none"/>
              </w:rPr>
            </w:pPr>
          </w:p>
        </w:tc>
      </w:tr>
      <w:tr w14:paraId="565BB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495" w:type="dxa"/>
            <w:tcBorders>
              <w:top w:val="single" w:color="auto" w:sz="4" w:space="0"/>
              <w:left w:val="single" w:color="auto" w:sz="4" w:space="0"/>
              <w:bottom w:val="single" w:color="auto" w:sz="4" w:space="0"/>
              <w:right w:val="single" w:color="auto" w:sz="4" w:space="0"/>
            </w:tcBorders>
            <w:noWrap w:val="0"/>
            <w:vAlign w:val="center"/>
          </w:tcPr>
          <w:p w14:paraId="3FC87C19">
            <w:pPr>
              <w:rPr>
                <w:rFonts w:ascii="宋体" w:hAnsi="宋体"/>
                <w:sz w:val="24"/>
                <w:highlight w:val="none"/>
              </w:rPr>
            </w:pPr>
            <w:r>
              <w:rPr>
                <w:rFonts w:hint="eastAsia" w:ascii="宋体" w:hAnsi="宋体"/>
                <w:sz w:val="24"/>
                <w:highlight w:val="none"/>
              </w:rPr>
              <w:t>（四）装配式建筑混凝土预制构件安装工程。</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54B867FF">
            <w:pPr>
              <w:jc w:val="center"/>
              <w:rPr>
                <w:rFonts w:ascii="宋体" w:hAnsi="宋体"/>
                <w:highlight w:val="none"/>
              </w:rPr>
            </w:pPr>
            <w:r>
              <w:rPr>
                <w:rFonts w:hint="eastAsia" w:ascii="宋体" w:hAnsi="宋体"/>
                <w:sz w:val="24"/>
                <w:szCs w:val="36"/>
                <w:highlight w:val="none"/>
              </w:rPr>
              <w:t>(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7A82DEE1">
            <w:pPr>
              <w:jc w:val="center"/>
              <w:rPr>
                <w:rFonts w:ascii="宋体" w:hAnsi="宋体"/>
                <w:highlight w:val="none"/>
              </w:rPr>
            </w:pPr>
            <w:r>
              <w:rPr>
                <w:rFonts w:hint="eastAsia" w:ascii="宋体" w:hAnsi="宋体"/>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1005ABEC">
            <w:pPr>
              <w:rPr>
                <w:rFonts w:ascii="宋体" w:hAnsi="宋体"/>
                <w:sz w:val="24"/>
                <w:szCs w:val="36"/>
                <w:highlight w:val="none"/>
              </w:rPr>
            </w:pPr>
          </w:p>
        </w:tc>
      </w:tr>
      <w:tr w14:paraId="4774F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495" w:type="dxa"/>
            <w:tcBorders>
              <w:top w:val="single" w:color="auto" w:sz="4" w:space="0"/>
              <w:left w:val="single" w:color="auto" w:sz="4" w:space="0"/>
              <w:bottom w:val="single" w:color="auto" w:sz="4" w:space="0"/>
              <w:right w:val="single" w:color="auto" w:sz="4" w:space="0"/>
            </w:tcBorders>
            <w:noWrap w:val="0"/>
            <w:vAlign w:val="center"/>
          </w:tcPr>
          <w:p w14:paraId="0BD2D3EB">
            <w:pPr>
              <w:rPr>
                <w:rFonts w:ascii="宋体" w:hAnsi="宋体"/>
                <w:sz w:val="24"/>
                <w:highlight w:val="none"/>
              </w:rPr>
            </w:pPr>
            <w:r>
              <w:rPr>
                <w:rFonts w:hint="eastAsia" w:ascii="宋体" w:hAnsi="宋体"/>
                <w:sz w:val="24"/>
                <w:highlight w:val="none"/>
              </w:rPr>
              <w:t>（五）采用新技术、新工艺、新材料、新设备可能影响工程施工安全，尚无国家、行业及地方技术标准的分部分项工程。</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28122012">
            <w:pPr>
              <w:jc w:val="center"/>
              <w:rPr>
                <w:rFonts w:ascii="宋体" w:hAnsi="宋体"/>
                <w:highlight w:val="none"/>
              </w:rPr>
            </w:pPr>
            <w:r>
              <w:rPr>
                <w:rFonts w:hint="eastAsia" w:ascii="宋体" w:hAnsi="宋体"/>
                <w:sz w:val="24"/>
                <w:szCs w:val="36"/>
                <w:highlight w:val="none"/>
              </w:rPr>
              <w:t>(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1B13AA5B">
            <w:pPr>
              <w:jc w:val="center"/>
              <w:rPr>
                <w:rFonts w:ascii="宋体" w:hAnsi="宋体"/>
                <w:highlight w:val="none"/>
              </w:rPr>
            </w:pPr>
            <w:r>
              <w:rPr>
                <w:rFonts w:hint="eastAsia" w:ascii="宋体" w:hAnsi="宋体"/>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49D6B337">
            <w:pPr>
              <w:rPr>
                <w:rFonts w:ascii="宋体" w:hAnsi="宋体"/>
                <w:sz w:val="24"/>
                <w:szCs w:val="36"/>
                <w:highlight w:val="none"/>
              </w:rPr>
            </w:pPr>
          </w:p>
        </w:tc>
      </w:tr>
      <w:tr w14:paraId="581B1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5495" w:type="dxa"/>
            <w:tcBorders>
              <w:top w:val="single" w:color="auto" w:sz="4" w:space="0"/>
              <w:left w:val="single" w:color="auto" w:sz="4" w:space="0"/>
              <w:bottom w:val="single" w:color="auto" w:sz="4" w:space="0"/>
              <w:right w:val="single" w:color="auto" w:sz="4" w:space="0"/>
            </w:tcBorders>
            <w:noWrap w:val="0"/>
            <w:vAlign w:val="center"/>
          </w:tcPr>
          <w:p w14:paraId="798A6FE6">
            <w:pPr>
              <w:rPr>
                <w:rFonts w:hint="eastAsia" w:ascii="宋体" w:hAnsi="宋体"/>
                <w:sz w:val="24"/>
                <w:highlight w:val="none"/>
              </w:rPr>
            </w:pPr>
            <w:r>
              <w:rPr>
                <w:rFonts w:hint="eastAsia" w:ascii="宋体" w:hAnsi="宋体"/>
                <w:sz w:val="24"/>
                <w:highlight w:val="none"/>
                <w:lang w:eastAsia="zh-CN"/>
              </w:rPr>
              <w:t>（</w:t>
            </w:r>
            <w:r>
              <w:rPr>
                <w:rFonts w:hint="eastAsia" w:ascii="宋体" w:hAnsi="宋体"/>
                <w:sz w:val="24"/>
                <w:highlight w:val="none"/>
                <w:lang w:val="en-US" w:eastAsia="zh-CN"/>
              </w:rPr>
              <w:t>六</w:t>
            </w:r>
            <w:r>
              <w:rPr>
                <w:rFonts w:hint="eastAsia" w:ascii="宋体" w:hAnsi="宋体"/>
                <w:sz w:val="24"/>
                <w:highlight w:val="none"/>
                <w:lang w:eastAsia="zh-CN"/>
              </w:rPr>
              <w:t>）</w:t>
            </w:r>
            <w:r>
              <w:rPr>
                <w:rFonts w:hint="eastAsia" w:ascii="宋体" w:hAnsi="宋体"/>
                <w:sz w:val="24"/>
                <w:highlight w:val="none"/>
              </w:rPr>
              <w:t>对道路下地下空间保护</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020E3C35">
            <w:pPr>
              <w:jc w:val="center"/>
              <w:rPr>
                <w:rFonts w:hint="eastAsia" w:ascii="宋体" w:hAnsi="宋体"/>
                <w:sz w:val="24"/>
                <w:szCs w:val="36"/>
                <w:highlight w:val="none"/>
              </w:rPr>
            </w:pPr>
            <w:r>
              <w:rPr>
                <w:rFonts w:hint="eastAsia" w:ascii="宋体" w:hAnsi="宋体"/>
                <w:sz w:val="24"/>
                <w:szCs w:val="36"/>
                <w:highlight w:val="none"/>
              </w:rPr>
              <w:t xml:space="preserve">( </w:t>
            </w:r>
            <w:r>
              <w:rPr>
                <w:rFonts w:hint="default" w:ascii="Arial" w:hAnsi="Arial" w:cs="Arial"/>
                <w:sz w:val="24"/>
                <w:szCs w:val="36"/>
                <w:highlight w:val="none"/>
              </w:rPr>
              <w:t>√</w:t>
            </w:r>
            <w:r>
              <w:rPr>
                <w:rFonts w:hint="eastAsia" w:ascii="宋体" w:hAnsi="宋体"/>
                <w:sz w:val="24"/>
                <w:szCs w:val="36"/>
                <w:highlight w:val="none"/>
              </w:rPr>
              <w:t xml:space="preserve">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55F8556F">
            <w:pPr>
              <w:jc w:val="center"/>
              <w:rPr>
                <w:rFonts w:hint="eastAsia" w:ascii="宋体" w:hAnsi="宋体"/>
                <w:sz w:val="24"/>
                <w:szCs w:val="36"/>
                <w:highlight w:val="none"/>
              </w:rPr>
            </w:pPr>
            <w:r>
              <w:rPr>
                <w:rFonts w:hint="eastAsia" w:ascii="宋体" w:hAnsi="宋体"/>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4E206537">
            <w:pPr>
              <w:rPr>
                <w:rFonts w:ascii="宋体" w:hAnsi="宋体"/>
                <w:sz w:val="24"/>
                <w:szCs w:val="36"/>
                <w:highlight w:val="none"/>
              </w:rPr>
            </w:pPr>
          </w:p>
        </w:tc>
      </w:tr>
      <w:tr w14:paraId="2DA46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495" w:type="dxa"/>
            <w:tcBorders>
              <w:top w:val="single" w:color="auto" w:sz="4" w:space="0"/>
              <w:left w:val="single" w:color="auto" w:sz="4" w:space="0"/>
              <w:bottom w:val="single" w:color="auto" w:sz="4" w:space="0"/>
              <w:right w:val="single" w:color="auto" w:sz="4" w:space="0"/>
            </w:tcBorders>
            <w:noWrap w:val="0"/>
            <w:vAlign w:val="center"/>
          </w:tcPr>
          <w:p w14:paraId="61374CC6">
            <w:pPr>
              <w:widowControl/>
              <w:spacing w:line="360" w:lineRule="atLeast"/>
              <w:rPr>
                <w:rFonts w:ascii="宋体" w:hAnsi="宋体" w:cs="宋体"/>
                <w:b/>
                <w:sz w:val="24"/>
                <w:highlight w:val="none"/>
              </w:rPr>
            </w:pPr>
            <w:r>
              <w:rPr>
                <w:rFonts w:hint="eastAsia" w:ascii="宋体" w:hAnsi="宋体" w:cs="宋体"/>
                <w:b/>
                <w:bCs/>
                <w:sz w:val="24"/>
                <w:highlight w:val="none"/>
              </w:rPr>
              <w:t>二、超过一定规模的危险性较大的分部分项工程清单</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6788748A">
            <w:pPr>
              <w:jc w:val="center"/>
              <w:rPr>
                <w:rFonts w:ascii="宋体" w:hAnsi="宋体"/>
                <w:highlight w:val="none"/>
              </w:rPr>
            </w:pPr>
            <w:r>
              <w:rPr>
                <w:rFonts w:hint="eastAsia" w:ascii="宋体" w:hAnsi="宋体"/>
                <w:sz w:val="24"/>
                <w:szCs w:val="36"/>
                <w:highlight w:val="none"/>
              </w:rPr>
              <w:t xml:space="preserve">( </w:t>
            </w:r>
            <w:r>
              <w:rPr>
                <w:rFonts w:ascii="宋体" w:hAnsi="宋体"/>
                <w:sz w:val="24"/>
                <w:szCs w:val="36"/>
                <w:highlight w:val="none"/>
              </w:rPr>
              <w:t xml:space="preserve"> </w:t>
            </w:r>
            <w:r>
              <w:rPr>
                <w:rFonts w:hint="eastAsia" w:ascii="宋体" w:hAnsi="宋体"/>
                <w:sz w:val="24"/>
                <w:szCs w:val="36"/>
                <w:highlight w:val="none"/>
              </w:rPr>
              <w:t xml:space="preserve">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496E3388">
            <w:pPr>
              <w:jc w:val="center"/>
              <w:rPr>
                <w:rFonts w:ascii="宋体" w:hAnsi="宋体"/>
                <w:highlight w:val="none"/>
              </w:rPr>
            </w:pPr>
            <w:r>
              <w:rPr>
                <w:rFonts w:hint="eastAsia" w:ascii="宋体" w:hAnsi="宋体"/>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5065675E">
            <w:pPr>
              <w:rPr>
                <w:rFonts w:ascii="宋体" w:hAnsi="宋体"/>
                <w:sz w:val="24"/>
                <w:szCs w:val="36"/>
                <w:highlight w:val="none"/>
              </w:rPr>
            </w:pPr>
          </w:p>
        </w:tc>
      </w:tr>
      <w:tr w14:paraId="18F21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495" w:type="dxa"/>
            <w:tcBorders>
              <w:top w:val="single" w:color="auto" w:sz="4" w:space="0"/>
              <w:left w:val="single" w:color="auto" w:sz="4" w:space="0"/>
              <w:bottom w:val="single" w:color="auto" w:sz="4" w:space="0"/>
              <w:right w:val="single" w:color="auto" w:sz="4" w:space="0"/>
            </w:tcBorders>
            <w:noWrap w:val="0"/>
            <w:vAlign w:val="center"/>
          </w:tcPr>
          <w:p w14:paraId="23D0D9EC">
            <w:pPr>
              <w:rPr>
                <w:rFonts w:ascii="宋体" w:hAnsi="宋体"/>
                <w:sz w:val="24"/>
                <w:highlight w:val="none"/>
              </w:rPr>
            </w:pPr>
            <w:r>
              <w:rPr>
                <w:rFonts w:hint="eastAsia" w:ascii="宋体" w:hAnsi="宋体"/>
                <w:sz w:val="24"/>
                <w:highlight w:val="none"/>
              </w:rPr>
              <w:t>一、深基坑工程</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01A96DF5">
            <w:pPr>
              <w:jc w:val="center"/>
              <w:rPr>
                <w:rFonts w:ascii="宋体" w:hAnsi="宋体"/>
                <w:highlight w:val="none"/>
              </w:rPr>
            </w:pPr>
            <w:r>
              <w:rPr>
                <w:rFonts w:hint="eastAsia" w:ascii="宋体" w:hAnsi="宋体"/>
                <w:sz w:val="24"/>
                <w:szCs w:val="36"/>
                <w:highlight w:val="none"/>
              </w:rPr>
              <w:t xml:space="preserve">( </w:t>
            </w:r>
            <w:r>
              <w:rPr>
                <w:rFonts w:hint="eastAsia" w:ascii="宋体" w:hAnsi="宋体"/>
                <w:sz w:val="24"/>
                <w:szCs w:val="36"/>
                <w:highlight w:val="none"/>
                <w:lang w:val="en-US" w:eastAsia="zh-CN"/>
              </w:rPr>
              <w:t xml:space="preserve">  </w:t>
            </w:r>
            <w:r>
              <w:rPr>
                <w:rFonts w:hint="eastAsia" w:ascii="宋体" w:hAnsi="宋体"/>
                <w:sz w:val="24"/>
                <w:szCs w:val="36"/>
                <w:highlight w:val="none"/>
              </w:rPr>
              <w:t xml:space="preserve">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4177AC47">
            <w:pPr>
              <w:jc w:val="center"/>
              <w:rPr>
                <w:rFonts w:ascii="宋体" w:hAnsi="宋体"/>
                <w:highlight w:val="none"/>
              </w:rPr>
            </w:pPr>
            <w:r>
              <w:rPr>
                <w:rFonts w:hint="eastAsia" w:ascii="宋体" w:hAnsi="宋体"/>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68C5D48B">
            <w:pPr>
              <w:rPr>
                <w:rFonts w:ascii="宋体" w:hAnsi="宋体"/>
                <w:sz w:val="24"/>
                <w:szCs w:val="36"/>
                <w:highlight w:val="none"/>
              </w:rPr>
            </w:pPr>
          </w:p>
        </w:tc>
      </w:tr>
      <w:tr w14:paraId="52CBD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495" w:type="dxa"/>
            <w:tcBorders>
              <w:top w:val="single" w:color="auto" w:sz="4" w:space="0"/>
              <w:left w:val="single" w:color="auto" w:sz="4" w:space="0"/>
              <w:bottom w:val="single" w:color="auto" w:sz="4" w:space="0"/>
              <w:right w:val="single" w:color="auto" w:sz="4" w:space="0"/>
            </w:tcBorders>
            <w:noWrap w:val="0"/>
            <w:vAlign w:val="center"/>
          </w:tcPr>
          <w:p w14:paraId="48B28D37">
            <w:pPr>
              <w:rPr>
                <w:rFonts w:ascii="宋体" w:hAnsi="宋体"/>
                <w:sz w:val="24"/>
                <w:highlight w:val="none"/>
              </w:rPr>
            </w:pPr>
            <w:r>
              <w:rPr>
                <w:rFonts w:hint="eastAsia" w:ascii="宋体" w:hAnsi="宋体"/>
                <w:sz w:val="24"/>
                <w:highlight w:val="none"/>
              </w:rPr>
              <w:t>开挖深度超过5m（含5m）的基坑（槽）的土方开挖、支护、降水工程。</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0AD94330">
            <w:pPr>
              <w:jc w:val="center"/>
              <w:rPr>
                <w:rFonts w:ascii="宋体" w:hAnsi="宋体"/>
                <w:highlight w:val="none"/>
              </w:rPr>
            </w:pPr>
            <w:r>
              <w:rPr>
                <w:rFonts w:hint="eastAsia" w:ascii="宋体" w:hAnsi="宋体"/>
                <w:sz w:val="24"/>
                <w:szCs w:val="36"/>
                <w:highlight w:val="none"/>
              </w:rPr>
              <w:t xml:space="preserve">( </w:t>
            </w:r>
            <w:r>
              <w:rPr>
                <w:rFonts w:hint="eastAsia" w:ascii="宋体" w:hAnsi="宋体"/>
                <w:sz w:val="24"/>
                <w:szCs w:val="36"/>
                <w:highlight w:val="none"/>
                <w:lang w:val="en-US" w:eastAsia="zh-CN"/>
              </w:rPr>
              <w:t xml:space="preserve">  </w:t>
            </w:r>
            <w:r>
              <w:rPr>
                <w:rFonts w:hint="eastAsia" w:ascii="宋体" w:hAnsi="宋体"/>
                <w:sz w:val="24"/>
                <w:szCs w:val="36"/>
                <w:highlight w:val="none"/>
              </w:rPr>
              <w:t xml:space="preserve">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77A28B63">
            <w:pPr>
              <w:jc w:val="center"/>
              <w:rPr>
                <w:rFonts w:ascii="宋体" w:hAnsi="宋体"/>
                <w:highlight w:val="none"/>
              </w:rPr>
            </w:pPr>
            <w:r>
              <w:rPr>
                <w:rFonts w:hint="eastAsia" w:ascii="宋体" w:hAnsi="宋体"/>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06D381D2">
            <w:pPr>
              <w:rPr>
                <w:rFonts w:ascii="宋体" w:hAnsi="宋体"/>
                <w:sz w:val="24"/>
                <w:szCs w:val="36"/>
                <w:highlight w:val="none"/>
              </w:rPr>
            </w:pPr>
          </w:p>
        </w:tc>
      </w:tr>
      <w:tr w14:paraId="4BF32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495" w:type="dxa"/>
            <w:tcBorders>
              <w:top w:val="single" w:color="auto" w:sz="4" w:space="0"/>
              <w:left w:val="single" w:color="auto" w:sz="4" w:space="0"/>
              <w:bottom w:val="single" w:color="auto" w:sz="4" w:space="0"/>
              <w:right w:val="single" w:color="auto" w:sz="4" w:space="0"/>
            </w:tcBorders>
            <w:noWrap w:val="0"/>
            <w:vAlign w:val="center"/>
          </w:tcPr>
          <w:p w14:paraId="318FA9F0">
            <w:pPr>
              <w:rPr>
                <w:rFonts w:ascii="宋体" w:hAnsi="宋体"/>
                <w:sz w:val="24"/>
                <w:highlight w:val="none"/>
              </w:rPr>
            </w:pPr>
            <w:r>
              <w:rPr>
                <w:rFonts w:hint="eastAsia" w:ascii="宋体" w:hAnsi="宋体"/>
                <w:sz w:val="24"/>
                <w:highlight w:val="none"/>
              </w:rPr>
              <w:t>二、模板工程及支撑体系</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65D192BA">
            <w:pPr>
              <w:jc w:val="center"/>
              <w:rPr>
                <w:rFonts w:ascii="宋体" w:hAnsi="宋体"/>
                <w:highlight w:val="none"/>
              </w:rPr>
            </w:pPr>
            <w:r>
              <w:rPr>
                <w:rFonts w:hint="eastAsia" w:ascii="宋体" w:hAnsi="宋体"/>
                <w:sz w:val="24"/>
                <w:szCs w:val="36"/>
                <w:highlight w:val="none"/>
              </w:rPr>
              <w:t>(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2CFE55F8">
            <w:pPr>
              <w:jc w:val="center"/>
              <w:rPr>
                <w:rFonts w:ascii="宋体" w:hAnsi="宋体"/>
                <w:highlight w:val="none"/>
              </w:rPr>
            </w:pPr>
            <w:r>
              <w:rPr>
                <w:rFonts w:hint="eastAsia" w:ascii="宋体" w:hAnsi="宋体"/>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064879BC">
            <w:pPr>
              <w:rPr>
                <w:rFonts w:ascii="宋体" w:hAnsi="宋体"/>
                <w:sz w:val="24"/>
                <w:szCs w:val="36"/>
                <w:highlight w:val="none"/>
              </w:rPr>
            </w:pPr>
          </w:p>
        </w:tc>
      </w:tr>
      <w:tr w14:paraId="3958A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495" w:type="dxa"/>
            <w:tcBorders>
              <w:top w:val="single" w:color="auto" w:sz="4" w:space="0"/>
              <w:left w:val="single" w:color="auto" w:sz="4" w:space="0"/>
              <w:bottom w:val="single" w:color="auto" w:sz="4" w:space="0"/>
              <w:right w:val="single" w:color="auto" w:sz="4" w:space="0"/>
            </w:tcBorders>
            <w:noWrap w:val="0"/>
            <w:vAlign w:val="center"/>
          </w:tcPr>
          <w:p w14:paraId="5C735841">
            <w:pPr>
              <w:rPr>
                <w:rFonts w:ascii="宋体" w:hAnsi="宋体"/>
                <w:sz w:val="24"/>
                <w:highlight w:val="none"/>
              </w:rPr>
            </w:pPr>
            <w:r>
              <w:rPr>
                <w:rFonts w:hint="eastAsia" w:ascii="宋体" w:hAnsi="宋体"/>
                <w:sz w:val="24"/>
                <w:highlight w:val="none"/>
              </w:rPr>
              <w:t>（一）各类工具式模板工程：包括滑模、爬模、飞模、隧道模等工程。</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38AE6286">
            <w:pPr>
              <w:jc w:val="center"/>
              <w:rPr>
                <w:rFonts w:ascii="宋体" w:hAnsi="宋体"/>
                <w:highlight w:val="none"/>
              </w:rPr>
            </w:pPr>
            <w:r>
              <w:rPr>
                <w:rFonts w:hint="eastAsia" w:ascii="宋体" w:hAnsi="宋体"/>
                <w:sz w:val="24"/>
                <w:szCs w:val="36"/>
                <w:highlight w:val="none"/>
              </w:rPr>
              <w:t>(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4A72001A">
            <w:pPr>
              <w:jc w:val="center"/>
              <w:rPr>
                <w:rFonts w:ascii="宋体" w:hAnsi="宋体"/>
                <w:highlight w:val="none"/>
              </w:rPr>
            </w:pPr>
            <w:r>
              <w:rPr>
                <w:rFonts w:hint="eastAsia" w:ascii="宋体" w:hAnsi="宋体"/>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325CAF55">
            <w:pPr>
              <w:rPr>
                <w:rFonts w:ascii="宋体" w:hAnsi="宋体"/>
                <w:sz w:val="24"/>
                <w:szCs w:val="36"/>
                <w:highlight w:val="none"/>
              </w:rPr>
            </w:pPr>
          </w:p>
        </w:tc>
      </w:tr>
      <w:tr w14:paraId="766A5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495" w:type="dxa"/>
            <w:tcBorders>
              <w:top w:val="single" w:color="auto" w:sz="4" w:space="0"/>
              <w:left w:val="single" w:color="auto" w:sz="4" w:space="0"/>
              <w:bottom w:val="single" w:color="auto" w:sz="4" w:space="0"/>
              <w:right w:val="single" w:color="auto" w:sz="4" w:space="0"/>
            </w:tcBorders>
            <w:noWrap w:val="0"/>
            <w:vAlign w:val="center"/>
          </w:tcPr>
          <w:p w14:paraId="7328AB21">
            <w:pPr>
              <w:rPr>
                <w:rFonts w:ascii="宋体" w:hAnsi="宋体"/>
                <w:sz w:val="24"/>
                <w:highlight w:val="none"/>
              </w:rPr>
            </w:pPr>
            <w:r>
              <w:rPr>
                <w:rFonts w:hint="eastAsia" w:ascii="宋体" w:hAnsi="宋体"/>
                <w:sz w:val="24"/>
                <w:highlight w:val="none"/>
              </w:rPr>
              <w:t>（二）混凝土模板支撑工程：搭设高度8m及以上，或搭设跨度18m及以上，或施工总荷载（设计值）15kN/m2及以上，或集中线荷载（设计值）20kN/m及以上。</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23B69728">
            <w:pPr>
              <w:jc w:val="center"/>
              <w:rPr>
                <w:rFonts w:ascii="宋体" w:hAnsi="宋体"/>
                <w:highlight w:val="none"/>
              </w:rPr>
            </w:pPr>
            <w:r>
              <w:rPr>
                <w:rFonts w:hint="eastAsia" w:ascii="宋体" w:hAnsi="宋体"/>
                <w:sz w:val="24"/>
                <w:szCs w:val="36"/>
                <w:highlight w:val="none"/>
              </w:rPr>
              <w:t xml:space="preserve">(  </w:t>
            </w:r>
            <w:r>
              <w:rPr>
                <w:rFonts w:ascii="宋体" w:hAnsi="宋体"/>
                <w:sz w:val="24"/>
                <w:szCs w:val="36"/>
                <w:highlight w:val="none"/>
              </w:rPr>
              <w:t xml:space="preserve"> </w:t>
            </w:r>
            <w:r>
              <w:rPr>
                <w:rFonts w:hint="eastAsia" w:ascii="宋体" w:hAnsi="宋体"/>
                <w:sz w:val="24"/>
                <w:szCs w:val="36"/>
                <w:highlight w:val="none"/>
              </w:rPr>
              <w:t xml:space="preserve">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52ACAC08">
            <w:pPr>
              <w:jc w:val="center"/>
              <w:rPr>
                <w:rFonts w:ascii="宋体" w:hAnsi="宋体"/>
                <w:highlight w:val="none"/>
              </w:rPr>
            </w:pPr>
            <w:r>
              <w:rPr>
                <w:rFonts w:hint="eastAsia" w:ascii="宋体" w:hAnsi="宋体"/>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6E8E2CBD">
            <w:pPr>
              <w:rPr>
                <w:rFonts w:ascii="宋体" w:hAnsi="宋体"/>
                <w:sz w:val="24"/>
                <w:szCs w:val="36"/>
                <w:highlight w:val="none"/>
              </w:rPr>
            </w:pPr>
          </w:p>
        </w:tc>
      </w:tr>
      <w:tr w14:paraId="67342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495" w:type="dxa"/>
            <w:tcBorders>
              <w:top w:val="single" w:color="auto" w:sz="4" w:space="0"/>
              <w:left w:val="single" w:color="auto" w:sz="4" w:space="0"/>
              <w:bottom w:val="single" w:color="auto" w:sz="4" w:space="0"/>
              <w:right w:val="single" w:color="auto" w:sz="4" w:space="0"/>
            </w:tcBorders>
            <w:noWrap w:val="0"/>
            <w:vAlign w:val="center"/>
          </w:tcPr>
          <w:p w14:paraId="5DE6D033">
            <w:pPr>
              <w:rPr>
                <w:rFonts w:ascii="宋体" w:hAnsi="宋体"/>
                <w:sz w:val="24"/>
                <w:highlight w:val="none"/>
              </w:rPr>
            </w:pPr>
            <w:r>
              <w:rPr>
                <w:rFonts w:hint="eastAsia" w:ascii="宋体" w:hAnsi="宋体"/>
                <w:sz w:val="24"/>
                <w:highlight w:val="none"/>
              </w:rPr>
              <w:t>（三）承重支撑体系：用于钢结构安装等满堂支撑体系，承受单点集中荷载7kN及以上。</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6555F429">
            <w:pPr>
              <w:jc w:val="center"/>
              <w:rPr>
                <w:rFonts w:ascii="宋体" w:hAnsi="宋体"/>
                <w:highlight w:val="none"/>
              </w:rPr>
            </w:pPr>
            <w:r>
              <w:rPr>
                <w:rFonts w:hint="eastAsia" w:ascii="宋体" w:hAnsi="宋体"/>
                <w:sz w:val="24"/>
                <w:szCs w:val="36"/>
                <w:highlight w:val="none"/>
              </w:rPr>
              <w:t>(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133724FF">
            <w:pPr>
              <w:jc w:val="center"/>
              <w:rPr>
                <w:rFonts w:ascii="宋体" w:hAnsi="宋体"/>
                <w:highlight w:val="none"/>
              </w:rPr>
            </w:pPr>
            <w:r>
              <w:rPr>
                <w:rFonts w:hint="eastAsia" w:ascii="宋体" w:hAnsi="宋体"/>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2F76F452">
            <w:pPr>
              <w:rPr>
                <w:rFonts w:ascii="宋体" w:hAnsi="宋体"/>
                <w:sz w:val="24"/>
                <w:szCs w:val="36"/>
                <w:highlight w:val="none"/>
              </w:rPr>
            </w:pPr>
          </w:p>
        </w:tc>
      </w:tr>
      <w:tr w14:paraId="19C0C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495" w:type="dxa"/>
            <w:tcBorders>
              <w:top w:val="single" w:color="auto" w:sz="4" w:space="0"/>
              <w:left w:val="single" w:color="auto" w:sz="4" w:space="0"/>
              <w:bottom w:val="single" w:color="auto" w:sz="4" w:space="0"/>
              <w:right w:val="single" w:color="auto" w:sz="4" w:space="0"/>
            </w:tcBorders>
            <w:noWrap w:val="0"/>
            <w:vAlign w:val="center"/>
          </w:tcPr>
          <w:p w14:paraId="73C35B4E">
            <w:pPr>
              <w:rPr>
                <w:rFonts w:ascii="宋体" w:hAnsi="宋体"/>
                <w:sz w:val="24"/>
                <w:highlight w:val="none"/>
              </w:rPr>
            </w:pPr>
            <w:r>
              <w:rPr>
                <w:rFonts w:hint="eastAsia" w:ascii="宋体" w:hAnsi="宋体"/>
                <w:sz w:val="24"/>
                <w:highlight w:val="none"/>
              </w:rPr>
              <w:t>　三、起重吊装及起重机械安装拆卸工程</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271630AD">
            <w:pPr>
              <w:jc w:val="center"/>
              <w:rPr>
                <w:rFonts w:ascii="宋体" w:hAnsi="宋体"/>
                <w:highlight w:val="none"/>
              </w:rPr>
            </w:pPr>
            <w:r>
              <w:rPr>
                <w:rFonts w:hint="eastAsia" w:ascii="宋体" w:hAnsi="宋体"/>
                <w:sz w:val="24"/>
                <w:szCs w:val="36"/>
                <w:highlight w:val="none"/>
              </w:rPr>
              <w:t>(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39D865ED">
            <w:pPr>
              <w:jc w:val="center"/>
              <w:rPr>
                <w:rFonts w:ascii="宋体" w:hAnsi="宋体"/>
                <w:highlight w:val="none"/>
              </w:rPr>
            </w:pPr>
            <w:r>
              <w:rPr>
                <w:rFonts w:hint="eastAsia" w:ascii="宋体" w:hAnsi="宋体"/>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15219CD4">
            <w:pPr>
              <w:rPr>
                <w:rFonts w:ascii="宋体" w:hAnsi="宋体"/>
                <w:sz w:val="24"/>
                <w:szCs w:val="36"/>
                <w:highlight w:val="none"/>
              </w:rPr>
            </w:pPr>
          </w:p>
        </w:tc>
      </w:tr>
      <w:tr w14:paraId="24EE3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495" w:type="dxa"/>
            <w:tcBorders>
              <w:top w:val="single" w:color="auto" w:sz="4" w:space="0"/>
              <w:left w:val="single" w:color="auto" w:sz="4" w:space="0"/>
              <w:bottom w:val="single" w:color="auto" w:sz="4" w:space="0"/>
              <w:right w:val="single" w:color="auto" w:sz="4" w:space="0"/>
            </w:tcBorders>
            <w:noWrap w:val="0"/>
            <w:vAlign w:val="center"/>
          </w:tcPr>
          <w:p w14:paraId="373CBF05">
            <w:pPr>
              <w:rPr>
                <w:rFonts w:ascii="宋体" w:hAnsi="宋体"/>
                <w:sz w:val="24"/>
                <w:highlight w:val="none"/>
              </w:rPr>
            </w:pPr>
            <w:r>
              <w:rPr>
                <w:rFonts w:hint="eastAsia" w:ascii="宋体" w:hAnsi="宋体"/>
                <w:sz w:val="24"/>
                <w:highlight w:val="none"/>
              </w:rPr>
              <w:t>（一）采用非常规起重设备、方法，且单件起吊重量在100kN及以上的起重吊装工程。</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7DE67C67">
            <w:pPr>
              <w:jc w:val="center"/>
              <w:rPr>
                <w:rFonts w:ascii="宋体" w:hAnsi="宋体"/>
                <w:highlight w:val="none"/>
              </w:rPr>
            </w:pPr>
            <w:r>
              <w:rPr>
                <w:rFonts w:hint="eastAsia" w:ascii="宋体" w:hAnsi="宋体"/>
                <w:sz w:val="24"/>
                <w:szCs w:val="36"/>
                <w:highlight w:val="none"/>
              </w:rPr>
              <w:t xml:space="preserve">( </w:t>
            </w:r>
            <w:r>
              <w:rPr>
                <w:rFonts w:ascii="宋体" w:hAnsi="宋体"/>
                <w:sz w:val="24"/>
                <w:szCs w:val="36"/>
                <w:highlight w:val="none"/>
              </w:rPr>
              <w:t xml:space="preserve">  </w:t>
            </w:r>
            <w:r>
              <w:rPr>
                <w:rFonts w:hint="eastAsia" w:ascii="宋体" w:hAnsi="宋体"/>
                <w:sz w:val="24"/>
                <w:szCs w:val="36"/>
                <w:highlight w:val="none"/>
              </w:rPr>
              <w:t xml:space="preserve">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095E3E01">
            <w:pPr>
              <w:jc w:val="center"/>
              <w:rPr>
                <w:rFonts w:ascii="宋体" w:hAnsi="宋体"/>
                <w:highlight w:val="none"/>
              </w:rPr>
            </w:pPr>
            <w:r>
              <w:rPr>
                <w:rFonts w:hint="eastAsia" w:ascii="宋体" w:hAnsi="宋体"/>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58BFBB5A">
            <w:pPr>
              <w:rPr>
                <w:rFonts w:ascii="宋体" w:hAnsi="宋体"/>
                <w:sz w:val="24"/>
                <w:szCs w:val="36"/>
                <w:highlight w:val="none"/>
              </w:rPr>
            </w:pPr>
          </w:p>
        </w:tc>
      </w:tr>
      <w:tr w14:paraId="6CE57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495" w:type="dxa"/>
            <w:tcBorders>
              <w:top w:val="single" w:color="auto" w:sz="4" w:space="0"/>
              <w:left w:val="single" w:color="auto" w:sz="4" w:space="0"/>
              <w:bottom w:val="single" w:color="auto" w:sz="4" w:space="0"/>
              <w:right w:val="single" w:color="auto" w:sz="4" w:space="0"/>
            </w:tcBorders>
            <w:noWrap w:val="0"/>
            <w:vAlign w:val="center"/>
          </w:tcPr>
          <w:p w14:paraId="1BEFD98D">
            <w:pPr>
              <w:rPr>
                <w:rFonts w:ascii="宋体" w:hAnsi="宋体"/>
                <w:sz w:val="24"/>
                <w:highlight w:val="none"/>
              </w:rPr>
            </w:pPr>
            <w:r>
              <w:rPr>
                <w:rFonts w:hint="eastAsia" w:ascii="宋体" w:hAnsi="宋体"/>
                <w:sz w:val="24"/>
                <w:highlight w:val="none"/>
              </w:rPr>
              <w:t>（二）起重量300kN及以上，或搭设总高度200m及以上，或搭设基础标高在200m及以上的起重机械安装和拆卸工程。</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60D2194A">
            <w:pPr>
              <w:jc w:val="center"/>
              <w:rPr>
                <w:rFonts w:ascii="宋体" w:hAnsi="宋体"/>
                <w:highlight w:val="none"/>
              </w:rPr>
            </w:pPr>
            <w:r>
              <w:rPr>
                <w:rFonts w:hint="eastAsia" w:ascii="宋体" w:hAnsi="宋体"/>
                <w:sz w:val="24"/>
                <w:szCs w:val="36"/>
                <w:highlight w:val="none"/>
              </w:rPr>
              <w:t>(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3F79EACD">
            <w:pPr>
              <w:jc w:val="center"/>
              <w:rPr>
                <w:rFonts w:ascii="宋体" w:hAnsi="宋体"/>
                <w:highlight w:val="none"/>
              </w:rPr>
            </w:pPr>
            <w:r>
              <w:rPr>
                <w:rFonts w:hint="eastAsia" w:ascii="宋体" w:hAnsi="宋体"/>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7553D30E">
            <w:pPr>
              <w:rPr>
                <w:rFonts w:ascii="宋体" w:hAnsi="宋体"/>
                <w:sz w:val="24"/>
                <w:szCs w:val="36"/>
                <w:highlight w:val="none"/>
              </w:rPr>
            </w:pPr>
          </w:p>
        </w:tc>
      </w:tr>
      <w:tr w14:paraId="29C09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495" w:type="dxa"/>
            <w:tcBorders>
              <w:top w:val="single" w:color="auto" w:sz="4" w:space="0"/>
              <w:left w:val="single" w:color="auto" w:sz="4" w:space="0"/>
              <w:bottom w:val="single" w:color="auto" w:sz="4" w:space="0"/>
              <w:right w:val="single" w:color="auto" w:sz="4" w:space="0"/>
            </w:tcBorders>
            <w:noWrap w:val="0"/>
            <w:vAlign w:val="center"/>
          </w:tcPr>
          <w:p w14:paraId="3BDE3194">
            <w:pPr>
              <w:rPr>
                <w:rFonts w:ascii="宋体" w:hAnsi="宋体"/>
                <w:sz w:val="24"/>
                <w:highlight w:val="none"/>
              </w:rPr>
            </w:pPr>
            <w:r>
              <w:rPr>
                <w:rFonts w:hint="eastAsia" w:ascii="宋体" w:hAnsi="宋体"/>
                <w:sz w:val="24"/>
                <w:highlight w:val="none"/>
              </w:rPr>
              <w:t>四、脚手架工程</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5F3C54C8">
            <w:pPr>
              <w:jc w:val="center"/>
              <w:rPr>
                <w:rFonts w:ascii="宋体" w:hAnsi="宋体"/>
                <w:highlight w:val="none"/>
              </w:rPr>
            </w:pPr>
            <w:r>
              <w:rPr>
                <w:rFonts w:hint="eastAsia" w:ascii="宋体" w:hAnsi="宋体"/>
                <w:sz w:val="24"/>
                <w:szCs w:val="36"/>
                <w:highlight w:val="none"/>
              </w:rPr>
              <w:t>(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2009347C">
            <w:pPr>
              <w:jc w:val="center"/>
              <w:rPr>
                <w:rFonts w:ascii="宋体" w:hAnsi="宋体"/>
                <w:highlight w:val="none"/>
              </w:rPr>
            </w:pPr>
            <w:r>
              <w:rPr>
                <w:rFonts w:hint="eastAsia" w:ascii="宋体" w:hAnsi="宋体"/>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0009D480">
            <w:pPr>
              <w:rPr>
                <w:rFonts w:ascii="宋体" w:hAnsi="宋体"/>
                <w:sz w:val="24"/>
                <w:szCs w:val="36"/>
                <w:highlight w:val="none"/>
              </w:rPr>
            </w:pPr>
          </w:p>
        </w:tc>
      </w:tr>
      <w:tr w14:paraId="7BD8C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495" w:type="dxa"/>
            <w:tcBorders>
              <w:top w:val="single" w:color="auto" w:sz="4" w:space="0"/>
              <w:left w:val="single" w:color="auto" w:sz="4" w:space="0"/>
              <w:bottom w:val="single" w:color="auto" w:sz="4" w:space="0"/>
              <w:right w:val="single" w:color="auto" w:sz="4" w:space="0"/>
            </w:tcBorders>
            <w:noWrap w:val="0"/>
            <w:vAlign w:val="center"/>
          </w:tcPr>
          <w:p w14:paraId="0A574A4A">
            <w:pPr>
              <w:rPr>
                <w:rFonts w:ascii="宋体" w:hAnsi="宋体"/>
                <w:sz w:val="24"/>
                <w:highlight w:val="none"/>
              </w:rPr>
            </w:pPr>
            <w:r>
              <w:rPr>
                <w:rFonts w:hint="eastAsia" w:ascii="宋体" w:hAnsi="宋体"/>
                <w:sz w:val="24"/>
                <w:highlight w:val="none"/>
              </w:rPr>
              <w:t>（一）搭设高度50m及以上的落地式钢管脚手架工程。</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22D3E82B">
            <w:pPr>
              <w:jc w:val="center"/>
              <w:rPr>
                <w:rFonts w:ascii="宋体" w:hAnsi="宋体"/>
                <w:highlight w:val="none"/>
              </w:rPr>
            </w:pPr>
            <w:r>
              <w:rPr>
                <w:rFonts w:hint="eastAsia" w:ascii="宋体" w:hAnsi="宋体"/>
                <w:sz w:val="24"/>
                <w:szCs w:val="36"/>
                <w:highlight w:val="none"/>
              </w:rPr>
              <w:t>(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56B9B1AC">
            <w:pPr>
              <w:jc w:val="center"/>
              <w:rPr>
                <w:rFonts w:ascii="宋体" w:hAnsi="宋体"/>
                <w:highlight w:val="none"/>
              </w:rPr>
            </w:pPr>
            <w:r>
              <w:rPr>
                <w:rFonts w:hint="eastAsia" w:ascii="宋体" w:hAnsi="宋体"/>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474E78FC">
            <w:pPr>
              <w:rPr>
                <w:rFonts w:ascii="宋体" w:hAnsi="宋体"/>
                <w:sz w:val="24"/>
                <w:szCs w:val="36"/>
                <w:highlight w:val="none"/>
              </w:rPr>
            </w:pPr>
          </w:p>
        </w:tc>
      </w:tr>
      <w:tr w14:paraId="33518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495" w:type="dxa"/>
            <w:tcBorders>
              <w:top w:val="single" w:color="auto" w:sz="4" w:space="0"/>
              <w:left w:val="single" w:color="auto" w:sz="4" w:space="0"/>
              <w:bottom w:val="single" w:color="auto" w:sz="4" w:space="0"/>
              <w:right w:val="single" w:color="auto" w:sz="4" w:space="0"/>
            </w:tcBorders>
            <w:noWrap w:val="0"/>
            <w:vAlign w:val="center"/>
          </w:tcPr>
          <w:p w14:paraId="795E257D">
            <w:pPr>
              <w:rPr>
                <w:rFonts w:ascii="宋体" w:hAnsi="宋体"/>
                <w:sz w:val="24"/>
                <w:highlight w:val="none"/>
              </w:rPr>
            </w:pPr>
            <w:r>
              <w:rPr>
                <w:rFonts w:hint="eastAsia" w:ascii="宋体" w:hAnsi="宋体"/>
                <w:sz w:val="24"/>
                <w:highlight w:val="none"/>
              </w:rPr>
              <w:t>（二）提升高度在150m及以上的附着式升降脚手架工程或附着式升降操作平台工程。</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2CD3B134">
            <w:pPr>
              <w:jc w:val="center"/>
              <w:rPr>
                <w:rFonts w:ascii="宋体" w:hAnsi="宋体"/>
                <w:highlight w:val="none"/>
              </w:rPr>
            </w:pPr>
            <w:r>
              <w:rPr>
                <w:rFonts w:hint="eastAsia" w:ascii="宋体" w:hAnsi="宋体"/>
                <w:sz w:val="24"/>
                <w:szCs w:val="36"/>
                <w:highlight w:val="none"/>
              </w:rPr>
              <w:t>(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1574C2BA">
            <w:pPr>
              <w:jc w:val="center"/>
              <w:rPr>
                <w:rFonts w:ascii="宋体" w:hAnsi="宋体"/>
                <w:highlight w:val="none"/>
              </w:rPr>
            </w:pPr>
            <w:r>
              <w:rPr>
                <w:rFonts w:hint="eastAsia" w:ascii="宋体" w:hAnsi="宋体"/>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19CA3CDB">
            <w:pPr>
              <w:rPr>
                <w:rFonts w:ascii="宋体" w:hAnsi="宋体"/>
                <w:sz w:val="24"/>
                <w:szCs w:val="36"/>
                <w:highlight w:val="none"/>
              </w:rPr>
            </w:pPr>
          </w:p>
        </w:tc>
      </w:tr>
      <w:tr w14:paraId="14D12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495" w:type="dxa"/>
            <w:tcBorders>
              <w:top w:val="single" w:color="auto" w:sz="4" w:space="0"/>
              <w:left w:val="single" w:color="auto" w:sz="4" w:space="0"/>
              <w:bottom w:val="single" w:color="auto" w:sz="4" w:space="0"/>
              <w:right w:val="single" w:color="auto" w:sz="4" w:space="0"/>
            </w:tcBorders>
            <w:noWrap w:val="0"/>
            <w:vAlign w:val="center"/>
          </w:tcPr>
          <w:p w14:paraId="5818F8B1">
            <w:pPr>
              <w:rPr>
                <w:rFonts w:ascii="宋体" w:hAnsi="宋体"/>
                <w:sz w:val="24"/>
                <w:highlight w:val="none"/>
              </w:rPr>
            </w:pPr>
            <w:r>
              <w:rPr>
                <w:rFonts w:hint="eastAsia" w:ascii="宋体" w:hAnsi="宋体"/>
                <w:sz w:val="24"/>
                <w:highlight w:val="none"/>
              </w:rPr>
              <w:t>（三）分段架体搭设高度20m及以上的悬挑式脚手架工程。</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7490A20B">
            <w:pPr>
              <w:jc w:val="center"/>
              <w:rPr>
                <w:rFonts w:ascii="宋体" w:hAnsi="宋体"/>
                <w:highlight w:val="none"/>
              </w:rPr>
            </w:pPr>
            <w:r>
              <w:rPr>
                <w:rFonts w:hint="eastAsia" w:ascii="宋体" w:hAnsi="宋体"/>
                <w:sz w:val="24"/>
                <w:szCs w:val="36"/>
                <w:highlight w:val="none"/>
              </w:rPr>
              <w:t>(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0CF5A81D">
            <w:pPr>
              <w:jc w:val="center"/>
              <w:rPr>
                <w:rFonts w:ascii="宋体" w:hAnsi="宋体"/>
                <w:highlight w:val="none"/>
              </w:rPr>
            </w:pPr>
            <w:r>
              <w:rPr>
                <w:rFonts w:hint="eastAsia" w:ascii="宋体" w:hAnsi="宋体"/>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640DC681">
            <w:pPr>
              <w:rPr>
                <w:rFonts w:ascii="宋体" w:hAnsi="宋体"/>
                <w:sz w:val="24"/>
                <w:szCs w:val="36"/>
                <w:highlight w:val="none"/>
              </w:rPr>
            </w:pPr>
          </w:p>
        </w:tc>
      </w:tr>
      <w:tr w14:paraId="2D4C0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495" w:type="dxa"/>
            <w:tcBorders>
              <w:top w:val="single" w:color="auto" w:sz="4" w:space="0"/>
              <w:left w:val="single" w:color="auto" w:sz="4" w:space="0"/>
              <w:bottom w:val="single" w:color="auto" w:sz="4" w:space="0"/>
              <w:right w:val="single" w:color="auto" w:sz="4" w:space="0"/>
            </w:tcBorders>
            <w:noWrap w:val="0"/>
            <w:vAlign w:val="center"/>
          </w:tcPr>
          <w:p w14:paraId="3A387D96">
            <w:pPr>
              <w:rPr>
                <w:rFonts w:ascii="宋体" w:hAnsi="宋体"/>
                <w:sz w:val="24"/>
                <w:highlight w:val="none"/>
              </w:rPr>
            </w:pPr>
            <w:r>
              <w:rPr>
                <w:rFonts w:hint="eastAsia" w:ascii="宋体" w:hAnsi="宋体"/>
                <w:sz w:val="24"/>
                <w:highlight w:val="none"/>
              </w:rPr>
              <w:t>五、拆除工程</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744B71EF">
            <w:pPr>
              <w:jc w:val="center"/>
              <w:rPr>
                <w:rFonts w:ascii="宋体" w:hAnsi="宋体"/>
                <w:highlight w:val="none"/>
              </w:rPr>
            </w:pPr>
            <w:r>
              <w:rPr>
                <w:rFonts w:hint="eastAsia" w:ascii="宋体" w:hAnsi="宋体"/>
                <w:sz w:val="24"/>
                <w:szCs w:val="36"/>
                <w:highlight w:val="none"/>
              </w:rPr>
              <w:t>(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29A136FC">
            <w:pPr>
              <w:jc w:val="center"/>
              <w:rPr>
                <w:rFonts w:ascii="宋体" w:hAnsi="宋体"/>
                <w:highlight w:val="none"/>
              </w:rPr>
            </w:pPr>
            <w:r>
              <w:rPr>
                <w:rFonts w:hint="eastAsia" w:ascii="宋体" w:hAnsi="宋体"/>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1DA1C1F6">
            <w:pPr>
              <w:rPr>
                <w:rFonts w:ascii="宋体" w:hAnsi="宋体"/>
                <w:sz w:val="24"/>
                <w:szCs w:val="36"/>
                <w:highlight w:val="none"/>
              </w:rPr>
            </w:pPr>
          </w:p>
        </w:tc>
      </w:tr>
      <w:tr w14:paraId="2F2FA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495" w:type="dxa"/>
            <w:tcBorders>
              <w:top w:val="single" w:color="auto" w:sz="4" w:space="0"/>
              <w:left w:val="single" w:color="auto" w:sz="4" w:space="0"/>
              <w:bottom w:val="single" w:color="auto" w:sz="4" w:space="0"/>
              <w:right w:val="single" w:color="auto" w:sz="4" w:space="0"/>
            </w:tcBorders>
            <w:noWrap w:val="0"/>
            <w:vAlign w:val="center"/>
          </w:tcPr>
          <w:p w14:paraId="0BBB0E6D">
            <w:pPr>
              <w:rPr>
                <w:rFonts w:ascii="宋体" w:hAnsi="宋体"/>
                <w:sz w:val="24"/>
                <w:highlight w:val="none"/>
              </w:rPr>
            </w:pPr>
            <w:r>
              <w:rPr>
                <w:rFonts w:hint="eastAsia" w:ascii="宋体" w:hAnsi="宋体"/>
                <w:sz w:val="24"/>
                <w:highlight w:val="none"/>
              </w:rPr>
              <w:t>（一）码头、桥梁、高架、烟囱、水塔或拆除中容易引起有毒有害气（液）体或粉尘扩散、易燃易爆事故发生的特殊建、构筑物的拆除工程。</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3434ACA7">
            <w:pPr>
              <w:jc w:val="center"/>
              <w:rPr>
                <w:rFonts w:ascii="宋体" w:hAnsi="宋体"/>
                <w:highlight w:val="none"/>
              </w:rPr>
            </w:pPr>
            <w:r>
              <w:rPr>
                <w:rFonts w:hint="eastAsia" w:ascii="宋体" w:hAnsi="宋体"/>
                <w:sz w:val="24"/>
                <w:szCs w:val="36"/>
                <w:highlight w:val="none"/>
              </w:rPr>
              <w:t xml:space="preserve">(  </w:t>
            </w:r>
            <w:r>
              <w:rPr>
                <w:rFonts w:ascii="宋体" w:hAnsi="宋体"/>
                <w:sz w:val="24"/>
                <w:szCs w:val="36"/>
                <w:highlight w:val="none"/>
              </w:rPr>
              <w:t xml:space="preserve"> </w:t>
            </w:r>
            <w:r>
              <w:rPr>
                <w:rFonts w:hint="eastAsia" w:ascii="宋体" w:hAnsi="宋体"/>
                <w:sz w:val="24"/>
                <w:szCs w:val="36"/>
                <w:highlight w:val="none"/>
              </w:rPr>
              <w:t xml:space="preserve">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12212739">
            <w:pPr>
              <w:jc w:val="center"/>
              <w:rPr>
                <w:rFonts w:ascii="宋体" w:hAnsi="宋体"/>
                <w:highlight w:val="none"/>
              </w:rPr>
            </w:pPr>
            <w:r>
              <w:rPr>
                <w:rFonts w:hint="eastAsia" w:ascii="宋体" w:hAnsi="宋体"/>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5D11F5C1">
            <w:pPr>
              <w:rPr>
                <w:rFonts w:ascii="宋体" w:hAnsi="宋体"/>
                <w:sz w:val="24"/>
                <w:szCs w:val="36"/>
                <w:highlight w:val="none"/>
              </w:rPr>
            </w:pPr>
          </w:p>
        </w:tc>
      </w:tr>
      <w:tr w14:paraId="2BDAF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495" w:type="dxa"/>
            <w:tcBorders>
              <w:top w:val="single" w:color="auto" w:sz="4" w:space="0"/>
              <w:left w:val="single" w:color="auto" w:sz="4" w:space="0"/>
              <w:bottom w:val="single" w:color="auto" w:sz="4" w:space="0"/>
              <w:right w:val="single" w:color="auto" w:sz="4" w:space="0"/>
            </w:tcBorders>
            <w:noWrap w:val="0"/>
            <w:vAlign w:val="center"/>
          </w:tcPr>
          <w:p w14:paraId="357CC737">
            <w:pPr>
              <w:rPr>
                <w:rFonts w:ascii="宋体" w:hAnsi="宋体"/>
                <w:sz w:val="24"/>
                <w:highlight w:val="none"/>
              </w:rPr>
            </w:pPr>
            <w:r>
              <w:rPr>
                <w:rFonts w:hint="eastAsia" w:ascii="宋体" w:hAnsi="宋体"/>
                <w:sz w:val="24"/>
                <w:highlight w:val="none"/>
              </w:rPr>
              <w:t>（二）文物保护建筑、优秀历史建筑或历史文化风貌区影响范围内的拆除工程。</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3B65FE09">
            <w:pPr>
              <w:jc w:val="center"/>
              <w:rPr>
                <w:rFonts w:ascii="宋体" w:hAnsi="宋体"/>
                <w:highlight w:val="none"/>
              </w:rPr>
            </w:pPr>
            <w:r>
              <w:rPr>
                <w:rFonts w:hint="eastAsia" w:ascii="宋体" w:hAnsi="宋体"/>
                <w:sz w:val="24"/>
                <w:szCs w:val="36"/>
                <w:highlight w:val="none"/>
              </w:rPr>
              <w:t>(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03A89894">
            <w:pPr>
              <w:jc w:val="center"/>
              <w:rPr>
                <w:rFonts w:ascii="宋体" w:hAnsi="宋体"/>
                <w:highlight w:val="none"/>
              </w:rPr>
            </w:pPr>
            <w:r>
              <w:rPr>
                <w:rFonts w:hint="eastAsia" w:ascii="宋体" w:hAnsi="宋体"/>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18A0955F">
            <w:pPr>
              <w:rPr>
                <w:rFonts w:ascii="宋体" w:hAnsi="宋体"/>
                <w:sz w:val="24"/>
                <w:szCs w:val="36"/>
                <w:highlight w:val="none"/>
              </w:rPr>
            </w:pPr>
          </w:p>
        </w:tc>
      </w:tr>
      <w:tr w14:paraId="336E5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495" w:type="dxa"/>
            <w:tcBorders>
              <w:top w:val="single" w:color="auto" w:sz="4" w:space="0"/>
              <w:left w:val="single" w:color="auto" w:sz="4" w:space="0"/>
              <w:bottom w:val="single" w:color="auto" w:sz="4" w:space="0"/>
              <w:right w:val="single" w:color="auto" w:sz="4" w:space="0"/>
            </w:tcBorders>
            <w:noWrap w:val="0"/>
            <w:vAlign w:val="center"/>
          </w:tcPr>
          <w:p w14:paraId="46A4968D">
            <w:pPr>
              <w:rPr>
                <w:rFonts w:ascii="宋体" w:hAnsi="宋体"/>
                <w:sz w:val="24"/>
                <w:highlight w:val="none"/>
              </w:rPr>
            </w:pPr>
            <w:r>
              <w:rPr>
                <w:rFonts w:hint="eastAsia" w:ascii="宋体" w:hAnsi="宋体"/>
                <w:sz w:val="24"/>
                <w:highlight w:val="none"/>
              </w:rPr>
              <w:t>六、暗挖工程</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287371D7">
            <w:pPr>
              <w:jc w:val="center"/>
              <w:rPr>
                <w:rFonts w:ascii="宋体" w:hAnsi="宋体"/>
                <w:highlight w:val="none"/>
              </w:rPr>
            </w:pPr>
            <w:r>
              <w:rPr>
                <w:rFonts w:hint="eastAsia" w:ascii="宋体" w:hAnsi="宋体"/>
                <w:sz w:val="24"/>
                <w:szCs w:val="36"/>
                <w:highlight w:val="none"/>
              </w:rPr>
              <w:t>(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42271166">
            <w:pPr>
              <w:jc w:val="center"/>
              <w:rPr>
                <w:rFonts w:ascii="宋体" w:hAnsi="宋体"/>
                <w:highlight w:val="none"/>
              </w:rPr>
            </w:pPr>
            <w:r>
              <w:rPr>
                <w:rFonts w:hint="eastAsia" w:ascii="宋体" w:hAnsi="宋体"/>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1D6DAC58">
            <w:pPr>
              <w:rPr>
                <w:rFonts w:ascii="宋体" w:hAnsi="宋体"/>
                <w:sz w:val="24"/>
                <w:szCs w:val="36"/>
                <w:highlight w:val="none"/>
              </w:rPr>
            </w:pPr>
          </w:p>
        </w:tc>
      </w:tr>
      <w:tr w14:paraId="7ADA9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495" w:type="dxa"/>
            <w:tcBorders>
              <w:top w:val="single" w:color="auto" w:sz="4" w:space="0"/>
              <w:left w:val="single" w:color="auto" w:sz="4" w:space="0"/>
              <w:bottom w:val="single" w:color="auto" w:sz="4" w:space="0"/>
              <w:right w:val="single" w:color="auto" w:sz="4" w:space="0"/>
            </w:tcBorders>
            <w:noWrap w:val="0"/>
            <w:vAlign w:val="center"/>
          </w:tcPr>
          <w:p w14:paraId="1D7C5012">
            <w:pPr>
              <w:rPr>
                <w:rFonts w:ascii="宋体" w:hAnsi="宋体"/>
                <w:sz w:val="24"/>
                <w:highlight w:val="none"/>
              </w:rPr>
            </w:pPr>
            <w:r>
              <w:rPr>
                <w:rFonts w:hint="eastAsia" w:ascii="宋体" w:hAnsi="宋体"/>
                <w:sz w:val="24"/>
                <w:highlight w:val="none"/>
              </w:rPr>
              <w:t>采用矿山法、盾构法、顶管法施工的隧道、洞室工程。</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3BF700F6">
            <w:pPr>
              <w:jc w:val="center"/>
              <w:rPr>
                <w:rFonts w:ascii="宋体" w:hAnsi="宋体"/>
                <w:highlight w:val="none"/>
              </w:rPr>
            </w:pPr>
            <w:r>
              <w:rPr>
                <w:rFonts w:hint="eastAsia" w:ascii="宋体" w:hAnsi="宋体"/>
                <w:sz w:val="24"/>
                <w:szCs w:val="36"/>
                <w:highlight w:val="none"/>
              </w:rPr>
              <w:t>(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63ACB4D8">
            <w:pPr>
              <w:jc w:val="center"/>
              <w:rPr>
                <w:rFonts w:ascii="宋体" w:hAnsi="宋体"/>
                <w:highlight w:val="none"/>
              </w:rPr>
            </w:pPr>
            <w:r>
              <w:rPr>
                <w:rFonts w:hint="eastAsia" w:ascii="宋体" w:hAnsi="宋体"/>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061784A5">
            <w:pPr>
              <w:rPr>
                <w:rFonts w:ascii="宋体" w:hAnsi="宋体"/>
                <w:sz w:val="24"/>
                <w:szCs w:val="36"/>
                <w:highlight w:val="none"/>
              </w:rPr>
            </w:pPr>
          </w:p>
        </w:tc>
      </w:tr>
      <w:tr w14:paraId="6079A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495" w:type="dxa"/>
            <w:tcBorders>
              <w:top w:val="single" w:color="auto" w:sz="4" w:space="0"/>
              <w:left w:val="single" w:color="auto" w:sz="4" w:space="0"/>
              <w:bottom w:val="single" w:color="auto" w:sz="4" w:space="0"/>
              <w:right w:val="single" w:color="auto" w:sz="4" w:space="0"/>
            </w:tcBorders>
            <w:noWrap w:val="0"/>
            <w:vAlign w:val="center"/>
          </w:tcPr>
          <w:p w14:paraId="613CBF4E">
            <w:pPr>
              <w:rPr>
                <w:rFonts w:ascii="宋体" w:hAnsi="宋体"/>
                <w:sz w:val="24"/>
                <w:highlight w:val="none"/>
              </w:rPr>
            </w:pPr>
            <w:r>
              <w:rPr>
                <w:rFonts w:hint="eastAsia" w:ascii="宋体" w:hAnsi="宋体"/>
                <w:sz w:val="24"/>
                <w:highlight w:val="none"/>
              </w:rPr>
              <w:t>七、其它</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302E3F48">
            <w:pPr>
              <w:jc w:val="center"/>
              <w:rPr>
                <w:rFonts w:ascii="宋体" w:hAnsi="宋体"/>
                <w:highlight w:val="none"/>
              </w:rPr>
            </w:pPr>
            <w:r>
              <w:rPr>
                <w:rFonts w:hint="eastAsia" w:ascii="宋体" w:hAnsi="宋体"/>
                <w:sz w:val="24"/>
                <w:szCs w:val="36"/>
                <w:highlight w:val="none"/>
              </w:rPr>
              <w:t>(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01800520">
            <w:pPr>
              <w:jc w:val="center"/>
              <w:rPr>
                <w:rFonts w:ascii="宋体" w:hAnsi="宋体"/>
                <w:highlight w:val="none"/>
              </w:rPr>
            </w:pPr>
            <w:r>
              <w:rPr>
                <w:rFonts w:hint="eastAsia" w:ascii="宋体" w:hAnsi="宋体"/>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4C3EEA7A">
            <w:pPr>
              <w:rPr>
                <w:rFonts w:ascii="宋体" w:hAnsi="宋体"/>
                <w:sz w:val="24"/>
                <w:szCs w:val="36"/>
                <w:highlight w:val="none"/>
              </w:rPr>
            </w:pPr>
          </w:p>
        </w:tc>
      </w:tr>
      <w:tr w14:paraId="10CE0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495" w:type="dxa"/>
            <w:tcBorders>
              <w:top w:val="single" w:color="auto" w:sz="4" w:space="0"/>
              <w:left w:val="single" w:color="auto" w:sz="4" w:space="0"/>
              <w:bottom w:val="single" w:color="auto" w:sz="4" w:space="0"/>
              <w:right w:val="single" w:color="auto" w:sz="4" w:space="0"/>
            </w:tcBorders>
            <w:noWrap w:val="0"/>
            <w:vAlign w:val="center"/>
          </w:tcPr>
          <w:p w14:paraId="4B848F73">
            <w:pPr>
              <w:rPr>
                <w:rFonts w:ascii="宋体" w:hAnsi="宋体"/>
                <w:sz w:val="24"/>
                <w:highlight w:val="none"/>
              </w:rPr>
            </w:pPr>
            <w:r>
              <w:rPr>
                <w:rFonts w:hint="eastAsia" w:ascii="宋体" w:hAnsi="宋体"/>
                <w:sz w:val="24"/>
                <w:highlight w:val="none"/>
              </w:rPr>
              <w:t>（一）施工高度50m及以上的建筑幕墙安装工程。</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20EBC5AD">
            <w:pPr>
              <w:jc w:val="center"/>
              <w:rPr>
                <w:rFonts w:ascii="宋体" w:hAnsi="宋体"/>
                <w:highlight w:val="none"/>
              </w:rPr>
            </w:pPr>
            <w:r>
              <w:rPr>
                <w:rFonts w:hint="eastAsia" w:ascii="宋体" w:hAnsi="宋体"/>
                <w:sz w:val="24"/>
                <w:szCs w:val="36"/>
                <w:highlight w:val="none"/>
              </w:rPr>
              <w:t>(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5BC159ED">
            <w:pPr>
              <w:jc w:val="center"/>
              <w:rPr>
                <w:rFonts w:ascii="宋体" w:hAnsi="宋体"/>
                <w:highlight w:val="none"/>
              </w:rPr>
            </w:pPr>
            <w:r>
              <w:rPr>
                <w:rFonts w:hint="eastAsia" w:ascii="宋体" w:hAnsi="宋体"/>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34BD8055">
            <w:pPr>
              <w:rPr>
                <w:rFonts w:ascii="宋体" w:hAnsi="宋体"/>
                <w:sz w:val="24"/>
                <w:szCs w:val="36"/>
                <w:highlight w:val="none"/>
              </w:rPr>
            </w:pPr>
          </w:p>
        </w:tc>
      </w:tr>
      <w:tr w14:paraId="338DB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495" w:type="dxa"/>
            <w:tcBorders>
              <w:top w:val="single" w:color="auto" w:sz="4" w:space="0"/>
              <w:left w:val="single" w:color="auto" w:sz="4" w:space="0"/>
              <w:bottom w:val="single" w:color="auto" w:sz="4" w:space="0"/>
              <w:right w:val="single" w:color="auto" w:sz="4" w:space="0"/>
            </w:tcBorders>
            <w:noWrap w:val="0"/>
            <w:vAlign w:val="center"/>
          </w:tcPr>
          <w:p w14:paraId="1D64D8EE">
            <w:pPr>
              <w:rPr>
                <w:rFonts w:ascii="宋体" w:hAnsi="宋体"/>
                <w:sz w:val="24"/>
                <w:highlight w:val="none"/>
              </w:rPr>
            </w:pPr>
            <w:r>
              <w:rPr>
                <w:rFonts w:hint="eastAsia" w:ascii="宋体" w:hAnsi="宋体"/>
                <w:sz w:val="24"/>
                <w:highlight w:val="none"/>
              </w:rPr>
              <w:t>（二）跨度36m及以上的钢结构安装工程，或跨度60m及以上的网架和索膜结构安装工程。</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28774174">
            <w:pPr>
              <w:jc w:val="center"/>
              <w:rPr>
                <w:rFonts w:ascii="宋体" w:hAnsi="宋体"/>
                <w:highlight w:val="none"/>
              </w:rPr>
            </w:pPr>
            <w:r>
              <w:rPr>
                <w:rFonts w:hint="eastAsia" w:ascii="宋体" w:hAnsi="宋体"/>
                <w:sz w:val="24"/>
                <w:szCs w:val="36"/>
                <w:highlight w:val="none"/>
              </w:rPr>
              <w:t>(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0F9C4B28">
            <w:pPr>
              <w:jc w:val="center"/>
              <w:rPr>
                <w:rFonts w:ascii="宋体" w:hAnsi="宋体"/>
                <w:highlight w:val="none"/>
              </w:rPr>
            </w:pPr>
            <w:r>
              <w:rPr>
                <w:rFonts w:hint="eastAsia" w:ascii="宋体" w:hAnsi="宋体"/>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0AAA2FDA">
            <w:pPr>
              <w:rPr>
                <w:rFonts w:ascii="宋体" w:hAnsi="宋体"/>
                <w:sz w:val="24"/>
                <w:szCs w:val="36"/>
                <w:highlight w:val="none"/>
              </w:rPr>
            </w:pPr>
          </w:p>
        </w:tc>
      </w:tr>
      <w:tr w14:paraId="3E6C8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495" w:type="dxa"/>
            <w:tcBorders>
              <w:top w:val="single" w:color="auto" w:sz="4" w:space="0"/>
              <w:left w:val="single" w:color="auto" w:sz="4" w:space="0"/>
              <w:bottom w:val="single" w:color="auto" w:sz="4" w:space="0"/>
              <w:right w:val="single" w:color="auto" w:sz="4" w:space="0"/>
            </w:tcBorders>
            <w:noWrap w:val="0"/>
            <w:vAlign w:val="center"/>
          </w:tcPr>
          <w:p w14:paraId="193B8DB3">
            <w:pPr>
              <w:rPr>
                <w:rFonts w:ascii="宋体" w:hAnsi="宋体"/>
                <w:sz w:val="24"/>
                <w:highlight w:val="none"/>
              </w:rPr>
            </w:pPr>
            <w:r>
              <w:rPr>
                <w:rFonts w:hint="eastAsia" w:ascii="宋体" w:hAnsi="宋体"/>
                <w:sz w:val="24"/>
                <w:highlight w:val="none"/>
              </w:rPr>
              <w:t>（三）开挖深度16m及以上的人工挖孔桩工程。</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4AD4803D">
            <w:pPr>
              <w:jc w:val="center"/>
              <w:rPr>
                <w:rFonts w:ascii="宋体" w:hAnsi="宋体"/>
                <w:highlight w:val="none"/>
              </w:rPr>
            </w:pPr>
            <w:r>
              <w:rPr>
                <w:rFonts w:hint="eastAsia" w:ascii="宋体" w:hAnsi="宋体"/>
                <w:sz w:val="24"/>
                <w:szCs w:val="36"/>
                <w:highlight w:val="none"/>
              </w:rPr>
              <w:t>(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32A5D957">
            <w:pPr>
              <w:jc w:val="center"/>
              <w:rPr>
                <w:rFonts w:ascii="宋体" w:hAnsi="宋体"/>
                <w:highlight w:val="none"/>
              </w:rPr>
            </w:pPr>
            <w:r>
              <w:rPr>
                <w:rFonts w:hint="eastAsia" w:ascii="宋体" w:hAnsi="宋体"/>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3338A4D9">
            <w:pPr>
              <w:rPr>
                <w:rFonts w:ascii="宋体" w:hAnsi="宋体"/>
                <w:sz w:val="24"/>
                <w:szCs w:val="36"/>
                <w:highlight w:val="none"/>
              </w:rPr>
            </w:pPr>
          </w:p>
        </w:tc>
      </w:tr>
      <w:tr w14:paraId="2C2BF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495" w:type="dxa"/>
            <w:tcBorders>
              <w:top w:val="single" w:color="auto" w:sz="4" w:space="0"/>
              <w:left w:val="single" w:color="auto" w:sz="4" w:space="0"/>
              <w:bottom w:val="single" w:color="auto" w:sz="4" w:space="0"/>
              <w:right w:val="single" w:color="auto" w:sz="4" w:space="0"/>
            </w:tcBorders>
            <w:noWrap w:val="0"/>
            <w:vAlign w:val="center"/>
          </w:tcPr>
          <w:p w14:paraId="6AAB2F0A">
            <w:pPr>
              <w:rPr>
                <w:rFonts w:ascii="宋体" w:hAnsi="宋体"/>
                <w:sz w:val="24"/>
                <w:highlight w:val="none"/>
              </w:rPr>
            </w:pPr>
            <w:r>
              <w:rPr>
                <w:rFonts w:hint="eastAsia" w:ascii="宋体" w:hAnsi="宋体"/>
                <w:sz w:val="24"/>
                <w:highlight w:val="none"/>
              </w:rPr>
              <w:t>（四）水下作业工程。</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5F023F48">
            <w:pPr>
              <w:jc w:val="center"/>
              <w:rPr>
                <w:rFonts w:ascii="宋体" w:hAnsi="宋体"/>
                <w:highlight w:val="none"/>
              </w:rPr>
            </w:pPr>
            <w:r>
              <w:rPr>
                <w:rFonts w:hint="eastAsia" w:ascii="宋体" w:hAnsi="宋体"/>
                <w:sz w:val="24"/>
                <w:szCs w:val="36"/>
                <w:highlight w:val="none"/>
              </w:rPr>
              <w:t>(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1A11B050">
            <w:pPr>
              <w:jc w:val="center"/>
              <w:rPr>
                <w:rFonts w:ascii="宋体" w:hAnsi="宋体"/>
                <w:highlight w:val="none"/>
              </w:rPr>
            </w:pPr>
            <w:r>
              <w:rPr>
                <w:rFonts w:hint="eastAsia" w:ascii="宋体" w:hAnsi="宋体"/>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182F8A97">
            <w:pPr>
              <w:rPr>
                <w:rFonts w:ascii="宋体" w:hAnsi="宋体"/>
                <w:sz w:val="24"/>
                <w:szCs w:val="36"/>
                <w:highlight w:val="none"/>
              </w:rPr>
            </w:pPr>
          </w:p>
        </w:tc>
      </w:tr>
      <w:tr w14:paraId="35261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495" w:type="dxa"/>
            <w:tcBorders>
              <w:top w:val="single" w:color="auto" w:sz="4" w:space="0"/>
              <w:left w:val="single" w:color="auto" w:sz="4" w:space="0"/>
              <w:bottom w:val="single" w:color="auto" w:sz="4" w:space="0"/>
              <w:right w:val="single" w:color="auto" w:sz="4" w:space="0"/>
            </w:tcBorders>
            <w:noWrap w:val="0"/>
            <w:vAlign w:val="center"/>
          </w:tcPr>
          <w:p w14:paraId="573EB109">
            <w:pPr>
              <w:rPr>
                <w:rFonts w:ascii="宋体" w:hAnsi="宋体"/>
                <w:sz w:val="24"/>
                <w:highlight w:val="none"/>
              </w:rPr>
            </w:pPr>
            <w:r>
              <w:rPr>
                <w:rFonts w:hint="eastAsia" w:ascii="宋体" w:hAnsi="宋体"/>
                <w:sz w:val="24"/>
                <w:highlight w:val="none"/>
              </w:rPr>
              <w:t>（五）重量1000kN及以上的大型结构整体顶升、平移、转体等施工工艺。</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5A774F9D">
            <w:pPr>
              <w:jc w:val="center"/>
              <w:rPr>
                <w:rFonts w:ascii="宋体" w:hAnsi="宋体"/>
                <w:highlight w:val="none"/>
              </w:rPr>
            </w:pPr>
            <w:r>
              <w:rPr>
                <w:rFonts w:hint="eastAsia" w:ascii="宋体" w:hAnsi="宋体"/>
                <w:sz w:val="24"/>
                <w:szCs w:val="36"/>
                <w:highlight w:val="none"/>
              </w:rPr>
              <w:t>(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75737F04">
            <w:pPr>
              <w:jc w:val="center"/>
              <w:rPr>
                <w:rFonts w:ascii="宋体" w:hAnsi="宋体"/>
                <w:highlight w:val="none"/>
              </w:rPr>
            </w:pPr>
            <w:r>
              <w:rPr>
                <w:rFonts w:hint="eastAsia" w:ascii="宋体" w:hAnsi="宋体"/>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4D02C3B7">
            <w:pPr>
              <w:rPr>
                <w:rFonts w:ascii="宋体" w:hAnsi="宋体"/>
                <w:sz w:val="24"/>
                <w:szCs w:val="36"/>
                <w:highlight w:val="none"/>
              </w:rPr>
            </w:pPr>
          </w:p>
        </w:tc>
      </w:tr>
      <w:tr w14:paraId="18ABA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5495" w:type="dxa"/>
            <w:tcBorders>
              <w:top w:val="single" w:color="auto" w:sz="4" w:space="0"/>
              <w:left w:val="single" w:color="auto" w:sz="4" w:space="0"/>
              <w:right w:val="single" w:color="auto" w:sz="4" w:space="0"/>
            </w:tcBorders>
            <w:noWrap w:val="0"/>
            <w:vAlign w:val="center"/>
          </w:tcPr>
          <w:p w14:paraId="2414DFC6">
            <w:pPr>
              <w:rPr>
                <w:rFonts w:ascii="宋体" w:hAnsi="宋体"/>
                <w:sz w:val="24"/>
                <w:highlight w:val="none"/>
              </w:rPr>
            </w:pPr>
            <w:r>
              <w:rPr>
                <w:rFonts w:hint="eastAsia" w:ascii="宋体" w:hAnsi="宋体"/>
                <w:sz w:val="24"/>
                <w:highlight w:val="none"/>
              </w:rPr>
              <w:t>（六）采用新技术、新工艺、新材料、新设备可能影响工程施工安全，尚无国家、行业及地方技术标准的分部分项工程。</w:t>
            </w:r>
          </w:p>
        </w:tc>
        <w:tc>
          <w:tcPr>
            <w:tcW w:w="1361" w:type="dxa"/>
            <w:tcBorders>
              <w:top w:val="single" w:color="auto" w:sz="4" w:space="0"/>
              <w:left w:val="single" w:color="auto" w:sz="4" w:space="0"/>
              <w:right w:val="single" w:color="auto" w:sz="4" w:space="0"/>
            </w:tcBorders>
            <w:noWrap w:val="0"/>
            <w:vAlign w:val="center"/>
          </w:tcPr>
          <w:p w14:paraId="25936301">
            <w:pPr>
              <w:jc w:val="center"/>
              <w:rPr>
                <w:rFonts w:ascii="宋体" w:hAnsi="宋体"/>
                <w:highlight w:val="none"/>
              </w:rPr>
            </w:pPr>
            <w:r>
              <w:rPr>
                <w:rFonts w:hint="eastAsia" w:ascii="宋体" w:hAnsi="宋体"/>
                <w:sz w:val="24"/>
                <w:szCs w:val="36"/>
                <w:highlight w:val="none"/>
              </w:rPr>
              <w:t>(    )</w:t>
            </w:r>
          </w:p>
        </w:tc>
        <w:tc>
          <w:tcPr>
            <w:tcW w:w="1361" w:type="dxa"/>
            <w:tcBorders>
              <w:top w:val="single" w:color="auto" w:sz="4" w:space="0"/>
              <w:left w:val="single" w:color="auto" w:sz="4" w:space="0"/>
              <w:right w:val="single" w:color="auto" w:sz="4" w:space="0"/>
            </w:tcBorders>
            <w:noWrap w:val="0"/>
            <w:vAlign w:val="center"/>
          </w:tcPr>
          <w:p w14:paraId="4E8450C3">
            <w:pPr>
              <w:jc w:val="center"/>
              <w:rPr>
                <w:rFonts w:ascii="宋体" w:hAnsi="宋体"/>
                <w:highlight w:val="none"/>
              </w:rPr>
            </w:pPr>
            <w:r>
              <w:rPr>
                <w:rFonts w:hint="eastAsia" w:ascii="宋体" w:hAnsi="宋体"/>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567584B6">
            <w:pPr>
              <w:rPr>
                <w:rFonts w:ascii="宋体" w:hAnsi="宋体"/>
                <w:sz w:val="24"/>
                <w:szCs w:val="36"/>
                <w:highlight w:val="none"/>
              </w:rPr>
            </w:pPr>
          </w:p>
        </w:tc>
      </w:tr>
    </w:tbl>
    <w:p w14:paraId="42E64018">
      <w:pPr>
        <w:pStyle w:val="122"/>
        <w:ind w:firstLine="3117" w:firstLineChars="1257"/>
        <w:rPr>
          <w:rFonts w:ascii="宋体" w:hAnsi="宋体"/>
          <w:highlight w:val="none"/>
        </w:rPr>
      </w:pPr>
    </w:p>
    <w:p w14:paraId="7C96DF55">
      <w:pPr>
        <w:pStyle w:val="122"/>
        <w:ind w:firstLine="3117" w:firstLineChars="1257"/>
        <w:rPr>
          <w:rFonts w:ascii="宋体" w:hAnsi="宋体"/>
          <w:highlight w:val="none"/>
        </w:rPr>
      </w:pPr>
    </w:p>
    <w:p w14:paraId="4F2B7471">
      <w:pPr>
        <w:pStyle w:val="122"/>
        <w:ind w:firstLine="3117" w:firstLineChars="1257"/>
        <w:rPr>
          <w:rFonts w:ascii="宋体" w:hAnsi="宋体"/>
          <w:highlight w:val="none"/>
        </w:rPr>
      </w:pPr>
      <w:r>
        <w:rPr>
          <w:rFonts w:hint="eastAsia" w:ascii="宋体" w:hAnsi="宋体"/>
          <w:highlight w:val="none"/>
        </w:rPr>
        <w:t>投标人：　　（盖章）</w:t>
      </w:r>
    </w:p>
    <w:p w14:paraId="79B01113">
      <w:pPr>
        <w:pStyle w:val="122"/>
        <w:ind w:firstLine="3117" w:firstLineChars="1257"/>
        <w:rPr>
          <w:rFonts w:ascii="宋体" w:hAnsi="宋体"/>
          <w:highlight w:val="none"/>
        </w:rPr>
      </w:pPr>
      <w:r>
        <w:rPr>
          <w:rFonts w:hint="eastAsia" w:ascii="宋体" w:hAnsi="宋体"/>
          <w:highlight w:val="none"/>
        </w:rPr>
        <w:t>法定代表人或授权代理人（签名或盖章）：</w:t>
      </w:r>
    </w:p>
    <w:p w14:paraId="7A0E67BD">
      <w:pPr>
        <w:pStyle w:val="122"/>
        <w:ind w:firstLine="3050" w:firstLineChars="1230"/>
        <w:rPr>
          <w:rFonts w:ascii="宋体" w:hAnsi="宋体" w:cs="宋体"/>
          <w:b/>
          <w:bCs/>
          <w:snapToGrid w:val="0"/>
          <w:szCs w:val="21"/>
          <w:highlight w:val="none"/>
        </w:rPr>
      </w:pPr>
      <w:r>
        <w:rPr>
          <w:rFonts w:hint="eastAsia" w:ascii="宋体" w:hAnsi="宋体"/>
          <w:highlight w:val="none"/>
        </w:rPr>
        <w:t>日期：    年    月    日</w:t>
      </w:r>
    </w:p>
    <w:p w14:paraId="41AB3201">
      <w:pPr>
        <w:pStyle w:val="122"/>
        <w:ind w:firstLine="3968" w:firstLineChars="1600"/>
        <w:rPr>
          <w:rFonts w:hint="eastAsia" w:ascii="宋体" w:hAnsi="宋体"/>
          <w:highlight w:val="none"/>
        </w:rPr>
      </w:pPr>
    </w:p>
    <w:p w14:paraId="621D8C84">
      <w:pPr>
        <w:pStyle w:val="122"/>
        <w:ind w:firstLine="198" w:firstLineChars="80"/>
        <w:jc w:val="left"/>
        <w:rPr>
          <w:rFonts w:hint="eastAsia" w:ascii="宋体" w:hAnsi="宋体"/>
          <w:highlight w:val="none"/>
        </w:rPr>
      </w:pPr>
      <w:r>
        <w:rPr>
          <w:rFonts w:ascii="宋体" w:hAnsi="宋体" w:cs="宋体"/>
          <w:highlight w:val="none"/>
        </w:rPr>
        <w:br w:type="page"/>
      </w:r>
      <w:r>
        <w:rPr>
          <w:rFonts w:hint="eastAsia" w:ascii="宋体" w:hAnsi="宋体" w:cs="宋体"/>
          <w:b/>
          <w:bCs/>
          <w:snapToGrid w:val="0"/>
          <w:highlight w:val="none"/>
        </w:rPr>
        <w:t>格式五：</w:t>
      </w:r>
      <w:r>
        <w:rPr>
          <w:rFonts w:hint="eastAsia" w:ascii="宋体" w:hAnsi="宋体" w:cs="宋体"/>
          <w:b/>
          <w:bCs/>
          <w:highlight w:val="none"/>
        </w:rPr>
        <w:t>参与编制技术标投标文件人员名单</w:t>
      </w:r>
    </w:p>
    <w:p w14:paraId="1FAA485E">
      <w:pPr>
        <w:pStyle w:val="126"/>
        <w:rPr>
          <w:rFonts w:hint="eastAsia" w:ascii="宋体" w:hAnsi="宋体" w:eastAsia="宋体" w:cs="宋体"/>
          <w:sz w:val="32"/>
          <w:szCs w:val="32"/>
          <w:highlight w:val="none"/>
        </w:rPr>
      </w:pPr>
      <w:r>
        <w:rPr>
          <w:rFonts w:hint="eastAsia" w:ascii="宋体" w:hAnsi="宋体" w:eastAsia="宋体" w:cs="宋体"/>
          <w:sz w:val="32"/>
          <w:szCs w:val="32"/>
          <w:highlight w:val="none"/>
        </w:rPr>
        <w:t>参与编制技术标投标文件人员名单</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7"/>
        <w:gridCol w:w="1848"/>
        <w:gridCol w:w="1849"/>
        <w:gridCol w:w="1849"/>
        <w:gridCol w:w="1849"/>
      </w:tblGrid>
      <w:tr w14:paraId="43EE8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jc w:val="center"/>
        </w:trPr>
        <w:tc>
          <w:tcPr>
            <w:tcW w:w="9242" w:type="dxa"/>
            <w:gridSpan w:val="5"/>
            <w:noWrap w:val="0"/>
            <w:vAlign w:val="center"/>
          </w:tcPr>
          <w:p w14:paraId="600A8E0E">
            <w:pPr>
              <w:pStyle w:val="119"/>
              <w:rPr>
                <w:rFonts w:hint="eastAsia" w:cs="宋体"/>
                <w:sz w:val="24"/>
                <w:highlight w:val="none"/>
              </w:rPr>
            </w:pPr>
            <w:r>
              <w:rPr>
                <w:rFonts w:hint="eastAsia" w:cs="宋体"/>
                <w:highlight w:val="none"/>
              </w:rPr>
              <w:t>投标单位名称：</w:t>
            </w:r>
          </w:p>
        </w:tc>
      </w:tr>
      <w:tr w14:paraId="725EC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47" w:type="dxa"/>
            <w:noWrap w:val="0"/>
            <w:vAlign w:val="center"/>
          </w:tcPr>
          <w:p w14:paraId="5F2A5FD5">
            <w:pPr>
              <w:pStyle w:val="119"/>
              <w:jc w:val="center"/>
              <w:rPr>
                <w:rFonts w:hint="eastAsia" w:cs="宋体"/>
                <w:highlight w:val="none"/>
              </w:rPr>
            </w:pPr>
            <w:r>
              <w:rPr>
                <w:rFonts w:hint="eastAsia" w:cs="宋体"/>
                <w:highlight w:val="none"/>
              </w:rPr>
              <w:t>姓名</w:t>
            </w:r>
          </w:p>
        </w:tc>
        <w:tc>
          <w:tcPr>
            <w:tcW w:w="1848" w:type="dxa"/>
            <w:noWrap w:val="0"/>
            <w:vAlign w:val="center"/>
          </w:tcPr>
          <w:p w14:paraId="6EBF587B">
            <w:pPr>
              <w:pStyle w:val="119"/>
              <w:jc w:val="center"/>
              <w:rPr>
                <w:rFonts w:hint="eastAsia" w:cs="宋体"/>
                <w:highlight w:val="none"/>
              </w:rPr>
            </w:pPr>
            <w:r>
              <w:rPr>
                <w:rFonts w:hint="eastAsia" w:cs="宋体"/>
                <w:highlight w:val="none"/>
              </w:rPr>
              <w:t>职务</w:t>
            </w:r>
          </w:p>
        </w:tc>
        <w:tc>
          <w:tcPr>
            <w:tcW w:w="1849" w:type="dxa"/>
            <w:noWrap w:val="0"/>
            <w:vAlign w:val="center"/>
          </w:tcPr>
          <w:p w14:paraId="045541B3">
            <w:pPr>
              <w:pStyle w:val="119"/>
              <w:jc w:val="center"/>
              <w:rPr>
                <w:rFonts w:hint="eastAsia" w:cs="宋体"/>
                <w:highlight w:val="none"/>
              </w:rPr>
            </w:pPr>
            <w:r>
              <w:rPr>
                <w:rFonts w:hint="eastAsia" w:cs="宋体"/>
                <w:highlight w:val="none"/>
              </w:rPr>
              <w:t>所承担工作</w:t>
            </w:r>
          </w:p>
        </w:tc>
        <w:tc>
          <w:tcPr>
            <w:tcW w:w="1849" w:type="dxa"/>
            <w:noWrap w:val="0"/>
            <w:vAlign w:val="center"/>
          </w:tcPr>
          <w:p w14:paraId="3EB0E4BB">
            <w:pPr>
              <w:pStyle w:val="119"/>
              <w:jc w:val="center"/>
              <w:rPr>
                <w:rFonts w:hint="eastAsia" w:cs="宋体"/>
                <w:highlight w:val="none"/>
              </w:rPr>
            </w:pPr>
            <w:r>
              <w:rPr>
                <w:rFonts w:hint="eastAsia" w:cs="宋体"/>
                <w:highlight w:val="none"/>
              </w:rPr>
              <w:t>身份证号码</w:t>
            </w:r>
          </w:p>
        </w:tc>
        <w:tc>
          <w:tcPr>
            <w:tcW w:w="1849" w:type="dxa"/>
            <w:noWrap w:val="0"/>
            <w:vAlign w:val="center"/>
          </w:tcPr>
          <w:p w14:paraId="53121A3E">
            <w:pPr>
              <w:pStyle w:val="119"/>
              <w:jc w:val="center"/>
              <w:rPr>
                <w:rFonts w:hint="eastAsia" w:cs="宋体"/>
                <w:highlight w:val="none"/>
              </w:rPr>
            </w:pPr>
            <w:r>
              <w:rPr>
                <w:rFonts w:hint="eastAsia" w:cs="宋体"/>
                <w:highlight w:val="none"/>
              </w:rPr>
              <w:t>本人签名栏</w:t>
            </w:r>
          </w:p>
        </w:tc>
      </w:tr>
      <w:tr w14:paraId="712EE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47" w:type="dxa"/>
            <w:noWrap w:val="0"/>
            <w:vAlign w:val="center"/>
          </w:tcPr>
          <w:p w14:paraId="0BD4E484">
            <w:pPr>
              <w:pStyle w:val="119"/>
              <w:ind w:firstLine="480"/>
              <w:jc w:val="center"/>
              <w:rPr>
                <w:rFonts w:hint="eastAsia" w:cs="宋体"/>
                <w:sz w:val="24"/>
                <w:highlight w:val="none"/>
              </w:rPr>
            </w:pPr>
          </w:p>
        </w:tc>
        <w:tc>
          <w:tcPr>
            <w:tcW w:w="1848" w:type="dxa"/>
            <w:noWrap w:val="0"/>
            <w:vAlign w:val="center"/>
          </w:tcPr>
          <w:p w14:paraId="26F60112">
            <w:pPr>
              <w:pStyle w:val="119"/>
              <w:ind w:firstLine="480"/>
              <w:jc w:val="center"/>
              <w:rPr>
                <w:rFonts w:hint="eastAsia" w:cs="宋体"/>
                <w:sz w:val="24"/>
                <w:highlight w:val="none"/>
              </w:rPr>
            </w:pPr>
          </w:p>
        </w:tc>
        <w:tc>
          <w:tcPr>
            <w:tcW w:w="1849" w:type="dxa"/>
            <w:noWrap w:val="0"/>
            <w:vAlign w:val="center"/>
          </w:tcPr>
          <w:p w14:paraId="3121C9AD">
            <w:pPr>
              <w:pStyle w:val="119"/>
              <w:ind w:firstLine="480"/>
              <w:jc w:val="center"/>
              <w:rPr>
                <w:rFonts w:hint="eastAsia" w:cs="宋体"/>
                <w:sz w:val="24"/>
                <w:highlight w:val="none"/>
              </w:rPr>
            </w:pPr>
          </w:p>
        </w:tc>
        <w:tc>
          <w:tcPr>
            <w:tcW w:w="1849" w:type="dxa"/>
            <w:noWrap w:val="0"/>
            <w:vAlign w:val="center"/>
          </w:tcPr>
          <w:p w14:paraId="327E31AA">
            <w:pPr>
              <w:pStyle w:val="119"/>
              <w:ind w:firstLine="480"/>
              <w:jc w:val="center"/>
              <w:rPr>
                <w:rFonts w:hint="eastAsia" w:cs="宋体"/>
                <w:sz w:val="24"/>
                <w:highlight w:val="none"/>
              </w:rPr>
            </w:pPr>
          </w:p>
        </w:tc>
        <w:tc>
          <w:tcPr>
            <w:tcW w:w="1849" w:type="dxa"/>
            <w:noWrap w:val="0"/>
            <w:vAlign w:val="center"/>
          </w:tcPr>
          <w:p w14:paraId="7103AC32">
            <w:pPr>
              <w:pStyle w:val="119"/>
              <w:ind w:firstLine="480"/>
              <w:jc w:val="center"/>
              <w:rPr>
                <w:rFonts w:hint="eastAsia" w:cs="宋体"/>
                <w:sz w:val="24"/>
                <w:highlight w:val="none"/>
              </w:rPr>
            </w:pPr>
          </w:p>
        </w:tc>
      </w:tr>
      <w:tr w14:paraId="2DE62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47" w:type="dxa"/>
            <w:noWrap w:val="0"/>
            <w:vAlign w:val="center"/>
          </w:tcPr>
          <w:p w14:paraId="668CDB81">
            <w:pPr>
              <w:pStyle w:val="119"/>
              <w:ind w:firstLine="480"/>
              <w:jc w:val="center"/>
              <w:rPr>
                <w:rFonts w:hint="eastAsia" w:cs="宋体"/>
                <w:sz w:val="24"/>
                <w:highlight w:val="none"/>
              </w:rPr>
            </w:pPr>
          </w:p>
        </w:tc>
        <w:tc>
          <w:tcPr>
            <w:tcW w:w="1848" w:type="dxa"/>
            <w:noWrap w:val="0"/>
            <w:vAlign w:val="center"/>
          </w:tcPr>
          <w:p w14:paraId="0500B0A2">
            <w:pPr>
              <w:pStyle w:val="119"/>
              <w:ind w:firstLine="480"/>
              <w:jc w:val="center"/>
              <w:rPr>
                <w:rFonts w:hint="eastAsia" w:cs="宋体"/>
                <w:sz w:val="24"/>
                <w:highlight w:val="none"/>
              </w:rPr>
            </w:pPr>
          </w:p>
        </w:tc>
        <w:tc>
          <w:tcPr>
            <w:tcW w:w="1849" w:type="dxa"/>
            <w:noWrap w:val="0"/>
            <w:vAlign w:val="center"/>
          </w:tcPr>
          <w:p w14:paraId="723D7F5B">
            <w:pPr>
              <w:pStyle w:val="119"/>
              <w:ind w:firstLine="480"/>
              <w:jc w:val="center"/>
              <w:rPr>
                <w:rFonts w:hint="eastAsia" w:cs="宋体"/>
                <w:sz w:val="24"/>
                <w:highlight w:val="none"/>
              </w:rPr>
            </w:pPr>
          </w:p>
        </w:tc>
        <w:tc>
          <w:tcPr>
            <w:tcW w:w="1849" w:type="dxa"/>
            <w:noWrap w:val="0"/>
            <w:vAlign w:val="center"/>
          </w:tcPr>
          <w:p w14:paraId="754D68C9">
            <w:pPr>
              <w:pStyle w:val="119"/>
              <w:ind w:firstLine="480"/>
              <w:jc w:val="center"/>
              <w:rPr>
                <w:rFonts w:hint="eastAsia" w:cs="宋体"/>
                <w:sz w:val="24"/>
                <w:highlight w:val="none"/>
              </w:rPr>
            </w:pPr>
          </w:p>
        </w:tc>
        <w:tc>
          <w:tcPr>
            <w:tcW w:w="1849" w:type="dxa"/>
            <w:noWrap w:val="0"/>
            <w:vAlign w:val="center"/>
          </w:tcPr>
          <w:p w14:paraId="489F86AE">
            <w:pPr>
              <w:pStyle w:val="119"/>
              <w:ind w:firstLine="480"/>
              <w:jc w:val="center"/>
              <w:rPr>
                <w:rFonts w:hint="eastAsia" w:cs="宋体"/>
                <w:sz w:val="24"/>
                <w:highlight w:val="none"/>
              </w:rPr>
            </w:pPr>
          </w:p>
        </w:tc>
      </w:tr>
      <w:tr w14:paraId="3FD14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47" w:type="dxa"/>
            <w:noWrap w:val="0"/>
            <w:vAlign w:val="center"/>
          </w:tcPr>
          <w:p w14:paraId="4EE87750">
            <w:pPr>
              <w:pStyle w:val="119"/>
              <w:ind w:firstLine="480"/>
              <w:jc w:val="center"/>
              <w:rPr>
                <w:rFonts w:hint="eastAsia" w:cs="宋体"/>
                <w:sz w:val="24"/>
                <w:highlight w:val="none"/>
              </w:rPr>
            </w:pPr>
          </w:p>
        </w:tc>
        <w:tc>
          <w:tcPr>
            <w:tcW w:w="1848" w:type="dxa"/>
            <w:noWrap w:val="0"/>
            <w:vAlign w:val="center"/>
          </w:tcPr>
          <w:p w14:paraId="4D147D3D">
            <w:pPr>
              <w:pStyle w:val="119"/>
              <w:ind w:firstLine="480"/>
              <w:jc w:val="center"/>
              <w:rPr>
                <w:rFonts w:hint="eastAsia" w:cs="宋体"/>
                <w:sz w:val="24"/>
                <w:highlight w:val="none"/>
              </w:rPr>
            </w:pPr>
          </w:p>
        </w:tc>
        <w:tc>
          <w:tcPr>
            <w:tcW w:w="1849" w:type="dxa"/>
            <w:noWrap w:val="0"/>
            <w:vAlign w:val="center"/>
          </w:tcPr>
          <w:p w14:paraId="729E48EC">
            <w:pPr>
              <w:pStyle w:val="119"/>
              <w:ind w:firstLine="480"/>
              <w:jc w:val="center"/>
              <w:rPr>
                <w:rFonts w:hint="eastAsia" w:cs="宋体"/>
                <w:sz w:val="24"/>
                <w:highlight w:val="none"/>
              </w:rPr>
            </w:pPr>
          </w:p>
        </w:tc>
        <w:tc>
          <w:tcPr>
            <w:tcW w:w="1849" w:type="dxa"/>
            <w:noWrap w:val="0"/>
            <w:vAlign w:val="center"/>
          </w:tcPr>
          <w:p w14:paraId="6EFE07FB">
            <w:pPr>
              <w:pStyle w:val="119"/>
              <w:ind w:firstLine="480"/>
              <w:jc w:val="center"/>
              <w:rPr>
                <w:rFonts w:hint="eastAsia" w:cs="宋体"/>
                <w:sz w:val="24"/>
                <w:highlight w:val="none"/>
              </w:rPr>
            </w:pPr>
          </w:p>
        </w:tc>
        <w:tc>
          <w:tcPr>
            <w:tcW w:w="1849" w:type="dxa"/>
            <w:noWrap w:val="0"/>
            <w:vAlign w:val="center"/>
          </w:tcPr>
          <w:p w14:paraId="3F41F361">
            <w:pPr>
              <w:pStyle w:val="119"/>
              <w:ind w:firstLine="480"/>
              <w:jc w:val="center"/>
              <w:rPr>
                <w:rFonts w:hint="eastAsia" w:cs="宋体"/>
                <w:sz w:val="24"/>
                <w:highlight w:val="none"/>
              </w:rPr>
            </w:pPr>
          </w:p>
        </w:tc>
      </w:tr>
      <w:tr w14:paraId="26045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47" w:type="dxa"/>
            <w:noWrap w:val="0"/>
            <w:vAlign w:val="center"/>
          </w:tcPr>
          <w:p w14:paraId="53DF10DD">
            <w:pPr>
              <w:pStyle w:val="119"/>
              <w:ind w:firstLine="480"/>
              <w:jc w:val="center"/>
              <w:rPr>
                <w:rFonts w:hint="eastAsia" w:cs="宋体"/>
                <w:sz w:val="24"/>
                <w:highlight w:val="none"/>
              </w:rPr>
            </w:pPr>
          </w:p>
        </w:tc>
        <w:tc>
          <w:tcPr>
            <w:tcW w:w="1848" w:type="dxa"/>
            <w:noWrap w:val="0"/>
            <w:vAlign w:val="center"/>
          </w:tcPr>
          <w:p w14:paraId="6B27E4E4">
            <w:pPr>
              <w:pStyle w:val="119"/>
              <w:ind w:firstLine="480"/>
              <w:jc w:val="center"/>
              <w:rPr>
                <w:rFonts w:hint="eastAsia" w:cs="宋体"/>
                <w:sz w:val="24"/>
                <w:highlight w:val="none"/>
              </w:rPr>
            </w:pPr>
          </w:p>
        </w:tc>
        <w:tc>
          <w:tcPr>
            <w:tcW w:w="1849" w:type="dxa"/>
            <w:noWrap w:val="0"/>
            <w:vAlign w:val="center"/>
          </w:tcPr>
          <w:p w14:paraId="7CC7C9CC">
            <w:pPr>
              <w:pStyle w:val="119"/>
              <w:ind w:firstLine="480"/>
              <w:jc w:val="center"/>
              <w:rPr>
                <w:rFonts w:hint="eastAsia" w:cs="宋体"/>
                <w:sz w:val="24"/>
                <w:highlight w:val="none"/>
              </w:rPr>
            </w:pPr>
          </w:p>
        </w:tc>
        <w:tc>
          <w:tcPr>
            <w:tcW w:w="1849" w:type="dxa"/>
            <w:noWrap w:val="0"/>
            <w:vAlign w:val="center"/>
          </w:tcPr>
          <w:p w14:paraId="45E3C89B">
            <w:pPr>
              <w:pStyle w:val="119"/>
              <w:ind w:firstLine="480"/>
              <w:jc w:val="center"/>
              <w:rPr>
                <w:rFonts w:hint="eastAsia" w:cs="宋体"/>
                <w:sz w:val="24"/>
                <w:highlight w:val="none"/>
              </w:rPr>
            </w:pPr>
          </w:p>
        </w:tc>
        <w:tc>
          <w:tcPr>
            <w:tcW w:w="1849" w:type="dxa"/>
            <w:noWrap w:val="0"/>
            <w:vAlign w:val="center"/>
          </w:tcPr>
          <w:p w14:paraId="347C4B0A">
            <w:pPr>
              <w:pStyle w:val="119"/>
              <w:ind w:firstLine="480"/>
              <w:jc w:val="center"/>
              <w:rPr>
                <w:rFonts w:hint="eastAsia" w:cs="宋体"/>
                <w:sz w:val="24"/>
                <w:highlight w:val="none"/>
              </w:rPr>
            </w:pPr>
          </w:p>
        </w:tc>
      </w:tr>
      <w:tr w14:paraId="274C7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47" w:type="dxa"/>
            <w:noWrap w:val="0"/>
            <w:vAlign w:val="center"/>
          </w:tcPr>
          <w:p w14:paraId="48125E34">
            <w:pPr>
              <w:pStyle w:val="119"/>
              <w:ind w:firstLine="480"/>
              <w:jc w:val="center"/>
              <w:rPr>
                <w:rFonts w:hint="eastAsia" w:cs="宋体"/>
                <w:sz w:val="24"/>
                <w:highlight w:val="none"/>
              </w:rPr>
            </w:pPr>
          </w:p>
        </w:tc>
        <w:tc>
          <w:tcPr>
            <w:tcW w:w="1848" w:type="dxa"/>
            <w:noWrap w:val="0"/>
            <w:vAlign w:val="center"/>
          </w:tcPr>
          <w:p w14:paraId="2DEBFE45">
            <w:pPr>
              <w:pStyle w:val="119"/>
              <w:ind w:firstLine="480"/>
              <w:jc w:val="center"/>
              <w:rPr>
                <w:rFonts w:hint="eastAsia" w:cs="宋体"/>
                <w:sz w:val="24"/>
                <w:highlight w:val="none"/>
              </w:rPr>
            </w:pPr>
          </w:p>
        </w:tc>
        <w:tc>
          <w:tcPr>
            <w:tcW w:w="1849" w:type="dxa"/>
            <w:noWrap w:val="0"/>
            <w:vAlign w:val="center"/>
          </w:tcPr>
          <w:p w14:paraId="495B06E9">
            <w:pPr>
              <w:pStyle w:val="119"/>
              <w:ind w:firstLine="480"/>
              <w:jc w:val="center"/>
              <w:rPr>
                <w:rFonts w:hint="eastAsia" w:cs="宋体"/>
                <w:sz w:val="24"/>
                <w:highlight w:val="none"/>
              </w:rPr>
            </w:pPr>
          </w:p>
        </w:tc>
        <w:tc>
          <w:tcPr>
            <w:tcW w:w="1849" w:type="dxa"/>
            <w:noWrap w:val="0"/>
            <w:vAlign w:val="center"/>
          </w:tcPr>
          <w:p w14:paraId="2C0CEAC2">
            <w:pPr>
              <w:pStyle w:val="119"/>
              <w:ind w:firstLine="480"/>
              <w:jc w:val="center"/>
              <w:rPr>
                <w:rFonts w:hint="eastAsia" w:cs="宋体"/>
                <w:sz w:val="24"/>
                <w:highlight w:val="none"/>
              </w:rPr>
            </w:pPr>
          </w:p>
        </w:tc>
        <w:tc>
          <w:tcPr>
            <w:tcW w:w="1849" w:type="dxa"/>
            <w:noWrap w:val="0"/>
            <w:vAlign w:val="center"/>
          </w:tcPr>
          <w:p w14:paraId="16E9782D">
            <w:pPr>
              <w:pStyle w:val="119"/>
              <w:ind w:firstLine="480"/>
              <w:jc w:val="center"/>
              <w:rPr>
                <w:rFonts w:hint="eastAsia" w:cs="宋体"/>
                <w:sz w:val="24"/>
                <w:highlight w:val="none"/>
              </w:rPr>
            </w:pPr>
          </w:p>
        </w:tc>
      </w:tr>
      <w:tr w14:paraId="13C2E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47" w:type="dxa"/>
            <w:noWrap w:val="0"/>
            <w:vAlign w:val="center"/>
          </w:tcPr>
          <w:p w14:paraId="7668524F">
            <w:pPr>
              <w:pStyle w:val="119"/>
              <w:ind w:firstLine="480"/>
              <w:jc w:val="center"/>
              <w:rPr>
                <w:rFonts w:hint="eastAsia" w:cs="宋体"/>
                <w:sz w:val="24"/>
                <w:highlight w:val="none"/>
              </w:rPr>
            </w:pPr>
          </w:p>
        </w:tc>
        <w:tc>
          <w:tcPr>
            <w:tcW w:w="1848" w:type="dxa"/>
            <w:noWrap w:val="0"/>
            <w:vAlign w:val="center"/>
          </w:tcPr>
          <w:p w14:paraId="124703EB">
            <w:pPr>
              <w:pStyle w:val="119"/>
              <w:ind w:firstLine="480"/>
              <w:jc w:val="center"/>
              <w:rPr>
                <w:rFonts w:hint="eastAsia" w:cs="宋体"/>
                <w:sz w:val="24"/>
                <w:highlight w:val="none"/>
              </w:rPr>
            </w:pPr>
          </w:p>
        </w:tc>
        <w:tc>
          <w:tcPr>
            <w:tcW w:w="1849" w:type="dxa"/>
            <w:noWrap w:val="0"/>
            <w:vAlign w:val="center"/>
          </w:tcPr>
          <w:p w14:paraId="2A888FC6">
            <w:pPr>
              <w:pStyle w:val="119"/>
              <w:ind w:firstLine="480"/>
              <w:jc w:val="center"/>
              <w:rPr>
                <w:rFonts w:hint="eastAsia" w:cs="宋体"/>
                <w:sz w:val="24"/>
                <w:highlight w:val="none"/>
              </w:rPr>
            </w:pPr>
          </w:p>
        </w:tc>
        <w:tc>
          <w:tcPr>
            <w:tcW w:w="1849" w:type="dxa"/>
            <w:noWrap w:val="0"/>
            <w:vAlign w:val="center"/>
          </w:tcPr>
          <w:p w14:paraId="7D0B60F5">
            <w:pPr>
              <w:pStyle w:val="119"/>
              <w:ind w:firstLine="480"/>
              <w:jc w:val="center"/>
              <w:rPr>
                <w:rFonts w:hint="eastAsia" w:cs="宋体"/>
                <w:sz w:val="24"/>
                <w:highlight w:val="none"/>
              </w:rPr>
            </w:pPr>
          </w:p>
        </w:tc>
        <w:tc>
          <w:tcPr>
            <w:tcW w:w="1849" w:type="dxa"/>
            <w:noWrap w:val="0"/>
            <w:vAlign w:val="center"/>
          </w:tcPr>
          <w:p w14:paraId="4129479E">
            <w:pPr>
              <w:pStyle w:val="119"/>
              <w:ind w:firstLine="480"/>
              <w:jc w:val="center"/>
              <w:rPr>
                <w:rFonts w:hint="eastAsia" w:cs="宋体"/>
                <w:sz w:val="24"/>
                <w:highlight w:val="none"/>
              </w:rPr>
            </w:pPr>
          </w:p>
        </w:tc>
      </w:tr>
    </w:tbl>
    <w:p w14:paraId="016C4D62">
      <w:pPr>
        <w:spacing w:line="360" w:lineRule="auto"/>
        <w:rPr>
          <w:rFonts w:hint="eastAsia" w:ascii="宋体" w:hAnsi="宋体" w:cs="宋体"/>
          <w:highlight w:val="none"/>
        </w:rPr>
      </w:pPr>
      <w:r>
        <w:rPr>
          <w:rFonts w:hint="eastAsia" w:ascii="宋体" w:hAnsi="宋体" w:cs="宋体"/>
          <w:highlight w:val="none"/>
        </w:rPr>
        <w:t>注：参与编制技术标书所有人员名单应包括如编制技术投标文件、负责清样校对、负责打印及复印等所有人员在内的人员名单。</w:t>
      </w:r>
    </w:p>
    <w:p w14:paraId="0C1E6A1F">
      <w:pPr>
        <w:pStyle w:val="10"/>
        <w:rPr>
          <w:rFonts w:hint="eastAsia" w:ascii="宋体" w:hAnsi="宋体" w:cs="宋体"/>
          <w:highlight w:val="none"/>
        </w:rPr>
      </w:pPr>
    </w:p>
    <w:p w14:paraId="52630A9F">
      <w:pPr>
        <w:pStyle w:val="10"/>
        <w:rPr>
          <w:rFonts w:hint="eastAsia" w:ascii="宋体" w:hAnsi="宋体" w:cs="宋体"/>
          <w:highlight w:val="none"/>
        </w:rPr>
      </w:pPr>
    </w:p>
    <w:p w14:paraId="788E3CD8">
      <w:pPr>
        <w:pStyle w:val="10"/>
        <w:rPr>
          <w:rFonts w:hint="eastAsia" w:ascii="宋体" w:hAnsi="宋体" w:cs="宋体"/>
          <w:highlight w:val="none"/>
        </w:rPr>
      </w:pPr>
    </w:p>
    <w:p w14:paraId="0DDB6746">
      <w:pPr>
        <w:pStyle w:val="10"/>
        <w:rPr>
          <w:rFonts w:hint="eastAsia" w:ascii="宋体" w:hAnsi="宋体" w:cs="宋体"/>
          <w:highlight w:val="none"/>
        </w:rPr>
      </w:pPr>
    </w:p>
    <w:p w14:paraId="04E5CC8B">
      <w:pPr>
        <w:pStyle w:val="10"/>
        <w:rPr>
          <w:rFonts w:hint="eastAsia" w:ascii="宋体" w:hAnsi="宋体" w:cs="宋体"/>
          <w:highlight w:val="none"/>
        </w:rPr>
      </w:pPr>
    </w:p>
    <w:p w14:paraId="4AD4678A">
      <w:pPr>
        <w:pStyle w:val="10"/>
        <w:rPr>
          <w:rFonts w:hint="eastAsia" w:ascii="宋体" w:hAnsi="宋体" w:cs="宋体"/>
          <w:highlight w:val="none"/>
        </w:rPr>
      </w:pPr>
    </w:p>
    <w:p w14:paraId="06C2ED1B">
      <w:pPr>
        <w:pStyle w:val="10"/>
        <w:rPr>
          <w:rFonts w:hint="eastAsia" w:ascii="宋体" w:hAnsi="宋体" w:cs="宋体"/>
          <w:highlight w:val="none"/>
        </w:rPr>
      </w:pPr>
    </w:p>
    <w:p w14:paraId="5B314BD2">
      <w:pPr>
        <w:autoSpaceDE w:val="0"/>
        <w:autoSpaceDN w:val="0"/>
        <w:adjustRightInd w:val="0"/>
        <w:rPr>
          <w:rFonts w:hint="eastAsia" w:ascii="宋体" w:hAnsi="宋体" w:cs="宋体"/>
          <w:szCs w:val="21"/>
          <w:highlight w:val="none"/>
        </w:rPr>
      </w:pPr>
    </w:p>
    <w:p w14:paraId="19A477A6">
      <w:pPr>
        <w:pStyle w:val="10"/>
        <w:rPr>
          <w:rFonts w:hint="eastAsia" w:ascii="宋体" w:hAnsi="宋体" w:cs="宋体"/>
          <w:szCs w:val="21"/>
          <w:highlight w:val="none"/>
        </w:rPr>
      </w:pPr>
    </w:p>
    <w:p w14:paraId="06C6E610">
      <w:pPr>
        <w:rPr>
          <w:rFonts w:hint="eastAsia" w:ascii="宋体" w:hAnsi="宋体" w:cs="宋体"/>
          <w:szCs w:val="21"/>
          <w:highlight w:val="none"/>
        </w:rPr>
      </w:pPr>
    </w:p>
    <w:p w14:paraId="1814DABE">
      <w:pPr>
        <w:pStyle w:val="10"/>
        <w:rPr>
          <w:rFonts w:hint="eastAsia" w:ascii="宋体" w:hAnsi="宋体" w:cs="宋体"/>
          <w:szCs w:val="21"/>
          <w:highlight w:val="none"/>
        </w:rPr>
      </w:pPr>
    </w:p>
    <w:p w14:paraId="44EACD60">
      <w:pPr>
        <w:rPr>
          <w:rFonts w:hint="eastAsia" w:ascii="宋体" w:hAnsi="宋体" w:cs="宋体"/>
          <w:szCs w:val="21"/>
          <w:highlight w:val="none"/>
        </w:rPr>
      </w:pPr>
    </w:p>
    <w:p w14:paraId="6204049F">
      <w:pPr>
        <w:pStyle w:val="10"/>
        <w:rPr>
          <w:rFonts w:hint="eastAsia" w:ascii="宋体" w:hAnsi="宋体" w:cs="宋体"/>
          <w:szCs w:val="21"/>
          <w:highlight w:val="none"/>
        </w:rPr>
      </w:pPr>
    </w:p>
    <w:p w14:paraId="4BBC3B76">
      <w:pPr>
        <w:rPr>
          <w:rFonts w:hint="eastAsia" w:ascii="宋体" w:hAnsi="宋体" w:cs="宋体"/>
          <w:szCs w:val="21"/>
          <w:highlight w:val="none"/>
        </w:rPr>
      </w:pPr>
    </w:p>
    <w:p w14:paraId="340FA4D8">
      <w:pPr>
        <w:pStyle w:val="10"/>
        <w:rPr>
          <w:rFonts w:hint="eastAsia" w:ascii="宋体" w:hAnsi="宋体" w:cs="宋体"/>
          <w:szCs w:val="21"/>
          <w:highlight w:val="none"/>
        </w:rPr>
      </w:pPr>
    </w:p>
    <w:p w14:paraId="350CC81E">
      <w:pPr>
        <w:rPr>
          <w:rFonts w:hint="eastAsia" w:ascii="宋体" w:hAnsi="宋体" w:cs="宋体"/>
          <w:szCs w:val="21"/>
          <w:highlight w:val="none"/>
        </w:rPr>
      </w:pPr>
    </w:p>
    <w:p w14:paraId="0F7705EF">
      <w:pPr>
        <w:pStyle w:val="10"/>
        <w:rPr>
          <w:rFonts w:hint="eastAsia" w:ascii="宋体" w:hAnsi="宋体" w:cs="宋体"/>
          <w:szCs w:val="21"/>
          <w:highlight w:val="none"/>
        </w:rPr>
      </w:pPr>
    </w:p>
    <w:p w14:paraId="53A94DC5">
      <w:pPr>
        <w:rPr>
          <w:rFonts w:hint="eastAsia" w:ascii="宋体" w:hAnsi="宋体" w:cs="宋体"/>
          <w:szCs w:val="21"/>
          <w:highlight w:val="none"/>
        </w:rPr>
      </w:pPr>
    </w:p>
    <w:p w14:paraId="0B16DC49">
      <w:pPr>
        <w:pStyle w:val="10"/>
        <w:rPr>
          <w:highlight w:val="none"/>
        </w:rPr>
      </w:pPr>
    </w:p>
    <w:p w14:paraId="068FFC88">
      <w:pPr>
        <w:rPr>
          <w:highlight w:val="none"/>
        </w:rPr>
      </w:pPr>
    </w:p>
    <w:p w14:paraId="5372F15A">
      <w:pPr>
        <w:pStyle w:val="10"/>
        <w:rPr>
          <w:highlight w:val="none"/>
        </w:rPr>
      </w:pPr>
    </w:p>
    <w:p w14:paraId="105C99DD">
      <w:pPr>
        <w:rPr>
          <w:highlight w:val="none"/>
        </w:rPr>
      </w:pPr>
    </w:p>
    <w:p w14:paraId="01DC5973">
      <w:pPr>
        <w:pStyle w:val="10"/>
        <w:rPr>
          <w:highlight w:val="none"/>
        </w:rPr>
      </w:pPr>
    </w:p>
    <w:p w14:paraId="72A91ADD">
      <w:pPr>
        <w:rPr>
          <w:highlight w:val="none"/>
        </w:rPr>
      </w:pPr>
    </w:p>
    <w:p w14:paraId="1F46647E">
      <w:pPr>
        <w:pStyle w:val="10"/>
        <w:rPr>
          <w:highlight w:val="none"/>
        </w:rPr>
      </w:pPr>
    </w:p>
    <w:p w14:paraId="4D43764E">
      <w:pPr>
        <w:rPr>
          <w:rFonts w:hint="eastAsia"/>
          <w:highlight w:val="none"/>
        </w:rPr>
      </w:pPr>
    </w:p>
    <w:p w14:paraId="6E6DAF64">
      <w:pPr>
        <w:pStyle w:val="122"/>
        <w:ind w:firstLine="198" w:firstLineChars="80"/>
        <w:jc w:val="left"/>
        <w:rPr>
          <w:rFonts w:hint="eastAsia" w:ascii="宋体" w:hAnsi="宋体" w:cs="宋体"/>
          <w:szCs w:val="21"/>
          <w:highlight w:val="none"/>
        </w:rPr>
      </w:pPr>
    </w:p>
    <w:p w14:paraId="6F73FDCF">
      <w:pPr>
        <w:tabs>
          <w:tab w:val="left" w:pos="720"/>
        </w:tabs>
        <w:snapToGrid w:val="0"/>
        <w:spacing w:line="360" w:lineRule="auto"/>
        <w:ind w:firstLine="420"/>
        <w:rPr>
          <w:rFonts w:hint="eastAsia" w:ascii="宋体" w:hAnsi="宋体" w:cs="宋体"/>
          <w:szCs w:val="21"/>
          <w:highlight w:val="none"/>
        </w:rPr>
      </w:pPr>
    </w:p>
    <w:p w14:paraId="6C565AB2">
      <w:pPr>
        <w:pStyle w:val="120"/>
        <w:spacing w:beforeLines="0" w:afterLines="0" w:line="360" w:lineRule="auto"/>
        <w:outlineLvl w:val="0"/>
        <w:rPr>
          <w:rFonts w:hint="eastAsia" w:ascii="宋体" w:hAnsi="宋体" w:eastAsia="宋体" w:cs="宋体"/>
          <w:highlight w:val="none"/>
        </w:rPr>
      </w:pPr>
      <w:bookmarkStart w:id="89" w:name="_Toc8299"/>
      <w:bookmarkStart w:id="90" w:name="_Toc532475801"/>
      <w:bookmarkStart w:id="91" w:name="_Toc532475368"/>
      <w:bookmarkStart w:id="92" w:name="_Toc510963900"/>
      <w:bookmarkStart w:id="93" w:name="_Toc12992"/>
      <w:bookmarkStart w:id="94" w:name="_Toc30245"/>
      <w:r>
        <w:rPr>
          <w:rFonts w:hint="eastAsia" w:ascii="宋体" w:hAnsi="宋体" w:eastAsia="宋体" w:cs="宋体"/>
          <w:highlight w:val="none"/>
        </w:rPr>
        <w:t>二、经济标投标文件格式</w:t>
      </w:r>
      <w:bookmarkEnd w:id="89"/>
      <w:bookmarkEnd w:id="90"/>
      <w:bookmarkEnd w:id="91"/>
      <w:bookmarkEnd w:id="92"/>
      <w:bookmarkEnd w:id="93"/>
      <w:bookmarkEnd w:id="94"/>
    </w:p>
    <w:p w14:paraId="736590D2">
      <w:pPr>
        <w:pStyle w:val="122"/>
        <w:ind w:firstLine="496"/>
        <w:rPr>
          <w:rFonts w:hint="eastAsia" w:ascii="宋体" w:hAnsi="宋体" w:cs="宋体"/>
          <w:highlight w:val="none"/>
        </w:rPr>
      </w:pPr>
    </w:p>
    <w:p w14:paraId="394AD47A">
      <w:pPr>
        <w:pStyle w:val="121"/>
        <w:spacing w:beforeLines="0" w:afterLines="0" w:line="360" w:lineRule="auto"/>
        <w:rPr>
          <w:rFonts w:ascii="宋体" w:eastAsia="宋体" w:cs="宋体"/>
          <w:b w:val="0"/>
          <w:highlight w:val="none"/>
        </w:rPr>
      </w:pPr>
      <w:r>
        <w:rPr>
          <w:rFonts w:hint="eastAsia" w:ascii="宋体" w:eastAsia="宋体" w:cs="宋体"/>
          <w:b w:val="0"/>
          <w:highlight w:val="none"/>
        </w:rPr>
        <w:br w:type="page"/>
      </w:r>
      <w:bookmarkStart w:id="95" w:name="_Toc532475802"/>
      <w:bookmarkStart w:id="96" w:name="_Toc17231"/>
      <w:bookmarkStart w:id="97" w:name="_Toc532475369"/>
      <w:bookmarkStart w:id="98" w:name="_Toc510963901"/>
    </w:p>
    <w:p w14:paraId="03DDC3E2">
      <w:pPr>
        <w:pStyle w:val="121"/>
        <w:spacing w:beforeLines="0" w:afterLines="0" w:line="360" w:lineRule="auto"/>
        <w:rPr>
          <w:rFonts w:hint="eastAsia" w:ascii="宋体" w:eastAsia="宋体" w:cs="宋体"/>
          <w:highlight w:val="none"/>
        </w:rPr>
      </w:pPr>
      <w:bookmarkStart w:id="99" w:name="_Toc5181"/>
      <w:bookmarkStart w:id="100" w:name="_Toc13890"/>
      <w:r>
        <w:rPr>
          <w:rFonts w:hint="eastAsia" w:ascii="宋体" w:eastAsia="宋体" w:cs="宋体"/>
          <w:highlight w:val="none"/>
        </w:rPr>
        <w:t>格式六：经济标封面</w:t>
      </w:r>
      <w:bookmarkEnd w:id="95"/>
      <w:bookmarkEnd w:id="96"/>
      <w:bookmarkEnd w:id="97"/>
      <w:bookmarkEnd w:id="98"/>
      <w:bookmarkEnd w:id="99"/>
      <w:bookmarkEnd w:id="100"/>
    </w:p>
    <w:p w14:paraId="31F5A3B7">
      <w:pPr>
        <w:pStyle w:val="122"/>
        <w:ind w:firstLine="496"/>
        <w:rPr>
          <w:rFonts w:hint="eastAsia" w:ascii="宋体" w:hAnsi="宋体" w:cs="宋体"/>
          <w:highlight w:val="none"/>
        </w:rPr>
      </w:pPr>
    </w:p>
    <w:p w14:paraId="3BC16381">
      <w:pPr>
        <w:pStyle w:val="122"/>
        <w:ind w:firstLine="496"/>
        <w:rPr>
          <w:rFonts w:hint="eastAsia" w:ascii="宋体" w:hAnsi="宋体" w:cs="宋体"/>
          <w:highlight w:val="none"/>
        </w:rPr>
      </w:pPr>
    </w:p>
    <w:p w14:paraId="1B112909">
      <w:pPr>
        <w:pStyle w:val="123"/>
        <w:rPr>
          <w:rFonts w:hint="eastAsia" w:ascii="宋体" w:hAnsi="宋体" w:eastAsia="宋体" w:cs="宋体"/>
          <w:b w:val="0"/>
          <w:highlight w:val="none"/>
          <w:u w:val="single"/>
        </w:rPr>
      </w:pPr>
      <w:r>
        <w:rPr>
          <w:rFonts w:hint="eastAsia" w:ascii="宋体" w:hAnsi="宋体" w:eastAsia="宋体" w:cs="宋体"/>
          <w:b w:val="0"/>
          <w:highlight w:val="none"/>
          <w:u w:val="single"/>
        </w:rPr>
        <w:t xml:space="preserve">[工程名称] </w:t>
      </w:r>
    </w:p>
    <w:p w14:paraId="20CC81C0">
      <w:pPr>
        <w:pStyle w:val="122"/>
        <w:ind w:firstLine="496"/>
        <w:rPr>
          <w:rFonts w:hint="eastAsia" w:ascii="宋体" w:hAnsi="宋体" w:cs="宋体"/>
          <w:highlight w:val="none"/>
        </w:rPr>
      </w:pPr>
    </w:p>
    <w:p w14:paraId="4E278651">
      <w:pPr>
        <w:pStyle w:val="122"/>
        <w:ind w:firstLine="496"/>
        <w:rPr>
          <w:rFonts w:hint="eastAsia" w:ascii="宋体" w:hAnsi="宋体" w:cs="宋体"/>
          <w:highlight w:val="none"/>
        </w:rPr>
      </w:pPr>
    </w:p>
    <w:p w14:paraId="506C60B2">
      <w:pPr>
        <w:pStyle w:val="122"/>
        <w:ind w:firstLine="496"/>
        <w:rPr>
          <w:rFonts w:hint="eastAsia" w:ascii="宋体" w:hAnsi="宋体" w:cs="宋体"/>
          <w:highlight w:val="none"/>
        </w:rPr>
      </w:pPr>
    </w:p>
    <w:p w14:paraId="08D31E53">
      <w:pPr>
        <w:pStyle w:val="122"/>
        <w:ind w:firstLine="496"/>
        <w:rPr>
          <w:rFonts w:hint="eastAsia" w:ascii="宋体" w:hAnsi="宋体" w:cs="宋体"/>
          <w:highlight w:val="none"/>
        </w:rPr>
      </w:pPr>
    </w:p>
    <w:p w14:paraId="76CB17F3">
      <w:pPr>
        <w:pStyle w:val="124"/>
        <w:rPr>
          <w:rFonts w:hint="eastAsia" w:ascii="宋体" w:hAnsi="宋体" w:eastAsia="宋体" w:cs="宋体"/>
          <w:b w:val="0"/>
          <w:highlight w:val="none"/>
        </w:rPr>
      </w:pPr>
      <w:r>
        <w:rPr>
          <w:rFonts w:hint="eastAsia" w:ascii="宋体" w:hAnsi="宋体" w:eastAsia="宋体" w:cs="宋体"/>
          <w:b w:val="0"/>
          <w:highlight w:val="none"/>
        </w:rPr>
        <w:t>投标文件</w:t>
      </w:r>
    </w:p>
    <w:p w14:paraId="086C2864">
      <w:pPr>
        <w:pStyle w:val="123"/>
        <w:rPr>
          <w:rFonts w:hint="eastAsia" w:ascii="宋体" w:hAnsi="宋体" w:eastAsia="宋体" w:cs="宋体"/>
          <w:b w:val="0"/>
          <w:highlight w:val="none"/>
        </w:rPr>
      </w:pPr>
      <w:r>
        <w:rPr>
          <w:rFonts w:hint="eastAsia" w:ascii="宋体" w:hAnsi="宋体" w:eastAsia="宋体" w:cs="宋体"/>
          <w:b w:val="0"/>
          <w:highlight w:val="none"/>
        </w:rPr>
        <w:t>经济投标文件</w:t>
      </w:r>
    </w:p>
    <w:p w14:paraId="19C8ADEE">
      <w:pPr>
        <w:pStyle w:val="122"/>
        <w:ind w:firstLine="496"/>
        <w:rPr>
          <w:rFonts w:hint="eastAsia" w:ascii="宋体" w:hAnsi="宋体" w:cs="宋体"/>
          <w:highlight w:val="none"/>
        </w:rPr>
      </w:pPr>
      <w:r>
        <w:rPr>
          <w:rFonts w:hint="eastAsia" w:ascii="宋体" w:hAnsi="宋体" w:cs="宋体"/>
          <w:highlight w:val="none"/>
        </w:rPr>
        <w:t xml:space="preserve">   </w:t>
      </w:r>
    </w:p>
    <w:p w14:paraId="1F8D1A88">
      <w:pPr>
        <w:pStyle w:val="122"/>
        <w:ind w:firstLine="496"/>
        <w:rPr>
          <w:rFonts w:hint="eastAsia" w:ascii="宋体" w:hAnsi="宋体" w:cs="宋体"/>
          <w:highlight w:val="none"/>
        </w:rPr>
      </w:pPr>
    </w:p>
    <w:p w14:paraId="184C4DE8">
      <w:pPr>
        <w:pStyle w:val="122"/>
        <w:ind w:firstLine="496"/>
        <w:rPr>
          <w:rFonts w:hint="eastAsia" w:ascii="宋体" w:hAnsi="宋体" w:cs="宋体"/>
          <w:highlight w:val="none"/>
        </w:rPr>
      </w:pPr>
    </w:p>
    <w:p w14:paraId="24928A36">
      <w:pPr>
        <w:pStyle w:val="122"/>
        <w:ind w:firstLine="496"/>
        <w:rPr>
          <w:rFonts w:hint="eastAsia" w:ascii="宋体" w:hAnsi="宋体" w:cs="宋体"/>
          <w:highlight w:val="none"/>
        </w:rPr>
      </w:pPr>
    </w:p>
    <w:p w14:paraId="1B8CF2F2">
      <w:pPr>
        <w:pStyle w:val="122"/>
        <w:ind w:firstLine="496"/>
        <w:rPr>
          <w:rFonts w:hint="eastAsia" w:ascii="宋体" w:hAnsi="宋体" w:cs="宋体"/>
          <w:highlight w:val="none"/>
        </w:rPr>
      </w:pPr>
    </w:p>
    <w:p w14:paraId="7180CBB8">
      <w:pPr>
        <w:pStyle w:val="122"/>
        <w:ind w:firstLine="496"/>
        <w:rPr>
          <w:rFonts w:hint="eastAsia" w:ascii="宋体" w:hAnsi="宋体" w:cs="宋体"/>
          <w:highlight w:val="none"/>
        </w:rPr>
      </w:pPr>
    </w:p>
    <w:p w14:paraId="3736C3BC">
      <w:pPr>
        <w:pStyle w:val="125"/>
        <w:ind w:firstLine="616"/>
        <w:rPr>
          <w:rFonts w:hint="eastAsia" w:ascii="宋体" w:hAnsi="宋体" w:eastAsia="宋体" w:cs="宋体"/>
          <w:highlight w:val="none"/>
        </w:rPr>
      </w:pPr>
      <w:r>
        <w:rPr>
          <w:rFonts w:hint="eastAsia" w:ascii="宋体" w:hAnsi="宋体" w:eastAsia="宋体" w:cs="宋体"/>
          <w:highlight w:val="none"/>
        </w:rPr>
        <w:t>投标人：</w:t>
      </w:r>
      <w:r>
        <w:rPr>
          <w:rFonts w:hint="eastAsia" w:ascii="宋体" w:hAnsi="宋体" w:eastAsia="宋体" w:cs="宋体"/>
          <w:highlight w:val="none"/>
          <w:u w:val="single"/>
        </w:rPr>
        <w:t xml:space="preserve">      （填写投标人单位名称）       （盖章）</w:t>
      </w:r>
    </w:p>
    <w:p w14:paraId="6A66C5F7">
      <w:pPr>
        <w:pStyle w:val="125"/>
        <w:ind w:firstLine="616"/>
        <w:rPr>
          <w:rFonts w:hint="eastAsia" w:ascii="宋体" w:hAnsi="宋体" w:eastAsia="宋体" w:cs="宋体"/>
          <w:highlight w:val="none"/>
        </w:rPr>
      </w:pPr>
    </w:p>
    <w:p w14:paraId="30006C93">
      <w:pPr>
        <w:pStyle w:val="125"/>
        <w:ind w:firstLine="616"/>
        <w:rPr>
          <w:rFonts w:hint="eastAsia" w:ascii="宋体" w:hAnsi="宋体" w:eastAsia="宋体" w:cs="宋体"/>
          <w:highlight w:val="none"/>
        </w:rPr>
      </w:pPr>
      <w:r>
        <w:rPr>
          <w:rFonts w:hint="eastAsia" w:ascii="宋体" w:hAnsi="宋体" w:eastAsia="宋体" w:cs="宋体"/>
          <w:highlight w:val="none"/>
        </w:rPr>
        <w:t>法定代表人或</w:t>
      </w:r>
    </w:p>
    <w:p w14:paraId="4CA44BE5">
      <w:pPr>
        <w:pStyle w:val="125"/>
        <w:ind w:firstLine="616"/>
        <w:rPr>
          <w:rFonts w:hint="eastAsia" w:ascii="宋体" w:hAnsi="宋体" w:eastAsia="宋体" w:cs="宋体"/>
          <w:highlight w:val="none"/>
        </w:rPr>
      </w:pPr>
      <w:r>
        <w:rPr>
          <w:rFonts w:hint="eastAsia" w:ascii="宋体" w:hAnsi="宋体" w:eastAsia="宋体" w:cs="宋体"/>
          <w:highlight w:val="none"/>
        </w:rPr>
        <w:t>其委托代理人：</w:t>
      </w:r>
      <w:r>
        <w:rPr>
          <w:rFonts w:hint="eastAsia" w:ascii="宋体" w:hAnsi="宋体" w:eastAsia="宋体" w:cs="宋体"/>
          <w:highlight w:val="none"/>
          <w:u w:val="single"/>
        </w:rPr>
        <w:t xml:space="preserve">                     （签字或盖章）</w:t>
      </w:r>
    </w:p>
    <w:p w14:paraId="064F289D">
      <w:pPr>
        <w:pStyle w:val="125"/>
        <w:ind w:firstLine="616"/>
        <w:rPr>
          <w:rFonts w:hint="eastAsia" w:ascii="宋体" w:hAnsi="宋体" w:eastAsia="宋体" w:cs="宋体"/>
          <w:highlight w:val="none"/>
        </w:rPr>
      </w:pPr>
      <w:r>
        <w:rPr>
          <w:rFonts w:hint="eastAsia" w:ascii="宋体" w:hAnsi="宋体" w:eastAsia="宋体" w:cs="宋体"/>
          <w:highlight w:val="none"/>
        </w:rPr>
        <w:t>日  期：</w:t>
      </w:r>
      <w:r>
        <w:rPr>
          <w:rFonts w:hint="eastAsia" w:ascii="宋体" w:hAnsi="宋体" w:eastAsia="宋体" w:cs="宋体"/>
          <w:highlight w:val="none"/>
          <w:u w:val="single"/>
        </w:rPr>
        <w:t xml:space="preserve">                                        </w:t>
      </w:r>
      <w:r>
        <w:rPr>
          <w:rFonts w:hint="eastAsia" w:ascii="宋体" w:hAnsi="宋体" w:eastAsia="宋体" w:cs="宋体"/>
          <w:highlight w:val="none"/>
        </w:rPr>
        <w:t xml:space="preserve"> </w:t>
      </w:r>
    </w:p>
    <w:p w14:paraId="1CF636FC">
      <w:pPr>
        <w:rPr>
          <w:rFonts w:hint="eastAsia" w:ascii="宋体" w:hAnsi="宋体" w:cs="宋体"/>
          <w:highlight w:val="none"/>
        </w:rPr>
      </w:pPr>
      <w:r>
        <w:rPr>
          <w:rFonts w:hint="eastAsia" w:ascii="宋体" w:hAnsi="宋体" w:cs="宋体"/>
          <w:highlight w:val="none"/>
        </w:rPr>
        <w:br w:type="page"/>
      </w:r>
      <w:bookmarkStart w:id="101" w:name="_Toc532475371"/>
      <w:bookmarkStart w:id="102" w:name="_Toc510963903"/>
      <w:bookmarkStart w:id="103" w:name="_Toc532475804"/>
    </w:p>
    <w:p w14:paraId="688284E4">
      <w:pPr>
        <w:pStyle w:val="121"/>
        <w:spacing w:beforeLines="0" w:afterLines="0" w:line="360" w:lineRule="auto"/>
        <w:rPr>
          <w:rFonts w:hint="eastAsia" w:ascii="宋体" w:eastAsia="宋体" w:cs="宋体"/>
          <w:highlight w:val="none"/>
        </w:rPr>
      </w:pPr>
      <w:bookmarkStart w:id="104" w:name="_Toc10363"/>
      <w:bookmarkStart w:id="105" w:name="_Toc32284"/>
      <w:bookmarkStart w:id="106" w:name="_Toc17395"/>
      <w:r>
        <w:rPr>
          <w:rFonts w:hint="eastAsia" w:ascii="宋体" w:eastAsia="宋体" w:cs="宋体"/>
          <w:highlight w:val="none"/>
        </w:rPr>
        <w:t>格式七：工程量清单计价表</w:t>
      </w:r>
      <w:bookmarkEnd w:id="101"/>
      <w:bookmarkEnd w:id="102"/>
      <w:bookmarkEnd w:id="103"/>
      <w:bookmarkEnd w:id="104"/>
      <w:bookmarkEnd w:id="105"/>
      <w:bookmarkEnd w:id="106"/>
    </w:p>
    <w:p w14:paraId="64B980FC">
      <w:pPr>
        <w:pStyle w:val="122"/>
        <w:ind w:firstLine="498"/>
        <w:rPr>
          <w:rFonts w:hint="eastAsia" w:ascii="宋体" w:hAnsi="宋体" w:cs="宋体"/>
          <w:b/>
          <w:highlight w:val="none"/>
        </w:rPr>
      </w:pPr>
    </w:p>
    <w:p w14:paraId="7F415690">
      <w:pPr>
        <w:pStyle w:val="126"/>
        <w:ind w:firstLine="617"/>
        <w:rPr>
          <w:rFonts w:hint="eastAsia" w:ascii="宋体" w:hAnsi="宋体" w:eastAsia="宋体" w:cs="宋体"/>
          <w:highlight w:val="none"/>
        </w:rPr>
      </w:pPr>
      <w:r>
        <w:rPr>
          <w:rFonts w:hint="eastAsia" w:ascii="宋体" w:hAnsi="宋体" w:eastAsia="宋体" w:cs="宋体"/>
          <w:highlight w:val="none"/>
        </w:rPr>
        <w:t>工程量清单计价表</w:t>
      </w:r>
    </w:p>
    <w:p w14:paraId="2738C3C4">
      <w:pPr>
        <w:pStyle w:val="122"/>
        <w:ind w:firstLine="498"/>
        <w:rPr>
          <w:rFonts w:hint="eastAsia" w:ascii="宋体" w:hAnsi="宋体" w:cs="宋体"/>
          <w:b/>
          <w:highlight w:val="none"/>
        </w:rPr>
      </w:pPr>
    </w:p>
    <w:p w14:paraId="314DB53B">
      <w:pPr>
        <w:pStyle w:val="122"/>
        <w:ind w:firstLine="498"/>
        <w:rPr>
          <w:rFonts w:hint="eastAsia" w:ascii="宋体" w:hAnsi="宋体" w:cs="宋体"/>
          <w:b/>
          <w:highlight w:val="none"/>
        </w:rPr>
      </w:pPr>
      <w:r>
        <w:rPr>
          <w:rFonts w:hint="eastAsia" w:ascii="宋体" w:hAnsi="宋体" w:cs="宋体"/>
          <w:b/>
          <w:highlight w:val="none"/>
        </w:rPr>
        <w:t>本部分内容详见招标文件第七章工程量清单。</w:t>
      </w:r>
    </w:p>
    <w:p w14:paraId="3415DD32">
      <w:pPr>
        <w:pStyle w:val="122"/>
        <w:ind w:firstLine="496"/>
        <w:rPr>
          <w:rFonts w:hint="eastAsia" w:ascii="宋体" w:hAnsi="宋体" w:cs="宋体"/>
          <w:highlight w:val="none"/>
        </w:rPr>
      </w:pPr>
    </w:p>
    <w:p w14:paraId="003A218D">
      <w:pPr>
        <w:rPr>
          <w:rFonts w:hint="eastAsia" w:ascii="宋体" w:hAnsi="宋体" w:cs="宋体"/>
          <w:highlight w:val="none"/>
        </w:rPr>
      </w:pPr>
      <w:r>
        <w:rPr>
          <w:rFonts w:hint="eastAsia" w:ascii="宋体" w:hAnsi="宋体" w:cs="宋体"/>
          <w:highlight w:val="none"/>
        </w:rPr>
        <w:br w:type="page"/>
      </w:r>
      <w:bookmarkStart w:id="107" w:name="_Toc532475372"/>
      <w:bookmarkStart w:id="108" w:name="_Toc510963904"/>
      <w:bookmarkStart w:id="109" w:name="_Toc532475805"/>
    </w:p>
    <w:p w14:paraId="64953F92">
      <w:pPr>
        <w:pStyle w:val="121"/>
        <w:spacing w:beforeLines="0" w:afterLines="0" w:line="360" w:lineRule="auto"/>
        <w:rPr>
          <w:rFonts w:hint="eastAsia" w:ascii="宋体" w:eastAsia="宋体" w:cs="宋体"/>
          <w:highlight w:val="none"/>
        </w:rPr>
      </w:pPr>
      <w:bookmarkStart w:id="110" w:name="_Toc31402"/>
      <w:bookmarkStart w:id="111" w:name="_Toc21957"/>
      <w:bookmarkStart w:id="112" w:name="_Toc13201"/>
      <w:r>
        <w:rPr>
          <w:rFonts w:hint="eastAsia" w:ascii="宋体" w:eastAsia="宋体" w:cs="宋体"/>
          <w:highlight w:val="none"/>
        </w:rPr>
        <w:t>格式八：参与编制经济标投标文件人员名单</w:t>
      </w:r>
      <w:bookmarkEnd w:id="107"/>
      <w:bookmarkEnd w:id="108"/>
      <w:bookmarkEnd w:id="109"/>
      <w:bookmarkEnd w:id="110"/>
      <w:bookmarkEnd w:id="111"/>
      <w:bookmarkEnd w:id="112"/>
    </w:p>
    <w:p w14:paraId="713374C1">
      <w:pPr>
        <w:tabs>
          <w:tab w:val="left" w:pos="720"/>
        </w:tabs>
        <w:snapToGrid w:val="0"/>
        <w:spacing w:line="360" w:lineRule="auto"/>
        <w:jc w:val="center"/>
        <w:rPr>
          <w:rFonts w:hint="eastAsia" w:ascii="宋体" w:hAnsi="宋体" w:cs="宋体"/>
          <w:sz w:val="24"/>
          <w:highlight w:val="none"/>
        </w:rPr>
      </w:pPr>
    </w:p>
    <w:p w14:paraId="44F1CBBA">
      <w:pPr>
        <w:pStyle w:val="126"/>
        <w:ind w:firstLine="617"/>
        <w:rPr>
          <w:rFonts w:hint="eastAsia" w:ascii="宋体" w:hAnsi="宋体" w:eastAsia="宋体" w:cs="宋体"/>
          <w:sz w:val="32"/>
          <w:highlight w:val="none"/>
        </w:rPr>
      </w:pPr>
      <w:r>
        <w:rPr>
          <w:rFonts w:hint="eastAsia" w:ascii="宋体" w:hAnsi="宋体" w:eastAsia="宋体" w:cs="宋体"/>
          <w:sz w:val="32"/>
          <w:highlight w:val="none"/>
        </w:rPr>
        <w:t>参与编制经济标投标文件人员名单</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1382"/>
        <w:gridCol w:w="2341"/>
        <w:gridCol w:w="2245"/>
        <w:gridCol w:w="2304"/>
      </w:tblGrid>
      <w:tr w14:paraId="72FB1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9464" w:type="dxa"/>
            <w:gridSpan w:val="5"/>
            <w:noWrap w:val="0"/>
            <w:vAlign w:val="center"/>
          </w:tcPr>
          <w:p w14:paraId="0F994AB2">
            <w:pPr>
              <w:tabs>
                <w:tab w:val="left" w:pos="720"/>
              </w:tabs>
              <w:snapToGrid w:val="0"/>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投标单位名称</w:t>
            </w:r>
          </w:p>
        </w:tc>
      </w:tr>
      <w:tr w14:paraId="5AD37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192" w:type="dxa"/>
            <w:noWrap w:val="0"/>
            <w:vAlign w:val="center"/>
          </w:tcPr>
          <w:p w14:paraId="0657922D">
            <w:pPr>
              <w:tabs>
                <w:tab w:val="left" w:pos="720"/>
              </w:tabs>
              <w:snapToGrid w:val="0"/>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姓名</w:t>
            </w:r>
          </w:p>
        </w:tc>
        <w:tc>
          <w:tcPr>
            <w:tcW w:w="1382" w:type="dxa"/>
            <w:noWrap w:val="0"/>
            <w:vAlign w:val="center"/>
          </w:tcPr>
          <w:p w14:paraId="26DBE2B4">
            <w:pPr>
              <w:tabs>
                <w:tab w:val="left" w:pos="720"/>
              </w:tabs>
              <w:snapToGrid w:val="0"/>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职务</w:t>
            </w:r>
          </w:p>
        </w:tc>
        <w:tc>
          <w:tcPr>
            <w:tcW w:w="2341" w:type="dxa"/>
            <w:noWrap w:val="0"/>
            <w:vAlign w:val="center"/>
          </w:tcPr>
          <w:p w14:paraId="453FE844">
            <w:pPr>
              <w:tabs>
                <w:tab w:val="left" w:pos="720"/>
              </w:tabs>
              <w:snapToGrid w:val="0"/>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所承担工作</w:t>
            </w:r>
          </w:p>
        </w:tc>
        <w:tc>
          <w:tcPr>
            <w:tcW w:w="2245" w:type="dxa"/>
            <w:noWrap w:val="0"/>
            <w:vAlign w:val="center"/>
          </w:tcPr>
          <w:p w14:paraId="2CD5F9F0">
            <w:pPr>
              <w:tabs>
                <w:tab w:val="left" w:pos="720"/>
              </w:tabs>
              <w:snapToGrid w:val="0"/>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身份证号码</w:t>
            </w:r>
          </w:p>
        </w:tc>
        <w:tc>
          <w:tcPr>
            <w:tcW w:w="2304" w:type="dxa"/>
            <w:noWrap w:val="0"/>
            <w:vAlign w:val="center"/>
          </w:tcPr>
          <w:p w14:paraId="3A8B48C9">
            <w:pPr>
              <w:tabs>
                <w:tab w:val="left" w:pos="720"/>
              </w:tabs>
              <w:snapToGrid w:val="0"/>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本人签名栏</w:t>
            </w:r>
          </w:p>
        </w:tc>
      </w:tr>
      <w:tr w14:paraId="1590A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192" w:type="dxa"/>
            <w:noWrap w:val="0"/>
            <w:vAlign w:val="center"/>
          </w:tcPr>
          <w:p w14:paraId="2992E25C">
            <w:pPr>
              <w:tabs>
                <w:tab w:val="left" w:pos="720"/>
              </w:tabs>
              <w:snapToGrid w:val="0"/>
              <w:spacing w:line="360" w:lineRule="auto"/>
              <w:jc w:val="center"/>
              <w:rPr>
                <w:rFonts w:hint="eastAsia" w:ascii="宋体" w:hAnsi="宋体" w:cs="宋体"/>
                <w:sz w:val="24"/>
                <w:szCs w:val="24"/>
                <w:highlight w:val="none"/>
              </w:rPr>
            </w:pPr>
          </w:p>
        </w:tc>
        <w:tc>
          <w:tcPr>
            <w:tcW w:w="1382" w:type="dxa"/>
            <w:noWrap w:val="0"/>
            <w:vAlign w:val="center"/>
          </w:tcPr>
          <w:p w14:paraId="2EE8F3B7">
            <w:pPr>
              <w:tabs>
                <w:tab w:val="left" w:pos="720"/>
              </w:tabs>
              <w:snapToGrid w:val="0"/>
              <w:spacing w:line="360" w:lineRule="auto"/>
              <w:jc w:val="center"/>
              <w:rPr>
                <w:rFonts w:hint="eastAsia" w:ascii="宋体" w:hAnsi="宋体" w:cs="宋体"/>
                <w:sz w:val="24"/>
                <w:szCs w:val="24"/>
                <w:highlight w:val="none"/>
              </w:rPr>
            </w:pPr>
          </w:p>
        </w:tc>
        <w:tc>
          <w:tcPr>
            <w:tcW w:w="2341" w:type="dxa"/>
            <w:noWrap w:val="0"/>
            <w:vAlign w:val="center"/>
          </w:tcPr>
          <w:p w14:paraId="673E6FD9">
            <w:pPr>
              <w:tabs>
                <w:tab w:val="left" w:pos="720"/>
              </w:tabs>
              <w:snapToGrid w:val="0"/>
              <w:spacing w:line="360" w:lineRule="auto"/>
              <w:jc w:val="center"/>
              <w:rPr>
                <w:rFonts w:hint="eastAsia" w:ascii="宋体" w:hAnsi="宋体" w:cs="宋体"/>
                <w:sz w:val="24"/>
                <w:szCs w:val="24"/>
                <w:highlight w:val="none"/>
              </w:rPr>
            </w:pPr>
          </w:p>
        </w:tc>
        <w:tc>
          <w:tcPr>
            <w:tcW w:w="2245" w:type="dxa"/>
            <w:noWrap w:val="0"/>
            <w:vAlign w:val="center"/>
          </w:tcPr>
          <w:p w14:paraId="7194B9B9">
            <w:pPr>
              <w:tabs>
                <w:tab w:val="left" w:pos="720"/>
              </w:tabs>
              <w:snapToGrid w:val="0"/>
              <w:spacing w:line="360" w:lineRule="auto"/>
              <w:jc w:val="center"/>
              <w:rPr>
                <w:rFonts w:hint="eastAsia" w:ascii="宋体" w:hAnsi="宋体" w:cs="宋体"/>
                <w:sz w:val="24"/>
                <w:szCs w:val="24"/>
                <w:highlight w:val="none"/>
              </w:rPr>
            </w:pPr>
          </w:p>
        </w:tc>
        <w:tc>
          <w:tcPr>
            <w:tcW w:w="2304" w:type="dxa"/>
            <w:noWrap w:val="0"/>
            <w:vAlign w:val="center"/>
          </w:tcPr>
          <w:p w14:paraId="14A19FE8">
            <w:pPr>
              <w:tabs>
                <w:tab w:val="left" w:pos="720"/>
              </w:tabs>
              <w:snapToGrid w:val="0"/>
              <w:spacing w:line="360" w:lineRule="auto"/>
              <w:jc w:val="center"/>
              <w:rPr>
                <w:rFonts w:hint="eastAsia" w:ascii="宋体" w:hAnsi="宋体" w:cs="宋体"/>
                <w:sz w:val="24"/>
                <w:szCs w:val="24"/>
                <w:highlight w:val="none"/>
              </w:rPr>
            </w:pPr>
          </w:p>
        </w:tc>
      </w:tr>
      <w:tr w14:paraId="0B9B4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92" w:type="dxa"/>
            <w:noWrap w:val="0"/>
            <w:vAlign w:val="center"/>
          </w:tcPr>
          <w:p w14:paraId="5DFA99E5">
            <w:pPr>
              <w:tabs>
                <w:tab w:val="left" w:pos="720"/>
              </w:tabs>
              <w:snapToGrid w:val="0"/>
              <w:spacing w:line="360" w:lineRule="auto"/>
              <w:jc w:val="center"/>
              <w:rPr>
                <w:rFonts w:hint="eastAsia" w:ascii="宋体" w:hAnsi="宋体" w:cs="宋体"/>
                <w:sz w:val="24"/>
                <w:szCs w:val="24"/>
                <w:highlight w:val="none"/>
              </w:rPr>
            </w:pPr>
          </w:p>
        </w:tc>
        <w:tc>
          <w:tcPr>
            <w:tcW w:w="1382" w:type="dxa"/>
            <w:noWrap w:val="0"/>
            <w:vAlign w:val="center"/>
          </w:tcPr>
          <w:p w14:paraId="6EA0E975">
            <w:pPr>
              <w:tabs>
                <w:tab w:val="left" w:pos="720"/>
              </w:tabs>
              <w:snapToGrid w:val="0"/>
              <w:spacing w:line="360" w:lineRule="auto"/>
              <w:jc w:val="center"/>
              <w:rPr>
                <w:rFonts w:hint="eastAsia" w:ascii="宋体" w:hAnsi="宋体" w:cs="宋体"/>
                <w:sz w:val="24"/>
                <w:szCs w:val="24"/>
                <w:highlight w:val="none"/>
              </w:rPr>
            </w:pPr>
          </w:p>
        </w:tc>
        <w:tc>
          <w:tcPr>
            <w:tcW w:w="2341" w:type="dxa"/>
            <w:noWrap w:val="0"/>
            <w:vAlign w:val="center"/>
          </w:tcPr>
          <w:p w14:paraId="1A935E4C">
            <w:pPr>
              <w:tabs>
                <w:tab w:val="left" w:pos="720"/>
              </w:tabs>
              <w:snapToGrid w:val="0"/>
              <w:spacing w:line="360" w:lineRule="auto"/>
              <w:jc w:val="center"/>
              <w:rPr>
                <w:rFonts w:hint="eastAsia" w:ascii="宋体" w:hAnsi="宋体" w:cs="宋体"/>
                <w:sz w:val="24"/>
                <w:szCs w:val="24"/>
                <w:highlight w:val="none"/>
              </w:rPr>
            </w:pPr>
          </w:p>
        </w:tc>
        <w:tc>
          <w:tcPr>
            <w:tcW w:w="2245" w:type="dxa"/>
            <w:noWrap w:val="0"/>
            <w:vAlign w:val="center"/>
          </w:tcPr>
          <w:p w14:paraId="625370E2">
            <w:pPr>
              <w:tabs>
                <w:tab w:val="left" w:pos="720"/>
              </w:tabs>
              <w:snapToGrid w:val="0"/>
              <w:spacing w:line="360" w:lineRule="auto"/>
              <w:jc w:val="center"/>
              <w:rPr>
                <w:rFonts w:hint="eastAsia" w:ascii="宋体" w:hAnsi="宋体" w:cs="宋体"/>
                <w:sz w:val="24"/>
                <w:szCs w:val="24"/>
                <w:highlight w:val="none"/>
              </w:rPr>
            </w:pPr>
          </w:p>
        </w:tc>
        <w:tc>
          <w:tcPr>
            <w:tcW w:w="2304" w:type="dxa"/>
            <w:noWrap w:val="0"/>
            <w:vAlign w:val="center"/>
          </w:tcPr>
          <w:p w14:paraId="5EAC3D57">
            <w:pPr>
              <w:tabs>
                <w:tab w:val="left" w:pos="720"/>
              </w:tabs>
              <w:snapToGrid w:val="0"/>
              <w:spacing w:line="360" w:lineRule="auto"/>
              <w:jc w:val="center"/>
              <w:rPr>
                <w:rFonts w:hint="eastAsia" w:ascii="宋体" w:hAnsi="宋体" w:cs="宋体"/>
                <w:sz w:val="24"/>
                <w:szCs w:val="24"/>
                <w:highlight w:val="none"/>
              </w:rPr>
            </w:pPr>
          </w:p>
        </w:tc>
      </w:tr>
      <w:tr w14:paraId="10A11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92" w:type="dxa"/>
            <w:noWrap w:val="0"/>
            <w:vAlign w:val="center"/>
          </w:tcPr>
          <w:p w14:paraId="20D37B2F">
            <w:pPr>
              <w:tabs>
                <w:tab w:val="left" w:pos="720"/>
              </w:tabs>
              <w:snapToGrid w:val="0"/>
              <w:spacing w:line="360" w:lineRule="auto"/>
              <w:jc w:val="center"/>
              <w:rPr>
                <w:rFonts w:hint="eastAsia" w:ascii="宋体" w:hAnsi="宋体" w:cs="宋体"/>
                <w:sz w:val="24"/>
                <w:szCs w:val="24"/>
                <w:highlight w:val="none"/>
              </w:rPr>
            </w:pPr>
          </w:p>
        </w:tc>
        <w:tc>
          <w:tcPr>
            <w:tcW w:w="1382" w:type="dxa"/>
            <w:noWrap w:val="0"/>
            <w:vAlign w:val="center"/>
          </w:tcPr>
          <w:p w14:paraId="6C5F9AED">
            <w:pPr>
              <w:tabs>
                <w:tab w:val="left" w:pos="720"/>
              </w:tabs>
              <w:snapToGrid w:val="0"/>
              <w:spacing w:line="360" w:lineRule="auto"/>
              <w:jc w:val="center"/>
              <w:rPr>
                <w:rFonts w:hint="eastAsia" w:ascii="宋体" w:hAnsi="宋体" w:cs="宋体"/>
                <w:sz w:val="24"/>
                <w:szCs w:val="24"/>
                <w:highlight w:val="none"/>
              </w:rPr>
            </w:pPr>
          </w:p>
        </w:tc>
        <w:tc>
          <w:tcPr>
            <w:tcW w:w="2341" w:type="dxa"/>
            <w:noWrap w:val="0"/>
            <w:vAlign w:val="center"/>
          </w:tcPr>
          <w:p w14:paraId="6536E292">
            <w:pPr>
              <w:tabs>
                <w:tab w:val="left" w:pos="720"/>
              </w:tabs>
              <w:snapToGrid w:val="0"/>
              <w:spacing w:line="360" w:lineRule="auto"/>
              <w:jc w:val="center"/>
              <w:rPr>
                <w:rFonts w:hint="eastAsia" w:ascii="宋体" w:hAnsi="宋体" w:cs="宋体"/>
                <w:sz w:val="24"/>
                <w:szCs w:val="24"/>
                <w:highlight w:val="none"/>
              </w:rPr>
            </w:pPr>
          </w:p>
        </w:tc>
        <w:tc>
          <w:tcPr>
            <w:tcW w:w="2245" w:type="dxa"/>
            <w:noWrap w:val="0"/>
            <w:vAlign w:val="center"/>
          </w:tcPr>
          <w:p w14:paraId="6EE25CCB">
            <w:pPr>
              <w:tabs>
                <w:tab w:val="left" w:pos="720"/>
              </w:tabs>
              <w:snapToGrid w:val="0"/>
              <w:spacing w:line="360" w:lineRule="auto"/>
              <w:jc w:val="center"/>
              <w:rPr>
                <w:rFonts w:hint="eastAsia" w:ascii="宋体" w:hAnsi="宋体" w:cs="宋体"/>
                <w:sz w:val="24"/>
                <w:szCs w:val="24"/>
                <w:highlight w:val="none"/>
              </w:rPr>
            </w:pPr>
          </w:p>
        </w:tc>
        <w:tc>
          <w:tcPr>
            <w:tcW w:w="2304" w:type="dxa"/>
            <w:noWrap w:val="0"/>
            <w:vAlign w:val="center"/>
          </w:tcPr>
          <w:p w14:paraId="6910CB7D">
            <w:pPr>
              <w:tabs>
                <w:tab w:val="left" w:pos="720"/>
              </w:tabs>
              <w:snapToGrid w:val="0"/>
              <w:spacing w:line="360" w:lineRule="auto"/>
              <w:jc w:val="center"/>
              <w:rPr>
                <w:rFonts w:hint="eastAsia" w:ascii="宋体" w:hAnsi="宋体" w:cs="宋体"/>
                <w:sz w:val="24"/>
                <w:szCs w:val="24"/>
                <w:highlight w:val="none"/>
              </w:rPr>
            </w:pPr>
          </w:p>
        </w:tc>
      </w:tr>
      <w:tr w14:paraId="53CDD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92" w:type="dxa"/>
            <w:noWrap w:val="0"/>
            <w:vAlign w:val="center"/>
          </w:tcPr>
          <w:p w14:paraId="626085EB">
            <w:pPr>
              <w:tabs>
                <w:tab w:val="left" w:pos="720"/>
              </w:tabs>
              <w:snapToGrid w:val="0"/>
              <w:spacing w:line="360" w:lineRule="auto"/>
              <w:jc w:val="center"/>
              <w:rPr>
                <w:rFonts w:hint="eastAsia" w:ascii="宋体" w:hAnsi="宋体" w:cs="宋体"/>
                <w:sz w:val="24"/>
                <w:szCs w:val="24"/>
                <w:highlight w:val="none"/>
              </w:rPr>
            </w:pPr>
          </w:p>
        </w:tc>
        <w:tc>
          <w:tcPr>
            <w:tcW w:w="1382" w:type="dxa"/>
            <w:noWrap w:val="0"/>
            <w:vAlign w:val="center"/>
          </w:tcPr>
          <w:p w14:paraId="52931784">
            <w:pPr>
              <w:tabs>
                <w:tab w:val="left" w:pos="720"/>
              </w:tabs>
              <w:snapToGrid w:val="0"/>
              <w:spacing w:line="360" w:lineRule="auto"/>
              <w:jc w:val="center"/>
              <w:rPr>
                <w:rFonts w:hint="eastAsia" w:ascii="宋体" w:hAnsi="宋体" w:cs="宋体"/>
                <w:sz w:val="24"/>
                <w:szCs w:val="24"/>
                <w:highlight w:val="none"/>
              </w:rPr>
            </w:pPr>
          </w:p>
        </w:tc>
        <w:tc>
          <w:tcPr>
            <w:tcW w:w="2341" w:type="dxa"/>
            <w:noWrap w:val="0"/>
            <w:vAlign w:val="center"/>
          </w:tcPr>
          <w:p w14:paraId="09EE6055">
            <w:pPr>
              <w:tabs>
                <w:tab w:val="left" w:pos="720"/>
              </w:tabs>
              <w:snapToGrid w:val="0"/>
              <w:spacing w:line="360" w:lineRule="auto"/>
              <w:jc w:val="center"/>
              <w:rPr>
                <w:rFonts w:hint="eastAsia" w:ascii="宋体" w:hAnsi="宋体" w:cs="宋体"/>
                <w:sz w:val="24"/>
                <w:szCs w:val="24"/>
                <w:highlight w:val="none"/>
              </w:rPr>
            </w:pPr>
          </w:p>
        </w:tc>
        <w:tc>
          <w:tcPr>
            <w:tcW w:w="2245" w:type="dxa"/>
            <w:noWrap w:val="0"/>
            <w:vAlign w:val="center"/>
          </w:tcPr>
          <w:p w14:paraId="6B64C2C1">
            <w:pPr>
              <w:tabs>
                <w:tab w:val="left" w:pos="720"/>
              </w:tabs>
              <w:snapToGrid w:val="0"/>
              <w:spacing w:line="360" w:lineRule="auto"/>
              <w:jc w:val="center"/>
              <w:rPr>
                <w:rFonts w:hint="eastAsia" w:ascii="宋体" w:hAnsi="宋体" w:cs="宋体"/>
                <w:sz w:val="24"/>
                <w:szCs w:val="24"/>
                <w:highlight w:val="none"/>
              </w:rPr>
            </w:pPr>
          </w:p>
        </w:tc>
        <w:tc>
          <w:tcPr>
            <w:tcW w:w="2304" w:type="dxa"/>
            <w:noWrap w:val="0"/>
            <w:vAlign w:val="center"/>
          </w:tcPr>
          <w:p w14:paraId="522C1980">
            <w:pPr>
              <w:tabs>
                <w:tab w:val="left" w:pos="720"/>
              </w:tabs>
              <w:snapToGrid w:val="0"/>
              <w:spacing w:line="360" w:lineRule="auto"/>
              <w:jc w:val="center"/>
              <w:rPr>
                <w:rFonts w:hint="eastAsia" w:ascii="宋体" w:hAnsi="宋体" w:cs="宋体"/>
                <w:sz w:val="24"/>
                <w:szCs w:val="24"/>
                <w:highlight w:val="none"/>
              </w:rPr>
            </w:pPr>
          </w:p>
        </w:tc>
      </w:tr>
      <w:tr w14:paraId="4C9F9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92" w:type="dxa"/>
            <w:noWrap w:val="0"/>
            <w:vAlign w:val="center"/>
          </w:tcPr>
          <w:p w14:paraId="1C728B5C">
            <w:pPr>
              <w:tabs>
                <w:tab w:val="left" w:pos="720"/>
              </w:tabs>
              <w:snapToGrid w:val="0"/>
              <w:spacing w:line="360" w:lineRule="auto"/>
              <w:jc w:val="center"/>
              <w:rPr>
                <w:rFonts w:hint="eastAsia" w:ascii="宋体" w:hAnsi="宋体" w:cs="宋体"/>
                <w:sz w:val="24"/>
                <w:szCs w:val="24"/>
                <w:highlight w:val="none"/>
              </w:rPr>
            </w:pPr>
          </w:p>
        </w:tc>
        <w:tc>
          <w:tcPr>
            <w:tcW w:w="1382" w:type="dxa"/>
            <w:noWrap w:val="0"/>
            <w:vAlign w:val="center"/>
          </w:tcPr>
          <w:p w14:paraId="1EE35AC9">
            <w:pPr>
              <w:tabs>
                <w:tab w:val="left" w:pos="720"/>
              </w:tabs>
              <w:snapToGrid w:val="0"/>
              <w:spacing w:line="360" w:lineRule="auto"/>
              <w:jc w:val="center"/>
              <w:rPr>
                <w:rFonts w:hint="eastAsia" w:ascii="宋体" w:hAnsi="宋体" w:cs="宋体"/>
                <w:sz w:val="24"/>
                <w:szCs w:val="24"/>
                <w:highlight w:val="none"/>
              </w:rPr>
            </w:pPr>
          </w:p>
        </w:tc>
        <w:tc>
          <w:tcPr>
            <w:tcW w:w="2341" w:type="dxa"/>
            <w:noWrap w:val="0"/>
            <w:vAlign w:val="center"/>
          </w:tcPr>
          <w:p w14:paraId="7AAE274A">
            <w:pPr>
              <w:tabs>
                <w:tab w:val="left" w:pos="720"/>
              </w:tabs>
              <w:snapToGrid w:val="0"/>
              <w:spacing w:line="360" w:lineRule="auto"/>
              <w:jc w:val="center"/>
              <w:rPr>
                <w:rFonts w:hint="eastAsia" w:ascii="宋体" w:hAnsi="宋体" w:cs="宋体"/>
                <w:sz w:val="24"/>
                <w:szCs w:val="24"/>
                <w:highlight w:val="none"/>
              </w:rPr>
            </w:pPr>
          </w:p>
        </w:tc>
        <w:tc>
          <w:tcPr>
            <w:tcW w:w="2245" w:type="dxa"/>
            <w:noWrap w:val="0"/>
            <w:vAlign w:val="center"/>
          </w:tcPr>
          <w:p w14:paraId="59CDF47E">
            <w:pPr>
              <w:tabs>
                <w:tab w:val="left" w:pos="720"/>
              </w:tabs>
              <w:snapToGrid w:val="0"/>
              <w:spacing w:line="360" w:lineRule="auto"/>
              <w:jc w:val="center"/>
              <w:rPr>
                <w:rFonts w:hint="eastAsia" w:ascii="宋体" w:hAnsi="宋体" w:cs="宋体"/>
                <w:sz w:val="24"/>
                <w:szCs w:val="24"/>
                <w:highlight w:val="none"/>
              </w:rPr>
            </w:pPr>
          </w:p>
        </w:tc>
        <w:tc>
          <w:tcPr>
            <w:tcW w:w="2304" w:type="dxa"/>
            <w:noWrap w:val="0"/>
            <w:vAlign w:val="center"/>
          </w:tcPr>
          <w:p w14:paraId="2B878745">
            <w:pPr>
              <w:tabs>
                <w:tab w:val="left" w:pos="720"/>
              </w:tabs>
              <w:snapToGrid w:val="0"/>
              <w:spacing w:line="360" w:lineRule="auto"/>
              <w:jc w:val="center"/>
              <w:rPr>
                <w:rFonts w:hint="eastAsia" w:ascii="宋体" w:hAnsi="宋体" w:cs="宋体"/>
                <w:sz w:val="24"/>
                <w:szCs w:val="24"/>
                <w:highlight w:val="none"/>
              </w:rPr>
            </w:pPr>
          </w:p>
        </w:tc>
      </w:tr>
      <w:tr w14:paraId="26570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92" w:type="dxa"/>
            <w:noWrap w:val="0"/>
            <w:vAlign w:val="center"/>
          </w:tcPr>
          <w:p w14:paraId="4C478B15">
            <w:pPr>
              <w:tabs>
                <w:tab w:val="left" w:pos="720"/>
              </w:tabs>
              <w:snapToGrid w:val="0"/>
              <w:spacing w:line="360" w:lineRule="auto"/>
              <w:jc w:val="center"/>
              <w:rPr>
                <w:rFonts w:hint="eastAsia" w:ascii="宋体" w:hAnsi="宋体" w:cs="宋体"/>
                <w:sz w:val="24"/>
                <w:szCs w:val="24"/>
                <w:highlight w:val="none"/>
              </w:rPr>
            </w:pPr>
          </w:p>
        </w:tc>
        <w:tc>
          <w:tcPr>
            <w:tcW w:w="1382" w:type="dxa"/>
            <w:noWrap w:val="0"/>
            <w:vAlign w:val="center"/>
          </w:tcPr>
          <w:p w14:paraId="71F9420A">
            <w:pPr>
              <w:tabs>
                <w:tab w:val="left" w:pos="720"/>
              </w:tabs>
              <w:snapToGrid w:val="0"/>
              <w:spacing w:line="360" w:lineRule="auto"/>
              <w:jc w:val="center"/>
              <w:rPr>
                <w:rFonts w:hint="eastAsia" w:ascii="宋体" w:hAnsi="宋体" w:cs="宋体"/>
                <w:sz w:val="24"/>
                <w:szCs w:val="24"/>
                <w:highlight w:val="none"/>
              </w:rPr>
            </w:pPr>
          </w:p>
        </w:tc>
        <w:tc>
          <w:tcPr>
            <w:tcW w:w="2341" w:type="dxa"/>
            <w:noWrap w:val="0"/>
            <w:vAlign w:val="center"/>
          </w:tcPr>
          <w:p w14:paraId="54F22A02">
            <w:pPr>
              <w:tabs>
                <w:tab w:val="left" w:pos="720"/>
              </w:tabs>
              <w:snapToGrid w:val="0"/>
              <w:spacing w:line="360" w:lineRule="auto"/>
              <w:jc w:val="center"/>
              <w:rPr>
                <w:rFonts w:hint="eastAsia" w:ascii="宋体" w:hAnsi="宋体" w:cs="宋体"/>
                <w:sz w:val="24"/>
                <w:szCs w:val="24"/>
                <w:highlight w:val="none"/>
              </w:rPr>
            </w:pPr>
          </w:p>
        </w:tc>
        <w:tc>
          <w:tcPr>
            <w:tcW w:w="2245" w:type="dxa"/>
            <w:noWrap w:val="0"/>
            <w:vAlign w:val="center"/>
          </w:tcPr>
          <w:p w14:paraId="14D8BA09">
            <w:pPr>
              <w:tabs>
                <w:tab w:val="left" w:pos="720"/>
              </w:tabs>
              <w:snapToGrid w:val="0"/>
              <w:spacing w:line="360" w:lineRule="auto"/>
              <w:jc w:val="center"/>
              <w:rPr>
                <w:rFonts w:hint="eastAsia" w:ascii="宋体" w:hAnsi="宋体" w:cs="宋体"/>
                <w:sz w:val="24"/>
                <w:szCs w:val="24"/>
                <w:highlight w:val="none"/>
              </w:rPr>
            </w:pPr>
          </w:p>
        </w:tc>
        <w:tc>
          <w:tcPr>
            <w:tcW w:w="2304" w:type="dxa"/>
            <w:noWrap w:val="0"/>
            <w:vAlign w:val="center"/>
          </w:tcPr>
          <w:p w14:paraId="32558AC8">
            <w:pPr>
              <w:tabs>
                <w:tab w:val="left" w:pos="720"/>
              </w:tabs>
              <w:snapToGrid w:val="0"/>
              <w:spacing w:line="360" w:lineRule="auto"/>
              <w:jc w:val="center"/>
              <w:rPr>
                <w:rFonts w:hint="eastAsia" w:ascii="宋体" w:hAnsi="宋体" w:cs="宋体"/>
                <w:sz w:val="24"/>
                <w:szCs w:val="24"/>
                <w:highlight w:val="none"/>
              </w:rPr>
            </w:pPr>
          </w:p>
        </w:tc>
      </w:tr>
      <w:tr w14:paraId="19B00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192" w:type="dxa"/>
            <w:noWrap w:val="0"/>
            <w:vAlign w:val="center"/>
          </w:tcPr>
          <w:p w14:paraId="65AC3AB0">
            <w:pPr>
              <w:tabs>
                <w:tab w:val="left" w:pos="720"/>
              </w:tabs>
              <w:snapToGrid w:val="0"/>
              <w:spacing w:line="360" w:lineRule="auto"/>
              <w:jc w:val="center"/>
              <w:rPr>
                <w:rFonts w:hint="eastAsia" w:ascii="宋体" w:hAnsi="宋体" w:cs="宋体"/>
                <w:sz w:val="24"/>
                <w:szCs w:val="24"/>
                <w:highlight w:val="none"/>
              </w:rPr>
            </w:pPr>
          </w:p>
        </w:tc>
        <w:tc>
          <w:tcPr>
            <w:tcW w:w="1382" w:type="dxa"/>
            <w:noWrap w:val="0"/>
            <w:vAlign w:val="center"/>
          </w:tcPr>
          <w:p w14:paraId="03E4EF7C">
            <w:pPr>
              <w:tabs>
                <w:tab w:val="left" w:pos="720"/>
              </w:tabs>
              <w:snapToGrid w:val="0"/>
              <w:spacing w:line="360" w:lineRule="auto"/>
              <w:jc w:val="center"/>
              <w:rPr>
                <w:rFonts w:hint="eastAsia" w:ascii="宋体" w:hAnsi="宋体" w:cs="宋体"/>
                <w:sz w:val="24"/>
                <w:szCs w:val="24"/>
                <w:highlight w:val="none"/>
              </w:rPr>
            </w:pPr>
          </w:p>
        </w:tc>
        <w:tc>
          <w:tcPr>
            <w:tcW w:w="2341" w:type="dxa"/>
            <w:noWrap w:val="0"/>
            <w:vAlign w:val="center"/>
          </w:tcPr>
          <w:p w14:paraId="34DE89B8">
            <w:pPr>
              <w:tabs>
                <w:tab w:val="left" w:pos="720"/>
              </w:tabs>
              <w:snapToGrid w:val="0"/>
              <w:spacing w:line="360" w:lineRule="auto"/>
              <w:jc w:val="center"/>
              <w:rPr>
                <w:rFonts w:hint="eastAsia" w:ascii="宋体" w:hAnsi="宋体" w:cs="宋体"/>
                <w:sz w:val="24"/>
                <w:szCs w:val="24"/>
                <w:highlight w:val="none"/>
              </w:rPr>
            </w:pPr>
          </w:p>
        </w:tc>
        <w:tc>
          <w:tcPr>
            <w:tcW w:w="2245" w:type="dxa"/>
            <w:noWrap w:val="0"/>
            <w:vAlign w:val="center"/>
          </w:tcPr>
          <w:p w14:paraId="27AEBB85">
            <w:pPr>
              <w:tabs>
                <w:tab w:val="left" w:pos="720"/>
              </w:tabs>
              <w:snapToGrid w:val="0"/>
              <w:spacing w:line="360" w:lineRule="auto"/>
              <w:jc w:val="center"/>
              <w:rPr>
                <w:rFonts w:hint="eastAsia" w:ascii="宋体" w:hAnsi="宋体" w:cs="宋体"/>
                <w:sz w:val="24"/>
                <w:szCs w:val="24"/>
                <w:highlight w:val="none"/>
              </w:rPr>
            </w:pPr>
          </w:p>
        </w:tc>
        <w:tc>
          <w:tcPr>
            <w:tcW w:w="2304" w:type="dxa"/>
            <w:noWrap w:val="0"/>
            <w:vAlign w:val="center"/>
          </w:tcPr>
          <w:p w14:paraId="51652902">
            <w:pPr>
              <w:tabs>
                <w:tab w:val="left" w:pos="720"/>
              </w:tabs>
              <w:snapToGrid w:val="0"/>
              <w:spacing w:line="360" w:lineRule="auto"/>
              <w:jc w:val="center"/>
              <w:rPr>
                <w:rFonts w:hint="eastAsia" w:ascii="宋体" w:hAnsi="宋体" w:cs="宋体"/>
                <w:sz w:val="24"/>
                <w:szCs w:val="24"/>
                <w:highlight w:val="none"/>
              </w:rPr>
            </w:pPr>
          </w:p>
        </w:tc>
      </w:tr>
      <w:tr w14:paraId="41B3C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192" w:type="dxa"/>
            <w:noWrap w:val="0"/>
            <w:vAlign w:val="center"/>
          </w:tcPr>
          <w:p w14:paraId="706A2400">
            <w:pPr>
              <w:tabs>
                <w:tab w:val="left" w:pos="720"/>
              </w:tabs>
              <w:snapToGrid w:val="0"/>
              <w:spacing w:line="360" w:lineRule="auto"/>
              <w:jc w:val="center"/>
              <w:rPr>
                <w:rFonts w:hint="eastAsia" w:ascii="宋体" w:hAnsi="宋体" w:cs="宋体"/>
                <w:sz w:val="24"/>
                <w:szCs w:val="24"/>
                <w:highlight w:val="none"/>
              </w:rPr>
            </w:pPr>
          </w:p>
        </w:tc>
        <w:tc>
          <w:tcPr>
            <w:tcW w:w="1382" w:type="dxa"/>
            <w:noWrap w:val="0"/>
            <w:vAlign w:val="center"/>
          </w:tcPr>
          <w:p w14:paraId="1AF98C77">
            <w:pPr>
              <w:tabs>
                <w:tab w:val="left" w:pos="720"/>
              </w:tabs>
              <w:snapToGrid w:val="0"/>
              <w:spacing w:line="360" w:lineRule="auto"/>
              <w:jc w:val="center"/>
              <w:rPr>
                <w:rFonts w:hint="eastAsia" w:ascii="宋体" w:hAnsi="宋体" w:cs="宋体"/>
                <w:sz w:val="24"/>
                <w:szCs w:val="24"/>
                <w:highlight w:val="none"/>
              </w:rPr>
            </w:pPr>
          </w:p>
        </w:tc>
        <w:tc>
          <w:tcPr>
            <w:tcW w:w="2341" w:type="dxa"/>
            <w:noWrap w:val="0"/>
            <w:vAlign w:val="center"/>
          </w:tcPr>
          <w:p w14:paraId="66A3598C">
            <w:pPr>
              <w:tabs>
                <w:tab w:val="left" w:pos="720"/>
              </w:tabs>
              <w:snapToGrid w:val="0"/>
              <w:spacing w:line="360" w:lineRule="auto"/>
              <w:jc w:val="center"/>
              <w:rPr>
                <w:rFonts w:hint="eastAsia" w:ascii="宋体" w:hAnsi="宋体" w:cs="宋体"/>
                <w:sz w:val="24"/>
                <w:szCs w:val="24"/>
                <w:highlight w:val="none"/>
              </w:rPr>
            </w:pPr>
          </w:p>
        </w:tc>
        <w:tc>
          <w:tcPr>
            <w:tcW w:w="2245" w:type="dxa"/>
            <w:noWrap w:val="0"/>
            <w:vAlign w:val="center"/>
          </w:tcPr>
          <w:p w14:paraId="60B22151">
            <w:pPr>
              <w:tabs>
                <w:tab w:val="left" w:pos="720"/>
              </w:tabs>
              <w:snapToGrid w:val="0"/>
              <w:spacing w:line="360" w:lineRule="auto"/>
              <w:jc w:val="center"/>
              <w:rPr>
                <w:rFonts w:hint="eastAsia" w:ascii="宋体" w:hAnsi="宋体" w:cs="宋体"/>
                <w:sz w:val="24"/>
                <w:szCs w:val="24"/>
                <w:highlight w:val="none"/>
              </w:rPr>
            </w:pPr>
          </w:p>
        </w:tc>
        <w:tc>
          <w:tcPr>
            <w:tcW w:w="2304" w:type="dxa"/>
            <w:noWrap w:val="0"/>
            <w:vAlign w:val="center"/>
          </w:tcPr>
          <w:p w14:paraId="7012BF8B">
            <w:pPr>
              <w:tabs>
                <w:tab w:val="left" w:pos="720"/>
              </w:tabs>
              <w:snapToGrid w:val="0"/>
              <w:spacing w:line="360" w:lineRule="auto"/>
              <w:jc w:val="center"/>
              <w:rPr>
                <w:rFonts w:hint="eastAsia" w:ascii="宋体" w:hAnsi="宋体" w:cs="宋体"/>
                <w:sz w:val="24"/>
                <w:szCs w:val="24"/>
                <w:highlight w:val="none"/>
              </w:rPr>
            </w:pPr>
          </w:p>
        </w:tc>
      </w:tr>
    </w:tbl>
    <w:p w14:paraId="1713DAD7">
      <w:pPr>
        <w:tabs>
          <w:tab w:val="left" w:pos="720"/>
        </w:tabs>
        <w:snapToGrid w:val="0"/>
        <w:spacing w:line="360" w:lineRule="auto"/>
        <w:rPr>
          <w:rFonts w:hint="eastAsia" w:ascii="宋体" w:hAnsi="宋体" w:cs="宋体"/>
          <w:sz w:val="24"/>
          <w:highlight w:val="none"/>
        </w:rPr>
      </w:pPr>
    </w:p>
    <w:p w14:paraId="23C620BB">
      <w:pPr>
        <w:autoSpaceDE w:val="0"/>
        <w:autoSpaceDN w:val="0"/>
        <w:adjustRightInd w:val="0"/>
        <w:spacing w:line="360" w:lineRule="auto"/>
        <w:ind w:firstLine="368"/>
        <w:rPr>
          <w:rFonts w:hint="eastAsia" w:ascii="宋体" w:hAnsi="宋体" w:cs="宋体"/>
          <w:sz w:val="24"/>
          <w:szCs w:val="24"/>
          <w:highlight w:val="none"/>
        </w:rPr>
      </w:pPr>
      <w:r>
        <w:rPr>
          <w:rFonts w:hint="eastAsia" w:ascii="宋体" w:hAnsi="宋体" w:cs="宋体"/>
          <w:sz w:val="24"/>
          <w:szCs w:val="24"/>
          <w:highlight w:val="none"/>
        </w:rPr>
        <w:t>注：参与编制经济标书所有人员名单应包括如编制各种专业工程量清单投标报价、负责清样校对、负责打印及复印等所有人员在内的人员名单。</w:t>
      </w:r>
      <w:r>
        <w:rPr>
          <w:rFonts w:hint="eastAsia" w:ascii="宋体" w:hAnsi="宋体" w:cs="宋体"/>
          <w:bCs/>
          <w:sz w:val="24"/>
          <w:szCs w:val="24"/>
          <w:highlight w:val="none"/>
        </w:rPr>
        <w:t xml:space="preserve"> </w:t>
      </w:r>
    </w:p>
    <w:p w14:paraId="52DE8273">
      <w:pPr>
        <w:autoSpaceDE w:val="0"/>
        <w:autoSpaceDN w:val="0"/>
        <w:adjustRightInd w:val="0"/>
        <w:rPr>
          <w:rFonts w:hint="eastAsia" w:ascii="宋体" w:hAnsi="宋体" w:cs="宋体"/>
          <w:sz w:val="24"/>
          <w:szCs w:val="24"/>
          <w:highlight w:val="none"/>
        </w:rPr>
      </w:pPr>
      <w:r>
        <w:rPr>
          <w:rFonts w:hint="eastAsia" w:ascii="宋体" w:hAnsi="宋体" w:cs="宋体"/>
          <w:sz w:val="24"/>
          <w:szCs w:val="24"/>
          <w:highlight w:val="none"/>
        </w:rPr>
        <w:br w:type="page"/>
      </w:r>
    </w:p>
    <w:p w14:paraId="22BEE052">
      <w:pPr>
        <w:pStyle w:val="121"/>
        <w:spacing w:beforeLines="0" w:afterLines="0" w:line="360" w:lineRule="auto"/>
        <w:rPr>
          <w:rFonts w:hint="eastAsia" w:ascii="宋体" w:eastAsia="宋体" w:cs="宋体"/>
          <w:highlight w:val="none"/>
        </w:rPr>
      </w:pPr>
      <w:bookmarkStart w:id="113" w:name="_Toc26355"/>
      <w:bookmarkStart w:id="114" w:name="_Toc21064"/>
      <w:bookmarkStart w:id="115" w:name="_Toc9334"/>
      <w:r>
        <w:rPr>
          <w:rFonts w:hint="eastAsia" w:ascii="宋体" w:eastAsia="宋体" w:cs="宋体"/>
          <w:highlight w:val="none"/>
        </w:rPr>
        <w:t>格式九：对投标文件编制的承诺、投标文件编制情况</w:t>
      </w:r>
      <w:bookmarkEnd w:id="113"/>
      <w:bookmarkEnd w:id="114"/>
      <w:bookmarkEnd w:id="115"/>
    </w:p>
    <w:p w14:paraId="52BD286A">
      <w:pPr>
        <w:pStyle w:val="4"/>
        <w:spacing w:after="0" w:line="360" w:lineRule="auto"/>
        <w:ind w:firstLine="0"/>
        <w:jc w:val="center"/>
        <w:rPr>
          <w:rFonts w:hint="eastAsia" w:ascii="宋体" w:hAnsi="宋体" w:cs="宋体"/>
          <w:b/>
          <w:sz w:val="32"/>
          <w:szCs w:val="32"/>
          <w:highlight w:val="none"/>
        </w:rPr>
      </w:pPr>
    </w:p>
    <w:p w14:paraId="7C00A821">
      <w:pPr>
        <w:pStyle w:val="4"/>
        <w:spacing w:after="0" w:line="360" w:lineRule="auto"/>
        <w:ind w:firstLine="0"/>
        <w:jc w:val="center"/>
        <w:rPr>
          <w:rFonts w:hint="eastAsia" w:ascii="宋体" w:hAnsi="宋体" w:cs="宋体"/>
          <w:sz w:val="32"/>
          <w:szCs w:val="32"/>
          <w:highlight w:val="none"/>
        </w:rPr>
      </w:pPr>
      <w:r>
        <w:rPr>
          <w:rFonts w:hint="eastAsia" w:ascii="宋体" w:hAnsi="宋体" w:cs="宋体"/>
          <w:b/>
          <w:sz w:val="32"/>
          <w:szCs w:val="32"/>
          <w:highlight w:val="none"/>
        </w:rPr>
        <w:t>对投标文件编制的承诺</w:t>
      </w:r>
    </w:p>
    <w:p w14:paraId="7318E94C">
      <w:pPr>
        <w:pStyle w:val="4"/>
        <w:spacing w:after="0" w:line="360" w:lineRule="auto"/>
        <w:ind w:left="-2" w:leftChars="-1" w:firstLine="540" w:firstLineChars="225"/>
        <w:rPr>
          <w:rFonts w:hint="eastAsia" w:ascii="宋体" w:hAnsi="宋体" w:cs="宋体"/>
          <w:sz w:val="24"/>
          <w:szCs w:val="24"/>
          <w:highlight w:val="none"/>
        </w:rPr>
      </w:pPr>
      <w:r>
        <w:rPr>
          <w:rFonts w:hint="eastAsia" w:ascii="宋体" w:hAnsi="宋体" w:cs="宋体"/>
          <w:sz w:val="24"/>
          <w:szCs w:val="24"/>
          <w:highlight w:val="none"/>
        </w:rPr>
        <w:t>本公司授权</w:t>
      </w:r>
      <w:r>
        <w:rPr>
          <w:rFonts w:hint="eastAsia" w:ascii="宋体" w:hAnsi="宋体" w:cs="宋体"/>
          <w:sz w:val="24"/>
          <w:szCs w:val="24"/>
          <w:highlight w:val="none"/>
          <w:u w:val="single"/>
        </w:rPr>
        <w:t xml:space="preserve">         （身份证号：               ）</w:t>
      </w:r>
      <w:r>
        <w:rPr>
          <w:rFonts w:hint="eastAsia" w:ascii="宋体" w:hAnsi="宋体" w:cs="宋体"/>
          <w:sz w:val="24"/>
          <w:szCs w:val="24"/>
          <w:highlight w:val="none"/>
        </w:rPr>
        <w:t>负责对投标文件的编制及内容进行解释、说明，并承诺以下事项：</w:t>
      </w:r>
    </w:p>
    <w:p w14:paraId="62E6FEAD">
      <w:pPr>
        <w:pStyle w:val="4"/>
        <w:spacing w:after="0" w:line="360" w:lineRule="auto"/>
        <w:ind w:left="-2" w:leftChars="-1" w:firstLine="540" w:firstLineChars="225"/>
        <w:rPr>
          <w:rFonts w:hint="eastAsia" w:ascii="宋体" w:hAnsi="宋体" w:cs="宋体"/>
          <w:sz w:val="24"/>
          <w:szCs w:val="24"/>
          <w:highlight w:val="none"/>
        </w:rPr>
      </w:pPr>
      <w:r>
        <w:rPr>
          <w:rFonts w:hint="eastAsia" w:ascii="宋体" w:hAnsi="宋体" w:cs="宋体"/>
          <w:sz w:val="24"/>
          <w:szCs w:val="24"/>
          <w:highlight w:val="none"/>
        </w:rPr>
        <w:t>1.被授权人清楚投标文件编制的具体情况，包括技术方案文件、工程量清单、以及投标文件的加密打包的理解；</w:t>
      </w:r>
    </w:p>
    <w:p w14:paraId="33B706BD">
      <w:pPr>
        <w:pStyle w:val="4"/>
        <w:spacing w:after="0" w:line="360" w:lineRule="auto"/>
        <w:ind w:left="-2" w:leftChars="-1" w:firstLine="540" w:firstLineChars="225"/>
        <w:rPr>
          <w:rFonts w:hint="eastAsia" w:ascii="宋体" w:hAnsi="宋体" w:cs="宋体"/>
          <w:sz w:val="24"/>
          <w:szCs w:val="24"/>
          <w:highlight w:val="none"/>
        </w:rPr>
      </w:pPr>
      <w:r>
        <w:rPr>
          <w:rFonts w:hint="eastAsia" w:ascii="宋体" w:hAnsi="宋体" w:cs="宋体"/>
          <w:sz w:val="24"/>
          <w:szCs w:val="24"/>
          <w:highlight w:val="none"/>
        </w:rPr>
        <w:t>2.在本项目开标至评标结束前，努力确保被授权人在项目评标所在地附近；</w:t>
      </w:r>
    </w:p>
    <w:p w14:paraId="3482D5B3">
      <w:pPr>
        <w:pStyle w:val="4"/>
        <w:spacing w:after="0" w:line="360" w:lineRule="auto"/>
        <w:ind w:left="-2" w:leftChars="-1" w:firstLine="540" w:firstLineChars="225"/>
        <w:rPr>
          <w:rFonts w:hint="eastAsia" w:ascii="宋体" w:hAnsi="宋体" w:cs="宋体"/>
          <w:sz w:val="24"/>
          <w:szCs w:val="24"/>
          <w:highlight w:val="none"/>
        </w:rPr>
      </w:pPr>
      <w:r>
        <w:rPr>
          <w:rFonts w:hint="eastAsia" w:ascii="宋体" w:hAnsi="宋体" w:cs="宋体"/>
          <w:sz w:val="24"/>
          <w:szCs w:val="24"/>
          <w:highlight w:val="none"/>
        </w:rPr>
        <w:t>3.从评标委员会要求澄清起二小时内，被授权人应如实地书面澄清。</w:t>
      </w:r>
    </w:p>
    <w:p w14:paraId="623D77A5">
      <w:pPr>
        <w:pStyle w:val="4"/>
        <w:spacing w:after="0" w:line="360" w:lineRule="auto"/>
        <w:ind w:left="-2" w:leftChars="-1" w:firstLine="540" w:firstLineChars="225"/>
        <w:rPr>
          <w:rFonts w:hint="eastAsia" w:ascii="宋体" w:hAnsi="宋体" w:cs="宋体"/>
          <w:sz w:val="24"/>
          <w:szCs w:val="24"/>
          <w:highlight w:val="none"/>
        </w:rPr>
      </w:pPr>
      <w:r>
        <w:rPr>
          <w:rFonts w:hint="eastAsia" w:ascii="宋体" w:hAnsi="宋体" w:cs="宋体"/>
          <w:sz w:val="24"/>
          <w:szCs w:val="24"/>
          <w:highlight w:val="none"/>
        </w:rPr>
        <w:t xml:space="preserve">如由于未遵守上述承诺内容之一导致无法进行澄清的，我公司认可和接受评标委员会作出的评审结论。                                 </w:t>
      </w:r>
    </w:p>
    <w:p w14:paraId="76830FDD">
      <w:pPr>
        <w:pStyle w:val="4"/>
        <w:spacing w:after="0" w:line="360" w:lineRule="auto"/>
        <w:ind w:firstLine="360" w:firstLineChars="150"/>
        <w:rPr>
          <w:rFonts w:hint="eastAsia" w:ascii="宋体" w:hAnsi="宋体" w:cs="宋体"/>
          <w:sz w:val="24"/>
          <w:szCs w:val="24"/>
          <w:highlight w:val="none"/>
        </w:rPr>
      </w:pPr>
      <w:r>
        <w:rPr>
          <w:rFonts w:hint="eastAsia" w:ascii="宋体" w:hAnsi="宋体" w:cs="宋体"/>
          <w:sz w:val="24"/>
          <w:szCs w:val="24"/>
          <w:highlight w:val="none"/>
        </w:rPr>
        <w:t xml:space="preserve"> </w:t>
      </w:r>
    </w:p>
    <w:p w14:paraId="012EEF27">
      <w:pPr>
        <w:pStyle w:val="4"/>
        <w:spacing w:after="0"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附件：《投标文件编制情况》</w:t>
      </w:r>
    </w:p>
    <w:p w14:paraId="71843687">
      <w:pPr>
        <w:spacing w:line="360" w:lineRule="auto"/>
        <w:ind w:right="90" w:firstLine="3240" w:firstLineChars="1350"/>
        <w:rPr>
          <w:rFonts w:hint="eastAsia" w:ascii="宋体" w:hAnsi="宋体" w:cs="宋体"/>
          <w:sz w:val="24"/>
          <w:szCs w:val="24"/>
          <w:highlight w:val="none"/>
          <w:u w:val="single"/>
        </w:rPr>
      </w:pPr>
      <w:r>
        <w:rPr>
          <w:rFonts w:hint="eastAsia" w:ascii="宋体" w:hAnsi="宋体" w:cs="宋体"/>
          <w:sz w:val="24"/>
          <w:szCs w:val="24"/>
          <w:highlight w:val="none"/>
        </w:rPr>
        <w:t xml:space="preserve"> 投标人名称（盖法人公章）：</w:t>
      </w:r>
      <w:r>
        <w:rPr>
          <w:rFonts w:hint="eastAsia" w:ascii="宋体" w:hAnsi="宋体" w:cs="宋体"/>
          <w:sz w:val="24"/>
          <w:szCs w:val="24"/>
          <w:highlight w:val="none"/>
          <w:u w:val="single"/>
        </w:rPr>
        <w:t xml:space="preserve">                  </w:t>
      </w:r>
    </w:p>
    <w:p w14:paraId="6ABD0698">
      <w:pPr>
        <w:spacing w:line="360" w:lineRule="auto"/>
        <w:ind w:firstLine="2160" w:firstLineChars="900"/>
        <w:rPr>
          <w:rFonts w:hint="eastAsia" w:ascii="宋体" w:hAnsi="宋体" w:cs="宋体"/>
          <w:sz w:val="24"/>
          <w:szCs w:val="24"/>
          <w:highlight w:val="none"/>
          <w:u w:val="single"/>
        </w:rPr>
      </w:pPr>
      <w:r>
        <w:rPr>
          <w:rFonts w:hint="eastAsia" w:ascii="宋体" w:hAnsi="宋体" w:cs="宋体"/>
          <w:sz w:val="24"/>
          <w:szCs w:val="24"/>
          <w:highlight w:val="none"/>
        </w:rPr>
        <w:t>法定代表人或被授权人（签字或盖章）：</w:t>
      </w:r>
      <w:r>
        <w:rPr>
          <w:rFonts w:hint="eastAsia" w:ascii="宋体" w:hAnsi="宋体" w:cs="宋体"/>
          <w:sz w:val="24"/>
          <w:szCs w:val="24"/>
          <w:highlight w:val="none"/>
          <w:u w:val="single"/>
        </w:rPr>
        <w:t xml:space="preserve">                  </w:t>
      </w:r>
    </w:p>
    <w:p w14:paraId="518BE337">
      <w:pPr>
        <w:spacing w:line="360" w:lineRule="auto"/>
        <w:ind w:firstLine="4440" w:firstLineChars="1850"/>
        <w:jc w:val="center"/>
        <w:rPr>
          <w:rFonts w:hint="eastAsia" w:ascii="宋体" w:hAnsi="宋体" w:cs="宋体"/>
          <w:sz w:val="24"/>
          <w:szCs w:val="24"/>
          <w:highlight w:val="none"/>
        </w:rPr>
      </w:pPr>
      <w:r>
        <w:rPr>
          <w:rFonts w:hint="eastAsia" w:ascii="宋体" w:hAnsi="宋体" w:cs="宋体"/>
          <w:sz w:val="24"/>
          <w:szCs w:val="24"/>
          <w:highlight w:val="none"/>
        </w:rPr>
        <w:t xml:space="preserve"> 日期：      年   月   日      </w:t>
      </w:r>
    </w:p>
    <w:p w14:paraId="14BEDCCC">
      <w:pPr>
        <w:pStyle w:val="4"/>
        <w:spacing w:after="0" w:line="360" w:lineRule="auto"/>
        <w:ind w:firstLine="0"/>
        <w:rPr>
          <w:rFonts w:hint="eastAsia" w:ascii="宋体" w:hAnsi="宋体" w:cs="宋体"/>
          <w:b/>
          <w:sz w:val="24"/>
          <w:szCs w:val="24"/>
          <w:highlight w:val="none"/>
        </w:rPr>
      </w:pPr>
    </w:p>
    <w:p w14:paraId="48242A08">
      <w:pPr>
        <w:pStyle w:val="4"/>
        <w:spacing w:after="0" w:line="360" w:lineRule="auto"/>
        <w:ind w:firstLine="482" w:firstLineChars="200"/>
        <w:jc w:val="center"/>
        <w:rPr>
          <w:rFonts w:hint="eastAsia" w:ascii="宋体" w:hAnsi="宋体" w:cs="宋体"/>
          <w:sz w:val="24"/>
          <w:szCs w:val="24"/>
          <w:highlight w:val="none"/>
        </w:rPr>
      </w:pPr>
      <w:r>
        <w:rPr>
          <w:rFonts w:hint="eastAsia" w:ascii="宋体" w:hAnsi="宋体" w:cs="宋体"/>
          <w:b/>
          <w:sz w:val="24"/>
          <w:szCs w:val="24"/>
          <w:highlight w:val="none"/>
        </w:rPr>
        <w:t>投标文件编制情况</w:t>
      </w:r>
    </w:p>
    <w:p w14:paraId="7600C8F3">
      <w:pPr>
        <w:pStyle w:val="4"/>
        <w:spacing w:after="0" w:line="360" w:lineRule="auto"/>
        <w:ind w:firstLine="480" w:firstLineChars="200"/>
        <w:rPr>
          <w:rFonts w:hint="eastAsia" w:ascii="宋体" w:hAnsi="宋体" w:cs="宋体"/>
          <w:sz w:val="24"/>
          <w:szCs w:val="24"/>
          <w:highlight w:val="none"/>
          <w:u w:val="single"/>
        </w:rPr>
      </w:pPr>
      <w:r>
        <w:rPr>
          <w:rFonts w:hint="eastAsia" w:ascii="宋体" w:hAnsi="宋体" w:cs="宋体"/>
          <w:sz w:val="24"/>
          <w:szCs w:val="24"/>
          <w:highlight w:val="none"/>
        </w:rPr>
        <w:t>1.投标文件报价编制方式: □自行编制的，编制的负责人：</w:t>
      </w:r>
      <w:r>
        <w:rPr>
          <w:rFonts w:hint="eastAsia" w:ascii="宋体" w:hAnsi="宋体" w:cs="宋体"/>
          <w:sz w:val="24"/>
          <w:szCs w:val="24"/>
          <w:highlight w:val="none"/>
          <w:u w:val="single"/>
        </w:rPr>
        <w:t xml:space="preserve"> （盖造价工程师执业专用章，执业单位应与投标人一致） </w:t>
      </w:r>
      <w:r>
        <w:rPr>
          <w:rFonts w:hint="eastAsia" w:ascii="宋体" w:hAnsi="宋体" w:cs="宋体"/>
          <w:sz w:val="24"/>
          <w:szCs w:val="24"/>
          <w:highlight w:val="none"/>
        </w:rPr>
        <w:t>。□委托编制的，受委托单位</w:t>
      </w:r>
      <w:r>
        <w:rPr>
          <w:rFonts w:hint="eastAsia" w:ascii="宋体" w:hAnsi="宋体" w:cs="宋体"/>
          <w:sz w:val="24"/>
          <w:szCs w:val="24"/>
          <w:highlight w:val="none"/>
          <w:u w:val="single"/>
        </w:rPr>
        <w:t xml:space="preserve">                    </w:t>
      </w:r>
      <w:r>
        <w:rPr>
          <w:rFonts w:hint="eastAsia" w:ascii="宋体" w:hAnsi="宋体" w:cs="宋体"/>
          <w:sz w:val="24"/>
          <w:szCs w:val="24"/>
          <w:highlight w:val="none"/>
        </w:rPr>
        <w:t>，编制的负责人：</w:t>
      </w:r>
      <w:r>
        <w:rPr>
          <w:rFonts w:hint="eastAsia" w:ascii="宋体" w:hAnsi="宋体" w:cs="宋体"/>
          <w:sz w:val="24"/>
          <w:szCs w:val="24"/>
          <w:highlight w:val="none"/>
          <w:u w:val="single"/>
        </w:rPr>
        <w:t xml:space="preserve"> （盖造价工程师执业专用章，执业单位应与受委托单位一致） </w:t>
      </w:r>
      <w:r>
        <w:rPr>
          <w:rFonts w:hint="eastAsia" w:ascii="宋体" w:hAnsi="宋体" w:cs="宋体"/>
          <w:sz w:val="24"/>
          <w:szCs w:val="24"/>
          <w:highlight w:val="none"/>
        </w:rPr>
        <w:t>。</w:t>
      </w:r>
    </w:p>
    <w:p w14:paraId="073E17D3">
      <w:pPr>
        <w:pStyle w:val="4"/>
        <w:spacing w:after="0"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2.投标文件加密打包的电脑情况</w:t>
      </w:r>
    </w:p>
    <w:p w14:paraId="739034E4">
      <w:pPr>
        <w:pStyle w:val="4"/>
        <w:spacing w:after="0" w:line="360" w:lineRule="auto"/>
        <w:ind w:firstLine="0"/>
        <w:rPr>
          <w:rFonts w:hint="eastAsia" w:ascii="宋体" w:hAnsi="宋体" w:cs="宋体"/>
          <w:kern w:val="2"/>
          <w:sz w:val="24"/>
          <w:szCs w:val="24"/>
          <w:highlight w:val="none"/>
        </w:rPr>
      </w:pPr>
      <w:r>
        <w:rPr>
          <w:rFonts w:hint="eastAsia" w:ascii="宋体" w:hAnsi="宋体" w:cs="宋体"/>
          <w:kern w:val="2"/>
          <w:sz w:val="24"/>
          <w:szCs w:val="24"/>
          <w:highlight w:val="none"/>
        </w:rPr>
        <w:t>投标文件加密打包的电脑     自有□      外包□     其他□</w:t>
      </w:r>
    </w:p>
    <w:p w14:paraId="2E7F19D2">
      <w:pPr>
        <w:pStyle w:val="4"/>
        <w:spacing w:after="0" w:line="360" w:lineRule="auto"/>
        <w:ind w:firstLine="0"/>
        <w:rPr>
          <w:rFonts w:hint="eastAsia" w:ascii="宋体" w:hAnsi="宋体" w:cs="宋体"/>
          <w:kern w:val="2"/>
          <w:sz w:val="24"/>
          <w:szCs w:val="24"/>
          <w:highlight w:val="none"/>
        </w:rPr>
      </w:pPr>
      <w:r>
        <w:rPr>
          <w:rFonts w:hint="eastAsia" w:ascii="宋体" w:hAnsi="宋体" w:cs="宋体"/>
          <w:kern w:val="2"/>
          <w:sz w:val="24"/>
          <w:szCs w:val="24"/>
          <w:highlight w:val="none"/>
        </w:rPr>
        <w:t>电脑类型</w:t>
      </w:r>
    </w:p>
    <w:p w14:paraId="52DF8E98">
      <w:pPr>
        <w:pStyle w:val="4"/>
        <w:spacing w:after="0" w:line="360" w:lineRule="auto"/>
        <w:ind w:firstLine="0"/>
        <w:rPr>
          <w:rFonts w:hint="eastAsia" w:ascii="宋体" w:hAnsi="宋体" w:cs="宋体"/>
          <w:kern w:val="2"/>
          <w:sz w:val="24"/>
          <w:szCs w:val="24"/>
          <w:highlight w:val="none"/>
        </w:rPr>
      </w:pPr>
      <w:r>
        <w:rPr>
          <w:rFonts w:hint="eastAsia" w:ascii="宋体" w:hAnsi="宋体" w:cs="宋体"/>
          <w:kern w:val="2"/>
          <w:sz w:val="24"/>
          <w:szCs w:val="24"/>
          <w:highlight w:val="none"/>
        </w:rPr>
        <w:t>电脑所属单位</w:t>
      </w:r>
    </w:p>
    <w:p w14:paraId="1A0212E7">
      <w:pPr>
        <w:pStyle w:val="4"/>
        <w:spacing w:after="0" w:line="360" w:lineRule="auto"/>
        <w:ind w:firstLine="480" w:firstLineChars="200"/>
        <w:rPr>
          <w:rFonts w:hint="eastAsia" w:ascii="宋体" w:hAnsi="宋体" w:cs="宋体"/>
          <w:sz w:val="24"/>
          <w:szCs w:val="24"/>
          <w:highlight w:val="none"/>
        </w:rPr>
      </w:pPr>
      <w:r>
        <w:rPr>
          <w:rFonts w:hint="eastAsia" w:ascii="宋体" w:hAnsi="宋体" w:cs="宋体"/>
          <w:kern w:val="2"/>
          <w:sz w:val="24"/>
          <w:szCs w:val="24"/>
          <w:highlight w:val="none"/>
        </w:rPr>
        <w:t>电脑所在地址      （如××市××区(县) ××街（路）××号××大厦××房）</w:t>
      </w:r>
    </w:p>
    <w:p w14:paraId="412D52FA">
      <w:pPr>
        <w:spacing w:line="320" w:lineRule="exact"/>
        <w:rPr>
          <w:rFonts w:hint="eastAsia" w:ascii="宋体" w:hAnsi="宋体" w:cs="宋体"/>
          <w:sz w:val="24"/>
          <w:szCs w:val="24"/>
          <w:highlight w:val="none"/>
        </w:rPr>
      </w:pPr>
    </w:p>
    <w:p w14:paraId="0123FCBF">
      <w:pPr>
        <w:tabs>
          <w:tab w:val="left" w:pos="720"/>
        </w:tabs>
        <w:snapToGrid w:val="0"/>
        <w:spacing w:line="360" w:lineRule="auto"/>
        <w:rPr>
          <w:rFonts w:hint="eastAsia" w:ascii="宋体" w:hAnsi="宋体" w:cs="宋体"/>
          <w:sz w:val="24"/>
          <w:szCs w:val="24"/>
          <w:highlight w:val="none"/>
        </w:rPr>
      </w:pPr>
    </w:p>
    <w:p w14:paraId="6DC734AF">
      <w:pPr>
        <w:tabs>
          <w:tab w:val="left" w:pos="720"/>
        </w:tabs>
        <w:snapToGrid w:val="0"/>
        <w:spacing w:line="360" w:lineRule="auto"/>
        <w:rPr>
          <w:rFonts w:hint="eastAsia" w:ascii="宋体" w:hAnsi="宋体" w:cs="宋体"/>
          <w:sz w:val="24"/>
          <w:szCs w:val="24"/>
          <w:highlight w:val="none"/>
        </w:rPr>
      </w:pPr>
    </w:p>
    <w:p w14:paraId="0957DDB6">
      <w:pPr>
        <w:tabs>
          <w:tab w:val="left" w:pos="720"/>
        </w:tabs>
        <w:snapToGrid w:val="0"/>
        <w:spacing w:line="360" w:lineRule="auto"/>
        <w:outlineLvl w:val="0"/>
        <w:rPr>
          <w:rFonts w:hint="eastAsia" w:ascii="宋体" w:hAnsi="宋体" w:cs="宋体"/>
          <w:b/>
          <w:snapToGrid w:val="0"/>
          <w:spacing w:val="4"/>
          <w:kern w:val="0"/>
          <w:sz w:val="30"/>
          <w:szCs w:val="30"/>
          <w:highlight w:val="none"/>
        </w:rPr>
      </w:pPr>
    </w:p>
    <w:p w14:paraId="14693C4A">
      <w:pPr>
        <w:tabs>
          <w:tab w:val="left" w:pos="720"/>
        </w:tabs>
        <w:snapToGrid w:val="0"/>
        <w:spacing w:line="360" w:lineRule="auto"/>
        <w:outlineLvl w:val="0"/>
        <w:rPr>
          <w:rFonts w:hint="eastAsia" w:ascii="宋体" w:hAnsi="宋体" w:cs="宋体"/>
          <w:b/>
          <w:snapToGrid w:val="0"/>
          <w:spacing w:val="4"/>
          <w:kern w:val="0"/>
          <w:sz w:val="30"/>
          <w:szCs w:val="30"/>
          <w:highlight w:val="none"/>
        </w:rPr>
      </w:pPr>
    </w:p>
    <w:p w14:paraId="3F689D70">
      <w:pPr>
        <w:tabs>
          <w:tab w:val="left" w:pos="720"/>
        </w:tabs>
        <w:snapToGrid w:val="0"/>
        <w:spacing w:line="360" w:lineRule="auto"/>
        <w:outlineLvl w:val="0"/>
        <w:rPr>
          <w:rFonts w:hint="eastAsia" w:ascii="宋体" w:hAnsi="宋体" w:cs="宋体"/>
          <w:b/>
          <w:snapToGrid w:val="0"/>
          <w:spacing w:val="4"/>
          <w:kern w:val="0"/>
          <w:sz w:val="30"/>
          <w:szCs w:val="30"/>
          <w:highlight w:val="none"/>
        </w:rPr>
      </w:pPr>
    </w:p>
    <w:p w14:paraId="32A913E2">
      <w:pPr>
        <w:numPr>
          <w:ilvl w:val="0"/>
          <w:numId w:val="11"/>
        </w:numPr>
        <w:tabs>
          <w:tab w:val="left" w:pos="720"/>
        </w:tabs>
        <w:snapToGrid w:val="0"/>
        <w:spacing w:line="360" w:lineRule="auto"/>
        <w:jc w:val="center"/>
        <w:outlineLvl w:val="0"/>
        <w:rPr>
          <w:rFonts w:hint="eastAsia" w:ascii="宋体" w:hAnsi="宋体" w:cs="宋体"/>
          <w:b/>
          <w:snapToGrid w:val="0"/>
          <w:spacing w:val="4"/>
          <w:kern w:val="0"/>
          <w:sz w:val="30"/>
          <w:szCs w:val="30"/>
          <w:highlight w:val="none"/>
        </w:rPr>
      </w:pPr>
      <w:bookmarkStart w:id="116" w:name="_Toc2795"/>
      <w:bookmarkStart w:id="117" w:name="_Toc19814"/>
      <w:r>
        <w:rPr>
          <w:rFonts w:hint="eastAsia" w:ascii="宋体" w:hAnsi="宋体" w:cs="宋体"/>
          <w:b/>
          <w:snapToGrid w:val="0"/>
          <w:spacing w:val="4"/>
          <w:kern w:val="0"/>
          <w:sz w:val="30"/>
          <w:szCs w:val="30"/>
          <w:highlight w:val="none"/>
        </w:rPr>
        <w:t>投标文件定标文件部分格式</w:t>
      </w:r>
      <w:bookmarkEnd w:id="116"/>
      <w:bookmarkEnd w:id="117"/>
    </w:p>
    <w:p w14:paraId="10BC2CF1">
      <w:pPr>
        <w:pStyle w:val="20"/>
        <w:rPr>
          <w:rFonts w:hint="eastAsia"/>
          <w:highlight w:val="none"/>
        </w:rPr>
      </w:pPr>
    </w:p>
    <w:p w14:paraId="502ED720">
      <w:pPr>
        <w:pStyle w:val="20"/>
        <w:rPr>
          <w:rFonts w:hint="eastAsia" w:hAnsi="宋体" w:cs="宋体"/>
          <w:b/>
          <w:snapToGrid w:val="0"/>
          <w:spacing w:val="4"/>
          <w:sz w:val="30"/>
          <w:szCs w:val="30"/>
          <w:highlight w:val="none"/>
        </w:rPr>
      </w:pPr>
    </w:p>
    <w:p w14:paraId="23003E36">
      <w:pPr>
        <w:rPr>
          <w:rFonts w:hint="eastAsia"/>
          <w:highlight w:val="none"/>
        </w:rPr>
      </w:pPr>
    </w:p>
    <w:p w14:paraId="23BE7FC1">
      <w:pPr>
        <w:pStyle w:val="121"/>
        <w:spacing w:beforeLines="0" w:afterLines="0" w:line="360" w:lineRule="auto"/>
        <w:rPr>
          <w:rFonts w:hint="eastAsia" w:ascii="宋体" w:eastAsia="宋体" w:cs="宋体"/>
          <w:highlight w:val="none"/>
        </w:rPr>
      </w:pPr>
      <w:r>
        <w:rPr>
          <w:rFonts w:ascii="Calibri" w:hAnsi="Calibri" w:eastAsia="等线"/>
          <w:sz w:val="21"/>
          <w:szCs w:val="22"/>
          <w:highlight w:val="none"/>
        </w:rPr>
        <w:br w:type="page"/>
      </w:r>
      <w:bookmarkStart w:id="118" w:name="_Toc2425"/>
      <w:bookmarkStart w:id="119" w:name="_Toc30838"/>
      <w:r>
        <w:rPr>
          <w:rFonts w:hint="eastAsia" w:ascii="宋体" w:eastAsia="宋体" w:cs="宋体"/>
          <w:highlight w:val="none"/>
        </w:rPr>
        <w:t>格式十：定标文件封面</w:t>
      </w:r>
      <w:bookmarkEnd w:id="118"/>
      <w:bookmarkEnd w:id="119"/>
    </w:p>
    <w:p w14:paraId="136F0677">
      <w:pPr>
        <w:pStyle w:val="122"/>
        <w:ind w:firstLine="496"/>
        <w:rPr>
          <w:rFonts w:hint="eastAsia" w:ascii="宋体" w:hAnsi="宋体" w:cs="宋体"/>
          <w:highlight w:val="none"/>
        </w:rPr>
      </w:pPr>
    </w:p>
    <w:p w14:paraId="26058ED6">
      <w:pPr>
        <w:pStyle w:val="122"/>
        <w:ind w:firstLine="496"/>
        <w:rPr>
          <w:rFonts w:hint="eastAsia" w:ascii="宋体" w:hAnsi="宋体" w:cs="宋体"/>
          <w:highlight w:val="none"/>
        </w:rPr>
      </w:pPr>
    </w:p>
    <w:p w14:paraId="2CA9BBD8">
      <w:pPr>
        <w:pStyle w:val="123"/>
        <w:rPr>
          <w:rFonts w:hint="eastAsia" w:ascii="宋体" w:hAnsi="宋体" w:eastAsia="宋体" w:cs="宋体"/>
          <w:b w:val="0"/>
          <w:highlight w:val="none"/>
          <w:u w:val="single"/>
        </w:rPr>
      </w:pPr>
      <w:r>
        <w:rPr>
          <w:rFonts w:hint="eastAsia" w:ascii="宋体" w:hAnsi="宋体" w:eastAsia="宋体" w:cs="宋体"/>
          <w:b w:val="0"/>
          <w:highlight w:val="none"/>
          <w:u w:val="single"/>
        </w:rPr>
        <w:t xml:space="preserve">[工程名称] </w:t>
      </w:r>
    </w:p>
    <w:p w14:paraId="25305081">
      <w:pPr>
        <w:pStyle w:val="122"/>
        <w:ind w:firstLine="496"/>
        <w:rPr>
          <w:rFonts w:hint="eastAsia" w:ascii="宋体" w:hAnsi="宋体" w:cs="宋体"/>
          <w:highlight w:val="none"/>
        </w:rPr>
      </w:pPr>
    </w:p>
    <w:p w14:paraId="5573686B">
      <w:pPr>
        <w:pStyle w:val="122"/>
        <w:ind w:firstLine="496"/>
        <w:rPr>
          <w:rFonts w:hint="eastAsia" w:ascii="宋体" w:hAnsi="宋体" w:cs="宋体"/>
          <w:highlight w:val="none"/>
        </w:rPr>
      </w:pPr>
    </w:p>
    <w:p w14:paraId="7C690933">
      <w:pPr>
        <w:pStyle w:val="122"/>
        <w:ind w:firstLine="496"/>
        <w:rPr>
          <w:rFonts w:hint="eastAsia" w:ascii="宋体" w:hAnsi="宋体" w:cs="宋体"/>
          <w:highlight w:val="none"/>
        </w:rPr>
      </w:pPr>
    </w:p>
    <w:p w14:paraId="7A9E82FA">
      <w:pPr>
        <w:pStyle w:val="122"/>
        <w:ind w:firstLine="496"/>
        <w:rPr>
          <w:rFonts w:hint="eastAsia" w:ascii="宋体" w:hAnsi="宋体" w:cs="宋体"/>
          <w:highlight w:val="none"/>
        </w:rPr>
      </w:pPr>
    </w:p>
    <w:p w14:paraId="3A9735F9">
      <w:pPr>
        <w:pStyle w:val="124"/>
        <w:rPr>
          <w:rFonts w:hint="eastAsia" w:ascii="宋体" w:hAnsi="宋体" w:eastAsia="宋体" w:cs="宋体"/>
          <w:b w:val="0"/>
          <w:highlight w:val="none"/>
        </w:rPr>
      </w:pPr>
      <w:r>
        <w:rPr>
          <w:rFonts w:hint="eastAsia" w:ascii="宋体" w:hAnsi="宋体" w:eastAsia="宋体" w:cs="宋体"/>
          <w:b w:val="0"/>
          <w:highlight w:val="none"/>
        </w:rPr>
        <w:t>定标文件</w:t>
      </w:r>
    </w:p>
    <w:p w14:paraId="56ED6B63">
      <w:pPr>
        <w:pStyle w:val="122"/>
        <w:ind w:firstLine="496"/>
        <w:rPr>
          <w:rFonts w:hint="eastAsia" w:ascii="宋体" w:hAnsi="宋体" w:cs="宋体"/>
          <w:highlight w:val="none"/>
        </w:rPr>
      </w:pPr>
      <w:r>
        <w:rPr>
          <w:rFonts w:hint="eastAsia" w:ascii="宋体" w:hAnsi="宋体" w:cs="宋体"/>
          <w:highlight w:val="none"/>
        </w:rPr>
        <w:t xml:space="preserve">   </w:t>
      </w:r>
    </w:p>
    <w:p w14:paraId="18718443">
      <w:pPr>
        <w:pStyle w:val="122"/>
        <w:ind w:firstLine="496"/>
        <w:rPr>
          <w:rFonts w:hint="eastAsia" w:ascii="宋体" w:hAnsi="宋体" w:cs="宋体"/>
          <w:highlight w:val="none"/>
        </w:rPr>
      </w:pPr>
    </w:p>
    <w:p w14:paraId="53966ACC">
      <w:pPr>
        <w:pStyle w:val="122"/>
        <w:ind w:firstLine="496"/>
        <w:rPr>
          <w:rFonts w:hint="eastAsia" w:ascii="宋体" w:hAnsi="宋体" w:cs="宋体"/>
          <w:highlight w:val="none"/>
        </w:rPr>
      </w:pPr>
    </w:p>
    <w:p w14:paraId="72ABBB4C">
      <w:pPr>
        <w:pStyle w:val="122"/>
        <w:ind w:firstLine="496"/>
        <w:rPr>
          <w:rFonts w:hint="eastAsia" w:ascii="宋体" w:hAnsi="宋体" w:cs="宋体"/>
          <w:highlight w:val="none"/>
        </w:rPr>
      </w:pPr>
    </w:p>
    <w:p w14:paraId="291048B9">
      <w:pPr>
        <w:pStyle w:val="122"/>
        <w:ind w:firstLine="496"/>
        <w:rPr>
          <w:rFonts w:hint="eastAsia" w:ascii="宋体" w:hAnsi="宋体" w:cs="宋体"/>
          <w:highlight w:val="none"/>
        </w:rPr>
      </w:pPr>
    </w:p>
    <w:p w14:paraId="585244B1">
      <w:pPr>
        <w:pStyle w:val="122"/>
        <w:ind w:firstLine="496"/>
        <w:rPr>
          <w:rFonts w:hint="eastAsia" w:ascii="宋体" w:hAnsi="宋体" w:cs="宋体"/>
          <w:highlight w:val="none"/>
        </w:rPr>
      </w:pPr>
    </w:p>
    <w:p w14:paraId="285CFC95">
      <w:pPr>
        <w:pStyle w:val="125"/>
        <w:ind w:firstLine="616"/>
        <w:rPr>
          <w:rFonts w:hint="eastAsia" w:ascii="宋体" w:hAnsi="宋体" w:eastAsia="宋体" w:cs="宋体"/>
          <w:highlight w:val="none"/>
        </w:rPr>
      </w:pPr>
      <w:r>
        <w:rPr>
          <w:rFonts w:hint="eastAsia" w:ascii="宋体" w:hAnsi="宋体" w:eastAsia="宋体" w:cs="宋体"/>
          <w:highlight w:val="none"/>
        </w:rPr>
        <w:t>投标人：</w:t>
      </w:r>
      <w:r>
        <w:rPr>
          <w:rFonts w:hint="eastAsia" w:ascii="宋体" w:hAnsi="宋体" w:eastAsia="宋体" w:cs="宋体"/>
          <w:highlight w:val="none"/>
          <w:u w:val="single"/>
        </w:rPr>
        <w:t xml:space="preserve">      （填写投标人单位名称）       （盖章）</w:t>
      </w:r>
    </w:p>
    <w:p w14:paraId="5EEB6A27">
      <w:pPr>
        <w:pStyle w:val="125"/>
        <w:ind w:firstLine="616"/>
        <w:rPr>
          <w:rFonts w:hint="eastAsia" w:ascii="宋体" w:hAnsi="宋体" w:eastAsia="宋体" w:cs="宋体"/>
          <w:highlight w:val="none"/>
        </w:rPr>
      </w:pPr>
    </w:p>
    <w:p w14:paraId="354804F2">
      <w:pPr>
        <w:pStyle w:val="125"/>
        <w:ind w:firstLine="616"/>
        <w:rPr>
          <w:rFonts w:hint="eastAsia" w:ascii="宋体" w:hAnsi="宋体" w:eastAsia="宋体" w:cs="宋体"/>
          <w:highlight w:val="none"/>
        </w:rPr>
      </w:pPr>
      <w:r>
        <w:rPr>
          <w:rFonts w:hint="eastAsia" w:ascii="宋体" w:hAnsi="宋体" w:eastAsia="宋体" w:cs="宋体"/>
          <w:highlight w:val="none"/>
        </w:rPr>
        <w:t>法定代表人或</w:t>
      </w:r>
    </w:p>
    <w:p w14:paraId="2D9E3724">
      <w:pPr>
        <w:pStyle w:val="125"/>
        <w:ind w:firstLine="616"/>
        <w:rPr>
          <w:rFonts w:hint="eastAsia" w:ascii="宋体" w:hAnsi="宋体" w:eastAsia="宋体" w:cs="宋体"/>
          <w:highlight w:val="none"/>
        </w:rPr>
      </w:pPr>
      <w:r>
        <w:rPr>
          <w:rFonts w:hint="eastAsia" w:ascii="宋体" w:hAnsi="宋体" w:eastAsia="宋体" w:cs="宋体"/>
          <w:highlight w:val="none"/>
        </w:rPr>
        <w:t>其委托代理人：</w:t>
      </w:r>
      <w:r>
        <w:rPr>
          <w:rFonts w:hint="eastAsia" w:ascii="宋体" w:hAnsi="宋体" w:eastAsia="宋体" w:cs="宋体"/>
          <w:highlight w:val="none"/>
          <w:u w:val="single"/>
        </w:rPr>
        <w:t xml:space="preserve">                     （签字或盖章）</w:t>
      </w:r>
    </w:p>
    <w:p w14:paraId="5F8F29B7">
      <w:pPr>
        <w:ind w:firstLine="616" w:firstLineChars="200"/>
        <w:rPr>
          <w:rFonts w:hint="eastAsia" w:ascii="宋体" w:hAnsi="宋体" w:cs="宋体"/>
          <w:spacing w:val="4"/>
          <w:kern w:val="0"/>
          <w:sz w:val="30"/>
          <w:szCs w:val="30"/>
          <w:highlight w:val="none"/>
        </w:rPr>
      </w:pPr>
      <w:r>
        <w:rPr>
          <w:rFonts w:hint="eastAsia" w:ascii="宋体" w:hAnsi="宋体" w:cs="宋体"/>
          <w:spacing w:val="4"/>
          <w:kern w:val="0"/>
          <w:sz w:val="30"/>
          <w:szCs w:val="30"/>
          <w:highlight w:val="none"/>
        </w:rPr>
        <w:t xml:space="preserve">日  期：             </w:t>
      </w:r>
    </w:p>
    <w:p w14:paraId="2CDA86AC">
      <w:pPr>
        <w:rPr>
          <w:rFonts w:hint="eastAsia" w:ascii="宋体" w:hAnsi="宋体" w:cs="宋体"/>
          <w:spacing w:val="4"/>
          <w:kern w:val="0"/>
          <w:sz w:val="30"/>
          <w:szCs w:val="30"/>
          <w:highlight w:val="none"/>
        </w:rPr>
      </w:pPr>
      <w:r>
        <w:rPr>
          <w:rFonts w:hint="eastAsia" w:ascii="宋体" w:hAnsi="宋体" w:cs="宋体"/>
          <w:spacing w:val="4"/>
          <w:kern w:val="0"/>
          <w:sz w:val="30"/>
          <w:szCs w:val="30"/>
          <w:highlight w:val="none"/>
        </w:rPr>
        <w:br w:type="page"/>
      </w:r>
    </w:p>
    <w:p w14:paraId="7FD348B3">
      <w:pPr>
        <w:rPr>
          <w:rFonts w:hint="eastAsia" w:ascii="宋体" w:hAnsi="宋体" w:cs="宋体"/>
          <w:b/>
          <w:snapToGrid w:val="0"/>
          <w:spacing w:val="4"/>
          <w:kern w:val="0"/>
          <w:sz w:val="24"/>
          <w:szCs w:val="24"/>
          <w:highlight w:val="none"/>
        </w:rPr>
      </w:pPr>
      <w:r>
        <w:rPr>
          <w:rFonts w:hint="eastAsia" w:ascii="宋体" w:hAnsi="宋体" w:cs="宋体"/>
          <w:b/>
          <w:snapToGrid w:val="0"/>
          <w:spacing w:val="4"/>
          <w:kern w:val="0"/>
          <w:sz w:val="24"/>
          <w:szCs w:val="24"/>
          <w:highlight w:val="none"/>
        </w:rPr>
        <w:t>格式十一：定标文件内容（格式自拟）</w:t>
      </w:r>
    </w:p>
    <w:p w14:paraId="0172489B">
      <w:pPr>
        <w:tabs>
          <w:tab w:val="left" w:pos="720"/>
        </w:tabs>
        <w:snapToGrid w:val="0"/>
        <w:spacing w:line="360" w:lineRule="auto"/>
        <w:rPr>
          <w:rFonts w:hint="eastAsia" w:ascii="宋体" w:hAnsi="宋体" w:cs="宋体"/>
          <w:sz w:val="24"/>
          <w:szCs w:val="24"/>
          <w:highlight w:val="none"/>
        </w:rPr>
      </w:pPr>
      <w:r>
        <w:rPr>
          <w:rFonts w:hint="eastAsia" w:ascii="宋体" w:hAnsi="宋体" w:cs="宋体"/>
          <w:b/>
          <w:snapToGrid w:val="0"/>
          <w:spacing w:val="4"/>
          <w:kern w:val="0"/>
          <w:sz w:val="24"/>
          <w:szCs w:val="24"/>
          <w:highlight w:val="none"/>
        </w:rPr>
        <w:t xml:space="preserve">      </w:t>
      </w:r>
      <w:r>
        <w:rPr>
          <w:rFonts w:hint="eastAsia" w:ascii="宋体" w:hAnsi="宋体" w:cs="宋体"/>
          <w:spacing w:val="4"/>
          <w:kern w:val="0"/>
          <w:sz w:val="30"/>
          <w:szCs w:val="30"/>
          <w:highlight w:val="none"/>
        </w:rPr>
        <w:t xml:space="preserve">                     </w:t>
      </w:r>
      <w:r>
        <w:rPr>
          <w:highlight w:val="none"/>
        </w:rPr>
        <w:br w:type="page"/>
      </w:r>
    </w:p>
    <w:p w14:paraId="3BBD1FA0">
      <w:pPr>
        <w:pStyle w:val="2"/>
        <w:rPr>
          <w:rFonts w:hint="eastAsia" w:ascii="宋体" w:hAnsi="宋体" w:cs="宋体"/>
          <w:highlight w:val="none"/>
        </w:rPr>
      </w:pPr>
      <w:bookmarkStart w:id="120" w:name="_Toc9956"/>
      <w:bookmarkStart w:id="121" w:name="_Toc10157"/>
      <w:r>
        <w:rPr>
          <w:rFonts w:hint="eastAsia" w:ascii="宋体" w:hAnsi="宋体" w:cs="宋体"/>
          <w:highlight w:val="none"/>
        </w:rPr>
        <w:t>第五章  技术条件（工程建设标准）</w:t>
      </w:r>
      <w:bookmarkEnd w:id="120"/>
      <w:bookmarkEnd w:id="121"/>
    </w:p>
    <w:p w14:paraId="2FCCC93C">
      <w:pPr>
        <w:spacing w:after="120" w:line="520" w:lineRule="exact"/>
        <w:ind w:right="-29" w:rightChars="-14" w:firstLine="420"/>
        <w:jc w:val="center"/>
        <w:rPr>
          <w:rFonts w:hint="eastAsia" w:ascii="宋体" w:hAnsi="宋体" w:cs="宋体"/>
          <w:sz w:val="24"/>
          <w:szCs w:val="24"/>
          <w:highlight w:val="none"/>
        </w:rPr>
      </w:pPr>
    </w:p>
    <w:p w14:paraId="6F76EA20">
      <w:pPr>
        <w:spacing w:line="360" w:lineRule="auto"/>
        <w:jc w:val="left"/>
        <w:rPr>
          <w:rFonts w:hint="eastAsia" w:ascii="宋体" w:hAnsi="宋体" w:cs="宋体"/>
          <w:b/>
          <w:spacing w:val="4"/>
          <w:kern w:val="0"/>
          <w:sz w:val="24"/>
          <w:szCs w:val="24"/>
          <w:highlight w:val="none"/>
        </w:rPr>
      </w:pPr>
      <w:bookmarkStart w:id="122" w:name="_（一）土建综合要求"/>
      <w:bookmarkEnd w:id="122"/>
      <w:r>
        <w:rPr>
          <w:rFonts w:hint="eastAsia" w:ascii="宋体" w:hAnsi="宋体" w:cs="宋体"/>
          <w:b/>
          <w:spacing w:val="4"/>
          <w:kern w:val="0"/>
          <w:sz w:val="24"/>
          <w:szCs w:val="24"/>
          <w:highlight w:val="none"/>
        </w:rPr>
        <w:t>一、采用中华人民共和国现行技术和验收规范（包括但不限于以下标准、规范）。</w:t>
      </w:r>
    </w:p>
    <w:p w14:paraId="36D98F9A">
      <w:pPr>
        <w:spacing w:line="360" w:lineRule="auto"/>
        <w:ind w:firstLine="496" w:firstLineChars="200"/>
        <w:jc w:val="left"/>
        <w:rPr>
          <w:rFonts w:hint="eastAsia" w:ascii="宋体" w:hAnsi="宋体" w:cs="宋体"/>
          <w:spacing w:val="4"/>
          <w:kern w:val="0"/>
          <w:sz w:val="24"/>
          <w:szCs w:val="24"/>
          <w:highlight w:val="none"/>
        </w:rPr>
      </w:pPr>
      <w:r>
        <w:rPr>
          <w:rFonts w:hint="eastAsia" w:ascii="宋体" w:hAnsi="宋体" w:cs="宋体"/>
          <w:spacing w:val="4"/>
          <w:kern w:val="0"/>
          <w:sz w:val="24"/>
          <w:szCs w:val="24"/>
          <w:highlight w:val="none"/>
        </w:rPr>
        <w:t>1.1 工程测量通用规范（GB 55018-2021）；</w:t>
      </w:r>
    </w:p>
    <w:p w14:paraId="7AD78548">
      <w:pPr>
        <w:spacing w:line="360" w:lineRule="auto"/>
        <w:ind w:firstLine="496" w:firstLineChars="200"/>
        <w:jc w:val="left"/>
        <w:rPr>
          <w:rFonts w:hint="eastAsia" w:ascii="宋体" w:hAnsi="宋体" w:cs="宋体"/>
          <w:spacing w:val="4"/>
          <w:kern w:val="0"/>
          <w:sz w:val="24"/>
          <w:szCs w:val="24"/>
          <w:highlight w:val="none"/>
        </w:rPr>
      </w:pPr>
      <w:r>
        <w:rPr>
          <w:rFonts w:hint="eastAsia" w:ascii="宋体" w:hAnsi="宋体" w:cs="宋体"/>
          <w:spacing w:val="4"/>
          <w:kern w:val="0"/>
          <w:sz w:val="24"/>
          <w:szCs w:val="24"/>
          <w:highlight w:val="none"/>
        </w:rPr>
        <w:t>1.2 岩土工程勘察规范（GB50021-2001）；</w:t>
      </w:r>
    </w:p>
    <w:p w14:paraId="62143E5F">
      <w:pPr>
        <w:spacing w:line="360" w:lineRule="auto"/>
        <w:ind w:firstLine="496" w:firstLineChars="200"/>
        <w:jc w:val="left"/>
        <w:rPr>
          <w:rFonts w:hint="eastAsia"/>
          <w:highlight w:val="none"/>
        </w:rPr>
      </w:pPr>
      <w:r>
        <w:rPr>
          <w:rFonts w:hint="eastAsia" w:ascii="宋体" w:hAnsi="宋体" w:cs="宋体"/>
          <w:spacing w:val="4"/>
          <w:kern w:val="0"/>
          <w:sz w:val="24"/>
          <w:szCs w:val="24"/>
          <w:highlight w:val="none"/>
        </w:rPr>
        <w:t>1.3 建筑地基基础设计规范（GB50007-2011）；</w:t>
      </w:r>
    </w:p>
    <w:p w14:paraId="0BE8096A">
      <w:pPr>
        <w:spacing w:line="360" w:lineRule="auto"/>
        <w:ind w:firstLine="496" w:firstLineChars="200"/>
        <w:jc w:val="left"/>
        <w:rPr>
          <w:rFonts w:hint="eastAsia"/>
          <w:highlight w:val="none"/>
        </w:rPr>
      </w:pPr>
      <w:r>
        <w:rPr>
          <w:rFonts w:hint="eastAsia" w:ascii="宋体" w:hAnsi="宋体" w:cs="宋体"/>
          <w:spacing w:val="4"/>
          <w:kern w:val="0"/>
          <w:sz w:val="24"/>
          <w:szCs w:val="24"/>
          <w:highlight w:val="none"/>
        </w:rPr>
        <w:t>1.4 建筑结构荷载规范（GB50009-2012）；</w:t>
      </w:r>
    </w:p>
    <w:p w14:paraId="0632A0CB">
      <w:pPr>
        <w:spacing w:line="360" w:lineRule="auto"/>
        <w:ind w:firstLine="496" w:firstLineChars="200"/>
        <w:jc w:val="left"/>
        <w:rPr>
          <w:rFonts w:hint="eastAsia"/>
          <w:highlight w:val="none"/>
        </w:rPr>
      </w:pPr>
      <w:r>
        <w:rPr>
          <w:rFonts w:hint="eastAsia" w:ascii="宋体" w:hAnsi="宋体" w:cs="宋体"/>
          <w:spacing w:val="4"/>
          <w:kern w:val="0"/>
          <w:sz w:val="24"/>
          <w:szCs w:val="24"/>
          <w:highlight w:val="none"/>
        </w:rPr>
        <w:t>1.5 砌体结构设计规范（GB50003-2011）；</w:t>
      </w:r>
    </w:p>
    <w:p w14:paraId="107F65EF">
      <w:pPr>
        <w:spacing w:line="360" w:lineRule="auto"/>
        <w:ind w:firstLine="496" w:firstLineChars="200"/>
        <w:jc w:val="left"/>
        <w:rPr>
          <w:rFonts w:hint="eastAsia"/>
          <w:highlight w:val="none"/>
        </w:rPr>
      </w:pPr>
      <w:r>
        <w:rPr>
          <w:rFonts w:hint="eastAsia" w:ascii="宋体" w:hAnsi="宋体" w:cs="宋体"/>
          <w:spacing w:val="4"/>
          <w:kern w:val="0"/>
          <w:sz w:val="24"/>
          <w:szCs w:val="24"/>
          <w:highlight w:val="none"/>
        </w:rPr>
        <w:t>1.6 混凝土结构设计规范（2015版）（GB50010-2010）；</w:t>
      </w:r>
    </w:p>
    <w:p w14:paraId="23788268">
      <w:pPr>
        <w:spacing w:line="360" w:lineRule="auto"/>
        <w:ind w:firstLine="496" w:firstLineChars="200"/>
        <w:jc w:val="left"/>
        <w:rPr>
          <w:rFonts w:hint="eastAsia"/>
          <w:highlight w:val="none"/>
        </w:rPr>
      </w:pPr>
      <w:r>
        <w:rPr>
          <w:rFonts w:hint="eastAsia" w:ascii="宋体" w:hAnsi="宋体" w:cs="宋体"/>
          <w:spacing w:val="4"/>
          <w:kern w:val="0"/>
          <w:sz w:val="24"/>
          <w:szCs w:val="24"/>
          <w:highlight w:val="none"/>
        </w:rPr>
        <w:t>1.7 建筑地基基础工程施工质量验收标准（GB50202-2018）；</w:t>
      </w:r>
    </w:p>
    <w:p w14:paraId="3E3B0440">
      <w:pPr>
        <w:spacing w:line="360" w:lineRule="auto"/>
        <w:ind w:firstLine="496" w:firstLineChars="200"/>
        <w:jc w:val="left"/>
        <w:rPr>
          <w:highlight w:val="none"/>
        </w:rPr>
      </w:pPr>
      <w:r>
        <w:rPr>
          <w:rFonts w:hint="eastAsia" w:ascii="宋体" w:hAnsi="宋体" w:cs="宋体"/>
          <w:spacing w:val="4"/>
          <w:kern w:val="0"/>
          <w:sz w:val="24"/>
          <w:szCs w:val="24"/>
          <w:highlight w:val="none"/>
        </w:rPr>
        <w:t>1.8 地下防水工程质量验收规范（GB50208-2011）；</w:t>
      </w:r>
    </w:p>
    <w:p w14:paraId="4F438C01">
      <w:pPr>
        <w:spacing w:line="360" w:lineRule="auto"/>
        <w:ind w:firstLine="496" w:firstLineChars="200"/>
        <w:jc w:val="left"/>
        <w:rPr>
          <w:highlight w:val="none"/>
        </w:rPr>
      </w:pPr>
      <w:r>
        <w:rPr>
          <w:rFonts w:hint="eastAsia" w:ascii="宋体" w:hAnsi="宋体" w:cs="宋体"/>
          <w:spacing w:val="4"/>
          <w:kern w:val="0"/>
          <w:sz w:val="24"/>
          <w:szCs w:val="24"/>
          <w:highlight w:val="none"/>
        </w:rPr>
        <w:t>1.9 建筑工程施工质量验收统一标准（GB50300-2013）；</w:t>
      </w:r>
    </w:p>
    <w:p w14:paraId="69DE511D">
      <w:pPr>
        <w:spacing w:line="360" w:lineRule="auto"/>
        <w:ind w:firstLine="496" w:firstLineChars="200"/>
        <w:jc w:val="left"/>
        <w:rPr>
          <w:rFonts w:hint="eastAsia"/>
          <w:highlight w:val="none"/>
        </w:rPr>
      </w:pPr>
      <w:r>
        <w:rPr>
          <w:rFonts w:hint="eastAsia" w:ascii="宋体" w:hAnsi="宋体" w:cs="宋体"/>
          <w:spacing w:val="4"/>
          <w:kern w:val="0"/>
          <w:sz w:val="24"/>
          <w:szCs w:val="24"/>
          <w:highlight w:val="none"/>
        </w:rPr>
        <w:t>1.10 混凝土结构工程施工质量验收规范（GB50204-2015）</w:t>
      </w:r>
    </w:p>
    <w:p w14:paraId="3EA9FA75">
      <w:pPr>
        <w:spacing w:line="360" w:lineRule="auto"/>
        <w:ind w:firstLine="496" w:firstLineChars="200"/>
        <w:jc w:val="left"/>
        <w:rPr>
          <w:highlight w:val="none"/>
        </w:rPr>
      </w:pPr>
      <w:r>
        <w:rPr>
          <w:rFonts w:hint="eastAsia" w:ascii="宋体" w:hAnsi="宋体" w:cs="宋体"/>
          <w:spacing w:val="4"/>
          <w:kern w:val="0"/>
          <w:sz w:val="24"/>
          <w:szCs w:val="24"/>
          <w:highlight w:val="none"/>
        </w:rPr>
        <w:t>1.11 普通混凝土配合比设计规程（JGJ 55-2011）；</w:t>
      </w:r>
    </w:p>
    <w:p w14:paraId="191DB1A8">
      <w:pPr>
        <w:spacing w:line="360" w:lineRule="auto"/>
        <w:ind w:firstLine="496" w:firstLineChars="200"/>
        <w:jc w:val="left"/>
        <w:rPr>
          <w:highlight w:val="none"/>
        </w:rPr>
      </w:pPr>
      <w:r>
        <w:rPr>
          <w:rFonts w:hint="eastAsia" w:ascii="宋体" w:hAnsi="宋体" w:cs="宋体"/>
          <w:spacing w:val="4"/>
          <w:kern w:val="0"/>
          <w:sz w:val="24"/>
          <w:szCs w:val="24"/>
          <w:highlight w:val="none"/>
        </w:rPr>
        <w:t>1.12 混凝土外加剂应用技术规范（GB 50119-2013）；</w:t>
      </w:r>
    </w:p>
    <w:p w14:paraId="5DF86938">
      <w:pPr>
        <w:spacing w:line="360" w:lineRule="auto"/>
        <w:ind w:firstLine="496" w:firstLineChars="200"/>
        <w:jc w:val="left"/>
        <w:rPr>
          <w:highlight w:val="none"/>
        </w:rPr>
      </w:pPr>
      <w:r>
        <w:rPr>
          <w:rFonts w:hint="eastAsia" w:ascii="宋体" w:hAnsi="宋体" w:cs="宋体"/>
          <w:spacing w:val="4"/>
          <w:kern w:val="0"/>
          <w:sz w:val="24"/>
          <w:szCs w:val="24"/>
          <w:highlight w:val="none"/>
        </w:rPr>
        <w:t>1.13 砌体结构工程施工质量验收规范（GB50203-2011）；</w:t>
      </w:r>
    </w:p>
    <w:p w14:paraId="7C393A43">
      <w:pPr>
        <w:spacing w:line="360" w:lineRule="auto"/>
        <w:ind w:firstLine="496" w:firstLineChars="200"/>
        <w:jc w:val="left"/>
        <w:rPr>
          <w:rFonts w:hint="eastAsia" w:ascii="宋体" w:hAnsi="宋体" w:cs="宋体"/>
          <w:spacing w:val="4"/>
          <w:kern w:val="0"/>
          <w:sz w:val="24"/>
          <w:szCs w:val="24"/>
          <w:highlight w:val="none"/>
        </w:rPr>
      </w:pPr>
      <w:r>
        <w:rPr>
          <w:rFonts w:hint="eastAsia" w:ascii="宋体" w:hAnsi="宋体" w:cs="宋体"/>
          <w:spacing w:val="4"/>
          <w:kern w:val="0"/>
          <w:sz w:val="24"/>
          <w:szCs w:val="24"/>
          <w:highlight w:val="none"/>
        </w:rPr>
        <w:t>1.14 钢结构工程施工质量验收标准（GB50205-2020）；</w:t>
      </w:r>
    </w:p>
    <w:p w14:paraId="55047907">
      <w:pPr>
        <w:spacing w:line="360" w:lineRule="auto"/>
        <w:ind w:firstLine="496" w:firstLineChars="200"/>
        <w:jc w:val="left"/>
        <w:rPr>
          <w:rFonts w:hint="eastAsia"/>
          <w:highlight w:val="none"/>
        </w:rPr>
      </w:pPr>
      <w:r>
        <w:rPr>
          <w:rFonts w:hint="eastAsia" w:ascii="宋体" w:hAnsi="宋体" w:cs="宋体"/>
          <w:spacing w:val="4"/>
          <w:kern w:val="0"/>
          <w:sz w:val="24"/>
          <w:szCs w:val="24"/>
          <w:highlight w:val="none"/>
        </w:rPr>
        <w:t>1.15 建筑地面工程施工质量验收规范（GB50209-2010）；</w:t>
      </w:r>
    </w:p>
    <w:p w14:paraId="16A77721">
      <w:pPr>
        <w:spacing w:line="360" w:lineRule="auto"/>
        <w:ind w:firstLine="496" w:firstLineChars="200"/>
        <w:jc w:val="left"/>
        <w:rPr>
          <w:highlight w:val="none"/>
        </w:rPr>
      </w:pPr>
      <w:r>
        <w:rPr>
          <w:rFonts w:hint="eastAsia" w:ascii="宋体" w:hAnsi="宋体" w:cs="宋体"/>
          <w:spacing w:val="4"/>
          <w:kern w:val="0"/>
          <w:sz w:val="24"/>
          <w:szCs w:val="24"/>
          <w:highlight w:val="none"/>
        </w:rPr>
        <w:t>1.16 屋面工程质量验收规范（GB50207-2012）；</w:t>
      </w:r>
    </w:p>
    <w:p w14:paraId="0F76FD23">
      <w:pPr>
        <w:spacing w:line="360" w:lineRule="auto"/>
        <w:ind w:firstLine="496" w:firstLineChars="200"/>
        <w:jc w:val="left"/>
        <w:rPr>
          <w:highlight w:val="none"/>
        </w:rPr>
      </w:pPr>
      <w:r>
        <w:rPr>
          <w:rFonts w:hint="eastAsia" w:ascii="宋体" w:hAnsi="宋体" w:cs="宋体"/>
          <w:spacing w:val="4"/>
          <w:kern w:val="0"/>
          <w:sz w:val="24"/>
          <w:szCs w:val="24"/>
          <w:highlight w:val="none"/>
        </w:rPr>
        <w:t>1.17 建筑装饰装修工程质量验收标准（GB50210-2018）；</w:t>
      </w:r>
    </w:p>
    <w:p w14:paraId="57C98720">
      <w:pPr>
        <w:spacing w:line="360" w:lineRule="auto"/>
        <w:ind w:firstLine="496" w:firstLineChars="200"/>
        <w:jc w:val="left"/>
        <w:rPr>
          <w:rFonts w:hint="eastAsia" w:ascii="宋体" w:hAnsi="宋体" w:cs="宋体"/>
          <w:spacing w:val="4"/>
          <w:kern w:val="0"/>
          <w:sz w:val="24"/>
          <w:szCs w:val="24"/>
          <w:highlight w:val="none"/>
        </w:rPr>
      </w:pPr>
      <w:r>
        <w:rPr>
          <w:rFonts w:hint="eastAsia" w:ascii="宋体" w:hAnsi="宋体" w:cs="宋体"/>
          <w:spacing w:val="4"/>
          <w:kern w:val="0"/>
          <w:sz w:val="24"/>
          <w:szCs w:val="24"/>
          <w:highlight w:val="none"/>
        </w:rPr>
        <w:t>1.18 建筑给水排水及采暖工程施工质量验收规范（GB50242-2002）；</w:t>
      </w:r>
    </w:p>
    <w:p w14:paraId="43D18229">
      <w:pPr>
        <w:spacing w:line="360" w:lineRule="auto"/>
        <w:ind w:firstLine="496" w:firstLineChars="200"/>
        <w:jc w:val="left"/>
        <w:rPr>
          <w:highlight w:val="none"/>
        </w:rPr>
      </w:pPr>
      <w:r>
        <w:rPr>
          <w:rFonts w:hint="eastAsia" w:ascii="宋体" w:hAnsi="宋体" w:cs="宋体"/>
          <w:spacing w:val="4"/>
          <w:kern w:val="0"/>
          <w:sz w:val="24"/>
          <w:szCs w:val="24"/>
          <w:highlight w:val="none"/>
        </w:rPr>
        <w:t>1.19 建筑电气工程施工质量验收规范（GB50303-2015）；</w:t>
      </w:r>
    </w:p>
    <w:p w14:paraId="5062A351">
      <w:pPr>
        <w:spacing w:line="360" w:lineRule="auto"/>
        <w:ind w:firstLine="496" w:firstLineChars="200"/>
        <w:jc w:val="left"/>
        <w:rPr>
          <w:highlight w:val="none"/>
        </w:rPr>
      </w:pPr>
      <w:r>
        <w:rPr>
          <w:rFonts w:hint="eastAsia" w:ascii="宋体" w:hAnsi="宋体" w:cs="宋体"/>
          <w:spacing w:val="4"/>
          <w:kern w:val="0"/>
          <w:sz w:val="24"/>
          <w:szCs w:val="24"/>
          <w:highlight w:val="none"/>
        </w:rPr>
        <w:t>1.20 通风与空调工程施工质量验收规范（GB50243-2016）；</w:t>
      </w:r>
    </w:p>
    <w:p w14:paraId="7B58A9BC">
      <w:pPr>
        <w:spacing w:line="360" w:lineRule="auto"/>
        <w:ind w:firstLine="496" w:firstLineChars="200"/>
        <w:jc w:val="left"/>
        <w:rPr>
          <w:highlight w:val="none"/>
        </w:rPr>
      </w:pPr>
      <w:r>
        <w:rPr>
          <w:rFonts w:hint="eastAsia" w:ascii="宋体" w:hAnsi="宋体" w:cs="宋体"/>
          <w:spacing w:val="4"/>
          <w:kern w:val="0"/>
          <w:sz w:val="24"/>
          <w:szCs w:val="24"/>
          <w:highlight w:val="none"/>
        </w:rPr>
        <w:t>1.21 施工现场临时用电安全技术规范（JGJ 46-2005）；</w:t>
      </w:r>
    </w:p>
    <w:p w14:paraId="6583BD22">
      <w:pPr>
        <w:spacing w:line="360" w:lineRule="auto"/>
        <w:ind w:firstLine="496" w:firstLineChars="200"/>
        <w:jc w:val="left"/>
        <w:rPr>
          <w:rFonts w:hint="eastAsia"/>
          <w:highlight w:val="none"/>
        </w:rPr>
      </w:pPr>
      <w:r>
        <w:rPr>
          <w:rFonts w:hint="eastAsia" w:ascii="宋体" w:hAnsi="宋体" w:cs="宋体"/>
          <w:spacing w:val="4"/>
          <w:kern w:val="0"/>
          <w:sz w:val="24"/>
          <w:szCs w:val="24"/>
          <w:highlight w:val="none"/>
        </w:rPr>
        <w:t>1.22 建筑施工高处作业安全技术规范（JGJ80-2016）；</w:t>
      </w:r>
    </w:p>
    <w:p w14:paraId="1E2538CB">
      <w:pPr>
        <w:spacing w:line="360" w:lineRule="auto"/>
        <w:ind w:firstLine="496" w:firstLineChars="200"/>
        <w:jc w:val="left"/>
        <w:rPr>
          <w:highlight w:val="none"/>
        </w:rPr>
      </w:pPr>
      <w:r>
        <w:rPr>
          <w:rFonts w:hint="eastAsia" w:ascii="宋体" w:hAnsi="宋体" w:cs="宋体"/>
          <w:spacing w:val="4"/>
          <w:kern w:val="0"/>
          <w:sz w:val="24"/>
          <w:szCs w:val="24"/>
          <w:highlight w:val="none"/>
        </w:rPr>
        <w:t>1.23 建筑机械使用安全技术规程（JGJ33-2012）；</w:t>
      </w:r>
    </w:p>
    <w:p w14:paraId="16BA3999">
      <w:pPr>
        <w:spacing w:line="360" w:lineRule="auto"/>
        <w:ind w:firstLine="496" w:firstLineChars="200"/>
        <w:jc w:val="left"/>
        <w:rPr>
          <w:highlight w:val="none"/>
        </w:rPr>
      </w:pPr>
      <w:r>
        <w:rPr>
          <w:rFonts w:hint="eastAsia" w:ascii="宋体" w:hAnsi="宋体" w:cs="宋体"/>
          <w:spacing w:val="4"/>
          <w:kern w:val="0"/>
          <w:sz w:val="24"/>
          <w:szCs w:val="24"/>
          <w:highlight w:val="none"/>
        </w:rPr>
        <w:t>1.24 混凝土质量控制标准（GB50164-2011）；</w:t>
      </w:r>
    </w:p>
    <w:p w14:paraId="6C3C2D3B">
      <w:pPr>
        <w:spacing w:line="360" w:lineRule="auto"/>
        <w:ind w:firstLine="496" w:firstLineChars="200"/>
        <w:jc w:val="left"/>
        <w:rPr>
          <w:rFonts w:hint="eastAsia" w:ascii="宋体" w:hAnsi="宋体" w:cs="宋体"/>
          <w:spacing w:val="4"/>
          <w:kern w:val="0"/>
          <w:sz w:val="24"/>
          <w:szCs w:val="24"/>
          <w:highlight w:val="none"/>
        </w:rPr>
      </w:pPr>
      <w:r>
        <w:rPr>
          <w:rFonts w:hint="eastAsia" w:ascii="宋体" w:hAnsi="宋体" w:cs="宋体"/>
          <w:spacing w:val="4"/>
          <w:kern w:val="0"/>
          <w:sz w:val="24"/>
          <w:szCs w:val="24"/>
          <w:highlight w:val="none"/>
        </w:rPr>
        <w:t>1.25 钢筋混凝土用钢 第1部分：热轧光圆钢筋（GB/T 1499.1-2017）</w:t>
      </w:r>
    </w:p>
    <w:p w14:paraId="35B71E15">
      <w:pPr>
        <w:pStyle w:val="127"/>
        <w:rPr>
          <w:rFonts w:ascii="宋体" w:hAnsi="宋体" w:cs="宋体"/>
          <w:spacing w:val="4"/>
          <w:kern w:val="0"/>
          <w:sz w:val="24"/>
          <w:szCs w:val="24"/>
          <w:highlight w:val="none"/>
        </w:rPr>
      </w:pPr>
      <w:r>
        <w:rPr>
          <w:rFonts w:hint="eastAsia" w:ascii="宋体" w:hAnsi="宋体" w:cs="宋体"/>
          <w:spacing w:val="4"/>
          <w:kern w:val="0"/>
          <w:sz w:val="24"/>
          <w:szCs w:val="24"/>
          <w:highlight w:val="none"/>
        </w:rPr>
        <w:t xml:space="preserve">     钢筋混凝土用钢 第2部分：热轧带肋钢筋（GB/T 1499.2-2018）</w:t>
      </w:r>
    </w:p>
    <w:p w14:paraId="627C32E9">
      <w:pPr>
        <w:spacing w:line="360" w:lineRule="auto"/>
        <w:ind w:firstLine="496" w:firstLineChars="200"/>
        <w:jc w:val="left"/>
        <w:rPr>
          <w:rFonts w:hint="eastAsia" w:ascii="宋体" w:hAnsi="宋体" w:cs="宋体"/>
          <w:spacing w:val="4"/>
          <w:kern w:val="0"/>
          <w:sz w:val="24"/>
          <w:szCs w:val="24"/>
          <w:highlight w:val="none"/>
        </w:rPr>
      </w:pPr>
      <w:r>
        <w:rPr>
          <w:rFonts w:hint="eastAsia" w:ascii="宋体" w:hAnsi="宋体" w:cs="宋体"/>
          <w:spacing w:val="4"/>
          <w:kern w:val="0"/>
          <w:sz w:val="24"/>
          <w:szCs w:val="24"/>
          <w:highlight w:val="none"/>
        </w:rPr>
        <w:t>1.26 通用硅酸盐水泥（GB175-2007）；</w:t>
      </w:r>
    </w:p>
    <w:p w14:paraId="4FC79682">
      <w:pPr>
        <w:spacing w:line="360" w:lineRule="auto"/>
        <w:ind w:firstLine="496" w:firstLineChars="200"/>
        <w:jc w:val="left"/>
        <w:rPr>
          <w:rFonts w:hint="eastAsia" w:ascii="宋体" w:hAnsi="宋体" w:cs="宋体"/>
          <w:spacing w:val="4"/>
          <w:kern w:val="0"/>
          <w:sz w:val="24"/>
          <w:szCs w:val="24"/>
          <w:highlight w:val="none"/>
        </w:rPr>
      </w:pPr>
      <w:r>
        <w:rPr>
          <w:rFonts w:hint="eastAsia" w:ascii="宋体" w:hAnsi="宋体" w:cs="宋体"/>
          <w:spacing w:val="4"/>
          <w:kern w:val="0"/>
          <w:sz w:val="24"/>
          <w:szCs w:val="24"/>
          <w:highlight w:val="none"/>
        </w:rPr>
        <w:t>1.27 粉煤灰混凝土应用技术规范（GB/T 50146-2014）；</w:t>
      </w:r>
    </w:p>
    <w:p w14:paraId="11CDDA84">
      <w:pPr>
        <w:spacing w:line="360" w:lineRule="auto"/>
        <w:ind w:firstLine="496" w:firstLineChars="200"/>
        <w:jc w:val="left"/>
        <w:rPr>
          <w:highlight w:val="none"/>
        </w:rPr>
      </w:pPr>
      <w:r>
        <w:rPr>
          <w:rFonts w:hint="eastAsia" w:ascii="宋体" w:hAnsi="宋体" w:cs="宋体"/>
          <w:spacing w:val="4"/>
          <w:kern w:val="0"/>
          <w:sz w:val="24"/>
          <w:szCs w:val="24"/>
          <w:highlight w:val="none"/>
        </w:rPr>
        <w:t>1.28 混凝土强度检验评定标准（GB/T 50107-2010）；</w:t>
      </w:r>
    </w:p>
    <w:p w14:paraId="67E46A37">
      <w:pPr>
        <w:spacing w:line="360" w:lineRule="auto"/>
        <w:ind w:firstLine="496" w:firstLineChars="200"/>
        <w:jc w:val="left"/>
        <w:rPr>
          <w:highlight w:val="none"/>
        </w:rPr>
      </w:pPr>
      <w:r>
        <w:rPr>
          <w:rFonts w:hint="eastAsia" w:ascii="宋体" w:hAnsi="宋体" w:cs="宋体"/>
          <w:spacing w:val="4"/>
          <w:kern w:val="0"/>
          <w:sz w:val="24"/>
          <w:szCs w:val="24"/>
          <w:highlight w:val="none"/>
        </w:rPr>
        <w:t>1.29 钢筋焊接及验收规程（JGJ18-2012）；</w:t>
      </w:r>
    </w:p>
    <w:p w14:paraId="74D86C30">
      <w:pPr>
        <w:spacing w:line="360" w:lineRule="auto"/>
        <w:ind w:firstLine="496" w:firstLineChars="200"/>
        <w:jc w:val="left"/>
        <w:rPr>
          <w:highlight w:val="none"/>
        </w:rPr>
      </w:pPr>
      <w:r>
        <w:rPr>
          <w:rFonts w:hint="eastAsia" w:ascii="宋体" w:hAnsi="宋体" w:cs="宋体"/>
          <w:spacing w:val="4"/>
          <w:kern w:val="0"/>
          <w:sz w:val="24"/>
          <w:szCs w:val="24"/>
          <w:highlight w:val="none"/>
        </w:rPr>
        <w:t>1.30 屋面工程技术规范（GB50345-2012）；</w:t>
      </w:r>
    </w:p>
    <w:p w14:paraId="16E129E8">
      <w:pPr>
        <w:spacing w:line="360" w:lineRule="auto"/>
        <w:ind w:firstLine="496" w:firstLineChars="200"/>
        <w:jc w:val="left"/>
        <w:rPr>
          <w:rFonts w:hint="eastAsia" w:ascii="宋体" w:hAnsi="宋体" w:cs="宋体"/>
          <w:spacing w:val="4"/>
          <w:kern w:val="0"/>
          <w:sz w:val="24"/>
          <w:szCs w:val="24"/>
          <w:highlight w:val="none"/>
        </w:rPr>
      </w:pPr>
      <w:r>
        <w:rPr>
          <w:rFonts w:hint="eastAsia" w:ascii="宋体" w:hAnsi="宋体" w:cs="宋体"/>
          <w:spacing w:val="4"/>
          <w:kern w:val="0"/>
          <w:sz w:val="24"/>
          <w:szCs w:val="24"/>
          <w:highlight w:val="none"/>
        </w:rPr>
        <w:t>1.31 钢结构工程施工质量验收标准（GB50205-2020）；</w:t>
      </w:r>
    </w:p>
    <w:p w14:paraId="753EAD01">
      <w:pPr>
        <w:spacing w:line="360" w:lineRule="auto"/>
        <w:ind w:firstLine="496" w:firstLineChars="200"/>
        <w:jc w:val="left"/>
        <w:rPr>
          <w:rFonts w:hint="eastAsia"/>
          <w:highlight w:val="none"/>
        </w:rPr>
      </w:pPr>
      <w:r>
        <w:rPr>
          <w:rFonts w:hint="eastAsia" w:ascii="宋体" w:hAnsi="宋体" w:cs="宋体"/>
          <w:spacing w:val="4"/>
          <w:kern w:val="0"/>
          <w:sz w:val="24"/>
          <w:szCs w:val="24"/>
          <w:highlight w:val="none"/>
        </w:rPr>
        <w:t xml:space="preserve">1.32 </w:t>
      </w:r>
      <w:r>
        <w:rPr>
          <w:rFonts w:hint="eastAsia" w:ascii="宋体" w:hAnsi="宋体" w:cs="宋体"/>
          <w:spacing w:val="4"/>
          <w:kern w:val="0"/>
          <w:sz w:val="24"/>
          <w:szCs w:val="24"/>
          <w:highlight w:val="none"/>
          <w:lang w:bidi="ar"/>
        </w:rPr>
        <w:t>钢结构焊接规范（</w:t>
      </w:r>
      <w:r>
        <w:rPr>
          <w:rFonts w:ascii="宋体" w:hAnsi="宋体" w:cs="宋体"/>
          <w:spacing w:val="4"/>
          <w:kern w:val="0"/>
          <w:sz w:val="24"/>
          <w:szCs w:val="24"/>
          <w:highlight w:val="none"/>
          <w:lang w:bidi="ar"/>
        </w:rPr>
        <w:t>GB 50661-2011</w:t>
      </w:r>
      <w:r>
        <w:rPr>
          <w:rFonts w:hint="eastAsia" w:ascii="宋体" w:hAnsi="宋体" w:cs="宋体"/>
          <w:spacing w:val="4"/>
          <w:kern w:val="0"/>
          <w:sz w:val="24"/>
          <w:szCs w:val="24"/>
          <w:highlight w:val="none"/>
          <w:lang w:bidi="ar"/>
        </w:rPr>
        <w:t>）</w:t>
      </w:r>
      <w:r>
        <w:rPr>
          <w:rFonts w:hint="eastAsia" w:ascii="宋体" w:hAnsi="宋体" w:cs="宋体"/>
          <w:spacing w:val="4"/>
          <w:kern w:val="0"/>
          <w:sz w:val="24"/>
          <w:szCs w:val="24"/>
          <w:highlight w:val="none"/>
        </w:rPr>
        <w:t>；</w:t>
      </w:r>
    </w:p>
    <w:p w14:paraId="792C4678">
      <w:pPr>
        <w:spacing w:line="360" w:lineRule="auto"/>
        <w:ind w:firstLine="496" w:firstLineChars="200"/>
        <w:jc w:val="left"/>
        <w:rPr>
          <w:rFonts w:hint="eastAsia" w:ascii="宋体" w:hAnsi="宋体" w:cs="宋体"/>
          <w:spacing w:val="4"/>
          <w:kern w:val="0"/>
          <w:sz w:val="24"/>
          <w:szCs w:val="24"/>
          <w:highlight w:val="none"/>
        </w:rPr>
      </w:pPr>
      <w:r>
        <w:rPr>
          <w:rFonts w:hint="eastAsia" w:ascii="宋体" w:hAnsi="宋体" w:cs="宋体"/>
          <w:spacing w:val="4"/>
          <w:kern w:val="0"/>
          <w:sz w:val="24"/>
          <w:szCs w:val="24"/>
          <w:highlight w:val="none"/>
        </w:rPr>
        <w:t>1.33 钢结构、管道涂装技术规程（YB/T9256-96）；</w:t>
      </w:r>
    </w:p>
    <w:p w14:paraId="47E8BEB8">
      <w:pPr>
        <w:spacing w:line="360" w:lineRule="auto"/>
        <w:ind w:firstLine="496" w:firstLineChars="200"/>
        <w:jc w:val="left"/>
        <w:rPr>
          <w:rFonts w:hint="eastAsia"/>
          <w:highlight w:val="none"/>
        </w:rPr>
      </w:pPr>
      <w:r>
        <w:rPr>
          <w:rFonts w:hint="eastAsia" w:ascii="宋体" w:hAnsi="宋体" w:cs="宋体"/>
          <w:spacing w:val="4"/>
          <w:kern w:val="0"/>
          <w:sz w:val="24"/>
          <w:szCs w:val="24"/>
          <w:highlight w:val="none"/>
        </w:rPr>
        <w:t>1.34 建筑装饰装修工程质量验收标准（GB50210-2018）；</w:t>
      </w:r>
    </w:p>
    <w:p w14:paraId="22383999">
      <w:pPr>
        <w:spacing w:line="360" w:lineRule="auto"/>
        <w:ind w:firstLine="496" w:firstLineChars="200"/>
        <w:jc w:val="left"/>
        <w:rPr>
          <w:rFonts w:hint="eastAsia" w:ascii="宋体" w:hAnsi="宋体" w:cs="宋体"/>
          <w:spacing w:val="4"/>
          <w:kern w:val="0"/>
          <w:sz w:val="24"/>
          <w:szCs w:val="24"/>
          <w:highlight w:val="none"/>
        </w:rPr>
      </w:pPr>
      <w:r>
        <w:rPr>
          <w:rFonts w:hint="eastAsia" w:ascii="宋体" w:hAnsi="宋体" w:cs="宋体"/>
          <w:spacing w:val="4"/>
          <w:kern w:val="0"/>
          <w:sz w:val="24"/>
          <w:szCs w:val="24"/>
          <w:highlight w:val="none"/>
        </w:rPr>
        <w:t>1.35 建设工程质量管理条例（中华人民共和国国务院令第279号）；</w:t>
      </w:r>
    </w:p>
    <w:p w14:paraId="203BA589">
      <w:pPr>
        <w:spacing w:line="360" w:lineRule="auto"/>
        <w:ind w:firstLine="496" w:firstLineChars="200"/>
        <w:jc w:val="left"/>
        <w:rPr>
          <w:rFonts w:hint="eastAsia" w:ascii="宋体" w:hAnsi="宋体" w:cs="宋体"/>
          <w:spacing w:val="4"/>
          <w:kern w:val="0"/>
          <w:sz w:val="24"/>
          <w:szCs w:val="24"/>
          <w:highlight w:val="none"/>
        </w:rPr>
      </w:pPr>
      <w:r>
        <w:rPr>
          <w:rFonts w:hint="eastAsia" w:ascii="宋体" w:hAnsi="宋体" w:cs="宋体"/>
          <w:spacing w:val="4"/>
          <w:kern w:val="0"/>
          <w:sz w:val="24"/>
          <w:szCs w:val="24"/>
          <w:highlight w:val="none"/>
        </w:rPr>
        <w:t>1.36 建筑给水排水及采暖工程施工质量验收规范（GB50242-2002）、给水排水管道工程施工及验收规范（GB50268-2008）等国家及省市的有关规范或标准。</w:t>
      </w:r>
    </w:p>
    <w:p w14:paraId="31F8505E">
      <w:pPr>
        <w:spacing w:line="360" w:lineRule="auto"/>
        <w:ind w:firstLine="498" w:firstLineChars="200"/>
        <w:jc w:val="left"/>
        <w:rPr>
          <w:rFonts w:hint="eastAsia" w:ascii="宋体" w:hAnsi="宋体" w:cs="宋体"/>
          <w:b/>
          <w:spacing w:val="4"/>
          <w:kern w:val="0"/>
          <w:sz w:val="24"/>
          <w:szCs w:val="24"/>
          <w:highlight w:val="none"/>
        </w:rPr>
      </w:pPr>
      <w:r>
        <w:rPr>
          <w:rFonts w:hint="eastAsia" w:ascii="宋体" w:hAnsi="宋体" w:cs="宋体"/>
          <w:b/>
          <w:spacing w:val="4"/>
          <w:kern w:val="0"/>
          <w:sz w:val="24"/>
          <w:szCs w:val="24"/>
          <w:highlight w:val="none"/>
        </w:rPr>
        <w:t>注：若上述规范和标准颁布之后至施工时期建设主管部门颁发新的规范、标准，则按照新的规范、标准执行。</w:t>
      </w:r>
    </w:p>
    <w:p w14:paraId="679D753D">
      <w:pPr>
        <w:spacing w:line="360" w:lineRule="auto"/>
        <w:ind w:firstLine="496" w:firstLineChars="200"/>
        <w:jc w:val="left"/>
        <w:rPr>
          <w:rFonts w:hint="eastAsia" w:ascii="宋体" w:hAnsi="宋体" w:cs="宋体"/>
          <w:b w:val="0"/>
          <w:bCs/>
          <w:spacing w:val="4"/>
          <w:kern w:val="0"/>
          <w:sz w:val="24"/>
          <w:szCs w:val="24"/>
          <w:highlight w:val="none"/>
        </w:rPr>
      </w:pPr>
      <w:r>
        <w:rPr>
          <w:rFonts w:hint="eastAsia" w:ascii="宋体" w:hAnsi="宋体" w:cs="宋体"/>
          <w:b w:val="0"/>
          <w:bCs/>
          <w:spacing w:val="4"/>
          <w:kern w:val="0"/>
          <w:sz w:val="24"/>
          <w:szCs w:val="24"/>
          <w:highlight w:val="none"/>
          <w:lang w:eastAsia="zh-CN"/>
        </w:rPr>
        <w:t>二</w:t>
      </w:r>
      <w:r>
        <w:rPr>
          <w:rFonts w:hint="eastAsia" w:ascii="宋体" w:hAnsi="宋体" w:cs="宋体"/>
          <w:b w:val="0"/>
          <w:bCs/>
          <w:spacing w:val="4"/>
          <w:kern w:val="0"/>
          <w:sz w:val="24"/>
          <w:szCs w:val="24"/>
          <w:highlight w:val="none"/>
        </w:rPr>
        <w:t>、施工现场建筑垃圾源头减量的具体要求和建筑垃圾综合利用产品的使用要求</w:t>
      </w:r>
    </w:p>
    <w:p w14:paraId="2B29055A">
      <w:pPr>
        <w:spacing w:line="360" w:lineRule="auto"/>
        <w:ind w:firstLine="496" w:firstLineChars="200"/>
        <w:jc w:val="left"/>
        <w:rPr>
          <w:rFonts w:hint="eastAsia" w:ascii="宋体" w:hAnsi="宋体" w:cs="宋体"/>
          <w:b w:val="0"/>
          <w:bCs/>
          <w:spacing w:val="4"/>
          <w:kern w:val="0"/>
          <w:sz w:val="24"/>
          <w:szCs w:val="24"/>
          <w:highlight w:val="none"/>
        </w:rPr>
      </w:pPr>
      <w:r>
        <w:rPr>
          <w:rFonts w:hint="eastAsia" w:ascii="宋体" w:hAnsi="宋体" w:cs="宋体"/>
          <w:b w:val="0"/>
          <w:bCs/>
          <w:spacing w:val="4"/>
          <w:kern w:val="0"/>
          <w:sz w:val="24"/>
          <w:szCs w:val="24"/>
          <w:highlight w:val="none"/>
        </w:rPr>
        <w:t>（一）工程施工单位应当编制建筑垃圾处理方案，采取污染防治措施，并在开工前报工程所在地县级人民政府建筑垃圾主管部门备案。建筑垃圾处理方案内容有调整的，应当及时报告接受备案的部门。建筑垃圾处理方案应当包括下列内容：（1）工程概况和施工单位基本信息；（2）建筑垃圾产生量与种类；（3）建筑垃圾源头减量、分类收集、综合利用、污染防治的措施和目标；（4）需要外运的建筑垃圾种类、数量与运输的时间、路线、方式和运输单位；（5）建筑垃圾回填、消纳、综合利用场所名称；（6）法律、法规规定的其他内容。</w:t>
      </w:r>
    </w:p>
    <w:p w14:paraId="6ACD7E9F">
      <w:pPr>
        <w:spacing w:line="360" w:lineRule="auto"/>
        <w:ind w:firstLine="496" w:firstLineChars="200"/>
        <w:jc w:val="left"/>
        <w:rPr>
          <w:rFonts w:hint="eastAsia" w:ascii="宋体" w:hAnsi="宋体" w:cs="宋体"/>
          <w:b w:val="0"/>
          <w:bCs/>
          <w:spacing w:val="4"/>
          <w:kern w:val="0"/>
          <w:sz w:val="24"/>
          <w:szCs w:val="24"/>
          <w:highlight w:val="none"/>
        </w:rPr>
      </w:pPr>
      <w:r>
        <w:rPr>
          <w:rFonts w:hint="eastAsia" w:ascii="宋体" w:hAnsi="宋体" w:cs="宋体"/>
          <w:b w:val="0"/>
          <w:bCs/>
          <w:spacing w:val="4"/>
          <w:kern w:val="0"/>
          <w:sz w:val="24"/>
          <w:szCs w:val="24"/>
          <w:highlight w:val="none"/>
        </w:rPr>
        <w:t>（二）建筑垃圾应当按照国家有关规定进行分类，实行分类收集、分类贮存、分类运输、分类处置。</w:t>
      </w:r>
    </w:p>
    <w:p w14:paraId="3C7DF3E9">
      <w:pPr>
        <w:spacing w:line="360" w:lineRule="auto"/>
        <w:ind w:firstLine="496" w:firstLineChars="200"/>
        <w:jc w:val="left"/>
        <w:rPr>
          <w:rFonts w:hint="eastAsia" w:ascii="宋体" w:hAnsi="宋体" w:cs="宋体"/>
          <w:b w:val="0"/>
          <w:bCs/>
          <w:spacing w:val="4"/>
          <w:kern w:val="0"/>
          <w:sz w:val="24"/>
          <w:szCs w:val="24"/>
          <w:highlight w:val="none"/>
        </w:rPr>
      </w:pPr>
      <w:r>
        <w:rPr>
          <w:rFonts w:hint="eastAsia" w:ascii="宋体" w:hAnsi="宋体" w:cs="宋体"/>
          <w:b w:val="0"/>
          <w:bCs/>
          <w:spacing w:val="4"/>
          <w:kern w:val="0"/>
          <w:sz w:val="24"/>
          <w:szCs w:val="24"/>
          <w:highlight w:val="none"/>
        </w:rPr>
        <w:t>（三）建设单位应当建立建筑垃圾分类收集、贮存以及台账管理等制度，督促施工单位开展建筑垃圾分类和合法装载，并及时向工程所在地县级人民政府建筑垃圾主管部门报送建筑垃圾处理方案。施工单位应当建立建筑垃圾管理台账，分类收集、贮存和及时清运施工过程中产生的建筑垃圾，采取有效措施防止混合已分类的建筑垃圾。工程施工单位应当将建筑垃圾的产生量与种类、清运时间、最终去向等信息在施工现场公示，接受社会监督。</w:t>
      </w:r>
    </w:p>
    <w:p w14:paraId="58709FF8">
      <w:pPr>
        <w:spacing w:line="360" w:lineRule="auto"/>
        <w:ind w:firstLine="496" w:firstLineChars="200"/>
        <w:jc w:val="left"/>
        <w:rPr>
          <w:rFonts w:hint="eastAsia" w:ascii="宋体" w:hAnsi="宋体" w:cs="宋体"/>
          <w:b w:val="0"/>
          <w:bCs/>
          <w:spacing w:val="4"/>
          <w:kern w:val="0"/>
          <w:sz w:val="24"/>
          <w:szCs w:val="24"/>
          <w:highlight w:val="none"/>
        </w:rPr>
      </w:pPr>
      <w:r>
        <w:rPr>
          <w:rFonts w:hint="eastAsia" w:ascii="宋体" w:hAnsi="宋体" w:cs="宋体"/>
          <w:b w:val="0"/>
          <w:bCs/>
          <w:spacing w:val="4"/>
          <w:kern w:val="0"/>
          <w:sz w:val="24"/>
          <w:szCs w:val="24"/>
          <w:highlight w:val="none"/>
        </w:rPr>
        <w:t>（四）运输建筑垃圾应当遵守下列规定：（1）建立建筑垃圾运输管理台账；（2）不得将工程渣土、工程泥浆与其他建筑垃圾混合运输；（3）保持运输车辆、船舶等运输工具的行驶记录、卫星定位等电子装置正常使用；（4）运输过程中保持运输工具整洁，采取密闭或者其他有效措施防止遗撒建筑垃圾，不得擅自倾倒、抛撒建筑垃圾；（5）按照建筑垃圾处理方案确定的时间、路线、方式、场所进行运输。建筑垃圾运输车辆、船舶应当符合相应的载运技术条件。建筑垃圾处置场所为陆域的，不得采用开底式船舶运输建筑垃圾。</w:t>
      </w:r>
    </w:p>
    <w:p w14:paraId="528D6E12">
      <w:pPr>
        <w:spacing w:line="360" w:lineRule="auto"/>
        <w:ind w:firstLine="496" w:firstLineChars="200"/>
        <w:jc w:val="left"/>
        <w:rPr>
          <w:rFonts w:hint="eastAsia" w:ascii="宋体" w:hAnsi="宋体" w:cs="宋体"/>
          <w:b w:val="0"/>
          <w:bCs/>
          <w:spacing w:val="4"/>
          <w:kern w:val="0"/>
          <w:sz w:val="24"/>
          <w:szCs w:val="24"/>
          <w:highlight w:val="none"/>
        </w:rPr>
      </w:pPr>
      <w:r>
        <w:rPr>
          <w:rFonts w:hint="eastAsia" w:ascii="宋体" w:hAnsi="宋体" w:cs="宋体"/>
          <w:b w:val="0"/>
          <w:bCs/>
          <w:spacing w:val="4"/>
          <w:kern w:val="0"/>
          <w:sz w:val="24"/>
          <w:szCs w:val="24"/>
          <w:highlight w:val="none"/>
        </w:rPr>
        <w:t>（五）工程泥浆应当在施工现场进行脱水固化处理。施工现场不具备条件的，应当采用罐装器具密闭运输至依法设置的建筑垃圾处置场所进行处置。水上工程中依法无需经脱水处理的除外。</w:t>
      </w:r>
    </w:p>
    <w:p w14:paraId="27D54BD3">
      <w:pPr>
        <w:spacing w:line="360" w:lineRule="auto"/>
        <w:ind w:firstLine="496" w:firstLineChars="200"/>
        <w:jc w:val="left"/>
        <w:rPr>
          <w:rFonts w:hint="eastAsia" w:ascii="宋体" w:hAnsi="宋体" w:cs="宋体"/>
          <w:b w:val="0"/>
          <w:bCs/>
          <w:spacing w:val="4"/>
          <w:kern w:val="0"/>
          <w:sz w:val="24"/>
          <w:szCs w:val="24"/>
          <w:highlight w:val="none"/>
        </w:rPr>
      </w:pPr>
      <w:r>
        <w:rPr>
          <w:rFonts w:hint="eastAsia" w:ascii="宋体" w:hAnsi="宋体" w:cs="宋体"/>
          <w:b w:val="0"/>
          <w:bCs/>
          <w:spacing w:val="4"/>
          <w:kern w:val="0"/>
          <w:sz w:val="24"/>
          <w:szCs w:val="24"/>
          <w:highlight w:val="none"/>
        </w:rPr>
        <w:t>（六）建筑垃圾应当按照下列方式，优先就地就近利用：（1）工程渣土及脱水后的工程泥浆优先用于土方平衡、矿坑修复、环境治理、烧结制品及回填等；（2）工程垃圾、拆除垃圾和装修垃圾优先用于生产再生骨料、再生砖、再生砌块、再生沥青混合料等建筑垃圾综合利用产品。具备现场综合利用条件的建设工程，应当进行建筑垃圾现场综合利用。</w:t>
      </w:r>
    </w:p>
    <w:p w14:paraId="09F5A82F">
      <w:pPr>
        <w:spacing w:line="360" w:lineRule="auto"/>
        <w:ind w:firstLine="496" w:firstLineChars="200"/>
        <w:jc w:val="left"/>
        <w:rPr>
          <w:rFonts w:hint="eastAsia" w:ascii="宋体" w:hAnsi="宋体" w:cs="宋体"/>
          <w:b w:val="0"/>
          <w:bCs/>
          <w:spacing w:val="4"/>
          <w:kern w:val="0"/>
          <w:sz w:val="24"/>
          <w:szCs w:val="24"/>
          <w:highlight w:val="none"/>
        </w:rPr>
      </w:pPr>
      <w:r>
        <w:rPr>
          <w:rFonts w:hint="eastAsia" w:ascii="宋体" w:hAnsi="宋体" w:cs="宋体"/>
          <w:b w:val="0"/>
          <w:bCs/>
          <w:spacing w:val="4"/>
          <w:kern w:val="0"/>
          <w:sz w:val="24"/>
          <w:szCs w:val="24"/>
          <w:highlight w:val="none"/>
        </w:rPr>
        <w:t>（七）建设单位和施工单位严格遵守并执行《广东省建筑垃圾管理条例》。</w:t>
      </w:r>
    </w:p>
    <w:p w14:paraId="4706511E">
      <w:pPr>
        <w:pStyle w:val="2"/>
        <w:rPr>
          <w:rFonts w:hint="eastAsia" w:ascii="宋体" w:hAnsi="宋体" w:cs="宋体"/>
          <w:highlight w:val="none"/>
        </w:rPr>
      </w:pPr>
      <w:r>
        <w:rPr>
          <w:rFonts w:hint="eastAsia" w:ascii="宋体" w:hAnsi="宋体" w:cs="宋体"/>
          <w:sz w:val="24"/>
          <w:szCs w:val="24"/>
          <w:highlight w:val="none"/>
        </w:rPr>
        <w:br w:type="page"/>
      </w:r>
      <w:bookmarkStart w:id="123" w:name="_Toc26102"/>
      <w:bookmarkStart w:id="124" w:name="_Toc27260"/>
      <w:r>
        <w:rPr>
          <w:rFonts w:hint="eastAsia" w:ascii="宋体" w:hAnsi="宋体" w:cs="宋体"/>
          <w:highlight w:val="none"/>
        </w:rPr>
        <w:t>第六章  图纸资料</w:t>
      </w:r>
      <w:bookmarkEnd w:id="123"/>
      <w:bookmarkEnd w:id="124"/>
    </w:p>
    <w:p w14:paraId="0EAB5639">
      <w:pPr>
        <w:spacing w:line="600" w:lineRule="exact"/>
        <w:jc w:val="center"/>
        <w:rPr>
          <w:rFonts w:hint="eastAsia" w:ascii="宋体" w:hAnsi="宋体" w:cs="宋体"/>
          <w:sz w:val="24"/>
          <w:szCs w:val="24"/>
          <w:highlight w:val="none"/>
        </w:rPr>
      </w:pPr>
      <w:r>
        <w:rPr>
          <w:rFonts w:hint="eastAsia" w:ascii="宋体" w:hAnsi="宋体" w:cs="宋体"/>
          <w:sz w:val="24"/>
          <w:szCs w:val="24"/>
          <w:highlight w:val="none"/>
        </w:rPr>
        <w:t>另册。</w:t>
      </w:r>
      <w:r>
        <w:rPr>
          <w:rFonts w:hint="eastAsia" w:ascii="宋体" w:hAnsi="宋体" w:cs="宋体"/>
          <w:sz w:val="24"/>
          <w:szCs w:val="24"/>
          <w:highlight w:val="none"/>
        </w:rPr>
        <w:br w:type="page"/>
      </w:r>
      <w:bookmarkStart w:id="125" w:name="_Toc8286"/>
    </w:p>
    <w:p w14:paraId="41A32E75">
      <w:pPr>
        <w:spacing w:line="600" w:lineRule="exact"/>
        <w:jc w:val="center"/>
        <w:outlineLvl w:val="0"/>
        <w:rPr>
          <w:rFonts w:hint="eastAsia" w:ascii="宋体" w:hAnsi="宋体" w:cs="宋体"/>
          <w:highlight w:val="none"/>
        </w:rPr>
      </w:pPr>
      <w:bookmarkStart w:id="126" w:name="_Toc27906"/>
      <w:r>
        <w:rPr>
          <w:rFonts w:hint="eastAsia" w:ascii="宋体" w:hAnsi="宋体" w:cs="宋体"/>
          <w:b/>
          <w:kern w:val="44"/>
          <w:sz w:val="28"/>
          <w:szCs w:val="28"/>
          <w:highlight w:val="none"/>
        </w:rPr>
        <w:t>第七章  工程量清单</w:t>
      </w:r>
      <w:bookmarkEnd w:id="125"/>
      <w:bookmarkEnd w:id="126"/>
    </w:p>
    <w:p w14:paraId="73E5C746">
      <w:pPr>
        <w:spacing w:line="600" w:lineRule="exact"/>
        <w:jc w:val="center"/>
        <w:rPr>
          <w:rFonts w:hint="eastAsia" w:ascii="宋体" w:hAnsi="宋体" w:cs="宋体"/>
          <w:highlight w:val="none"/>
        </w:rPr>
      </w:pPr>
      <w:r>
        <w:rPr>
          <w:rFonts w:hint="eastAsia" w:ascii="宋体" w:hAnsi="宋体" w:cs="宋体"/>
          <w:sz w:val="24"/>
          <w:szCs w:val="24"/>
          <w:highlight w:val="none"/>
        </w:rPr>
        <w:t>另册。</w:t>
      </w:r>
    </w:p>
    <w:p w14:paraId="19A07090">
      <w:pPr>
        <w:pStyle w:val="2"/>
        <w:rPr>
          <w:rFonts w:hint="eastAsia" w:ascii="宋体" w:hAnsi="宋体" w:cs="宋体"/>
          <w:highlight w:val="none"/>
        </w:rPr>
      </w:pPr>
      <w:r>
        <w:rPr>
          <w:rFonts w:hint="eastAsia" w:ascii="宋体" w:hAnsi="宋体" w:cs="宋体"/>
          <w:sz w:val="24"/>
          <w:szCs w:val="24"/>
          <w:highlight w:val="none"/>
        </w:rPr>
        <w:br w:type="page"/>
      </w:r>
      <w:bookmarkStart w:id="127" w:name="_Toc24857"/>
      <w:bookmarkStart w:id="128" w:name="_Toc28136"/>
      <w:r>
        <w:rPr>
          <w:rFonts w:hint="eastAsia" w:ascii="宋体" w:hAnsi="宋体" w:cs="宋体"/>
          <w:highlight w:val="none"/>
        </w:rPr>
        <w:t>第八章  最高投标限价</w:t>
      </w:r>
      <w:bookmarkEnd w:id="127"/>
      <w:bookmarkEnd w:id="128"/>
    </w:p>
    <w:p w14:paraId="0ACDB5AA">
      <w:pPr>
        <w:spacing w:line="600" w:lineRule="exact"/>
        <w:jc w:val="center"/>
        <w:rPr>
          <w:rFonts w:ascii="宋体" w:hAnsi="宋体" w:cs="宋体"/>
          <w:sz w:val="24"/>
          <w:szCs w:val="24"/>
          <w:highlight w:val="none"/>
        </w:rPr>
      </w:pPr>
      <w:r>
        <w:rPr>
          <w:rFonts w:hint="eastAsia" w:ascii="宋体" w:hAnsi="宋体" w:cs="宋体"/>
          <w:sz w:val="24"/>
          <w:szCs w:val="24"/>
          <w:highlight w:val="none"/>
        </w:rPr>
        <w:t>另册。</w:t>
      </w:r>
    </w:p>
    <w:p w14:paraId="307D22F1">
      <w:pPr>
        <w:pStyle w:val="20"/>
        <w:rPr>
          <w:color w:val="auto"/>
          <w:sz w:val="36"/>
          <w:highlight w:val="none"/>
          <w:u w:val="single"/>
        </w:rPr>
      </w:pPr>
    </w:p>
    <w:sectPr>
      <w:headerReference r:id="rId14" w:type="default"/>
      <w:footerReference r:id="rId15"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7208E1A4-8421-4A6B-81C4-93879C4241EE}"/>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embedRegular r:id="rId2" w:fontKey="{EFB97369-74DC-4E57-A5D0-34D3D0A6A4C5}"/>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3ADABCFA-F890-442E-9861-C7443FD02EE1}"/>
  </w:font>
  <w:font w:name="方正楷体_GB2312">
    <w:altName w:val="宋体"/>
    <w:panose1 w:val="02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embedRegular r:id="rId4" w:fontKey="{01020A06-32E8-43F9-847A-676247C5F6FA}"/>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8CF3C52" w:usb2="00000016" w:usb3="00000000" w:csb0="0004001F" w:csb1="00000000"/>
  </w:font>
  <w:font w:name="等线">
    <w:panose1 w:val="02010600030101010101"/>
    <w:charset w:val="86"/>
    <w:family w:val="auto"/>
    <w:pitch w:val="default"/>
    <w:sig w:usb0="A00002BF" w:usb1="38CF7CFA" w:usb2="00000016" w:usb3="00000000" w:csb0="0004000F" w:csb1="00000000"/>
    <w:embedRegular r:id="rId5" w:fontKey="{AB4784C4-8F78-428C-9C72-B6441094B812}"/>
  </w:font>
  <w:font w:name="Tahoma">
    <w:panose1 w:val="020B0604030504040204"/>
    <w:charset w:val="00"/>
    <w:family w:val="swiss"/>
    <w:pitch w:val="default"/>
    <w:sig w:usb0="E1002EFF" w:usb1="C000605B" w:usb2="00000029" w:usb3="00000000" w:csb0="200101FF" w:csb1="20280000"/>
  </w:font>
  <w:font w:name="Calisto MT">
    <w:panose1 w:val="02040603050505030304"/>
    <w:charset w:val="00"/>
    <w:family w:val="roman"/>
    <w:pitch w:val="default"/>
    <w:sig w:usb0="00000003" w:usb1="00000000" w:usb2="00000000" w:usb3="00000000" w:csb0="20000001" w:csb1="00000000"/>
  </w:font>
  <w:font w:name="Cambria">
    <w:panose1 w:val="02040503050406030204"/>
    <w:charset w:val="00"/>
    <w:family w:val="roman"/>
    <w:pitch w:val="default"/>
    <w:sig w:usb0="A00002EF" w:usb1="4000004B" w:usb2="00000000" w:usb3="00000000" w:csb0="2000009F" w:csb1="00000000"/>
  </w:font>
  <w:font w:name="仿宋">
    <w:panose1 w:val="02010609060101010101"/>
    <w:charset w:val="86"/>
    <w:family w:val="auto"/>
    <w:pitch w:val="default"/>
    <w:sig w:usb0="800002BF" w:usb1="38CF7CFA" w:usb2="00000016" w:usb3="00000000" w:csb0="00040001" w:csb1="00000000"/>
    <w:embedRegular r:id="rId6" w:fontKey="{2ACA6558-346E-4173-A3C8-475BE4B74151}"/>
  </w:font>
  <w:font w:name="楷体">
    <w:panose1 w:val="02010609060101010101"/>
    <w:charset w:val="86"/>
    <w:family w:val="auto"/>
    <w:pitch w:val="default"/>
    <w:sig w:usb0="800002BF" w:usb1="38CF7CFA" w:usb2="00000016" w:usb3="00000000" w:csb0="00040001" w:csb1="00000000"/>
    <w:embedRegular r:id="rId7" w:fontKey="{D184898D-2541-4768-8F9B-BAA657BAD456}"/>
  </w:font>
  <w:font w:name="方正大标宋简体">
    <w:altName w:val="微软雅黑"/>
    <w:panose1 w:val="00000000000000000000"/>
    <w:charset w:val="00"/>
    <w:family w:val="auto"/>
    <w:pitch w:val="default"/>
    <w:sig w:usb0="00000000" w:usb1="00000000" w:usb2="00000000" w:usb3="00000000" w:csb0="00040001" w:csb1="00000000"/>
    <w:embedRegular r:id="rId8" w:fontKey="{1624ADBA-7B3C-4499-A46A-2E4C0B853DFB}"/>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0C21BE">
    <w:pPr>
      <w:pStyle w:val="25"/>
      <w:jc w:val="center"/>
    </w:pPr>
    <w:r>
      <w:fldChar w:fldCharType="begin"/>
    </w:r>
    <w:r>
      <w:instrText xml:space="preserve"> PAGE   \* MERGEFORMAT </w:instrText>
    </w:r>
    <w:r>
      <w:fldChar w:fldCharType="separate"/>
    </w:r>
    <w:r>
      <w:rPr>
        <w:lang w:val="zh-CN"/>
      </w:rPr>
      <w:t>33</w:t>
    </w:r>
    <w:r>
      <w:rPr>
        <w:lang w:val="zh-CN"/>
      </w:rPr>
      <w:fldChar w:fldCharType="end"/>
    </w:r>
  </w:p>
  <w:p w14:paraId="433B2939">
    <w:pPr>
      <w:pStyle w:val="25"/>
      <w:ind w:firstLine="392"/>
      <w:jc w:val="right"/>
      <w:rPr>
        <w:rStyle w:val="4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0CD9D3">
    <w:pPr>
      <w:pStyle w:val="25"/>
      <w:ind w:firstLine="392"/>
      <w:rPr>
        <w:rStyle w:val="41"/>
      </w:rPr>
    </w:pPr>
    <w:r>
      <w:fldChar w:fldCharType="begin"/>
    </w:r>
    <w:r>
      <w:rPr>
        <w:rStyle w:val="41"/>
      </w:rPr>
      <w:instrText xml:space="preserve">PAGE  </w:instrText>
    </w:r>
    <w:r>
      <w:fldChar w:fldCharType="separate"/>
    </w:r>
    <w:r>
      <w:rPr>
        <w:rStyle w:val="41"/>
        <w:rFonts w:hint="eastAsia"/>
      </w:rPr>
      <w:t>一</w:t>
    </w:r>
    <w:r>
      <w:rPr>
        <w:rStyle w:val="41"/>
      </w:rPr>
      <w:t>–2</w:t>
    </w:r>
    <w:r>
      <w:fldChar w:fldCharType="end"/>
    </w:r>
  </w:p>
  <w:p w14:paraId="5BFE3329">
    <w:pPr>
      <w:pStyle w:val="25"/>
      <w:ind w:firstLine="392"/>
    </w:pPr>
    <w: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4C1292">
    <w:pPr>
      <w:pStyle w:val="25"/>
      <w:ind w:firstLine="39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4AA741">
    <w:pPr>
      <w:pStyle w:val="25"/>
      <w:framePr w:wrap="around" w:vAnchor="text" w:hAnchor="margin" w:xAlign="outside" w:y="1"/>
      <w:jc w:val="center"/>
      <w:rPr>
        <w:rStyle w:val="41"/>
      </w:rPr>
    </w:pPr>
    <w:r>
      <w:fldChar w:fldCharType="begin"/>
    </w:r>
    <w:r>
      <w:rPr>
        <w:rStyle w:val="41"/>
      </w:rPr>
      <w:instrText xml:space="preserve">PAGE  </w:instrText>
    </w:r>
    <w:r>
      <w:fldChar w:fldCharType="separate"/>
    </w:r>
    <w:r>
      <w:rPr>
        <w:rStyle w:val="41"/>
      </w:rPr>
      <w:t>63</w:t>
    </w:r>
    <w:r>
      <w:fldChar w:fldCharType="end"/>
    </w:r>
  </w:p>
  <w:p w14:paraId="5B2C373F">
    <w:pPr>
      <w:pStyle w:val="25"/>
      <w:framePr w:wrap="around" w:vAnchor="text" w:hAnchor="margin" w:xAlign="outside" w:y="1"/>
      <w:ind w:left="-4410" w:leftChars="-2100" w:right="-4439" w:rightChars="-2114"/>
      <w:rPr>
        <w:rStyle w:val="41"/>
      </w:rPr>
    </w:pPr>
  </w:p>
  <w:p w14:paraId="340AD15D">
    <w:pPr>
      <w:pStyle w:val="25"/>
      <w:ind w:right="360" w:firstLine="36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495F5A">
    <w:pPr>
      <w:pStyle w:val="25"/>
      <w:framePr w:wrap="around" w:vAnchor="text" w:hAnchor="margin" w:xAlign="outside" w:y="1"/>
      <w:rPr>
        <w:rStyle w:val="41"/>
      </w:rPr>
    </w:pPr>
    <w:r>
      <w:fldChar w:fldCharType="begin"/>
    </w:r>
    <w:r>
      <w:rPr>
        <w:rStyle w:val="41"/>
      </w:rPr>
      <w:instrText xml:space="preserve">PAGE  </w:instrText>
    </w:r>
    <w:r>
      <w:fldChar w:fldCharType="separate"/>
    </w:r>
    <w:r>
      <w:rPr>
        <w:rStyle w:val="41"/>
        <w:rFonts w:hint="eastAsia"/>
      </w:rPr>
      <w:t>一</w:t>
    </w:r>
    <w:r>
      <w:rPr>
        <w:rStyle w:val="41"/>
      </w:rPr>
      <w:t>–2</w:t>
    </w:r>
    <w:r>
      <w:fldChar w:fldCharType="end"/>
    </w:r>
  </w:p>
  <w:p w14:paraId="74AE6E8D">
    <w:pPr>
      <w:pStyle w:val="25"/>
      <w:ind w:right="360" w:firstLine="360"/>
      <w:jc w:val="center"/>
    </w:pPr>
    <w:r>
      <w:rPr>
        <w:sz w:val="20"/>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CC73F6">
    <w:pPr>
      <w:pStyle w:val="25"/>
      <w:jc w:val="center"/>
    </w:pPr>
    <w:r>
      <w:fldChar w:fldCharType="begin"/>
    </w:r>
    <w:r>
      <w:rPr>
        <w:rStyle w:val="41"/>
      </w:rPr>
      <w:instrText xml:space="preserve"> PAGE </w:instrText>
    </w:r>
    <w:r>
      <w:fldChar w:fldCharType="separate"/>
    </w:r>
    <w:r>
      <w:rPr>
        <w:rStyle w:val="41"/>
      </w:rPr>
      <w:t>36</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A8473C">
    <w:pPr>
      <w:pStyle w:val="25"/>
      <w:ind w:right="360" w:firstLine="36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7022EE">
                          <w:pPr>
                            <w:pStyle w:val="25"/>
                            <w:jc w:val="center"/>
                            <w:rPr>
                              <w:rStyle w:val="41"/>
                            </w:rPr>
                          </w:pPr>
                          <w:r>
                            <w:rPr>
                              <w:rStyle w:val="41"/>
                            </w:rPr>
                            <w:fldChar w:fldCharType="begin"/>
                          </w:r>
                          <w:r>
                            <w:rPr>
                              <w:rStyle w:val="41"/>
                            </w:rPr>
                            <w:instrText xml:space="preserve">PAGE  </w:instrText>
                          </w:r>
                          <w:r>
                            <w:rPr>
                              <w:rStyle w:val="41"/>
                            </w:rPr>
                            <w:fldChar w:fldCharType="separate"/>
                          </w:r>
                          <w:r>
                            <w:rPr>
                              <w:rStyle w:val="41"/>
                            </w:rPr>
                            <w:t>74</w:t>
                          </w:r>
                          <w:r>
                            <w:rPr>
                              <w:rStyle w:val="41"/>
                            </w:rPr>
                            <w:fldChar w:fldCharType="end"/>
                          </w:r>
                        </w:p>
                        <w:p w14:paraId="32016962">
                          <w:pPr>
                            <w:pStyle w:val="25"/>
                            <w:ind w:left="-4410" w:leftChars="-2100" w:right="-4439" w:rightChars="-2114"/>
                            <w:rPr>
                              <w:rStyle w:val="41"/>
                            </w:rPr>
                          </w:pPr>
                        </w:p>
                        <w:p w14:paraId="36F9346B"/>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457022EE">
                    <w:pPr>
                      <w:pStyle w:val="25"/>
                      <w:jc w:val="center"/>
                      <w:rPr>
                        <w:rStyle w:val="41"/>
                      </w:rPr>
                    </w:pPr>
                    <w:r>
                      <w:rPr>
                        <w:rStyle w:val="41"/>
                      </w:rPr>
                      <w:fldChar w:fldCharType="begin"/>
                    </w:r>
                    <w:r>
                      <w:rPr>
                        <w:rStyle w:val="41"/>
                      </w:rPr>
                      <w:instrText xml:space="preserve">PAGE  </w:instrText>
                    </w:r>
                    <w:r>
                      <w:rPr>
                        <w:rStyle w:val="41"/>
                      </w:rPr>
                      <w:fldChar w:fldCharType="separate"/>
                    </w:r>
                    <w:r>
                      <w:rPr>
                        <w:rStyle w:val="41"/>
                      </w:rPr>
                      <w:t>74</w:t>
                    </w:r>
                    <w:r>
                      <w:rPr>
                        <w:rStyle w:val="41"/>
                      </w:rPr>
                      <w:fldChar w:fldCharType="end"/>
                    </w:r>
                  </w:p>
                  <w:p w14:paraId="32016962">
                    <w:pPr>
                      <w:pStyle w:val="25"/>
                      <w:ind w:left="-4410" w:leftChars="-2100" w:right="-4439" w:rightChars="-2114"/>
                      <w:rPr>
                        <w:rStyle w:val="41"/>
                      </w:rPr>
                    </w:pPr>
                  </w:p>
                  <w:p w14:paraId="36F9346B"/>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6EDD7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6F6CD3">
    <w:pPr>
      <w:pStyle w:val="26"/>
      <w:ind w:firstLine="392"/>
    </w:pPr>
    <w:r>
      <w:rPr>
        <w:rFonts w:hint="eastAsia"/>
      </w:rPr>
      <w:t>横枝岗路道路排水改造工程招标文件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447F5F">
    <w:pPr>
      <w:pStyle w:val="26"/>
      <w:pBdr>
        <w:bottom w:val="none" w:color="auto" w:sz="0" w:space="0"/>
      </w:pBd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A7C2B5">
    <w:pPr>
      <w:pStyle w:val="26"/>
      <w:jc w:val="right"/>
      <w:rPr>
        <w:i/>
        <w:iCs/>
      </w:rPr>
    </w:pPr>
    <w:r>
      <w:rPr>
        <w:rFonts w:hint="eastAsia"/>
        <w:i/>
        <w:iCs/>
      </w:rPr>
      <w:t>横枝岗路道路排水改造工程招标文件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6D1C38">
    <w:pPr>
      <w:pStyle w:val="26"/>
      <w:pBdr>
        <w:bottom w:val="none" w:color="auto" w:sz="0" w:space="0"/>
      </w:pBdr>
      <w:jc w:val="right"/>
      <w:rPr>
        <w:i/>
        <w:iCs/>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2BBAA4">
    <w:pPr>
      <w:pStyle w:val="26"/>
      <w:pBdr>
        <w:bottom w:val="none" w:color="auto" w:sz="0" w:space="0"/>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0D7EBD"/>
    <w:multiLevelType w:val="singleLevel"/>
    <w:tmpl w:val="E70D7EBD"/>
    <w:lvl w:ilvl="0" w:tentative="0">
      <w:start w:val="27"/>
      <w:numFmt w:val="decimal"/>
      <w:suff w:val="nothing"/>
      <w:lvlText w:val="%1．"/>
      <w:lvlJc w:val="left"/>
    </w:lvl>
  </w:abstractNum>
  <w:abstractNum w:abstractNumId="1">
    <w:nsid w:val="E978D6AA"/>
    <w:multiLevelType w:val="singleLevel"/>
    <w:tmpl w:val="E978D6AA"/>
    <w:lvl w:ilvl="0" w:tentative="0">
      <w:start w:val="1"/>
      <w:numFmt w:val="decimal"/>
      <w:suff w:val="nothing"/>
      <w:lvlText w:val="（%1）"/>
      <w:lvlJc w:val="left"/>
    </w:lvl>
  </w:abstractNum>
  <w:abstractNum w:abstractNumId="2">
    <w:nsid w:val="E998A4BE"/>
    <w:multiLevelType w:val="singleLevel"/>
    <w:tmpl w:val="E998A4BE"/>
    <w:lvl w:ilvl="0" w:tentative="0">
      <w:start w:val="32"/>
      <w:numFmt w:val="decimal"/>
      <w:suff w:val="space"/>
      <w:lvlText w:val="%1."/>
      <w:lvlJc w:val="left"/>
    </w:lvl>
  </w:abstractNum>
  <w:abstractNum w:abstractNumId="3">
    <w:nsid w:val="ECE15730"/>
    <w:multiLevelType w:val="singleLevel"/>
    <w:tmpl w:val="ECE15730"/>
    <w:lvl w:ilvl="0" w:tentative="0">
      <w:start w:val="2"/>
      <w:numFmt w:val="decimal"/>
      <w:lvlText w:val="%1."/>
      <w:lvlJc w:val="left"/>
      <w:pPr>
        <w:tabs>
          <w:tab w:val="left" w:pos="312"/>
        </w:tabs>
      </w:pPr>
    </w:lvl>
  </w:abstractNum>
  <w:abstractNum w:abstractNumId="4">
    <w:nsid w:val="00000009"/>
    <w:multiLevelType w:val="multilevel"/>
    <w:tmpl w:val="0000000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000000E"/>
    <w:multiLevelType w:val="multilevel"/>
    <w:tmpl w:val="0000000E"/>
    <w:lvl w:ilvl="0" w:tentative="0">
      <w:start w:val="1"/>
      <w:numFmt w:val="decimal"/>
      <w:lvlText w:val="（%1）"/>
      <w:lvlJc w:val="left"/>
      <w:pPr>
        <w:ind w:left="1080" w:hanging="720"/>
      </w:pPr>
      <w:rPr>
        <w:rFonts w:hint="default"/>
        <w:color w:val="000000"/>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6">
    <w:nsid w:val="259905B5"/>
    <w:multiLevelType w:val="multilevel"/>
    <w:tmpl w:val="259905B5"/>
    <w:lvl w:ilvl="0" w:tentative="0">
      <w:start w:val="1"/>
      <w:numFmt w:val="chineseCountingThousand"/>
      <w:pStyle w:val="94"/>
      <w:suff w:val="space"/>
      <w:lvlText w:val="第%1章"/>
      <w:lvlJc w:val="left"/>
      <w:pPr>
        <w:ind w:left="567" w:hanging="279"/>
      </w:pPr>
      <w:rPr>
        <w:rFonts w:hint="eastAsia" w:ascii="宋体" w:eastAsia="宋体" w:cs="Times New Roman"/>
        <w:b/>
        <w:i w:val="0"/>
        <w:spacing w:val="0"/>
        <w:position w:val="0"/>
        <w:sz w:val="44"/>
      </w:rPr>
    </w:lvl>
    <w:lvl w:ilvl="1" w:tentative="0">
      <w:start w:val="1"/>
      <w:numFmt w:val="decimal"/>
      <w:suff w:val="space"/>
      <w:lvlText w:val="%2."/>
      <w:lvlJc w:val="left"/>
      <w:pPr>
        <w:ind w:left="454" w:hanging="454"/>
      </w:pPr>
      <w:rPr>
        <w:rFonts w:hint="eastAsia" w:ascii="宋体" w:eastAsia="宋体" w:cs="Times New Roman"/>
        <w:b/>
        <w:i w:val="0"/>
        <w:sz w:val="32"/>
      </w:rPr>
    </w:lvl>
    <w:lvl w:ilvl="2" w:tentative="0">
      <w:start w:val="1"/>
      <w:numFmt w:val="decimal"/>
      <w:suff w:val="space"/>
      <w:lvlText w:val="%2.%3"/>
      <w:lvlJc w:val="left"/>
      <w:pPr>
        <w:ind w:left="454" w:hanging="454"/>
      </w:pPr>
      <w:rPr>
        <w:rFonts w:hint="eastAsia" w:ascii="宋体" w:eastAsia="宋体" w:cs="Times New Roman"/>
        <w:b/>
        <w:i w:val="0"/>
        <w:sz w:val="28"/>
      </w:rPr>
    </w:lvl>
    <w:lvl w:ilvl="3" w:tentative="0">
      <w:start w:val="1"/>
      <w:numFmt w:val="decimal"/>
      <w:pStyle w:val="9"/>
      <w:suff w:val="space"/>
      <w:lvlText w:val="%2.%3.%4"/>
      <w:lvlJc w:val="left"/>
      <w:pPr>
        <w:ind w:left="284" w:hanging="284"/>
      </w:pPr>
      <w:rPr>
        <w:rFonts w:hint="eastAsia" w:ascii="宋体" w:eastAsia="宋体" w:cs="Times New Roman"/>
        <w:b/>
        <w:i w:val="0"/>
        <w:sz w:val="28"/>
      </w:rPr>
    </w:lvl>
    <w:lvl w:ilvl="4" w:tentative="0">
      <w:start w:val="1"/>
      <w:numFmt w:val="decimal"/>
      <w:pStyle w:val="11"/>
      <w:isLgl/>
      <w:suff w:val="space"/>
      <w:lvlText w:val="%2.%3.%4.%5"/>
      <w:lvlJc w:val="left"/>
      <w:pPr>
        <w:ind w:left="284" w:hanging="284"/>
      </w:pPr>
      <w:rPr>
        <w:rFonts w:hint="eastAsia" w:ascii="宋体" w:eastAsia="宋体" w:cs="Times New Roman"/>
        <w:b/>
        <w:i w:val="0"/>
        <w:strike w:val="0"/>
        <w:dstrike w:val="0"/>
        <w:sz w:val="28"/>
      </w:rPr>
    </w:lvl>
    <w:lvl w:ilvl="5" w:tentative="0">
      <w:start w:val="1"/>
      <w:numFmt w:val="decimal"/>
      <w:lvlRestart w:val="0"/>
      <w:suff w:val="space"/>
      <w:lvlText w:val="1.1.1.1.1.%6%5"/>
      <w:lvlJc w:val="left"/>
      <w:rPr>
        <w:rFonts w:hint="eastAsia" w:ascii="宋体" w:eastAsia="宋体" w:cs="Times New Roman"/>
        <w:b/>
        <w:i w:val="0"/>
        <w:sz w:val="28"/>
      </w:rPr>
    </w:lvl>
    <w:lvl w:ilvl="6" w:tentative="0">
      <w:start w:val="1"/>
      <w:numFmt w:val="none"/>
      <w:pStyle w:val="13"/>
      <w:suff w:val="nothing"/>
      <w:lvlText w:val=""/>
      <w:lvlJc w:val="left"/>
      <w:rPr>
        <w:rFonts w:hint="eastAsia" w:cs="Times New Roman"/>
      </w:rPr>
    </w:lvl>
    <w:lvl w:ilvl="7" w:tentative="0">
      <w:start w:val="1"/>
      <w:numFmt w:val="none"/>
      <w:pStyle w:val="14"/>
      <w:suff w:val="nothing"/>
      <w:lvlText w:val=""/>
      <w:lvlJc w:val="left"/>
      <w:rPr>
        <w:rFonts w:hint="eastAsia" w:cs="Times New Roman"/>
      </w:rPr>
    </w:lvl>
    <w:lvl w:ilvl="8" w:tentative="0">
      <w:start w:val="1"/>
      <w:numFmt w:val="none"/>
      <w:pStyle w:val="15"/>
      <w:suff w:val="nothing"/>
      <w:lvlText w:val=""/>
      <w:lvlJc w:val="left"/>
      <w:rPr>
        <w:rFonts w:hint="eastAsia" w:cs="Times New Roman"/>
      </w:rPr>
    </w:lvl>
  </w:abstractNum>
  <w:abstractNum w:abstractNumId="7">
    <w:nsid w:val="4A4A6516"/>
    <w:multiLevelType w:val="singleLevel"/>
    <w:tmpl w:val="4A4A6516"/>
    <w:lvl w:ilvl="0" w:tentative="0">
      <w:start w:val="1"/>
      <w:numFmt w:val="decimal"/>
      <w:suff w:val="nothing"/>
      <w:lvlText w:val="（%1）"/>
      <w:lvlJc w:val="left"/>
    </w:lvl>
  </w:abstractNum>
  <w:abstractNum w:abstractNumId="8">
    <w:nsid w:val="553AFA00"/>
    <w:multiLevelType w:val="singleLevel"/>
    <w:tmpl w:val="553AFA00"/>
    <w:lvl w:ilvl="0" w:tentative="0">
      <w:start w:val="1"/>
      <w:numFmt w:val="decimal"/>
      <w:suff w:val="nothing"/>
      <w:lvlText w:val="（%1）"/>
      <w:lvlJc w:val="left"/>
    </w:lvl>
  </w:abstractNum>
  <w:abstractNum w:abstractNumId="9">
    <w:nsid w:val="6E466D80"/>
    <w:multiLevelType w:val="singleLevel"/>
    <w:tmpl w:val="6E466D80"/>
    <w:lvl w:ilvl="0" w:tentative="0">
      <w:start w:val="3"/>
      <w:numFmt w:val="chineseCounting"/>
      <w:suff w:val="nothing"/>
      <w:lvlText w:val="%1、"/>
      <w:lvlJc w:val="left"/>
      <w:rPr>
        <w:rFonts w:hint="eastAsia"/>
      </w:rPr>
    </w:lvl>
  </w:abstractNum>
  <w:abstractNum w:abstractNumId="10">
    <w:nsid w:val="74FB0463"/>
    <w:multiLevelType w:val="multilevel"/>
    <w:tmpl w:val="74FB0463"/>
    <w:lvl w:ilvl="0" w:tentative="0">
      <w:start w:val="1"/>
      <w:numFmt w:val="decimal"/>
      <w:suff w:val="nothing"/>
      <w:lvlText w:val="第%1篇"/>
      <w:lvlJc w:val="left"/>
      <w:rPr>
        <w:rFonts w:hint="eastAsia" w:cs="Times New Roman"/>
        <w:spacing w:val="60"/>
      </w:rPr>
    </w:lvl>
    <w:lvl w:ilvl="1" w:tentative="0">
      <w:start w:val="1"/>
      <w:numFmt w:val="none"/>
      <w:suff w:val="nothing"/>
      <w:lvlText w:val=""/>
      <w:lvlJc w:val="left"/>
      <w:rPr>
        <w:rFonts w:hint="eastAsia" w:cs="Times New Roman"/>
      </w:rPr>
    </w:lvl>
    <w:lvl w:ilvl="2" w:tentative="0">
      <w:start w:val="1"/>
      <w:numFmt w:val="none"/>
      <w:suff w:val="nothing"/>
      <w:lvlText w:val=""/>
      <w:lvlJc w:val="left"/>
      <w:rPr>
        <w:rFonts w:hint="eastAsia" w:cs="Times New Roman"/>
      </w:rPr>
    </w:lvl>
    <w:lvl w:ilvl="3" w:tentative="0">
      <w:start w:val="1"/>
      <w:numFmt w:val="none"/>
      <w:suff w:val="nothing"/>
      <w:lvlText w:val=""/>
      <w:lvlJc w:val="left"/>
      <w:rPr>
        <w:rFonts w:hint="eastAsia" w:cs="Times New Roman"/>
      </w:rPr>
    </w:lvl>
    <w:lvl w:ilvl="4" w:tentative="0">
      <w:start w:val="1"/>
      <w:numFmt w:val="none"/>
      <w:suff w:val="nothing"/>
      <w:lvlText w:val=""/>
      <w:lvlJc w:val="center"/>
      <w:pPr>
        <w:ind w:firstLine="288"/>
      </w:pPr>
      <w:rPr>
        <w:rFonts w:hint="eastAsia" w:cs="Times New Roman"/>
      </w:rPr>
    </w:lvl>
    <w:lvl w:ilvl="5" w:tentative="0">
      <w:start w:val="1"/>
      <w:numFmt w:val="none"/>
      <w:pStyle w:val="12"/>
      <w:suff w:val="nothing"/>
      <w:lvlText w:val=""/>
      <w:lvlJc w:val="left"/>
      <w:rPr>
        <w:rFonts w:hint="eastAsia" w:cs="Times New Roman"/>
      </w:rPr>
    </w:lvl>
    <w:lvl w:ilvl="6" w:tentative="0">
      <w:start w:val="1"/>
      <w:numFmt w:val="none"/>
      <w:suff w:val="nothing"/>
      <w:lvlText w:val=""/>
      <w:lvlJc w:val="left"/>
      <w:rPr>
        <w:rFonts w:hint="eastAsia" w:cs="Times New Roman"/>
      </w:rPr>
    </w:lvl>
    <w:lvl w:ilvl="7" w:tentative="0">
      <w:start w:val="1"/>
      <w:numFmt w:val="none"/>
      <w:suff w:val="nothing"/>
      <w:lvlText w:val=""/>
      <w:lvlJc w:val="left"/>
      <w:rPr>
        <w:rFonts w:hint="eastAsia" w:cs="Times New Roman"/>
      </w:rPr>
    </w:lvl>
    <w:lvl w:ilvl="8" w:tentative="0">
      <w:start w:val="1"/>
      <w:numFmt w:val="none"/>
      <w:suff w:val="nothing"/>
      <w:lvlText w:val=""/>
      <w:lvlJc w:val="left"/>
      <w:rPr>
        <w:rFonts w:hint="eastAsia" w:cs="Times New Roman"/>
      </w:rPr>
    </w:lvl>
  </w:abstractNum>
  <w:num w:numId="1">
    <w:abstractNumId w:val="6"/>
  </w:num>
  <w:num w:numId="2">
    <w:abstractNumId w:val="10"/>
  </w:num>
  <w:num w:numId="3">
    <w:abstractNumId w:val="1"/>
  </w:num>
  <w:num w:numId="4">
    <w:abstractNumId w:val="8"/>
  </w:num>
  <w:num w:numId="5">
    <w:abstractNumId w:val="3"/>
  </w:num>
  <w:num w:numId="6">
    <w:abstractNumId w:val="7"/>
  </w:num>
  <w:num w:numId="7">
    <w:abstractNumId w:val="0"/>
  </w:num>
  <w:num w:numId="8">
    <w:abstractNumId w:val="2"/>
  </w:num>
  <w:num w:numId="9">
    <w:abstractNumId w:val="4"/>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endnotePr>
    <w:numFmt w:val="decimal"/>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1BE"/>
    <w:rsid w:val="000200EE"/>
    <w:rsid w:val="00055C10"/>
    <w:rsid w:val="000575F8"/>
    <w:rsid w:val="00074FD1"/>
    <w:rsid w:val="0007706A"/>
    <w:rsid w:val="00091BFE"/>
    <w:rsid w:val="000B5826"/>
    <w:rsid w:val="000C1007"/>
    <w:rsid w:val="000C11E0"/>
    <w:rsid w:val="000C2710"/>
    <w:rsid w:val="000D396E"/>
    <w:rsid w:val="001667FD"/>
    <w:rsid w:val="00181CAA"/>
    <w:rsid w:val="00193EB2"/>
    <w:rsid w:val="001C5D94"/>
    <w:rsid w:val="001F3D02"/>
    <w:rsid w:val="002025C6"/>
    <w:rsid w:val="0022299B"/>
    <w:rsid w:val="00250092"/>
    <w:rsid w:val="00266748"/>
    <w:rsid w:val="00280CC3"/>
    <w:rsid w:val="002C4F11"/>
    <w:rsid w:val="003204F0"/>
    <w:rsid w:val="00336AA3"/>
    <w:rsid w:val="0037590B"/>
    <w:rsid w:val="003A5C56"/>
    <w:rsid w:val="00405D31"/>
    <w:rsid w:val="004370EC"/>
    <w:rsid w:val="004424B8"/>
    <w:rsid w:val="00472A98"/>
    <w:rsid w:val="004B295D"/>
    <w:rsid w:val="004D63FD"/>
    <w:rsid w:val="00510754"/>
    <w:rsid w:val="005118C8"/>
    <w:rsid w:val="00576448"/>
    <w:rsid w:val="005866FB"/>
    <w:rsid w:val="005B5915"/>
    <w:rsid w:val="005C212B"/>
    <w:rsid w:val="006036EF"/>
    <w:rsid w:val="00673B83"/>
    <w:rsid w:val="00680BFD"/>
    <w:rsid w:val="006B5ED1"/>
    <w:rsid w:val="006B6B0D"/>
    <w:rsid w:val="006F3576"/>
    <w:rsid w:val="0073229B"/>
    <w:rsid w:val="00780EC8"/>
    <w:rsid w:val="007A3304"/>
    <w:rsid w:val="007B41BE"/>
    <w:rsid w:val="007B6534"/>
    <w:rsid w:val="007D6D06"/>
    <w:rsid w:val="007E2745"/>
    <w:rsid w:val="00835C9E"/>
    <w:rsid w:val="008C4DAF"/>
    <w:rsid w:val="008D2515"/>
    <w:rsid w:val="008E20BD"/>
    <w:rsid w:val="008E4AD1"/>
    <w:rsid w:val="00920E49"/>
    <w:rsid w:val="00934DF4"/>
    <w:rsid w:val="00991949"/>
    <w:rsid w:val="009A704D"/>
    <w:rsid w:val="009E5A35"/>
    <w:rsid w:val="009F18D3"/>
    <w:rsid w:val="00A0387A"/>
    <w:rsid w:val="00A05F7D"/>
    <w:rsid w:val="00A0619D"/>
    <w:rsid w:val="00A15723"/>
    <w:rsid w:val="00A20AF3"/>
    <w:rsid w:val="00A2579D"/>
    <w:rsid w:val="00A460C3"/>
    <w:rsid w:val="00A50D34"/>
    <w:rsid w:val="00A55F9B"/>
    <w:rsid w:val="00A64E29"/>
    <w:rsid w:val="00AD3DEE"/>
    <w:rsid w:val="00AD6716"/>
    <w:rsid w:val="00AF1BCD"/>
    <w:rsid w:val="00AF2A6F"/>
    <w:rsid w:val="00B53804"/>
    <w:rsid w:val="00B55DB7"/>
    <w:rsid w:val="00B72862"/>
    <w:rsid w:val="00BC2597"/>
    <w:rsid w:val="00BC7B91"/>
    <w:rsid w:val="00BE1732"/>
    <w:rsid w:val="00BE216D"/>
    <w:rsid w:val="00BE7667"/>
    <w:rsid w:val="00BF1FEA"/>
    <w:rsid w:val="00C267C0"/>
    <w:rsid w:val="00C32C1E"/>
    <w:rsid w:val="00C408D3"/>
    <w:rsid w:val="00C81F53"/>
    <w:rsid w:val="00C82C8A"/>
    <w:rsid w:val="00CB3932"/>
    <w:rsid w:val="00CD156B"/>
    <w:rsid w:val="00CF68BB"/>
    <w:rsid w:val="00D60E1D"/>
    <w:rsid w:val="00D75B45"/>
    <w:rsid w:val="00D84E64"/>
    <w:rsid w:val="00DF1C79"/>
    <w:rsid w:val="00E22EAB"/>
    <w:rsid w:val="00E36378"/>
    <w:rsid w:val="00E457F6"/>
    <w:rsid w:val="00E54A7D"/>
    <w:rsid w:val="00E638F3"/>
    <w:rsid w:val="00EA368C"/>
    <w:rsid w:val="00EB4FAD"/>
    <w:rsid w:val="00EB6530"/>
    <w:rsid w:val="00EC014E"/>
    <w:rsid w:val="00F214CA"/>
    <w:rsid w:val="00F26640"/>
    <w:rsid w:val="00F40301"/>
    <w:rsid w:val="00F50A88"/>
    <w:rsid w:val="00FA5926"/>
    <w:rsid w:val="00FC5596"/>
    <w:rsid w:val="02690261"/>
    <w:rsid w:val="02C05BB1"/>
    <w:rsid w:val="02FD74EC"/>
    <w:rsid w:val="030977B8"/>
    <w:rsid w:val="03B73450"/>
    <w:rsid w:val="03F53B6F"/>
    <w:rsid w:val="04016C0A"/>
    <w:rsid w:val="040A4AA1"/>
    <w:rsid w:val="042965C4"/>
    <w:rsid w:val="04A75B49"/>
    <w:rsid w:val="05935ABA"/>
    <w:rsid w:val="05EA2C50"/>
    <w:rsid w:val="061A393B"/>
    <w:rsid w:val="061C7FBD"/>
    <w:rsid w:val="069F122B"/>
    <w:rsid w:val="06CF5060"/>
    <w:rsid w:val="06D038B7"/>
    <w:rsid w:val="071250C8"/>
    <w:rsid w:val="072F44E3"/>
    <w:rsid w:val="07312890"/>
    <w:rsid w:val="073C3C45"/>
    <w:rsid w:val="07A13F45"/>
    <w:rsid w:val="07EF4429"/>
    <w:rsid w:val="08061A64"/>
    <w:rsid w:val="08517165"/>
    <w:rsid w:val="08A51580"/>
    <w:rsid w:val="08C11542"/>
    <w:rsid w:val="090C13B6"/>
    <w:rsid w:val="090F4EF1"/>
    <w:rsid w:val="094E1D6F"/>
    <w:rsid w:val="09EB6AE1"/>
    <w:rsid w:val="09F33618"/>
    <w:rsid w:val="0A0F62EE"/>
    <w:rsid w:val="0AF62F6A"/>
    <w:rsid w:val="0B4354CB"/>
    <w:rsid w:val="0B6873F2"/>
    <w:rsid w:val="0B6E4437"/>
    <w:rsid w:val="0B9109AA"/>
    <w:rsid w:val="0BC3240C"/>
    <w:rsid w:val="0BC83F60"/>
    <w:rsid w:val="0C521233"/>
    <w:rsid w:val="0C730B66"/>
    <w:rsid w:val="0C756C82"/>
    <w:rsid w:val="0D020937"/>
    <w:rsid w:val="0D4A0241"/>
    <w:rsid w:val="0DA717DD"/>
    <w:rsid w:val="0DE40111"/>
    <w:rsid w:val="0E1D06E9"/>
    <w:rsid w:val="0E4C4CAD"/>
    <w:rsid w:val="0E6C4374"/>
    <w:rsid w:val="0F6A1B72"/>
    <w:rsid w:val="0F7E4AB5"/>
    <w:rsid w:val="0FDF5C57"/>
    <w:rsid w:val="0FEF45D8"/>
    <w:rsid w:val="106B07D0"/>
    <w:rsid w:val="10B57C21"/>
    <w:rsid w:val="11052D75"/>
    <w:rsid w:val="11121F8F"/>
    <w:rsid w:val="11CA3566"/>
    <w:rsid w:val="11E8746F"/>
    <w:rsid w:val="129B2E90"/>
    <w:rsid w:val="12C51E21"/>
    <w:rsid w:val="137A5404"/>
    <w:rsid w:val="13EF0EA4"/>
    <w:rsid w:val="1456442A"/>
    <w:rsid w:val="14D34591"/>
    <w:rsid w:val="14D74F4B"/>
    <w:rsid w:val="14D9719C"/>
    <w:rsid w:val="14F35BB7"/>
    <w:rsid w:val="15DD252D"/>
    <w:rsid w:val="162C4539"/>
    <w:rsid w:val="17077E1E"/>
    <w:rsid w:val="173741A6"/>
    <w:rsid w:val="17497256"/>
    <w:rsid w:val="174B1C4B"/>
    <w:rsid w:val="17684412"/>
    <w:rsid w:val="17822770"/>
    <w:rsid w:val="17AE485B"/>
    <w:rsid w:val="17B0263E"/>
    <w:rsid w:val="17B8199D"/>
    <w:rsid w:val="17EC2627"/>
    <w:rsid w:val="18151F96"/>
    <w:rsid w:val="181C07FE"/>
    <w:rsid w:val="18474916"/>
    <w:rsid w:val="18891660"/>
    <w:rsid w:val="19AE6A7C"/>
    <w:rsid w:val="19D2412A"/>
    <w:rsid w:val="1A205D77"/>
    <w:rsid w:val="1A2F4635"/>
    <w:rsid w:val="1A6500CD"/>
    <w:rsid w:val="1A6E3101"/>
    <w:rsid w:val="1AA40A79"/>
    <w:rsid w:val="1AAA7997"/>
    <w:rsid w:val="1AB67180"/>
    <w:rsid w:val="1AD03189"/>
    <w:rsid w:val="1AD432CC"/>
    <w:rsid w:val="1AEA5623"/>
    <w:rsid w:val="1B927ADD"/>
    <w:rsid w:val="1B9E2075"/>
    <w:rsid w:val="1BAE4885"/>
    <w:rsid w:val="1BDF0B10"/>
    <w:rsid w:val="1BED33B9"/>
    <w:rsid w:val="1C471BAE"/>
    <w:rsid w:val="1C5C0C26"/>
    <w:rsid w:val="1CD4051D"/>
    <w:rsid w:val="1CDD2E94"/>
    <w:rsid w:val="1D027F1C"/>
    <w:rsid w:val="1D0A3E09"/>
    <w:rsid w:val="1E1D26F4"/>
    <w:rsid w:val="1E486D96"/>
    <w:rsid w:val="1E513B7B"/>
    <w:rsid w:val="1E66059A"/>
    <w:rsid w:val="1E82375A"/>
    <w:rsid w:val="1EBA5A37"/>
    <w:rsid w:val="1F47327D"/>
    <w:rsid w:val="1F816AF6"/>
    <w:rsid w:val="1F8E47EB"/>
    <w:rsid w:val="1FCD6E14"/>
    <w:rsid w:val="20CD3CBC"/>
    <w:rsid w:val="20E36C50"/>
    <w:rsid w:val="21250A1F"/>
    <w:rsid w:val="219F1FA0"/>
    <w:rsid w:val="21E76FBA"/>
    <w:rsid w:val="22016D7A"/>
    <w:rsid w:val="226B42AC"/>
    <w:rsid w:val="226F3203"/>
    <w:rsid w:val="22AD29BB"/>
    <w:rsid w:val="232F5F2B"/>
    <w:rsid w:val="232F6B26"/>
    <w:rsid w:val="23355E47"/>
    <w:rsid w:val="233A2E13"/>
    <w:rsid w:val="23AD17DA"/>
    <w:rsid w:val="24116252"/>
    <w:rsid w:val="242C1FFD"/>
    <w:rsid w:val="244D1F35"/>
    <w:rsid w:val="24615AF1"/>
    <w:rsid w:val="24A47FAB"/>
    <w:rsid w:val="24A972CC"/>
    <w:rsid w:val="24B2644C"/>
    <w:rsid w:val="24BD7292"/>
    <w:rsid w:val="259D757A"/>
    <w:rsid w:val="25C90160"/>
    <w:rsid w:val="25EB1CBA"/>
    <w:rsid w:val="26C002DA"/>
    <w:rsid w:val="26CA70AB"/>
    <w:rsid w:val="27206676"/>
    <w:rsid w:val="27323AFD"/>
    <w:rsid w:val="273625F3"/>
    <w:rsid w:val="27640D6C"/>
    <w:rsid w:val="279D6625"/>
    <w:rsid w:val="281929B4"/>
    <w:rsid w:val="284631BC"/>
    <w:rsid w:val="28790229"/>
    <w:rsid w:val="28955221"/>
    <w:rsid w:val="29463324"/>
    <w:rsid w:val="29483044"/>
    <w:rsid w:val="29DB5E89"/>
    <w:rsid w:val="2A880A7B"/>
    <w:rsid w:val="2AA214C7"/>
    <w:rsid w:val="2AE47E9C"/>
    <w:rsid w:val="2AE5327C"/>
    <w:rsid w:val="2AEC5CA9"/>
    <w:rsid w:val="2B044026"/>
    <w:rsid w:val="2B585185"/>
    <w:rsid w:val="2B6909A8"/>
    <w:rsid w:val="2B987E93"/>
    <w:rsid w:val="2BA900DA"/>
    <w:rsid w:val="2BFF6D43"/>
    <w:rsid w:val="2C5E4903"/>
    <w:rsid w:val="2CDE257A"/>
    <w:rsid w:val="2CEE627B"/>
    <w:rsid w:val="2D1D0F10"/>
    <w:rsid w:val="2D254805"/>
    <w:rsid w:val="2D3E6293"/>
    <w:rsid w:val="2D716FB7"/>
    <w:rsid w:val="2D7D1990"/>
    <w:rsid w:val="2DB66D80"/>
    <w:rsid w:val="2DC144F7"/>
    <w:rsid w:val="2DC4660F"/>
    <w:rsid w:val="2ED85E73"/>
    <w:rsid w:val="2EDA6F06"/>
    <w:rsid w:val="2F384988"/>
    <w:rsid w:val="2F3E13BB"/>
    <w:rsid w:val="2F60641D"/>
    <w:rsid w:val="2F6239B5"/>
    <w:rsid w:val="2FC04BEF"/>
    <w:rsid w:val="2FD92AC5"/>
    <w:rsid w:val="30057BEC"/>
    <w:rsid w:val="301A4A2F"/>
    <w:rsid w:val="30287B62"/>
    <w:rsid w:val="30442541"/>
    <w:rsid w:val="305C69DC"/>
    <w:rsid w:val="30997F39"/>
    <w:rsid w:val="30B03D7B"/>
    <w:rsid w:val="310209CB"/>
    <w:rsid w:val="31047F0E"/>
    <w:rsid w:val="315C46BD"/>
    <w:rsid w:val="329135B7"/>
    <w:rsid w:val="32BF3509"/>
    <w:rsid w:val="32E35695"/>
    <w:rsid w:val="33110959"/>
    <w:rsid w:val="33B916E0"/>
    <w:rsid w:val="33D12D62"/>
    <w:rsid w:val="33D321A9"/>
    <w:rsid w:val="33E31656"/>
    <w:rsid w:val="33FC15EB"/>
    <w:rsid w:val="349E2586"/>
    <w:rsid w:val="34AC0990"/>
    <w:rsid w:val="35150EE6"/>
    <w:rsid w:val="36107F4A"/>
    <w:rsid w:val="36174299"/>
    <w:rsid w:val="36504865"/>
    <w:rsid w:val="365A32AC"/>
    <w:rsid w:val="3660487F"/>
    <w:rsid w:val="366D489F"/>
    <w:rsid w:val="367C1664"/>
    <w:rsid w:val="36807F5F"/>
    <w:rsid w:val="368F09FA"/>
    <w:rsid w:val="36E76FE1"/>
    <w:rsid w:val="375D203C"/>
    <w:rsid w:val="38026A6F"/>
    <w:rsid w:val="38244844"/>
    <w:rsid w:val="383C5696"/>
    <w:rsid w:val="387B18EF"/>
    <w:rsid w:val="387E303B"/>
    <w:rsid w:val="38FD1C54"/>
    <w:rsid w:val="392D582E"/>
    <w:rsid w:val="39C15447"/>
    <w:rsid w:val="3A3C34B9"/>
    <w:rsid w:val="3A63720C"/>
    <w:rsid w:val="3A9827B6"/>
    <w:rsid w:val="3AB578C7"/>
    <w:rsid w:val="3AD14697"/>
    <w:rsid w:val="3BC63B24"/>
    <w:rsid w:val="3BCD3EBF"/>
    <w:rsid w:val="3CAB19CD"/>
    <w:rsid w:val="3CAC7EDE"/>
    <w:rsid w:val="3CDB3BDA"/>
    <w:rsid w:val="3CFB3391"/>
    <w:rsid w:val="3D562934"/>
    <w:rsid w:val="3D60411F"/>
    <w:rsid w:val="3D8A02CD"/>
    <w:rsid w:val="3DA93298"/>
    <w:rsid w:val="3DDF4B2C"/>
    <w:rsid w:val="3DF94976"/>
    <w:rsid w:val="3E004CF1"/>
    <w:rsid w:val="3E547E99"/>
    <w:rsid w:val="3EC82150"/>
    <w:rsid w:val="3EFA5782"/>
    <w:rsid w:val="3F0D44AE"/>
    <w:rsid w:val="3F1D6618"/>
    <w:rsid w:val="3F36468C"/>
    <w:rsid w:val="3FB75AA7"/>
    <w:rsid w:val="3FBA1F41"/>
    <w:rsid w:val="3FFC782B"/>
    <w:rsid w:val="401B3CF2"/>
    <w:rsid w:val="40327DB0"/>
    <w:rsid w:val="40AB1D23"/>
    <w:rsid w:val="40F53849"/>
    <w:rsid w:val="41E657FF"/>
    <w:rsid w:val="41E70D48"/>
    <w:rsid w:val="42917FBA"/>
    <w:rsid w:val="4357300A"/>
    <w:rsid w:val="436C0A8D"/>
    <w:rsid w:val="43DC2B82"/>
    <w:rsid w:val="43E22ABA"/>
    <w:rsid w:val="43F80DCD"/>
    <w:rsid w:val="43FB75A4"/>
    <w:rsid w:val="445D41D8"/>
    <w:rsid w:val="44751F2B"/>
    <w:rsid w:val="44884C83"/>
    <w:rsid w:val="449622B7"/>
    <w:rsid w:val="453074E6"/>
    <w:rsid w:val="46500EC4"/>
    <w:rsid w:val="467E1C70"/>
    <w:rsid w:val="468A4245"/>
    <w:rsid w:val="4748596C"/>
    <w:rsid w:val="47500045"/>
    <w:rsid w:val="476B40D2"/>
    <w:rsid w:val="478B7839"/>
    <w:rsid w:val="48040645"/>
    <w:rsid w:val="48523C0A"/>
    <w:rsid w:val="48763CF2"/>
    <w:rsid w:val="487C78C9"/>
    <w:rsid w:val="489E3890"/>
    <w:rsid w:val="48F93F0D"/>
    <w:rsid w:val="494975E8"/>
    <w:rsid w:val="497A2C70"/>
    <w:rsid w:val="49E47F6E"/>
    <w:rsid w:val="4A4F766A"/>
    <w:rsid w:val="4A51245D"/>
    <w:rsid w:val="4B3A06D7"/>
    <w:rsid w:val="4B3F6B82"/>
    <w:rsid w:val="4B447127"/>
    <w:rsid w:val="4B6B7860"/>
    <w:rsid w:val="4B822253"/>
    <w:rsid w:val="4BC56187"/>
    <w:rsid w:val="4BD34E49"/>
    <w:rsid w:val="4C0C01C1"/>
    <w:rsid w:val="4C967260"/>
    <w:rsid w:val="4CBC28D9"/>
    <w:rsid w:val="4D3021F3"/>
    <w:rsid w:val="4D3F455B"/>
    <w:rsid w:val="4D6E3BBD"/>
    <w:rsid w:val="4DBC088F"/>
    <w:rsid w:val="4DCF2F60"/>
    <w:rsid w:val="4E2174AB"/>
    <w:rsid w:val="4E2C1433"/>
    <w:rsid w:val="4E300D69"/>
    <w:rsid w:val="4E4E5A90"/>
    <w:rsid w:val="4E6C325B"/>
    <w:rsid w:val="4E8B1908"/>
    <w:rsid w:val="4EC54C1D"/>
    <w:rsid w:val="4ED35B75"/>
    <w:rsid w:val="4EE00DE1"/>
    <w:rsid w:val="4F7072B9"/>
    <w:rsid w:val="4F7E2EF6"/>
    <w:rsid w:val="4F8464B4"/>
    <w:rsid w:val="4F9A1B35"/>
    <w:rsid w:val="4FD70343"/>
    <w:rsid w:val="50391FDB"/>
    <w:rsid w:val="504E4830"/>
    <w:rsid w:val="50530F7D"/>
    <w:rsid w:val="50806617"/>
    <w:rsid w:val="50D749C2"/>
    <w:rsid w:val="50D76907"/>
    <w:rsid w:val="50E71153"/>
    <w:rsid w:val="513F1823"/>
    <w:rsid w:val="516F27CB"/>
    <w:rsid w:val="5196143C"/>
    <w:rsid w:val="51E63FE0"/>
    <w:rsid w:val="52043826"/>
    <w:rsid w:val="52125025"/>
    <w:rsid w:val="524266BE"/>
    <w:rsid w:val="52F13971"/>
    <w:rsid w:val="531151F6"/>
    <w:rsid w:val="53193AC3"/>
    <w:rsid w:val="53356AB0"/>
    <w:rsid w:val="53597175"/>
    <w:rsid w:val="53687418"/>
    <w:rsid w:val="53720DE2"/>
    <w:rsid w:val="53CD4272"/>
    <w:rsid w:val="53D004E8"/>
    <w:rsid w:val="53F92C98"/>
    <w:rsid w:val="54067AFD"/>
    <w:rsid w:val="54D91FB7"/>
    <w:rsid w:val="555D67A4"/>
    <w:rsid w:val="55B60238"/>
    <w:rsid w:val="55EA5219"/>
    <w:rsid w:val="561505D4"/>
    <w:rsid w:val="563102A4"/>
    <w:rsid w:val="56973E1F"/>
    <w:rsid w:val="576772B5"/>
    <w:rsid w:val="57CD71C9"/>
    <w:rsid w:val="57E34306"/>
    <w:rsid w:val="57E57589"/>
    <w:rsid w:val="57ED2754"/>
    <w:rsid w:val="58AC71CF"/>
    <w:rsid w:val="591254B9"/>
    <w:rsid w:val="59A92A61"/>
    <w:rsid w:val="59C9560C"/>
    <w:rsid w:val="5ADE1F73"/>
    <w:rsid w:val="5BA06E57"/>
    <w:rsid w:val="5BF8382F"/>
    <w:rsid w:val="5C22684F"/>
    <w:rsid w:val="5CB52BD2"/>
    <w:rsid w:val="5CDF456F"/>
    <w:rsid w:val="5CE3322E"/>
    <w:rsid w:val="5D572C78"/>
    <w:rsid w:val="5DCB33F6"/>
    <w:rsid w:val="5DD153DA"/>
    <w:rsid w:val="5DFF429F"/>
    <w:rsid w:val="5E3556CC"/>
    <w:rsid w:val="5E6A2CC5"/>
    <w:rsid w:val="5E990EF9"/>
    <w:rsid w:val="5E99583F"/>
    <w:rsid w:val="5EBF74D1"/>
    <w:rsid w:val="5F2465E8"/>
    <w:rsid w:val="5F306102"/>
    <w:rsid w:val="5F4B72E8"/>
    <w:rsid w:val="5F783DAA"/>
    <w:rsid w:val="60051307"/>
    <w:rsid w:val="601A24B3"/>
    <w:rsid w:val="603B11D0"/>
    <w:rsid w:val="60494944"/>
    <w:rsid w:val="60E15CF6"/>
    <w:rsid w:val="60FE4D9D"/>
    <w:rsid w:val="61067EA9"/>
    <w:rsid w:val="612C47B1"/>
    <w:rsid w:val="61AA49D7"/>
    <w:rsid w:val="61DB480A"/>
    <w:rsid w:val="6265548D"/>
    <w:rsid w:val="626A12F1"/>
    <w:rsid w:val="62F241E8"/>
    <w:rsid w:val="632B71C6"/>
    <w:rsid w:val="634C153F"/>
    <w:rsid w:val="636F7002"/>
    <w:rsid w:val="6438051B"/>
    <w:rsid w:val="645940DA"/>
    <w:rsid w:val="64834DD8"/>
    <w:rsid w:val="648C318D"/>
    <w:rsid w:val="64D30970"/>
    <w:rsid w:val="653505E7"/>
    <w:rsid w:val="658F218E"/>
    <w:rsid w:val="661B154B"/>
    <w:rsid w:val="662114A5"/>
    <w:rsid w:val="662E766F"/>
    <w:rsid w:val="66AC2722"/>
    <w:rsid w:val="67305B69"/>
    <w:rsid w:val="676A38DC"/>
    <w:rsid w:val="678F1196"/>
    <w:rsid w:val="67A05B7E"/>
    <w:rsid w:val="67ED5EED"/>
    <w:rsid w:val="68101CC4"/>
    <w:rsid w:val="687424E1"/>
    <w:rsid w:val="68D433DA"/>
    <w:rsid w:val="68D81006"/>
    <w:rsid w:val="69146FEF"/>
    <w:rsid w:val="69D34CDF"/>
    <w:rsid w:val="6A5F4FA1"/>
    <w:rsid w:val="6A6311A5"/>
    <w:rsid w:val="6A7A4E34"/>
    <w:rsid w:val="6ADA6866"/>
    <w:rsid w:val="6B61332D"/>
    <w:rsid w:val="6C4516BE"/>
    <w:rsid w:val="6C4F5101"/>
    <w:rsid w:val="6C7621DF"/>
    <w:rsid w:val="6C787452"/>
    <w:rsid w:val="6C82103A"/>
    <w:rsid w:val="6C853C97"/>
    <w:rsid w:val="6CE1254E"/>
    <w:rsid w:val="6CEF4F0F"/>
    <w:rsid w:val="6D397846"/>
    <w:rsid w:val="6DAA12B9"/>
    <w:rsid w:val="6DAB59DE"/>
    <w:rsid w:val="6DAC0CA7"/>
    <w:rsid w:val="6E3855FE"/>
    <w:rsid w:val="6E434EF0"/>
    <w:rsid w:val="6E5510E7"/>
    <w:rsid w:val="6E6E4E06"/>
    <w:rsid w:val="6E7A016D"/>
    <w:rsid w:val="6EC47A23"/>
    <w:rsid w:val="6EF47564"/>
    <w:rsid w:val="701B0E3A"/>
    <w:rsid w:val="70235C5C"/>
    <w:rsid w:val="702C1048"/>
    <w:rsid w:val="703B5F81"/>
    <w:rsid w:val="70455FF7"/>
    <w:rsid w:val="705B4869"/>
    <w:rsid w:val="707215D5"/>
    <w:rsid w:val="708B7B34"/>
    <w:rsid w:val="71493855"/>
    <w:rsid w:val="71525973"/>
    <w:rsid w:val="71B53A87"/>
    <w:rsid w:val="71D55BDA"/>
    <w:rsid w:val="71DA2ABA"/>
    <w:rsid w:val="71F76241"/>
    <w:rsid w:val="726971FF"/>
    <w:rsid w:val="72F42593"/>
    <w:rsid w:val="730043D2"/>
    <w:rsid w:val="73724465"/>
    <w:rsid w:val="73CC483B"/>
    <w:rsid w:val="74125A53"/>
    <w:rsid w:val="741D2362"/>
    <w:rsid w:val="74933D70"/>
    <w:rsid w:val="749C2B7B"/>
    <w:rsid w:val="749D1342"/>
    <w:rsid w:val="75566EE4"/>
    <w:rsid w:val="7583200C"/>
    <w:rsid w:val="7660428B"/>
    <w:rsid w:val="76C56DC4"/>
    <w:rsid w:val="76F2653C"/>
    <w:rsid w:val="77B4314C"/>
    <w:rsid w:val="77CD13AB"/>
    <w:rsid w:val="77D84AFD"/>
    <w:rsid w:val="789E6215"/>
    <w:rsid w:val="78C647AD"/>
    <w:rsid w:val="79900684"/>
    <w:rsid w:val="79963F39"/>
    <w:rsid w:val="79A65463"/>
    <w:rsid w:val="79F31D17"/>
    <w:rsid w:val="7A286456"/>
    <w:rsid w:val="7ACF0E2A"/>
    <w:rsid w:val="7ADC31A8"/>
    <w:rsid w:val="7AE11CFE"/>
    <w:rsid w:val="7B275319"/>
    <w:rsid w:val="7B4324F0"/>
    <w:rsid w:val="7B453B00"/>
    <w:rsid w:val="7B8F0214"/>
    <w:rsid w:val="7BF111A2"/>
    <w:rsid w:val="7C280C89"/>
    <w:rsid w:val="7CAE4569"/>
    <w:rsid w:val="7CB121DB"/>
    <w:rsid w:val="7CBE43EB"/>
    <w:rsid w:val="7D040A54"/>
    <w:rsid w:val="7D2B5029"/>
    <w:rsid w:val="7DBB4185"/>
    <w:rsid w:val="7DC934DB"/>
    <w:rsid w:val="7E5739DC"/>
    <w:rsid w:val="7E9E3841"/>
    <w:rsid w:val="7ECB1A77"/>
    <w:rsid w:val="7ECC1B65"/>
    <w:rsid w:val="7ED60533"/>
    <w:rsid w:val="7EE23AE4"/>
    <w:rsid w:val="7EE52B34"/>
    <w:rsid w:val="7FB77874"/>
    <w:rsid w:val="7FE32D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3"/>
    <w:next w:val="4"/>
    <w:link w:val="60"/>
    <w:qFormat/>
    <w:uiPriority w:val="0"/>
    <w:pPr>
      <w:keepNext/>
      <w:keepLines/>
      <w:spacing w:after="120" w:line="360" w:lineRule="auto"/>
      <w:outlineLvl w:val="0"/>
    </w:pPr>
    <w:rPr>
      <w:kern w:val="44"/>
      <w:sz w:val="28"/>
      <w:szCs w:val="28"/>
    </w:rPr>
  </w:style>
  <w:style w:type="paragraph" w:styleId="7">
    <w:name w:val="heading 2"/>
    <w:basedOn w:val="1"/>
    <w:next w:val="1"/>
    <w:link w:val="61"/>
    <w:qFormat/>
    <w:uiPriority w:val="0"/>
    <w:pPr>
      <w:keepNext/>
      <w:keepLines/>
      <w:spacing w:before="120" w:after="120" w:line="415" w:lineRule="auto"/>
      <w:ind w:left="454"/>
      <w:jc w:val="center"/>
      <w:outlineLvl w:val="1"/>
    </w:pPr>
    <w:rPr>
      <w:rFonts w:ascii="Arial" w:hAnsi="Arial"/>
      <w:b/>
      <w:color w:val="000000"/>
      <w:sz w:val="24"/>
      <w:szCs w:val="24"/>
    </w:rPr>
  </w:style>
  <w:style w:type="paragraph" w:styleId="8">
    <w:name w:val="heading 3"/>
    <w:basedOn w:val="1"/>
    <w:next w:val="1"/>
    <w:link w:val="46"/>
    <w:qFormat/>
    <w:uiPriority w:val="0"/>
    <w:pPr>
      <w:widowControl/>
      <w:spacing w:before="100" w:beforeAutospacing="1" w:after="100" w:afterAutospacing="1"/>
      <w:jc w:val="left"/>
      <w:outlineLvl w:val="2"/>
    </w:pPr>
    <w:rPr>
      <w:rFonts w:ascii="宋体" w:hAnsi="宋体" w:eastAsia="宋体" w:cs="宋体"/>
      <w:kern w:val="0"/>
      <w:sz w:val="24"/>
      <w:szCs w:val="27"/>
    </w:rPr>
  </w:style>
  <w:style w:type="paragraph" w:styleId="9">
    <w:name w:val="heading 4"/>
    <w:basedOn w:val="8"/>
    <w:next w:val="10"/>
    <w:link w:val="62"/>
    <w:qFormat/>
    <w:uiPriority w:val="0"/>
    <w:pPr>
      <w:keepNext/>
      <w:keepLines/>
      <w:widowControl w:val="0"/>
      <w:numPr>
        <w:ilvl w:val="3"/>
        <w:numId w:val="1"/>
      </w:numPr>
      <w:spacing w:before="0" w:beforeLines="50" w:beforeAutospacing="0" w:after="0" w:afterLines="50" w:afterAutospacing="0" w:line="360" w:lineRule="auto"/>
      <w:outlineLvl w:val="3"/>
    </w:pPr>
    <w:rPr>
      <w:rFonts w:ascii="Arial" w:hAnsi="Arial" w:cs="Times New Roman"/>
      <w:color w:val="000000"/>
      <w:kern w:val="2"/>
      <w:sz w:val="21"/>
      <w:szCs w:val="21"/>
    </w:rPr>
  </w:style>
  <w:style w:type="paragraph" w:styleId="11">
    <w:name w:val="heading 5"/>
    <w:basedOn w:val="9"/>
    <w:next w:val="10"/>
    <w:link w:val="63"/>
    <w:qFormat/>
    <w:uiPriority w:val="0"/>
    <w:pPr>
      <w:numPr>
        <w:ilvl w:val="4"/>
      </w:numPr>
      <w:spacing w:line="240" w:lineRule="exact"/>
      <w:outlineLvl w:val="4"/>
    </w:pPr>
  </w:style>
  <w:style w:type="paragraph" w:styleId="12">
    <w:name w:val="heading 6"/>
    <w:basedOn w:val="1"/>
    <w:next w:val="1"/>
    <w:link w:val="64"/>
    <w:qFormat/>
    <w:uiPriority w:val="0"/>
    <w:pPr>
      <w:keepNext/>
      <w:keepLines/>
      <w:numPr>
        <w:ilvl w:val="5"/>
        <w:numId w:val="2"/>
      </w:numPr>
      <w:spacing w:before="240" w:after="64" w:line="320" w:lineRule="auto"/>
      <w:outlineLvl w:val="5"/>
    </w:pPr>
    <w:rPr>
      <w:rFonts w:ascii="Arial" w:hAnsi="Arial" w:eastAsia="黑体"/>
      <w:b/>
      <w:bCs/>
      <w:sz w:val="24"/>
      <w:szCs w:val="24"/>
    </w:rPr>
  </w:style>
  <w:style w:type="paragraph" w:styleId="13">
    <w:name w:val="heading 7"/>
    <w:basedOn w:val="1"/>
    <w:next w:val="10"/>
    <w:link w:val="65"/>
    <w:qFormat/>
    <w:uiPriority w:val="0"/>
    <w:pPr>
      <w:keepNext/>
      <w:keepLines/>
      <w:numPr>
        <w:ilvl w:val="6"/>
        <w:numId w:val="1"/>
      </w:numPr>
      <w:spacing w:before="240" w:after="64" w:line="320" w:lineRule="auto"/>
      <w:outlineLvl w:val="6"/>
    </w:pPr>
    <w:rPr>
      <w:rFonts w:ascii="Times New Roman" w:hAnsi="Times New Roman"/>
      <w:b/>
      <w:sz w:val="24"/>
      <w:szCs w:val="20"/>
    </w:rPr>
  </w:style>
  <w:style w:type="paragraph" w:styleId="14">
    <w:name w:val="heading 8"/>
    <w:basedOn w:val="1"/>
    <w:next w:val="10"/>
    <w:link w:val="66"/>
    <w:qFormat/>
    <w:uiPriority w:val="0"/>
    <w:pPr>
      <w:keepNext/>
      <w:keepLines/>
      <w:numPr>
        <w:ilvl w:val="7"/>
        <w:numId w:val="1"/>
      </w:numPr>
      <w:spacing w:before="240" w:after="64" w:line="320" w:lineRule="auto"/>
      <w:outlineLvl w:val="7"/>
    </w:pPr>
    <w:rPr>
      <w:rFonts w:ascii="Arial" w:hAnsi="Arial" w:eastAsia="黑体"/>
      <w:sz w:val="24"/>
      <w:szCs w:val="20"/>
    </w:rPr>
  </w:style>
  <w:style w:type="paragraph" w:styleId="15">
    <w:name w:val="heading 9"/>
    <w:basedOn w:val="1"/>
    <w:next w:val="10"/>
    <w:link w:val="67"/>
    <w:qFormat/>
    <w:uiPriority w:val="0"/>
    <w:pPr>
      <w:keepNext/>
      <w:keepLines/>
      <w:numPr>
        <w:ilvl w:val="8"/>
        <w:numId w:val="1"/>
      </w:numPr>
      <w:spacing w:before="240" w:after="64" w:line="320" w:lineRule="auto"/>
      <w:outlineLvl w:val="8"/>
    </w:pPr>
    <w:rPr>
      <w:rFonts w:ascii="Arial" w:hAnsi="Arial" w:eastAsia="黑体"/>
      <w:szCs w:val="20"/>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3">
    <w:name w:val="Title"/>
    <w:basedOn w:val="1"/>
    <w:link w:val="69"/>
    <w:qFormat/>
    <w:uiPriority w:val="0"/>
    <w:pPr>
      <w:spacing w:before="120" w:after="60"/>
      <w:jc w:val="center"/>
    </w:pPr>
    <w:rPr>
      <w:rFonts w:ascii="Arial" w:hAnsi="Arial"/>
      <w:b/>
      <w:sz w:val="44"/>
      <w:szCs w:val="20"/>
    </w:rPr>
  </w:style>
  <w:style w:type="paragraph" w:styleId="4">
    <w:name w:val="Body Text First Indent"/>
    <w:basedOn w:val="5"/>
    <w:link w:val="73"/>
    <w:qFormat/>
    <w:uiPriority w:val="0"/>
    <w:pPr>
      <w:ind w:firstLine="420"/>
    </w:pPr>
  </w:style>
  <w:style w:type="paragraph" w:styleId="5">
    <w:name w:val="Body Text"/>
    <w:basedOn w:val="1"/>
    <w:next w:val="6"/>
    <w:link w:val="71"/>
    <w:qFormat/>
    <w:uiPriority w:val="0"/>
    <w:pPr>
      <w:spacing w:after="120"/>
    </w:pPr>
    <w:rPr>
      <w:rFonts w:ascii="Times New Roman" w:hAnsi="Times New Roman"/>
      <w:szCs w:val="20"/>
    </w:rPr>
  </w:style>
  <w:style w:type="paragraph" w:styleId="6">
    <w:name w:val="Body Text Indent"/>
    <w:basedOn w:val="1"/>
    <w:link w:val="77"/>
    <w:qFormat/>
    <w:uiPriority w:val="0"/>
    <w:pPr>
      <w:ind w:firstLine="570"/>
    </w:pPr>
    <w:rPr>
      <w:rFonts w:ascii="Times New Roman" w:hAnsi="Times New Roman"/>
      <w:sz w:val="28"/>
      <w:szCs w:val="20"/>
    </w:rPr>
  </w:style>
  <w:style w:type="paragraph" w:styleId="10">
    <w:name w:val="Normal Indent"/>
    <w:basedOn w:val="1"/>
    <w:next w:val="1"/>
    <w:qFormat/>
    <w:uiPriority w:val="0"/>
    <w:pPr>
      <w:ind w:firstLine="420"/>
    </w:pPr>
    <w:rPr>
      <w:rFonts w:ascii="Times New Roman" w:hAnsi="Times New Roman"/>
      <w:szCs w:val="20"/>
    </w:rPr>
  </w:style>
  <w:style w:type="paragraph" w:styleId="16">
    <w:name w:val="Document Map"/>
    <w:basedOn w:val="1"/>
    <w:link w:val="79"/>
    <w:qFormat/>
    <w:uiPriority w:val="0"/>
    <w:pPr>
      <w:shd w:val="clear" w:color="auto" w:fill="000080"/>
    </w:pPr>
    <w:rPr>
      <w:rFonts w:ascii="Times New Roman" w:hAnsi="Times New Roman"/>
      <w:szCs w:val="20"/>
    </w:rPr>
  </w:style>
  <w:style w:type="paragraph" w:styleId="17">
    <w:name w:val="annotation text"/>
    <w:basedOn w:val="1"/>
    <w:link w:val="105"/>
    <w:qFormat/>
    <w:uiPriority w:val="0"/>
    <w:pPr>
      <w:spacing w:line="360" w:lineRule="auto"/>
      <w:ind w:firstLine="523" w:firstLineChars="218"/>
      <w:jc w:val="left"/>
    </w:pPr>
    <w:rPr>
      <w:rFonts w:ascii="宋体" w:hAnsi="宋体"/>
      <w:sz w:val="24"/>
      <w:szCs w:val="24"/>
    </w:rPr>
  </w:style>
  <w:style w:type="paragraph" w:styleId="18">
    <w:name w:val="index 4"/>
    <w:basedOn w:val="1"/>
    <w:next w:val="1"/>
    <w:unhideWhenUsed/>
    <w:qFormat/>
    <w:uiPriority w:val="99"/>
    <w:pPr>
      <w:ind w:left="600" w:leftChars="600"/>
    </w:pPr>
  </w:style>
  <w:style w:type="paragraph" w:styleId="19">
    <w:name w:val="toc 3"/>
    <w:basedOn w:val="1"/>
    <w:next w:val="1"/>
    <w:qFormat/>
    <w:uiPriority w:val="39"/>
    <w:pPr>
      <w:snapToGrid w:val="0"/>
      <w:spacing w:line="360" w:lineRule="auto"/>
      <w:ind w:left="400" w:leftChars="400"/>
      <w:jc w:val="left"/>
    </w:pPr>
    <w:rPr>
      <w:rFonts w:ascii="Times New Roman" w:hAnsi="Times New Roman"/>
      <w:sz w:val="24"/>
      <w:szCs w:val="20"/>
    </w:rPr>
  </w:style>
  <w:style w:type="paragraph" w:styleId="20">
    <w:name w:val="Plain Text"/>
    <w:basedOn w:val="1"/>
    <w:next w:val="1"/>
    <w:link w:val="81"/>
    <w:qFormat/>
    <w:uiPriority w:val="0"/>
    <w:rPr>
      <w:rFonts w:ascii="宋体" w:hAnsi="Courier New"/>
      <w:szCs w:val="20"/>
    </w:rPr>
  </w:style>
  <w:style w:type="paragraph" w:styleId="21">
    <w:name w:val="Date"/>
    <w:basedOn w:val="1"/>
    <w:next w:val="1"/>
    <w:link w:val="75"/>
    <w:qFormat/>
    <w:uiPriority w:val="0"/>
    <w:rPr>
      <w:rFonts w:ascii="Times New Roman" w:hAnsi="Times New Roman"/>
      <w:szCs w:val="20"/>
    </w:rPr>
  </w:style>
  <w:style w:type="paragraph" w:styleId="22">
    <w:name w:val="Body Text Indent 2"/>
    <w:basedOn w:val="1"/>
    <w:link w:val="83"/>
    <w:qFormat/>
    <w:uiPriority w:val="0"/>
    <w:pPr>
      <w:spacing w:line="400" w:lineRule="exact"/>
      <w:ind w:left="425"/>
    </w:pPr>
    <w:rPr>
      <w:rFonts w:ascii="Times New Roman" w:hAnsi="Times New Roman"/>
      <w:color w:val="000000"/>
      <w:sz w:val="24"/>
      <w:szCs w:val="20"/>
    </w:rPr>
  </w:style>
  <w:style w:type="paragraph" w:styleId="23">
    <w:name w:val="endnote text"/>
    <w:basedOn w:val="1"/>
    <w:link w:val="92"/>
    <w:qFormat/>
    <w:uiPriority w:val="0"/>
    <w:pPr>
      <w:snapToGrid w:val="0"/>
      <w:jc w:val="left"/>
    </w:pPr>
    <w:rPr>
      <w:rFonts w:ascii="Times New Roman" w:hAnsi="Times New Roman"/>
      <w:szCs w:val="20"/>
    </w:rPr>
  </w:style>
  <w:style w:type="paragraph" w:styleId="24">
    <w:name w:val="Balloon Text"/>
    <w:basedOn w:val="1"/>
    <w:link w:val="102"/>
    <w:qFormat/>
    <w:uiPriority w:val="0"/>
    <w:rPr>
      <w:rFonts w:ascii="Times New Roman" w:hAnsi="Times New Roman"/>
      <w:sz w:val="18"/>
      <w:szCs w:val="18"/>
    </w:rPr>
  </w:style>
  <w:style w:type="paragraph" w:styleId="25">
    <w:name w:val="footer"/>
    <w:basedOn w:val="1"/>
    <w:link w:val="59"/>
    <w:unhideWhenUsed/>
    <w:qFormat/>
    <w:uiPriority w:val="0"/>
    <w:pPr>
      <w:tabs>
        <w:tab w:val="center" w:pos="4153"/>
        <w:tab w:val="right" w:pos="8306"/>
      </w:tabs>
      <w:snapToGrid w:val="0"/>
      <w:jc w:val="left"/>
    </w:pPr>
    <w:rPr>
      <w:sz w:val="18"/>
      <w:szCs w:val="18"/>
    </w:rPr>
  </w:style>
  <w:style w:type="paragraph" w:styleId="26">
    <w:name w:val="header"/>
    <w:basedOn w:val="1"/>
    <w:link w:val="57"/>
    <w:unhideWhenUsed/>
    <w:qFormat/>
    <w:uiPriority w:val="0"/>
    <w:pPr>
      <w:pBdr>
        <w:bottom w:val="single" w:color="auto" w:sz="6" w:space="1"/>
      </w:pBdr>
      <w:tabs>
        <w:tab w:val="center" w:pos="4153"/>
        <w:tab w:val="right" w:pos="8306"/>
      </w:tabs>
      <w:snapToGrid w:val="0"/>
      <w:jc w:val="center"/>
    </w:pPr>
    <w:rPr>
      <w:sz w:val="18"/>
      <w:szCs w:val="18"/>
    </w:rPr>
  </w:style>
  <w:style w:type="paragraph" w:styleId="27">
    <w:name w:val="toc 1"/>
    <w:basedOn w:val="1"/>
    <w:next w:val="1"/>
    <w:qFormat/>
    <w:uiPriority w:val="39"/>
    <w:pPr>
      <w:tabs>
        <w:tab w:val="right" w:leader="dot" w:pos="9060"/>
      </w:tabs>
      <w:adjustRightInd w:val="0"/>
      <w:snapToGrid w:val="0"/>
      <w:spacing w:line="360" w:lineRule="auto"/>
      <w:jc w:val="left"/>
      <w:textAlignment w:val="baseline"/>
    </w:pPr>
    <w:rPr>
      <w:rFonts w:ascii="宋体" w:hAnsi="宋体"/>
      <w:caps/>
      <w:kern w:val="0"/>
      <w:sz w:val="24"/>
      <w:szCs w:val="32"/>
    </w:rPr>
  </w:style>
  <w:style w:type="paragraph" w:styleId="28">
    <w:name w:val="footnote text"/>
    <w:basedOn w:val="1"/>
    <w:link w:val="107"/>
    <w:qFormat/>
    <w:uiPriority w:val="0"/>
    <w:pPr>
      <w:snapToGrid w:val="0"/>
      <w:spacing w:line="360" w:lineRule="auto"/>
      <w:ind w:firstLine="523" w:firstLineChars="218"/>
      <w:jc w:val="left"/>
    </w:pPr>
    <w:rPr>
      <w:rFonts w:ascii="宋体" w:hAnsi="宋体"/>
      <w:sz w:val="18"/>
      <w:szCs w:val="18"/>
    </w:rPr>
  </w:style>
  <w:style w:type="paragraph" w:styleId="29">
    <w:name w:val="Body Text Indent 3"/>
    <w:basedOn w:val="1"/>
    <w:link w:val="85"/>
    <w:qFormat/>
    <w:uiPriority w:val="0"/>
    <w:pPr>
      <w:tabs>
        <w:tab w:val="left" w:pos="0"/>
      </w:tabs>
      <w:spacing w:line="400" w:lineRule="exact"/>
      <w:ind w:left="563" w:leftChars="228" w:hanging="84" w:hangingChars="35"/>
    </w:pPr>
    <w:rPr>
      <w:rFonts w:ascii="Times New Roman" w:hAnsi="Times New Roman"/>
      <w:color w:val="000000"/>
      <w:sz w:val="24"/>
      <w:szCs w:val="20"/>
    </w:rPr>
  </w:style>
  <w:style w:type="paragraph" w:styleId="30">
    <w:name w:val="toc 2"/>
    <w:basedOn w:val="1"/>
    <w:next w:val="1"/>
    <w:qFormat/>
    <w:uiPriority w:val="39"/>
    <w:pPr>
      <w:tabs>
        <w:tab w:val="right" w:leader="dot" w:pos="9060"/>
      </w:tabs>
      <w:snapToGrid w:val="0"/>
      <w:spacing w:line="360" w:lineRule="auto"/>
      <w:ind w:left="420" w:leftChars="200"/>
      <w:jc w:val="left"/>
    </w:pPr>
    <w:rPr>
      <w:rFonts w:ascii="Times New Roman" w:hAnsi="Times New Roman"/>
      <w:sz w:val="24"/>
      <w:szCs w:val="24"/>
    </w:rPr>
  </w:style>
  <w:style w:type="paragraph" w:styleId="31">
    <w:name w:val="Body Text 2"/>
    <w:basedOn w:val="1"/>
    <w:link w:val="89"/>
    <w:qFormat/>
    <w:uiPriority w:val="0"/>
    <w:rPr>
      <w:rFonts w:ascii="宋体" w:hAnsi="宋体"/>
      <w:szCs w:val="24"/>
      <w:u w:val="single"/>
    </w:rPr>
  </w:style>
  <w:style w:type="paragraph" w:styleId="32">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33">
    <w:name w:val="Normal (Web)"/>
    <w:basedOn w:val="1"/>
    <w:qFormat/>
    <w:uiPriority w:val="0"/>
    <w:pPr>
      <w:widowControl/>
      <w:autoSpaceDE/>
      <w:autoSpaceDN/>
      <w:spacing w:before="100" w:beforeAutospacing="1" w:after="100" w:afterAutospacing="1"/>
    </w:pPr>
    <w:rPr>
      <w:rFonts w:ascii="宋体" w:hAnsi="宋体" w:eastAsia="方正楷体_GB2312" w:cs="宋体"/>
      <w:sz w:val="24"/>
      <w:szCs w:val="24"/>
    </w:rPr>
  </w:style>
  <w:style w:type="paragraph" w:styleId="34">
    <w:name w:val="index 1"/>
    <w:basedOn w:val="1"/>
    <w:next w:val="1"/>
    <w:qFormat/>
    <w:uiPriority w:val="0"/>
    <w:rPr>
      <w:rFonts w:ascii="Times New Roman" w:hAnsi="Times New Roman" w:eastAsia="仿宋_GB2312"/>
      <w:sz w:val="28"/>
      <w:szCs w:val="20"/>
    </w:rPr>
  </w:style>
  <w:style w:type="paragraph" w:styleId="35">
    <w:name w:val="annotation subject"/>
    <w:basedOn w:val="17"/>
    <w:next w:val="17"/>
    <w:link w:val="109"/>
    <w:qFormat/>
    <w:uiPriority w:val="0"/>
    <w:rPr>
      <w:b/>
      <w:bCs/>
    </w:rPr>
  </w:style>
  <w:style w:type="table" w:styleId="37">
    <w:name w:val="Table Grid"/>
    <w:basedOn w:val="36"/>
    <w:qFormat/>
    <w:uiPriority w:val="0"/>
    <w:pPr>
      <w:widowControl w:val="0"/>
      <w:jc w:val="both"/>
    </w:pPr>
    <w:rPr>
      <w:rFonts w:ascii="Times New Roman" w:hAnsi="Times New Roma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Strong"/>
    <w:qFormat/>
    <w:uiPriority w:val="0"/>
    <w:rPr>
      <w:b/>
    </w:rPr>
  </w:style>
  <w:style w:type="character" w:styleId="40">
    <w:name w:val="endnote reference"/>
    <w:qFormat/>
    <w:uiPriority w:val="0"/>
    <w:rPr>
      <w:vertAlign w:val="superscript"/>
    </w:rPr>
  </w:style>
  <w:style w:type="character" w:styleId="41">
    <w:name w:val="page number"/>
    <w:qFormat/>
    <w:uiPriority w:val="0"/>
    <w:rPr>
      <w:rFonts w:cs="Times New Roman"/>
    </w:rPr>
  </w:style>
  <w:style w:type="character" w:styleId="42">
    <w:name w:val="FollowedHyperlink"/>
    <w:semiHidden/>
    <w:unhideWhenUsed/>
    <w:qFormat/>
    <w:uiPriority w:val="99"/>
    <w:rPr>
      <w:color w:val="954F72"/>
      <w:u w:val="single"/>
    </w:rPr>
  </w:style>
  <w:style w:type="character" w:styleId="43">
    <w:name w:val="Hyperlink"/>
    <w:qFormat/>
    <w:uiPriority w:val="99"/>
    <w:rPr>
      <w:color w:val="0000FF"/>
      <w:u w:val="single"/>
    </w:rPr>
  </w:style>
  <w:style w:type="character" w:styleId="44">
    <w:name w:val="annotation reference"/>
    <w:qFormat/>
    <w:uiPriority w:val="0"/>
    <w:rPr>
      <w:sz w:val="21"/>
      <w:szCs w:val="21"/>
    </w:rPr>
  </w:style>
  <w:style w:type="character" w:styleId="45">
    <w:name w:val="footnote reference"/>
    <w:qFormat/>
    <w:uiPriority w:val="0"/>
    <w:rPr>
      <w:vertAlign w:val="superscript"/>
    </w:rPr>
  </w:style>
  <w:style w:type="character" w:customStyle="1" w:styleId="46">
    <w:name w:val="标题 3 Char"/>
    <w:link w:val="8"/>
    <w:qFormat/>
    <w:uiPriority w:val="0"/>
    <w:rPr>
      <w:rFonts w:ascii="宋体" w:hAnsi="宋体" w:eastAsia="宋体" w:cs="宋体"/>
      <w:kern w:val="0"/>
      <w:sz w:val="24"/>
      <w:szCs w:val="27"/>
    </w:rPr>
  </w:style>
  <w:style w:type="character" w:customStyle="1" w:styleId="47">
    <w:name w:val="标题 1 字符"/>
    <w:qFormat/>
    <w:uiPriority w:val="9"/>
    <w:rPr>
      <w:rFonts w:ascii="Calibri" w:hAnsi="Calibri" w:eastAsia="宋体" w:cs="Times New Roman"/>
      <w:b/>
      <w:bCs/>
      <w:kern w:val="44"/>
      <w:sz w:val="44"/>
      <w:szCs w:val="44"/>
    </w:rPr>
  </w:style>
  <w:style w:type="character" w:customStyle="1" w:styleId="48">
    <w:name w:val="标题 2 字符"/>
    <w:semiHidden/>
    <w:qFormat/>
    <w:uiPriority w:val="9"/>
    <w:rPr>
      <w:rFonts w:ascii="等线 Light" w:hAnsi="等线 Light" w:eastAsia="等线 Light" w:cs="Times New Roman"/>
      <w:b/>
      <w:bCs/>
      <w:sz w:val="32"/>
      <w:szCs w:val="32"/>
    </w:rPr>
  </w:style>
  <w:style w:type="character" w:customStyle="1" w:styleId="49">
    <w:name w:val="标题 3 字符"/>
    <w:semiHidden/>
    <w:qFormat/>
    <w:uiPriority w:val="9"/>
    <w:rPr>
      <w:rFonts w:ascii="Calibri" w:hAnsi="Calibri" w:eastAsia="宋体" w:cs="Times New Roman"/>
      <w:b/>
      <w:bCs/>
      <w:sz w:val="32"/>
      <w:szCs w:val="32"/>
    </w:rPr>
  </w:style>
  <w:style w:type="character" w:customStyle="1" w:styleId="50">
    <w:name w:val="标题 4 字符"/>
    <w:semiHidden/>
    <w:qFormat/>
    <w:uiPriority w:val="9"/>
    <w:rPr>
      <w:rFonts w:ascii="等线 Light" w:hAnsi="等线 Light" w:eastAsia="等线 Light" w:cs="Times New Roman"/>
      <w:b/>
      <w:bCs/>
      <w:sz w:val="28"/>
      <w:szCs w:val="28"/>
    </w:rPr>
  </w:style>
  <w:style w:type="character" w:customStyle="1" w:styleId="51">
    <w:name w:val="标题 5 字符"/>
    <w:semiHidden/>
    <w:qFormat/>
    <w:uiPriority w:val="9"/>
    <w:rPr>
      <w:rFonts w:ascii="Calibri" w:hAnsi="Calibri" w:eastAsia="宋体" w:cs="Times New Roman"/>
      <w:b/>
      <w:bCs/>
      <w:sz w:val="28"/>
      <w:szCs w:val="28"/>
    </w:rPr>
  </w:style>
  <w:style w:type="character" w:customStyle="1" w:styleId="52">
    <w:name w:val="标题 6 字符"/>
    <w:semiHidden/>
    <w:qFormat/>
    <w:uiPriority w:val="9"/>
    <w:rPr>
      <w:rFonts w:ascii="等线 Light" w:hAnsi="等线 Light" w:eastAsia="等线 Light" w:cs="Times New Roman"/>
      <w:b/>
      <w:bCs/>
      <w:sz w:val="24"/>
      <w:szCs w:val="24"/>
    </w:rPr>
  </w:style>
  <w:style w:type="character" w:customStyle="1" w:styleId="53">
    <w:name w:val="标题 7 字符"/>
    <w:semiHidden/>
    <w:qFormat/>
    <w:uiPriority w:val="9"/>
    <w:rPr>
      <w:rFonts w:ascii="Calibri" w:hAnsi="Calibri" w:eastAsia="宋体" w:cs="Times New Roman"/>
      <w:b/>
      <w:bCs/>
      <w:sz w:val="24"/>
      <w:szCs w:val="24"/>
    </w:rPr>
  </w:style>
  <w:style w:type="character" w:customStyle="1" w:styleId="54">
    <w:name w:val="标题 8 字符"/>
    <w:semiHidden/>
    <w:qFormat/>
    <w:uiPriority w:val="9"/>
    <w:rPr>
      <w:rFonts w:ascii="等线 Light" w:hAnsi="等线 Light" w:eastAsia="等线 Light" w:cs="Times New Roman"/>
      <w:sz w:val="24"/>
      <w:szCs w:val="24"/>
    </w:rPr>
  </w:style>
  <w:style w:type="character" w:customStyle="1" w:styleId="55">
    <w:name w:val="标题 9 字符"/>
    <w:semiHidden/>
    <w:qFormat/>
    <w:uiPriority w:val="9"/>
    <w:rPr>
      <w:rFonts w:ascii="等线 Light" w:hAnsi="等线 Light" w:eastAsia="等线 Light" w:cs="Times New Roman"/>
      <w:szCs w:val="21"/>
    </w:rPr>
  </w:style>
  <w:style w:type="character" w:customStyle="1" w:styleId="56">
    <w:name w:val="页眉 字符"/>
    <w:semiHidden/>
    <w:qFormat/>
    <w:uiPriority w:val="99"/>
    <w:rPr>
      <w:rFonts w:ascii="Calibri" w:hAnsi="Calibri" w:eastAsia="宋体" w:cs="Times New Roman"/>
      <w:sz w:val="18"/>
      <w:szCs w:val="18"/>
    </w:rPr>
  </w:style>
  <w:style w:type="character" w:customStyle="1" w:styleId="57">
    <w:name w:val="页眉 Char3"/>
    <w:link w:val="26"/>
    <w:qFormat/>
    <w:uiPriority w:val="0"/>
    <w:rPr>
      <w:rFonts w:ascii="Calibri" w:hAnsi="Calibri" w:eastAsia="宋体" w:cs="Times New Roman"/>
      <w:sz w:val="18"/>
      <w:szCs w:val="18"/>
    </w:rPr>
  </w:style>
  <w:style w:type="character" w:customStyle="1" w:styleId="58">
    <w:name w:val="页脚 字符"/>
    <w:semiHidden/>
    <w:qFormat/>
    <w:uiPriority w:val="99"/>
    <w:rPr>
      <w:rFonts w:ascii="Calibri" w:hAnsi="Calibri" w:eastAsia="宋体" w:cs="Times New Roman"/>
      <w:sz w:val="18"/>
      <w:szCs w:val="18"/>
    </w:rPr>
  </w:style>
  <w:style w:type="character" w:customStyle="1" w:styleId="59">
    <w:name w:val="页脚 Char"/>
    <w:link w:val="25"/>
    <w:qFormat/>
    <w:uiPriority w:val="0"/>
    <w:rPr>
      <w:rFonts w:ascii="Calibri" w:hAnsi="Calibri" w:eastAsia="宋体" w:cs="Times New Roman"/>
      <w:sz w:val="18"/>
      <w:szCs w:val="18"/>
    </w:rPr>
  </w:style>
  <w:style w:type="character" w:customStyle="1" w:styleId="60">
    <w:name w:val="标题 1 Char"/>
    <w:link w:val="2"/>
    <w:qFormat/>
    <w:uiPriority w:val="0"/>
    <w:rPr>
      <w:rFonts w:ascii="Arial" w:hAnsi="Arial" w:eastAsia="宋体"/>
      <w:b/>
      <w:kern w:val="44"/>
      <w:sz w:val="28"/>
      <w:szCs w:val="28"/>
    </w:rPr>
  </w:style>
  <w:style w:type="character" w:customStyle="1" w:styleId="61">
    <w:name w:val="标题 2 Char"/>
    <w:link w:val="7"/>
    <w:qFormat/>
    <w:uiPriority w:val="0"/>
    <w:rPr>
      <w:rFonts w:ascii="Arial" w:hAnsi="Arial" w:eastAsia="宋体" w:cs="Times New Roman"/>
      <w:b/>
      <w:color w:val="000000"/>
      <w:sz w:val="24"/>
      <w:szCs w:val="24"/>
    </w:rPr>
  </w:style>
  <w:style w:type="character" w:customStyle="1" w:styleId="62">
    <w:name w:val="标题 4 Char"/>
    <w:link w:val="9"/>
    <w:qFormat/>
    <w:uiPriority w:val="0"/>
    <w:rPr>
      <w:rFonts w:ascii="Arial" w:hAnsi="Arial" w:eastAsia="宋体" w:cs="Times New Roman"/>
      <w:color w:val="000000"/>
      <w:szCs w:val="21"/>
    </w:rPr>
  </w:style>
  <w:style w:type="character" w:customStyle="1" w:styleId="63">
    <w:name w:val="标题 5 Char"/>
    <w:link w:val="11"/>
    <w:qFormat/>
    <w:uiPriority w:val="0"/>
    <w:rPr>
      <w:rFonts w:ascii="Arial" w:hAnsi="Arial" w:eastAsia="宋体" w:cs="Times New Roman"/>
      <w:color w:val="000000"/>
      <w:szCs w:val="21"/>
    </w:rPr>
  </w:style>
  <w:style w:type="character" w:customStyle="1" w:styleId="64">
    <w:name w:val="标题 6 Char"/>
    <w:link w:val="12"/>
    <w:qFormat/>
    <w:uiPriority w:val="0"/>
    <w:rPr>
      <w:rFonts w:ascii="Arial" w:hAnsi="Arial" w:eastAsia="黑体" w:cs="Times New Roman"/>
      <w:b/>
      <w:bCs/>
      <w:sz w:val="24"/>
      <w:szCs w:val="24"/>
    </w:rPr>
  </w:style>
  <w:style w:type="character" w:customStyle="1" w:styleId="65">
    <w:name w:val="标题 7 Char"/>
    <w:link w:val="13"/>
    <w:qFormat/>
    <w:uiPriority w:val="0"/>
    <w:rPr>
      <w:rFonts w:ascii="Times New Roman" w:hAnsi="Times New Roman" w:eastAsia="宋体" w:cs="Times New Roman"/>
      <w:b/>
      <w:sz w:val="24"/>
      <w:szCs w:val="20"/>
    </w:rPr>
  </w:style>
  <w:style w:type="character" w:customStyle="1" w:styleId="66">
    <w:name w:val="标题 8 Char"/>
    <w:link w:val="14"/>
    <w:qFormat/>
    <w:uiPriority w:val="0"/>
    <w:rPr>
      <w:rFonts w:ascii="Arial" w:hAnsi="Arial" w:eastAsia="黑体" w:cs="Times New Roman"/>
      <w:sz w:val="24"/>
      <w:szCs w:val="20"/>
    </w:rPr>
  </w:style>
  <w:style w:type="character" w:customStyle="1" w:styleId="67">
    <w:name w:val="标题 9 Char"/>
    <w:link w:val="15"/>
    <w:qFormat/>
    <w:uiPriority w:val="0"/>
    <w:rPr>
      <w:rFonts w:ascii="Arial" w:hAnsi="Arial" w:eastAsia="黑体" w:cs="Times New Roman"/>
      <w:szCs w:val="20"/>
    </w:rPr>
  </w:style>
  <w:style w:type="character" w:customStyle="1" w:styleId="68">
    <w:name w:val="标题 字符"/>
    <w:qFormat/>
    <w:uiPriority w:val="10"/>
    <w:rPr>
      <w:rFonts w:ascii="等线 Light" w:hAnsi="等线 Light" w:eastAsia="等线 Light" w:cs="Times New Roman"/>
      <w:b/>
      <w:bCs/>
      <w:sz w:val="32"/>
      <w:szCs w:val="32"/>
    </w:rPr>
  </w:style>
  <w:style w:type="character" w:customStyle="1" w:styleId="69">
    <w:name w:val="标题 Char"/>
    <w:link w:val="3"/>
    <w:qFormat/>
    <w:uiPriority w:val="0"/>
    <w:rPr>
      <w:rFonts w:ascii="Arial" w:hAnsi="Arial" w:eastAsia="宋体" w:cs="Times New Roman"/>
      <w:b/>
      <w:sz w:val="44"/>
      <w:szCs w:val="20"/>
    </w:rPr>
  </w:style>
  <w:style w:type="character" w:customStyle="1" w:styleId="70">
    <w:name w:val="正文文本 字符"/>
    <w:semiHidden/>
    <w:qFormat/>
    <w:uiPriority w:val="99"/>
    <w:rPr>
      <w:rFonts w:ascii="Calibri" w:hAnsi="Calibri" w:eastAsia="宋体" w:cs="Times New Roman"/>
    </w:rPr>
  </w:style>
  <w:style w:type="character" w:customStyle="1" w:styleId="71">
    <w:name w:val="正文文本 Char"/>
    <w:link w:val="5"/>
    <w:qFormat/>
    <w:uiPriority w:val="0"/>
    <w:rPr>
      <w:rFonts w:ascii="Times New Roman" w:hAnsi="Times New Roman" w:eastAsia="宋体" w:cs="Times New Roman"/>
      <w:szCs w:val="20"/>
    </w:rPr>
  </w:style>
  <w:style w:type="character" w:customStyle="1" w:styleId="72">
    <w:name w:val="正文首行缩进 字符"/>
    <w:basedOn w:val="70"/>
    <w:semiHidden/>
    <w:qFormat/>
    <w:uiPriority w:val="99"/>
    <w:rPr>
      <w:rFonts w:ascii="Calibri" w:hAnsi="Calibri" w:eastAsia="宋体" w:cs="Times New Roman"/>
    </w:rPr>
  </w:style>
  <w:style w:type="character" w:customStyle="1" w:styleId="73">
    <w:name w:val="正文首行缩进 Char"/>
    <w:link w:val="4"/>
    <w:qFormat/>
    <w:uiPriority w:val="0"/>
  </w:style>
  <w:style w:type="character" w:customStyle="1" w:styleId="74">
    <w:name w:val="日期 字符"/>
    <w:semiHidden/>
    <w:qFormat/>
    <w:uiPriority w:val="99"/>
    <w:rPr>
      <w:rFonts w:ascii="Calibri" w:hAnsi="Calibri" w:eastAsia="宋体" w:cs="Times New Roman"/>
    </w:rPr>
  </w:style>
  <w:style w:type="character" w:customStyle="1" w:styleId="75">
    <w:name w:val="日期 Char"/>
    <w:link w:val="21"/>
    <w:qFormat/>
    <w:uiPriority w:val="0"/>
    <w:rPr>
      <w:rFonts w:ascii="Times New Roman" w:hAnsi="Times New Roman" w:eastAsia="宋体" w:cs="Times New Roman"/>
      <w:szCs w:val="20"/>
    </w:rPr>
  </w:style>
  <w:style w:type="character" w:customStyle="1" w:styleId="76">
    <w:name w:val="正文文本缩进 字符"/>
    <w:semiHidden/>
    <w:qFormat/>
    <w:uiPriority w:val="99"/>
    <w:rPr>
      <w:rFonts w:ascii="Calibri" w:hAnsi="Calibri" w:eastAsia="宋体" w:cs="Times New Roman"/>
    </w:rPr>
  </w:style>
  <w:style w:type="character" w:customStyle="1" w:styleId="77">
    <w:name w:val="正文文本缩进 Char"/>
    <w:link w:val="6"/>
    <w:qFormat/>
    <w:uiPriority w:val="0"/>
    <w:rPr>
      <w:rFonts w:ascii="Times New Roman" w:hAnsi="Times New Roman" w:eastAsia="宋体" w:cs="Times New Roman"/>
      <w:sz w:val="28"/>
      <w:szCs w:val="20"/>
    </w:rPr>
  </w:style>
  <w:style w:type="character" w:customStyle="1" w:styleId="78">
    <w:name w:val="文档结构图 字符"/>
    <w:semiHidden/>
    <w:qFormat/>
    <w:uiPriority w:val="99"/>
    <w:rPr>
      <w:rFonts w:ascii="Microsoft YaHei UI" w:hAnsi="Calibri" w:eastAsia="Microsoft YaHei UI" w:cs="Times New Roman"/>
      <w:sz w:val="18"/>
      <w:szCs w:val="18"/>
    </w:rPr>
  </w:style>
  <w:style w:type="character" w:customStyle="1" w:styleId="79">
    <w:name w:val="文档结构图 Char"/>
    <w:link w:val="16"/>
    <w:qFormat/>
    <w:uiPriority w:val="0"/>
    <w:rPr>
      <w:rFonts w:ascii="Times New Roman" w:hAnsi="Times New Roman" w:eastAsia="宋体" w:cs="Times New Roman"/>
      <w:szCs w:val="20"/>
      <w:shd w:val="clear" w:color="auto" w:fill="000080"/>
    </w:rPr>
  </w:style>
  <w:style w:type="character" w:customStyle="1" w:styleId="80">
    <w:name w:val="纯文本 字符"/>
    <w:semiHidden/>
    <w:qFormat/>
    <w:uiPriority w:val="99"/>
    <w:rPr>
      <w:rFonts w:ascii="等线" w:hAnsi="Courier New" w:cs="Courier New"/>
    </w:rPr>
  </w:style>
  <w:style w:type="character" w:customStyle="1" w:styleId="81">
    <w:name w:val="纯文本 Char"/>
    <w:link w:val="20"/>
    <w:qFormat/>
    <w:uiPriority w:val="0"/>
    <w:rPr>
      <w:rFonts w:ascii="宋体" w:hAnsi="Courier New" w:eastAsia="宋体" w:cs="Times New Roman"/>
      <w:szCs w:val="20"/>
    </w:rPr>
  </w:style>
  <w:style w:type="character" w:customStyle="1" w:styleId="82">
    <w:name w:val="正文文本缩进 2 字符"/>
    <w:semiHidden/>
    <w:qFormat/>
    <w:uiPriority w:val="99"/>
    <w:rPr>
      <w:rFonts w:ascii="Calibri" w:hAnsi="Calibri" w:eastAsia="宋体" w:cs="Times New Roman"/>
    </w:rPr>
  </w:style>
  <w:style w:type="character" w:customStyle="1" w:styleId="83">
    <w:name w:val="正文文本缩进 2 Char"/>
    <w:link w:val="22"/>
    <w:qFormat/>
    <w:uiPriority w:val="0"/>
    <w:rPr>
      <w:rFonts w:ascii="Times New Roman" w:hAnsi="Times New Roman" w:eastAsia="宋体" w:cs="Times New Roman"/>
      <w:color w:val="000000"/>
      <w:sz w:val="24"/>
      <w:szCs w:val="20"/>
    </w:rPr>
  </w:style>
  <w:style w:type="character" w:customStyle="1" w:styleId="84">
    <w:name w:val="正文文本缩进 3 字符"/>
    <w:semiHidden/>
    <w:qFormat/>
    <w:uiPriority w:val="99"/>
    <w:rPr>
      <w:rFonts w:ascii="Calibri" w:hAnsi="Calibri" w:eastAsia="宋体" w:cs="Times New Roman"/>
      <w:sz w:val="16"/>
      <w:szCs w:val="16"/>
    </w:rPr>
  </w:style>
  <w:style w:type="character" w:customStyle="1" w:styleId="85">
    <w:name w:val="正文文本缩进 3 Char"/>
    <w:link w:val="29"/>
    <w:qFormat/>
    <w:uiPriority w:val="0"/>
    <w:rPr>
      <w:rFonts w:ascii="Times New Roman" w:hAnsi="Times New Roman" w:eastAsia="宋体" w:cs="Times New Roman"/>
      <w:color w:val="000000"/>
      <w:sz w:val="24"/>
      <w:szCs w:val="20"/>
    </w:rPr>
  </w:style>
  <w:style w:type="paragraph" w:customStyle="1" w:styleId="86">
    <w:name w:val="Blockquote"/>
    <w:basedOn w:val="1"/>
    <w:qFormat/>
    <w:uiPriority w:val="0"/>
    <w:pPr>
      <w:autoSpaceDE w:val="0"/>
      <w:autoSpaceDN w:val="0"/>
      <w:adjustRightInd w:val="0"/>
      <w:spacing w:before="100" w:after="100"/>
      <w:ind w:left="360" w:right="360"/>
      <w:jc w:val="left"/>
    </w:pPr>
    <w:rPr>
      <w:rFonts w:ascii="Times New Roman" w:hAnsi="Times New Roman"/>
      <w:kern w:val="0"/>
      <w:sz w:val="24"/>
      <w:szCs w:val="20"/>
    </w:rPr>
  </w:style>
  <w:style w:type="paragraph" w:customStyle="1" w:styleId="87">
    <w:name w:val="_Style 69"/>
    <w:qFormat/>
    <w:uiPriority w:val="0"/>
    <w:rPr>
      <w:rFonts w:ascii="等线" w:hAnsi="等线" w:eastAsia="等线" w:cs="Times New Roman"/>
      <w:lang w:val="en-US" w:eastAsia="zh-CN" w:bidi="ar-SA"/>
    </w:rPr>
  </w:style>
  <w:style w:type="character" w:customStyle="1" w:styleId="88">
    <w:name w:val="正文文本 2 字符"/>
    <w:semiHidden/>
    <w:qFormat/>
    <w:uiPriority w:val="99"/>
    <w:rPr>
      <w:rFonts w:ascii="Calibri" w:hAnsi="Calibri" w:eastAsia="宋体" w:cs="Times New Roman"/>
    </w:rPr>
  </w:style>
  <w:style w:type="character" w:customStyle="1" w:styleId="89">
    <w:name w:val="正文文本 2 Char"/>
    <w:link w:val="31"/>
    <w:qFormat/>
    <w:uiPriority w:val="0"/>
    <w:rPr>
      <w:rFonts w:ascii="宋体" w:hAnsi="宋体" w:eastAsia="宋体" w:cs="Times New Roman"/>
      <w:szCs w:val="24"/>
      <w:u w:val="single"/>
    </w:rPr>
  </w:style>
  <w:style w:type="paragraph" w:customStyle="1" w:styleId="90">
    <w:name w:val="表头"/>
    <w:basedOn w:val="1"/>
    <w:qFormat/>
    <w:uiPriority w:val="0"/>
    <w:pPr>
      <w:spacing w:line="360" w:lineRule="auto"/>
      <w:jc w:val="center"/>
    </w:pPr>
    <w:rPr>
      <w:rFonts w:ascii="黑体" w:hAnsi="Times New Roman" w:eastAsia="黑体"/>
      <w:kern w:val="0"/>
      <w:sz w:val="24"/>
      <w:szCs w:val="20"/>
    </w:rPr>
  </w:style>
  <w:style w:type="character" w:customStyle="1" w:styleId="91">
    <w:name w:val="尾注文本 字符"/>
    <w:semiHidden/>
    <w:qFormat/>
    <w:uiPriority w:val="99"/>
    <w:rPr>
      <w:rFonts w:ascii="Calibri" w:hAnsi="Calibri" w:eastAsia="宋体" w:cs="Times New Roman"/>
    </w:rPr>
  </w:style>
  <w:style w:type="character" w:customStyle="1" w:styleId="92">
    <w:name w:val="尾注文本 Char"/>
    <w:link w:val="23"/>
    <w:qFormat/>
    <w:uiPriority w:val="0"/>
    <w:rPr>
      <w:rFonts w:ascii="Times New Roman" w:hAnsi="Times New Roman" w:eastAsia="宋体" w:cs="Times New Roman"/>
      <w:szCs w:val="20"/>
    </w:rPr>
  </w:style>
  <w:style w:type="paragraph" w:customStyle="1" w:styleId="93">
    <w:name w:val="Char"/>
    <w:basedOn w:val="1"/>
    <w:qFormat/>
    <w:uiPriority w:val="0"/>
    <w:rPr>
      <w:rFonts w:ascii="Tahoma" w:hAnsi="Tahoma"/>
      <w:sz w:val="24"/>
      <w:szCs w:val="20"/>
    </w:rPr>
  </w:style>
  <w:style w:type="paragraph" w:customStyle="1" w:styleId="94">
    <w:name w:val="Char1"/>
    <w:basedOn w:val="1"/>
    <w:qFormat/>
    <w:uiPriority w:val="0"/>
    <w:pPr>
      <w:numPr>
        <w:ilvl w:val="0"/>
        <w:numId w:val="1"/>
      </w:numPr>
    </w:pPr>
    <w:rPr>
      <w:rFonts w:ascii="Times New Roman" w:hAnsi="Times New Roman"/>
      <w:sz w:val="24"/>
      <w:szCs w:val="24"/>
    </w:rPr>
  </w:style>
  <w:style w:type="paragraph" w:customStyle="1" w:styleId="95">
    <w:name w:val="公文抬头"/>
    <w:basedOn w:val="10"/>
    <w:qFormat/>
    <w:uiPriority w:val="0"/>
    <w:pPr>
      <w:ind w:firstLine="0"/>
    </w:pPr>
    <w:rPr>
      <w:rFonts w:ascii="仿宋_GB2312" w:eastAsia="仿宋_GB2312"/>
      <w:sz w:val="30"/>
      <w:szCs w:val="24"/>
    </w:rPr>
  </w:style>
  <w:style w:type="paragraph" w:customStyle="1" w:styleId="96">
    <w:name w:val="Char Char Char1 Char"/>
    <w:basedOn w:val="16"/>
    <w:qFormat/>
    <w:uiPriority w:val="0"/>
    <w:rPr>
      <w:rFonts w:ascii="Tahoma" w:hAnsi="Tahoma"/>
      <w:sz w:val="24"/>
      <w:szCs w:val="24"/>
    </w:rPr>
  </w:style>
  <w:style w:type="paragraph" w:customStyle="1" w:styleId="97">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98">
    <w:name w:val="公文标题"/>
    <w:basedOn w:val="8"/>
    <w:qFormat/>
    <w:uiPriority w:val="0"/>
    <w:pPr>
      <w:keepNext/>
      <w:keepLines/>
      <w:widowControl w:val="0"/>
      <w:spacing w:before="0" w:beforeAutospacing="0" w:after="0" w:afterAutospacing="0"/>
      <w:ind w:left="1469" w:right="1542"/>
    </w:pPr>
    <w:rPr>
      <w:rFonts w:hAnsi="Times New Roman" w:cs="Times New Roman"/>
      <w:b/>
      <w:kern w:val="2"/>
      <w:sz w:val="44"/>
      <w:szCs w:val="21"/>
    </w:rPr>
  </w:style>
  <w:style w:type="paragraph" w:customStyle="1" w:styleId="99">
    <w:name w:val="发文落款"/>
    <w:basedOn w:val="97"/>
    <w:qFormat/>
    <w:uiPriority w:val="0"/>
    <w:pPr>
      <w:ind w:left="4094" w:right="607" w:firstLine="0"/>
      <w:jc w:val="center"/>
    </w:pPr>
  </w:style>
  <w:style w:type="paragraph" w:customStyle="1" w:styleId="100">
    <w:name w:val="Char Char Char Char"/>
    <w:basedOn w:val="1"/>
    <w:qFormat/>
    <w:uiPriority w:val="0"/>
    <w:rPr>
      <w:rFonts w:ascii="Times New Roman" w:hAnsi="Times New Roman"/>
      <w:sz w:val="30"/>
      <w:szCs w:val="24"/>
    </w:rPr>
  </w:style>
  <w:style w:type="character" w:customStyle="1" w:styleId="101">
    <w:name w:val="批注框文本 字符"/>
    <w:semiHidden/>
    <w:qFormat/>
    <w:uiPriority w:val="99"/>
    <w:rPr>
      <w:rFonts w:ascii="Calibri" w:hAnsi="Calibri" w:eastAsia="宋体" w:cs="Times New Roman"/>
      <w:sz w:val="18"/>
      <w:szCs w:val="18"/>
    </w:rPr>
  </w:style>
  <w:style w:type="character" w:customStyle="1" w:styleId="102">
    <w:name w:val="批注框文本 Char"/>
    <w:link w:val="24"/>
    <w:qFormat/>
    <w:uiPriority w:val="0"/>
    <w:rPr>
      <w:rFonts w:ascii="Times New Roman" w:hAnsi="Times New Roman" w:eastAsia="宋体" w:cs="Times New Roman"/>
      <w:sz w:val="18"/>
      <w:szCs w:val="18"/>
    </w:rPr>
  </w:style>
  <w:style w:type="paragraph" w:customStyle="1" w:styleId="103">
    <w:name w:val="TOC 标题1"/>
    <w:basedOn w:val="2"/>
    <w:next w:val="1"/>
    <w:semiHidden/>
    <w:unhideWhenUsed/>
    <w:qFormat/>
    <w:uiPriority w:val="39"/>
    <w:pPr>
      <w:widowControl/>
      <w:spacing w:before="480" w:after="0" w:line="276" w:lineRule="auto"/>
      <w:outlineLvl w:val="9"/>
    </w:pPr>
    <w:rPr>
      <w:rFonts w:ascii="Cambria" w:hAnsi="Cambria"/>
      <w:color w:val="365F91"/>
      <w:kern w:val="0"/>
    </w:rPr>
  </w:style>
  <w:style w:type="character" w:customStyle="1" w:styleId="104">
    <w:name w:val="批注文字 字符"/>
    <w:semiHidden/>
    <w:qFormat/>
    <w:uiPriority w:val="99"/>
    <w:rPr>
      <w:rFonts w:ascii="Calibri" w:hAnsi="Calibri" w:eastAsia="宋体" w:cs="Times New Roman"/>
    </w:rPr>
  </w:style>
  <w:style w:type="character" w:customStyle="1" w:styleId="105">
    <w:name w:val="批注文字 Char"/>
    <w:link w:val="17"/>
    <w:qFormat/>
    <w:uiPriority w:val="0"/>
    <w:rPr>
      <w:rFonts w:ascii="宋体" w:hAnsi="宋体" w:eastAsia="宋体" w:cs="Times New Roman"/>
      <w:sz w:val="24"/>
      <w:szCs w:val="24"/>
    </w:rPr>
  </w:style>
  <w:style w:type="character" w:customStyle="1" w:styleId="106">
    <w:name w:val="脚注文本 字符"/>
    <w:semiHidden/>
    <w:qFormat/>
    <w:uiPriority w:val="99"/>
    <w:rPr>
      <w:rFonts w:ascii="Calibri" w:hAnsi="Calibri" w:eastAsia="宋体" w:cs="Times New Roman"/>
      <w:sz w:val="18"/>
      <w:szCs w:val="18"/>
    </w:rPr>
  </w:style>
  <w:style w:type="character" w:customStyle="1" w:styleId="107">
    <w:name w:val="脚注文本 Char"/>
    <w:link w:val="28"/>
    <w:qFormat/>
    <w:uiPriority w:val="0"/>
    <w:rPr>
      <w:rFonts w:ascii="宋体" w:hAnsi="宋体" w:eastAsia="宋体" w:cs="Times New Roman"/>
      <w:sz w:val="18"/>
      <w:szCs w:val="18"/>
    </w:rPr>
  </w:style>
  <w:style w:type="character" w:customStyle="1" w:styleId="108">
    <w:name w:val="批注主题 字符"/>
    <w:semiHidden/>
    <w:qFormat/>
    <w:uiPriority w:val="99"/>
    <w:rPr>
      <w:rFonts w:ascii="Calibri" w:hAnsi="Calibri" w:eastAsia="宋体" w:cs="Times New Roman"/>
      <w:b/>
      <w:bCs/>
    </w:rPr>
  </w:style>
  <w:style w:type="character" w:customStyle="1" w:styleId="109">
    <w:name w:val="批注主题 Char"/>
    <w:link w:val="35"/>
    <w:qFormat/>
    <w:uiPriority w:val="0"/>
    <w:rPr>
      <w:rFonts w:ascii="宋体" w:hAnsi="宋体" w:eastAsia="宋体" w:cs="Times New Roman"/>
      <w:b/>
      <w:bCs/>
      <w:sz w:val="24"/>
      <w:szCs w:val="24"/>
    </w:rPr>
  </w:style>
  <w:style w:type="paragraph" w:styleId="110">
    <w:name w:val="List Paragraph"/>
    <w:basedOn w:val="1"/>
    <w:qFormat/>
    <w:uiPriority w:val="34"/>
    <w:pPr>
      <w:ind w:firstLine="420" w:firstLineChars="200"/>
    </w:pPr>
    <w:rPr>
      <w:rFonts w:ascii="Times New Roman" w:hAnsi="Times New Roman"/>
      <w:szCs w:val="20"/>
    </w:rPr>
  </w:style>
  <w:style w:type="paragraph" w:customStyle="1" w:styleId="111">
    <w:name w:val="修订1"/>
    <w:hidden/>
    <w:semiHidden/>
    <w:qFormat/>
    <w:uiPriority w:val="99"/>
    <w:rPr>
      <w:rFonts w:ascii="Times New Roman" w:hAnsi="Times New Roman" w:eastAsia="宋体" w:cs="Times New Roman"/>
      <w:kern w:val="2"/>
      <w:sz w:val="21"/>
      <w:lang w:val="en-US" w:eastAsia="zh-CN" w:bidi="ar-SA"/>
    </w:rPr>
  </w:style>
  <w:style w:type="paragraph" w:customStyle="1" w:styleId="112">
    <w:name w:val="修订2"/>
    <w:hidden/>
    <w:unhideWhenUsed/>
    <w:qFormat/>
    <w:uiPriority w:val="99"/>
    <w:rPr>
      <w:rFonts w:ascii="Calibri" w:hAnsi="Calibri" w:eastAsia="宋体" w:cs="Times New Roman"/>
      <w:kern w:val="2"/>
      <w:sz w:val="21"/>
      <w:szCs w:val="22"/>
      <w:lang w:val="en-US" w:eastAsia="zh-CN" w:bidi="ar-SA"/>
    </w:rPr>
  </w:style>
  <w:style w:type="paragraph" w:customStyle="1" w:styleId="113">
    <w:name w:val="Revision"/>
    <w:hidden/>
    <w:unhideWhenUsed/>
    <w:qFormat/>
    <w:uiPriority w:val="99"/>
    <w:rPr>
      <w:rFonts w:ascii="Calibri" w:hAnsi="Calibri" w:eastAsia="宋体" w:cs="Times New Roman"/>
      <w:kern w:val="2"/>
      <w:sz w:val="21"/>
      <w:szCs w:val="22"/>
      <w:lang w:val="en-US" w:eastAsia="zh-CN" w:bidi="ar-SA"/>
    </w:rPr>
  </w:style>
  <w:style w:type="character" w:customStyle="1" w:styleId="114">
    <w:name w:val="页眉 Char"/>
    <w:qFormat/>
    <w:uiPriority w:val="99"/>
    <w:rPr>
      <w:kern w:val="2"/>
      <w:sz w:val="18"/>
      <w:szCs w:val="18"/>
      <w:lang w:val="zh-CN" w:eastAsia="zh-CN"/>
    </w:rPr>
  </w:style>
  <w:style w:type="character" w:customStyle="1" w:styleId="115">
    <w:name w:val="标准正文 Char"/>
    <w:link w:val="116"/>
    <w:qFormat/>
    <w:uiPriority w:val="0"/>
    <w:rPr>
      <w:szCs w:val="24"/>
    </w:rPr>
  </w:style>
  <w:style w:type="paragraph" w:customStyle="1" w:styleId="116">
    <w:name w:val="标准正文"/>
    <w:basedOn w:val="1"/>
    <w:link w:val="115"/>
    <w:qFormat/>
    <w:uiPriority w:val="0"/>
    <w:pPr>
      <w:tabs>
        <w:tab w:val="left" w:pos="720"/>
      </w:tabs>
      <w:spacing w:line="360" w:lineRule="auto"/>
      <w:ind w:firstLine="200" w:firstLineChars="200"/>
    </w:pPr>
    <w:rPr>
      <w:rFonts w:ascii="等线" w:hAnsi="等线" w:eastAsia="等线"/>
      <w:kern w:val="0"/>
      <w:sz w:val="20"/>
      <w:szCs w:val="24"/>
    </w:rPr>
  </w:style>
  <w:style w:type="paragraph" w:customStyle="1" w:styleId="117">
    <w:name w:val="PlainText"/>
    <w:basedOn w:val="1"/>
    <w:qFormat/>
    <w:uiPriority w:val="0"/>
    <w:pPr>
      <w:textAlignment w:val="baseline"/>
    </w:pPr>
    <w:rPr>
      <w:rFonts w:ascii="宋体" w:hAnsi="Courier New" w:cs="Calibri"/>
      <w:color w:val="000000"/>
      <w:kern w:val="0"/>
      <w:sz w:val="20"/>
      <w:szCs w:val="20"/>
    </w:rPr>
  </w:style>
  <w:style w:type="paragraph" w:styleId="118">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119">
    <w:name w:val="文二"/>
    <w:basedOn w:val="1"/>
    <w:qFormat/>
    <w:uiPriority w:val="0"/>
    <w:pPr>
      <w:jc w:val="left"/>
    </w:pPr>
    <w:rPr>
      <w:rFonts w:ascii="宋体" w:hAnsi="宋体"/>
      <w:szCs w:val="21"/>
    </w:rPr>
  </w:style>
  <w:style w:type="paragraph" w:customStyle="1" w:styleId="120">
    <w:name w:val="章节二"/>
    <w:basedOn w:val="1"/>
    <w:next w:val="1"/>
    <w:qFormat/>
    <w:uiPriority w:val="0"/>
    <w:pPr>
      <w:topLinePunct/>
      <w:adjustRightInd w:val="0"/>
      <w:snapToGrid w:val="0"/>
      <w:spacing w:beforeLines="50" w:afterLines="50"/>
      <w:jc w:val="center"/>
      <w:outlineLvl w:val="1"/>
    </w:pPr>
    <w:rPr>
      <w:rFonts w:ascii="Times New Roman" w:hAnsi="Times New Roman" w:eastAsia="黑体"/>
      <w:b/>
      <w:snapToGrid w:val="0"/>
      <w:spacing w:val="4"/>
      <w:kern w:val="0"/>
      <w:sz w:val="30"/>
      <w:szCs w:val="30"/>
    </w:rPr>
  </w:style>
  <w:style w:type="paragraph" w:customStyle="1" w:styleId="121">
    <w:name w:val="章节三"/>
    <w:basedOn w:val="1"/>
    <w:next w:val="1"/>
    <w:qFormat/>
    <w:uiPriority w:val="0"/>
    <w:pPr>
      <w:topLinePunct/>
      <w:adjustRightInd w:val="0"/>
      <w:snapToGrid w:val="0"/>
      <w:spacing w:beforeLines="50" w:afterLines="50"/>
      <w:jc w:val="left"/>
      <w:outlineLvl w:val="2"/>
    </w:pPr>
    <w:rPr>
      <w:rFonts w:ascii="黑体" w:hAnsi="宋体" w:eastAsia="黑体"/>
      <w:b/>
      <w:snapToGrid w:val="0"/>
      <w:spacing w:val="4"/>
      <w:kern w:val="0"/>
      <w:sz w:val="24"/>
      <w:szCs w:val="24"/>
    </w:rPr>
  </w:style>
  <w:style w:type="paragraph" w:customStyle="1" w:styleId="122">
    <w:name w:val="文一"/>
    <w:basedOn w:val="1"/>
    <w:qFormat/>
    <w:uiPriority w:val="0"/>
    <w:pPr>
      <w:topLinePunct/>
      <w:adjustRightInd w:val="0"/>
      <w:snapToGrid w:val="0"/>
      <w:spacing w:line="360" w:lineRule="auto"/>
      <w:ind w:firstLine="200" w:firstLineChars="200"/>
    </w:pPr>
    <w:rPr>
      <w:rFonts w:ascii="等线" w:hAnsi="等线" w:eastAsia="宋体"/>
      <w:spacing w:val="4"/>
      <w:kern w:val="0"/>
      <w:sz w:val="24"/>
      <w:szCs w:val="24"/>
    </w:rPr>
  </w:style>
  <w:style w:type="paragraph" w:customStyle="1" w:styleId="123">
    <w:name w:val="封二"/>
    <w:basedOn w:val="122"/>
    <w:next w:val="122"/>
    <w:qFormat/>
    <w:uiPriority w:val="0"/>
    <w:pPr>
      <w:ind w:firstLine="0" w:firstLineChars="0"/>
      <w:jc w:val="center"/>
    </w:pPr>
    <w:rPr>
      <w:rFonts w:eastAsia="黑体"/>
      <w:b/>
      <w:sz w:val="36"/>
      <w:szCs w:val="36"/>
    </w:rPr>
  </w:style>
  <w:style w:type="paragraph" w:customStyle="1" w:styleId="124">
    <w:name w:val="封一"/>
    <w:basedOn w:val="122"/>
    <w:next w:val="122"/>
    <w:qFormat/>
    <w:uiPriority w:val="0"/>
    <w:pPr>
      <w:ind w:firstLine="0" w:firstLineChars="0"/>
      <w:jc w:val="center"/>
    </w:pPr>
    <w:rPr>
      <w:rFonts w:eastAsia="黑体"/>
      <w:b/>
      <w:sz w:val="84"/>
      <w:szCs w:val="84"/>
    </w:rPr>
  </w:style>
  <w:style w:type="paragraph" w:customStyle="1" w:styleId="125">
    <w:name w:val="封四"/>
    <w:basedOn w:val="122"/>
    <w:next w:val="122"/>
    <w:qFormat/>
    <w:uiPriority w:val="0"/>
    <w:pPr>
      <w:jc w:val="left"/>
    </w:pPr>
    <w:rPr>
      <w:rFonts w:eastAsia="等线"/>
      <w:sz w:val="30"/>
      <w:szCs w:val="30"/>
    </w:rPr>
  </w:style>
  <w:style w:type="paragraph" w:customStyle="1" w:styleId="126">
    <w:name w:val="正题"/>
    <w:basedOn w:val="122"/>
    <w:next w:val="122"/>
    <w:qFormat/>
    <w:uiPriority w:val="0"/>
    <w:pPr>
      <w:ind w:firstLine="0" w:firstLineChars="0"/>
      <w:jc w:val="center"/>
    </w:pPr>
    <w:rPr>
      <w:rFonts w:eastAsia="黑体"/>
      <w:b/>
      <w:sz w:val="36"/>
      <w:szCs w:val="36"/>
    </w:rPr>
  </w:style>
  <w:style w:type="paragraph" w:customStyle="1" w:styleId="127">
    <w:name w:val="样式 小四 行距: 1.5 倍行距"/>
    <w:basedOn w:val="1"/>
    <w:qFormat/>
    <w:uiPriority w:val="0"/>
    <w:pPr>
      <w:keepNext w:val="0"/>
      <w:keepLines w:val="0"/>
      <w:widowControl w:val="0"/>
      <w:suppressLineNumbers w:val="0"/>
      <w:spacing w:before="0" w:beforeAutospacing="0" w:after="0" w:afterAutospacing="0"/>
      <w:ind w:left="0" w:right="0" w:firstLine="480"/>
      <w:jc w:val="both"/>
    </w:pPr>
    <w:rPr>
      <w:rFonts w:hint="default" w:ascii="Calibri" w:hAnsi="Calibri" w:eastAsia="宋体" w:cs="宋体"/>
      <w:kern w:val="2"/>
      <w:sz w:val="21"/>
      <w:szCs w:val="22"/>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91</Pages>
  <Words>17882</Words>
  <Characters>18657</Characters>
  <Lines>582</Lines>
  <Paragraphs>164</Paragraphs>
  <TotalTime>5</TotalTime>
  <ScaleCrop>false</ScaleCrop>
  <LinksUpToDate>false</LinksUpToDate>
  <CharactersWithSpaces>19475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2019-10-12T15:40:00Z</dcterms:created>
  <dc:creator>管理员</dc:creator>
  <cp:lastModifiedBy>Administrator</cp:lastModifiedBy>
  <dcterms:modified xsi:type="dcterms:W3CDTF">2025-04-21T08:56:50Z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9C707A484F5045C08BFDA7E60113C3AC_13</vt:lpwstr>
  </property>
  <property fmtid="{D5CDD505-2E9C-101B-9397-08002B2CF9AE}" pid="4" name="KSOTemplateDocerSaveRecord">
    <vt:lpwstr>eyJoZGlkIjoiZDNkNjhiMmIxM2QyZmE5YmVhNmJhM2UxYzIxYWY3YmMiLCJ1c2VySWQiOiI0MTE1MDA0NTAifQ==</vt:lpwstr>
  </property>
  <property fmtid="{D5CDD505-2E9C-101B-9397-08002B2CF9AE}" pid="5" name="_IPGFID">
    <vt:lpwstr>[DocID]=98B2E233-A81D-4CAF-A5C7-38B2D6920ECB</vt:lpwstr>
  </property>
  <property fmtid="{D5CDD505-2E9C-101B-9397-08002B2CF9AE}" pid="6" name="_IPGFLOW_P-B8DB_E-1_FP-1_CV-87F11F7C_CN-3696D12E">
    <vt:lpwstr>yEw4WvFZsge9QY/MGJxw1XLzPsZY8JSYu94PWn7epWSpx4CYebr/yNiKHocG6AvuNJqf1tVcyvDrcftZ8S+TcCPn2fn1HL+rDtaRIqBwQ6I=</vt:lpwstr>
  </property>
  <property fmtid="{D5CDD505-2E9C-101B-9397-08002B2CF9AE}" pid="7" name="_IPGFLOW_P-B8DB_E-1_FP-2_SP-1_CV-805BBB8_CN-1776F36F">
    <vt:lpwstr>yEw4WvFZsge9QY/MGJxw1ch0laAhgQ6CURyDUL4ulRbyvzU8MUuCm8Ym+odf7q9gHL/tkoPrp8SE43aSn8/yQPUw9vAnJSRZ3Ea5xZJjk+nL9LcNxVUZ1M7RynNbBtbBUlMWC2VKvojXx8s98UklRPgbyMVZG7fle4L3Enl212+VTcdt84kJYNDt8BRVvI766HZzPEXDg/clgI9h95S/PoBf8oc12DLMoXm5O4znA36AwoJd6sB9I22WKWW1gPt</vt:lpwstr>
  </property>
  <property fmtid="{D5CDD505-2E9C-101B-9397-08002B2CF9AE}" pid="8" name="_IPGFLOW_P-B8DB_E-1_FP-2_SP-2_CV-6F7BAABA_CN-A1D02E9C">
    <vt:lpwstr>tShPs6DWnGt+YmIo8m0msQC6Rz9wyVC566bOfKokRgLpYOq/3h9qc4n+JReu7r/cSgHCYIQPhp/jnu2DXhjBPXx1SjMFZbV4IUy9nG3PJ8b/zi0mZ9cQ5nJW9ZZcP8jr23Yw3sPblj3xy+eUPPtZ05A==</vt:lpwstr>
  </property>
  <property fmtid="{D5CDD505-2E9C-101B-9397-08002B2CF9AE}" pid="9" name="_IPGFLOW_P-B8DB_E-0_FP-2_CV-FB4CA461_CN-3D2655B9">
    <vt:lpwstr>DPSPMK|3|408|2|0</vt:lpwstr>
  </property>
  <property fmtid="{D5CDD505-2E9C-101B-9397-08002B2CF9AE}" pid="10" name="_IPGFLOW_P-B8DB_E-0_CV-8BD6D882_CN-C9E6EEEA">
    <vt:lpwstr>DPFPMK|3|50|3|0</vt:lpwstr>
  </property>
  <property fmtid="{D5CDD505-2E9C-101B-9397-08002B2CF9AE}" pid="11" name="_IPGFLOW_P-B8DB_E-1_FP-3_SP-1_CV-7670DE0F_CN-E3224190">
    <vt:lpwstr>vMmjQ2Kc8MOS9dL+IN31rfwNewL73jDt8n3WqRBLpZd06xpyHYDtrtWS4wXPMvcjWW5hiLD3akh5TKKl4qi3+9wyYR1fEYoDIgVPFygonBViJ2UUKGBC5i//nmr9RujGCXGLU5A8gdVKI/p7pHTDXIYYBVyrrcBRfTbtBVH0DEWzp6nOccaR92ICD/b83BF3pmV/5J71wq/PjzpQBCOlVYXt013UPTadSnQOpZfSnDKi0CNvtOODMfFqG4Qx5di</vt:lpwstr>
  </property>
  <property fmtid="{D5CDD505-2E9C-101B-9397-08002B2CF9AE}" pid="12" name="_IPGFLOW_P-B8DB_E-1_FP-3_SP-2_CV-9B65BA53_CN-2F831177">
    <vt:lpwstr>lkI3CeECyEXGgDTo2GU9a25QgcN98Q9dC44k7Opl9q0kGsNDSyaY0uFSiDbffDPfOhY/WXe3qiRhb+JOorYFDcyr03c3x490BMDD5th5mcd0=</vt:lpwstr>
  </property>
  <property fmtid="{D5CDD505-2E9C-101B-9397-08002B2CF9AE}" pid="13" name="_IPGFLOW_P-B8DB_E-0_FP-3_CV-2D4294F3_CN-727FBA">
    <vt:lpwstr>DPSPMK|3|364|2|0</vt:lpwstr>
  </property>
</Properties>
</file>