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3CF20">
      <w:pPr>
        <w:pStyle w:val="3"/>
        <w:keepNext w:val="0"/>
        <w:keepLines w:val="0"/>
        <w:jc w:val="center"/>
        <w:rPr>
          <w:rFonts w:ascii="宋体" w:hAnsi="宋体" w:eastAsia="宋体" w:cs="宋体"/>
          <w:color w:val="auto"/>
          <w:sz w:val="44"/>
          <w:szCs w:val="44"/>
          <w:highlight w:val="none"/>
          <w:lang w:val="en-US"/>
        </w:rPr>
      </w:pPr>
      <w:bookmarkStart w:id="0" w:name="_Toc86349403"/>
    </w:p>
    <w:p w14:paraId="583F977E">
      <w:pPr>
        <w:pStyle w:val="3"/>
        <w:keepNext w:val="0"/>
        <w:keepLines w:val="0"/>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新涌口花园前期物业管理服务项目</w:t>
      </w:r>
    </w:p>
    <w:p w14:paraId="57E8612D">
      <w:pPr>
        <w:pStyle w:val="3"/>
        <w:keepNext w:val="0"/>
        <w:keepLines w:val="0"/>
        <w:jc w:val="center"/>
        <w:rPr>
          <w:rFonts w:ascii="宋体" w:hAnsi="宋体" w:eastAsia="宋体" w:cs="宋体"/>
          <w:color w:val="auto"/>
          <w:sz w:val="44"/>
          <w:szCs w:val="44"/>
          <w:highlight w:val="none"/>
          <w:lang w:val="en-US"/>
        </w:rPr>
      </w:pPr>
    </w:p>
    <w:p w14:paraId="260C2F58">
      <w:pPr>
        <w:pStyle w:val="3"/>
        <w:keepNext w:val="0"/>
        <w:keepLines w:val="0"/>
        <w:jc w:val="cente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招标文件</w:t>
      </w:r>
      <w:bookmarkEnd w:id="0"/>
    </w:p>
    <w:p w14:paraId="1648E08C">
      <w:pPr>
        <w:rPr>
          <w:b/>
          <w:color w:val="auto"/>
          <w:sz w:val="32"/>
          <w:highlight w:val="none"/>
        </w:rPr>
      </w:pPr>
    </w:p>
    <w:p w14:paraId="6391F719">
      <w:pPr>
        <w:rPr>
          <w:b/>
          <w:color w:val="auto"/>
          <w:sz w:val="32"/>
          <w:highlight w:val="none"/>
        </w:rPr>
      </w:pPr>
    </w:p>
    <w:p w14:paraId="36A52F40">
      <w:pPr>
        <w:ind w:left="220"/>
        <w:rPr>
          <w:b/>
          <w:color w:val="auto"/>
          <w:sz w:val="32"/>
          <w:highlight w:val="none"/>
        </w:rPr>
      </w:pPr>
    </w:p>
    <w:p w14:paraId="34866B83">
      <w:pPr>
        <w:ind w:left="220"/>
        <w:rPr>
          <w:b/>
          <w:color w:val="auto"/>
          <w:sz w:val="32"/>
          <w:highlight w:val="none"/>
        </w:rPr>
      </w:pPr>
    </w:p>
    <w:p w14:paraId="62DBECC3">
      <w:pPr>
        <w:ind w:left="220"/>
        <w:rPr>
          <w:b/>
          <w:color w:val="auto"/>
          <w:sz w:val="32"/>
          <w:highlight w:val="none"/>
        </w:rPr>
      </w:pPr>
    </w:p>
    <w:p w14:paraId="4EB2382F">
      <w:pPr>
        <w:spacing w:line="434" w:lineRule="auto"/>
        <w:ind w:left="2836" w:right="2891"/>
        <w:jc w:val="center"/>
        <w:rPr>
          <w:b/>
          <w:color w:val="auto"/>
          <w:spacing w:val="-1"/>
          <w:sz w:val="30"/>
          <w:highlight w:val="none"/>
        </w:rPr>
      </w:pPr>
    </w:p>
    <w:p w14:paraId="55C80D17">
      <w:pPr>
        <w:spacing w:line="434" w:lineRule="auto"/>
        <w:ind w:left="2836" w:right="2891"/>
        <w:jc w:val="center"/>
        <w:rPr>
          <w:b/>
          <w:color w:val="auto"/>
          <w:spacing w:val="-1"/>
          <w:sz w:val="30"/>
          <w:highlight w:val="none"/>
        </w:rPr>
      </w:pPr>
    </w:p>
    <w:p w14:paraId="0173184B">
      <w:pPr>
        <w:spacing w:line="434" w:lineRule="auto"/>
        <w:ind w:right="2891"/>
        <w:jc w:val="center"/>
        <w:rPr>
          <w:rFonts w:hint="eastAsia" w:eastAsia="宋体"/>
          <w:b/>
          <w:color w:val="auto"/>
          <w:spacing w:val="-1"/>
          <w:sz w:val="28"/>
          <w:szCs w:val="21"/>
          <w:highlight w:val="none"/>
          <w:lang w:eastAsia="zh-CN"/>
        </w:rPr>
      </w:pPr>
      <w:r>
        <w:rPr>
          <w:rFonts w:hint="eastAsia"/>
          <w:b/>
          <w:color w:val="auto"/>
          <w:spacing w:val="-1"/>
          <w:sz w:val="28"/>
          <w:szCs w:val="21"/>
          <w:highlight w:val="none"/>
          <w:lang w:val="en-US" w:eastAsia="zh-CN"/>
        </w:rPr>
        <w:t xml:space="preserve">       </w:t>
      </w:r>
      <w:r>
        <w:rPr>
          <w:rFonts w:hint="eastAsia"/>
          <w:b/>
          <w:color w:val="auto"/>
          <w:spacing w:val="-1"/>
          <w:sz w:val="28"/>
          <w:szCs w:val="21"/>
          <w:highlight w:val="none"/>
        </w:rPr>
        <w:t>招标人：</w:t>
      </w:r>
      <w:r>
        <w:rPr>
          <w:rFonts w:hint="eastAsia"/>
          <w:b/>
          <w:color w:val="auto"/>
          <w:spacing w:val="-1"/>
          <w:sz w:val="28"/>
          <w:szCs w:val="21"/>
          <w:highlight w:val="none"/>
          <w:lang w:val="en-US" w:eastAsia="zh-CN"/>
        </w:rPr>
        <w:t>广州市天河区车陂街车陂股份合作经济联社</w:t>
      </w:r>
    </w:p>
    <w:p w14:paraId="7D2041D6">
      <w:pPr>
        <w:spacing w:line="434" w:lineRule="auto"/>
        <w:ind w:right="2891"/>
        <w:jc w:val="center"/>
        <w:rPr>
          <w:b/>
          <w:color w:val="auto"/>
          <w:spacing w:val="-1"/>
          <w:sz w:val="28"/>
          <w:szCs w:val="21"/>
          <w:highlight w:val="none"/>
        </w:rPr>
      </w:pPr>
      <w:r>
        <w:rPr>
          <w:rFonts w:hint="eastAsia"/>
          <w:b/>
          <w:color w:val="auto"/>
          <w:spacing w:val="-1"/>
          <w:sz w:val="28"/>
          <w:szCs w:val="21"/>
          <w:highlight w:val="none"/>
        </w:rPr>
        <w:t>招标代理：广东省建筑工程监理有限公司</w:t>
      </w:r>
    </w:p>
    <w:p w14:paraId="5F53A27E">
      <w:pPr>
        <w:spacing w:line="434" w:lineRule="auto"/>
        <w:ind w:left="2836" w:right="2891"/>
        <w:jc w:val="center"/>
        <w:rPr>
          <w:color w:val="auto"/>
          <w:sz w:val="20"/>
          <w:szCs w:val="20"/>
          <w:highlight w:val="none"/>
        </w:rPr>
      </w:pPr>
      <w:r>
        <w:rPr>
          <w:rFonts w:hint="eastAsia"/>
          <w:b/>
          <w:color w:val="auto"/>
          <w:sz w:val="24"/>
          <w:szCs w:val="20"/>
          <w:highlight w:val="none"/>
          <w:lang w:eastAsia="zh-CN"/>
        </w:rPr>
        <w:t>2025</w:t>
      </w:r>
      <w:r>
        <w:rPr>
          <w:rFonts w:hint="eastAsia"/>
          <w:b/>
          <w:color w:val="auto"/>
          <w:spacing w:val="-26"/>
          <w:sz w:val="24"/>
          <w:szCs w:val="20"/>
          <w:highlight w:val="none"/>
        </w:rPr>
        <w:t>年</w:t>
      </w:r>
      <w:r>
        <w:rPr>
          <w:rFonts w:hint="eastAsia"/>
          <w:b/>
          <w:color w:val="auto"/>
          <w:spacing w:val="-26"/>
          <w:sz w:val="24"/>
          <w:szCs w:val="20"/>
          <w:highlight w:val="none"/>
          <w:lang w:val="en-US" w:eastAsia="zh-CN"/>
        </w:rPr>
        <w:t>4</w:t>
      </w:r>
      <w:r>
        <w:rPr>
          <w:rFonts w:hint="eastAsia"/>
          <w:b/>
          <w:color w:val="auto"/>
          <w:spacing w:val="-51"/>
          <w:sz w:val="24"/>
          <w:szCs w:val="20"/>
          <w:highlight w:val="none"/>
        </w:rPr>
        <w:t xml:space="preserve">月 </w:t>
      </w:r>
    </w:p>
    <w:p w14:paraId="3A8D8F39">
      <w:pPr>
        <w:spacing w:before="171"/>
        <w:ind w:right="2891"/>
        <w:jc w:val="center"/>
        <w:outlineLvl w:val="0"/>
        <w:rPr>
          <w:b/>
          <w:color w:val="auto"/>
          <w:sz w:val="44"/>
          <w:highlight w:val="none"/>
        </w:rPr>
      </w:pPr>
      <w:r>
        <w:rPr>
          <w:rFonts w:hint="eastAsia"/>
          <w:color w:val="auto"/>
          <w:sz w:val="24"/>
          <w:szCs w:val="24"/>
          <w:highlight w:val="none"/>
          <w:lang w:val="en-US" w:bidi="ar-SA"/>
        </w:rPr>
        <w:br w:type="page"/>
      </w:r>
      <w:bookmarkStart w:id="1" w:name="_Toc86349405"/>
      <w:r>
        <w:rPr>
          <w:rFonts w:hint="eastAsia"/>
          <w:color w:val="auto"/>
          <w:highlight w:val="none"/>
          <w:lang w:val="en-US"/>
        </w:rPr>
        <w:t xml:space="preserve">                      </w:t>
      </w:r>
      <w:r>
        <w:rPr>
          <w:rFonts w:hint="eastAsia"/>
          <w:b/>
          <w:color w:val="auto"/>
          <w:sz w:val="44"/>
          <w:highlight w:val="none"/>
        </w:rPr>
        <w:t>目录</w:t>
      </w:r>
      <w:bookmarkEnd w:id="1"/>
    </w:p>
    <w:p w14:paraId="20304377">
      <w:pPr>
        <w:pStyle w:val="23"/>
        <w:tabs>
          <w:tab w:val="right" w:leader="dot" w:pos="10240"/>
        </w:tabs>
        <w:rPr>
          <w:color w:val="auto"/>
          <w:kern w:val="2"/>
          <w:sz w:val="21"/>
          <w:highlight w:val="none"/>
          <w:lang w:val="en-US" w:bidi="ar-SA"/>
        </w:rPr>
      </w:pPr>
      <w:r>
        <w:rPr>
          <w:rFonts w:hint="eastAsia"/>
          <w:color w:val="auto"/>
          <w:highlight w:val="none"/>
        </w:rPr>
        <w:fldChar w:fldCharType="begin"/>
      </w:r>
      <w:r>
        <w:rPr>
          <w:rFonts w:hint="eastAsia"/>
          <w:color w:val="auto"/>
          <w:highlight w:val="none"/>
        </w:rPr>
        <w:instrText xml:space="preserve"> TOC \o "1-3" \h \z \u </w:instrText>
      </w:r>
      <w:r>
        <w:rPr>
          <w:rFonts w:hint="eastAsia"/>
          <w:color w:val="auto"/>
          <w:highlight w:val="none"/>
        </w:rPr>
        <w:fldChar w:fldCharType="separate"/>
      </w:r>
    </w:p>
    <w:p w14:paraId="746600CF">
      <w:pPr>
        <w:pStyle w:val="28"/>
        <w:tabs>
          <w:tab w:val="right" w:leader="dot" w:pos="10240"/>
        </w:tabs>
        <w:spacing w:line="480" w:lineRule="auto"/>
        <w:ind w:left="0" w:leftChars="0"/>
        <w:rPr>
          <w:b/>
          <w:bCs/>
          <w:color w:val="auto"/>
          <w:kern w:val="2"/>
          <w:sz w:val="30"/>
          <w:szCs w:val="30"/>
          <w:highlight w:val="none"/>
          <w:lang w:val="en-US" w:bidi="ar-SA"/>
        </w:rPr>
      </w:pPr>
      <w:r>
        <w:rPr>
          <w:color w:val="auto"/>
          <w:highlight w:val="none"/>
        </w:rPr>
        <w:fldChar w:fldCharType="begin"/>
      </w:r>
      <w:r>
        <w:rPr>
          <w:color w:val="auto"/>
          <w:highlight w:val="none"/>
        </w:rPr>
        <w:instrText xml:space="preserve"> HYPERLINK "file:///C:\\Users\\April\\Desktop\\石马村保洁\\招标文件\\招标文件.doc" \l "_Toc86349406" </w:instrText>
      </w:r>
      <w:r>
        <w:rPr>
          <w:color w:val="auto"/>
          <w:highlight w:val="none"/>
        </w:rPr>
        <w:fldChar w:fldCharType="separate"/>
      </w:r>
      <w:r>
        <w:rPr>
          <w:rStyle w:val="39"/>
          <w:rFonts w:hint="eastAsia"/>
          <w:b/>
          <w:bCs/>
          <w:color w:val="auto"/>
          <w:sz w:val="30"/>
          <w:szCs w:val="30"/>
          <w:highlight w:val="none"/>
        </w:rPr>
        <w:t>第一</w:t>
      </w:r>
      <w:r>
        <w:rPr>
          <w:rStyle w:val="39"/>
          <w:rFonts w:hint="eastAsia"/>
          <w:b/>
          <w:bCs/>
          <w:color w:val="auto"/>
          <w:sz w:val="30"/>
          <w:szCs w:val="30"/>
          <w:highlight w:val="none"/>
          <w:lang w:val="en-US"/>
        </w:rPr>
        <w:t>部分</w:t>
      </w:r>
      <w:r>
        <w:rPr>
          <w:rStyle w:val="39"/>
          <w:rFonts w:hint="eastAsia"/>
          <w:b/>
          <w:bCs/>
          <w:color w:val="auto"/>
          <w:sz w:val="30"/>
          <w:szCs w:val="30"/>
          <w:highlight w:val="none"/>
        </w:rPr>
        <w:t xml:space="preserve"> </w:t>
      </w:r>
      <w:r>
        <w:rPr>
          <w:rStyle w:val="39"/>
          <w:rFonts w:hint="eastAsia"/>
          <w:b/>
          <w:bCs/>
          <w:color w:val="auto"/>
          <w:sz w:val="30"/>
          <w:szCs w:val="30"/>
          <w:highlight w:val="none"/>
          <w:lang w:eastAsia="zh-CN"/>
        </w:rPr>
        <w:t>招标公告</w:t>
      </w:r>
      <w:r>
        <w:rPr>
          <w:rStyle w:val="39"/>
          <w:rFonts w:hint="eastAsia"/>
          <w:b/>
          <w:bCs/>
          <w:color w:val="auto"/>
          <w:sz w:val="30"/>
          <w:szCs w:val="30"/>
          <w:highlight w:val="none"/>
        </w:rPr>
        <w:tab/>
      </w:r>
      <w:r>
        <w:rPr>
          <w:rStyle w:val="39"/>
          <w:rFonts w:hint="eastAsia"/>
          <w:b/>
          <w:bCs/>
          <w:color w:val="auto"/>
          <w:sz w:val="30"/>
          <w:szCs w:val="30"/>
          <w:highlight w:val="none"/>
        </w:rPr>
        <w:fldChar w:fldCharType="begin"/>
      </w:r>
      <w:r>
        <w:rPr>
          <w:rStyle w:val="39"/>
          <w:rFonts w:hint="eastAsia"/>
          <w:b/>
          <w:bCs/>
          <w:color w:val="auto"/>
          <w:sz w:val="30"/>
          <w:szCs w:val="30"/>
          <w:highlight w:val="none"/>
        </w:rPr>
        <w:instrText xml:space="preserve"> PAGEREF _Toc86349406 \h </w:instrText>
      </w:r>
      <w:r>
        <w:rPr>
          <w:rStyle w:val="39"/>
          <w:rFonts w:hint="eastAsia"/>
          <w:b/>
          <w:bCs/>
          <w:color w:val="auto"/>
          <w:sz w:val="30"/>
          <w:szCs w:val="30"/>
          <w:highlight w:val="none"/>
        </w:rPr>
        <w:fldChar w:fldCharType="separate"/>
      </w:r>
      <w:r>
        <w:rPr>
          <w:rStyle w:val="39"/>
          <w:rFonts w:hint="eastAsia"/>
          <w:b/>
          <w:bCs/>
          <w:color w:val="auto"/>
          <w:sz w:val="30"/>
          <w:szCs w:val="30"/>
          <w:highlight w:val="none"/>
        </w:rPr>
        <w:t>2</w:t>
      </w:r>
      <w:r>
        <w:rPr>
          <w:rStyle w:val="39"/>
          <w:rFonts w:hint="eastAsia"/>
          <w:b/>
          <w:bCs/>
          <w:color w:val="auto"/>
          <w:sz w:val="30"/>
          <w:szCs w:val="30"/>
          <w:highlight w:val="none"/>
        </w:rPr>
        <w:fldChar w:fldCharType="end"/>
      </w:r>
      <w:r>
        <w:rPr>
          <w:rStyle w:val="39"/>
          <w:rFonts w:hint="eastAsia"/>
          <w:b/>
          <w:bCs/>
          <w:color w:val="auto"/>
          <w:sz w:val="30"/>
          <w:szCs w:val="30"/>
          <w:highlight w:val="none"/>
        </w:rPr>
        <w:fldChar w:fldCharType="end"/>
      </w:r>
    </w:p>
    <w:p w14:paraId="09CC7B1A">
      <w:pPr>
        <w:pStyle w:val="28"/>
        <w:tabs>
          <w:tab w:val="right" w:leader="dot" w:pos="10240"/>
        </w:tabs>
        <w:spacing w:line="480" w:lineRule="auto"/>
        <w:ind w:left="0" w:leftChars="0"/>
        <w:rPr>
          <w:b/>
          <w:bCs/>
          <w:color w:val="auto"/>
          <w:kern w:val="2"/>
          <w:sz w:val="30"/>
          <w:szCs w:val="30"/>
          <w:highlight w:val="none"/>
          <w:lang w:val="en-US" w:bidi="ar-SA"/>
        </w:rPr>
      </w:pPr>
      <w:r>
        <w:rPr>
          <w:color w:val="auto"/>
          <w:highlight w:val="none"/>
        </w:rPr>
        <w:fldChar w:fldCharType="begin"/>
      </w:r>
      <w:r>
        <w:rPr>
          <w:color w:val="auto"/>
          <w:highlight w:val="none"/>
        </w:rPr>
        <w:instrText xml:space="preserve"> HYPERLINK "file:///C:\\Users\\April\\Desktop\\石马村保洁\\招标文件\\招标文件.doc" \l "_Toc86349407" </w:instrText>
      </w:r>
      <w:r>
        <w:rPr>
          <w:color w:val="auto"/>
          <w:highlight w:val="none"/>
        </w:rPr>
        <w:fldChar w:fldCharType="separate"/>
      </w:r>
      <w:r>
        <w:rPr>
          <w:rStyle w:val="39"/>
          <w:rFonts w:hint="eastAsia"/>
          <w:b/>
          <w:bCs/>
          <w:color w:val="auto"/>
          <w:sz w:val="30"/>
          <w:szCs w:val="30"/>
          <w:highlight w:val="none"/>
        </w:rPr>
        <w:t>第二</w:t>
      </w:r>
      <w:r>
        <w:rPr>
          <w:rStyle w:val="39"/>
          <w:rFonts w:hint="eastAsia"/>
          <w:b/>
          <w:bCs/>
          <w:color w:val="auto"/>
          <w:sz w:val="30"/>
          <w:szCs w:val="30"/>
          <w:highlight w:val="none"/>
          <w:lang w:val="en-US"/>
        </w:rPr>
        <w:t xml:space="preserve">部分 </w:t>
      </w:r>
      <w:r>
        <w:rPr>
          <w:rStyle w:val="39"/>
          <w:rFonts w:hint="eastAsia"/>
          <w:b/>
          <w:bCs/>
          <w:color w:val="auto"/>
          <w:sz w:val="30"/>
          <w:szCs w:val="30"/>
          <w:highlight w:val="none"/>
        </w:rPr>
        <w:t>投标须知</w:t>
      </w:r>
      <w:r>
        <w:rPr>
          <w:rStyle w:val="39"/>
          <w:rFonts w:hint="eastAsia"/>
          <w:b/>
          <w:bCs/>
          <w:color w:val="auto"/>
          <w:sz w:val="30"/>
          <w:szCs w:val="30"/>
          <w:highlight w:val="none"/>
        </w:rPr>
        <w:tab/>
      </w:r>
      <w:r>
        <w:rPr>
          <w:rStyle w:val="39"/>
          <w:rFonts w:hint="eastAsia"/>
          <w:b/>
          <w:bCs/>
          <w:color w:val="auto"/>
          <w:sz w:val="30"/>
          <w:szCs w:val="30"/>
          <w:highlight w:val="none"/>
        </w:rPr>
        <w:fldChar w:fldCharType="begin"/>
      </w:r>
      <w:r>
        <w:rPr>
          <w:rStyle w:val="39"/>
          <w:rFonts w:hint="eastAsia"/>
          <w:b/>
          <w:bCs/>
          <w:color w:val="auto"/>
          <w:sz w:val="30"/>
          <w:szCs w:val="30"/>
          <w:highlight w:val="none"/>
        </w:rPr>
        <w:instrText xml:space="preserve"> PAGEREF _Toc86349407 \h </w:instrText>
      </w:r>
      <w:r>
        <w:rPr>
          <w:rStyle w:val="39"/>
          <w:rFonts w:hint="eastAsia"/>
          <w:b/>
          <w:bCs/>
          <w:color w:val="auto"/>
          <w:sz w:val="30"/>
          <w:szCs w:val="30"/>
          <w:highlight w:val="none"/>
        </w:rPr>
        <w:fldChar w:fldCharType="separate"/>
      </w:r>
      <w:r>
        <w:rPr>
          <w:rStyle w:val="39"/>
          <w:rFonts w:hint="eastAsia"/>
          <w:b/>
          <w:bCs/>
          <w:color w:val="auto"/>
          <w:sz w:val="30"/>
          <w:szCs w:val="30"/>
          <w:highlight w:val="none"/>
        </w:rPr>
        <w:t>4</w:t>
      </w:r>
      <w:r>
        <w:rPr>
          <w:rStyle w:val="39"/>
          <w:rFonts w:hint="eastAsia"/>
          <w:b/>
          <w:bCs/>
          <w:color w:val="auto"/>
          <w:sz w:val="30"/>
          <w:szCs w:val="30"/>
          <w:highlight w:val="none"/>
        </w:rPr>
        <w:fldChar w:fldCharType="end"/>
      </w:r>
      <w:r>
        <w:rPr>
          <w:rStyle w:val="39"/>
          <w:rFonts w:hint="eastAsia"/>
          <w:b/>
          <w:bCs/>
          <w:color w:val="auto"/>
          <w:sz w:val="30"/>
          <w:szCs w:val="30"/>
          <w:highlight w:val="none"/>
        </w:rPr>
        <w:fldChar w:fldCharType="end"/>
      </w:r>
    </w:p>
    <w:p w14:paraId="74D8478B">
      <w:pPr>
        <w:pStyle w:val="23"/>
        <w:tabs>
          <w:tab w:val="right" w:leader="dot" w:pos="10240"/>
        </w:tabs>
        <w:spacing w:line="480" w:lineRule="auto"/>
        <w:rPr>
          <w:b/>
          <w:bCs/>
          <w:color w:val="auto"/>
          <w:kern w:val="2"/>
          <w:sz w:val="30"/>
          <w:szCs w:val="30"/>
          <w:highlight w:val="none"/>
          <w:lang w:val="en-US" w:bidi="ar-SA"/>
        </w:rPr>
      </w:pPr>
      <w:r>
        <w:rPr>
          <w:color w:val="auto"/>
          <w:highlight w:val="none"/>
        </w:rPr>
        <w:fldChar w:fldCharType="begin"/>
      </w:r>
      <w:r>
        <w:rPr>
          <w:color w:val="auto"/>
          <w:highlight w:val="none"/>
        </w:rPr>
        <w:instrText xml:space="preserve"> HYPERLINK "file:///C:\\Users\\April\\Desktop\\石马村保洁\\招标文件\\招标文件.doc" \l "_Toc86349464" </w:instrText>
      </w:r>
      <w:r>
        <w:rPr>
          <w:color w:val="auto"/>
          <w:highlight w:val="none"/>
        </w:rPr>
        <w:fldChar w:fldCharType="separate"/>
      </w:r>
      <w:r>
        <w:rPr>
          <w:rStyle w:val="39"/>
          <w:rFonts w:hint="eastAsia"/>
          <w:b/>
          <w:bCs/>
          <w:color w:val="auto"/>
          <w:sz w:val="30"/>
          <w:szCs w:val="30"/>
          <w:highlight w:val="none"/>
        </w:rPr>
        <w:t>第三</w:t>
      </w:r>
      <w:r>
        <w:rPr>
          <w:rStyle w:val="39"/>
          <w:rFonts w:hint="eastAsia"/>
          <w:b/>
          <w:bCs/>
          <w:color w:val="auto"/>
          <w:sz w:val="30"/>
          <w:szCs w:val="30"/>
          <w:highlight w:val="none"/>
          <w:lang w:val="en-US"/>
        </w:rPr>
        <w:t>部分</w:t>
      </w:r>
      <w:r>
        <w:rPr>
          <w:rStyle w:val="39"/>
          <w:rFonts w:hint="eastAsia"/>
          <w:b/>
          <w:bCs/>
          <w:color w:val="auto"/>
          <w:sz w:val="30"/>
          <w:szCs w:val="30"/>
          <w:highlight w:val="none"/>
        </w:rPr>
        <w:t xml:space="preserve"> 用户需求书</w:t>
      </w:r>
      <w:r>
        <w:rPr>
          <w:rStyle w:val="39"/>
          <w:rFonts w:hint="eastAsia"/>
          <w:b/>
          <w:bCs/>
          <w:color w:val="auto"/>
          <w:sz w:val="30"/>
          <w:szCs w:val="30"/>
          <w:highlight w:val="none"/>
        </w:rPr>
        <w:tab/>
      </w:r>
      <w:r>
        <w:rPr>
          <w:rStyle w:val="39"/>
          <w:rFonts w:hint="eastAsia"/>
          <w:b/>
          <w:bCs/>
          <w:color w:val="auto"/>
          <w:sz w:val="30"/>
          <w:szCs w:val="30"/>
          <w:highlight w:val="none"/>
        </w:rPr>
        <w:fldChar w:fldCharType="begin"/>
      </w:r>
      <w:r>
        <w:rPr>
          <w:rStyle w:val="39"/>
          <w:rFonts w:hint="eastAsia"/>
          <w:b/>
          <w:bCs/>
          <w:color w:val="auto"/>
          <w:sz w:val="30"/>
          <w:szCs w:val="30"/>
          <w:highlight w:val="none"/>
        </w:rPr>
        <w:instrText xml:space="preserve"> PAGEREF _Toc86349464 \h </w:instrText>
      </w:r>
      <w:r>
        <w:rPr>
          <w:rStyle w:val="39"/>
          <w:rFonts w:hint="eastAsia"/>
          <w:b/>
          <w:bCs/>
          <w:color w:val="auto"/>
          <w:sz w:val="30"/>
          <w:szCs w:val="30"/>
          <w:highlight w:val="none"/>
        </w:rPr>
        <w:fldChar w:fldCharType="separate"/>
      </w:r>
      <w:r>
        <w:rPr>
          <w:rStyle w:val="39"/>
          <w:rFonts w:hint="eastAsia"/>
          <w:b/>
          <w:bCs/>
          <w:color w:val="auto"/>
          <w:sz w:val="30"/>
          <w:szCs w:val="30"/>
          <w:highlight w:val="none"/>
        </w:rPr>
        <w:t>18</w:t>
      </w:r>
      <w:r>
        <w:rPr>
          <w:rStyle w:val="39"/>
          <w:rFonts w:hint="eastAsia"/>
          <w:b/>
          <w:bCs/>
          <w:color w:val="auto"/>
          <w:sz w:val="30"/>
          <w:szCs w:val="30"/>
          <w:highlight w:val="none"/>
        </w:rPr>
        <w:fldChar w:fldCharType="end"/>
      </w:r>
      <w:r>
        <w:rPr>
          <w:rStyle w:val="39"/>
          <w:rFonts w:hint="eastAsia"/>
          <w:b/>
          <w:bCs/>
          <w:color w:val="auto"/>
          <w:sz w:val="30"/>
          <w:szCs w:val="30"/>
          <w:highlight w:val="none"/>
        </w:rPr>
        <w:fldChar w:fldCharType="end"/>
      </w:r>
    </w:p>
    <w:p w14:paraId="77268DB6">
      <w:pPr>
        <w:pStyle w:val="23"/>
        <w:tabs>
          <w:tab w:val="right" w:leader="dot" w:pos="10240"/>
        </w:tabs>
        <w:spacing w:line="480" w:lineRule="auto"/>
        <w:rPr>
          <w:rFonts w:hint="eastAsia" w:eastAsia="宋体"/>
          <w:b/>
          <w:bCs/>
          <w:color w:val="auto"/>
          <w:kern w:val="2"/>
          <w:sz w:val="30"/>
          <w:szCs w:val="30"/>
          <w:highlight w:val="none"/>
          <w:lang w:val="en-US" w:eastAsia="zh-CN" w:bidi="ar-SA"/>
        </w:rPr>
      </w:pPr>
      <w:r>
        <w:rPr>
          <w:color w:val="auto"/>
          <w:highlight w:val="none"/>
        </w:rPr>
        <w:fldChar w:fldCharType="begin"/>
      </w:r>
      <w:r>
        <w:rPr>
          <w:color w:val="auto"/>
          <w:highlight w:val="none"/>
        </w:rPr>
        <w:instrText xml:space="preserve"> HYPERLINK "file:///C:\\Users\\April\\Desktop\\石马村保洁\\招标文件\\招标文件.doc" \l "_Toc86349465" </w:instrText>
      </w:r>
      <w:r>
        <w:rPr>
          <w:color w:val="auto"/>
          <w:highlight w:val="none"/>
        </w:rPr>
        <w:fldChar w:fldCharType="separate"/>
      </w:r>
      <w:r>
        <w:rPr>
          <w:rStyle w:val="39"/>
          <w:rFonts w:hint="eastAsia"/>
          <w:b/>
          <w:bCs/>
          <w:color w:val="auto"/>
          <w:sz w:val="30"/>
          <w:szCs w:val="30"/>
          <w:highlight w:val="none"/>
        </w:rPr>
        <w:t>第四</w:t>
      </w:r>
      <w:r>
        <w:rPr>
          <w:rStyle w:val="39"/>
          <w:rFonts w:hint="eastAsia"/>
          <w:b/>
          <w:bCs/>
          <w:color w:val="auto"/>
          <w:sz w:val="30"/>
          <w:szCs w:val="30"/>
          <w:highlight w:val="none"/>
          <w:lang w:val="en-US"/>
        </w:rPr>
        <w:t>部分</w:t>
      </w:r>
      <w:r>
        <w:rPr>
          <w:rStyle w:val="39"/>
          <w:rFonts w:hint="eastAsia"/>
          <w:b/>
          <w:bCs/>
          <w:color w:val="auto"/>
          <w:sz w:val="30"/>
          <w:szCs w:val="30"/>
          <w:highlight w:val="none"/>
        </w:rPr>
        <w:t xml:space="preserve"> 合同</w:t>
      </w:r>
      <w:r>
        <w:rPr>
          <w:rStyle w:val="39"/>
          <w:rFonts w:hint="eastAsia"/>
          <w:b/>
          <w:bCs/>
          <w:color w:val="auto"/>
          <w:sz w:val="30"/>
          <w:szCs w:val="30"/>
          <w:highlight w:val="none"/>
        </w:rPr>
        <w:tab/>
      </w:r>
      <w:r>
        <w:rPr>
          <w:rStyle w:val="39"/>
          <w:rFonts w:hint="eastAsia"/>
          <w:b/>
          <w:bCs/>
          <w:color w:val="auto"/>
          <w:sz w:val="30"/>
          <w:szCs w:val="30"/>
          <w:highlight w:val="none"/>
          <w:lang w:val="en-US" w:eastAsia="zh-CN"/>
        </w:rPr>
        <w:t>3</w:t>
      </w:r>
      <w:r>
        <w:rPr>
          <w:rStyle w:val="39"/>
          <w:rFonts w:hint="eastAsia"/>
          <w:b/>
          <w:bCs/>
          <w:color w:val="auto"/>
          <w:sz w:val="30"/>
          <w:szCs w:val="30"/>
          <w:highlight w:val="none"/>
        </w:rPr>
        <w:fldChar w:fldCharType="end"/>
      </w:r>
      <w:r>
        <w:rPr>
          <w:rStyle w:val="39"/>
          <w:rFonts w:hint="eastAsia"/>
          <w:b/>
          <w:bCs/>
          <w:color w:val="auto"/>
          <w:sz w:val="30"/>
          <w:szCs w:val="30"/>
          <w:highlight w:val="none"/>
          <w:lang w:val="en-US" w:eastAsia="zh-CN"/>
        </w:rPr>
        <w:t>5</w:t>
      </w:r>
    </w:p>
    <w:p w14:paraId="14960AD4">
      <w:pPr>
        <w:pStyle w:val="23"/>
        <w:tabs>
          <w:tab w:val="right" w:leader="dot" w:pos="10240"/>
        </w:tabs>
        <w:spacing w:line="480" w:lineRule="auto"/>
        <w:rPr>
          <w:b/>
          <w:bCs/>
          <w:color w:val="auto"/>
          <w:kern w:val="2"/>
          <w:sz w:val="30"/>
          <w:szCs w:val="30"/>
          <w:highlight w:val="none"/>
          <w:lang w:val="en-US" w:bidi="ar-SA"/>
        </w:rPr>
      </w:pPr>
      <w:r>
        <w:rPr>
          <w:color w:val="auto"/>
          <w:highlight w:val="none"/>
        </w:rPr>
        <w:fldChar w:fldCharType="begin"/>
      </w:r>
      <w:r>
        <w:rPr>
          <w:color w:val="auto"/>
          <w:highlight w:val="none"/>
        </w:rPr>
        <w:instrText xml:space="preserve"> HYPERLINK "file:///C:\\Users\\April\\Desktop\\石马村保洁\\招标文件\\招标文件.doc" \l "_Toc86349466" </w:instrText>
      </w:r>
      <w:r>
        <w:rPr>
          <w:color w:val="auto"/>
          <w:highlight w:val="none"/>
        </w:rPr>
        <w:fldChar w:fldCharType="separate"/>
      </w:r>
      <w:r>
        <w:rPr>
          <w:rStyle w:val="39"/>
          <w:rFonts w:hint="eastAsia"/>
          <w:b/>
          <w:bCs/>
          <w:color w:val="auto"/>
          <w:sz w:val="30"/>
          <w:szCs w:val="30"/>
          <w:highlight w:val="none"/>
        </w:rPr>
        <w:t>第</w:t>
      </w:r>
      <w:r>
        <w:rPr>
          <w:rStyle w:val="39"/>
          <w:rFonts w:hint="eastAsia"/>
          <w:b/>
          <w:bCs/>
          <w:color w:val="auto"/>
          <w:sz w:val="30"/>
          <w:szCs w:val="30"/>
          <w:highlight w:val="none"/>
          <w:lang w:val="en-US"/>
        </w:rPr>
        <w:t>五部分</w:t>
      </w:r>
      <w:r>
        <w:rPr>
          <w:rStyle w:val="39"/>
          <w:rFonts w:hint="eastAsia"/>
          <w:b/>
          <w:bCs/>
          <w:color w:val="auto"/>
          <w:sz w:val="30"/>
          <w:szCs w:val="30"/>
          <w:highlight w:val="none"/>
        </w:rPr>
        <w:t xml:space="preserve"> 评标办法</w:t>
      </w:r>
      <w:r>
        <w:rPr>
          <w:rStyle w:val="39"/>
          <w:rFonts w:hint="eastAsia"/>
          <w:b/>
          <w:bCs/>
          <w:color w:val="auto"/>
          <w:sz w:val="30"/>
          <w:szCs w:val="30"/>
          <w:highlight w:val="none"/>
        </w:rPr>
        <w:tab/>
      </w:r>
      <w:r>
        <w:rPr>
          <w:rStyle w:val="39"/>
          <w:rFonts w:hint="eastAsia"/>
          <w:b/>
          <w:bCs/>
          <w:color w:val="auto"/>
          <w:sz w:val="30"/>
          <w:szCs w:val="30"/>
          <w:highlight w:val="none"/>
        </w:rPr>
        <w:fldChar w:fldCharType="begin"/>
      </w:r>
      <w:r>
        <w:rPr>
          <w:rStyle w:val="39"/>
          <w:rFonts w:hint="eastAsia"/>
          <w:b/>
          <w:bCs/>
          <w:color w:val="auto"/>
          <w:sz w:val="30"/>
          <w:szCs w:val="30"/>
          <w:highlight w:val="none"/>
        </w:rPr>
        <w:instrText xml:space="preserve"> PAGEREF _Toc86349466 \h </w:instrText>
      </w:r>
      <w:r>
        <w:rPr>
          <w:rStyle w:val="39"/>
          <w:rFonts w:hint="eastAsia"/>
          <w:b/>
          <w:bCs/>
          <w:color w:val="auto"/>
          <w:sz w:val="30"/>
          <w:szCs w:val="30"/>
          <w:highlight w:val="none"/>
        </w:rPr>
        <w:fldChar w:fldCharType="separate"/>
      </w:r>
      <w:r>
        <w:rPr>
          <w:rStyle w:val="39"/>
          <w:rFonts w:hint="eastAsia"/>
          <w:b/>
          <w:bCs/>
          <w:color w:val="auto"/>
          <w:sz w:val="30"/>
          <w:szCs w:val="30"/>
          <w:highlight w:val="none"/>
        </w:rPr>
        <w:t>36</w:t>
      </w:r>
      <w:r>
        <w:rPr>
          <w:rStyle w:val="39"/>
          <w:rFonts w:hint="eastAsia"/>
          <w:b/>
          <w:bCs/>
          <w:color w:val="auto"/>
          <w:sz w:val="30"/>
          <w:szCs w:val="30"/>
          <w:highlight w:val="none"/>
        </w:rPr>
        <w:fldChar w:fldCharType="end"/>
      </w:r>
      <w:r>
        <w:rPr>
          <w:rStyle w:val="39"/>
          <w:rFonts w:hint="eastAsia"/>
          <w:b/>
          <w:bCs/>
          <w:color w:val="auto"/>
          <w:sz w:val="30"/>
          <w:szCs w:val="30"/>
          <w:highlight w:val="none"/>
        </w:rPr>
        <w:fldChar w:fldCharType="end"/>
      </w:r>
    </w:p>
    <w:p w14:paraId="4D552AA5">
      <w:pPr>
        <w:pStyle w:val="23"/>
        <w:tabs>
          <w:tab w:val="right" w:leader="dot" w:pos="10240"/>
        </w:tabs>
        <w:spacing w:line="480" w:lineRule="auto"/>
        <w:rPr>
          <w:b/>
          <w:bCs/>
          <w:color w:val="auto"/>
          <w:kern w:val="2"/>
          <w:sz w:val="30"/>
          <w:szCs w:val="30"/>
          <w:highlight w:val="none"/>
          <w:lang w:val="en-US" w:bidi="ar-SA"/>
        </w:rPr>
      </w:pPr>
      <w:r>
        <w:rPr>
          <w:color w:val="auto"/>
          <w:highlight w:val="none"/>
        </w:rPr>
        <w:fldChar w:fldCharType="begin"/>
      </w:r>
      <w:r>
        <w:rPr>
          <w:color w:val="auto"/>
          <w:highlight w:val="none"/>
        </w:rPr>
        <w:instrText xml:space="preserve"> HYPERLINK "file:///C:\\Users\\April\\Desktop\\石马村保洁\\招标文件\\招标文件.doc" \l "_Toc86349476" </w:instrText>
      </w:r>
      <w:r>
        <w:rPr>
          <w:color w:val="auto"/>
          <w:highlight w:val="none"/>
        </w:rPr>
        <w:fldChar w:fldCharType="separate"/>
      </w:r>
      <w:r>
        <w:rPr>
          <w:rStyle w:val="39"/>
          <w:rFonts w:hint="eastAsia"/>
          <w:b/>
          <w:bCs/>
          <w:color w:val="auto"/>
          <w:sz w:val="30"/>
          <w:szCs w:val="30"/>
          <w:highlight w:val="none"/>
        </w:rPr>
        <w:t>第</w:t>
      </w:r>
      <w:r>
        <w:rPr>
          <w:rStyle w:val="39"/>
          <w:rFonts w:hint="eastAsia"/>
          <w:b/>
          <w:bCs/>
          <w:color w:val="auto"/>
          <w:sz w:val="30"/>
          <w:szCs w:val="30"/>
          <w:highlight w:val="none"/>
          <w:lang w:val="en-US"/>
        </w:rPr>
        <w:t>六部分</w:t>
      </w:r>
      <w:r>
        <w:rPr>
          <w:rStyle w:val="39"/>
          <w:rFonts w:hint="eastAsia"/>
          <w:b/>
          <w:bCs/>
          <w:color w:val="auto"/>
          <w:sz w:val="30"/>
          <w:szCs w:val="30"/>
          <w:highlight w:val="none"/>
        </w:rPr>
        <w:t xml:space="preserve"> 投标文件格式</w:t>
      </w:r>
      <w:r>
        <w:rPr>
          <w:rStyle w:val="39"/>
          <w:rFonts w:hint="eastAsia"/>
          <w:b/>
          <w:bCs/>
          <w:color w:val="auto"/>
          <w:sz w:val="30"/>
          <w:szCs w:val="30"/>
          <w:highlight w:val="none"/>
        </w:rPr>
        <w:tab/>
      </w:r>
      <w:r>
        <w:rPr>
          <w:rStyle w:val="39"/>
          <w:rFonts w:hint="eastAsia"/>
          <w:b/>
          <w:bCs/>
          <w:color w:val="auto"/>
          <w:sz w:val="30"/>
          <w:szCs w:val="30"/>
          <w:highlight w:val="none"/>
        </w:rPr>
        <w:fldChar w:fldCharType="begin"/>
      </w:r>
      <w:r>
        <w:rPr>
          <w:rStyle w:val="39"/>
          <w:rFonts w:hint="eastAsia"/>
          <w:b/>
          <w:bCs/>
          <w:color w:val="auto"/>
          <w:sz w:val="30"/>
          <w:szCs w:val="30"/>
          <w:highlight w:val="none"/>
        </w:rPr>
        <w:instrText xml:space="preserve"> PAGEREF _Toc86349476 \h </w:instrText>
      </w:r>
      <w:r>
        <w:rPr>
          <w:rStyle w:val="39"/>
          <w:rFonts w:hint="eastAsia"/>
          <w:b/>
          <w:bCs/>
          <w:color w:val="auto"/>
          <w:sz w:val="30"/>
          <w:szCs w:val="30"/>
          <w:highlight w:val="none"/>
        </w:rPr>
        <w:fldChar w:fldCharType="separate"/>
      </w:r>
      <w:r>
        <w:rPr>
          <w:rStyle w:val="39"/>
          <w:rFonts w:hint="eastAsia"/>
          <w:b/>
          <w:bCs/>
          <w:color w:val="auto"/>
          <w:sz w:val="30"/>
          <w:szCs w:val="30"/>
          <w:highlight w:val="none"/>
        </w:rPr>
        <w:t>43</w:t>
      </w:r>
      <w:r>
        <w:rPr>
          <w:rStyle w:val="39"/>
          <w:rFonts w:hint="eastAsia"/>
          <w:b/>
          <w:bCs/>
          <w:color w:val="auto"/>
          <w:sz w:val="30"/>
          <w:szCs w:val="30"/>
          <w:highlight w:val="none"/>
        </w:rPr>
        <w:fldChar w:fldCharType="end"/>
      </w:r>
      <w:r>
        <w:rPr>
          <w:rStyle w:val="39"/>
          <w:rFonts w:hint="eastAsia"/>
          <w:b/>
          <w:bCs/>
          <w:color w:val="auto"/>
          <w:sz w:val="30"/>
          <w:szCs w:val="30"/>
          <w:highlight w:val="none"/>
        </w:rPr>
        <w:fldChar w:fldCharType="end"/>
      </w:r>
    </w:p>
    <w:p w14:paraId="7DB358A5">
      <w:pPr>
        <w:rPr>
          <w:color w:val="auto"/>
          <w:highlight w:val="none"/>
        </w:rPr>
      </w:pPr>
      <w:r>
        <w:rPr>
          <w:rFonts w:hint="eastAsia"/>
          <w:b/>
          <w:bCs/>
          <w:color w:val="auto"/>
          <w:highlight w:val="none"/>
        </w:rPr>
        <w:fldChar w:fldCharType="end"/>
      </w:r>
    </w:p>
    <w:p w14:paraId="62087D60">
      <w:pPr>
        <w:rPr>
          <w:b/>
          <w:bCs/>
          <w:color w:val="auto"/>
          <w:sz w:val="28"/>
          <w:szCs w:val="28"/>
          <w:highlight w:val="none"/>
        </w:rPr>
      </w:pPr>
      <w:r>
        <w:rPr>
          <w:rFonts w:hint="eastAsia"/>
          <w:b/>
          <w:bCs/>
          <w:color w:val="auto"/>
          <w:sz w:val="28"/>
          <w:szCs w:val="28"/>
          <w:highlight w:val="none"/>
        </w:rPr>
        <w:br w:type="page"/>
      </w:r>
      <w:bookmarkStart w:id="2" w:name="_bookmark0"/>
      <w:bookmarkEnd w:id="2"/>
      <w:bookmarkStart w:id="3" w:name="五华县2019年小型水库工程设施维修养护项目公开招标公告"/>
      <w:bookmarkEnd w:id="3"/>
    </w:p>
    <w:p w14:paraId="2E8DCAD8">
      <w:pPr>
        <w:pStyle w:val="66"/>
        <w:spacing w:before="61"/>
        <w:ind w:left="2832" w:right="2891"/>
        <w:rPr>
          <w:rFonts w:hint="eastAsia" w:eastAsia="宋体"/>
          <w:color w:val="auto"/>
          <w:sz w:val="32"/>
          <w:highlight w:val="none"/>
          <w:lang w:eastAsia="zh-CN"/>
        </w:rPr>
      </w:pPr>
      <w:bookmarkStart w:id="4" w:name="_Toc86349406"/>
      <w:r>
        <w:rPr>
          <w:rFonts w:hint="eastAsia"/>
          <w:color w:val="auto"/>
          <w:sz w:val="32"/>
          <w:highlight w:val="none"/>
        </w:rPr>
        <w:t xml:space="preserve">第一部分  </w:t>
      </w:r>
      <w:bookmarkEnd w:id="4"/>
      <w:r>
        <w:rPr>
          <w:rFonts w:hint="eastAsia"/>
          <w:color w:val="auto"/>
          <w:sz w:val="32"/>
          <w:highlight w:val="none"/>
          <w:lang w:eastAsia="zh-CN"/>
        </w:rPr>
        <w:t>招标公告</w:t>
      </w:r>
    </w:p>
    <w:p w14:paraId="6B3A1813">
      <w:pPr>
        <w:pStyle w:val="12"/>
        <w:spacing w:before="7"/>
        <w:rPr>
          <w:b/>
          <w:color w:val="auto"/>
          <w:sz w:val="22"/>
          <w:highlight w:val="none"/>
          <w:lang w:val="en-US"/>
        </w:rPr>
      </w:pPr>
    </w:p>
    <w:p w14:paraId="7FAE704B">
      <w:pPr>
        <w:pStyle w:val="12"/>
        <w:spacing w:before="7" w:line="360" w:lineRule="auto"/>
        <w:jc w:val="center"/>
        <w:rPr>
          <w:rFonts w:hint="eastAsia"/>
          <w:b/>
          <w:color w:val="auto"/>
          <w:sz w:val="28"/>
          <w:szCs w:val="28"/>
          <w:highlight w:val="none"/>
          <w:lang w:eastAsia="zh-CN"/>
        </w:rPr>
      </w:pPr>
      <w:bookmarkStart w:id="5" w:name="_Hlk102984342"/>
      <w:bookmarkStart w:id="6" w:name="_Hlk157771894"/>
      <w:r>
        <w:rPr>
          <w:rFonts w:hint="eastAsia"/>
          <w:b/>
          <w:color w:val="auto"/>
          <w:sz w:val="28"/>
          <w:szCs w:val="28"/>
          <w:highlight w:val="none"/>
          <w:lang w:eastAsia="zh-CN"/>
        </w:rPr>
        <w:t>新涌口花园前期物业管理服务项目</w:t>
      </w:r>
    </w:p>
    <w:p w14:paraId="4B95770C">
      <w:pPr>
        <w:pStyle w:val="12"/>
        <w:spacing w:before="7" w:line="360" w:lineRule="auto"/>
        <w:jc w:val="center"/>
        <w:rPr>
          <w:b/>
          <w:color w:val="auto"/>
          <w:sz w:val="28"/>
          <w:szCs w:val="28"/>
          <w:highlight w:val="none"/>
          <w:lang w:val="en-US"/>
        </w:rPr>
      </w:pPr>
      <w:r>
        <w:rPr>
          <w:rFonts w:hint="eastAsia"/>
          <w:b/>
          <w:color w:val="auto"/>
          <w:sz w:val="28"/>
          <w:szCs w:val="28"/>
          <w:highlight w:val="none"/>
          <w:lang w:val="en-US"/>
        </w:rPr>
        <w:t>招标公告</w:t>
      </w:r>
    </w:p>
    <w:bookmarkEnd w:id="5"/>
    <w:p w14:paraId="7EE678A8">
      <w:pPr>
        <w:tabs>
          <w:tab w:val="left" w:pos="410"/>
        </w:tabs>
        <w:spacing w:line="360" w:lineRule="auto"/>
        <w:ind w:firstLine="482" w:firstLineChars="200"/>
        <w:rPr>
          <w:b/>
          <w:color w:val="auto"/>
          <w:sz w:val="24"/>
          <w:szCs w:val="24"/>
          <w:highlight w:val="none"/>
          <w:u w:val="single"/>
        </w:rPr>
      </w:pPr>
      <w:r>
        <w:rPr>
          <w:rFonts w:hint="eastAsia"/>
          <w:b/>
          <w:color w:val="auto"/>
          <w:sz w:val="24"/>
          <w:szCs w:val="24"/>
          <w:highlight w:val="none"/>
          <w:u w:val="single"/>
        </w:rPr>
        <w:t>广东省建筑工程监理有限公司</w:t>
      </w:r>
      <w:r>
        <w:rPr>
          <w:rFonts w:hint="eastAsia"/>
          <w:color w:val="auto"/>
          <w:sz w:val="24"/>
          <w:szCs w:val="24"/>
          <w:highlight w:val="none"/>
        </w:rPr>
        <w:t>（以下简称“</w:t>
      </w:r>
      <w:r>
        <w:rPr>
          <w:rFonts w:hint="eastAsia"/>
          <w:color w:val="auto"/>
          <w:sz w:val="24"/>
          <w:szCs w:val="24"/>
          <w:highlight w:val="none"/>
          <w:lang w:eastAsia="zh-CN"/>
        </w:rPr>
        <w:t>招标代理机构</w:t>
      </w:r>
      <w:r>
        <w:rPr>
          <w:rFonts w:hint="eastAsia"/>
          <w:color w:val="auto"/>
          <w:sz w:val="24"/>
          <w:szCs w:val="24"/>
          <w:highlight w:val="none"/>
        </w:rPr>
        <w:t>”）</w:t>
      </w:r>
      <w:r>
        <w:rPr>
          <w:rFonts w:hint="eastAsia"/>
          <w:color w:val="auto"/>
          <w:sz w:val="24"/>
          <w:szCs w:val="24"/>
          <w:highlight w:val="none"/>
          <w:lang w:val="en-US"/>
        </w:rPr>
        <w:t>受</w:t>
      </w:r>
      <w:r>
        <w:rPr>
          <w:rFonts w:hint="eastAsia"/>
          <w:b/>
          <w:color w:val="auto"/>
          <w:kern w:val="28"/>
          <w:sz w:val="24"/>
          <w:szCs w:val="24"/>
          <w:highlight w:val="none"/>
          <w:u w:val="single"/>
          <w:lang w:val="en-US" w:eastAsia="zh-CN"/>
        </w:rPr>
        <w:t xml:space="preserve">广州市天河区车陂街车陂股份合作经济联社 </w:t>
      </w:r>
      <w:r>
        <w:rPr>
          <w:rFonts w:hint="eastAsia"/>
          <w:color w:val="auto"/>
          <w:sz w:val="24"/>
          <w:szCs w:val="24"/>
          <w:highlight w:val="none"/>
        </w:rPr>
        <w:t>（以下简称“招标人”）的委托，对</w:t>
      </w:r>
      <w:r>
        <w:rPr>
          <w:rFonts w:hint="eastAsia"/>
          <w:b/>
          <w:color w:val="auto"/>
          <w:sz w:val="24"/>
          <w:szCs w:val="24"/>
          <w:highlight w:val="none"/>
          <w:u w:val="single"/>
          <w:lang w:eastAsia="zh-CN"/>
        </w:rPr>
        <w:t>新涌口花园</w:t>
      </w:r>
      <w:r>
        <w:rPr>
          <w:rFonts w:hint="eastAsia"/>
          <w:b/>
          <w:color w:val="auto"/>
          <w:sz w:val="24"/>
          <w:szCs w:val="24"/>
          <w:highlight w:val="none"/>
          <w:u w:val="single"/>
          <w:lang w:val="en-US" w:eastAsia="zh-CN"/>
        </w:rPr>
        <w:t>前期</w:t>
      </w:r>
      <w:r>
        <w:rPr>
          <w:rFonts w:hint="eastAsia"/>
          <w:b/>
          <w:color w:val="auto"/>
          <w:sz w:val="24"/>
          <w:szCs w:val="24"/>
          <w:highlight w:val="none"/>
          <w:u w:val="single"/>
          <w:lang w:eastAsia="zh-CN"/>
        </w:rPr>
        <w:t>物业管理服务项目</w:t>
      </w:r>
      <w:r>
        <w:rPr>
          <w:rFonts w:hint="eastAsia"/>
          <w:color w:val="auto"/>
          <w:kern w:val="28"/>
          <w:sz w:val="24"/>
          <w:szCs w:val="24"/>
          <w:highlight w:val="none"/>
        </w:rPr>
        <w:t>进行公开招标，欢迎符合资格条件的投标人提交投标</w:t>
      </w:r>
      <w:r>
        <w:rPr>
          <w:rFonts w:hint="eastAsia"/>
          <w:color w:val="auto"/>
          <w:kern w:val="28"/>
          <w:sz w:val="24"/>
          <w:szCs w:val="24"/>
          <w:highlight w:val="none"/>
          <w:lang w:val="en-US"/>
        </w:rPr>
        <w:t>文件</w:t>
      </w:r>
      <w:r>
        <w:rPr>
          <w:rFonts w:hint="eastAsia"/>
          <w:color w:val="auto"/>
          <w:kern w:val="28"/>
          <w:sz w:val="24"/>
          <w:szCs w:val="24"/>
          <w:highlight w:val="none"/>
        </w:rPr>
        <w:t>。</w:t>
      </w:r>
    </w:p>
    <w:p w14:paraId="53529CC5">
      <w:pPr>
        <w:spacing w:line="360" w:lineRule="auto"/>
        <w:rPr>
          <w:color w:val="auto"/>
          <w:kern w:val="28"/>
          <w:highlight w:val="none"/>
        </w:rPr>
      </w:pPr>
      <w:r>
        <w:rPr>
          <w:rFonts w:hint="eastAsia"/>
          <w:color w:val="auto"/>
          <w:kern w:val="28"/>
          <w:highlight w:val="none"/>
          <w:lang w:val="en-US" w:eastAsia="zh-CN"/>
        </w:rPr>
        <w:t>一</w:t>
      </w:r>
      <w:r>
        <w:rPr>
          <w:rFonts w:hint="eastAsia"/>
          <w:color w:val="auto"/>
          <w:kern w:val="28"/>
          <w:highlight w:val="none"/>
        </w:rPr>
        <w:t>、项目名称：</w:t>
      </w:r>
      <w:r>
        <w:rPr>
          <w:rFonts w:hint="eastAsia"/>
          <w:color w:val="auto"/>
          <w:kern w:val="28"/>
          <w:highlight w:val="none"/>
          <w:u w:val="single"/>
          <w:lang w:eastAsia="zh-CN"/>
        </w:rPr>
        <w:t>新涌口花园</w:t>
      </w:r>
      <w:r>
        <w:rPr>
          <w:rFonts w:hint="eastAsia"/>
          <w:color w:val="auto"/>
          <w:kern w:val="28"/>
          <w:highlight w:val="none"/>
          <w:u w:val="single"/>
          <w:lang w:val="en-US" w:eastAsia="zh-CN"/>
        </w:rPr>
        <w:t>前期</w:t>
      </w:r>
      <w:r>
        <w:rPr>
          <w:rFonts w:hint="eastAsia"/>
          <w:color w:val="auto"/>
          <w:kern w:val="28"/>
          <w:highlight w:val="none"/>
          <w:u w:val="single"/>
          <w:lang w:eastAsia="zh-CN"/>
        </w:rPr>
        <w:t>物业管理服务项目</w:t>
      </w:r>
      <w:r>
        <w:rPr>
          <w:rFonts w:hint="eastAsia"/>
          <w:color w:val="auto"/>
          <w:kern w:val="28"/>
          <w:highlight w:val="none"/>
        </w:rPr>
        <w:t xml:space="preserve">     </w:t>
      </w:r>
    </w:p>
    <w:p w14:paraId="78FBA536">
      <w:pPr>
        <w:spacing w:line="360" w:lineRule="auto"/>
        <w:rPr>
          <w:color w:val="auto"/>
          <w:kern w:val="28"/>
          <w:highlight w:val="none"/>
        </w:rPr>
      </w:pPr>
      <w:r>
        <w:rPr>
          <w:rFonts w:hint="eastAsia"/>
          <w:color w:val="auto"/>
          <w:kern w:val="28"/>
          <w:highlight w:val="none"/>
          <w:lang w:val="en-US" w:eastAsia="zh-CN"/>
        </w:rPr>
        <w:t>二</w:t>
      </w:r>
      <w:r>
        <w:rPr>
          <w:rFonts w:hint="eastAsia"/>
          <w:color w:val="auto"/>
          <w:kern w:val="28"/>
          <w:highlight w:val="none"/>
        </w:rPr>
        <w:t>、项目内容及需求：</w:t>
      </w:r>
    </w:p>
    <w:p w14:paraId="1437DAB8">
      <w:pPr>
        <w:ind w:firstLine="440" w:firstLineChars="200"/>
        <w:rPr>
          <w:color w:val="auto"/>
          <w:highlight w:val="none"/>
        </w:rPr>
      </w:pPr>
      <w:r>
        <w:rPr>
          <w:color w:val="auto"/>
          <w:highlight w:val="none"/>
        </w:rPr>
        <w:t>采购包1(</w:t>
      </w:r>
      <w:r>
        <w:rPr>
          <w:rFonts w:hint="eastAsia"/>
          <w:color w:val="auto"/>
          <w:highlight w:val="none"/>
        </w:rPr>
        <w:t>新涌口花园</w:t>
      </w:r>
      <w:r>
        <w:rPr>
          <w:color w:val="auto"/>
          <w:highlight w:val="none"/>
        </w:rPr>
        <w:t>物业</w:t>
      </w:r>
      <w:r>
        <w:rPr>
          <w:rFonts w:hint="eastAsia"/>
          <w:color w:val="auto"/>
          <w:highlight w:val="none"/>
          <w:lang w:val="en-US" w:eastAsia="zh-CN"/>
        </w:rPr>
        <w:t>前期</w:t>
      </w:r>
      <w:r>
        <w:rPr>
          <w:color w:val="auto"/>
          <w:highlight w:val="none"/>
        </w:rPr>
        <w:t>管理服务采购项目):</w:t>
      </w:r>
    </w:p>
    <w:p w14:paraId="15631DC0">
      <w:pPr>
        <w:ind w:firstLine="440" w:firstLineChars="200"/>
        <w:rPr>
          <w:color w:val="auto"/>
          <w:highlight w:val="none"/>
        </w:rPr>
      </w:pPr>
      <w:r>
        <w:rPr>
          <w:color w:val="auto"/>
          <w:highlight w:val="none"/>
        </w:rPr>
        <w:t>采购包预算金额：</w:t>
      </w:r>
      <w:r>
        <w:rPr>
          <w:color w:val="auto"/>
          <w:sz w:val="24"/>
          <w:highlight w:val="none"/>
        </w:rPr>
        <w:t>本项目单价最高限价：人民币2</w:t>
      </w:r>
      <w:r>
        <w:rPr>
          <w:rFonts w:hint="eastAsia"/>
          <w:color w:val="auto"/>
          <w:sz w:val="24"/>
          <w:highlight w:val="none"/>
          <w:lang w:val="en-US" w:eastAsia="zh-CN"/>
        </w:rPr>
        <w:t>.8</w:t>
      </w:r>
      <w:r>
        <w:rPr>
          <w:color w:val="auto"/>
          <w:sz w:val="24"/>
          <w:highlight w:val="none"/>
        </w:rPr>
        <w:t>元/㎡/月</w:t>
      </w:r>
      <w:r>
        <w:rPr>
          <w:rFonts w:hint="eastAsia"/>
          <w:color w:val="auto"/>
          <w:sz w:val="24"/>
          <w:highlight w:val="none"/>
          <w:lang w:eastAsia="zh-CN"/>
        </w:rPr>
        <w:t>，</w:t>
      </w:r>
      <w:r>
        <w:rPr>
          <w:rFonts w:hint="eastAsia"/>
          <w:color w:val="auto"/>
          <w:sz w:val="24"/>
          <w:highlight w:val="none"/>
          <w:lang w:val="en-US" w:eastAsia="zh-CN"/>
        </w:rPr>
        <w:t>项目预算金额40574706.80</w:t>
      </w:r>
      <w:r>
        <w:rPr>
          <w:color w:val="auto"/>
          <w:sz w:val="24"/>
          <w:highlight w:val="none"/>
        </w:rPr>
        <w:t>元</w:t>
      </w:r>
    </w:p>
    <w:tbl>
      <w:tblPr>
        <w:tblStyle w:val="34"/>
        <w:tblW w:w="0" w:type="auto"/>
        <w:tblInd w:w="5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0"/>
        <w:gridCol w:w="1575"/>
        <w:gridCol w:w="2865"/>
        <w:gridCol w:w="1470"/>
        <w:gridCol w:w="1530"/>
        <w:gridCol w:w="1365"/>
      </w:tblGrid>
      <w:tr w14:paraId="16E51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dxa"/>
            <w:vAlign w:val="center"/>
          </w:tcPr>
          <w:p w14:paraId="5CAEB450">
            <w:pPr>
              <w:jc w:val="center"/>
              <w:rPr>
                <w:color w:val="auto"/>
                <w:highlight w:val="none"/>
              </w:rPr>
            </w:pPr>
            <w:r>
              <w:rPr>
                <w:color w:val="auto"/>
                <w:highlight w:val="none"/>
              </w:rPr>
              <w:t>品目号</w:t>
            </w:r>
          </w:p>
        </w:tc>
        <w:tc>
          <w:tcPr>
            <w:tcW w:w="1575" w:type="dxa"/>
            <w:vAlign w:val="center"/>
          </w:tcPr>
          <w:p w14:paraId="1678A8ED">
            <w:pPr>
              <w:jc w:val="center"/>
              <w:rPr>
                <w:color w:val="auto"/>
                <w:highlight w:val="none"/>
              </w:rPr>
            </w:pPr>
            <w:r>
              <w:rPr>
                <w:color w:val="auto"/>
                <w:highlight w:val="none"/>
              </w:rPr>
              <w:t>品目名称</w:t>
            </w:r>
          </w:p>
        </w:tc>
        <w:tc>
          <w:tcPr>
            <w:tcW w:w="2865" w:type="dxa"/>
            <w:vAlign w:val="center"/>
          </w:tcPr>
          <w:p w14:paraId="6017F811">
            <w:pPr>
              <w:jc w:val="center"/>
              <w:rPr>
                <w:color w:val="auto"/>
                <w:highlight w:val="none"/>
              </w:rPr>
            </w:pPr>
            <w:r>
              <w:rPr>
                <w:color w:val="auto"/>
                <w:highlight w:val="none"/>
              </w:rPr>
              <w:t>采购标的</w:t>
            </w:r>
          </w:p>
        </w:tc>
        <w:tc>
          <w:tcPr>
            <w:tcW w:w="1470" w:type="dxa"/>
            <w:vAlign w:val="center"/>
          </w:tcPr>
          <w:p w14:paraId="6026B1AF">
            <w:pPr>
              <w:jc w:val="center"/>
              <w:rPr>
                <w:color w:val="auto"/>
                <w:highlight w:val="none"/>
              </w:rPr>
            </w:pPr>
            <w:r>
              <w:rPr>
                <w:color w:val="auto"/>
                <w:highlight w:val="none"/>
              </w:rPr>
              <w:t>数量（单位）</w:t>
            </w:r>
          </w:p>
        </w:tc>
        <w:tc>
          <w:tcPr>
            <w:tcW w:w="1530" w:type="dxa"/>
            <w:vAlign w:val="center"/>
          </w:tcPr>
          <w:p w14:paraId="2E99C014">
            <w:pPr>
              <w:jc w:val="center"/>
              <w:rPr>
                <w:color w:val="auto"/>
                <w:highlight w:val="none"/>
              </w:rPr>
            </w:pPr>
            <w:r>
              <w:rPr>
                <w:color w:val="auto"/>
                <w:highlight w:val="none"/>
              </w:rPr>
              <w:t>技术规格、参数及要求</w:t>
            </w:r>
          </w:p>
        </w:tc>
        <w:tc>
          <w:tcPr>
            <w:tcW w:w="1365" w:type="dxa"/>
            <w:vAlign w:val="center"/>
          </w:tcPr>
          <w:p w14:paraId="4267D6E5">
            <w:pPr>
              <w:jc w:val="center"/>
              <w:rPr>
                <w:color w:val="auto"/>
                <w:highlight w:val="none"/>
              </w:rPr>
            </w:pPr>
            <w:r>
              <w:rPr>
                <w:color w:val="auto"/>
                <w:highlight w:val="none"/>
              </w:rPr>
              <w:t>是否允许进口产品</w:t>
            </w:r>
          </w:p>
        </w:tc>
      </w:tr>
      <w:tr w14:paraId="12B6F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0" w:type="dxa"/>
            <w:vAlign w:val="center"/>
          </w:tcPr>
          <w:p w14:paraId="3EDC5512">
            <w:pPr>
              <w:jc w:val="center"/>
              <w:rPr>
                <w:color w:val="auto"/>
                <w:highlight w:val="none"/>
              </w:rPr>
            </w:pPr>
            <w:r>
              <w:rPr>
                <w:color w:val="auto"/>
                <w:highlight w:val="none"/>
              </w:rPr>
              <w:t>1-1</w:t>
            </w:r>
          </w:p>
        </w:tc>
        <w:tc>
          <w:tcPr>
            <w:tcW w:w="1575" w:type="dxa"/>
            <w:vAlign w:val="center"/>
          </w:tcPr>
          <w:p w14:paraId="082CC07B">
            <w:pPr>
              <w:jc w:val="center"/>
              <w:rPr>
                <w:color w:val="auto"/>
                <w:highlight w:val="none"/>
              </w:rPr>
            </w:pPr>
            <w:r>
              <w:rPr>
                <w:color w:val="auto"/>
                <w:highlight w:val="none"/>
              </w:rPr>
              <w:t>物业管理服务</w:t>
            </w:r>
          </w:p>
        </w:tc>
        <w:tc>
          <w:tcPr>
            <w:tcW w:w="2865" w:type="dxa"/>
            <w:vAlign w:val="center"/>
          </w:tcPr>
          <w:p w14:paraId="2E9D43EE">
            <w:pPr>
              <w:jc w:val="center"/>
              <w:rPr>
                <w:color w:val="auto"/>
                <w:highlight w:val="none"/>
              </w:rPr>
            </w:pPr>
            <w:r>
              <w:rPr>
                <w:color w:val="auto"/>
                <w:highlight w:val="none"/>
              </w:rPr>
              <w:t>确定一家中标人，为</w:t>
            </w:r>
            <w:r>
              <w:rPr>
                <w:rFonts w:hint="eastAsia"/>
                <w:color w:val="auto"/>
                <w:highlight w:val="none"/>
                <w:lang w:eastAsia="zh-CN"/>
              </w:rPr>
              <w:t>招标人</w:t>
            </w:r>
            <w:r>
              <w:rPr>
                <w:color w:val="auto"/>
                <w:highlight w:val="none"/>
              </w:rPr>
              <w:t>提供物业管理服务，本项目管理服务内容包括：综合管理服务、物业共用部位和共用设施设备维护、公共秩序维护、保洁服务、绿化养护等五项服务。</w:t>
            </w:r>
          </w:p>
        </w:tc>
        <w:tc>
          <w:tcPr>
            <w:tcW w:w="1470" w:type="dxa"/>
            <w:vAlign w:val="center"/>
          </w:tcPr>
          <w:p w14:paraId="074894B6">
            <w:pPr>
              <w:jc w:val="center"/>
              <w:rPr>
                <w:color w:val="auto"/>
                <w:highlight w:val="none"/>
              </w:rPr>
            </w:pPr>
            <w:r>
              <w:rPr>
                <w:rFonts w:hint="eastAsia"/>
                <w:color w:val="auto"/>
                <w:highlight w:val="none"/>
                <w:lang w:val="en-US" w:eastAsia="zh-CN"/>
              </w:rPr>
              <w:t>8</w:t>
            </w:r>
            <w:r>
              <w:rPr>
                <w:color w:val="auto"/>
                <w:highlight w:val="none"/>
              </w:rPr>
              <w:t>.00(年)</w:t>
            </w:r>
          </w:p>
        </w:tc>
        <w:tc>
          <w:tcPr>
            <w:tcW w:w="1530" w:type="dxa"/>
            <w:vAlign w:val="center"/>
          </w:tcPr>
          <w:p w14:paraId="17558396">
            <w:pPr>
              <w:jc w:val="center"/>
              <w:rPr>
                <w:color w:val="auto"/>
                <w:highlight w:val="none"/>
              </w:rPr>
            </w:pPr>
            <w:r>
              <w:rPr>
                <w:color w:val="auto"/>
                <w:highlight w:val="none"/>
              </w:rPr>
              <w:t>详见第二章</w:t>
            </w:r>
          </w:p>
        </w:tc>
        <w:tc>
          <w:tcPr>
            <w:tcW w:w="1365" w:type="dxa"/>
            <w:vAlign w:val="center"/>
          </w:tcPr>
          <w:p w14:paraId="23A46FAF">
            <w:pPr>
              <w:jc w:val="center"/>
              <w:rPr>
                <w:color w:val="auto"/>
                <w:highlight w:val="none"/>
              </w:rPr>
            </w:pPr>
            <w:r>
              <w:rPr>
                <w:color w:val="auto"/>
                <w:highlight w:val="none"/>
              </w:rPr>
              <w:t>否</w:t>
            </w:r>
          </w:p>
        </w:tc>
      </w:tr>
    </w:tbl>
    <w:p w14:paraId="058B8178">
      <w:pPr>
        <w:rPr>
          <w:color w:val="auto"/>
          <w:highlight w:val="none"/>
        </w:rPr>
      </w:pPr>
    </w:p>
    <w:p w14:paraId="147557D6">
      <w:pPr>
        <w:ind w:firstLine="440" w:firstLineChars="200"/>
        <w:rPr>
          <w:color w:val="auto"/>
          <w:highlight w:val="none"/>
        </w:rPr>
      </w:pPr>
      <w:r>
        <w:rPr>
          <w:color w:val="auto"/>
          <w:highlight w:val="none"/>
        </w:rPr>
        <w:t>本采购包不接受联合体投标</w:t>
      </w:r>
    </w:p>
    <w:p w14:paraId="04861A90">
      <w:pPr>
        <w:ind w:firstLine="440" w:firstLineChars="200"/>
        <w:rPr>
          <w:rFonts w:hint="default" w:eastAsia="宋体"/>
          <w:color w:val="auto"/>
          <w:highlight w:val="none"/>
          <w:lang w:val="en-US" w:eastAsia="zh-CN"/>
        </w:rPr>
      </w:pPr>
      <w:r>
        <w:rPr>
          <w:color w:val="auto"/>
          <w:highlight w:val="none"/>
        </w:rPr>
        <w:t>合同履行期限：服务期：</w:t>
      </w:r>
      <w:r>
        <w:rPr>
          <w:rFonts w:hint="eastAsia"/>
          <w:color w:val="auto"/>
          <w:highlight w:val="none"/>
          <w:lang w:val="en-US" w:eastAsia="zh-CN"/>
        </w:rPr>
        <w:t>8</w:t>
      </w:r>
      <w:r>
        <w:rPr>
          <w:color w:val="auto"/>
          <w:highlight w:val="none"/>
        </w:rPr>
        <w:t>年</w:t>
      </w:r>
      <w:r>
        <w:rPr>
          <w:rFonts w:hint="eastAsia"/>
          <w:color w:val="auto"/>
          <w:highlight w:val="none"/>
          <w:lang w:val="en-US" w:eastAsia="zh-CN"/>
        </w:rPr>
        <w:t>。</w:t>
      </w:r>
    </w:p>
    <w:p w14:paraId="674586DC">
      <w:pPr>
        <w:spacing w:line="360" w:lineRule="auto"/>
        <w:rPr>
          <w:color w:val="auto"/>
          <w:szCs w:val="21"/>
          <w:highlight w:val="none"/>
        </w:rPr>
      </w:pPr>
      <w:r>
        <w:rPr>
          <w:rFonts w:hint="eastAsia"/>
          <w:color w:val="auto"/>
          <w:szCs w:val="21"/>
          <w:highlight w:val="none"/>
          <w:lang w:val="en-US" w:eastAsia="zh-CN"/>
        </w:rPr>
        <w:t>三</w:t>
      </w:r>
      <w:r>
        <w:rPr>
          <w:rFonts w:hint="eastAsia"/>
          <w:color w:val="auto"/>
          <w:szCs w:val="21"/>
          <w:highlight w:val="none"/>
        </w:rPr>
        <w:t>、合格投标人资格要求：</w:t>
      </w:r>
    </w:p>
    <w:p w14:paraId="6D7BEB44">
      <w:pPr>
        <w:spacing w:line="360" w:lineRule="auto"/>
        <w:ind w:left="220" w:leftChars="100"/>
        <w:rPr>
          <w:color w:val="auto"/>
          <w:szCs w:val="21"/>
          <w:highlight w:val="none"/>
        </w:rPr>
      </w:pPr>
      <w:r>
        <w:rPr>
          <w:rFonts w:hint="eastAsia"/>
          <w:color w:val="auto"/>
          <w:szCs w:val="21"/>
          <w:highlight w:val="none"/>
          <w:lang w:val="en-US"/>
        </w:rPr>
        <w:t>1. 投标人须为具有独立承担民事责任能力的在中华人民共和国境内注册的法人，须提供在中华人民共和国境内注册的法人或其他组织的营业执照或事业单位法人证书或社会团体法人登记证书复印件。分支机构投标，须取得具有法人资格的总公司出具给分支机构的授权书，并提供总公司和分支机构的营业执照（执业许可证）复印件。</w:t>
      </w:r>
    </w:p>
    <w:p w14:paraId="12CE746B">
      <w:pPr>
        <w:spacing w:line="360" w:lineRule="auto"/>
        <w:ind w:left="220" w:leftChars="100"/>
        <w:rPr>
          <w:color w:val="auto"/>
          <w:szCs w:val="21"/>
          <w:highlight w:val="none"/>
          <w:lang w:val="en-US"/>
        </w:rPr>
      </w:pPr>
      <w:r>
        <w:rPr>
          <w:rFonts w:hint="eastAsia"/>
          <w:color w:val="auto"/>
          <w:szCs w:val="21"/>
          <w:highlight w:val="none"/>
          <w:lang w:val="en-US"/>
        </w:rPr>
        <w:t>2. 投标人</w:t>
      </w:r>
      <w:r>
        <w:rPr>
          <w:rFonts w:hint="eastAsia"/>
          <w:color w:val="auto"/>
          <w:highlight w:val="none"/>
        </w:rPr>
        <w:t>有依法缴纳税收和社会保障资金的良好记录</w:t>
      </w:r>
      <w:r>
        <w:rPr>
          <w:rFonts w:hint="eastAsia"/>
          <w:color w:val="auto"/>
          <w:szCs w:val="21"/>
          <w:highlight w:val="none"/>
        </w:rPr>
        <w:t>，须提供投标截止之日前6个月任意1个月依法缴纳税收和社会保障资金相关证明材料；如依法免税和依法不需要缴纳社会保障资金，则须提供相应文件证明其依法免税和不需要缴纳社会保障资金；</w:t>
      </w:r>
      <w:r>
        <w:rPr>
          <w:color w:val="auto"/>
          <w:highlight w:val="none"/>
        </w:rPr>
        <w:t>并加盖公章</w:t>
      </w:r>
      <w:r>
        <w:rPr>
          <w:rFonts w:hint="eastAsia"/>
          <w:color w:val="auto"/>
          <w:szCs w:val="21"/>
          <w:highlight w:val="none"/>
        </w:rPr>
        <w:t>。</w:t>
      </w:r>
    </w:p>
    <w:p w14:paraId="1F79CD1F">
      <w:pPr>
        <w:spacing w:line="360" w:lineRule="auto"/>
        <w:ind w:left="220" w:leftChars="100"/>
        <w:rPr>
          <w:color w:val="auto"/>
          <w:szCs w:val="21"/>
          <w:highlight w:val="none"/>
          <w:lang w:val="en-US"/>
        </w:rPr>
      </w:pPr>
      <w:r>
        <w:rPr>
          <w:rFonts w:hint="eastAsia"/>
          <w:color w:val="auto"/>
          <w:szCs w:val="21"/>
          <w:highlight w:val="none"/>
          <w:lang w:val="en-US"/>
        </w:rPr>
        <w:t>3. 投标人</w:t>
      </w:r>
      <w:r>
        <w:rPr>
          <w:rFonts w:hint="eastAsia"/>
          <w:color w:val="auto"/>
          <w:highlight w:val="none"/>
        </w:rPr>
        <w:t>具有良好的商业信誉和健全的财务会计制度，须提供</w:t>
      </w:r>
      <w:r>
        <w:rPr>
          <w:color w:val="auto"/>
          <w:highlight w:val="none"/>
        </w:rPr>
        <w:t>202</w:t>
      </w:r>
      <w:r>
        <w:rPr>
          <w:rFonts w:hint="eastAsia"/>
          <w:color w:val="auto"/>
          <w:highlight w:val="none"/>
          <w:lang w:val="en-US" w:eastAsia="zh-CN"/>
        </w:rPr>
        <w:t>2</w:t>
      </w:r>
      <w:r>
        <w:rPr>
          <w:color w:val="auto"/>
          <w:highlight w:val="none"/>
        </w:rPr>
        <w:t>年</w:t>
      </w:r>
      <w:r>
        <w:rPr>
          <w:rFonts w:hint="eastAsia"/>
          <w:color w:val="auto"/>
          <w:highlight w:val="none"/>
        </w:rPr>
        <w:t>度、2</w:t>
      </w:r>
      <w:r>
        <w:rPr>
          <w:color w:val="auto"/>
          <w:highlight w:val="none"/>
        </w:rPr>
        <w:t>02</w:t>
      </w:r>
      <w:r>
        <w:rPr>
          <w:rFonts w:hint="eastAsia"/>
          <w:color w:val="auto"/>
          <w:highlight w:val="none"/>
          <w:lang w:val="en-US" w:eastAsia="zh-CN"/>
        </w:rPr>
        <w:t>3</w:t>
      </w:r>
      <w:r>
        <w:rPr>
          <w:rFonts w:hint="eastAsia"/>
          <w:color w:val="auto"/>
          <w:highlight w:val="none"/>
        </w:rPr>
        <w:t>年度</w:t>
      </w:r>
      <w:r>
        <w:rPr>
          <w:color w:val="auto"/>
          <w:highlight w:val="none"/>
        </w:rPr>
        <w:t>的财务</w:t>
      </w:r>
      <w:r>
        <w:rPr>
          <w:rFonts w:hint="eastAsia"/>
          <w:color w:val="auto"/>
          <w:highlight w:val="none"/>
        </w:rPr>
        <w:t>审计</w:t>
      </w:r>
      <w:r>
        <w:rPr>
          <w:color w:val="auto"/>
          <w:highlight w:val="none"/>
        </w:rPr>
        <w:t>报告或者基本户开户银行出具的资信证明，若</w:t>
      </w:r>
      <w:r>
        <w:rPr>
          <w:rFonts w:hint="eastAsia"/>
          <w:color w:val="auto"/>
          <w:highlight w:val="none"/>
        </w:rPr>
        <w:t>为</w:t>
      </w:r>
      <w:r>
        <w:rPr>
          <w:color w:val="auto"/>
          <w:highlight w:val="none"/>
        </w:rPr>
        <w:t>新成立的，提供成立至今的月或季度财务状况报告复印件并加盖公章</w:t>
      </w:r>
      <w:r>
        <w:rPr>
          <w:rFonts w:hint="eastAsia"/>
          <w:color w:val="auto"/>
          <w:highlight w:val="none"/>
        </w:rPr>
        <w:t>。</w:t>
      </w:r>
    </w:p>
    <w:p w14:paraId="20334523">
      <w:pPr>
        <w:spacing w:line="360" w:lineRule="auto"/>
        <w:ind w:left="220" w:leftChars="100"/>
        <w:rPr>
          <w:color w:val="auto"/>
          <w:szCs w:val="21"/>
          <w:highlight w:val="none"/>
          <w:lang w:val="en-US"/>
        </w:rPr>
      </w:pPr>
      <w:r>
        <w:rPr>
          <w:rFonts w:hint="eastAsia"/>
          <w:color w:val="auto"/>
          <w:szCs w:val="21"/>
          <w:highlight w:val="none"/>
          <w:lang w:val="en-US"/>
        </w:rPr>
        <w:t>4.</w:t>
      </w:r>
      <w:r>
        <w:rPr>
          <w:rFonts w:hint="eastAsia"/>
          <w:color w:val="auto"/>
          <w:highlight w:val="none"/>
          <w:lang w:val="en-US"/>
        </w:rPr>
        <w:t xml:space="preserve"> </w:t>
      </w:r>
      <w:r>
        <w:rPr>
          <w:rFonts w:hint="eastAsia"/>
          <w:color w:val="auto"/>
          <w:szCs w:val="21"/>
          <w:highlight w:val="none"/>
          <w:lang w:val="en-US"/>
        </w:rPr>
        <w:t>投标人具有</w:t>
      </w:r>
      <w:r>
        <w:rPr>
          <w:rFonts w:hint="eastAsia"/>
          <w:color w:val="auto"/>
          <w:highlight w:val="none"/>
        </w:rPr>
        <w:t>履行合同所必需的设备和专业技术能力：提供承诺函，格式自拟，具体详见用户需求书。</w:t>
      </w:r>
    </w:p>
    <w:p w14:paraId="560763C8">
      <w:pPr>
        <w:spacing w:line="360" w:lineRule="auto"/>
        <w:ind w:left="220" w:leftChars="100"/>
        <w:rPr>
          <w:color w:val="auto"/>
          <w:szCs w:val="21"/>
          <w:highlight w:val="none"/>
          <w:lang w:val="en-US"/>
        </w:rPr>
      </w:pPr>
      <w:r>
        <w:rPr>
          <w:rFonts w:hint="eastAsia"/>
          <w:color w:val="auto"/>
          <w:szCs w:val="21"/>
          <w:highlight w:val="none"/>
          <w:lang w:val="en-US"/>
        </w:rPr>
        <w:t>5.</w:t>
      </w:r>
      <w:r>
        <w:rPr>
          <w:rFonts w:hint="eastAsia"/>
          <w:color w:val="auto"/>
          <w:highlight w:val="none"/>
          <w:lang w:val="en-US"/>
        </w:rPr>
        <w:t xml:space="preserve"> </w:t>
      </w:r>
      <w:r>
        <w:rPr>
          <w:rFonts w:hint="eastAsia"/>
          <w:color w:val="auto"/>
          <w:highlight w:val="none"/>
        </w:rPr>
        <w:t>投标人参加招标活动前3年内，在经营活动中没有重大违法记录：提供承诺函，格式自拟。</w:t>
      </w:r>
    </w:p>
    <w:p w14:paraId="5E29B6CA">
      <w:pPr>
        <w:spacing w:line="360" w:lineRule="auto"/>
        <w:ind w:left="220" w:leftChars="100"/>
        <w:rPr>
          <w:color w:val="auto"/>
          <w:szCs w:val="21"/>
          <w:highlight w:val="none"/>
          <w:lang w:val="en-US"/>
        </w:rPr>
      </w:pPr>
      <w:r>
        <w:rPr>
          <w:rFonts w:hint="eastAsia"/>
          <w:color w:val="auto"/>
          <w:szCs w:val="21"/>
          <w:highlight w:val="none"/>
          <w:lang w:val="en-US"/>
        </w:rPr>
        <w:t>6.</w:t>
      </w:r>
      <w:r>
        <w:rPr>
          <w:rFonts w:hint="eastAsia"/>
          <w:color w:val="auto"/>
          <w:highlight w:val="none"/>
          <w:lang w:val="en-US"/>
        </w:rPr>
        <w:t xml:space="preserve"> </w:t>
      </w:r>
      <w:r>
        <w:rPr>
          <w:rFonts w:hint="eastAsia"/>
          <w:color w:val="auto"/>
          <w:szCs w:val="21"/>
          <w:highlight w:val="none"/>
          <w:lang w:val="en-US"/>
        </w:rPr>
        <w:t>单位负责人为同一人或者存在直接控股、管理关系的不同投标人，不得同时参加本项目投标，</w:t>
      </w:r>
      <w:r>
        <w:rPr>
          <w:rFonts w:hint="eastAsia"/>
          <w:color w:val="auto"/>
          <w:highlight w:val="none"/>
        </w:rPr>
        <w:t>提供承诺函，格式自拟。</w:t>
      </w:r>
      <w:r>
        <w:rPr>
          <w:rFonts w:hint="eastAsia"/>
          <w:color w:val="auto"/>
          <w:szCs w:val="21"/>
          <w:highlight w:val="none"/>
          <w:lang w:val="en-US"/>
        </w:rPr>
        <w:t xml:space="preserve"> </w:t>
      </w:r>
    </w:p>
    <w:p w14:paraId="06435E96">
      <w:pPr>
        <w:spacing w:line="360" w:lineRule="auto"/>
        <w:ind w:left="220" w:leftChars="100"/>
        <w:rPr>
          <w:color w:val="auto"/>
          <w:szCs w:val="21"/>
          <w:highlight w:val="none"/>
          <w:lang w:val="en-US"/>
        </w:rPr>
      </w:pPr>
      <w:r>
        <w:rPr>
          <w:rFonts w:hint="eastAsia"/>
          <w:color w:val="auto"/>
          <w:szCs w:val="21"/>
          <w:highlight w:val="none"/>
          <w:lang w:val="en-US"/>
        </w:rPr>
        <w:t>7.</w:t>
      </w:r>
      <w:r>
        <w:rPr>
          <w:rFonts w:hint="eastAsia"/>
          <w:color w:val="auto"/>
          <w:highlight w:val="none"/>
          <w:lang w:val="en-US"/>
        </w:rPr>
        <w:t xml:space="preserve"> </w:t>
      </w:r>
      <w:r>
        <w:rPr>
          <w:rFonts w:hint="eastAsia"/>
          <w:color w:val="auto"/>
          <w:highlight w:val="none"/>
          <w:lang w:val="en-US" w:eastAsia="zh-CN"/>
        </w:rPr>
        <w:t>（1）</w:t>
      </w:r>
      <w:r>
        <w:rPr>
          <w:rFonts w:hint="eastAsia"/>
          <w:color w:val="auto"/>
          <w:highlight w:val="none"/>
        </w:rPr>
        <w:t>投标人</w:t>
      </w:r>
      <w:r>
        <w:rPr>
          <w:rFonts w:hint="eastAsia"/>
          <w:color w:val="auto"/>
          <w:szCs w:val="21"/>
          <w:highlight w:val="none"/>
          <w:lang w:val="en-US"/>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7A74E173">
      <w:pPr>
        <w:spacing w:line="360" w:lineRule="auto"/>
        <w:ind w:left="220" w:leftChars="100"/>
        <w:rPr>
          <w:color w:val="auto"/>
          <w:szCs w:val="21"/>
          <w:highlight w:val="none"/>
          <w:lang w:val="en-US"/>
        </w:rPr>
      </w:pPr>
      <w:r>
        <w:rPr>
          <w:rFonts w:hint="eastAsia"/>
          <w:color w:val="auto"/>
          <w:szCs w:val="21"/>
          <w:highlight w:val="none"/>
          <w:lang w:val="en-US"/>
        </w:rPr>
        <w:t>（2）投标人为分支机构的，应同时对其所属总公司进行信用记录查询，其所属总公司存在不良行为记录的，视同投标人存在不良行为记录。</w:t>
      </w:r>
    </w:p>
    <w:p w14:paraId="46484E9B">
      <w:pPr>
        <w:spacing w:line="360" w:lineRule="auto"/>
        <w:ind w:left="220" w:leftChars="100"/>
        <w:rPr>
          <w:color w:val="auto"/>
          <w:highlight w:val="none"/>
        </w:rPr>
      </w:pPr>
      <w:r>
        <w:rPr>
          <w:rFonts w:hint="eastAsia"/>
          <w:color w:val="auto"/>
          <w:highlight w:val="none"/>
        </w:rPr>
        <w:t>8. 本项目不接受联合体投标。</w:t>
      </w:r>
    </w:p>
    <w:p w14:paraId="1D0BED61">
      <w:pPr>
        <w:spacing w:line="360" w:lineRule="auto"/>
        <w:rPr>
          <w:rFonts w:hint="eastAsia"/>
          <w:color w:val="auto"/>
          <w:kern w:val="28"/>
          <w:highlight w:val="none"/>
        </w:rPr>
      </w:pPr>
      <w:r>
        <w:rPr>
          <w:rFonts w:hint="eastAsia"/>
          <w:color w:val="auto"/>
          <w:kern w:val="28"/>
          <w:highlight w:val="none"/>
          <w:lang w:val="en-US" w:eastAsia="zh-CN"/>
        </w:rPr>
        <w:t>四</w:t>
      </w:r>
      <w:r>
        <w:rPr>
          <w:rFonts w:hint="eastAsia"/>
          <w:color w:val="auto"/>
          <w:kern w:val="28"/>
          <w:highlight w:val="none"/>
        </w:rPr>
        <w:t>、公告发布日期、递交投标文件时间与开标时间：</w:t>
      </w:r>
    </w:p>
    <w:p w14:paraId="7D910672">
      <w:pPr>
        <w:spacing w:line="360" w:lineRule="auto"/>
        <w:rPr>
          <w:rFonts w:hint="eastAsia"/>
          <w:color w:val="auto"/>
          <w:kern w:val="28"/>
          <w:highlight w:val="none"/>
        </w:rPr>
      </w:pPr>
      <w:r>
        <w:rPr>
          <w:rFonts w:hint="eastAsia"/>
          <w:color w:val="auto"/>
          <w:kern w:val="28"/>
          <w:highlight w:val="none"/>
        </w:rPr>
        <w:t>1、公告发布日期（含本日）：</w:t>
      </w: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eastAsia="zh-CN"/>
        </w:rPr>
        <w:t xml:space="preserve">  </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rPr>
        <w:t>日至</w:t>
      </w: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eastAsia="zh-CN"/>
        </w:rPr>
        <w:t xml:space="preserve">  </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rPr>
        <w:t>日</w:t>
      </w:r>
      <w:r>
        <w:rPr>
          <w:rFonts w:hint="eastAsia"/>
          <w:color w:val="auto"/>
          <w:kern w:val="28"/>
          <w:highlight w:val="none"/>
          <w:lang w:val="en-US" w:eastAsia="zh-CN"/>
        </w:rPr>
        <w:t xml:space="preserve">  </w:t>
      </w:r>
      <w:r>
        <w:rPr>
          <w:rFonts w:hint="eastAsia"/>
          <w:color w:val="auto"/>
          <w:kern w:val="28"/>
          <w:highlight w:val="none"/>
        </w:rPr>
        <w:t>时</w:t>
      </w:r>
      <w:r>
        <w:rPr>
          <w:rFonts w:hint="eastAsia"/>
          <w:color w:val="auto"/>
          <w:kern w:val="28"/>
          <w:highlight w:val="none"/>
          <w:lang w:val="en-US" w:eastAsia="zh-CN"/>
        </w:rPr>
        <w:t xml:space="preserve">  </w:t>
      </w:r>
      <w:r>
        <w:rPr>
          <w:rFonts w:hint="eastAsia"/>
          <w:color w:val="auto"/>
          <w:kern w:val="28"/>
          <w:highlight w:val="none"/>
        </w:rPr>
        <w:t>分。</w:t>
      </w:r>
    </w:p>
    <w:p w14:paraId="6889EB48">
      <w:pPr>
        <w:spacing w:line="360" w:lineRule="auto"/>
        <w:rPr>
          <w:rFonts w:hint="eastAsia"/>
          <w:color w:val="auto"/>
          <w:kern w:val="28"/>
          <w:highlight w:val="none"/>
        </w:rPr>
      </w:pPr>
      <w:r>
        <w:rPr>
          <w:rFonts w:hint="eastAsia"/>
          <w:color w:val="auto"/>
          <w:kern w:val="28"/>
          <w:highlight w:val="none"/>
        </w:rPr>
        <w:t>凡有意参加投标者，请登录广州公共资源交易中心交易平台网站下载电子招标文件。</w:t>
      </w:r>
    </w:p>
    <w:p w14:paraId="4DE508A1">
      <w:pPr>
        <w:spacing w:line="360" w:lineRule="auto"/>
        <w:rPr>
          <w:rFonts w:hint="eastAsia"/>
          <w:color w:val="auto"/>
          <w:kern w:val="28"/>
          <w:highlight w:val="none"/>
        </w:rPr>
      </w:pPr>
      <w:r>
        <w:rPr>
          <w:rFonts w:hint="eastAsia"/>
          <w:color w:val="auto"/>
          <w:kern w:val="28"/>
          <w:highlight w:val="none"/>
        </w:rPr>
        <w:t>注：发布招标公告的时间为招标公告发出之日起至投标截止时间止。</w:t>
      </w:r>
    </w:p>
    <w:p w14:paraId="705D2145">
      <w:pPr>
        <w:spacing w:line="360" w:lineRule="auto"/>
        <w:rPr>
          <w:rFonts w:hint="eastAsia"/>
          <w:color w:val="auto"/>
          <w:kern w:val="28"/>
          <w:highlight w:val="none"/>
        </w:rPr>
      </w:pPr>
      <w:r>
        <w:rPr>
          <w:rFonts w:hint="eastAsia"/>
          <w:color w:val="auto"/>
          <w:kern w:val="28"/>
          <w:highlight w:val="none"/>
        </w:rPr>
        <w:t>2、递交投标文件起始时间：</w:t>
      </w: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eastAsia="zh-CN"/>
        </w:rPr>
        <w:t xml:space="preserve">  </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rPr>
        <w:t>日</w:t>
      </w:r>
      <w:r>
        <w:rPr>
          <w:rFonts w:hint="eastAsia"/>
          <w:color w:val="auto"/>
          <w:kern w:val="28"/>
          <w:highlight w:val="none"/>
          <w:lang w:val="en-US" w:eastAsia="zh-CN"/>
        </w:rPr>
        <w:t xml:space="preserve">  </w:t>
      </w:r>
      <w:r>
        <w:rPr>
          <w:rFonts w:hint="eastAsia"/>
          <w:color w:val="auto"/>
          <w:kern w:val="28"/>
          <w:highlight w:val="none"/>
        </w:rPr>
        <w:t xml:space="preserve"> 时00分；截止时间：</w:t>
      </w: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eastAsia="zh-CN"/>
        </w:rPr>
        <w:t xml:space="preserve">  </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rPr>
        <w:t>日</w:t>
      </w:r>
      <w:r>
        <w:rPr>
          <w:rFonts w:hint="eastAsia"/>
          <w:color w:val="auto"/>
          <w:kern w:val="28"/>
          <w:highlight w:val="none"/>
          <w:lang w:val="en-US" w:eastAsia="zh-CN"/>
        </w:rPr>
        <w:t xml:space="preserve">  </w:t>
      </w:r>
      <w:r>
        <w:rPr>
          <w:rFonts w:hint="eastAsia"/>
          <w:color w:val="auto"/>
          <w:kern w:val="28"/>
          <w:highlight w:val="none"/>
        </w:rPr>
        <w:t>时</w:t>
      </w:r>
      <w:r>
        <w:rPr>
          <w:rFonts w:hint="eastAsia"/>
          <w:color w:val="auto"/>
          <w:kern w:val="28"/>
          <w:highlight w:val="none"/>
          <w:lang w:val="en-US" w:eastAsia="zh-CN"/>
        </w:rPr>
        <w:t xml:space="preserve">  </w:t>
      </w:r>
      <w:r>
        <w:rPr>
          <w:rFonts w:hint="eastAsia"/>
          <w:color w:val="auto"/>
          <w:kern w:val="28"/>
          <w:highlight w:val="none"/>
        </w:rPr>
        <w:t>分。</w:t>
      </w:r>
    </w:p>
    <w:p w14:paraId="1FE50A1A">
      <w:pPr>
        <w:spacing w:line="360" w:lineRule="auto"/>
        <w:rPr>
          <w:rFonts w:hint="eastAsia"/>
          <w:color w:val="auto"/>
          <w:kern w:val="28"/>
          <w:highlight w:val="none"/>
        </w:rPr>
      </w:pPr>
      <w:r>
        <w:rPr>
          <w:rFonts w:hint="eastAsia"/>
          <w:color w:val="auto"/>
          <w:kern w:val="28"/>
          <w:highlight w:val="none"/>
        </w:rPr>
        <w:t>3、开标开始时间：</w:t>
      </w: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eastAsia="zh-CN"/>
        </w:rPr>
        <w:t xml:space="preserve">  </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rPr>
        <w:t>日</w:t>
      </w:r>
      <w:r>
        <w:rPr>
          <w:rFonts w:hint="eastAsia"/>
          <w:color w:val="auto"/>
          <w:kern w:val="28"/>
          <w:highlight w:val="none"/>
          <w:lang w:val="en-US" w:eastAsia="zh-CN"/>
        </w:rPr>
        <w:t xml:space="preserve">  </w:t>
      </w:r>
      <w:r>
        <w:rPr>
          <w:rFonts w:hint="eastAsia"/>
          <w:color w:val="auto"/>
          <w:kern w:val="28"/>
          <w:highlight w:val="none"/>
        </w:rPr>
        <w:t>时</w:t>
      </w:r>
      <w:r>
        <w:rPr>
          <w:rFonts w:hint="eastAsia"/>
          <w:color w:val="auto"/>
          <w:kern w:val="28"/>
          <w:highlight w:val="none"/>
          <w:lang w:val="en-US" w:eastAsia="zh-CN"/>
        </w:rPr>
        <w:t xml:space="preserve">  </w:t>
      </w:r>
      <w:r>
        <w:rPr>
          <w:rFonts w:hint="eastAsia"/>
          <w:color w:val="auto"/>
          <w:kern w:val="28"/>
          <w:highlight w:val="none"/>
        </w:rPr>
        <w:t>分。</w:t>
      </w:r>
    </w:p>
    <w:p w14:paraId="33E90D7B">
      <w:pPr>
        <w:spacing w:line="360" w:lineRule="auto"/>
        <w:rPr>
          <w:rFonts w:hint="eastAsia"/>
          <w:color w:val="auto"/>
          <w:kern w:val="28"/>
          <w:highlight w:val="none"/>
        </w:rPr>
      </w:pPr>
      <w:r>
        <w:rPr>
          <w:rFonts w:hint="eastAsia"/>
          <w:color w:val="auto"/>
          <w:kern w:val="28"/>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5AFC5EF2">
      <w:pPr>
        <w:spacing w:line="360" w:lineRule="auto"/>
        <w:rPr>
          <w:rFonts w:hint="eastAsia"/>
          <w:color w:val="auto"/>
          <w:kern w:val="28"/>
          <w:highlight w:val="none"/>
        </w:rPr>
      </w:pPr>
      <w:r>
        <w:rPr>
          <w:rFonts w:hint="eastAsia"/>
          <w:color w:val="auto"/>
          <w:kern w:val="28"/>
          <w:highlight w:val="none"/>
        </w:rPr>
        <w:t>5、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w:t>
      </w:r>
    </w:p>
    <w:p w14:paraId="7359FCE3">
      <w:pPr>
        <w:spacing w:line="360" w:lineRule="auto"/>
        <w:rPr>
          <w:color w:val="auto"/>
          <w:kern w:val="28"/>
          <w:highlight w:val="none"/>
        </w:rPr>
      </w:pPr>
      <w:r>
        <w:rPr>
          <w:rFonts w:hint="eastAsia"/>
          <w:color w:val="auto"/>
          <w:kern w:val="28"/>
          <w:highlight w:val="none"/>
          <w:lang w:val="en-US" w:eastAsia="zh-CN"/>
        </w:rPr>
        <w:t>五</w:t>
      </w:r>
      <w:r>
        <w:rPr>
          <w:rFonts w:hint="eastAsia"/>
          <w:color w:val="auto"/>
          <w:kern w:val="28"/>
          <w:highlight w:val="none"/>
          <w:lang w:val="en-US"/>
        </w:rPr>
        <w:t>、本项目不收取投标保证金</w:t>
      </w:r>
      <w:r>
        <w:rPr>
          <w:rFonts w:hint="eastAsia"/>
          <w:color w:val="auto"/>
          <w:kern w:val="28"/>
          <w:highlight w:val="none"/>
        </w:rPr>
        <w:t>。</w:t>
      </w:r>
    </w:p>
    <w:p w14:paraId="59A9A742">
      <w:pPr>
        <w:spacing w:line="360" w:lineRule="auto"/>
        <w:rPr>
          <w:color w:val="auto"/>
          <w:kern w:val="28"/>
          <w:highlight w:val="none"/>
        </w:rPr>
      </w:pPr>
      <w:r>
        <w:rPr>
          <w:rFonts w:hint="eastAsia"/>
          <w:color w:val="auto"/>
          <w:szCs w:val="21"/>
          <w:highlight w:val="none"/>
          <w:lang w:val="en-US" w:eastAsia="zh-CN"/>
        </w:rPr>
        <w:t>六</w:t>
      </w:r>
      <w:r>
        <w:rPr>
          <w:rFonts w:hint="eastAsia"/>
          <w:color w:val="auto"/>
          <w:szCs w:val="21"/>
          <w:highlight w:val="none"/>
          <w:lang w:val="en-US"/>
        </w:rPr>
        <w:t>、</w:t>
      </w:r>
      <w:r>
        <w:rPr>
          <w:rFonts w:hint="eastAsia"/>
          <w:color w:val="auto"/>
          <w:szCs w:val="21"/>
          <w:highlight w:val="none"/>
        </w:rPr>
        <w:t>招标代理机构将不承担投标人准备投标文件和递交投标文件以及参加本次招标采购活动所发生的任何成本或费用</w:t>
      </w:r>
      <w:r>
        <w:rPr>
          <w:rFonts w:hint="eastAsia"/>
          <w:color w:val="auto"/>
          <w:kern w:val="28"/>
          <w:highlight w:val="none"/>
        </w:rPr>
        <w:t>。</w:t>
      </w:r>
    </w:p>
    <w:p w14:paraId="53BF16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lang w:val="en-US"/>
        </w:rPr>
        <w:t>、</w:t>
      </w:r>
      <w:r>
        <w:rPr>
          <w:rFonts w:hint="eastAsia" w:ascii="宋体" w:hAnsi="宋体" w:eastAsia="宋体" w:cs="宋体"/>
          <w:color w:val="auto"/>
          <w:szCs w:val="21"/>
          <w:highlight w:val="none"/>
        </w:rPr>
        <w:t>联系方式：</w:t>
      </w:r>
    </w:p>
    <w:p w14:paraId="73714B9B">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lang w:eastAsia="zh-CN"/>
        </w:rPr>
        <w:t xml:space="preserve"> 广州市天河区车陂街车陂股份合作经济联社 </w:t>
      </w:r>
    </w:p>
    <w:p w14:paraId="20A91655">
      <w:pPr>
        <w:spacing w:line="360" w:lineRule="auto"/>
        <w:rPr>
          <w:rFonts w:hint="eastAsia" w:ascii="宋体" w:hAnsi="宋体" w:eastAsia="宋体" w:cs="宋体"/>
          <w:color w:val="auto"/>
          <w:sz w:val="22"/>
          <w:szCs w:val="21"/>
          <w:highlight w:val="none"/>
          <w:u w:val="none"/>
        </w:rPr>
      </w:pPr>
      <w:r>
        <w:rPr>
          <w:rFonts w:hint="eastAsia" w:ascii="宋体" w:hAnsi="宋体" w:eastAsia="宋体" w:cs="宋体"/>
          <w:color w:val="auto"/>
          <w:szCs w:val="21"/>
          <w:highlight w:val="none"/>
        </w:rPr>
        <w:t>招标人地址：</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 w:val="22"/>
          <w:szCs w:val="21"/>
          <w:highlight w:val="none"/>
          <w:u w:val="none"/>
        </w:rPr>
        <w:t>广州市天河区车陂美东街28号</w:t>
      </w:r>
    </w:p>
    <w:p w14:paraId="737F1C1C">
      <w:pPr>
        <w:spacing w:line="360" w:lineRule="auto"/>
        <w:rPr>
          <w:rFonts w:hint="eastAsia" w:ascii="宋体" w:hAnsi="宋体" w:eastAsia="宋体" w:cs="宋体"/>
          <w:color w:val="auto"/>
          <w:sz w:val="22"/>
          <w:szCs w:val="21"/>
          <w:highlight w:val="none"/>
          <w:u w:val="none"/>
          <w:lang w:val="en-US" w:eastAsia="zh-CN"/>
        </w:rPr>
      </w:pPr>
      <w:r>
        <w:rPr>
          <w:rFonts w:hint="eastAsia" w:ascii="宋体" w:hAnsi="宋体" w:eastAsia="宋体" w:cs="宋体"/>
          <w:color w:val="auto"/>
          <w:sz w:val="22"/>
          <w:szCs w:val="21"/>
          <w:highlight w:val="none"/>
          <w:u w:val="none"/>
          <w:lang w:val="en-US" w:eastAsia="zh-CN"/>
        </w:rPr>
        <w:t>联系人：苏先生</w:t>
      </w:r>
    </w:p>
    <w:p w14:paraId="0AFAFAD1">
      <w:pPr>
        <w:spacing w:line="360" w:lineRule="auto"/>
        <w:rPr>
          <w:rFonts w:hint="eastAsia" w:ascii="宋体" w:hAnsi="宋体" w:eastAsia="宋体" w:cs="宋体"/>
          <w:color w:val="auto"/>
          <w:sz w:val="22"/>
          <w:szCs w:val="21"/>
          <w:highlight w:val="none"/>
          <w:u w:val="none"/>
          <w:lang w:val="en-US" w:eastAsia="zh-CN"/>
        </w:rPr>
      </w:pPr>
      <w:r>
        <w:rPr>
          <w:rFonts w:hint="eastAsia" w:ascii="宋体" w:hAnsi="宋体" w:eastAsia="宋体" w:cs="宋体"/>
          <w:color w:val="auto"/>
          <w:sz w:val="22"/>
          <w:szCs w:val="21"/>
          <w:highlight w:val="none"/>
        </w:rPr>
        <w:t>联系</w:t>
      </w:r>
      <w:r>
        <w:rPr>
          <w:rFonts w:hint="eastAsia" w:ascii="宋体" w:hAnsi="宋体" w:eastAsia="宋体" w:cs="宋体"/>
          <w:color w:val="auto"/>
          <w:sz w:val="22"/>
          <w:szCs w:val="21"/>
          <w:highlight w:val="none"/>
          <w:lang w:val="en-US" w:eastAsia="zh-CN"/>
        </w:rPr>
        <w:t>方式</w:t>
      </w:r>
      <w:r>
        <w:rPr>
          <w:rFonts w:hint="eastAsia" w:ascii="宋体" w:hAnsi="宋体" w:eastAsia="宋体" w:cs="宋体"/>
          <w:color w:val="auto"/>
          <w:sz w:val="22"/>
          <w:szCs w:val="21"/>
          <w:highlight w:val="none"/>
        </w:rPr>
        <w:t>：</w:t>
      </w:r>
      <w:r>
        <w:rPr>
          <w:rFonts w:hint="eastAsia" w:ascii="宋体" w:hAnsi="宋体" w:eastAsia="宋体" w:cs="宋体"/>
          <w:color w:val="auto"/>
          <w:sz w:val="22"/>
          <w:szCs w:val="21"/>
          <w:highlight w:val="none"/>
          <w:u w:val="none"/>
        </w:rPr>
        <w:t xml:space="preserve"> 020-82161155</w:t>
      </w:r>
    </w:p>
    <w:p w14:paraId="5828AC26">
      <w:pPr>
        <w:spacing w:line="360" w:lineRule="auto"/>
        <w:rPr>
          <w:color w:val="auto"/>
          <w:szCs w:val="21"/>
          <w:highlight w:val="none"/>
        </w:rPr>
      </w:pPr>
      <w:r>
        <w:rPr>
          <w:rFonts w:hint="eastAsia"/>
          <w:color w:val="auto"/>
          <w:szCs w:val="21"/>
          <w:highlight w:val="none"/>
          <w:lang w:val="en-US" w:eastAsia="zh-CN"/>
        </w:rPr>
        <w:t>招标代理</w:t>
      </w:r>
      <w:r>
        <w:rPr>
          <w:rFonts w:hint="eastAsia"/>
          <w:color w:val="auto"/>
          <w:szCs w:val="21"/>
          <w:highlight w:val="none"/>
        </w:rPr>
        <w:t>名称：广东省建筑工程监理有限公司</w:t>
      </w:r>
    </w:p>
    <w:p w14:paraId="40896401">
      <w:pPr>
        <w:spacing w:line="360" w:lineRule="auto"/>
        <w:rPr>
          <w:color w:val="auto"/>
          <w:szCs w:val="21"/>
          <w:highlight w:val="none"/>
        </w:rPr>
      </w:pPr>
      <w:r>
        <w:rPr>
          <w:rFonts w:hint="eastAsia"/>
          <w:color w:val="auto"/>
          <w:szCs w:val="21"/>
          <w:highlight w:val="none"/>
        </w:rPr>
        <w:t>地址：</w:t>
      </w:r>
      <w:r>
        <w:rPr>
          <w:rFonts w:hint="eastAsia"/>
          <w:color w:val="auto"/>
          <w:kern w:val="28"/>
          <w:highlight w:val="none"/>
        </w:rPr>
        <w:t>广州市荔湾区流花路85号后座1楼</w:t>
      </w:r>
    </w:p>
    <w:p w14:paraId="68521F0C">
      <w:pPr>
        <w:spacing w:line="360" w:lineRule="auto"/>
        <w:rPr>
          <w:color w:val="auto"/>
          <w:szCs w:val="21"/>
          <w:highlight w:val="none"/>
        </w:rPr>
      </w:pPr>
      <w:r>
        <w:rPr>
          <w:rFonts w:hint="eastAsia"/>
          <w:color w:val="auto"/>
          <w:szCs w:val="21"/>
          <w:highlight w:val="none"/>
        </w:rPr>
        <w:t>联系人：</w:t>
      </w:r>
      <w:r>
        <w:rPr>
          <w:rFonts w:hint="eastAsia"/>
          <w:color w:val="auto"/>
          <w:szCs w:val="21"/>
          <w:highlight w:val="none"/>
          <w:lang w:val="en-US" w:eastAsia="zh-CN"/>
        </w:rPr>
        <w:t>谢</w:t>
      </w:r>
      <w:r>
        <w:rPr>
          <w:rFonts w:hint="eastAsia"/>
          <w:color w:val="auto"/>
          <w:szCs w:val="21"/>
          <w:highlight w:val="none"/>
          <w:lang w:val="en-US"/>
        </w:rPr>
        <w:t>工</w:t>
      </w:r>
    </w:p>
    <w:p w14:paraId="640055A1">
      <w:pPr>
        <w:spacing w:line="360" w:lineRule="auto"/>
        <w:rPr>
          <w:color w:val="auto"/>
          <w:szCs w:val="21"/>
          <w:highlight w:val="none"/>
        </w:rPr>
      </w:pPr>
      <w:r>
        <w:rPr>
          <w:rFonts w:hint="eastAsia"/>
          <w:color w:val="auto"/>
          <w:szCs w:val="21"/>
          <w:highlight w:val="none"/>
        </w:rPr>
        <w:t>联系方式：020-86673560</w:t>
      </w:r>
    </w:p>
    <w:p w14:paraId="0AB8299E">
      <w:pPr>
        <w:spacing w:line="360" w:lineRule="auto"/>
        <w:rPr>
          <w:rFonts w:hint="eastAsia"/>
          <w:color w:val="auto"/>
          <w:szCs w:val="21"/>
          <w:highlight w:val="none"/>
        </w:rPr>
      </w:pPr>
      <w:r>
        <w:rPr>
          <w:rFonts w:hint="eastAsia"/>
          <w:color w:val="auto"/>
          <w:szCs w:val="21"/>
          <w:highlight w:val="none"/>
        </w:rPr>
        <w:t>邮箱：</w:t>
      </w:r>
      <w:r>
        <w:rPr>
          <w:rFonts w:hint="eastAsia"/>
          <w:color w:val="auto"/>
          <w:szCs w:val="21"/>
          <w:highlight w:val="none"/>
        </w:rPr>
        <w:fldChar w:fldCharType="begin"/>
      </w:r>
      <w:r>
        <w:rPr>
          <w:rFonts w:hint="eastAsia"/>
          <w:color w:val="auto"/>
          <w:szCs w:val="21"/>
          <w:highlight w:val="none"/>
        </w:rPr>
        <w:instrText xml:space="preserve"> HYPERLINK "mailto:gdsjlzb@163.com" </w:instrText>
      </w:r>
      <w:r>
        <w:rPr>
          <w:rFonts w:hint="eastAsia"/>
          <w:color w:val="auto"/>
          <w:szCs w:val="21"/>
          <w:highlight w:val="none"/>
        </w:rPr>
        <w:fldChar w:fldCharType="separate"/>
      </w:r>
      <w:r>
        <w:rPr>
          <w:rStyle w:val="39"/>
          <w:rFonts w:hint="eastAsia"/>
          <w:color w:val="auto"/>
          <w:szCs w:val="21"/>
          <w:highlight w:val="none"/>
        </w:rPr>
        <w:t>gdsjlzb@163.com</w:t>
      </w:r>
      <w:r>
        <w:rPr>
          <w:rFonts w:hint="eastAsia"/>
          <w:color w:val="auto"/>
          <w:szCs w:val="21"/>
          <w:highlight w:val="none"/>
        </w:rPr>
        <w:fldChar w:fldCharType="end"/>
      </w:r>
    </w:p>
    <w:p w14:paraId="04CC90EB">
      <w:pPr>
        <w:spacing w:line="360" w:lineRule="auto"/>
        <w:jc w:val="left"/>
        <w:rPr>
          <w:rFonts w:hint="eastAsia" w:eastAsia="宋体"/>
          <w:color w:val="auto"/>
          <w:kern w:val="28"/>
          <w:highlight w:val="none"/>
          <w:lang w:val="en-US" w:eastAsia="zh-CN"/>
        </w:rPr>
      </w:pPr>
      <w:r>
        <w:rPr>
          <w:rFonts w:hint="eastAsia"/>
          <w:color w:val="auto"/>
          <w:szCs w:val="21"/>
          <w:highlight w:val="none"/>
        </w:rPr>
        <w:t>招标监督机构：</w:t>
      </w:r>
      <w:r>
        <w:rPr>
          <w:rFonts w:hint="eastAsia"/>
          <w:color w:val="auto"/>
          <w:szCs w:val="21"/>
          <w:highlight w:val="none"/>
          <w:lang w:val="en-US" w:eastAsia="zh-CN"/>
        </w:rPr>
        <w:t>广州市车陂经济发展有限公司</w:t>
      </w:r>
    </w:p>
    <w:p w14:paraId="1F0049B8">
      <w:pPr>
        <w:spacing w:line="360" w:lineRule="auto"/>
        <w:jc w:val="right"/>
        <w:rPr>
          <w:rFonts w:hint="default"/>
          <w:color w:val="auto"/>
          <w:kern w:val="28"/>
          <w:highlight w:val="none"/>
          <w:lang w:val="en-US" w:eastAsia="zh-CN"/>
        </w:rPr>
      </w:pPr>
      <w:r>
        <w:rPr>
          <w:rFonts w:hint="eastAsia"/>
          <w:color w:val="auto"/>
          <w:kern w:val="28"/>
          <w:highlight w:val="none"/>
          <w:lang w:val="en-US" w:eastAsia="zh-CN"/>
        </w:rPr>
        <w:t>招标人：</w:t>
      </w:r>
      <w:r>
        <w:rPr>
          <w:rFonts w:hint="eastAsia" w:ascii="宋体" w:hAnsi="宋体" w:eastAsia="宋体" w:cs="宋体"/>
          <w:color w:val="auto"/>
          <w:szCs w:val="21"/>
          <w:highlight w:val="none"/>
          <w:lang w:eastAsia="zh-CN"/>
        </w:rPr>
        <w:t>广州市天河区车陂街车陂股份合作经济联社</w:t>
      </w:r>
    </w:p>
    <w:p w14:paraId="552CBC21">
      <w:pPr>
        <w:spacing w:line="360" w:lineRule="auto"/>
        <w:jc w:val="right"/>
        <w:rPr>
          <w:color w:val="auto"/>
          <w:kern w:val="28"/>
          <w:highlight w:val="none"/>
          <w:lang w:val="en-US"/>
        </w:rPr>
      </w:pPr>
      <w:r>
        <w:rPr>
          <w:rFonts w:hint="eastAsia"/>
          <w:color w:val="auto"/>
          <w:kern w:val="28"/>
          <w:highlight w:val="none"/>
          <w:lang w:val="en-US" w:eastAsia="zh-CN"/>
        </w:rPr>
        <w:t>招标代理：</w:t>
      </w:r>
      <w:r>
        <w:rPr>
          <w:rFonts w:hint="eastAsia"/>
          <w:color w:val="auto"/>
          <w:kern w:val="28"/>
          <w:highlight w:val="none"/>
          <w:lang w:val="en-US"/>
        </w:rPr>
        <w:t>广东省建筑工程监理有限公司</w:t>
      </w:r>
    </w:p>
    <w:p w14:paraId="528C46ED">
      <w:pPr>
        <w:spacing w:line="360" w:lineRule="auto"/>
        <w:jc w:val="right"/>
        <w:rPr>
          <w:color w:val="auto"/>
          <w:highlight w:val="none"/>
        </w:rPr>
      </w:pPr>
      <w:r>
        <w:rPr>
          <w:rFonts w:hint="eastAsia"/>
          <w:color w:val="auto"/>
          <w:kern w:val="28"/>
          <w:highlight w:val="none"/>
          <w:lang w:eastAsia="zh-CN"/>
        </w:rPr>
        <w:t>2025</w:t>
      </w:r>
      <w:r>
        <w:rPr>
          <w:rFonts w:hint="eastAsia"/>
          <w:color w:val="auto"/>
          <w:kern w:val="28"/>
          <w:highlight w:val="none"/>
        </w:rPr>
        <w:t>年</w:t>
      </w:r>
      <w:r>
        <w:rPr>
          <w:rFonts w:hint="eastAsia"/>
          <w:color w:val="auto"/>
          <w:kern w:val="28"/>
          <w:highlight w:val="none"/>
          <w:lang w:val="en-US"/>
        </w:rPr>
        <w:t>0</w:t>
      </w:r>
      <w:r>
        <w:rPr>
          <w:rFonts w:hint="eastAsia"/>
          <w:color w:val="auto"/>
          <w:kern w:val="28"/>
          <w:highlight w:val="none"/>
          <w:lang w:val="en-US" w:eastAsia="zh-CN"/>
        </w:rPr>
        <w:t>4</w:t>
      </w:r>
      <w:r>
        <w:rPr>
          <w:rFonts w:hint="eastAsia"/>
          <w:color w:val="auto"/>
          <w:kern w:val="28"/>
          <w:highlight w:val="none"/>
        </w:rPr>
        <w:t>月</w:t>
      </w:r>
      <w:r>
        <w:rPr>
          <w:rFonts w:hint="eastAsia"/>
          <w:color w:val="auto"/>
          <w:kern w:val="28"/>
          <w:highlight w:val="none"/>
          <w:lang w:val="en-US" w:eastAsia="zh-CN"/>
        </w:rPr>
        <w:t xml:space="preserve">  </w:t>
      </w:r>
      <w:r>
        <w:rPr>
          <w:rFonts w:hint="eastAsia"/>
          <w:color w:val="auto"/>
          <w:kern w:val="28"/>
          <w:highlight w:val="none"/>
          <w:lang w:val="en-US"/>
        </w:rPr>
        <w:t xml:space="preserve">日 </w:t>
      </w:r>
    </w:p>
    <w:bookmarkEnd w:id="6"/>
    <w:p w14:paraId="3B703D4F">
      <w:pPr>
        <w:widowControl/>
        <w:autoSpaceDE/>
        <w:autoSpaceDN/>
        <w:spacing w:line="360" w:lineRule="auto"/>
        <w:rPr>
          <w:color w:val="auto"/>
          <w:kern w:val="28"/>
          <w:highlight w:val="none"/>
        </w:rPr>
        <w:sectPr>
          <w:footerReference r:id="rId3" w:type="default"/>
          <w:pgSz w:w="11910" w:h="16840"/>
          <w:pgMar w:top="851" w:right="799" w:bottom="1021" w:left="862" w:header="720" w:footer="720" w:gutter="0"/>
          <w:pgNumType w:start="0"/>
          <w:cols w:space="720" w:num="1"/>
        </w:sectPr>
      </w:pPr>
    </w:p>
    <w:p w14:paraId="5A788D1A">
      <w:pPr>
        <w:pStyle w:val="66"/>
        <w:spacing w:before="61"/>
        <w:ind w:left="2832" w:right="2891"/>
        <w:rPr>
          <w:color w:val="auto"/>
          <w:sz w:val="32"/>
          <w:szCs w:val="32"/>
          <w:highlight w:val="none"/>
        </w:rPr>
      </w:pPr>
      <w:bookmarkStart w:id="7" w:name="第二章_投标资料表"/>
      <w:bookmarkEnd w:id="7"/>
      <w:bookmarkStart w:id="8" w:name="_Toc86349407"/>
      <w:r>
        <w:rPr>
          <w:rFonts w:hint="eastAsia"/>
          <w:color w:val="auto"/>
          <w:sz w:val="32"/>
          <w:szCs w:val="32"/>
          <w:highlight w:val="none"/>
        </w:rPr>
        <w:t>第二部分 投标须知</w:t>
      </w:r>
      <w:bookmarkEnd w:id="8"/>
    </w:p>
    <w:p w14:paraId="2C348DD7">
      <w:pPr>
        <w:jc w:val="center"/>
        <w:rPr>
          <w:b/>
          <w:color w:val="auto"/>
          <w:sz w:val="32"/>
          <w:szCs w:val="32"/>
          <w:highlight w:val="none"/>
        </w:rPr>
      </w:pPr>
      <w:r>
        <w:rPr>
          <w:rFonts w:hint="eastAsia"/>
          <w:b/>
          <w:color w:val="auto"/>
          <w:sz w:val="32"/>
          <w:szCs w:val="32"/>
          <w:highlight w:val="none"/>
        </w:rPr>
        <w:t>投标须知前附表</w:t>
      </w:r>
    </w:p>
    <w:tbl>
      <w:tblPr>
        <w:tblStyle w:val="34"/>
        <w:tblW w:w="9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
        <w:gridCol w:w="1097"/>
        <w:gridCol w:w="7515"/>
      </w:tblGrid>
      <w:tr w14:paraId="3109F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474C04C3">
            <w:pPr>
              <w:tabs>
                <w:tab w:val="left" w:pos="2552"/>
              </w:tabs>
              <w:spacing w:line="300" w:lineRule="exact"/>
              <w:ind w:left="2"/>
              <w:jc w:val="center"/>
              <w:rPr>
                <w:b/>
                <w:color w:val="auto"/>
                <w:sz w:val="21"/>
                <w:szCs w:val="21"/>
                <w:highlight w:val="none"/>
              </w:rPr>
            </w:pPr>
            <w:r>
              <w:rPr>
                <w:rFonts w:hint="eastAsia"/>
                <w:b/>
                <w:color w:val="auto"/>
                <w:sz w:val="21"/>
                <w:szCs w:val="21"/>
                <w:highlight w:val="none"/>
              </w:rPr>
              <w:t>序号</w:t>
            </w:r>
          </w:p>
        </w:tc>
        <w:tc>
          <w:tcPr>
            <w:tcW w:w="1097" w:type="dxa"/>
            <w:tcBorders>
              <w:top w:val="single" w:color="000000" w:sz="4" w:space="0"/>
              <w:left w:val="single" w:color="000000" w:sz="4" w:space="0"/>
              <w:bottom w:val="single" w:color="000000" w:sz="4" w:space="0"/>
              <w:right w:val="single" w:color="000000" w:sz="4" w:space="0"/>
            </w:tcBorders>
            <w:vAlign w:val="center"/>
          </w:tcPr>
          <w:p w14:paraId="69987164">
            <w:pPr>
              <w:tabs>
                <w:tab w:val="left" w:pos="2552"/>
              </w:tabs>
              <w:spacing w:line="300" w:lineRule="exact"/>
              <w:jc w:val="center"/>
              <w:rPr>
                <w:b/>
                <w:color w:val="auto"/>
                <w:sz w:val="21"/>
                <w:szCs w:val="21"/>
                <w:highlight w:val="none"/>
              </w:rPr>
            </w:pPr>
            <w:r>
              <w:rPr>
                <w:rFonts w:hint="eastAsia"/>
                <w:b/>
                <w:color w:val="auto"/>
                <w:sz w:val="21"/>
                <w:szCs w:val="21"/>
                <w:highlight w:val="none"/>
              </w:rPr>
              <w:t>项目</w:t>
            </w:r>
          </w:p>
        </w:tc>
        <w:tc>
          <w:tcPr>
            <w:tcW w:w="7515" w:type="dxa"/>
            <w:tcBorders>
              <w:top w:val="single" w:color="000000" w:sz="4" w:space="0"/>
              <w:left w:val="single" w:color="000000" w:sz="4" w:space="0"/>
              <w:bottom w:val="single" w:color="000000" w:sz="4" w:space="0"/>
              <w:right w:val="single" w:color="000000" w:sz="4" w:space="0"/>
            </w:tcBorders>
            <w:vAlign w:val="center"/>
          </w:tcPr>
          <w:p w14:paraId="77FF5730">
            <w:pPr>
              <w:tabs>
                <w:tab w:val="left" w:pos="2552"/>
              </w:tabs>
              <w:spacing w:line="300" w:lineRule="exact"/>
              <w:jc w:val="center"/>
              <w:rPr>
                <w:b/>
                <w:color w:val="auto"/>
                <w:sz w:val="21"/>
                <w:szCs w:val="21"/>
                <w:highlight w:val="none"/>
              </w:rPr>
            </w:pPr>
            <w:r>
              <w:rPr>
                <w:rFonts w:hint="eastAsia"/>
                <w:b/>
                <w:color w:val="auto"/>
                <w:sz w:val="21"/>
                <w:szCs w:val="21"/>
                <w:highlight w:val="none"/>
              </w:rPr>
              <w:t>主要内容</w:t>
            </w:r>
          </w:p>
        </w:tc>
      </w:tr>
      <w:tr w14:paraId="72ECD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1F038B85">
            <w:pPr>
              <w:numPr>
                <w:ilvl w:val="0"/>
                <w:numId w:val="1"/>
              </w:numPr>
              <w:tabs>
                <w:tab w:val="left" w:pos="2552"/>
              </w:tabs>
              <w:spacing w:line="300" w:lineRule="exact"/>
              <w:ind w:left="317" w:firstLine="0"/>
              <w:jc w:val="center"/>
              <w:rPr>
                <w:color w:val="auto"/>
                <w:sz w:val="21"/>
                <w:szCs w:val="21"/>
                <w:highlight w:val="none"/>
              </w:rPr>
            </w:pPr>
            <w:r>
              <w:rPr>
                <w:rFonts w:hint="eastAsia"/>
                <w:color w:val="auto"/>
                <w:sz w:val="21"/>
                <w:szCs w:val="21"/>
                <w:highlight w:val="none"/>
              </w:rPr>
              <w:t>1</w:t>
            </w:r>
          </w:p>
        </w:tc>
        <w:tc>
          <w:tcPr>
            <w:tcW w:w="1097" w:type="dxa"/>
            <w:tcBorders>
              <w:top w:val="single" w:color="000000" w:sz="4" w:space="0"/>
              <w:left w:val="single" w:color="000000" w:sz="4" w:space="0"/>
              <w:bottom w:val="single" w:color="000000" w:sz="4" w:space="0"/>
              <w:right w:val="single" w:color="000000" w:sz="4" w:space="0"/>
            </w:tcBorders>
            <w:vAlign w:val="center"/>
          </w:tcPr>
          <w:p w14:paraId="3E46D4B7">
            <w:pPr>
              <w:tabs>
                <w:tab w:val="left" w:pos="2552"/>
              </w:tabs>
              <w:spacing w:line="300" w:lineRule="exact"/>
              <w:jc w:val="center"/>
              <w:rPr>
                <w:color w:val="auto"/>
                <w:sz w:val="21"/>
                <w:szCs w:val="21"/>
                <w:highlight w:val="none"/>
              </w:rPr>
            </w:pPr>
            <w:r>
              <w:rPr>
                <w:rFonts w:hint="eastAsia"/>
                <w:color w:val="auto"/>
                <w:sz w:val="21"/>
                <w:szCs w:val="21"/>
                <w:highlight w:val="none"/>
              </w:rPr>
              <w:t>项目概况</w:t>
            </w:r>
          </w:p>
        </w:tc>
        <w:tc>
          <w:tcPr>
            <w:tcW w:w="7515" w:type="dxa"/>
            <w:tcBorders>
              <w:top w:val="single" w:color="000000" w:sz="4" w:space="0"/>
              <w:left w:val="single" w:color="000000" w:sz="4" w:space="0"/>
              <w:bottom w:val="single" w:color="000000" w:sz="4" w:space="0"/>
              <w:right w:val="single" w:color="000000" w:sz="4" w:space="0"/>
            </w:tcBorders>
            <w:vAlign w:val="center"/>
          </w:tcPr>
          <w:p w14:paraId="5C9E3D29">
            <w:pPr>
              <w:tabs>
                <w:tab w:val="left" w:pos="2552"/>
              </w:tabs>
              <w:spacing w:line="300" w:lineRule="exact"/>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新涌口花园</w:t>
            </w:r>
            <w:r>
              <w:rPr>
                <w:rFonts w:hint="eastAsia"/>
                <w:color w:val="auto"/>
                <w:sz w:val="21"/>
                <w:szCs w:val="21"/>
                <w:highlight w:val="none"/>
                <w:lang w:val="en-US" w:eastAsia="zh-CN"/>
              </w:rPr>
              <w:t>前期</w:t>
            </w:r>
            <w:r>
              <w:rPr>
                <w:rFonts w:hint="eastAsia"/>
                <w:color w:val="auto"/>
                <w:sz w:val="21"/>
                <w:szCs w:val="21"/>
                <w:highlight w:val="none"/>
                <w:lang w:eastAsia="zh-CN"/>
              </w:rPr>
              <w:t>物业管理服务项目</w:t>
            </w:r>
          </w:p>
          <w:p w14:paraId="0B41FE46">
            <w:pPr>
              <w:tabs>
                <w:tab w:val="left" w:pos="2552"/>
              </w:tabs>
              <w:spacing w:line="300" w:lineRule="exact"/>
              <w:rPr>
                <w:rFonts w:hint="eastAsia" w:eastAsia="宋体"/>
                <w:color w:val="auto"/>
                <w:sz w:val="21"/>
                <w:szCs w:val="21"/>
                <w:highlight w:val="none"/>
                <w:lang w:eastAsia="zh-CN"/>
              </w:rPr>
            </w:pPr>
            <w:r>
              <w:rPr>
                <w:rFonts w:hint="eastAsia"/>
                <w:color w:val="auto"/>
                <w:sz w:val="21"/>
                <w:szCs w:val="21"/>
                <w:highlight w:val="none"/>
              </w:rPr>
              <w:t>招标人名称：</w:t>
            </w:r>
            <w:r>
              <w:rPr>
                <w:rFonts w:hint="eastAsia"/>
                <w:color w:val="auto"/>
                <w:sz w:val="21"/>
                <w:szCs w:val="21"/>
                <w:highlight w:val="none"/>
                <w:lang w:val="en-US" w:eastAsia="zh-CN"/>
              </w:rPr>
              <w:t xml:space="preserve">广州市天河区车陂街车陂股份合作经济联社 </w:t>
            </w:r>
          </w:p>
          <w:p w14:paraId="6A66E82C">
            <w:pPr>
              <w:tabs>
                <w:tab w:val="left" w:pos="2552"/>
              </w:tabs>
              <w:spacing w:line="300" w:lineRule="exact"/>
              <w:rPr>
                <w:color w:val="auto"/>
                <w:sz w:val="21"/>
                <w:szCs w:val="21"/>
                <w:highlight w:val="none"/>
              </w:rPr>
            </w:pPr>
            <w:r>
              <w:rPr>
                <w:rFonts w:hint="eastAsia"/>
                <w:color w:val="auto"/>
                <w:sz w:val="21"/>
                <w:szCs w:val="21"/>
                <w:highlight w:val="none"/>
              </w:rPr>
              <w:t>招标方式：公开招标</w:t>
            </w:r>
          </w:p>
          <w:p w14:paraId="5C4C4A27">
            <w:pPr>
              <w:tabs>
                <w:tab w:val="left" w:pos="2552"/>
              </w:tabs>
              <w:spacing w:line="300" w:lineRule="exact"/>
              <w:rPr>
                <w:color w:val="auto"/>
                <w:sz w:val="21"/>
                <w:szCs w:val="21"/>
                <w:highlight w:val="none"/>
              </w:rPr>
            </w:pPr>
            <w:r>
              <w:rPr>
                <w:rFonts w:hint="eastAsia"/>
                <w:color w:val="auto"/>
                <w:sz w:val="21"/>
                <w:szCs w:val="21"/>
                <w:highlight w:val="none"/>
              </w:rPr>
              <w:t>资金来源：</w:t>
            </w:r>
            <w:r>
              <w:rPr>
                <w:rFonts w:hint="eastAsia"/>
                <w:color w:val="auto"/>
                <w:sz w:val="21"/>
                <w:szCs w:val="21"/>
                <w:highlight w:val="none"/>
                <w:lang w:val="en-US" w:eastAsia="zh-CN"/>
              </w:rPr>
              <w:t>自筹</w:t>
            </w:r>
            <w:r>
              <w:rPr>
                <w:rFonts w:hint="eastAsia"/>
                <w:color w:val="auto"/>
                <w:sz w:val="21"/>
                <w:szCs w:val="21"/>
                <w:highlight w:val="none"/>
              </w:rPr>
              <w:t>资金</w:t>
            </w:r>
          </w:p>
          <w:p w14:paraId="6084B540">
            <w:pPr>
              <w:tabs>
                <w:tab w:val="left" w:pos="2552"/>
              </w:tabs>
              <w:spacing w:line="300" w:lineRule="exact"/>
              <w:rPr>
                <w:color w:val="auto"/>
                <w:sz w:val="21"/>
                <w:szCs w:val="21"/>
                <w:highlight w:val="none"/>
                <w:lang w:val="en-US"/>
              </w:rPr>
            </w:pPr>
            <w:r>
              <w:rPr>
                <w:rFonts w:hint="eastAsia"/>
                <w:color w:val="auto"/>
                <w:sz w:val="21"/>
                <w:szCs w:val="21"/>
                <w:highlight w:val="none"/>
                <w:lang w:val="en-US"/>
              </w:rPr>
              <w:t>最高限价</w:t>
            </w:r>
            <w:r>
              <w:rPr>
                <w:rFonts w:hint="eastAsia"/>
                <w:color w:val="auto"/>
                <w:sz w:val="21"/>
                <w:szCs w:val="21"/>
                <w:highlight w:val="none"/>
              </w:rPr>
              <w:t>：</w:t>
            </w:r>
            <w:r>
              <w:rPr>
                <w:rFonts w:hint="eastAsia"/>
                <w:color w:val="auto"/>
                <w:sz w:val="21"/>
                <w:szCs w:val="21"/>
                <w:highlight w:val="none"/>
                <w:lang w:val="en-US" w:eastAsia="zh-CN"/>
              </w:rPr>
              <w:t>40574706.80元</w:t>
            </w:r>
            <w:r>
              <w:rPr>
                <w:rFonts w:hint="eastAsia"/>
                <w:color w:val="auto"/>
                <w:sz w:val="21"/>
                <w:szCs w:val="21"/>
                <w:highlight w:val="none"/>
                <w:lang w:val="en-US"/>
              </w:rPr>
              <w:t>。</w:t>
            </w:r>
          </w:p>
        </w:tc>
      </w:tr>
      <w:tr w14:paraId="7A98F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0670B453">
            <w:pPr>
              <w:numPr>
                <w:ilvl w:val="0"/>
                <w:numId w:val="1"/>
              </w:numPr>
              <w:tabs>
                <w:tab w:val="left" w:pos="2552"/>
              </w:tabs>
              <w:spacing w:line="300" w:lineRule="exact"/>
              <w:ind w:left="317" w:firstLine="0"/>
              <w:jc w:val="center"/>
              <w:rPr>
                <w:color w:val="auto"/>
                <w:sz w:val="21"/>
                <w:szCs w:val="21"/>
                <w:highlight w:val="none"/>
              </w:rPr>
            </w:pPr>
            <w:r>
              <w:rPr>
                <w:rFonts w:hint="eastAsia"/>
                <w:color w:val="auto"/>
                <w:sz w:val="21"/>
                <w:szCs w:val="21"/>
                <w:highlight w:val="none"/>
              </w:rPr>
              <w:t>2</w:t>
            </w:r>
          </w:p>
        </w:tc>
        <w:tc>
          <w:tcPr>
            <w:tcW w:w="1097" w:type="dxa"/>
            <w:tcBorders>
              <w:top w:val="single" w:color="000000" w:sz="4" w:space="0"/>
              <w:left w:val="single" w:color="000000" w:sz="4" w:space="0"/>
              <w:bottom w:val="single" w:color="000000" w:sz="4" w:space="0"/>
              <w:right w:val="single" w:color="000000" w:sz="4" w:space="0"/>
            </w:tcBorders>
            <w:vAlign w:val="center"/>
          </w:tcPr>
          <w:p w14:paraId="2DFDC33D">
            <w:pPr>
              <w:tabs>
                <w:tab w:val="left" w:pos="2552"/>
              </w:tabs>
              <w:spacing w:line="300" w:lineRule="exact"/>
              <w:jc w:val="center"/>
              <w:rPr>
                <w:color w:val="auto"/>
                <w:sz w:val="21"/>
                <w:szCs w:val="21"/>
                <w:highlight w:val="none"/>
              </w:rPr>
            </w:pPr>
            <w:r>
              <w:rPr>
                <w:rFonts w:hint="eastAsia"/>
                <w:bCs/>
                <w:color w:val="auto"/>
                <w:sz w:val="21"/>
                <w:highlight w:val="none"/>
              </w:rPr>
              <w:t>答疑会及现场考察</w:t>
            </w:r>
          </w:p>
        </w:tc>
        <w:tc>
          <w:tcPr>
            <w:tcW w:w="7515" w:type="dxa"/>
            <w:tcBorders>
              <w:top w:val="single" w:color="000000" w:sz="4" w:space="0"/>
              <w:left w:val="single" w:color="000000" w:sz="4" w:space="0"/>
              <w:bottom w:val="single" w:color="000000" w:sz="4" w:space="0"/>
              <w:right w:val="single" w:color="000000" w:sz="4" w:space="0"/>
            </w:tcBorders>
            <w:vAlign w:val="center"/>
          </w:tcPr>
          <w:p w14:paraId="6CFD1E9E">
            <w:pPr>
              <w:pStyle w:val="16"/>
              <w:adjustRightInd w:val="0"/>
              <w:snapToGrid w:val="0"/>
              <w:spacing w:line="300" w:lineRule="exact"/>
              <w:rPr>
                <w:rFonts w:hAnsi="宋体"/>
                <w:bCs/>
                <w:color w:val="auto"/>
                <w:sz w:val="21"/>
                <w:highlight w:val="none"/>
              </w:rPr>
            </w:pPr>
            <w:r>
              <w:rPr>
                <w:rFonts w:hint="eastAsia" w:hAnsi="宋体"/>
                <w:color w:val="auto"/>
                <w:sz w:val="21"/>
                <w:highlight w:val="none"/>
              </w:rPr>
              <w:t>本项目不举行集中答疑会</w:t>
            </w:r>
            <w:r>
              <w:rPr>
                <w:rFonts w:hint="eastAsia" w:hAnsi="宋体"/>
                <w:bCs/>
                <w:color w:val="auto"/>
                <w:sz w:val="21"/>
                <w:highlight w:val="none"/>
              </w:rPr>
              <w:t>。</w:t>
            </w:r>
          </w:p>
          <w:p w14:paraId="7159ADF1">
            <w:pPr>
              <w:pStyle w:val="16"/>
              <w:adjustRightInd w:val="0"/>
              <w:snapToGrid w:val="0"/>
              <w:spacing w:line="300" w:lineRule="exact"/>
              <w:rPr>
                <w:rFonts w:hAnsi="宋体"/>
                <w:bCs/>
                <w:color w:val="auto"/>
                <w:sz w:val="21"/>
                <w:highlight w:val="none"/>
              </w:rPr>
            </w:pPr>
            <w:r>
              <w:rPr>
                <w:rFonts w:hint="eastAsia" w:hAnsi="宋体"/>
                <w:color w:val="auto"/>
                <w:sz w:val="21"/>
                <w:highlight w:val="none"/>
              </w:rPr>
              <w:t>本项目不集中</w:t>
            </w:r>
            <w:r>
              <w:rPr>
                <w:rFonts w:hint="eastAsia" w:hAnsi="宋体"/>
                <w:bCs/>
                <w:color w:val="auto"/>
                <w:sz w:val="21"/>
                <w:highlight w:val="none"/>
              </w:rPr>
              <w:t>现场考察，投标人可自行前往。</w:t>
            </w:r>
          </w:p>
        </w:tc>
      </w:tr>
      <w:tr w14:paraId="2BE05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5F78E5CB">
            <w:pPr>
              <w:numPr>
                <w:ilvl w:val="0"/>
                <w:numId w:val="1"/>
              </w:numPr>
              <w:tabs>
                <w:tab w:val="left" w:pos="2552"/>
              </w:tabs>
              <w:spacing w:line="300" w:lineRule="exact"/>
              <w:ind w:left="317" w:firstLine="0"/>
              <w:jc w:val="center"/>
              <w:rPr>
                <w:color w:val="auto"/>
                <w:sz w:val="21"/>
                <w:szCs w:val="21"/>
                <w:highlight w:val="none"/>
              </w:rPr>
            </w:pPr>
            <w:r>
              <w:rPr>
                <w:rFonts w:hint="eastAsia"/>
                <w:color w:val="auto"/>
                <w:sz w:val="21"/>
                <w:szCs w:val="21"/>
                <w:highlight w:val="none"/>
              </w:rPr>
              <w:t>4</w:t>
            </w:r>
          </w:p>
        </w:tc>
        <w:tc>
          <w:tcPr>
            <w:tcW w:w="1097" w:type="dxa"/>
            <w:tcBorders>
              <w:top w:val="single" w:color="000000" w:sz="4" w:space="0"/>
              <w:left w:val="single" w:color="000000" w:sz="4" w:space="0"/>
              <w:bottom w:val="single" w:color="000000" w:sz="4" w:space="0"/>
              <w:right w:val="single" w:color="000000" w:sz="4" w:space="0"/>
            </w:tcBorders>
            <w:vAlign w:val="center"/>
          </w:tcPr>
          <w:p w14:paraId="5C25F9B6">
            <w:pPr>
              <w:tabs>
                <w:tab w:val="left" w:pos="2552"/>
              </w:tabs>
              <w:spacing w:line="300" w:lineRule="exact"/>
              <w:jc w:val="center"/>
              <w:rPr>
                <w:color w:val="auto"/>
                <w:sz w:val="21"/>
                <w:szCs w:val="21"/>
                <w:highlight w:val="none"/>
              </w:rPr>
            </w:pPr>
            <w:r>
              <w:rPr>
                <w:rFonts w:hint="eastAsia"/>
                <w:color w:val="auto"/>
                <w:sz w:val="21"/>
                <w:szCs w:val="21"/>
                <w:highlight w:val="none"/>
              </w:rPr>
              <w:t>投标有效期</w:t>
            </w:r>
          </w:p>
        </w:tc>
        <w:tc>
          <w:tcPr>
            <w:tcW w:w="7515" w:type="dxa"/>
            <w:tcBorders>
              <w:top w:val="single" w:color="000000" w:sz="4" w:space="0"/>
              <w:left w:val="single" w:color="000000" w:sz="4" w:space="0"/>
              <w:bottom w:val="single" w:color="000000" w:sz="4" w:space="0"/>
              <w:right w:val="single" w:color="000000" w:sz="4" w:space="0"/>
            </w:tcBorders>
            <w:vAlign w:val="center"/>
          </w:tcPr>
          <w:p w14:paraId="444D25CA">
            <w:pPr>
              <w:tabs>
                <w:tab w:val="left" w:pos="2552"/>
              </w:tabs>
              <w:spacing w:line="300" w:lineRule="exact"/>
              <w:rPr>
                <w:color w:val="auto"/>
                <w:sz w:val="21"/>
                <w:szCs w:val="21"/>
                <w:highlight w:val="none"/>
              </w:rPr>
            </w:pPr>
            <w:r>
              <w:rPr>
                <w:rFonts w:hint="eastAsia"/>
                <w:color w:val="auto"/>
                <w:sz w:val="21"/>
                <w:szCs w:val="21"/>
                <w:highlight w:val="none"/>
              </w:rPr>
              <w:t>从投标截止之日起 90 日内</w:t>
            </w:r>
          </w:p>
        </w:tc>
      </w:tr>
      <w:tr w14:paraId="2123D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2AA6E99B">
            <w:pPr>
              <w:numPr>
                <w:ilvl w:val="0"/>
                <w:numId w:val="1"/>
              </w:numPr>
              <w:tabs>
                <w:tab w:val="left" w:pos="2552"/>
              </w:tabs>
              <w:spacing w:line="300" w:lineRule="exact"/>
              <w:ind w:left="317" w:firstLine="0"/>
              <w:rPr>
                <w:color w:val="auto"/>
                <w:sz w:val="21"/>
                <w:szCs w:val="21"/>
                <w:highlight w:val="none"/>
              </w:rPr>
            </w:pPr>
          </w:p>
        </w:tc>
        <w:tc>
          <w:tcPr>
            <w:tcW w:w="1097" w:type="dxa"/>
            <w:tcBorders>
              <w:top w:val="single" w:color="000000" w:sz="4" w:space="0"/>
              <w:left w:val="single" w:color="000000" w:sz="4" w:space="0"/>
              <w:bottom w:val="single" w:color="000000" w:sz="4" w:space="0"/>
              <w:right w:val="single" w:color="000000" w:sz="4" w:space="0"/>
            </w:tcBorders>
            <w:vAlign w:val="center"/>
          </w:tcPr>
          <w:p w14:paraId="0503FFF0">
            <w:pPr>
              <w:tabs>
                <w:tab w:val="left" w:pos="2552"/>
              </w:tabs>
              <w:spacing w:line="300" w:lineRule="exact"/>
              <w:jc w:val="center"/>
              <w:rPr>
                <w:color w:val="auto"/>
                <w:sz w:val="21"/>
                <w:szCs w:val="21"/>
                <w:highlight w:val="none"/>
              </w:rPr>
            </w:pPr>
            <w:r>
              <w:rPr>
                <w:rFonts w:hint="eastAsia"/>
                <w:color w:val="auto"/>
                <w:sz w:val="21"/>
                <w:szCs w:val="21"/>
                <w:highlight w:val="none"/>
              </w:rPr>
              <w:t>投标保证金</w:t>
            </w:r>
          </w:p>
        </w:tc>
        <w:tc>
          <w:tcPr>
            <w:tcW w:w="7515" w:type="dxa"/>
            <w:tcBorders>
              <w:top w:val="single" w:color="000000" w:sz="4" w:space="0"/>
              <w:left w:val="single" w:color="000000" w:sz="4" w:space="0"/>
              <w:bottom w:val="single" w:color="000000" w:sz="4" w:space="0"/>
              <w:right w:val="single" w:color="000000" w:sz="4" w:space="0"/>
            </w:tcBorders>
            <w:vAlign w:val="center"/>
          </w:tcPr>
          <w:p w14:paraId="17BBBC73">
            <w:pPr>
              <w:tabs>
                <w:tab w:val="left" w:pos="2552"/>
              </w:tabs>
              <w:spacing w:line="300" w:lineRule="exact"/>
              <w:rPr>
                <w:color w:val="auto"/>
                <w:sz w:val="21"/>
                <w:szCs w:val="21"/>
                <w:highlight w:val="none"/>
                <w:lang w:val="en-US"/>
              </w:rPr>
            </w:pPr>
            <w:r>
              <w:rPr>
                <w:rFonts w:hint="eastAsia"/>
                <w:color w:val="auto"/>
                <w:sz w:val="21"/>
                <w:szCs w:val="21"/>
                <w:highlight w:val="none"/>
                <w:lang w:val="en-US"/>
              </w:rPr>
              <w:t>本项目不收取。</w:t>
            </w:r>
          </w:p>
        </w:tc>
      </w:tr>
      <w:tr w14:paraId="61298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47BC7837">
            <w:pPr>
              <w:numPr>
                <w:ilvl w:val="0"/>
                <w:numId w:val="1"/>
              </w:numPr>
              <w:tabs>
                <w:tab w:val="left" w:pos="2552"/>
              </w:tabs>
              <w:spacing w:line="300" w:lineRule="exact"/>
              <w:ind w:left="317" w:firstLine="0"/>
              <w:jc w:val="center"/>
              <w:rPr>
                <w:color w:val="auto"/>
                <w:sz w:val="21"/>
                <w:szCs w:val="21"/>
                <w:highlight w:val="none"/>
              </w:rPr>
            </w:pPr>
            <w:r>
              <w:rPr>
                <w:rFonts w:hint="eastAsia"/>
                <w:color w:val="auto"/>
                <w:sz w:val="21"/>
                <w:szCs w:val="21"/>
                <w:highlight w:val="none"/>
              </w:rPr>
              <w:t>6</w:t>
            </w:r>
          </w:p>
        </w:tc>
        <w:tc>
          <w:tcPr>
            <w:tcW w:w="1097" w:type="dxa"/>
            <w:tcBorders>
              <w:top w:val="single" w:color="000000" w:sz="4" w:space="0"/>
              <w:left w:val="single" w:color="000000" w:sz="4" w:space="0"/>
              <w:bottom w:val="single" w:color="000000" w:sz="4" w:space="0"/>
              <w:right w:val="single" w:color="000000" w:sz="4" w:space="0"/>
            </w:tcBorders>
            <w:vAlign w:val="center"/>
          </w:tcPr>
          <w:p w14:paraId="0DD6D223">
            <w:pPr>
              <w:tabs>
                <w:tab w:val="left" w:pos="2552"/>
              </w:tabs>
              <w:spacing w:line="300" w:lineRule="exact"/>
              <w:jc w:val="center"/>
              <w:rPr>
                <w:color w:val="auto"/>
                <w:sz w:val="21"/>
                <w:szCs w:val="21"/>
                <w:highlight w:val="none"/>
              </w:rPr>
            </w:pPr>
            <w:r>
              <w:rPr>
                <w:rFonts w:hint="eastAsia"/>
                <w:color w:val="auto"/>
                <w:sz w:val="21"/>
                <w:szCs w:val="21"/>
                <w:highlight w:val="none"/>
              </w:rPr>
              <w:t>开 标</w:t>
            </w:r>
          </w:p>
        </w:tc>
        <w:tc>
          <w:tcPr>
            <w:tcW w:w="7515" w:type="dxa"/>
            <w:tcBorders>
              <w:top w:val="single" w:color="000000" w:sz="4" w:space="0"/>
              <w:left w:val="single" w:color="000000" w:sz="4" w:space="0"/>
              <w:bottom w:val="single" w:color="000000" w:sz="4" w:space="0"/>
              <w:right w:val="single" w:color="000000" w:sz="4" w:space="0"/>
            </w:tcBorders>
            <w:vAlign w:val="center"/>
          </w:tcPr>
          <w:p w14:paraId="42673699">
            <w:pPr>
              <w:tabs>
                <w:tab w:val="left" w:pos="2552"/>
              </w:tabs>
              <w:spacing w:line="300" w:lineRule="exact"/>
              <w:rPr>
                <w:rFonts w:hint="eastAsia" w:eastAsia="宋体"/>
                <w:b/>
                <w:color w:val="auto"/>
                <w:sz w:val="21"/>
                <w:szCs w:val="21"/>
                <w:highlight w:val="none"/>
                <w:lang w:eastAsia="zh-CN"/>
              </w:rPr>
            </w:pPr>
            <w:r>
              <w:rPr>
                <w:rFonts w:hint="eastAsia"/>
                <w:color w:val="auto"/>
                <w:sz w:val="21"/>
                <w:szCs w:val="21"/>
                <w:highlight w:val="none"/>
                <w:lang w:val="en-US"/>
              </w:rPr>
              <w:t xml:space="preserve">详见第一章 </w:t>
            </w:r>
            <w:r>
              <w:rPr>
                <w:rFonts w:hint="eastAsia"/>
                <w:color w:val="auto"/>
                <w:sz w:val="21"/>
                <w:szCs w:val="21"/>
                <w:highlight w:val="none"/>
                <w:lang w:val="en-US" w:eastAsia="zh-CN"/>
              </w:rPr>
              <w:t>招标公告</w:t>
            </w:r>
          </w:p>
        </w:tc>
      </w:tr>
      <w:tr w14:paraId="3EE6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928" w:type="dxa"/>
            <w:tcBorders>
              <w:top w:val="single" w:color="000000" w:sz="4" w:space="0"/>
              <w:left w:val="single" w:color="000000" w:sz="4" w:space="0"/>
              <w:bottom w:val="single" w:color="auto" w:sz="4" w:space="0"/>
              <w:right w:val="single" w:color="000000" w:sz="4" w:space="0"/>
            </w:tcBorders>
            <w:vAlign w:val="center"/>
          </w:tcPr>
          <w:p w14:paraId="36D95FC2">
            <w:pPr>
              <w:numPr>
                <w:ilvl w:val="0"/>
                <w:numId w:val="1"/>
              </w:numPr>
              <w:tabs>
                <w:tab w:val="left" w:pos="2552"/>
              </w:tabs>
              <w:spacing w:line="300" w:lineRule="exact"/>
              <w:ind w:left="317" w:firstLine="0"/>
              <w:jc w:val="center"/>
              <w:rPr>
                <w:color w:val="auto"/>
                <w:sz w:val="21"/>
                <w:szCs w:val="21"/>
                <w:highlight w:val="none"/>
              </w:rPr>
            </w:pPr>
            <w:r>
              <w:rPr>
                <w:rFonts w:hint="eastAsia"/>
                <w:color w:val="auto"/>
                <w:sz w:val="21"/>
                <w:szCs w:val="21"/>
                <w:highlight w:val="none"/>
              </w:rPr>
              <w:t>7</w:t>
            </w:r>
          </w:p>
        </w:tc>
        <w:tc>
          <w:tcPr>
            <w:tcW w:w="1097" w:type="dxa"/>
            <w:tcBorders>
              <w:top w:val="single" w:color="000000" w:sz="4" w:space="0"/>
              <w:left w:val="single" w:color="000000" w:sz="4" w:space="0"/>
              <w:bottom w:val="single" w:color="auto" w:sz="4" w:space="0"/>
              <w:right w:val="single" w:color="000000" w:sz="4" w:space="0"/>
            </w:tcBorders>
            <w:vAlign w:val="center"/>
          </w:tcPr>
          <w:p w14:paraId="0728254B">
            <w:pPr>
              <w:spacing w:line="300" w:lineRule="exact"/>
              <w:jc w:val="center"/>
              <w:rPr>
                <w:color w:val="auto"/>
                <w:sz w:val="21"/>
                <w:szCs w:val="21"/>
                <w:highlight w:val="none"/>
              </w:rPr>
            </w:pPr>
            <w:r>
              <w:rPr>
                <w:rFonts w:hint="eastAsia"/>
                <w:color w:val="auto"/>
                <w:sz w:val="21"/>
                <w:szCs w:val="21"/>
                <w:highlight w:val="none"/>
              </w:rPr>
              <w:t>演示与述标</w:t>
            </w:r>
          </w:p>
        </w:tc>
        <w:tc>
          <w:tcPr>
            <w:tcW w:w="7515" w:type="dxa"/>
            <w:tcBorders>
              <w:top w:val="single" w:color="000000" w:sz="4" w:space="0"/>
              <w:left w:val="single" w:color="000000" w:sz="4" w:space="0"/>
              <w:bottom w:val="single" w:color="000000" w:sz="4" w:space="0"/>
              <w:right w:val="single" w:color="000000" w:sz="4" w:space="0"/>
            </w:tcBorders>
            <w:vAlign w:val="center"/>
          </w:tcPr>
          <w:p w14:paraId="70E40ED2">
            <w:pPr>
              <w:tabs>
                <w:tab w:val="left" w:pos="720"/>
              </w:tabs>
              <w:snapToGrid w:val="0"/>
              <w:spacing w:line="300" w:lineRule="exact"/>
              <w:ind w:left="4" w:leftChars="2"/>
              <w:jc w:val="both"/>
              <w:rPr>
                <w:color w:val="auto"/>
                <w:sz w:val="21"/>
                <w:szCs w:val="21"/>
                <w:highlight w:val="none"/>
              </w:rPr>
            </w:pPr>
            <w:r>
              <w:rPr>
                <w:rFonts w:hint="eastAsia"/>
                <w:color w:val="auto"/>
                <w:sz w:val="21"/>
                <w:szCs w:val="21"/>
                <w:highlight w:val="none"/>
              </w:rPr>
              <w:t>无。</w:t>
            </w:r>
          </w:p>
        </w:tc>
      </w:tr>
      <w:tr w14:paraId="6CA18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928" w:type="dxa"/>
            <w:tcBorders>
              <w:top w:val="single" w:color="auto" w:sz="4" w:space="0"/>
              <w:left w:val="single" w:color="000000" w:sz="4" w:space="0"/>
              <w:bottom w:val="single" w:color="000000" w:sz="4" w:space="0"/>
              <w:right w:val="single" w:color="000000" w:sz="4" w:space="0"/>
            </w:tcBorders>
            <w:vAlign w:val="center"/>
          </w:tcPr>
          <w:p w14:paraId="3BFB43CA">
            <w:pPr>
              <w:numPr>
                <w:ilvl w:val="0"/>
                <w:numId w:val="1"/>
              </w:numPr>
              <w:tabs>
                <w:tab w:val="left" w:pos="2552"/>
              </w:tabs>
              <w:spacing w:line="300" w:lineRule="exact"/>
              <w:ind w:left="317" w:firstLine="0"/>
              <w:jc w:val="center"/>
              <w:rPr>
                <w:color w:val="auto"/>
                <w:sz w:val="21"/>
                <w:szCs w:val="21"/>
                <w:highlight w:val="none"/>
              </w:rPr>
            </w:pPr>
          </w:p>
        </w:tc>
        <w:tc>
          <w:tcPr>
            <w:tcW w:w="1097" w:type="dxa"/>
            <w:tcBorders>
              <w:top w:val="single" w:color="auto" w:sz="4" w:space="0"/>
              <w:left w:val="single" w:color="000000" w:sz="4" w:space="0"/>
              <w:bottom w:val="single" w:color="000000" w:sz="4" w:space="0"/>
              <w:right w:val="single" w:color="000000" w:sz="4" w:space="0"/>
            </w:tcBorders>
            <w:vAlign w:val="center"/>
          </w:tcPr>
          <w:p w14:paraId="275E13AD">
            <w:pPr>
              <w:rPr>
                <w:b/>
                <w:bCs/>
                <w:color w:val="auto"/>
                <w:sz w:val="21"/>
                <w:szCs w:val="21"/>
                <w:highlight w:val="none"/>
              </w:rPr>
            </w:pPr>
            <w:r>
              <w:rPr>
                <w:rFonts w:hint="eastAsia" w:ascii="宋体" w:hAnsi="宋体"/>
                <w:color w:val="auto"/>
                <w:szCs w:val="21"/>
                <w:highlight w:val="none"/>
              </w:rPr>
              <w:t>投标答疑</w:t>
            </w:r>
          </w:p>
        </w:tc>
        <w:tc>
          <w:tcPr>
            <w:tcW w:w="7515" w:type="dxa"/>
            <w:tcBorders>
              <w:top w:val="single" w:color="000000" w:sz="4" w:space="0"/>
              <w:left w:val="single" w:color="000000" w:sz="4" w:space="0"/>
              <w:bottom w:val="single" w:color="000000" w:sz="4" w:space="0"/>
              <w:right w:val="single" w:color="000000" w:sz="4" w:space="0"/>
            </w:tcBorders>
            <w:vAlign w:val="center"/>
          </w:tcPr>
          <w:p w14:paraId="0A8D28B4">
            <w:pPr>
              <w:rPr>
                <w:rFonts w:ascii="宋体" w:hAnsi="宋体"/>
                <w:color w:val="auto"/>
                <w:szCs w:val="21"/>
                <w:highlight w:val="none"/>
                <w:u w:val="singl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r>
              <w:rPr>
                <w:rFonts w:hint="eastAsia" w:ascii="宋体" w:hAnsi="宋体"/>
                <w:color w:val="auto"/>
                <w:szCs w:val="21"/>
                <w:highlight w:val="none"/>
                <w:u w:val="single"/>
              </w:rPr>
              <w:t>（在递交投标文件截止日期前18日）；</w:t>
            </w:r>
          </w:p>
          <w:p w14:paraId="2695E4A8">
            <w:pPr>
              <w:rPr>
                <w:rFonts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交易平台提交。</w:t>
            </w:r>
          </w:p>
          <w:p w14:paraId="727A617A">
            <w:pPr>
              <w:rPr>
                <w:b/>
                <w:bCs/>
                <w:color w:val="auto"/>
                <w:sz w:val="21"/>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rPr>
              <w:t>：广州公共资源交易中心网站http:// www.gzggzy.cn）《房屋建筑和市政基础设施工程全流程电子化项目专章》。</w:t>
            </w:r>
            <w:r>
              <w:rPr>
                <w:rFonts w:hint="eastAsia" w:ascii="宋体" w:hAnsi="宋体"/>
                <w:color w:val="auto"/>
                <w:szCs w:val="21"/>
                <w:highlight w:val="none"/>
              </w:rPr>
              <w:t>提问一律不得署名。</w:t>
            </w:r>
          </w:p>
        </w:tc>
      </w:tr>
      <w:tr w14:paraId="5BE3F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28" w:type="dxa"/>
            <w:tcBorders>
              <w:top w:val="single" w:color="auto" w:sz="4" w:space="0"/>
              <w:left w:val="single" w:color="000000" w:sz="4" w:space="0"/>
              <w:bottom w:val="single" w:color="000000" w:sz="4" w:space="0"/>
              <w:right w:val="single" w:color="000000" w:sz="4" w:space="0"/>
            </w:tcBorders>
            <w:vAlign w:val="center"/>
          </w:tcPr>
          <w:p w14:paraId="0C76E7CF">
            <w:pPr>
              <w:numPr>
                <w:ilvl w:val="0"/>
                <w:numId w:val="1"/>
              </w:numPr>
              <w:tabs>
                <w:tab w:val="left" w:pos="2552"/>
              </w:tabs>
              <w:spacing w:line="300" w:lineRule="exact"/>
              <w:ind w:left="317" w:firstLine="0"/>
              <w:jc w:val="center"/>
              <w:rPr>
                <w:color w:val="auto"/>
                <w:sz w:val="21"/>
                <w:szCs w:val="21"/>
                <w:highlight w:val="none"/>
              </w:rPr>
            </w:pPr>
          </w:p>
        </w:tc>
        <w:tc>
          <w:tcPr>
            <w:tcW w:w="1097" w:type="dxa"/>
            <w:tcBorders>
              <w:top w:val="single" w:color="auto" w:sz="4" w:space="0"/>
              <w:left w:val="single" w:color="000000" w:sz="4" w:space="0"/>
              <w:bottom w:val="single" w:color="000000" w:sz="4" w:space="0"/>
              <w:right w:val="single" w:color="000000" w:sz="4" w:space="0"/>
            </w:tcBorders>
            <w:vAlign w:val="center"/>
          </w:tcPr>
          <w:p w14:paraId="3782B159">
            <w:pPr>
              <w:tabs>
                <w:tab w:val="left" w:pos="2552"/>
              </w:tabs>
              <w:spacing w:line="300" w:lineRule="exact"/>
              <w:jc w:val="center"/>
              <w:rPr>
                <w:color w:val="auto"/>
                <w:sz w:val="21"/>
                <w:szCs w:val="21"/>
                <w:highlight w:val="none"/>
              </w:rPr>
            </w:pPr>
            <w:r>
              <w:rPr>
                <w:rFonts w:hint="eastAsia"/>
                <w:color w:val="auto"/>
                <w:sz w:val="21"/>
                <w:szCs w:val="21"/>
                <w:highlight w:val="none"/>
              </w:rPr>
              <w:t>评标委员会组成</w:t>
            </w:r>
          </w:p>
        </w:tc>
        <w:tc>
          <w:tcPr>
            <w:tcW w:w="7515" w:type="dxa"/>
            <w:tcBorders>
              <w:top w:val="single" w:color="000000" w:sz="4" w:space="0"/>
              <w:left w:val="single" w:color="000000" w:sz="4" w:space="0"/>
              <w:bottom w:val="single" w:color="000000" w:sz="4" w:space="0"/>
              <w:right w:val="single" w:color="000000" w:sz="4" w:space="0"/>
            </w:tcBorders>
            <w:vAlign w:val="center"/>
          </w:tcPr>
          <w:p w14:paraId="217DA8DE">
            <w:pPr>
              <w:tabs>
                <w:tab w:val="left" w:pos="2552"/>
              </w:tabs>
              <w:spacing w:line="300" w:lineRule="exact"/>
              <w:rPr>
                <w:color w:val="auto"/>
                <w:sz w:val="21"/>
                <w:szCs w:val="21"/>
                <w:highlight w:val="none"/>
              </w:rPr>
            </w:pPr>
            <w:r>
              <w:rPr>
                <w:rFonts w:hint="eastAsia"/>
                <w:bCs/>
                <w:color w:val="auto"/>
                <w:sz w:val="21"/>
                <w:szCs w:val="21"/>
                <w:highlight w:val="none"/>
                <w:lang w:val="en-US" w:eastAsia="zh-CN"/>
              </w:rPr>
              <w:t>评标委员会由招标人依法组建</w:t>
            </w:r>
            <w:r>
              <w:rPr>
                <w:rFonts w:hint="eastAsia"/>
                <w:bCs/>
                <w:color w:val="auto"/>
                <w:sz w:val="21"/>
                <w:szCs w:val="21"/>
                <w:highlight w:val="none"/>
              </w:rPr>
              <w:t>。</w:t>
            </w:r>
          </w:p>
        </w:tc>
      </w:tr>
      <w:tr w14:paraId="31E1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3C4F2269">
            <w:pPr>
              <w:numPr>
                <w:ilvl w:val="0"/>
                <w:numId w:val="1"/>
              </w:numPr>
              <w:tabs>
                <w:tab w:val="left" w:pos="2552"/>
              </w:tabs>
              <w:spacing w:line="300" w:lineRule="exact"/>
              <w:ind w:left="317" w:firstLine="0"/>
              <w:jc w:val="center"/>
              <w:rPr>
                <w:color w:val="auto"/>
                <w:sz w:val="21"/>
                <w:szCs w:val="21"/>
                <w:highlight w:val="none"/>
              </w:rPr>
            </w:pPr>
            <w:r>
              <w:rPr>
                <w:rFonts w:hint="eastAsia"/>
                <w:color w:val="auto"/>
                <w:sz w:val="21"/>
                <w:szCs w:val="21"/>
                <w:highlight w:val="none"/>
              </w:rPr>
              <w:t>8</w:t>
            </w:r>
          </w:p>
        </w:tc>
        <w:tc>
          <w:tcPr>
            <w:tcW w:w="1097" w:type="dxa"/>
            <w:tcBorders>
              <w:top w:val="single" w:color="000000" w:sz="4" w:space="0"/>
              <w:left w:val="single" w:color="000000" w:sz="4" w:space="0"/>
              <w:bottom w:val="single" w:color="000000" w:sz="4" w:space="0"/>
              <w:right w:val="single" w:color="000000" w:sz="4" w:space="0"/>
            </w:tcBorders>
            <w:vAlign w:val="center"/>
          </w:tcPr>
          <w:p w14:paraId="5AFBBC64">
            <w:pPr>
              <w:tabs>
                <w:tab w:val="left" w:pos="2552"/>
              </w:tabs>
              <w:spacing w:line="300" w:lineRule="exact"/>
              <w:jc w:val="center"/>
              <w:rPr>
                <w:color w:val="auto"/>
                <w:sz w:val="21"/>
                <w:szCs w:val="21"/>
                <w:highlight w:val="none"/>
              </w:rPr>
            </w:pPr>
            <w:r>
              <w:rPr>
                <w:rFonts w:hint="eastAsia"/>
                <w:color w:val="auto"/>
                <w:sz w:val="21"/>
                <w:szCs w:val="21"/>
                <w:highlight w:val="none"/>
              </w:rPr>
              <w:t>评审方法</w:t>
            </w:r>
          </w:p>
        </w:tc>
        <w:tc>
          <w:tcPr>
            <w:tcW w:w="7515" w:type="dxa"/>
            <w:tcBorders>
              <w:top w:val="single" w:color="000000" w:sz="4" w:space="0"/>
              <w:left w:val="single" w:color="000000" w:sz="4" w:space="0"/>
              <w:bottom w:val="single" w:color="000000" w:sz="4" w:space="0"/>
              <w:right w:val="single" w:color="000000" w:sz="4" w:space="0"/>
            </w:tcBorders>
            <w:vAlign w:val="center"/>
          </w:tcPr>
          <w:p w14:paraId="55D494CB">
            <w:pPr>
              <w:adjustRightInd w:val="0"/>
              <w:spacing w:line="300" w:lineRule="exact"/>
              <w:rPr>
                <w:color w:val="auto"/>
                <w:sz w:val="21"/>
                <w:szCs w:val="21"/>
                <w:highlight w:val="none"/>
              </w:rPr>
            </w:pPr>
            <w:r>
              <w:rPr>
                <w:rFonts w:hint="eastAsia"/>
                <w:color w:val="auto"/>
                <w:sz w:val="21"/>
                <w:szCs w:val="21"/>
                <w:highlight w:val="none"/>
              </w:rPr>
              <w:t>综合评分法。</w:t>
            </w:r>
          </w:p>
        </w:tc>
      </w:tr>
      <w:tr w14:paraId="2E0F0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4DA702C6">
            <w:pPr>
              <w:numPr>
                <w:ilvl w:val="0"/>
                <w:numId w:val="1"/>
              </w:numPr>
              <w:tabs>
                <w:tab w:val="left" w:pos="2552"/>
              </w:tabs>
              <w:spacing w:line="300" w:lineRule="exact"/>
              <w:ind w:left="317" w:firstLine="0"/>
              <w:jc w:val="center"/>
              <w:rPr>
                <w:color w:val="auto"/>
                <w:sz w:val="21"/>
                <w:szCs w:val="21"/>
                <w:highlight w:val="none"/>
              </w:rPr>
            </w:pPr>
          </w:p>
        </w:tc>
        <w:tc>
          <w:tcPr>
            <w:tcW w:w="1097" w:type="dxa"/>
            <w:tcBorders>
              <w:top w:val="single" w:color="000000" w:sz="4" w:space="0"/>
              <w:left w:val="single" w:color="000000" w:sz="4" w:space="0"/>
              <w:bottom w:val="single" w:color="000000" w:sz="4" w:space="0"/>
              <w:right w:val="single" w:color="000000" w:sz="4" w:space="0"/>
            </w:tcBorders>
            <w:vAlign w:val="center"/>
          </w:tcPr>
          <w:p w14:paraId="3DF4DAED">
            <w:pPr>
              <w:spacing w:line="300" w:lineRule="exact"/>
              <w:jc w:val="center"/>
              <w:rPr>
                <w:color w:val="auto"/>
                <w:sz w:val="21"/>
                <w:szCs w:val="21"/>
                <w:highlight w:val="none"/>
              </w:rPr>
            </w:pPr>
            <w:r>
              <w:rPr>
                <w:rFonts w:hint="eastAsia"/>
                <w:color w:val="auto"/>
                <w:sz w:val="21"/>
                <w:szCs w:val="21"/>
                <w:highlight w:val="none"/>
              </w:rPr>
              <w:t>评标步骤</w:t>
            </w:r>
          </w:p>
        </w:tc>
        <w:tc>
          <w:tcPr>
            <w:tcW w:w="7515" w:type="dxa"/>
            <w:tcBorders>
              <w:top w:val="single" w:color="000000" w:sz="4" w:space="0"/>
              <w:left w:val="single" w:color="000000" w:sz="4" w:space="0"/>
              <w:bottom w:val="single" w:color="000000" w:sz="4" w:space="0"/>
              <w:right w:val="single" w:color="000000" w:sz="4" w:space="0"/>
            </w:tcBorders>
            <w:vAlign w:val="center"/>
          </w:tcPr>
          <w:p w14:paraId="6AE1752F">
            <w:pPr>
              <w:spacing w:line="300" w:lineRule="exact"/>
              <w:rPr>
                <w:color w:val="auto"/>
                <w:sz w:val="21"/>
                <w:szCs w:val="21"/>
                <w:highlight w:val="none"/>
              </w:rPr>
            </w:pPr>
            <w:r>
              <w:rPr>
                <w:rFonts w:hint="eastAsia"/>
                <w:color w:val="auto"/>
                <w:sz w:val="21"/>
                <w:szCs w:val="21"/>
                <w:highlight w:val="none"/>
              </w:rPr>
              <w:t>项目开标结束后，由本项目评标委员会对投标人的进行资格、符合性审查，以确定其是否满足招标文件的实质性要求。通过资格、符合性审查的投标人即为入围投标人。评标委员会对入围投标人进行技术、商务的详细评审。</w:t>
            </w:r>
          </w:p>
        </w:tc>
      </w:tr>
      <w:tr w14:paraId="0169A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1A3BAC9B">
            <w:pPr>
              <w:numPr>
                <w:ilvl w:val="0"/>
                <w:numId w:val="1"/>
              </w:numPr>
              <w:tabs>
                <w:tab w:val="left" w:pos="2552"/>
              </w:tabs>
              <w:spacing w:line="300" w:lineRule="exact"/>
              <w:ind w:left="317" w:firstLine="0"/>
              <w:jc w:val="center"/>
              <w:rPr>
                <w:color w:val="auto"/>
                <w:sz w:val="21"/>
                <w:szCs w:val="21"/>
                <w:highlight w:val="none"/>
              </w:rPr>
            </w:pPr>
          </w:p>
        </w:tc>
        <w:tc>
          <w:tcPr>
            <w:tcW w:w="1097" w:type="dxa"/>
            <w:tcBorders>
              <w:top w:val="single" w:color="000000" w:sz="4" w:space="0"/>
              <w:left w:val="single" w:color="000000" w:sz="4" w:space="0"/>
              <w:bottom w:val="single" w:color="000000" w:sz="4" w:space="0"/>
              <w:right w:val="single" w:color="000000" w:sz="4" w:space="0"/>
            </w:tcBorders>
            <w:vAlign w:val="center"/>
          </w:tcPr>
          <w:p w14:paraId="38684AB6">
            <w:pPr>
              <w:spacing w:line="300" w:lineRule="exact"/>
              <w:jc w:val="center"/>
              <w:rPr>
                <w:color w:val="auto"/>
                <w:sz w:val="21"/>
                <w:szCs w:val="21"/>
                <w:highlight w:val="none"/>
              </w:rPr>
            </w:pPr>
            <w:r>
              <w:rPr>
                <w:rFonts w:hint="eastAsia"/>
                <w:bCs/>
                <w:color w:val="auto"/>
                <w:sz w:val="21"/>
                <w:szCs w:val="21"/>
                <w:highlight w:val="none"/>
              </w:rPr>
              <w:t>中标候选人的推荐</w:t>
            </w:r>
          </w:p>
        </w:tc>
        <w:tc>
          <w:tcPr>
            <w:tcW w:w="7515" w:type="dxa"/>
            <w:tcBorders>
              <w:top w:val="single" w:color="000000" w:sz="4" w:space="0"/>
              <w:left w:val="single" w:color="000000" w:sz="4" w:space="0"/>
              <w:bottom w:val="single" w:color="000000" w:sz="4" w:space="0"/>
              <w:right w:val="single" w:color="000000" w:sz="4" w:space="0"/>
            </w:tcBorders>
            <w:vAlign w:val="center"/>
          </w:tcPr>
          <w:p w14:paraId="64103C79">
            <w:pPr>
              <w:spacing w:line="300" w:lineRule="exact"/>
              <w:rPr>
                <w:b/>
                <w:color w:val="auto"/>
                <w:sz w:val="21"/>
                <w:szCs w:val="21"/>
                <w:highlight w:val="none"/>
              </w:rPr>
            </w:pPr>
            <w:r>
              <w:rPr>
                <w:rFonts w:hint="eastAsia"/>
                <w:b/>
                <w:color w:val="auto"/>
                <w:sz w:val="21"/>
                <w:szCs w:val="21"/>
                <w:highlight w:val="none"/>
              </w:rPr>
              <w:t>推荐中标候选人名单：本项目推荐三名中标候选人。</w:t>
            </w:r>
          </w:p>
          <w:p w14:paraId="081CEE65">
            <w:pPr>
              <w:spacing w:line="300" w:lineRule="exact"/>
              <w:rPr>
                <w:bCs/>
                <w:color w:val="auto"/>
                <w:sz w:val="21"/>
                <w:szCs w:val="21"/>
                <w:highlight w:val="none"/>
              </w:rPr>
            </w:pPr>
            <w:r>
              <w:rPr>
                <w:rFonts w:hint="eastAsia"/>
                <w:bCs/>
                <w:color w:val="auto"/>
                <w:sz w:val="21"/>
                <w:szCs w:val="21"/>
                <w:highlight w:val="none"/>
              </w:rPr>
              <w:t>评标委员会结合商务文件部分、技术文件部分和价格部分进行综合评估，</w:t>
            </w:r>
            <w:r>
              <w:rPr>
                <w:rFonts w:hint="eastAsia"/>
                <w:color w:val="auto"/>
                <w:sz w:val="21"/>
                <w:szCs w:val="21"/>
                <w:highlight w:val="none"/>
              </w:rPr>
              <w:t>将各有效投标人按其评标总得分由高到低顺序排列。评标总</w:t>
            </w:r>
            <w:r>
              <w:rPr>
                <w:rFonts w:hint="eastAsia"/>
                <w:bCs/>
                <w:color w:val="auto"/>
                <w:sz w:val="21"/>
                <w:szCs w:val="21"/>
                <w:highlight w:val="none"/>
              </w:rPr>
              <w:t>得分相同的，</w:t>
            </w:r>
            <w:r>
              <w:rPr>
                <w:rFonts w:hint="eastAsia"/>
                <w:color w:val="auto"/>
                <w:sz w:val="21"/>
                <w:szCs w:val="21"/>
                <w:highlight w:val="none"/>
              </w:rPr>
              <w:t>按下列顺序比较确定：①投标报价（由低到高）</w:t>
            </w:r>
            <w:r>
              <w:rPr>
                <w:rFonts w:hint="eastAsia"/>
                <w:bCs/>
                <w:color w:val="auto"/>
                <w:sz w:val="21"/>
                <w:szCs w:val="21"/>
                <w:highlight w:val="none"/>
              </w:rPr>
              <w:t>；②综合得分相同且投标报价相同的，按</w:t>
            </w:r>
            <w:r>
              <w:rPr>
                <w:rFonts w:hint="eastAsia"/>
                <w:color w:val="auto"/>
                <w:sz w:val="21"/>
                <w:szCs w:val="21"/>
                <w:highlight w:val="none"/>
              </w:rPr>
              <w:t>技术评分（由高到低）</w:t>
            </w:r>
            <w:r>
              <w:rPr>
                <w:rFonts w:hint="eastAsia"/>
                <w:bCs/>
                <w:color w:val="auto"/>
                <w:sz w:val="21"/>
                <w:szCs w:val="21"/>
                <w:highlight w:val="none"/>
              </w:rPr>
              <w:t>；③综合得分相同、投标报价和技术评分均相同的，名次由评标委员会抽签确定。法律法规有明确规定的，以法律法规规定为准。</w:t>
            </w:r>
          </w:p>
          <w:p w14:paraId="1BDD33F2">
            <w:pPr>
              <w:spacing w:line="300" w:lineRule="exact"/>
              <w:rPr>
                <w:color w:val="auto"/>
                <w:sz w:val="21"/>
                <w:szCs w:val="21"/>
                <w:highlight w:val="none"/>
              </w:rPr>
            </w:pPr>
            <w:r>
              <w:rPr>
                <w:rFonts w:hint="eastAsia"/>
                <w:bCs/>
                <w:color w:val="auto"/>
                <w:sz w:val="21"/>
                <w:szCs w:val="21"/>
                <w:highlight w:val="none"/>
              </w:rPr>
              <w:t>推荐排名第一的投标人为第一中标候选人，排名第二的投标人为第二中标候选人，推荐排名第三的投标人为第三中标候选人。</w:t>
            </w:r>
          </w:p>
        </w:tc>
      </w:tr>
      <w:tr w14:paraId="357BF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66725A20">
            <w:pPr>
              <w:numPr>
                <w:ilvl w:val="0"/>
                <w:numId w:val="1"/>
              </w:numPr>
              <w:tabs>
                <w:tab w:val="left" w:pos="2552"/>
              </w:tabs>
              <w:spacing w:line="300" w:lineRule="exact"/>
              <w:ind w:left="317" w:firstLine="0"/>
              <w:jc w:val="center"/>
              <w:rPr>
                <w:color w:val="auto"/>
                <w:sz w:val="21"/>
                <w:szCs w:val="21"/>
                <w:highlight w:val="none"/>
              </w:rPr>
            </w:pPr>
          </w:p>
        </w:tc>
        <w:tc>
          <w:tcPr>
            <w:tcW w:w="1097" w:type="dxa"/>
            <w:tcBorders>
              <w:top w:val="single" w:color="000000" w:sz="4" w:space="0"/>
              <w:left w:val="single" w:color="000000" w:sz="4" w:space="0"/>
              <w:bottom w:val="single" w:color="000000" w:sz="4" w:space="0"/>
              <w:right w:val="single" w:color="000000" w:sz="4" w:space="0"/>
            </w:tcBorders>
            <w:vAlign w:val="center"/>
          </w:tcPr>
          <w:p w14:paraId="1CCCCE16">
            <w:pPr>
              <w:widowControl/>
              <w:shd w:val="clear" w:color="auto" w:fill="FFFFFF"/>
              <w:adjustRightInd w:val="0"/>
              <w:spacing w:line="360" w:lineRule="auto"/>
              <w:jc w:val="center"/>
              <w:rPr>
                <w:rFonts w:hint="eastAsia" w:eastAsia="宋体"/>
                <w:color w:val="auto"/>
                <w:sz w:val="21"/>
                <w:szCs w:val="21"/>
                <w:highlight w:val="none"/>
                <w:lang w:eastAsia="zh-CN"/>
              </w:rPr>
            </w:pPr>
            <w:r>
              <w:rPr>
                <w:rFonts w:hint="eastAsia" w:ascii="宋体" w:hAnsi="宋体" w:cs="宋体"/>
                <w:color w:val="auto"/>
                <w:sz w:val="22"/>
                <w:highlight w:val="none"/>
                <w:lang w:val="en-US" w:eastAsia="zh-CN"/>
              </w:rPr>
              <w:t>招标代理费</w:t>
            </w:r>
          </w:p>
        </w:tc>
        <w:tc>
          <w:tcPr>
            <w:tcW w:w="7515" w:type="dxa"/>
            <w:tcBorders>
              <w:top w:val="single" w:color="000000" w:sz="4" w:space="0"/>
              <w:left w:val="single" w:color="000000" w:sz="4" w:space="0"/>
              <w:bottom w:val="single" w:color="000000" w:sz="4" w:space="0"/>
              <w:right w:val="single" w:color="000000" w:sz="4" w:space="0"/>
            </w:tcBorders>
            <w:vAlign w:val="center"/>
          </w:tcPr>
          <w:p w14:paraId="14EF4EB6">
            <w:pPr>
              <w:pStyle w:val="12"/>
              <w:rPr>
                <w:color w:val="auto"/>
                <w:sz w:val="21"/>
                <w:szCs w:val="21"/>
                <w:highlight w:val="none"/>
              </w:rPr>
            </w:pPr>
            <w:r>
              <w:rPr>
                <w:rFonts w:hint="eastAsia" w:ascii="宋体" w:hAnsi="宋体" w:eastAsia="宋体" w:cs="宋体"/>
                <w:color w:val="auto"/>
                <w:kern w:val="2"/>
                <w:sz w:val="22"/>
                <w:szCs w:val="22"/>
                <w:highlight w:val="none"/>
                <w:u w:val="single"/>
                <w:lang w:val="en-US" w:eastAsia="zh-CN" w:bidi="ar-SA"/>
              </w:rPr>
              <w:t>招标代理服务费由中标单位向招标代理机构支付，招标代理服务费用</w:t>
            </w:r>
            <w:r>
              <w:rPr>
                <w:rFonts w:hint="eastAsia" w:cs="宋体"/>
                <w:color w:val="auto"/>
                <w:kern w:val="2"/>
                <w:sz w:val="22"/>
                <w:szCs w:val="22"/>
                <w:highlight w:val="none"/>
                <w:u w:val="single"/>
                <w:lang w:val="en-US" w:eastAsia="zh-CN" w:bidi="ar-SA"/>
              </w:rPr>
              <w:t>按人民币50000元进行收取</w:t>
            </w:r>
            <w:r>
              <w:rPr>
                <w:rFonts w:hint="eastAsia" w:ascii="宋体" w:hAnsi="宋体" w:eastAsia="宋体" w:cs="宋体"/>
                <w:color w:val="auto"/>
                <w:kern w:val="2"/>
                <w:sz w:val="22"/>
                <w:szCs w:val="22"/>
                <w:highlight w:val="none"/>
                <w:u w:val="single"/>
                <w:lang w:val="en-US" w:eastAsia="zh-CN" w:bidi="ar-SA"/>
              </w:rPr>
              <w:t>。</w:t>
            </w:r>
          </w:p>
        </w:tc>
      </w:tr>
      <w:tr w14:paraId="718B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523CC1F3">
            <w:pPr>
              <w:numPr>
                <w:ilvl w:val="0"/>
                <w:numId w:val="1"/>
              </w:numPr>
              <w:tabs>
                <w:tab w:val="left" w:pos="2552"/>
              </w:tabs>
              <w:spacing w:line="300" w:lineRule="exact"/>
              <w:ind w:left="317" w:firstLine="0"/>
              <w:jc w:val="center"/>
              <w:rPr>
                <w:color w:val="auto"/>
                <w:sz w:val="21"/>
                <w:szCs w:val="21"/>
                <w:highlight w:val="none"/>
              </w:rPr>
            </w:pPr>
          </w:p>
        </w:tc>
        <w:tc>
          <w:tcPr>
            <w:tcW w:w="1097" w:type="dxa"/>
            <w:tcBorders>
              <w:top w:val="single" w:color="000000" w:sz="4" w:space="0"/>
              <w:left w:val="single" w:color="000000" w:sz="4" w:space="0"/>
              <w:bottom w:val="single" w:color="000000" w:sz="4" w:space="0"/>
              <w:right w:val="single" w:color="000000" w:sz="4" w:space="0"/>
            </w:tcBorders>
            <w:vAlign w:val="center"/>
          </w:tcPr>
          <w:p w14:paraId="02D31D16">
            <w:pPr>
              <w:spacing w:line="300" w:lineRule="exact"/>
              <w:jc w:val="center"/>
              <w:rPr>
                <w:color w:val="auto"/>
                <w:sz w:val="21"/>
                <w:szCs w:val="21"/>
                <w:highlight w:val="none"/>
              </w:rPr>
            </w:pPr>
            <w:r>
              <w:rPr>
                <w:rFonts w:hint="eastAsia"/>
                <w:color w:val="auto"/>
                <w:sz w:val="21"/>
                <w:szCs w:val="21"/>
                <w:highlight w:val="none"/>
              </w:rPr>
              <w:t>履约保证金</w:t>
            </w:r>
          </w:p>
        </w:tc>
        <w:tc>
          <w:tcPr>
            <w:tcW w:w="7515" w:type="dxa"/>
            <w:tcBorders>
              <w:top w:val="single" w:color="000000" w:sz="4" w:space="0"/>
              <w:left w:val="single" w:color="000000" w:sz="4" w:space="0"/>
              <w:bottom w:val="single" w:color="000000" w:sz="4" w:space="0"/>
              <w:right w:val="single" w:color="000000" w:sz="4" w:space="0"/>
            </w:tcBorders>
            <w:vAlign w:val="center"/>
          </w:tcPr>
          <w:p w14:paraId="1525F9B1">
            <w:pPr>
              <w:tabs>
                <w:tab w:val="left" w:pos="0"/>
              </w:tabs>
              <w:snapToGrid w:val="0"/>
              <w:spacing w:line="300" w:lineRule="exact"/>
              <w:rPr>
                <w:bCs/>
                <w:color w:val="auto"/>
                <w:sz w:val="21"/>
                <w:szCs w:val="21"/>
                <w:highlight w:val="none"/>
                <w:lang w:val="en-US"/>
              </w:rPr>
            </w:pPr>
            <w:r>
              <w:rPr>
                <w:rFonts w:hint="eastAsia"/>
                <w:color w:val="auto"/>
                <w:szCs w:val="21"/>
                <w:highlight w:val="none"/>
                <w:lang w:val="en-US"/>
              </w:rPr>
              <w:t>本项目不收取。</w:t>
            </w:r>
          </w:p>
        </w:tc>
      </w:tr>
      <w:tr w14:paraId="16518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3BA5F5EE">
            <w:pPr>
              <w:numPr>
                <w:ilvl w:val="0"/>
                <w:numId w:val="1"/>
              </w:numPr>
              <w:tabs>
                <w:tab w:val="left" w:pos="2552"/>
              </w:tabs>
              <w:spacing w:line="300" w:lineRule="exact"/>
              <w:ind w:left="317" w:firstLine="0"/>
              <w:jc w:val="center"/>
              <w:rPr>
                <w:color w:val="auto"/>
                <w:sz w:val="21"/>
                <w:szCs w:val="21"/>
                <w:highlight w:val="none"/>
              </w:rPr>
            </w:pPr>
          </w:p>
        </w:tc>
        <w:tc>
          <w:tcPr>
            <w:tcW w:w="1097" w:type="dxa"/>
            <w:tcBorders>
              <w:top w:val="single" w:color="000000" w:sz="4" w:space="0"/>
              <w:left w:val="single" w:color="000000" w:sz="4" w:space="0"/>
              <w:bottom w:val="single" w:color="000000" w:sz="4" w:space="0"/>
              <w:right w:val="single" w:color="000000" w:sz="4" w:space="0"/>
            </w:tcBorders>
            <w:vAlign w:val="center"/>
          </w:tcPr>
          <w:p w14:paraId="0337C15C">
            <w:pPr>
              <w:jc w:val="center"/>
              <w:rPr>
                <w:color w:val="auto"/>
                <w:sz w:val="21"/>
                <w:szCs w:val="21"/>
                <w:highlight w:val="none"/>
              </w:rPr>
            </w:pPr>
            <w:r>
              <w:rPr>
                <w:rFonts w:hint="eastAsia" w:ascii="宋体" w:hAnsi="宋体"/>
                <w:color w:val="auto"/>
                <w:szCs w:val="21"/>
                <w:highlight w:val="none"/>
              </w:rPr>
              <w:t>电子招标投标解密失败及突发情况的补救</w:t>
            </w:r>
          </w:p>
        </w:tc>
        <w:tc>
          <w:tcPr>
            <w:tcW w:w="7515" w:type="dxa"/>
            <w:tcBorders>
              <w:top w:val="single" w:color="000000" w:sz="4" w:space="0"/>
              <w:left w:val="single" w:color="000000" w:sz="4" w:space="0"/>
              <w:bottom w:val="single" w:color="000000" w:sz="4" w:space="0"/>
              <w:right w:val="single" w:color="000000" w:sz="4" w:space="0"/>
            </w:tcBorders>
            <w:vAlign w:val="center"/>
          </w:tcPr>
          <w:p w14:paraId="3D518A7B">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olor w:val="auto"/>
                <w:szCs w:val="21"/>
                <w:highlight w:val="none"/>
                <w:u w:val="single"/>
              </w:rPr>
              <w:t>广州公共资源交易中心网站http:// www.gzggzy.cn）《房屋建筑和市政基础设施工程全流程电子化项目专章》</w:t>
            </w:r>
            <w:r>
              <w:rPr>
                <w:rFonts w:hint="eastAsia" w:ascii="宋体" w:hAnsi="宋体" w:cs="Courier New"/>
                <w:color w:val="auto"/>
                <w:szCs w:val="21"/>
                <w:highlight w:val="none"/>
              </w:rPr>
              <w:t>。</w:t>
            </w:r>
          </w:p>
          <w:p w14:paraId="3F039266">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5E44128E">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B96C4DE">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6CA033AB">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3DBC47FA">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E99EE39">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0CBB58A3">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215E408F">
            <w:pPr>
              <w:rPr>
                <w:color w:val="auto"/>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22C31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928" w:type="dxa"/>
            <w:tcBorders>
              <w:top w:val="single" w:color="000000" w:sz="4" w:space="0"/>
              <w:left w:val="single" w:color="000000" w:sz="4" w:space="0"/>
              <w:bottom w:val="single" w:color="000000" w:sz="4" w:space="0"/>
              <w:right w:val="single" w:color="000000" w:sz="4" w:space="0"/>
            </w:tcBorders>
            <w:vAlign w:val="center"/>
          </w:tcPr>
          <w:p w14:paraId="70F3D234">
            <w:pPr>
              <w:numPr>
                <w:ilvl w:val="0"/>
                <w:numId w:val="1"/>
              </w:numPr>
              <w:tabs>
                <w:tab w:val="left" w:pos="2552"/>
              </w:tabs>
              <w:spacing w:line="300" w:lineRule="exact"/>
              <w:ind w:left="317" w:firstLine="0"/>
              <w:jc w:val="center"/>
              <w:rPr>
                <w:b/>
                <w:color w:val="auto"/>
                <w:sz w:val="21"/>
                <w:szCs w:val="21"/>
                <w:highlight w:val="none"/>
                <w:u w:val="single"/>
              </w:rPr>
            </w:pPr>
          </w:p>
        </w:tc>
        <w:tc>
          <w:tcPr>
            <w:tcW w:w="1097" w:type="dxa"/>
            <w:tcBorders>
              <w:top w:val="single" w:color="000000" w:sz="4" w:space="0"/>
              <w:left w:val="single" w:color="000000" w:sz="4" w:space="0"/>
              <w:bottom w:val="single" w:color="000000" w:sz="4" w:space="0"/>
              <w:right w:val="single" w:color="000000" w:sz="4" w:space="0"/>
            </w:tcBorders>
            <w:vAlign w:val="center"/>
          </w:tcPr>
          <w:p w14:paraId="149CE030">
            <w:pPr>
              <w:spacing w:line="300" w:lineRule="exact"/>
              <w:jc w:val="center"/>
              <w:rPr>
                <w:b/>
                <w:color w:val="auto"/>
                <w:sz w:val="21"/>
                <w:szCs w:val="21"/>
                <w:highlight w:val="none"/>
                <w:u w:val="single"/>
              </w:rPr>
            </w:pPr>
            <w:r>
              <w:rPr>
                <w:rFonts w:hint="eastAsia"/>
                <w:color w:val="auto"/>
                <w:sz w:val="21"/>
                <w:szCs w:val="21"/>
                <w:highlight w:val="none"/>
              </w:rPr>
              <w:t>★</w:t>
            </w:r>
            <w:r>
              <w:rPr>
                <w:rFonts w:hint="eastAsia"/>
                <w:b/>
                <w:color w:val="auto"/>
                <w:sz w:val="21"/>
                <w:szCs w:val="21"/>
                <w:highlight w:val="none"/>
                <w:u w:val="single"/>
              </w:rPr>
              <w:t>其他</w:t>
            </w:r>
          </w:p>
        </w:tc>
        <w:tc>
          <w:tcPr>
            <w:tcW w:w="7515" w:type="dxa"/>
            <w:tcBorders>
              <w:top w:val="single" w:color="000000" w:sz="4" w:space="0"/>
              <w:left w:val="single" w:color="000000" w:sz="4" w:space="0"/>
              <w:bottom w:val="single" w:color="000000" w:sz="4" w:space="0"/>
              <w:right w:val="single" w:color="000000" w:sz="4" w:space="0"/>
            </w:tcBorders>
            <w:vAlign w:val="center"/>
          </w:tcPr>
          <w:p w14:paraId="670345D3">
            <w:pPr>
              <w:tabs>
                <w:tab w:val="left" w:pos="0"/>
              </w:tabs>
              <w:snapToGrid w:val="0"/>
              <w:spacing w:line="300" w:lineRule="exact"/>
              <w:rPr>
                <w:b/>
                <w:color w:val="auto"/>
                <w:sz w:val="21"/>
                <w:szCs w:val="21"/>
                <w:highlight w:val="none"/>
                <w:u w:val="single"/>
              </w:rPr>
            </w:pPr>
            <w:r>
              <w:rPr>
                <w:rFonts w:hint="eastAsia"/>
                <w:b/>
                <w:bCs/>
                <w:color w:val="auto"/>
                <w:sz w:val="21"/>
                <w:szCs w:val="21"/>
                <w:highlight w:val="none"/>
                <w:u w:val="single"/>
              </w:rPr>
              <w:t>（</w:t>
            </w:r>
            <w:r>
              <w:rPr>
                <w:rFonts w:hint="eastAsia"/>
                <w:b/>
                <w:bCs/>
                <w:color w:val="auto"/>
                <w:sz w:val="21"/>
                <w:szCs w:val="21"/>
                <w:highlight w:val="none"/>
                <w:u w:val="single"/>
                <w:lang w:val="en-US"/>
              </w:rPr>
              <w:t>1</w:t>
            </w:r>
            <w:r>
              <w:rPr>
                <w:rFonts w:hint="eastAsia"/>
                <w:b/>
                <w:bCs/>
                <w:color w:val="auto"/>
                <w:sz w:val="21"/>
                <w:szCs w:val="21"/>
                <w:highlight w:val="none"/>
                <w:u w:val="single"/>
              </w:rPr>
              <w:t>）本项目不接受备选投标方案，不接受有任何选择或具有附加条件的响应，投标文件的响应只允许唯一方案。否则，</w:t>
            </w:r>
            <w:r>
              <w:rPr>
                <w:rFonts w:hint="eastAsia"/>
                <w:b/>
                <w:color w:val="auto"/>
                <w:sz w:val="21"/>
                <w:szCs w:val="21"/>
                <w:highlight w:val="none"/>
                <w:u w:val="single"/>
              </w:rPr>
              <w:t>评标委员会将对其投标按无效处理。</w:t>
            </w:r>
          </w:p>
        </w:tc>
      </w:tr>
    </w:tbl>
    <w:p w14:paraId="184119D0">
      <w:pPr>
        <w:spacing w:line="360" w:lineRule="auto"/>
        <w:ind w:firstLine="420" w:firstLineChars="200"/>
        <w:rPr>
          <w:color w:val="auto"/>
          <w:sz w:val="21"/>
          <w:szCs w:val="21"/>
          <w:highlight w:val="none"/>
        </w:rPr>
      </w:pPr>
    </w:p>
    <w:p w14:paraId="3A5A4F2A">
      <w:pPr>
        <w:spacing w:line="360" w:lineRule="auto"/>
        <w:ind w:firstLine="422" w:firstLineChars="200"/>
        <w:rPr>
          <w:b/>
          <w:color w:val="auto"/>
          <w:sz w:val="21"/>
          <w:szCs w:val="21"/>
          <w:highlight w:val="none"/>
        </w:rPr>
      </w:pPr>
      <w:r>
        <w:rPr>
          <w:rFonts w:hint="eastAsia"/>
          <w:b/>
          <w:color w:val="auto"/>
          <w:sz w:val="21"/>
          <w:szCs w:val="21"/>
          <w:highlight w:val="none"/>
        </w:rPr>
        <w:t>投标人必须认真阅读投标须知的内容，以免造成投标失败。</w:t>
      </w:r>
    </w:p>
    <w:p w14:paraId="599CE2FA">
      <w:pPr>
        <w:numPr>
          <w:ilvl w:val="-1"/>
          <w:numId w:val="0"/>
        </w:numPr>
        <w:spacing w:line="240" w:lineRule="auto"/>
        <w:ind w:left="0" w:firstLine="0"/>
        <w:jc w:val="left"/>
        <w:outlineLvl w:val="9"/>
        <w:rPr>
          <w:rFonts w:hint="eastAsia"/>
          <w:b/>
          <w:bCs/>
          <w:color w:val="auto"/>
          <w:sz w:val="21"/>
          <w:szCs w:val="21"/>
          <w:highlight w:val="none"/>
        </w:rPr>
      </w:pPr>
      <w:r>
        <w:rPr>
          <w:rFonts w:hint="eastAsia"/>
          <w:b/>
          <w:bCs/>
          <w:color w:val="auto"/>
          <w:sz w:val="21"/>
          <w:szCs w:val="21"/>
          <w:highlight w:val="none"/>
        </w:rPr>
        <w:br w:type="page"/>
      </w:r>
    </w:p>
    <w:p w14:paraId="126E87C8">
      <w:pPr>
        <w:numPr>
          <w:ilvl w:val="0"/>
          <w:numId w:val="0"/>
        </w:numPr>
        <w:spacing w:line="360" w:lineRule="auto"/>
        <w:ind w:left="0" w:firstLine="0"/>
        <w:jc w:val="center"/>
        <w:outlineLvl w:val="1"/>
        <w:rPr>
          <w:b/>
          <w:bCs/>
          <w:color w:val="auto"/>
          <w:sz w:val="21"/>
          <w:szCs w:val="21"/>
          <w:highlight w:val="none"/>
        </w:rPr>
      </w:pPr>
      <w:bookmarkStart w:id="9" w:name="_Toc86349408"/>
      <w:bookmarkStart w:id="10" w:name="_Toc368513758"/>
      <w:bookmarkStart w:id="11" w:name="_Toc29825791"/>
      <w:r>
        <w:rPr>
          <w:rFonts w:hint="eastAsia"/>
          <w:b/>
          <w:bCs/>
          <w:color w:val="auto"/>
          <w:sz w:val="21"/>
          <w:szCs w:val="21"/>
          <w:highlight w:val="none"/>
        </w:rPr>
        <w:t>总则</w:t>
      </w:r>
      <w:bookmarkEnd w:id="9"/>
      <w:bookmarkEnd w:id="10"/>
      <w:bookmarkEnd w:id="11"/>
    </w:p>
    <w:p w14:paraId="51EE3420">
      <w:pPr>
        <w:numPr>
          <w:ilvl w:val="0"/>
          <w:numId w:val="2"/>
        </w:numPr>
        <w:snapToGrid w:val="0"/>
        <w:spacing w:line="360" w:lineRule="auto"/>
        <w:outlineLvl w:val="2"/>
        <w:rPr>
          <w:b/>
          <w:bCs/>
          <w:color w:val="auto"/>
          <w:sz w:val="21"/>
          <w:szCs w:val="21"/>
          <w:highlight w:val="none"/>
        </w:rPr>
      </w:pPr>
      <w:bookmarkStart w:id="12" w:name="_Toc368513759"/>
      <w:bookmarkStart w:id="13" w:name="_Toc86349409"/>
      <w:bookmarkStart w:id="14" w:name="_Toc367012631"/>
      <w:r>
        <w:rPr>
          <w:rFonts w:hint="eastAsia"/>
          <w:b/>
          <w:bCs/>
          <w:color w:val="auto"/>
          <w:sz w:val="21"/>
          <w:szCs w:val="21"/>
          <w:highlight w:val="none"/>
        </w:rPr>
        <w:t>适用范围</w:t>
      </w:r>
      <w:bookmarkEnd w:id="12"/>
      <w:bookmarkEnd w:id="13"/>
      <w:bookmarkEnd w:id="14"/>
    </w:p>
    <w:p w14:paraId="0CB99629">
      <w:pPr>
        <w:numPr>
          <w:ilvl w:val="1"/>
          <w:numId w:val="2"/>
        </w:numPr>
        <w:spacing w:line="360" w:lineRule="auto"/>
        <w:ind w:left="142" w:firstLine="284"/>
        <w:rPr>
          <w:bCs/>
          <w:color w:val="auto"/>
          <w:sz w:val="21"/>
          <w:szCs w:val="21"/>
          <w:highlight w:val="none"/>
        </w:rPr>
      </w:pPr>
      <w:r>
        <w:rPr>
          <w:rFonts w:hint="eastAsia"/>
          <w:bCs/>
          <w:color w:val="auto"/>
          <w:sz w:val="21"/>
          <w:szCs w:val="21"/>
          <w:highlight w:val="none"/>
        </w:rPr>
        <w:t>参照《中华人民共和国招标投标法》、《中华人民共和国招标投标法实施条例》等相关法规及配套的政策性规定制定本须知。</w:t>
      </w:r>
    </w:p>
    <w:p w14:paraId="0ED9E107">
      <w:pPr>
        <w:numPr>
          <w:ilvl w:val="1"/>
          <w:numId w:val="2"/>
        </w:numPr>
        <w:spacing w:line="360" w:lineRule="auto"/>
        <w:ind w:left="220" w:leftChars="100" w:firstLine="0"/>
        <w:rPr>
          <w:bCs/>
          <w:color w:val="auto"/>
          <w:sz w:val="21"/>
          <w:szCs w:val="21"/>
          <w:highlight w:val="none"/>
        </w:rPr>
      </w:pPr>
      <w:r>
        <w:rPr>
          <w:rFonts w:hint="eastAsia"/>
          <w:bCs/>
          <w:color w:val="auto"/>
          <w:sz w:val="21"/>
          <w:szCs w:val="21"/>
          <w:highlight w:val="none"/>
        </w:rPr>
        <w:t>本项目的招标人、招标代理机构、投标人及各方当事人适用本须知。</w:t>
      </w:r>
    </w:p>
    <w:p w14:paraId="7D906F19">
      <w:pPr>
        <w:numPr>
          <w:ilvl w:val="0"/>
          <w:numId w:val="2"/>
        </w:numPr>
        <w:snapToGrid w:val="0"/>
        <w:spacing w:before="240" w:beforeLines="100" w:line="360" w:lineRule="auto"/>
        <w:outlineLvl w:val="2"/>
        <w:rPr>
          <w:b/>
          <w:bCs/>
          <w:color w:val="auto"/>
          <w:sz w:val="21"/>
          <w:szCs w:val="21"/>
          <w:highlight w:val="none"/>
        </w:rPr>
      </w:pPr>
      <w:bookmarkStart w:id="15" w:name="_Toc86349410"/>
      <w:bookmarkStart w:id="16" w:name="_Toc368513760"/>
      <w:r>
        <w:rPr>
          <w:rFonts w:hint="eastAsia"/>
          <w:b/>
          <w:bCs/>
          <w:color w:val="auto"/>
          <w:sz w:val="21"/>
          <w:szCs w:val="21"/>
          <w:highlight w:val="none"/>
        </w:rPr>
        <w:t>概念释义</w:t>
      </w:r>
      <w:bookmarkEnd w:id="15"/>
      <w:bookmarkEnd w:id="16"/>
    </w:p>
    <w:p w14:paraId="6F0ED4AB">
      <w:pPr>
        <w:numPr>
          <w:ilvl w:val="1"/>
          <w:numId w:val="2"/>
        </w:numPr>
        <w:spacing w:line="360" w:lineRule="auto"/>
        <w:ind w:left="220" w:leftChars="100" w:firstLine="0"/>
        <w:rPr>
          <w:color w:val="auto"/>
          <w:sz w:val="21"/>
          <w:szCs w:val="21"/>
          <w:highlight w:val="none"/>
        </w:rPr>
      </w:pPr>
      <w:r>
        <w:rPr>
          <w:rFonts w:hint="eastAsia"/>
          <w:bCs/>
          <w:color w:val="auto"/>
          <w:sz w:val="21"/>
          <w:szCs w:val="21"/>
          <w:highlight w:val="none"/>
        </w:rPr>
        <w:t>招标人：</w:t>
      </w:r>
      <w:r>
        <w:rPr>
          <w:rFonts w:hint="eastAsia"/>
          <w:color w:val="auto"/>
          <w:sz w:val="21"/>
          <w:szCs w:val="21"/>
          <w:highlight w:val="none"/>
        </w:rPr>
        <w:t>详见投标须知前附表第</w:t>
      </w:r>
      <w:r>
        <w:rPr>
          <w:rFonts w:hint="eastAsia"/>
          <w:b/>
          <w:bCs/>
          <w:color w:val="auto"/>
          <w:sz w:val="21"/>
          <w:szCs w:val="21"/>
          <w:highlight w:val="none"/>
        </w:rPr>
        <w:t>1</w:t>
      </w:r>
      <w:r>
        <w:rPr>
          <w:rFonts w:hint="eastAsia"/>
          <w:color w:val="auto"/>
          <w:sz w:val="21"/>
          <w:highlight w:val="none"/>
        </w:rPr>
        <w:t>项</w:t>
      </w:r>
      <w:r>
        <w:rPr>
          <w:rFonts w:hint="eastAsia"/>
          <w:color w:val="auto"/>
          <w:sz w:val="21"/>
          <w:szCs w:val="21"/>
          <w:highlight w:val="none"/>
        </w:rPr>
        <w:t>。在招标阶段称为招标人，在合同阶段称为</w:t>
      </w:r>
      <w:r>
        <w:rPr>
          <w:rFonts w:hint="eastAsia"/>
          <w:color w:val="auto"/>
          <w:sz w:val="21"/>
          <w:highlight w:val="none"/>
        </w:rPr>
        <w:t>买方或甲方</w:t>
      </w:r>
      <w:r>
        <w:rPr>
          <w:rFonts w:hint="eastAsia"/>
          <w:color w:val="auto"/>
          <w:sz w:val="21"/>
          <w:szCs w:val="21"/>
          <w:highlight w:val="none"/>
        </w:rPr>
        <w:t>。为便于招标文件及附件直接转化为合同条款，在招标文件中有时称招标人为用户、</w:t>
      </w:r>
      <w:r>
        <w:rPr>
          <w:rFonts w:hint="eastAsia"/>
          <w:color w:val="auto"/>
          <w:sz w:val="21"/>
          <w:highlight w:val="none"/>
        </w:rPr>
        <w:t>买方</w:t>
      </w:r>
      <w:r>
        <w:rPr>
          <w:rFonts w:hint="eastAsia"/>
          <w:color w:val="auto"/>
          <w:sz w:val="21"/>
          <w:szCs w:val="21"/>
          <w:highlight w:val="none"/>
        </w:rPr>
        <w:t>、</w:t>
      </w:r>
      <w:r>
        <w:rPr>
          <w:rFonts w:hint="eastAsia"/>
          <w:color w:val="auto"/>
          <w:sz w:val="21"/>
          <w:highlight w:val="none"/>
        </w:rPr>
        <w:t>甲方</w:t>
      </w:r>
      <w:r>
        <w:rPr>
          <w:rFonts w:hint="eastAsia"/>
          <w:color w:val="auto"/>
          <w:sz w:val="21"/>
          <w:szCs w:val="21"/>
          <w:highlight w:val="none"/>
        </w:rPr>
        <w:t xml:space="preserve">或业主。 </w:t>
      </w:r>
    </w:p>
    <w:p w14:paraId="516E665A">
      <w:pPr>
        <w:numPr>
          <w:ilvl w:val="1"/>
          <w:numId w:val="2"/>
        </w:numPr>
        <w:spacing w:line="360" w:lineRule="auto"/>
        <w:ind w:left="220" w:leftChars="100" w:firstLine="0"/>
        <w:rPr>
          <w:color w:val="auto"/>
          <w:sz w:val="21"/>
          <w:szCs w:val="21"/>
          <w:highlight w:val="none"/>
        </w:rPr>
      </w:pPr>
      <w:r>
        <w:rPr>
          <w:rFonts w:hint="eastAsia"/>
          <w:bCs/>
          <w:color w:val="auto"/>
          <w:sz w:val="21"/>
          <w:szCs w:val="21"/>
          <w:highlight w:val="none"/>
        </w:rPr>
        <w:t>招标代理机构：</w:t>
      </w:r>
      <w:r>
        <w:rPr>
          <w:rFonts w:hint="eastAsia"/>
          <w:color w:val="auto"/>
          <w:sz w:val="21"/>
          <w:szCs w:val="21"/>
          <w:highlight w:val="none"/>
        </w:rPr>
        <w:t>指</w:t>
      </w:r>
      <w:r>
        <w:rPr>
          <w:rFonts w:hint="eastAsia"/>
          <w:bCs/>
          <w:color w:val="auto"/>
          <w:sz w:val="21"/>
          <w:szCs w:val="21"/>
          <w:highlight w:val="none"/>
        </w:rPr>
        <w:t>依法设立、从事招标代理业务并提供相关服务的社会中介组织-广东省建筑工程监理有限公司</w:t>
      </w:r>
      <w:r>
        <w:rPr>
          <w:rFonts w:hint="eastAsia"/>
          <w:color w:val="auto"/>
          <w:sz w:val="21"/>
          <w:szCs w:val="21"/>
          <w:highlight w:val="none"/>
        </w:rPr>
        <w:t>。</w:t>
      </w:r>
    </w:p>
    <w:p w14:paraId="6F23CF0E">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潜在投标人：指符合投标的基本资格条件，可能感兴趣参与投标的法人、其他组织或个人。潜在投标人一旦购买了招标文件且正式提交了投标文件，就成为投标人。</w:t>
      </w:r>
    </w:p>
    <w:p w14:paraId="2EA701B8">
      <w:pPr>
        <w:numPr>
          <w:ilvl w:val="1"/>
          <w:numId w:val="2"/>
        </w:numPr>
        <w:spacing w:line="360" w:lineRule="auto"/>
        <w:ind w:left="220" w:leftChars="100" w:firstLine="0"/>
        <w:rPr>
          <w:bCs/>
          <w:color w:val="auto"/>
          <w:sz w:val="21"/>
          <w:szCs w:val="21"/>
          <w:highlight w:val="none"/>
        </w:rPr>
      </w:pPr>
      <w:r>
        <w:rPr>
          <w:rFonts w:hint="eastAsia"/>
          <w:bCs/>
          <w:color w:val="auto"/>
          <w:sz w:val="21"/>
          <w:szCs w:val="21"/>
          <w:highlight w:val="none"/>
        </w:rPr>
        <w:t>投标人：指响应招标，参加投标竞争的法人、其他组织或个人。</w:t>
      </w:r>
    </w:p>
    <w:p w14:paraId="7A62DCFD">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中标人：指经合法招投标程序评选出来并经</w:t>
      </w:r>
      <w:r>
        <w:rPr>
          <w:rFonts w:hint="eastAsia"/>
          <w:bCs/>
          <w:color w:val="auto"/>
          <w:sz w:val="21"/>
          <w:szCs w:val="21"/>
          <w:highlight w:val="none"/>
        </w:rPr>
        <w:t>招标人确认的获得本项目中标资格的投标人。</w:t>
      </w:r>
    </w:p>
    <w:p w14:paraId="72FC08F5">
      <w:pPr>
        <w:numPr>
          <w:ilvl w:val="1"/>
          <w:numId w:val="2"/>
        </w:numPr>
        <w:spacing w:line="360" w:lineRule="auto"/>
        <w:ind w:left="220" w:leftChars="100" w:firstLine="0"/>
        <w:rPr>
          <w:bCs/>
          <w:color w:val="auto"/>
          <w:sz w:val="21"/>
          <w:szCs w:val="21"/>
          <w:highlight w:val="none"/>
        </w:rPr>
      </w:pPr>
      <w:r>
        <w:rPr>
          <w:rFonts w:hint="eastAsia"/>
          <w:bCs/>
          <w:color w:val="auto"/>
          <w:sz w:val="21"/>
          <w:szCs w:val="21"/>
          <w:highlight w:val="none"/>
        </w:rPr>
        <w:t>服务：招标文件规定投标人须承担的服务。</w:t>
      </w:r>
    </w:p>
    <w:p w14:paraId="49FB3C13">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实质性响应：指投标文件所提供的有关资格证明文件、提交的投标保证金、投标有效期、投标文件签署和盖章、对招标文件中标注“★”条款的应答等与招标文件要求的条款、条件相符，没有重大偏差或保留。</w:t>
      </w:r>
    </w:p>
    <w:p w14:paraId="78CD3D48">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重大偏离或保留：指投标文件中影响到招标文件规定的货物和服务质量或限制了招标人的权利或投标人的义务的规定，而认可该等规定偏离将影响到其他投标人的公平竞争地位。</w:t>
      </w:r>
    </w:p>
    <w:p w14:paraId="3E9C5C78">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投标保证金：指在招标投标活动中，投标人随投标文件一同提交给招标人或招标代理机构的一定形式、一定金额的投标责任担保。其主要保证投标人在提交投标文件后不得撤销投标文件，中标后无正当理由不得不与招标人订立合同，在签订合同时不得向招标人提出附加条件、或者不按照招标文件要求提交履约保证金，否则，招标人有权不予返还其提交的投标保证金。</w:t>
      </w:r>
    </w:p>
    <w:p w14:paraId="6D656E49">
      <w:pPr>
        <w:numPr>
          <w:ilvl w:val="1"/>
          <w:numId w:val="2"/>
        </w:numPr>
        <w:spacing w:line="360" w:lineRule="auto"/>
        <w:ind w:left="220" w:leftChars="100" w:firstLine="0"/>
        <w:rPr>
          <w:bCs/>
          <w:color w:val="auto"/>
          <w:sz w:val="21"/>
          <w:szCs w:val="21"/>
          <w:highlight w:val="none"/>
        </w:rPr>
      </w:pPr>
      <w:r>
        <w:rPr>
          <w:rFonts w:hint="eastAsia"/>
          <w:bCs/>
          <w:color w:val="auto"/>
          <w:sz w:val="21"/>
          <w:szCs w:val="21"/>
          <w:highlight w:val="none"/>
        </w:rPr>
        <w:t>履约保证金：指招标人为防止中标人在合同执行过程中违反合同规定或违约，弥补给招标人造成的经济损失，既不同于定金，也不同于预付款。</w:t>
      </w:r>
    </w:p>
    <w:p w14:paraId="684A682F">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日期：指公历日。</w:t>
      </w:r>
    </w:p>
    <w:p w14:paraId="15D280CA">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时间：指北京时间。</w:t>
      </w:r>
    </w:p>
    <w:p w14:paraId="4D5D103D">
      <w:pPr>
        <w:numPr>
          <w:ilvl w:val="1"/>
          <w:numId w:val="2"/>
        </w:numPr>
        <w:spacing w:line="360" w:lineRule="auto"/>
        <w:ind w:left="220" w:leftChars="100" w:firstLine="0"/>
        <w:rPr>
          <w:bCs/>
          <w:color w:val="auto"/>
          <w:sz w:val="21"/>
          <w:szCs w:val="21"/>
          <w:highlight w:val="none"/>
        </w:rPr>
      </w:pPr>
      <w:r>
        <w:rPr>
          <w:rFonts w:hint="eastAsia"/>
          <w:bCs/>
          <w:color w:val="auto"/>
          <w:sz w:val="21"/>
          <w:szCs w:val="21"/>
          <w:highlight w:val="none"/>
        </w:rPr>
        <w:t>招标文件中的标题或题名仅起引导作用，不应视为对招标文件内容的理解和解释。</w:t>
      </w:r>
    </w:p>
    <w:p w14:paraId="60236508">
      <w:pPr>
        <w:numPr>
          <w:ilvl w:val="0"/>
          <w:numId w:val="2"/>
        </w:numPr>
        <w:snapToGrid w:val="0"/>
        <w:spacing w:before="240" w:beforeLines="100" w:line="360" w:lineRule="auto"/>
        <w:outlineLvl w:val="2"/>
        <w:rPr>
          <w:b/>
          <w:bCs/>
          <w:color w:val="auto"/>
          <w:sz w:val="21"/>
          <w:szCs w:val="21"/>
          <w:highlight w:val="none"/>
        </w:rPr>
      </w:pPr>
      <w:bookmarkStart w:id="17" w:name="_Toc86349411"/>
      <w:bookmarkStart w:id="18" w:name="_Toc368513761"/>
      <w:r>
        <w:rPr>
          <w:rFonts w:hint="eastAsia"/>
          <w:b/>
          <w:bCs/>
          <w:color w:val="auto"/>
          <w:sz w:val="21"/>
          <w:szCs w:val="21"/>
          <w:highlight w:val="none"/>
        </w:rPr>
        <w:t>合格的服务</w:t>
      </w:r>
      <w:bookmarkEnd w:id="17"/>
      <w:bookmarkEnd w:id="18"/>
    </w:p>
    <w:p w14:paraId="61A19A96">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投标人提供的所有服务，必须是合法生产、合法来源，符合国家有关标准要求，并满足招标文件规定的规格、参数、质量、价格、有效期、售后服务及投标人须承担的运输、安装、技术支持、培训和招标文件规定的其它伴随服务等要求。</w:t>
      </w:r>
    </w:p>
    <w:p w14:paraId="773D8025">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招标人有权拒绝接受任何不合格的货物和服务，由此产生的费用及相关后果均由投标人自行承担。</w:t>
      </w:r>
    </w:p>
    <w:p w14:paraId="3B7E076F">
      <w:pPr>
        <w:numPr>
          <w:ilvl w:val="0"/>
          <w:numId w:val="2"/>
        </w:numPr>
        <w:snapToGrid w:val="0"/>
        <w:spacing w:before="240" w:beforeLines="100" w:line="360" w:lineRule="auto"/>
        <w:outlineLvl w:val="2"/>
        <w:rPr>
          <w:b/>
          <w:bCs/>
          <w:color w:val="auto"/>
          <w:sz w:val="21"/>
          <w:szCs w:val="21"/>
          <w:highlight w:val="none"/>
        </w:rPr>
      </w:pPr>
      <w:bookmarkStart w:id="19" w:name="_Toc86349412"/>
      <w:bookmarkStart w:id="20" w:name="_Toc368513762"/>
      <w:r>
        <w:rPr>
          <w:rFonts w:hint="eastAsia"/>
          <w:b/>
          <w:bCs/>
          <w:color w:val="auto"/>
          <w:sz w:val="21"/>
          <w:szCs w:val="21"/>
          <w:highlight w:val="none"/>
        </w:rPr>
        <w:t>招投标活动应遵循的原则</w:t>
      </w:r>
      <w:bookmarkEnd w:id="19"/>
      <w:bookmarkEnd w:id="20"/>
    </w:p>
    <w:p w14:paraId="509FED1B">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遵循公开、公平、公正和诚实信用原则；</w:t>
      </w:r>
    </w:p>
    <w:p w14:paraId="654313F1">
      <w:pPr>
        <w:numPr>
          <w:ilvl w:val="1"/>
          <w:numId w:val="2"/>
        </w:numPr>
        <w:spacing w:line="360" w:lineRule="auto"/>
        <w:ind w:left="220" w:leftChars="100" w:firstLine="0"/>
        <w:rPr>
          <w:bCs/>
          <w:color w:val="auto"/>
          <w:sz w:val="21"/>
          <w:szCs w:val="21"/>
          <w:highlight w:val="none"/>
        </w:rPr>
      </w:pPr>
      <w:r>
        <w:rPr>
          <w:rFonts w:hint="eastAsia"/>
          <w:bCs/>
          <w:color w:val="auto"/>
          <w:sz w:val="21"/>
          <w:szCs w:val="21"/>
          <w:highlight w:val="none"/>
        </w:rPr>
        <w:t>坚持价格合理、质量优先、服务优质原则；</w:t>
      </w:r>
    </w:p>
    <w:p w14:paraId="3DB980D7">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利用法律手段强化竞争机制、贯彻统一、规范、简化、高效的要求。</w:t>
      </w:r>
    </w:p>
    <w:p w14:paraId="618D5573">
      <w:pPr>
        <w:numPr>
          <w:ilvl w:val="0"/>
          <w:numId w:val="2"/>
        </w:numPr>
        <w:snapToGrid w:val="0"/>
        <w:spacing w:before="240" w:beforeLines="100" w:line="360" w:lineRule="auto"/>
        <w:outlineLvl w:val="2"/>
        <w:rPr>
          <w:b/>
          <w:bCs/>
          <w:color w:val="auto"/>
          <w:sz w:val="21"/>
          <w:szCs w:val="21"/>
          <w:highlight w:val="none"/>
        </w:rPr>
      </w:pPr>
      <w:bookmarkStart w:id="21" w:name="_Toc86349413"/>
      <w:bookmarkStart w:id="22" w:name="_Toc368513763"/>
      <w:r>
        <w:rPr>
          <w:rFonts w:hint="eastAsia"/>
          <w:b/>
          <w:bCs/>
          <w:color w:val="auto"/>
          <w:sz w:val="21"/>
          <w:szCs w:val="21"/>
          <w:highlight w:val="none"/>
        </w:rPr>
        <w:t>关于最高限价及资金来源</w:t>
      </w:r>
      <w:bookmarkEnd w:id="21"/>
      <w:bookmarkEnd w:id="22"/>
    </w:p>
    <w:p w14:paraId="1612DF1E">
      <w:pPr>
        <w:numPr>
          <w:ilvl w:val="1"/>
          <w:numId w:val="2"/>
        </w:numPr>
        <w:spacing w:line="360" w:lineRule="auto"/>
        <w:ind w:left="220" w:left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r>
        <w:rPr>
          <w:rFonts w:hint="eastAsia" w:ascii="宋体" w:hAnsi="宋体" w:eastAsia="宋体" w:cs="宋体"/>
          <w:color w:val="auto"/>
          <w:sz w:val="21"/>
          <w:szCs w:val="21"/>
          <w:highlight w:val="none"/>
          <w:lang w:val="en-US" w:eastAsia="zh-CN"/>
        </w:rPr>
        <w:t>自筹</w:t>
      </w:r>
      <w:r>
        <w:rPr>
          <w:rFonts w:hint="eastAsia" w:ascii="宋体" w:hAnsi="宋体" w:eastAsia="宋体" w:cs="宋体"/>
          <w:color w:val="auto"/>
          <w:sz w:val="21"/>
          <w:szCs w:val="21"/>
          <w:highlight w:val="none"/>
        </w:rPr>
        <w:t>资金</w:t>
      </w:r>
    </w:p>
    <w:p w14:paraId="1184EDCD">
      <w:pPr>
        <w:numPr>
          <w:ilvl w:val="1"/>
          <w:numId w:val="2"/>
        </w:numPr>
        <w:snapToGrid/>
        <w:spacing w:before="0" w:beforeLines="-2147483648" w:line="360" w:lineRule="auto"/>
        <w:ind w:left="220" w:leftChars="100" w:firstLine="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rPr>
        <w:t>最高限价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40574706.80元</w:t>
      </w:r>
      <w:r>
        <w:rPr>
          <w:rFonts w:hint="eastAsia" w:ascii="宋体" w:hAnsi="宋体" w:eastAsia="宋体" w:cs="宋体"/>
          <w:color w:val="auto"/>
          <w:sz w:val="21"/>
          <w:szCs w:val="21"/>
          <w:highlight w:val="none"/>
          <w:lang w:val="en-US"/>
        </w:rPr>
        <w:t>。</w:t>
      </w:r>
    </w:p>
    <w:p w14:paraId="0CB8EFA1">
      <w:pPr>
        <w:numPr>
          <w:ilvl w:val="0"/>
          <w:numId w:val="2"/>
        </w:numPr>
        <w:snapToGrid w:val="0"/>
        <w:spacing w:before="240" w:beforeLines="100" w:line="360" w:lineRule="auto"/>
        <w:outlineLvl w:val="2"/>
        <w:rPr>
          <w:b/>
          <w:bCs/>
          <w:color w:val="auto"/>
          <w:sz w:val="21"/>
          <w:szCs w:val="21"/>
          <w:highlight w:val="none"/>
        </w:rPr>
      </w:pPr>
      <w:bookmarkStart w:id="23" w:name="_Toc86349414"/>
      <w:bookmarkStart w:id="24" w:name="_Toc368513765"/>
      <w:r>
        <w:rPr>
          <w:rFonts w:hint="eastAsia"/>
          <w:b/>
          <w:bCs/>
          <w:color w:val="auto"/>
          <w:sz w:val="21"/>
          <w:szCs w:val="21"/>
          <w:highlight w:val="none"/>
        </w:rPr>
        <w:t>关于投标费用</w:t>
      </w:r>
      <w:bookmarkEnd w:id="23"/>
      <w:bookmarkEnd w:id="24"/>
    </w:p>
    <w:p w14:paraId="4488495F">
      <w:pPr>
        <w:tabs>
          <w:tab w:val="left" w:pos="180"/>
          <w:tab w:val="left" w:pos="747"/>
        </w:tabs>
        <w:snapToGrid w:val="0"/>
        <w:spacing w:line="360" w:lineRule="auto"/>
        <w:ind w:left="389" w:leftChars="175" w:hanging="4" w:hangingChars="2"/>
        <w:rPr>
          <w:color w:val="auto"/>
          <w:sz w:val="21"/>
          <w:szCs w:val="21"/>
          <w:highlight w:val="none"/>
        </w:rPr>
      </w:pPr>
      <w:r>
        <w:rPr>
          <w:rFonts w:hint="eastAsia"/>
          <w:color w:val="auto"/>
          <w:sz w:val="21"/>
          <w:szCs w:val="21"/>
          <w:highlight w:val="none"/>
        </w:rPr>
        <w:t>投标人应承担所有与准备和参加投标有关的费用。无论投标结果如何，招标代理机构在任何情况下无义务和责任承担或分担这些费用或任何类似费用。</w:t>
      </w:r>
    </w:p>
    <w:p w14:paraId="6699C210">
      <w:pPr>
        <w:numPr>
          <w:ilvl w:val="0"/>
          <w:numId w:val="2"/>
        </w:numPr>
        <w:snapToGrid w:val="0"/>
        <w:spacing w:before="240" w:beforeLines="100" w:line="360" w:lineRule="auto"/>
        <w:ind w:left="513" w:hanging="513"/>
        <w:outlineLvl w:val="2"/>
        <w:rPr>
          <w:b/>
          <w:bCs/>
          <w:color w:val="auto"/>
          <w:sz w:val="21"/>
          <w:szCs w:val="21"/>
          <w:highlight w:val="none"/>
        </w:rPr>
      </w:pPr>
      <w:bookmarkStart w:id="25" w:name="_Toc86349415"/>
      <w:bookmarkStart w:id="26" w:name="_Toc368513768"/>
      <w:r>
        <w:rPr>
          <w:rFonts w:hint="eastAsia"/>
          <w:b/>
          <w:bCs/>
          <w:color w:val="auto"/>
          <w:sz w:val="21"/>
          <w:szCs w:val="21"/>
          <w:highlight w:val="none"/>
        </w:rPr>
        <w:t>通知</w:t>
      </w:r>
      <w:bookmarkEnd w:id="25"/>
      <w:bookmarkEnd w:id="26"/>
    </w:p>
    <w:p w14:paraId="2F834BD2">
      <w:pPr>
        <w:tabs>
          <w:tab w:val="left" w:pos="747"/>
        </w:tabs>
        <w:snapToGrid w:val="0"/>
        <w:spacing w:line="360" w:lineRule="auto"/>
        <w:ind w:left="389" w:leftChars="175" w:hanging="4" w:hangingChars="2"/>
        <w:rPr>
          <w:bCs/>
          <w:color w:val="auto"/>
          <w:sz w:val="21"/>
          <w:szCs w:val="21"/>
          <w:highlight w:val="none"/>
        </w:rPr>
      </w:pPr>
      <w:r>
        <w:rPr>
          <w:rFonts w:hint="eastAsia"/>
          <w:bCs/>
          <w:color w:val="auto"/>
          <w:sz w:val="21"/>
          <w:szCs w:val="21"/>
          <w:highlight w:val="none"/>
        </w:rPr>
        <w:t>对与本项目有关的通知，招标代理机构将以书面形式（包括书面材料、信函、传真等，下同）或在本次规定的媒体上以发布公告的形式，送达所有与通知有关的已领取了招标文件的潜在投标人，传真号码以潜在投标人提供的为准。潜在投标人应于收到通知的当日以书面方式予以回复确认，如在24小时之内无书面回复则视为已收到并同意通知内容，并有责任履行相应的义务。因潜在投标人提供有误或传真线路故障导致通知延迟送达或无法送达，招标代理机构不承担责任。</w:t>
      </w:r>
    </w:p>
    <w:p w14:paraId="17ABF9A7">
      <w:pPr>
        <w:numPr>
          <w:ilvl w:val="0"/>
          <w:numId w:val="2"/>
        </w:numPr>
        <w:snapToGrid w:val="0"/>
        <w:spacing w:before="240" w:beforeLines="100" w:line="360" w:lineRule="auto"/>
        <w:ind w:left="513" w:hanging="513"/>
        <w:outlineLvl w:val="2"/>
        <w:rPr>
          <w:b/>
          <w:bCs/>
          <w:color w:val="auto"/>
          <w:sz w:val="21"/>
          <w:szCs w:val="21"/>
          <w:highlight w:val="none"/>
        </w:rPr>
      </w:pPr>
      <w:bookmarkStart w:id="27" w:name="_Toc86349416"/>
      <w:bookmarkStart w:id="28" w:name="_Toc368513769"/>
      <w:r>
        <w:rPr>
          <w:rFonts w:hint="eastAsia"/>
          <w:b/>
          <w:bCs/>
          <w:color w:val="auto"/>
          <w:sz w:val="21"/>
          <w:szCs w:val="21"/>
          <w:highlight w:val="none"/>
        </w:rPr>
        <w:t>关于知识产权</w:t>
      </w:r>
      <w:bookmarkEnd w:id="27"/>
      <w:bookmarkEnd w:id="28"/>
      <w:bookmarkStart w:id="29" w:name="_Toc234727578"/>
    </w:p>
    <w:p w14:paraId="4D269EE2">
      <w:pPr>
        <w:numPr>
          <w:ilvl w:val="1"/>
          <w:numId w:val="2"/>
        </w:numPr>
        <w:spacing w:line="360" w:lineRule="auto"/>
        <w:ind w:left="220" w:leftChars="100" w:firstLine="0"/>
        <w:rPr>
          <w:b/>
          <w:color w:val="auto"/>
          <w:sz w:val="21"/>
          <w:szCs w:val="21"/>
          <w:highlight w:val="none"/>
        </w:rPr>
      </w:pPr>
      <w:r>
        <w:rPr>
          <w:rFonts w:hint="eastAsia"/>
          <w:bCs/>
          <w:color w:val="auto"/>
          <w:sz w:val="21"/>
          <w:szCs w:val="21"/>
          <w:highlight w:val="none"/>
        </w:rPr>
        <w:t>投标人必须保证，招标人在中华人民共和国境内使用投标成果、服务或其任何一部分时，不会产生因第三方提出侵犯其专利权或其它知识产权而引起的法律和经济纠纷。</w:t>
      </w:r>
      <w:r>
        <w:rPr>
          <w:rFonts w:hint="eastAsia"/>
          <w:b/>
          <w:color w:val="auto"/>
          <w:sz w:val="21"/>
          <w:szCs w:val="21"/>
          <w:highlight w:val="none"/>
        </w:rPr>
        <w:t>如因第三方提出其专利权、商标权或其他知识产权的被侵权之诉，则一切法律责任由投标人承担。</w:t>
      </w:r>
    </w:p>
    <w:p w14:paraId="2D3CB7F5">
      <w:pPr>
        <w:numPr>
          <w:ilvl w:val="0"/>
          <w:numId w:val="2"/>
        </w:numPr>
        <w:snapToGrid w:val="0"/>
        <w:spacing w:before="240" w:beforeLines="100" w:line="360" w:lineRule="auto"/>
        <w:ind w:left="513" w:hanging="513"/>
        <w:outlineLvl w:val="2"/>
        <w:rPr>
          <w:b/>
          <w:bCs/>
          <w:color w:val="auto"/>
          <w:sz w:val="21"/>
          <w:szCs w:val="21"/>
          <w:highlight w:val="none"/>
        </w:rPr>
      </w:pPr>
      <w:bookmarkStart w:id="30" w:name="_Toc86349417"/>
      <w:bookmarkStart w:id="31" w:name="_Toc368513770"/>
      <w:r>
        <w:rPr>
          <w:rFonts w:hint="eastAsia"/>
          <w:b/>
          <w:bCs/>
          <w:color w:val="auto"/>
          <w:sz w:val="21"/>
          <w:szCs w:val="21"/>
          <w:highlight w:val="none"/>
        </w:rPr>
        <w:t>禁止事项</w:t>
      </w:r>
      <w:bookmarkEnd w:id="29"/>
      <w:bookmarkEnd w:id="30"/>
      <w:bookmarkEnd w:id="31"/>
    </w:p>
    <w:p w14:paraId="5E314678">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招标人、投标人和招标代理机构不得相互串通损害国家利益，社会公共利益和其他当事人的合法权益；不得以任何手段排斥其他投标人参与竞争。</w:t>
      </w:r>
    </w:p>
    <w:p w14:paraId="0A1C2578">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投标人不得向招标人、招标代理机构、评标委员会的组成人员行贿或者采取其他不正当手段谋取中标。</w:t>
      </w:r>
    </w:p>
    <w:p w14:paraId="6803C82A">
      <w:pPr>
        <w:numPr>
          <w:ilvl w:val="1"/>
          <w:numId w:val="2"/>
        </w:numPr>
        <w:spacing w:line="360" w:lineRule="auto"/>
        <w:ind w:left="220" w:leftChars="100" w:firstLine="0"/>
        <w:rPr>
          <w:bCs/>
          <w:color w:val="auto"/>
          <w:sz w:val="21"/>
          <w:szCs w:val="21"/>
          <w:highlight w:val="none"/>
        </w:rPr>
      </w:pPr>
      <w:r>
        <w:rPr>
          <w:rFonts w:hint="eastAsia"/>
          <w:bCs/>
          <w:color w:val="auto"/>
          <w:sz w:val="21"/>
          <w:szCs w:val="21"/>
          <w:highlight w:val="none"/>
        </w:rPr>
        <w:t>除投标人异议和投诉外，从开标之时起至授予合同止，投标人不得就与其投标有关的事项主动与评标委员会、招标人以及招标代理机构接触。</w:t>
      </w:r>
    </w:p>
    <w:p w14:paraId="35616A9D">
      <w:pPr>
        <w:numPr>
          <w:ilvl w:val="1"/>
          <w:numId w:val="2"/>
        </w:numPr>
        <w:spacing w:line="360" w:lineRule="auto"/>
        <w:ind w:left="220" w:leftChars="100" w:firstLine="0"/>
        <w:rPr>
          <w:bCs/>
          <w:color w:val="auto"/>
          <w:sz w:val="21"/>
          <w:szCs w:val="21"/>
          <w:highlight w:val="none"/>
        </w:rPr>
      </w:pPr>
      <w:r>
        <w:rPr>
          <w:rFonts w:hint="eastAsia"/>
          <w:bCs/>
          <w:color w:val="auto"/>
          <w:sz w:val="21"/>
          <w:szCs w:val="21"/>
          <w:highlight w:val="none"/>
        </w:rPr>
        <w:t>投标人不得串通作弊，以不正当的手段妨碍、排挤其他投标人，扰乱招标市场，破坏公平竞争原则。</w:t>
      </w:r>
    </w:p>
    <w:p w14:paraId="5129BC3A">
      <w:pPr>
        <w:numPr>
          <w:ilvl w:val="0"/>
          <w:numId w:val="2"/>
        </w:numPr>
        <w:snapToGrid w:val="0"/>
        <w:spacing w:before="240" w:beforeLines="100" w:line="360" w:lineRule="auto"/>
        <w:ind w:left="513" w:hanging="513"/>
        <w:outlineLvl w:val="2"/>
        <w:rPr>
          <w:b/>
          <w:bCs/>
          <w:color w:val="auto"/>
          <w:sz w:val="21"/>
          <w:szCs w:val="21"/>
          <w:highlight w:val="none"/>
        </w:rPr>
      </w:pPr>
      <w:bookmarkStart w:id="32" w:name="_Toc368513771"/>
      <w:bookmarkStart w:id="33" w:name="_Toc86349418"/>
      <w:bookmarkStart w:id="34" w:name="_Toc234727579"/>
      <w:r>
        <w:rPr>
          <w:rFonts w:hint="eastAsia"/>
          <w:b/>
          <w:bCs/>
          <w:color w:val="auto"/>
          <w:sz w:val="21"/>
          <w:szCs w:val="21"/>
          <w:highlight w:val="none"/>
        </w:rPr>
        <w:t>保密事项</w:t>
      </w:r>
      <w:bookmarkEnd w:id="32"/>
      <w:bookmarkEnd w:id="33"/>
      <w:bookmarkEnd w:id="34"/>
    </w:p>
    <w:p w14:paraId="5CF9C647">
      <w:pPr>
        <w:numPr>
          <w:ilvl w:val="1"/>
          <w:numId w:val="2"/>
        </w:numPr>
        <w:spacing w:line="360" w:lineRule="auto"/>
        <w:ind w:left="220" w:leftChars="100" w:firstLine="0"/>
        <w:rPr>
          <w:bCs/>
          <w:color w:val="auto"/>
          <w:sz w:val="21"/>
          <w:szCs w:val="21"/>
          <w:highlight w:val="none"/>
        </w:rPr>
      </w:pPr>
      <w:r>
        <w:rPr>
          <w:rFonts w:hint="eastAsia"/>
          <w:bCs/>
          <w:color w:val="auto"/>
          <w:sz w:val="21"/>
          <w:szCs w:val="21"/>
          <w:highlight w:val="none"/>
        </w:rPr>
        <w:t>凡参与招标工作的有关人员均应自觉接受有关主管部门的监督，不得向他人透露已获得招标文件的潜在投标人的名称、数量以及可能影响公平竞争的有关招标投标的其他情况。</w:t>
      </w:r>
    </w:p>
    <w:p w14:paraId="75FE91A2">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除投标人被要求对投标文件进行澄清外，从开标之日起至授予合同期间，投标人不得就与其投标文件有关的事项主动与评标委员会联系。</w:t>
      </w:r>
    </w:p>
    <w:p w14:paraId="655357DF">
      <w:pPr>
        <w:numPr>
          <w:ilvl w:val="1"/>
          <w:numId w:val="2"/>
        </w:numPr>
        <w:spacing w:line="360" w:lineRule="auto"/>
        <w:ind w:left="220" w:leftChars="100" w:firstLine="0"/>
        <w:rPr>
          <w:color w:val="auto"/>
          <w:sz w:val="21"/>
          <w:szCs w:val="21"/>
          <w:highlight w:val="none"/>
        </w:rPr>
      </w:pPr>
      <w:r>
        <w:rPr>
          <w:rFonts w:hint="eastAsia"/>
          <w:bCs/>
          <w:color w:val="auto"/>
          <w:sz w:val="21"/>
          <w:szCs w:val="21"/>
          <w:highlight w:val="none"/>
        </w:rPr>
        <w:t>评标工作在评标委员会内独立封闭进行。从开标之日起至授予合同期间，投标人试图在投标文件审查、</w:t>
      </w:r>
      <w:r>
        <w:rPr>
          <w:rFonts w:hint="eastAsia"/>
          <w:color w:val="auto"/>
          <w:sz w:val="21"/>
          <w:szCs w:val="21"/>
          <w:highlight w:val="none"/>
        </w:rPr>
        <w:t>澄清、比较和评价时对评标委员会施加任何影响或对招标人的授标决定进行影响，都可能导致其投标无效。</w:t>
      </w:r>
    </w:p>
    <w:p w14:paraId="43A71DBF">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获得本招标文件者，应对文件进行保密，不得用作本次招标以外的任何用途。若招标人有要求，开标后，投标人应归还招标文件中的保密的文件和资料。</w:t>
      </w:r>
    </w:p>
    <w:p w14:paraId="65109987">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由招标人向投标人提供的图纸、详细资料、样品、模型、模件和所有其他资料，被视为保密资料，仅被用于它所规定的用途，除非得到招标人的同意，不能向任何第三方透露或将其用于本次投标以外的任何用途。开标完成后，若招标人有要求，投标人应归还所有从招标人处获得的保密资料，并销毁所有需保密的备份文件和资料。</w:t>
      </w:r>
    </w:p>
    <w:p w14:paraId="47189892">
      <w:pPr>
        <w:numPr>
          <w:ilvl w:val="1"/>
          <w:numId w:val="2"/>
        </w:numPr>
        <w:spacing w:line="360" w:lineRule="auto"/>
        <w:ind w:left="220" w:leftChars="100" w:firstLine="0"/>
        <w:rPr>
          <w:color w:val="auto"/>
          <w:sz w:val="21"/>
          <w:szCs w:val="21"/>
          <w:highlight w:val="none"/>
        </w:rPr>
      </w:pPr>
      <w:r>
        <w:rPr>
          <w:rFonts w:hint="eastAsia"/>
          <w:color w:val="auto"/>
          <w:sz w:val="21"/>
          <w:szCs w:val="21"/>
          <w:highlight w:val="none"/>
        </w:rPr>
        <w:t>因投标需要，向投标人提供的项目背景、项目内容和开展计划等相关资料，被视为保密资料不得透露的，仅被用于它所规定的用途，除非得到招标人的同意，不能向任何第三方透露，否则招标人将保留采取相应法律措施的权利。</w:t>
      </w:r>
    </w:p>
    <w:p w14:paraId="296D73DD">
      <w:pPr>
        <w:numPr>
          <w:ilvl w:val="0"/>
          <w:numId w:val="2"/>
        </w:numPr>
        <w:snapToGrid w:val="0"/>
        <w:spacing w:before="240" w:beforeLines="100" w:line="360" w:lineRule="auto"/>
        <w:ind w:left="513" w:hanging="513"/>
        <w:outlineLvl w:val="2"/>
        <w:rPr>
          <w:b/>
          <w:bCs/>
          <w:color w:val="auto"/>
          <w:sz w:val="21"/>
          <w:szCs w:val="21"/>
          <w:highlight w:val="none"/>
        </w:rPr>
      </w:pPr>
      <w:bookmarkStart w:id="35" w:name="_Toc368513772"/>
      <w:bookmarkStart w:id="36" w:name="_Toc86349419"/>
      <w:r>
        <w:rPr>
          <w:rFonts w:hint="eastAsia"/>
          <w:b/>
          <w:bCs/>
          <w:color w:val="auto"/>
          <w:sz w:val="21"/>
          <w:szCs w:val="21"/>
          <w:highlight w:val="none"/>
        </w:rPr>
        <w:t>招标文件的解释权</w:t>
      </w:r>
      <w:bookmarkEnd w:id="35"/>
      <w:bookmarkEnd w:id="36"/>
    </w:p>
    <w:p w14:paraId="082CCDD5">
      <w:pPr>
        <w:snapToGrid w:val="0"/>
        <w:spacing w:line="360" w:lineRule="auto"/>
        <w:ind w:firstLine="514" w:firstLineChars="245"/>
        <w:rPr>
          <w:color w:val="auto"/>
          <w:sz w:val="21"/>
          <w:szCs w:val="21"/>
          <w:highlight w:val="none"/>
        </w:rPr>
      </w:pPr>
      <w:r>
        <w:rPr>
          <w:rFonts w:hint="eastAsia"/>
          <w:color w:val="auto"/>
          <w:sz w:val="21"/>
          <w:szCs w:val="21"/>
          <w:highlight w:val="none"/>
        </w:rPr>
        <w:t>本招标文件的解释权归“广东省建筑工程监理有限公司”所有。</w:t>
      </w:r>
    </w:p>
    <w:p w14:paraId="3F4F5549">
      <w:pPr>
        <w:spacing w:line="360" w:lineRule="auto"/>
        <w:ind w:left="748" w:hanging="567"/>
        <w:rPr>
          <w:color w:val="auto"/>
          <w:sz w:val="21"/>
          <w:szCs w:val="21"/>
          <w:highlight w:val="none"/>
        </w:rPr>
      </w:pPr>
    </w:p>
    <w:p w14:paraId="0EE2FCBD">
      <w:pPr>
        <w:numPr>
          <w:ilvl w:val="0"/>
          <w:numId w:val="0"/>
        </w:numPr>
        <w:spacing w:line="360" w:lineRule="auto"/>
        <w:ind w:left="0" w:firstLine="0"/>
        <w:jc w:val="center"/>
        <w:outlineLvl w:val="1"/>
        <w:rPr>
          <w:b/>
          <w:bCs/>
          <w:color w:val="auto"/>
          <w:sz w:val="21"/>
          <w:szCs w:val="21"/>
          <w:highlight w:val="none"/>
        </w:rPr>
      </w:pPr>
      <w:bookmarkStart w:id="37" w:name="_Toc86349420"/>
      <w:bookmarkStart w:id="38" w:name="_Toc29825792"/>
      <w:bookmarkStart w:id="39" w:name="_Toc368513773"/>
      <w:r>
        <w:rPr>
          <w:rFonts w:ascii="宋体" w:hAnsi="宋体" w:eastAsia="宋体" w:cs="宋体"/>
          <w:b/>
          <w:bCs/>
          <w:color w:val="auto"/>
          <w:kern w:val="0"/>
          <w:sz w:val="21"/>
          <w:szCs w:val="21"/>
          <w:highlight w:val="none"/>
          <w:lang w:val="zh-CN" w:eastAsia="zh-CN" w:bidi="zh-CN"/>
        </w:rPr>
        <w:t>二、</w:t>
      </w:r>
      <w:r>
        <w:rPr>
          <w:rFonts w:hint="eastAsia"/>
          <w:b/>
          <w:bCs/>
          <w:color w:val="auto"/>
          <w:sz w:val="21"/>
          <w:szCs w:val="21"/>
          <w:highlight w:val="none"/>
        </w:rPr>
        <w:t>关于招标文件</w:t>
      </w:r>
      <w:bookmarkEnd w:id="37"/>
      <w:bookmarkEnd w:id="38"/>
      <w:bookmarkEnd w:id="39"/>
    </w:p>
    <w:p w14:paraId="411227FB">
      <w:pPr>
        <w:numPr>
          <w:ilvl w:val="0"/>
          <w:numId w:val="3"/>
        </w:numPr>
        <w:snapToGrid w:val="0"/>
        <w:spacing w:before="240" w:beforeLines="100" w:line="360" w:lineRule="auto"/>
        <w:outlineLvl w:val="2"/>
        <w:rPr>
          <w:b/>
          <w:bCs/>
          <w:color w:val="auto"/>
          <w:sz w:val="21"/>
          <w:szCs w:val="21"/>
          <w:highlight w:val="none"/>
        </w:rPr>
      </w:pPr>
      <w:bookmarkStart w:id="40" w:name="_Toc86349421"/>
      <w:bookmarkStart w:id="41" w:name="_Toc368513774"/>
      <w:r>
        <w:rPr>
          <w:rFonts w:hint="eastAsia"/>
          <w:b/>
          <w:bCs/>
          <w:color w:val="auto"/>
          <w:sz w:val="21"/>
          <w:szCs w:val="21"/>
          <w:highlight w:val="none"/>
        </w:rPr>
        <w:t>招标文件的组成</w:t>
      </w:r>
      <w:bookmarkEnd w:id="40"/>
      <w:bookmarkEnd w:id="41"/>
    </w:p>
    <w:p w14:paraId="0D19FFFF">
      <w:pPr>
        <w:numPr>
          <w:ilvl w:val="1"/>
          <w:numId w:val="4"/>
        </w:numPr>
        <w:tabs>
          <w:tab w:val="left" w:pos="720"/>
        </w:tabs>
        <w:snapToGrid w:val="0"/>
        <w:spacing w:line="360" w:lineRule="auto"/>
        <w:ind w:hanging="812"/>
        <w:rPr>
          <w:color w:val="auto"/>
          <w:sz w:val="21"/>
          <w:szCs w:val="21"/>
          <w:highlight w:val="none"/>
        </w:rPr>
      </w:pPr>
      <w:r>
        <w:rPr>
          <w:rFonts w:hint="eastAsia"/>
          <w:color w:val="auto"/>
          <w:sz w:val="21"/>
          <w:szCs w:val="21"/>
          <w:highlight w:val="none"/>
        </w:rPr>
        <w:t>招标文件仅适用于本次投标邀请中所叙述的项目，由下列部分组成：</w:t>
      </w:r>
    </w:p>
    <w:p w14:paraId="4C23C5F7">
      <w:pPr>
        <w:numPr>
          <w:ilvl w:val="2"/>
          <w:numId w:val="5"/>
        </w:numPr>
        <w:tabs>
          <w:tab w:val="left" w:pos="840"/>
          <w:tab w:val="left" w:pos="960"/>
        </w:tabs>
        <w:snapToGrid w:val="0"/>
        <w:spacing w:line="360" w:lineRule="auto"/>
        <w:ind w:left="960"/>
        <w:rPr>
          <w:color w:val="auto"/>
          <w:sz w:val="21"/>
          <w:highlight w:val="none"/>
        </w:rPr>
      </w:pPr>
      <w:r>
        <w:rPr>
          <w:rFonts w:hint="eastAsia"/>
          <w:color w:val="auto"/>
          <w:sz w:val="21"/>
          <w:szCs w:val="21"/>
          <w:highlight w:val="none"/>
        </w:rPr>
        <w:t>投标邀请</w:t>
      </w:r>
      <w:r>
        <w:rPr>
          <w:rFonts w:hint="eastAsia"/>
          <w:color w:val="auto"/>
          <w:sz w:val="21"/>
          <w:highlight w:val="none"/>
        </w:rPr>
        <w:t xml:space="preserve">； </w:t>
      </w:r>
    </w:p>
    <w:p w14:paraId="32F1CB0D">
      <w:pPr>
        <w:numPr>
          <w:ilvl w:val="2"/>
          <w:numId w:val="5"/>
        </w:numPr>
        <w:tabs>
          <w:tab w:val="left" w:pos="840"/>
          <w:tab w:val="left" w:pos="960"/>
        </w:tabs>
        <w:snapToGrid w:val="0"/>
        <w:spacing w:line="360" w:lineRule="auto"/>
        <w:ind w:left="960"/>
        <w:rPr>
          <w:color w:val="auto"/>
          <w:sz w:val="21"/>
          <w:highlight w:val="none"/>
        </w:rPr>
      </w:pPr>
      <w:r>
        <w:rPr>
          <w:rFonts w:hint="eastAsia"/>
          <w:color w:val="auto"/>
          <w:sz w:val="21"/>
          <w:highlight w:val="none"/>
        </w:rPr>
        <w:t>投标须知；</w:t>
      </w:r>
    </w:p>
    <w:p w14:paraId="315D4EB5">
      <w:pPr>
        <w:numPr>
          <w:ilvl w:val="2"/>
          <w:numId w:val="5"/>
        </w:numPr>
        <w:tabs>
          <w:tab w:val="left" w:pos="840"/>
          <w:tab w:val="left" w:pos="960"/>
        </w:tabs>
        <w:snapToGrid w:val="0"/>
        <w:spacing w:line="360" w:lineRule="auto"/>
        <w:ind w:left="960"/>
        <w:rPr>
          <w:color w:val="auto"/>
          <w:sz w:val="21"/>
          <w:highlight w:val="none"/>
        </w:rPr>
      </w:pPr>
      <w:r>
        <w:rPr>
          <w:rFonts w:hint="eastAsia"/>
          <w:color w:val="auto"/>
          <w:sz w:val="21"/>
          <w:highlight w:val="none"/>
        </w:rPr>
        <w:t>拟签订的合同文本；</w:t>
      </w:r>
    </w:p>
    <w:p w14:paraId="737EB8D6">
      <w:pPr>
        <w:numPr>
          <w:ilvl w:val="2"/>
          <w:numId w:val="5"/>
        </w:numPr>
        <w:tabs>
          <w:tab w:val="left" w:pos="840"/>
          <w:tab w:val="left" w:pos="960"/>
        </w:tabs>
        <w:snapToGrid w:val="0"/>
        <w:spacing w:line="360" w:lineRule="auto"/>
        <w:ind w:left="960"/>
        <w:rPr>
          <w:color w:val="auto"/>
          <w:sz w:val="21"/>
          <w:highlight w:val="none"/>
        </w:rPr>
      </w:pPr>
      <w:r>
        <w:rPr>
          <w:rFonts w:hint="eastAsia"/>
          <w:color w:val="auto"/>
          <w:sz w:val="21"/>
          <w:highlight w:val="none"/>
        </w:rPr>
        <w:t>招标需求；</w:t>
      </w:r>
    </w:p>
    <w:p w14:paraId="0F568CA6">
      <w:pPr>
        <w:numPr>
          <w:ilvl w:val="2"/>
          <w:numId w:val="5"/>
        </w:numPr>
        <w:tabs>
          <w:tab w:val="left" w:pos="840"/>
          <w:tab w:val="left" w:pos="960"/>
        </w:tabs>
        <w:snapToGrid w:val="0"/>
        <w:spacing w:line="360" w:lineRule="auto"/>
        <w:ind w:left="960"/>
        <w:rPr>
          <w:color w:val="auto"/>
          <w:sz w:val="21"/>
          <w:highlight w:val="none"/>
        </w:rPr>
      </w:pPr>
      <w:r>
        <w:rPr>
          <w:rFonts w:hint="eastAsia"/>
          <w:color w:val="auto"/>
          <w:sz w:val="21"/>
          <w:highlight w:val="none"/>
        </w:rPr>
        <w:t>评标办法；</w:t>
      </w:r>
    </w:p>
    <w:p w14:paraId="2061620F">
      <w:pPr>
        <w:numPr>
          <w:ilvl w:val="2"/>
          <w:numId w:val="5"/>
        </w:numPr>
        <w:tabs>
          <w:tab w:val="left" w:pos="840"/>
          <w:tab w:val="left" w:pos="960"/>
        </w:tabs>
        <w:snapToGrid w:val="0"/>
        <w:spacing w:line="360" w:lineRule="auto"/>
        <w:ind w:left="960"/>
        <w:rPr>
          <w:color w:val="auto"/>
          <w:sz w:val="21"/>
          <w:szCs w:val="21"/>
          <w:highlight w:val="none"/>
        </w:rPr>
      </w:pPr>
      <w:r>
        <w:rPr>
          <w:rFonts w:hint="eastAsia"/>
          <w:color w:val="auto"/>
          <w:sz w:val="21"/>
          <w:highlight w:val="none"/>
        </w:rPr>
        <w:t>投标文件格式</w:t>
      </w:r>
      <w:r>
        <w:rPr>
          <w:rFonts w:hint="eastAsia"/>
          <w:color w:val="auto"/>
          <w:sz w:val="21"/>
          <w:szCs w:val="21"/>
          <w:highlight w:val="none"/>
        </w:rPr>
        <w:t>；</w:t>
      </w:r>
    </w:p>
    <w:p w14:paraId="4171C1B4">
      <w:pPr>
        <w:numPr>
          <w:ilvl w:val="2"/>
          <w:numId w:val="5"/>
        </w:numPr>
        <w:tabs>
          <w:tab w:val="left" w:pos="840"/>
          <w:tab w:val="left" w:pos="960"/>
        </w:tabs>
        <w:snapToGrid w:val="0"/>
        <w:spacing w:line="360" w:lineRule="auto"/>
        <w:ind w:left="960"/>
        <w:rPr>
          <w:color w:val="auto"/>
          <w:sz w:val="21"/>
          <w:highlight w:val="none"/>
        </w:rPr>
      </w:pPr>
      <w:r>
        <w:rPr>
          <w:rFonts w:hint="eastAsia"/>
          <w:color w:val="auto"/>
          <w:sz w:val="21"/>
          <w:szCs w:val="21"/>
          <w:highlight w:val="none"/>
        </w:rPr>
        <w:t>招投标过程中发生的澄清、修改和补充文件（如有）</w:t>
      </w:r>
      <w:r>
        <w:rPr>
          <w:rFonts w:hint="eastAsia"/>
          <w:color w:val="auto"/>
          <w:sz w:val="21"/>
          <w:highlight w:val="none"/>
        </w:rPr>
        <w:t>。</w:t>
      </w:r>
    </w:p>
    <w:p w14:paraId="292C4223">
      <w:pPr>
        <w:numPr>
          <w:ilvl w:val="1"/>
          <w:numId w:val="4"/>
        </w:numPr>
        <w:tabs>
          <w:tab w:val="left" w:pos="720"/>
        </w:tabs>
        <w:snapToGrid w:val="0"/>
        <w:spacing w:line="360" w:lineRule="auto"/>
        <w:ind w:left="709"/>
        <w:rPr>
          <w:color w:val="auto"/>
          <w:sz w:val="21"/>
          <w:szCs w:val="21"/>
          <w:highlight w:val="none"/>
        </w:rPr>
      </w:pPr>
      <w:r>
        <w:rPr>
          <w:rFonts w:hint="eastAsia"/>
          <w:bCs/>
          <w:color w:val="auto"/>
          <w:sz w:val="21"/>
          <w:szCs w:val="21"/>
          <w:highlight w:val="none"/>
        </w:rPr>
        <w:t>投标人应认真阅读招标文件中的所有事项、格式、条款和规范等要求。如果投标人没有按照招标文件的</w:t>
      </w:r>
      <w:r>
        <w:rPr>
          <w:rFonts w:hint="eastAsia"/>
          <w:color w:val="auto"/>
          <w:sz w:val="21"/>
          <w:szCs w:val="21"/>
          <w:highlight w:val="none"/>
        </w:rPr>
        <w:t>要求提交全部资料和内容，或者投标文件没有对招标文件做出实质性响应，由此造成的风险和后果由投标人负责。</w:t>
      </w:r>
    </w:p>
    <w:p w14:paraId="266DCEDC">
      <w:pPr>
        <w:numPr>
          <w:ilvl w:val="1"/>
          <w:numId w:val="4"/>
        </w:numPr>
        <w:tabs>
          <w:tab w:val="left" w:pos="720"/>
        </w:tabs>
        <w:snapToGrid w:val="0"/>
        <w:spacing w:line="360" w:lineRule="auto"/>
        <w:ind w:left="709"/>
        <w:rPr>
          <w:b/>
          <w:color w:val="auto"/>
          <w:sz w:val="21"/>
          <w:szCs w:val="21"/>
          <w:highlight w:val="none"/>
        </w:rPr>
      </w:pPr>
      <w:r>
        <w:rPr>
          <w:rFonts w:hint="eastAsia"/>
          <w:b/>
          <w:color w:val="auto"/>
          <w:sz w:val="21"/>
          <w:szCs w:val="21"/>
          <w:highlight w:val="none"/>
        </w:rPr>
        <w:t>本招标文件中，凡标有“★”的地方，投标人要特别加以注意，必须对此作出一一响应。若有一项带“★”的指标未响应或不满足，将导致其废标或投标无效。</w:t>
      </w:r>
    </w:p>
    <w:p w14:paraId="47A73F88">
      <w:pPr>
        <w:numPr>
          <w:ilvl w:val="0"/>
          <w:numId w:val="3"/>
        </w:numPr>
        <w:snapToGrid w:val="0"/>
        <w:spacing w:before="240" w:beforeLines="100" w:line="360" w:lineRule="auto"/>
        <w:outlineLvl w:val="2"/>
        <w:rPr>
          <w:b/>
          <w:bCs/>
          <w:color w:val="auto"/>
          <w:sz w:val="21"/>
          <w:szCs w:val="21"/>
          <w:highlight w:val="none"/>
        </w:rPr>
      </w:pPr>
      <w:bookmarkStart w:id="42" w:name="_Toc86349422"/>
      <w:bookmarkStart w:id="43" w:name="_Toc368513775"/>
      <w:r>
        <w:rPr>
          <w:rFonts w:hint="eastAsia"/>
          <w:b/>
          <w:bCs/>
          <w:color w:val="auto"/>
          <w:sz w:val="21"/>
          <w:szCs w:val="21"/>
          <w:highlight w:val="none"/>
        </w:rPr>
        <w:t>招标文件的答疑会及现场考察</w:t>
      </w:r>
      <w:bookmarkEnd w:id="42"/>
      <w:bookmarkEnd w:id="43"/>
    </w:p>
    <w:p w14:paraId="42EEDDD4">
      <w:pPr>
        <w:tabs>
          <w:tab w:val="left" w:pos="540"/>
        </w:tabs>
        <w:snapToGrid w:val="0"/>
        <w:spacing w:line="360" w:lineRule="auto"/>
        <w:ind w:left="425"/>
        <w:rPr>
          <w:color w:val="auto"/>
          <w:sz w:val="21"/>
          <w:szCs w:val="21"/>
          <w:highlight w:val="none"/>
        </w:rPr>
      </w:pPr>
      <w:r>
        <w:rPr>
          <w:rFonts w:hint="eastAsia"/>
          <w:color w:val="auto"/>
          <w:sz w:val="21"/>
          <w:highlight w:val="none"/>
        </w:rPr>
        <w:t>详见投标须知前附表第2项。</w:t>
      </w:r>
    </w:p>
    <w:p w14:paraId="7F919807">
      <w:pPr>
        <w:numPr>
          <w:ilvl w:val="0"/>
          <w:numId w:val="3"/>
        </w:numPr>
        <w:snapToGrid w:val="0"/>
        <w:spacing w:before="240" w:beforeLines="100" w:line="360" w:lineRule="auto"/>
        <w:outlineLvl w:val="2"/>
        <w:rPr>
          <w:b/>
          <w:bCs/>
          <w:color w:val="auto"/>
          <w:sz w:val="21"/>
          <w:szCs w:val="21"/>
          <w:highlight w:val="none"/>
        </w:rPr>
      </w:pPr>
      <w:bookmarkStart w:id="44" w:name="_Toc86349423"/>
      <w:bookmarkStart w:id="45" w:name="_Toc368513776"/>
      <w:r>
        <w:rPr>
          <w:rFonts w:hint="eastAsia"/>
          <w:b/>
          <w:bCs/>
          <w:color w:val="auto"/>
          <w:sz w:val="21"/>
          <w:szCs w:val="21"/>
          <w:highlight w:val="none"/>
        </w:rPr>
        <w:t>招标文件的补充、修改、澄清</w:t>
      </w:r>
      <w:bookmarkEnd w:id="44"/>
      <w:bookmarkEnd w:id="45"/>
    </w:p>
    <w:p w14:paraId="7A3D3E01">
      <w:pPr>
        <w:tabs>
          <w:tab w:val="left" w:pos="720"/>
        </w:tabs>
        <w:snapToGrid w:val="0"/>
        <w:spacing w:line="360" w:lineRule="auto"/>
        <w:ind w:left="808" w:leftChars="81" w:hanging="630" w:hangingChars="300"/>
        <w:rPr>
          <w:color w:val="auto"/>
          <w:sz w:val="21"/>
          <w:szCs w:val="21"/>
          <w:highlight w:val="none"/>
        </w:rPr>
      </w:pPr>
      <w:r>
        <w:rPr>
          <w:rFonts w:hint="eastAsia"/>
          <w:color w:val="auto"/>
          <w:sz w:val="21"/>
          <w:szCs w:val="21"/>
          <w:highlight w:val="none"/>
          <w:lang w:val="en-US"/>
        </w:rPr>
        <w:t xml:space="preserve">3.1  </w:t>
      </w:r>
      <w:r>
        <w:rPr>
          <w:rFonts w:hint="eastAsia"/>
          <w:color w:val="auto"/>
          <w:sz w:val="21"/>
          <w:szCs w:val="21"/>
          <w:highlight w:val="none"/>
        </w:rPr>
        <w:t>在投标截止时间15日以前的任何时候，无论出于何种原因，招标代理机构可主动地或在解答潜在投标人提出的疑问时对招标文件进行补充或修改。招标代理机构将在相关媒体发布该补充或更正公告，补充或更正公告</w:t>
      </w:r>
      <w:r>
        <w:rPr>
          <w:rFonts w:hint="eastAsia" w:ascii="宋体" w:hAnsi="宋体" w:eastAsia="宋体" w:cs="宋体"/>
          <w:color w:val="auto"/>
          <w:sz w:val="21"/>
          <w:szCs w:val="21"/>
          <w:highlight w:val="none"/>
        </w:rPr>
        <w:t>发布之日起即视为投标人已确认收到</w:t>
      </w:r>
      <w:r>
        <w:rPr>
          <w:rFonts w:hint="eastAsia"/>
          <w:color w:val="auto"/>
          <w:sz w:val="21"/>
          <w:szCs w:val="21"/>
          <w:highlight w:val="none"/>
        </w:rPr>
        <w:t>。该补充和更正文件的内容将作为招标文件的有效组成部分。</w:t>
      </w:r>
    </w:p>
    <w:p w14:paraId="6025F550">
      <w:pPr>
        <w:tabs>
          <w:tab w:val="left" w:pos="720"/>
        </w:tabs>
        <w:snapToGrid w:val="0"/>
        <w:spacing w:line="360" w:lineRule="auto"/>
        <w:ind w:left="808" w:leftChars="81" w:hanging="630" w:hangingChars="300"/>
        <w:rPr>
          <w:rFonts w:hint="eastAsia"/>
          <w:color w:val="auto"/>
          <w:sz w:val="21"/>
          <w:szCs w:val="21"/>
          <w:highlight w:val="none"/>
          <w:lang w:val="en-US" w:eastAsia="zh-CN"/>
        </w:rPr>
      </w:pPr>
      <w:r>
        <w:rPr>
          <w:rFonts w:hint="eastAsia"/>
          <w:color w:val="auto"/>
          <w:sz w:val="21"/>
          <w:szCs w:val="21"/>
          <w:highlight w:val="none"/>
          <w:lang w:val="en-US"/>
        </w:rPr>
        <w:t>3.2  潜在投标人如果要求对招标文件作</w:t>
      </w:r>
      <w:r>
        <w:rPr>
          <w:rFonts w:hint="eastAsia"/>
          <w:color w:val="auto"/>
          <w:sz w:val="21"/>
          <w:szCs w:val="21"/>
          <w:highlight w:val="none"/>
          <w:lang w:val="en-US" w:eastAsia="zh-CN"/>
        </w:rPr>
        <w:t>答疑</w:t>
      </w:r>
      <w:r>
        <w:rPr>
          <w:rFonts w:hint="eastAsia"/>
          <w:color w:val="auto"/>
          <w:sz w:val="21"/>
          <w:szCs w:val="21"/>
          <w:highlight w:val="none"/>
          <w:lang w:val="en-US"/>
        </w:rPr>
        <w:t>，应在提交投标文件截止时间18天前提出</w:t>
      </w:r>
      <w:r>
        <w:rPr>
          <w:rFonts w:hint="eastAsia"/>
          <w:color w:val="auto"/>
          <w:sz w:val="21"/>
          <w:szCs w:val="21"/>
          <w:highlight w:val="none"/>
          <w:lang w:val="en-US" w:eastAsia="zh-CN"/>
        </w:rPr>
        <w:t>，在广州公共资源交易中心网站通过项目答疑专区网上公开发布。招标答疑采用网上答疑方式进行。投标人若对招标文件（包括招标图纸、清单、招标控制价）有疑问的，可在规定的时间内通过广州公共资源交易中心网站凭密码进入提问区域将问题提交给招标人或招标代理人，提交问题时一律不得署名。网上答疑的操作指南为：登录广州公共资源交易中心数字交易平台→进入“我的投标”页面→进入“招标答疑提问”页面→通过项目编号或名称找到所需的项目→在上述的答疑时间内点击“答疑提问”→无记名或匿名提出问题。</w:t>
      </w:r>
    </w:p>
    <w:p w14:paraId="26BEE642">
      <w:pPr>
        <w:tabs>
          <w:tab w:val="left" w:pos="720"/>
        </w:tabs>
        <w:snapToGrid w:val="0"/>
        <w:spacing w:line="360" w:lineRule="auto"/>
        <w:ind w:left="805" w:leftChars="366"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投标人应在投标截止时间18日前停止质疑。</w:t>
      </w:r>
    </w:p>
    <w:p w14:paraId="021012E1">
      <w:pPr>
        <w:tabs>
          <w:tab w:val="left" w:pos="720"/>
        </w:tabs>
        <w:snapToGrid w:val="0"/>
        <w:spacing w:line="360" w:lineRule="auto"/>
        <w:ind w:left="805" w:leftChars="366" w:firstLine="0" w:firstLineChars="0"/>
        <w:rPr>
          <w:color w:val="auto"/>
          <w:sz w:val="21"/>
          <w:szCs w:val="21"/>
          <w:highlight w:val="none"/>
          <w:lang w:val="en-US"/>
        </w:rPr>
      </w:pPr>
      <w:r>
        <w:rPr>
          <w:rFonts w:hint="eastAsia"/>
          <w:color w:val="auto"/>
          <w:sz w:val="21"/>
          <w:szCs w:val="21"/>
          <w:highlight w:val="none"/>
          <w:lang w:val="en-US"/>
        </w:rPr>
        <w:t>该澄清文件的内容将作为招标文件的有效组成部分。潜在投标人如在规定的时间内未对招标文件提出澄清或疑问的，招标代理机构将视其为无异议。</w:t>
      </w:r>
    </w:p>
    <w:p w14:paraId="43AFE4BA">
      <w:pPr>
        <w:tabs>
          <w:tab w:val="left" w:pos="720"/>
        </w:tabs>
        <w:snapToGrid w:val="0"/>
        <w:spacing w:line="360" w:lineRule="auto"/>
        <w:ind w:left="808" w:leftChars="81" w:hanging="630" w:hangingChars="300"/>
        <w:rPr>
          <w:color w:val="auto"/>
          <w:sz w:val="21"/>
          <w:szCs w:val="21"/>
          <w:highlight w:val="none"/>
          <w:lang w:val="en-US"/>
        </w:rPr>
      </w:pPr>
      <w:r>
        <w:rPr>
          <w:rFonts w:hint="eastAsia"/>
          <w:color w:val="auto"/>
          <w:sz w:val="21"/>
          <w:szCs w:val="21"/>
          <w:highlight w:val="none"/>
          <w:lang w:val="en-US"/>
        </w:rPr>
        <w:t>3.3   招标文件的补充、修改、澄清公告发布之日距投标截止时间不足15日时，招标代理机构可酌情推迟投标截止日期和开标时间。</w:t>
      </w:r>
    </w:p>
    <w:p w14:paraId="41D7F178">
      <w:pPr>
        <w:tabs>
          <w:tab w:val="left" w:pos="1265"/>
        </w:tabs>
        <w:snapToGrid w:val="0"/>
        <w:spacing w:line="360" w:lineRule="auto"/>
        <w:ind w:left="181"/>
        <w:rPr>
          <w:color w:val="auto"/>
          <w:sz w:val="21"/>
          <w:szCs w:val="21"/>
          <w:highlight w:val="none"/>
        </w:rPr>
      </w:pPr>
    </w:p>
    <w:p w14:paraId="263558BD">
      <w:pPr>
        <w:numPr>
          <w:ilvl w:val="0"/>
          <w:numId w:val="0"/>
        </w:numPr>
        <w:spacing w:line="360" w:lineRule="auto"/>
        <w:ind w:left="0" w:firstLine="0"/>
        <w:jc w:val="center"/>
        <w:outlineLvl w:val="1"/>
        <w:rPr>
          <w:b/>
          <w:bCs/>
          <w:color w:val="auto"/>
          <w:sz w:val="21"/>
          <w:szCs w:val="21"/>
          <w:highlight w:val="none"/>
        </w:rPr>
      </w:pPr>
      <w:bookmarkStart w:id="46" w:name="_Toc29825793"/>
      <w:bookmarkStart w:id="47" w:name="_Toc368513777"/>
      <w:bookmarkStart w:id="48" w:name="_Toc86349424"/>
      <w:r>
        <w:rPr>
          <w:rFonts w:ascii="宋体" w:hAnsi="宋体" w:eastAsia="宋体" w:cs="宋体"/>
          <w:b/>
          <w:bCs/>
          <w:color w:val="auto"/>
          <w:kern w:val="0"/>
          <w:sz w:val="21"/>
          <w:szCs w:val="21"/>
          <w:highlight w:val="none"/>
          <w:lang w:val="zh-CN" w:eastAsia="zh-CN" w:bidi="zh-CN"/>
        </w:rPr>
        <w:t>三、</w:t>
      </w:r>
      <w:r>
        <w:rPr>
          <w:rFonts w:hint="eastAsia"/>
          <w:b/>
          <w:bCs/>
          <w:color w:val="auto"/>
          <w:sz w:val="21"/>
          <w:szCs w:val="21"/>
          <w:highlight w:val="none"/>
        </w:rPr>
        <w:t>关于投标人</w:t>
      </w:r>
      <w:bookmarkEnd w:id="46"/>
      <w:bookmarkEnd w:id="47"/>
      <w:bookmarkEnd w:id="48"/>
    </w:p>
    <w:p w14:paraId="74944996">
      <w:pPr>
        <w:numPr>
          <w:ilvl w:val="0"/>
          <w:numId w:val="6"/>
        </w:numPr>
        <w:snapToGrid w:val="0"/>
        <w:spacing w:line="360" w:lineRule="auto"/>
        <w:outlineLvl w:val="2"/>
        <w:rPr>
          <w:b/>
          <w:bCs/>
          <w:color w:val="auto"/>
          <w:sz w:val="21"/>
          <w:szCs w:val="21"/>
          <w:highlight w:val="none"/>
        </w:rPr>
      </w:pPr>
      <w:bookmarkStart w:id="49" w:name="_Toc86349425"/>
      <w:bookmarkStart w:id="50" w:name="_Toc368513778"/>
      <w:r>
        <w:rPr>
          <w:rFonts w:hint="eastAsia"/>
          <w:b/>
          <w:bCs/>
          <w:color w:val="auto"/>
          <w:sz w:val="21"/>
          <w:szCs w:val="21"/>
          <w:highlight w:val="none"/>
        </w:rPr>
        <w:t>对投标人的要求</w:t>
      </w:r>
      <w:bookmarkEnd w:id="49"/>
      <w:bookmarkEnd w:id="50"/>
    </w:p>
    <w:p w14:paraId="0DF7610A">
      <w:pPr>
        <w:numPr>
          <w:ilvl w:val="1"/>
          <w:numId w:val="6"/>
        </w:numPr>
        <w:tabs>
          <w:tab w:val="left" w:pos="720"/>
        </w:tabs>
        <w:snapToGrid w:val="0"/>
        <w:spacing w:line="360" w:lineRule="auto"/>
        <w:ind w:hanging="812"/>
        <w:rPr>
          <w:color w:val="auto"/>
          <w:sz w:val="21"/>
          <w:szCs w:val="21"/>
          <w:highlight w:val="none"/>
        </w:rPr>
      </w:pPr>
      <w:r>
        <w:rPr>
          <w:rFonts w:hint="eastAsia"/>
          <w:color w:val="auto"/>
          <w:sz w:val="21"/>
          <w:szCs w:val="21"/>
          <w:highlight w:val="none"/>
        </w:rPr>
        <w:t>对投标人的资格要求：详见投标邀请中的“投标人资格”部分。</w:t>
      </w:r>
    </w:p>
    <w:p w14:paraId="4D87F7DB">
      <w:pPr>
        <w:numPr>
          <w:ilvl w:val="1"/>
          <w:numId w:val="6"/>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投标人必须保证所提供的全部资料的真实性，并保证愿意接受由招标人对其所提供材料的真实性的调查和考证。</w:t>
      </w:r>
    </w:p>
    <w:p w14:paraId="5A3E3B04">
      <w:pPr>
        <w:numPr>
          <w:ilvl w:val="0"/>
          <w:numId w:val="6"/>
        </w:numPr>
        <w:snapToGrid w:val="0"/>
        <w:spacing w:before="240" w:beforeLines="100" w:line="360" w:lineRule="auto"/>
        <w:outlineLvl w:val="2"/>
        <w:rPr>
          <w:b/>
          <w:bCs/>
          <w:color w:val="auto"/>
          <w:sz w:val="21"/>
          <w:szCs w:val="21"/>
          <w:highlight w:val="none"/>
        </w:rPr>
      </w:pPr>
      <w:bookmarkStart w:id="51" w:name="_Toc86349426"/>
      <w:bookmarkStart w:id="52" w:name="_Toc368513779"/>
      <w:bookmarkStart w:id="53" w:name="_Toc357161069"/>
      <w:r>
        <w:rPr>
          <w:rFonts w:hint="eastAsia"/>
          <w:b/>
          <w:bCs/>
          <w:color w:val="auto"/>
          <w:sz w:val="21"/>
          <w:szCs w:val="21"/>
          <w:highlight w:val="none"/>
        </w:rPr>
        <w:t>对于联合投标的规定</w:t>
      </w:r>
      <w:bookmarkEnd w:id="51"/>
      <w:bookmarkEnd w:id="52"/>
      <w:bookmarkEnd w:id="53"/>
    </w:p>
    <w:p w14:paraId="7073DFCE">
      <w:pPr>
        <w:snapToGrid w:val="0"/>
        <w:spacing w:line="360" w:lineRule="auto"/>
        <w:ind w:firstLine="420" w:firstLineChars="200"/>
        <w:rPr>
          <w:color w:val="auto"/>
          <w:sz w:val="21"/>
          <w:szCs w:val="21"/>
          <w:highlight w:val="none"/>
        </w:rPr>
      </w:pPr>
      <w:r>
        <w:rPr>
          <w:rFonts w:hint="eastAsia"/>
          <w:color w:val="auto"/>
          <w:sz w:val="21"/>
          <w:szCs w:val="21"/>
          <w:highlight w:val="none"/>
        </w:rPr>
        <w:t>除非投标邀请中另有规定，不接受联合体投标。如果投标邀请中规定允许联合体投标的，则必须满足：</w:t>
      </w:r>
    </w:p>
    <w:p w14:paraId="03C04F3D">
      <w:pPr>
        <w:numPr>
          <w:ilvl w:val="1"/>
          <w:numId w:val="6"/>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两个以上投标人可以组成一个投标联合体，以一个投标人的身份投标。投标邀请对组成联合体的家数另有要求的，按投标邀请执行。</w:t>
      </w:r>
    </w:p>
    <w:p w14:paraId="54313340">
      <w:pPr>
        <w:numPr>
          <w:ilvl w:val="1"/>
          <w:numId w:val="6"/>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招标人根据采购项目的特殊性规定投标人特定条件的，联合体各方中至少应当有一方符合招标人规定的特定条件。</w:t>
      </w:r>
    </w:p>
    <w:p w14:paraId="5842E1DB">
      <w:pPr>
        <w:numPr>
          <w:ilvl w:val="1"/>
          <w:numId w:val="6"/>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联合体各方之间应当签订共同投标协议，明确约定联合体各方承担的工作和相应的责任，并将共同投标协议连同投标文件一并提交招标人或招标代理机构。联合体各方签订共同投标协议后，不得再以自己名义单独在同一项目中投标，也不得组成新的联合体参加同一项目投标。</w:t>
      </w:r>
    </w:p>
    <w:p w14:paraId="5D044E40">
      <w:pPr>
        <w:numPr>
          <w:ilvl w:val="1"/>
          <w:numId w:val="6"/>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以联合体形式参加投标的，投标人应提交联合体各方的资格证明文件、共同投标协议并注明主体方及各方拟承担的工作和责任。联合体投标文件由联合体各方或主体方盖章，否则，将导致其投标无效。</w:t>
      </w:r>
    </w:p>
    <w:p w14:paraId="46528D47">
      <w:pPr>
        <w:numPr>
          <w:ilvl w:val="1"/>
          <w:numId w:val="6"/>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两个以上的自然人、法人或者其他组织组成一个联合体，以一个投标人的身份共同参加采购活动的，招标人或者招标代理机构对所有联合体成员进行信用记录查询，联合体成员存在不良信用记录的，视同联合体存在不良信用记录。</w:t>
      </w:r>
    </w:p>
    <w:p w14:paraId="4AE87B92">
      <w:pPr>
        <w:numPr>
          <w:ilvl w:val="1"/>
          <w:numId w:val="6"/>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联合体投标的，可以由联合体中的一方或者共同提交投标保证金，以一方名义提交投标保证金的，对联合体各方均具有约束力。</w:t>
      </w:r>
    </w:p>
    <w:p w14:paraId="1B75443C">
      <w:pPr>
        <w:numPr>
          <w:ilvl w:val="1"/>
          <w:numId w:val="6"/>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联合体中标的，联合体各方应当共同与招标人签订合同。</w:t>
      </w:r>
    </w:p>
    <w:p w14:paraId="50A27A8B">
      <w:pPr>
        <w:numPr>
          <w:ilvl w:val="1"/>
          <w:numId w:val="6"/>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若招标文件另有详细规定的遵从其规定。</w:t>
      </w:r>
    </w:p>
    <w:p w14:paraId="071D09A7">
      <w:pPr>
        <w:numPr>
          <w:ilvl w:val="0"/>
          <w:numId w:val="6"/>
        </w:numPr>
        <w:snapToGrid w:val="0"/>
        <w:spacing w:before="240" w:beforeLines="100" w:line="360" w:lineRule="auto"/>
        <w:outlineLvl w:val="2"/>
        <w:rPr>
          <w:b/>
          <w:bCs/>
          <w:color w:val="auto"/>
          <w:sz w:val="21"/>
          <w:szCs w:val="21"/>
          <w:highlight w:val="none"/>
        </w:rPr>
      </w:pPr>
      <w:bookmarkStart w:id="54" w:name="_Toc86349427"/>
      <w:r>
        <w:rPr>
          <w:rFonts w:hint="eastAsia"/>
          <w:b/>
          <w:bCs/>
          <w:color w:val="auto"/>
          <w:sz w:val="21"/>
          <w:szCs w:val="21"/>
          <w:highlight w:val="none"/>
        </w:rPr>
        <w:t>关于分公司投标</w:t>
      </w:r>
      <w:bookmarkEnd w:id="54"/>
    </w:p>
    <w:p w14:paraId="5BA1E659">
      <w:pPr>
        <w:numPr>
          <w:ilvl w:val="1"/>
          <w:numId w:val="6"/>
        </w:numPr>
        <w:tabs>
          <w:tab w:val="left" w:pos="720"/>
        </w:tabs>
        <w:snapToGrid w:val="0"/>
        <w:spacing w:line="360" w:lineRule="auto"/>
        <w:rPr>
          <w:color w:val="auto"/>
          <w:sz w:val="21"/>
          <w:szCs w:val="21"/>
          <w:highlight w:val="none"/>
        </w:rPr>
      </w:pPr>
      <w:r>
        <w:rPr>
          <w:rFonts w:hint="eastAsia"/>
          <w:color w:val="auto"/>
          <w:sz w:val="21"/>
          <w:szCs w:val="21"/>
          <w:highlight w:val="none"/>
        </w:rPr>
        <w:t>分公司作为投标人的，需提供具有法人资格的总公司的营业执照副本复印件及授权书。总公司可就本项目或此类项目在一定范围或时间内出具唯一的投标授权书。已由总公司授权的，总公司取得的相关资质证书对分公司有效，但总公司及总公司下属其他分公司的人员及业绩不作为投标人的人员或业绩进行评分；若招标文件评审细则另有详细规定的遵从其规定。</w:t>
      </w:r>
    </w:p>
    <w:p w14:paraId="6A2C6B92">
      <w:pPr>
        <w:numPr>
          <w:ilvl w:val="1"/>
          <w:numId w:val="6"/>
        </w:numPr>
        <w:tabs>
          <w:tab w:val="left" w:pos="720"/>
        </w:tabs>
        <w:snapToGrid w:val="0"/>
        <w:spacing w:line="360" w:lineRule="auto"/>
        <w:rPr>
          <w:color w:val="auto"/>
          <w:sz w:val="21"/>
          <w:szCs w:val="21"/>
          <w:highlight w:val="none"/>
        </w:rPr>
      </w:pPr>
      <w:r>
        <w:rPr>
          <w:rFonts w:hint="eastAsia"/>
          <w:color w:val="auto"/>
          <w:sz w:val="21"/>
          <w:szCs w:val="21"/>
          <w:highlight w:val="none"/>
        </w:rPr>
        <w:t>总公司作为投标人参与，但授权分公司进行投标活动的，需由总公司对分公司出具唯一的授权授章书进行投标。</w:t>
      </w:r>
    </w:p>
    <w:p w14:paraId="6785569A">
      <w:pPr>
        <w:numPr>
          <w:ilvl w:val="1"/>
          <w:numId w:val="6"/>
        </w:numPr>
        <w:tabs>
          <w:tab w:val="left" w:pos="720"/>
        </w:tabs>
        <w:snapToGrid w:val="0"/>
        <w:spacing w:line="360" w:lineRule="auto"/>
        <w:rPr>
          <w:color w:val="auto"/>
          <w:sz w:val="21"/>
          <w:szCs w:val="21"/>
          <w:highlight w:val="none"/>
        </w:rPr>
      </w:pPr>
      <w:r>
        <w:rPr>
          <w:rFonts w:hint="eastAsia"/>
          <w:color w:val="auto"/>
          <w:sz w:val="21"/>
          <w:szCs w:val="21"/>
          <w:highlight w:val="none"/>
        </w:rPr>
        <w:t>法律法规或者行业另有规定的，法人的分支机构参与投标不受前两款的约束。</w:t>
      </w:r>
    </w:p>
    <w:p w14:paraId="20421859">
      <w:pPr>
        <w:numPr>
          <w:ilvl w:val="0"/>
          <w:numId w:val="6"/>
        </w:numPr>
        <w:snapToGrid w:val="0"/>
        <w:spacing w:before="240" w:beforeLines="100" w:line="360" w:lineRule="auto"/>
        <w:outlineLvl w:val="2"/>
        <w:rPr>
          <w:b/>
          <w:bCs/>
          <w:color w:val="auto"/>
          <w:sz w:val="21"/>
          <w:szCs w:val="21"/>
          <w:highlight w:val="none"/>
          <w:u w:val="single"/>
        </w:rPr>
      </w:pPr>
      <w:bookmarkStart w:id="55" w:name="_Toc86349428"/>
      <w:r>
        <w:rPr>
          <w:rFonts w:hint="eastAsia"/>
          <w:b/>
          <w:bCs/>
          <w:color w:val="auto"/>
          <w:sz w:val="21"/>
          <w:szCs w:val="21"/>
          <w:highlight w:val="none"/>
          <w:u w:val="single"/>
        </w:rPr>
        <w:t>不得参与同一采购项目竞争的投标人</w:t>
      </w:r>
      <w:bookmarkEnd w:id="55"/>
    </w:p>
    <w:p w14:paraId="25911650">
      <w:pPr>
        <w:tabs>
          <w:tab w:val="left" w:pos="720"/>
          <w:tab w:val="left" w:pos="992"/>
        </w:tabs>
        <w:snapToGrid w:val="0"/>
        <w:spacing w:line="360" w:lineRule="auto"/>
        <w:ind w:left="425"/>
        <w:rPr>
          <w:b/>
          <w:color w:val="auto"/>
          <w:sz w:val="21"/>
          <w:szCs w:val="21"/>
          <w:highlight w:val="none"/>
          <w:u w:val="single"/>
        </w:rPr>
      </w:pPr>
      <w:r>
        <w:rPr>
          <w:rFonts w:hint="eastAsia"/>
          <w:b/>
          <w:color w:val="auto"/>
          <w:sz w:val="21"/>
          <w:szCs w:val="21"/>
          <w:highlight w:val="none"/>
          <w:u w:val="single"/>
        </w:rPr>
        <w:t>单位负责人为同一人或者存在直接控股、管理关系的不同投标人，不得参加同一包组投标或者未划分包组的同一招标项目的投标活动。如同时参加，则评审时均作无效投标处理。</w:t>
      </w:r>
    </w:p>
    <w:p w14:paraId="11AD7FE4">
      <w:pPr>
        <w:tabs>
          <w:tab w:val="left" w:pos="720"/>
          <w:tab w:val="left" w:pos="992"/>
        </w:tabs>
        <w:snapToGrid w:val="0"/>
        <w:spacing w:line="360" w:lineRule="auto"/>
        <w:ind w:left="425"/>
        <w:rPr>
          <w:b/>
          <w:color w:val="auto"/>
          <w:sz w:val="21"/>
          <w:szCs w:val="21"/>
          <w:highlight w:val="none"/>
          <w:u w:val="single"/>
        </w:rPr>
      </w:pPr>
    </w:p>
    <w:p w14:paraId="498CD2CD">
      <w:pPr>
        <w:numPr>
          <w:ilvl w:val="0"/>
          <w:numId w:val="0"/>
        </w:numPr>
        <w:spacing w:line="360" w:lineRule="auto"/>
        <w:ind w:left="0" w:firstLine="0"/>
        <w:jc w:val="center"/>
        <w:outlineLvl w:val="1"/>
        <w:rPr>
          <w:b/>
          <w:bCs/>
          <w:color w:val="auto"/>
          <w:sz w:val="21"/>
          <w:szCs w:val="21"/>
          <w:highlight w:val="none"/>
        </w:rPr>
      </w:pPr>
      <w:bookmarkStart w:id="56" w:name="_Toc29825794"/>
      <w:bookmarkStart w:id="57" w:name="_Toc368513781"/>
      <w:bookmarkStart w:id="58" w:name="_Toc86349429"/>
      <w:r>
        <w:rPr>
          <w:rFonts w:ascii="宋体" w:hAnsi="宋体" w:eastAsia="宋体" w:cs="宋体"/>
          <w:b/>
          <w:bCs/>
          <w:color w:val="auto"/>
          <w:kern w:val="0"/>
          <w:sz w:val="21"/>
          <w:szCs w:val="21"/>
          <w:highlight w:val="none"/>
          <w:lang w:val="zh-CN" w:eastAsia="zh-CN" w:bidi="zh-CN"/>
        </w:rPr>
        <w:t>四、</w:t>
      </w:r>
      <w:r>
        <w:rPr>
          <w:rFonts w:hint="eastAsia"/>
          <w:b/>
          <w:bCs/>
          <w:color w:val="auto"/>
          <w:sz w:val="21"/>
          <w:szCs w:val="21"/>
          <w:highlight w:val="none"/>
        </w:rPr>
        <w:t>关于投标文件</w:t>
      </w:r>
      <w:bookmarkEnd w:id="56"/>
      <w:bookmarkEnd w:id="57"/>
      <w:bookmarkEnd w:id="58"/>
    </w:p>
    <w:p w14:paraId="2F82CCE9">
      <w:pPr>
        <w:numPr>
          <w:ilvl w:val="0"/>
          <w:numId w:val="7"/>
        </w:numPr>
        <w:snapToGrid w:val="0"/>
        <w:spacing w:before="240" w:beforeLines="100" w:line="360" w:lineRule="auto"/>
        <w:outlineLvl w:val="2"/>
        <w:rPr>
          <w:b/>
          <w:bCs/>
          <w:color w:val="auto"/>
          <w:sz w:val="21"/>
          <w:szCs w:val="21"/>
          <w:highlight w:val="none"/>
        </w:rPr>
      </w:pPr>
      <w:bookmarkStart w:id="59" w:name="_Toc368513782"/>
      <w:bookmarkStart w:id="60" w:name="_Toc86349430"/>
      <w:r>
        <w:rPr>
          <w:rFonts w:hint="eastAsia"/>
          <w:b/>
          <w:bCs/>
          <w:color w:val="auto"/>
          <w:sz w:val="21"/>
          <w:szCs w:val="21"/>
          <w:highlight w:val="none"/>
        </w:rPr>
        <w:t>投标文件的编写原则</w:t>
      </w:r>
      <w:bookmarkEnd w:id="59"/>
      <w:bookmarkEnd w:id="60"/>
    </w:p>
    <w:p w14:paraId="38B81461">
      <w:pPr>
        <w:numPr>
          <w:ilvl w:val="1"/>
          <w:numId w:val="7"/>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投标语言：投标人和招标代理机构与投标有关的所有文件和来往函电，应以中文书写。投标人提供的支持文件、技术资料和已印刷的文献可以用其他语言，但相应内容须附有中文翻译本，并以中文翻译本为准。</w:t>
      </w:r>
    </w:p>
    <w:p w14:paraId="741633E4">
      <w:pPr>
        <w:numPr>
          <w:ilvl w:val="1"/>
          <w:numId w:val="7"/>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计量单位：除在招标文件的技术规格中另有规定外，计量单位应使用中华人民共和国法定计量单位(国际单位制和国家选定的其他计量单位)。</w:t>
      </w:r>
    </w:p>
    <w:p w14:paraId="2A4558D0">
      <w:pPr>
        <w:numPr>
          <w:ilvl w:val="1"/>
          <w:numId w:val="7"/>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投标人应保证所提供的所有资料的真实性、准确性、完整性。</w:t>
      </w:r>
    </w:p>
    <w:p w14:paraId="20DCE633">
      <w:pPr>
        <w:numPr>
          <w:ilvl w:val="1"/>
          <w:numId w:val="7"/>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投标人在招投标采购过程中提供不真实的材料，无论其材料是否重要，招标人均有权拒绝，并取消投标人的投标资格，投标人需承担相应的后果及法律责任。</w:t>
      </w:r>
    </w:p>
    <w:p w14:paraId="7DB33F46">
      <w:pPr>
        <w:numPr>
          <w:ilvl w:val="1"/>
          <w:numId w:val="7"/>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本项目概不接受电报、电话、电子邮件、邮寄或传真形式的投标文件。</w:t>
      </w:r>
    </w:p>
    <w:p w14:paraId="767B8170">
      <w:pPr>
        <w:numPr>
          <w:ilvl w:val="0"/>
          <w:numId w:val="7"/>
        </w:numPr>
        <w:snapToGrid w:val="0"/>
        <w:spacing w:before="240" w:beforeLines="100" w:line="360" w:lineRule="auto"/>
        <w:outlineLvl w:val="2"/>
        <w:rPr>
          <w:b/>
          <w:bCs/>
          <w:color w:val="auto"/>
          <w:sz w:val="21"/>
          <w:szCs w:val="21"/>
          <w:highlight w:val="none"/>
        </w:rPr>
      </w:pPr>
      <w:bookmarkStart w:id="61" w:name="_Toc368513783"/>
      <w:bookmarkStart w:id="62" w:name="_Toc86349431"/>
      <w:r>
        <w:rPr>
          <w:rFonts w:hint="eastAsia"/>
          <w:b/>
          <w:bCs/>
          <w:color w:val="auto"/>
          <w:sz w:val="21"/>
          <w:szCs w:val="21"/>
          <w:highlight w:val="none"/>
        </w:rPr>
        <w:t>投标文件编制要求</w:t>
      </w:r>
      <w:bookmarkEnd w:id="61"/>
      <w:bookmarkEnd w:id="62"/>
    </w:p>
    <w:p w14:paraId="7D95EBBE">
      <w:pPr>
        <w:numPr>
          <w:ilvl w:val="1"/>
          <w:numId w:val="7"/>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投标人应仔细阅读招标文件的所有内容，按招标文件规定及要求编写，必须对招标文件提出的实质性要求做出响应，并提交完整的投标文件。投标人应对投标货物和服务提供完整详细的技术说明，如投标人对指定的技术要求不能完全响应，应在投标文件中清楚地注明。投标人对本招标文件的每一项要求所给予的响应必须是唯一的，否则将视为不响应。</w:t>
      </w:r>
    </w:p>
    <w:p w14:paraId="412FFA3C">
      <w:pPr>
        <w:numPr>
          <w:ilvl w:val="1"/>
          <w:numId w:val="7"/>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除投标须知前附表另有规定外，本项目不接受备选投标方案，投标文件的响应只允许有一个方案。招标代理机构不接受有任何选择或具有附加条件的方案。</w:t>
      </w:r>
    </w:p>
    <w:p w14:paraId="3B665122">
      <w:pPr>
        <w:numPr>
          <w:ilvl w:val="1"/>
          <w:numId w:val="7"/>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投标文件需按照招标文件规定的目录顺序。</w:t>
      </w:r>
    </w:p>
    <w:p w14:paraId="6F4852B2">
      <w:pPr>
        <w:numPr>
          <w:ilvl w:val="0"/>
          <w:numId w:val="7"/>
        </w:numPr>
        <w:snapToGrid w:val="0"/>
        <w:spacing w:before="240" w:beforeLines="100" w:line="360" w:lineRule="auto"/>
        <w:outlineLvl w:val="2"/>
        <w:rPr>
          <w:color w:val="auto"/>
          <w:sz w:val="21"/>
          <w:szCs w:val="21"/>
          <w:highlight w:val="none"/>
        </w:rPr>
      </w:pPr>
      <w:bookmarkStart w:id="63" w:name="_Toc86349432"/>
      <w:bookmarkStart w:id="64" w:name="_Toc368513784"/>
      <w:r>
        <w:rPr>
          <w:rFonts w:hint="eastAsia"/>
          <w:b/>
          <w:bCs/>
          <w:color w:val="auto"/>
          <w:sz w:val="21"/>
          <w:szCs w:val="21"/>
          <w:highlight w:val="none"/>
        </w:rPr>
        <w:t>投标报价说明</w:t>
      </w:r>
      <w:bookmarkEnd w:id="63"/>
      <w:bookmarkEnd w:id="64"/>
    </w:p>
    <w:p w14:paraId="3B1D4ECA">
      <w:pPr>
        <w:numPr>
          <w:ilvl w:val="0"/>
          <w:numId w:val="7"/>
        </w:numPr>
        <w:snapToGrid w:val="0"/>
        <w:spacing w:before="240" w:beforeLines="100" w:line="360" w:lineRule="auto"/>
        <w:outlineLvl w:val="2"/>
        <w:rPr>
          <w:b/>
          <w:bCs/>
          <w:color w:val="auto"/>
          <w:sz w:val="21"/>
          <w:szCs w:val="21"/>
          <w:highlight w:val="none"/>
        </w:rPr>
      </w:pPr>
      <w:bookmarkStart w:id="65" w:name="_Toc368513785"/>
      <w:bookmarkStart w:id="66" w:name="_Toc86349433"/>
      <w:r>
        <w:rPr>
          <w:rFonts w:hint="eastAsia"/>
          <w:b/>
          <w:bCs/>
          <w:color w:val="auto"/>
          <w:sz w:val="21"/>
          <w:szCs w:val="21"/>
          <w:highlight w:val="none"/>
        </w:rPr>
        <w:t>投标文件的组成和格式</w:t>
      </w:r>
      <w:bookmarkEnd w:id="65"/>
      <w:bookmarkEnd w:id="66"/>
    </w:p>
    <w:p w14:paraId="42A4B1D9">
      <w:pPr>
        <w:tabs>
          <w:tab w:val="left" w:pos="720"/>
        </w:tabs>
        <w:snapToGrid w:val="0"/>
        <w:spacing w:line="360" w:lineRule="auto"/>
        <w:ind w:left="389" w:leftChars="175" w:hanging="4" w:hangingChars="2"/>
        <w:rPr>
          <w:color w:val="auto"/>
          <w:sz w:val="21"/>
          <w:szCs w:val="21"/>
          <w:highlight w:val="none"/>
        </w:rPr>
      </w:pPr>
      <w:r>
        <w:rPr>
          <w:rFonts w:hint="eastAsia"/>
          <w:color w:val="auto"/>
          <w:sz w:val="21"/>
          <w:szCs w:val="21"/>
          <w:highlight w:val="none"/>
        </w:rPr>
        <w:t>投标文件应包括商务文件和技术文件，编排顺序参见投标文件格式。商务文件部分指投标人提交的证明其有资格参加投标和中标后有能力履行合同的文件。技术方案说明部分是能够证明投标人提供的货物及服务符合招标文件规定的文件。投标人应按规定提交商务文件部分、技术文件部分。</w:t>
      </w:r>
    </w:p>
    <w:p w14:paraId="27CEE13C">
      <w:pPr>
        <w:numPr>
          <w:ilvl w:val="0"/>
          <w:numId w:val="7"/>
        </w:numPr>
        <w:snapToGrid w:val="0"/>
        <w:spacing w:before="240" w:beforeLines="100" w:line="360" w:lineRule="auto"/>
        <w:outlineLvl w:val="2"/>
        <w:rPr>
          <w:b/>
          <w:bCs/>
          <w:color w:val="auto"/>
          <w:sz w:val="21"/>
          <w:szCs w:val="21"/>
          <w:highlight w:val="none"/>
        </w:rPr>
      </w:pPr>
      <w:bookmarkStart w:id="67" w:name="_Toc86349434"/>
      <w:bookmarkStart w:id="68" w:name="_Toc368513786"/>
      <w:r>
        <w:rPr>
          <w:rFonts w:hint="eastAsia"/>
          <w:b/>
          <w:bCs/>
          <w:color w:val="auto"/>
          <w:sz w:val="21"/>
          <w:szCs w:val="21"/>
          <w:highlight w:val="none"/>
        </w:rPr>
        <w:t>投标文件的式样和签署</w:t>
      </w:r>
      <w:bookmarkEnd w:id="67"/>
      <w:bookmarkEnd w:id="68"/>
    </w:p>
    <w:p w14:paraId="1972EA82">
      <w:pPr>
        <w:numPr>
          <w:ilvl w:val="1"/>
          <w:numId w:val="7"/>
        </w:numPr>
        <w:tabs>
          <w:tab w:val="left" w:pos="720"/>
        </w:tabs>
        <w:snapToGrid w:val="0"/>
        <w:spacing w:line="360" w:lineRule="auto"/>
        <w:ind w:left="720" w:hanging="540"/>
        <w:rPr>
          <w:color w:val="auto"/>
          <w:sz w:val="21"/>
          <w:szCs w:val="21"/>
          <w:highlight w:val="none"/>
        </w:rPr>
      </w:pPr>
      <w:r>
        <w:rPr>
          <w:rFonts w:hint="eastAsia"/>
          <w:color w:val="auto"/>
          <w:sz w:val="21"/>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广州公共资源交易中心网站http:// www.gzggzy.cn）《房屋建筑和市政基础设施工程全流程电子化项目专章》。</w:t>
      </w:r>
    </w:p>
    <w:p w14:paraId="14406944">
      <w:pPr>
        <w:numPr>
          <w:ilvl w:val="0"/>
          <w:numId w:val="7"/>
        </w:numPr>
        <w:snapToGrid w:val="0"/>
        <w:spacing w:before="240" w:beforeLines="100" w:line="360" w:lineRule="auto"/>
        <w:outlineLvl w:val="2"/>
        <w:rPr>
          <w:bCs/>
          <w:color w:val="auto"/>
          <w:sz w:val="21"/>
          <w:szCs w:val="21"/>
          <w:highlight w:val="none"/>
        </w:rPr>
      </w:pPr>
      <w:bookmarkStart w:id="69" w:name="_Toc86349435"/>
      <w:bookmarkStart w:id="70" w:name="_Toc368513787"/>
      <w:r>
        <w:rPr>
          <w:rFonts w:hint="eastAsia"/>
          <w:b/>
          <w:bCs/>
          <w:color w:val="auto"/>
          <w:sz w:val="21"/>
          <w:szCs w:val="21"/>
          <w:highlight w:val="none"/>
        </w:rPr>
        <w:t>投标文件的标记</w:t>
      </w:r>
      <w:bookmarkEnd w:id="69"/>
      <w:bookmarkEnd w:id="70"/>
    </w:p>
    <w:p w14:paraId="17A018ED">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bookmarkStart w:id="71" w:name="_Toc86349436"/>
      <w:bookmarkStart w:id="72" w:name="_Toc368513788"/>
      <w:r>
        <w:rPr>
          <w:rFonts w:hint="eastAsia" w:ascii="宋体" w:hAnsi="宋体" w:eastAsia="宋体" w:cs="宋体"/>
          <w:color w:val="auto"/>
          <w:sz w:val="21"/>
          <w:szCs w:val="21"/>
          <w:highlight w:val="none"/>
        </w:rPr>
        <w:t>递交的电子投标文件（不含备用光盘）必须进行加密。按照交易平台关于全流程电子化项目的相关指南进行操作。详见：广州公共资源交易中心网站http:// www.gzggzy.cn）《房屋建筑和市政基础设施工程全流程电子化项目专章》。</w:t>
      </w:r>
    </w:p>
    <w:p w14:paraId="53E45888">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未按要求加密的投标文件，</w:t>
      </w:r>
      <w:r>
        <w:rPr>
          <w:rFonts w:hint="eastAsia" w:ascii="宋体" w:hAnsi="宋体" w:eastAsia="宋体" w:cs="宋体"/>
          <w:color w:val="auto"/>
          <w:sz w:val="21"/>
          <w:szCs w:val="21"/>
          <w:highlight w:val="none"/>
          <w:u w:val="single"/>
          <w:lang w:val="en-US" w:eastAsia="zh-CN"/>
        </w:rPr>
        <w:t>广州公共资源交易中心</w:t>
      </w:r>
      <w:r>
        <w:rPr>
          <w:rFonts w:hint="eastAsia" w:ascii="宋体" w:hAnsi="宋体" w:eastAsia="宋体" w:cs="宋体"/>
          <w:color w:val="auto"/>
          <w:sz w:val="21"/>
          <w:szCs w:val="21"/>
          <w:highlight w:val="none"/>
        </w:rPr>
        <w:t>将予以拒收。</w:t>
      </w:r>
    </w:p>
    <w:p w14:paraId="182CD8BC">
      <w:pPr>
        <w:numPr>
          <w:ilvl w:val="0"/>
          <w:numId w:val="7"/>
        </w:numPr>
        <w:snapToGrid w:val="0"/>
        <w:spacing w:before="240" w:beforeLines="100" w:line="360" w:lineRule="auto"/>
        <w:outlineLvl w:val="2"/>
        <w:rPr>
          <w:b/>
          <w:bCs/>
          <w:color w:val="auto"/>
          <w:sz w:val="21"/>
          <w:szCs w:val="21"/>
          <w:highlight w:val="none"/>
        </w:rPr>
      </w:pPr>
      <w:r>
        <w:rPr>
          <w:rFonts w:hint="eastAsia"/>
          <w:b/>
          <w:bCs/>
          <w:color w:val="auto"/>
          <w:sz w:val="21"/>
          <w:szCs w:val="21"/>
          <w:highlight w:val="none"/>
        </w:rPr>
        <w:t>投标文件的提交</w:t>
      </w:r>
      <w:bookmarkEnd w:id="71"/>
      <w:bookmarkEnd w:id="72"/>
    </w:p>
    <w:p w14:paraId="392FA470">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bookmarkStart w:id="73" w:name="_Toc368513789"/>
      <w:bookmarkStart w:id="74" w:name="_Toc86349437"/>
      <w:r>
        <w:rPr>
          <w:rFonts w:hint="eastAsia" w:ascii="宋体" w:hAnsi="宋体" w:eastAsia="宋体" w:cs="宋体"/>
          <w:color w:val="auto"/>
          <w:sz w:val="21"/>
          <w:szCs w:val="21"/>
          <w:highlight w:val="none"/>
        </w:rPr>
        <w:t>投标人通过</w:t>
      </w:r>
      <w:r>
        <w:rPr>
          <w:rFonts w:hint="eastAsia" w:ascii="宋体" w:hAnsi="宋体" w:eastAsia="宋体" w:cs="宋体"/>
          <w:color w:val="auto"/>
          <w:sz w:val="21"/>
          <w:szCs w:val="21"/>
          <w:highlight w:val="none"/>
          <w:u w:val="single"/>
          <w:lang w:val="en-US" w:eastAsia="zh-CN"/>
        </w:rPr>
        <w:t>广州公共资源交易中心</w:t>
      </w:r>
      <w:r>
        <w:rPr>
          <w:rFonts w:hint="eastAsia" w:ascii="宋体" w:hAnsi="宋体" w:eastAsia="宋体" w:cs="宋体"/>
          <w:color w:val="auto"/>
          <w:sz w:val="21"/>
          <w:szCs w:val="21"/>
          <w:highlight w:val="none"/>
        </w:rPr>
        <w:t>递交电子投标文件。</w:t>
      </w:r>
    </w:p>
    <w:p w14:paraId="1CB0D3E8">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投标人完成电子投标文件上传后，</w:t>
      </w:r>
      <w:r>
        <w:rPr>
          <w:rFonts w:hint="eastAsia" w:ascii="宋体" w:hAnsi="宋体" w:eastAsia="宋体" w:cs="宋体"/>
          <w:color w:val="auto"/>
          <w:sz w:val="21"/>
          <w:szCs w:val="21"/>
          <w:highlight w:val="none"/>
          <w:u w:val="single"/>
          <w:lang w:val="en-US" w:eastAsia="zh-CN"/>
        </w:rPr>
        <w:t>广州公共资源交易中心</w:t>
      </w:r>
      <w:r>
        <w:rPr>
          <w:rFonts w:hint="eastAsia" w:ascii="宋体" w:hAnsi="宋体" w:eastAsia="宋体" w:cs="宋体"/>
          <w:color w:val="auto"/>
          <w:sz w:val="21"/>
          <w:szCs w:val="21"/>
          <w:highlight w:val="none"/>
        </w:rPr>
        <w:t>即时向投标人发出递交回执通知。递交时间以递交回执通知载明的传输完成时间为准。</w:t>
      </w:r>
    </w:p>
    <w:p w14:paraId="38C428A4">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逾期送达的电子投标文件，</w:t>
      </w:r>
      <w:r>
        <w:rPr>
          <w:rFonts w:hint="eastAsia" w:ascii="宋体" w:hAnsi="宋体" w:eastAsia="宋体" w:cs="宋体"/>
          <w:color w:val="auto"/>
          <w:sz w:val="21"/>
          <w:szCs w:val="21"/>
          <w:highlight w:val="none"/>
          <w:u w:val="single"/>
          <w:lang w:val="en-US" w:eastAsia="zh-CN"/>
        </w:rPr>
        <w:t>广州公共资源交易中心</w:t>
      </w:r>
      <w:r>
        <w:rPr>
          <w:rFonts w:hint="eastAsia" w:ascii="宋体" w:hAnsi="宋体" w:eastAsia="宋体" w:cs="宋体"/>
          <w:color w:val="auto"/>
          <w:sz w:val="21"/>
          <w:szCs w:val="21"/>
          <w:highlight w:val="none"/>
        </w:rPr>
        <w:t>将予以拒收。</w:t>
      </w:r>
    </w:p>
    <w:p w14:paraId="4347CCD1">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投标截止前，招标人拒绝接收符合条件的投标文件，投标人可向招标投标监督机构投诉。</w:t>
      </w:r>
    </w:p>
    <w:p w14:paraId="0EC99803">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如技术标和经济标先后分别开启，</w:t>
      </w:r>
      <w:r>
        <w:rPr>
          <w:rFonts w:hint="eastAsia" w:ascii="宋体" w:hAnsi="宋体" w:eastAsia="宋体" w:cs="宋体"/>
          <w:color w:val="auto"/>
          <w:sz w:val="21"/>
          <w:szCs w:val="21"/>
          <w:highlight w:val="none"/>
          <w:u w:val="single"/>
          <w:lang w:val="en-US" w:eastAsia="zh-CN"/>
        </w:rPr>
        <w:t>广州公共资源交易中心</w:t>
      </w:r>
      <w:r>
        <w:rPr>
          <w:rFonts w:hint="eastAsia" w:ascii="宋体" w:hAnsi="宋体" w:eastAsia="宋体" w:cs="宋体"/>
          <w:color w:val="auto"/>
          <w:sz w:val="21"/>
          <w:szCs w:val="21"/>
          <w:highlight w:val="none"/>
        </w:rPr>
        <w:t>将按招标文件规定的时间分别开启技术标和经济标。</w:t>
      </w:r>
    </w:p>
    <w:p w14:paraId="24D81FCB">
      <w:pPr>
        <w:numPr>
          <w:ilvl w:val="0"/>
          <w:numId w:val="7"/>
        </w:numPr>
        <w:snapToGrid w:val="0"/>
        <w:spacing w:before="240" w:beforeLines="100" w:line="360" w:lineRule="auto"/>
        <w:outlineLvl w:val="2"/>
        <w:rPr>
          <w:b/>
          <w:bCs/>
          <w:color w:val="auto"/>
          <w:sz w:val="21"/>
          <w:szCs w:val="21"/>
          <w:highlight w:val="none"/>
        </w:rPr>
      </w:pPr>
      <w:r>
        <w:rPr>
          <w:rFonts w:hint="eastAsia"/>
          <w:b/>
          <w:bCs/>
          <w:color w:val="auto"/>
          <w:sz w:val="21"/>
          <w:szCs w:val="21"/>
          <w:highlight w:val="none"/>
        </w:rPr>
        <w:t>投标文件的修改和撤回</w:t>
      </w:r>
      <w:bookmarkEnd w:id="73"/>
      <w:bookmarkEnd w:id="74"/>
    </w:p>
    <w:p w14:paraId="3FC1F31C">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在规定的投标截止时间前，投标人可以修改或撤回已递交的投标文件，但应以书面形式通知招标人。</w:t>
      </w:r>
    </w:p>
    <w:p w14:paraId="48A87432">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投标人修改或撤回已递交的投标文件，需在交易平台发出修改或撤回通知，并按要求加盖电子印章。电子招标投标交易平台收到通知后，即时向投标人发出确认回执通知。</w:t>
      </w:r>
    </w:p>
    <w:p w14:paraId="4DE28363">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修改后再次递交的，按</w:t>
      </w:r>
      <w:r>
        <w:rPr>
          <w:rFonts w:hint="eastAsia" w:ascii="宋体" w:hAnsi="宋体" w:eastAsia="宋体" w:cs="宋体"/>
          <w:color w:val="auto"/>
          <w:sz w:val="21"/>
          <w:szCs w:val="21"/>
          <w:highlight w:val="none"/>
          <w:lang w:val="en-US" w:eastAsia="zh-CN"/>
        </w:rPr>
        <w:t>第7</w:t>
      </w:r>
      <w:r>
        <w:rPr>
          <w:rFonts w:hint="eastAsia" w:ascii="宋体" w:hAnsi="宋体" w:eastAsia="宋体" w:cs="宋体"/>
          <w:color w:val="auto"/>
          <w:sz w:val="21"/>
          <w:szCs w:val="21"/>
          <w:highlight w:val="none"/>
        </w:rPr>
        <w:t>点的规定执行。</w:t>
      </w:r>
    </w:p>
    <w:p w14:paraId="4FCD6755">
      <w:pPr>
        <w:numPr>
          <w:ilvl w:val="1"/>
          <w:numId w:val="7"/>
        </w:numPr>
        <w:tabs>
          <w:tab w:val="left" w:pos="720"/>
        </w:tabs>
        <w:snapToGrid w:val="0"/>
        <w:spacing w:line="360" w:lineRule="auto"/>
        <w:ind w:left="720"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在投标截止时间之后，投标人不得补充、修改和更换投标文件。</w:t>
      </w:r>
    </w:p>
    <w:p w14:paraId="278E94C7">
      <w:pPr>
        <w:numPr>
          <w:ilvl w:val="0"/>
          <w:numId w:val="7"/>
        </w:numPr>
        <w:snapToGrid w:val="0"/>
        <w:spacing w:before="240" w:beforeLines="100" w:line="360" w:lineRule="auto"/>
        <w:outlineLvl w:val="2"/>
        <w:rPr>
          <w:b/>
          <w:bCs/>
          <w:color w:val="auto"/>
          <w:sz w:val="21"/>
          <w:szCs w:val="21"/>
          <w:highlight w:val="none"/>
        </w:rPr>
      </w:pPr>
      <w:bookmarkStart w:id="75" w:name="_Toc86349438"/>
      <w:bookmarkStart w:id="76" w:name="_Toc368513790"/>
      <w:r>
        <w:rPr>
          <w:rFonts w:hint="eastAsia"/>
          <w:b/>
          <w:bCs/>
          <w:color w:val="auto"/>
          <w:sz w:val="21"/>
          <w:szCs w:val="21"/>
          <w:highlight w:val="none"/>
        </w:rPr>
        <w:t>投标有效期</w:t>
      </w:r>
      <w:bookmarkEnd w:id="75"/>
      <w:bookmarkEnd w:id="76"/>
    </w:p>
    <w:p w14:paraId="7E010774">
      <w:pPr>
        <w:tabs>
          <w:tab w:val="left" w:pos="720"/>
        </w:tabs>
        <w:snapToGrid w:val="0"/>
        <w:spacing w:line="360" w:lineRule="auto"/>
        <w:ind w:left="425"/>
        <w:rPr>
          <w:color w:val="auto"/>
          <w:sz w:val="21"/>
          <w:szCs w:val="21"/>
          <w:highlight w:val="none"/>
        </w:rPr>
      </w:pPr>
      <w:r>
        <w:rPr>
          <w:rFonts w:hint="eastAsia"/>
          <w:color w:val="auto"/>
          <w:sz w:val="21"/>
          <w:szCs w:val="21"/>
          <w:highlight w:val="none"/>
        </w:rPr>
        <w:t>投标有效期</w:t>
      </w:r>
      <w:r>
        <w:rPr>
          <w:rFonts w:hint="eastAsia"/>
          <w:color w:val="auto"/>
          <w:sz w:val="21"/>
          <w:highlight w:val="none"/>
        </w:rPr>
        <w:t>详见投标须知前附表第3项。</w:t>
      </w:r>
      <w:r>
        <w:rPr>
          <w:rFonts w:hint="eastAsia"/>
          <w:color w:val="auto"/>
          <w:sz w:val="21"/>
          <w:szCs w:val="21"/>
          <w:highlight w:val="none"/>
        </w:rPr>
        <w:t>中标人的投标有效期自动延长至合同终止为止。在特殊情况下，招标代理机构可于投标有效期期满之前要求投标人同意延长有效期，要求与答复均应以书面形式进行。投标人可以拒绝上述延长投标有效期的要求，其投标保证金将被无息退还；同意延期的投标人，其权利及责任相应从原截止期延至新的截止期。</w:t>
      </w:r>
    </w:p>
    <w:p w14:paraId="430EEB5E">
      <w:pPr>
        <w:snapToGrid w:val="0"/>
        <w:spacing w:line="360" w:lineRule="auto"/>
        <w:ind w:left="845"/>
        <w:rPr>
          <w:color w:val="auto"/>
          <w:sz w:val="21"/>
          <w:szCs w:val="21"/>
          <w:highlight w:val="none"/>
        </w:rPr>
      </w:pPr>
    </w:p>
    <w:p w14:paraId="0D1A784F">
      <w:pPr>
        <w:numPr>
          <w:ilvl w:val="0"/>
          <w:numId w:val="0"/>
        </w:numPr>
        <w:spacing w:line="360" w:lineRule="auto"/>
        <w:ind w:left="0" w:firstLine="0"/>
        <w:jc w:val="center"/>
        <w:outlineLvl w:val="1"/>
        <w:rPr>
          <w:b/>
          <w:bCs/>
          <w:color w:val="auto"/>
          <w:sz w:val="21"/>
          <w:szCs w:val="21"/>
          <w:highlight w:val="none"/>
        </w:rPr>
      </w:pPr>
      <w:bookmarkStart w:id="77" w:name="_Toc368513792"/>
      <w:bookmarkStart w:id="78" w:name="_Toc86349440"/>
      <w:bookmarkStart w:id="79" w:name="_Toc29825795"/>
      <w:r>
        <w:rPr>
          <w:rFonts w:ascii="宋体" w:hAnsi="宋体" w:eastAsia="宋体" w:cs="宋体"/>
          <w:b/>
          <w:bCs/>
          <w:color w:val="auto"/>
          <w:kern w:val="0"/>
          <w:sz w:val="21"/>
          <w:szCs w:val="21"/>
          <w:highlight w:val="none"/>
          <w:lang w:val="zh-CN" w:eastAsia="zh-CN" w:bidi="zh-CN"/>
        </w:rPr>
        <w:t>五、</w:t>
      </w:r>
      <w:r>
        <w:rPr>
          <w:rFonts w:hint="eastAsia"/>
          <w:b/>
          <w:bCs/>
          <w:color w:val="auto"/>
          <w:sz w:val="21"/>
          <w:szCs w:val="21"/>
          <w:highlight w:val="none"/>
        </w:rPr>
        <w:t>关于开标</w:t>
      </w:r>
      <w:bookmarkEnd w:id="77"/>
      <w:bookmarkEnd w:id="78"/>
      <w:bookmarkEnd w:id="79"/>
    </w:p>
    <w:p w14:paraId="4C363C97">
      <w:pPr>
        <w:numPr>
          <w:ilvl w:val="0"/>
          <w:numId w:val="8"/>
        </w:numPr>
        <w:snapToGrid w:val="0"/>
        <w:spacing w:before="240" w:beforeLines="100" w:line="360" w:lineRule="auto"/>
        <w:outlineLvl w:val="2"/>
        <w:rPr>
          <w:b/>
          <w:bCs/>
          <w:color w:val="auto"/>
          <w:sz w:val="21"/>
          <w:szCs w:val="21"/>
          <w:highlight w:val="none"/>
        </w:rPr>
      </w:pPr>
      <w:bookmarkStart w:id="80" w:name="_Toc86349441"/>
      <w:bookmarkStart w:id="81" w:name="_Toc368513793"/>
      <w:r>
        <w:rPr>
          <w:rFonts w:hint="eastAsia"/>
          <w:b/>
          <w:bCs/>
          <w:color w:val="auto"/>
          <w:sz w:val="21"/>
          <w:szCs w:val="21"/>
          <w:highlight w:val="none"/>
        </w:rPr>
        <w:t>开标时间和地点</w:t>
      </w:r>
      <w:bookmarkEnd w:id="80"/>
      <w:bookmarkEnd w:id="81"/>
    </w:p>
    <w:p w14:paraId="16B1FE6C">
      <w:pPr>
        <w:tabs>
          <w:tab w:val="left" w:pos="540"/>
        </w:tabs>
        <w:snapToGrid w:val="0"/>
        <w:spacing w:line="360" w:lineRule="auto"/>
        <w:ind w:left="425"/>
        <w:rPr>
          <w:color w:val="auto"/>
          <w:sz w:val="21"/>
          <w:szCs w:val="21"/>
          <w:highlight w:val="none"/>
        </w:rPr>
      </w:pPr>
      <w:r>
        <w:rPr>
          <w:rFonts w:hint="eastAsia"/>
          <w:color w:val="auto"/>
          <w:sz w:val="21"/>
          <w:szCs w:val="21"/>
          <w:highlight w:val="none"/>
        </w:rPr>
        <w:t>开标在招标文件确定的提交投标文件截止时间的同一时间公开进行，招标人因修改招标文件，可酌情延长投标截止时间。在此情况下，招标代理机构和投标人受投标截止时间制约的所有权利和义务均延长至新的投标截止时间。开标地点为招标文件预先确定的地点。</w:t>
      </w:r>
    </w:p>
    <w:p w14:paraId="19D9B261">
      <w:pPr>
        <w:numPr>
          <w:ilvl w:val="0"/>
          <w:numId w:val="8"/>
        </w:numPr>
        <w:snapToGrid w:val="0"/>
        <w:spacing w:before="240" w:beforeLines="100" w:line="360" w:lineRule="auto"/>
        <w:outlineLvl w:val="2"/>
        <w:rPr>
          <w:b/>
          <w:bCs/>
          <w:color w:val="auto"/>
          <w:sz w:val="21"/>
          <w:szCs w:val="21"/>
          <w:highlight w:val="none"/>
        </w:rPr>
      </w:pPr>
      <w:bookmarkStart w:id="82" w:name="_Toc368513794"/>
      <w:bookmarkStart w:id="83" w:name="_Toc86349442"/>
      <w:r>
        <w:rPr>
          <w:rFonts w:hint="eastAsia"/>
          <w:b/>
          <w:bCs/>
          <w:color w:val="auto"/>
          <w:sz w:val="21"/>
          <w:szCs w:val="21"/>
          <w:highlight w:val="none"/>
        </w:rPr>
        <w:t>开标程序</w:t>
      </w:r>
      <w:bookmarkEnd w:id="82"/>
      <w:bookmarkEnd w:id="83"/>
    </w:p>
    <w:p w14:paraId="1475DEE2">
      <w:pPr>
        <w:tabs>
          <w:tab w:val="left" w:pos="720"/>
        </w:tabs>
        <w:snapToGrid w:val="0"/>
        <w:spacing w:line="360" w:lineRule="auto"/>
        <w:ind w:left="808" w:leftChars="81" w:hanging="630" w:hangingChars="300"/>
        <w:rPr>
          <w:color w:val="auto"/>
          <w:sz w:val="21"/>
          <w:szCs w:val="21"/>
          <w:highlight w:val="none"/>
        </w:rPr>
      </w:pPr>
      <w:r>
        <w:rPr>
          <w:rFonts w:hint="eastAsia"/>
          <w:color w:val="auto"/>
          <w:sz w:val="21"/>
          <w:szCs w:val="21"/>
          <w:highlight w:val="none"/>
          <w:lang w:val="en-US"/>
        </w:rPr>
        <w:t xml:space="preserve">2.1  </w:t>
      </w:r>
      <w:r>
        <w:rPr>
          <w:rFonts w:hint="eastAsia"/>
          <w:color w:val="auto"/>
          <w:sz w:val="21"/>
          <w:szCs w:val="21"/>
          <w:highlight w:val="none"/>
        </w:rPr>
        <w:t>开标由招标代理机构主持，招标人、投标人和有关方面代表参加。开标过程由招标代理机构指定专人负责记录，并存档。</w:t>
      </w:r>
    </w:p>
    <w:p w14:paraId="426E5FA3">
      <w:pPr>
        <w:tabs>
          <w:tab w:val="left" w:pos="720"/>
        </w:tabs>
        <w:snapToGrid w:val="0"/>
        <w:spacing w:line="360" w:lineRule="auto"/>
        <w:ind w:left="808" w:leftChars="81" w:hanging="630" w:hangingChars="300"/>
        <w:rPr>
          <w:color w:val="auto"/>
          <w:sz w:val="21"/>
          <w:szCs w:val="21"/>
          <w:highlight w:val="none"/>
          <w:lang w:val="en-US"/>
        </w:rPr>
      </w:pPr>
      <w:r>
        <w:rPr>
          <w:rFonts w:hint="eastAsia"/>
          <w:color w:val="auto"/>
          <w:sz w:val="21"/>
          <w:szCs w:val="21"/>
          <w:highlight w:val="none"/>
          <w:lang w:val="en-US"/>
        </w:rPr>
        <w:t>2.2  投标人需由法定代表人或其授权代表（具有法定代表人签署的授权书）携带身份证明原件参加投标、开标仪式，签到证明其出席开标会议。若法定代表人或其授权代表未出席开标会，视为其自动放弃参加开标的权利，认可所有开标结果。</w:t>
      </w:r>
    </w:p>
    <w:p w14:paraId="1E34D5B9">
      <w:pPr>
        <w:tabs>
          <w:tab w:val="left" w:pos="720"/>
        </w:tabs>
        <w:snapToGrid w:val="0"/>
        <w:ind w:left="808" w:leftChars="81" w:hanging="630" w:hangingChars="300"/>
        <w:rPr>
          <w:rFonts w:hint="eastAsia"/>
          <w:color w:val="auto"/>
          <w:sz w:val="21"/>
          <w:szCs w:val="21"/>
          <w:highlight w:val="none"/>
          <w:lang w:val="en-US"/>
        </w:rPr>
      </w:pPr>
      <w:r>
        <w:rPr>
          <w:rFonts w:hint="eastAsia"/>
          <w:color w:val="auto"/>
          <w:sz w:val="21"/>
          <w:szCs w:val="21"/>
          <w:highlight w:val="none"/>
          <w:lang w:val="en-US"/>
        </w:rPr>
        <w:t>2.3   电子招投标项目开标按下列程序进行：主持人按下列程序进行开标：</w:t>
      </w:r>
    </w:p>
    <w:p w14:paraId="421BC71E">
      <w:pPr>
        <w:tabs>
          <w:tab w:val="left" w:pos="720"/>
        </w:tabs>
        <w:snapToGrid w:val="0"/>
        <w:ind w:left="805" w:leftChars="366" w:firstLine="0" w:firstLineChars="0"/>
        <w:rPr>
          <w:rFonts w:hint="eastAsia"/>
          <w:color w:val="auto"/>
          <w:sz w:val="21"/>
          <w:szCs w:val="21"/>
          <w:highlight w:val="none"/>
          <w:lang w:val="en-US"/>
        </w:rPr>
      </w:pPr>
      <w:r>
        <w:rPr>
          <w:rFonts w:hint="eastAsia"/>
          <w:color w:val="auto"/>
          <w:sz w:val="21"/>
          <w:szCs w:val="21"/>
          <w:highlight w:val="none"/>
          <w:lang w:val="en-US"/>
        </w:rPr>
        <w:t>（1）宣布开标纪律；</w:t>
      </w:r>
    </w:p>
    <w:p w14:paraId="6111ABC9">
      <w:pPr>
        <w:tabs>
          <w:tab w:val="left" w:pos="720"/>
        </w:tabs>
        <w:snapToGrid w:val="0"/>
        <w:ind w:left="805" w:leftChars="366" w:firstLine="0" w:firstLineChars="0"/>
        <w:rPr>
          <w:rFonts w:hint="eastAsia"/>
          <w:color w:val="auto"/>
          <w:sz w:val="21"/>
          <w:szCs w:val="21"/>
          <w:highlight w:val="none"/>
          <w:lang w:val="en-US"/>
        </w:rPr>
      </w:pPr>
      <w:r>
        <w:rPr>
          <w:rFonts w:hint="eastAsia"/>
          <w:color w:val="auto"/>
          <w:sz w:val="21"/>
          <w:szCs w:val="21"/>
          <w:highlight w:val="none"/>
          <w:lang w:val="en-US"/>
        </w:rPr>
        <w:t>（2）公布在投标截止时间前递交投标文件的投标人名称；</w:t>
      </w:r>
    </w:p>
    <w:p w14:paraId="6B3E47F5">
      <w:pPr>
        <w:tabs>
          <w:tab w:val="left" w:pos="720"/>
        </w:tabs>
        <w:snapToGrid w:val="0"/>
        <w:ind w:left="805" w:leftChars="366" w:firstLine="0" w:firstLineChars="0"/>
        <w:rPr>
          <w:rFonts w:hint="eastAsia"/>
          <w:color w:val="auto"/>
          <w:sz w:val="21"/>
          <w:szCs w:val="21"/>
          <w:highlight w:val="none"/>
          <w:lang w:val="en-US"/>
        </w:rPr>
      </w:pPr>
      <w:r>
        <w:rPr>
          <w:rFonts w:hint="eastAsia"/>
          <w:color w:val="auto"/>
          <w:sz w:val="21"/>
          <w:szCs w:val="21"/>
          <w:highlight w:val="none"/>
          <w:lang w:val="en-US"/>
        </w:rPr>
        <w:t>（3）宣布开标人、唱标人、记录人、监标人等有关人员姓名；</w:t>
      </w:r>
    </w:p>
    <w:p w14:paraId="093C60D2">
      <w:pPr>
        <w:tabs>
          <w:tab w:val="left" w:pos="720"/>
        </w:tabs>
        <w:snapToGrid w:val="0"/>
        <w:ind w:left="1046" w:leftChars="380" w:hanging="210" w:hangingChars="100"/>
        <w:rPr>
          <w:rFonts w:hint="eastAsia"/>
          <w:color w:val="auto"/>
          <w:sz w:val="21"/>
          <w:szCs w:val="21"/>
          <w:highlight w:val="none"/>
          <w:lang w:val="en-US"/>
        </w:rPr>
      </w:pPr>
      <w:r>
        <w:rPr>
          <w:rFonts w:hint="eastAsia"/>
          <w:color w:val="auto"/>
          <w:sz w:val="21"/>
          <w:szCs w:val="21"/>
          <w:highlight w:val="none"/>
          <w:lang w:val="en-US"/>
        </w:rPr>
        <w:t>（4）投标人通过电子招标投标交易平台对已递交的电子投标文件进行解密，公布招标项目名称、投标人名称的递交情况、投标报价、监理服务期限及其他内容，并记录在案；</w:t>
      </w:r>
    </w:p>
    <w:p w14:paraId="0889D320">
      <w:pPr>
        <w:tabs>
          <w:tab w:val="left" w:pos="720"/>
        </w:tabs>
        <w:snapToGrid w:val="0"/>
        <w:ind w:left="805" w:leftChars="366" w:firstLine="0" w:firstLineChars="0"/>
        <w:rPr>
          <w:rFonts w:hint="eastAsia"/>
          <w:color w:val="auto"/>
          <w:sz w:val="21"/>
          <w:szCs w:val="21"/>
          <w:highlight w:val="none"/>
          <w:lang w:val="en-US"/>
        </w:rPr>
      </w:pPr>
      <w:r>
        <w:rPr>
          <w:rFonts w:hint="eastAsia"/>
          <w:color w:val="auto"/>
          <w:sz w:val="21"/>
          <w:szCs w:val="21"/>
          <w:highlight w:val="none"/>
          <w:lang w:val="en-US"/>
        </w:rPr>
        <w:t>（5）投标人代表、招标人代表、监标人、记录人等有关人员在开标记录上签字确认；若有关人员不签字的，不影响开标程序；</w:t>
      </w:r>
    </w:p>
    <w:p w14:paraId="74BBF869">
      <w:pPr>
        <w:tabs>
          <w:tab w:val="left" w:pos="720"/>
        </w:tabs>
        <w:snapToGrid w:val="0"/>
        <w:ind w:left="805" w:leftChars="366" w:firstLine="0" w:firstLineChars="0"/>
        <w:rPr>
          <w:rFonts w:hint="eastAsia"/>
          <w:color w:val="auto"/>
          <w:sz w:val="21"/>
          <w:szCs w:val="21"/>
          <w:highlight w:val="none"/>
          <w:lang w:val="en-US"/>
        </w:rPr>
      </w:pPr>
      <w:r>
        <w:rPr>
          <w:rFonts w:hint="eastAsia"/>
          <w:color w:val="auto"/>
          <w:sz w:val="21"/>
          <w:szCs w:val="21"/>
          <w:highlight w:val="none"/>
          <w:lang w:val="en-US"/>
        </w:rPr>
        <w:t>（6）开标结束。</w:t>
      </w:r>
    </w:p>
    <w:p w14:paraId="7C1322A1">
      <w:pPr>
        <w:tabs>
          <w:tab w:val="left" w:pos="720"/>
        </w:tabs>
        <w:snapToGrid w:val="0"/>
        <w:ind w:left="808" w:leftChars="81" w:hanging="630" w:hangingChars="300"/>
        <w:rPr>
          <w:rFonts w:hint="eastAsia"/>
          <w:color w:val="auto"/>
          <w:sz w:val="21"/>
          <w:szCs w:val="21"/>
          <w:highlight w:val="none"/>
          <w:lang w:val="en-US"/>
        </w:rPr>
      </w:pPr>
      <w:r>
        <w:rPr>
          <w:rFonts w:hint="eastAsia"/>
          <w:color w:val="auto"/>
          <w:sz w:val="21"/>
          <w:szCs w:val="21"/>
          <w:highlight w:val="none"/>
          <w:lang w:val="en-US"/>
        </w:rPr>
        <w:t xml:space="preserve"> </w:t>
      </w:r>
      <w:r>
        <w:rPr>
          <w:rFonts w:hint="eastAsia"/>
          <w:color w:val="auto"/>
          <w:sz w:val="21"/>
          <w:szCs w:val="21"/>
          <w:highlight w:val="none"/>
          <w:lang w:val="en-US" w:eastAsia="zh-CN"/>
        </w:rPr>
        <w:t xml:space="preserve">     </w:t>
      </w:r>
      <w:r>
        <w:rPr>
          <w:rFonts w:hint="eastAsia"/>
          <w:color w:val="auto"/>
          <w:sz w:val="21"/>
          <w:szCs w:val="21"/>
          <w:highlight w:val="none"/>
          <w:lang w:val="en-US"/>
        </w:rPr>
        <w:t>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半小时内解密的，视为撤销其投标文件。</w:t>
      </w:r>
    </w:p>
    <w:p w14:paraId="5050D0F4">
      <w:pPr>
        <w:tabs>
          <w:tab w:val="left" w:pos="720"/>
        </w:tabs>
        <w:snapToGrid w:val="0"/>
        <w:ind w:left="808" w:leftChars="81" w:hanging="630" w:hangingChars="300"/>
        <w:rPr>
          <w:rFonts w:hint="default" w:eastAsia="宋体"/>
          <w:color w:val="auto"/>
          <w:highlight w:val="none"/>
          <w:lang w:val="en-US" w:eastAsia="zh-CN"/>
        </w:rPr>
      </w:pPr>
      <w:r>
        <w:rPr>
          <w:rFonts w:hint="eastAsia"/>
          <w:color w:val="auto"/>
          <w:sz w:val="21"/>
          <w:szCs w:val="21"/>
          <w:highlight w:val="none"/>
          <w:lang w:val="en-US" w:eastAsia="zh-CN"/>
        </w:rPr>
        <w:t xml:space="preserve">      </w:t>
      </w:r>
      <w:r>
        <w:rPr>
          <w:rFonts w:hint="eastAsia"/>
          <w:color w:val="auto"/>
          <w:sz w:val="21"/>
          <w:szCs w:val="21"/>
          <w:highlight w:val="none"/>
          <w:lang w:val="en-US"/>
        </w:rPr>
        <w:t>开标时，两个（含两个）以上的投标人加密打包投标文件电脑机器特征码一致的，不参与下一程序，并由评标委员会否决其投标。</w:t>
      </w:r>
    </w:p>
    <w:p w14:paraId="3FAD70CB">
      <w:pPr>
        <w:tabs>
          <w:tab w:val="left" w:pos="720"/>
        </w:tabs>
        <w:snapToGrid w:val="0"/>
        <w:spacing w:line="360" w:lineRule="auto"/>
        <w:ind w:left="808" w:leftChars="81" w:hanging="630" w:hangingChars="300"/>
        <w:rPr>
          <w:rFonts w:hint="eastAsia"/>
          <w:color w:val="auto"/>
          <w:sz w:val="21"/>
          <w:szCs w:val="21"/>
          <w:highlight w:val="none"/>
          <w:lang w:val="en-US"/>
        </w:rPr>
      </w:pPr>
      <w:r>
        <w:rPr>
          <w:rFonts w:hint="eastAsia"/>
          <w:color w:val="auto"/>
          <w:sz w:val="21"/>
          <w:szCs w:val="21"/>
          <w:highlight w:val="none"/>
          <w:lang w:val="en-US"/>
        </w:rPr>
        <w:t>2.4   投标人可选择在开标室参与开标或准时在线参加开标，也可不参加开标。参加在线开标的投标人登录交易平台实时查看开标、唱标情况。</w:t>
      </w:r>
    </w:p>
    <w:p w14:paraId="67DFF0B1">
      <w:pPr>
        <w:tabs>
          <w:tab w:val="left" w:pos="720"/>
        </w:tabs>
        <w:snapToGrid w:val="0"/>
        <w:spacing w:line="360" w:lineRule="auto"/>
        <w:ind w:left="805" w:leftChars="366" w:firstLine="0" w:firstLineChars="0"/>
        <w:rPr>
          <w:rFonts w:hint="eastAsia"/>
          <w:color w:val="auto"/>
          <w:sz w:val="21"/>
          <w:szCs w:val="21"/>
          <w:highlight w:val="none"/>
          <w:lang w:val="en-US"/>
        </w:rPr>
      </w:pPr>
      <w:r>
        <w:rPr>
          <w:rFonts w:hint="eastAsia"/>
          <w:color w:val="auto"/>
          <w:sz w:val="21"/>
          <w:szCs w:val="21"/>
          <w:highlight w:val="none"/>
          <w:lang w:val="en-US"/>
        </w:rPr>
        <w:t>参加现场开标的投标人对开标结果有异议的，应当在开标现场提出，该投标人代表须同时出示本人身份证原件，招标人应当当场作出答复，并制作记录。</w:t>
      </w:r>
    </w:p>
    <w:p w14:paraId="1823DF59">
      <w:pPr>
        <w:tabs>
          <w:tab w:val="left" w:pos="720"/>
        </w:tabs>
        <w:snapToGrid w:val="0"/>
        <w:spacing w:line="360" w:lineRule="auto"/>
        <w:ind w:left="805" w:leftChars="366" w:firstLine="0" w:firstLineChars="0"/>
        <w:rPr>
          <w:color w:val="auto"/>
          <w:sz w:val="21"/>
          <w:szCs w:val="21"/>
          <w:highlight w:val="none"/>
          <w:lang w:val="en-US"/>
        </w:rPr>
      </w:pPr>
      <w:r>
        <w:rPr>
          <w:rFonts w:hint="eastAsia"/>
          <w:color w:val="auto"/>
          <w:sz w:val="21"/>
          <w:szCs w:val="21"/>
          <w:highlight w:val="none"/>
          <w:lang w:val="en-US"/>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E7E16FB">
      <w:pPr>
        <w:numPr>
          <w:ilvl w:val="0"/>
          <w:numId w:val="9"/>
        </w:numPr>
        <w:snapToGrid w:val="0"/>
        <w:spacing w:line="360" w:lineRule="auto"/>
        <w:rPr>
          <w:b/>
          <w:color w:val="auto"/>
          <w:sz w:val="21"/>
          <w:szCs w:val="21"/>
          <w:highlight w:val="none"/>
        </w:rPr>
      </w:pPr>
      <w:r>
        <w:rPr>
          <w:rFonts w:hint="eastAsia"/>
          <w:bCs/>
          <w:color w:val="auto"/>
          <w:sz w:val="21"/>
          <w:szCs w:val="21"/>
          <w:highlight w:val="none"/>
        </w:rPr>
        <w:t>当在招标文件要求的投标截止时间结束后提交有效投标文件的投标人不足三家时，停止开标，本项目将视为招标失败。除采购任务取消外，招标代理机构将重新招标。</w:t>
      </w:r>
    </w:p>
    <w:p w14:paraId="6BFC2850">
      <w:pPr>
        <w:spacing w:line="360" w:lineRule="auto"/>
        <w:ind w:left="210"/>
        <w:jc w:val="center"/>
        <w:rPr>
          <w:b/>
          <w:bCs/>
          <w:color w:val="auto"/>
          <w:sz w:val="21"/>
          <w:szCs w:val="21"/>
          <w:highlight w:val="none"/>
        </w:rPr>
      </w:pPr>
    </w:p>
    <w:p w14:paraId="7C1E0199">
      <w:pPr>
        <w:numPr>
          <w:ilvl w:val="0"/>
          <w:numId w:val="0"/>
        </w:numPr>
        <w:spacing w:line="360" w:lineRule="auto"/>
        <w:ind w:left="0" w:firstLine="0"/>
        <w:jc w:val="center"/>
        <w:outlineLvl w:val="1"/>
        <w:rPr>
          <w:b/>
          <w:bCs/>
          <w:color w:val="auto"/>
          <w:sz w:val="21"/>
          <w:szCs w:val="21"/>
          <w:highlight w:val="none"/>
        </w:rPr>
      </w:pPr>
      <w:bookmarkStart w:id="84" w:name="_Toc86349443"/>
      <w:bookmarkStart w:id="85" w:name="_Toc29825796"/>
      <w:bookmarkStart w:id="86" w:name="_Toc368513795"/>
      <w:r>
        <w:rPr>
          <w:rFonts w:ascii="宋体" w:hAnsi="宋体" w:eastAsia="宋体" w:cs="宋体"/>
          <w:b/>
          <w:bCs/>
          <w:color w:val="auto"/>
          <w:kern w:val="0"/>
          <w:sz w:val="21"/>
          <w:szCs w:val="21"/>
          <w:highlight w:val="none"/>
          <w:lang w:val="zh-CN" w:eastAsia="zh-CN" w:bidi="zh-CN"/>
        </w:rPr>
        <w:t>六、</w:t>
      </w:r>
      <w:r>
        <w:rPr>
          <w:rFonts w:hint="eastAsia"/>
          <w:b/>
          <w:bCs/>
          <w:color w:val="auto"/>
          <w:sz w:val="21"/>
          <w:szCs w:val="21"/>
          <w:highlight w:val="none"/>
        </w:rPr>
        <w:t>关于评标</w:t>
      </w:r>
      <w:bookmarkEnd w:id="84"/>
      <w:bookmarkEnd w:id="85"/>
      <w:bookmarkEnd w:id="86"/>
    </w:p>
    <w:p w14:paraId="2CAB176E">
      <w:pPr>
        <w:numPr>
          <w:ilvl w:val="0"/>
          <w:numId w:val="10"/>
        </w:numPr>
        <w:snapToGrid w:val="0"/>
        <w:spacing w:before="240" w:beforeLines="100" w:line="360" w:lineRule="auto"/>
        <w:outlineLvl w:val="2"/>
        <w:rPr>
          <w:b/>
          <w:bCs/>
          <w:color w:val="auto"/>
          <w:sz w:val="21"/>
          <w:szCs w:val="21"/>
          <w:highlight w:val="none"/>
        </w:rPr>
      </w:pPr>
      <w:bookmarkStart w:id="87" w:name="_Toc368513796"/>
      <w:bookmarkStart w:id="88" w:name="_Toc86349444"/>
      <w:r>
        <w:rPr>
          <w:rFonts w:hint="eastAsia"/>
          <w:b/>
          <w:bCs/>
          <w:color w:val="auto"/>
          <w:sz w:val="21"/>
          <w:szCs w:val="21"/>
          <w:highlight w:val="none"/>
        </w:rPr>
        <w:t>评标原则</w:t>
      </w:r>
      <w:bookmarkEnd w:id="87"/>
      <w:bookmarkEnd w:id="88"/>
    </w:p>
    <w:p w14:paraId="5167954D">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评标遵循公平、公正、科学、择优的原则。</w:t>
      </w:r>
    </w:p>
    <w:p w14:paraId="14738374">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评标委员会将按照规定只对通过资格、符合性审查的投标文件进行详细评价和比较。</w:t>
      </w:r>
    </w:p>
    <w:p w14:paraId="22AACB4E">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能够最大限度满足招标文件中规定的各项综合评价标准。价格合理，质量优先，同时对评标过程的保密，对中标结果不作任何解释的权利。</w:t>
      </w:r>
    </w:p>
    <w:p w14:paraId="02FC934C">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评标委员会经评审，认为所有投标都不符合招标文件要求的，可以否决所有投标。</w:t>
      </w:r>
    </w:p>
    <w:p w14:paraId="0447035D">
      <w:pPr>
        <w:numPr>
          <w:ilvl w:val="0"/>
          <w:numId w:val="10"/>
        </w:numPr>
        <w:snapToGrid w:val="0"/>
        <w:spacing w:before="240" w:beforeLines="100" w:line="360" w:lineRule="auto"/>
        <w:outlineLvl w:val="2"/>
        <w:rPr>
          <w:b/>
          <w:bCs/>
          <w:color w:val="auto"/>
          <w:sz w:val="21"/>
          <w:szCs w:val="21"/>
          <w:highlight w:val="none"/>
        </w:rPr>
      </w:pPr>
      <w:bookmarkStart w:id="89" w:name="_Toc86349445"/>
      <w:bookmarkStart w:id="90" w:name="_Toc368513797"/>
      <w:r>
        <w:rPr>
          <w:rFonts w:hint="eastAsia"/>
          <w:b/>
          <w:bCs/>
          <w:color w:val="auto"/>
          <w:sz w:val="21"/>
          <w:szCs w:val="21"/>
          <w:highlight w:val="none"/>
        </w:rPr>
        <w:t>评标过程的保密性和公正性</w:t>
      </w:r>
      <w:bookmarkEnd w:id="89"/>
      <w:bookmarkEnd w:id="90"/>
    </w:p>
    <w:p w14:paraId="33263E08">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从公开开标到签订采购合同，凡与审查、澄清、评审和投标有关的资料以及定标意见相关的事项，参与招投标的有关人员均不得向投标人及与评标无关的其他人透露。</w:t>
      </w:r>
    </w:p>
    <w:p w14:paraId="39C2CB0A">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招标人和招标代理机构应采取必要的措施，保证评标在严格保密的情况下进行。任何单位和个人不得非法干预、影响评标的过程和结果。</w:t>
      </w:r>
    </w:p>
    <w:p w14:paraId="4719238C">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评标委员会将本着以上评标原则严格按照法律法规和招标文件要求进行评标。如发现评标委员会的工作明显偏离招标文件的要求，或明显违反国家法律法规，由采购管理部门依据有关法律法规进行处理。</w:t>
      </w:r>
    </w:p>
    <w:p w14:paraId="695BC78D">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 xml:space="preserve">评标工作在评标委员会内独立进行，评标委员会不得与投标人私下交换意见，不得私下向外透露评标中的情况，参加评标会议的所有工作人员应当对评标过程和结果保密，不得将评标情况和结果透露与评标无关的人员。 </w:t>
      </w:r>
    </w:p>
    <w:p w14:paraId="21206E19">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评标委员会成员应关闭通讯工具或设置为振动状态，统一交由工作人员保管。</w:t>
      </w:r>
    </w:p>
    <w:p w14:paraId="5293AC9A">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评标委员会不向未中标的投标人解释未中标原因，不退还其投标文件。</w:t>
      </w:r>
    </w:p>
    <w:p w14:paraId="718CCD5C">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任何违反招标投标相关法规的行为，一经发现，将追究相关人员的法律责任。</w:t>
      </w:r>
    </w:p>
    <w:p w14:paraId="4AFC9CF4">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评标委员会成员和与评标活动有关的工作人员不得透露对投标文件的评审和比较、中标候选人的推荐情况以及评标有关的其他情况。</w:t>
      </w:r>
    </w:p>
    <w:p w14:paraId="32BCA463">
      <w:pPr>
        <w:numPr>
          <w:ilvl w:val="0"/>
          <w:numId w:val="10"/>
        </w:numPr>
        <w:snapToGrid w:val="0"/>
        <w:spacing w:before="240" w:beforeLines="100" w:line="360" w:lineRule="auto"/>
        <w:outlineLvl w:val="2"/>
        <w:rPr>
          <w:color w:val="auto"/>
          <w:sz w:val="21"/>
          <w:szCs w:val="21"/>
          <w:highlight w:val="none"/>
        </w:rPr>
      </w:pPr>
      <w:bookmarkStart w:id="91" w:name="_Toc368513798"/>
      <w:bookmarkStart w:id="92" w:name="_Toc86349446"/>
      <w:r>
        <w:rPr>
          <w:rFonts w:hint="eastAsia"/>
          <w:b/>
          <w:bCs/>
          <w:color w:val="auto"/>
          <w:sz w:val="21"/>
          <w:szCs w:val="21"/>
          <w:highlight w:val="none"/>
        </w:rPr>
        <w:t>投标文件的澄清</w:t>
      </w:r>
      <w:bookmarkEnd w:id="91"/>
      <w:bookmarkEnd w:id="92"/>
    </w:p>
    <w:p w14:paraId="69168D15">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评标委员会将按照招标文件确定的评标方法进行评标。对招标文件中描述有歧义或前后不一致的地方，评标委员会有权按法律法规的规定进行评判，但对同一条款的评判应适用于每个投标人。</w:t>
      </w:r>
    </w:p>
    <w:p w14:paraId="0013F801">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在评标期间，评标委员会应当以书面形式（由评标委员会成员签字）要求投标人对投标文件中含义不明确、同类问题表述不一致或者有明显文字和计算错误的内容作必要的澄清、说明或纠正。澄清的内容不得超出投标文件的范围或者改变投标文件的实质性内容。投标人的有关澄清、说明或者补正必须以书面形式提交，同时应当由法定代表人或其授权代表签字或者加盖公章。经评标委员会认可后，并将作为投标文件的有效组成部分。</w:t>
      </w:r>
    </w:p>
    <w:p w14:paraId="15969426">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如需要澄清的问题较多，评标委员会可召开会议邀请投标人代表到会予以澄清。澄清内容须作出书面记录，并由评标委员会和投标人代表签字确认。</w:t>
      </w:r>
    </w:p>
    <w:p w14:paraId="3365EBE3">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如有必要，评标委员会将书面要求投标人修正投标文件中不构成实质性偏离的、微小的、非正规的、不一致的或不规则的地方，这些修正不应影响评标的公平公正。</w:t>
      </w:r>
    </w:p>
    <w:p w14:paraId="1B7A4F5A">
      <w:pPr>
        <w:numPr>
          <w:ilvl w:val="0"/>
          <w:numId w:val="10"/>
        </w:numPr>
        <w:snapToGrid w:val="0"/>
        <w:spacing w:before="240" w:beforeLines="100" w:line="360" w:lineRule="auto"/>
        <w:outlineLvl w:val="2"/>
        <w:rPr>
          <w:b/>
          <w:bCs/>
          <w:color w:val="auto"/>
          <w:sz w:val="21"/>
          <w:szCs w:val="21"/>
          <w:highlight w:val="none"/>
        </w:rPr>
      </w:pPr>
      <w:bookmarkStart w:id="93" w:name="_Toc368513799"/>
      <w:bookmarkStart w:id="94" w:name="_Toc86349447"/>
      <w:r>
        <w:rPr>
          <w:rFonts w:hint="eastAsia"/>
          <w:b/>
          <w:bCs/>
          <w:color w:val="auto"/>
          <w:sz w:val="21"/>
          <w:szCs w:val="21"/>
          <w:highlight w:val="none"/>
        </w:rPr>
        <w:t>评标委员会</w:t>
      </w:r>
      <w:bookmarkEnd w:id="93"/>
      <w:bookmarkEnd w:id="94"/>
    </w:p>
    <w:p w14:paraId="0A93AD2B">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 xml:space="preserve">全部评标过程由依法组建的评标委员会负责完成，评标委员会组成详见投标须知前附表第9项。 </w:t>
      </w:r>
    </w:p>
    <w:p w14:paraId="4F603181">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评标委员会名单在评审结果确定前保密。</w:t>
      </w:r>
    </w:p>
    <w:p w14:paraId="4851B4E0">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评标委员会成员（不含招标人代表）有下列情形之一的，受到邀请应主动提出回避，采购当事人也可以要求该评审专家回避：</w:t>
      </w:r>
    </w:p>
    <w:p w14:paraId="2B1B835E">
      <w:pPr>
        <w:numPr>
          <w:ilvl w:val="2"/>
          <w:numId w:val="10"/>
        </w:numPr>
        <w:snapToGrid w:val="0"/>
        <w:spacing w:line="360" w:lineRule="auto"/>
        <w:ind w:left="748" w:hanging="28"/>
        <w:rPr>
          <w:bCs/>
          <w:color w:val="auto"/>
          <w:sz w:val="21"/>
          <w:szCs w:val="21"/>
          <w:highlight w:val="none"/>
        </w:rPr>
      </w:pPr>
      <w:r>
        <w:rPr>
          <w:rFonts w:hint="eastAsia"/>
          <w:bCs/>
          <w:color w:val="auto"/>
          <w:sz w:val="21"/>
          <w:szCs w:val="21"/>
          <w:highlight w:val="none"/>
        </w:rPr>
        <w:t>与参加该采购项目投标人发生过法律纠纷的；</w:t>
      </w:r>
    </w:p>
    <w:p w14:paraId="6945E27F">
      <w:pPr>
        <w:numPr>
          <w:ilvl w:val="2"/>
          <w:numId w:val="10"/>
        </w:numPr>
        <w:snapToGrid w:val="0"/>
        <w:spacing w:line="360" w:lineRule="auto"/>
        <w:ind w:left="748" w:hanging="28"/>
        <w:rPr>
          <w:bCs/>
          <w:color w:val="auto"/>
          <w:sz w:val="21"/>
          <w:szCs w:val="21"/>
          <w:highlight w:val="none"/>
        </w:rPr>
      </w:pPr>
      <w:r>
        <w:rPr>
          <w:rFonts w:hint="eastAsia"/>
          <w:bCs/>
          <w:color w:val="auto"/>
          <w:sz w:val="21"/>
          <w:szCs w:val="21"/>
          <w:highlight w:val="none"/>
        </w:rPr>
        <w:t>评标委员会中，同一任职单位评审专家超过二名的；</w:t>
      </w:r>
    </w:p>
    <w:p w14:paraId="0DB274D1">
      <w:pPr>
        <w:numPr>
          <w:ilvl w:val="2"/>
          <w:numId w:val="10"/>
        </w:numPr>
        <w:snapToGrid w:val="0"/>
        <w:spacing w:line="360" w:lineRule="auto"/>
        <w:ind w:left="748" w:hanging="28"/>
        <w:rPr>
          <w:bCs/>
          <w:color w:val="auto"/>
          <w:sz w:val="21"/>
          <w:szCs w:val="21"/>
          <w:highlight w:val="none"/>
        </w:rPr>
      </w:pPr>
      <w:r>
        <w:rPr>
          <w:rFonts w:hint="eastAsia"/>
          <w:bCs/>
          <w:color w:val="auto"/>
          <w:sz w:val="21"/>
          <w:szCs w:val="21"/>
          <w:highlight w:val="none"/>
        </w:rPr>
        <w:t>参与招标文件论证的；</w:t>
      </w:r>
    </w:p>
    <w:p w14:paraId="7D6188EA">
      <w:pPr>
        <w:numPr>
          <w:ilvl w:val="2"/>
          <w:numId w:val="10"/>
        </w:numPr>
        <w:snapToGrid w:val="0"/>
        <w:spacing w:line="360" w:lineRule="auto"/>
        <w:ind w:left="748" w:hanging="28"/>
        <w:rPr>
          <w:bCs/>
          <w:color w:val="auto"/>
          <w:sz w:val="21"/>
          <w:szCs w:val="21"/>
          <w:highlight w:val="none"/>
        </w:rPr>
      </w:pPr>
      <w:r>
        <w:rPr>
          <w:rFonts w:hint="eastAsia"/>
          <w:bCs/>
          <w:color w:val="auto"/>
          <w:sz w:val="21"/>
          <w:szCs w:val="21"/>
          <w:highlight w:val="none"/>
        </w:rPr>
        <w:t>参加采购活动前3年内（</w:t>
      </w:r>
      <w:r>
        <w:rPr>
          <w:rFonts w:hint="eastAsia"/>
          <w:color w:val="auto"/>
          <w:sz w:val="21"/>
          <w:szCs w:val="21"/>
          <w:highlight w:val="none"/>
        </w:rPr>
        <w:t>202</w:t>
      </w:r>
      <w:r>
        <w:rPr>
          <w:rFonts w:hint="eastAsia"/>
          <w:color w:val="auto"/>
          <w:sz w:val="21"/>
          <w:szCs w:val="21"/>
          <w:highlight w:val="none"/>
          <w:lang w:val="en-US" w:eastAsia="zh-CN"/>
        </w:rPr>
        <w:t>2</w:t>
      </w:r>
      <w:r>
        <w:rPr>
          <w:rFonts w:hint="eastAsia"/>
          <w:color w:val="auto"/>
          <w:sz w:val="21"/>
          <w:szCs w:val="21"/>
          <w:highlight w:val="none"/>
        </w:rPr>
        <w:t>年1月1日至提交投标文件截止日</w:t>
      </w:r>
      <w:r>
        <w:rPr>
          <w:rFonts w:hint="eastAsia"/>
          <w:bCs/>
          <w:color w:val="auto"/>
          <w:sz w:val="21"/>
          <w:szCs w:val="21"/>
          <w:highlight w:val="none"/>
        </w:rPr>
        <w:t>）与投标人存在劳动关系；</w:t>
      </w:r>
    </w:p>
    <w:p w14:paraId="50B2FFC2">
      <w:pPr>
        <w:numPr>
          <w:ilvl w:val="2"/>
          <w:numId w:val="10"/>
        </w:numPr>
        <w:snapToGrid w:val="0"/>
        <w:spacing w:line="360" w:lineRule="auto"/>
        <w:ind w:left="748" w:hanging="28"/>
        <w:rPr>
          <w:bCs/>
          <w:color w:val="auto"/>
          <w:sz w:val="21"/>
          <w:szCs w:val="21"/>
          <w:highlight w:val="none"/>
        </w:rPr>
      </w:pPr>
      <w:r>
        <w:rPr>
          <w:rFonts w:hint="eastAsia"/>
          <w:bCs/>
          <w:color w:val="auto"/>
          <w:sz w:val="21"/>
          <w:szCs w:val="21"/>
          <w:highlight w:val="none"/>
        </w:rPr>
        <w:t>参加采购活动前3年内（</w:t>
      </w:r>
      <w:r>
        <w:rPr>
          <w:rFonts w:hint="eastAsia"/>
          <w:color w:val="auto"/>
          <w:sz w:val="21"/>
          <w:szCs w:val="21"/>
          <w:highlight w:val="none"/>
        </w:rPr>
        <w:t>202</w:t>
      </w:r>
      <w:r>
        <w:rPr>
          <w:rFonts w:hint="eastAsia"/>
          <w:color w:val="auto"/>
          <w:sz w:val="21"/>
          <w:szCs w:val="21"/>
          <w:highlight w:val="none"/>
          <w:lang w:val="en-US" w:eastAsia="zh-CN"/>
        </w:rPr>
        <w:t>2</w:t>
      </w:r>
      <w:r>
        <w:rPr>
          <w:rFonts w:hint="eastAsia"/>
          <w:color w:val="auto"/>
          <w:sz w:val="21"/>
          <w:szCs w:val="21"/>
          <w:highlight w:val="none"/>
        </w:rPr>
        <w:t>年1月1日至提交投标文件截止日</w:t>
      </w:r>
      <w:r>
        <w:rPr>
          <w:rFonts w:hint="eastAsia"/>
          <w:bCs/>
          <w:color w:val="auto"/>
          <w:sz w:val="21"/>
          <w:szCs w:val="21"/>
          <w:highlight w:val="none"/>
        </w:rPr>
        <w:t>）担任投标人的董事、监事；</w:t>
      </w:r>
    </w:p>
    <w:p w14:paraId="2CA9A474">
      <w:pPr>
        <w:numPr>
          <w:ilvl w:val="2"/>
          <w:numId w:val="10"/>
        </w:numPr>
        <w:snapToGrid w:val="0"/>
        <w:spacing w:line="360" w:lineRule="auto"/>
        <w:ind w:left="748" w:hanging="28"/>
        <w:rPr>
          <w:bCs/>
          <w:color w:val="auto"/>
          <w:sz w:val="21"/>
          <w:szCs w:val="21"/>
          <w:highlight w:val="none"/>
        </w:rPr>
      </w:pPr>
      <w:r>
        <w:rPr>
          <w:rFonts w:hint="eastAsia"/>
          <w:bCs/>
          <w:color w:val="auto"/>
          <w:sz w:val="21"/>
          <w:szCs w:val="21"/>
          <w:highlight w:val="none"/>
        </w:rPr>
        <w:t>参加采购活动前3年内（</w:t>
      </w:r>
      <w:r>
        <w:rPr>
          <w:rFonts w:hint="eastAsia"/>
          <w:color w:val="auto"/>
          <w:sz w:val="21"/>
          <w:szCs w:val="21"/>
          <w:highlight w:val="none"/>
        </w:rPr>
        <w:t>202</w:t>
      </w:r>
      <w:r>
        <w:rPr>
          <w:rFonts w:hint="eastAsia"/>
          <w:color w:val="auto"/>
          <w:sz w:val="21"/>
          <w:szCs w:val="21"/>
          <w:highlight w:val="none"/>
          <w:lang w:val="en-US" w:eastAsia="zh-CN"/>
        </w:rPr>
        <w:t>2</w:t>
      </w:r>
      <w:r>
        <w:rPr>
          <w:rFonts w:hint="eastAsia"/>
          <w:color w:val="auto"/>
          <w:sz w:val="21"/>
          <w:szCs w:val="21"/>
          <w:highlight w:val="none"/>
        </w:rPr>
        <w:t>年1月1日至提交投标文件截止日</w:t>
      </w:r>
      <w:r>
        <w:rPr>
          <w:rFonts w:hint="eastAsia"/>
          <w:bCs/>
          <w:color w:val="auto"/>
          <w:sz w:val="21"/>
          <w:szCs w:val="21"/>
          <w:highlight w:val="none"/>
        </w:rPr>
        <w:t>）是投标人的控股股东或者实际控制人；</w:t>
      </w:r>
    </w:p>
    <w:p w14:paraId="72F1ABC0">
      <w:pPr>
        <w:numPr>
          <w:ilvl w:val="2"/>
          <w:numId w:val="10"/>
        </w:numPr>
        <w:snapToGrid w:val="0"/>
        <w:spacing w:line="360" w:lineRule="auto"/>
        <w:ind w:left="748" w:hanging="28"/>
        <w:rPr>
          <w:bCs/>
          <w:color w:val="auto"/>
          <w:sz w:val="21"/>
          <w:szCs w:val="21"/>
          <w:highlight w:val="none"/>
        </w:rPr>
      </w:pPr>
      <w:r>
        <w:rPr>
          <w:rFonts w:hint="eastAsia"/>
          <w:bCs/>
          <w:color w:val="auto"/>
          <w:sz w:val="21"/>
          <w:szCs w:val="21"/>
          <w:highlight w:val="none"/>
        </w:rPr>
        <w:t>与投标人的法定代表人或者负责人有夫妻、直系血亲、三代以内旁系血亲或者近姻亲关系；</w:t>
      </w:r>
    </w:p>
    <w:p w14:paraId="0B0F6785">
      <w:pPr>
        <w:numPr>
          <w:ilvl w:val="2"/>
          <w:numId w:val="10"/>
        </w:numPr>
        <w:snapToGrid w:val="0"/>
        <w:spacing w:line="360" w:lineRule="auto"/>
        <w:ind w:left="748" w:hanging="28"/>
        <w:rPr>
          <w:bCs/>
          <w:color w:val="auto"/>
          <w:sz w:val="21"/>
          <w:szCs w:val="21"/>
          <w:highlight w:val="none"/>
        </w:rPr>
      </w:pPr>
      <w:r>
        <w:rPr>
          <w:rFonts w:hint="eastAsia"/>
          <w:bCs/>
          <w:color w:val="auto"/>
          <w:sz w:val="21"/>
          <w:szCs w:val="21"/>
          <w:highlight w:val="none"/>
        </w:rPr>
        <w:t>与投标人有其他可能影响采购活动公平、公正进行的关系。</w:t>
      </w:r>
    </w:p>
    <w:p w14:paraId="3C039972">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评标委员会成员和参与评标的有关工作人员不得透露对投标文件的评审和比较以及与评标有关的其他情况。</w:t>
      </w:r>
    </w:p>
    <w:p w14:paraId="59115A6F">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评标委员会决定投标文件的响应性只根据投标文件本身的内容，而不寻找外部的证据，但投标有不真实不正确的内容时除外。对是否实质性响应招标文件的要求有争议的投标，评标委员会将以记名方式表决，得票超过半数的投标人有资格进入下一阶段的评审，否则将被视为无效投标。</w:t>
      </w:r>
    </w:p>
    <w:p w14:paraId="7B806132">
      <w:pPr>
        <w:numPr>
          <w:ilvl w:val="1"/>
          <w:numId w:val="10"/>
        </w:numPr>
        <w:tabs>
          <w:tab w:val="left" w:pos="720"/>
        </w:tabs>
        <w:snapToGrid w:val="0"/>
        <w:spacing w:line="360" w:lineRule="auto"/>
        <w:ind w:left="748"/>
        <w:rPr>
          <w:bCs/>
          <w:color w:val="auto"/>
          <w:sz w:val="21"/>
          <w:szCs w:val="21"/>
          <w:highlight w:val="none"/>
        </w:rPr>
      </w:pPr>
      <w:r>
        <w:rPr>
          <w:rFonts w:hint="eastAsia"/>
          <w:bCs/>
          <w:color w:val="auto"/>
          <w:sz w:val="21"/>
          <w:szCs w:val="21"/>
          <w:highlight w:val="none"/>
        </w:rPr>
        <w:t>在资格审查、符合性检查时，未能通过资格、符合性审查被认定为无效投标，具体条款详见招标文件《资格、符合性审查表》。</w:t>
      </w:r>
    </w:p>
    <w:p w14:paraId="32F008D6">
      <w:pPr>
        <w:numPr>
          <w:ilvl w:val="1"/>
          <w:numId w:val="10"/>
        </w:numPr>
        <w:tabs>
          <w:tab w:val="left" w:pos="720"/>
        </w:tabs>
        <w:snapToGrid w:val="0"/>
        <w:spacing w:line="360" w:lineRule="auto"/>
        <w:ind w:left="748"/>
        <w:rPr>
          <w:bCs/>
          <w:color w:val="auto"/>
          <w:sz w:val="21"/>
          <w:szCs w:val="21"/>
          <w:highlight w:val="none"/>
        </w:rPr>
      </w:pPr>
      <w:bookmarkStart w:id="95" w:name="_Toc26800381"/>
      <w:bookmarkStart w:id="96" w:name="_Toc43264551"/>
      <w:bookmarkStart w:id="97" w:name="_Toc368513800"/>
      <w:bookmarkStart w:id="98" w:name="_Toc37496261"/>
      <w:r>
        <w:rPr>
          <w:rFonts w:hint="eastAsia"/>
          <w:bCs/>
          <w:color w:val="auto"/>
          <w:sz w:val="21"/>
          <w:szCs w:val="21"/>
          <w:highlight w:val="none"/>
        </w:rPr>
        <w:t>通过资格审查、符合性检查的投标人不足三家时，招标人重新组织招标。</w:t>
      </w:r>
    </w:p>
    <w:p w14:paraId="48359528">
      <w:pPr>
        <w:tabs>
          <w:tab w:val="left" w:pos="720"/>
          <w:tab w:val="left" w:pos="992"/>
        </w:tabs>
        <w:snapToGrid w:val="0"/>
        <w:spacing w:line="360" w:lineRule="auto"/>
        <w:rPr>
          <w:b/>
          <w:bCs/>
          <w:color w:val="auto"/>
          <w:sz w:val="21"/>
          <w:szCs w:val="21"/>
          <w:highlight w:val="none"/>
        </w:rPr>
      </w:pPr>
    </w:p>
    <w:p w14:paraId="0A1D854F">
      <w:pPr>
        <w:numPr>
          <w:ilvl w:val="0"/>
          <w:numId w:val="0"/>
        </w:numPr>
        <w:spacing w:line="360" w:lineRule="auto"/>
        <w:ind w:left="0" w:firstLine="0"/>
        <w:jc w:val="center"/>
        <w:outlineLvl w:val="1"/>
        <w:rPr>
          <w:b/>
          <w:bCs/>
          <w:color w:val="auto"/>
          <w:sz w:val="21"/>
          <w:szCs w:val="21"/>
          <w:highlight w:val="none"/>
        </w:rPr>
      </w:pPr>
      <w:bookmarkStart w:id="99" w:name="_Toc86349448"/>
      <w:bookmarkStart w:id="100" w:name="_Toc29825797"/>
      <w:r>
        <w:rPr>
          <w:rFonts w:ascii="宋体" w:hAnsi="宋体" w:eastAsia="宋体" w:cs="宋体"/>
          <w:b/>
          <w:bCs/>
          <w:color w:val="auto"/>
          <w:kern w:val="0"/>
          <w:sz w:val="21"/>
          <w:szCs w:val="21"/>
          <w:highlight w:val="none"/>
          <w:lang w:val="zh-CN" w:eastAsia="zh-CN" w:bidi="zh-CN"/>
        </w:rPr>
        <w:t>七、</w:t>
      </w:r>
      <w:r>
        <w:rPr>
          <w:rFonts w:hint="eastAsia"/>
          <w:b/>
          <w:bCs/>
          <w:color w:val="auto"/>
          <w:sz w:val="21"/>
          <w:szCs w:val="21"/>
          <w:highlight w:val="none"/>
        </w:rPr>
        <w:t>关于定标</w:t>
      </w:r>
      <w:bookmarkEnd w:id="95"/>
      <w:bookmarkEnd w:id="96"/>
      <w:bookmarkEnd w:id="97"/>
      <w:bookmarkEnd w:id="98"/>
      <w:bookmarkEnd w:id="99"/>
      <w:bookmarkEnd w:id="100"/>
    </w:p>
    <w:p w14:paraId="1B76C4F7">
      <w:pPr>
        <w:numPr>
          <w:ilvl w:val="0"/>
          <w:numId w:val="11"/>
        </w:numPr>
        <w:snapToGrid w:val="0"/>
        <w:spacing w:before="240" w:beforeLines="100" w:line="360" w:lineRule="auto"/>
        <w:outlineLvl w:val="2"/>
        <w:rPr>
          <w:b/>
          <w:bCs/>
          <w:color w:val="auto"/>
          <w:sz w:val="21"/>
          <w:szCs w:val="21"/>
          <w:highlight w:val="none"/>
        </w:rPr>
      </w:pPr>
      <w:bookmarkStart w:id="101" w:name="_Toc368513801"/>
      <w:bookmarkStart w:id="102" w:name="_Toc86349449"/>
      <w:r>
        <w:rPr>
          <w:rFonts w:hint="eastAsia"/>
          <w:b/>
          <w:bCs/>
          <w:color w:val="auto"/>
          <w:sz w:val="21"/>
          <w:szCs w:val="21"/>
          <w:highlight w:val="none"/>
        </w:rPr>
        <w:t>中标候选人的推荐</w:t>
      </w:r>
      <w:bookmarkEnd w:id="101"/>
      <w:bookmarkEnd w:id="102"/>
    </w:p>
    <w:p w14:paraId="5971CF06">
      <w:pPr>
        <w:numPr>
          <w:ilvl w:val="1"/>
          <w:numId w:val="11"/>
        </w:numPr>
        <w:snapToGrid w:val="0"/>
        <w:spacing w:line="360" w:lineRule="auto"/>
        <w:ind w:left="748"/>
        <w:rPr>
          <w:bCs/>
          <w:color w:val="auto"/>
          <w:sz w:val="21"/>
          <w:szCs w:val="21"/>
          <w:highlight w:val="none"/>
        </w:rPr>
      </w:pPr>
      <w:r>
        <w:rPr>
          <w:rFonts w:hint="eastAsia"/>
          <w:bCs/>
          <w:color w:val="auto"/>
          <w:sz w:val="21"/>
          <w:szCs w:val="21"/>
          <w:highlight w:val="none"/>
        </w:rPr>
        <w:t>除</w:t>
      </w:r>
      <w:r>
        <w:rPr>
          <w:rFonts w:hint="eastAsia"/>
          <w:color w:val="auto"/>
          <w:sz w:val="21"/>
          <w:highlight w:val="none"/>
        </w:rPr>
        <w:t>投标须知前附表第11、12项另有规定外，</w:t>
      </w:r>
      <w:r>
        <w:rPr>
          <w:rFonts w:hint="eastAsia"/>
          <w:bCs/>
          <w:color w:val="auto"/>
          <w:sz w:val="21"/>
          <w:szCs w:val="21"/>
          <w:highlight w:val="none"/>
        </w:rPr>
        <w:t>评标委员会结合技术部分</w:t>
      </w:r>
      <w:r>
        <w:rPr>
          <w:rFonts w:hint="eastAsia"/>
          <w:bCs/>
          <w:color w:val="auto"/>
          <w:sz w:val="21"/>
          <w:szCs w:val="21"/>
          <w:highlight w:val="none"/>
          <w:lang w:val="en-US"/>
        </w:rPr>
        <w:t>和</w:t>
      </w:r>
      <w:r>
        <w:rPr>
          <w:rFonts w:hint="eastAsia"/>
          <w:bCs/>
          <w:color w:val="auto"/>
          <w:sz w:val="21"/>
          <w:szCs w:val="21"/>
          <w:highlight w:val="none"/>
        </w:rPr>
        <w:t>商务部分的评估结果进行综合评估，编写书面的评标报告，按顺序推荐综合得分第一名的投标人为第一中标候选人，得分第二名的投标人为第二中标候选人，依此原则类推。</w:t>
      </w:r>
    </w:p>
    <w:p w14:paraId="6ED8AD06">
      <w:pPr>
        <w:numPr>
          <w:ilvl w:val="1"/>
          <w:numId w:val="11"/>
        </w:numPr>
        <w:snapToGrid w:val="0"/>
        <w:spacing w:line="360" w:lineRule="auto"/>
        <w:ind w:left="748"/>
        <w:rPr>
          <w:bCs/>
          <w:color w:val="auto"/>
          <w:sz w:val="21"/>
          <w:szCs w:val="21"/>
          <w:highlight w:val="none"/>
        </w:rPr>
      </w:pPr>
      <w:r>
        <w:rPr>
          <w:rFonts w:hint="eastAsia"/>
          <w:bCs/>
          <w:color w:val="auto"/>
          <w:sz w:val="21"/>
          <w:szCs w:val="21"/>
          <w:highlight w:val="none"/>
        </w:rPr>
        <w:t>除</w:t>
      </w:r>
      <w:r>
        <w:rPr>
          <w:rFonts w:hint="eastAsia"/>
          <w:color w:val="auto"/>
          <w:sz w:val="21"/>
          <w:highlight w:val="none"/>
        </w:rPr>
        <w:t>投标须知前附表另有规定外，</w:t>
      </w:r>
      <w:r>
        <w:rPr>
          <w:rFonts w:hint="eastAsia"/>
          <w:color w:val="auto"/>
          <w:sz w:val="21"/>
          <w:szCs w:val="21"/>
          <w:highlight w:val="none"/>
        </w:rPr>
        <w:t>综合得分相同的，名次按技术评分由高到低顺序排列；综合得分相同且技术评分相同的，名次按</w:t>
      </w:r>
      <w:r>
        <w:rPr>
          <w:rFonts w:hint="eastAsia"/>
          <w:color w:val="auto"/>
          <w:sz w:val="21"/>
          <w:szCs w:val="21"/>
          <w:highlight w:val="none"/>
          <w:lang w:val="en-US"/>
        </w:rPr>
        <w:t>商务</w:t>
      </w:r>
      <w:r>
        <w:rPr>
          <w:rFonts w:hint="eastAsia"/>
          <w:color w:val="auto"/>
          <w:sz w:val="21"/>
          <w:szCs w:val="21"/>
          <w:highlight w:val="none"/>
        </w:rPr>
        <w:t>评分由低到高顺序排列；综合得分相同、</w:t>
      </w:r>
      <w:r>
        <w:rPr>
          <w:rFonts w:hint="eastAsia"/>
          <w:color w:val="auto"/>
          <w:sz w:val="21"/>
          <w:szCs w:val="21"/>
          <w:highlight w:val="none"/>
          <w:lang w:val="en-US"/>
        </w:rPr>
        <w:t>商务评分</w:t>
      </w:r>
      <w:r>
        <w:rPr>
          <w:rFonts w:hint="eastAsia"/>
          <w:color w:val="auto"/>
          <w:sz w:val="21"/>
          <w:szCs w:val="21"/>
          <w:highlight w:val="none"/>
        </w:rPr>
        <w:t>和技术评分均相同的，名次由评标委员会商议确定。</w:t>
      </w:r>
    </w:p>
    <w:p w14:paraId="7F22904B">
      <w:pPr>
        <w:numPr>
          <w:ilvl w:val="0"/>
          <w:numId w:val="11"/>
        </w:numPr>
        <w:snapToGrid w:val="0"/>
        <w:spacing w:before="240" w:beforeLines="100" w:line="360" w:lineRule="auto"/>
        <w:outlineLvl w:val="2"/>
        <w:rPr>
          <w:b/>
          <w:bCs/>
          <w:color w:val="auto"/>
          <w:sz w:val="21"/>
          <w:szCs w:val="21"/>
          <w:highlight w:val="none"/>
        </w:rPr>
      </w:pPr>
      <w:bookmarkStart w:id="103" w:name="_Toc86349450"/>
      <w:r>
        <w:rPr>
          <w:rFonts w:hint="eastAsia"/>
          <w:b/>
          <w:bCs/>
          <w:color w:val="auto"/>
          <w:sz w:val="21"/>
          <w:szCs w:val="21"/>
          <w:highlight w:val="none"/>
        </w:rPr>
        <w:t>采购结果</w:t>
      </w:r>
      <w:bookmarkEnd w:id="103"/>
    </w:p>
    <w:p w14:paraId="14AC3534">
      <w:pPr>
        <w:numPr>
          <w:ilvl w:val="1"/>
          <w:numId w:val="11"/>
        </w:numPr>
        <w:snapToGrid w:val="0"/>
        <w:spacing w:line="360" w:lineRule="auto"/>
        <w:ind w:left="748"/>
        <w:rPr>
          <w:color w:val="auto"/>
          <w:sz w:val="21"/>
          <w:szCs w:val="21"/>
          <w:highlight w:val="none"/>
        </w:rPr>
      </w:pPr>
      <w:bookmarkStart w:id="104" w:name="_Toc368513803"/>
      <w:r>
        <w:rPr>
          <w:rFonts w:hint="eastAsia"/>
          <w:color w:val="auto"/>
          <w:sz w:val="21"/>
          <w:szCs w:val="21"/>
          <w:highlight w:val="none"/>
          <w:lang w:eastAsia="zh-CN"/>
        </w:rPr>
        <w:t>招标代理机构</w:t>
      </w:r>
      <w:r>
        <w:rPr>
          <w:rFonts w:hint="eastAsia"/>
          <w:color w:val="auto"/>
          <w:sz w:val="21"/>
          <w:szCs w:val="21"/>
          <w:highlight w:val="none"/>
        </w:rPr>
        <w:t>自评审结束之日起2个工作日内将评审报告和推荐中标意见送交</w:t>
      </w:r>
      <w:r>
        <w:rPr>
          <w:rFonts w:hint="eastAsia"/>
          <w:color w:val="auto"/>
          <w:sz w:val="21"/>
          <w:szCs w:val="21"/>
          <w:highlight w:val="none"/>
          <w:lang w:eastAsia="zh-CN"/>
        </w:rPr>
        <w:t>招标人</w:t>
      </w:r>
      <w:r>
        <w:rPr>
          <w:rFonts w:hint="eastAsia"/>
          <w:color w:val="auto"/>
          <w:sz w:val="21"/>
          <w:szCs w:val="21"/>
          <w:highlight w:val="none"/>
        </w:rPr>
        <w:t>。</w:t>
      </w:r>
      <w:r>
        <w:rPr>
          <w:rFonts w:hint="eastAsia"/>
          <w:color w:val="auto"/>
          <w:sz w:val="21"/>
          <w:szCs w:val="21"/>
          <w:highlight w:val="none"/>
          <w:lang w:eastAsia="zh-CN"/>
        </w:rPr>
        <w:t>招标人</w:t>
      </w:r>
      <w:r>
        <w:rPr>
          <w:rFonts w:hint="eastAsia"/>
          <w:color w:val="auto"/>
          <w:sz w:val="21"/>
          <w:szCs w:val="21"/>
          <w:highlight w:val="none"/>
        </w:rPr>
        <w:t>自收到评审报告之日起5个工作日内在评审报告推荐的中标候选人中按顺序确定中标供应商。经</w:t>
      </w:r>
      <w:r>
        <w:rPr>
          <w:rFonts w:hint="eastAsia"/>
          <w:color w:val="auto"/>
          <w:sz w:val="21"/>
          <w:szCs w:val="21"/>
          <w:highlight w:val="none"/>
          <w:lang w:eastAsia="zh-CN"/>
        </w:rPr>
        <w:t>招标人</w:t>
      </w:r>
      <w:r>
        <w:rPr>
          <w:rFonts w:hint="eastAsia"/>
          <w:color w:val="auto"/>
          <w:sz w:val="21"/>
          <w:szCs w:val="21"/>
          <w:highlight w:val="none"/>
        </w:rPr>
        <w:t>确认后，</w:t>
      </w:r>
      <w:r>
        <w:rPr>
          <w:rFonts w:hint="eastAsia"/>
          <w:color w:val="auto"/>
          <w:sz w:val="21"/>
          <w:szCs w:val="21"/>
          <w:highlight w:val="none"/>
          <w:lang w:eastAsia="zh-CN"/>
        </w:rPr>
        <w:t>招标代理机构</w:t>
      </w:r>
      <w:r>
        <w:rPr>
          <w:rFonts w:hint="eastAsia"/>
          <w:color w:val="auto"/>
          <w:sz w:val="21"/>
          <w:szCs w:val="21"/>
          <w:highlight w:val="none"/>
        </w:rPr>
        <w:t>在2个工作日内将中标公告在规定的媒体上进行发布。</w:t>
      </w:r>
    </w:p>
    <w:p w14:paraId="34B799AA">
      <w:pPr>
        <w:numPr>
          <w:ilvl w:val="0"/>
          <w:numId w:val="11"/>
        </w:numPr>
        <w:snapToGrid w:val="0"/>
        <w:spacing w:before="240" w:beforeLines="100" w:line="360" w:lineRule="auto"/>
        <w:outlineLvl w:val="2"/>
        <w:rPr>
          <w:b/>
          <w:bCs/>
          <w:color w:val="auto"/>
          <w:sz w:val="21"/>
          <w:szCs w:val="21"/>
          <w:highlight w:val="none"/>
        </w:rPr>
      </w:pPr>
      <w:bookmarkStart w:id="105" w:name="_Toc86349451"/>
      <w:r>
        <w:rPr>
          <w:rFonts w:hint="eastAsia"/>
          <w:b/>
          <w:bCs/>
          <w:color w:val="auto"/>
          <w:sz w:val="21"/>
          <w:szCs w:val="21"/>
          <w:highlight w:val="none"/>
        </w:rPr>
        <w:t>中标通知书</w:t>
      </w:r>
      <w:bookmarkEnd w:id="104"/>
      <w:bookmarkEnd w:id="105"/>
    </w:p>
    <w:p w14:paraId="72F73873">
      <w:pPr>
        <w:numPr>
          <w:ilvl w:val="1"/>
          <w:numId w:val="11"/>
        </w:numPr>
        <w:snapToGrid w:val="0"/>
        <w:spacing w:line="360" w:lineRule="auto"/>
        <w:ind w:left="748"/>
        <w:rPr>
          <w:bCs/>
          <w:color w:val="auto"/>
          <w:sz w:val="21"/>
          <w:szCs w:val="21"/>
          <w:highlight w:val="none"/>
        </w:rPr>
      </w:pPr>
      <w:r>
        <w:rPr>
          <w:rFonts w:hint="eastAsia"/>
          <w:bCs/>
          <w:color w:val="auto"/>
          <w:sz w:val="21"/>
          <w:szCs w:val="21"/>
          <w:highlight w:val="none"/>
        </w:rPr>
        <w:t>招标代理机构在规定的媒体上发布中标结果公告的同时，向中标人发出《中标通知书》。</w:t>
      </w:r>
    </w:p>
    <w:p w14:paraId="65996B30">
      <w:pPr>
        <w:numPr>
          <w:ilvl w:val="1"/>
          <w:numId w:val="11"/>
        </w:numPr>
        <w:snapToGrid w:val="0"/>
        <w:spacing w:line="360" w:lineRule="auto"/>
        <w:ind w:left="748"/>
        <w:rPr>
          <w:bCs/>
          <w:color w:val="auto"/>
          <w:sz w:val="21"/>
          <w:szCs w:val="21"/>
          <w:highlight w:val="none"/>
        </w:rPr>
      </w:pPr>
      <w:r>
        <w:rPr>
          <w:rFonts w:hint="eastAsia"/>
          <w:bCs/>
          <w:color w:val="auto"/>
          <w:sz w:val="21"/>
          <w:szCs w:val="21"/>
          <w:highlight w:val="none"/>
        </w:rPr>
        <w:t>《中标通知书》是该项目中标确认合同的法定组成部分，对招标人和中标人具有法律效力。《中标通知书》发出后，招标人改变中标结果的，或者中标人放弃中标项目的，应当依法承担法律责任。</w:t>
      </w:r>
    </w:p>
    <w:p w14:paraId="5AA8A5D1">
      <w:pPr>
        <w:snapToGrid w:val="0"/>
        <w:spacing w:line="360" w:lineRule="auto"/>
        <w:ind w:left="181"/>
        <w:rPr>
          <w:bCs/>
          <w:color w:val="auto"/>
          <w:sz w:val="21"/>
          <w:szCs w:val="21"/>
          <w:highlight w:val="none"/>
        </w:rPr>
      </w:pPr>
    </w:p>
    <w:p w14:paraId="6243F424">
      <w:pPr>
        <w:pStyle w:val="7"/>
        <w:rPr>
          <w:bCs/>
          <w:color w:val="auto"/>
          <w:sz w:val="21"/>
          <w:szCs w:val="21"/>
          <w:highlight w:val="none"/>
        </w:rPr>
      </w:pPr>
    </w:p>
    <w:p w14:paraId="0A08F02B">
      <w:pPr>
        <w:pStyle w:val="7"/>
        <w:rPr>
          <w:bCs/>
          <w:color w:val="auto"/>
          <w:sz w:val="21"/>
          <w:szCs w:val="21"/>
          <w:highlight w:val="none"/>
        </w:rPr>
      </w:pPr>
    </w:p>
    <w:p w14:paraId="64415EC6">
      <w:pPr>
        <w:numPr>
          <w:ilvl w:val="0"/>
          <w:numId w:val="0"/>
        </w:numPr>
        <w:spacing w:line="360" w:lineRule="auto"/>
        <w:ind w:left="0" w:firstLine="0"/>
        <w:jc w:val="center"/>
        <w:outlineLvl w:val="1"/>
        <w:rPr>
          <w:b/>
          <w:bCs/>
          <w:color w:val="auto"/>
          <w:sz w:val="21"/>
          <w:szCs w:val="21"/>
          <w:highlight w:val="none"/>
          <w:u w:val="single"/>
        </w:rPr>
      </w:pPr>
      <w:bookmarkStart w:id="106" w:name="_Toc86349452"/>
      <w:bookmarkStart w:id="107" w:name="_Toc29825798"/>
      <w:r>
        <w:rPr>
          <w:rFonts w:ascii="宋体" w:hAnsi="宋体" w:eastAsia="宋体" w:cs="宋体"/>
          <w:b/>
          <w:bCs/>
          <w:color w:val="auto"/>
          <w:kern w:val="0"/>
          <w:sz w:val="21"/>
          <w:szCs w:val="21"/>
          <w:highlight w:val="none"/>
          <w:lang w:val="zh-CN" w:eastAsia="zh-CN" w:bidi="zh-CN"/>
        </w:rPr>
        <w:t>八、</w:t>
      </w:r>
      <w:r>
        <w:rPr>
          <w:rFonts w:hint="eastAsia"/>
          <w:b/>
          <w:bCs/>
          <w:color w:val="auto"/>
          <w:sz w:val="21"/>
          <w:szCs w:val="21"/>
          <w:highlight w:val="none"/>
          <w:u w:val="single"/>
        </w:rPr>
        <w:t>关于无效投标的认定和废标</w:t>
      </w:r>
      <w:bookmarkEnd w:id="106"/>
      <w:bookmarkEnd w:id="107"/>
    </w:p>
    <w:p w14:paraId="1D2DCFCF">
      <w:pPr>
        <w:numPr>
          <w:ilvl w:val="0"/>
          <w:numId w:val="12"/>
        </w:numPr>
        <w:tabs>
          <w:tab w:val="left" w:pos="720"/>
        </w:tabs>
        <w:snapToGrid w:val="0"/>
        <w:spacing w:before="240" w:beforeLines="100" w:line="360" w:lineRule="auto"/>
        <w:outlineLvl w:val="2"/>
        <w:rPr>
          <w:b/>
          <w:bCs/>
          <w:color w:val="auto"/>
          <w:sz w:val="21"/>
          <w:szCs w:val="21"/>
          <w:highlight w:val="none"/>
          <w:u w:val="single"/>
        </w:rPr>
      </w:pPr>
      <w:bookmarkStart w:id="108" w:name="_Toc86349453"/>
      <w:r>
        <w:rPr>
          <w:rFonts w:hint="eastAsia"/>
          <w:b/>
          <w:bCs/>
          <w:color w:val="auto"/>
          <w:sz w:val="21"/>
          <w:szCs w:val="21"/>
          <w:highlight w:val="none"/>
          <w:u w:val="single"/>
        </w:rPr>
        <w:t>投标文件属下列情况之一的，应当按照无效投标处理：</w:t>
      </w:r>
      <w:bookmarkEnd w:id="108"/>
      <w:r>
        <w:rPr>
          <w:rFonts w:hint="eastAsia"/>
          <w:b/>
          <w:bCs/>
          <w:color w:val="auto"/>
          <w:sz w:val="21"/>
          <w:szCs w:val="21"/>
          <w:highlight w:val="none"/>
          <w:u w:val="single"/>
        </w:rPr>
        <w:t xml:space="preserve"> </w:t>
      </w:r>
    </w:p>
    <w:p w14:paraId="45A8562E">
      <w:pPr>
        <w:numPr>
          <w:ilvl w:val="1"/>
          <w:numId w:val="12"/>
        </w:numPr>
        <w:tabs>
          <w:tab w:val="left" w:pos="720"/>
        </w:tabs>
        <w:snapToGrid w:val="0"/>
        <w:spacing w:line="360" w:lineRule="auto"/>
        <w:ind w:left="748"/>
        <w:rPr>
          <w:b/>
          <w:bCs/>
          <w:color w:val="auto"/>
          <w:sz w:val="21"/>
          <w:szCs w:val="21"/>
          <w:highlight w:val="none"/>
          <w:u w:val="single"/>
        </w:rPr>
      </w:pPr>
      <w:r>
        <w:rPr>
          <w:rFonts w:hint="eastAsia"/>
          <w:b/>
          <w:bCs/>
          <w:color w:val="auto"/>
          <w:sz w:val="21"/>
          <w:szCs w:val="21"/>
          <w:highlight w:val="none"/>
          <w:u w:val="single"/>
        </w:rPr>
        <w:t>投标文件未按照招标文件规定要求签署、盖章。</w:t>
      </w:r>
    </w:p>
    <w:p w14:paraId="2EA41BDC">
      <w:pPr>
        <w:numPr>
          <w:ilvl w:val="1"/>
          <w:numId w:val="12"/>
        </w:numPr>
        <w:tabs>
          <w:tab w:val="left" w:pos="720"/>
        </w:tabs>
        <w:snapToGrid w:val="0"/>
        <w:spacing w:line="360" w:lineRule="auto"/>
        <w:ind w:left="748"/>
        <w:rPr>
          <w:b/>
          <w:bCs/>
          <w:color w:val="auto"/>
          <w:sz w:val="21"/>
          <w:szCs w:val="21"/>
          <w:highlight w:val="none"/>
          <w:u w:val="single"/>
        </w:rPr>
      </w:pPr>
      <w:r>
        <w:rPr>
          <w:rFonts w:hint="eastAsia"/>
          <w:b/>
          <w:bCs/>
          <w:color w:val="auto"/>
          <w:sz w:val="21"/>
          <w:szCs w:val="21"/>
          <w:highlight w:val="none"/>
          <w:u w:val="single"/>
        </w:rPr>
        <w:t>不具备招标文件中规定的资格要求。</w:t>
      </w:r>
    </w:p>
    <w:p w14:paraId="275CCC58">
      <w:pPr>
        <w:numPr>
          <w:ilvl w:val="1"/>
          <w:numId w:val="12"/>
        </w:numPr>
        <w:tabs>
          <w:tab w:val="left" w:pos="720"/>
        </w:tabs>
        <w:snapToGrid w:val="0"/>
        <w:spacing w:line="360" w:lineRule="auto"/>
        <w:ind w:left="748"/>
        <w:rPr>
          <w:b/>
          <w:bCs/>
          <w:color w:val="auto"/>
          <w:sz w:val="21"/>
          <w:szCs w:val="21"/>
          <w:highlight w:val="none"/>
          <w:u w:val="single"/>
        </w:rPr>
      </w:pPr>
      <w:r>
        <w:rPr>
          <w:rFonts w:hint="eastAsia"/>
          <w:b/>
          <w:bCs/>
          <w:color w:val="auto"/>
          <w:sz w:val="21"/>
          <w:szCs w:val="21"/>
          <w:highlight w:val="none"/>
          <w:u w:val="single"/>
        </w:rPr>
        <w:t>不满足招标文件中标注“★”的条款。</w:t>
      </w:r>
    </w:p>
    <w:p w14:paraId="00EFE3BB">
      <w:pPr>
        <w:numPr>
          <w:ilvl w:val="0"/>
          <w:numId w:val="12"/>
        </w:numPr>
        <w:tabs>
          <w:tab w:val="left" w:pos="720"/>
        </w:tabs>
        <w:snapToGrid w:val="0"/>
        <w:spacing w:before="240" w:beforeLines="100" w:line="360" w:lineRule="auto"/>
        <w:outlineLvl w:val="2"/>
        <w:rPr>
          <w:b/>
          <w:bCs/>
          <w:color w:val="auto"/>
          <w:sz w:val="21"/>
          <w:szCs w:val="21"/>
          <w:highlight w:val="none"/>
          <w:u w:val="single"/>
        </w:rPr>
      </w:pPr>
      <w:bookmarkStart w:id="109" w:name="_Toc86349454"/>
      <w:r>
        <w:rPr>
          <w:rFonts w:hint="eastAsia"/>
          <w:b/>
          <w:bCs/>
          <w:color w:val="auto"/>
          <w:sz w:val="21"/>
          <w:szCs w:val="21"/>
          <w:highlight w:val="none"/>
          <w:u w:val="single"/>
        </w:rPr>
        <w:t>有下列情况之一出现，将视为招标失败或废标：</w:t>
      </w:r>
      <w:bookmarkEnd w:id="109"/>
    </w:p>
    <w:p w14:paraId="2C869EBF">
      <w:pPr>
        <w:numPr>
          <w:ilvl w:val="1"/>
          <w:numId w:val="12"/>
        </w:numPr>
        <w:tabs>
          <w:tab w:val="left" w:pos="720"/>
        </w:tabs>
        <w:snapToGrid w:val="0"/>
        <w:spacing w:line="360" w:lineRule="auto"/>
        <w:ind w:left="748"/>
        <w:rPr>
          <w:b/>
          <w:bCs/>
          <w:color w:val="auto"/>
          <w:sz w:val="21"/>
          <w:szCs w:val="21"/>
          <w:highlight w:val="none"/>
          <w:u w:val="single"/>
        </w:rPr>
      </w:pPr>
      <w:r>
        <w:rPr>
          <w:rFonts w:hint="eastAsia"/>
          <w:b/>
          <w:bCs/>
          <w:color w:val="auto"/>
          <w:sz w:val="21"/>
          <w:szCs w:val="21"/>
          <w:highlight w:val="none"/>
          <w:u w:val="single"/>
        </w:rPr>
        <w:t>通过资格、符合性审查的投标人不足三家的；</w:t>
      </w:r>
    </w:p>
    <w:p w14:paraId="592B0A64">
      <w:pPr>
        <w:numPr>
          <w:ilvl w:val="1"/>
          <w:numId w:val="12"/>
        </w:numPr>
        <w:tabs>
          <w:tab w:val="left" w:pos="720"/>
        </w:tabs>
        <w:snapToGrid w:val="0"/>
        <w:spacing w:line="360" w:lineRule="auto"/>
        <w:ind w:left="748"/>
        <w:rPr>
          <w:b/>
          <w:bCs/>
          <w:color w:val="auto"/>
          <w:sz w:val="21"/>
          <w:szCs w:val="21"/>
          <w:highlight w:val="none"/>
          <w:u w:val="single"/>
        </w:rPr>
      </w:pPr>
      <w:r>
        <w:rPr>
          <w:rFonts w:hint="eastAsia"/>
          <w:b/>
          <w:bCs/>
          <w:color w:val="auto"/>
          <w:sz w:val="21"/>
          <w:szCs w:val="21"/>
          <w:highlight w:val="none"/>
          <w:u w:val="single"/>
        </w:rPr>
        <w:t>出现影响采购公正的违法、违规行为的；</w:t>
      </w:r>
    </w:p>
    <w:p w14:paraId="33028BAC">
      <w:pPr>
        <w:numPr>
          <w:ilvl w:val="1"/>
          <w:numId w:val="12"/>
        </w:numPr>
        <w:tabs>
          <w:tab w:val="left" w:pos="720"/>
        </w:tabs>
        <w:snapToGrid w:val="0"/>
        <w:spacing w:line="360" w:lineRule="auto"/>
        <w:ind w:left="748"/>
        <w:rPr>
          <w:b/>
          <w:bCs/>
          <w:color w:val="auto"/>
          <w:sz w:val="21"/>
          <w:szCs w:val="21"/>
          <w:highlight w:val="none"/>
          <w:u w:val="single"/>
        </w:rPr>
      </w:pPr>
      <w:r>
        <w:rPr>
          <w:rFonts w:hint="eastAsia"/>
          <w:b/>
          <w:bCs/>
          <w:color w:val="auto"/>
          <w:sz w:val="21"/>
          <w:szCs w:val="21"/>
          <w:highlight w:val="none"/>
          <w:u w:val="single"/>
        </w:rPr>
        <w:t>因重大变故，采购任务取消的。</w:t>
      </w:r>
    </w:p>
    <w:p w14:paraId="197875C1">
      <w:pPr>
        <w:numPr>
          <w:ilvl w:val="0"/>
          <w:numId w:val="12"/>
        </w:numPr>
        <w:tabs>
          <w:tab w:val="left" w:pos="720"/>
        </w:tabs>
        <w:snapToGrid w:val="0"/>
        <w:spacing w:before="240" w:beforeLines="100" w:line="360" w:lineRule="auto"/>
        <w:outlineLvl w:val="2"/>
        <w:rPr>
          <w:b/>
          <w:bCs/>
          <w:color w:val="auto"/>
          <w:sz w:val="21"/>
          <w:szCs w:val="21"/>
          <w:highlight w:val="none"/>
          <w:u w:val="single"/>
        </w:rPr>
      </w:pPr>
      <w:bookmarkStart w:id="110" w:name="_Toc86349455"/>
      <w:r>
        <w:rPr>
          <w:rFonts w:hint="eastAsia"/>
          <w:b/>
          <w:bCs/>
          <w:color w:val="auto"/>
          <w:sz w:val="21"/>
          <w:szCs w:val="21"/>
          <w:highlight w:val="none"/>
          <w:u w:val="single"/>
        </w:rPr>
        <w:t>有下列情形之一的，视为投标人串通投标，其投标无效：</w:t>
      </w:r>
      <w:bookmarkEnd w:id="110"/>
    </w:p>
    <w:p w14:paraId="6D282260">
      <w:pPr>
        <w:numPr>
          <w:ilvl w:val="1"/>
          <w:numId w:val="12"/>
        </w:numPr>
        <w:tabs>
          <w:tab w:val="left" w:pos="720"/>
        </w:tabs>
        <w:snapToGrid w:val="0"/>
        <w:spacing w:line="360" w:lineRule="auto"/>
        <w:ind w:left="748"/>
        <w:rPr>
          <w:b/>
          <w:bCs/>
          <w:color w:val="auto"/>
          <w:sz w:val="21"/>
          <w:szCs w:val="21"/>
          <w:highlight w:val="none"/>
          <w:u w:val="single"/>
        </w:rPr>
      </w:pPr>
      <w:r>
        <w:rPr>
          <w:rFonts w:hint="eastAsia"/>
          <w:b/>
          <w:bCs/>
          <w:color w:val="auto"/>
          <w:sz w:val="21"/>
          <w:szCs w:val="21"/>
          <w:highlight w:val="none"/>
          <w:u w:val="single"/>
        </w:rPr>
        <w:t>不同投标人的投标文件由同一单位或者个人编制；</w:t>
      </w:r>
    </w:p>
    <w:p w14:paraId="4186FB2A">
      <w:pPr>
        <w:numPr>
          <w:ilvl w:val="1"/>
          <w:numId w:val="12"/>
        </w:numPr>
        <w:tabs>
          <w:tab w:val="left" w:pos="720"/>
        </w:tabs>
        <w:snapToGrid w:val="0"/>
        <w:spacing w:line="360" w:lineRule="auto"/>
        <w:ind w:left="748"/>
        <w:rPr>
          <w:b/>
          <w:bCs/>
          <w:color w:val="auto"/>
          <w:sz w:val="21"/>
          <w:szCs w:val="21"/>
          <w:highlight w:val="none"/>
          <w:u w:val="single"/>
        </w:rPr>
      </w:pPr>
      <w:r>
        <w:rPr>
          <w:rFonts w:hint="eastAsia"/>
          <w:b/>
          <w:bCs/>
          <w:color w:val="auto"/>
          <w:sz w:val="21"/>
          <w:szCs w:val="21"/>
          <w:highlight w:val="none"/>
          <w:u w:val="single"/>
        </w:rPr>
        <w:t>不同投标人委托同一单位或者个人办理投标事宜；</w:t>
      </w:r>
    </w:p>
    <w:p w14:paraId="13899D68">
      <w:pPr>
        <w:numPr>
          <w:ilvl w:val="1"/>
          <w:numId w:val="12"/>
        </w:numPr>
        <w:tabs>
          <w:tab w:val="left" w:pos="720"/>
        </w:tabs>
        <w:snapToGrid w:val="0"/>
        <w:spacing w:line="360" w:lineRule="auto"/>
        <w:ind w:left="748"/>
        <w:rPr>
          <w:b/>
          <w:bCs/>
          <w:color w:val="auto"/>
          <w:sz w:val="21"/>
          <w:szCs w:val="21"/>
          <w:highlight w:val="none"/>
          <w:u w:val="single"/>
        </w:rPr>
      </w:pPr>
      <w:r>
        <w:rPr>
          <w:rFonts w:hint="eastAsia"/>
          <w:b/>
          <w:bCs/>
          <w:color w:val="auto"/>
          <w:sz w:val="21"/>
          <w:szCs w:val="21"/>
          <w:highlight w:val="none"/>
          <w:u w:val="single"/>
        </w:rPr>
        <w:t>不同投标人的投标文件载明的项目管理成员或者联系人员为同一人；</w:t>
      </w:r>
    </w:p>
    <w:p w14:paraId="4DFB465E">
      <w:pPr>
        <w:numPr>
          <w:ilvl w:val="1"/>
          <w:numId w:val="12"/>
        </w:numPr>
        <w:tabs>
          <w:tab w:val="left" w:pos="720"/>
        </w:tabs>
        <w:snapToGrid w:val="0"/>
        <w:spacing w:line="360" w:lineRule="auto"/>
        <w:ind w:left="748"/>
        <w:rPr>
          <w:b/>
          <w:bCs/>
          <w:color w:val="auto"/>
          <w:sz w:val="21"/>
          <w:szCs w:val="21"/>
          <w:highlight w:val="none"/>
          <w:u w:val="single"/>
        </w:rPr>
      </w:pPr>
      <w:r>
        <w:rPr>
          <w:rFonts w:hint="eastAsia"/>
          <w:b/>
          <w:bCs/>
          <w:color w:val="auto"/>
          <w:sz w:val="21"/>
          <w:szCs w:val="21"/>
          <w:highlight w:val="none"/>
          <w:u w:val="single"/>
        </w:rPr>
        <w:t>不同投标人的投标文件相互混装；</w:t>
      </w:r>
    </w:p>
    <w:p w14:paraId="77809056">
      <w:pPr>
        <w:tabs>
          <w:tab w:val="left" w:pos="720"/>
        </w:tabs>
        <w:snapToGrid w:val="0"/>
        <w:spacing w:line="360" w:lineRule="auto"/>
        <w:ind w:left="181"/>
        <w:rPr>
          <w:b/>
          <w:bCs/>
          <w:color w:val="auto"/>
          <w:sz w:val="21"/>
          <w:szCs w:val="21"/>
          <w:highlight w:val="none"/>
          <w:u w:val="single"/>
        </w:rPr>
      </w:pPr>
    </w:p>
    <w:p w14:paraId="5C13A1E3">
      <w:pPr>
        <w:numPr>
          <w:ilvl w:val="0"/>
          <w:numId w:val="0"/>
        </w:numPr>
        <w:spacing w:line="360" w:lineRule="auto"/>
        <w:ind w:left="0" w:firstLine="0"/>
        <w:jc w:val="center"/>
        <w:outlineLvl w:val="1"/>
        <w:rPr>
          <w:b/>
          <w:bCs/>
          <w:color w:val="auto"/>
          <w:sz w:val="21"/>
          <w:szCs w:val="21"/>
          <w:highlight w:val="none"/>
        </w:rPr>
      </w:pPr>
      <w:bookmarkStart w:id="111" w:name="_Toc86349456"/>
      <w:bookmarkStart w:id="112" w:name="_Toc29825799"/>
      <w:r>
        <w:rPr>
          <w:rFonts w:ascii="宋体" w:hAnsi="宋体" w:eastAsia="宋体" w:cs="宋体"/>
          <w:b/>
          <w:bCs/>
          <w:color w:val="auto"/>
          <w:kern w:val="0"/>
          <w:sz w:val="21"/>
          <w:szCs w:val="21"/>
          <w:highlight w:val="none"/>
          <w:lang w:val="zh-CN" w:eastAsia="zh-CN" w:bidi="zh-CN"/>
        </w:rPr>
        <w:t>九、</w:t>
      </w:r>
      <w:r>
        <w:rPr>
          <w:rFonts w:hint="eastAsia"/>
          <w:b/>
          <w:bCs/>
          <w:color w:val="auto"/>
          <w:sz w:val="21"/>
          <w:szCs w:val="21"/>
          <w:highlight w:val="none"/>
        </w:rPr>
        <w:t>关于合同</w:t>
      </w:r>
      <w:bookmarkEnd w:id="111"/>
      <w:bookmarkEnd w:id="112"/>
    </w:p>
    <w:p w14:paraId="3EBBEF82">
      <w:pPr>
        <w:numPr>
          <w:ilvl w:val="0"/>
          <w:numId w:val="13"/>
        </w:numPr>
        <w:snapToGrid w:val="0"/>
        <w:spacing w:before="240" w:beforeLines="100" w:line="360" w:lineRule="auto"/>
        <w:ind w:left="513" w:hanging="513"/>
        <w:outlineLvl w:val="2"/>
        <w:rPr>
          <w:b/>
          <w:bCs/>
          <w:color w:val="auto"/>
          <w:sz w:val="21"/>
          <w:szCs w:val="21"/>
          <w:highlight w:val="none"/>
        </w:rPr>
      </w:pPr>
      <w:bookmarkStart w:id="113" w:name="_Toc86349457"/>
      <w:r>
        <w:rPr>
          <w:rFonts w:hint="eastAsia"/>
          <w:b/>
          <w:bCs/>
          <w:color w:val="auto"/>
          <w:sz w:val="21"/>
          <w:szCs w:val="21"/>
          <w:highlight w:val="none"/>
        </w:rPr>
        <w:t>合同的订立</w:t>
      </w:r>
      <w:bookmarkEnd w:id="113"/>
    </w:p>
    <w:p w14:paraId="550FBED5">
      <w:pPr>
        <w:numPr>
          <w:ilvl w:val="1"/>
          <w:numId w:val="13"/>
        </w:numPr>
        <w:tabs>
          <w:tab w:val="left" w:pos="720"/>
        </w:tabs>
        <w:snapToGrid w:val="0"/>
        <w:spacing w:line="360" w:lineRule="auto"/>
        <w:rPr>
          <w:bCs/>
          <w:color w:val="auto"/>
          <w:sz w:val="21"/>
          <w:szCs w:val="21"/>
          <w:highlight w:val="none"/>
        </w:rPr>
      </w:pPr>
      <w:r>
        <w:rPr>
          <w:rFonts w:hint="eastAsia"/>
          <w:bCs/>
          <w:color w:val="auto"/>
          <w:sz w:val="21"/>
          <w:szCs w:val="21"/>
          <w:highlight w:val="none"/>
        </w:rPr>
        <w:t>中标人应当自中标通知书发出之日起</w:t>
      </w:r>
      <w:r>
        <w:rPr>
          <w:rFonts w:hint="eastAsia"/>
          <w:bCs/>
          <w:color w:val="auto"/>
          <w:sz w:val="21"/>
          <w:szCs w:val="21"/>
          <w:highlight w:val="none"/>
          <w:lang w:val="en-US"/>
        </w:rPr>
        <w:t>三</w:t>
      </w:r>
      <w:r>
        <w:rPr>
          <w:rFonts w:hint="eastAsia"/>
          <w:bCs/>
          <w:color w:val="auto"/>
          <w:sz w:val="21"/>
          <w:szCs w:val="21"/>
          <w:highlight w:val="none"/>
        </w:rPr>
        <w:t>十日内，按照招标文件和中标人投标文件的约定，派遣其授权代表携带招标代理机构发出的《中标通知书》，前往与招标人签署合同，并向招标代理机构提交一份合同原件备案。《中标通知书》将作为授予合同资格的合法依据。</w:t>
      </w:r>
    </w:p>
    <w:p w14:paraId="10CFAD47">
      <w:pPr>
        <w:numPr>
          <w:ilvl w:val="1"/>
          <w:numId w:val="13"/>
        </w:numPr>
        <w:tabs>
          <w:tab w:val="left" w:pos="720"/>
        </w:tabs>
        <w:snapToGrid w:val="0"/>
        <w:spacing w:line="360" w:lineRule="auto"/>
        <w:rPr>
          <w:bCs/>
          <w:color w:val="auto"/>
          <w:sz w:val="21"/>
          <w:szCs w:val="21"/>
          <w:highlight w:val="none"/>
        </w:rPr>
      </w:pPr>
      <w:r>
        <w:rPr>
          <w:rFonts w:hint="eastAsia"/>
          <w:bCs/>
          <w:color w:val="auto"/>
          <w:sz w:val="21"/>
          <w:szCs w:val="21"/>
          <w:highlight w:val="none"/>
        </w:rPr>
        <w:t xml:space="preserve">招标人或招标代理机构不得向中标人提出任何不合理的要求，作为签订合同的条件，不得与中标人私下订立背离合同实质性内容的协议。 </w:t>
      </w:r>
    </w:p>
    <w:p w14:paraId="6829B396">
      <w:pPr>
        <w:numPr>
          <w:ilvl w:val="0"/>
          <w:numId w:val="13"/>
        </w:numPr>
        <w:snapToGrid w:val="0"/>
        <w:spacing w:before="240" w:beforeLines="100" w:line="360" w:lineRule="auto"/>
        <w:ind w:left="513" w:hanging="513"/>
        <w:outlineLvl w:val="2"/>
        <w:rPr>
          <w:b/>
          <w:bCs/>
          <w:color w:val="auto"/>
          <w:sz w:val="21"/>
          <w:szCs w:val="21"/>
          <w:highlight w:val="none"/>
        </w:rPr>
      </w:pPr>
      <w:bookmarkStart w:id="114" w:name="_Toc86349458"/>
      <w:r>
        <w:rPr>
          <w:rFonts w:hint="eastAsia"/>
          <w:b/>
          <w:bCs/>
          <w:color w:val="auto"/>
          <w:sz w:val="21"/>
          <w:szCs w:val="21"/>
          <w:highlight w:val="none"/>
        </w:rPr>
        <w:t>合同的履行</w:t>
      </w:r>
      <w:bookmarkEnd w:id="114"/>
    </w:p>
    <w:p w14:paraId="53499B80">
      <w:pPr>
        <w:numPr>
          <w:ilvl w:val="1"/>
          <w:numId w:val="13"/>
        </w:numPr>
        <w:tabs>
          <w:tab w:val="left" w:pos="720"/>
        </w:tabs>
        <w:snapToGrid w:val="0"/>
        <w:spacing w:line="360" w:lineRule="auto"/>
        <w:rPr>
          <w:bCs/>
          <w:color w:val="auto"/>
          <w:sz w:val="21"/>
          <w:szCs w:val="21"/>
          <w:highlight w:val="none"/>
        </w:rPr>
      </w:pPr>
      <w:r>
        <w:rPr>
          <w:rFonts w:hint="eastAsia"/>
          <w:bCs/>
          <w:color w:val="auto"/>
          <w:sz w:val="21"/>
          <w:szCs w:val="21"/>
          <w:highlight w:val="none"/>
        </w:rPr>
        <w:t>在投标和签订合同过程中，如发现中标人以他人名义投标或者以其他方式弄虚作假，骗取中标的，招标人有权取消其中标资格，并按评审排名顺延，将排名第五的中标候选人确定为定点供应商, 以此类推，或者重新组织招标。</w:t>
      </w:r>
    </w:p>
    <w:p w14:paraId="78BE50B0">
      <w:pPr>
        <w:numPr>
          <w:ilvl w:val="1"/>
          <w:numId w:val="13"/>
        </w:numPr>
        <w:tabs>
          <w:tab w:val="left" w:pos="720"/>
        </w:tabs>
        <w:snapToGrid w:val="0"/>
        <w:spacing w:line="360" w:lineRule="auto"/>
        <w:rPr>
          <w:bCs/>
          <w:color w:val="auto"/>
          <w:sz w:val="21"/>
          <w:szCs w:val="21"/>
          <w:highlight w:val="none"/>
        </w:rPr>
      </w:pPr>
      <w:r>
        <w:rPr>
          <w:rFonts w:hint="eastAsia"/>
          <w:bCs/>
          <w:color w:val="auto"/>
          <w:sz w:val="21"/>
          <w:szCs w:val="21"/>
          <w:highlight w:val="none"/>
        </w:rPr>
        <w:t>采购合同订立后，合同各方不得擅自变更、中止或者终止合同。</w:t>
      </w:r>
    </w:p>
    <w:p w14:paraId="070560DC">
      <w:pPr>
        <w:numPr>
          <w:ilvl w:val="1"/>
          <w:numId w:val="13"/>
        </w:numPr>
        <w:tabs>
          <w:tab w:val="left" w:pos="720"/>
        </w:tabs>
        <w:snapToGrid w:val="0"/>
        <w:spacing w:line="360" w:lineRule="auto"/>
        <w:rPr>
          <w:bCs/>
          <w:color w:val="auto"/>
          <w:sz w:val="21"/>
          <w:szCs w:val="21"/>
          <w:highlight w:val="none"/>
        </w:rPr>
      </w:pPr>
      <w:r>
        <w:rPr>
          <w:rFonts w:hint="eastAsia"/>
          <w:bCs/>
          <w:color w:val="auto"/>
          <w:sz w:val="21"/>
          <w:szCs w:val="21"/>
          <w:highlight w:val="none"/>
        </w:rPr>
        <w:t>中标人放弃中标、不按要求与招标人签订采购合同、因不可抗拒力或自身原因不能履行采购合同、不按招标文件要求提交履约保证金，或者被查实存在影响中标结果的违法行为等情况，不符合中标条件的，招标人可以与排位在中标人之后第一位的中标候选人签订采购合同，也可以重新开展采购活动。</w:t>
      </w:r>
    </w:p>
    <w:p w14:paraId="717D1777">
      <w:pPr>
        <w:numPr>
          <w:ilvl w:val="0"/>
          <w:numId w:val="13"/>
        </w:numPr>
        <w:snapToGrid w:val="0"/>
        <w:spacing w:before="240" w:beforeLines="100" w:line="360" w:lineRule="auto"/>
        <w:ind w:left="513" w:hanging="513"/>
        <w:outlineLvl w:val="2"/>
        <w:rPr>
          <w:b/>
          <w:bCs/>
          <w:color w:val="auto"/>
          <w:sz w:val="21"/>
          <w:szCs w:val="21"/>
          <w:highlight w:val="none"/>
        </w:rPr>
      </w:pPr>
      <w:bookmarkStart w:id="115" w:name="_Toc86349459"/>
      <w:r>
        <w:rPr>
          <w:rFonts w:hint="eastAsia"/>
          <w:b/>
          <w:bCs/>
          <w:color w:val="auto"/>
          <w:sz w:val="21"/>
          <w:szCs w:val="21"/>
          <w:highlight w:val="none"/>
        </w:rPr>
        <w:t>关于分包</w:t>
      </w:r>
      <w:bookmarkEnd w:id="115"/>
    </w:p>
    <w:p w14:paraId="23F284AD">
      <w:pPr>
        <w:tabs>
          <w:tab w:val="left" w:pos="720"/>
        </w:tabs>
        <w:snapToGrid w:val="0"/>
        <w:spacing w:line="360" w:lineRule="auto"/>
        <w:ind w:left="389" w:leftChars="177" w:firstLine="420" w:firstLineChars="200"/>
        <w:rPr>
          <w:bCs/>
          <w:color w:val="auto"/>
          <w:sz w:val="21"/>
          <w:szCs w:val="21"/>
          <w:highlight w:val="none"/>
        </w:rPr>
      </w:pPr>
      <w:r>
        <w:rPr>
          <w:rFonts w:hint="eastAsia"/>
          <w:bCs/>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未载明分包承担主体及工作的，不得分包。中标项目的主体、关键性工作不得分包。</w:t>
      </w:r>
    </w:p>
    <w:p w14:paraId="09129728">
      <w:pPr>
        <w:numPr>
          <w:ilvl w:val="0"/>
          <w:numId w:val="0"/>
        </w:numPr>
        <w:spacing w:line="360" w:lineRule="auto"/>
        <w:ind w:left="0" w:firstLine="0"/>
        <w:jc w:val="center"/>
        <w:outlineLvl w:val="1"/>
        <w:rPr>
          <w:b/>
          <w:bCs/>
          <w:color w:val="auto"/>
          <w:sz w:val="21"/>
          <w:szCs w:val="21"/>
          <w:highlight w:val="none"/>
        </w:rPr>
      </w:pPr>
      <w:bookmarkStart w:id="116" w:name="_Toc510968887"/>
      <w:bookmarkStart w:id="117" w:name="_Toc29825800"/>
      <w:bookmarkStart w:id="118" w:name="_Toc368513808"/>
      <w:bookmarkStart w:id="119" w:name="_Toc86349460"/>
      <w:r>
        <w:rPr>
          <w:rFonts w:ascii="宋体" w:hAnsi="宋体" w:eastAsia="宋体" w:cs="宋体"/>
          <w:b/>
          <w:bCs/>
          <w:color w:val="auto"/>
          <w:kern w:val="0"/>
          <w:sz w:val="21"/>
          <w:szCs w:val="21"/>
          <w:highlight w:val="none"/>
          <w:lang w:val="zh-CN" w:eastAsia="zh-CN" w:bidi="zh-CN"/>
        </w:rPr>
        <w:t>十、</w:t>
      </w:r>
      <w:r>
        <w:rPr>
          <w:rFonts w:hint="eastAsia"/>
          <w:b/>
          <w:bCs/>
          <w:color w:val="auto"/>
          <w:sz w:val="21"/>
          <w:szCs w:val="21"/>
          <w:highlight w:val="none"/>
        </w:rPr>
        <w:t>关于招标代理服务费</w:t>
      </w:r>
      <w:bookmarkEnd w:id="116"/>
      <w:bookmarkEnd w:id="117"/>
      <w:bookmarkEnd w:id="118"/>
      <w:bookmarkEnd w:id="119"/>
    </w:p>
    <w:p w14:paraId="427E85A4">
      <w:pPr>
        <w:numPr>
          <w:ilvl w:val="0"/>
          <w:numId w:val="14"/>
        </w:numPr>
        <w:snapToGrid w:val="0"/>
        <w:spacing w:before="240" w:beforeLines="100" w:line="360" w:lineRule="auto"/>
        <w:outlineLvl w:val="2"/>
        <w:rPr>
          <w:b/>
          <w:bCs/>
          <w:color w:val="auto"/>
          <w:sz w:val="21"/>
          <w:szCs w:val="21"/>
          <w:highlight w:val="none"/>
        </w:rPr>
      </w:pPr>
      <w:bookmarkStart w:id="120" w:name="_Toc368513809"/>
      <w:bookmarkStart w:id="121" w:name="_Toc86349461"/>
      <w:r>
        <w:rPr>
          <w:rFonts w:hint="eastAsia"/>
          <w:b/>
          <w:bCs/>
          <w:color w:val="auto"/>
          <w:sz w:val="21"/>
          <w:szCs w:val="21"/>
          <w:highlight w:val="none"/>
        </w:rPr>
        <w:t>收费标准</w:t>
      </w:r>
      <w:bookmarkEnd w:id="120"/>
      <w:bookmarkEnd w:id="121"/>
    </w:p>
    <w:p w14:paraId="445243B0">
      <w:pPr>
        <w:tabs>
          <w:tab w:val="left" w:pos="709"/>
          <w:tab w:val="left" w:pos="851"/>
        </w:tabs>
        <w:snapToGrid w:val="0"/>
        <w:spacing w:line="360" w:lineRule="auto"/>
        <w:ind w:left="130" w:leftChars="59" w:firstLine="420" w:firstLineChars="200"/>
        <w:rPr>
          <w:bCs/>
          <w:color w:val="auto"/>
          <w:sz w:val="21"/>
          <w:szCs w:val="21"/>
          <w:highlight w:val="none"/>
        </w:rPr>
      </w:pPr>
      <w:r>
        <w:rPr>
          <w:rFonts w:hint="eastAsia"/>
          <w:bCs/>
          <w:color w:val="auto"/>
          <w:sz w:val="21"/>
          <w:szCs w:val="21"/>
          <w:highlight w:val="none"/>
        </w:rPr>
        <w:t>本次招标代理服务费按</w:t>
      </w:r>
      <w:r>
        <w:rPr>
          <w:rFonts w:hint="eastAsia"/>
          <w:color w:val="auto"/>
          <w:sz w:val="21"/>
          <w:highlight w:val="none"/>
        </w:rPr>
        <w:t>投标须知前附表第</w:t>
      </w:r>
      <w:r>
        <w:rPr>
          <w:rFonts w:hint="eastAsia"/>
          <w:color w:val="auto"/>
          <w:sz w:val="21"/>
          <w:highlight w:val="none"/>
          <w:lang w:val="en-US" w:eastAsia="zh-CN"/>
        </w:rPr>
        <w:t>12</w:t>
      </w:r>
      <w:r>
        <w:rPr>
          <w:rFonts w:hint="eastAsia"/>
          <w:color w:val="auto"/>
          <w:sz w:val="21"/>
          <w:highlight w:val="none"/>
        </w:rPr>
        <w:t>项</w:t>
      </w:r>
      <w:r>
        <w:rPr>
          <w:rFonts w:hint="eastAsia"/>
          <w:bCs/>
          <w:color w:val="auto"/>
          <w:sz w:val="21"/>
          <w:szCs w:val="21"/>
          <w:highlight w:val="none"/>
        </w:rPr>
        <w:t>规定收取。</w:t>
      </w:r>
    </w:p>
    <w:p w14:paraId="4DA7F430">
      <w:pPr>
        <w:numPr>
          <w:ilvl w:val="0"/>
          <w:numId w:val="0"/>
        </w:numPr>
        <w:spacing w:line="360" w:lineRule="auto"/>
        <w:ind w:left="0" w:firstLine="0"/>
        <w:jc w:val="center"/>
        <w:outlineLvl w:val="1"/>
        <w:rPr>
          <w:b/>
          <w:bCs/>
          <w:color w:val="auto"/>
          <w:sz w:val="21"/>
          <w:szCs w:val="21"/>
          <w:highlight w:val="none"/>
        </w:rPr>
      </w:pPr>
      <w:bookmarkStart w:id="122" w:name="_Toc508629250"/>
      <w:bookmarkStart w:id="123" w:name="_Toc368513811"/>
      <w:bookmarkStart w:id="124" w:name="_Toc234727576"/>
      <w:bookmarkStart w:id="125" w:name="_Toc86349462"/>
      <w:bookmarkStart w:id="126" w:name="_Toc29825801"/>
      <w:bookmarkStart w:id="127" w:name="_Toc510968888"/>
      <w:r>
        <w:rPr>
          <w:rFonts w:ascii="宋体" w:hAnsi="宋体" w:eastAsia="宋体" w:cs="宋体"/>
          <w:b/>
          <w:bCs/>
          <w:color w:val="auto"/>
          <w:kern w:val="0"/>
          <w:sz w:val="21"/>
          <w:szCs w:val="21"/>
          <w:highlight w:val="none"/>
          <w:lang w:val="zh-CN" w:eastAsia="zh-CN" w:bidi="zh-CN"/>
        </w:rPr>
        <w:t>十一、</w:t>
      </w:r>
      <w:r>
        <w:rPr>
          <w:rFonts w:hint="eastAsia"/>
          <w:b/>
          <w:bCs/>
          <w:color w:val="auto"/>
          <w:sz w:val="21"/>
          <w:szCs w:val="21"/>
          <w:highlight w:val="none"/>
        </w:rPr>
        <w:t>关于</w:t>
      </w:r>
      <w:bookmarkEnd w:id="122"/>
      <w:bookmarkEnd w:id="123"/>
      <w:bookmarkEnd w:id="124"/>
      <w:r>
        <w:rPr>
          <w:rFonts w:hint="eastAsia"/>
          <w:b/>
          <w:bCs/>
          <w:color w:val="auto"/>
          <w:sz w:val="21"/>
          <w:szCs w:val="21"/>
          <w:highlight w:val="none"/>
        </w:rPr>
        <w:t>异议</w:t>
      </w:r>
      <w:bookmarkEnd w:id="125"/>
      <w:bookmarkEnd w:id="126"/>
      <w:bookmarkEnd w:id="127"/>
    </w:p>
    <w:p w14:paraId="60ADF6FA">
      <w:pPr>
        <w:numPr>
          <w:ilvl w:val="0"/>
          <w:numId w:val="15"/>
        </w:numPr>
        <w:snapToGrid w:val="0"/>
        <w:spacing w:before="240" w:beforeLines="100" w:line="360" w:lineRule="auto"/>
        <w:outlineLvl w:val="2"/>
        <w:rPr>
          <w:b/>
          <w:bCs/>
          <w:color w:val="auto"/>
          <w:sz w:val="21"/>
          <w:szCs w:val="21"/>
          <w:highlight w:val="none"/>
        </w:rPr>
      </w:pPr>
      <w:bookmarkStart w:id="128" w:name="_Toc86349463"/>
      <w:r>
        <w:rPr>
          <w:rFonts w:hint="eastAsia"/>
          <w:b/>
          <w:bCs/>
          <w:color w:val="auto"/>
          <w:sz w:val="21"/>
          <w:szCs w:val="21"/>
          <w:highlight w:val="none"/>
        </w:rPr>
        <w:t>异议</w:t>
      </w:r>
      <w:bookmarkEnd w:id="128"/>
    </w:p>
    <w:p w14:paraId="07D50E1F">
      <w:pPr>
        <w:numPr>
          <w:ilvl w:val="1"/>
          <w:numId w:val="15"/>
        </w:numPr>
        <w:tabs>
          <w:tab w:val="left" w:pos="720"/>
        </w:tabs>
        <w:snapToGrid w:val="0"/>
        <w:spacing w:line="360" w:lineRule="auto"/>
        <w:rPr>
          <w:b/>
          <w:bCs/>
          <w:color w:val="auto"/>
          <w:sz w:val="21"/>
          <w:szCs w:val="21"/>
          <w:highlight w:val="none"/>
        </w:rPr>
      </w:pPr>
      <w:r>
        <w:rPr>
          <w:rFonts w:hint="eastAsia"/>
          <w:b/>
          <w:bCs/>
          <w:color w:val="auto"/>
          <w:sz w:val="21"/>
          <w:szCs w:val="21"/>
          <w:highlight w:val="none"/>
        </w:rPr>
        <w:t>异议期限</w:t>
      </w:r>
    </w:p>
    <w:p w14:paraId="61673573">
      <w:pPr>
        <w:tabs>
          <w:tab w:val="left" w:pos="720"/>
        </w:tabs>
        <w:snapToGrid w:val="0"/>
        <w:spacing w:line="360" w:lineRule="auto"/>
        <w:ind w:left="389" w:leftChars="177" w:firstLine="420" w:firstLineChars="200"/>
        <w:rPr>
          <w:color w:val="auto"/>
          <w:sz w:val="21"/>
          <w:szCs w:val="21"/>
          <w:highlight w:val="none"/>
        </w:rPr>
      </w:pPr>
      <w:r>
        <w:rPr>
          <w:rFonts w:hint="eastAsia"/>
          <w:color w:val="auto"/>
          <w:sz w:val="21"/>
          <w:szCs w:val="21"/>
          <w:highlight w:val="none"/>
        </w:rPr>
        <w:t>已获取纸质招标文件的潜在投标人对招标文件（包括对招标文件澄清和修改的内容）有异议的，应当在投标截止时间10日前向招标人或招标代理机构提出。招标人或招标代理机构将在自收到异议之日起3日内作出答复。</w:t>
      </w:r>
    </w:p>
    <w:p w14:paraId="738BD8E8">
      <w:pPr>
        <w:tabs>
          <w:tab w:val="left" w:pos="720"/>
        </w:tabs>
        <w:snapToGrid w:val="0"/>
        <w:spacing w:line="360" w:lineRule="auto"/>
        <w:ind w:left="389" w:leftChars="177" w:firstLine="420" w:firstLineChars="200"/>
        <w:rPr>
          <w:color w:val="auto"/>
          <w:sz w:val="21"/>
          <w:szCs w:val="21"/>
          <w:highlight w:val="none"/>
        </w:rPr>
      </w:pPr>
      <w:r>
        <w:rPr>
          <w:rFonts w:hint="eastAsia"/>
          <w:color w:val="auto"/>
          <w:sz w:val="21"/>
          <w:szCs w:val="21"/>
          <w:highlight w:val="none"/>
        </w:rPr>
        <w:t>投标人对开标有异议的，应当在开标现场提出。招标人或招标代理机构将当场作出答复，并制作记录。</w:t>
      </w:r>
    </w:p>
    <w:p w14:paraId="764EF858">
      <w:pPr>
        <w:tabs>
          <w:tab w:val="left" w:pos="720"/>
        </w:tabs>
        <w:snapToGrid w:val="0"/>
        <w:spacing w:line="360" w:lineRule="auto"/>
        <w:ind w:left="389" w:leftChars="177" w:firstLine="420" w:firstLineChars="200"/>
        <w:rPr>
          <w:color w:val="auto"/>
          <w:sz w:val="21"/>
          <w:szCs w:val="21"/>
          <w:highlight w:val="none"/>
        </w:rPr>
      </w:pPr>
      <w:r>
        <w:rPr>
          <w:rFonts w:hint="eastAsia"/>
          <w:color w:val="auto"/>
          <w:sz w:val="21"/>
          <w:szCs w:val="21"/>
          <w:highlight w:val="none"/>
        </w:rPr>
        <w:t>投标人对评标结果有异议的，应当于公示期内向招标人或招标代理机构提出。招标人或招标代理机构应当在收到异议之日起3日内作出答复。</w:t>
      </w:r>
    </w:p>
    <w:p w14:paraId="29058AB2">
      <w:pPr>
        <w:numPr>
          <w:ilvl w:val="1"/>
          <w:numId w:val="15"/>
        </w:numPr>
        <w:tabs>
          <w:tab w:val="left" w:pos="720"/>
        </w:tabs>
        <w:snapToGrid w:val="0"/>
        <w:spacing w:line="360" w:lineRule="auto"/>
        <w:rPr>
          <w:b/>
          <w:bCs/>
          <w:color w:val="auto"/>
          <w:sz w:val="21"/>
          <w:szCs w:val="21"/>
          <w:highlight w:val="none"/>
        </w:rPr>
      </w:pPr>
      <w:r>
        <w:rPr>
          <w:rFonts w:hint="eastAsia"/>
          <w:b/>
          <w:bCs/>
          <w:color w:val="auto"/>
          <w:sz w:val="21"/>
          <w:szCs w:val="21"/>
          <w:highlight w:val="none"/>
        </w:rPr>
        <w:t>异议提交要求</w:t>
      </w:r>
    </w:p>
    <w:p w14:paraId="4F77F85E">
      <w:pPr>
        <w:tabs>
          <w:tab w:val="left" w:pos="720"/>
          <w:tab w:val="left" w:pos="992"/>
        </w:tabs>
        <w:snapToGrid w:val="0"/>
        <w:spacing w:line="360" w:lineRule="auto"/>
        <w:ind w:left="992"/>
        <w:rPr>
          <w:b/>
          <w:bCs/>
          <w:color w:val="auto"/>
          <w:sz w:val="21"/>
          <w:szCs w:val="21"/>
          <w:highlight w:val="none"/>
        </w:rPr>
      </w:pPr>
      <w:r>
        <w:rPr>
          <w:rFonts w:hint="eastAsia"/>
          <w:bCs/>
          <w:color w:val="auto"/>
          <w:sz w:val="21"/>
          <w:szCs w:val="21"/>
          <w:highlight w:val="none"/>
        </w:rPr>
        <w:t>以书面形式向招标人或者招标代理机构一次性提出针对同一采购程序环节的异议。</w:t>
      </w:r>
    </w:p>
    <w:p w14:paraId="6C5F3C2B">
      <w:pPr>
        <w:tabs>
          <w:tab w:val="left" w:pos="720"/>
          <w:tab w:val="left" w:pos="992"/>
        </w:tabs>
        <w:snapToGrid w:val="0"/>
        <w:spacing w:line="360" w:lineRule="auto"/>
        <w:ind w:left="992"/>
        <w:rPr>
          <w:b/>
          <w:bCs/>
          <w:color w:val="auto"/>
          <w:sz w:val="21"/>
          <w:szCs w:val="21"/>
          <w:highlight w:val="none"/>
        </w:rPr>
      </w:pPr>
      <w:r>
        <w:rPr>
          <w:rFonts w:hint="eastAsia"/>
          <w:bCs/>
          <w:color w:val="auto"/>
          <w:sz w:val="21"/>
          <w:szCs w:val="21"/>
          <w:highlight w:val="none"/>
        </w:rPr>
        <w:t>以联合体形式参加采购活动的，其异议应当由组成联合体的所有投标人共同提出。</w:t>
      </w:r>
    </w:p>
    <w:p w14:paraId="6E5B88FB">
      <w:pPr>
        <w:numPr>
          <w:ilvl w:val="1"/>
          <w:numId w:val="15"/>
        </w:numPr>
        <w:tabs>
          <w:tab w:val="left" w:pos="720"/>
        </w:tabs>
        <w:snapToGrid w:val="0"/>
        <w:spacing w:line="360" w:lineRule="auto"/>
        <w:rPr>
          <w:b/>
          <w:bCs/>
          <w:color w:val="auto"/>
          <w:sz w:val="21"/>
          <w:szCs w:val="21"/>
          <w:highlight w:val="none"/>
        </w:rPr>
      </w:pPr>
      <w:r>
        <w:rPr>
          <w:rFonts w:hint="eastAsia"/>
          <w:b/>
          <w:bCs/>
          <w:color w:val="auto"/>
          <w:sz w:val="21"/>
          <w:szCs w:val="21"/>
          <w:highlight w:val="none"/>
        </w:rPr>
        <w:t>异议函内容</w:t>
      </w:r>
    </w:p>
    <w:p w14:paraId="635F62E6">
      <w:pPr>
        <w:tabs>
          <w:tab w:val="left" w:pos="720"/>
        </w:tabs>
        <w:snapToGrid w:val="0"/>
        <w:spacing w:line="360" w:lineRule="auto"/>
        <w:ind w:left="389" w:leftChars="177" w:firstLine="420" w:firstLineChars="200"/>
        <w:rPr>
          <w:bCs/>
          <w:color w:val="auto"/>
          <w:sz w:val="21"/>
          <w:szCs w:val="21"/>
          <w:highlight w:val="none"/>
        </w:rPr>
      </w:pPr>
      <w:r>
        <w:rPr>
          <w:rFonts w:hint="eastAsia"/>
          <w:bCs/>
          <w:color w:val="auto"/>
          <w:sz w:val="21"/>
          <w:szCs w:val="21"/>
          <w:highlight w:val="none"/>
        </w:rPr>
        <w:t>异议函应包括投标人的姓名或者名称、地址、邮编、联系人及联系电话、异议项目的名称及编号、具体且明确的异议事项和与异议事项相关的请求、事实依据、必要的法律依据、提出异议的日期。如有提供相关证据的，应填写《证据目录清单》，与异议函一并提交）。投标人为自然人的，应当由本人签字；投标人为法人或者其他组织的，应当由法定代表人、主要负责人，或者其授权代表签字或者盖章，并加盖公章。</w:t>
      </w:r>
    </w:p>
    <w:p w14:paraId="68E52FD5">
      <w:pPr>
        <w:tabs>
          <w:tab w:val="left" w:pos="720"/>
        </w:tabs>
        <w:snapToGrid w:val="0"/>
        <w:spacing w:line="360" w:lineRule="auto"/>
        <w:ind w:left="992"/>
        <w:jc w:val="center"/>
        <w:rPr>
          <w:bCs/>
          <w:color w:val="auto"/>
          <w:sz w:val="21"/>
          <w:szCs w:val="21"/>
          <w:highlight w:val="none"/>
        </w:rPr>
      </w:pPr>
      <w:r>
        <w:rPr>
          <w:rFonts w:hint="eastAsia"/>
          <w:bCs/>
          <w:color w:val="auto"/>
          <w:sz w:val="21"/>
          <w:szCs w:val="21"/>
          <w:highlight w:val="none"/>
        </w:rPr>
        <w:t>证据目录清单</w:t>
      </w:r>
    </w:p>
    <w:tbl>
      <w:tblPr>
        <w:tblStyle w:val="34"/>
        <w:tblW w:w="5280" w:type="dxa"/>
        <w:jc w:val="center"/>
        <w:tblLayout w:type="fixed"/>
        <w:tblCellMar>
          <w:top w:w="0" w:type="dxa"/>
          <w:left w:w="108" w:type="dxa"/>
          <w:bottom w:w="0" w:type="dxa"/>
          <w:right w:w="108" w:type="dxa"/>
        </w:tblCellMar>
      </w:tblPr>
      <w:tblGrid>
        <w:gridCol w:w="1080"/>
        <w:gridCol w:w="1400"/>
        <w:gridCol w:w="1400"/>
        <w:gridCol w:w="1400"/>
      </w:tblGrid>
      <w:tr w14:paraId="754E5AC2">
        <w:tblPrEx>
          <w:tblCellMar>
            <w:top w:w="0" w:type="dxa"/>
            <w:left w:w="108" w:type="dxa"/>
            <w:bottom w:w="0" w:type="dxa"/>
            <w:right w:w="108" w:type="dxa"/>
          </w:tblCellMar>
        </w:tblPrEx>
        <w:trPr>
          <w:trHeight w:val="40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7D901929">
            <w:pPr>
              <w:widowControl/>
              <w:jc w:val="center"/>
              <w:rPr>
                <w:color w:val="auto"/>
                <w:sz w:val="21"/>
                <w:szCs w:val="21"/>
                <w:highlight w:val="none"/>
              </w:rPr>
            </w:pPr>
            <w:r>
              <w:rPr>
                <w:rFonts w:hint="eastAsia"/>
                <w:color w:val="auto"/>
                <w:sz w:val="21"/>
                <w:szCs w:val="21"/>
                <w:highlight w:val="none"/>
              </w:rPr>
              <w:t>序号</w:t>
            </w:r>
          </w:p>
        </w:tc>
        <w:tc>
          <w:tcPr>
            <w:tcW w:w="1400" w:type="dxa"/>
            <w:tcBorders>
              <w:top w:val="single" w:color="auto" w:sz="4" w:space="0"/>
              <w:left w:val="nil"/>
              <w:bottom w:val="single" w:color="auto" w:sz="4" w:space="0"/>
              <w:right w:val="single" w:color="auto" w:sz="4" w:space="0"/>
            </w:tcBorders>
            <w:vAlign w:val="center"/>
          </w:tcPr>
          <w:p w14:paraId="15D6E5A4">
            <w:pPr>
              <w:widowControl/>
              <w:jc w:val="center"/>
              <w:rPr>
                <w:color w:val="auto"/>
                <w:sz w:val="21"/>
                <w:szCs w:val="21"/>
                <w:highlight w:val="none"/>
              </w:rPr>
            </w:pPr>
            <w:r>
              <w:rPr>
                <w:rFonts w:hint="eastAsia"/>
                <w:color w:val="auto"/>
                <w:sz w:val="21"/>
                <w:szCs w:val="21"/>
                <w:highlight w:val="none"/>
              </w:rPr>
              <w:t>证据名称</w:t>
            </w:r>
          </w:p>
        </w:tc>
        <w:tc>
          <w:tcPr>
            <w:tcW w:w="1400" w:type="dxa"/>
            <w:tcBorders>
              <w:top w:val="single" w:color="auto" w:sz="4" w:space="0"/>
              <w:left w:val="nil"/>
              <w:bottom w:val="single" w:color="auto" w:sz="4" w:space="0"/>
              <w:right w:val="single" w:color="auto" w:sz="4" w:space="0"/>
            </w:tcBorders>
            <w:vAlign w:val="center"/>
          </w:tcPr>
          <w:p w14:paraId="542292A3">
            <w:pPr>
              <w:widowControl/>
              <w:jc w:val="center"/>
              <w:rPr>
                <w:color w:val="auto"/>
                <w:sz w:val="21"/>
                <w:szCs w:val="21"/>
                <w:highlight w:val="none"/>
              </w:rPr>
            </w:pPr>
            <w:r>
              <w:rPr>
                <w:rFonts w:hint="eastAsia"/>
                <w:color w:val="auto"/>
                <w:sz w:val="21"/>
                <w:szCs w:val="21"/>
                <w:highlight w:val="none"/>
              </w:rPr>
              <w:t>证据来源</w:t>
            </w:r>
          </w:p>
        </w:tc>
        <w:tc>
          <w:tcPr>
            <w:tcW w:w="1400" w:type="dxa"/>
            <w:tcBorders>
              <w:top w:val="single" w:color="auto" w:sz="4" w:space="0"/>
              <w:left w:val="nil"/>
              <w:bottom w:val="single" w:color="auto" w:sz="4" w:space="0"/>
              <w:right w:val="single" w:color="auto" w:sz="4" w:space="0"/>
            </w:tcBorders>
            <w:vAlign w:val="center"/>
          </w:tcPr>
          <w:p w14:paraId="31EC943C">
            <w:pPr>
              <w:widowControl/>
              <w:jc w:val="center"/>
              <w:rPr>
                <w:color w:val="auto"/>
                <w:sz w:val="21"/>
                <w:szCs w:val="21"/>
                <w:highlight w:val="none"/>
              </w:rPr>
            </w:pPr>
            <w:r>
              <w:rPr>
                <w:rFonts w:hint="eastAsia"/>
                <w:color w:val="auto"/>
                <w:sz w:val="21"/>
                <w:szCs w:val="21"/>
                <w:highlight w:val="none"/>
              </w:rPr>
              <w:t>证明对象</w:t>
            </w:r>
          </w:p>
        </w:tc>
      </w:tr>
      <w:tr w14:paraId="612C3892">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vAlign w:val="center"/>
          </w:tcPr>
          <w:p w14:paraId="39B5BC45">
            <w:pPr>
              <w:widowControl/>
              <w:jc w:val="center"/>
              <w:rPr>
                <w:color w:val="auto"/>
                <w:sz w:val="21"/>
                <w:szCs w:val="21"/>
                <w:highlight w:val="none"/>
              </w:rPr>
            </w:pPr>
            <w:r>
              <w:rPr>
                <w:rFonts w:hint="eastAsia"/>
                <w:color w:val="auto"/>
                <w:sz w:val="21"/>
                <w:szCs w:val="21"/>
                <w:highlight w:val="none"/>
              </w:rPr>
              <w:t>1</w:t>
            </w:r>
          </w:p>
        </w:tc>
        <w:tc>
          <w:tcPr>
            <w:tcW w:w="1400" w:type="dxa"/>
            <w:tcBorders>
              <w:top w:val="nil"/>
              <w:left w:val="nil"/>
              <w:bottom w:val="single" w:color="auto" w:sz="4" w:space="0"/>
              <w:right w:val="single" w:color="auto" w:sz="4" w:space="0"/>
            </w:tcBorders>
            <w:vAlign w:val="center"/>
          </w:tcPr>
          <w:p w14:paraId="7242DF0D">
            <w:pPr>
              <w:widowControl/>
              <w:jc w:val="center"/>
              <w:rPr>
                <w:color w:val="auto"/>
                <w:sz w:val="21"/>
                <w:szCs w:val="21"/>
                <w:highlight w:val="none"/>
              </w:rPr>
            </w:pPr>
            <w:r>
              <w:rPr>
                <w:rFonts w:hint="eastAsia"/>
                <w:color w:val="auto"/>
                <w:sz w:val="21"/>
                <w:szCs w:val="21"/>
                <w:highlight w:val="none"/>
              </w:rPr>
              <w:t>　</w:t>
            </w:r>
          </w:p>
        </w:tc>
        <w:tc>
          <w:tcPr>
            <w:tcW w:w="1400" w:type="dxa"/>
            <w:tcBorders>
              <w:top w:val="nil"/>
              <w:left w:val="nil"/>
              <w:bottom w:val="single" w:color="auto" w:sz="4" w:space="0"/>
              <w:right w:val="single" w:color="auto" w:sz="4" w:space="0"/>
            </w:tcBorders>
            <w:vAlign w:val="center"/>
          </w:tcPr>
          <w:p w14:paraId="4F5022F8">
            <w:pPr>
              <w:widowControl/>
              <w:jc w:val="center"/>
              <w:rPr>
                <w:color w:val="auto"/>
                <w:sz w:val="21"/>
                <w:szCs w:val="21"/>
                <w:highlight w:val="none"/>
              </w:rPr>
            </w:pPr>
            <w:r>
              <w:rPr>
                <w:rFonts w:hint="eastAsia"/>
                <w:color w:val="auto"/>
                <w:sz w:val="21"/>
                <w:szCs w:val="21"/>
                <w:highlight w:val="none"/>
              </w:rPr>
              <w:t>　</w:t>
            </w:r>
          </w:p>
        </w:tc>
        <w:tc>
          <w:tcPr>
            <w:tcW w:w="1400" w:type="dxa"/>
            <w:tcBorders>
              <w:top w:val="nil"/>
              <w:left w:val="nil"/>
              <w:bottom w:val="single" w:color="auto" w:sz="4" w:space="0"/>
              <w:right w:val="single" w:color="auto" w:sz="4" w:space="0"/>
            </w:tcBorders>
            <w:vAlign w:val="center"/>
          </w:tcPr>
          <w:p w14:paraId="62B34431">
            <w:pPr>
              <w:widowControl/>
              <w:jc w:val="center"/>
              <w:rPr>
                <w:color w:val="auto"/>
                <w:sz w:val="21"/>
                <w:szCs w:val="21"/>
                <w:highlight w:val="none"/>
              </w:rPr>
            </w:pPr>
            <w:r>
              <w:rPr>
                <w:rFonts w:hint="eastAsia"/>
                <w:color w:val="auto"/>
                <w:sz w:val="21"/>
                <w:szCs w:val="21"/>
                <w:highlight w:val="none"/>
              </w:rPr>
              <w:t>　</w:t>
            </w:r>
          </w:p>
        </w:tc>
      </w:tr>
      <w:tr w14:paraId="4D2FC36D">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vAlign w:val="center"/>
          </w:tcPr>
          <w:p w14:paraId="36B689BC">
            <w:pPr>
              <w:widowControl/>
              <w:jc w:val="center"/>
              <w:rPr>
                <w:color w:val="auto"/>
                <w:sz w:val="21"/>
                <w:szCs w:val="21"/>
                <w:highlight w:val="none"/>
              </w:rPr>
            </w:pPr>
            <w:r>
              <w:rPr>
                <w:rFonts w:hint="eastAsia"/>
                <w:color w:val="auto"/>
                <w:sz w:val="21"/>
                <w:szCs w:val="21"/>
                <w:highlight w:val="none"/>
              </w:rPr>
              <w:t>2</w:t>
            </w:r>
          </w:p>
        </w:tc>
        <w:tc>
          <w:tcPr>
            <w:tcW w:w="1400" w:type="dxa"/>
            <w:tcBorders>
              <w:top w:val="nil"/>
              <w:left w:val="nil"/>
              <w:bottom w:val="single" w:color="auto" w:sz="4" w:space="0"/>
              <w:right w:val="single" w:color="auto" w:sz="4" w:space="0"/>
            </w:tcBorders>
            <w:vAlign w:val="center"/>
          </w:tcPr>
          <w:p w14:paraId="26DDCE72">
            <w:pPr>
              <w:widowControl/>
              <w:jc w:val="center"/>
              <w:rPr>
                <w:color w:val="auto"/>
                <w:sz w:val="21"/>
                <w:szCs w:val="21"/>
                <w:highlight w:val="none"/>
              </w:rPr>
            </w:pPr>
            <w:r>
              <w:rPr>
                <w:rFonts w:hint="eastAsia"/>
                <w:color w:val="auto"/>
                <w:sz w:val="21"/>
                <w:szCs w:val="21"/>
                <w:highlight w:val="none"/>
              </w:rPr>
              <w:t>　</w:t>
            </w:r>
          </w:p>
        </w:tc>
        <w:tc>
          <w:tcPr>
            <w:tcW w:w="1400" w:type="dxa"/>
            <w:tcBorders>
              <w:top w:val="nil"/>
              <w:left w:val="nil"/>
              <w:bottom w:val="single" w:color="auto" w:sz="4" w:space="0"/>
              <w:right w:val="single" w:color="auto" w:sz="4" w:space="0"/>
            </w:tcBorders>
            <w:vAlign w:val="center"/>
          </w:tcPr>
          <w:p w14:paraId="0DFC3217">
            <w:pPr>
              <w:widowControl/>
              <w:jc w:val="center"/>
              <w:rPr>
                <w:color w:val="auto"/>
                <w:sz w:val="21"/>
                <w:szCs w:val="21"/>
                <w:highlight w:val="none"/>
              </w:rPr>
            </w:pPr>
            <w:r>
              <w:rPr>
                <w:rFonts w:hint="eastAsia"/>
                <w:color w:val="auto"/>
                <w:sz w:val="21"/>
                <w:szCs w:val="21"/>
                <w:highlight w:val="none"/>
              </w:rPr>
              <w:t>　</w:t>
            </w:r>
          </w:p>
        </w:tc>
        <w:tc>
          <w:tcPr>
            <w:tcW w:w="1400" w:type="dxa"/>
            <w:tcBorders>
              <w:top w:val="nil"/>
              <w:left w:val="nil"/>
              <w:bottom w:val="single" w:color="auto" w:sz="4" w:space="0"/>
              <w:right w:val="single" w:color="auto" w:sz="4" w:space="0"/>
            </w:tcBorders>
            <w:vAlign w:val="center"/>
          </w:tcPr>
          <w:p w14:paraId="1A465088">
            <w:pPr>
              <w:widowControl/>
              <w:jc w:val="center"/>
              <w:rPr>
                <w:color w:val="auto"/>
                <w:sz w:val="21"/>
                <w:szCs w:val="21"/>
                <w:highlight w:val="none"/>
              </w:rPr>
            </w:pPr>
            <w:r>
              <w:rPr>
                <w:rFonts w:hint="eastAsia"/>
                <w:color w:val="auto"/>
                <w:sz w:val="21"/>
                <w:szCs w:val="21"/>
                <w:highlight w:val="none"/>
              </w:rPr>
              <w:t>　</w:t>
            </w:r>
          </w:p>
        </w:tc>
      </w:tr>
      <w:tr w14:paraId="1E0A940C">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vAlign w:val="center"/>
          </w:tcPr>
          <w:p w14:paraId="65507CCC">
            <w:pPr>
              <w:widowControl/>
              <w:jc w:val="center"/>
              <w:rPr>
                <w:color w:val="auto"/>
                <w:sz w:val="21"/>
                <w:szCs w:val="21"/>
                <w:highlight w:val="none"/>
              </w:rPr>
            </w:pPr>
            <w:r>
              <w:rPr>
                <w:rFonts w:hint="eastAsia"/>
                <w:color w:val="auto"/>
                <w:sz w:val="21"/>
                <w:szCs w:val="21"/>
                <w:highlight w:val="none"/>
              </w:rPr>
              <w:t>3</w:t>
            </w:r>
          </w:p>
        </w:tc>
        <w:tc>
          <w:tcPr>
            <w:tcW w:w="1400" w:type="dxa"/>
            <w:tcBorders>
              <w:top w:val="nil"/>
              <w:left w:val="nil"/>
              <w:bottom w:val="single" w:color="auto" w:sz="4" w:space="0"/>
              <w:right w:val="single" w:color="auto" w:sz="4" w:space="0"/>
            </w:tcBorders>
            <w:vAlign w:val="center"/>
          </w:tcPr>
          <w:p w14:paraId="1C9CC5E9">
            <w:pPr>
              <w:widowControl/>
              <w:jc w:val="center"/>
              <w:rPr>
                <w:color w:val="auto"/>
                <w:sz w:val="21"/>
                <w:szCs w:val="21"/>
                <w:highlight w:val="none"/>
              </w:rPr>
            </w:pPr>
            <w:r>
              <w:rPr>
                <w:rFonts w:hint="eastAsia"/>
                <w:color w:val="auto"/>
                <w:sz w:val="21"/>
                <w:szCs w:val="21"/>
                <w:highlight w:val="none"/>
              </w:rPr>
              <w:t>　</w:t>
            </w:r>
          </w:p>
        </w:tc>
        <w:tc>
          <w:tcPr>
            <w:tcW w:w="1400" w:type="dxa"/>
            <w:tcBorders>
              <w:top w:val="nil"/>
              <w:left w:val="nil"/>
              <w:bottom w:val="single" w:color="auto" w:sz="4" w:space="0"/>
              <w:right w:val="single" w:color="auto" w:sz="4" w:space="0"/>
            </w:tcBorders>
            <w:vAlign w:val="center"/>
          </w:tcPr>
          <w:p w14:paraId="141BFD79">
            <w:pPr>
              <w:widowControl/>
              <w:jc w:val="center"/>
              <w:rPr>
                <w:color w:val="auto"/>
                <w:sz w:val="21"/>
                <w:szCs w:val="21"/>
                <w:highlight w:val="none"/>
              </w:rPr>
            </w:pPr>
            <w:r>
              <w:rPr>
                <w:rFonts w:hint="eastAsia"/>
                <w:color w:val="auto"/>
                <w:sz w:val="21"/>
                <w:szCs w:val="21"/>
                <w:highlight w:val="none"/>
              </w:rPr>
              <w:t>　</w:t>
            </w:r>
          </w:p>
        </w:tc>
        <w:tc>
          <w:tcPr>
            <w:tcW w:w="1400" w:type="dxa"/>
            <w:tcBorders>
              <w:top w:val="nil"/>
              <w:left w:val="nil"/>
              <w:bottom w:val="single" w:color="auto" w:sz="4" w:space="0"/>
              <w:right w:val="single" w:color="auto" w:sz="4" w:space="0"/>
            </w:tcBorders>
            <w:vAlign w:val="center"/>
          </w:tcPr>
          <w:p w14:paraId="69C72B62">
            <w:pPr>
              <w:widowControl/>
              <w:jc w:val="center"/>
              <w:rPr>
                <w:color w:val="auto"/>
                <w:sz w:val="21"/>
                <w:szCs w:val="21"/>
                <w:highlight w:val="none"/>
              </w:rPr>
            </w:pPr>
            <w:r>
              <w:rPr>
                <w:rFonts w:hint="eastAsia"/>
                <w:color w:val="auto"/>
                <w:sz w:val="21"/>
                <w:szCs w:val="21"/>
                <w:highlight w:val="none"/>
              </w:rPr>
              <w:t>　</w:t>
            </w:r>
          </w:p>
        </w:tc>
      </w:tr>
      <w:tr w14:paraId="2197A188">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vAlign w:val="center"/>
          </w:tcPr>
          <w:p w14:paraId="1FB9A255">
            <w:pPr>
              <w:widowControl/>
              <w:jc w:val="center"/>
              <w:rPr>
                <w:color w:val="auto"/>
                <w:sz w:val="21"/>
                <w:szCs w:val="21"/>
                <w:highlight w:val="none"/>
              </w:rPr>
            </w:pPr>
            <w:r>
              <w:rPr>
                <w:rFonts w:hint="eastAsia"/>
                <w:color w:val="auto"/>
                <w:sz w:val="21"/>
                <w:szCs w:val="21"/>
                <w:highlight w:val="none"/>
              </w:rPr>
              <w:t>4</w:t>
            </w:r>
          </w:p>
        </w:tc>
        <w:tc>
          <w:tcPr>
            <w:tcW w:w="1400" w:type="dxa"/>
            <w:tcBorders>
              <w:top w:val="nil"/>
              <w:left w:val="nil"/>
              <w:bottom w:val="single" w:color="auto" w:sz="4" w:space="0"/>
              <w:right w:val="single" w:color="auto" w:sz="4" w:space="0"/>
            </w:tcBorders>
            <w:vAlign w:val="center"/>
          </w:tcPr>
          <w:p w14:paraId="48CA2E33">
            <w:pPr>
              <w:widowControl/>
              <w:jc w:val="center"/>
              <w:rPr>
                <w:color w:val="auto"/>
                <w:sz w:val="21"/>
                <w:szCs w:val="21"/>
                <w:highlight w:val="none"/>
              </w:rPr>
            </w:pPr>
            <w:r>
              <w:rPr>
                <w:rFonts w:hint="eastAsia"/>
                <w:color w:val="auto"/>
                <w:sz w:val="21"/>
                <w:szCs w:val="21"/>
                <w:highlight w:val="none"/>
              </w:rPr>
              <w:t>　</w:t>
            </w:r>
          </w:p>
        </w:tc>
        <w:tc>
          <w:tcPr>
            <w:tcW w:w="1400" w:type="dxa"/>
            <w:tcBorders>
              <w:top w:val="nil"/>
              <w:left w:val="nil"/>
              <w:bottom w:val="single" w:color="auto" w:sz="4" w:space="0"/>
              <w:right w:val="single" w:color="auto" w:sz="4" w:space="0"/>
            </w:tcBorders>
            <w:vAlign w:val="center"/>
          </w:tcPr>
          <w:p w14:paraId="2200D8E8">
            <w:pPr>
              <w:widowControl/>
              <w:jc w:val="center"/>
              <w:rPr>
                <w:color w:val="auto"/>
                <w:sz w:val="21"/>
                <w:szCs w:val="21"/>
                <w:highlight w:val="none"/>
              </w:rPr>
            </w:pPr>
            <w:r>
              <w:rPr>
                <w:rFonts w:hint="eastAsia"/>
                <w:color w:val="auto"/>
                <w:sz w:val="21"/>
                <w:szCs w:val="21"/>
                <w:highlight w:val="none"/>
              </w:rPr>
              <w:t>　</w:t>
            </w:r>
          </w:p>
        </w:tc>
        <w:tc>
          <w:tcPr>
            <w:tcW w:w="1400" w:type="dxa"/>
            <w:tcBorders>
              <w:top w:val="nil"/>
              <w:left w:val="nil"/>
              <w:bottom w:val="single" w:color="auto" w:sz="4" w:space="0"/>
              <w:right w:val="single" w:color="auto" w:sz="4" w:space="0"/>
            </w:tcBorders>
            <w:vAlign w:val="center"/>
          </w:tcPr>
          <w:p w14:paraId="2D9582D4">
            <w:pPr>
              <w:widowControl/>
              <w:jc w:val="center"/>
              <w:rPr>
                <w:color w:val="auto"/>
                <w:sz w:val="21"/>
                <w:szCs w:val="21"/>
                <w:highlight w:val="none"/>
              </w:rPr>
            </w:pPr>
            <w:r>
              <w:rPr>
                <w:rFonts w:hint="eastAsia"/>
                <w:color w:val="auto"/>
                <w:sz w:val="21"/>
                <w:szCs w:val="21"/>
                <w:highlight w:val="none"/>
              </w:rPr>
              <w:t>　</w:t>
            </w:r>
          </w:p>
        </w:tc>
      </w:tr>
      <w:tr w14:paraId="0FC70A74">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vAlign w:val="center"/>
          </w:tcPr>
          <w:p w14:paraId="27D6AC0F">
            <w:pPr>
              <w:widowControl/>
              <w:jc w:val="center"/>
              <w:rPr>
                <w:color w:val="auto"/>
                <w:sz w:val="21"/>
                <w:szCs w:val="21"/>
                <w:highlight w:val="none"/>
              </w:rPr>
            </w:pPr>
            <w:r>
              <w:rPr>
                <w:rFonts w:hint="eastAsia"/>
                <w:color w:val="auto"/>
                <w:sz w:val="21"/>
                <w:szCs w:val="21"/>
                <w:highlight w:val="none"/>
              </w:rPr>
              <w:t>5</w:t>
            </w:r>
          </w:p>
        </w:tc>
        <w:tc>
          <w:tcPr>
            <w:tcW w:w="1400" w:type="dxa"/>
            <w:tcBorders>
              <w:top w:val="nil"/>
              <w:left w:val="nil"/>
              <w:bottom w:val="single" w:color="auto" w:sz="4" w:space="0"/>
              <w:right w:val="single" w:color="auto" w:sz="4" w:space="0"/>
            </w:tcBorders>
            <w:vAlign w:val="center"/>
          </w:tcPr>
          <w:p w14:paraId="7D29688F">
            <w:pPr>
              <w:widowControl/>
              <w:jc w:val="center"/>
              <w:rPr>
                <w:color w:val="auto"/>
                <w:sz w:val="21"/>
                <w:szCs w:val="21"/>
                <w:highlight w:val="none"/>
              </w:rPr>
            </w:pPr>
            <w:r>
              <w:rPr>
                <w:rFonts w:hint="eastAsia"/>
                <w:color w:val="auto"/>
                <w:sz w:val="21"/>
                <w:szCs w:val="21"/>
                <w:highlight w:val="none"/>
              </w:rPr>
              <w:t>　</w:t>
            </w:r>
          </w:p>
        </w:tc>
        <w:tc>
          <w:tcPr>
            <w:tcW w:w="1400" w:type="dxa"/>
            <w:tcBorders>
              <w:top w:val="nil"/>
              <w:left w:val="nil"/>
              <w:bottom w:val="single" w:color="auto" w:sz="4" w:space="0"/>
              <w:right w:val="single" w:color="auto" w:sz="4" w:space="0"/>
            </w:tcBorders>
            <w:vAlign w:val="center"/>
          </w:tcPr>
          <w:p w14:paraId="2F5C70C1">
            <w:pPr>
              <w:widowControl/>
              <w:jc w:val="center"/>
              <w:rPr>
                <w:color w:val="auto"/>
                <w:sz w:val="21"/>
                <w:szCs w:val="21"/>
                <w:highlight w:val="none"/>
              </w:rPr>
            </w:pPr>
            <w:r>
              <w:rPr>
                <w:rFonts w:hint="eastAsia"/>
                <w:color w:val="auto"/>
                <w:sz w:val="21"/>
                <w:szCs w:val="21"/>
                <w:highlight w:val="none"/>
              </w:rPr>
              <w:t>　</w:t>
            </w:r>
          </w:p>
        </w:tc>
        <w:tc>
          <w:tcPr>
            <w:tcW w:w="1400" w:type="dxa"/>
            <w:tcBorders>
              <w:top w:val="nil"/>
              <w:left w:val="nil"/>
              <w:bottom w:val="single" w:color="auto" w:sz="4" w:space="0"/>
              <w:right w:val="single" w:color="auto" w:sz="4" w:space="0"/>
            </w:tcBorders>
            <w:vAlign w:val="center"/>
          </w:tcPr>
          <w:p w14:paraId="444AE1B4">
            <w:pPr>
              <w:widowControl/>
              <w:jc w:val="center"/>
              <w:rPr>
                <w:color w:val="auto"/>
                <w:sz w:val="21"/>
                <w:szCs w:val="21"/>
                <w:highlight w:val="none"/>
              </w:rPr>
            </w:pPr>
            <w:r>
              <w:rPr>
                <w:rFonts w:hint="eastAsia"/>
                <w:color w:val="auto"/>
                <w:sz w:val="21"/>
                <w:szCs w:val="21"/>
                <w:highlight w:val="none"/>
              </w:rPr>
              <w:t>　</w:t>
            </w:r>
          </w:p>
        </w:tc>
      </w:tr>
    </w:tbl>
    <w:p w14:paraId="65BA98DA">
      <w:pPr>
        <w:tabs>
          <w:tab w:val="left" w:pos="720"/>
        </w:tabs>
        <w:snapToGrid w:val="0"/>
        <w:spacing w:line="360" w:lineRule="auto"/>
        <w:ind w:left="992"/>
        <w:rPr>
          <w:bCs/>
          <w:color w:val="auto"/>
          <w:sz w:val="21"/>
          <w:szCs w:val="21"/>
          <w:highlight w:val="none"/>
        </w:rPr>
      </w:pPr>
    </w:p>
    <w:p w14:paraId="5915A1C3">
      <w:pPr>
        <w:numPr>
          <w:ilvl w:val="1"/>
          <w:numId w:val="15"/>
        </w:numPr>
        <w:tabs>
          <w:tab w:val="left" w:pos="720"/>
        </w:tabs>
        <w:snapToGrid w:val="0"/>
        <w:spacing w:line="360" w:lineRule="auto"/>
        <w:rPr>
          <w:bCs/>
          <w:color w:val="auto"/>
          <w:sz w:val="21"/>
          <w:szCs w:val="21"/>
          <w:highlight w:val="none"/>
        </w:rPr>
      </w:pPr>
      <w:r>
        <w:rPr>
          <w:rFonts w:hint="eastAsia"/>
          <w:bCs/>
          <w:color w:val="auto"/>
          <w:sz w:val="21"/>
          <w:szCs w:val="21"/>
          <w:highlight w:val="none"/>
        </w:rPr>
        <w:t>投标人递交异议函时，非法定代表人（投标人为法人时）或主要负责人（投标人为其他组织时）亲自办理的，需提供授权委托书（应载明授权代表的姓名或者名称、代理事项、具体权限、期限和相关事项）及授权代表身份证复印件。</w:t>
      </w:r>
    </w:p>
    <w:p w14:paraId="22F2236F">
      <w:pPr>
        <w:numPr>
          <w:ilvl w:val="1"/>
          <w:numId w:val="15"/>
        </w:numPr>
        <w:tabs>
          <w:tab w:val="left" w:pos="720"/>
        </w:tabs>
        <w:snapToGrid w:val="0"/>
        <w:spacing w:line="360" w:lineRule="auto"/>
        <w:rPr>
          <w:bCs/>
          <w:color w:val="auto"/>
          <w:sz w:val="21"/>
          <w:szCs w:val="21"/>
          <w:highlight w:val="none"/>
        </w:rPr>
      </w:pPr>
      <w:r>
        <w:rPr>
          <w:rFonts w:hint="eastAsia"/>
          <w:bCs/>
          <w:color w:val="auto"/>
          <w:sz w:val="21"/>
          <w:szCs w:val="21"/>
          <w:highlight w:val="none"/>
        </w:rPr>
        <w:t>投标人捏造事实、提供虚假材料或者以非法手段取得证明材料不能作为异议的证明材料。</w:t>
      </w:r>
    </w:p>
    <w:p w14:paraId="60D0E7A5">
      <w:pPr>
        <w:numPr>
          <w:ilvl w:val="1"/>
          <w:numId w:val="15"/>
        </w:numPr>
        <w:tabs>
          <w:tab w:val="left" w:pos="720"/>
        </w:tabs>
        <w:snapToGrid w:val="0"/>
        <w:spacing w:line="360" w:lineRule="auto"/>
        <w:rPr>
          <w:bCs/>
          <w:color w:val="auto"/>
          <w:sz w:val="21"/>
          <w:szCs w:val="21"/>
          <w:highlight w:val="none"/>
        </w:rPr>
      </w:pPr>
      <w:r>
        <w:rPr>
          <w:rFonts w:hint="eastAsia"/>
          <w:bCs/>
          <w:color w:val="auto"/>
          <w:sz w:val="21"/>
          <w:szCs w:val="21"/>
          <w:highlight w:val="none"/>
        </w:rPr>
        <w:t>招标人或招标代理机构接收以书面纸质形式当面递交的异议函，不接受以邮寄、电子邮件、传真等方式提出的异议。</w:t>
      </w:r>
    </w:p>
    <w:p w14:paraId="1B34B632">
      <w:pPr>
        <w:numPr>
          <w:ilvl w:val="1"/>
          <w:numId w:val="15"/>
        </w:numPr>
        <w:tabs>
          <w:tab w:val="left" w:pos="720"/>
        </w:tabs>
        <w:snapToGrid w:val="0"/>
        <w:spacing w:line="360" w:lineRule="auto"/>
        <w:rPr>
          <w:color w:val="auto"/>
          <w:sz w:val="21"/>
          <w:szCs w:val="21"/>
          <w:highlight w:val="none"/>
        </w:rPr>
      </w:pPr>
      <w:r>
        <w:rPr>
          <w:rFonts w:hint="eastAsia"/>
          <w:color w:val="auto"/>
          <w:sz w:val="21"/>
          <w:szCs w:val="21"/>
          <w:highlight w:val="none"/>
        </w:rPr>
        <w:t>异议联系方式</w:t>
      </w:r>
    </w:p>
    <w:p w14:paraId="4CD8AC64">
      <w:pPr>
        <w:spacing w:line="360" w:lineRule="auto"/>
        <w:ind w:firstLine="1100" w:firstLineChars="500"/>
        <w:rPr>
          <w:rFonts w:hint="eastAsia" w:ascii="宋体" w:hAnsi="宋体" w:eastAsia="宋体" w:cs="宋体"/>
          <w:color w:val="auto"/>
          <w:szCs w:val="21"/>
          <w:highlight w:val="none"/>
          <w:lang w:eastAsia="zh-CN"/>
        </w:rPr>
      </w:pPr>
      <w:bookmarkStart w:id="129" w:name="_Toc368513812"/>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lang w:eastAsia="zh-CN"/>
        </w:rPr>
        <w:t xml:space="preserve"> 广州市天河区车陂街车陂股份合作经济联社 </w:t>
      </w:r>
    </w:p>
    <w:p w14:paraId="65322490">
      <w:pPr>
        <w:spacing w:line="360" w:lineRule="auto"/>
        <w:ind w:firstLine="1100" w:firstLineChars="500"/>
        <w:rPr>
          <w:rFonts w:hint="eastAsia" w:ascii="宋体" w:hAnsi="宋体" w:eastAsia="宋体" w:cs="宋体"/>
          <w:color w:val="auto"/>
          <w:sz w:val="22"/>
          <w:szCs w:val="21"/>
          <w:highlight w:val="none"/>
          <w:u w:val="none"/>
        </w:rPr>
      </w:pPr>
      <w:r>
        <w:rPr>
          <w:rFonts w:hint="eastAsia" w:ascii="宋体" w:hAnsi="宋体" w:eastAsia="宋体" w:cs="宋体"/>
          <w:color w:val="auto"/>
          <w:szCs w:val="21"/>
          <w:highlight w:val="none"/>
        </w:rPr>
        <w:t>招标人地址：</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 w:val="22"/>
          <w:szCs w:val="21"/>
          <w:highlight w:val="none"/>
          <w:u w:val="none"/>
        </w:rPr>
        <w:t>广州市天河区车陂美东街28号</w:t>
      </w:r>
    </w:p>
    <w:p w14:paraId="648AF5CE">
      <w:pPr>
        <w:spacing w:line="360" w:lineRule="auto"/>
        <w:ind w:firstLine="1100" w:firstLineChars="500"/>
        <w:rPr>
          <w:rFonts w:hint="eastAsia" w:ascii="宋体" w:hAnsi="宋体" w:eastAsia="宋体" w:cs="宋体"/>
          <w:color w:val="auto"/>
          <w:sz w:val="22"/>
          <w:szCs w:val="21"/>
          <w:highlight w:val="none"/>
          <w:u w:val="none"/>
          <w:lang w:val="en-US" w:eastAsia="zh-CN"/>
        </w:rPr>
      </w:pPr>
      <w:r>
        <w:rPr>
          <w:rFonts w:hint="eastAsia" w:ascii="宋体" w:hAnsi="宋体" w:eastAsia="宋体" w:cs="宋体"/>
          <w:color w:val="auto"/>
          <w:sz w:val="22"/>
          <w:szCs w:val="21"/>
          <w:highlight w:val="none"/>
          <w:u w:val="none"/>
          <w:lang w:val="en-US" w:eastAsia="zh-CN"/>
        </w:rPr>
        <w:t>联系人：苏先生</w:t>
      </w:r>
    </w:p>
    <w:p w14:paraId="07B02DDF">
      <w:pPr>
        <w:spacing w:line="360" w:lineRule="auto"/>
        <w:ind w:firstLine="1100" w:firstLineChars="500"/>
        <w:rPr>
          <w:rFonts w:hint="eastAsia" w:ascii="宋体" w:hAnsi="宋体" w:eastAsia="宋体" w:cs="宋体"/>
          <w:color w:val="auto"/>
          <w:sz w:val="22"/>
          <w:szCs w:val="21"/>
          <w:highlight w:val="none"/>
          <w:u w:val="none"/>
          <w:lang w:val="en-US" w:eastAsia="zh-CN"/>
        </w:rPr>
      </w:pPr>
      <w:r>
        <w:rPr>
          <w:rFonts w:hint="eastAsia" w:ascii="宋体" w:hAnsi="宋体" w:eastAsia="宋体" w:cs="宋体"/>
          <w:color w:val="auto"/>
          <w:sz w:val="22"/>
          <w:szCs w:val="21"/>
          <w:highlight w:val="none"/>
        </w:rPr>
        <w:t>联系</w:t>
      </w:r>
      <w:r>
        <w:rPr>
          <w:rFonts w:hint="eastAsia" w:ascii="宋体" w:hAnsi="宋体" w:eastAsia="宋体" w:cs="宋体"/>
          <w:color w:val="auto"/>
          <w:sz w:val="22"/>
          <w:szCs w:val="21"/>
          <w:highlight w:val="none"/>
          <w:lang w:val="en-US" w:eastAsia="zh-CN"/>
        </w:rPr>
        <w:t>方式</w:t>
      </w:r>
      <w:r>
        <w:rPr>
          <w:rFonts w:hint="eastAsia" w:ascii="宋体" w:hAnsi="宋体" w:eastAsia="宋体" w:cs="宋体"/>
          <w:color w:val="auto"/>
          <w:sz w:val="22"/>
          <w:szCs w:val="21"/>
          <w:highlight w:val="none"/>
        </w:rPr>
        <w:t>：</w:t>
      </w:r>
      <w:r>
        <w:rPr>
          <w:rFonts w:hint="eastAsia" w:ascii="宋体" w:hAnsi="宋体" w:eastAsia="宋体" w:cs="宋体"/>
          <w:color w:val="auto"/>
          <w:sz w:val="22"/>
          <w:szCs w:val="21"/>
          <w:highlight w:val="none"/>
          <w:u w:val="none"/>
        </w:rPr>
        <w:t xml:space="preserve"> 020-82161155</w:t>
      </w:r>
    </w:p>
    <w:p w14:paraId="29818A31">
      <w:pPr>
        <w:widowControl/>
        <w:spacing w:line="360" w:lineRule="auto"/>
        <w:ind w:left="678" w:leftChars="308"/>
        <w:rPr>
          <w:color w:val="auto"/>
          <w:highlight w:val="none"/>
          <w:lang w:val="en-US"/>
        </w:rPr>
      </w:pPr>
    </w:p>
    <w:p w14:paraId="5E846CDC">
      <w:pPr>
        <w:pStyle w:val="2"/>
        <w:spacing w:line="360" w:lineRule="auto"/>
        <w:jc w:val="center"/>
        <w:rPr>
          <w:b/>
          <w:bCs/>
          <w:color w:val="auto"/>
          <w:sz w:val="32"/>
          <w:szCs w:val="32"/>
          <w:highlight w:val="none"/>
        </w:rPr>
      </w:pPr>
      <w:r>
        <w:rPr>
          <w:rFonts w:hint="eastAsia"/>
          <w:b/>
          <w:bCs/>
          <w:color w:val="auto"/>
          <w:sz w:val="32"/>
          <w:szCs w:val="32"/>
          <w:highlight w:val="none"/>
        </w:rPr>
        <w:br w:type="page"/>
      </w:r>
      <w:bookmarkEnd w:id="129"/>
      <w:bookmarkStart w:id="130" w:name="_Toc29825803"/>
      <w:bookmarkStart w:id="131" w:name="_Toc368513813"/>
      <w:bookmarkStart w:id="132" w:name="_Toc86349464"/>
      <w:r>
        <w:rPr>
          <w:rFonts w:hint="eastAsia"/>
          <w:b/>
          <w:bCs/>
          <w:color w:val="auto"/>
          <w:sz w:val="32"/>
          <w:szCs w:val="32"/>
          <w:highlight w:val="none"/>
        </w:rPr>
        <w:t xml:space="preserve">第三部分 </w:t>
      </w:r>
      <w:bookmarkEnd w:id="130"/>
      <w:bookmarkEnd w:id="131"/>
      <w:bookmarkStart w:id="133" w:name="_Ref216769110"/>
      <w:bookmarkStart w:id="134" w:name="_Toc214971835"/>
      <w:bookmarkStart w:id="135" w:name="_Ref222720248"/>
      <w:bookmarkStart w:id="136" w:name="_Ref216769015"/>
      <w:bookmarkStart w:id="137" w:name="_Ref216768984"/>
      <w:bookmarkStart w:id="138" w:name="_Toc357007289"/>
      <w:bookmarkStart w:id="139" w:name="_Ref216768962"/>
      <w:bookmarkStart w:id="140" w:name="_Ref216769170"/>
      <w:bookmarkStart w:id="141" w:name="_Toc214939674"/>
      <w:r>
        <w:rPr>
          <w:rFonts w:hint="eastAsia"/>
          <w:b/>
          <w:bCs/>
          <w:color w:val="auto"/>
          <w:sz w:val="32"/>
          <w:szCs w:val="32"/>
          <w:highlight w:val="none"/>
        </w:rPr>
        <w:t>用户需求书</w:t>
      </w:r>
      <w:bookmarkEnd w:id="132"/>
    </w:p>
    <w:bookmarkEnd w:id="133"/>
    <w:bookmarkEnd w:id="134"/>
    <w:bookmarkEnd w:id="135"/>
    <w:bookmarkEnd w:id="136"/>
    <w:bookmarkEnd w:id="137"/>
    <w:bookmarkEnd w:id="138"/>
    <w:bookmarkEnd w:id="139"/>
    <w:bookmarkEnd w:id="140"/>
    <w:bookmarkEnd w:id="141"/>
    <w:p w14:paraId="49E2C515">
      <w:pPr>
        <w:tabs>
          <w:tab w:val="left" w:pos="420"/>
          <w:tab w:val="left" w:pos="1800"/>
        </w:tabs>
        <w:autoSpaceDE/>
        <w:spacing w:line="360" w:lineRule="auto"/>
        <w:jc w:val="both"/>
        <w:rPr>
          <w:b/>
          <w:color w:val="auto"/>
          <w:sz w:val="30"/>
          <w:szCs w:val="30"/>
          <w:highlight w:val="none"/>
        </w:rPr>
      </w:pPr>
      <w:r>
        <w:rPr>
          <w:rFonts w:hint="eastAsia"/>
          <w:b/>
          <w:color w:val="auto"/>
          <w:sz w:val="30"/>
          <w:szCs w:val="30"/>
          <w:highlight w:val="none"/>
        </w:rPr>
        <w:t>说明</w:t>
      </w:r>
    </w:p>
    <w:p w14:paraId="598656C5">
      <w:pPr>
        <w:tabs>
          <w:tab w:val="left" w:pos="420"/>
          <w:tab w:val="left" w:pos="1800"/>
        </w:tabs>
        <w:autoSpaceDE/>
        <w:spacing w:line="360" w:lineRule="auto"/>
        <w:jc w:val="both"/>
        <w:rPr>
          <w:b/>
          <w:color w:val="auto"/>
          <w:sz w:val="24"/>
          <w:highlight w:val="none"/>
        </w:rPr>
      </w:pPr>
      <w:r>
        <w:rPr>
          <w:rFonts w:hint="eastAsia"/>
          <w:b/>
          <w:color w:val="auto"/>
          <w:sz w:val="24"/>
          <w:highlight w:val="none"/>
        </w:rPr>
        <w:t>1、本招标文件采购项目内容中，凡标有“★”的地方均被视为主要条款。投标人要特别加以注意，必须对此回答并完全满足或优于这些要求。否则若有一项带“★”的条款未响应或不满足，将按无效标处理。带“▲”条款为重要响应条款，如不响应将严重影响技术评分。</w:t>
      </w:r>
    </w:p>
    <w:p w14:paraId="7DC3A24E">
      <w:pPr>
        <w:spacing w:line="460" w:lineRule="exact"/>
        <w:rPr>
          <w:b/>
          <w:color w:val="auto"/>
          <w:sz w:val="24"/>
          <w:highlight w:val="none"/>
        </w:rPr>
      </w:pPr>
      <w:r>
        <w:rPr>
          <w:rFonts w:hint="eastAsia"/>
          <w:b/>
          <w:color w:val="auto"/>
          <w:sz w:val="24"/>
          <w:highlight w:val="none"/>
        </w:rPr>
        <w:t>2、招标人根据价格测算情况，设定了本项目的最高限价。对报价明显低于其他投标人或者在设有标底时明显低于标底的，须提供详细的成本分析等书面说明材料；由评标委员会认定该投标人以低于成本价竞标，有可能影响产品质量或者不能诚信履约的，投标人不能证明其报价合理性或者不能在评标委员会规定的时间内提供相关证明材料的，评标委员会将其作为无效投标处理。</w:t>
      </w:r>
    </w:p>
    <w:p w14:paraId="3602E855">
      <w:pPr>
        <w:rPr>
          <w:color w:val="auto"/>
          <w:highlight w:val="none"/>
        </w:rPr>
      </w:pPr>
    </w:p>
    <w:p w14:paraId="268ABCF0">
      <w:pPr>
        <w:pStyle w:val="89"/>
        <w:ind w:firstLine="560" w:firstLineChars="200"/>
        <w:outlineLvl w:val="2"/>
        <w:rPr>
          <w:rFonts w:hint="default"/>
          <w:color w:val="auto"/>
          <w:highlight w:val="none"/>
        </w:rPr>
      </w:pPr>
      <w:bookmarkStart w:id="142" w:name="_Toc29825802"/>
      <w:bookmarkStart w:id="143" w:name="_Toc86349465"/>
      <w:bookmarkStart w:id="144" w:name="_Toc368513814"/>
      <w:bookmarkStart w:id="145" w:name="_Toc29825804"/>
      <w:r>
        <w:rPr>
          <w:b/>
          <w:color w:val="auto"/>
          <w:sz w:val="28"/>
          <w:highlight w:val="none"/>
        </w:rPr>
        <w:t>一、项目概况：</w:t>
      </w:r>
    </w:p>
    <w:p w14:paraId="100D8C67">
      <w:pPr>
        <w:pStyle w:val="89"/>
        <w:spacing w:line="360" w:lineRule="auto"/>
        <w:ind w:firstLine="480"/>
        <w:jc w:val="both"/>
        <w:rPr>
          <w:rFonts w:hint="default"/>
          <w:color w:val="auto"/>
          <w:highlight w:val="none"/>
        </w:rPr>
      </w:pPr>
      <w:r>
        <w:rPr>
          <w:color w:val="auto"/>
          <w:sz w:val="24"/>
          <w:highlight w:val="none"/>
        </w:rPr>
        <w:t>项目属性：服务类</w:t>
      </w:r>
    </w:p>
    <w:p w14:paraId="19B1024E">
      <w:pPr>
        <w:pStyle w:val="89"/>
        <w:spacing w:line="360" w:lineRule="auto"/>
        <w:ind w:firstLine="480"/>
        <w:jc w:val="both"/>
        <w:rPr>
          <w:rFonts w:hint="default"/>
          <w:color w:val="auto"/>
          <w:sz w:val="24"/>
          <w:highlight w:val="none"/>
          <w:lang w:eastAsia="zh-CN"/>
        </w:rPr>
      </w:pPr>
      <w:r>
        <w:rPr>
          <w:color w:val="auto"/>
          <w:sz w:val="24"/>
          <w:highlight w:val="none"/>
        </w:rPr>
        <w:t>品目类别：</w:t>
      </w:r>
      <w:r>
        <w:rPr>
          <w:color w:val="auto"/>
          <w:sz w:val="24"/>
          <w:highlight w:val="none"/>
          <w:lang w:eastAsia="zh-CN"/>
        </w:rPr>
        <w:t>物业管理服务</w:t>
      </w:r>
      <w:r>
        <w:rPr>
          <w:rFonts w:hint="eastAsia"/>
          <w:color w:val="auto"/>
          <w:sz w:val="24"/>
          <w:highlight w:val="none"/>
          <w:lang w:eastAsia="zh-CN"/>
        </w:rPr>
        <w:t>（C21040000）</w:t>
      </w:r>
    </w:p>
    <w:p w14:paraId="4071E073">
      <w:pPr>
        <w:pStyle w:val="89"/>
        <w:spacing w:line="360" w:lineRule="auto"/>
        <w:ind w:firstLine="480"/>
        <w:jc w:val="both"/>
        <w:rPr>
          <w:rFonts w:hint="eastAsia" w:eastAsiaTheme="minorEastAsia"/>
          <w:color w:val="auto"/>
          <w:highlight w:val="none"/>
          <w:lang w:eastAsia="zh-CN"/>
        </w:rPr>
      </w:pPr>
      <w:r>
        <w:rPr>
          <w:rFonts w:hint="eastAsia"/>
          <w:color w:val="auto"/>
          <w:sz w:val="24"/>
          <w:highlight w:val="none"/>
          <w:lang w:val="en-US" w:eastAsia="zh-CN"/>
        </w:rPr>
        <w:t>1.</w:t>
      </w:r>
      <w:r>
        <w:rPr>
          <w:color w:val="auto"/>
          <w:sz w:val="24"/>
          <w:highlight w:val="none"/>
        </w:rPr>
        <w:t>采购项目预算金额：</w:t>
      </w:r>
      <w:r>
        <w:rPr>
          <w:rFonts w:hint="eastAsia"/>
          <w:color w:val="auto"/>
          <w:sz w:val="24"/>
          <w:highlight w:val="none"/>
          <w:lang w:val="en-US" w:eastAsia="zh-CN"/>
        </w:rPr>
        <w:t>40574706.80</w:t>
      </w:r>
      <w:r>
        <w:rPr>
          <w:color w:val="auto"/>
          <w:sz w:val="24"/>
          <w:highlight w:val="none"/>
        </w:rPr>
        <w:t>元。</w:t>
      </w:r>
    </w:p>
    <w:p w14:paraId="2C732AE6">
      <w:pPr>
        <w:pStyle w:val="89"/>
        <w:spacing w:line="360" w:lineRule="auto"/>
        <w:ind w:firstLine="480" w:firstLineChars="200"/>
        <w:jc w:val="both"/>
        <w:rPr>
          <w:rFonts w:hint="default"/>
          <w:color w:val="auto"/>
          <w:highlight w:val="none"/>
        </w:rPr>
      </w:pPr>
      <w:r>
        <w:rPr>
          <w:rFonts w:hint="eastAsia"/>
          <w:color w:val="auto"/>
          <w:sz w:val="24"/>
          <w:highlight w:val="none"/>
          <w:lang w:val="en-US" w:eastAsia="zh-CN"/>
        </w:rPr>
        <w:t>2.</w:t>
      </w:r>
      <w:r>
        <w:rPr>
          <w:color w:val="auto"/>
          <w:sz w:val="24"/>
          <w:highlight w:val="none"/>
        </w:rPr>
        <w:t>采购数量：1项。</w:t>
      </w:r>
    </w:p>
    <w:p w14:paraId="1061A598">
      <w:pPr>
        <w:pStyle w:val="89"/>
        <w:spacing w:line="360" w:lineRule="auto"/>
        <w:ind w:firstLine="480" w:firstLineChars="200"/>
        <w:jc w:val="both"/>
        <w:rPr>
          <w:rFonts w:hint="default"/>
          <w:color w:val="auto"/>
          <w:highlight w:val="none"/>
        </w:rPr>
      </w:pPr>
      <w:r>
        <w:rPr>
          <w:rFonts w:hint="eastAsia"/>
          <w:color w:val="auto"/>
          <w:sz w:val="24"/>
          <w:highlight w:val="none"/>
          <w:lang w:val="en-US" w:eastAsia="zh-CN"/>
        </w:rPr>
        <w:t>3.</w:t>
      </w:r>
      <w:r>
        <w:rPr>
          <w:color w:val="auto"/>
          <w:sz w:val="24"/>
          <w:highlight w:val="none"/>
        </w:rPr>
        <w:t>采购数量：</w:t>
      </w:r>
      <w:r>
        <w:rPr>
          <w:rFonts w:hint="eastAsia"/>
          <w:color w:val="auto"/>
          <w:sz w:val="24"/>
          <w:highlight w:val="none"/>
          <w:lang w:val="en-US" w:eastAsia="zh-CN"/>
        </w:rPr>
        <w:t>8</w:t>
      </w:r>
      <w:r>
        <w:rPr>
          <w:color w:val="auto"/>
          <w:sz w:val="24"/>
          <w:highlight w:val="none"/>
        </w:rPr>
        <w:t>年。</w:t>
      </w:r>
    </w:p>
    <w:p w14:paraId="5E95758A">
      <w:pPr>
        <w:pStyle w:val="89"/>
        <w:spacing w:line="360" w:lineRule="auto"/>
        <w:ind w:firstLine="480" w:firstLineChars="200"/>
        <w:jc w:val="both"/>
        <w:rPr>
          <w:rFonts w:hint="default"/>
          <w:color w:val="auto"/>
          <w:highlight w:val="none"/>
        </w:rPr>
      </w:pPr>
      <w:r>
        <w:rPr>
          <w:rFonts w:hint="eastAsia"/>
          <w:color w:val="auto"/>
          <w:sz w:val="24"/>
          <w:highlight w:val="none"/>
          <w:lang w:val="en-US" w:eastAsia="zh-CN"/>
        </w:rPr>
        <w:t>4.</w:t>
      </w:r>
      <w:r>
        <w:rPr>
          <w:color w:val="auto"/>
          <w:sz w:val="24"/>
          <w:highlight w:val="none"/>
        </w:rPr>
        <w:t>采购项目内容及需求：</w:t>
      </w:r>
    </w:p>
    <w:p w14:paraId="2EBB1C95">
      <w:pPr>
        <w:pStyle w:val="89"/>
        <w:spacing w:line="360" w:lineRule="auto"/>
        <w:ind w:firstLine="480"/>
        <w:jc w:val="both"/>
        <w:rPr>
          <w:rFonts w:hint="default"/>
          <w:color w:val="auto"/>
          <w:highlight w:val="none"/>
        </w:rPr>
      </w:pPr>
      <w:r>
        <w:rPr>
          <w:color w:val="auto"/>
          <w:sz w:val="24"/>
          <w:highlight w:val="none"/>
        </w:rPr>
        <w:t>本项目包括</w:t>
      </w:r>
      <w:r>
        <w:rPr>
          <w:rFonts w:hint="eastAsia"/>
          <w:color w:val="auto"/>
          <w:sz w:val="24"/>
          <w:highlight w:val="none"/>
          <w:lang w:val="en-US" w:eastAsia="zh-CN"/>
        </w:rPr>
        <w:t>天河区</w:t>
      </w:r>
      <w:r>
        <w:rPr>
          <w:rFonts w:hint="eastAsia"/>
          <w:color w:val="auto"/>
          <w:sz w:val="24"/>
          <w:highlight w:val="none"/>
        </w:rPr>
        <w:t>新涌口花园</w:t>
      </w:r>
      <w:r>
        <w:rPr>
          <w:color w:val="auto"/>
          <w:sz w:val="24"/>
          <w:highlight w:val="none"/>
        </w:rPr>
        <w:t>，采购一家物业管理服务单位。</w:t>
      </w:r>
    </w:p>
    <w:p w14:paraId="4750496D">
      <w:pPr>
        <w:pStyle w:val="89"/>
        <w:spacing w:line="360" w:lineRule="auto"/>
        <w:ind w:firstLine="480"/>
        <w:jc w:val="both"/>
        <w:rPr>
          <w:color w:val="auto"/>
          <w:sz w:val="24"/>
          <w:highlight w:val="none"/>
        </w:rPr>
      </w:pPr>
      <w:r>
        <w:rPr>
          <w:color w:val="auto"/>
          <w:sz w:val="24"/>
          <w:highlight w:val="none"/>
        </w:rPr>
        <w:t>本项目属于不专门面向中小微企业预留采购份额的项目，原因和情形为：按照《政府采购促进中小企业发展管理办法》规定预留采购份额无法确保充分供应、充分竞争，或者存在可能影响政府采购目标实现的情形。</w:t>
      </w:r>
    </w:p>
    <w:p w14:paraId="7E4C0209">
      <w:pPr>
        <w:pStyle w:val="89"/>
        <w:ind w:firstLine="480"/>
        <w:rPr>
          <w:color w:val="auto"/>
          <w:sz w:val="21"/>
          <w:highlight w:val="none"/>
        </w:rPr>
      </w:pPr>
      <w:r>
        <w:rPr>
          <w:color w:val="auto"/>
          <w:sz w:val="21"/>
          <w:highlight w:val="none"/>
        </w:rPr>
        <w:t>本项目对应的中小企业划分标准所属行业为：</w:t>
      </w:r>
      <w:r>
        <w:rPr>
          <w:b/>
          <w:color w:val="auto"/>
          <w:sz w:val="21"/>
          <w:highlight w:val="none"/>
        </w:rPr>
        <w:t>物业管理</w:t>
      </w:r>
      <w:r>
        <w:rPr>
          <w:color w:val="auto"/>
          <w:sz w:val="21"/>
          <w:highlight w:val="none"/>
        </w:rPr>
        <w:t>。</w:t>
      </w:r>
    </w:p>
    <w:p w14:paraId="2CFAA0A0">
      <w:pPr>
        <w:pStyle w:val="89"/>
        <w:ind w:firstLine="480"/>
        <w:rPr>
          <w:rFonts w:hint="eastAsia"/>
          <w:color w:val="auto"/>
          <w:sz w:val="21"/>
          <w:highlight w:val="none"/>
        </w:rPr>
      </w:pPr>
      <w:r>
        <w:rPr>
          <w:rFonts w:hint="eastAsia"/>
          <w:color w:val="auto"/>
          <w:sz w:val="21"/>
          <w:highlight w:val="none"/>
        </w:rPr>
        <w:t>★中标人应按照《中华人民共和国劳动法》的相关规定发放工资，服务人员工资不得低于广州市企业职工最低工资标准（工资不含按国家规定供应商必须支付的社会保险及其他应付费用）。</w:t>
      </w:r>
    </w:p>
    <w:p w14:paraId="223EC2B6">
      <w:pPr>
        <w:pStyle w:val="89"/>
        <w:ind w:firstLine="480"/>
        <w:rPr>
          <w:rFonts w:hint="eastAsia"/>
          <w:color w:val="auto"/>
          <w:sz w:val="21"/>
          <w:highlight w:val="none"/>
        </w:rPr>
      </w:pPr>
      <w:r>
        <w:rPr>
          <w:rFonts w:hint="eastAsia"/>
          <w:color w:val="auto"/>
          <w:sz w:val="21"/>
          <w:highlight w:val="none"/>
        </w:rPr>
        <w:t>★中标人应按照《中华人民共和国社会保险法》和《住房公积金管理条例》的相关规定，支付国家规定必须购买的社会保险费用和缴存住房公积金。</w:t>
      </w:r>
    </w:p>
    <w:p w14:paraId="5658CBE0">
      <w:pPr>
        <w:pStyle w:val="89"/>
        <w:ind w:firstLine="480"/>
        <w:rPr>
          <w:color w:val="auto"/>
          <w:sz w:val="21"/>
          <w:highlight w:val="none"/>
        </w:rPr>
      </w:pPr>
      <w:r>
        <w:rPr>
          <w:rFonts w:hint="eastAsia"/>
          <w:color w:val="auto"/>
          <w:sz w:val="21"/>
          <w:highlight w:val="none"/>
        </w:rPr>
        <w:t>★中标人自开始保安服务之日起30日内向物业所在地设区的市级人民政府公安机关办理备案。</w:t>
      </w:r>
    </w:p>
    <w:p w14:paraId="241A681D">
      <w:pPr>
        <w:pStyle w:val="89"/>
        <w:spacing w:line="360" w:lineRule="auto"/>
        <w:ind w:firstLine="480"/>
        <w:jc w:val="both"/>
        <w:rPr>
          <w:color w:val="auto"/>
          <w:sz w:val="24"/>
          <w:highlight w:val="none"/>
        </w:rPr>
      </w:pPr>
      <w:r>
        <w:rPr>
          <w:color w:val="auto"/>
          <w:sz w:val="24"/>
          <w:highlight w:val="none"/>
        </w:rPr>
        <w:t>本项目不接受联合体投标。</w:t>
      </w:r>
    </w:p>
    <w:p w14:paraId="5F6D438C">
      <w:pPr>
        <w:pStyle w:val="89"/>
        <w:spacing w:line="360" w:lineRule="auto"/>
        <w:ind w:firstLine="480"/>
        <w:jc w:val="both"/>
        <w:rPr>
          <w:rFonts w:hint="default"/>
          <w:color w:val="auto"/>
          <w:highlight w:val="none"/>
        </w:rPr>
      </w:pPr>
      <w:r>
        <w:rPr>
          <w:b/>
          <w:color w:val="auto"/>
          <w:sz w:val="24"/>
          <w:highlight w:val="none"/>
        </w:rPr>
        <w:t>二、</w:t>
      </w:r>
      <w:r>
        <w:rPr>
          <w:rFonts w:hint="eastAsia"/>
          <w:b/>
          <w:color w:val="auto"/>
          <w:sz w:val="24"/>
          <w:highlight w:val="none"/>
        </w:rPr>
        <w:t>新涌口花园</w:t>
      </w:r>
      <w:r>
        <w:rPr>
          <w:b/>
          <w:color w:val="auto"/>
          <w:sz w:val="24"/>
          <w:highlight w:val="none"/>
        </w:rPr>
        <w:t>概况</w:t>
      </w:r>
    </w:p>
    <w:p w14:paraId="197222E4">
      <w:pPr>
        <w:pStyle w:val="89"/>
        <w:wordWrap w:val="0"/>
        <w:spacing w:line="360" w:lineRule="auto"/>
        <w:ind w:firstLine="482"/>
        <w:rPr>
          <w:rFonts w:hint="default"/>
          <w:color w:val="auto"/>
          <w:sz w:val="24"/>
          <w:szCs w:val="22"/>
          <w:highlight w:val="none"/>
        </w:rPr>
      </w:pPr>
      <w:r>
        <w:rPr>
          <w:rFonts w:hint="eastAsia"/>
          <w:color w:val="auto"/>
          <w:sz w:val="24"/>
          <w:highlight w:val="none"/>
          <w:lang w:val="en-US" w:eastAsia="zh-CN"/>
        </w:rPr>
        <w:t>1.</w:t>
      </w:r>
      <w:r>
        <w:rPr>
          <w:color w:val="auto"/>
          <w:sz w:val="24"/>
          <w:highlight w:val="none"/>
        </w:rPr>
        <w:t>地理位置：位于</w:t>
      </w:r>
      <w:r>
        <w:rPr>
          <w:rFonts w:hint="eastAsia"/>
          <w:color w:val="auto"/>
          <w:sz w:val="24"/>
          <w:highlight w:val="none"/>
        </w:rPr>
        <w:t>新涌口花园项目位于广州市天河区               大道旁</w:t>
      </w:r>
      <w:r>
        <w:rPr>
          <w:color w:val="auto"/>
          <w:sz w:val="24"/>
          <w:highlight w:val="none"/>
          <w:lang w:eastAsia="zh-CN"/>
        </w:rPr>
        <w:t>，为</w:t>
      </w:r>
      <w:r>
        <w:rPr>
          <w:rFonts w:hint="eastAsia"/>
          <w:color w:val="auto"/>
          <w:sz w:val="24"/>
          <w:highlight w:val="none"/>
          <w:lang w:val="en-US" w:eastAsia="zh-CN"/>
        </w:rPr>
        <w:t>安置房</w:t>
      </w:r>
      <w:r>
        <w:rPr>
          <w:color w:val="auto"/>
          <w:sz w:val="24"/>
          <w:highlight w:val="none"/>
          <w:lang w:eastAsia="zh-CN"/>
        </w:rPr>
        <w:t>小区。</w:t>
      </w:r>
      <w:r>
        <w:rPr>
          <w:color w:val="auto"/>
          <w:sz w:val="24"/>
          <w:highlight w:val="none"/>
        </w:rPr>
        <w:t>包括地下</w:t>
      </w:r>
      <w:r>
        <w:rPr>
          <w:rFonts w:hint="eastAsia"/>
          <w:color w:val="auto"/>
          <w:sz w:val="24"/>
          <w:highlight w:val="none"/>
          <w:lang w:val="en-US" w:eastAsia="zh-CN"/>
        </w:rPr>
        <w:t>车库</w:t>
      </w:r>
      <w:r>
        <w:rPr>
          <w:color w:val="auto"/>
          <w:sz w:val="24"/>
          <w:szCs w:val="22"/>
          <w:highlight w:val="none"/>
        </w:rPr>
        <w:t>2层</w:t>
      </w:r>
      <w:r>
        <w:rPr>
          <w:rFonts w:hint="eastAsia"/>
          <w:color w:val="auto"/>
          <w:sz w:val="24"/>
          <w:szCs w:val="22"/>
          <w:highlight w:val="none"/>
          <w:lang w:eastAsia="zh-CN"/>
        </w:rPr>
        <w:t>，</w:t>
      </w:r>
      <w:r>
        <w:rPr>
          <w:rFonts w:hint="eastAsia"/>
          <w:color w:val="auto"/>
          <w:sz w:val="24"/>
          <w:szCs w:val="22"/>
          <w:highlight w:val="none"/>
          <w:lang w:val="en-US" w:eastAsia="zh-CN"/>
        </w:rPr>
        <w:t>7</w:t>
      </w:r>
      <w:r>
        <w:rPr>
          <w:color w:val="auto"/>
          <w:sz w:val="24"/>
          <w:szCs w:val="22"/>
          <w:highlight w:val="none"/>
          <w:lang w:eastAsia="zh-CN"/>
        </w:rPr>
        <w:t>栋</w:t>
      </w:r>
      <w:r>
        <w:rPr>
          <w:color w:val="auto"/>
          <w:sz w:val="24"/>
          <w:szCs w:val="22"/>
          <w:highlight w:val="none"/>
        </w:rPr>
        <w:t>住宅楼，</w:t>
      </w:r>
      <w:r>
        <w:rPr>
          <w:rFonts w:hint="eastAsia"/>
          <w:color w:val="auto"/>
          <w:sz w:val="24"/>
          <w:szCs w:val="22"/>
          <w:highlight w:val="none"/>
          <w:lang w:val="en-US" w:eastAsia="zh-CN"/>
        </w:rPr>
        <w:t>住宅建筑面积为112861.64</w:t>
      </w:r>
      <w:r>
        <w:rPr>
          <w:color w:val="auto"/>
          <w:sz w:val="24"/>
          <w:szCs w:val="22"/>
          <w:highlight w:val="none"/>
        </w:rPr>
        <w:t>㎡</w:t>
      </w:r>
      <w:r>
        <w:rPr>
          <w:rFonts w:hint="eastAsia"/>
          <w:color w:val="auto"/>
          <w:sz w:val="24"/>
          <w:szCs w:val="22"/>
          <w:highlight w:val="none"/>
          <w:lang w:eastAsia="zh-CN"/>
        </w:rPr>
        <w:t>，</w:t>
      </w:r>
      <w:r>
        <w:rPr>
          <w:rFonts w:hint="eastAsia" w:ascii="新宋体" w:hAnsi="新宋体" w:eastAsia="新宋体" w:cs="新宋体"/>
          <w:color w:val="auto"/>
          <w:sz w:val="24"/>
          <w:szCs w:val="24"/>
          <w:highlight w:val="none"/>
          <w:lang w:val="en-US" w:eastAsia="zh-CN"/>
        </w:rPr>
        <w:t>1-3号楼为31层高层住宅，4-7号楼为32层高层住宅，</w:t>
      </w:r>
      <w:r>
        <w:rPr>
          <w:color w:val="auto"/>
          <w:sz w:val="24"/>
          <w:szCs w:val="22"/>
          <w:highlight w:val="none"/>
        </w:rPr>
        <w:t>总用地面积</w:t>
      </w:r>
      <w:r>
        <w:rPr>
          <w:rFonts w:hint="eastAsia"/>
          <w:color w:val="auto"/>
          <w:sz w:val="24"/>
          <w:szCs w:val="22"/>
          <w:highlight w:val="none"/>
          <w:lang w:val="en-US" w:eastAsia="zh-CN"/>
        </w:rPr>
        <w:t>23953</w:t>
      </w:r>
      <w:r>
        <w:rPr>
          <w:color w:val="auto"/>
          <w:sz w:val="24"/>
          <w:szCs w:val="22"/>
          <w:highlight w:val="none"/>
        </w:rPr>
        <w:t>㎡，总建筑面积</w:t>
      </w:r>
      <w:r>
        <w:rPr>
          <w:rFonts w:hint="eastAsia"/>
          <w:color w:val="auto"/>
          <w:sz w:val="24"/>
          <w:szCs w:val="22"/>
          <w:highlight w:val="none"/>
          <w:lang w:val="en-US" w:eastAsia="zh-CN"/>
        </w:rPr>
        <w:t>150947.57</w:t>
      </w:r>
      <w:r>
        <w:rPr>
          <w:color w:val="auto"/>
          <w:sz w:val="24"/>
          <w:szCs w:val="22"/>
          <w:highlight w:val="none"/>
        </w:rPr>
        <w:t>㎡，其中计费面积按总建筑面积</w:t>
      </w:r>
      <w:r>
        <w:rPr>
          <w:rFonts w:hint="eastAsia"/>
          <w:color w:val="auto"/>
          <w:sz w:val="24"/>
          <w:szCs w:val="22"/>
          <w:highlight w:val="none"/>
          <w:lang w:val="en-US" w:eastAsia="zh-CN"/>
        </w:rPr>
        <w:t>150947.57</w:t>
      </w:r>
      <w:r>
        <w:rPr>
          <w:color w:val="auto"/>
          <w:sz w:val="24"/>
          <w:szCs w:val="22"/>
          <w:highlight w:val="none"/>
        </w:rPr>
        <w:t>㎡计费，主要经济技术指标如下：</w:t>
      </w:r>
    </w:p>
    <w:tbl>
      <w:tblPr>
        <w:tblStyle w:val="34"/>
        <w:tblW w:w="8306" w:type="dxa"/>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418"/>
        <w:gridCol w:w="1784"/>
        <w:gridCol w:w="3104"/>
      </w:tblGrid>
      <w:tr w14:paraId="1A65F8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0B09248">
            <w:pPr>
              <w:pStyle w:val="89"/>
              <w:spacing w:line="360" w:lineRule="auto"/>
              <w:ind w:firstLine="420"/>
              <w:jc w:val="center"/>
              <w:rPr>
                <w:rFonts w:hint="default"/>
                <w:color w:val="auto"/>
                <w:highlight w:val="none"/>
              </w:rPr>
            </w:pPr>
            <w:r>
              <w:rPr>
                <w:color w:val="auto"/>
                <w:sz w:val="24"/>
                <w:highlight w:val="none"/>
              </w:rPr>
              <w:t>指标</w:t>
            </w:r>
          </w:p>
        </w:tc>
        <w:tc>
          <w:tcPr>
            <w:tcW w:w="178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4E1DA405">
            <w:pPr>
              <w:pStyle w:val="89"/>
              <w:spacing w:line="360" w:lineRule="auto"/>
              <w:ind w:firstLine="420"/>
              <w:jc w:val="center"/>
              <w:rPr>
                <w:rFonts w:hint="default"/>
                <w:color w:val="auto"/>
                <w:highlight w:val="none"/>
              </w:rPr>
            </w:pPr>
            <w:r>
              <w:rPr>
                <w:color w:val="auto"/>
                <w:sz w:val="24"/>
                <w:highlight w:val="none"/>
              </w:rPr>
              <w:t>单位</w:t>
            </w:r>
          </w:p>
        </w:tc>
        <w:tc>
          <w:tcPr>
            <w:tcW w:w="3104"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C94A1EB">
            <w:pPr>
              <w:pStyle w:val="89"/>
              <w:spacing w:line="360" w:lineRule="auto"/>
              <w:ind w:firstLine="420"/>
              <w:jc w:val="center"/>
              <w:rPr>
                <w:rFonts w:hint="default"/>
                <w:color w:val="auto"/>
                <w:highlight w:val="none"/>
              </w:rPr>
            </w:pPr>
            <w:r>
              <w:rPr>
                <w:color w:val="auto"/>
                <w:sz w:val="24"/>
                <w:highlight w:val="none"/>
              </w:rPr>
              <w:t>数值</w:t>
            </w:r>
          </w:p>
        </w:tc>
      </w:tr>
      <w:tr w14:paraId="3DCC0B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0B5716C">
            <w:pPr>
              <w:pStyle w:val="89"/>
              <w:spacing w:line="360" w:lineRule="auto"/>
              <w:ind w:firstLine="420"/>
              <w:jc w:val="center"/>
              <w:rPr>
                <w:rFonts w:hint="default"/>
                <w:color w:val="auto"/>
                <w:highlight w:val="none"/>
              </w:rPr>
            </w:pPr>
            <w:r>
              <w:rPr>
                <w:color w:val="auto"/>
                <w:sz w:val="24"/>
                <w:highlight w:val="none"/>
              </w:rPr>
              <w:t>总用地面积</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13288FC0">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3DBCB9B6">
            <w:pPr>
              <w:pStyle w:val="89"/>
              <w:spacing w:line="360" w:lineRule="auto"/>
              <w:ind w:firstLine="420"/>
              <w:jc w:val="center"/>
              <w:rPr>
                <w:rFonts w:hint="default"/>
                <w:color w:val="auto"/>
                <w:sz w:val="24"/>
                <w:szCs w:val="22"/>
                <w:highlight w:val="none"/>
              </w:rPr>
            </w:pPr>
            <w:r>
              <w:rPr>
                <w:rFonts w:hint="eastAsia"/>
                <w:color w:val="auto"/>
                <w:sz w:val="24"/>
                <w:szCs w:val="22"/>
                <w:highlight w:val="none"/>
                <w:lang w:val="en-US" w:eastAsia="zh-CN"/>
              </w:rPr>
              <w:t>23</w:t>
            </w:r>
            <w:r>
              <w:rPr>
                <w:color w:val="auto"/>
                <w:sz w:val="24"/>
                <w:szCs w:val="22"/>
                <w:highlight w:val="none"/>
                <w:lang w:eastAsia="zh-CN"/>
              </w:rPr>
              <w:t>,</w:t>
            </w:r>
            <w:r>
              <w:rPr>
                <w:rFonts w:hint="eastAsia"/>
                <w:color w:val="auto"/>
                <w:sz w:val="24"/>
                <w:szCs w:val="22"/>
                <w:highlight w:val="none"/>
                <w:lang w:val="en-US" w:eastAsia="zh-CN"/>
              </w:rPr>
              <w:t>953</w:t>
            </w:r>
          </w:p>
        </w:tc>
      </w:tr>
      <w:tr w14:paraId="49B761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F210792">
            <w:pPr>
              <w:pStyle w:val="89"/>
              <w:spacing w:line="360" w:lineRule="auto"/>
              <w:ind w:firstLine="420"/>
              <w:jc w:val="center"/>
              <w:rPr>
                <w:rFonts w:hint="default"/>
                <w:color w:val="auto"/>
                <w:highlight w:val="none"/>
              </w:rPr>
            </w:pPr>
            <w:r>
              <w:rPr>
                <w:color w:val="auto"/>
                <w:sz w:val="24"/>
                <w:highlight w:val="none"/>
              </w:rPr>
              <w:t>总建筑面积</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6C4E0664">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39FB780B">
            <w:pPr>
              <w:pStyle w:val="89"/>
              <w:spacing w:line="360" w:lineRule="auto"/>
              <w:ind w:firstLine="420"/>
              <w:jc w:val="center"/>
              <w:rPr>
                <w:rFonts w:hint="default"/>
                <w:color w:val="auto"/>
                <w:sz w:val="24"/>
                <w:szCs w:val="22"/>
                <w:highlight w:val="none"/>
                <w:lang w:val="en-US"/>
              </w:rPr>
            </w:pPr>
            <w:r>
              <w:rPr>
                <w:rFonts w:hint="eastAsia"/>
                <w:color w:val="auto"/>
                <w:sz w:val="24"/>
                <w:szCs w:val="22"/>
                <w:highlight w:val="none"/>
                <w:lang w:val="en-US" w:eastAsia="zh-CN"/>
              </w:rPr>
              <w:t>150947.57</w:t>
            </w:r>
          </w:p>
        </w:tc>
      </w:tr>
      <w:tr w14:paraId="0E6A4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6D2CE047">
            <w:pPr>
              <w:pStyle w:val="89"/>
              <w:spacing w:line="360" w:lineRule="auto"/>
              <w:ind w:firstLine="420" w:firstLineChars="0"/>
              <w:jc w:val="center"/>
              <w:rPr>
                <w:rFonts w:hint="default" w:asciiTheme="minorHAnsi" w:hAnsiTheme="minorHAnsi" w:eastAsiaTheme="minorEastAsia" w:cstheme="minorBidi"/>
                <w:color w:val="auto"/>
                <w:highlight w:val="none"/>
                <w:lang w:val="en-US" w:eastAsia="zh-Hans" w:bidi="ar-SA"/>
              </w:rPr>
            </w:pPr>
            <w:r>
              <w:rPr>
                <w:color w:val="auto"/>
                <w:sz w:val="24"/>
                <w:highlight w:val="none"/>
              </w:rPr>
              <w:t>计容总建</w:t>
            </w:r>
            <w:r>
              <w:rPr>
                <w:rFonts w:hint="eastAsia"/>
                <w:color w:val="auto"/>
                <w:sz w:val="24"/>
                <w:highlight w:val="none"/>
                <w:lang w:val="en-US" w:eastAsia="zh-CN"/>
              </w:rPr>
              <w:t xml:space="preserve">   </w:t>
            </w:r>
            <w:r>
              <w:rPr>
                <w:color w:val="auto"/>
                <w:sz w:val="24"/>
                <w:highlight w:val="none"/>
              </w:rPr>
              <w:t>筑面积</w:t>
            </w:r>
          </w:p>
        </w:tc>
        <w:tc>
          <w:tcPr>
            <w:tcW w:w="1784"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3B2BF7E">
            <w:pPr>
              <w:pStyle w:val="89"/>
              <w:spacing w:line="360" w:lineRule="auto"/>
              <w:ind w:firstLine="420" w:firstLineChars="0"/>
              <w:jc w:val="center"/>
              <w:rPr>
                <w:rFonts w:hint="default" w:asciiTheme="minorHAnsi" w:hAnsiTheme="minorHAnsi" w:eastAsiaTheme="minorEastAsia" w:cstheme="minorBidi"/>
                <w:color w:val="auto"/>
                <w:highlight w:val="none"/>
                <w:lang w:val="en-US" w:eastAsia="zh-Hans" w:bidi="ar-SA"/>
              </w:rPr>
            </w:pPr>
            <w:r>
              <w:rPr>
                <w:color w:val="auto"/>
                <w:sz w:val="24"/>
                <w:highlight w:val="none"/>
              </w:rPr>
              <w:t>㎡</w:t>
            </w:r>
          </w:p>
        </w:tc>
        <w:tc>
          <w:tcPr>
            <w:tcW w:w="3104"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top"/>
          </w:tcPr>
          <w:p w14:paraId="196A5834">
            <w:pPr>
              <w:pStyle w:val="89"/>
              <w:spacing w:line="360" w:lineRule="auto"/>
              <w:ind w:firstLine="420" w:firstLineChars="0"/>
              <w:jc w:val="center"/>
              <w:rPr>
                <w:rFonts w:hint="default" w:asciiTheme="minorHAnsi" w:hAnsiTheme="minorHAnsi" w:eastAsiaTheme="minorEastAsia" w:cstheme="minorBidi"/>
                <w:color w:val="auto"/>
                <w:sz w:val="24"/>
                <w:szCs w:val="22"/>
                <w:highlight w:val="none"/>
                <w:lang w:val="en-US" w:eastAsia="zh-Hans" w:bidi="ar-SA"/>
              </w:rPr>
            </w:pPr>
            <w:r>
              <w:rPr>
                <w:rFonts w:hint="eastAsia" w:ascii="Calibri" w:hAnsi="Calibri" w:eastAsia="宋体"/>
                <w:color w:val="auto"/>
                <w:sz w:val="24"/>
                <w:szCs w:val="22"/>
                <w:highlight w:val="none"/>
                <w:lang w:val="en-US" w:eastAsia="zh-CN"/>
              </w:rPr>
              <w:t>1108719</w:t>
            </w:r>
          </w:p>
        </w:tc>
      </w:tr>
      <w:tr w14:paraId="3982BB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0EF503D">
            <w:pPr>
              <w:pStyle w:val="89"/>
              <w:spacing w:line="360" w:lineRule="auto"/>
              <w:ind w:firstLine="420" w:firstLineChars="0"/>
              <w:jc w:val="center"/>
              <w:rPr>
                <w:rFonts w:hint="default" w:asciiTheme="minorHAnsi" w:hAnsiTheme="minorHAnsi" w:eastAsiaTheme="minorEastAsia" w:cstheme="minorBidi"/>
                <w:color w:val="auto"/>
                <w:highlight w:val="none"/>
                <w:lang w:val="en-US" w:eastAsia="zh-Hans" w:bidi="ar-SA"/>
              </w:rPr>
            </w:pPr>
            <w:r>
              <w:rPr>
                <w:rFonts w:hint="eastAsia"/>
                <w:color w:val="auto"/>
                <w:sz w:val="24"/>
                <w:highlight w:val="none"/>
                <w:lang w:val="en-US" w:eastAsia="zh-CN"/>
              </w:rPr>
              <w:t>不</w:t>
            </w:r>
            <w:r>
              <w:rPr>
                <w:color w:val="auto"/>
                <w:sz w:val="24"/>
                <w:highlight w:val="none"/>
              </w:rPr>
              <w:t>计容总建筑面积</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118539E1">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66F9D852">
            <w:pPr>
              <w:pStyle w:val="89"/>
              <w:spacing w:line="360" w:lineRule="auto"/>
              <w:ind w:firstLine="420"/>
              <w:jc w:val="center"/>
              <w:rPr>
                <w:rFonts w:hint="default" w:eastAsiaTheme="minorEastAsia"/>
                <w:color w:val="auto"/>
                <w:sz w:val="24"/>
                <w:szCs w:val="22"/>
                <w:highlight w:val="none"/>
                <w:lang w:val="en-US" w:eastAsia="zh-CN"/>
              </w:rPr>
            </w:pPr>
            <w:r>
              <w:rPr>
                <w:rFonts w:hint="eastAsia"/>
                <w:color w:val="auto"/>
                <w:sz w:val="24"/>
                <w:szCs w:val="22"/>
                <w:highlight w:val="none"/>
                <w:lang w:val="en-US" w:eastAsia="zh-CN"/>
              </w:rPr>
              <w:t>42228.57</w:t>
            </w:r>
          </w:p>
        </w:tc>
      </w:tr>
      <w:tr w14:paraId="197025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6CD48A9">
            <w:pPr>
              <w:pStyle w:val="89"/>
              <w:spacing w:line="360" w:lineRule="auto"/>
              <w:ind w:firstLine="420"/>
              <w:jc w:val="center"/>
              <w:rPr>
                <w:rFonts w:hint="default"/>
                <w:color w:val="auto"/>
                <w:highlight w:val="none"/>
              </w:rPr>
            </w:pPr>
            <w:r>
              <w:rPr>
                <w:color w:val="auto"/>
                <w:sz w:val="24"/>
                <w:highlight w:val="none"/>
              </w:rPr>
              <w:t>地下室</w:t>
            </w:r>
            <w:r>
              <w:rPr>
                <w:rFonts w:hint="eastAsia"/>
                <w:color w:val="auto"/>
                <w:sz w:val="24"/>
                <w:highlight w:val="none"/>
                <w:lang w:val="en-US" w:eastAsia="zh-CN"/>
              </w:rPr>
              <w:t>总建筑</w:t>
            </w:r>
            <w:r>
              <w:rPr>
                <w:color w:val="auto"/>
                <w:sz w:val="24"/>
                <w:highlight w:val="none"/>
              </w:rPr>
              <w:t>面积</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37154A28">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309997D8">
            <w:pPr>
              <w:pStyle w:val="89"/>
              <w:spacing w:line="360" w:lineRule="auto"/>
              <w:ind w:firstLine="420"/>
              <w:jc w:val="center"/>
              <w:rPr>
                <w:rFonts w:hint="default" w:eastAsiaTheme="minorEastAsia"/>
                <w:color w:val="auto"/>
                <w:sz w:val="24"/>
                <w:szCs w:val="22"/>
                <w:highlight w:val="none"/>
                <w:lang w:val="en-US" w:eastAsia="zh-CN"/>
              </w:rPr>
            </w:pPr>
            <w:r>
              <w:rPr>
                <w:rFonts w:hint="eastAsia"/>
                <w:color w:val="auto"/>
                <w:sz w:val="24"/>
                <w:szCs w:val="22"/>
                <w:highlight w:val="none"/>
                <w:lang w:val="en-US" w:eastAsia="zh-CN"/>
              </w:rPr>
              <w:t>40791.04</w:t>
            </w:r>
          </w:p>
        </w:tc>
      </w:tr>
      <w:tr w14:paraId="68A927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859F73F">
            <w:pPr>
              <w:pStyle w:val="89"/>
              <w:spacing w:line="360" w:lineRule="auto"/>
              <w:ind w:firstLine="420"/>
              <w:jc w:val="center"/>
              <w:rPr>
                <w:rFonts w:hint="default" w:eastAsiaTheme="minorEastAsia"/>
                <w:color w:val="auto"/>
                <w:highlight w:val="none"/>
                <w:lang w:val="en-US" w:eastAsia="zh-CN"/>
              </w:rPr>
            </w:pPr>
            <w:r>
              <w:rPr>
                <w:rFonts w:hint="eastAsia"/>
                <w:color w:val="auto"/>
                <w:sz w:val="24"/>
                <w:highlight w:val="none"/>
                <w:lang w:val="en-US" w:eastAsia="zh-CN"/>
              </w:rPr>
              <w:t>地下室层数</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44FE011D">
            <w:pPr>
              <w:pStyle w:val="89"/>
              <w:spacing w:line="360" w:lineRule="auto"/>
              <w:ind w:firstLine="420"/>
              <w:jc w:val="center"/>
              <w:rPr>
                <w:rFonts w:hint="eastAsia" w:eastAsiaTheme="minorEastAsia"/>
                <w:color w:val="auto"/>
                <w:highlight w:val="none"/>
                <w:lang w:eastAsia="zh-CN"/>
              </w:rPr>
            </w:pPr>
            <w:r>
              <w:rPr>
                <w:rFonts w:hint="eastAsia"/>
                <w:color w:val="auto"/>
                <w:sz w:val="24"/>
                <w:highlight w:val="none"/>
                <w:lang w:val="en-US" w:eastAsia="zh-CN"/>
              </w:rPr>
              <w:t>层</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55A33B23">
            <w:pPr>
              <w:pStyle w:val="89"/>
              <w:spacing w:line="360" w:lineRule="auto"/>
              <w:ind w:firstLine="420"/>
              <w:jc w:val="center"/>
              <w:rPr>
                <w:rFonts w:hint="eastAsia" w:eastAsiaTheme="minorEastAsia"/>
                <w:color w:val="auto"/>
                <w:sz w:val="24"/>
                <w:szCs w:val="22"/>
                <w:highlight w:val="none"/>
                <w:lang w:eastAsia="zh-CN"/>
              </w:rPr>
            </w:pPr>
            <w:r>
              <w:rPr>
                <w:rFonts w:hint="eastAsia"/>
                <w:color w:val="auto"/>
                <w:sz w:val="24"/>
                <w:szCs w:val="22"/>
                <w:highlight w:val="none"/>
                <w:lang w:val="en-US" w:eastAsia="zh-CN"/>
              </w:rPr>
              <w:t>2</w:t>
            </w:r>
          </w:p>
        </w:tc>
      </w:tr>
      <w:tr w14:paraId="6295F6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254B056">
            <w:pPr>
              <w:pStyle w:val="89"/>
              <w:spacing w:line="360" w:lineRule="auto"/>
              <w:ind w:firstLine="420"/>
              <w:jc w:val="center"/>
              <w:rPr>
                <w:rFonts w:hint="default" w:eastAsiaTheme="minorEastAsia"/>
                <w:color w:val="auto"/>
                <w:highlight w:val="none"/>
                <w:lang w:val="en-US" w:eastAsia="zh-CN"/>
              </w:rPr>
            </w:pPr>
            <w:r>
              <w:rPr>
                <w:rFonts w:hint="eastAsia"/>
                <w:color w:val="auto"/>
                <w:sz w:val="24"/>
                <w:highlight w:val="none"/>
                <w:lang w:val="en-US" w:eastAsia="zh-CN"/>
              </w:rPr>
              <w:t>地下机动车库</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3949833C">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393751E3">
            <w:pPr>
              <w:pStyle w:val="89"/>
              <w:spacing w:line="360" w:lineRule="auto"/>
              <w:ind w:firstLine="420"/>
              <w:jc w:val="center"/>
              <w:rPr>
                <w:rFonts w:hint="default" w:eastAsiaTheme="minorEastAsia"/>
                <w:color w:val="auto"/>
                <w:sz w:val="24"/>
                <w:szCs w:val="22"/>
                <w:highlight w:val="none"/>
                <w:lang w:val="en-US" w:eastAsia="zh-CN"/>
              </w:rPr>
            </w:pPr>
            <w:r>
              <w:rPr>
                <w:rFonts w:hint="eastAsia"/>
                <w:color w:val="auto"/>
                <w:sz w:val="24"/>
                <w:szCs w:val="22"/>
                <w:highlight w:val="none"/>
                <w:lang w:val="en-US" w:eastAsia="zh-CN"/>
              </w:rPr>
              <w:t>33235.38</w:t>
            </w:r>
          </w:p>
        </w:tc>
      </w:tr>
      <w:tr w14:paraId="7ACAEA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0CB1153">
            <w:pPr>
              <w:pStyle w:val="89"/>
              <w:spacing w:line="360" w:lineRule="auto"/>
              <w:ind w:firstLine="420"/>
              <w:jc w:val="center"/>
              <w:rPr>
                <w:rFonts w:hint="default" w:eastAsiaTheme="minorEastAsia"/>
                <w:color w:val="auto"/>
                <w:highlight w:val="none"/>
                <w:lang w:val="en-US" w:eastAsia="zh-CN"/>
              </w:rPr>
            </w:pPr>
            <w:r>
              <w:rPr>
                <w:rFonts w:hint="eastAsia"/>
                <w:color w:val="auto"/>
                <w:sz w:val="24"/>
                <w:highlight w:val="none"/>
                <w:lang w:val="en-US" w:eastAsia="zh-CN"/>
              </w:rPr>
              <w:t>地下室非机动车库</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57F0C4DD">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1D8D06E6">
            <w:pPr>
              <w:pStyle w:val="89"/>
              <w:spacing w:line="360" w:lineRule="auto"/>
              <w:ind w:firstLine="420"/>
              <w:jc w:val="center"/>
              <w:rPr>
                <w:rFonts w:hint="default" w:eastAsiaTheme="minorEastAsia"/>
                <w:color w:val="auto"/>
                <w:sz w:val="24"/>
                <w:szCs w:val="22"/>
                <w:highlight w:val="none"/>
                <w:lang w:val="en-US" w:eastAsia="zh-CN"/>
              </w:rPr>
            </w:pPr>
            <w:r>
              <w:rPr>
                <w:rFonts w:hint="eastAsia"/>
                <w:color w:val="auto"/>
                <w:sz w:val="24"/>
                <w:szCs w:val="22"/>
                <w:highlight w:val="none"/>
                <w:lang w:val="en-US" w:eastAsia="zh-CN"/>
              </w:rPr>
              <w:t>1424.21</w:t>
            </w:r>
          </w:p>
        </w:tc>
      </w:tr>
      <w:tr w14:paraId="2C65D4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A1A385">
            <w:pPr>
              <w:pStyle w:val="89"/>
              <w:spacing w:line="360" w:lineRule="auto"/>
              <w:ind w:firstLine="420"/>
              <w:jc w:val="center"/>
              <w:rPr>
                <w:rFonts w:hint="default" w:eastAsiaTheme="minorEastAsia"/>
                <w:color w:val="auto"/>
                <w:highlight w:val="none"/>
                <w:lang w:val="en-US" w:eastAsia="zh-CN"/>
              </w:rPr>
            </w:pPr>
            <w:r>
              <w:rPr>
                <w:rFonts w:hint="eastAsia"/>
                <w:color w:val="auto"/>
                <w:sz w:val="24"/>
                <w:highlight w:val="none"/>
                <w:lang w:val="en-US" w:eastAsia="zh-CN"/>
              </w:rPr>
              <w:t>地下室设备用房</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3545501F">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5029C5C9">
            <w:pPr>
              <w:pStyle w:val="89"/>
              <w:spacing w:line="360" w:lineRule="auto"/>
              <w:ind w:firstLine="420"/>
              <w:jc w:val="center"/>
              <w:rPr>
                <w:rFonts w:hint="default" w:eastAsia="宋体"/>
                <w:color w:val="auto"/>
                <w:sz w:val="24"/>
                <w:szCs w:val="22"/>
                <w:highlight w:val="none"/>
                <w:lang w:val="en-US" w:eastAsia="zh-CN"/>
              </w:rPr>
            </w:pPr>
            <w:r>
              <w:rPr>
                <w:rFonts w:hint="eastAsia" w:ascii="Calibri" w:hAnsi="Calibri" w:eastAsia="宋体"/>
                <w:color w:val="auto"/>
                <w:sz w:val="24"/>
                <w:szCs w:val="22"/>
                <w:highlight w:val="none"/>
                <w:lang w:val="en-US" w:eastAsia="zh-CN"/>
              </w:rPr>
              <w:t>6131.45</w:t>
            </w:r>
          </w:p>
        </w:tc>
      </w:tr>
      <w:tr w14:paraId="22B26A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15D701">
            <w:pPr>
              <w:pStyle w:val="89"/>
              <w:spacing w:line="360" w:lineRule="auto"/>
              <w:ind w:firstLine="420"/>
              <w:jc w:val="center"/>
              <w:rPr>
                <w:rFonts w:hint="default"/>
                <w:color w:val="auto"/>
                <w:highlight w:val="none"/>
              </w:rPr>
            </w:pPr>
            <w:r>
              <w:rPr>
                <w:color w:val="auto"/>
                <w:sz w:val="24"/>
                <w:highlight w:val="none"/>
              </w:rPr>
              <w:t>建筑物占地面积</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7BFAC625">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2B4A2598">
            <w:pPr>
              <w:pStyle w:val="89"/>
              <w:spacing w:line="360" w:lineRule="auto"/>
              <w:ind w:firstLine="420"/>
              <w:jc w:val="center"/>
              <w:rPr>
                <w:rFonts w:hint="default" w:eastAsiaTheme="minorEastAsia"/>
                <w:color w:val="auto"/>
                <w:sz w:val="24"/>
                <w:szCs w:val="22"/>
                <w:highlight w:val="none"/>
                <w:lang w:val="en-US" w:eastAsia="zh-CN"/>
              </w:rPr>
            </w:pPr>
            <w:r>
              <w:rPr>
                <w:rFonts w:hint="eastAsia"/>
                <w:color w:val="auto"/>
                <w:sz w:val="24"/>
                <w:szCs w:val="22"/>
                <w:highlight w:val="none"/>
                <w:lang w:val="en-US" w:eastAsia="zh-CN"/>
              </w:rPr>
              <w:t>6699.65</w:t>
            </w:r>
          </w:p>
        </w:tc>
      </w:tr>
      <w:tr w14:paraId="422687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7DF35B">
            <w:pPr>
              <w:pStyle w:val="89"/>
              <w:spacing w:line="360" w:lineRule="auto"/>
              <w:ind w:firstLine="420"/>
              <w:jc w:val="center"/>
              <w:rPr>
                <w:rFonts w:hint="default"/>
                <w:color w:val="auto"/>
                <w:highlight w:val="none"/>
              </w:rPr>
            </w:pPr>
            <w:r>
              <w:rPr>
                <w:color w:val="auto"/>
                <w:sz w:val="24"/>
                <w:highlight w:val="none"/>
              </w:rPr>
              <w:t>建筑主体</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1FAC9417">
            <w:pPr>
              <w:pStyle w:val="89"/>
              <w:spacing w:line="360" w:lineRule="auto"/>
              <w:ind w:firstLine="420"/>
              <w:jc w:val="center"/>
              <w:rPr>
                <w:rFonts w:hint="default"/>
                <w:color w:val="auto"/>
                <w:highlight w:val="none"/>
              </w:rPr>
            </w:pPr>
            <w:r>
              <w:rPr>
                <w:color w:val="auto"/>
                <w:sz w:val="24"/>
                <w:highlight w:val="none"/>
              </w:rPr>
              <w:t>栋</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5858F24B">
            <w:pPr>
              <w:pStyle w:val="89"/>
              <w:spacing w:line="360" w:lineRule="auto"/>
              <w:ind w:firstLine="420"/>
              <w:jc w:val="center"/>
              <w:rPr>
                <w:rFonts w:hint="default"/>
                <w:color w:val="auto"/>
                <w:sz w:val="24"/>
                <w:szCs w:val="22"/>
                <w:highlight w:val="none"/>
                <w:lang w:eastAsia="zh-CN"/>
              </w:rPr>
            </w:pPr>
            <w:r>
              <w:rPr>
                <w:rFonts w:hint="eastAsia"/>
                <w:color w:val="auto"/>
                <w:sz w:val="24"/>
                <w:szCs w:val="22"/>
                <w:highlight w:val="none"/>
                <w:lang w:val="en-US" w:eastAsia="zh-CN"/>
              </w:rPr>
              <w:t>7</w:t>
            </w:r>
          </w:p>
        </w:tc>
      </w:tr>
      <w:tr w14:paraId="19B732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F1299E2">
            <w:pPr>
              <w:pStyle w:val="89"/>
              <w:spacing w:line="360" w:lineRule="auto"/>
              <w:ind w:firstLine="420"/>
              <w:jc w:val="center"/>
              <w:rPr>
                <w:rFonts w:hint="default"/>
                <w:color w:val="auto"/>
                <w:highlight w:val="none"/>
              </w:rPr>
            </w:pPr>
            <w:r>
              <w:rPr>
                <w:color w:val="auto"/>
                <w:sz w:val="24"/>
                <w:highlight w:val="none"/>
              </w:rPr>
              <w:t>容积率</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4156C239">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1C30A845">
            <w:pPr>
              <w:pStyle w:val="89"/>
              <w:spacing w:line="360" w:lineRule="auto"/>
              <w:ind w:firstLine="420"/>
              <w:jc w:val="center"/>
              <w:rPr>
                <w:rFonts w:hint="default"/>
                <w:color w:val="auto"/>
                <w:sz w:val="24"/>
                <w:szCs w:val="22"/>
                <w:highlight w:val="none"/>
                <w:lang w:val="en-US" w:eastAsia="zh-CN"/>
              </w:rPr>
            </w:pPr>
            <w:r>
              <w:rPr>
                <w:rFonts w:hint="eastAsia"/>
                <w:color w:val="auto"/>
                <w:sz w:val="24"/>
                <w:szCs w:val="22"/>
                <w:highlight w:val="none"/>
                <w:lang w:val="en-US" w:eastAsia="zh-CN"/>
              </w:rPr>
              <w:t>4.54</w:t>
            </w:r>
          </w:p>
        </w:tc>
      </w:tr>
      <w:tr w14:paraId="31734D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394BDEA">
            <w:pPr>
              <w:pStyle w:val="89"/>
              <w:spacing w:line="360" w:lineRule="auto"/>
              <w:ind w:firstLine="420"/>
              <w:jc w:val="center"/>
              <w:rPr>
                <w:rFonts w:hint="default"/>
                <w:color w:val="auto"/>
                <w:highlight w:val="none"/>
              </w:rPr>
            </w:pPr>
            <w:r>
              <w:rPr>
                <w:color w:val="auto"/>
                <w:sz w:val="24"/>
                <w:highlight w:val="none"/>
              </w:rPr>
              <w:t>建筑密度</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1014FEED">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5D9138B6">
            <w:pPr>
              <w:pStyle w:val="89"/>
              <w:spacing w:line="360" w:lineRule="auto"/>
              <w:ind w:firstLine="420"/>
              <w:jc w:val="center"/>
              <w:rPr>
                <w:rFonts w:hint="default" w:eastAsiaTheme="minorEastAsia"/>
                <w:color w:val="auto"/>
                <w:sz w:val="24"/>
                <w:szCs w:val="22"/>
                <w:highlight w:val="none"/>
                <w:lang w:val="en-US" w:eastAsia="zh-CN"/>
              </w:rPr>
            </w:pPr>
            <w:r>
              <w:rPr>
                <w:rFonts w:hint="eastAsia"/>
                <w:color w:val="auto"/>
                <w:sz w:val="24"/>
                <w:szCs w:val="22"/>
                <w:highlight w:val="none"/>
                <w:lang w:val="en-US" w:eastAsia="zh-CN"/>
              </w:rPr>
              <w:t>28</w:t>
            </w:r>
          </w:p>
        </w:tc>
      </w:tr>
      <w:tr w14:paraId="284A89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3564B7D">
            <w:pPr>
              <w:pStyle w:val="89"/>
              <w:spacing w:line="360" w:lineRule="auto"/>
              <w:ind w:firstLine="420"/>
              <w:jc w:val="center"/>
              <w:rPr>
                <w:rFonts w:hint="default"/>
                <w:color w:val="auto"/>
                <w:highlight w:val="none"/>
              </w:rPr>
            </w:pPr>
            <w:r>
              <w:rPr>
                <w:color w:val="auto"/>
                <w:sz w:val="24"/>
                <w:highlight w:val="none"/>
              </w:rPr>
              <w:t>绿化率</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13BADB02">
            <w:pPr>
              <w:pStyle w:val="89"/>
              <w:spacing w:line="360" w:lineRule="auto"/>
              <w:ind w:firstLine="420"/>
              <w:jc w:val="center"/>
              <w:rPr>
                <w:rFonts w:hint="default"/>
                <w:color w:val="auto"/>
                <w:highlight w:val="none"/>
              </w:rPr>
            </w:pPr>
            <w:r>
              <w:rPr>
                <w:color w:val="auto"/>
                <w:sz w:val="24"/>
                <w:highlight w:val="none"/>
              </w:rPr>
              <w:t>%</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48F51E01">
            <w:pPr>
              <w:pStyle w:val="89"/>
              <w:spacing w:line="360" w:lineRule="auto"/>
              <w:ind w:firstLine="420"/>
              <w:jc w:val="center"/>
              <w:rPr>
                <w:rFonts w:hint="default" w:eastAsiaTheme="minorEastAsia"/>
                <w:color w:val="auto"/>
                <w:sz w:val="24"/>
                <w:szCs w:val="22"/>
                <w:highlight w:val="none"/>
                <w:lang w:val="en-US" w:eastAsia="zh-CN"/>
              </w:rPr>
            </w:pPr>
            <w:r>
              <w:rPr>
                <w:rFonts w:hint="eastAsia"/>
                <w:color w:val="auto"/>
                <w:sz w:val="24"/>
                <w:szCs w:val="22"/>
                <w:highlight w:val="none"/>
                <w:lang w:val="en-US" w:eastAsia="zh-CN"/>
              </w:rPr>
              <w:t>15</w:t>
            </w:r>
          </w:p>
        </w:tc>
      </w:tr>
      <w:tr w14:paraId="6D77D0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BB1E79F">
            <w:pPr>
              <w:pStyle w:val="89"/>
              <w:spacing w:line="360" w:lineRule="auto"/>
              <w:ind w:firstLine="420"/>
              <w:jc w:val="center"/>
              <w:rPr>
                <w:rFonts w:hint="default"/>
                <w:color w:val="auto"/>
                <w:highlight w:val="none"/>
              </w:rPr>
            </w:pPr>
            <w:r>
              <w:rPr>
                <w:color w:val="auto"/>
                <w:sz w:val="24"/>
                <w:highlight w:val="none"/>
              </w:rPr>
              <w:t>总户数</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7F7D9193">
            <w:pPr>
              <w:pStyle w:val="89"/>
              <w:spacing w:line="360" w:lineRule="auto"/>
              <w:ind w:firstLine="420"/>
              <w:jc w:val="center"/>
              <w:rPr>
                <w:rFonts w:hint="default"/>
                <w:color w:val="auto"/>
                <w:highlight w:val="none"/>
              </w:rPr>
            </w:pPr>
            <w:r>
              <w:rPr>
                <w:color w:val="auto"/>
                <w:sz w:val="24"/>
                <w:highlight w:val="none"/>
              </w:rPr>
              <w:t>户</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41302F68">
            <w:pPr>
              <w:pStyle w:val="89"/>
              <w:spacing w:line="360" w:lineRule="auto"/>
              <w:ind w:firstLine="420"/>
              <w:jc w:val="center"/>
              <w:rPr>
                <w:rFonts w:hint="default" w:eastAsiaTheme="minorEastAsia"/>
                <w:color w:val="auto"/>
                <w:sz w:val="24"/>
                <w:szCs w:val="22"/>
                <w:highlight w:val="none"/>
                <w:lang w:val="en-US" w:eastAsia="zh-CN"/>
              </w:rPr>
            </w:pPr>
            <w:r>
              <w:rPr>
                <w:rFonts w:hint="eastAsia"/>
                <w:color w:val="auto"/>
                <w:sz w:val="24"/>
                <w:szCs w:val="22"/>
                <w:highlight w:val="none"/>
                <w:lang w:val="en-US" w:eastAsia="zh-CN"/>
              </w:rPr>
              <w:t>1268</w:t>
            </w:r>
          </w:p>
        </w:tc>
      </w:tr>
      <w:tr w14:paraId="22884F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1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9E2BEF5">
            <w:pPr>
              <w:pStyle w:val="89"/>
              <w:spacing w:line="360" w:lineRule="auto"/>
              <w:ind w:firstLine="420"/>
              <w:jc w:val="center"/>
              <w:rPr>
                <w:rFonts w:hint="default"/>
                <w:color w:val="auto"/>
                <w:highlight w:val="none"/>
              </w:rPr>
            </w:pPr>
            <w:r>
              <w:rPr>
                <w:color w:val="auto"/>
                <w:sz w:val="24"/>
                <w:highlight w:val="none"/>
              </w:rPr>
              <w:t>机动车停车位</w:t>
            </w:r>
          </w:p>
        </w:tc>
        <w:tc>
          <w:tcPr>
            <w:tcW w:w="1784" w:type="dxa"/>
            <w:tcBorders>
              <w:top w:val="nil"/>
              <w:left w:val="nil"/>
              <w:bottom w:val="single" w:color="000000" w:sz="4" w:space="0"/>
              <w:right w:val="single" w:color="000000" w:sz="4" w:space="0"/>
            </w:tcBorders>
            <w:tcMar>
              <w:top w:w="0" w:type="dxa"/>
              <w:left w:w="105" w:type="dxa"/>
              <w:bottom w:w="0" w:type="dxa"/>
              <w:right w:w="105" w:type="dxa"/>
            </w:tcMar>
          </w:tcPr>
          <w:p w14:paraId="41CACA39">
            <w:pPr>
              <w:pStyle w:val="89"/>
              <w:spacing w:line="360" w:lineRule="auto"/>
              <w:ind w:firstLine="420"/>
              <w:jc w:val="center"/>
              <w:rPr>
                <w:rFonts w:hint="default"/>
                <w:color w:val="auto"/>
                <w:highlight w:val="none"/>
              </w:rPr>
            </w:pPr>
            <w:r>
              <w:rPr>
                <w:color w:val="auto"/>
                <w:sz w:val="24"/>
                <w:highlight w:val="none"/>
              </w:rPr>
              <w:t>个</w:t>
            </w:r>
          </w:p>
        </w:tc>
        <w:tc>
          <w:tcPr>
            <w:tcW w:w="3104" w:type="dxa"/>
            <w:tcBorders>
              <w:top w:val="nil"/>
              <w:left w:val="nil"/>
              <w:bottom w:val="single" w:color="000000" w:sz="4" w:space="0"/>
              <w:right w:val="single" w:color="000000" w:sz="4" w:space="0"/>
            </w:tcBorders>
            <w:tcMar>
              <w:top w:w="0" w:type="dxa"/>
              <w:left w:w="105" w:type="dxa"/>
              <w:bottom w:w="0" w:type="dxa"/>
              <w:right w:w="105" w:type="dxa"/>
            </w:tcMar>
          </w:tcPr>
          <w:p w14:paraId="7A1DAA0F">
            <w:pPr>
              <w:pStyle w:val="89"/>
              <w:spacing w:line="360" w:lineRule="auto"/>
              <w:ind w:firstLine="420"/>
              <w:jc w:val="center"/>
              <w:rPr>
                <w:rFonts w:hint="default" w:eastAsiaTheme="minorEastAsia"/>
                <w:color w:val="auto"/>
                <w:sz w:val="24"/>
                <w:szCs w:val="22"/>
                <w:highlight w:val="none"/>
                <w:lang w:val="en-US" w:eastAsia="zh-CN"/>
              </w:rPr>
            </w:pPr>
            <w:r>
              <w:rPr>
                <w:rFonts w:hint="eastAsia"/>
                <w:color w:val="auto"/>
                <w:sz w:val="24"/>
                <w:szCs w:val="22"/>
                <w:highlight w:val="none"/>
                <w:lang w:val="en-US" w:eastAsia="zh-CN"/>
              </w:rPr>
              <w:t>1088</w:t>
            </w:r>
          </w:p>
        </w:tc>
      </w:tr>
    </w:tbl>
    <w:p w14:paraId="0B1C327D">
      <w:pPr>
        <w:pStyle w:val="89"/>
        <w:spacing w:line="360" w:lineRule="auto"/>
        <w:ind w:firstLine="480"/>
        <w:jc w:val="both"/>
        <w:rPr>
          <w:rFonts w:hint="default"/>
          <w:color w:val="auto"/>
          <w:highlight w:val="none"/>
        </w:rPr>
      </w:pPr>
      <w:r>
        <w:rPr>
          <w:b/>
          <w:color w:val="auto"/>
          <w:sz w:val="24"/>
          <w:highlight w:val="none"/>
        </w:rPr>
        <w:t>三、项目预算</w:t>
      </w:r>
    </w:p>
    <w:p w14:paraId="7F8E963E">
      <w:pPr>
        <w:pStyle w:val="89"/>
        <w:spacing w:line="360" w:lineRule="auto"/>
        <w:ind w:firstLine="496"/>
        <w:jc w:val="both"/>
        <w:rPr>
          <w:rFonts w:hint="default"/>
          <w:color w:val="auto"/>
          <w:highlight w:val="none"/>
        </w:rPr>
      </w:pPr>
      <w:r>
        <w:rPr>
          <w:color w:val="auto"/>
          <w:sz w:val="24"/>
          <w:highlight w:val="none"/>
        </w:rPr>
        <w:t>★本项目</w:t>
      </w:r>
      <w:r>
        <w:rPr>
          <w:rFonts w:hint="eastAsia"/>
          <w:color w:val="auto"/>
          <w:sz w:val="24"/>
          <w:highlight w:val="none"/>
          <w:lang w:val="en-US" w:eastAsia="zh-CN"/>
        </w:rPr>
        <w:t>采取即限</w:t>
      </w:r>
      <w:r>
        <w:rPr>
          <w:color w:val="auto"/>
          <w:sz w:val="24"/>
          <w:highlight w:val="none"/>
        </w:rPr>
        <w:t>单价</w:t>
      </w:r>
      <w:r>
        <w:rPr>
          <w:rFonts w:hint="eastAsia"/>
          <w:color w:val="auto"/>
          <w:sz w:val="24"/>
          <w:highlight w:val="none"/>
          <w:lang w:val="en-US" w:eastAsia="zh-CN"/>
        </w:rPr>
        <w:t>又限总价的限价方式</w:t>
      </w:r>
      <w:r>
        <w:rPr>
          <w:color w:val="auto"/>
          <w:sz w:val="24"/>
          <w:highlight w:val="none"/>
        </w:rPr>
        <w:t>：</w:t>
      </w:r>
      <w:r>
        <w:rPr>
          <w:rFonts w:hint="eastAsia"/>
          <w:color w:val="auto"/>
          <w:sz w:val="24"/>
          <w:highlight w:val="none"/>
          <w:lang w:val="en-US" w:eastAsia="zh-CN"/>
        </w:rPr>
        <w:t>最高单价为：</w:t>
      </w:r>
      <w:r>
        <w:rPr>
          <w:color w:val="auto"/>
          <w:sz w:val="24"/>
          <w:highlight w:val="none"/>
        </w:rPr>
        <w:t>人民币2</w:t>
      </w:r>
      <w:r>
        <w:rPr>
          <w:rFonts w:hint="eastAsia"/>
          <w:color w:val="auto"/>
          <w:sz w:val="24"/>
          <w:highlight w:val="none"/>
          <w:lang w:val="en-US" w:eastAsia="zh-CN"/>
        </w:rPr>
        <w:t>.8</w:t>
      </w:r>
      <w:r>
        <w:rPr>
          <w:color w:val="auto"/>
          <w:sz w:val="24"/>
          <w:highlight w:val="none"/>
        </w:rPr>
        <w:t>元/㎡/月</w:t>
      </w:r>
      <w:r>
        <w:rPr>
          <w:rFonts w:hint="eastAsia"/>
          <w:color w:val="auto"/>
          <w:sz w:val="24"/>
          <w:highlight w:val="none"/>
          <w:lang w:val="en-US" w:eastAsia="zh-CN"/>
        </w:rPr>
        <w:t>；最高总价为：按项目建筑</w:t>
      </w:r>
      <w:r>
        <w:rPr>
          <w:color w:val="auto"/>
          <w:sz w:val="24"/>
          <w:highlight w:val="none"/>
        </w:rPr>
        <w:t>按单价计算价格得分，投标人需按单价进行报价（非按总价报价）。</w:t>
      </w:r>
    </w:p>
    <w:p w14:paraId="5EBBE480">
      <w:pPr>
        <w:pStyle w:val="89"/>
        <w:wordWrap w:val="0"/>
        <w:spacing w:line="360" w:lineRule="auto"/>
        <w:ind w:firstLine="482"/>
        <w:jc w:val="both"/>
        <w:rPr>
          <w:rFonts w:hint="default"/>
          <w:color w:val="auto"/>
          <w:sz w:val="24"/>
          <w:highlight w:val="none"/>
        </w:rPr>
      </w:pPr>
      <w:r>
        <w:rPr>
          <w:color w:val="auto"/>
          <w:sz w:val="24"/>
          <w:highlight w:val="none"/>
        </w:rPr>
        <w:t>本项目物业服务费按总建筑面积</w:t>
      </w:r>
      <w:r>
        <w:rPr>
          <w:rFonts w:hint="eastAsia"/>
          <w:color w:val="auto"/>
          <w:sz w:val="24"/>
          <w:highlight w:val="none"/>
          <w:lang w:val="en-US" w:eastAsia="zh-CN"/>
        </w:rPr>
        <w:t>150947.57</w:t>
      </w:r>
      <w:r>
        <w:rPr>
          <w:color w:val="auto"/>
          <w:sz w:val="24"/>
          <w:highlight w:val="none"/>
        </w:rPr>
        <w:t>㎡计取，服务期：</w:t>
      </w:r>
      <w:r>
        <w:rPr>
          <w:rFonts w:hint="eastAsia"/>
          <w:color w:val="auto"/>
          <w:sz w:val="24"/>
          <w:highlight w:val="none"/>
          <w:lang w:val="en-US" w:eastAsia="zh-CN"/>
        </w:rPr>
        <w:t>8</w:t>
      </w:r>
      <w:r>
        <w:rPr>
          <w:color w:val="auto"/>
          <w:sz w:val="24"/>
          <w:highlight w:val="none"/>
        </w:rPr>
        <w:t>年</w:t>
      </w:r>
      <w:r>
        <w:rPr>
          <w:rFonts w:hint="eastAsia"/>
          <w:color w:val="auto"/>
          <w:sz w:val="24"/>
          <w:highlight w:val="none"/>
          <w:lang w:eastAsia="zh-CN"/>
        </w:rPr>
        <w:t>，</w:t>
      </w:r>
      <w:r>
        <w:rPr>
          <w:rFonts w:hint="eastAsia"/>
          <w:color w:val="auto"/>
          <w:sz w:val="24"/>
          <w:highlight w:val="none"/>
          <w:lang w:val="en-US" w:eastAsia="zh-CN"/>
        </w:rPr>
        <w:t>小数位取统一取值保留2位</w:t>
      </w:r>
      <w:r>
        <w:rPr>
          <w:color w:val="auto"/>
          <w:sz w:val="24"/>
          <w:highlight w:val="none"/>
        </w:rPr>
        <w:t>。物业服务费每月：2</w:t>
      </w:r>
      <w:r>
        <w:rPr>
          <w:rFonts w:hint="eastAsia"/>
          <w:color w:val="auto"/>
          <w:sz w:val="24"/>
          <w:highlight w:val="none"/>
          <w:lang w:val="en-US" w:eastAsia="zh-CN"/>
        </w:rPr>
        <w:t>.8</w:t>
      </w:r>
      <w:r>
        <w:rPr>
          <w:rFonts w:hint="default" w:ascii="Arial" w:hAnsi="Arial" w:cs="Arial"/>
          <w:color w:val="auto"/>
          <w:sz w:val="24"/>
          <w:highlight w:val="none"/>
        </w:rPr>
        <w:t>×</w:t>
      </w:r>
      <w:r>
        <w:rPr>
          <w:rFonts w:hint="eastAsia"/>
          <w:color w:val="auto"/>
          <w:sz w:val="24"/>
          <w:highlight w:val="none"/>
          <w:lang w:val="en-US" w:eastAsia="zh-CN"/>
        </w:rPr>
        <w:t>150947.57</w:t>
      </w:r>
      <w:r>
        <w:rPr>
          <w:color w:val="auto"/>
          <w:sz w:val="24"/>
          <w:highlight w:val="none"/>
        </w:rPr>
        <w:t>=</w:t>
      </w:r>
      <w:r>
        <w:rPr>
          <w:rFonts w:hint="eastAsia"/>
          <w:color w:val="auto"/>
          <w:sz w:val="24"/>
          <w:highlight w:val="none"/>
          <w:lang w:val="en-US" w:eastAsia="zh-CN"/>
        </w:rPr>
        <w:t>422653.20</w:t>
      </w:r>
      <w:r>
        <w:rPr>
          <w:color w:val="auto"/>
          <w:sz w:val="24"/>
          <w:highlight w:val="none"/>
        </w:rPr>
        <w:t>元，每季度：2</w:t>
      </w:r>
      <w:r>
        <w:rPr>
          <w:rFonts w:hint="eastAsia"/>
          <w:color w:val="auto"/>
          <w:sz w:val="24"/>
          <w:highlight w:val="none"/>
          <w:lang w:val="en-US" w:eastAsia="zh-CN"/>
        </w:rPr>
        <w:t>.8</w:t>
      </w:r>
      <w:r>
        <w:rPr>
          <w:rFonts w:hint="default" w:ascii="Arial" w:hAnsi="Arial" w:cs="Arial"/>
          <w:color w:val="auto"/>
          <w:sz w:val="24"/>
          <w:highlight w:val="none"/>
        </w:rPr>
        <w:t>×</w:t>
      </w:r>
      <w:r>
        <w:rPr>
          <w:rFonts w:hint="eastAsia"/>
          <w:color w:val="auto"/>
          <w:sz w:val="24"/>
          <w:highlight w:val="none"/>
          <w:lang w:val="en-US" w:eastAsia="zh-CN"/>
        </w:rPr>
        <w:t>150947.57</w:t>
      </w:r>
      <w:r>
        <w:rPr>
          <w:rFonts w:hint="default" w:ascii="Arial" w:hAnsi="Arial" w:cs="Arial"/>
          <w:color w:val="auto"/>
          <w:sz w:val="24"/>
          <w:highlight w:val="none"/>
        </w:rPr>
        <w:t>×</w:t>
      </w:r>
      <w:r>
        <w:rPr>
          <w:color w:val="auto"/>
          <w:sz w:val="24"/>
          <w:highlight w:val="none"/>
        </w:rPr>
        <w:t>3=</w:t>
      </w:r>
      <w:r>
        <w:rPr>
          <w:rFonts w:hint="eastAsia"/>
          <w:color w:val="auto"/>
          <w:sz w:val="24"/>
          <w:highlight w:val="none"/>
          <w:lang w:val="en-US" w:eastAsia="zh-CN"/>
        </w:rPr>
        <w:t>1267959.59</w:t>
      </w:r>
      <w:r>
        <w:rPr>
          <w:color w:val="auto"/>
          <w:sz w:val="24"/>
          <w:highlight w:val="none"/>
        </w:rPr>
        <w:t>元，1年：2</w:t>
      </w:r>
      <w:r>
        <w:rPr>
          <w:rFonts w:hint="eastAsia"/>
          <w:color w:val="auto"/>
          <w:sz w:val="24"/>
          <w:highlight w:val="none"/>
          <w:lang w:val="en-US" w:eastAsia="zh-CN"/>
        </w:rPr>
        <w:t>.8</w:t>
      </w:r>
      <w:r>
        <w:rPr>
          <w:rFonts w:hint="default" w:ascii="Arial" w:hAnsi="Arial" w:cs="Arial"/>
          <w:color w:val="auto"/>
          <w:sz w:val="24"/>
          <w:highlight w:val="none"/>
        </w:rPr>
        <w:t>×</w:t>
      </w:r>
      <w:r>
        <w:rPr>
          <w:rFonts w:hint="eastAsia"/>
          <w:color w:val="auto"/>
          <w:sz w:val="24"/>
          <w:highlight w:val="none"/>
          <w:lang w:val="en-US" w:eastAsia="zh-CN"/>
        </w:rPr>
        <w:t>150947.57</w:t>
      </w:r>
      <w:r>
        <w:rPr>
          <w:rFonts w:hint="default" w:ascii="Arial" w:hAnsi="Arial" w:cs="Arial"/>
          <w:color w:val="auto"/>
          <w:sz w:val="24"/>
          <w:highlight w:val="none"/>
        </w:rPr>
        <w:t>×</w:t>
      </w:r>
      <w:r>
        <w:rPr>
          <w:rFonts w:hint="eastAsia"/>
          <w:color w:val="auto"/>
          <w:sz w:val="24"/>
          <w:highlight w:val="none"/>
          <w:lang w:val="en-US" w:eastAsia="zh-CN"/>
        </w:rPr>
        <w:t>12</w:t>
      </w:r>
      <w:r>
        <w:rPr>
          <w:color w:val="auto"/>
          <w:sz w:val="24"/>
          <w:highlight w:val="none"/>
        </w:rPr>
        <w:t>=</w:t>
      </w:r>
      <w:r>
        <w:rPr>
          <w:rFonts w:hint="eastAsia"/>
          <w:color w:val="auto"/>
          <w:sz w:val="24"/>
          <w:highlight w:val="none"/>
          <w:lang w:val="en-US" w:eastAsia="zh-CN"/>
        </w:rPr>
        <w:t>5071838.352</w:t>
      </w:r>
      <w:r>
        <w:rPr>
          <w:color w:val="auto"/>
          <w:sz w:val="24"/>
          <w:highlight w:val="none"/>
        </w:rPr>
        <w:t>元，</w:t>
      </w:r>
      <w:r>
        <w:rPr>
          <w:rFonts w:hint="eastAsia"/>
          <w:color w:val="auto"/>
          <w:sz w:val="24"/>
          <w:highlight w:val="none"/>
          <w:lang w:val="en-US" w:eastAsia="zh-CN"/>
        </w:rPr>
        <w:t>8</w:t>
      </w:r>
      <w:r>
        <w:rPr>
          <w:color w:val="auto"/>
          <w:sz w:val="24"/>
          <w:highlight w:val="none"/>
        </w:rPr>
        <w:t>年合计：2</w:t>
      </w:r>
      <w:r>
        <w:rPr>
          <w:rFonts w:hint="eastAsia"/>
          <w:color w:val="auto"/>
          <w:sz w:val="24"/>
          <w:highlight w:val="none"/>
          <w:lang w:val="en-US" w:eastAsia="zh-CN"/>
        </w:rPr>
        <w:t>.8</w:t>
      </w:r>
      <w:r>
        <w:rPr>
          <w:rFonts w:hint="default" w:ascii="Arial" w:hAnsi="Arial" w:cs="Arial"/>
          <w:color w:val="auto"/>
          <w:sz w:val="24"/>
          <w:highlight w:val="none"/>
        </w:rPr>
        <w:t>×</w:t>
      </w:r>
      <w:r>
        <w:rPr>
          <w:rFonts w:hint="eastAsia"/>
          <w:color w:val="auto"/>
          <w:sz w:val="24"/>
          <w:highlight w:val="none"/>
          <w:lang w:val="en-US" w:eastAsia="zh-CN"/>
        </w:rPr>
        <w:t>150947.57</w:t>
      </w:r>
      <w:r>
        <w:rPr>
          <w:rFonts w:hint="default" w:ascii="Arial" w:hAnsi="Arial" w:cs="Arial"/>
          <w:color w:val="auto"/>
          <w:sz w:val="24"/>
          <w:highlight w:val="none"/>
        </w:rPr>
        <w:t>×</w:t>
      </w:r>
      <w:r>
        <w:rPr>
          <w:rFonts w:hint="eastAsia"/>
          <w:color w:val="auto"/>
          <w:sz w:val="24"/>
          <w:highlight w:val="none"/>
          <w:lang w:val="en-US" w:eastAsia="zh-CN"/>
        </w:rPr>
        <w:t>12</w:t>
      </w:r>
      <w:r>
        <w:rPr>
          <w:rFonts w:hint="default" w:ascii="Arial" w:hAnsi="Arial" w:cs="Arial"/>
          <w:color w:val="auto"/>
          <w:sz w:val="24"/>
          <w:highlight w:val="none"/>
        </w:rPr>
        <w:t>×</w:t>
      </w:r>
      <w:r>
        <w:rPr>
          <w:rFonts w:hint="eastAsia"/>
          <w:color w:val="auto"/>
          <w:sz w:val="24"/>
          <w:highlight w:val="none"/>
          <w:lang w:val="en-US" w:eastAsia="zh-CN"/>
        </w:rPr>
        <w:t>8</w:t>
      </w:r>
      <w:r>
        <w:rPr>
          <w:color w:val="auto"/>
          <w:sz w:val="24"/>
          <w:highlight w:val="none"/>
        </w:rPr>
        <w:t>=</w:t>
      </w:r>
      <w:r>
        <w:rPr>
          <w:rFonts w:hint="eastAsia"/>
          <w:color w:val="auto"/>
          <w:sz w:val="24"/>
          <w:highlight w:val="none"/>
          <w:lang w:val="en-US" w:eastAsia="zh-CN"/>
        </w:rPr>
        <w:t>40574706.80</w:t>
      </w:r>
      <w:r>
        <w:rPr>
          <w:color w:val="auto"/>
          <w:sz w:val="24"/>
          <w:highlight w:val="none"/>
        </w:rPr>
        <w:t>元（大写：人民币</w:t>
      </w:r>
      <w:r>
        <w:rPr>
          <w:rFonts w:asciiTheme="minorHAnsi" w:hAnsiTheme="minorHAnsi" w:eastAsiaTheme="minorEastAsia" w:cstheme="minorBidi"/>
          <w:b w:val="0"/>
          <w:bCs w:val="0"/>
          <w:i w:val="0"/>
          <w:iCs w:val="0"/>
          <w:caps w:val="0"/>
          <w:color w:val="auto"/>
          <w:spacing w:val="0"/>
          <w:sz w:val="24"/>
          <w:szCs w:val="20"/>
          <w:highlight w:val="none"/>
          <w:shd w:val="clear" w:fill="auto"/>
        </w:rPr>
        <w:t>肆仟零伍拾柒万肆仟柒佰零陆元捌角整</w:t>
      </w:r>
      <w:r>
        <w:rPr>
          <w:color w:val="auto"/>
          <w:sz w:val="24"/>
          <w:highlight w:val="none"/>
        </w:rPr>
        <w:t>）</w:t>
      </w:r>
    </w:p>
    <w:p w14:paraId="6A4C12C4">
      <w:pPr>
        <w:pStyle w:val="89"/>
        <w:spacing w:line="360" w:lineRule="auto"/>
        <w:ind w:firstLine="480"/>
        <w:rPr>
          <w:rFonts w:hint="default"/>
          <w:color w:val="auto"/>
          <w:highlight w:val="none"/>
        </w:rPr>
      </w:pPr>
      <w:r>
        <w:rPr>
          <w:b/>
          <w:color w:val="auto"/>
          <w:sz w:val="24"/>
          <w:highlight w:val="none"/>
        </w:rPr>
        <w:t>四、服务期</w:t>
      </w:r>
    </w:p>
    <w:p w14:paraId="26A68D33">
      <w:pPr>
        <w:pStyle w:val="89"/>
        <w:spacing w:line="360" w:lineRule="auto"/>
        <w:ind w:firstLine="480"/>
        <w:jc w:val="both"/>
        <w:rPr>
          <w:color w:val="auto"/>
          <w:sz w:val="24"/>
          <w:highlight w:val="none"/>
        </w:rPr>
      </w:pPr>
      <w:r>
        <w:rPr>
          <w:rFonts w:hint="eastAsia"/>
          <w:color w:val="auto"/>
          <w:sz w:val="24"/>
          <w:highlight w:val="none"/>
          <w:lang w:val="en-US" w:eastAsia="zh-CN"/>
        </w:rPr>
        <w:t>8</w:t>
      </w:r>
      <w:r>
        <w:rPr>
          <w:color w:val="auto"/>
          <w:sz w:val="24"/>
          <w:highlight w:val="none"/>
        </w:rPr>
        <w:t>年（履行期限及计费起算时间以</w:t>
      </w:r>
      <w:r>
        <w:rPr>
          <w:rFonts w:hint="eastAsia"/>
          <w:color w:val="auto"/>
          <w:sz w:val="24"/>
          <w:highlight w:val="none"/>
          <w:lang w:eastAsia="zh-CN"/>
        </w:rPr>
        <w:t>招标人</w:t>
      </w:r>
      <w:r>
        <w:rPr>
          <w:color w:val="auto"/>
          <w:sz w:val="24"/>
          <w:highlight w:val="none"/>
        </w:rPr>
        <w:t>通知进场日期为准）。</w:t>
      </w:r>
    </w:p>
    <w:p w14:paraId="3F161A2C">
      <w:pPr>
        <w:pStyle w:val="89"/>
        <w:spacing w:line="360" w:lineRule="auto"/>
        <w:ind w:firstLine="480"/>
        <w:jc w:val="both"/>
        <w:rPr>
          <w:rFonts w:hint="default"/>
          <w:color w:val="auto"/>
          <w:highlight w:val="none"/>
        </w:rPr>
      </w:pPr>
      <w:r>
        <w:rPr>
          <w:b/>
          <w:color w:val="auto"/>
          <w:sz w:val="24"/>
          <w:highlight w:val="none"/>
        </w:rPr>
        <w:t>五、物业管理服务内容</w:t>
      </w:r>
    </w:p>
    <w:p w14:paraId="37EC4260">
      <w:pPr>
        <w:pStyle w:val="89"/>
        <w:spacing w:line="360" w:lineRule="auto"/>
        <w:ind w:firstLine="480"/>
        <w:jc w:val="both"/>
        <w:rPr>
          <w:rFonts w:hint="default"/>
          <w:color w:val="auto"/>
          <w:highlight w:val="none"/>
        </w:rPr>
      </w:pPr>
      <w:r>
        <w:rPr>
          <w:color w:val="auto"/>
          <w:sz w:val="24"/>
          <w:highlight w:val="none"/>
        </w:rPr>
        <w:t>本次招标内容为</w:t>
      </w:r>
      <w:r>
        <w:rPr>
          <w:rFonts w:hint="eastAsia"/>
          <w:color w:val="auto"/>
          <w:sz w:val="24"/>
          <w:highlight w:val="none"/>
          <w:lang w:val="en-US" w:eastAsia="zh-CN"/>
        </w:rPr>
        <w:t>天河区</w:t>
      </w:r>
      <w:r>
        <w:rPr>
          <w:rFonts w:hint="eastAsia"/>
          <w:color w:val="auto"/>
          <w:sz w:val="24"/>
          <w:highlight w:val="none"/>
        </w:rPr>
        <w:t>新涌口花园</w:t>
      </w:r>
      <w:r>
        <w:rPr>
          <w:color w:val="auto"/>
          <w:sz w:val="24"/>
          <w:highlight w:val="none"/>
        </w:rPr>
        <w:t>物业规划红线内的所有物业管理服务工作，包括但不限于以下内容：</w:t>
      </w:r>
    </w:p>
    <w:p w14:paraId="0F0D20CB">
      <w:pPr>
        <w:pStyle w:val="89"/>
        <w:spacing w:line="360" w:lineRule="auto"/>
        <w:ind w:firstLine="480"/>
        <w:jc w:val="both"/>
        <w:rPr>
          <w:rFonts w:hint="default"/>
          <w:color w:val="auto"/>
          <w:highlight w:val="none"/>
        </w:rPr>
      </w:pPr>
      <w:r>
        <w:rPr>
          <w:color w:val="auto"/>
          <w:sz w:val="24"/>
          <w:highlight w:val="none"/>
        </w:rPr>
        <w:t>中标人必须做到（包括但不限于）以下要求</w:t>
      </w:r>
      <w:r>
        <w:rPr>
          <w:rFonts w:hint="eastAsia"/>
          <w:color w:val="auto"/>
          <w:sz w:val="24"/>
          <w:highlight w:val="none"/>
          <w:lang w:val="en-US" w:eastAsia="zh-CN"/>
        </w:rPr>
        <w:t>，</w:t>
      </w:r>
      <w:r>
        <w:rPr>
          <w:color w:val="auto"/>
          <w:sz w:val="24"/>
          <w:highlight w:val="none"/>
        </w:rPr>
        <w:t>并在报价中综合考虑相关费用</w:t>
      </w:r>
      <w:r>
        <w:rPr>
          <w:rFonts w:hint="eastAsia"/>
          <w:color w:val="auto"/>
          <w:sz w:val="24"/>
          <w:highlight w:val="none"/>
          <w:lang w:eastAsia="zh-CN"/>
        </w:rPr>
        <w:t>（</w:t>
      </w:r>
      <w:r>
        <w:rPr>
          <w:rFonts w:hint="eastAsia"/>
          <w:color w:val="auto"/>
          <w:sz w:val="24"/>
          <w:highlight w:val="none"/>
          <w:lang w:val="en-US" w:eastAsia="zh-CN"/>
        </w:rPr>
        <w:t>除1.</w:t>
      </w:r>
      <w:r>
        <w:rPr>
          <w:color w:val="auto"/>
          <w:sz w:val="24"/>
          <w:highlight w:val="none"/>
        </w:rPr>
        <w:t>物业承接查验服务</w:t>
      </w:r>
      <w:r>
        <w:rPr>
          <w:rFonts w:hint="eastAsia"/>
          <w:color w:val="auto"/>
          <w:sz w:val="24"/>
          <w:highlight w:val="none"/>
          <w:lang w:val="en-US" w:eastAsia="zh-CN"/>
        </w:rPr>
        <w:t>所产生的费用需要根据招标人项目实际交付情况进行协商支付费用外</w:t>
      </w:r>
      <w:r>
        <w:rPr>
          <w:rFonts w:hint="eastAsia"/>
          <w:color w:val="auto"/>
          <w:sz w:val="24"/>
          <w:highlight w:val="none"/>
          <w:lang w:eastAsia="zh-CN"/>
        </w:rPr>
        <w:t>）</w:t>
      </w:r>
      <w:r>
        <w:rPr>
          <w:color w:val="auto"/>
          <w:sz w:val="24"/>
          <w:highlight w:val="none"/>
        </w:rPr>
        <w:t>，</w:t>
      </w:r>
      <w:r>
        <w:rPr>
          <w:rFonts w:hint="eastAsia"/>
          <w:color w:val="auto"/>
          <w:sz w:val="24"/>
          <w:highlight w:val="none"/>
          <w:lang w:eastAsia="zh-CN"/>
        </w:rPr>
        <w:t>招标人</w:t>
      </w:r>
      <w:r>
        <w:rPr>
          <w:color w:val="auto"/>
          <w:sz w:val="24"/>
          <w:highlight w:val="none"/>
        </w:rPr>
        <w:t>在中标人实施物业服务期间不再对该部分费用另行计量计费。</w:t>
      </w:r>
    </w:p>
    <w:p w14:paraId="17AC6CE5">
      <w:pPr>
        <w:pStyle w:val="89"/>
        <w:spacing w:line="360" w:lineRule="auto"/>
        <w:ind w:firstLine="480" w:firstLineChars="200"/>
        <w:jc w:val="both"/>
        <w:rPr>
          <w:rFonts w:hint="default"/>
          <w:color w:val="auto"/>
          <w:highlight w:val="none"/>
        </w:rPr>
      </w:pPr>
      <w:r>
        <w:rPr>
          <w:rFonts w:hint="eastAsia"/>
          <w:color w:val="auto"/>
          <w:sz w:val="24"/>
          <w:highlight w:val="none"/>
          <w:lang w:val="en-US" w:eastAsia="zh-CN"/>
        </w:rPr>
        <w:t>1.</w:t>
      </w:r>
      <w:r>
        <w:rPr>
          <w:color w:val="auto"/>
          <w:sz w:val="24"/>
          <w:highlight w:val="none"/>
        </w:rPr>
        <w:t>物业承接查验服务（确定查验方案、查验物业使用维护和管理相关资料、查验共用部位及共用设施设备、监督查验整改进度、验收查验整改结果、办理物业交接手续）；</w:t>
      </w:r>
    </w:p>
    <w:p w14:paraId="02F7575D">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房屋建筑主体共用部位（楼盖、屋顶、梁、柱、内外墙体和基础等承重结构部位、外墙面、楼梯间、走廊通道、门厅、设备机房等）的维修、养护和管理。</w:t>
      </w:r>
    </w:p>
    <w:p w14:paraId="20ADD860">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房屋建筑主体共用设施设备（共用的上下水管道、落水管、垃圾道、烟囱、共用照明、天线、中央空调、暖气干线、通风系统、加压供水设备、配电系统、楼内消防设施设备、电梯、供水系统、监控系统、智能门禁系统等）的维修、养护、</w:t>
      </w:r>
      <w:r>
        <w:rPr>
          <w:rFonts w:hint="eastAsia"/>
          <w:color w:val="auto"/>
          <w:sz w:val="24"/>
          <w:highlight w:val="none"/>
          <w:lang w:eastAsia="zh-CN"/>
        </w:rPr>
        <w:t>运行和管理</w:t>
      </w:r>
      <w:r>
        <w:rPr>
          <w:rFonts w:hint="eastAsia"/>
          <w:color w:val="auto"/>
          <w:sz w:val="24"/>
          <w:highlight w:val="none"/>
        </w:rPr>
        <w:t>服务。</w:t>
      </w:r>
    </w:p>
    <w:p w14:paraId="275A3FCB">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对依法应由专业部门负责日常管理和维修养护的公用设施，聘请专业部门进行日常管理和维修、养护工作（例如：电梯、消防系统等）。</w:t>
      </w:r>
    </w:p>
    <w:p w14:paraId="72CEF194">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本物业规划红线内属物业管理范围的共用设施（道路、室外上下水管道、化粪池、公厕、沟渠、池、井、绿化、室外泵房、路灯、自行车房棚、停车场、道闸及小区景观设施等）的维修、养护和管理工作。</w:t>
      </w:r>
    </w:p>
    <w:p w14:paraId="3984F894">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本小区的管道、堤围等排涝设施的运行、维修、养护和管理工作。按有关规定开展排水单元达标相关工作。</w:t>
      </w:r>
    </w:p>
    <w:p w14:paraId="505961F1">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本物业规划红线内的属配套服务设施（健身设施、儿童游乐设施、运动场所、游泳池、商业网点等）的维修、养护和管理工作。</w:t>
      </w:r>
    </w:p>
    <w:p w14:paraId="0D8842E1">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8.</w:t>
      </w:r>
      <w:r>
        <w:rPr>
          <w:rFonts w:hint="eastAsia"/>
          <w:color w:val="auto"/>
          <w:sz w:val="24"/>
          <w:highlight w:val="none"/>
        </w:rPr>
        <w:t>公共环境（包括公共场地、房屋建筑物共用部位）的清洁卫生、“四害”、白蚁和红火蚁消杀灭治、垃圾的收集、清运及按属地政府部门要求做好垃圾分类等工作。</w:t>
      </w:r>
    </w:p>
    <w:p w14:paraId="796F2E2F">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9.</w:t>
      </w:r>
      <w:r>
        <w:rPr>
          <w:rFonts w:hint="eastAsia"/>
          <w:color w:val="auto"/>
          <w:sz w:val="24"/>
          <w:highlight w:val="none"/>
        </w:rPr>
        <w:t>小区红线范围内的交通、车辆行驶及停泊的管理工作。</w:t>
      </w:r>
    </w:p>
    <w:p w14:paraId="3F1C2B36">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10</w:t>
      </w:r>
      <w:r>
        <w:rPr>
          <w:rFonts w:hint="eastAsia"/>
          <w:color w:val="auto"/>
          <w:sz w:val="24"/>
          <w:highlight w:val="none"/>
        </w:rPr>
        <w:t>配合和协助当地公安机关进行安全监控、巡逻、交通疏导、紧急事件处置等公共秩序维护工作，（但不含人身、财产保险保管责任）。</w:t>
      </w:r>
    </w:p>
    <w:p w14:paraId="03403712">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11.</w:t>
      </w:r>
      <w:r>
        <w:rPr>
          <w:rFonts w:hint="eastAsia"/>
          <w:color w:val="auto"/>
          <w:sz w:val="24"/>
          <w:highlight w:val="none"/>
        </w:rPr>
        <w:t>社区文化娱乐活动的组织、开展、协办工作。</w:t>
      </w:r>
    </w:p>
    <w:p w14:paraId="597512C9">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12.</w:t>
      </w:r>
      <w:r>
        <w:rPr>
          <w:rFonts w:hint="eastAsia"/>
          <w:color w:val="auto"/>
          <w:sz w:val="24"/>
          <w:highlight w:val="none"/>
        </w:rPr>
        <w:t>物业及物业管理档案、资料的保管工作。</w:t>
      </w:r>
    </w:p>
    <w:p w14:paraId="56AAD173">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13.</w:t>
      </w:r>
      <w:r>
        <w:rPr>
          <w:rFonts w:hint="eastAsia"/>
          <w:color w:val="auto"/>
          <w:sz w:val="24"/>
          <w:highlight w:val="none"/>
        </w:rPr>
        <w:t>空置房、周转房的管理工作。</w:t>
      </w:r>
    </w:p>
    <w:p w14:paraId="6C2C50CF">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14.</w:t>
      </w:r>
      <w:r>
        <w:rPr>
          <w:rFonts w:hint="eastAsia"/>
          <w:color w:val="auto"/>
          <w:sz w:val="24"/>
          <w:highlight w:val="none"/>
        </w:rPr>
        <w:t>负责劝阻、制止、督促整改及纠正安置区内出现的违章搭建行为，并配合相关行政主管部门对违章搭建行为进行执法和处罚。</w:t>
      </w:r>
    </w:p>
    <w:p w14:paraId="2FB179D9">
      <w:pPr>
        <w:pStyle w:val="89"/>
        <w:spacing w:line="360" w:lineRule="auto"/>
        <w:ind w:firstLine="480" w:firstLineChars="200"/>
        <w:jc w:val="both"/>
        <w:rPr>
          <w:rFonts w:hint="eastAsia"/>
          <w:color w:val="auto"/>
          <w:sz w:val="24"/>
          <w:highlight w:val="none"/>
        </w:rPr>
      </w:pPr>
      <w:r>
        <w:rPr>
          <w:rFonts w:hint="eastAsia"/>
          <w:color w:val="auto"/>
          <w:sz w:val="24"/>
          <w:highlight w:val="none"/>
          <w:lang w:val="en-US" w:eastAsia="zh-CN"/>
        </w:rPr>
        <w:t>15.</w:t>
      </w:r>
      <w:r>
        <w:rPr>
          <w:rFonts w:hint="eastAsia"/>
          <w:color w:val="auto"/>
          <w:sz w:val="24"/>
          <w:highlight w:val="none"/>
        </w:rPr>
        <w:t>负责按规定分别开设专款账户，就本项目的相关场地和设施设备经营产生的收入根据收入性质分别纳入相关专款账户并按照《中华人民共和国会计法》《广州市物业管理条例》等相关规定和相关财务管理制度开展相关管理工作，按</w:t>
      </w:r>
      <w:r>
        <w:rPr>
          <w:rFonts w:hint="eastAsia"/>
          <w:color w:val="auto"/>
          <w:sz w:val="24"/>
          <w:highlight w:val="none"/>
          <w:lang w:eastAsia="zh-CN"/>
        </w:rPr>
        <w:t>招标人</w:t>
      </w:r>
      <w:r>
        <w:rPr>
          <w:rFonts w:hint="eastAsia"/>
          <w:color w:val="auto"/>
          <w:sz w:val="24"/>
          <w:highlight w:val="none"/>
        </w:rPr>
        <w:t>要求报送相关专款管理情况。服从并按</w:t>
      </w:r>
      <w:r>
        <w:rPr>
          <w:rFonts w:hint="eastAsia"/>
          <w:color w:val="auto"/>
          <w:sz w:val="24"/>
          <w:highlight w:val="none"/>
          <w:lang w:eastAsia="zh-CN"/>
        </w:rPr>
        <w:t>招标人</w:t>
      </w:r>
      <w:r>
        <w:rPr>
          <w:rFonts w:hint="eastAsia"/>
          <w:color w:val="auto"/>
          <w:sz w:val="24"/>
          <w:highlight w:val="none"/>
        </w:rPr>
        <w:t>及区相关主管部门意见开展项目专款管理工作。</w:t>
      </w:r>
    </w:p>
    <w:p w14:paraId="7A25AF0D">
      <w:pPr>
        <w:pStyle w:val="89"/>
        <w:spacing w:line="360" w:lineRule="auto"/>
        <w:ind w:firstLine="480" w:firstLineChars="200"/>
        <w:jc w:val="both"/>
        <w:rPr>
          <w:rFonts w:hint="default"/>
          <w:color w:val="auto"/>
          <w:sz w:val="24"/>
          <w:highlight w:val="none"/>
        </w:rPr>
      </w:pPr>
      <w:r>
        <w:rPr>
          <w:rFonts w:hint="eastAsia"/>
          <w:color w:val="auto"/>
          <w:sz w:val="24"/>
          <w:highlight w:val="none"/>
          <w:lang w:val="en-US" w:eastAsia="zh-CN"/>
        </w:rPr>
        <w:t>16.</w:t>
      </w:r>
      <w:r>
        <w:rPr>
          <w:rFonts w:hint="eastAsia"/>
          <w:color w:val="auto"/>
          <w:sz w:val="24"/>
          <w:highlight w:val="none"/>
        </w:rPr>
        <w:t>法规和政策规定由中标人管理的</w:t>
      </w:r>
      <w:r>
        <w:rPr>
          <w:rFonts w:hint="eastAsia"/>
          <w:color w:val="auto"/>
          <w:sz w:val="24"/>
          <w:highlight w:val="none"/>
          <w:lang w:eastAsia="zh-CN"/>
        </w:rPr>
        <w:t>其他</w:t>
      </w:r>
      <w:r>
        <w:rPr>
          <w:rFonts w:hint="eastAsia"/>
          <w:color w:val="auto"/>
          <w:sz w:val="24"/>
          <w:highlight w:val="none"/>
        </w:rPr>
        <w:t>事项。</w:t>
      </w:r>
    </w:p>
    <w:p w14:paraId="137AA41B">
      <w:pPr>
        <w:pStyle w:val="89"/>
        <w:spacing w:line="360" w:lineRule="auto"/>
        <w:ind w:firstLine="480" w:firstLineChars="200"/>
        <w:jc w:val="both"/>
        <w:rPr>
          <w:rFonts w:hint="default"/>
          <w:color w:val="auto"/>
          <w:highlight w:val="none"/>
        </w:rPr>
      </w:pPr>
      <w:r>
        <w:rPr>
          <w:rFonts w:hint="eastAsia"/>
          <w:color w:val="auto"/>
          <w:sz w:val="24"/>
          <w:highlight w:val="none"/>
          <w:lang w:val="en-US" w:eastAsia="zh-CN"/>
        </w:rPr>
        <w:t>17.</w:t>
      </w:r>
      <w:r>
        <w:rPr>
          <w:color w:val="auto"/>
          <w:sz w:val="24"/>
          <w:highlight w:val="none"/>
        </w:rPr>
        <w:t>合同期满或其他原因导致解除本合同时，中标人须将本物业项目</w:t>
      </w:r>
      <w:r>
        <w:rPr>
          <w:rFonts w:hint="eastAsia"/>
          <w:color w:val="auto"/>
          <w:sz w:val="24"/>
          <w:highlight w:val="none"/>
          <w:lang w:val="en-US" w:eastAsia="zh-CN"/>
        </w:rPr>
        <w:t>所具备的物业档案资料</w:t>
      </w:r>
      <w:r>
        <w:rPr>
          <w:color w:val="auto"/>
          <w:sz w:val="24"/>
          <w:highlight w:val="none"/>
        </w:rPr>
        <w:t>完</w:t>
      </w:r>
      <w:r>
        <w:rPr>
          <w:rFonts w:hint="eastAsia"/>
          <w:color w:val="auto"/>
          <w:sz w:val="24"/>
          <w:highlight w:val="none"/>
          <w:lang w:val="en-US" w:eastAsia="zh-CN"/>
        </w:rPr>
        <w:t>整</w:t>
      </w:r>
      <w:r>
        <w:rPr>
          <w:color w:val="auto"/>
          <w:sz w:val="24"/>
          <w:highlight w:val="none"/>
        </w:rPr>
        <w:t>地移交给</w:t>
      </w:r>
      <w:r>
        <w:rPr>
          <w:rFonts w:hint="eastAsia"/>
          <w:color w:val="auto"/>
          <w:sz w:val="24"/>
          <w:highlight w:val="none"/>
          <w:lang w:eastAsia="zh-CN"/>
        </w:rPr>
        <w:t>招标人</w:t>
      </w:r>
      <w:r>
        <w:rPr>
          <w:color w:val="auto"/>
          <w:sz w:val="24"/>
          <w:highlight w:val="none"/>
        </w:rPr>
        <w:t>；</w:t>
      </w:r>
    </w:p>
    <w:p w14:paraId="76A3CE19">
      <w:pPr>
        <w:pStyle w:val="89"/>
        <w:spacing w:line="360" w:lineRule="auto"/>
        <w:ind w:firstLine="480" w:firstLineChars="200"/>
        <w:jc w:val="both"/>
        <w:rPr>
          <w:rFonts w:hint="default"/>
          <w:color w:val="auto"/>
          <w:highlight w:val="none"/>
        </w:rPr>
      </w:pPr>
      <w:r>
        <w:rPr>
          <w:rFonts w:hint="eastAsia"/>
          <w:color w:val="auto"/>
          <w:sz w:val="24"/>
          <w:highlight w:val="none"/>
          <w:lang w:val="en-US" w:eastAsia="zh-CN"/>
        </w:rPr>
        <w:t>18.</w:t>
      </w:r>
      <w:r>
        <w:rPr>
          <w:color w:val="auto"/>
          <w:sz w:val="24"/>
          <w:highlight w:val="none"/>
        </w:rPr>
        <w:t>其他未尽服务内容，依照《广州市物业管理条例</w:t>
      </w:r>
      <w:r>
        <w:rPr>
          <w:rFonts w:hint="eastAsia"/>
          <w:color w:val="auto"/>
          <w:sz w:val="24"/>
          <w:highlight w:val="none"/>
          <w:lang w:eastAsia="zh-CN"/>
        </w:rPr>
        <w:t>》《</w:t>
      </w:r>
      <w:r>
        <w:rPr>
          <w:color w:val="auto"/>
          <w:sz w:val="24"/>
          <w:highlight w:val="none"/>
        </w:rPr>
        <w:t>广州市发展和改革委员会、广州市住房和城乡建设局、广州市市场监管局关于进一步规范我市住宅物业服务收费等有关问题的通知》（穗发改规字〔2023〕9号）有关要求执行。</w:t>
      </w:r>
    </w:p>
    <w:p w14:paraId="48B4100F">
      <w:pPr>
        <w:pStyle w:val="89"/>
        <w:spacing w:line="360" w:lineRule="auto"/>
        <w:ind w:firstLine="480"/>
        <w:jc w:val="both"/>
        <w:rPr>
          <w:rFonts w:hint="default"/>
          <w:color w:val="auto"/>
          <w:highlight w:val="none"/>
        </w:rPr>
      </w:pPr>
      <w:r>
        <w:rPr>
          <w:rFonts w:hint="eastAsia"/>
          <w:b/>
          <w:color w:val="auto"/>
          <w:sz w:val="24"/>
          <w:highlight w:val="none"/>
          <w:lang w:val="en-US" w:eastAsia="zh-CN"/>
        </w:rPr>
        <w:t>六</w:t>
      </w:r>
      <w:r>
        <w:rPr>
          <w:b/>
          <w:color w:val="auto"/>
          <w:sz w:val="24"/>
          <w:highlight w:val="none"/>
        </w:rPr>
        <w:t>、物业管理服务的具体要求</w:t>
      </w:r>
    </w:p>
    <w:p w14:paraId="15D560C0">
      <w:pPr>
        <w:pStyle w:val="89"/>
        <w:spacing w:line="360" w:lineRule="auto"/>
        <w:ind w:firstLine="480"/>
        <w:jc w:val="both"/>
        <w:rPr>
          <w:rFonts w:hint="default"/>
          <w:color w:val="auto"/>
          <w:highlight w:val="none"/>
        </w:rPr>
      </w:pPr>
      <w:r>
        <w:rPr>
          <w:color w:val="auto"/>
          <w:sz w:val="24"/>
          <w:highlight w:val="none"/>
        </w:rPr>
        <w:t>中标人在开展本项目物业管理服务时，须高度重视本项目的重要性，由中标单位高层管理人员牵头成立本项目的物业工作小组。本项目物业管理服务要求可概括为：</w:t>
      </w:r>
      <w:r>
        <w:rPr>
          <w:rFonts w:hint="eastAsia"/>
          <w:color w:val="auto"/>
          <w:sz w:val="24"/>
          <w:highlight w:val="none"/>
          <w:lang w:eastAsia="zh-CN"/>
        </w:rPr>
        <w:t>“</w:t>
      </w:r>
      <w:r>
        <w:rPr>
          <w:color w:val="auto"/>
          <w:sz w:val="24"/>
          <w:highlight w:val="none"/>
        </w:rPr>
        <w:t>以人为本，制度为据，严格管理，深度服务”，应满足《广州市发展和改革委员会、广州市住房和城乡建设局、广州市市场监管局关于进一步规范我市住宅物业服务收费等有关问题的通知》（穗发改规字〔2023〕9号）有关要求。</w:t>
      </w:r>
    </w:p>
    <w:p w14:paraId="5B39788F">
      <w:pPr>
        <w:pStyle w:val="89"/>
        <w:spacing w:line="360" w:lineRule="auto"/>
        <w:ind w:firstLine="480"/>
        <w:jc w:val="both"/>
        <w:rPr>
          <w:rFonts w:hint="default"/>
          <w:color w:val="auto"/>
          <w:highlight w:val="none"/>
        </w:rPr>
      </w:pPr>
      <w:r>
        <w:rPr>
          <w:color w:val="auto"/>
          <w:sz w:val="24"/>
          <w:highlight w:val="none"/>
        </w:rPr>
        <w:t>原则上要建立各类服务台账，如安置台账、业主信息台账、维修台账等，</w:t>
      </w:r>
      <w:r>
        <w:rPr>
          <w:rFonts w:hint="eastAsia"/>
          <w:color w:val="auto"/>
          <w:sz w:val="24"/>
          <w:highlight w:val="none"/>
          <w:lang w:eastAsia="zh-CN"/>
        </w:rPr>
        <w:t>招标人</w:t>
      </w:r>
      <w:r>
        <w:rPr>
          <w:color w:val="auto"/>
          <w:sz w:val="24"/>
          <w:highlight w:val="none"/>
        </w:rPr>
        <w:t>以下述要求作为依据，进行考核：</w:t>
      </w:r>
    </w:p>
    <w:p w14:paraId="30024B29">
      <w:pPr>
        <w:pStyle w:val="89"/>
        <w:ind w:left="135" w:firstLine="360"/>
        <w:jc w:val="both"/>
        <w:rPr>
          <w:color w:val="auto"/>
          <w:highlight w:val="none"/>
        </w:rPr>
      </w:pPr>
      <w:r>
        <w:rPr>
          <w:color w:val="auto"/>
          <w:sz w:val="24"/>
          <w:highlight w:val="none"/>
        </w:rPr>
        <w:t>（一）综合管理服务</w:t>
      </w:r>
    </w:p>
    <w:p w14:paraId="4474876A">
      <w:pPr>
        <w:pStyle w:val="89"/>
        <w:spacing w:line="360" w:lineRule="auto"/>
        <w:ind w:left="0" w:firstLine="480" w:firstLineChars="200"/>
        <w:jc w:val="both"/>
        <w:rPr>
          <w:color w:val="auto"/>
          <w:sz w:val="24"/>
          <w:highlight w:val="none"/>
        </w:rPr>
      </w:pPr>
      <w:r>
        <w:rPr>
          <w:color w:val="auto"/>
          <w:sz w:val="24"/>
          <w:highlight w:val="none"/>
        </w:rPr>
        <w:t>1.严格履行物业管理法规，在客户服务、保洁、维护公共秩序、水电维修等方面以IS0900l质量体系为标准，规范管理行为。</w:t>
      </w:r>
    </w:p>
    <w:p w14:paraId="7ED73FD6">
      <w:pPr>
        <w:pStyle w:val="89"/>
        <w:spacing w:line="360" w:lineRule="auto"/>
        <w:ind w:left="0" w:firstLine="480" w:firstLineChars="200"/>
        <w:jc w:val="both"/>
        <w:rPr>
          <w:color w:val="auto"/>
          <w:sz w:val="24"/>
          <w:highlight w:val="none"/>
        </w:rPr>
      </w:pPr>
      <w:r>
        <w:rPr>
          <w:color w:val="auto"/>
          <w:sz w:val="24"/>
          <w:highlight w:val="none"/>
        </w:rPr>
        <w:t>2.承接项目时，对住宅小区共用部位、共用设施设备进行认真查验，验收手续齐全。</w:t>
      </w:r>
    </w:p>
    <w:p w14:paraId="16753A1A">
      <w:pPr>
        <w:pStyle w:val="89"/>
        <w:spacing w:line="360" w:lineRule="auto"/>
        <w:ind w:left="0" w:firstLine="480" w:firstLineChars="200"/>
        <w:jc w:val="both"/>
        <w:rPr>
          <w:color w:val="auto"/>
          <w:sz w:val="24"/>
          <w:highlight w:val="none"/>
        </w:rPr>
      </w:pPr>
      <w:r>
        <w:rPr>
          <w:color w:val="auto"/>
          <w:sz w:val="24"/>
          <w:highlight w:val="none"/>
        </w:rPr>
        <w:t>3.有完善的管理方案，员工岗位责任与考核制度、报修服务与投诉处理制度、业主（住用户）资料保密制度、员工工作程序与工作标准等制度健全。</w:t>
      </w:r>
    </w:p>
    <w:p w14:paraId="48A2FCBB">
      <w:pPr>
        <w:pStyle w:val="89"/>
        <w:spacing w:line="360" w:lineRule="auto"/>
        <w:ind w:left="0" w:firstLine="480" w:firstLineChars="200"/>
        <w:jc w:val="both"/>
        <w:rPr>
          <w:color w:val="auto"/>
          <w:sz w:val="24"/>
          <w:highlight w:val="none"/>
        </w:rPr>
      </w:pPr>
      <w:r>
        <w:rPr>
          <w:color w:val="auto"/>
          <w:sz w:val="24"/>
          <w:highlight w:val="none"/>
        </w:rPr>
        <w:t>4.设置管理处，配置较完备的办公设施和办公用品，周一至周日每天不少于8小时在管理处进行业务接待。</w:t>
      </w:r>
    </w:p>
    <w:p w14:paraId="580A2E41">
      <w:pPr>
        <w:pStyle w:val="89"/>
        <w:spacing w:line="360" w:lineRule="auto"/>
        <w:ind w:left="0" w:firstLine="480" w:firstLineChars="200"/>
        <w:jc w:val="both"/>
        <w:rPr>
          <w:color w:val="auto"/>
          <w:sz w:val="24"/>
          <w:highlight w:val="none"/>
        </w:rPr>
      </w:pPr>
      <w:r>
        <w:rPr>
          <w:color w:val="auto"/>
          <w:sz w:val="24"/>
          <w:highlight w:val="none"/>
        </w:rPr>
        <w:t>5.物业服务档案资料齐全、分类科学、管理完善、易于检索。</w:t>
      </w:r>
    </w:p>
    <w:p w14:paraId="2DA96EFA">
      <w:pPr>
        <w:pStyle w:val="89"/>
        <w:spacing w:line="360" w:lineRule="auto"/>
        <w:ind w:left="0" w:firstLine="480" w:firstLineChars="200"/>
        <w:jc w:val="both"/>
        <w:rPr>
          <w:color w:val="auto"/>
          <w:sz w:val="24"/>
          <w:highlight w:val="none"/>
        </w:rPr>
      </w:pPr>
      <w:r>
        <w:rPr>
          <w:color w:val="auto"/>
          <w:sz w:val="24"/>
          <w:highlight w:val="none"/>
        </w:rPr>
        <w:t>6.管理人员、专业操作人员按照国家有关规定取得岗位证书（包括但不限于电工职业资格证书或电工特种作业操作证、消防设施操作员证、保安员证等）；服装统一、仪表整洁、挂牌上岗、行为规范，服务主动、热情。</w:t>
      </w:r>
    </w:p>
    <w:p w14:paraId="1267D44C">
      <w:pPr>
        <w:pStyle w:val="89"/>
        <w:spacing w:line="360" w:lineRule="auto"/>
        <w:ind w:left="0" w:firstLine="480" w:firstLineChars="200"/>
        <w:jc w:val="both"/>
        <w:rPr>
          <w:color w:val="auto"/>
          <w:sz w:val="24"/>
          <w:highlight w:val="none"/>
        </w:rPr>
      </w:pPr>
      <w:r>
        <w:rPr>
          <w:color w:val="auto"/>
          <w:sz w:val="24"/>
          <w:highlight w:val="none"/>
        </w:rPr>
        <w:t>7.公示8小时服务电话。急修1小时内、</w:t>
      </w:r>
      <w:r>
        <w:rPr>
          <w:rFonts w:hint="eastAsia"/>
          <w:color w:val="auto"/>
          <w:sz w:val="24"/>
          <w:highlight w:val="none"/>
          <w:lang w:eastAsia="zh-CN"/>
        </w:rPr>
        <w:t>其他</w:t>
      </w:r>
      <w:r>
        <w:rPr>
          <w:color w:val="auto"/>
          <w:sz w:val="24"/>
          <w:highlight w:val="none"/>
        </w:rPr>
        <w:t>报修按双方约定时间到达现场，有报修、维修和回访记录。</w:t>
      </w:r>
    </w:p>
    <w:p w14:paraId="4D79AC07">
      <w:pPr>
        <w:pStyle w:val="89"/>
        <w:spacing w:line="360" w:lineRule="auto"/>
        <w:ind w:left="0" w:firstLine="480" w:firstLineChars="200"/>
        <w:jc w:val="both"/>
        <w:rPr>
          <w:color w:val="auto"/>
          <w:sz w:val="24"/>
          <w:highlight w:val="none"/>
        </w:rPr>
      </w:pPr>
      <w:r>
        <w:rPr>
          <w:color w:val="auto"/>
          <w:sz w:val="24"/>
          <w:highlight w:val="none"/>
        </w:rPr>
        <w:t>8.根据业主需求，提供物业服务合同之外的特约服务和代办服务的，公示服务项目与收费价目。</w:t>
      </w:r>
    </w:p>
    <w:p w14:paraId="18C91D3C">
      <w:pPr>
        <w:pStyle w:val="89"/>
        <w:spacing w:line="360" w:lineRule="auto"/>
        <w:ind w:left="0" w:firstLine="480" w:firstLineChars="200"/>
        <w:jc w:val="both"/>
        <w:rPr>
          <w:color w:val="auto"/>
          <w:sz w:val="24"/>
          <w:highlight w:val="none"/>
        </w:rPr>
      </w:pPr>
      <w:r>
        <w:rPr>
          <w:color w:val="auto"/>
          <w:sz w:val="24"/>
          <w:highlight w:val="none"/>
        </w:rPr>
        <w:t>9.按有关规定和合同约定公布物业服务费用或者物业服务资金的收支情况。</w:t>
      </w:r>
    </w:p>
    <w:p w14:paraId="7AB1BDF7">
      <w:pPr>
        <w:pStyle w:val="89"/>
        <w:spacing w:line="360" w:lineRule="auto"/>
        <w:ind w:left="0" w:firstLine="480" w:firstLineChars="200"/>
        <w:jc w:val="both"/>
        <w:rPr>
          <w:color w:val="auto"/>
          <w:sz w:val="24"/>
          <w:highlight w:val="none"/>
        </w:rPr>
      </w:pPr>
      <w:r>
        <w:rPr>
          <w:color w:val="auto"/>
          <w:sz w:val="24"/>
          <w:highlight w:val="none"/>
        </w:rPr>
        <w:t>10.</w:t>
      </w:r>
      <w:r>
        <w:rPr>
          <w:rFonts w:hint="eastAsia"/>
          <w:color w:val="auto"/>
          <w:sz w:val="24"/>
          <w:highlight w:val="none"/>
          <w:lang w:eastAsia="zh-CN"/>
        </w:rPr>
        <w:t>按照</w:t>
      </w:r>
      <w:r>
        <w:rPr>
          <w:color w:val="auto"/>
          <w:sz w:val="24"/>
          <w:highlight w:val="none"/>
        </w:rPr>
        <w:t>合同约定规范使用住房专项维修资金。</w:t>
      </w:r>
    </w:p>
    <w:p w14:paraId="2E8BC952">
      <w:pPr>
        <w:pStyle w:val="89"/>
        <w:spacing w:line="360" w:lineRule="auto"/>
        <w:ind w:left="0" w:firstLine="480" w:firstLineChars="200"/>
        <w:jc w:val="both"/>
        <w:rPr>
          <w:color w:val="auto"/>
          <w:sz w:val="24"/>
          <w:highlight w:val="none"/>
        </w:rPr>
      </w:pPr>
      <w:r>
        <w:rPr>
          <w:color w:val="auto"/>
          <w:sz w:val="24"/>
          <w:highlight w:val="none"/>
        </w:rPr>
        <w:t>11.经常与业主沟通，及时解答业主的咨询和处理业主投诉。</w:t>
      </w:r>
    </w:p>
    <w:p w14:paraId="7EA1386D">
      <w:pPr>
        <w:pStyle w:val="89"/>
        <w:spacing w:line="360" w:lineRule="auto"/>
        <w:ind w:left="0" w:firstLine="480" w:firstLineChars="200"/>
        <w:jc w:val="both"/>
        <w:rPr>
          <w:color w:val="auto"/>
          <w:sz w:val="24"/>
          <w:highlight w:val="none"/>
        </w:rPr>
      </w:pPr>
      <w:r>
        <w:rPr>
          <w:color w:val="auto"/>
          <w:sz w:val="24"/>
          <w:highlight w:val="none"/>
        </w:rPr>
        <w:t>12.按供电、供水部门的要求负责上门抄取电表、水表数据，计算并代收各住户、商铺承租者每月电费、水费，严格按照抄表员岗位职责规定执行；按照广州市有关规定和</w:t>
      </w:r>
      <w:r>
        <w:rPr>
          <w:rFonts w:hint="eastAsia"/>
          <w:color w:val="auto"/>
          <w:sz w:val="24"/>
          <w:highlight w:val="none"/>
          <w:lang w:eastAsia="zh-CN"/>
        </w:rPr>
        <w:t>招标人</w:t>
      </w:r>
      <w:r>
        <w:rPr>
          <w:color w:val="auto"/>
          <w:sz w:val="24"/>
          <w:highlight w:val="none"/>
        </w:rPr>
        <w:t>的要求代收物业管理费。</w:t>
      </w:r>
    </w:p>
    <w:p w14:paraId="05B13A6A">
      <w:pPr>
        <w:pStyle w:val="89"/>
        <w:spacing w:line="360" w:lineRule="auto"/>
        <w:ind w:left="0" w:firstLine="480" w:firstLineChars="200"/>
        <w:jc w:val="both"/>
        <w:rPr>
          <w:color w:val="auto"/>
          <w:sz w:val="24"/>
          <w:highlight w:val="none"/>
        </w:rPr>
      </w:pPr>
      <w:r>
        <w:rPr>
          <w:color w:val="auto"/>
          <w:sz w:val="24"/>
          <w:highlight w:val="none"/>
        </w:rPr>
        <w:t>13.规范管理空置房、周转房。严格按照</w:t>
      </w:r>
      <w:r>
        <w:rPr>
          <w:rFonts w:hint="eastAsia"/>
          <w:color w:val="auto"/>
          <w:sz w:val="24"/>
          <w:highlight w:val="none"/>
          <w:lang w:eastAsia="zh-CN"/>
        </w:rPr>
        <w:t>招标人</w:t>
      </w:r>
      <w:r>
        <w:rPr>
          <w:color w:val="auto"/>
          <w:sz w:val="24"/>
          <w:highlight w:val="none"/>
        </w:rPr>
        <w:t>的要求，协助、配合相关部门开展分房工作，办理业主收楼入伙、退还周转房、水电过户等手续；每月巡查上述房屋，对房屋存在的房屋问题进行登记并联系建设单位处理。</w:t>
      </w:r>
    </w:p>
    <w:p w14:paraId="45B50F30">
      <w:pPr>
        <w:pStyle w:val="89"/>
        <w:spacing w:line="360" w:lineRule="auto"/>
        <w:ind w:left="0" w:firstLine="480" w:firstLineChars="200"/>
        <w:jc w:val="both"/>
        <w:rPr>
          <w:color w:val="auto"/>
          <w:sz w:val="24"/>
          <w:highlight w:val="none"/>
        </w:rPr>
      </w:pPr>
      <w:r>
        <w:rPr>
          <w:color w:val="auto"/>
          <w:sz w:val="24"/>
          <w:highlight w:val="none"/>
        </w:rPr>
        <w:t>14.按时交纳合同约定需交纳的所有费用（如：公共水电费用、给水总表与用户表之间的差额水费等），并定期向</w:t>
      </w:r>
      <w:r>
        <w:rPr>
          <w:rFonts w:hint="eastAsia"/>
          <w:color w:val="auto"/>
          <w:sz w:val="24"/>
          <w:highlight w:val="none"/>
          <w:lang w:eastAsia="zh-CN"/>
        </w:rPr>
        <w:t>招标人</w:t>
      </w:r>
      <w:r>
        <w:rPr>
          <w:color w:val="auto"/>
          <w:sz w:val="24"/>
          <w:highlight w:val="none"/>
        </w:rPr>
        <w:t>报告相关工作完成情况。</w:t>
      </w:r>
    </w:p>
    <w:p w14:paraId="79926920">
      <w:pPr>
        <w:pStyle w:val="89"/>
        <w:spacing w:line="360" w:lineRule="auto"/>
        <w:ind w:left="0" w:firstLine="480" w:firstLineChars="200"/>
        <w:jc w:val="both"/>
        <w:rPr>
          <w:color w:val="auto"/>
          <w:sz w:val="24"/>
          <w:highlight w:val="none"/>
        </w:rPr>
      </w:pPr>
      <w:r>
        <w:rPr>
          <w:color w:val="auto"/>
          <w:sz w:val="24"/>
          <w:highlight w:val="none"/>
        </w:rPr>
        <w:t>15.文明管理，诚信服务，</w:t>
      </w:r>
      <w:r>
        <w:rPr>
          <w:rFonts w:hint="eastAsia"/>
          <w:color w:val="auto"/>
          <w:sz w:val="24"/>
          <w:highlight w:val="none"/>
          <w:lang w:eastAsia="zh-CN"/>
        </w:rPr>
        <w:t>绝不</w:t>
      </w:r>
      <w:r>
        <w:rPr>
          <w:color w:val="auto"/>
          <w:sz w:val="24"/>
          <w:highlight w:val="none"/>
        </w:rPr>
        <w:t>谋取不当利益，坚持低成本运作、高质量服务。</w:t>
      </w:r>
    </w:p>
    <w:p w14:paraId="54F51204">
      <w:pPr>
        <w:pStyle w:val="89"/>
        <w:spacing w:line="360" w:lineRule="auto"/>
        <w:ind w:left="0" w:firstLine="480" w:firstLineChars="200"/>
        <w:jc w:val="both"/>
        <w:rPr>
          <w:color w:val="auto"/>
          <w:sz w:val="24"/>
          <w:highlight w:val="none"/>
        </w:rPr>
      </w:pPr>
      <w:r>
        <w:rPr>
          <w:color w:val="auto"/>
          <w:sz w:val="24"/>
          <w:highlight w:val="none"/>
        </w:rPr>
        <w:t>16.每年至少1次征询业主对物业服务的意见，满意率</w:t>
      </w:r>
      <w:r>
        <w:rPr>
          <w:rFonts w:hint="eastAsia"/>
          <w:color w:val="auto"/>
          <w:sz w:val="24"/>
          <w:highlight w:val="none"/>
          <w:lang w:val="en-US" w:eastAsia="zh-CN"/>
        </w:rPr>
        <w:t>80</w:t>
      </w:r>
      <w:r>
        <w:rPr>
          <w:color w:val="auto"/>
          <w:sz w:val="24"/>
          <w:highlight w:val="none"/>
        </w:rPr>
        <w:t>%以上（含80%）。</w:t>
      </w:r>
    </w:p>
    <w:p w14:paraId="77147CF1">
      <w:pPr>
        <w:pStyle w:val="89"/>
        <w:spacing w:line="360" w:lineRule="auto"/>
        <w:ind w:left="0" w:firstLine="480" w:firstLineChars="200"/>
        <w:jc w:val="both"/>
        <w:rPr>
          <w:color w:val="auto"/>
          <w:sz w:val="24"/>
          <w:highlight w:val="none"/>
        </w:rPr>
      </w:pPr>
      <w:r>
        <w:rPr>
          <w:color w:val="auto"/>
          <w:sz w:val="24"/>
          <w:highlight w:val="none"/>
        </w:rPr>
        <w:t>17.中标人必须有一套完整的现场物业管理制度，必须包括以下几项基本内容：</w:t>
      </w:r>
    </w:p>
    <w:p w14:paraId="07EFC5C2">
      <w:pPr>
        <w:pStyle w:val="89"/>
        <w:spacing w:line="360" w:lineRule="auto"/>
        <w:ind w:left="0" w:firstLine="480" w:firstLineChars="200"/>
        <w:jc w:val="both"/>
        <w:rPr>
          <w:color w:val="auto"/>
          <w:sz w:val="24"/>
          <w:highlight w:val="none"/>
        </w:rPr>
      </w:pPr>
      <w:r>
        <w:rPr>
          <w:color w:val="auto"/>
          <w:sz w:val="24"/>
          <w:highlight w:val="none"/>
        </w:rPr>
        <w:t>A</w:t>
      </w:r>
      <w:r>
        <w:rPr>
          <w:rFonts w:hint="eastAsia"/>
          <w:color w:val="auto"/>
          <w:sz w:val="24"/>
          <w:highlight w:val="none"/>
          <w:lang w:eastAsia="zh-CN"/>
        </w:rPr>
        <w:t>.</w:t>
      </w:r>
      <w:r>
        <w:rPr>
          <w:color w:val="auto"/>
          <w:sz w:val="24"/>
          <w:highlight w:val="none"/>
        </w:rPr>
        <w:t>工作计划和工作流程</w:t>
      </w:r>
    </w:p>
    <w:p w14:paraId="5426AAAC">
      <w:pPr>
        <w:pStyle w:val="89"/>
        <w:spacing w:line="360" w:lineRule="auto"/>
        <w:ind w:left="0" w:firstLine="480" w:firstLineChars="200"/>
        <w:jc w:val="both"/>
        <w:rPr>
          <w:color w:val="auto"/>
          <w:sz w:val="24"/>
          <w:highlight w:val="none"/>
        </w:rPr>
      </w:pPr>
      <w:r>
        <w:rPr>
          <w:color w:val="auto"/>
          <w:sz w:val="24"/>
          <w:highlight w:val="none"/>
        </w:rPr>
        <w:t>B</w:t>
      </w:r>
      <w:r>
        <w:rPr>
          <w:rFonts w:hint="eastAsia"/>
          <w:color w:val="auto"/>
          <w:sz w:val="24"/>
          <w:highlight w:val="none"/>
          <w:lang w:eastAsia="zh-CN"/>
        </w:rPr>
        <w:t>.</w:t>
      </w:r>
      <w:r>
        <w:rPr>
          <w:color w:val="auto"/>
          <w:sz w:val="24"/>
          <w:highlight w:val="none"/>
        </w:rPr>
        <w:t>人员编制计划、物料装备计划</w:t>
      </w:r>
    </w:p>
    <w:p w14:paraId="5F4D370B">
      <w:pPr>
        <w:pStyle w:val="89"/>
        <w:spacing w:line="360" w:lineRule="auto"/>
        <w:ind w:left="0" w:firstLine="480" w:firstLineChars="200"/>
        <w:jc w:val="both"/>
        <w:rPr>
          <w:color w:val="auto"/>
          <w:sz w:val="24"/>
          <w:highlight w:val="none"/>
        </w:rPr>
      </w:pPr>
      <w:r>
        <w:rPr>
          <w:color w:val="auto"/>
          <w:sz w:val="24"/>
          <w:highlight w:val="none"/>
        </w:rPr>
        <w:t>C</w:t>
      </w:r>
      <w:r>
        <w:rPr>
          <w:rFonts w:hint="eastAsia"/>
          <w:color w:val="auto"/>
          <w:sz w:val="24"/>
          <w:highlight w:val="none"/>
          <w:lang w:eastAsia="zh-CN"/>
        </w:rPr>
        <w:t>.</w:t>
      </w:r>
      <w:r>
        <w:rPr>
          <w:color w:val="auto"/>
          <w:sz w:val="24"/>
          <w:highlight w:val="none"/>
        </w:rPr>
        <w:t>公共秩序维护制度、人员出入小区登记制度、物料出入放行制度</w:t>
      </w:r>
    </w:p>
    <w:p w14:paraId="3D19CD2B">
      <w:pPr>
        <w:pStyle w:val="89"/>
        <w:spacing w:line="360" w:lineRule="auto"/>
        <w:ind w:left="0" w:firstLine="480" w:firstLineChars="200"/>
        <w:jc w:val="both"/>
        <w:rPr>
          <w:color w:val="auto"/>
          <w:sz w:val="24"/>
          <w:highlight w:val="none"/>
        </w:rPr>
      </w:pPr>
      <w:r>
        <w:rPr>
          <w:color w:val="auto"/>
          <w:sz w:val="24"/>
          <w:highlight w:val="none"/>
        </w:rPr>
        <w:t>D</w:t>
      </w:r>
      <w:r>
        <w:rPr>
          <w:rFonts w:hint="eastAsia"/>
          <w:color w:val="auto"/>
          <w:sz w:val="24"/>
          <w:highlight w:val="none"/>
          <w:lang w:eastAsia="zh-CN"/>
        </w:rPr>
        <w:t>.</w:t>
      </w:r>
      <w:r>
        <w:rPr>
          <w:color w:val="auto"/>
          <w:sz w:val="24"/>
          <w:highlight w:val="none"/>
        </w:rPr>
        <w:t>保洁服务标准</w:t>
      </w:r>
    </w:p>
    <w:p w14:paraId="383C0B9D">
      <w:pPr>
        <w:pStyle w:val="89"/>
        <w:spacing w:line="360" w:lineRule="auto"/>
        <w:ind w:left="0" w:firstLine="480" w:firstLineChars="200"/>
        <w:jc w:val="both"/>
        <w:rPr>
          <w:color w:val="auto"/>
          <w:sz w:val="24"/>
          <w:highlight w:val="none"/>
        </w:rPr>
      </w:pPr>
      <w:r>
        <w:rPr>
          <w:color w:val="auto"/>
          <w:sz w:val="24"/>
          <w:highlight w:val="none"/>
        </w:rPr>
        <w:t>E</w:t>
      </w:r>
      <w:r>
        <w:rPr>
          <w:rFonts w:hint="eastAsia"/>
          <w:color w:val="auto"/>
          <w:sz w:val="24"/>
          <w:highlight w:val="none"/>
          <w:lang w:eastAsia="zh-CN"/>
        </w:rPr>
        <w:t>.</w:t>
      </w:r>
      <w:r>
        <w:rPr>
          <w:color w:val="auto"/>
          <w:sz w:val="24"/>
          <w:highlight w:val="none"/>
        </w:rPr>
        <w:t>绿化管养标准</w:t>
      </w:r>
    </w:p>
    <w:p w14:paraId="12D2E2BE">
      <w:pPr>
        <w:pStyle w:val="89"/>
        <w:spacing w:line="360" w:lineRule="auto"/>
        <w:ind w:left="0" w:firstLine="480" w:firstLineChars="200"/>
        <w:jc w:val="both"/>
        <w:rPr>
          <w:color w:val="auto"/>
          <w:sz w:val="24"/>
          <w:highlight w:val="none"/>
        </w:rPr>
      </w:pPr>
      <w:r>
        <w:rPr>
          <w:color w:val="auto"/>
          <w:sz w:val="24"/>
          <w:highlight w:val="none"/>
        </w:rPr>
        <w:t>F</w:t>
      </w:r>
      <w:r>
        <w:rPr>
          <w:rFonts w:hint="eastAsia"/>
          <w:color w:val="auto"/>
          <w:sz w:val="24"/>
          <w:highlight w:val="none"/>
          <w:lang w:eastAsia="zh-CN"/>
        </w:rPr>
        <w:t>.</w:t>
      </w:r>
      <w:r>
        <w:rPr>
          <w:color w:val="auto"/>
          <w:sz w:val="24"/>
          <w:highlight w:val="none"/>
        </w:rPr>
        <w:t>装修管理规定</w:t>
      </w:r>
    </w:p>
    <w:p w14:paraId="64D55E14">
      <w:pPr>
        <w:pStyle w:val="89"/>
        <w:spacing w:line="360" w:lineRule="auto"/>
        <w:ind w:left="0" w:firstLine="480" w:firstLineChars="200"/>
        <w:jc w:val="both"/>
        <w:rPr>
          <w:color w:val="auto"/>
          <w:sz w:val="24"/>
          <w:highlight w:val="none"/>
        </w:rPr>
      </w:pPr>
      <w:r>
        <w:rPr>
          <w:color w:val="auto"/>
          <w:sz w:val="24"/>
          <w:highlight w:val="none"/>
        </w:rPr>
        <w:t>G</w:t>
      </w:r>
      <w:r>
        <w:rPr>
          <w:rFonts w:hint="eastAsia"/>
          <w:color w:val="auto"/>
          <w:sz w:val="24"/>
          <w:highlight w:val="none"/>
          <w:lang w:eastAsia="zh-CN"/>
        </w:rPr>
        <w:t>.</w:t>
      </w:r>
      <w:r>
        <w:rPr>
          <w:color w:val="auto"/>
          <w:sz w:val="24"/>
          <w:highlight w:val="none"/>
        </w:rPr>
        <w:t>电梯管理制度、消防安全管理制度</w:t>
      </w:r>
    </w:p>
    <w:p w14:paraId="2B21FC7C">
      <w:pPr>
        <w:pStyle w:val="89"/>
        <w:spacing w:line="360" w:lineRule="auto"/>
        <w:ind w:firstLine="480" w:firstLineChars="200"/>
        <w:jc w:val="both"/>
        <w:rPr>
          <w:color w:val="auto"/>
          <w:sz w:val="24"/>
          <w:highlight w:val="none"/>
        </w:rPr>
      </w:pPr>
      <w:r>
        <w:rPr>
          <w:color w:val="auto"/>
          <w:sz w:val="24"/>
          <w:highlight w:val="none"/>
        </w:rPr>
        <w:t>H</w:t>
      </w:r>
      <w:r>
        <w:rPr>
          <w:rFonts w:hint="eastAsia"/>
          <w:color w:val="auto"/>
          <w:sz w:val="24"/>
          <w:highlight w:val="none"/>
          <w:lang w:eastAsia="zh-CN"/>
        </w:rPr>
        <w:t>.</w:t>
      </w:r>
      <w:r>
        <w:rPr>
          <w:color w:val="auto"/>
          <w:sz w:val="24"/>
          <w:highlight w:val="none"/>
        </w:rPr>
        <w:t>本项目相关场地和设施设备经营收入专账管理制度</w:t>
      </w:r>
    </w:p>
    <w:p w14:paraId="73918E3B">
      <w:pPr>
        <w:pStyle w:val="89"/>
        <w:spacing w:line="360" w:lineRule="auto"/>
        <w:ind w:left="0" w:firstLine="480" w:firstLineChars="200"/>
        <w:jc w:val="both"/>
        <w:rPr>
          <w:color w:val="auto"/>
          <w:sz w:val="24"/>
          <w:highlight w:val="none"/>
        </w:rPr>
      </w:pPr>
      <w:r>
        <w:rPr>
          <w:color w:val="auto"/>
          <w:sz w:val="24"/>
          <w:highlight w:val="none"/>
        </w:rPr>
        <w:t>18.本项目除依法由专业部门负责的业务外，中标人不得将小区其他物业管理业务委托给其他人或单位，如有违约，</w:t>
      </w:r>
      <w:r>
        <w:rPr>
          <w:rFonts w:hint="eastAsia"/>
          <w:color w:val="auto"/>
          <w:sz w:val="24"/>
          <w:highlight w:val="none"/>
          <w:lang w:eastAsia="zh-CN"/>
        </w:rPr>
        <w:t>招标人</w:t>
      </w:r>
      <w:r>
        <w:rPr>
          <w:color w:val="auto"/>
          <w:sz w:val="24"/>
          <w:highlight w:val="none"/>
        </w:rPr>
        <w:t>可与中标人解除合同并追究中标人的违约责任。</w:t>
      </w:r>
    </w:p>
    <w:p w14:paraId="3011269B">
      <w:pPr>
        <w:pStyle w:val="89"/>
        <w:spacing w:line="360" w:lineRule="auto"/>
        <w:ind w:left="0" w:firstLine="480" w:firstLineChars="200"/>
        <w:jc w:val="both"/>
        <w:rPr>
          <w:color w:val="auto"/>
          <w:sz w:val="24"/>
          <w:highlight w:val="none"/>
        </w:rPr>
      </w:pPr>
      <w:r>
        <w:rPr>
          <w:color w:val="auto"/>
          <w:sz w:val="24"/>
          <w:highlight w:val="none"/>
        </w:rPr>
        <w:t>（二）物业共用部位和共用设施设备维护</w:t>
      </w:r>
    </w:p>
    <w:p w14:paraId="33B4CC49">
      <w:pPr>
        <w:pStyle w:val="89"/>
        <w:spacing w:line="360" w:lineRule="auto"/>
        <w:ind w:left="0" w:firstLine="480" w:firstLineChars="200"/>
        <w:jc w:val="both"/>
        <w:rPr>
          <w:color w:val="auto"/>
          <w:sz w:val="24"/>
          <w:highlight w:val="none"/>
        </w:rPr>
      </w:pPr>
      <w:r>
        <w:rPr>
          <w:color w:val="auto"/>
          <w:sz w:val="24"/>
          <w:highlight w:val="none"/>
        </w:rPr>
        <w:t>1.建立物业共用部位、共用设施设备的管理、巡查、维修保养制度及巡查维修档案记录；对物业共用部位进行日常管理和维修养护；发现房屋结构损坏及时告知相关业主、使用人，并</w:t>
      </w:r>
      <w:r>
        <w:rPr>
          <w:rFonts w:hint="eastAsia"/>
          <w:color w:val="auto"/>
          <w:sz w:val="24"/>
          <w:highlight w:val="none"/>
          <w:lang w:eastAsia="zh-CN"/>
        </w:rPr>
        <w:t>做好</w:t>
      </w:r>
      <w:r>
        <w:rPr>
          <w:color w:val="auto"/>
          <w:sz w:val="24"/>
          <w:highlight w:val="none"/>
        </w:rPr>
        <w:t>记录。</w:t>
      </w:r>
    </w:p>
    <w:p w14:paraId="56FC4EA0">
      <w:pPr>
        <w:pStyle w:val="89"/>
        <w:spacing w:line="360" w:lineRule="auto"/>
        <w:ind w:left="0" w:firstLine="480" w:firstLineChars="200"/>
        <w:jc w:val="both"/>
        <w:rPr>
          <w:color w:val="auto"/>
          <w:sz w:val="24"/>
          <w:highlight w:val="none"/>
        </w:rPr>
      </w:pPr>
      <w:r>
        <w:rPr>
          <w:color w:val="auto"/>
          <w:sz w:val="24"/>
          <w:highlight w:val="none"/>
        </w:rPr>
        <w:t>2.建立共用设施设备安全操作规程、紧急处理预案等规章制度；建立共用设施设备档案（</w:t>
      </w:r>
      <w:r>
        <w:rPr>
          <w:rFonts w:hint="eastAsia"/>
          <w:color w:val="auto"/>
          <w:sz w:val="24"/>
          <w:highlight w:val="none"/>
          <w:lang w:eastAsia="zh-CN"/>
        </w:rPr>
        <w:t>设备台账</w:t>
      </w:r>
      <w:r>
        <w:rPr>
          <w:color w:val="auto"/>
          <w:sz w:val="24"/>
          <w:highlight w:val="none"/>
        </w:rPr>
        <w:t>），设施设备的运行、检查、维修、保养等记录齐全。</w:t>
      </w:r>
    </w:p>
    <w:p w14:paraId="1639D01E">
      <w:pPr>
        <w:pStyle w:val="89"/>
        <w:spacing w:line="360" w:lineRule="auto"/>
        <w:ind w:left="0" w:firstLine="480" w:firstLineChars="200"/>
        <w:jc w:val="both"/>
        <w:rPr>
          <w:color w:val="auto"/>
          <w:sz w:val="24"/>
          <w:highlight w:val="none"/>
        </w:rPr>
      </w:pPr>
      <w:r>
        <w:rPr>
          <w:color w:val="auto"/>
          <w:sz w:val="24"/>
          <w:highlight w:val="none"/>
        </w:rPr>
        <w:t>3.安置区主出入口设有小区平面示意图，主要路口设有路标，各组团、栋、单元（门）、户有明显标志；安置区主要道路及停车场交通标志齐全；各类设施设备的标志清晰明确、规范齐全；对小区内危险隐患部位设置安全防范、警示标识或维护设施，每月检查1次上述标识设施，保证清晰完整，设施运行正常。</w:t>
      </w:r>
    </w:p>
    <w:p w14:paraId="1C7D7FF1">
      <w:pPr>
        <w:pStyle w:val="89"/>
        <w:spacing w:line="360" w:lineRule="auto"/>
        <w:ind w:left="0" w:firstLine="480" w:firstLineChars="200"/>
        <w:jc w:val="both"/>
        <w:rPr>
          <w:color w:val="auto"/>
          <w:sz w:val="24"/>
          <w:highlight w:val="none"/>
        </w:rPr>
      </w:pPr>
      <w:r>
        <w:rPr>
          <w:color w:val="auto"/>
          <w:sz w:val="24"/>
          <w:highlight w:val="none"/>
        </w:rPr>
        <w:t>4.对共用设施设备进行日常管理和维修养护（依法应由专业部门负责的由物业公司聘请相应的专业部门负责，例如：电梯、消防系统等）；共用设施设备有国家规范的，应达到规定的保养标准。</w:t>
      </w:r>
    </w:p>
    <w:p w14:paraId="4849B123">
      <w:pPr>
        <w:pStyle w:val="89"/>
        <w:spacing w:line="360" w:lineRule="auto"/>
        <w:ind w:left="0" w:firstLine="480" w:firstLineChars="200"/>
        <w:jc w:val="both"/>
        <w:rPr>
          <w:color w:val="auto"/>
          <w:sz w:val="24"/>
          <w:highlight w:val="none"/>
        </w:rPr>
      </w:pPr>
      <w:r>
        <w:rPr>
          <w:color w:val="auto"/>
          <w:sz w:val="24"/>
          <w:highlight w:val="none"/>
        </w:rPr>
        <w:t>5.共用设施设备配有专人管理。操作维护人员严格执行设施设备操作规程及保养规范；设施设备运行正常，确保不发生因无人管理原因造成设备瘫痪。消防设施设备完好，可随时启用；消防通道畅通。对消防设施进行巡检、养护，并做好记录。设备房保持整洁、通风，无冒、滴、漏和鼠害现象。</w:t>
      </w:r>
    </w:p>
    <w:p w14:paraId="1AE61161">
      <w:pPr>
        <w:pStyle w:val="89"/>
        <w:spacing w:line="360" w:lineRule="auto"/>
        <w:ind w:left="0" w:firstLine="480" w:firstLineChars="200"/>
        <w:jc w:val="both"/>
        <w:rPr>
          <w:color w:val="auto"/>
          <w:sz w:val="24"/>
          <w:highlight w:val="none"/>
        </w:rPr>
      </w:pPr>
      <w:r>
        <w:rPr>
          <w:color w:val="auto"/>
          <w:sz w:val="24"/>
          <w:highlight w:val="none"/>
        </w:rPr>
        <w:t>6.根据房屋实际使用年限，适时检查房屋共用部位的使用状况；发现房屋结构损坏及时告知相关业主、使用人，并做好记录；对共用设施设备定期组织巡查，做好巡查记录；需要维修，属于小修范围的，及时组织修复；属于大、中修范围的，及时编制维修计划和住房专项维修资金使用计划，向</w:t>
      </w:r>
      <w:r>
        <w:rPr>
          <w:rFonts w:hint="eastAsia"/>
          <w:color w:val="auto"/>
          <w:sz w:val="24"/>
          <w:highlight w:val="none"/>
          <w:lang w:eastAsia="zh-CN"/>
        </w:rPr>
        <w:t>招标人</w:t>
      </w:r>
      <w:r>
        <w:rPr>
          <w:color w:val="auto"/>
          <w:sz w:val="24"/>
          <w:highlight w:val="none"/>
        </w:rPr>
        <w:t>提出报告与建议，根据</w:t>
      </w:r>
      <w:r>
        <w:rPr>
          <w:rFonts w:hint="eastAsia"/>
          <w:color w:val="auto"/>
          <w:sz w:val="24"/>
          <w:highlight w:val="none"/>
          <w:lang w:eastAsia="zh-CN"/>
        </w:rPr>
        <w:t>招标人</w:t>
      </w:r>
      <w:r>
        <w:rPr>
          <w:color w:val="auto"/>
          <w:sz w:val="24"/>
          <w:highlight w:val="none"/>
        </w:rPr>
        <w:t>的决定，组织维修或者更新改造。</w:t>
      </w:r>
    </w:p>
    <w:p w14:paraId="199FA9B1">
      <w:pPr>
        <w:pStyle w:val="89"/>
        <w:spacing w:line="360" w:lineRule="auto"/>
        <w:ind w:left="0" w:firstLine="480" w:firstLineChars="200"/>
        <w:jc w:val="both"/>
        <w:rPr>
          <w:color w:val="auto"/>
          <w:sz w:val="24"/>
          <w:highlight w:val="none"/>
        </w:rPr>
      </w:pPr>
      <w:r>
        <w:rPr>
          <w:color w:val="auto"/>
          <w:sz w:val="24"/>
          <w:highlight w:val="none"/>
        </w:rPr>
        <w:t>7.按照住宅装饰装修管理有关规定和业主管理规约（业主临时管理规约）要求，建立完善的住宅装饰装修管理制度。装修前，依规定审核业主（使用人）的装修方案，告知业主或使用人有关装饰装修的禁止行为和注意事项，监督装修过程。每周至少巡查2次装修施工现场，及时处理巡查过</w:t>
      </w:r>
      <w:r>
        <w:rPr>
          <w:rFonts w:hint="eastAsia"/>
          <w:color w:val="auto"/>
          <w:sz w:val="24"/>
          <w:highlight w:val="none"/>
          <w:lang w:eastAsia="zh-CN"/>
        </w:rPr>
        <w:t>程中</w:t>
      </w:r>
      <w:r>
        <w:rPr>
          <w:color w:val="auto"/>
          <w:sz w:val="24"/>
          <w:highlight w:val="none"/>
        </w:rPr>
        <w:t>发现的问题。发现影响房屋外观、危及房屋结构安全及拆改共用管线等损害公共利益现象的，及时劝阻、制止、督促整改及纠正，及时报告</w:t>
      </w:r>
      <w:r>
        <w:rPr>
          <w:rFonts w:hint="eastAsia"/>
          <w:color w:val="auto"/>
          <w:sz w:val="24"/>
          <w:highlight w:val="none"/>
          <w:lang w:eastAsia="zh-CN"/>
        </w:rPr>
        <w:t>招标人</w:t>
      </w:r>
      <w:r>
        <w:rPr>
          <w:color w:val="auto"/>
          <w:sz w:val="24"/>
          <w:highlight w:val="none"/>
        </w:rPr>
        <w:t>和有关主管部门，并配合相关行政主管部门对违章搭建行为进行执法和处罚。</w:t>
      </w:r>
    </w:p>
    <w:p w14:paraId="347F364C">
      <w:pPr>
        <w:pStyle w:val="89"/>
        <w:spacing w:line="360" w:lineRule="auto"/>
        <w:ind w:left="0" w:firstLine="480" w:firstLineChars="200"/>
        <w:jc w:val="both"/>
        <w:rPr>
          <w:color w:val="auto"/>
          <w:sz w:val="24"/>
          <w:highlight w:val="none"/>
        </w:rPr>
      </w:pPr>
      <w:r>
        <w:rPr>
          <w:color w:val="auto"/>
          <w:sz w:val="24"/>
          <w:highlight w:val="none"/>
        </w:rPr>
        <w:t>8.对违反规划私搭乱建、擅自改变房屋用途的行为及时劝阻、制止、督促整改及纠正，及时报告</w:t>
      </w:r>
      <w:r>
        <w:rPr>
          <w:rFonts w:hint="eastAsia"/>
          <w:color w:val="auto"/>
          <w:sz w:val="24"/>
          <w:highlight w:val="none"/>
          <w:lang w:eastAsia="zh-CN"/>
        </w:rPr>
        <w:t>招标人</w:t>
      </w:r>
      <w:r>
        <w:rPr>
          <w:color w:val="auto"/>
          <w:sz w:val="24"/>
          <w:highlight w:val="none"/>
        </w:rPr>
        <w:t>和有关主管部门，并配合相关行政主管部门对违章搭建行为进行执法和处罚。</w:t>
      </w:r>
    </w:p>
    <w:p w14:paraId="34FE6ED4">
      <w:pPr>
        <w:pStyle w:val="89"/>
        <w:spacing w:line="360" w:lineRule="auto"/>
        <w:ind w:left="0" w:firstLine="480" w:firstLineChars="200"/>
        <w:jc w:val="both"/>
        <w:rPr>
          <w:color w:val="auto"/>
          <w:sz w:val="24"/>
          <w:highlight w:val="none"/>
        </w:rPr>
      </w:pPr>
      <w:r>
        <w:rPr>
          <w:color w:val="auto"/>
          <w:sz w:val="24"/>
          <w:highlight w:val="none"/>
        </w:rPr>
        <w:t>9.小区道路、场地保持基本平整，不积水。</w:t>
      </w:r>
    </w:p>
    <w:p w14:paraId="31A53E65">
      <w:pPr>
        <w:pStyle w:val="89"/>
        <w:spacing w:line="360" w:lineRule="auto"/>
        <w:ind w:left="0" w:firstLine="480" w:firstLineChars="200"/>
        <w:jc w:val="both"/>
        <w:rPr>
          <w:color w:val="auto"/>
          <w:sz w:val="24"/>
          <w:highlight w:val="none"/>
        </w:rPr>
      </w:pPr>
      <w:r>
        <w:rPr>
          <w:color w:val="auto"/>
          <w:sz w:val="24"/>
          <w:highlight w:val="none"/>
        </w:rPr>
        <w:t>10.窖井不漫溢，保证排水管道通畅。</w:t>
      </w:r>
    </w:p>
    <w:p w14:paraId="54C7BBF1">
      <w:pPr>
        <w:pStyle w:val="89"/>
        <w:spacing w:line="360" w:lineRule="auto"/>
        <w:ind w:left="0" w:firstLine="480" w:firstLineChars="200"/>
        <w:jc w:val="both"/>
        <w:rPr>
          <w:color w:val="auto"/>
          <w:sz w:val="24"/>
          <w:highlight w:val="none"/>
        </w:rPr>
      </w:pPr>
      <w:r>
        <w:rPr>
          <w:color w:val="auto"/>
          <w:sz w:val="24"/>
          <w:highlight w:val="none"/>
        </w:rPr>
        <w:t>11.每季度2次巡查围墙、屋面排水沟、楼内外排水管道等，保持围墙完好，保障排水畅通；每月1次巡查道路、路面、井盖等，保持路面平整、无积水；每日1次巡查楼内公共部位门窗、玻璃及休闲椅、凉亭、室外健身设施、儿童乐园等户外设施，保持玻璃、门窗配件完好，保证户外设施安全使用。</w:t>
      </w:r>
    </w:p>
    <w:p w14:paraId="698C3F15">
      <w:pPr>
        <w:pStyle w:val="89"/>
        <w:spacing w:line="360" w:lineRule="auto"/>
        <w:ind w:left="0" w:firstLine="480" w:firstLineChars="200"/>
        <w:jc w:val="both"/>
        <w:rPr>
          <w:color w:val="auto"/>
          <w:sz w:val="24"/>
          <w:highlight w:val="none"/>
        </w:rPr>
      </w:pPr>
      <w:r>
        <w:rPr>
          <w:color w:val="auto"/>
          <w:sz w:val="24"/>
          <w:highlight w:val="none"/>
        </w:rPr>
        <w:t>12.对照明设备按规定时间定时开关，每周巡查3次，及时修复损坏的灯具等，公共照明设备完好率在95%或以上。</w:t>
      </w:r>
    </w:p>
    <w:p w14:paraId="2724251B">
      <w:pPr>
        <w:pStyle w:val="89"/>
        <w:spacing w:line="360" w:lineRule="auto"/>
        <w:ind w:left="0" w:firstLine="480" w:firstLineChars="200"/>
        <w:jc w:val="both"/>
        <w:rPr>
          <w:color w:val="auto"/>
          <w:sz w:val="24"/>
          <w:highlight w:val="none"/>
        </w:rPr>
      </w:pPr>
      <w:r>
        <w:rPr>
          <w:color w:val="auto"/>
          <w:sz w:val="24"/>
          <w:highlight w:val="none"/>
        </w:rPr>
        <w:t>13.各类共用设施设备系统每周检查2次，每季度保养1次，设备房每月清洁1次；其中消防泵启动每年不少于2次，每月检查1次灭火器，电梯配置必要的专业救助工具及24小时不间断</w:t>
      </w:r>
      <w:r>
        <w:rPr>
          <w:rFonts w:hint="eastAsia"/>
          <w:color w:val="auto"/>
          <w:sz w:val="24"/>
          <w:highlight w:val="none"/>
          <w:lang w:eastAsia="zh-CN"/>
        </w:rPr>
        <w:t>通信设备</w:t>
      </w:r>
      <w:r>
        <w:rPr>
          <w:color w:val="auto"/>
          <w:sz w:val="24"/>
          <w:highlight w:val="none"/>
        </w:rPr>
        <w:t>，出现困人等情况15分钟内到位，按有关技术规范要求处理，及时解救被困乘客。</w:t>
      </w:r>
    </w:p>
    <w:p w14:paraId="4F676015">
      <w:pPr>
        <w:pStyle w:val="89"/>
        <w:spacing w:line="360" w:lineRule="auto"/>
        <w:ind w:left="0" w:firstLine="480" w:firstLineChars="200"/>
        <w:jc w:val="both"/>
        <w:rPr>
          <w:color w:val="auto"/>
          <w:sz w:val="24"/>
          <w:highlight w:val="none"/>
        </w:rPr>
      </w:pPr>
      <w:r>
        <w:rPr>
          <w:color w:val="auto"/>
          <w:sz w:val="24"/>
          <w:highlight w:val="none"/>
        </w:rPr>
        <w:t>14.12小时受理业主或非业主使用人报修，急修半小时内到现场处理，一般维修1天内处理。</w:t>
      </w:r>
    </w:p>
    <w:p w14:paraId="6B50FC79">
      <w:pPr>
        <w:pStyle w:val="89"/>
        <w:spacing w:line="360" w:lineRule="auto"/>
        <w:ind w:left="0" w:firstLine="480" w:firstLineChars="200"/>
        <w:jc w:val="both"/>
        <w:rPr>
          <w:color w:val="auto"/>
          <w:sz w:val="24"/>
          <w:highlight w:val="none"/>
        </w:rPr>
      </w:pPr>
      <w:r>
        <w:rPr>
          <w:color w:val="auto"/>
          <w:sz w:val="24"/>
          <w:highlight w:val="none"/>
        </w:rPr>
        <w:t>15.接到相关部门停水、停电、停气通知后，应向业主做好通知工作。</w:t>
      </w:r>
    </w:p>
    <w:p w14:paraId="1613BC29">
      <w:pPr>
        <w:pStyle w:val="89"/>
        <w:spacing w:line="360" w:lineRule="auto"/>
        <w:ind w:left="0" w:firstLine="480" w:firstLineChars="200"/>
        <w:jc w:val="both"/>
        <w:rPr>
          <w:color w:val="auto"/>
          <w:sz w:val="24"/>
          <w:highlight w:val="none"/>
        </w:rPr>
      </w:pPr>
      <w:r>
        <w:rPr>
          <w:color w:val="auto"/>
          <w:sz w:val="24"/>
          <w:highlight w:val="none"/>
        </w:rPr>
        <w:t>16.负责安置区水、电管线等设施的运作、保养、维修、安全检查工作，并做好记录。</w:t>
      </w:r>
    </w:p>
    <w:p w14:paraId="62D50A7E">
      <w:pPr>
        <w:pStyle w:val="89"/>
        <w:spacing w:line="360" w:lineRule="auto"/>
        <w:ind w:left="0" w:firstLine="480" w:firstLineChars="200"/>
        <w:jc w:val="both"/>
        <w:rPr>
          <w:color w:val="auto"/>
          <w:sz w:val="24"/>
          <w:highlight w:val="none"/>
        </w:rPr>
      </w:pPr>
      <w:r>
        <w:rPr>
          <w:color w:val="auto"/>
          <w:sz w:val="24"/>
          <w:highlight w:val="none"/>
        </w:rPr>
        <w:t>17.负责小区排涝泵站、管道、堤围等排涝设施的运行、维修、维护和管理。</w:t>
      </w:r>
    </w:p>
    <w:p w14:paraId="474F24CA">
      <w:pPr>
        <w:pStyle w:val="89"/>
        <w:spacing w:line="360" w:lineRule="auto"/>
        <w:ind w:left="0" w:firstLine="480" w:firstLineChars="200"/>
        <w:jc w:val="both"/>
        <w:rPr>
          <w:color w:val="auto"/>
          <w:sz w:val="24"/>
          <w:highlight w:val="none"/>
        </w:rPr>
      </w:pPr>
      <w:r>
        <w:rPr>
          <w:color w:val="auto"/>
          <w:sz w:val="24"/>
          <w:highlight w:val="none"/>
        </w:rPr>
        <w:t>18.做好小区内外侧广告画、招牌、指示牌等设施的保护。</w:t>
      </w:r>
    </w:p>
    <w:p w14:paraId="7DECE459">
      <w:pPr>
        <w:pStyle w:val="89"/>
        <w:spacing w:line="360" w:lineRule="auto"/>
        <w:ind w:left="0" w:firstLine="480" w:firstLineChars="200"/>
        <w:jc w:val="both"/>
        <w:rPr>
          <w:color w:val="auto"/>
          <w:sz w:val="24"/>
          <w:highlight w:val="none"/>
        </w:rPr>
      </w:pPr>
      <w:r>
        <w:rPr>
          <w:color w:val="auto"/>
          <w:sz w:val="24"/>
          <w:highlight w:val="none"/>
        </w:rPr>
        <w:t>19.当供水、供电发生异常时，要及时排除。</w:t>
      </w:r>
    </w:p>
    <w:p w14:paraId="4FE11C86">
      <w:pPr>
        <w:pStyle w:val="89"/>
        <w:spacing w:line="360" w:lineRule="auto"/>
        <w:ind w:left="0" w:firstLine="480" w:firstLineChars="200"/>
        <w:jc w:val="both"/>
        <w:rPr>
          <w:color w:val="auto"/>
          <w:sz w:val="24"/>
          <w:highlight w:val="none"/>
        </w:rPr>
      </w:pPr>
      <w:r>
        <w:rPr>
          <w:color w:val="auto"/>
          <w:sz w:val="24"/>
          <w:highlight w:val="none"/>
        </w:rPr>
        <w:t>20.在接到急修任务时应立即到现场处理。</w:t>
      </w:r>
    </w:p>
    <w:p w14:paraId="127D60F5">
      <w:pPr>
        <w:pStyle w:val="89"/>
        <w:spacing w:line="360" w:lineRule="auto"/>
        <w:ind w:left="0" w:firstLine="480" w:firstLineChars="200"/>
        <w:jc w:val="both"/>
        <w:rPr>
          <w:color w:val="auto"/>
          <w:sz w:val="24"/>
          <w:highlight w:val="none"/>
        </w:rPr>
      </w:pPr>
      <w:r>
        <w:rPr>
          <w:color w:val="auto"/>
          <w:sz w:val="24"/>
          <w:highlight w:val="none"/>
        </w:rPr>
        <w:t>21.出现设备故障，要及时处理，排除故障，问题处理完后才下班。</w:t>
      </w:r>
    </w:p>
    <w:p w14:paraId="0EAA8890">
      <w:pPr>
        <w:pStyle w:val="89"/>
        <w:spacing w:line="360" w:lineRule="auto"/>
        <w:ind w:left="0" w:firstLine="480" w:firstLineChars="200"/>
        <w:jc w:val="both"/>
        <w:rPr>
          <w:color w:val="auto"/>
          <w:sz w:val="24"/>
          <w:highlight w:val="none"/>
        </w:rPr>
      </w:pPr>
      <w:r>
        <w:rPr>
          <w:color w:val="auto"/>
          <w:sz w:val="24"/>
          <w:highlight w:val="none"/>
        </w:rPr>
        <w:t>22.负责小区绿化灌溉设施的维修、维护工作，发现问题需及时处理。</w:t>
      </w:r>
    </w:p>
    <w:p w14:paraId="67E18BB3">
      <w:pPr>
        <w:pStyle w:val="89"/>
        <w:spacing w:line="360" w:lineRule="auto"/>
        <w:ind w:left="0" w:firstLine="480" w:firstLineChars="200"/>
        <w:jc w:val="both"/>
        <w:rPr>
          <w:color w:val="auto"/>
          <w:sz w:val="24"/>
          <w:highlight w:val="none"/>
        </w:rPr>
      </w:pPr>
      <w:r>
        <w:rPr>
          <w:color w:val="auto"/>
          <w:sz w:val="24"/>
          <w:highlight w:val="none"/>
        </w:rPr>
        <w:t>（三）公共秩序维护</w:t>
      </w:r>
    </w:p>
    <w:p w14:paraId="0C5DB1F3">
      <w:pPr>
        <w:pStyle w:val="89"/>
        <w:spacing w:line="360" w:lineRule="auto"/>
        <w:ind w:left="0" w:firstLine="480" w:firstLineChars="200"/>
        <w:jc w:val="both"/>
        <w:rPr>
          <w:color w:val="auto"/>
          <w:sz w:val="24"/>
          <w:highlight w:val="none"/>
        </w:rPr>
      </w:pPr>
      <w:r>
        <w:rPr>
          <w:color w:val="auto"/>
          <w:sz w:val="24"/>
          <w:highlight w:val="none"/>
        </w:rPr>
        <w:t>1.配有专职的公共秩序维护员，24小时值班，并在小区出入口设立秩序维护固定岗24小时值班看守，并有交接班记录和外来车辆的登记记录。</w:t>
      </w:r>
    </w:p>
    <w:p w14:paraId="0E750BFA">
      <w:pPr>
        <w:pStyle w:val="89"/>
        <w:spacing w:line="360" w:lineRule="auto"/>
        <w:ind w:left="0" w:firstLine="480" w:firstLineChars="200"/>
        <w:jc w:val="both"/>
        <w:rPr>
          <w:color w:val="auto"/>
          <w:sz w:val="24"/>
          <w:highlight w:val="none"/>
        </w:rPr>
      </w:pPr>
      <w:r>
        <w:rPr>
          <w:color w:val="auto"/>
          <w:sz w:val="24"/>
          <w:highlight w:val="none"/>
        </w:rPr>
        <w:t>2.物业公司需配备电子巡更系统等技防设施，同时应启用、维护录像监控系统等技防设施</w:t>
      </w:r>
      <w:r>
        <w:rPr>
          <w:rFonts w:hint="eastAsia"/>
          <w:color w:val="auto"/>
          <w:sz w:val="24"/>
          <w:highlight w:val="none"/>
          <w:lang w:eastAsia="zh-CN"/>
        </w:rPr>
        <w:t>，</w:t>
      </w:r>
      <w:r>
        <w:rPr>
          <w:color w:val="auto"/>
          <w:sz w:val="24"/>
          <w:highlight w:val="none"/>
        </w:rPr>
        <w:t>24小时开通。设置不少于4个重点区域或重点部位（应有视频监控可记录），对重点区域、重点部位白天每4小时至少巡查1次，夜间每3小时至少巡逻1次，并有巡逻记录（需采用电子巡逻系统）。</w:t>
      </w:r>
    </w:p>
    <w:p w14:paraId="6F14A5C4">
      <w:pPr>
        <w:pStyle w:val="89"/>
        <w:spacing w:line="360" w:lineRule="auto"/>
        <w:ind w:left="0" w:firstLine="480" w:firstLineChars="200"/>
        <w:jc w:val="both"/>
        <w:rPr>
          <w:color w:val="auto"/>
          <w:sz w:val="24"/>
          <w:highlight w:val="none"/>
        </w:rPr>
      </w:pPr>
      <w:r>
        <w:rPr>
          <w:color w:val="auto"/>
          <w:sz w:val="24"/>
          <w:highlight w:val="none"/>
        </w:rPr>
        <w:t>3.对进出小区的车辆进行管理和疏导，小区车辆通行、停放有序。</w:t>
      </w:r>
    </w:p>
    <w:p w14:paraId="5ECEAF60">
      <w:pPr>
        <w:pStyle w:val="89"/>
        <w:spacing w:line="360" w:lineRule="auto"/>
        <w:ind w:left="0" w:firstLine="480" w:firstLineChars="200"/>
        <w:jc w:val="both"/>
        <w:rPr>
          <w:color w:val="auto"/>
          <w:sz w:val="24"/>
          <w:highlight w:val="none"/>
        </w:rPr>
      </w:pPr>
      <w:r>
        <w:rPr>
          <w:color w:val="auto"/>
          <w:sz w:val="24"/>
          <w:highlight w:val="none"/>
        </w:rPr>
        <w:t>4.对进出小区的装修、施工等劳务人员及其他外来人员、车辆实行登记管理，对装修材料、大宗物品等进出小区实行审批，严格控制违规装修材料进入小区。</w:t>
      </w:r>
    </w:p>
    <w:p w14:paraId="40EDED9F">
      <w:pPr>
        <w:pStyle w:val="89"/>
        <w:spacing w:line="360" w:lineRule="auto"/>
        <w:ind w:left="0" w:firstLine="480" w:firstLineChars="200"/>
        <w:jc w:val="both"/>
        <w:rPr>
          <w:color w:val="auto"/>
          <w:sz w:val="24"/>
          <w:highlight w:val="none"/>
        </w:rPr>
      </w:pPr>
      <w:r>
        <w:rPr>
          <w:color w:val="auto"/>
          <w:sz w:val="24"/>
          <w:highlight w:val="none"/>
        </w:rPr>
        <w:t>5.制定火警、盗警、地震、台风、爆炸、人员急救、煤气泄漏、高空掷（坠）物伤人及其他不可预见紧急事件等应急处理预案，接到火警、警情、异常情况或住户紧急求助信号后，公共秩序维护员应按规定及时赶到现场进行处理，并及时报告</w:t>
      </w:r>
      <w:r>
        <w:rPr>
          <w:rFonts w:hint="eastAsia"/>
          <w:color w:val="auto"/>
          <w:sz w:val="24"/>
          <w:highlight w:val="none"/>
          <w:lang w:eastAsia="zh-CN"/>
        </w:rPr>
        <w:t>招标人</w:t>
      </w:r>
      <w:r>
        <w:rPr>
          <w:color w:val="auto"/>
          <w:sz w:val="24"/>
          <w:highlight w:val="none"/>
        </w:rPr>
        <w:t>和有关部门。</w:t>
      </w:r>
    </w:p>
    <w:p w14:paraId="3CBE3C4B">
      <w:pPr>
        <w:pStyle w:val="89"/>
        <w:spacing w:line="360" w:lineRule="auto"/>
        <w:ind w:left="0" w:firstLine="480" w:firstLineChars="200"/>
        <w:jc w:val="both"/>
        <w:rPr>
          <w:color w:val="auto"/>
          <w:sz w:val="24"/>
          <w:highlight w:val="none"/>
        </w:rPr>
      </w:pPr>
      <w:r>
        <w:rPr>
          <w:color w:val="auto"/>
          <w:sz w:val="24"/>
          <w:highlight w:val="none"/>
        </w:rPr>
        <w:t>6.建立公共秩序维护员管理规定、公共秩序维护员站岗执勤标准、公共秩序维护员巡逻执勤标准、公共秩序维护员交接班要求、公共秩序维护员培训制度，人员、车辆出入小区的登记制度，大宗物品进出登记制度等规章制度；定期对公共秩序维护员开展理论及实操培训，全年不少于120课时。</w:t>
      </w:r>
    </w:p>
    <w:p w14:paraId="6AEE57E8">
      <w:pPr>
        <w:pStyle w:val="89"/>
        <w:spacing w:line="360" w:lineRule="auto"/>
        <w:ind w:left="0" w:firstLine="480" w:firstLineChars="200"/>
        <w:jc w:val="both"/>
        <w:rPr>
          <w:color w:val="auto"/>
          <w:sz w:val="24"/>
          <w:highlight w:val="none"/>
        </w:rPr>
      </w:pPr>
      <w:r>
        <w:rPr>
          <w:color w:val="auto"/>
          <w:sz w:val="24"/>
          <w:highlight w:val="none"/>
        </w:rPr>
        <w:t>7.对物业管理区域内违反有关治安、环保、物业装饰装修和使用等方面</w:t>
      </w:r>
      <w:r>
        <w:rPr>
          <w:rFonts w:hint="eastAsia"/>
          <w:color w:val="auto"/>
          <w:sz w:val="24"/>
          <w:highlight w:val="none"/>
          <w:lang w:eastAsia="zh-CN"/>
        </w:rPr>
        <w:t>法律法规</w:t>
      </w:r>
      <w:r>
        <w:rPr>
          <w:color w:val="auto"/>
          <w:sz w:val="24"/>
          <w:highlight w:val="none"/>
        </w:rPr>
        <w:t>规定的行为，及时予以制止，并及时向有关行政管理部门报告。</w:t>
      </w:r>
    </w:p>
    <w:p w14:paraId="2010ED0D">
      <w:pPr>
        <w:pStyle w:val="89"/>
        <w:spacing w:line="360" w:lineRule="auto"/>
        <w:ind w:left="0" w:firstLine="480" w:firstLineChars="200"/>
        <w:jc w:val="both"/>
        <w:rPr>
          <w:color w:val="auto"/>
          <w:sz w:val="24"/>
          <w:highlight w:val="none"/>
        </w:rPr>
      </w:pPr>
      <w:r>
        <w:rPr>
          <w:color w:val="auto"/>
          <w:sz w:val="24"/>
          <w:highlight w:val="none"/>
        </w:rPr>
        <w:t>8.每年组织有业主或非业主使用人参与的消防演练不少于2次；其他应急预案演练不少于1次。</w:t>
      </w:r>
    </w:p>
    <w:p w14:paraId="096F9ADD">
      <w:pPr>
        <w:pStyle w:val="89"/>
        <w:spacing w:line="360" w:lineRule="auto"/>
        <w:ind w:left="0" w:firstLine="480" w:firstLineChars="200"/>
        <w:jc w:val="both"/>
        <w:rPr>
          <w:color w:val="auto"/>
          <w:sz w:val="24"/>
          <w:highlight w:val="none"/>
        </w:rPr>
      </w:pPr>
      <w:r>
        <w:rPr>
          <w:color w:val="auto"/>
          <w:sz w:val="24"/>
          <w:highlight w:val="none"/>
        </w:rPr>
        <w:t>9.公共秩序维护员上岗时</w:t>
      </w:r>
      <w:r>
        <w:rPr>
          <w:rFonts w:hint="eastAsia"/>
          <w:color w:val="auto"/>
          <w:sz w:val="24"/>
          <w:highlight w:val="none"/>
          <w:lang w:eastAsia="zh-CN"/>
        </w:rPr>
        <w:t>佩戴</w:t>
      </w:r>
      <w:r>
        <w:rPr>
          <w:color w:val="auto"/>
          <w:sz w:val="24"/>
          <w:highlight w:val="none"/>
        </w:rPr>
        <w:t>统一标志、穿戴统一服装。</w:t>
      </w:r>
    </w:p>
    <w:p w14:paraId="42D03F43">
      <w:pPr>
        <w:pStyle w:val="89"/>
        <w:spacing w:line="360" w:lineRule="auto"/>
        <w:ind w:left="0" w:firstLine="480" w:firstLineChars="200"/>
        <w:jc w:val="both"/>
        <w:rPr>
          <w:color w:val="auto"/>
          <w:sz w:val="24"/>
          <w:highlight w:val="none"/>
        </w:rPr>
      </w:pPr>
      <w:r>
        <w:rPr>
          <w:color w:val="auto"/>
          <w:sz w:val="24"/>
          <w:highlight w:val="none"/>
        </w:rPr>
        <w:t>10.秩序维护主管人员应具备较高的业务技能和公共秩序维护团队管理能力，全面负责小区治安联防、安全监控、秩序维护、消防安全及突发事件处置等工作；负责督促、检查小区各项安全管理规章制度的落实；负责小区内消火栓、灭火器、消防报警系统及其他消防器材的管理，确保相关设施设备能正常使用；负责公共秩序维护员岗位设置、思想动态、作风培养和业务训练，经常定期和不定期检查各岗位队员的工作情况，及时处理秩序维护员报告的问题及纠正队员在岗时的个人不良行为，实施奖优惩怠；积极配合相关部门打击本小区内的赌博、盗窃、吸毒、违法违章等行动；与属地公安派出所、消防中队等保持良好的沟通联系。</w:t>
      </w:r>
    </w:p>
    <w:p w14:paraId="5274F36B">
      <w:pPr>
        <w:pStyle w:val="89"/>
        <w:spacing w:line="360" w:lineRule="auto"/>
        <w:ind w:left="0" w:firstLine="480" w:firstLineChars="200"/>
        <w:jc w:val="both"/>
        <w:rPr>
          <w:color w:val="auto"/>
          <w:sz w:val="24"/>
          <w:highlight w:val="none"/>
        </w:rPr>
      </w:pPr>
      <w:r>
        <w:rPr>
          <w:color w:val="auto"/>
          <w:sz w:val="24"/>
          <w:highlight w:val="none"/>
        </w:rPr>
        <w:t>11.秩序维护固定岗人员须遵纪守法，坚守岗位，服从指挥；文明服务，礼貌待人；严禁不文明语言及行为；上岗时要认真检查设备，认真做好防火、防盗、防抢劫的工作，发现不安全因素立即查明情况排除险情，并及时报告项目物业管理处，确保小区内的安全；发现违法犯罪分子要坚决设法抓获；熟悉本岗位的任务和工作程序；熟悉区内消防器材的安装位置，掌握各种器材的使用，遇到突发事件能正确处理；积极向相关人员进行遵纪守法和治安知识的宣传；严格执行来人来访登记制度，发现非区内人员在区内游荡、活动应及时处理，正确处理乱张贴广告及安全方面可疑人员的个案；严格执行物品搬迁及人员出入管理制度；认真完成项目物业管理处交办的其他任务。</w:t>
      </w:r>
    </w:p>
    <w:p w14:paraId="3FAE38FE">
      <w:pPr>
        <w:pStyle w:val="89"/>
        <w:spacing w:line="360" w:lineRule="auto"/>
        <w:ind w:left="0" w:firstLine="480" w:firstLineChars="200"/>
        <w:jc w:val="both"/>
        <w:rPr>
          <w:color w:val="auto"/>
          <w:sz w:val="24"/>
          <w:highlight w:val="none"/>
        </w:rPr>
      </w:pPr>
      <w:r>
        <w:rPr>
          <w:color w:val="auto"/>
          <w:sz w:val="24"/>
          <w:highlight w:val="none"/>
        </w:rPr>
        <w:t>12.秩序维护巡逻岗人员须熟悉区内各类设备、物品的位置，发现设备、物品有损坏或被移动的可疑情况，应立即查明并报告；检查电线线路</w:t>
      </w:r>
      <w:r>
        <w:rPr>
          <w:rFonts w:hint="eastAsia"/>
          <w:color w:val="auto"/>
          <w:sz w:val="24"/>
          <w:highlight w:val="none"/>
          <w:lang w:eastAsia="zh-CN"/>
        </w:rPr>
        <w:t>（</w:t>
      </w:r>
      <w:r>
        <w:rPr>
          <w:color w:val="auto"/>
          <w:sz w:val="24"/>
          <w:highlight w:val="none"/>
        </w:rPr>
        <w:t>目视检查，禁止手动检查</w:t>
      </w:r>
      <w:r>
        <w:rPr>
          <w:rFonts w:hint="eastAsia"/>
          <w:color w:val="auto"/>
          <w:sz w:val="24"/>
          <w:highlight w:val="none"/>
          <w:lang w:eastAsia="zh-CN"/>
        </w:rPr>
        <w:t>）</w:t>
      </w:r>
      <w:r>
        <w:rPr>
          <w:color w:val="auto"/>
          <w:sz w:val="24"/>
          <w:highlight w:val="none"/>
        </w:rPr>
        <w:t>和水管管道有无损坏，发现漏水</w:t>
      </w:r>
      <w:r>
        <w:rPr>
          <w:rFonts w:hint="eastAsia"/>
          <w:color w:val="auto"/>
          <w:sz w:val="24"/>
          <w:highlight w:val="none"/>
          <w:lang w:eastAsia="zh-CN"/>
        </w:rPr>
        <w:t>（</w:t>
      </w:r>
      <w:r>
        <w:rPr>
          <w:color w:val="auto"/>
          <w:sz w:val="24"/>
          <w:highlight w:val="none"/>
        </w:rPr>
        <w:t>电</w:t>
      </w:r>
      <w:r>
        <w:rPr>
          <w:rFonts w:hint="eastAsia"/>
          <w:color w:val="auto"/>
          <w:sz w:val="24"/>
          <w:highlight w:val="none"/>
          <w:lang w:eastAsia="zh-CN"/>
        </w:rPr>
        <w:t>）</w:t>
      </w:r>
      <w:r>
        <w:rPr>
          <w:color w:val="auto"/>
          <w:sz w:val="24"/>
          <w:highlight w:val="none"/>
        </w:rPr>
        <w:t>时，应采取措施并及时上报；巡逻中闻到异味，听到可疑声响，须立即查明情况并报告；注意观察来往人员的情况及其携带的物品，发现可疑人员要选择适当的位置加以监视并及时报告；发现偷盗、流氓等违法犯罪分子，应立刻擒获；发现打架、吵架、斗殴等行为时，要予以制止，并将严重致人伤残者抓获，交由公安部门处理；发现火警时，立即组织扑灭，并迅速报警；发现可疑物品，要立即</w:t>
      </w:r>
      <w:r>
        <w:rPr>
          <w:rFonts w:hint="eastAsia"/>
          <w:color w:val="auto"/>
          <w:sz w:val="24"/>
          <w:highlight w:val="none"/>
          <w:lang w:eastAsia="zh-CN"/>
        </w:rPr>
        <w:t>做安全</w:t>
      </w:r>
      <w:r>
        <w:rPr>
          <w:color w:val="auto"/>
          <w:sz w:val="24"/>
          <w:highlight w:val="none"/>
        </w:rPr>
        <w:t>处理，并报告有关部门；发现在管理范围内散发广告、捡垃圾等闲杂违章人员，及时清离现场；发现占道摆摊、破坏绿化、乱停乱放等影响公共秩序的行为，及时制止、纠正并向上级报告；巡逻公共秩序维护员根据巡查情况，认真填写《巡逻签到记录》并将有关情况报告管理处。</w:t>
      </w:r>
    </w:p>
    <w:p w14:paraId="7A811F63">
      <w:pPr>
        <w:pStyle w:val="89"/>
        <w:spacing w:line="360" w:lineRule="auto"/>
        <w:ind w:left="0" w:firstLine="480" w:firstLineChars="200"/>
        <w:jc w:val="both"/>
        <w:rPr>
          <w:color w:val="auto"/>
          <w:sz w:val="24"/>
          <w:highlight w:val="none"/>
        </w:rPr>
      </w:pPr>
      <w:r>
        <w:rPr>
          <w:color w:val="auto"/>
          <w:sz w:val="24"/>
          <w:highlight w:val="none"/>
        </w:rPr>
        <w:t>（四）保洁服务</w:t>
      </w:r>
    </w:p>
    <w:p w14:paraId="22846BD3">
      <w:pPr>
        <w:pStyle w:val="89"/>
        <w:spacing w:line="360" w:lineRule="auto"/>
        <w:ind w:left="0" w:firstLine="480" w:firstLineChars="200"/>
        <w:jc w:val="both"/>
        <w:rPr>
          <w:color w:val="auto"/>
          <w:sz w:val="24"/>
          <w:highlight w:val="none"/>
        </w:rPr>
      </w:pPr>
      <w:r>
        <w:rPr>
          <w:color w:val="auto"/>
          <w:sz w:val="24"/>
          <w:highlight w:val="none"/>
        </w:rPr>
        <w:t>1.负责物业管理区域内的所有清洁卫生工作。</w:t>
      </w:r>
    </w:p>
    <w:p w14:paraId="778D5443">
      <w:pPr>
        <w:pStyle w:val="89"/>
        <w:spacing w:line="360" w:lineRule="auto"/>
        <w:ind w:left="0" w:firstLine="480" w:firstLineChars="200"/>
        <w:jc w:val="both"/>
        <w:rPr>
          <w:color w:val="auto"/>
          <w:sz w:val="24"/>
          <w:highlight w:val="none"/>
        </w:rPr>
      </w:pPr>
      <w:r>
        <w:rPr>
          <w:color w:val="auto"/>
          <w:sz w:val="24"/>
          <w:highlight w:val="none"/>
        </w:rPr>
        <w:t>2.制定环境卫生管理规定、环境卫生质量标准、卫生设施维护保养办法、防疫应急预案等规章制度。</w:t>
      </w:r>
    </w:p>
    <w:p w14:paraId="07A082F2">
      <w:pPr>
        <w:pStyle w:val="89"/>
        <w:spacing w:line="360" w:lineRule="auto"/>
        <w:ind w:left="0" w:firstLine="480" w:firstLineChars="200"/>
        <w:jc w:val="both"/>
        <w:rPr>
          <w:color w:val="auto"/>
          <w:sz w:val="24"/>
          <w:highlight w:val="none"/>
        </w:rPr>
      </w:pPr>
      <w:r>
        <w:rPr>
          <w:color w:val="auto"/>
          <w:sz w:val="24"/>
          <w:highlight w:val="none"/>
        </w:rPr>
        <w:t>3.垃圾日产日清，保持公共区域整洁、无异味。</w:t>
      </w:r>
    </w:p>
    <w:p w14:paraId="71FF7703">
      <w:pPr>
        <w:pStyle w:val="89"/>
        <w:spacing w:line="360" w:lineRule="auto"/>
        <w:ind w:left="0" w:firstLine="480" w:firstLineChars="200"/>
        <w:jc w:val="both"/>
        <w:rPr>
          <w:color w:val="auto"/>
          <w:sz w:val="24"/>
          <w:highlight w:val="none"/>
        </w:rPr>
      </w:pPr>
      <w:r>
        <w:rPr>
          <w:color w:val="auto"/>
          <w:sz w:val="24"/>
          <w:highlight w:val="none"/>
        </w:rPr>
        <w:t>4.严格</w:t>
      </w:r>
      <w:r>
        <w:rPr>
          <w:rFonts w:hint="eastAsia"/>
          <w:color w:val="auto"/>
          <w:sz w:val="24"/>
          <w:highlight w:val="none"/>
          <w:lang w:eastAsia="zh-CN"/>
        </w:rPr>
        <w:t>按照</w:t>
      </w:r>
      <w:r>
        <w:rPr>
          <w:color w:val="auto"/>
          <w:sz w:val="24"/>
          <w:highlight w:val="none"/>
        </w:rPr>
        <w:t>相关政府部门的要求，积极开展生活垃圾分类收集、处理等相关工作。按垃圾分类管理要求及时清运生活垃圾，确保垃圾分类投放点周围地面无散落垃圾、无污迹、无异味。</w:t>
      </w:r>
    </w:p>
    <w:p w14:paraId="6F38E3AA">
      <w:pPr>
        <w:pStyle w:val="89"/>
        <w:spacing w:line="360" w:lineRule="auto"/>
        <w:ind w:left="0" w:firstLine="480" w:firstLineChars="200"/>
        <w:jc w:val="both"/>
        <w:rPr>
          <w:color w:val="auto"/>
          <w:sz w:val="24"/>
          <w:highlight w:val="none"/>
        </w:rPr>
      </w:pPr>
      <w:r>
        <w:rPr>
          <w:color w:val="auto"/>
          <w:sz w:val="24"/>
          <w:highlight w:val="none"/>
        </w:rPr>
        <w:t>5.小区道路、广场、停车场、绿地等公共场所每日清扫1次；电梯厅、楼道每日清扫1次，每周拖洗1次；楼梯扶手每周擦洗2次；共用部位玻璃每半月清洁1次；路灯、楼道灯每月清洁1次；架空层、天花板每月除尘1次。及时清除区内主要道路积水。</w:t>
      </w:r>
    </w:p>
    <w:p w14:paraId="621F0923">
      <w:pPr>
        <w:pStyle w:val="89"/>
        <w:spacing w:line="360" w:lineRule="auto"/>
        <w:ind w:left="0" w:firstLine="480" w:firstLineChars="200"/>
        <w:jc w:val="both"/>
        <w:rPr>
          <w:color w:val="auto"/>
          <w:sz w:val="24"/>
          <w:highlight w:val="none"/>
        </w:rPr>
      </w:pPr>
      <w:r>
        <w:rPr>
          <w:color w:val="auto"/>
          <w:sz w:val="24"/>
          <w:highlight w:val="none"/>
        </w:rPr>
        <w:t>6.小区内公共雨、污水管道每年疏通1次；雨、污水井每半年检查1次，并视检查情况及时清掏；化粪池每2个月检查1次，每年清掏1次，发现异常及时清掏。有关管井检查、疏通、清掏等工作应做好记录和资料存档。</w:t>
      </w:r>
    </w:p>
    <w:p w14:paraId="7A2DFABF">
      <w:pPr>
        <w:pStyle w:val="89"/>
        <w:spacing w:line="360" w:lineRule="auto"/>
        <w:ind w:left="0" w:firstLine="480" w:firstLineChars="200"/>
        <w:jc w:val="both"/>
        <w:rPr>
          <w:color w:val="auto"/>
          <w:sz w:val="24"/>
          <w:highlight w:val="none"/>
        </w:rPr>
      </w:pPr>
      <w:r>
        <w:rPr>
          <w:color w:val="auto"/>
          <w:sz w:val="24"/>
          <w:highlight w:val="none"/>
        </w:rPr>
        <w:t>7.二次供水水箱按规定定期清洗，定时巡查，水质符合卫生要求。</w:t>
      </w:r>
    </w:p>
    <w:p w14:paraId="551439D2">
      <w:pPr>
        <w:pStyle w:val="89"/>
        <w:spacing w:line="360" w:lineRule="auto"/>
        <w:ind w:left="0" w:firstLine="480" w:firstLineChars="200"/>
        <w:jc w:val="both"/>
        <w:rPr>
          <w:color w:val="auto"/>
          <w:sz w:val="24"/>
          <w:highlight w:val="none"/>
        </w:rPr>
      </w:pPr>
      <w:r>
        <w:rPr>
          <w:color w:val="auto"/>
          <w:sz w:val="24"/>
          <w:highlight w:val="none"/>
        </w:rPr>
        <w:t>8.4-11月的灭四害消杀工作每月不少于2次，其余月份每月不少于1次。消杀的成效必须符合除四害的有关要求。按属地政府部门要求做好四害消杀等工作。如环卫主管部门统一部署四害消杀或针对“登革热”等疫情开展专项消杀工作的，需按主管部门的要求做好相关工作。每月检查小区共用部位，发现蚁害的，及时开展消杀灭治工作，灭蚁药物须为经国家有关部门登记准许使用的药物。</w:t>
      </w:r>
    </w:p>
    <w:p w14:paraId="1016B205">
      <w:pPr>
        <w:pStyle w:val="89"/>
        <w:spacing w:line="360" w:lineRule="auto"/>
        <w:ind w:left="0" w:firstLine="480" w:firstLineChars="200"/>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9.每日组织专人对小区卫生进行检查，并登记到《清洁卫生日检表》中。</w:t>
      </w:r>
    </w:p>
    <w:p w14:paraId="1A60FCE4">
      <w:pPr>
        <w:pStyle w:val="89"/>
        <w:spacing w:line="360" w:lineRule="auto"/>
        <w:ind w:left="0" w:firstLine="480" w:firstLineChars="200"/>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10.每月根据《清洁卫生日检表》中的检查情况进行统计分析，向项目物业管理处汇报。</w:t>
      </w:r>
    </w:p>
    <w:p w14:paraId="26C7DE36">
      <w:pPr>
        <w:pStyle w:val="89"/>
        <w:spacing w:line="360" w:lineRule="auto"/>
        <w:ind w:left="0" w:firstLine="480" w:firstLineChars="200"/>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11.</w:t>
      </w:r>
      <w:r>
        <w:rPr>
          <w:rFonts w:hint="eastAsia" w:asciiTheme="minorEastAsia" w:hAnsiTheme="minorEastAsia" w:cstheme="minorEastAsia"/>
          <w:color w:val="auto"/>
          <w:sz w:val="24"/>
          <w:szCs w:val="24"/>
          <w:highlight w:val="none"/>
          <w:lang w:eastAsia="zh-CN"/>
        </w:rPr>
        <w:t>招标人</w:t>
      </w:r>
      <w:r>
        <w:rPr>
          <w:rFonts w:asciiTheme="minorEastAsia" w:hAnsiTheme="minorEastAsia" w:cstheme="minorEastAsia"/>
          <w:color w:val="auto"/>
          <w:sz w:val="24"/>
          <w:szCs w:val="24"/>
          <w:highlight w:val="none"/>
        </w:rPr>
        <w:t>或上级部门交办的</w:t>
      </w:r>
      <w:r>
        <w:rPr>
          <w:rFonts w:hint="eastAsia" w:asciiTheme="minorEastAsia" w:hAnsiTheme="minorEastAsia" w:cstheme="minorEastAsia"/>
          <w:color w:val="auto"/>
          <w:sz w:val="24"/>
          <w:szCs w:val="24"/>
          <w:highlight w:val="none"/>
          <w:lang w:eastAsia="zh-CN"/>
        </w:rPr>
        <w:t>其他</w:t>
      </w:r>
      <w:r>
        <w:rPr>
          <w:rFonts w:asciiTheme="minorEastAsia" w:hAnsiTheme="minorEastAsia" w:cstheme="minorEastAsia"/>
          <w:color w:val="auto"/>
          <w:sz w:val="24"/>
          <w:szCs w:val="24"/>
          <w:highlight w:val="none"/>
        </w:rPr>
        <w:t>任务。</w:t>
      </w:r>
    </w:p>
    <w:p w14:paraId="281440B5">
      <w:pPr>
        <w:pStyle w:val="89"/>
        <w:spacing w:line="360" w:lineRule="auto"/>
        <w:ind w:left="0" w:firstLine="480" w:firstLineChars="200"/>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12.必须满足附表2的清洁标准。</w:t>
      </w:r>
    </w:p>
    <w:p w14:paraId="57D7F09E">
      <w:pPr>
        <w:pStyle w:val="89"/>
        <w:ind w:left="135" w:firstLine="360"/>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附表2</w:t>
      </w:r>
      <w:r>
        <w:rPr>
          <w:rFonts w:hint="eastAsia" w:asciiTheme="minorEastAsia" w:hAnsiTheme="minorEastAsia" w:cstheme="minorEastAsia"/>
          <w:color w:val="auto"/>
          <w:sz w:val="24"/>
          <w:szCs w:val="24"/>
          <w:highlight w:val="none"/>
          <w:lang w:eastAsia="zh-CN"/>
        </w:rPr>
        <w:t>：</w:t>
      </w:r>
      <w:r>
        <w:rPr>
          <w:rFonts w:asciiTheme="minorEastAsia" w:hAnsiTheme="minorEastAsia" w:cstheme="minorEastAsia"/>
          <w:color w:val="auto"/>
          <w:sz w:val="24"/>
          <w:szCs w:val="24"/>
          <w:highlight w:val="none"/>
        </w:rPr>
        <w:t>保洁要求及清洁标准</w:t>
      </w:r>
    </w:p>
    <w:tbl>
      <w:tblPr>
        <w:tblStyle w:val="3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00"/>
        <w:gridCol w:w="2472"/>
        <w:gridCol w:w="739"/>
        <w:gridCol w:w="1070"/>
        <w:gridCol w:w="935"/>
        <w:gridCol w:w="1990"/>
      </w:tblGrid>
      <w:tr w14:paraId="19AAAB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63DE80D">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工作范围</w:t>
            </w:r>
          </w:p>
        </w:tc>
        <w:tc>
          <w:tcPr>
            <w:tcW w:w="247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3E00CA">
            <w:pPr>
              <w:pStyle w:val="89"/>
              <w:ind w:left="135" w:firstLine="360"/>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工作细则</w:t>
            </w:r>
          </w:p>
        </w:tc>
        <w:tc>
          <w:tcPr>
            <w:tcW w:w="73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28E65B">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每日/次</w:t>
            </w:r>
          </w:p>
        </w:tc>
        <w:tc>
          <w:tcPr>
            <w:tcW w:w="10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D2D8EA">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每周/次</w:t>
            </w:r>
          </w:p>
        </w:tc>
        <w:tc>
          <w:tcPr>
            <w:tcW w:w="9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4432781">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每月/次</w:t>
            </w:r>
          </w:p>
        </w:tc>
        <w:tc>
          <w:tcPr>
            <w:tcW w:w="199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BDF94D">
            <w:pPr>
              <w:pStyle w:val="89"/>
              <w:ind w:left="135" w:firstLine="360"/>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清洁标准</w:t>
            </w:r>
          </w:p>
        </w:tc>
      </w:tr>
      <w:tr w14:paraId="1AA321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0F25E6">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小区内各栋楼公共部分</w:t>
            </w: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9B89A1">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扫净地面</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029E9">
            <w:pPr>
              <w:pStyle w:val="89"/>
              <w:ind w:left="0" w:firstLine="0"/>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0CD19">
            <w:pPr>
              <w:pStyle w:val="89"/>
              <w:ind w:left="135" w:firstLine="360"/>
              <w:jc w:val="center"/>
              <w:rPr>
                <w:rFonts w:asciiTheme="minorEastAsia" w:hAnsiTheme="minorEastAsia" w:cstheme="minorEastAsia"/>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B67D8">
            <w:pPr>
              <w:jc w:val="center"/>
              <w:rPr>
                <w:rFonts w:hint="eastAsia" w:asciiTheme="minorEastAsia" w:hAnsiTheme="minorEastAsia" w:eastAsiaTheme="minorEastAsia" w:cstheme="minorEastAsia"/>
                <w:color w:val="auto"/>
                <w:sz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8DF40">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无垃圾</w:t>
            </w:r>
          </w:p>
        </w:tc>
      </w:tr>
      <w:tr w14:paraId="57BFBB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67035F6F">
            <w:pPr>
              <w:jc w:val="left"/>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07AAB">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拖洗楼梯</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C7ADC">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F4D9A0">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93F80">
            <w:pPr>
              <w:pStyle w:val="89"/>
              <w:ind w:left="135" w:firstLine="360"/>
              <w:jc w:val="center"/>
              <w:rPr>
                <w:rFonts w:asciiTheme="minorEastAsia" w:hAnsiTheme="minorEastAsia" w:cstheme="minorEastAsia"/>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F49ED">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无灰尘、无污渍</w:t>
            </w:r>
          </w:p>
        </w:tc>
      </w:tr>
      <w:tr w14:paraId="3AFF67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2ED27D48">
            <w:pPr>
              <w:jc w:val="left"/>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32A6A">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抹净楼梯扶手</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AAEEC">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FE685">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2</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CDDECD">
            <w:pPr>
              <w:pStyle w:val="89"/>
              <w:ind w:left="135" w:firstLine="360"/>
              <w:jc w:val="center"/>
              <w:rPr>
                <w:rFonts w:asciiTheme="minorEastAsia" w:hAnsiTheme="minorEastAsia" w:cstheme="minorEastAsia"/>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3B1143">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无灰尘</w:t>
            </w:r>
          </w:p>
        </w:tc>
      </w:tr>
      <w:tr w14:paraId="14FED7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34C8073E">
            <w:pPr>
              <w:jc w:val="left"/>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835BF">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天花除尘</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7CBA9F">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74EE9">
            <w:pPr>
              <w:jc w:val="center"/>
              <w:rPr>
                <w:rFonts w:hint="eastAsia" w:asciiTheme="minorEastAsia" w:hAnsiTheme="minorEastAsia" w:eastAsiaTheme="minorEastAsia" w:cstheme="minorEastAsia"/>
                <w:color w:val="auto"/>
                <w:sz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262352">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1385D4">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无蜘蛛网</w:t>
            </w:r>
          </w:p>
        </w:tc>
      </w:tr>
      <w:tr w14:paraId="61ADA5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03FE7EFD">
            <w:pPr>
              <w:jc w:val="left"/>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A1B9CD">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抹净照明设施</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875672">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C48C9">
            <w:pPr>
              <w:jc w:val="center"/>
              <w:rPr>
                <w:rFonts w:hint="eastAsia" w:asciiTheme="minorEastAsia" w:hAnsiTheme="minorEastAsia" w:eastAsiaTheme="minorEastAsia" w:cstheme="minorEastAsia"/>
                <w:color w:val="auto"/>
                <w:sz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C1406A">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DC281">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无污渍</w:t>
            </w:r>
          </w:p>
        </w:tc>
      </w:tr>
      <w:tr w14:paraId="3BCDF0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786BF78E">
            <w:pPr>
              <w:jc w:val="left"/>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18BB75">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抹净门窗</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7FA99C">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A376E">
            <w:pPr>
              <w:jc w:val="center"/>
              <w:rPr>
                <w:rFonts w:hint="eastAsia" w:asciiTheme="minorEastAsia" w:hAnsiTheme="minorEastAsia" w:eastAsiaTheme="minorEastAsia" w:cstheme="minorEastAsia"/>
                <w:color w:val="auto"/>
                <w:sz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0BCBD9">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A4CF62">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无灰尘、无污渍</w:t>
            </w:r>
          </w:p>
        </w:tc>
      </w:tr>
      <w:tr w14:paraId="5E98D8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37424760">
            <w:pPr>
              <w:jc w:val="left"/>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13676">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冲洗厕所</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E5E31">
            <w:pPr>
              <w:pStyle w:val="89"/>
              <w:ind w:left="0" w:firstLine="0"/>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2</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2C40A">
            <w:pPr>
              <w:pStyle w:val="89"/>
              <w:ind w:left="135" w:firstLine="360"/>
              <w:jc w:val="center"/>
              <w:rPr>
                <w:rFonts w:asciiTheme="minorEastAsia" w:hAnsiTheme="minorEastAsia" w:cstheme="minorEastAsia"/>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E4B949">
            <w:pPr>
              <w:jc w:val="center"/>
              <w:rPr>
                <w:rFonts w:hint="eastAsia" w:asciiTheme="minorEastAsia" w:hAnsiTheme="minorEastAsia" w:eastAsiaTheme="minorEastAsia" w:cstheme="minorEastAsia"/>
                <w:color w:val="auto"/>
                <w:sz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C59DCA">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无异味、无污渍</w:t>
            </w:r>
          </w:p>
        </w:tc>
      </w:tr>
      <w:tr w14:paraId="0FAF5D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1AA44FD2">
            <w:pPr>
              <w:jc w:val="left"/>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E6F56">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抹净消防设施</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8CAE43">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AC1DAF">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E2AB00">
            <w:pPr>
              <w:pStyle w:val="89"/>
              <w:ind w:left="135" w:firstLine="360"/>
              <w:jc w:val="center"/>
              <w:rPr>
                <w:rFonts w:asciiTheme="minorEastAsia" w:hAnsiTheme="minorEastAsia" w:cstheme="minorEastAsia"/>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AEB81">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无灰尘、无污渍</w:t>
            </w:r>
          </w:p>
        </w:tc>
      </w:tr>
      <w:tr w14:paraId="44CA7C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DB2B63">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公共区域</w:t>
            </w: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3DAC3">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扫净道路地面</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DA2E4">
            <w:pPr>
              <w:pStyle w:val="89"/>
              <w:ind w:left="0" w:firstLine="0"/>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1DC16">
            <w:pPr>
              <w:pStyle w:val="89"/>
              <w:ind w:left="135" w:firstLine="360"/>
              <w:jc w:val="center"/>
              <w:rPr>
                <w:rFonts w:asciiTheme="minorEastAsia" w:hAnsiTheme="minorEastAsia" w:cstheme="minorEastAsia"/>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0D3CE">
            <w:pPr>
              <w:jc w:val="center"/>
              <w:rPr>
                <w:rFonts w:hint="eastAsia" w:asciiTheme="minorEastAsia" w:hAnsiTheme="minorEastAsia" w:eastAsiaTheme="minorEastAsia" w:cstheme="minorEastAsia"/>
                <w:color w:val="auto"/>
                <w:sz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8D4BA3">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无垃圾</w:t>
            </w:r>
          </w:p>
        </w:tc>
      </w:tr>
      <w:tr w14:paraId="2BED38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43131465">
            <w:pPr>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025DB7">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巡回保洁地面</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1875AB">
            <w:pPr>
              <w:pStyle w:val="89"/>
              <w:ind w:left="0" w:firstLine="0"/>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888EC">
            <w:pPr>
              <w:pStyle w:val="89"/>
              <w:ind w:left="135" w:firstLine="360"/>
              <w:jc w:val="center"/>
              <w:rPr>
                <w:rFonts w:asciiTheme="minorEastAsia" w:hAnsiTheme="minorEastAsia" w:cstheme="minorEastAsia"/>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B6A95">
            <w:pPr>
              <w:jc w:val="center"/>
              <w:rPr>
                <w:rFonts w:hint="eastAsia" w:asciiTheme="minorEastAsia" w:hAnsiTheme="minorEastAsia" w:eastAsiaTheme="minorEastAsia" w:cstheme="minorEastAsia"/>
                <w:color w:val="auto"/>
                <w:sz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13E4F">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无垃圾、无杂物</w:t>
            </w:r>
          </w:p>
        </w:tc>
      </w:tr>
      <w:tr w14:paraId="4C2C7A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33254135">
            <w:pPr>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559515">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清洁</w:t>
            </w:r>
            <w:r>
              <w:rPr>
                <w:rFonts w:hint="eastAsia" w:asciiTheme="minorEastAsia" w:hAnsiTheme="minorEastAsia" w:cstheme="minorEastAsia"/>
                <w:color w:val="auto"/>
                <w:sz w:val="24"/>
                <w:szCs w:val="24"/>
                <w:highlight w:val="none"/>
                <w:lang w:eastAsia="zh-CN"/>
              </w:rPr>
              <w:t>花草</w:t>
            </w:r>
            <w:r>
              <w:rPr>
                <w:rFonts w:asciiTheme="minorEastAsia" w:hAnsiTheme="minorEastAsia" w:cstheme="minorEastAsia"/>
                <w:color w:val="auto"/>
                <w:sz w:val="24"/>
                <w:szCs w:val="24"/>
                <w:highlight w:val="none"/>
              </w:rPr>
              <w:t>、绿化带垃圾</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70EB8">
            <w:pPr>
              <w:pStyle w:val="89"/>
              <w:ind w:left="0" w:firstLine="0"/>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0E796">
            <w:pPr>
              <w:pStyle w:val="89"/>
              <w:ind w:left="135" w:firstLine="360"/>
              <w:jc w:val="center"/>
              <w:rPr>
                <w:rFonts w:asciiTheme="minorEastAsia" w:hAnsiTheme="minorEastAsia" w:cstheme="minorEastAsia"/>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CA00F6">
            <w:pPr>
              <w:jc w:val="center"/>
              <w:rPr>
                <w:rFonts w:hint="eastAsia" w:asciiTheme="minorEastAsia" w:hAnsiTheme="minorEastAsia" w:eastAsiaTheme="minorEastAsia" w:cstheme="minorEastAsia"/>
                <w:color w:val="auto"/>
                <w:sz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4BA92F">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无灰尘、无污渍</w:t>
            </w:r>
          </w:p>
        </w:tc>
      </w:tr>
      <w:tr w14:paraId="26F899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162F2D4A">
            <w:pPr>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5BBF4">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抹净公共桌椅</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CED64D">
            <w:pPr>
              <w:pStyle w:val="89"/>
              <w:ind w:left="0" w:firstLine="0"/>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90E752">
            <w:pPr>
              <w:pStyle w:val="89"/>
              <w:ind w:left="135" w:firstLine="360"/>
              <w:jc w:val="center"/>
              <w:rPr>
                <w:rFonts w:asciiTheme="minorEastAsia" w:hAnsiTheme="minorEastAsia" w:cstheme="minorEastAsia"/>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76FEF1">
            <w:pPr>
              <w:jc w:val="center"/>
              <w:rPr>
                <w:rFonts w:hint="eastAsia" w:asciiTheme="minorEastAsia" w:hAnsiTheme="minorEastAsia" w:eastAsiaTheme="minorEastAsia" w:cstheme="minorEastAsia"/>
                <w:color w:val="auto"/>
                <w:sz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F34FA">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无灰尘、无污渍</w:t>
            </w:r>
          </w:p>
        </w:tc>
      </w:tr>
      <w:tr w14:paraId="0BCF36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1B8BD4F4">
            <w:pPr>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DB615">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抹净果皮箱表面</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3C9B0">
            <w:pPr>
              <w:pStyle w:val="89"/>
              <w:ind w:left="0" w:firstLine="0"/>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CDB030">
            <w:pPr>
              <w:pStyle w:val="89"/>
              <w:ind w:left="135" w:firstLine="360"/>
              <w:jc w:val="center"/>
              <w:rPr>
                <w:rFonts w:asciiTheme="minorEastAsia" w:hAnsiTheme="minorEastAsia" w:cstheme="minorEastAsia"/>
                <w:color w:val="auto"/>
                <w:sz w:val="24"/>
                <w:szCs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890719">
            <w:pPr>
              <w:jc w:val="center"/>
              <w:rPr>
                <w:rFonts w:hint="eastAsia" w:asciiTheme="minorEastAsia" w:hAnsiTheme="minorEastAsia" w:eastAsiaTheme="minorEastAsia" w:cstheme="minorEastAsia"/>
                <w:color w:val="auto"/>
                <w:sz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470A0">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无污渍</w:t>
            </w:r>
          </w:p>
        </w:tc>
      </w:tr>
      <w:tr w14:paraId="2E3F83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04C2CD08">
            <w:pPr>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C80A4">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抹净照明设施表面</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3FCE0C">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250FF">
            <w:pPr>
              <w:jc w:val="center"/>
              <w:rPr>
                <w:rFonts w:hint="eastAsia" w:asciiTheme="minorEastAsia" w:hAnsiTheme="minorEastAsia" w:eastAsiaTheme="minorEastAsia" w:cstheme="minorEastAsia"/>
                <w:color w:val="auto"/>
                <w:sz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C4380">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5285BA">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无垃圾、无杂物</w:t>
            </w:r>
          </w:p>
        </w:tc>
      </w:tr>
      <w:tr w14:paraId="083A7C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19547CD6">
            <w:pPr>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2B9C1C">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抹净指示牌</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602ECC">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86416">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2</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F961E">
            <w:pPr>
              <w:pStyle w:val="89"/>
              <w:ind w:left="135" w:firstLine="360"/>
              <w:jc w:val="center"/>
              <w:rPr>
                <w:rFonts w:asciiTheme="minorEastAsia" w:hAnsiTheme="minorEastAsia" w:cstheme="minorEastAsia"/>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57170">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无灰尘、无污渍</w:t>
            </w:r>
          </w:p>
        </w:tc>
      </w:tr>
      <w:tr w14:paraId="78E65D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1911F9DA">
            <w:pPr>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3A116">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清理区域内的雨水井</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9D589">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29DB0B">
            <w:pPr>
              <w:jc w:val="center"/>
              <w:rPr>
                <w:rFonts w:hint="eastAsia" w:asciiTheme="minorEastAsia" w:hAnsiTheme="minorEastAsia" w:eastAsiaTheme="minorEastAsia" w:cstheme="minorEastAsia"/>
                <w:color w:val="auto"/>
                <w:sz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3CA5FA">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DA41A">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无杂物</w:t>
            </w:r>
          </w:p>
        </w:tc>
      </w:tr>
      <w:tr w14:paraId="740596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5A5D55F7">
            <w:pPr>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DCD57">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清理区域内的排水沟</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E4E26A">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CECF98">
            <w:pPr>
              <w:jc w:val="center"/>
              <w:rPr>
                <w:rFonts w:hint="eastAsia" w:asciiTheme="minorEastAsia" w:hAnsiTheme="minorEastAsia" w:eastAsiaTheme="minorEastAsia" w:cstheme="minorEastAsia"/>
                <w:color w:val="auto"/>
                <w:sz w:val="24"/>
                <w:highlight w:val="none"/>
              </w:rPr>
            </w:pP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70F0C">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26047">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无杂物</w:t>
            </w:r>
          </w:p>
        </w:tc>
      </w:tr>
      <w:tr w14:paraId="29432D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43A45EB7">
            <w:pPr>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91D9A">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抹净消防设施</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A6B34">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29B83">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502C5">
            <w:pPr>
              <w:pStyle w:val="89"/>
              <w:ind w:left="135" w:firstLine="360"/>
              <w:jc w:val="center"/>
              <w:rPr>
                <w:rFonts w:asciiTheme="minorEastAsia" w:hAnsiTheme="minorEastAsia" w:cstheme="minorEastAsia"/>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48961B">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无灰尘、无污渍</w:t>
            </w:r>
          </w:p>
        </w:tc>
      </w:tr>
      <w:tr w14:paraId="47457F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0" w:type="dxa"/>
            <w:vMerge w:val="continue"/>
            <w:tcBorders>
              <w:top w:val="nil"/>
              <w:left w:val="single" w:color="000000" w:sz="4" w:space="0"/>
              <w:bottom w:val="single" w:color="000000" w:sz="4" w:space="0"/>
              <w:right w:val="single" w:color="000000" w:sz="4" w:space="0"/>
            </w:tcBorders>
          </w:tcPr>
          <w:p w14:paraId="5A470305">
            <w:pPr>
              <w:rPr>
                <w:rFonts w:hint="eastAsia" w:asciiTheme="minorEastAsia" w:hAnsiTheme="minorEastAsia" w:eastAsiaTheme="minorEastAsia" w:cstheme="minorEastAsia"/>
                <w:color w:val="auto"/>
                <w:sz w:val="24"/>
                <w:highlight w:val="none"/>
              </w:rPr>
            </w:pPr>
          </w:p>
        </w:tc>
        <w:tc>
          <w:tcPr>
            <w:tcW w:w="247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64E3E">
            <w:pPr>
              <w:pStyle w:val="89"/>
              <w:ind w:left="0" w:firstLine="0"/>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小区内宣传物品保洁</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0970ED">
            <w:pPr>
              <w:pStyle w:val="89"/>
              <w:ind w:left="135" w:firstLine="360"/>
              <w:jc w:val="center"/>
              <w:rPr>
                <w:rFonts w:asciiTheme="minorEastAsia" w:hAnsiTheme="minorEastAsia" w:cstheme="minorEastAsia"/>
                <w:color w:val="auto"/>
                <w:sz w:val="24"/>
                <w:szCs w:val="24"/>
                <w:highlight w:val="none"/>
              </w:rPr>
            </w:pP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80F9E">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95C00">
            <w:pPr>
              <w:pStyle w:val="89"/>
              <w:ind w:left="135" w:firstLine="360"/>
              <w:jc w:val="center"/>
              <w:rPr>
                <w:rFonts w:asciiTheme="minorEastAsia" w:hAnsiTheme="minorEastAsia" w:cstheme="minorEastAsia"/>
                <w:color w:val="auto"/>
                <w:sz w:val="24"/>
                <w:szCs w:val="24"/>
                <w:highlight w:val="none"/>
              </w:rPr>
            </w:pPr>
          </w:p>
        </w:tc>
        <w:tc>
          <w:tcPr>
            <w:tcW w:w="199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B0F9F">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无污渍、无贴纸</w:t>
            </w:r>
          </w:p>
        </w:tc>
      </w:tr>
    </w:tbl>
    <w:p w14:paraId="3C780CA7">
      <w:pPr>
        <w:pStyle w:val="89"/>
        <w:spacing w:line="360" w:lineRule="auto"/>
        <w:ind w:firstLine="480" w:firstLineChars="200"/>
        <w:jc w:val="both"/>
        <w:rPr>
          <w:rFonts w:hint="eastAsia"/>
          <w:color w:val="auto"/>
          <w:sz w:val="24"/>
          <w:highlight w:val="none"/>
        </w:rPr>
      </w:pPr>
      <w:r>
        <w:rPr>
          <w:rFonts w:hint="eastAsia"/>
          <w:color w:val="auto"/>
          <w:sz w:val="24"/>
          <w:highlight w:val="none"/>
        </w:rPr>
        <w:t>*表示不停巡回保洁</w:t>
      </w:r>
    </w:p>
    <w:p w14:paraId="30E12693">
      <w:pPr>
        <w:pStyle w:val="89"/>
        <w:spacing w:line="360" w:lineRule="auto"/>
        <w:ind w:firstLine="480" w:firstLineChars="200"/>
        <w:jc w:val="both"/>
        <w:rPr>
          <w:rFonts w:hint="eastAsia"/>
          <w:color w:val="auto"/>
          <w:sz w:val="24"/>
          <w:highlight w:val="none"/>
        </w:rPr>
      </w:pPr>
      <w:r>
        <w:rPr>
          <w:rFonts w:hint="eastAsia"/>
          <w:color w:val="auto"/>
          <w:sz w:val="24"/>
          <w:highlight w:val="none"/>
        </w:rPr>
        <w:t>说明：</w:t>
      </w:r>
      <w:r>
        <w:rPr>
          <w:rFonts w:hint="eastAsia"/>
          <w:color w:val="auto"/>
          <w:sz w:val="24"/>
          <w:highlight w:val="none"/>
          <w:lang w:eastAsia="zh-CN"/>
        </w:rPr>
        <w:t>（</w:t>
      </w:r>
      <w:r>
        <w:rPr>
          <w:rFonts w:hint="eastAsia"/>
          <w:color w:val="auto"/>
          <w:sz w:val="24"/>
          <w:highlight w:val="none"/>
        </w:rPr>
        <w:t>1</w:t>
      </w:r>
      <w:r>
        <w:rPr>
          <w:rFonts w:hint="eastAsia"/>
          <w:color w:val="auto"/>
          <w:sz w:val="24"/>
          <w:highlight w:val="none"/>
          <w:lang w:eastAsia="zh-CN"/>
        </w:rPr>
        <w:t>）</w:t>
      </w:r>
      <w:r>
        <w:rPr>
          <w:rFonts w:hint="eastAsia"/>
          <w:color w:val="auto"/>
          <w:sz w:val="24"/>
          <w:highlight w:val="none"/>
        </w:rPr>
        <w:t>住宅楼的垃圾、杂物等要及时清理。</w:t>
      </w:r>
    </w:p>
    <w:p w14:paraId="6C478FDF">
      <w:pPr>
        <w:pStyle w:val="89"/>
        <w:spacing w:line="360" w:lineRule="auto"/>
        <w:ind w:firstLine="480" w:firstLineChars="200"/>
        <w:jc w:val="both"/>
        <w:rPr>
          <w:rFonts w:hint="eastAsia"/>
          <w:color w:val="auto"/>
          <w:sz w:val="24"/>
          <w:highlight w:val="none"/>
        </w:rPr>
      </w:pPr>
      <w:r>
        <w:rPr>
          <w:rFonts w:hint="eastAsia"/>
          <w:color w:val="auto"/>
          <w:sz w:val="24"/>
          <w:highlight w:val="none"/>
          <w:lang w:eastAsia="zh-CN"/>
        </w:rPr>
        <w:t>（</w:t>
      </w:r>
      <w:r>
        <w:rPr>
          <w:rFonts w:hint="eastAsia"/>
          <w:color w:val="auto"/>
          <w:sz w:val="24"/>
          <w:highlight w:val="none"/>
        </w:rPr>
        <w:t>2</w:t>
      </w:r>
      <w:r>
        <w:rPr>
          <w:rFonts w:hint="eastAsia"/>
          <w:color w:val="auto"/>
          <w:sz w:val="24"/>
          <w:highlight w:val="none"/>
          <w:lang w:eastAsia="zh-CN"/>
        </w:rPr>
        <w:t>）</w:t>
      </w:r>
      <w:r>
        <w:rPr>
          <w:rFonts w:hint="eastAsia"/>
          <w:color w:val="auto"/>
          <w:sz w:val="24"/>
          <w:highlight w:val="none"/>
        </w:rPr>
        <w:t>垃圾收集桶</w:t>
      </w:r>
      <w:r>
        <w:rPr>
          <w:rFonts w:hint="eastAsia"/>
          <w:color w:val="auto"/>
          <w:sz w:val="24"/>
          <w:highlight w:val="none"/>
          <w:lang w:eastAsia="zh-CN"/>
        </w:rPr>
        <w:t>（</w:t>
      </w:r>
      <w:r>
        <w:rPr>
          <w:rFonts w:hint="eastAsia"/>
          <w:color w:val="auto"/>
          <w:sz w:val="24"/>
          <w:highlight w:val="none"/>
        </w:rPr>
        <w:t>箱</w:t>
      </w:r>
      <w:r>
        <w:rPr>
          <w:rFonts w:hint="eastAsia"/>
          <w:color w:val="auto"/>
          <w:sz w:val="24"/>
          <w:highlight w:val="none"/>
          <w:lang w:eastAsia="zh-CN"/>
        </w:rPr>
        <w:t>）</w:t>
      </w:r>
      <w:r>
        <w:rPr>
          <w:rFonts w:hint="eastAsia"/>
          <w:color w:val="auto"/>
          <w:sz w:val="24"/>
          <w:highlight w:val="none"/>
        </w:rPr>
        <w:t>每周用稀盐酸或其他洗涤用品清洗。</w:t>
      </w:r>
    </w:p>
    <w:p w14:paraId="4515CB55">
      <w:pPr>
        <w:pStyle w:val="89"/>
        <w:spacing w:line="360" w:lineRule="auto"/>
        <w:ind w:firstLine="480" w:firstLineChars="200"/>
        <w:jc w:val="both"/>
        <w:rPr>
          <w:rFonts w:hint="eastAsia"/>
          <w:color w:val="auto"/>
          <w:sz w:val="24"/>
          <w:highlight w:val="none"/>
        </w:rPr>
      </w:pPr>
      <w:r>
        <w:rPr>
          <w:rFonts w:hint="eastAsia"/>
          <w:color w:val="auto"/>
          <w:sz w:val="24"/>
          <w:highlight w:val="none"/>
          <w:lang w:eastAsia="zh-CN"/>
        </w:rPr>
        <w:t>（</w:t>
      </w:r>
      <w:r>
        <w:rPr>
          <w:rFonts w:hint="eastAsia"/>
          <w:color w:val="auto"/>
          <w:sz w:val="24"/>
          <w:highlight w:val="none"/>
        </w:rPr>
        <w:t>3</w:t>
      </w:r>
      <w:r>
        <w:rPr>
          <w:rFonts w:hint="eastAsia"/>
          <w:color w:val="auto"/>
          <w:sz w:val="24"/>
          <w:highlight w:val="none"/>
          <w:lang w:eastAsia="zh-CN"/>
        </w:rPr>
        <w:t>）</w:t>
      </w:r>
      <w:r>
        <w:rPr>
          <w:rFonts w:hint="eastAsia"/>
          <w:color w:val="auto"/>
          <w:sz w:val="24"/>
          <w:highlight w:val="none"/>
        </w:rPr>
        <w:t>每月喷洒药物一次进行除四害。</w:t>
      </w:r>
    </w:p>
    <w:p w14:paraId="6573D74B">
      <w:pPr>
        <w:pStyle w:val="89"/>
        <w:spacing w:line="360" w:lineRule="auto"/>
        <w:ind w:firstLine="480" w:firstLineChars="200"/>
        <w:jc w:val="both"/>
        <w:rPr>
          <w:rFonts w:hint="eastAsia"/>
          <w:color w:val="auto"/>
          <w:sz w:val="24"/>
          <w:highlight w:val="none"/>
        </w:rPr>
      </w:pPr>
      <w:r>
        <w:rPr>
          <w:rFonts w:hint="eastAsia"/>
          <w:color w:val="auto"/>
          <w:sz w:val="24"/>
          <w:highlight w:val="none"/>
          <w:lang w:eastAsia="zh-CN"/>
        </w:rPr>
        <w:t>（</w:t>
      </w:r>
      <w:r>
        <w:rPr>
          <w:rFonts w:hint="eastAsia"/>
          <w:color w:val="auto"/>
          <w:sz w:val="24"/>
          <w:highlight w:val="none"/>
        </w:rPr>
        <w:t>4</w:t>
      </w:r>
      <w:r>
        <w:rPr>
          <w:rFonts w:hint="eastAsia"/>
          <w:color w:val="auto"/>
          <w:sz w:val="24"/>
          <w:highlight w:val="none"/>
          <w:lang w:eastAsia="zh-CN"/>
        </w:rPr>
        <w:t>）</w:t>
      </w:r>
      <w:r>
        <w:rPr>
          <w:rFonts w:hint="eastAsia"/>
          <w:color w:val="auto"/>
          <w:sz w:val="24"/>
          <w:highlight w:val="none"/>
        </w:rPr>
        <w:t>工作过</w:t>
      </w:r>
      <w:r>
        <w:rPr>
          <w:rFonts w:hint="eastAsia"/>
          <w:color w:val="auto"/>
          <w:sz w:val="24"/>
          <w:highlight w:val="none"/>
          <w:lang w:eastAsia="zh-CN"/>
        </w:rPr>
        <w:t>程中</w:t>
      </w:r>
      <w:r>
        <w:rPr>
          <w:rFonts w:hint="eastAsia"/>
          <w:color w:val="auto"/>
          <w:sz w:val="24"/>
          <w:highlight w:val="none"/>
        </w:rPr>
        <w:t>如发现门坏、灯泡烧坏、开关损坏等，应立即修理。</w:t>
      </w:r>
    </w:p>
    <w:p w14:paraId="302CC136">
      <w:pPr>
        <w:pStyle w:val="89"/>
        <w:spacing w:line="360" w:lineRule="auto"/>
        <w:ind w:firstLine="480" w:firstLineChars="200"/>
        <w:jc w:val="both"/>
        <w:rPr>
          <w:rFonts w:hint="eastAsia"/>
          <w:color w:val="auto"/>
          <w:sz w:val="24"/>
          <w:highlight w:val="none"/>
        </w:rPr>
      </w:pPr>
      <w:r>
        <w:rPr>
          <w:rFonts w:hint="eastAsia"/>
          <w:color w:val="auto"/>
          <w:sz w:val="24"/>
          <w:highlight w:val="none"/>
        </w:rPr>
        <w:t>（五）绿化养护</w:t>
      </w:r>
    </w:p>
    <w:p w14:paraId="30EC59CF">
      <w:pPr>
        <w:pStyle w:val="89"/>
        <w:spacing w:line="360" w:lineRule="auto"/>
        <w:ind w:firstLine="480" w:firstLineChars="200"/>
        <w:jc w:val="both"/>
        <w:rPr>
          <w:rFonts w:hint="eastAsia"/>
          <w:color w:val="auto"/>
          <w:sz w:val="24"/>
          <w:highlight w:val="none"/>
        </w:rPr>
      </w:pPr>
      <w:r>
        <w:rPr>
          <w:rFonts w:hint="eastAsia"/>
          <w:color w:val="auto"/>
          <w:sz w:val="24"/>
          <w:highlight w:val="none"/>
        </w:rPr>
        <w:t>1.有专业人员进行绿化养护管理。</w:t>
      </w:r>
    </w:p>
    <w:p w14:paraId="7185D314">
      <w:pPr>
        <w:pStyle w:val="89"/>
        <w:spacing w:line="360" w:lineRule="auto"/>
        <w:ind w:firstLine="480" w:firstLineChars="200"/>
        <w:jc w:val="both"/>
        <w:rPr>
          <w:rFonts w:hint="eastAsia"/>
          <w:color w:val="auto"/>
          <w:sz w:val="24"/>
          <w:highlight w:val="none"/>
        </w:rPr>
      </w:pPr>
      <w:r>
        <w:rPr>
          <w:rFonts w:hint="eastAsia"/>
          <w:color w:val="auto"/>
          <w:sz w:val="24"/>
          <w:highlight w:val="none"/>
        </w:rPr>
        <w:t>2.制定园林绿化设施管理规定、维护保养办法等规章制度。</w:t>
      </w:r>
    </w:p>
    <w:p w14:paraId="20CCB33F">
      <w:pPr>
        <w:pStyle w:val="89"/>
        <w:spacing w:line="360" w:lineRule="auto"/>
        <w:ind w:firstLine="480" w:firstLineChars="200"/>
        <w:jc w:val="both"/>
        <w:rPr>
          <w:rFonts w:hint="eastAsia"/>
          <w:color w:val="auto"/>
          <w:sz w:val="24"/>
          <w:highlight w:val="none"/>
        </w:rPr>
      </w:pPr>
      <w:r>
        <w:rPr>
          <w:rFonts w:hint="eastAsia"/>
          <w:color w:val="auto"/>
          <w:sz w:val="24"/>
          <w:highlight w:val="none"/>
        </w:rPr>
        <w:t>3.草坪生长良好，及时修剪和补种，花卉、绿篱、树木根据其品种和生长情况，及时修剪整形。</w:t>
      </w:r>
    </w:p>
    <w:p w14:paraId="35A06592">
      <w:pPr>
        <w:pStyle w:val="89"/>
        <w:spacing w:line="360" w:lineRule="auto"/>
        <w:ind w:firstLine="480" w:firstLineChars="200"/>
        <w:jc w:val="both"/>
        <w:rPr>
          <w:rFonts w:hint="eastAsia"/>
          <w:color w:val="auto"/>
          <w:sz w:val="24"/>
          <w:highlight w:val="none"/>
        </w:rPr>
      </w:pPr>
      <w:r>
        <w:rPr>
          <w:rFonts w:hint="eastAsia"/>
          <w:color w:val="auto"/>
          <w:sz w:val="24"/>
          <w:highlight w:val="none"/>
        </w:rPr>
        <w:t>4.做好病虫害防治工作。</w:t>
      </w:r>
    </w:p>
    <w:p w14:paraId="672B17E4">
      <w:pPr>
        <w:pStyle w:val="89"/>
        <w:spacing w:line="360" w:lineRule="auto"/>
        <w:ind w:firstLine="480" w:firstLineChars="200"/>
        <w:jc w:val="both"/>
        <w:rPr>
          <w:rFonts w:hint="eastAsia"/>
          <w:color w:val="auto"/>
          <w:sz w:val="24"/>
          <w:highlight w:val="none"/>
        </w:rPr>
      </w:pPr>
      <w:r>
        <w:rPr>
          <w:rFonts w:hint="eastAsia"/>
          <w:color w:val="auto"/>
          <w:sz w:val="24"/>
          <w:highlight w:val="none"/>
        </w:rPr>
        <w:t>5.使用化学药剂，必须严格执行国家现行有关规定；应选用高效低毒、低残留的药剂控制有害生物的危害，并在喷药前安民告示。</w:t>
      </w:r>
    </w:p>
    <w:p w14:paraId="0291ED12">
      <w:pPr>
        <w:pStyle w:val="89"/>
        <w:spacing w:line="360" w:lineRule="auto"/>
        <w:ind w:firstLine="480" w:firstLineChars="200"/>
        <w:jc w:val="both"/>
        <w:rPr>
          <w:rFonts w:hint="eastAsia"/>
          <w:color w:val="auto"/>
          <w:sz w:val="24"/>
          <w:highlight w:val="none"/>
        </w:rPr>
      </w:pPr>
      <w:r>
        <w:rPr>
          <w:rFonts w:hint="eastAsia"/>
          <w:color w:val="auto"/>
          <w:sz w:val="24"/>
          <w:highlight w:val="none"/>
        </w:rPr>
        <w:t>6.适时组织浇灌、施肥和松土，做好防涝、防冻。</w:t>
      </w:r>
    </w:p>
    <w:p w14:paraId="46BA7CE1">
      <w:pPr>
        <w:pStyle w:val="89"/>
        <w:spacing w:line="360" w:lineRule="auto"/>
        <w:ind w:firstLine="480" w:firstLineChars="200"/>
        <w:jc w:val="both"/>
        <w:rPr>
          <w:rFonts w:hint="eastAsia"/>
          <w:color w:val="auto"/>
          <w:sz w:val="24"/>
          <w:highlight w:val="none"/>
        </w:rPr>
      </w:pPr>
      <w:r>
        <w:rPr>
          <w:rFonts w:hint="eastAsia"/>
          <w:color w:val="auto"/>
          <w:sz w:val="24"/>
          <w:highlight w:val="none"/>
        </w:rPr>
        <w:t>7.乔、灌木、攀缘植物每年修剪2次以上，无枯枝、缺枝，每年中耕除草5次以上，土壤基本疏松；按植物品种、生长情况、土壤条件适当施肥，每年普施有机肥1遍，部分花灌木增施追肥1次。</w:t>
      </w:r>
    </w:p>
    <w:p w14:paraId="3F5270C5">
      <w:pPr>
        <w:pStyle w:val="89"/>
        <w:spacing w:line="360" w:lineRule="auto"/>
        <w:ind w:firstLine="480" w:firstLineChars="200"/>
        <w:jc w:val="both"/>
        <w:rPr>
          <w:rFonts w:hint="eastAsia"/>
          <w:color w:val="auto"/>
          <w:sz w:val="24"/>
          <w:highlight w:val="none"/>
        </w:rPr>
      </w:pPr>
      <w:r>
        <w:rPr>
          <w:rFonts w:hint="eastAsia"/>
          <w:color w:val="auto"/>
          <w:sz w:val="24"/>
          <w:highlight w:val="none"/>
        </w:rPr>
        <w:t>8.草坪无明显缺水枯黄，每年修剪5遍以上，清除杂草5遍以上，杂草面积不大于8%，每年普施有机肥至少1遍。</w:t>
      </w:r>
    </w:p>
    <w:p w14:paraId="3E5EFE77">
      <w:pPr>
        <w:pStyle w:val="89"/>
        <w:spacing w:line="360" w:lineRule="auto"/>
        <w:ind w:firstLine="480" w:firstLineChars="200"/>
        <w:jc w:val="both"/>
        <w:rPr>
          <w:rFonts w:hint="eastAsia"/>
          <w:color w:val="auto"/>
          <w:sz w:val="24"/>
          <w:highlight w:val="none"/>
        </w:rPr>
      </w:pPr>
      <w:r>
        <w:rPr>
          <w:rFonts w:hint="eastAsia"/>
          <w:color w:val="auto"/>
          <w:sz w:val="24"/>
          <w:highlight w:val="none"/>
        </w:rPr>
        <w:t>9.花坛及时清除枯萎的花蒂、黄叶、杂草、垃圾。</w:t>
      </w:r>
    </w:p>
    <w:p w14:paraId="07624132">
      <w:pPr>
        <w:pStyle w:val="89"/>
        <w:spacing w:line="360" w:lineRule="auto"/>
        <w:ind w:firstLine="480" w:firstLineChars="200"/>
        <w:jc w:val="both"/>
        <w:rPr>
          <w:rFonts w:hint="eastAsia"/>
          <w:color w:val="auto"/>
          <w:sz w:val="24"/>
          <w:highlight w:val="none"/>
        </w:rPr>
      </w:pPr>
      <w:r>
        <w:rPr>
          <w:rFonts w:hint="eastAsia"/>
          <w:color w:val="auto"/>
          <w:sz w:val="24"/>
          <w:highlight w:val="none"/>
        </w:rPr>
        <w:t>10.每年中有1次以上花卉、景点布置。</w:t>
      </w:r>
    </w:p>
    <w:p w14:paraId="06F6644C">
      <w:pPr>
        <w:pStyle w:val="89"/>
        <w:spacing w:line="360" w:lineRule="auto"/>
        <w:ind w:firstLine="480" w:firstLineChars="200"/>
        <w:jc w:val="both"/>
        <w:rPr>
          <w:rFonts w:hint="eastAsia"/>
          <w:color w:val="auto"/>
          <w:sz w:val="24"/>
          <w:highlight w:val="none"/>
        </w:rPr>
      </w:pPr>
      <w:r>
        <w:rPr>
          <w:rFonts w:hint="eastAsia"/>
          <w:color w:val="auto"/>
          <w:sz w:val="24"/>
          <w:highlight w:val="none"/>
        </w:rPr>
        <w:t>11.补种补栽绿化苗木。</w:t>
      </w:r>
    </w:p>
    <w:p w14:paraId="70018696">
      <w:pPr>
        <w:pStyle w:val="89"/>
        <w:spacing w:line="360" w:lineRule="auto"/>
        <w:ind w:firstLine="480" w:firstLineChars="200"/>
        <w:jc w:val="both"/>
        <w:rPr>
          <w:rFonts w:hint="eastAsia"/>
          <w:color w:val="auto"/>
          <w:sz w:val="24"/>
          <w:highlight w:val="none"/>
        </w:rPr>
      </w:pPr>
      <w:r>
        <w:rPr>
          <w:rFonts w:hint="eastAsia"/>
          <w:color w:val="auto"/>
          <w:sz w:val="24"/>
          <w:highlight w:val="none"/>
        </w:rPr>
        <w:t>（六）物资装备要求</w:t>
      </w:r>
    </w:p>
    <w:p w14:paraId="3E2EA628">
      <w:pPr>
        <w:pStyle w:val="89"/>
        <w:spacing w:line="360" w:lineRule="auto"/>
        <w:ind w:firstLine="480" w:firstLineChars="200"/>
        <w:jc w:val="both"/>
        <w:rPr>
          <w:rFonts w:hint="eastAsia"/>
          <w:color w:val="auto"/>
          <w:sz w:val="24"/>
          <w:highlight w:val="none"/>
        </w:rPr>
      </w:pPr>
      <w:r>
        <w:rPr>
          <w:rFonts w:hint="eastAsia"/>
          <w:color w:val="auto"/>
          <w:sz w:val="24"/>
          <w:highlight w:val="none"/>
        </w:rPr>
        <w:t>1.专用于本项目防控登革热疫情等的消杀器械（如烟雾机、超低容量喷雾器等），并列出配置数量、价值、实物图片等。</w:t>
      </w:r>
    </w:p>
    <w:p w14:paraId="1CC71C73">
      <w:pPr>
        <w:pStyle w:val="89"/>
        <w:spacing w:line="360" w:lineRule="auto"/>
        <w:ind w:firstLine="480" w:firstLineChars="200"/>
        <w:jc w:val="both"/>
        <w:rPr>
          <w:rFonts w:hint="eastAsia"/>
          <w:color w:val="auto"/>
          <w:sz w:val="24"/>
          <w:highlight w:val="none"/>
        </w:rPr>
      </w:pPr>
      <w:r>
        <w:rPr>
          <w:rFonts w:hint="eastAsia"/>
          <w:color w:val="auto"/>
          <w:sz w:val="24"/>
          <w:highlight w:val="none"/>
        </w:rPr>
        <w:t>2.专用于本项目日常公共秩序维护、共用设施设备维修维护、日常保洁服务、绿化养护的物资装备，并列出主要物资装备名称、数量、价值、用途、实物图片等（请列出市场单价500元以上的物资装备，如电子巡更系统、清理垃圾杂物的车辆、割草机、</w:t>
      </w:r>
      <w:r>
        <w:rPr>
          <w:rFonts w:hint="eastAsia"/>
          <w:color w:val="auto"/>
          <w:sz w:val="24"/>
          <w:highlight w:val="none"/>
          <w:lang w:val="en-US" w:eastAsia="zh-CN"/>
        </w:rPr>
        <w:t>高压水枪、洗地机</w:t>
      </w:r>
      <w:r>
        <w:rPr>
          <w:rFonts w:hint="eastAsia"/>
          <w:color w:val="auto"/>
          <w:sz w:val="24"/>
          <w:highlight w:val="none"/>
        </w:rPr>
        <w:t>等）。</w:t>
      </w:r>
    </w:p>
    <w:p w14:paraId="08EED6B9">
      <w:pPr>
        <w:pStyle w:val="89"/>
        <w:spacing w:line="360" w:lineRule="auto"/>
        <w:ind w:firstLine="480" w:firstLineChars="200"/>
        <w:jc w:val="both"/>
        <w:rPr>
          <w:rFonts w:hint="eastAsia"/>
          <w:color w:val="auto"/>
          <w:sz w:val="24"/>
          <w:highlight w:val="none"/>
        </w:rPr>
      </w:pPr>
      <w:r>
        <w:rPr>
          <w:rFonts w:hint="eastAsia"/>
          <w:color w:val="auto"/>
          <w:sz w:val="24"/>
          <w:highlight w:val="none"/>
        </w:rPr>
        <w:t>3.专用于本项目应对突发自然灾害、极端天气时的设备设施（如备用排涝水泵等）。</w:t>
      </w:r>
    </w:p>
    <w:p w14:paraId="1E480535">
      <w:pPr>
        <w:pStyle w:val="89"/>
        <w:spacing w:line="360" w:lineRule="auto"/>
        <w:ind w:firstLine="480" w:firstLineChars="200"/>
        <w:jc w:val="both"/>
        <w:rPr>
          <w:rFonts w:hint="eastAsia"/>
          <w:color w:val="auto"/>
          <w:sz w:val="24"/>
          <w:highlight w:val="none"/>
        </w:rPr>
      </w:pPr>
      <w:r>
        <w:rPr>
          <w:rFonts w:hint="eastAsia"/>
          <w:color w:val="auto"/>
          <w:sz w:val="24"/>
          <w:highlight w:val="none"/>
        </w:rPr>
        <w:t>（七）应急服务预案</w:t>
      </w:r>
    </w:p>
    <w:p w14:paraId="5A21D60C">
      <w:pPr>
        <w:pStyle w:val="89"/>
        <w:spacing w:line="360" w:lineRule="auto"/>
        <w:ind w:firstLine="480" w:firstLineChars="200"/>
        <w:jc w:val="both"/>
        <w:rPr>
          <w:rFonts w:hint="eastAsia"/>
          <w:color w:val="auto"/>
          <w:sz w:val="24"/>
          <w:highlight w:val="none"/>
        </w:rPr>
      </w:pPr>
      <w:r>
        <w:rPr>
          <w:rFonts w:hint="eastAsia"/>
          <w:color w:val="auto"/>
          <w:sz w:val="24"/>
          <w:highlight w:val="none"/>
        </w:rPr>
        <w:t>1.迎接上级部门检查的应急服务预案。</w:t>
      </w:r>
    </w:p>
    <w:p w14:paraId="373D9858">
      <w:pPr>
        <w:pStyle w:val="89"/>
        <w:spacing w:line="360" w:lineRule="auto"/>
        <w:ind w:firstLine="480" w:firstLineChars="200"/>
        <w:jc w:val="both"/>
        <w:rPr>
          <w:rFonts w:hint="eastAsia"/>
          <w:color w:val="auto"/>
          <w:sz w:val="24"/>
          <w:highlight w:val="none"/>
        </w:rPr>
      </w:pPr>
      <w:r>
        <w:rPr>
          <w:rFonts w:hint="eastAsia"/>
          <w:color w:val="auto"/>
          <w:sz w:val="24"/>
          <w:highlight w:val="none"/>
        </w:rPr>
        <w:t>2.应对突发自然灾害、极端天气、突发公共卫生事件（如登革热疫情）的处置预案。</w:t>
      </w:r>
    </w:p>
    <w:p w14:paraId="2E24FDE7">
      <w:pPr>
        <w:pStyle w:val="89"/>
        <w:spacing w:line="360" w:lineRule="auto"/>
        <w:ind w:firstLine="480" w:firstLineChars="200"/>
        <w:jc w:val="both"/>
        <w:rPr>
          <w:color w:val="auto"/>
          <w:sz w:val="24"/>
          <w:highlight w:val="none"/>
        </w:rPr>
      </w:pPr>
      <w:r>
        <w:rPr>
          <w:rFonts w:hint="eastAsia"/>
          <w:color w:val="auto"/>
          <w:sz w:val="24"/>
          <w:highlight w:val="none"/>
        </w:rPr>
        <w:t>3.应对群访群诉、共用设施设备故障、破坏绿化、违章搭建、治安案件等的应急处置预案。</w:t>
      </w:r>
    </w:p>
    <w:p w14:paraId="42F1F656">
      <w:pPr>
        <w:pStyle w:val="89"/>
        <w:spacing w:line="360" w:lineRule="auto"/>
        <w:ind w:firstLine="496"/>
        <w:jc w:val="both"/>
        <w:rPr>
          <w:rFonts w:hint="default"/>
          <w:color w:val="auto"/>
          <w:highlight w:val="none"/>
        </w:rPr>
      </w:pPr>
      <w:r>
        <w:rPr>
          <w:rFonts w:hint="eastAsia"/>
          <w:b/>
          <w:color w:val="auto"/>
          <w:sz w:val="24"/>
          <w:highlight w:val="none"/>
          <w:lang w:val="en-US" w:eastAsia="zh-CN"/>
        </w:rPr>
        <w:t>七</w:t>
      </w:r>
      <w:r>
        <w:rPr>
          <w:b/>
          <w:color w:val="auto"/>
          <w:sz w:val="24"/>
          <w:highlight w:val="none"/>
        </w:rPr>
        <w:t>、人员配备及主要人员岗位要求</w:t>
      </w:r>
    </w:p>
    <w:p w14:paraId="366FE368">
      <w:pPr>
        <w:pStyle w:val="89"/>
        <w:spacing w:line="360" w:lineRule="auto"/>
        <w:ind w:firstLine="496"/>
        <w:rPr>
          <w:rFonts w:hint="eastAsia" w:eastAsiaTheme="minorEastAsia"/>
          <w:color w:val="auto"/>
          <w:highlight w:val="none"/>
          <w:lang w:val="en-US" w:eastAsia="zh-CN"/>
        </w:rPr>
      </w:pPr>
      <w:r>
        <w:rPr>
          <w:color w:val="auto"/>
          <w:sz w:val="24"/>
          <w:highlight w:val="none"/>
        </w:rPr>
        <w:t>（一）本项目总用地面积</w:t>
      </w:r>
      <w:r>
        <w:rPr>
          <w:rFonts w:hint="eastAsia"/>
          <w:color w:val="auto"/>
          <w:sz w:val="24"/>
          <w:highlight w:val="none"/>
          <w:lang w:val="en-US" w:eastAsia="zh-CN"/>
        </w:rPr>
        <w:t>23953</w:t>
      </w:r>
      <w:r>
        <w:rPr>
          <w:color w:val="auto"/>
          <w:sz w:val="24"/>
          <w:highlight w:val="none"/>
        </w:rPr>
        <w:t>㎡，总建筑面积</w:t>
      </w:r>
      <w:r>
        <w:rPr>
          <w:rFonts w:hint="eastAsia"/>
          <w:color w:val="auto"/>
          <w:sz w:val="24"/>
          <w:highlight w:val="none"/>
          <w:lang w:val="en-US" w:eastAsia="zh-CN"/>
        </w:rPr>
        <w:t>150947.57</w:t>
      </w:r>
      <w:r>
        <w:rPr>
          <w:color w:val="auto"/>
          <w:sz w:val="24"/>
          <w:highlight w:val="none"/>
        </w:rPr>
        <w:t>㎡，包括地下室2层，住宅楼</w:t>
      </w:r>
      <w:r>
        <w:rPr>
          <w:rFonts w:hint="eastAsia"/>
          <w:color w:val="auto"/>
          <w:sz w:val="24"/>
          <w:highlight w:val="none"/>
          <w:lang w:val="en-US" w:eastAsia="zh-CN"/>
        </w:rPr>
        <w:t>7</w:t>
      </w:r>
      <w:r>
        <w:rPr>
          <w:color w:val="auto"/>
          <w:sz w:val="24"/>
          <w:highlight w:val="none"/>
          <w:lang w:eastAsia="zh-CN"/>
        </w:rPr>
        <w:t>栋</w:t>
      </w:r>
      <w:r>
        <w:rPr>
          <w:color w:val="auto"/>
          <w:sz w:val="24"/>
          <w:highlight w:val="none"/>
        </w:rPr>
        <w:t>，住户</w:t>
      </w:r>
      <w:r>
        <w:rPr>
          <w:rFonts w:hint="eastAsia"/>
          <w:color w:val="auto"/>
          <w:sz w:val="24"/>
          <w:highlight w:val="none"/>
          <w:lang w:val="en-US" w:eastAsia="zh-CN"/>
        </w:rPr>
        <w:t>1268</w:t>
      </w:r>
      <w:r>
        <w:rPr>
          <w:color w:val="auto"/>
          <w:sz w:val="24"/>
          <w:highlight w:val="none"/>
        </w:rPr>
        <w:t>户，常规居住人口可达</w:t>
      </w:r>
      <w:r>
        <w:rPr>
          <w:rFonts w:hint="eastAsia"/>
          <w:color w:val="auto"/>
          <w:sz w:val="24"/>
          <w:highlight w:val="none"/>
          <w:lang w:val="en-US" w:eastAsia="zh-CN"/>
        </w:rPr>
        <w:t>6</w:t>
      </w:r>
      <w:r>
        <w:rPr>
          <w:color w:val="auto"/>
          <w:sz w:val="24"/>
          <w:highlight w:val="none"/>
          <w:lang w:eastAsia="zh-CN"/>
        </w:rPr>
        <w:t>500</w:t>
      </w:r>
      <w:r>
        <w:rPr>
          <w:color w:val="auto"/>
          <w:sz w:val="24"/>
          <w:highlight w:val="none"/>
        </w:rPr>
        <w:t>余人，为保证项目目标的实现，中标人应配备物业服务人员不少于</w:t>
      </w:r>
      <w:r>
        <w:rPr>
          <w:rFonts w:hint="eastAsia"/>
          <w:color w:val="auto"/>
          <w:sz w:val="24"/>
          <w:highlight w:val="none"/>
          <w:lang w:val="en-US" w:eastAsia="zh-CN"/>
        </w:rPr>
        <w:t>45</w:t>
      </w:r>
      <w:r>
        <w:rPr>
          <w:color w:val="auto"/>
          <w:sz w:val="24"/>
          <w:highlight w:val="none"/>
        </w:rPr>
        <w:t>人，其中工程维修、秩序维护、保洁和绿化等服务保障人员不少于</w:t>
      </w:r>
      <w:r>
        <w:rPr>
          <w:rFonts w:hint="eastAsia"/>
          <w:color w:val="auto"/>
          <w:sz w:val="24"/>
          <w:highlight w:val="none"/>
          <w:lang w:val="en-US" w:eastAsia="zh-CN"/>
        </w:rPr>
        <w:t>36</w:t>
      </w:r>
      <w:r>
        <w:rPr>
          <w:color w:val="auto"/>
          <w:sz w:val="24"/>
          <w:highlight w:val="none"/>
        </w:rPr>
        <w:t>人（★本项目固定岗位服务人员配置须不少于</w:t>
      </w:r>
      <w:r>
        <w:rPr>
          <w:rFonts w:hint="eastAsia"/>
          <w:color w:val="auto"/>
          <w:sz w:val="24"/>
          <w:highlight w:val="none"/>
          <w:lang w:val="en-US" w:eastAsia="zh-CN"/>
        </w:rPr>
        <w:t>45</w:t>
      </w:r>
      <w:r>
        <w:rPr>
          <w:color w:val="auto"/>
          <w:sz w:val="24"/>
          <w:highlight w:val="none"/>
        </w:rPr>
        <w:t>人）</w:t>
      </w:r>
    </w:p>
    <w:tbl>
      <w:tblPr>
        <w:tblStyle w:val="3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702"/>
        <w:gridCol w:w="2302"/>
        <w:gridCol w:w="2302"/>
      </w:tblGrid>
      <w:tr w14:paraId="2FCE22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9B83885">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固定岗位设置</w:t>
            </w:r>
          </w:p>
        </w:tc>
        <w:tc>
          <w:tcPr>
            <w:tcW w:w="23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08FF4C7">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岗位人数（单位：人，每岗位固定服务人数不少于以下要求）</w:t>
            </w:r>
          </w:p>
        </w:tc>
        <w:tc>
          <w:tcPr>
            <w:tcW w:w="23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7149D9">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备注</w:t>
            </w:r>
          </w:p>
        </w:tc>
      </w:tr>
      <w:tr w14:paraId="27ACBD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F127DE">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项目经理岗</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CB321">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9A5A2A">
            <w:pPr>
              <w:pStyle w:val="89"/>
              <w:ind w:left="135" w:firstLine="360"/>
              <w:jc w:val="center"/>
              <w:rPr>
                <w:rFonts w:asciiTheme="minorEastAsia" w:hAnsiTheme="minorEastAsia" w:cstheme="minorEastAsia"/>
                <w:color w:val="auto"/>
                <w:sz w:val="24"/>
                <w:szCs w:val="24"/>
                <w:highlight w:val="none"/>
              </w:rPr>
            </w:pPr>
          </w:p>
        </w:tc>
      </w:tr>
      <w:tr w14:paraId="69A0FE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A13F5">
            <w:pPr>
              <w:pStyle w:val="89"/>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财务岗</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61F086">
            <w:pPr>
              <w:pStyle w:val="89"/>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D88A42">
            <w:pPr>
              <w:pStyle w:val="89"/>
              <w:ind w:left="135" w:firstLine="360"/>
              <w:jc w:val="center"/>
              <w:rPr>
                <w:rFonts w:asciiTheme="minorEastAsia" w:hAnsiTheme="minorEastAsia" w:cstheme="minorEastAsia"/>
                <w:color w:val="auto"/>
                <w:sz w:val="24"/>
                <w:szCs w:val="24"/>
                <w:highlight w:val="none"/>
              </w:rPr>
            </w:pPr>
          </w:p>
        </w:tc>
      </w:tr>
      <w:tr w14:paraId="2ADAA3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911745">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客服岗</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B2C73">
            <w:pPr>
              <w:pStyle w:val="89"/>
              <w:jc w:val="center"/>
              <w:rPr>
                <w:rFonts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7</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48C5DA">
            <w:pPr>
              <w:pStyle w:val="89"/>
              <w:ind w:left="135" w:firstLine="360"/>
              <w:jc w:val="center"/>
              <w:rPr>
                <w:rFonts w:asciiTheme="minorEastAsia" w:hAnsiTheme="minorEastAsia" w:cstheme="minorEastAsia"/>
                <w:color w:val="auto"/>
                <w:sz w:val="24"/>
                <w:szCs w:val="24"/>
                <w:highlight w:val="none"/>
              </w:rPr>
            </w:pPr>
          </w:p>
        </w:tc>
      </w:tr>
      <w:tr w14:paraId="7E6407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DE354">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维修岗</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495873">
            <w:pPr>
              <w:pStyle w:val="89"/>
              <w:jc w:val="center"/>
              <w:rPr>
                <w:rFonts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7</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18EB8">
            <w:pPr>
              <w:pStyle w:val="89"/>
              <w:ind w:left="135" w:firstLine="360"/>
              <w:jc w:val="center"/>
              <w:rPr>
                <w:rFonts w:asciiTheme="minorEastAsia" w:hAnsiTheme="minorEastAsia" w:cstheme="minorEastAsia"/>
                <w:color w:val="auto"/>
                <w:sz w:val="24"/>
                <w:szCs w:val="24"/>
                <w:highlight w:val="none"/>
              </w:rPr>
            </w:pPr>
          </w:p>
        </w:tc>
      </w:tr>
      <w:tr w14:paraId="7AC670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86350">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秩序维护岗</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CA8FA4">
            <w:pPr>
              <w:pStyle w:val="89"/>
              <w:jc w:val="center"/>
              <w:rPr>
                <w:rFonts w:hint="default"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1</w:t>
            </w:r>
            <w:r>
              <w:rPr>
                <w:rFonts w:hint="eastAsia" w:asciiTheme="minorEastAsia" w:hAnsiTheme="minorEastAsia" w:cstheme="minorEastAsia"/>
                <w:color w:val="auto"/>
                <w:sz w:val="24"/>
                <w:szCs w:val="24"/>
                <w:highlight w:val="none"/>
                <w:lang w:val="en-US" w:eastAsia="zh-CN"/>
              </w:rPr>
              <w:t>6</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991E01">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含公共秩序维护主管1个、领班</w:t>
            </w:r>
            <w:r>
              <w:rPr>
                <w:rFonts w:hint="eastAsia" w:asciiTheme="minorEastAsia" w:hAnsiTheme="minorEastAsia" w:cstheme="minorEastAsia"/>
                <w:color w:val="auto"/>
                <w:sz w:val="24"/>
                <w:szCs w:val="24"/>
                <w:highlight w:val="none"/>
                <w:lang w:eastAsia="zh-CN"/>
              </w:rPr>
              <w:t>2</w:t>
            </w:r>
            <w:r>
              <w:rPr>
                <w:rFonts w:asciiTheme="minorEastAsia" w:hAnsiTheme="minorEastAsia" w:cstheme="minorEastAsia"/>
                <w:color w:val="auto"/>
                <w:sz w:val="24"/>
                <w:szCs w:val="24"/>
                <w:highlight w:val="none"/>
              </w:rPr>
              <w:t>个、门岗</w:t>
            </w:r>
            <w:r>
              <w:rPr>
                <w:rFonts w:hint="eastAsia" w:asciiTheme="minorEastAsia" w:hAnsiTheme="minorEastAsia" w:cstheme="minorEastAsia"/>
                <w:color w:val="auto"/>
                <w:sz w:val="24"/>
                <w:szCs w:val="24"/>
                <w:highlight w:val="none"/>
                <w:lang w:eastAsia="zh-CN"/>
              </w:rPr>
              <w:t>6</w:t>
            </w:r>
            <w:r>
              <w:rPr>
                <w:rFonts w:asciiTheme="minorEastAsia" w:hAnsiTheme="minorEastAsia" w:cstheme="minorEastAsia"/>
                <w:color w:val="auto"/>
                <w:sz w:val="24"/>
                <w:szCs w:val="24"/>
                <w:highlight w:val="none"/>
              </w:rPr>
              <w:t>个、巡逻岗</w:t>
            </w:r>
            <w:r>
              <w:rPr>
                <w:rFonts w:hint="eastAsia" w:asciiTheme="minorEastAsia" w:hAnsiTheme="minorEastAsia" w:cstheme="minorEastAsia"/>
                <w:color w:val="auto"/>
                <w:sz w:val="24"/>
                <w:szCs w:val="24"/>
                <w:highlight w:val="none"/>
                <w:lang w:eastAsia="zh-CN"/>
              </w:rPr>
              <w:t>3</w:t>
            </w:r>
            <w:r>
              <w:rPr>
                <w:rFonts w:asciiTheme="minorEastAsia" w:hAnsiTheme="minorEastAsia" w:cstheme="minorEastAsia"/>
                <w:color w:val="auto"/>
                <w:sz w:val="24"/>
                <w:szCs w:val="24"/>
                <w:highlight w:val="none"/>
              </w:rPr>
              <w:t>个、监控岗</w:t>
            </w:r>
            <w:r>
              <w:rPr>
                <w:rFonts w:hint="eastAsia" w:asciiTheme="minorEastAsia" w:hAnsiTheme="minorEastAsia" w:cstheme="minorEastAsia"/>
                <w:color w:val="auto"/>
                <w:sz w:val="24"/>
                <w:szCs w:val="24"/>
                <w:highlight w:val="none"/>
                <w:lang w:eastAsia="zh-CN"/>
              </w:rPr>
              <w:t>4</w:t>
            </w:r>
            <w:r>
              <w:rPr>
                <w:rFonts w:asciiTheme="minorEastAsia" w:hAnsiTheme="minorEastAsia" w:cstheme="minorEastAsia"/>
                <w:color w:val="auto"/>
                <w:sz w:val="24"/>
                <w:szCs w:val="24"/>
                <w:highlight w:val="none"/>
              </w:rPr>
              <w:t>个等岗位人员（注：公共秩序维护主管以外的秩序维护岗位须落实24小时专职值班制，消防监控室1个，每班监控室值班人员不少于2名）。</w:t>
            </w:r>
          </w:p>
        </w:tc>
      </w:tr>
      <w:tr w14:paraId="39A720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19B0DD">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保洁、绿化岗</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A8E1F8">
            <w:pPr>
              <w:pStyle w:val="89"/>
              <w:jc w:val="center"/>
              <w:rPr>
                <w:rFonts w:hint="default"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1</w:t>
            </w:r>
            <w:r>
              <w:rPr>
                <w:rFonts w:hint="eastAsia" w:asciiTheme="minorEastAsia" w:hAnsiTheme="minorEastAsia" w:cstheme="minorEastAsia"/>
                <w:color w:val="auto"/>
                <w:sz w:val="24"/>
                <w:szCs w:val="24"/>
                <w:highlight w:val="none"/>
                <w:lang w:val="en-US" w:eastAsia="zh-CN"/>
              </w:rPr>
              <w:t>3</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1599E">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保洁、绿化岗共</w:t>
            </w:r>
            <w:r>
              <w:rPr>
                <w:rFonts w:hint="eastAsia" w:asciiTheme="minorEastAsia" w:hAnsiTheme="minorEastAsia" w:cstheme="minorEastAsia"/>
                <w:color w:val="auto"/>
                <w:sz w:val="24"/>
                <w:szCs w:val="24"/>
                <w:highlight w:val="none"/>
                <w:lang w:val="en-US" w:eastAsia="zh-CN"/>
              </w:rPr>
              <w:t>13</w:t>
            </w:r>
            <w:r>
              <w:rPr>
                <w:rFonts w:asciiTheme="minorEastAsia" w:hAnsiTheme="minorEastAsia" w:cstheme="minorEastAsia"/>
                <w:color w:val="auto"/>
                <w:sz w:val="24"/>
                <w:szCs w:val="24"/>
                <w:highlight w:val="none"/>
              </w:rPr>
              <w:t>个岗位人员。</w:t>
            </w:r>
          </w:p>
        </w:tc>
      </w:tr>
      <w:tr w14:paraId="457157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DD67B">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合计</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81C21">
            <w:pPr>
              <w:pStyle w:val="89"/>
              <w:jc w:val="center"/>
              <w:rPr>
                <w:rFonts w:hint="default"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eastAsia="zh-CN"/>
              </w:rPr>
              <w:t>4</w:t>
            </w:r>
            <w:r>
              <w:rPr>
                <w:rFonts w:hint="eastAsia" w:asciiTheme="minorEastAsia" w:hAnsiTheme="minorEastAsia" w:cstheme="minorEastAsia"/>
                <w:color w:val="auto"/>
                <w:sz w:val="24"/>
                <w:szCs w:val="24"/>
                <w:highlight w:val="none"/>
                <w:lang w:val="en-US" w:eastAsia="zh-CN"/>
              </w:rPr>
              <w:t>5</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4EC5D">
            <w:pPr>
              <w:pStyle w:val="89"/>
              <w:ind w:left="135" w:firstLine="360"/>
              <w:jc w:val="center"/>
              <w:rPr>
                <w:rFonts w:asciiTheme="minorEastAsia" w:hAnsiTheme="minorEastAsia" w:cstheme="minorEastAsia"/>
                <w:color w:val="auto"/>
                <w:sz w:val="24"/>
                <w:szCs w:val="24"/>
                <w:highlight w:val="none"/>
              </w:rPr>
            </w:pPr>
          </w:p>
        </w:tc>
      </w:tr>
      <w:tr w14:paraId="3FD3C1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C14214">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固定岗位设置</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499CF8">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人数（人）</w:t>
            </w:r>
          </w:p>
        </w:tc>
        <w:tc>
          <w:tcPr>
            <w:tcW w:w="230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283EB">
            <w:pPr>
              <w:pStyle w:val="89"/>
              <w:ind w:left="135" w:firstLine="360"/>
              <w:jc w:val="center"/>
              <w:rPr>
                <w:rFonts w:asciiTheme="minorEastAsia" w:hAnsiTheme="minorEastAsia" w:cstheme="minorEastAsia"/>
                <w:color w:val="auto"/>
                <w:sz w:val="24"/>
                <w:szCs w:val="24"/>
                <w:highlight w:val="none"/>
              </w:rPr>
            </w:pPr>
          </w:p>
        </w:tc>
      </w:tr>
    </w:tbl>
    <w:p w14:paraId="780003EB">
      <w:pPr>
        <w:pStyle w:val="89"/>
        <w:spacing w:line="360" w:lineRule="auto"/>
        <w:ind w:firstLine="480"/>
        <w:jc w:val="both"/>
        <w:rPr>
          <w:rFonts w:hint="eastAsia"/>
          <w:color w:val="auto"/>
          <w:sz w:val="24"/>
          <w:highlight w:val="none"/>
        </w:rPr>
      </w:pPr>
      <w:r>
        <w:rPr>
          <w:rFonts w:hint="eastAsia"/>
          <w:color w:val="auto"/>
          <w:sz w:val="24"/>
          <w:highlight w:val="none"/>
        </w:rPr>
        <w:t>（二）上表所列公共秩序维护员须按属地公安部门有关要求持证上岗。</w:t>
      </w:r>
    </w:p>
    <w:p w14:paraId="7B79583B">
      <w:pPr>
        <w:pStyle w:val="89"/>
        <w:spacing w:line="360" w:lineRule="auto"/>
        <w:ind w:firstLine="480"/>
        <w:jc w:val="both"/>
        <w:rPr>
          <w:color w:val="auto"/>
          <w:sz w:val="24"/>
          <w:highlight w:val="none"/>
        </w:rPr>
      </w:pPr>
      <w:r>
        <w:rPr>
          <w:rFonts w:hint="eastAsia"/>
          <w:color w:val="auto"/>
          <w:sz w:val="24"/>
          <w:highlight w:val="none"/>
        </w:rPr>
        <w:t>（三）中标人应根据实际需要，本着科学、合理、高效的原则配备足够的专业人员实施小区物业服务工作；项目投入人员需具有物业管理相关工作经验，年龄需60周岁以内，具备履行现场工作的身体素质，要求忠于职守，爱岗敬业，作风正派，具有较强的管理能力、服务意识和专业技能。</w:t>
      </w:r>
    </w:p>
    <w:p w14:paraId="5D1DCD20">
      <w:pPr>
        <w:pStyle w:val="89"/>
        <w:spacing w:line="360" w:lineRule="auto"/>
        <w:ind w:firstLine="480"/>
        <w:jc w:val="both"/>
        <w:rPr>
          <w:rFonts w:hint="eastAsia"/>
          <w:color w:val="auto"/>
          <w:sz w:val="24"/>
          <w:highlight w:val="none"/>
        </w:rPr>
      </w:pPr>
      <w:r>
        <w:rPr>
          <w:rFonts w:hint="eastAsia"/>
          <w:color w:val="auto"/>
          <w:sz w:val="24"/>
          <w:highlight w:val="none"/>
        </w:rPr>
        <w:t>（四）项目主要管理人员的要求：</w:t>
      </w:r>
    </w:p>
    <w:p w14:paraId="3858FD18">
      <w:pPr>
        <w:pStyle w:val="89"/>
        <w:spacing w:line="360" w:lineRule="auto"/>
        <w:ind w:firstLine="480"/>
        <w:jc w:val="both"/>
        <w:rPr>
          <w:rFonts w:hint="eastAsia"/>
          <w:color w:val="auto"/>
          <w:sz w:val="24"/>
          <w:highlight w:val="none"/>
        </w:rPr>
      </w:pPr>
      <w:r>
        <w:rPr>
          <w:rFonts w:hint="eastAsia"/>
          <w:color w:val="auto"/>
          <w:sz w:val="24"/>
          <w:highlight w:val="none"/>
        </w:rPr>
        <w:t>1.项目经理：项目经理1人，具有物业管理相关专业大专（含）以上学历，具有5年以上住宅小区（</w:t>
      </w:r>
      <w:r>
        <w:rPr>
          <w:rFonts w:hint="eastAsia"/>
          <w:color w:val="auto"/>
          <w:sz w:val="24"/>
          <w:highlight w:val="none"/>
          <w:lang w:val="en-US" w:eastAsia="zh-CN"/>
        </w:rPr>
        <w:t>住宅7栋或</w:t>
      </w:r>
      <w:r>
        <w:rPr>
          <w:rFonts w:hint="eastAsia"/>
          <w:color w:val="auto"/>
          <w:sz w:val="24"/>
          <w:highlight w:val="none"/>
        </w:rPr>
        <w:t>以上）物业管理工作经验，其中担任项目主管以上职位3年以上，要求具备很强的组织统筹管理能力和服务意识，熟悉物业管理法律法规和项目交接事项，精通综合管理、客户服务、设备养护、装修管理、安保、卫生清洁、小区绿化养护等物业服务工作要求和技巧；在服务期间，全过程参与物业管理服务实施，负责现场安全管理、物业服务质量、处理业主（住户）投诉等相关工作；并提供其签名确认的工作成果、现场巡查、培训、处理业主（住户）投诉问题等工作记录及相关资料。必须是投标人企业在职员工，以社保证明为准。</w:t>
      </w:r>
    </w:p>
    <w:p w14:paraId="42B33D08">
      <w:pPr>
        <w:pStyle w:val="89"/>
        <w:spacing w:line="360" w:lineRule="auto"/>
        <w:ind w:firstLine="480"/>
        <w:jc w:val="both"/>
        <w:rPr>
          <w:rFonts w:hint="eastAsia"/>
          <w:color w:val="auto"/>
          <w:sz w:val="24"/>
          <w:highlight w:val="none"/>
        </w:rPr>
      </w:pPr>
      <w:r>
        <w:rPr>
          <w:rFonts w:hint="eastAsia"/>
          <w:color w:val="auto"/>
          <w:sz w:val="24"/>
          <w:highlight w:val="none"/>
        </w:rPr>
        <w:t>2.中标人必须按投标文件中列明的项目经理、工程主管、秩序维护主管、综合服务主管安排任职本项目，不得擅自更换。若确需更换的，应以书面形式报</w:t>
      </w:r>
      <w:r>
        <w:rPr>
          <w:rFonts w:hint="eastAsia"/>
          <w:color w:val="auto"/>
          <w:sz w:val="24"/>
          <w:highlight w:val="none"/>
          <w:lang w:eastAsia="zh-CN"/>
        </w:rPr>
        <w:t>招标人</w:t>
      </w:r>
      <w:r>
        <w:rPr>
          <w:rFonts w:hint="eastAsia"/>
          <w:color w:val="auto"/>
          <w:sz w:val="24"/>
          <w:highlight w:val="none"/>
        </w:rPr>
        <w:t>批准。若中标人投入的管理人员不能胜任本职工作，</w:t>
      </w:r>
      <w:r>
        <w:rPr>
          <w:rFonts w:hint="eastAsia"/>
          <w:color w:val="auto"/>
          <w:sz w:val="24"/>
          <w:highlight w:val="none"/>
          <w:lang w:eastAsia="zh-CN"/>
        </w:rPr>
        <w:t>招标人</w:t>
      </w:r>
      <w:r>
        <w:rPr>
          <w:rFonts w:hint="eastAsia"/>
          <w:color w:val="auto"/>
          <w:sz w:val="24"/>
          <w:highlight w:val="none"/>
        </w:rPr>
        <w:t>有权要求中标人进行撤换，中标人应在</w:t>
      </w:r>
      <w:r>
        <w:rPr>
          <w:rFonts w:hint="eastAsia"/>
          <w:color w:val="auto"/>
          <w:sz w:val="24"/>
          <w:highlight w:val="none"/>
          <w:lang w:eastAsia="zh-CN"/>
        </w:rPr>
        <w:t>招标人</w:t>
      </w:r>
      <w:r>
        <w:rPr>
          <w:rFonts w:hint="eastAsia"/>
          <w:color w:val="auto"/>
          <w:sz w:val="24"/>
          <w:highlight w:val="none"/>
        </w:rPr>
        <w:t>提出人员更换要求后10日内更换到位（投标时须提供承诺函，格式自拟）。</w:t>
      </w:r>
    </w:p>
    <w:p w14:paraId="25D75DCE">
      <w:pPr>
        <w:pStyle w:val="89"/>
        <w:spacing w:line="360" w:lineRule="auto"/>
        <w:ind w:firstLine="480"/>
        <w:jc w:val="both"/>
        <w:rPr>
          <w:rFonts w:hint="eastAsia"/>
          <w:color w:val="auto"/>
          <w:sz w:val="24"/>
          <w:highlight w:val="none"/>
        </w:rPr>
      </w:pPr>
      <w:r>
        <w:rPr>
          <w:rFonts w:hint="eastAsia"/>
          <w:color w:val="auto"/>
          <w:sz w:val="24"/>
          <w:highlight w:val="none"/>
          <w:lang w:eastAsia="zh-CN"/>
        </w:rPr>
        <w:t>（</w:t>
      </w:r>
      <w:r>
        <w:rPr>
          <w:rFonts w:hint="eastAsia"/>
          <w:color w:val="auto"/>
          <w:sz w:val="24"/>
          <w:highlight w:val="none"/>
        </w:rPr>
        <w:t>五</w:t>
      </w:r>
      <w:r>
        <w:rPr>
          <w:rFonts w:hint="eastAsia"/>
          <w:color w:val="auto"/>
          <w:sz w:val="24"/>
          <w:highlight w:val="none"/>
          <w:lang w:eastAsia="zh-CN"/>
        </w:rPr>
        <w:t>）</w:t>
      </w:r>
      <w:r>
        <w:rPr>
          <w:rFonts w:hint="eastAsia"/>
          <w:color w:val="auto"/>
          <w:sz w:val="24"/>
          <w:highlight w:val="none"/>
        </w:rPr>
        <w:t>人员管理要求</w:t>
      </w:r>
    </w:p>
    <w:p w14:paraId="0E004493">
      <w:pPr>
        <w:pStyle w:val="89"/>
        <w:spacing w:line="360" w:lineRule="auto"/>
        <w:ind w:firstLine="480"/>
        <w:jc w:val="both"/>
        <w:rPr>
          <w:rFonts w:hint="eastAsia"/>
          <w:color w:val="auto"/>
          <w:sz w:val="24"/>
          <w:highlight w:val="none"/>
        </w:rPr>
      </w:pPr>
      <w:r>
        <w:rPr>
          <w:rFonts w:hint="eastAsia"/>
          <w:color w:val="auto"/>
          <w:sz w:val="24"/>
          <w:highlight w:val="none"/>
        </w:rPr>
        <w:t>1.</w:t>
      </w:r>
      <w:r>
        <w:rPr>
          <w:rFonts w:hint="eastAsia"/>
          <w:color w:val="auto"/>
          <w:sz w:val="24"/>
          <w:highlight w:val="none"/>
          <w:lang w:eastAsia="zh-CN"/>
        </w:rPr>
        <w:t>招标人</w:t>
      </w:r>
      <w:r>
        <w:rPr>
          <w:rFonts w:hint="eastAsia"/>
          <w:color w:val="auto"/>
          <w:sz w:val="24"/>
          <w:highlight w:val="none"/>
        </w:rPr>
        <w:t>与中标人派驻的服务人员不发生任何劳动和雇佣关系，派驻服务人员由中标人自行管理，并按法律法规和地方政府的规定支付服务人员的工资、福利、保险、奖金、加班费等一切费用。</w:t>
      </w:r>
    </w:p>
    <w:p w14:paraId="35654857">
      <w:pPr>
        <w:pStyle w:val="89"/>
        <w:spacing w:line="360" w:lineRule="auto"/>
        <w:ind w:firstLine="480"/>
        <w:jc w:val="both"/>
        <w:rPr>
          <w:rFonts w:hint="eastAsia"/>
          <w:color w:val="auto"/>
          <w:sz w:val="24"/>
          <w:highlight w:val="none"/>
        </w:rPr>
      </w:pPr>
      <w:r>
        <w:rPr>
          <w:rFonts w:hint="eastAsia"/>
          <w:color w:val="auto"/>
          <w:sz w:val="24"/>
          <w:highlight w:val="none"/>
        </w:rPr>
        <w:t>2.中标人的派驻服务人员应遵守安全操作规章制度，若发生人身伤害等工伤事故，由中标人负责，与</w:t>
      </w:r>
      <w:r>
        <w:rPr>
          <w:rFonts w:hint="eastAsia"/>
          <w:color w:val="auto"/>
          <w:sz w:val="24"/>
          <w:highlight w:val="none"/>
          <w:lang w:eastAsia="zh-CN"/>
        </w:rPr>
        <w:t>招标人</w:t>
      </w:r>
      <w:r>
        <w:rPr>
          <w:rFonts w:hint="eastAsia"/>
          <w:color w:val="auto"/>
          <w:sz w:val="24"/>
          <w:highlight w:val="none"/>
        </w:rPr>
        <w:t>无涉。</w:t>
      </w:r>
    </w:p>
    <w:p w14:paraId="0BB5B8D3">
      <w:pPr>
        <w:pStyle w:val="89"/>
        <w:spacing w:line="360" w:lineRule="auto"/>
        <w:ind w:firstLine="480"/>
        <w:jc w:val="both"/>
        <w:rPr>
          <w:rFonts w:hint="eastAsia"/>
          <w:color w:val="auto"/>
          <w:sz w:val="24"/>
          <w:highlight w:val="none"/>
        </w:rPr>
      </w:pPr>
      <w:r>
        <w:rPr>
          <w:rFonts w:hint="eastAsia"/>
          <w:color w:val="auto"/>
          <w:sz w:val="24"/>
          <w:highlight w:val="none"/>
        </w:rPr>
        <w:t>3.中标人全部工作人员应专职服务本项目，如遇特殊情况需借用本项目工作人员，须报请</w:t>
      </w:r>
      <w:r>
        <w:rPr>
          <w:rFonts w:hint="eastAsia"/>
          <w:color w:val="auto"/>
          <w:sz w:val="24"/>
          <w:highlight w:val="none"/>
          <w:lang w:eastAsia="zh-CN"/>
        </w:rPr>
        <w:t>招标人</w:t>
      </w:r>
      <w:r>
        <w:rPr>
          <w:rFonts w:hint="eastAsia"/>
          <w:color w:val="auto"/>
          <w:sz w:val="24"/>
          <w:highlight w:val="none"/>
        </w:rPr>
        <w:t>批准，并保证本项目正常运行。</w:t>
      </w:r>
    </w:p>
    <w:p w14:paraId="68BF2FB1">
      <w:pPr>
        <w:pStyle w:val="89"/>
        <w:spacing w:line="360" w:lineRule="auto"/>
        <w:ind w:firstLine="480"/>
        <w:jc w:val="both"/>
        <w:rPr>
          <w:rFonts w:hint="eastAsia"/>
          <w:color w:val="auto"/>
          <w:sz w:val="24"/>
          <w:highlight w:val="none"/>
        </w:rPr>
      </w:pPr>
      <w:r>
        <w:rPr>
          <w:rFonts w:hint="eastAsia"/>
          <w:color w:val="auto"/>
          <w:sz w:val="24"/>
          <w:highlight w:val="none"/>
        </w:rPr>
        <w:t>4.投诉处理率100%，且及时、妥善，有完整的记录档案。</w:t>
      </w:r>
    </w:p>
    <w:p w14:paraId="77A3CD35">
      <w:pPr>
        <w:pStyle w:val="89"/>
        <w:spacing w:line="360" w:lineRule="auto"/>
        <w:ind w:firstLine="480"/>
        <w:jc w:val="both"/>
        <w:rPr>
          <w:rFonts w:hint="default"/>
          <w:color w:val="auto"/>
          <w:highlight w:val="none"/>
        </w:rPr>
      </w:pPr>
      <w:r>
        <w:rPr>
          <w:rFonts w:hint="eastAsia"/>
          <w:b/>
          <w:color w:val="auto"/>
          <w:sz w:val="24"/>
          <w:highlight w:val="none"/>
          <w:lang w:val="en-US" w:eastAsia="zh-CN"/>
        </w:rPr>
        <w:t>八</w:t>
      </w:r>
      <w:r>
        <w:rPr>
          <w:b/>
          <w:color w:val="auto"/>
          <w:sz w:val="24"/>
          <w:highlight w:val="none"/>
        </w:rPr>
        <w:t>、其他约定</w:t>
      </w:r>
    </w:p>
    <w:p w14:paraId="37113248">
      <w:pPr>
        <w:pStyle w:val="89"/>
        <w:spacing w:line="360" w:lineRule="auto"/>
        <w:ind w:firstLine="496"/>
        <w:jc w:val="both"/>
        <w:rPr>
          <w:rFonts w:hint="default"/>
          <w:color w:val="auto"/>
          <w:sz w:val="24"/>
          <w:highlight w:val="none"/>
          <w:lang w:val="en-US" w:eastAsia="zh-CN"/>
        </w:rPr>
      </w:pPr>
      <w:r>
        <w:rPr>
          <w:rFonts w:hint="eastAsia"/>
          <w:color w:val="auto"/>
          <w:sz w:val="24"/>
          <w:highlight w:val="none"/>
          <w:lang w:val="en-US" w:eastAsia="zh-CN"/>
        </w:rPr>
        <w:t>1.★本项目中招标人的车位属于村集体产业项目。在合同履行期内，物业服务区域内属招标人享有所有权的车位，招标人委托中标人代为经营管理出租，租金收益(含临时停车收入)归招标人所有。车位的收费标准由招标人确定后，交由中标人执行。中标人应当与停车场车位使用人签订书面的车位租赁服务协议，或通过其他合法方式明确双方在车位使用及停车管理服务等方面的权利义务。需要进行车辆保管服务的，车位使用人须与中标人另行签订保管协议，或通过其他合法方式明确双方利义务。中标人应当将本物业服务区域内临时停车的收费标准等信息在显著位置公示。中标人经营车位期间，由中标人向车位使用人代收费用。中标人在下个月3日前向招标人支付上个月的车位租金收益，甲乙双方另行就每月支付的具体金额、经营酬金等事项协商确定。车位物业费按合同第八条的约定执行</w:t>
      </w:r>
    </w:p>
    <w:p w14:paraId="1D0ADF06">
      <w:pPr>
        <w:pStyle w:val="89"/>
        <w:spacing w:line="360" w:lineRule="auto"/>
        <w:ind w:firstLine="496"/>
        <w:jc w:val="both"/>
        <w:rPr>
          <w:rFonts w:hint="default"/>
          <w:color w:val="auto"/>
          <w:highlight w:val="none"/>
        </w:rPr>
      </w:pPr>
      <w:r>
        <w:rPr>
          <w:rFonts w:hint="eastAsia"/>
          <w:color w:val="auto"/>
          <w:sz w:val="24"/>
          <w:highlight w:val="none"/>
          <w:lang w:val="en-US" w:eastAsia="zh-CN"/>
        </w:rPr>
        <w:t>2.★投标人在投标时需签订《变更计价承诺书、项目经理及项目投入人员承诺书、不将本项目转包、分包承诺书》（具体见合同附件4）并包含在投标人提供的投标文件中。</w:t>
      </w:r>
    </w:p>
    <w:p w14:paraId="554C45D9">
      <w:pPr>
        <w:pStyle w:val="89"/>
        <w:spacing w:line="360" w:lineRule="auto"/>
        <w:ind w:firstLine="496"/>
        <w:jc w:val="both"/>
        <w:rPr>
          <w:rFonts w:hint="eastAsia"/>
          <w:color w:val="auto"/>
          <w:sz w:val="24"/>
          <w:highlight w:val="none"/>
          <w:lang w:eastAsia="zh-CN"/>
        </w:rPr>
      </w:pPr>
      <w:r>
        <w:rPr>
          <w:rFonts w:hint="eastAsia"/>
          <w:color w:val="auto"/>
          <w:sz w:val="24"/>
          <w:highlight w:val="none"/>
          <w:lang w:val="en-US" w:eastAsia="zh-CN"/>
        </w:rPr>
        <w:t>3.</w:t>
      </w:r>
      <w:r>
        <w:rPr>
          <w:color w:val="auto"/>
          <w:sz w:val="24"/>
          <w:highlight w:val="none"/>
          <w:lang w:eastAsia="zh-CN"/>
        </w:rPr>
        <w:t>本项目尚未缴存专项房屋维修</w:t>
      </w:r>
      <w:r>
        <w:rPr>
          <w:rFonts w:hint="eastAsia"/>
          <w:color w:val="auto"/>
          <w:sz w:val="24"/>
          <w:highlight w:val="none"/>
          <w:lang w:val="en-US" w:eastAsia="zh-CN"/>
        </w:rPr>
        <w:t>资</w:t>
      </w:r>
      <w:r>
        <w:rPr>
          <w:color w:val="auto"/>
          <w:sz w:val="24"/>
          <w:highlight w:val="none"/>
          <w:lang w:eastAsia="zh-CN"/>
        </w:rPr>
        <w:t>金，公共收益按市场调节价由中标人代为收取，按照共有资金相关规定进行管理及公开。</w:t>
      </w:r>
    </w:p>
    <w:p w14:paraId="21B54BF3">
      <w:pPr>
        <w:pStyle w:val="89"/>
        <w:spacing w:line="360" w:lineRule="auto"/>
        <w:ind w:firstLine="496"/>
        <w:jc w:val="both"/>
        <w:rPr>
          <w:rFonts w:hint="eastAsia"/>
          <w:color w:val="auto"/>
          <w:sz w:val="24"/>
          <w:highlight w:val="none"/>
          <w:lang w:eastAsia="zh-CN"/>
        </w:rPr>
      </w:pPr>
      <w:r>
        <w:rPr>
          <w:rFonts w:hint="eastAsia"/>
          <w:color w:val="auto"/>
          <w:sz w:val="24"/>
          <w:highlight w:val="none"/>
          <w:lang w:val="en-US" w:eastAsia="zh-CN"/>
        </w:rPr>
        <w:t>4.</w:t>
      </w:r>
      <w:r>
        <w:rPr>
          <w:color w:val="auto"/>
          <w:sz w:val="24"/>
          <w:highlight w:val="none"/>
          <w:lang w:eastAsia="zh-CN"/>
        </w:rPr>
        <w:t>本项目质保期到期后需进行修缮的，因新政策要求、原设计规划不足等情形导致共用部位、共用设施设备功能性不足需进行升级改造的，由中标人向</w:t>
      </w:r>
      <w:r>
        <w:rPr>
          <w:rFonts w:hint="eastAsia"/>
          <w:color w:val="auto"/>
          <w:sz w:val="24"/>
          <w:highlight w:val="none"/>
          <w:lang w:eastAsia="zh-CN"/>
        </w:rPr>
        <w:t>招标人</w:t>
      </w:r>
      <w:r>
        <w:rPr>
          <w:color w:val="auto"/>
          <w:sz w:val="24"/>
          <w:highlight w:val="none"/>
          <w:lang w:eastAsia="zh-CN"/>
        </w:rPr>
        <w:t>提出申请，经</w:t>
      </w:r>
      <w:r>
        <w:rPr>
          <w:rFonts w:hint="eastAsia"/>
          <w:color w:val="auto"/>
          <w:sz w:val="24"/>
          <w:highlight w:val="none"/>
          <w:lang w:eastAsia="zh-CN"/>
        </w:rPr>
        <w:t>招标人</w:t>
      </w:r>
      <w:r>
        <w:rPr>
          <w:color w:val="auto"/>
          <w:sz w:val="24"/>
          <w:highlight w:val="none"/>
          <w:lang w:eastAsia="zh-CN"/>
        </w:rPr>
        <w:t>审核同意后</w:t>
      </w:r>
      <w:r>
        <w:rPr>
          <w:rFonts w:hint="eastAsia"/>
          <w:color w:val="auto"/>
          <w:sz w:val="24"/>
          <w:highlight w:val="none"/>
          <w:lang w:val="en-US" w:eastAsia="zh-CN"/>
        </w:rPr>
        <w:t>依法依规执行</w:t>
      </w:r>
      <w:r>
        <w:rPr>
          <w:color w:val="auto"/>
          <w:sz w:val="24"/>
          <w:highlight w:val="none"/>
          <w:lang w:eastAsia="zh-CN"/>
        </w:rPr>
        <w:t>。</w:t>
      </w:r>
    </w:p>
    <w:p w14:paraId="4E31E810">
      <w:pPr>
        <w:pStyle w:val="89"/>
        <w:spacing w:line="360" w:lineRule="auto"/>
        <w:ind w:firstLine="496"/>
        <w:jc w:val="both"/>
        <w:rPr>
          <w:rFonts w:hint="default"/>
          <w:color w:val="auto"/>
          <w:highlight w:val="none"/>
        </w:rPr>
      </w:pPr>
      <w:r>
        <w:rPr>
          <w:rFonts w:hint="eastAsia"/>
          <w:color w:val="auto"/>
          <w:sz w:val="24"/>
          <w:highlight w:val="none"/>
          <w:lang w:val="en-US" w:eastAsia="zh-CN"/>
        </w:rPr>
        <w:t>5.</w:t>
      </w:r>
      <w:r>
        <w:rPr>
          <w:color w:val="auto"/>
          <w:sz w:val="24"/>
          <w:highlight w:val="none"/>
        </w:rPr>
        <w:t>本合同所有附件、招标文件、投标文件、中标通知书均</w:t>
      </w:r>
      <w:r>
        <w:rPr>
          <w:rFonts w:hint="eastAsia"/>
          <w:color w:val="auto"/>
          <w:sz w:val="24"/>
          <w:highlight w:val="none"/>
          <w:lang w:eastAsia="zh-CN"/>
        </w:rPr>
        <w:t>为本</w:t>
      </w:r>
      <w:r>
        <w:rPr>
          <w:color w:val="auto"/>
          <w:sz w:val="24"/>
          <w:highlight w:val="none"/>
        </w:rPr>
        <w:t>合同的有效组成部分，与本合同具有同等法律效力。</w:t>
      </w:r>
    </w:p>
    <w:p w14:paraId="746AB27C">
      <w:pPr>
        <w:pStyle w:val="89"/>
        <w:spacing w:line="360" w:lineRule="auto"/>
        <w:ind w:firstLine="496"/>
        <w:jc w:val="both"/>
        <w:rPr>
          <w:rFonts w:hint="default"/>
          <w:color w:val="auto"/>
          <w:highlight w:val="none"/>
        </w:rPr>
      </w:pPr>
      <w:r>
        <w:rPr>
          <w:rFonts w:hint="eastAsia"/>
          <w:color w:val="auto"/>
          <w:sz w:val="24"/>
          <w:highlight w:val="none"/>
          <w:lang w:val="en-US" w:eastAsia="zh-CN"/>
        </w:rPr>
        <w:t>6.</w:t>
      </w:r>
      <w:r>
        <w:rPr>
          <w:color w:val="auto"/>
          <w:sz w:val="24"/>
          <w:highlight w:val="none"/>
        </w:rPr>
        <w:t>在执行本合同的过程中，所有经双方签署确认的文件（包括会议纪要、补充协议、往来信函）即成为本合同的有效组成部分。</w:t>
      </w:r>
    </w:p>
    <w:p w14:paraId="54050E26">
      <w:pPr>
        <w:pStyle w:val="89"/>
        <w:spacing w:line="360" w:lineRule="auto"/>
        <w:ind w:firstLine="496"/>
        <w:jc w:val="both"/>
        <w:rPr>
          <w:color w:val="auto"/>
          <w:sz w:val="24"/>
          <w:highlight w:val="none"/>
        </w:rPr>
      </w:pPr>
      <w:r>
        <w:rPr>
          <w:rFonts w:hint="eastAsia"/>
          <w:color w:val="auto"/>
          <w:sz w:val="24"/>
          <w:highlight w:val="none"/>
          <w:lang w:val="en-US" w:eastAsia="zh-CN"/>
        </w:rPr>
        <w:t>7.</w:t>
      </w:r>
      <w:r>
        <w:rPr>
          <w:color w:val="auto"/>
          <w:sz w:val="24"/>
          <w:highlight w:val="none"/>
        </w:rPr>
        <w:t>如一方地址、电话、传真号码有变更，应在变更当日内书面通知对方，否则，应承担相应责任。</w:t>
      </w:r>
    </w:p>
    <w:p w14:paraId="1664D08E">
      <w:pPr>
        <w:pStyle w:val="89"/>
        <w:spacing w:line="360" w:lineRule="auto"/>
        <w:ind w:firstLine="480"/>
        <w:jc w:val="both"/>
        <w:rPr>
          <w:rFonts w:hint="default"/>
          <w:b/>
          <w:bCs/>
          <w:color w:val="auto"/>
          <w:sz w:val="24"/>
          <w:highlight w:val="none"/>
        </w:rPr>
      </w:pPr>
      <w:r>
        <w:rPr>
          <w:rFonts w:hint="eastAsia"/>
          <w:b/>
          <w:bCs/>
          <w:color w:val="auto"/>
          <w:sz w:val="24"/>
          <w:highlight w:val="none"/>
          <w:lang w:val="en-US" w:eastAsia="zh-CN"/>
        </w:rPr>
        <w:t>九</w:t>
      </w:r>
      <w:r>
        <w:rPr>
          <w:rFonts w:hint="default"/>
          <w:b/>
          <w:bCs/>
          <w:color w:val="auto"/>
          <w:sz w:val="24"/>
          <w:highlight w:val="none"/>
        </w:rPr>
        <w:t>、付款方式</w:t>
      </w:r>
    </w:p>
    <w:p w14:paraId="5DA50201">
      <w:pPr>
        <w:pStyle w:val="89"/>
        <w:spacing w:line="360" w:lineRule="auto"/>
        <w:ind w:firstLine="496"/>
        <w:jc w:val="both"/>
        <w:rPr>
          <w:rFonts w:hint="default"/>
          <w:color w:val="auto"/>
          <w:sz w:val="24"/>
          <w:highlight w:val="none"/>
          <w:lang w:val="en-US" w:eastAsia="zh-CN"/>
        </w:rPr>
      </w:pPr>
      <w:r>
        <w:rPr>
          <w:rFonts w:hint="default"/>
          <w:color w:val="auto"/>
          <w:sz w:val="24"/>
          <w:highlight w:val="none"/>
        </w:rPr>
        <w:t>1.</w:t>
      </w:r>
      <w:r>
        <w:rPr>
          <w:rFonts w:hint="default"/>
          <w:color w:val="auto"/>
          <w:sz w:val="24"/>
          <w:highlight w:val="none"/>
          <w:lang w:val="en-US" w:eastAsia="zh-CN"/>
        </w:rPr>
        <w:t>物业费用由业主按照其拥有物业的建筑面积交纳，具体标准如下：商业：＿＿＿＿元/月/平方米；住宅：＿＿＿＿元/月/平方米；其他：        。</w:t>
      </w:r>
    </w:p>
    <w:p w14:paraId="1FF895C6">
      <w:pPr>
        <w:pStyle w:val="89"/>
        <w:spacing w:line="360" w:lineRule="auto"/>
        <w:ind w:firstLine="496"/>
        <w:jc w:val="both"/>
        <w:rPr>
          <w:rFonts w:hint="default"/>
          <w:color w:val="auto"/>
          <w:sz w:val="24"/>
          <w:highlight w:val="none"/>
          <w:lang w:val="en-US" w:eastAsia="zh-CN"/>
        </w:rPr>
      </w:pPr>
      <w:r>
        <w:rPr>
          <w:rFonts w:hint="default"/>
          <w:color w:val="auto"/>
          <w:sz w:val="24"/>
          <w:highlight w:val="none"/>
          <w:lang w:val="en-US" w:eastAsia="zh-CN"/>
        </w:rPr>
        <w:t>本项目物业费按以下方式收取:</w:t>
      </w:r>
    </w:p>
    <w:p w14:paraId="7601625E">
      <w:pPr>
        <w:pStyle w:val="89"/>
        <w:spacing w:line="360" w:lineRule="auto"/>
        <w:ind w:firstLine="496"/>
        <w:jc w:val="both"/>
        <w:rPr>
          <w:rFonts w:hint="default"/>
          <w:color w:val="auto"/>
          <w:sz w:val="24"/>
          <w:highlight w:val="none"/>
          <w:lang w:val="en-US" w:eastAsia="zh-CN"/>
        </w:rPr>
      </w:pPr>
      <w:r>
        <w:rPr>
          <w:rFonts w:hint="default"/>
          <w:color w:val="auto"/>
          <w:sz w:val="24"/>
          <w:highlight w:val="none"/>
          <w:lang w:val="en-US" w:eastAsia="zh-CN"/>
        </w:rPr>
        <w:t>（1）回迁户的物业，自</w:t>
      </w:r>
      <w:r>
        <w:rPr>
          <w:rFonts w:hint="eastAsia"/>
          <w:color w:val="auto"/>
          <w:sz w:val="24"/>
          <w:highlight w:val="none"/>
          <w:lang w:val="en-US" w:eastAsia="zh-CN"/>
        </w:rPr>
        <w:t>招标人</w:t>
      </w:r>
      <w:r>
        <w:rPr>
          <w:rFonts w:hint="default"/>
          <w:color w:val="auto"/>
          <w:sz w:val="24"/>
          <w:highlight w:val="none"/>
          <w:lang w:val="en-US" w:eastAsia="zh-CN"/>
        </w:rPr>
        <w:t>向回迁户交付房屋之日起，</w:t>
      </w:r>
      <w:r>
        <w:rPr>
          <w:rFonts w:hint="eastAsia"/>
          <w:color w:val="auto"/>
          <w:sz w:val="24"/>
          <w:highlight w:val="none"/>
          <w:lang w:val="en-US" w:eastAsia="zh-CN"/>
        </w:rPr>
        <w:t>中标人</w:t>
      </w:r>
      <w:r>
        <w:rPr>
          <w:rFonts w:hint="default"/>
          <w:color w:val="auto"/>
          <w:sz w:val="24"/>
          <w:highlight w:val="none"/>
          <w:lang w:val="en-US" w:eastAsia="zh-CN"/>
        </w:rPr>
        <w:t>按照回迁户拥有物业的建筑面积收取，交付房屋之前无需收取。</w:t>
      </w:r>
    </w:p>
    <w:p w14:paraId="26B3A43D">
      <w:pPr>
        <w:pStyle w:val="89"/>
        <w:spacing w:line="360" w:lineRule="auto"/>
        <w:ind w:firstLine="496"/>
        <w:jc w:val="both"/>
        <w:rPr>
          <w:rFonts w:hint="default"/>
          <w:color w:val="auto"/>
          <w:sz w:val="24"/>
          <w:highlight w:val="none"/>
          <w:lang w:val="en-US" w:eastAsia="zh-CN"/>
        </w:rPr>
      </w:pPr>
      <w:r>
        <w:rPr>
          <w:rFonts w:hint="default"/>
          <w:color w:val="auto"/>
          <w:sz w:val="24"/>
          <w:highlight w:val="none"/>
          <w:lang w:val="en-US" w:eastAsia="zh-CN"/>
        </w:rPr>
        <w:t>（2）</w:t>
      </w:r>
      <w:r>
        <w:rPr>
          <w:rFonts w:hint="eastAsia"/>
          <w:color w:val="auto"/>
          <w:sz w:val="24"/>
          <w:highlight w:val="none"/>
          <w:lang w:val="en-US" w:eastAsia="zh-CN"/>
        </w:rPr>
        <w:t>招标人</w:t>
      </w:r>
      <w:r>
        <w:rPr>
          <w:rFonts w:hint="default"/>
          <w:color w:val="auto"/>
          <w:sz w:val="24"/>
          <w:highlight w:val="none"/>
          <w:lang w:val="en-US" w:eastAsia="zh-CN"/>
        </w:rPr>
        <w:t>已出租/出售的物业，由</w:t>
      </w:r>
      <w:r>
        <w:rPr>
          <w:rFonts w:hint="eastAsia"/>
          <w:color w:val="auto"/>
          <w:sz w:val="24"/>
          <w:highlight w:val="none"/>
          <w:lang w:val="en-US" w:eastAsia="zh-CN"/>
        </w:rPr>
        <w:t>中标人</w:t>
      </w:r>
      <w:r>
        <w:rPr>
          <w:rFonts w:hint="default"/>
          <w:color w:val="auto"/>
          <w:sz w:val="24"/>
          <w:highlight w:val="none"/>
          <w:lang w:val="en-US" w:eastAsia="zh-CN"/>
        </w:rPr>
        <w:t>直接向物业实际使用人收取，实际使用人自签署物业交付文件之日起交纳物业费。</w:t>
      </w:r>
    </w:p>
    <w:p w14:paraId="72F0C120">
      <w:pPr>
        <w:pStyle w:val="89"/>
        <w:spacing w:line="360" w:lineRule="auto"/>
        <w:ind w:firstLine="496"/>
        <w:jc w:val="both"/>
        <w:rPr>
          <w:rFonts w:hint="default"/>
          <w:color w:val="auto"/>
          <w:sz w:val="24"/>
          <w:highlight w:val="none"/>
          <w:lang w:val="en-US" w:eastAsia="zh-CN"/>
        </w:rPr>
      </w:pPr>
      <w:r>
        <w:rPr>
          <w:rFonts w:hint="default"/>
          <w:color w:val="auto"/>
          <w:sz w:val="24"/>
          <w:highlight w:val="none"/>
          <w:lang w:val="en-US" w:eastAsia="zh-CN"/>
        </w:rPr>
        <w:t>（3）</w:t>
      </w:r>
      <w:r>
        <w:rPr>
          <w:rFonts w:hint="eastAsia"/>
          <w:color w:val="auto"/>
          <w:sz w:val="24"/>
          <w:highlight w:val="none"/>
          <w:lang w:val="en-US" w:eastAsia="zh-CN"/>
        </w:rPr>
        <w:t>招标人</w:t>
      </w:r>
      <w:r>
        <w:rPr>
          <w:rFonts w:hint="default"/>
          <w:color w:val="auto"/>
          <w:sz w:val="24"/>
          <w:highlight w:val="none"/>
          <w:lang w:val="en-US" w:eastAsia="zh-CN"/>
        </w:rPr>
        <w:t>自用物业或未出租/出售的物业，由</w:t>
      </w:r>
      <w:r>
        <w:rPr>
          <w:rFonts w:hint="eastAsia"/>
          <w:color w:val="auto"/>
          <w:sz w:val="24"/>
          <w:highlight w:val="none"/>
          <w:lang w:val="en-US" w:eastAsia="zh-CN"/>
        </w:rPr>
        <w:t>中标人</w:t>
      </w:r>
      <w:r>
        <w:rPr>
          <w:rFonts w:hint="default"/>
          <w:color w:val="auto"/>
          <w:sz w:val="24"/>
          <w:highlight w:val="none"/>
          <w:lang w:val="en-US" w:eastAsia="zh-CN"/>
        </w:rPr>
        <w:t>直接向</w:t>
      </w:r>
      <w:r>
        <w:rPr>
          <w:rFonts w:hint="eastAsia"/>
          <w:color w:val="auto"/>
          <w:sz w:val="24"/>
          <w:highlight w:val="none"/>
          <w:lang w:val="en-US" w:eastAsia="zh-CN"/>
        </w:rPr>
        <w:t>招标人</w:t>
      </w:r>
      <w:r>
        <w:rPr>
          <w:rFonts w:hint="default"/>
          <w:color w:val="auto"/>
          <w:sz w:val="24"/>
          <w:highlight w:val="none"/>
          <w:lang w:val="en-US" w:eastAsia="zh-CN"/>
        </w:rPr>
        <w:t>收取。</w:t>
      </w:r>
    </w:p>
    <w:p w14:paraId="02ABAE82">
      <w:pPr>
        <w:pStyle w:val="89"/>
        <w:spacing w:line="360" w:lineRule="auto"/>
        <w:ind w:firstLine="496"/>
        <w:jc w:val="both"/>
        <w:rPr>
          <w:rFonts w:hint="default"/>
          <w:color w:val="auto"/>
          <w:sz w:val="24"/>
          <w:highlight w:val="none"/>
          <w:lang w:val="en-US" w:eastAsia="zh-CN"/>
        </w:rPr>
      </w:pPr>
      <w:r>
        <w:rPr>
          <w:rFonts w:hint="default"/>
          <w:color w:val="auto"/>
          <w:sz w:val="24"/>
          <w:highlight w:val="none"/>
          <w:lang w:val="en-US" w:eastAsia="zh-CN"/>
        </w:rPr>
        <w:t>（4）本物业服务区域内的政府周转用房、配套公共服务设施（包括教育、医疗卫生、文化、体育设施和行政管理设施、服务设施、福利设施等），由使用单位负责支付物业费。</w:t>
      </w:r>
    </w:p>
    <w:p w14:paraId="58F225C9">
      <w:pPr>
        <w:pStyle w:val="89"/>
        <w:spacing w:line="360" w:lineRule="auto"/>
        <w:ind w:firstLine="496"/>
        <w:jc w:val="both"/>
        <w:rPr>
          <w:rFonts w:hint="default"/>
          <w:color w:val="auto"/>
          <w:sz w:val="24"/>
          <w:highlight w:val="none"/>
          <w:lang w:val="en-US" w:eastAsia="zh-CN"/>
        </w:rPr>
      </w:pPr>
      <w:r>
        <w:rPr>
          <w:rFonts w:hint="default"/>
          <w:color w:val="auto"/>
          <w:sz w:val="24"/>
          <w:highlight w:val="none"/>
          <w:lang w:val="en-US" w:eastAsia="zh-CN"/>
        </w:rPr>
        <w:t>物业费原则上按上述约定执行，具体交纳细则由</w:t>
      </w:r>
      <w:r>
        <w:rPr>
          <w:rFonts w:hint="eastAsia"/>
          <w:color w:val="auto"/>
          <w:sz w:val="24"/>
          <w:highlight w:val="none"/>
          <w:lang w:val="en-US" w:eastAsia="zh-CN"/>
        </w:rPr>
        <w:t>中标人</w:t>
      </w:r>
      <w:r>
        <w:rPr>
          <w:rFonts w:hint="default"/>
          <w:color w:val="auto"/>
          <w:sz w:val="24"/>
          <w:highlight w:val="none"/>
          <w:lang w:val="en-US" w:eastAsia="zh-CN"/>
        </w:rPr>
        <w:t>与</w:t>
      </w:r>
      <w:r>
        <w:rPr>
          <w:rFonts w:hint="eastAsia"/>
          <w:color w:val="auto"/>
          <w:sz w:val="24"/>
          <w:highlight w:val="none"/>
          <w:lang w:val="en-US" w:eastAsia="zh-CN"/>
        </w:rPr>
        <w:t>招标人</w:t>
      </w:r>
      <w:r>
        <w:rPr>
          <w:rFonts w:hint="default"/>
          <w:color w:val="auto"/>
          <w:sz w:val="24"/>
          <w:highlight w:val="none"/>
          <w:lang w:val="en-US" w:eastAsia="zh-CN"/>
        </w:rPr>
        <w:t>、回迁户、物业实际使用人、配套公共服务设施使用单位协商确定。</w:t>
      </w:r>
    </w:p>
    <w:p w14:paraId="71B9FA74">
      <w:pPr>
        <w:pStyle w:val="89"/>
        <w:spacing w:line="360" w:lineRule="auto"/>
        <w:ind w:firstLine="496"/>
        <w:jc w:val="both"/>
        <w:rPr>
          <w:rFonts w:hint="eastAsia"/>
          <w:color w:val="auto"/>
          <w:sz w:val="24"/>
          <w:highlight w:val="none"/>
          <w:lang w:val="en-US" w:eastAsia="zh-CN"/>
        </w:rPr>
      </w:pPr>
      <w:r>
        <w:rPr>
          <w:rFonts w:hint="eastAsia" w:ascii="Segoe UI" w:hAnsi="Segoe UI" w:eastAsia="宋体" w:cs="Segoe UI"/>
          <w:i w:val="0"/>
          <w:iCs w:val="0"/>
          <w:caps w:val="0"/>
          <w:color w:val="auto"/>
          <w:spacing w:val="0"/>
          <w:sz w:val="24"/>
          <w:szCs w:val="24"/>
          <w:highlight w:val="none"/>
          <w:shd w:val="clear" w:fill="FFFFFF"/>
          <w:lang w:val="en-US" w:eastAsia="zh-CN"/>
        </w:rPr>
        <w:t>2.</w:t>
      </w:r>
      <w:r>
        <w:rPr>
          <w:rFonts w:ascii="Segoe UI" w:hAnsi="Segoe UI" w:eastAsia="Segoe UI" w:cs="Segoe UI"/>
          <w:i w:val="0"/>
          <w:iCs w:val="0"/>
          <w:caps w:val="0"/>
          <w:color w:val="auto"/>
          <w:spacing w:val="0"/>
          <w:sz w:val="24"/>
          <w:szCs w:val="24"/>
          <w:highlight w:val="none"/>
          <w:shd w:val="clear" w:fill="FFFFFF"/>
        </w:rPr>
        <w:t>在合同履行期间，于本项目正式向业</w:t>
      </w:r>
      <w:r>
        <w:rPr>
          <w:rFonts w:hint="eastAsia" w:ascii="Segoe UI" w:hAnsi="Segoe UI" w:eastAsia="宋体" w:cs="Segoe UI"/>
          <w:i w:val="0"/>
          <w:iCs w:val="0"/>
          <w:caps w:val="0"/>
          <w:color w:val="auto"/>
          <w:spacing w:val="0"/>
          <w:sz w:val="24"/>
          <w:szCs w:val="24"/>
          <w:highlight w:val="none"/>
          <w:shd w:val="clear" w:fill="FFFFFF"/>
          <w:lang w:val="en-US" w:eastAsia="zh-CN"/>
        </w:rPr>
        <w:t>主</w:t>
      </w:r>
      <w:r>
        <w:rPr>
          <w:rFonts w:ascii="Segoe UI" w:hAnsi="Segoe UI" w:eastAsia="Segoe UI" w:cs="Segoe UI"/>
          <w:i w:val="0"/>
          <w:iCs w:val="0"/>
          <w:caps w:val="0"/>
          <w:color w:val="auto"/>
          <w:spacing w:val="0"/>
          <w:sz w:val="24"/>
          <w:szCs w:val="24"/>
          <w:highlight w:val="none"/>
          <w:shd w:val="clear" w:fill="FFFFFF"/>
        </w:rPr>
        <w:t>统一办理收楼交付手续并正式开始收取物业服务费之前的时间段内，若中标人依照合同约定进场开展服务工作并产生相应费用，该部分费用的具体金额、支付方式等相关事宜，由中标人与</w:t>
      </w:r>
      <w:r>
        <w:rPr>
          <w:rFonts w:hint="eastAsia" w:ascii="Segoe UI" w:hAnsi="Segoe UI" w:eastAsia="宋体" w:cs="Segoe UI"/>
          <w:i w:val="0"/>
          <w:iCs w:val="0"/>
          <w:caps w:val="0"/>
          <w:color w:val="auto"/>
          <w:spacing w:val="0"/>
          <w:sz w:val="24"/>
          <w:szCs w:val="24"/>
          <w:highlight w:val="none"/>
          <w:shd w:val="clear" w:fill="FFFFFF"/>
          <w:lang w:eastAsia="zh-CN"/>
        </w:rPr>
        <w:t>招标人</w:t>
      </w:r>
      <w:r>
        <w:rPr>
          <w:rFonts w:ascii="Segoe UI" w:hAnsi="Segoe UI" w:eastAsia="Segoe UI" w:cs="Segoe UI"/>
          <w:i w:val="0"/>
          <w:iCs w:val="0"/>
          <w:caps w:val="0"/>
          <w:color w:val="auto"/>
          <w:spacing w:val="0"/>
          <w:sz w:val="24"/>
          <w:szCs w:val="24"/>
          <w:highlight w:val="none"/>
          <w:shd w:val="clear" w:fill="FFFFFF"/>
        </w:rPr>
        <w:t>通过签订补充协议的方式自行协商确定。</w:t>
      </w:r>
    </w:p>
    <w:p w14:paraId="55C07653">
      <w:pPr>
        <w:pStyle w:val="89"/>
        <w:spacing w:line="360" w:lineRule="auto"/>
        <w:ind w:firstLine="496"/>
        <w:jc w:val="both"/>
        <w:rPr>
          <w:rFonts w:hint="default"/>
          <w:color w:val="auto"/>
          <w:sz w:val="24"/>
          <w:highlight w:val="none"/>
        </w:rPr>
      </w:pPr>
      <w:r>
        <w:rPr>
          <w:rFonts w:hint="eastAsia"/>
          <w:color w:val="auto"/>
          <w:sz w:val="24"/>
          <w:highlight w:val="none"/>
          <w:lang w:eastAsia="zh-CN"/>
        </w:rPr>
        <w:t>3</w:t>
      </w:r>
      <w:r>
        <w:rPr>
          <w:rFonts w:hint="default"/>
          <w:color w:val="auto"/>
          <w:sz w:val="24"/>
          <w:highlight w:val="none"/>
        </w:rPr>
        <w:t>.本项目的商铺、公共配套场地由</w:t>
      </w:r>
      <w:r>
        <w:rPr>
          <w:rFonts w:hint="eastAsia"/>
          <w:color w:val="auto"/>
          <w:sz w:val="24"/>
          <w:highlight w:val="none"/>
          <w:lang w:eastAsia="zh-CN"/>
        </w:rPr>
        <w:t>招标人</w:t>
      </w:r>
      <w:r>
        <w:rPr>
          <w:rFonts w:hint="default"/>
          <w:color w:val="auto"/>
          <w:sz w:val="24"/>
          <w:highlight w:val="none"/>
        </w:rPr>
        <w:t>按上级部门的要求移交相应归口管理部门，在相关场地移交前暂由</w:t>
      </w:r>
      <w:r>
        <w:rPr>
          <w:rFonts w:hint="eastAsia"/>
          <w:color w:val="auto"/>
          <w:sz w:val="24"/>
          <w:highlight w:val="none"/>
          <w:lang w:eastAsia="zh-CN"/>
        </w:rPr>
        <w:t>招标人</w:t>
      </w:r>
      <w:r>
        <w:rPr>
          <w:rFonts w:hint="default"/>
          <w:color w:val="auto"/>
          <w:sz w:val="24"/>
          <w:highlight w:val="none"/>
        </w:rPr>
        <w:t>负责支付相关物业管理费给中标人（已移交的商铺、公共配套场地的物业管理费由相应单位负责支付）。本项目涉及的商铺，若发生划拨、转让、置换、出借等情况的，由变更后的产权人或实际使用人与中标人商定委托管理及物业管理费等事宜，</w:t>
      </w:r>
      <w:r>
        <w:rPr>
          <w:rFonts w:hint="eastAsia"/>
          <w:color w:val="auto"/>
          <w:sz w:val="24"/>
          <w:highlight w:val="none"/>
          <w:lang w:eastAsia="zh-CN"/>
        </w:rPr>
        <w:t>招标人</w:t>
      </w:r>
      <w:r>
        <w:rPr>
          <w:rFonts w:hint="default"/>
          <w:color w:val="auto"/>
          <w:sz w:val="24"/>
          <w:highlight w:val="none"/>
        </w:rPr>
        <w:t>不再支付物业管理费给中标人，具体另行签订合同约定。</w:t>
      </w:r>
    </w:p>
    <w:p w14:paraId="141F08E2">
      <w:pPr>
        <w:pStyle w:val="89"/>
        <w:spacing w:line="360" w:lineRule="auto"/>
        <w:ind w:firstLine="496"/>
        <w:jc w:val="both"/>
        <w:rPr>
          <w:rFonts w:hint="eastAsia"/>
          <w:b/>
          <w:color w:val="auto"/>
          <w:sz w:val="24"/>
          <w:highlight w:val="none"/>
        </w:rPr>
      </w:pPr>
      <w:r>
        <w:rPr>
          <w:rFonts w:hint="eastAsia"/>
          <w:b/>
          <w:color w:val="auto"/>
          <w:sz w:val="24"/>
          <w:highlight w:val="none"/>
          <w:lang w:val="en-US" w:eastAsia="zh-CN"/>
        </w:rPr>
        <w:t>十</w:t>
      </w:r>
      <w:r>
        <w:rPr>
          <w:b/>
          <w:color w:val="auto"/>
          <w:sz w:val="24"/>
          <w:highlight w:val="none"/>
        </w:rPr>
        <w:t>、</w:t>
      </w:r>
      <w:r>
        <w:rPr>
          <w:rFonts w:hint="eastAsia"/>
          <w:b/>
          <w:color w:val="auto"/>
          <w:sz w:val="24"/>
          <w:highlight w:val="none"/>
        </w:rPr>
        <w:t>物业服务费的成本主要包括以下内容</w:t>
      </w:r>
    </w:p>
    <w:p w14:paraId="396B1B0F">
      <w:pPr>
        <w:pStyle w:val="89"/>
        <w:spacing w:line="360" w:lineRule="auto"/>
        <w:ind w:firstLine="496"/>
        <w:jc w:val="both"/>
        <w:rPr>
          <w:rFonts w:hint="eastAsia"/>
          <w:b w:val="0"/>
          <w:color w:val="auto"/>
          <w:sz w:val="24"/>
          <w:highlight w:val="none"/>
        </w:rPr>
      </w:pPr>
      <w:r>
        <w:rPr>
          <w:rFonts w:hint="eastAsia"/>
          <w:b w:val="0"/>
          <w:color w:val="auto"/>
          <w:sz w:val="24"/>
          <w:highlight w:val="none"/>
        </w:rPr>
        <w:t>（一）本项目物业服务费采用包干制的计费方式，由物业管理服务成本及费用、法定税费和物业管理企业利润构成，其中物业管理服务成本及费用包括但不限于下列项目：</w:t>
      </w:r>
    </w:p>
    <w:p w14:paraId="2AA1E5EA">
      <w:pPr>
        <w:pStyle w:val="89"/>
        <w:spacing w:line="360" w:lineRule="auto"/>
        <w:ind w:firstLine="480" w:firstLineChars="200"/>
        <w:jc w:val="both"/>
        <w:rPr>
          <w:rFonts w:hint="eastAsia"/>
          <w:b w:val="0"/>
          <w:color w:val="auto"/>
          <w:sz w:val="24"/>
          <w:highlight w:val="none"/>
        </w:rPr>
      </w:pPr>
      <w:r>
        <w:rPr>
          <w:rFonts w:hint="eastAsia"/>
          <w:b w:val="0"/>
          <w:color w:val="auto"/>
          <w:sz w:val="24"/>
          <w:highlight w:val="none"/>
        </w:rPr>
        <w:t>1.管理服务人员的工资、社会保险和按规定提取的福利费、办公费用、企业固定资产折旧等；</w:t>
      </w:r>
    </w:p>
    <w:p w14:paraId="6FEEF027">
      <w:pPr>
        <w:pStyle w:val="89"/>
        <w:spacing w:line="360" w:lineRule="auto"/>
        <w:ind w:firstLine="480" w:firstLineChars="200"/>
        <w:jc w:val="both"/>
        <w:rPr>
          <w:rFonts w:hint="eastAsia"/>
          <w:b w:val="0"/>
          <w:color w:val="auto"/>
          <w:sz w:val="24"/>
          <w:highlight w:val="none"/>
        </w:rPr>
      </w:pPr>
      <w:r>
        <w:rPr>
          <w:rFonts w:hint="eastAsia"/>
          <w:b w:val="0"/>
          <w:color w:val="auto"/>
          <w:sz w:val="24"/>
          <w:highlight w:val="none"/>
        </w:rPr>
        <w:t>2.物业共用部位、共用设施设备（包括但不限于电梯、消防等设施设备）的日常运行、维护、维修等相关费用；</w:t>
      </w:r>
    </w:p>
    <w:p w14:paraId="5D2430B1">
      <w:pPr>
        <w:pStyle w:val="89"/>
        <w:spacing w:line="360" w:lineRule="auto"/>
        <w:ind w:firstLine="480" w:firstLineChars="200"/>
        <w:jc w:val="both"/>
        <w:rPr>
          <w:rFonts w:hint="eastAsia"/>
          <w:b w:val="0"/>
          <w:color w:val="auto"/>
          <w:sz w:val="24"/>
          <w:highlight w:val="none"/>
        </w:rPr>
      </w:pPr>
      <w:r>
        <w:rPr>
          <w:rFonts w:hint="eastAsia"/>
          <w:b w:val="0"/>
          <w:color w:val="auto"/>
          <w:sz w:val="24"/>
          <w:highlight w:val="none"/>
        </w:rPr>
        <w:t>3.公共秩序维护的相关费用；</w:t>
      </w:r>
    </w:p>
    <w:p w14:paraId="3D824316">
      <w:pPr>
        <w:pStyle w:val="89"/>
        <w:spacing w:line="360" w:lineRule="auto"/>
        <w:ind w:firstLine="480" w:firstLineChars="200"/>
        <w:jc w:val="both"/>
        <w:rPr>
          <w:rFonts w:hint="eastAsia"/>
          <w:b w:val="0"/>
          <w:color w:val="auto"/>
          <w:sz w:val="24"/>
          <w:highlight w:val="none"/>
        </w:rPr>
      </w:pPr>
      <w:r>
        <w:rPr>
          <w:rFonts w:hint="eastAsia"/>
          <w:b w:val="0"/>
          <w:color w:val="auto"/>
          <w:sz w:val="24"/>
          <w:highlight w:val="none"/>
        </w:rPr>
        <w:t>4.保洁服务费用（包括但不限于垃圾分类、垃圾外运、水箱清洗、除“四害”，公共雨、污水管道疏通的相关费用）；</w:t>
      </w:r>
    </w:p>
    <w:p w14:paraId="21904D02">
      <w:pPr>
        <w:pStyle w:val="89"/>
        <w:spacing w:line="360" w:lineRule="auto"/>
        <w:ind w:firstLine="480" w:firstLineChars="200"/>
        <w:jc w:val="both"/>
        <w:rPr>
          <w:rFonts w:hint="eastAsia"/>
          <w:b w:val="0"/>
          <w:color w:val="auto"/>
          <w:sz w:val="24"/>
          <w:highlight w:val="none"/>
        </w:rPr>
      </w:pPr>
      <w:r>
        <w:rPr>
          <w:rFonts w:hint="eastAsia"/>
          <w:b w:val="0"/>
          <w:color w:val="auto"/>
          <w:sz w:val="24"/>
          <w:highlight w:val="none"/>
        </w:rPr>
        <w:t>5.绿化养护费用（包括但不限于修剪、淋用水、补种的相关费用）；</w:t>
      </w:r>
    </w:p>
    <w:p w14:paraId="734BF1BA">
      <w:pPr>
        <w:pStyle w:val="89"/>
        <w:spacing w:line="360" w:lineRule="auto"/>
        <w:ind w:firstLine="480" w:firstLineChars="200"/>
        <w:jc w:val="both"/>
        <w:rPr>
          <w:rFonts w:hint="eastAsia"/>
          <w:b w:val="0"/>
          <w:color w:val="auto"/>
          <w:sz w:val="24"/>
          <w:highlight w:val="none"/>
        </w:rPr>
      </w:pPr>
      <w:r>
        <w:rPr>
          <w:rFonts w:hint="eastAsia"/>
          <w:b w:val="0"/>
          <w:color w:val="auto"/>
          <w:sz w:val="24"/>
          <w:highlight w:val="none"/>
        </w:rPr>
        <w:t>6.空置房屋、地下停车场的水电费及小区总水表与所有住户水表读数之间差额水费；</w:t>
      </w:r>
    </w:p>
    <w:p w14:paraId="20DE51B0">
      <w:pPr>
        <w:pStyle w:val="89"/>
        <w:spacing w:line="360" w:lineRule="auto"/>
        <w:ind w:firstLine="480" w:firstLineChars="200"/>
        <w:jc w:val="both"/>
        <w:rPr>
          <w:rFonts w:hint="eastAsia"/>
          <w:b w:val="0"/>
          <w:color w:val="auto"/>
          <w:sz w:val="24"/>
          <w:highlight w:val="none"/>
        </w:rPr>
      </w:pPr>
      <w:r>
        <w:rPr>
          <w:rFonts w:hint="eastAsia"/>
          <w:b w:val="0"/>
          <w:color w:val="auto"/>
          <w:sz w:val="24"/>
          <w:highlight w:val="none"/>
        </w:rPr>
        <w:t>7.物业共用部位、共用设施设备及公众责任保险费用；</w:t>
      </w:r>
    </w:p>
    <w:p w14:paraId="2BCDEB14">
      <w:pPr>
        <w:pStyle w:val="89"/>
        <w:spacing w:line="360" w:lineRule="auto"/>
        <w:ind w:firstLine="480" w:firstLineChars="200"/>
        <w:jc w:val="both"/>
        <w:rPr>
          <w:rFonts w:hint="eastAsia"/>
          <w:b w:val="0"/>
          <w:color w:val="auto"/>
          <w:sz w:val="24"/>
          <w:highlight w:val="none"/>
        </w:rPr>
      </w:pPr>
      <w:r>
        <w:rPr>
          <w:rFonts w:hint="eastAsia"/>
          <w:b w:val="0"/>
          <w:color w:val="auto"/>
          <w:sz w:val="24"/>
          <w:highlight w:val="none"/>
        </w:rPr>
        <w:t>8.其它由法律、法规规定应由物业服务人承担的费用。</w:t>
      </w:r>
    </w:p>
    <w:p w14:paraId="2AB3773F">
      <w:pPr>
        <w:pStyle w:val="89"/>
        <w:spacing w:line="360" w:lineRule="auto"/>
        <w:ind w:firstLine="480" w:firstLineChars="200"/>
        <w:jc w:val="both"/>
        <w:rPr>
          <w:color w:val="auto"/>
          <w:sz w:val="24"/>
          <w:highlight w:val="none"/>
        </w:rPr>
      </w:pPr>
      <w:r>
        <w:rPr>
          <w:color w:val="auto"/>
          <w:sz w:val="24"/>
          <w:highlight w:val="none"/>
        </w:rPr>
        <w:t>（二）</w:t>
      </w:r>
      <w:r>
        <w:rPr>
          <w:rFonts w:hint="eastAsia"/>
          <w:color w:val="auto"/>
          <w:sz w:val="24"/>
          <w:highlight w:val="none"/>
        </w:rPr>
        <w:t>新涌口花园</w:t>
      </w:r>
      <w:r>
        <w:rPr>
          <w:color w:val="auto"/>
          <w:sz w:val="24"/>
          <w:highlight w:val="none"/>
        </w:rPr>
        <w:t>物业管理服务费每月每平方米服务费综合单价报价不高于</w:t>
      </w:r>
      <w:r>
        <w:rPr>
          <w:rFonts w:hint="eastAsia"/>
          <w:color w:val="auto"/>
          <w:sz w:val="24"/>
          <w:highlight w:val="none"/>
          <w:lang w:val="en-US" w:eastAsia="zh-CN"/>
        </w:rPr>
        <w:t>2.8</w:t>
      </w:r>
      <w:r>
        <w:rPr>
          <w:color w:val="auto"/>
          <w:sz w:val="24"/>
          <w:highlight w:val="none"/>
        </w:rPr>
        <w:t>元/平方米/月；投标总报价不高于</w:t>
      </w:r>
      <w:r>
        <w:rPr>
          <w:rFonts w:hint="eastAsia"/>
          <w:color w:val="auto"/>
          <w:sz w:val="24"/>
          <w:highlight w:val="none"/>
          <w:lang w:val="en-US" w:eastAsia="zh-CN"/>
        </w:rPr>
        <w:t>40574706.80</w:t>
      </w:r>
      <w:r>
        <w:rPr>
          <w:color w:val="auto"/>
          <w:sz w:val="24"/>
          <w:highlight w:val="none"/>
        </w:rPr>
        <w:t>元/</w:t>
      </w:r>
      <w:r>
        <w:rPr>
          <w:rFonts w:hint="eastAsia"/>
          <w:color w:val="auto"/>
          <w:sz w:val="24"/>
          <w:highlight w:val="none"/>
          <w:lang w:val="en-US" w:eastAsia="zh-CN"/>
        </w:rPr>
        <w:t>96</w:t>
      </w:r>
      <w:r>
        <w:rPr>
          <w:color w:val="auto"/>
          <w:sz w:val="24"/>
          <w:highlight w:val="none"/>
        </w:rPr>
        <w:t>个月，以上报价已含税。</w:t>
      </w:r>
    </w:p>
    <w:p w14:paraId="68287706">
      <w:pPr>
        <w:pStyle w:val="89"/>
        <w:spacing w:line="360" w:lineRule="auto"/>
        <w:ind w:firstLine="480" w:firstLineChars="200"/>
        <w:jc w:val="both"/>
        <w:rPr>
          <w:color w:val="auto"/>
          <w:sz w:val="24"/>
          <w:highlight w:val="none"/>
        </w:rPr>
      </w:pPr>
      <w:r>
        <w:rPr>
          <w:color w:val="auto"/>
          <w:sz w:val="24"/>
          <w:highlight w:val="none"/>
        </w:rPr>
        <w:t>本项目投标总报价=</w:t>
      </w:r>
      <w:r>
        <w:rPr>
          <w:rFonts w:hint="eastAsia"/>
          <w:color w:val="auto"/>
          <w:sz w:val="24"/>
          <w:highlight w:val="none"/>
        </w:rPr>
        <w:t>新涌口花园</w:t>
      </w:r>
      <w:r>
        <w:rPr>
          <w:color w:val="auto"/>
          <w:sz w:val="24"/>
          <w:highlight w:val="none"/>
        </w:rPr>
        <w:t>服务费</w:t>
      </w:r>
    </w:p>
    <w:p w14:paraId="46BCEC94">
      <w:pPr>
        <w:pStyle w:val="89"/>
        <w:spacing w:line="360" w:lineRule="auto"/>
        <w:ind w:firstLine="480" w:firstLineChars="200"/>
        <w:jc w:val="both"/>
        <w:rPr>
          <w:color w:val="auto"/>
          <w:sz w:val="24"/>
          <w:highlight w:val="none"/>
        </w:rPr>
      </w:pPr>
      <w:r>
        <w:rPr>
          <w:color w:val="auto"/>
          <w:sz w:val="24"/>
          <w:highlight w:val="none"/>
        </w:rPr>
        <w:t>★请投标人根据附表3在投标文件中列出以下内容（注：</w:t>
      </w:r>
      <w:r>
        <w:rPr>
          <w:rFonts w:hint="eastAsia"/>
          <w:color w:val="auto"/>
          <w:sz w:val="24"/>
          <w:highlight w:val="none"/>
        </w:rPr>
        <w:t>新涌口花园</w:t>
      </w:r>
      <w:r>
        <w:rPr>
          <w:color w:val="auto"/>
          <w:sz w:val="24"/>
          <w:highlight w:val="none"/>
        </w:rPr>
        <w:t>投标总报价=a+b+c）：a.本项目</w:t>
      </w:r>
      <w:r>
        <w:rPr>
          <w:rFonts w:hint="eastAsia"/>
          <w:color w:val="auto"/>
          <w:sz w:val="24"/>
          <w:highlight w:val="none"/>
        </w:rPr>
        <w:t>新涌口花园</w:t>
      </w:r>
      <w:r>
        <w:rPr>
          <w:color w:val="auto"/>
          <w:sz w:val="24"/>
          <w:highlight w:val="none"/>
        </w:rPr>
        <w:t>服务费【每月服务费的综合价格、每月每平方米的综合单价（每月每平方米的综合单价=每月服务费的综合价格÷面积）】；b.利润；c.税费。</w:t>
      </w:r>
    </w:p>
    <w:p w14:paraId="240DC4D3">
      <w:pPr>
        <w:pStyle w:val="89"/>
        <w:spacing w:line="360" w:lineRule="auto"/>
        <w:ind w:firstLine="480" w:firstLineChars="200"/>
        <w:jc w:val="both"/>
        <w:rPr>
          <w:color w:val="auto"/>
          <w:sz w:val="24"/>
          <w:highlight w:val="none"/>
        </w:rPr>
      </w:pPr>
      <w:r>
        <w:rPr>
          <w:color w:val="auto"/>
          <w:sz w:val="24"/>
          <w:highlight w:val="none"/>
        </w:rPr>
        <w:t>附表3：</w:t>
      </w:r>
      <w:r>
        <w:rPr>
          <w:rFonts w:hint="eastAsia"/>
          <w:color w:val="auto"/>
          <w:sz w:val="24"/>
          <w:highlight w:val="none"/>
        </w:rPr>
        <w:t>新涌口花园</w:t>
      </w:r>
      <w:r>
        <w:rPr>
          <w:rFonts w:hint="eastAsia"/>
          <w:color w:val="auto"/>
          <w:sz w:val="24"/>
          <w:highlight w:val="none"/>
          <w:lang w:val="en-US" w:eastAsia="zh-CN"/>
        </w:rPr>
        <w:t>服务</w:t>
      </w:r>
      <w:r>
        <w:rPr>
          <w:color w:val="auto"/>
          <w:sz w:val="24"/>
          <w:highlight w:val="none"/>
        </w:rPr>
        <w:t>报价明细表</w:t>
      </w:r>
    </w:p>
    <w:tbl>
      <w:tblPr>
        <w:tblStyle w:val="34"/>
        <w:tblW w:w="0" w:type="auto"/>
        <w:tblInd w:w="15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3"/>
        <w:gridCol w:w="3896"/>
        <w:gridCol w:w="1148"/>
        <w:gridCol w:w="1238"/>
        <w:gridCol w:w="1389"/>
      </w:tblGrid>
      <w:tr w14:paraId="5768F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C81CC20">
            <w:pPr>
              <w:pStyle w:val="89"/>
              <w:ind w:firstLine="493"/>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序号</w:t>
            </w:r>
          </w:p>
        </w:tc>
        <w:tc>
          <w:tcPr>
            <w:tcW w:w="38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F6A8542">
            <w:pPr>
              <w:pStyle w:val="89"/>
              <w:ind w:firstLine="564"/>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分项内容</w:t>
            </w:r>
          </w:p>
        </w:tc>
        <w:tc>
          <w:tcPr>
            <w:tcW w:w="114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3AF382">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报价</w:t>
            </w:r>
          </w:p>
          <w:p w14:paraId="3DEF7999">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（元/每月）</w:t>
            </w:r>
          </w:p>
        </w:tc>
        <w:tc>
          <w:tcPr>
            <w:tcW w:w="12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627775">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报价</w:t>
            </w:r>
          </w:p>
          <w:p w14:paraId="71949CF7">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（元/</w:t>
            </w:r>
            <w:r>
              <w:rPr>
                <w:rFonts w:hint="eastAsia" w:asciiTheme="minorEastAsia" w:hAnsiTheme="minorEastAsia" w:cstheme="minorEastAsia"/>
                <w:color w:val="auto"/>
                <w:sz w:val="24"/>
                <w:szCs w:val="24"/>
                <w:highlight w:val="none"/>
                <w:lang w:eastAsia="zh-CN"/>
              </w:rPr>
              <w:t>9</w:t>
            </w:r>
            <w:r>
              <w:rPr>
                <w:rFonts w:hint="eastAsia" w:asciiTheme="minorEastAsia" w:hAnsiTheme="minorEastAsia" w:cstheme="minorEastAsia"/>
                <w:color w:val="auto"/>
                <w:sz w:val="24"/>
                <w:szCs w:val="24"/>
                <w:highlight w:val="none"/>
                <w:lang w:val="en-US" w:eastAsia="zh-CN"/>
              </w:rPr>
              <w:t>6</w:t>
            </w:r>
            <w:r>
              <w:rPr>
                <w:rFonts w:asciiTheme="minorEastAsia" w:hAnsiTheme="minorEastAsia" w:cstheme="minorEastAsia"/>
                <w:color w:val="auto"/>
                <w:sz w:val="24"/>
                <w:szCs w:val="24"/>
                <w:highlight w:val="none"/>
              </w:rPr>
              <w:t>个月）</w:t>
            </w:r>
          </w:p>
        </w:tc>
        <w:tc>
          <w:tcPr>
            <w:tcW w:w="13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694F02C">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备注</w:t>
            </w:r>
          </w:p>
        </w:tc>
      </w:tr>
      <w:tr w14:paraId="16CEDA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B407BF">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a.本项目</w:t>
            </w:r>
            <w:r>
              <w:rPr>
                <w:rFonts w:hint="eastAsia"/>
                <w:color w:val="auto"/>
                <w:sz w:val="24"/>
                <w:highlight w:val="none"/>
              </w:rPr>
              <w:t>新涌口花园</w:t>
            </w:r>
            <w:r>
              <w:rPr>
                <w:rFonts w:asciiTheme="minorEastAsia" w:hAnsiTheme="minorEastAsia" w:cstheme="minorEastAsia"/>
                <w:color w:val="auto"/>
                <w:sz w:val="24"/>
                <w:szCs w:val="24"/>
                <w:highlight w:val="none"/>
              </w:rPr>
              <w:t>服务费（1至11点汇总）</w:t>
            </w:r>
          </w:p>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27F3A">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（每月服务费的综合价格）</w:t>
            </w:r>
          </w:p>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C6F35">
            <w:pPr>
              <w:pStyle w:val="89"/>
              <w:ind w:firstLine="564"/>
              <w:jc w:val="both"/>
              <w:rPr>
                <w:rFonts w:asciiTheme="minorEastAsia" w:hAnsiTheme="minorEastAsia" w:cstheme="minorEastAsia"/>
                <w:color w:val="auto"/>
                <w:sz w:val="24"/>
                <w:szCs w:val="24"/>
                <w:highlight w:val="none"/>
              </w:rPr>
            </w:pPr>
          </w:p>
        </w:tc>
        <w:tc>
          <w:tcPr>
            <w:tcW w:w="13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F3C1F">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请此处列出每月每平方米的综合单价</w:t>
            </w:r>
          </w:p>
        </w:tc>
      </w:tr>
      <w:tr w14:paraId="277871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0835A">
            <w:pPr>
              <w:pStyle w:val="89"/>
              <w:ind w:firstLine="564"/>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3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992629">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物业管理区域内管理人员的工资、社会保险和按规定提取的福利费等</w:t>
            </w:r>
          </w:p>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E936F4">
            <w:pPr>
              <w:pStyle w:val="89"/>
              <w:ind w:firstLine="564"/>
              <w:jc w:val="both"/>
              <w:rPr>
                <w:rFonts w:asciiTheme="minorEastAsia" w:hAnsiTheme="minorEastAsia" w:cstheme="minorEastAsia"/>
                <w:color w:val="auto"/>
                <w:sz w:val="24"/>
                <w:szCs w:val="24"/>
                <w:highlight w:val="none"/>
              </w:rPr>
            </w:pPr>
          </w:p>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BC41E">
            <w:pPr>
              <w:rPr>
                <w:rFonts w:hint="eastAsia" w:asciiTheme="minorEastAsia" w:hAnsiTheme="minorEastAsia" w:eastAsiaTheme="minorEastAsia" w:cstheme="minorEastAsia"/>
                <w:color w:val="auto"/>
                <w:sz w:val="24"/>
                <w:highlight w:val="none"/>
              </w:rPr>
            </w:pPr>
          </w:p>
        </w:tc>
        <w:tc>
          <w:tcPr>
            <w:tcW w:w="13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00D26">
            <w:pPr>
              <w:rPr>
                <w:rFonts w:hint="eastAsia" w:asciiTheme="minorEastAsia" w:hAnsiTheme="minorEastAsia" w:eastAsiaTheme="minorEastAsia" w:cstheme="minorEastAsia"/>
                <w:color w:val="auto"/>
                <w:sz w:val="24"/>
                <w:highlight w:val="none"/>
              </w:rPr>
            </w:pPr>
          </w:p>
        </w:tc>
      </w:tr>
      <w:tr w14:paraId="584D6A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24B7D9">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2</w:t>
            </w:r>
          </w:p>
        </w:tc>
        <w:tc>
          <w:tcPr>
            <w:tcW w:w="3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2F1B9C">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物业共用部位、共用设施设备（包括但不限于电梯、水泵房、监控设备、消防系统、停车场、道闸、垃圾站、后备发电机等）的运行、维护、维修管理费及场地日常小修维护费</w:t>
            </w:r>
          </w:p>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42FF0">
            <w:pPr>
              <w:pStyle w:val="89"/>
              <w:ind w:firstLine="564"/>
              <w:jc w:val="both"/>
              <w:rPr>
                <w:rFonts w:asciiTheme="minorEastAsia" w:hAnsiTheme="minorEastAsia" w:cstheme="minorEastAsia"/>
                <w:color w:val="auto"/>
                <w:sz w:val="24"/>
                <w:szCs w:val="24"/>
                <w:highlight w:val="none"/>
              </w:rPr>
            </w:pPr>
          </w:p>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1CD022">
            <w:pPr>
              <w:rPr>
                <w:rFonts w:hint="eastAsia" w:asciiTheme="minorEastAsia" w:hAnsiTheme="minorEastAsia" w:eastAsiaTheme="minorEastAsia" w:cstheme="minorEastAsia"/>
                <w:color w:val="auto"/>
                <w:sz w:val="24"/>
                <w:highlight w:val="none"/>
              </w:rPr>
            </w:pPr>
          </w:p>
        </w:tc>
        <w:tc>
          <w:tcPr>
            <w:tcW w:w="13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88BAEF">
            <w:pPr>
              <w:rPr>
                <w:rFonts w:hint="eastAsia" w:asciiTheme="minorEastAsia" w:hAnsiTheme="minorEastAsia" w:eastAsiaTheme="minorEastAsia" w:cstheme="minorEastAsia"/>
                <w:color w:val="auto"/>
                <w:sz w:val="24"/>
                <w:highlight w:val="none"/>
              </w:rPr>
            </w:pPr>
          </w:p>
        </w:tc>
      </w:tr>
      <w:tr w14:paraId="1AA959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EE12A">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3</w:t>
            </w:r>
          </w:p>
        </w:tc>
        <w:tc>
          <w:tcPr>
            <w:tcW w:w="3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1FB09F">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物业管理区域内公共秩序维护服务费</w:t>
            </w:r>
          </w:p>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82877">
            <w:pPr>
              <w:pStyle w:val="89"/>
              <w:ind w:firstLine="564"/>
              <w:jc w:val="both"/>
              <w:rPr>
                <w:rFonts w:asciiTheme="minorEastAsia" w:hAnsiTheme="minorEastAsia" w:cstheme="minorEastAsia"/>
                <w:color w:val="auto"/>
                <w:sz w:val="24"/>
                <w:szCs w:val="24"/>
                <w:highlight w:val="none"/>
              </w:rPr>
            </w:pPr>
          </w:p>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BE39C">
            <w:pPr>
              <w:rPr>
                <w:rFonts w:hint="eastAsia" w:asciiTheme="minorEastAsia" w:hAnsiTheme="minorEastAsia" w:eastAsiaTheme="minorEastAsia" w:cstheme="minorEastAsia"/>
                <w:color w:val="auto"/>
                <w:sz w:val="24"/>
                <w:highlight w:val="none"/>
              </w:rPr>
            </w:pPr>
          </w:p>
        </w:tc>
        <w:tc>
          <w:tcPr>
            <w:tcW w:w="13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6B03F">
            <w:pPr>
              <w:rPr>
                <w:rFonts w:hint="eastAsia" w:asciiTheme="minorEastAsia" w:hAnsiTheme="minorEastAsia" w:eastAsiaTheme="minorEastAsia" w:cstheme="minorEastAsia"/>
                <w:color w:val="auto"/>
                <w:sz w:val="24"/>
                <w:highlight w:val="none"/>
              </w:rPr>
            </w:pPr>
          </w:p>
        </w:tc>
      </w:tr>
      <w:tr w14:paraId="4BDB99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70981">
            <w:pPr>
              <w:rPr>
                <w:rFonts w:hint="eastAsia" w:asciiTheme="minorEastAsia" w:hAnsiTheme="minorEastAsia" w:eastAsiaTheme="minorEastAsia" w:cstheme="minorEastAsia"/>
                <w:color w:val="auto"/>
                <w:sz w:val="24"/>
                <w:highlight w:val="none"/>
              </w:rPr>
            </w:pPr>
          </w:p>
        </w:tc>
        <w:tc>
          <w:tcPr>
            <w:tcW w:w="3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B51C3">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w:t>
            </w:r>
          </w:p>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B035B3">
            <w:pPr>
              <w:pStyle w:val="89"/>
              <w:ind w:firstLine="564"/>
              <w:jc w:val="both"/>
              <w:rPr>
                <w:rFonts w:asciiTheme="minorEastAsia" w:hAnsiTheme="minorEastAsia" w:cstheme="minorEastAsia"/>
                <w:color w:val="auto"/>
                <w:sz w:val="24"/>
                <w:szCs w:val="24"/>
                <w:highlight w:val="none"/>
              </w:rPr>
            </w:pPr>
          </w:p>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F1FA74">
            <w:pPr>
              <w:rPr>
                <w:rFonts w:hint="eastAsia" w:asciiTheme="minorEastAsia" w:hAnsiTheme="minorEastAsia" w:eastAsiaTheme="minorEastAsia" w:cstheme="minorEastAsia"/>
                <w:color w:val="auto"/>
                <w:sz w:val="24"/>
                <w:highlight w:val="none"/>
              </w:rPr>
            </w:pPr>
          </w:p>
        </w:tc>
        <w:tc>
          <w:tcPr>
            <w:tcW w:w="13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0F5D36">
            <w:pPr>
              <w:rPr>
                <w:rFonts w:hint="eastAsia" w:asciiTheme="minorEastAsia" w:hAnsiTheme="minorEastAsia" w:eastAsiaTheme="minorEastAsia" w:cstheme="minorEastAsia"/>
                <w:color w:val="auto"/>
                <w:sz w:val="24"/>
                <w:highlight w:val="none"/>
              </w:rPr>
            </w:pPr>
          </w:p>
        </w:tc>
      </w:tr>
      <w:tr w14:paraId="26A920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21FA4">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38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5C337">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排涝泵站、管道、堤围等排涝设施的日常运行、维护管理费。</w:t>
            </w:r>
          </w:p>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3A626">
            <w:pPr>
              <w:pStyle w:val="89"/>
              <w:ind w:firstLine="564"/>
              <w:jc w:val="both"/>
              <w:rPr>
                <w:rFonts w:asciiTheme="minorEastAsia" w:hAnsiTheme="minorEastAsia" w:cstheme="minorEastAsia"/>
                <w:color w:val="auto"/>
                <w:sz w:val="24"/>
                <w:szCs w:val="24"/>
                <w:highlight w:val="none"/>
              </w:rPr>
            </w:pPr>
          </w:p>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FEC21D">
            <w:pPr>
              <w:rPr>
                <w:rFonts w:hint="eastAsia" w:asciiTheme="minorEastAsia" w:hAnsiTheme="minorEastAsia" w:eastAsiaTheme="minorEastAsia" w:cstheme="minorEastAsia"/>
                <w:color w:val="auto"/>
                <w:sz w:val="24"/>
                <w:highlight w:val="none"/>
              </w:rPr>
            </w:pPr>
          </w:p>
        </w:tc>
        <w:tc>
          <w:tcPr>
            <w:tcW w:w="13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E03D0">
            <w:pPr>
              <w:rPr>
                <w:rFonts w:hint="eastAsia" w:asciiTheme="minorEastAsia" w:hAnsiTheme="minorEastAsia" w:eastAsiaTheme="minorEastAsia" w:cstheme="minorEastAsia"/>
                <w:color w:val="auto"/>
                <w:sz w:val="24"/>
                <w:highlight w:val="none"/>
              </w:rPr>
            </w:pPr>
          </w:p>
        </w:tc>
      </w:tr>
      <w:tr w14:paraId="49C16B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403976">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b.利润</w:t>
            </w:r>
          </w:p>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7B232">
            <w:pPr>
              <w:pStyle w:val="89"/>
              <w:ind w:firstLine="564"/>
              <w:jc w:val="both"/>
              <w:rPr>
                <w:rFonts w:asciiTheme="minorEastAsia" w:hAnsiTheme="minorEastAsia" w:cstheme="minorEastAsia"/>
                <w:color w:val="auto"/>
                <w:sz w:val="24"/>
                <w:szCs w:val="24"/>
                <w:highlight w:val="none"/>
              </w:rPr>
            </w:pPr>
          </w:p>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8748B">
            <w:pPr>
              <w:rPr>
                <w:rFonts w:hint="eastAsia" w:asciiTheme="minorEastAsia" w:hAnsiTheme="minorEastAsia" w:eastAsiaTheme="minorEastAsia" w:cstheme="minorEastAsia"/>
                <w:color w:val="auto"/>
                <w:sz w:val="24"/>
                <w:highlight w:val="none"/>
              </w:rPr>
            </w:pPr>
          </w:p>
        </w:tc>
        <w:tc>
          <w:tcPr>
            <w:tcW w:w="13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43F91E">
            <w:pPr>
              <w:rPr>
                <w:rFonts w:hint="eastAsia" w:asciiTheme="minorEastAsia" w:hAnsiTheme="minorEastAsia" w:eastAsiaTheme="minorEastAsia" w:cstheme="minorEastAsia"/>
                <w:color w:val="auto"/>
                <w:sz w:val="24"/>
                <w:highlight w:val="none"/>
              </w:rPr>
            </w:pPr>
          </w:p>
        </w:tc>
      </w:tr>
      <w:tr w14:paraId="40E248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B8E56F">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c.税费（%）</w:t>
            </w:r>
          </w:p>
        </w:tc>
        <w:tc>
          <w:tcPr>
            <w:tcW w:w="114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5606C">
            <w:pPr>
              <w:pStyle w:val="89"/>
              <w:ind w:firstLine="564"/>
              <w:jc w:val="both"/>
              <w:rPr>
                <w:rFonts w:asciiTheme="minorEastAsia" w:hAnsiTheme="minorEastAsia" w:cstheme="minorEastAsia"/>
                <w:color w:val="auto"/>
                <w:sz w:val="24"/>
                <w:szCs w:val="24"/>
                <w:highlight w:val="none"/>
              </w:rPr>
            </w:pPr>
          </w:p>
        </w:tc>
        <w:tc>
          <w:tcPr>
            <w:tcW w:w="12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56DFD6">
            <w:pPr>
              <w:rPr>
                <w:rFonts w:hint="eastAsia" w:asciiTheme="minorEastAsia" w:hAnsiTheme="minorEastAsia" w:eastAsiaTheme="minorEastAsia" w:cstheme="minorEastAsia"/>
                <w:color w:val="auto"/>
                <w:sz w:val="24"/>
                <w:highlight w:val="none"/>
              </w:rPr>
            </w:pPr>
          </w:p>
        </w:tc>
        <w:tc>
          <w:tcPr>
            <w:tcW w:w="13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CF7B2">
            <w:pPr>
              <w:rPr>
                <w:rFonts w:hint="eastAsia" w:asciiTheme="minorEastAsia" w:hAnsiTheme="minorEastAsia" w:eastAsiaTheme="minorEastAsia" w:cstheme="minorEastAsia"/>
                <w:color w:val="auto"/>
                <w:sz w:val="24"/>
                <w:highlight w:val="none"/>
              </w:rPr>
            </w:pPr>
          </w:p>
        </w:tc>
      </w:tr>
      <w:tr w14:paraId="6E1CB1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72B15">
            <w:pPr>
              <w:pStyle w:val="89"/>
              <w:jc w:val="both"/>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总计</w:t>
            </w:r>
          </w:p>
        </w:tc>
        <w:tc>
          <w:tcPr>
            <w:tcW w:w="238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2377485">
            <w:pPr>
              <w:pStyle w:val="89"/>
              <w:ind w:firstLine="564"/>
              <w:jc w:val="both"/>
              <w:rPr>
                <w:rFonts w:asciiTheme="minorEastAsia" w:hAnsiTheme="minorEastAsia" w:cstheme="minorEastAsia"/>
                <w:color w:val="auto"/>
                <w:sz w:val="24"/>
                <w:szCs w:val="24"/>
                <w:highlight w:val="none"/>
              </w:rPr>
            </w:pPr>
          </w:p>
        </w:tc>
        <w:tc>
          <w:tcPr>
            <w:tcW w:w="13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935E6F">
            <w:pPr>
              <w:rPr>
                <w:rFonts w:hint="eastAsia" w:asciiTheme="minorEastAsia" w:hAnsiTheme="minorEastAsia" w:eastAsiaTheme="minorEastAsia" w:cstheme="minorEastAsia"/>
                <w:color w:val="auto"/>
                <w:sz w:val="24"/>
                <w:highlight w:val="none"/>
              </w:rPr>
            </w:pPr>
          </w:p>
        </w:tc>
      </w:tr>
    </w:tbl>
    <w:p w14:paraId="49C1465C">
      <w:pPr>
        <w:pStyle w:val="89"/>
        <w:spacing w:line="360" w:lineRule="auto"/>
        <w:ind w:firstLine="480" w:firstLineChars="200"/>
        <w:jc w:val="both"/>
        <w:rPr>
          <w:color w:val="auto"/>
          <w:sz w:val="24"/>
          <w:highlight w:val="none"/>
        </w:rPr>
      </w:pPr>
      <w:r>
        <w:rPr>
          <w:color w:val="auto"/>
          <w:sz w:val="24"/>
          <w:highlight w:val="none"/>
        </w:rPr>
        <w:t>填报要求：</w:t>
      </w:r>
    </w:p>
    <w:p w14:paraId="30D5AFB2">
      <w:pPr>
        <w:pStyle w:val="89"/>
        <w:spacing w:line="360" w:lineRule="auto"/>
        <w:ind w:firstLine="480" w:firstLineChars="200"/>
        <w:jc w:val="both"/>
        <w:rPr>
          <w:color w:val="auto"/>
          <w:sz w:val="24"/>
          <w:highlight w:val="none"/>
        </w:rPr>
      </w:pPr>
      <w:r>
        <w:rPr>
          <w:color w:val="auto"/>
          <w:sz w:val="24"/>
          <w:highlight w:val="none"/>
        </w:rPr>
        <w:t>附表3总计应与《开标一览表》的投标报价相等。</w:t>
      </w:r>
    </w:p>
    <w:p w14:paraId="591DFC45">
      <w:pPr>
        <w:pStyle w:val="89"/>
        <w:spacing w:line="360" w:lineRule="auto"/>
        <w:ind w:firstLine="480" w:firstLineChars="200"/>
        <w:jc w:val="both"/>
        <w:rPr>
          <w:color w:val="auto"/>
          <w:sz w:val="24"/>
          <w:highlight w:val="none"/>
        </w:rPr>
      </w:pPr>
      <w:r>
        <w:rPr>
          <w:color w:val="auto"/>
          <w:sz w:val="24"/>
          <w:highlight w:val="none"/>
        </w:rPr>
        <w:t>（三）请中标人充分考虑服务期内的物价上涨、最低工资标准调整、社会保险费用调整等因素，在服务期内</w:t>
      </w:r>
      <w:r>
        <w:rPr>
          <w:rFonts w:hint="eastAsia"/>
          <w:color w:val="auto"/>
          <w:sz w:val="24"/>
          <w:highlight w:val="none"/>
          <w:lang w:eastAsia="zh-CN"/>
        </w:rPr>
        <w:t>招标人</w:t>
      </w:r>
      <w:r>
        <w:rPr>
          <w:color w:val="auto"/>
          <w:sz w:val="24"/>
          <w:highlight w:val="none"/>
        </w:rPr>
        <w:t>不再对物业管理费作调整。</w:t>
      </w:r>
    </w:p>
    <w:p w14:paraId="27CC951A">
      <w:pPr>
        <w:pStyle w:val="89"/>
        <w:spacing w:line="360" w:lineRule="auto"/>
        <w:ind w:firstLine="480" w:firstLineChars="200"/>
        <w:jc w:val="both"/>
        <w:rPr>
          <w:color w:val="auto"/>
          <w:sz w:val="24"/>
          <w:highlight w:val="none"/>
        </w:rPr>
      </w:pPr>
      <w:r>
        <w:rPr>
          <w:color w:val="auto"/>
          <w:sz w:val="24"/>
          <w:highlight w:val="none"/>
        </w:rPr>
        <w:t>采购包1（</w:t>
      </w:r>
      <w:r>
        <w:rPr>
          <w:rFonts w:hint="eastAsia"/>
          <w:color w:val="auto"/>
          <w:sz w:val="24"/>
          <w:highlight w:val="none"/>
        </w:rPr>
        <w:t>新涌口花园物业管理服务</w:t>
      </w:r>
      <w:r>
        <w:rPr>
          <w:color w:val="auto"/>
          <w:sz w:val="24"/>
          <w:highlight w:val="none"/>
        </w:rPr>
        <w:t>采购项目）</w:t>
      </w:r>
      <w:r>
        <w:rPr>
          <w:b/>
          <w:bCs/>
          <w:color w:val="auto"/>
          <w:sz w:val="24"/>
          <w:highlight w:val="none"/>
        </w:rPr>
        <w:t>1.主要商务要求</w:t>
      </w:r>
    </w:p>
    <w:tbl>
      <w:tblPr>
        <w:tblStyle w:val="3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35FC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395A35">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标的提供的时间</w:t>
            </w:r>
          </w:p>
        </w:tc>
        <w:tc>
          <w:tcPr>
            <w:tcW w:w="4153" w:type="dxa"/>
          </w:tcPr>
          <w:p w14:paraId="49698D4D">
            <w:pPr>
              <w:pStyle w:val="89"/>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8</w:t>
            </w:r>
            <w:r>
              <w:rPr>
                <w:rFonts w:asciiTheme="minorEastAsia" w:hAnsiTheme="minorEastAsia" w:cstheme="minorEastAsia"/>
                <w:color w:val="auto"/>
                <w:sz w:val="24"/>
                <w:szCs w:val="24"/>
                <w:highlight w:val="none"/>
              </w:rPr>
              <w:t>年，初定自2025年</w:t>
            </w:r>
            <w:r>
              <w:rPr>
                <w:rFonts w:hint="eastAsia" w:asciiTheme="minorEastAsia" w:hAnsiTheme="minorEastAsia" w:cstheme="minorEastAsia"/>
                <w:color w:val="auto"/>
                <w:sz w:val="24"/>
                <w:szCs w:val="24"/>
                <w:highlight w:val="none"/>
                <w:lang w:val="en-US" w:eastAsia="zh-CN"/>
              </w:rPr>
              <w:t xml:space="preserve">   </w:t>
            </w:r>
            <w:r>
              <w:rPr>
                <w:rFonts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 xml:space="preserve">   </w:t>
            </w:r>
            <w:r>
              <w:rPr>
                <w:rFonts w:asciiTheme="minorEastAsia" w:hAnsiTheme="minorEastAsia" w:cstheme="minorEastAsia"/>
                <w:color w:val="auto"/>
                <w:sz w:val="24"/>
                <w:szCs w:val="24"/>
                <w:highlight w:val="none"/>
              </w:rPr>
              <w:t>日至20</w:t>
            </w:r>
            <w:r>
              <w:rPr>
                <w:rFonts w:hint="eastAsia" w:asciiTheme="minorEastAsia" w:hAnsiTheme="minorEastAsia" w:cstheme="minorEastAsia"/>
                <w:color w:val="auto"/>
                <w:sz w:val="24"/>
                <w:szCs w:val="24"/>
                <w:highlight w:val="none"/>
                <w:lang w:eastAsia="zh-CN"/>
              </w:rPr>
              <w:t>3</w:t>
            </w:r>
            <w:r>
              <w:rPr>
                <w:rFonts w:hint="eastAsia" w:asciiTheme="minorEastAsia" w:hAnsiTheme="minorEastAsia" w:cstheme="minorEastAsia"/>
                <w:color w:val="auto"/>
                <w:sz w:val="24"/>
                <w:szCs w:val="24"/>
                <w:highlight w:val="none"/>
                <w:lang w:val="en-US" w:eastAsia="zh-CN"/>
              </w:rPr>
              <w:t>3</w:t>
            </w:r>
            <w:r>
              <w:rPr>
                <w:rFonts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 xml:space="preserve">   </w:t>
            </w:r>
            <w:r>
              <w:rPr>
                <w:rFonts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 xml:space="preserve">   </w:t>
            </w:r>
            <w:r>
              <w:rPr>
                <w:rFonts w:asciiTheme="minorEastAsia" w:hAnsiTheme="minorEastAsia" w:cstheme="minorEastAsia"/>
                <w:color w:val="auto"/>
                <w:sz w:val="24"/>
                <w:szCs w:val="24"/>
                <w:highlight w:val="none"/>
              </w:rPr>
              <w:t>日，具体进场时间以</w:t>
            </w:r>
            <w:r>
              <w:rPr>
                <w:rFonts w:hint="eastAsia" w:asciiTheme="minorEastAsia" w:hAnsiTheme="minorEastAsia" w:cstheme="minorEastAsia"/>
                <w:color w:val="auto"/>
                <w:sz w:val="24"/>
                <w:szCs w:val="24"/>
                <w:highlight w:val="none"/>
                <w:lang w:eastAsia="zh-CN"/>
              </w:rPr>
              <w:t>招标人</w:t>
            </w:r>
            <w:r>
              <w:rPr>
                <w:rFonts w:asciiTheme="minorEastAsia" w:hAnsiTheme="minorEastAsia" w:cstheme="minorEastAsia"/>
                <w:color w:val="auto"/>
                <w:sz w:val="24"/>
                <w:szCs w:val="24"/>
                <w:highlight w:val="none"/>
              </w:rPr>
              <w:t>书面通知为准。</w:t>
            </w:r>
          </w:p>
        </w:tc>
      </w:tr>
      <w:tr w14:paraId="53ACB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5A375F">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标的提供的地点</w:t>
            </w:r>
          </w:p>
        </w:tc>
        <w:tc>
          <w:tcPr>
            <w:tcW w:w="4153" w:type="dxa"/>
          </w:tcPr>
          <w:p w14:paraId="384D5A1C">
            <w:pPr>
              <w:pStyle w:val="89"/>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招标人</w:t>
            </w:r>
            <w:r>
              <w:rPr>
                <w:rFonts w:asciiTheme="minorEastAsia" w:hAnsiTheme="minorEastAsia" w:cstheme="minorEastAsia"/>
                <w:color w:val="auto"/>
                <w:sz w:val="24"/>
                <w:szCs w:val="24"/>
                <w:highlight w:val="none"/>
              </w:rPr>
              <w:t>指定地点。</w:t>
            </w:r>
          </w:p>
        </w:tc>
      </w:tr>
      <w:tr w14:paraId="5539E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D13441">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付款方式</w:t>
            </w:r>
          </w:p>
        </w:tc>
        <w:tc>
          <w:tcPr>
            <w:tcW w:w="4153" w:type="dxa"/>
          </w:tcPr>
          <w:p w14:paraId="1FE6020C">
            <w:pPr>
              <w:pStyle w:val="89"/>
              <w:rPr>
                <w:rFonts w:asciiTheme="minorEastAsia" w:hAnsiTheme="minorEastAsia" w:cstheme="minorEastAsia"/>
                <w:color w:val="auto"/>
                <w:sz w:val="24"/>
                <w:szCs w:val="24"/>
                <w:highlight w:val="none"/>
              </w:rPr>
            </w:pPr>
            <w:r>
              <w:rPr>
                <w:color w:val="auto"/>
                <w:sz w:val="24"/>
                <w:highlight w:val="none"/>
              </w:rPr>
              <w:t>采购包1</w:t>
            </w:r>
            <w:r>
              <w:rPr>
                <w:rFonts w:asciiTheme="minorEastAsia" w:hAnsiTheme="minorEastAsia" w:cstheme="minorEastAsia"/>
                <w:color w:val="auto"/>
                <w:sz w:val="24"/>
                <w:szCs w:val="24"/>
                <w:highlight w:val="none"/>
              </w:rPr>
              <w:t>为</w:t>
            </w:r>
            <w:r>
              <w:rPr>
                <w:rFonts w:hint="eastAsia" w:asciiTheme="minorEastAsia" w:hAnsiTheme="minorEastAsia" w:cstheme="minorEastAsia"/>
                <w:color w:val="auto"/>
                <w:sz w:val="24"/>
                <w:szCs w:val="24"/>
                <w:highlight w:val="none"/>
                <w:lang w:eastAsia="zh-CN"/>
              </w:rPr>
              <w:t>（</w:t>
            </w:r>
            <w:r>
              <w:rPr>
                <w:rFonts w:asciiTheme="minorEastAsia" w:hAnsiTheme="minorEastAsia" w:cstheme="minorEastAsia"/>
                <w:color w:val="auto"/>
                <w:sz w:val="24"/>
                <w:szCs w:val="24"/>
                <w:highlight w:val="none"/>
              </w:rPr>
              <w:t>详见第</w:t>
            </w:r>
            <w:r>
              <w:rPr>
                <w:rFonts w:hint="eastAsia" w:asciiTheme="minorEastAsia" w:hAnsiTheme="minorEastAsia" w:cstheme="minorEastAsia"/>
                <w:color w:val="auto"/>
                <w:sz w:val="24"/>
                <w:szCs w:val="24"/>
                <w:highlight w:val="none"/>
                <w:lang w:val="en-US" w:eastAsia="zh-CN"/>
              </w:rPr>
              <w:t>三部分</w:t>
            </w:r>
            <w:r>
              <w:rPr>
                <w:rFonts w:asciiTheme="minorEastAsia" w:hAnsiTheme="minorEastAsia" w:cstheme="minorEastAsia"/>
                <w:color w:val="auto"/>
                <w:sz w:val="24"/>
                <w:szCs w:val="24"/>
                <w:highlight w:val="none"/>
              </w:rPr>
              <w:t>采购需求</w:t>
            </w:r>
            <w:r>
              <w:rPr>
                <w:rFonts w:hint="eastAsia" w:asciiTheme="minorEastAsia" w:hAnsiTheme="minorEastAsia" w:cstheme="minorEastAsia"/>
                <w:color w:val="auto"/>
                <w:sz w:val="24"/>
                <w:szCs w:val="24"/>
                <w:highlight w:val="none"/>
                <w:lang w:eastAsia="zh-CN"/>
              </w:rPr>
              <w:t>）</w:t>
            </w:r>
            <w:r>
              <w:rPr>
                <w:rFonts w:asciiTheme="minorEastAsia" w:hAnsiTheme="minorEastAsia" w:cstheme="minorEastAsia"/>
                <w:color w:val="auto"/>
                <w:sz w:val="24"/>
                <w:szCs w:val="24"/>
                <w:highlight w:val="none"/>
              </w:rPr>
              <w:t>：支付比例100%，本项目付款方式应以第</w:t>
            </w:r>
            <w:r>
              <w:rPr>
                <w:rFonts w:hint="eastAsia" w:asciiTheme="minorEastAsia" w:hAnsiTheme="minorEastAsia" w:cstheme="minorEastAsia"/>
                <w:color w:val="auto"/>
                <w:sz w:val="24"/>
                <w:szCs w:val="24"/>
                <w:highlight w:val="none"/>
                <w:lang w:val="en-US" w:eastAsia="zh-CN"/>
              </w:rPr>
              <w:t>三部分</w:t>
            </w:r>
            <w:r>
              <w:rPr>
                <w:rFonts w:asciiTheme="minorEastAsia" w:hAnsiTheme="minorEastAsia" w:cstheme="minorEastAsia"/>
                <w:color w:val="auto"/>
                <w:sz w:val="24"/>
                <w:szCs w:val="24"/>
                <w:highlight w:val="none"/>
              </w:rPr>
              <w:t>采购需求的“</w:t>
            </w:r>
            <w:r>
              <w:rPr>
                <w:rFonts w:hint="eastAsia" w:asciiTheme="minorEastAsia" w:hAnsiTheme="minorEastAsia" w:cstheme="minorEastAsia"/>
                <w:color w:val="auto"/>
                <w:sz w:val="24"/>
                <w:szCs w:val="24"/>
                <w:highlight w:val="none"/>
                <w:lang w:val="en-US" w:eastAsia="zh-CN"/>
              </w:rPr>
              <w:t>十</w:t>
            </w:r>
            <w:r>
              <w:rPr>
                <w:rFonts w:asciiTheme="minorEastAsia" w:hAnsiTheme="minorEastAsia" w:cstheme="minorEastAsia"/>
                <w:color w:val="auto"/>
                <w:sz w:val="24"/>
                <w:szCs w:val="24"/>
                <w:highlight w:val="none"/>
              </w:rPr>
              <w:t>、付款方式”约定的为准</w:t>
            </w:r>
            <w:r>
              <w:rPr>
                <w:rFonts w:hint="eastAsia" w:asciiTheme="minorEastAsia" w:hAnsiTheme="minorEastAsia" w:cstheme="minorEastAsia"/>
                <w:color w:val="auto"/>
                <w:sz w:val="24"/>
                <w:szCs w:val="24"/>
                <w:highlight w:val="none"/>
                <w:lang w:eastAsia="zh-CN"/>
              </w:rPr>
              <w:t>。</w:t>
            </w:r>
          </w:p>
        </w:tc>
      </w:tr>
      <w:tr w14:paraId="7628E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1FD5B62">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如项目发生合同融资，</w:t>
            </w:r>
            <w:r>
              <w:rPr>
                <w:rFonts w:hint="eastAsia" w:asciiTheme="minorEastAsia" w:hAnsiTheme="minorEastAsia" w:cstheme="minorEastAsia"/>
                <w:color w:val="auto"/>
                <w:sz w:val="24"/>
                <w:szCs w:val="24"/>
                <w:highlight w:val="none"/>
                <w:lang w:eastAsia="zh-CN"/>
              </w:rPr>
              <w:t>招标人</w:t>
            </w:r>
            <w:r>
              <w:rPr>
                <w:rFonts w:asciiTheme="minorEastAsia" w:hAnsiTheme="minorEastAsia" w:cstheme="minorEastAsia"/>
                <w:color w:val="auto"/>
                <w:sz w:val="24"/>
                <w:szCs w:val="24"/>
                <w:highlight w:val="none"/>
              </w:rPr>
              <w:t>应当将合同款项支付到合同约定收款账户。</w:t>
            </w:r>
          </w:p>
        </w:tc>
      </w:tr>
      <w:tr w14:paraId="0E7C5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479C9D">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验收要求</w:t>
            </w:r>
          </w:p>
        </w:tc>
        <w:tc>
          <w:tcPr>
            <w:tcW w:w="4153" w:type="dxa"/>
          </w:tcPr>
          <w:p w14:paraId="53CCC21B">
            <w:pPr>
              <w:pStyle w:val="89"/>
              <w:rPr>
                <w:rFonts w:asciiTheme="minorEastAsia" w:hAnsiTheme="minorEastAsia" w:cstheme="minorEastAsia"/>
                <w:color w:val="auto"/>
                <w:sz w:val="24"/>
                <w:szCs w:val="24"/>
                <w:highlight w:val="none"/>
              </w:rPr>
            </w:pPr>
            <w:r>
              <w:rPr>
                <w:color w:val="auto"/>
                <w:sz w:val="24"/>
                <w:highlight w:val="none"/>
              </w:rPr>
              <w:t>采购包1</w:t>
            </w:r>
            <w:r>
              <w:rPr>
                <w:rFonts w:asciiTheme="minorEastAsia" w:hAnsiTheme="minorEastAsia" w:cstheme="minorEastAsia"/>
                <w:color w:val="auto"/>
                <w:sz w:val="24"/>
                <w:szCs w:val="24"/>
                <w:highlight w:val="none"/>
              </w:rPr>
              <w:t>：1.中标人按合同约定完成本项目物业管理服务，包括：综合管理服务、物业共用部位和共用设施设备维护、公共秩序维护、保洁服务、绿化养护等五项服务，并满足《广州市发展和改革委员会 广州市住房和城乡建设局 广州市市场监管局关于进一步规范我市住宅物业服务收费等有关问题的通知》（穗发改规字〔2023〕9号）有关要求。 2. 中标人按要求及时完成</w:t>
            </w:r>
            <w:r>
              <w:rPr>
                <w:rFonts w:hint="eastAsia" w:asciiTheme="minorEastAsia" w:hAnsiTheme="minorEastAsia" w:cstheme="minorEastAsia"/>
                <w:color w:val="auto"/>
                <w:sz w:val="24"/>
                <w:szCs w:val="24"/>
                <w:highlight w:val="none"/>
                <w:lang w:eastAsia="zh-CN"/>
              </w:rPr>
              <w:t>招标人</w:t>
            </w:r>
            <w:r>
              <w:rPr>
                <w:rFonts w:asciiTheme="minorEastAsia" w:hAnsiTheme="minorEastAsia" w:cstheme="minorEastAsia"/>
                <w:color w:val="auto"/>
                <w:sz w:val="24"/>
                <w:szCs w:val="24"/>
                <w:highlight w:val="none"/>
              </w:rPr>
              <w:t>或相关主管部门下发的工作任务、按时缴交项目公共水、电费等相关费用，将服务过程中产生的所有资料（需含分别开设的相关场地和设施设备经营收入专账账户及相关台账）整理归档并形成工作成果，每季度工作成果于次季度首月内报送</w:t>
            </w:r>
            <w:r>
              <w:rPr>
                <w:rFonts w:hint="eastAsia" w:asciiTheme="minorEastAsia" w:hAnsiTheme="minorEastAsia" w:cstheme="minorEastAsia"/>
                <w:color w:val="auto"/>
                <w:sz w:val="24"/>
                <w:szCs w:val="24"/>
                <w:highlight w:val="none"/>
                <w:lang w:eastAsia="zh-CN"/>
              </w:rPr>
              <w:t>招标人</w:t>
            </w:r>
            <w:r>
              <w:rPr>
                <w:rFonts w:asciiTheme="minorEastAsia" w:hAnsiTheme="minorEastAsia" w:cstheme="minorEastAsia"/>
                <w:color w:val="auto"/>
                <w:sz w:val="24"/>
                <w:szCs w:val="24"/>
                <w:highlight w:val="none"/>
              </w:rPr>
              <w:t>。</w:t>
            </w:r>
          </w:p>
        </w:tc>
      </w:tr>
      <w:tr w14:paraId="59262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4D05F5">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履约保证金</w:t>
            </w:r>
          </w:p>
        </w:tc>
        <w:tc>
          <w:tcPr>
            <w:tcW w:w="4153" w:type="dxa"/>
          </w:tcPr>
          <w:p w14:paraId="1F864DF8">
            <w:pPr>
              <w:pStyle w:val="89"/>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本项目不收取</w:t>
            </w:r>
            <w:r>
              <w:rPr>
                <w:rFonts w:asciiTheme="minorEastAsia" w:hAnsiTheme="minorEastAsia" w:cstheme="minorEastAsia"/>
                <w:color w:val="auto"/>
                <w:sz w:val="24"/>
                <w:szCs w:val="24"/>
                <w:highlight w:val="none"/>
              </w:rPr>
              <w:t>。</w:t>
            </w:r>
          </w:p>
        </w:tc>
      </w:tr>
      <w:tr w14:paraId="4FBD9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7422C6">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其他</w:t>
            </w:r>
          </w:p>
        </w:tc>
        <w:tc>
          <w:tcPr>
            <w:tcW w:w="4153" w:type="dxa"/>
          </w:tcPr>
          <w:p w14:paraId="7454D2B0">
            <w:pPr>
              <w:pStyle w:val="89"/>
              <w:rPr>
                <w:rFonts w:asciiTheme="minorEastAsia" w:hAnsiTheme="minorEastAsia" w:cstheme="minorEastAsia"/>
                <w:color w:val="auto"/>
                <w:sz w:val="24"/>
                <w:szCs w:val="24"/>
                <w:highlight w:val="none"/>
              </w:rPr>
            </w:pPr>
          </w:p>
        </w:tc>
      </w:tr>
    </w:tbl>
    <w:p w14:paraId="205DADF4">
      <w:pPr>
        <w:pStyle w:val="89"/>
        <w:spacing w:line="360" w:lineRule="auto"/>
        <w:rPr>
          <w:rFonts w:asciiTheme="minorEastAsia" w:hAnsiTheme="minorEastAsia" w:cstheme="minorEastAsia"/>
          <w:color w:val="auto"/>
          <w:sz w:val="24"/>
          <w:szCs w:val="24"/>
          <w:highlight w:val="none"/>
        </w:rPr>
      </w:pPr>
      <w:r>
        <w:rPr>
          <w:rFonts w:asciiTheme="minorEastAsia" w:hAnsiTheme="minorEastAsia" w:cstheme="minorEastAsia"/>
          <w:b/>
          <w:color w:val="auto"/>
          <w:sz w:val="24"/>
          <w:szCs w:val="24"/>
          <w:highlight w:val="none"/>
        </w:rPr>
        <w:t>2.技术标准与要求</w:t>
      </w:r>
    </w:p>
    <w:tbl>
      <w:tblPr>
        <w:tblStyle w:val="3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3"/>
        <w:gridCol w:w="933"/>
        <w:gridCol w:w="933"/>
        <w:gridCol w:w="933"/>
        <w:gridCol w:w="933"/>
        <w:gridCol w:w="1407"/>
        <w:gridCol w:w="1534"/>
        <w:gridCol w:w="840"/>
        <w:gridCol w:w="933"/>
      </w:tblGrid>
      <w:tr w14:paraId="1191C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vAlign w:val="center"/>
          </w:tcPr>
          <w:p w14:paraId="4B3BFEEF">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序号</w:t>
            </w:r>
          </w:p>
        </w:tc>
        <w:tc>
          <w:tcPr>
            <w:tcW w:w="933" w:type="dxa"/>
            <w:vAlign w:val="center"/>
          </w:tcPr>
          <w:p w14:paraId="3B0BAC7B">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品目名称</w:t>
            </w:r>
          </w:p>
        </w:tc>
        <w:tc>
          <w:tcPr>
            <w:tcW w:w="933" w:type="dxa"/>
            <w:vAlign w:val="center"/>
          </w:tcPr>
          <w:p w14:paraId="1E2B1FB2">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标的名称</w:t>
            </w:r>
          </w:p>
        </w:tc>
        <w:tc>
          <w:tcPr>
            <w:tcW w:w="933" w:type="dxa"/>
            <w:vAlign w:val="center"/>
          </w:tcPr>
          <w:p w14:paraId="4A99C596">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单位</w:t>
            </w:r>
          </w:p>
        </w:tc>
        <w:tc>
          <w:tcPr>
            <w:tcW w:w="933" w:type="dxa"/>
            <w:vAlign w:val="center"/>
          </w:tcPr>
          <w:p w14:paraId="0BE5E7D4">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数量</w:t>
            </w:r>
          </w:p>
        </w:tc>
        <w:tc>
          <w:tcPr>
            <w:tcW w:w="933" w:type="dxa"/>
            <w:vAlign w:val="center"/>
          </w:tcPr>
          <w:p w14:paraId="7846F2DD">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分项预算单价（元）</w:t>
            </w:r>
          </w:p>
        </w:tc>
        <w:tc>
          <w:tcPr>
            <w:tcW w:w="933" w:type="dxa"/>
            <w:vAlign w:val="center"/>
          </w:tcPr>
          <w:p w14:paraId="4F960A8A">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分项预算总价（元）</w:t>
            </w:r>
          </w:p>
        </w:tc>
        <w:tc>
          <w:tcPr>
            <w:tcW w:w="840" w:type="dxa"/>
            <w:vAlign w:val="center"/>
          </w:tcPr>
          <w:p w14:paraId="0DB03F7D">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所属行业</w:t>
            </w:r>
          </w:p>
        </w:tc>
        <w:tc>
          <w:tcPr>
            <w:tcW w:w="933" w:type="dxa"/>
            <w:vAlign w:val="center"/>
          </w:tcPr>
          <w:p w14:paraId="0B97D8AE">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技术要求</w:t>
            </w:r>
          </w:p>
        </w:tc>
      </w:tr>
      <w:tr w14:paraId="2D16E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vAlign w:val="center"/>
          </w:tcPr>
          <w:p w14:paraId="11325401">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933" w:type="dxa"/>
            <w:vAlign w:val="center"/>
          </w:tcPr>
          <w:p w14:paraId="54BA6604">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物业管理服务</w:t>
            </w:r>
          </w:p>
        </w:tc>
        <w:tc>
          <w:tcPr>
            <w:tcW w:w="933" w:type="dxa"/>
            <w:vAlign w:val="center"/>
          </w:tcPr>
          <w:p w14:paraId="315E3404">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确定一家中标人，为</w:t>
            </w:r>
            <w:r>
              <w:rPr>
                <w:rFonts w:hint="eastAsia" w:asciiTheme="minorEastAsia" w:hAnsiTheme="minorEastAsia" w:cstheme="minorEastAsia"/>
                <w:color w:val="auto"/>
                <w:sz w:val="24"/>
                <w:szCs w:val="24"/>
                <w:highlight w:val="none"/>
                <w:lang w:eastAsia="zh-CN"/>
              </w:rPr>
              <w:t>招标人</w:t>
            </w:r>
            <w:r>
              <w:rPr>
                <w:rFonts w:asciiTheme="minorEastAsia" w:hAnsiTheme="minorEastAsia" w:cstheme="minorEastAsia"/>
                <w:color w:val="auto"/>
                <w:sz w:val="24"/>
                <w:szCs w:val="24"/>
                <w:highlight w:val="none"/>
              </w:rPr>
              <w:t>提供物业管理服务，本项目管理服务内容包括：综合管理服务、物业共用部位和共用设施设备维护、公共秩序维护、保洁服务、绿化养护等五项服务。</w:t>
            </w:r>
          </w:p>
        </w:tc>
        <w:tc>
          <w:tcPr>
            <w:tcW w:w="933" w:type="dxa"/>
            <w:vAlign w:val="center"/>
          </w:tcPr>
          <w:p w14:paraId="3FCA099C">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年</w:t>
            </w:r>
          </w:p>
        </w:tc>
        <w:tc>
          <w:tcPr>
            <w:tcW w:w="933" w:type="dxa"/>
            <w:vAlign w:val="center"/>
          </w:tcPr>
          <w:p w14:paraId="10CCEC9D">
            <w:pPr>
              <w:pStyle w:val="89"/>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8</w:t>
            </w:r>
            <w:r>
              <w:rPr>
                <w:rFonts w:asciiTheme="minorEastAsia" w:hAnsiTheme="minorEastAsia" w:cstheme="minorEastAsia"/>
                <w:color w:val="auto"/>
                <w:sz w:val="24"/>
                <w:szCs w:val="24"/>
                <w:highlight w:val="none"/>
              </w:rPr>
              <w:t>.00</w:t>
            </w:r>
          </w:p>
        </w:tc>
        <w:tc>
          <w:tcPr>
            <w:tcW w:w="933" w:type="dxa"/>
            <w:vAlign w:val="center"/>
          </w:tcPr>
          <w:p w14:paraId="31BF40E7">
            <w:pPr>
              <w:pStyle w:val="89"/>
              <w:jc w:val="center"/>
              <w:rPr>
                <w:rFonts w:hint="default" w:asciiTheme="minorEastAsia" w:hAnsi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lang w:val="en-US" w:eastAsia="zh-CN"/>
              </w:rPr>
              <w:t>5071838.35</w:t>
            </w:r>
          </w:p>
        </w:tc>
        <w:tc>
          <w:tcPr>
            <w:tcW w:w="933" w:type="dxa"/>
            <w:vAlign w:val="center"/>
          </w:tcPr>
          <w:p w14:paraId="615DF52F">
            <w:pPr>
              <w:pStyle w:val="89"/>
              <w:jc w:val="center"/>
              <w:rPr>
                <w:rFonts w:hint="default" w:asciiTheme="minorEastAsia" w:hAnsi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lang w:val="en-US" w:eastAsia="zh-CN"/>
              </w:rPr>
              <w:t>40574706.80</w:t>
            </w:r>
          </w:p>
        </w:tc>
        <w:tc>
          <w:tcPr>
            <w:tcW w:w="840" w:type="dxa"/>
            <w:vAlign w:val="center"/>
          </w:tcPr>
          <w:p w14:paraId="7714B20D">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物业管理</w:t>
            </w:r>
          </w:p>
        </w:tc>
        <w:tc>
          <w:tcPr>
            <w:tcW w:w="933" w:type="dxa"/>
            <w:vAlign w:val="center"/>
          </w:tcPr>
          <w:p w14:paraId="1855581D">
            <w:pPr>
              <w:pStyle w:val="89"/>
              <w:jc w:val="center"/>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详见附表一</w:t>
            </w:r>
          </w:p>
        </w:tc>
      </w:tr>
    </w:tbl>
    <w:p w14:paraId="0DFC9604">
      <w:pPr>
        <w:pStyle w:val="89"/>
        <w:rPr>
          <w:rFonts w:asciiTheme="minorEastAsia" w:hAnsiTheme="minorEastAsia" w:cstheme="minorEastAsia"/>
          <w:color w:val="auto"/>
          <w:sz w:val="24"/>
          <w:szCs w:val="24"/>
          <w:highlight w:val="none"/>
        </w:rPr>
      </w:pPr>
      <w:r>
        <w:rPr>
          <w:rFonts w:asciiTheme="minorEastAsia" w:hAnsiTheme="minorEastAsia" w:cstheme="minorEastAsia"/>
          <w:b/>
          <w:color w:val="auto"/>
          <w:sz w:val="24"/>
          <w:szCs w:val="24"/>
          <w:highlight w:val="none"/>
        </w:rPr>
        <w:t>附表一：确定一家中标人，为</w:t>
      </w:r>
      <w:r>
        <w:rPr>
          <w:rFonts w:hint="eastAsia" w:asciiTheme="minorEastAsia" w:hAnsiTheme="minorEastAsia" w:cstheme="minorEastAsia"/>
          <w:b/>
          <w:color w:val="auto"/>
          <w:sz w:val="24"/>
          <w:szCs w:val="24"/>
          <w:highlight w:val="none"/>
          <w:lang w:eastAsia="zh-CN"/>
        </w:rPr>
        <w:t>招标人</w:t>
      </w:r>
      <w:r>
        <w:rPr>
          <w:rFonts w:asciiTheme="minorEastAsia" w:hAnsiTheme="minorEastAsia" w:cstheme="minorEastAsia"/>
          <w:b/>
          <w:color w:val="auto"/>
          <w:sz w:val="24"/>
          <w:szCs w:val="24"/>
          <w:highlight w:val="none"/>
        </w:rPr>
        <w:t>提供物业管理服务，本项目管理服务内容包括：综合管理服务、物业共用部位和共用设施设备维护、公共秩序维护、保洁服务、绿化养护等五项服务。</w:t>
      </w:r>
    </w:p>
    <w:tbl>
      <w:tblPr>
        <w:tblStyle w:val="3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56"/>
        <w:gridCol w:w="5814"/>
      </w:tblGrid>
      <w:tr w14:paraId="29A7B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1CF8BF">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参数性质</w:t>
            </w:r>
          </w:p>
        </w:tc>
        <w:tc>
          <w:tcPr>
            <w:tcW w:w="415" w:type="dxa"/>
          </w:tcPr>
          <w:p w14:paraId="21017AFF">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序号</w:t>
            </w:r>
          </w:p>
        </w:tc>
        <w:tc>
          <w:tcPr>
            <w:tcW w:w="5814" w:type="dxa"/>
          </w:tcPr>
          <w:p w14:paraId="70B39225">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具体技术</w:t>
            </w:r>
            <w:r>
              <w:rPr>
                <w:rFonts w:hint="eastAsia" w:asciiTheme="minorEastAsia" w:hAnsiTheme="minorEastAsia" w:cstheme="minorEastAsia"/>
                <w:color w:val="auto"/>
                <w:sz w:val="24"/>
                <w:szCs w:val="24"/>
                <w:highlight w:val="none"/>
                <w:lang w:eastAsia="zh-CN"/>
              </w:rPr>
              <w:t>（</w:t>
            </w:r>
            <w:r>
              <w:rPr>
                <w:rFonts w:asciiTheme="minorEastAsia" w:hAnsiTheme="minorEastAsia" w:cstheme="minorEastAsia"/>
                <w:color w:val="auto"/>
                <w:sz w:val="24"/>
                <w:szCs w:val="24"/>
                <w:highlight w:val="none"/>
              </w:rPr>
              <w:t>参数</w:t>
            </w:r>
            <w:r>
              <w:rPr>
                <w:rFonts w:hint="eastAsia" w:asciiTheme="minorEastAsia" w:hAnsiTheme="minorEastAsia" w:cstheme="minorEastAsia"/>
                <w:color w:val="auto"/>
                <w:sz w:val="24"/>
                <w:szCs w:val="24"/>
                <w:highlight w:val="none"/>
                <w:lang w:eastAsia="zh-CN"/>
              </w:rPr>
              <w:t>）</w:t>
            </w:r>
            <w:r>
              <w:rPr>
                <w:rFonts w:asciiTheme="minorEastAsia" w:hAnsiTheme="minorEastAsia" w:cstheme="minorEastAsia"/>
                <w:color w:val="auto"/>
                <w:sz w:val="24"/>
                <w:szCs w:val="24"/>
                <w:highlight w:val="none"/>
              </w:rPr>
              <w:t>要求</w:t>
            </w:r>
          </w:p>
        </w:tc>
      </w:tr>
      <w:tr w14:paraId="53463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D70271">
            <w:pPr>
              <w:rPr>
                <w:rFonts w:hint="eastAsia" w:asciiTheme="minorEastAsia" w:hAnsiTheme="minorEastAsia" w:eastAsiaTheme="minorEastAsia" w:cstheme="minorEastAsia"/>
                <w:color w:val="auto"/>
                <w:sz w:val="24"/>
                <w:highlight w:val="none"/>
              </w:rPr>
            </w:pPr>
          </w:p>
        </w:tc>
        <w:tc>
          <w:tcPr>
            <w:tcW w:w="415" w:type="dxa"/>
          </w:tcPr>
          <w:p w14:paraId="45590B0C">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1</w:t>
            </w:r>
          </w:p>
        </w:tc>
        <w:tc>
          <w:tcPr>
            <w:tcW w:w="5814" w:type="dxa"/>
          </w:tcPr>
          <w:p w14:paraId="0DD8402C">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详见第</w:t>
            </w:r>
            <w:r>
              <w:rPr>
                <w:rFonts w:hint="eastAsia" w:asciiTheme="minorEastAsia" w:hAnsiTheme="minorEastAsia" w:cstheme="minorEastAsia"/>
                <w:color w:val="auto"/>
                <w:sz w:val="24"/>
                <w:szCs w:val="24"/>
                <w:highlight w:val="none"/>
                <w:lang w:val="en-US" w:eastAsia="zh-CN"/>
              </w:rPr>
              <w:t>三部分</w:t>
            </w:r>
            <w:r>
              <w:rPr>
                <w:rFonts w:asciiTheme="minorEastAsia" w:hAnsiTheme="minorEastAsia" w:cstheme="minorEastAsia"/>
                <w:color w:val="auto"/>
                <w:sz w:val="24"/>
                <w:szCs w:val="24"/>
                <w:highlight w:val="none"/>
              </w:rPr>
              <w:t>采购需求。</w:t>
            </w:r>
          </w:p>
        </w:tc>
      </w:tr>
      <w:tr w14:paraId="3BCD3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9573BC">
            <w:pPr>
              <w:pStyle w:val="89"/>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说明</w:t>
            </w:r>
          </w:p>
        </w:tc>
        <w:tc>
          <w:tcPr>
            <w:tcW w:w="6229" w:type="dxa"/>
            <w:gridSpan w:val="2"/>
          </w:tcPr>
          <w:p w14:paraId="212D9E49">
            <w:pPr>
              <w:pStyle w:val="89"/>
              <w:jc w:val="left"/>
              <w:rPr>
                <w:rFonts w:asciiTheme="minorEastAsia" w:hAnsiTheme="minorEastAsia" w:cstheme="minorEastAsia"/>
                <w:color w:val="auto"/>
                <w:sz w:val="24"/>
                <w:szCs w:val="24"/>
                <w:highlight w:val="none"/>
              </w:rPr>
            </w:pPr>
            <w:r>
              <w:rPr>
                <w:rFonts w:asciiTheme="minorEastAsia" w:hAnsiTheme="minorEastAsia" w:cstheme="minorEastAsia"/>
                <w:color w:val="auto"/>
                <w:sz w:val="24"/>
                <w:szCs w:val="24"/>
                <w:highlight w:val="none"/>
              </w:rPr>
              <w:t xml:space="preserve"> 打“★”号条款为实质性条款，若有任何一条负偏离或不满足则导致投标无效。 </w:t>
            </w:r>
            <w:r>
              <w:rPr>
                <w:rFonts w:asciiTheme="minorEastAsia" w:hAnsiTheme="minorEastAsia" w:cstheme="minorEastAsia"/>
                <w:color w:val="auto"/>
                <w:sz w:val="24"/>
                <w:szCs w:val="24"/>
                <w:highlight w:val="none"/>
              </w:rPr>
              <w:br w:type="textWrapping"/>
            </w:r>
            <w:r>
              <w:rPr>
                <w:rFonts w:asciiTheme="minorEastAsia" w:hAnsiTheme="minorEastAsia" w:cstheme="minorEastAsia"/>
                <w:color w:val="auto"/>
                <w:sz w:val="24"/>
                <w:szCs w:val="24"/>
                <w:highlight w:val="none"/>
              </w:rPr>
              <w:t>打“▲”号条款为重要技术参数，若有部分“▲”条款未响应或不满足，将导致其响应性评审加重扣分，但不作为无效投标条款。</w:t>
            </w:r>
          </w:p>
        </w:tc>
      </w:tr>
    </w:tbl>
    <w:p w14:paraId="204BC3D9">
      <w:pPr>
        <w:rPr>
          <w:rFonts w:hint="eastAsia"/>
          <w:b/>
          <w:bCs/>
          <w:color w:val="auto"/>
          <w:sz w:val="32"/>
          <w:szCs w:val="32"/>
          <w:highlight w:val="none"/>
        </w:rPr>
      </w:pPr>
    </w:p>
    <w:p w14:paraId="4A88C4EC">
      <w:pPr>
        <w:pStyle w:val="2"/>
        <w:spacing w:line="400" w:lineRule="exact"/>
        <w:jc w:val="center"/>
        <w:rPr>
          <w:b/>
          <w:bCs/>
          <w:color w:val="auto"/>
          <w:sz w:val="32"/>
          <w:szCs w:val="32"/>
          <w:highlight w:val="none"/>
        </w:rPr>
      </w:pPr>
      <w:r>
        <w:rPr>
          <w:rFonts w:hint="eastAsia"/>
          <w:b/>
          <w:bCs/>
          <w:color w:val="auto"/>
          <w:sz w:val="32"/>
          <w:szCs w:val="32"/>
          <w:highlight w:val="none"/>
        </w:rPr>
        <w:t xml:space="preserve">第四部分 </w:t>
      </w:r>
      <w:bookmarkEnd w:id="142"/>
      <w:r>
        <w:rPr>
          <w:rFonts w:hint="eastAsia"/>
          <w:b/>
          <w:bCs/>
          <w:color w:val="auto"/>
          <w:sz w:val="32"/>
          <w:szCs w:val="32"/>
          <w:highlight w:val="none"/>
        </w:rPr>
        <w:t>合同</w:t>
      </w:r>
      <w:bookmarkEnd w:id="143"/>
      <w:r>
        <w:rPr>
          <w:rFonts w:hint="eastAsia"/>
          <w:b/>
          <w:bCs/>
          <w:color w:val="auto"/>
          <w:sz w:val="32"/>
          <w:szCs w:val="32"/>
          <w:highlight w:val="none"/>
        </w:rPr>
        <w:t>范本</w:t>
      </w:r>
    </w:p>
    <w:p w14:paraId="2D951BEA">
      <w:pPr>
        <w:adjustRightInd w:val="0"/>
        <w:snapToGrid w:val="0"/>
        <w:spacing w:line="1000" w:lineRule="exact"/>
        <w:jc w:val="center"/>
        <w:rPr>
          <w:rFonts w:hint="eastAsia" w:eastAsia="宋体"/>
          <w:b/>
          <w:color w:val="auto"/>
          <w:sz w:val="24"/>
          <w:highlight w:val="none"/>
          <w:lang w:val="en-US" w:eastAsia="zh-CN"/>
        </w:rPr>
      </w:pPr>
      <w:r>
        <w:rPr>
          <w:rFonts w:hint="eastAsia"/>
          <w:b/>
          <w:color w:val="auto"/>
          <w:sz w:val="24"/>
          <w:highlight w:val="none"/>
          <w:lang w:val="en-US" w:eastAsia="zh-CN"/>
        </w:rPr>
        <w:t>另册</w:t>
      </w:r>
    </w:p>
    <w:p w14:paraId="238E7352">
      <w:pPr>
        <w:adjustRightInd w:val="0"/>
        <w:snapToGrid w:val="0"/>
        <w:spacing w:line="1000" w:lineRule="exact"/>
        <w:jc w:val="center"/>
        <w:rPr>
          <w:b/>
          <w:color w:val="auto"/>
          <w:sz w:val="24"/>
          <w:highlight w:val="none"/>
        </w:rPr>
      </w:pPr>
    </w:p>
    <w:p w14:paraId="4AFBD187">
      <w:pPr>
        <w:spacing w:line="360" w:lineRule="auto"/>
        <w:ind w:right="53" w:rightChars="24"/>
        <w:rPr>
          <w:rFonts w:ascii="仿宋_GB2312"/>
          <w:color w:val="auto"/>
          <w:sz w:val="24"/>
          <w:highlight w:val="none"/>
          <w:u w:val="single"/>
        </w:rPr>
      </w:pPr>
      <w:r>
        <w:rPr>
          <w:rFonts w:hint="eastAsia" w:ascii="仿宋_GB2312"/>
          <w:color w:val="auto"/>
          <w:sz w:val="24"/>
          <w:highlight w:val="none"/>
          <w:u w:val="single"/>
        </w:rPr>
        <w:t xml:space="preserve"> </w:t>
      </w:r>
    </w:p>
    <w:p w14:paraId="5FEACC00">
      <w:pPr>
        <w:rPr>
          <w:color w:val="auto"/>
          <w:highlight w:val="none"/>
        </w:rPr>
      </w:pPr>
      <w:r>
        <w:rPr>
          <w:rFonts w:hint="eastAsia"/>
          <w:color w:val="auto"/>
          <w:highlight w:val="none"/>
        </w:rPr>
        <w:br w:type="page"/>
      </w:r>
    </w:p>
    <w:p w14:paraId="5DA30759">
      <w:pPr>
        <w:rPr>
          <w:rFonts w:hAnsi="Times New Roman"/>
          <w:color w:val="auto"/>
          <w:highlight w:val="none"/>
        </w:rPr>
      </w:pPr>
    </w:p>
    <w:p w14:paraId="1657EE02">
      <w:pPr>
        <w:spacing w:line="360" w:lineRule="auto"/>
        <w:jc w:val="center"/>
        <w:outlineLvl w:val="0"/>
        <w:rPr>
          <w:b/>
          <w:bCs/>
          <w:color w:val="auto"/>
          <w:sz w:val="32"/>
          <w:szCs w:val="32"/>
          <w:highlight w:val="none"/>
        </w:rPr>
      </w:pPr>
      <w:bookmarkStart w:id="146" w:name="_Toc86349466"/>
      <w:r>
        <w:rPr>
          <w:rFonts w:hint="eastAsia"/>
          <w:b/>
          <w:bCs/>
          <w:color w:val="auto"/>
          <w:sz w:val="32"/>
          <w:szCs w:val="32"/>
          <w:highlight w:val="none"/>
        </w:rPr>
        <w:t>第</w:t>
      </w:r>
      <w:r>
        <w:rPr>
          <w:rFonts w:hint="eastAsia"/>
          <w:b/>
          <w:bCs/>
          <w:color w:val="auto"/>
          <w:sz w:val="32"/>
          <w:szCs w:val="32"/>
          <w:highlight w:val="none"/>
          <w:lang w:val="en-US"/>
        </w:rPr>
        <w:t>五部分</w:t>
      </w:r>
      <w:r>
        <w:rPr>
          <w:rFonts w:hint="eastAsia"/>
          <w:b/>
          <w:bCs/>
          <w:color w:val="auto"/>
          <w:sz w:val="32"/>
          <w:szCs w:val="32"/>
          <w:highlight w:val="none"/>
        </w:rPr>
        <w:t xml:space="preserve"> 评标办法</w:t>
      </w:r>
      <w:bookmarkEnd w:id="144"/>
      <w:bookmarkEnd w:id="145"/>
      <w:bookmarkEnd w:id="146"/>
    </w:p>
    <w:p w14:paraId="101562C5">
      <w:pPr>
        <w:numPr>
          <w:ilvl w:val="0"/>
          <w:numId w:val="16"/>
        </w:numPr>
        <w:snapToGrid w:val="0"/>
        <w:spacing w:line="360" w:lineRule="auto"/>
        <w:outlineLvl w:val="1"/>
        <w:rPr>
          <w:b/>
          <w:bCs/>
          <w:color w:val="auto"/>
          <w:sz w:val="21"/>
          <w:szCs w:val="21"/>
          <w:highlight w:val="none"/>
        </w:rPr>
      </w:pPr>
      <w:bookmarkStart w:id="147" w:name="_Toc29825805"/>
      <w:bookmarkStart w:id="148" w:name="_Toc368513815"/>
      <w:bookmarkStart w:id="149" w:name="_Toc86349467"/>
      <w:bookmarkStart w:id="150" w:name="_Toc211245887"/>
      <w:bookmarkStart w:id="151" w:name="_Toc205104132"/>
      <w:r>
        <w:rPr>
          <w:rFonts w:hint="eastAsia"/>
          <w:b/>
          <w:color w:val="auto"/>
          <w:sz w:val="21"/>
          <w:szCs w:val="21"/>
          <w:highlight w:val="none"/>
        </w:rPr>
        <w:t>评标委员会</w:t>
      </w:r>
      <w:bookmarkEnd w:id="147"/>
      <w:bookmarkEnd w:id="148"/>
      <w:bookmarkEnd w:id="149"/>
      <w:bookmarkEnd w:id="150"/>
      <w:bookmarkEnd w:id="151"/>
    </w:p>
    <w:p w14:paraId="34627B1A">
      <w:pPr>
        <w:snapToGrid w:val="0"/>
        <w:spacing w:line="360" w:lineRule="auto"/>
        <w:ind w:left="181"/>
        <w:rPr>
          <w:color w:val="auto"/>
          <w:sz w:val="21"/>
          <w:szCs w:val="21"/>
          <w:highlight w:val="none"/>
        </w:rPr>
      </w:pPr>
      <w:r>
        <w:rPr>
          <w:rFonts w:hint="eastAsia"/>
          <w:color w:val="auto"/>
          <w:sz w:val="21"/>
          <w:szCs w:val="21"/>
          <w:highlight w:val="none"/>
          <w:lang w:val="en-US"/>
        </w:rPr>
        <w:t xml:space="preserve">1.1     </w:t>
      </w:r>
      <w:r>
        <w:rPr>
          <w:rFonts w:hint="eastAsia"/>
          <w:color w:val="auto"/>
          <w:sz w:val="21"/>
          <w:szCs w:val="21"/>
          <w:highlight w:val="none"/>
        </w:rPr>
        <w:t>全部评标过程由依法组建的评标委员会负责完成，评标委员会组成详见</w:t>
      </w:r>
      <w:r>
        <w:rPr>
          <w:rFonts w:hint="eastAsia"/>
          <w:color w:val="auto"/>
          <w:sz w:val="21"/>
          <w:highlight w:val="none"/>
        </w:rPr>
        <w:t>投标须知前附表第9项</w:t>
      </w:r>
      <w:r>
        <w:rPr>
          <w:rFonts w:hint="eastAsia"/>
          <w:color w:val="auto"/>
          <w:sz w:val="21"/>
          <w:szCs w:val="21"/>
          <w:highlight w:val="none"/>
        </w:rPr>
        <w:t>。</w:t>
      </w:r>
    </w:p>
    <w:p w14:paraId="55F8A7E9">
      <w:pPr>
        <w:snapToGrid w:val="0"/>
        <w:spacing w:line="360" w:lineRule="auto"/>
        <w:ind w:left="181"/>
        <w:rPr>
          <w:color w:val="auto"/>
          <w:sz w:val="21"/>
          <w:szCs w:val="21"/>
          <w:highlight w:val="none"/>
        </w:rPr>
      </w:pPr>
      <w:r>
        <w:rPr>
          <w:rFonts w:hint="eastAsia"/>
          <w:color w:val="auto"/>
          <w:sz w:val="21"/>
          <w:szCs w:val="21"/>
          <w:highlight w:val="none"/>
          <w:lang w:val="en-US"/>
        </w:rPr>
        <w:t xml:space="preserve">1.2     </w:t>
      </w:r>
      <w:r>
        <w:rPr>
          <w:rFonts w:hint="eastAsia"/>
          <w:color w:val="auto"/>
          <w:sz w:val="21"/>
          <w:szCs w:val="21"/>
          <w:highlight w:val="none"/>
        </w:rPr>
        <w:t>评标委员会名单在招标结果确定前严格保密。</w:t>
      </w:r>
    </w:p>
    <w:p w14:paraId="046FD034">
      <w:pPr>
        <w:snapToGrid w:val="0"/>
        <w:spacing w:line="360" w:lineRule="auto"/>
        <w:ind w:left="181"/>
        <w:rPr>
          <w:color w:val="auto"/>
          <w:sz w:val="21"/>
          <w:szCs w:val="21"/>
          <w:highlight w:val="none"/>
        </w:rPr>
      </w:pPr>
      <w:r>
        <w:rPr>
          <w:rFonts w:hint="eastAsia"/>
          <w:color w:val="auto"/>
          <w:sz w:val="21"/>
          <w:szCs w:val="21"/>
          <w:highlight w:val="none"/>
          <w:lang w:val="en-US"/>
        </w:rPr>
        <w:t xml:space="preserve">1.3     </w:t>
      </w:r>
      <w:r>
        <w:rPr>
          <w:rFonts w:hint="eastAsia"/>
          <w:color w:val="auto"/>
          <w:sz w:val="21"/>
          <w:szCs w:val="21"/>
          <w:highlight w:val="none"/>
        </w:rPr>
        <w:t>评标委员会依法根据招标文件的规定进行投标文件的评审。</w:t>
      </w:r>
    </w:p>
    <w:p w14:paraId="1A10DFF3">
      <w:pPr>
        <w:snapToGrid w:val="0"/>
        <w:spacing w:line="360" w:lineRule="auto"/>
        <w:ind w:left="181"/>
        <w:rPr>
          <w:color w:val="auto"/>
          <w:sz w:val="21"/>
          <w:szCs w:val="21"/>
          <w:highlight w:val="none"/>
        </w:rPr>
      </w:pPr>
      <w:r>
        <w:rPr>
          <w:rFonts w:hint="eastAsia"/>
          <w:color w:val="auto"/>
          <w:sz w:val="21"/>
          <w:szCs w:val="21"/>
          <w:highlight w:val="none"/>
          <w:lang w:val="en-US"/>
        </w:rPr>
        <w:t xml:space="preserve">1.4     </w:t>
      </w:r>
      <w:r>
        <w:rPr>
          <w:rFonts w:hint="eastAsia"/>
          <w:color w:val="auto"/>
          <w:sz w:val="21"/>
          <w:szCs w:val="21"/>
          <w:highlight w:val="none"/>
        </w:rPr>
        <w:t>评标有关记录由评标委员核定并签字，存档备查。</w:t>
      </w:r>
    </w:p>
    <w:p w14:paraId="03029754">
      <w:pPr>
        <w:numPr>
          <w:ilvl w:val="0"/>
          <w:numId w:val="16"/>
        </w:numPr>
        <w:snapToGrid w:val="0"/>
        <w:spacing w:line="360" w:lineRule="auto"/>
        <w:outlineLvl w:val="1"/>
        <w:rPr>
          <w:b/>
          <w:color w:val="auto"/>
          <w:sz w:val="21"/>
          <w:szCs w:val="21"/>
          <w:highlight w:val="none"/>
        </w:rPr>
      </w:pPr>
      <w:bookmarkStart w:id="152" w:name="_Toc29825806"/>
      <w:bookmarkStart w:id="153" w:name="_Toc86349468"/>
      <w:bookmarkStart w:id="154" w:name="_Toc368513816"/>
      <w:r>
        <w:rPr>
          <w:rFonts w:hint="eastAsia"/>
          <w:b/>
          <w:color w:val="auto"/>
          <w:sz w:val="21"/>
          <w:szCs w:val="21"/>
          <w:highlight w:val="none"/>
        </w:rPr>
        <w:t>评标方法</w:t>
      </w:r>
      <w:bookmarkEnd w:id="152"/>
      <w:bookmarkEnd w:id="153"/>
    </w:p>
    <w:p w14:paraId="764F30D7">
      <w:pPr>
        <w:rPr>
          <w:b/>
          <w:color w:val="auto"/>
          <w:sz w:val="21"/>
          <w:szCs w:val="21"/>
          <w:highlight w:val="none"/>
        </w:rPr>
      </w:pPr>
      <w:r>
        <w:rPr>
          <w:rFonts w:hint="eastAsia"/>
          <w:b/>
          <w:color w:val="auto"/>
          <w:sz w:val="21"/>
          <w:szCs w:val="21"/>
          <w:highlight w:val="none"/>
        </w:rPr>
        <w:t xml:space="preserve">     综合评分法。</w:t>
      </w:r>
      <w:bookmarkEnd w:id="154"/>
    </w:p>
    <w:p w14:paraId="01D50833">
      <w:pPr>
        <w:numPr>
          <w:ilvl w:val="0"/>
          <w:numId w:val="16"/>
        </w:numPr>
        <w:snapToGrid w:val="0"/>
        <w:spacing w:line="360" w:lineRule="auto"/>
        <w:outlineLvl w:val="1"/>
        <w:rPr>
          <w:b/>
          <w:color w:val="auto"/>
          <w:sz w:val="21"/>
          <w:szCs w:val="21"/>
          <w:highlight w:val="none"/>
        </w:rPr>
      </w:pPr>
      <w:bookmarkStart w:id="155" w:name="_Toc205104138"/>
      <w:bookmarkStart w:id="156" w:name="_Toc211245893"/>
      <w:bookmarkStart w:id="157" w:name="_Toc368513817"/>
      <w:bookmarkStart w:id="158" w:name="_Toc86349469"/>
      <w:bookmarkStart w:id="159" w:name="_Toc29825807"/>
      <w:r>
        <w:rPr>
          <w:rFonts w:hint="eastAsia"/>
          <w:b/>
          <w:color w:val="auto"/>
          <w:sz w:val="21"/>
          <w:szCs w:val="21"/>
          <w:highlight w:val="none"/>
        </w:rPr>
        <w:t>评标</w:t>
      </w:r>
      <w:bookmarkEnd w:id="155"/>
      <w:bookmarkEnd w:id="156"/>
      <w:r>
        <w:rPr>
          <w:rFonts w:hint="eastAsia"/>
          <w:b/>
          <w:color w:val="auto"/>
          <w:sz w:val="21"/>
          <w:szCs w:val="21"/>
          <w:highlight w:val="none"/>
        </w:rPr>
        <w:t>程序</w:t>
      </w:r>
      <w:bookmarkEnd w:id="157"/>
      <w:bookmarkEnd w:id="158"/>
      <w:bookmarkEnd w:id="159"/>
    </w:p>
    <w:p w14:paraId="2477065D">
      <w:pPr>
        <w:numPr>
          <w:ilvl w:val="0"/>
          <w:numId w:val="17"/>
        </w:numPr>
        <w:snapToGrid w:val="0"/>
        <w:spacing w:line="360" w:lineRule="auto"/>
        <w:ind w:left="709" w:hanging="567"/>
        <w:rPr>
          <w:color w:val="auto"/>
          <w:sz w:val="21"/>
          <w:szCs w:val="21"/>
          <w:highlight w:val="none"/>
        </w:rPr>
      </w:pPr>
      <w:r>
        <w:rPr>
          <w:rFonts w:hint="eastAsia"/>
          <w:color w:val="auto"/>
          <w:sz w:val="21"/>
          <w:szCs w:val="21"/>
          <w:highlight w:val="none"/>
        </w:rPr>
        <w:t>综合评分法评标步骤：项目开标结束后，由本项目评标委员会对投标人的进行资格、符合性审查，以确定其是否满足招标文件的实质性要求。评标委员会对通过资格、符合性审查的投标人进行技术、商务及价格的详细评审。</w:t>
      </w:r>
    </w:p>
    <w:p w14:paraId="4F6A5F30">
      <w:pPr>
        <w:numPr>
          <w:ilvl w:val="1"/>
          <w:numId w:val="18"/>
        </w:numPr>
        <w:spacing w:line="360" w:lineRule="auto"/>
        <w:ind w:left="748" w:hanging="28"/>
        <w:rPr>
          <w:color w:val="auto"/>
          <w:sz w:val="21"/>
          <w:szCs w:val="21"/>
          <w:highlight w:val="none"/>
        </w:rPr>
      </w:pPr>
      <w:r>
        <w:rPr>
          <w:rFonts w:hint="eastAsia"/>
          <w:color w:val="auto"/>
          <w:sz w:val="21"/>
          <w:szCs w:val="21"/>
          <w:highlight w:val="none"/>
        </w:rPr>
        <w:t>资格、符合性审查表（详见附表一）</w:t>
      </w:r>
    </w:p>
    <w:p w14:paraId="10ACFA22">
      <w:pPr>
        <w:numPr>
          <w:ilvl w:val="1"/>
          <w:numId w:val="18"/>
        </w:numPr>
        <w:spacing w:line="360" w:lineRule="auto"/>
        <w:ind w:left="748" w:hanging="28"/>
        <w:rPr>
          <w:color w:val="auto"/>
          <w:sz w:val="21"/>
          <w:szCs w:val="21"/>
          <w:highlight w:val="none"/>
        </w:rPr>
      </w:pPr>
      <w:r>
        <w:rPr>
          <w:rFonts w:hint="eastAsia"/>
          <w:color w:val="auto"/>
          <w:sz w:val="21"/>
          <w:szCs w:val="21"/>
          <w:highlight w:val="none"/>
          <w:lang w:val="en-US" w:eastAsia="zh-CN"/>
        </w:rPr>
        <w:t>综合评分</w:t>
      </w:r>
      <w:r>
        <w:rPr>
          <w:rFonts w:hint="eastAsia"/>
          <w:color w:val="auto"/>
          <w:sz w:val="21"/>
          <w:szCs w:val="21"/>
          <w:highlight w:val="none"/>
        </w:rPr>
        <w:t>表（详见附表二）</w:t>
      </w:r>
    </w:p>
    <w:p w14:paraId="234CCA13">
      <w:pPr>
        <w:snapToGrid w:val="0"/>
        <w:spacing w:line="360" w:lineRule="auto"/>
        <w:ind w:left="420" w:firstLine="0" w:firstLineChars="0"/>
        <w:rPr>
          <w:rFonts w:hint="eastAsia"/>
          <w:color w:val="auto"/>
          <w:sz w:val="21"/>
          <w:szCs w:val="21"/>
          <w:highlight w:val="none"/>
        </w:rPr>
      </w:pPr>
      <w:r>
        <w:rPr>
          <w:rFonts w:hint="eastAsia"/>
          <w:b/>
          <w:color w:val="auto"/>
          <w:sz w:val="21"/>
          <w:szCs w:val="21"/>
          <w:highlight w:val="none"/>
        </w:rPr>
        <w:t>比较与评价。</w:t>
      </w:r>
      <w:r>
        <w:rPr>
          <w:rFonts w:hint="eastAsia"/>
          <w:color w:val="auto"/>
          <w:sz w:val="21"/>
          <w:szCs w:val="21"/>
          <w:highlight w:val="none"/>
        </w:rPr>
        <w:t>评标委员会按招标文件中规定的评标方法和标准，对资格审查和符合性审查合格的投标文件进行商务和技术评估，综合比较与评价。技术、商务、价格部分分值分配如下：</w:t>
      </w:r>
    </w:p>
    <w:p w14:paraId="51CF2358">
      <w:pPr>
        <w:snapToGrid w:val="0"/>
        <w:spacing w:line="360" w:lineRule="auto"/>
        <w:ind w:left="420" w:firstLine="0" w:firstLineChars="0"/>
        <w:rPr>
          <w:rFonts w:hint="eastAsia"/>
          <w:color w:val="auto"/>
          <w:sz w:val="21"/>
          <w:szCs w:val="21"/>
          <w:highlight w:val="none"/>
        </w:rPr>
      </w:pPr>
      <w:r>
        <w:rPr>
          <w:rFonts w:hint="eastAsia"/>
          <w:color w:val="auto"/>
          <w:sz w:val="21"/>
          <w:szCs w:val="21"/>
          <w:highlight w:val="none"/>
          <w:lang w:val="en-US" w:eastAsia="zh-CN"/>
        </w:rPr>
        <w:t>总分（100分）=</w:t>
      </w:r>
      <w:r>
        <w:rPr>
          <w:rFonts w:hint="eastAsia"/>
          <w:color w:val="auto"/>
          <w:sz w:val="21"/>
          <w:szCs w:val="21"/>
          <w:highlight w:val="none"/>
        </w:rPr>
        <w:t>技术部分50.0分</w:t>
      </w:r>
      <w:r>
        <w:rPr>
          <w:rFonts w:hint="eastAsia"/>
          <w:color w:val="auto"/>
          <w:sz w:val="21"/>
          <w:szCs w:val="21"/>
          <w:highlight w:val="none"/>
          <w:lang w:val="en-US" w:eastAsia="zh-CN"/>
        </w:rPr>
        <w:t>+</w:t>
      </w:r>
      <w:r>
        <w:rPr>
          <w:rFonts w:hint="eastAsia"/>
          <w:color w:val="auto"/>
          <w:sz w:val="21"/>
          <w:szCs w:val="21"/>
          <w:highlight w:val="none"/>
        </w:rPr>
        <w:t>商务部分35.0分</w:t>
      </w:r>
      <w:r>
        <w:rPr>
          <w:rFonts w:hint="eastAsia"/>
          <w:color w:val="auto"/>
          <w:sz w:val="21"/>
          <w:szCs w:val="21"/>
          <w:highlight w:val="none"/>
          <w:lang w:val="en-US" w:eastAsia="zh-CN"/>
        </w:rPr>
        <w:t>+</w:t>
      </w:r>
      <w:r>
        <w:rPr>
          <w:rFonts w:hint="eastAsia"/>
          <w:color w:val="auto"/>
          <w:sz w:val="21"/>
          <w:szCs w:val="21"/>
          <w:highlight w:val="none"/>
        </w:rPr>
        <w:t>报价得分10.0分</w:t>
      </w:r>
      <w:r>
        <w:rPr>
          <w:rFonts w:hint="eastAsia"/>
          <w:color w:val="auto"/>
          <w:sz w:val="21"/>
          <w:szCs w:val="21"/>
          <w:highlight w:val="none"/>
          <w:lang w:val="en-US" w:eastAsia="zh-CN"/>
        </w:rPr>
        <w:t>+</w:t>
      </w:r>
      <w:r>
        <w:rPr>
          <w:rFonts w:hint="eastAsia"/>
          <w:color w:val="auto"/>
          <w:sz w:val="21"/>
          <w:szCs w:val="21"/>
          <w:highlight w:val="none"/>
        </w:rPr>
        <w:t>综合信用分5.0分</w:t>
      </w:r>
    </w:p>
    <w:p w14:paraId="3F6ABF4A">
      <w:pPr>
        <w:numPr>
          <w:ilvl w:val="0"/>
          <w:numId w:val="17"/>
        </w:numPr>
        <w:snapToGrid w:val="0"/>
        <w:spacing w:line="360" w:lineRule="auto"/>
        <w:ind w:left="709" w:hanging="567"/>
        <w:rPr>
          <w:b/>
          <w:color w:val="auto"/>
          <w:sz w:val="21"/>
          <w:szCs w:val="21"/>
          <w:highlight w:val="none"/>
        </w:rPr>
      </w:pPr>
    </w:p>
    <w:p w14:paraId="2C6FB4E6">
      <w:pPr>
        <w:snapToGrid w:val="0"/>
        <w:spacing w:line="360" w:lineRule="auto"/>
        <w:ind w:left="420" w:firstLine="420" w:firstLineChars="200"/>
        <w:rPr>
          <w:color w:val="auto"/>
          <w:sz w:val="21"/>
          <w:szCs w:val="21"/>
          <w:highlight w:val="none"/>
        </w:rPr>
      </w:pPr>
      <w:r>
        <w:rPr>
          <w:rFonts w:hint="eastAsia"/>
          <w:color w:val="auto"/>
          <w:sz w:val="21"/>
          <w:szCs w:val="21"/>
          <w:highlight w:val="none"/>
        </w:rPr>
        <w:t>具体量化打分标准如下：</w:t>
      </w:r>
    </w:p>
    <w:p w14:paraId="0EDEFC60">
      <w:pPr>
        <w:numPr>
          <w:ilvl w:val="0"/>
          <w:numId w:val="19"/>
        </w:numPr>
        <w:snapToGrid w:val="0"/>
        <w:spacing w:line="360" w:lineRule="auto"/>
        <w:rPr>
          <w:b/>
          <w:color w:val="auto"/>
          <w:sz w:val="21"/>
          <w:szCs w:val="21"/>
          <w:highlight w:val="none"/>
        </w:rPr>
      </w:pPr>
      <w:r>
        <w:rPr>
          <w:rFonts w:hint="eastAsia"/>
          <w:b/>
          <w:color w:val="auto"/>
          <w:sz w:val="21"/>
          <w:szCs w:val="21"/>
          <w:highlight w:val="none"/>
        </w:rPr>
        <w:t>技术、商务评分：</w:t>
      </w:r>
    </w:p>
    <w:p w14:paraId="66330693">
      <w:pPr>
        <w:snapToGrid w:val="0"/>
        <w:spacing w:line="360" w:lineRule="auto"/>
        <w:ind w:left="420"/>
        <w:rPr>
          <w:color w:val="auto"/>
          <w:sz w:val="21"/>
          <w:szCs w:val="21"/>
          <w:highlight w:val="none"/>
        </w:rPr>
      </w:pPr>
      <w:r>
        <w:rPr>
          <w:rFonts w:hint="eastAsia"/>
          <w:color w:val="auto"/>
          <w:sz w:val="21"/>
          <w:szCs w:val="21"/>
          <w:highlight w:val="none"/>
        </w:rPr>
        <w:t>评标委员会分别对各投标的技术、商务响应文件中的各项内容进行评议比较，详细对比其技术、商务方案等各种因素方面是否满足招标文件的要求。在技术、商务评审表的相应项各自记名打分</w:t>
      </w:r>
    </w:p>
    <w:p w14:paraId="503AD095">
      <w:pPr>
        <w:numPr>
          <w:ilvl w:val="0"/>
          <w:numId w:val="19"/>
        </w:numPr>
        <w:snapToGrid w:val="0"/>
        <w:spacing w:line="360" w:lineRule="auto"/>
        <w:rPr>
          <w:b/>
          <w:color w:val="auto"/>
          <w:sz w:val="21"/>
          <w:szCs w:val="21"/>
          <w:highlight w:val="none"/>
        </w:rPr>
      </w:pPr>
      <w:r>
        <w:rPr>
          <w:rFonts w:hint="eastAsia"/>
          <w:b/>
          <w:color w:val="auto"/>
          <w:sz w:val="21"/>
          <w:szCs w:val="21"/>
          <w:highlight w:val="none"/>
        </w:rPr>
        <w:t>技术商务得分统计</w:t>
      </w:r>
    </w:p>
    <w:p w14:paraId="0904E201">
      <w:pPr>
        <w:numPr>
          <w:ilvl w:val="1"/>
          <w:numId w:val="19"/>
        </w:numPr>
        <w:autoSpaceDE/>
        <w:spacing w:line="360" w:lineRule="auto"/>
        <w:ind w:left="0" w:firstLine="0"/>
        <w:jc w:val="both"/>
        <w:rPr>
          <w:color w:val="auto"/>
          <w:sz w:val="21"/>
          <w:szCs w:val="21"/>
          <w:highlight w:val="none"/>
        </w:rPr>
      </w:pPr>
      <w:r>
        <w:rPr>
          <w:rFonts w:hint="eastAsia"/>
          <w:color w:val="auto"/>
          <w:sz w:val="21"/>
          <w:szCs w:val="21"/>
          <w:highlight w:val="none"/>
        </w:rPr>
        <w:t>将所有评委的技术评分的算术平均值即为每个有效投标人的技术得分（四舍五入后，精确到0.01）。</w:t>
      </w:r>
    </w:p>
    <w:p w14:paraId="59C2DEB1">
      <w:pPr>
        <w:numPr>
          <w:ilvl w:val="1"/>
          <w:numId w:val="19"/>
        </w:numPr>
        <w:autoSpaceDE/>
        <w:spacing w:line="360" w:lineRule="auto"/>
        <w:ind w:left="0" w:firstLine="0"/>
        <w:jc w:val="both"/>
        <w:rPr>
          <w:color w:val="auto"/>
          <w:sz w:val="21"/>
          <w:szCs w:val="21"/>
          <w:highlight w:val="none"/>
        </w:rPr>
      </w:pPr>
      <w:r>
        <w:rPr>
          <w:rFonts w:hint="eastAsia"/>
          <w:color w:val="auto"/>
          <w:sz w:val="21"/>
          <w:szCs w:val="21"/>
          <w:highlight w:val="none"/>
        </w:rPr>
        <w:t>将所有评委的商务评分的算术平均值即为每个有效投标人的商务得分（四舍五入后，精确到0.01）。</w:t>
      </w:r>
    </w:p>
    <w:p w14:paraId="057ADB7A">
      <w:pPr>
        <w:numPr>
          <w:ilvl w:val="1"/>
          <w:numId w:val="19"/>
        </w:numPr>
        <w:autoSpaceDE/>
        <w:spacing w:line="360" w:lineRule="auto"/>
        <w:ind w:left="0" w:firstLine="0"/>
        <w:jc w:val="both"/>
        <w:rPr>
          <w:color w:val="auto"/>
          <w:sz w:val="21"/>
          <w:szCs w:val="21"/>
          <w:highlight w:val="none"/>
        </w:rPr>
      </w:pPr>
      <w:r>
        <w:rPr>
          <w:rFonts w:hint="eastAsia"/>
          <w:color w:val="auto"/>
          <w:sz w:val="21"/>
          <w:szCs w:val="21"/>
          <w:highlight w:val="none"/>
        </w:rPr>
        <w:t>将技术得分、商务得分相加得出商务技术得分。</w:t>
      </w:r>
    </w:p>
    <w:p w14:paraId="6F23173F">
      <w:pPr>
        <w:numPr>
          <w:ilvl w:val="0"/>
          <w:numId w:val="19"/>
        </w:numPr>
        <w:snapToGrid w:val="0"/>
        <w:spacing w:line="360" w:lineRule="auto"/>
        <w:rPr>
          <w:b/>
          <w:color w:val="auto"/>
          <w:sz w:val="21"/>
          <w:szCs w:val="21"/>
          <w:highlight w:val="none"/>
        </w:rPr>
      </w:pPr>
      <w:r>
        <w:rPr>
          <w:rFonts w:hint="eastAsia"/>
          <w:b/>
          <w:color w:val="auto"/>
          <w:sz w:val="21"/>
          <w:szCs w:val="21"/>
          <w:highlight w:val="none"/>
        </w:rPr>
        <w:t>价格核准和评分</w:t>
      </w:r>
    </w:p>
    <w:p w14:paraId="3E647040">
      <w:pPr>
        <w:spacing w:line="360" w:lineRule="auto"/>
        <w:ind w:firstLine="413" w:firstLineChars="196"/>
        <w:rPr>
          <w:b/>
          <w:color w:val="auto"/>
          <w:sz w:val="21"/>
          <w:szCs w:val="21"/>
          <w:highlight w:val="none"/>
          <w:u w:val="single"/>
        </w:rPr>
      </w:pPr>
      <w:r>
        <w:rPr>
          <w:rFonts w:hint="eastAsia"/>
          <w:b/>
          <w:color w:val="auto"/>
          <w:sz w:val="21"/>
          <w:szCs w:val="21"/>
          <w:highlight w:val="none"/>
          <w:u w:val="single"/>
        </w:rPr>
        <w:t>评标委员会认为投标人的报价明显低于其他通过符合性审查投标人的报价，有可能影响产品质量或者不能诚信履约的，将要求其在评标现场在评委规定的时间内提供书面说明，必要时提交相关证明材料；投标人不能证明其报价合理性的，评标委员会将其作为无效投标处理。</w:t>
      </w:r>
    </w:p>
    <w:p w14:paraId="447BD8A5">
      <w:pPr>
        <w:spacing w:line="360" w:lineRule="auto"/>
        <w:ind w:firstLine="413" w:firstLineChars="196"/>
        <w:rPr>
          <w:color w:val="auto"/>
          <w:sz w:val="21"/>
          <w:szCs w:val="21"/>
          <w:highlight w:val="none"/>
        </w:rPr>
      </w:pPr>
      <w:r>
        <w:rPr>
          <w:rFonts w:hint="eastAsia"/>
          <w:b/>
          <w:color w:val="auto"/>
          <w:sz w:val="21"/>
          <w:szCs w:val="21"/>
          <w:highlight w:val="none"/>
        </w:rPr>
        <w:t>价格的核准：</w:t>
      </w:r>
    </w:p>
    <w:p w14:paraId="12CDD0D7">
      <w:pPr>
        <w:spacing w:line="360" w:lineRule="auto"/>
        <w:ind w:firstLine="420" w:firstLineChars="200"/>
        <w:rPr>
          <w:color w:val="auto"/>
          <w:sz w:val="21"/>
          <w:szCs w:val="21"/>
          <w:highlight w:val="none"/>
        </w:rPr>
      </w:pPr>
      <w:r>
        <w:rPr>
          <w:rFonts w:hint="eastAsia"/>
          <w:color w:val="auto"/>
          <w:sz w:val="21"/>
          <w:szCs w:val="21"/>
          <w:highlight w:val="none"/>
        </w:rPr>
        <w:t>评委先对通过资格、符合性审查的投标人的投标报价进行复核，投标文件报价出现前后不一致的，按照下列规定修正：</w:t>
      </w:r>
    </w:p>
    <w:p w14:paraId="6EDC3E0B">
      <w:pPr>
        <w:spacing w:line="360" w:lineRule="auto"/>
        <w:ind w:firstLine="420" w:firstLineChars="200"/>
        <w:rPr>
          <w:color w:val="auto"/>
          <w:sz w:val="21"/>
          <w:szCs w:val="21"/>
          <w:highlight w:val="none"/>
        </w:rPr>
      </w:pPr>
      <w:r>
        <w:rPr>
          <w:rFonts w:hint="eastAsia"/>
          <w:color w:val="auto"/>
          <w:sz w:val="21"/>
          <w:szCs w:val="21"/>
          <w:highlight w:val="none"/>
        </w:rPr>
        <w:t>a.投标文件中开标一览表内容与投标文件中相应内容不一致的，以开标一览表为准；</w:t>
      </w:r>
    </w:p>
    <w:p w14:paraId="3D0A071D">
      <w:pPr>
        <w:spacing w:line="360" w:lineRule="auto"/>
        <w:ind w:firstLine="420" w:firstLineChars="200"/>
        <w:rPr>
          <w:color w:val="auto"/>
          <w:sz w:val="21"/>
          <w:szCs w:val="21"/>
          <w:highlight w:val="none"/>
        </w:rPr>
      </w:pPr>
      <w:r>
        <w:rPr>
          <w:rFonts w:hint="eastAsia"/>
          <w:color w:val="auto"/>
          <w:sz w:val="21"/>
          <w:szCs w:val="21"/>
          <w:highlight w:val="none"/>
        </w:rPr>
        <w:t>b.大写金额和小写金额不一致的，以大写金额为准；</w:t>
      </w:r>
    </w:p>
    <w:p w14:paraId="4C132DD4">
      <w:pPr>
        <w:spacing w:line="360" w:lineRule="auto"/>
        <w:ind w:firstLine="420" w:firstLineChars="200"/>
        <w:rPr>
          <w:color w:val="auto"/>
          <w:sz w:val="21"/>
          <w:szCs w:val="21"/>
          <w:highlight w:val="none"/>
        </w:rPr>
      </w:pPr>
      <w:r>
        <w:rPr>
          <w:rFonts w:hint="eastAsia"/>
          <w:color w:val="auto"/>
          <w:sz w:val="21"/>
          <w:szCs w:val="21"/>
          <w:highlight w:val="none"/>
        </w:rPr>
        <w:t>c.单价金额小数点或者百分比有明显错位的，以开标一览表的总价为准，并修改单价；</w:t>
      </w:r>
    </w:p>
    <w:p w14:paraId="0C120F0B">
      <w:pPr>
        <w:spacing w:line="360" w:lineRule="auto"/>
        <w:ind w:firstLine="420" w:firstLineChars="200"/>
        <w:rPr>
          <w:color w:val="auto"/>
          <w:sz w:val="21"/>
          <w:szCs w:val="21"/>
          <w:highlight w:val="none"/>
        </w:rPr>
      </w:pPr>
      <w:r>
        <w:rPr>
          <w:rFonts w:hint="eastAsia"/>
          <w:color w:val="auto"/>
          <w:sz w:val="21"/>
          <w:szCs w:val="21"/>
          <w:highlight w:val="none"/>
        </w:rPr>
        <w:t>d.总价金额与按单价汇总金额不一致的，以单价金额计算结果为准。</w:t>
      </w:r>
    </w:p>
    <w:p w14:paraId="7FFF5462">
      <w:pPr>
        <w:spacing w:line="360"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同时出现两种以上不一致的，按照前款规定的顺序修正。对不同文字文本投标文件的解释发生异议的，以中文文本为准。</w:t>
      </w:r>
    </w:p>
    <w:p w14:paraId="32A6A644">
      <w:pPr>
        <w:spacing w:line="360" w:lineRule="auto"/>
        <w:ind w:firstLine="420" w:firstLineChars="200"/>
        <w:rPr>
          <w:color w:val="auto"/>
          <w:sz w:val="21"/>
          <w:szCs w:val="21"/>
          <w:highlight w:val="none"/>
        </w:rPr>
      </w:pPr>
      <w:r>
        <w:rPr>
          <w:rFonts w:hint="eastAsia"/>
          <w:color w:val="auto"/>
          <w:sz w:val="21"/>
          <w:szCs w:val="21"/>
          <w:highlight w:val="none"/>
        </w:rPr>
        <w:t>对投标货物/服务的费用漏项部分，投标人自担风险，视作已含在投标报价中，并以开标一览表价格签订合同。</w:t>
      </w:r>
    </w:p>
    <w:p w14:paraId="37CF8A71">
      <w:pPr>
        <w:spacing w:line="360" w:lineRule="auto"/>
        <w:ind w:firstLine="411" w:firstLineChars="196"/>
        <w:rPr>
          <w:color w:val="auto"/>
          <w:sz w:val="21"/>
          <w:szCs w:val="21"/>
          <w:highlight w:val="none"/>
        </w:rPr>
      </w:pPr>
      <w:r>
        <w:rPr>
          <w:rFonts w:hint="eastAsia"/>
          <w:color w:val="auto"/>
          <w:sz w:val="21"/>
          <w:szCs w:val="21"/>
          <w:highlight w:val="none"/>
        </w:rPr>
        <w:t>对出现以上情况或因明显笔误而需修正任何内容时，均以评委会审定通过方为有效。</w:t>
      </w:r>
      <w:r>
        <w:rPr>
          <w:rFonts w:hint="eastAsia"/>
          <w:b/>
          <w:color w:val="auto"/>
          <w:sz w:val="21"/>
          <w:szCs w:val="21"/>
          <w:highlight w:val="none"/>
          <w:u w:val="single"/>
        </w:rPr>
        <w:t>按上述修正错误的方法调整后的投标报价，需由投标人加盖公章或者由法定代表人或其授权的代表签字确认。投标报价经投标人确认后产生约束力，投标人不确认的，其投标无效。</w:t>
      </w:r>
    </w:p>
    <w:p w14:paraId="60AC51BE">
      <w:pPr>
        <w:snapToGrid w:val="0"/>
        <w:spacing w:line="360" w:lineRule="auto"/>
        <w:ind w:firstLine="422" w:firstLineChars="200"/>
        <w:rPr>
          <w:b/>
          <w:color w:val="auto"/>
          <w:sz w:val="21"/>
          <w:szCs w:val="21"/>
          <w:highlight w:val="none"/>
        </w:rPr>
      </w:pPr>
      <w:r>
        <w:rPr>
          <w:rFonts w:hint="eastAsia"/>
          <w:b/>
          <w:color w:val="auto"/>
          <w:sz w:val="21"/>
          <w:szCs w:val="21"/>
          <w:highlight w:val="none"/>
        </w:rPr>
        <w:t>价格评分：详见《价格评审表》。</w:t>
      </w:r>
    </w:p>
    <w:p w14:paraId="31822C2F">
      <w:pPr>
        <w:numPr>
          <w:ilvl w:val="0"/>
          <w:numId w:val="16"/>
        </w:numPr>
        <w:snapToGrid w:val="0"/>
        <w:spacing w:line="360" w:lineRule="auto"/>
        <w:outlineLvl w:val="1"/>
        <w:rPr>
          <w:b/>
          <w:color w:val="auto"/>
          <w:sz w:val="21"/>
          <w:szCs w:val="21"/>
          <w:highlight w:val="none"/>
        </w:rPr>
      </w:pPr>
      <w:bookmarkStart w:id="160" w:name="_Toc86349470"/>
      <w:bookmarkStart w:id="161" w:name="_Toc29825808"/>
      <w:r>
        <w:rPr>
          <w:rFonts w:hint="eastAsia"/>
          <w:b/>
          <w:color w:val="auto"/>
          <w:sz w:val="21"/>
          <w:szCs w:val="21"/>
          <w:highlight w:val="none"/>
        </w:rPr>
        <w:t>推荐中标候选人名单</w:t>
      </w:r>
      <w:bookmarkEnd w:id="160"/>
      <w:bookmarkEnd w:id="161"/>
    </w:p>
    <w:p w14:paraId="59A0D9A8">
      <w:pPr>
        <w:snapToGrid w:val="0"/>
        <w:spacing w:line="360" w:lineRule="auto"/>
        <w:ind w:firstLine="420" w:firstLineChars="200"/>
        <w:rPr>
          <w:color w:val="auto"/>
          <w:sz w:val="21"/>
          <w:highlight w:val="none"/>
        </w:rPr>
      </w:pPr>
      <w:r>
        <w:rPr>
          <w:rFonts w:hint="eastAsia"/>
          <w:color w:val="auto"/>
          <w:sz w:val="21"/>
          <w:highlight w:val="none"/>
        </w:rPr>
        <w:t>详见投标须知前附表第12项。</w:t>
      </w:r>
    </w:p>
    <w:p w14:paraId="46215875">
      <w:pPr>
        <w:numPr>
          <w:ilvl w:val="0"/>
          <w:numId w:val="16"/>
        </w:numPr>
        <w:snapToGrid w:val="0"/>
        <w:spacing w:line="360" w:lineRule="auto"/>
        <w:outlineLvl w:val="1"/>
        <w:rPr>
          <w:b/>
          <w:color w:val="auto"/>
          <w:sz w:val="21"/>
          <w:szCs w:val="21"/>
          <w:highlight w:val="none"/>
        </w:rPr>
      </w:pPr>
      <w:bookmarkStart w:id="162" w:name="_Toc86349471"/>
      <w:r>
        <w:rPr>
          <w:rFonts w:hint="eastAsia"/>
          <w:b/>
          <w:color w:val="auto"/>
          <w:sz w:val="21"/>
          <w:szCs w:val="21"/>
          <w:highlight w:val="none"/>
        </w:rPr>
        <w:t>采购结果</w:t>
      </w:r>
      <w:bookmarkEnd w:id="162"/>
    </w:p>
    <w:p w14:paraId="471B0D86">
      <w:pPr>
        <w:numPr>
          <w:ilvl w:val="1"/>
          <w:numId w:val="16"/>
        </w:numPr>
        <w:snapToGrid w:val="0"/>
        <w:spacing w:line="360" w:lineRule="auto"/>
        <w:rPr>
          <w:color w:val="auto"/>
          <w:sz w:val="21"/>
          <w:szCs w:val="21"/>
          <w:highlight w:val="none"/>
        </w:rPr>
      </w:pPr>
      <w:r>
        <w:rPr>
          <w:rFonts w:hint="eastAsia"/>
          <w:color w:val="auto"/>
          <w:sz w:val="21"/>
          <w:szCs w:val="21"/>
          <w:highlight w:val="none"/>
          <w:lang w:eastAsia="zh-CN"/>
        </w:rPr>
        <w:t>招标代理机构</w:t>
      </w:r>
      <w:r>
        <w:rPr>
          <w:rFonts w:hint="eastAsia"/>
          <w:color w:val="auto"/>
          <w:sz w:val="21"/>
          <w:szCs w:val="21"/>
          <w:highlight w:val="none"/>
        </w:rPr>
        <w:t>自评审结束之日起2个工作日内将评审报告和推荐中标意见送交</w:t>
      </w:r>
      <w:r>
        <w:rPr>
          <w:rFonts w:hint="eastAsia"/>
          <w:color w:val="auto"/>
          <w:sz w:val="21"/>
          <w:szCs w:val="21"/>
          <w:highlight w:val="none"/>
          <w:lang w:eastAsia="zh-CN"/>
        </w:rPr>
        <w:t>招标人</w:t>
      </w:r>
      <w:r>
        <w:rPr>
          <w:rFonts w:hint="eastAsia"/>
          <w:color w:val="auto"/>
          <w:sz w:val="21"/>
          <w:szCs w:val="21"/>
          <w:highlight w:val="none"/>
        </w:rPr>
        <w:t>。</w:t>
      </w:r>
      <w:r>
        <w:rPr>
          <w:rFonts w:hint="eastAsia"/>
          <w:color w:val="auto"/>
          <w:sz w:val="21"/>
          <w:szCs w:val="21"/>
          <w:highlight w:val="none"/>
          <w:lang w:eastAsia="zh-CN"/>
        </w:rPr>
        <w:t>招标人</w:t>
      </w:r>
      <w:r>
        <w:rPr>
          <w:rFonts w:hint="eastAsia"/>
          <w:color w:val="auto"/>
          <w:sz w:val="21"/>
          <w:szCs w:val="21"/>
          <w:highlight w:val="none"/>
        </w:rPr>
        <w:t>自收到评审报告之日起3个工作日内在评审报告推荐的中标候选人中按顺序确定中标供应商。经</w:t>
      </w:r>
      <w:r>
        <w:rPr>
          <w:rFonts w:hint="eastAsia"/>
          <w:color w:val="auto"/>
          <w:sz w:val="21"/>
          <w:szCs w:val="21"/>
          <w:highlight w:val="none"/>
          <w:lang w:eastAsia="zh-CN"/>
        </w:rPr>
        <w:t>招标人</w:t>
      </w:r>
      <w:r>
        <w:rPr>
          <w:rFonts w:hint="eastAsia"/>
          <w:color w:val="auto"/>
          <w:sz w:val="21"/>
          <w:szCs w:val="21"/>
          <w:highlight w:val="none"/>
        </w:rPr>
        <w:t>确认后，</w:t>
      </w:r>
      <w:r>
        <w:rPr>
          <w:rFonts w:hint="eastAsia"/>
          <w:color w:val="auto"/>
          <w:sz w:val="21"/>
          <w:szCs w:val="21"/>
          <w:highlight w:val="none"/>
          <w:lang w:eastAsia="zh-CN"/>
        </w:rPr>
        <w:t>招标代理机构</w:t>
      </w:r>
      <w:r>
        <w:rPr>
          <w:rFonts w:hint="eastAsia"/>
          <w:color w:val="auto"/>
          <w:sz w:val="21"/>
          <w:szCs w:val="21"/>
          <w:highlight w:val="none"/>
        </w:rPr>
        <w:t>在2个工作日内将中标公告在投标邀请规定的媒体上进行发布。</w:t>
      </w:r>
    </w:p>
    <w:p w14:paraId="3F0F5325">
      <w:pPr>
        <w:pStyle w:val="16"/>
        <w:rPr>
          <w:rFonts w:hAnsi="宋体"/>
          <w:b/>
          <w:bCs/>
          <w:color w:val="auto"/>
          <w:sz w:val="28"/>
          <w:highlight w:val="none"/>
        </w:rPr>
      </w:pPr>
    </w:p>
    <w:p w14:paraId="5A1C23CB">
      <w:pPr>
        <w:pStyle w:val="12"/>
        <w:rPr>
          <w:color w:val="auto"/>
          <w:highlight w:val="none"/>
        </w:rPr>
      </w:pPr>
      <w:r>
        <w:rPr>
          <w:rFonts w:hint="eastAsia"/>
          <w:color w:val="auto"/>
          <w:highlight w:val="none"/>
        </w:rPr>
        <w:t xml:space="preserve"> </w:t>
      </w:r>
    </w:p>
    <w:p w14:paraId="6ACE1855">
      <w:pPr>
        <w:pStyle w:val="16"/>
        <w:rPr>
          <w:rFonts w:hAnsi="宋体"/>
          <w:b/>
          <w:bCs/>
          <w:color w:val="auto"/>
          <w:sz w:val="28"/>
          <w:highlight w:val="none"/>
        </w:rPr>
      </w:pPr>
    </w:p>
    <w:p w14:paraId="380F335F">
      <w:pPr>
        <w:pStyle w:val="3"/>
        <w:spacing w:line="360" w:lineRule="auto"/>
        <w:jc w:val="center"/>
        <w:rPr>
          <w:rFonts w:ascii="宋体" w:hAnsi="宋体" w:eastAsia="宋体" w:cs="宋体"/>
          <w:color w:val="auto"/>
          <w:highlight w:val="none"/>
        </w:rPr>
      </w:pPr>
      <w:r>
        <w:rPr>
          <w:rFonts w:hint="eastAsia"/>
          <w:b w:val="0"/>
          <w:color w:val="auto"/>
          <w:highlight w:val="none"/>
        </w:rPr>
        <w:br w:type="page"/>
      </w:r>
      <w:bookmarkStart w:id="163" w:name="_Toc86349472"/>
      <w:r>
        <w:rPr>
          <w:rFonts w:hint="eastAsia" w:ascii="宋体" w:hAnsi="宋体" w:eastAsia="宋体" w:cs="宋体"/>
          <w:color w:val="auto"/>
          <w:highlight w:val="none"/>
        </w:rPr>
        <w:t>附表一：资格、符合性审查表</w:t>
      </w:r>
      <w:bookmarkEnd w:id="163"/>
    </w:p>
    <w:p w14:paraId="39822A81">
      <w:pPr>
        <w:spacing w:line="400" w:lineRule="exact"/>
        <w:rPr>
          <w:color w:val="auto"/>
          <w:sz w:val="24"/>
          <w:szCs w:val="24"/>
          <w:highlight w:val="none"/>
        </w:rPr>
      </w:pPr>
      <w:r>
        <w:rPr>
          <w:rFonts w:hint="eastAsia"/>
          <w:color w:val="auto"/>
          <w:sz w:val="24"/>
          <w:szCs w:val="24"/>
          <w:highlight w:val="none"/>
        </w:rPr>
        <w:t>项目名称 ：</w:t>
      </w:r>
      <w:r>
        <w:rPr>
          <w:rFonts w:hint="eastAsia"/>
          <w:color w:val="auto"/>
          <w:spacing w:val="-12"/>
          <w:sz w:val="24"/>
          <w:szCs w:val="24"/>
          <w:highlight w:val="none"/>
          <w:lang w:val="en-US"/>
        </w:rPr>
        <w:t xml:space="preserve"> </w:t>
      </w:r>
    </w:p>
    <w:p w14:paraId="5F7C522B">
      <w:pPr>
        <w:spacing w:line="400" w:lineRule="exact"/>
        <w:rPr>
          <w:color w:val="auto"/>
          <w:sz w:val="24"/>
          <w:szCs w:val="24"/>
          <w:highlight w:val="none"/>
        </w:rPr>
      </w:pPr>
      <w:r>
        <w:rPr>
          <w:rFonts w:hint="eastAsia"/>
          <w:color w:val="auto"/>
          <w:sz w:val="24"/>
          <w:szCs w:val="24"/>
          <w:highlight w:val="none"/>
        </w:rPr>
        <w:t>项目编号 ：</w:t>
      </w:r>
      <w:r>
        <w:rPr>
          <w:rFonts w:hint="eastAsia"/>
          <w:color w:val="auto"/>
          <w:spacing w:val="-12"/>
          <w:sz w:val="24"/>
          <w:szCs w:val="24"/>
          <w:highlight w:val="none"/>
          <w:lang w:val="en-US"/>
        </w:rPr>
        <w:t xml:space="preserve"> </w:t>
      </w:r>
    </w:p>
    <w:tbl>
      <w:tblPr>
        <w:tblStyle w:val="34"/>
        <w:tblW w:w="10424"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52"/>
        <w:gridCol w:w="2014"/>
        <w:gridCol w:w="4199"/>
        <w:gridCol w:w="1049"/>
        <w:gridCol w:w="1049"/>
        <w:gridCol w:w="1161"/>
      </w:tblGrid>
      <w:tr w14:paraId="1CFD8EE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7165" w:type="dxa"/>
            <w:gridSpan w:val="3"/>
            <w:tcBorders>
              <w:top w:val="single" w:color="auto" w:sz="2" w:space="0"/>
              <w:left w:val="single" w:color="auto" w:sz="2" w:space="0"/>
              <w:bottom w:val="single" w:color="auto" w:sz="6" w:space="0"/>
              <w:right w:val="single" w:color="auto" w:sz="6" w:space="0"/>
            </w:tcBorders>
            <w:vAlign w:val="center"/>
          </w:tcPr>
          <w:p w14:paraId="595203E4">
            <w:pPr>
              <w:jc w:val="center"/>
              <w:rPr>
                <w:color w:val="auto"/>
                <w:sz w:val="21"/>
                <w:highlight w:val="none"/>
              </w:rPr>
            </w:pPr>
            <w:bookmarkStart w:id="164" w:name="_Toc86349473"/>
            <w:r>
              <w:rPr>
                <w:rFonts w:hint="eastAsia"/>
                <w:color w:val="auto"/>
                <w:sz w:val="21"/>
                <w:highlight w:val="none"/>
              </w:rPr>
              <w:t>评审内容</w:t>
            </w:r>
          </w:p>
        </w:tc>
        <w:tc>
          <w:tcPr>
            <w:tcW w:w="1049" w:type="dxa"/>
            <w:tcBorders>
              <w:top w:val="single" w:color="auto" w:sz="2" w:space="0"/>
              <w:left w:val="single" w:color="auto" w:sz="6" w:space="0"/>
              <w:bottom w:val="single" w:color="auto" w:sz="6" w:space="0"/>
              <w:right w:val="single" w:color="auto" w:sz="6" w:space="0"/>
            </w:tcBorders>
            <w:vAlign w:val="center"/>
          </w:tcPr>
          <w:p w14:paraId="3ABE8F5F">
            <w:pPr>
              <w:jc w:val="center"/>
              <w:rPr>
                <w:color w:val="auto"/>
                <w:sz w:val="21"/>
                <w:highlight w:val="none"/>
              </w:rPr>
            </w:pPr>
            <w:r>
              <w:rPr>
                <w:rFonts w:hint="eastAsia"/>
                <w:color w:val="auto"/>
                <w:sz w:val="21"/>
                <w:highlight w:val="none"/>
              </w:rPr>
              <w:t>投标人A</w:t>
            </w:r>
          </w:p>
        </w:tc>
        <w:tc>
          <w:tcPr>
            <w:tcW w:w="1049" w:type="dxa"/>
            <w:tcBorders>
              <w:top w:val="single" w:color="auto" w:sz="2" w:space="0"/>
              <w:left w:val="single" w:color="auto" w:sz="6" w:space="0"/>
              <w:bottom w:val="single" w:color="auto" w:sz="6" w:space="0"/>
              <w:right w:val="single" w:color="auto" w:sz="6" w:space="0"/>
            </w:tcBorders>
            <w:vAlign w:val="center"/>
          </w:tcPr>
          <w:p w14:paraId="4D88D16F">
            <w:pPr>
              <w:jc w:val="center"/>
              <w:rPr>
                <w:color w:val="auto"/>
                <w:sz w:val="21"/>
                <w:highlight w:val="none"/>
              </w:rPr>
            </w:pPr>
            <w:r>
              <w:rPr>
                <w:rFonts w:hint="eastAsia"/>
                <w:color w:val="auto"/>
                <w:sz w:val="21"/>
                <w:highlight w:val="none"/>
              </w:rPr>
              <w:t>投标人B</w:t>
            </w:r>
          </w:p>
        </w:tc>
        <w:tc>
          <w:tcPr>
            <w:tcW w:w="1161" w:type="dxa"/>
            <w:tcBorders>
              <w:top w:val="single" w:color="auto" w:sz="2" w:space="0"/>
              <w:left w:val="single" w:color="auto" w:sz="6" w:space="0"/>
              <w:bottom w:val="single" w:color="auto" w:sz="6" w:space="0"/>
              <w:right w:val="single" w:color="auto" w:sz="2" w:space="0"/>
            </w:tcBorders>
            <w:vAlign w:val="center"/>
          </w:tcPr>
          <w:p w14:paraId="1BE3560F">
            <w:pPr>
              <w:jc w:val="center"/>
              <w:rPr>
                <w:color w:val="auto"/>
                <w:sz w:val="21"/>
                <w:highlight w:val="none"/>
              </w:rPr>
            </w:pPr>
            <w:r>
              <w:rPr>
                <w:rFonts w:hint="eastAsia"/>
                <w:color w:val="auto"/>
                <w:sz w:val="21"/>
                <w:highlight w:val="none"/>
              </w:rPr>
              <w:t>投标人C</w:t>
            </w:r>
          </w:p>
        </w:tc>
      </w:tr>
      <w:tr w14:paraId="10A2401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952" w:type="dxa"/>
            <w:vMerge w:val="restart"/>
            <w:tcBorders>
              <w:top w:val="single" w:color="auto" w:sz="6" w:space="0"/>
              <w:left w:val="single" w:color="auto" w:sz="2" w:space="0"/>
              <w:bottom w:val="single" w:color="auto" w:sz="6" w:space="0"/>
              <w:right w:val="single" w:color="auto" w:sz="4" w:space="0"/>
            </w:tcBorders>
            <w:vAlign w:val="center"/>
          </w:tcPr>
          <w:p w14:paraId="0D24E9C7">
            <w:pPr>
              <w:jc w:val="center"/>
              <w:rPr>
                <w:color w:val="auto"/>
                <w:sz w:val="21"/>
                <w:highlight w:val="none"/>
              </w:rPr>
            </w:pPr>
            <w:r>
              <w:rPr>
                <w:rFonts w:hint="eastAsia"/>
                <w:color w:val="auto"/>
                <w:sz w:val="21"/>
                <w:highlight w:val="none"/>
              </w:rPr>
              <w:t>资格</w:t>
            </w:r>
          </w:p>
          <w:p w14:paraId="1623D011">
            <w:pPr>
              <w:jc w:val="center"/>
              <w:rPr>
                <w:color w:val="auto"/>
                <w:sz w:val="21"/>
                <w:highlight w:val="none"/>
              </w:rPr>
            </w:pPr>
            <w:r>
              <w:rPr>
                <w:rFonts w:hint="eastAsia"/>
                <w:color w:val="auto"/>
                <w:sz w:val="21"/>
                <w:highlight w:val="none"/>
              </w:rPr>
              <w:t>审查</w:t>
            </w: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40541C31">
            <w:pPr>
              <w:spacing w:line="360" w:lineRule="auto"/>
              <w:rPr>
                <w:color w:val="auto"/>
                <w:sz w:val="21"/>
                <w:highlight w:val="none"/>
              </w:rPr>
            </w:pPr>
            <w:r>
              <w:rPr>
                <w:rFonts w:hint="eastAsia"/>
                <w:color w:val="auto"/>
                <w:szCs w:val="21"/>
                <w:highlight w:val="none"/>
                <w:lang w:val="en-US"/>
              </w:rPr>
              <w:t>投标人须为具有独立承担民事责任能力的在中华人民共和国境内注册的法人，须提供在中华人民共和国境内注册的法人或其他组织的营业执照或事业单位法人证书或社会团体法人登记证书复印件。分支机构投标，须取得具有法人资格的总公司出具给分支机构的授权书，并提供总公司和分支机构的营业执照（执业许可证）复印件。</w:t>
            </w:r>
          </w:p>
        </w:tc>
        <w:tc>
          <w:tcPr>
            <w:tcW w:w="1049" w:type="dxa"/>
            <w:tcBorders>
              <w:top w:val="single" w:color="auto" w:sz="6" w:space="0"/>
              <w:left w:val="single" w:color="auto" w:sz="6" w:space="0"/>
              <w:bottom w:val="single" w:color="auto" w:sz="4" w:space="0"/>
              <w:right w:val="single" w:color="auto" w:sz="6" w:space="0"/>
            </w:tcBorders>
            <w:vAlign w:val="center"/>
          </w:tcPr>
          <w:p w14:paraId="6B231BBF">
            <w:pPr>
              <w:jc w:val="center"/>
              <w:rPr>
                <w:color w:val="auto"/>
                <w:sz w:val="21"/>
                <w:highlight w:val="none"/>
              </w:rPr>
            </w:pPr>
          </w:p>
        </w:tc>
        <w:tc>
          <w:tcPr>
            <w:tcW w:w="1049" w:type="dxa"/>
            <w:tcBorders>
              <w:top w:val="single" w:color="auto" w:sz="6" w:space="0"/>
              <w:left w:val="single" w:color="auto" w:sz="6" w:space="0"/>
              <w:bottom w:val="single" w:color="auto" w:sz="4" w:space="0"/>
              <w:right w:val="single" w:color="auto" w:sz="6" w:space="0"/>
            </w:tcBorders>
            <w:vAlign w:val="center"/>
          </w:tcPr>
          <w:p w14:paraId="7AE41F88">
            <w:pPr>
              <w:jc w:val="center"/>
              <w:rPr>
                <w:color w:val="auto"/>
                <w:sz w:val="21"/>
                <w:highlight w:val="none"/>
              </w:rPr>
            </w:pPr>
          </w:p>
        </w:tc>
        <w:tc>
          <w:tcPr>
            <w:tcW w:w="1161" w:type="dxa"/>
            <w:tcBorders>
              <w:top w:val="single" w:color="auto" w:sz="6" w:space="0"/>
              <w:left w:val="single" w:color="auto" w:sz="6" w:space="0"/>
              <w:bottom w:val="single" w:color="auto" w:sz="4" w:space="0"/>
              <w:right w:val="single" w:color="auto" w:sz="2" w:space="0"/>
            </w:tcBorders>
            <w:vAlign w:val="center"/>
          </w:tcPr>
          <w:p w14:paraId="52D9A0E7">
            <w:pPr>
              <w:jc w:val="center"/>
              <w:rPr>
                <w:color w:val="auto"/>
                <w:sz w:val="21"/>
                <w:highlight w:val="none"/>
              </w:rPr>
            </w:pPr>
          </w:p>
        </w:tc>
      </w:tr>
      <w:tr w14:paraId="0068496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952" w:type="dxa"/>
            <w:vMerge w:val="continue"/>
            <w:tcBorders>
              <w:top w:val="single" w:color="auto" w:sz="6" w:space="0"/>
              <w:left w:val="single" w:color="auto" w:sz="2" w:space="0"/>
              <w:bottom w:val="single" w:color="auto" w:sz="6" w:space="0"/>
              <w:right w:val="single" w:color="auto" w:sz="4" w:space="0"/>
            </w:tcBorders>
            <w:vAlign w:val="center"/>
          </w:tcPr>
          <w:p w14:paraId="276DCBD2">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37210DB0">
            <w:pPr>
              <w:spacing w:line="360" w:lineRule="auto"/>
              <w:rPr>
                <w:color w:val="auto"/>
                <w:sz w:val="21"/>
                <w:highlight w:val="none"/>
                <w:lang w:val="en-US"/>
              </w:rPr>
            </w:pPr>
            <w:r>
              <w:rPr>
                <w:rFonts w:hint="eastAsia"/>
                <w:color w:val="auto"/>
                <w:szCs w:val="21"/>
                <w:highlight w:val="none"/>
                <w:lang w:val="en-US"/>
              </w:rPr>
              <w:t>投标人</w:t>
            </w:r>
            <w:r>
              <w:rPr>
                <w:rFonts w:hint="eastAsia"/>
                <w:color w:val="auto"/>
                <w:highlight w:val="none"/>
              </w:rPr>
              <w:t>有依法缴纳税收和社会保障资金的良好记录</w:t>
            </w:r>
            <w:r>
              <w:rPr>
                <w:rFonts w:hint="eastAsia"/>
                <w:color w:val="auto"/>
                <w:szCs w:val="21"/>
                <w:highlight w:val="none"/>
              </w:rPr>
              <w:t>，须提供投标截止之日前6个月任意1个月依法缴纳税收和社会保障资金相关证明材料；如依法免税和依法不需要缴纳社会保障资金，则须提供相应文件证明其依法免税和不需要缴纳社会保障资金；</w:t>
            </w:r>
            <w:r>
              <w:rPr>
                <w:color w:val="auto"/>
                <w:highlight w:val="none"/>
              </w:rPr>
              <w:t>并加盖公章</w:t>
            </w:r>
            <w:r>
              <w:rPr>
                <w:rFonts w:hint="eastAsia"/>
                <w:color w:val="auto"/>
                <w:szCs w:val="21"/>
                <w:highlight w:val="none"/>
              </w:rPr>
              <w:t>。</w:t>
            </w:r>
          </w:p>
        </w:tc>
        <w:tc>
          <w:tcPr>
            <w:tcW w:w="1049" w:type="dxa"/>
            <w:tcBorders>
              <w:top w:val="single" w:color="auto" w:sz="4" w:space="0"/>
              <w:left w:val="single" w:color="auto" w:sz="6" w:space="0"/>
              <w:bottom w:val="single" w:color="auto" w:sz="4" w:space="0"/>
              <w:right w:val="single" w:color="auto" w:sz="6" w:space="0"/>
            </w:tcBorders>
            <w:vAlign w:val="center"/>
          </w:tcPr>
          <w:p w14:paraId="42C05BFE">
            <w:pPr>
              <w:jc w:val="center"/>
              <w:rPr>
                <w:color w:val="auto"/>
                <w:sz w:val="21"/>
                <w:highlight w:val="none"/>
              </w:rPr>
            </w:pPr>
          </w:p>
        </w:tc>
        <w:tc>
          <w:tcPr>
            <w:tcW w:w="1049" w:type="dxa"/>
            <w:tcBorders>
              <w:top w:val="single" w:color="auto" w:sz="4" w:space="0"/>
              <w:left w:val="single" w:color="auto" w:sz="6" w:space="0"/>
              <w:bottom w:val="single" w:color="auto" w:sz="4" w:space="0"/>
              <w:right w:val="single" w:color="auto" w:sz="6" w:space="0"/>
            </w:tcBorders>
            <w:vAlign w:val="center"/>
          </w:tcPr>
          <w:p w14:paraId="3B3A8231">
            <w:pPr>
              <w:jc w:val="center"/>
              <w:rPr>
                <w:color w:val="auto"/>
                <w:sz w:val="21"/>
                <w:highlight w:val="none"/>
              </w:rPr>
            </w:pPr>
          </w:p>
        </w:tc>
        <w:tc>
          <w:tcPr>
            <w:tcW w:w="1161" w:type="dxa"/>
            <w:tcBorders>
              <w:top w:val="single" w:color="auto" w:sz="4" w:space="0"/>
              <w:left w:val="single" w:color="auto" w:sz="6" w:space="0"/>
              <w:bottom w:val="single" w:color="auto" w:sz="4" w:space="0"/>
              <w:right w:val="single" w:color="auto" w:sz="2" w:space="0"/>
            </w:tcBorders>
            <w:vAlign w:val="center"/>
          </w:tcPr>
          <w:p w14:paraId="3BB22336">
            <w:pPr>
              <w:jc w:val="center"/>
              <w:rPr>
                <w:color w:val="auto"/>
                <w:sz w:val="21"/>
                <w:highlight w:val="none"/>
              </w:rPr>
            </w:pPr>
          </w:p>
        </w:tc>
      </w:tr>
      <w:tr w14:paraId="71F6D90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952" w:type="dxa"/>
            <w:vMerge w:val="continue"/>
            <w:tcBorders>
              <w:top w:val="single" w:color="auto" w:sz="6" w:space="0"/>
              <w:left w:val="single" w:color="auto" w:sz="2" w:space="0"/>
              <w:bottom w:val="single" w:color="auto" w:sz="6" w:space="0"/>
              <w:right w:val="single" w:color="auto" w:sz="4" w:space="0"/>
            </w:tcBorders>
            <w:vAlign w:val="center"/>
          </w:tcPr>
          <w:p w14:paraId="7F11F279">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327F56FD">
            <w:pPr>
              <w:spacing w:line="360" w:lineRule="auto"/>
              <w:rPr>
                <w:color w:val="auto"/>
                <w:sz w:val="21"/>
                <w:highlight w:val="none"/>
                <w:lang w:val="en-US"/>
              </w:rPr>
            </w:pPr>
            <w:r>
              <w:rPr>
                <w:rFonts w:hint="eastAsia"/>
                <w:color w:val="auto"/>
                <w:szCs w:val="21"/>
                <w:highlight w:val="none"/>
                <w:lang w:val="en-US"/>
              </w:rPr>
              <w:t>投标人具有良好的商业信誉和健全的财务会计制度，须提供</w:t>
            </w:r>
            <w:r>
              <w:rPr>
                <w:color w:val="auto"/>
                <w:szCs w:val="21"/>
                <w:highlight w:val="none"/>
                <w:lang w:val="en-US"/>
              </w:rPr>
              <w:t>202</w:t>
            </w:r>
            <w:r>
              <w:rPr>
                <w:rFonts w:hint="eastAsia"/>
                <w:color w:val="auto"/>
                <w:szCs w:val="21"/>
                <w:highlight w:val="none"/>
                <w:lang w:val="en-US" w:eastAsia="zh-CN"/>
              </w:rPr>
              <w:t>2</w:t>
            </w:r>
            <w:r>
              <w:rPr>
                <w:color w:val="auto"/>
                <w:szCs w:val="21"/>
                <w:highlight w:val="none"/>
                <w:lang w:val="en-US"/>
              </w:rPr>
              <w:t>年度、202</w:t>
            </w:r>
            <w:r>
              <w:rPr>
                <w:rFonts w:hint="eastAsia"/>
                <w:color w:val="auto"/>
                <w:szCs w:val="21"/>
                <w:highlight w:val="none"/>
                <w:lang w:val="en-US" w:eastAsia="zh-CN"/>
              </w:rPr>
              <w:t>3</w:t>
            </w:r>
            <w:r>
              <w:rPr>
                <w:color w:val="auto"/>
                <w:szCs w:val="21"/>
                <w:highlight w:val="none"/>
                <w:lang w:val="en-US"/>
              </w:rPr>
              <w:t>年度的财务审计报告或者基本户开户银行出具的资信证明，若为新成立的，提供成立至今的月或季度财务状况报告复印件并加盖公章。</w:t>
            </w:r>
          </w:p>
        </w:tc>
        <w:tc>
          <w:tcPr>
            <w:tcW w:w="1049" w:type="dxa"/>
            <w:tcBorders>
              <w:top w:val="single" w:color="auto" w:sz="4" w:space="0"/>
              <w:left w:val="single" w:color="auto" w:sz="6" w:space="0"/>
              <w:bottom w:val="single" w:color="auto" w:sz="4" w:space="0"/>
              <w:right w:val="single" w:color="auto" w:sz="6" w:space="0"/>
            </w:tcBorders>
            <w:vAlign w:val="center"/>
          </w:tcPr>
          <w:p w14:paraId="6959AFFE">
            <w:pPr>
              <w:jc w:val="center"/>
              <w:rPr>
                <w:color w:val="auto"/>
                <w:sz w:val="21"/>
                <w:highlight w:val="none"/>
              </w:rPr>
            </w:pPr>
          </w:p>
        </w:tc>
        <w:tc>
          <w:tcPr>
            <w:tcW w:w="1049" w:type="dxa"/>
            <w:tcBorders>
              <w:top w:val="single" w:color="auto" w:sz="4" w:space="0"/>
              <w:left w:val="single" w:color="auto" w:sz="6" w:space="0"/>
              <w:bottom w:val="single" w:color="auto" w:sz="4" w:space="0"/>
              <w:right w:val="single" w:color="auto" w:sz="6" w:space="0"/>
            </w:tcBorders>
            <w:vAlign w:val="center"/>
          </w:tcPr>
          <w:p w14:paraId="2DFA6273">
            <w:pPr>
              <w:jc w:val="center"/>
              <w:rPr>
                <w:color w:val="auto"/>
                <w:sz w:val="21"/>
                <w:highlight w:val="none"/>
              </w:rPr>
            </w:pPr>
          </w:p>
        </w:tc>
        <w:tc>
          <w:tcPr>
            <w:tcW w:w="1161" w:type="dxa"/>
            <w:tcBorders>
              <w:top w:val="single" w:color="auto" w:sz="4" w:space="0"/>
              <w:left w:val="single" w:color="auto" w:sz="6" w:space="0"/>
              <w:bottom w:val="single" w:color="auto" w:sz="4" w:space="0"/>
              <w:right w:val="single" w:color="auto" w:sz="2" w:space="0"/>
            </w:tcBorders>
            <w:vAlign w:val="center"/>
          </w:tcPr>
          <w:p w14:paraId="3F8C2B0A">
            <w:pPr>
              <w:jc w:val="center"/>
              <w:rPr>
                <w:color w:val="auto"/>
                <w:sz w:val="21"/>
                <w:highlight w:val="none"/>
              </w:rPr>
            </w:pPr>
          </w:p>
        </w:tc>
      </w:tr>
      <w:tr w14:paraId="6CD99BA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52" w:type="dxa"/>
            <w:vMerge w:val="continue"/>
            <w:tcBorders>
              <w:top w:val="single" w:color="auto" w:sz="6" w:space="0"/>
              <w:left w:val="single" w:color="auto" w:sz="2" w:space="0"/>
              <w:bottom w:val="single" w:color="auto" w:sz="6" w:space="0"/>
              <w:right w:val="single" w:color="auto" w:sz="4" w:space="0"/>
            </w:tcBorders>
            <w:vAlign w:val="center"/>
          </w:tcPr>
          <w:p w14:paraId="18618F2E">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4" w:space="0"/>
              <w:right w:val="single" w:color="auto" w:sz="6" w:space="0"/>
            </w:tcBorders>
            <w:vAlign w:val="center"/>
          </w:tcPr>
          <w:p w14:paraId="6E89C125">
            <w:pPr>
              <w:spacing w:line="360" w:lineRule="auto"/>
              <w:rPr>
                <w:color w:val="auto"/>
                <w:sz w:val="21"/>
                <w:highlight w:val="none"/>
              </w:rPr>
            </w:pPr>
            <w:r>
              <w:rPr>
                <w:rFonts w:hint="eastAsia"/>
                <w:color w:val="auto"/>
                <w:szCs w:val="21"/>
                <w:highlight w:val="none"/>
                <w:lang w:val="en-US"/>
              </w:rPr>
              <w:t>投标人具有</w:t>
            </w:r>
            <w:r>
              <w:rPr>
                <w:rFonts w:hint="eastAsia"/>
                <w:color w:val="auto"/>
                <w:highlight w:val="none"/>
              </w:rPr>
              <w:t>履行合同所必需的设备和专业技术能力：提供承诺函，格式自拟，具体详见用户需求书。</w:t>
            </w:r>
          </w:p>
        </w:tc>
        <w:tc>
          <w:tcPr>
            <w:tcW w:w="1049" w:type="dxa"/>
            <w:tcBorders>
              <w:top w:val="single" w:color="auto" w:sz="4" w:space="0"/>
              <w:left w:val="single" w:color="auto" w:sz="6" w:space="0"/>
              <w:bottom w:val="single" w:color="auto" w:sz="4" w:space="0"/>
              <w:right w:val="single" w:color="auto" w:sz="6" w:space="0"/>
            </w:tcBorders>
            <w:vAlign w:val="center"/>
          </w:tcPr>
          <w:p w14:paraId="50D89795">
            <w:pPr>
              <w:jc w:val="center"/>
              <w:rPr>
                <w:color w:val="auto"/>
                <w:sz w:val="21"/>
                <w:highlight w:val="none"/>
              </w:rPr>
            </w:pPr>
          </w:p>
        </w:tc>
        <w:tc>
          <w:tcPr>
            <w:tcW w:w="1049" w:type="dxa"/>
            <w:tcBorders>
              <w:top w:val="single" w:color="auto" w:sz="4" w:space="0"/>
              <w:left w:val="single" w:color="auto" w:sz="6" w:space="0"/>
              <w:bottom w:val="single" w:color="auto" w:sz="4" w:space="0"/>
              <w:right w:val="single" w:color="auto" w:sz="6" w:space="0"/>
            </w:tcBorders>
            <w:vAlign w:val="center"/>
          </w:tcPr>
          <w:p w14:paraId="1D691C5A">
            <w:pPr>
              <w:jc w:val="center"/>
              <w:rPr>
                <w:color w:val="auto"/>
                <w:sz w:val="21"/>
                <w:highlight w:val="none"/>
              </w:rPr>
            </w:pPr>
          </w:p>
        </w:tc>
        <w:tc>
          <w:tcPr>
            <w:tcW w:w="1161" w:type="dxa"/>
            <w:tcBorders>
              <w:top w:val="single" w:color="auto" w:sz="4" w:space="0"/>
              <w:left w:val="single" w:color="auto" w:sz="6" w:space="0"/>
              <w:bottom w:val="single" w:color="auto" w:sz="4" w:space="0"/>
              <w:right w:val="single" w:color="auto" w:sz="2" w:space="0"/>
            </w:tcBorders>
            <w:vAlign w:val="center"/>
          </w:tcPr>
          <w:p w14:paraId="7A64B938">
            <w:pPr>
              <w:jc w:val="center"/>
              <w:rPr>
                <w:color w:val="auto"/>
                <w:sz w:val="21"/>
                <w:highlight w:val="none"/>
              </w:rPr>
            </w:pPr>
          </w:p>
        </w:tc>
      </w:tr>
      <w:tr w14:paraId="72B791F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952" w:type="dxa"/>
            <w:vMerge w:val="continue"/>
            <w:tcBorders>
              <w:top w:val="single" w:color="auto" w:sz="6" w:space="0"/>
              <w:left w:val="single" w:color="auto" w:sz="2" w:space="0"/>
              <w:bottom w:val="single" w:color="auto" w:sz="6" w:space="0"/>
              <w:right w:val="single" w:color="auto" w:sz="4" w:space="0"/>
            </w:tcBorders>
            <w:vAlign w:val="center"/>
          </w:tcPr>
          <w:p w14:paraId="7C7BA2AC">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4" w:space="0"/>
              <w:right w:val="single" w:color="auto" w:sz="6" w:space="0"/>
            </w:tcBorders>
            <w:vAlign w:val="center"/>
          </w:tcPr>
          <w:p w14:paraId="1C7C441E">
            <w:pPr>
              <w:spacing w:line="360" w:lineRule="auto"/>
              <w:rPr>
                <w:color w:val="auto"/>
                <w:sz w:val="21"/>
                <w:highlight w:val="none"/>
              </w:rPr>
            </w:pPr>
            <w:r>
              <w:rPr>
                <w:rFonts w:hint="eastAsia"/>
                <w:color w:val="auto"/>
                <w:highlight w:val="none"/>
              </w:rPr>
              <w:t>投标人参加招标活动前3年内，在经营活动中没有重大违法记录：提供承诺函，格式自拟。</w:t>
            </w:r>
          </w:p>
        </w:tc>
        <w:tc>
          <w:tcPr>
            <w:tcW w:w="1049" w:type="dxa"/>
            <w:tcBorders>
              <w:top w:val="single" w:color="auto" w:sz="4" w:space="0"/>
              <w:left w:val="single" w:color="auto" w:sz="6" w:space="0"/>
              <w:bottom w:val="single" w:color="auto" w:sz="4" w:space="0"/>
              <w:right w:val="single" w:color="auto" w:sz="6" w:space="0"/>
            </w:tcBorders>
            <w:vAlign w:val="center"/>
          </w:tcPr>
          <w:p w14:paraId="73609E85">
            <w:pPr>
              <w:jc w:val="center"/>
              <w:rPr>
                <w:color w:val="auto"/>
                <w:sz w:val="21"/>
                <w:highlight w:val="none"/>
              </w:rPr>
            </w:pPr>
          </w:p>
        </w:tc>
        <w:tc>
          <w:tcPr>
            <w:tcW w:w="1049" w:type="dxa"/>
            <w:tcBorders>
              <w:top w:val="single" w:color="auto" w:sz="4" w:space="0"/>
              <w:left w:val="single" w:color="auto" w:sz="6" w:space="0"/>
              <w:bottom w:val="single" w:color="auto" w:sz="4" w:space="0"/>
              <w:right w:val="single" w:color="auto" w:sz="6" w:space="0"/>
            </w:tcBorders>
            <w:vAlign w:val="center"/>
          </w:tcPr>
          <w:p w14:paraId="47E9B633">
            <w:pPr>
              <w:jc w:val="center"/>
              <w:rPr>
                <w:color w:val="auto"/>
                <w:sz w:val="21"/>
                <w:highlight w:val="none"/>
              </w:rPr>
            </w:pPr>
          </w:p>
        </w:tc>
        <w:tc>
          <w:tcPr>
            <w:tcW w:w="1161" w:type="dxa"/>
            <w:tcBorders>
              <w:top w:val="single" w:color="auto" w:sz="4" w:space="0"/>
              <w:left w:val="single" w:color="auto" w:sz="6" w:space="0"/>
              <w:bottom w:val="single" w:color="auto" w:sz="4" w:space="0"/>
              <w:right w:val="single" w:color="auto" w:sz="2" w:space="0"/>
            </w:tcBorders>
            <w:vAlign w:val="center"/>
          </w:tcPr>
          <w:p w14:paraId="7FD5A59F">
            <w:pPr>
              <w:jc w:val="center"/>
              <w:rPr>
                <w:color w:val="auto"/>
                <w:sz w:val="21"/>
                <w:highlight w:val="none"/>
              </w:rPr>
            </w:pPr>
          </w:p>
        </w:tc>
      </w:tr>
      <w:tr w14:paraId="6F75E2E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952" w:type="dxa"/>
            <w:vMerge w:val="continue"/>
            <w:tcBorders>
              <w:top w:val="single" w:color="auto" w:sz="6" w:space="0"/>
              <w:left w:val="single" w:color="auto" w:sz="2" w:space="0"/>
              <w:bottom w:val="single" w:color="auto" w:sz="6" w:space="0"/>
              <w:right w:val="single" w:color="auto" w:sz="4" w:space="0"/>
            </w:tcBorders>
            <w:vAlign w:val="center"/>
          </w:tcPr>
          <w:p w14:paraId="044236DA">
            <w:pPr>
              <w:widowControl/>
              <w:autoSpaceDE/>
              <w:autoSpaceDN/>
              <w:rPr>
                <w:color w:val="auto"/>
                <w:sz w:val="21"/>
                <w:highlight w:val="none"/>
              </w:rPr>
            </w:pPr>
          </w:p>
        </w:tc>
        <w:tc>
          <w:tcPr>
            <w:tcW w:w="6213" w:type="dxa"/>
            <w:gridSpan w:val="2"/>
            <w:tcBorders>
              <w:top w:val="single" w:color="auto" w:sz="4" w:space="0"/>
              <w:left w:val="single" w:color="auto" w:sz="6" w:space="0"/>
              <w:bottom w:val="single" w:color="auto" w:sz="6" w:space="0"/>
              <w:right w:val="single" w:color="auto" w:sz="6" w:space="0"/>
            </w:tcBorders>
            <w:vAlign w:val="center"/>
          </w:tcPr>
          <w:p w14:paraId="4F64E61B">
            <w:pPr>
              <w:spacing w:line="360" w:lineRule="auto"/>
              <w:rPr>
                <w:color w:val="auto"/>
                <w:sz w:val="21"/>
                <w:highlight w:val="none"/>
              </w:rPr>
            </w:pPr>
            <w:r>
              <w:rPr>
                <w:rFonts w:hint="eastAsia"/>
                <w:color w:val="auto"/>
                <w:szCs w:val="21"/>
                <w:highlight w:val="none"/>
                <w:lang w:val="en-US"/>
              </w:rPr>
              <w:t>单位负责人为同一人或者存在直接控股、管理关系的不同投标人，不得同时参加本项目投标，</w:t>
            </w:r>
            <w:r>
              <w:rPr>
                <w:rFonts w:hint="eastAsia"/>
                <w:color w:val="auto"/>
                <w:highlight w:val="none"/>
              </w:rPr>
              <w:t>提供承诺函，格式自拟。</w:t>
            </w:r>
          </w:p>
        </w:tc>
        <w:tc>
          <w:tcPr>
            <w:tcW w:w="1049" w:type="dxa"/>
            <w:tcBorders>
              <w:top w:val="single" w:color="auto" w:sz="4" w:space="0"/>
              <w:left w:val="single" w:color="auto" w:sz="6" w:space="0"/>
              <w:bottom w:val="single" w:color="auto" w:sz="4" w:space="0"/>
              <w:right w:val="single" w:color="auto" w:sz="6" w:space="0"/>
            </w:tcBorders>
            <w:vAlign w:val="center"/>
          </w:tcPr>
          <w:p w14:paraId="08AE5D08">
            <w:pPr>
              <w:jc w:val="center"/>
              <w:rPr>
                <w:color w:val="auto"/>
                <w:sz w:val="21"/>
                <w:highlight w:val="none"/>
              </w:rPr>
            </w:pPr>
          </w:p>
        </w:tc>
        <w:tc>
          <w:tcPr>
            <w:tcW w:w="1049" w:type="dxa"/>
            <w:tcBorders>
              <w:top w:val="single" w:color="auto" w:sz="4" w:space="0"/>
              <w:left w:val="single" w:color="auto" w:sz="6" w:space="0"/>
              <w:bottom w:val="single" w:color="auto" w:sz="4" w:space="0"/>
              <w:right w:val="single" w:color="auto" w:sz="6" w:space="0"/>
            </w:tcBorders>
            <w:vAlign w:val="center"/>
          </w:tcPr>
          <w:p w14:paraId="448BB62B">
            <w:pPr>
              <w:jc w:val="center"/>
              <w:rPr>
                <w:color w:val="auto"/>
                <w:sz w:val="21"/>
                <w:highlight w:val="none"/>
              </w:rPr>
            </w:pPr>
          </w:p>
        </w:tc>
        <w:tc>
          <w:tcPr>
            <w:tcW w:w="1161" w:type="dxa"/>
            <w:tcBorders>
              <w:top w:val="single" w:color="auto" w:sz="4" w:space="0"/>
              <w:left w:val="single" w:color="auto" w:sz="6" w:space="0"/>
              <w:bottom w:val="single" w:color="auto" w:sz="4" w:space="0"/>
              <w:right w:val="single" w:color="auto" w:sz="2" w:space="0"/>
            </w:tcBorders>
            <w:vAlign w:val="center"/>
          </w:tcPr>
          <w:p w14:paraId="7F96AD2D">
            <w:pPr>
              <w:jc w:val="center"/>
              <w:rPr>
                <w:color w:val="auto"/>
                <w:sz w:val="21"/>
                <w:highlight w:val="none"/>
              </w:rPr>
            </w:pPr>
          </w:p>
        </w:tc>
      </w:tr>
      <w:tr w14:paraId="7419C8A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952" w:type="dxa"/>
            <w:vMerge w:val="continue"/>
            <w:tcBorders>
              <w:top w:val="single" w:color="auto" w:sz="6" w:space="0"/>
              <w:left w:val="single" w:color="auto" w:sz="2" w:space="0"/>
              <w:bottom w:val="single" w:color="auto" w:sz="6" w:space="0"/>
              <w:right w:val="single" w:color="auto" w:sz="4" w:space="0"/>
            </w:tcBorders>
            <w:vAlign w:val="center"/>
          </w:tcPr>
          <w:p w14:paraId="3FA9A11F">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7A55E499">
            <w:pPr>
              <w:spacing w:line="360" w:lineRule="auto"/>
              <w:rPr>
                <w:color w:val="auto"/>
                <w:sz w:val="21"/>
                <w:highlight w:val="none"/>
                <w:lang w:val="en-US"/>
              </w:rPr>
            </w:pPr>
            <w:r>
              <w:rPr>
                <w:rFonts w:hint="eastAsia"/>
                <w:color w:val="auto"/>
                <w:sz w:val="21"/>
                <w:highlight w:val="none"/>
                <w:lang w:val="en-US"/>
              </w:rPr>
              <w:t>投标人未被列入“信用中国”网站</w:t>
            </w:r>
            <w:r>
              <w:rPr>
                <w:color w:val="auto"/>
                <w:sz w:val="21"/>
                <w:highlight w:val="none"/>
                <w:lang w:val="en-US"/>
              </w:rPr>
              <w:t>(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1049" w:type="dxa"/>
            <w:tcBorders>
              <w:top w:val="single" w:color="auto" w:sz="4" w:space="0"/>
              <w:left w:val="single" w:color="auto" w:sz="6" w:space="0"/>
              <w:bottom w:val="single" w:color="auto" w:sz="4" w:space="0"/>
              <w:right w:val="single" w:color="auto" w:sz="6" w:space="0"/>
            </w:tcBorders>
            <w:vAlign w:val="center"/>
          </w:tcPr>
          <w:p w14:paraId="5BCCA50F">
            <w:pPr>
              <w:jc w:val="center"/>
              <w:rPr>
                <w:color w:val="auto"/>
                <w:sz w:val="21"/>
                <w:highlight w:val="none"/>
              </w:rPr>
            </w:pPr>
          </w:p>
        </w:tc>
        <w:tc>
          <w:tcPr>
            <w:tcW w:w="1049" w:type="dxa"/>
            <w:tcBorders>
              <w:top w:val="single" w:color="auto" w:sz="4" w:space="0"/>
              <w:left w:val="single" w:color="auto" w:sz="6" w:space="0"/>
              <w:bottom w:val="single" w:color="auto" w:sz="4" w:space="0"/>
              <w:right w:val="single" w:color="auto" w:sz="6" w:space="0"/>
            </w:tcBorders>
            <w:vAlign w:val="center"/>
          </w:tcPr>
          <w:p w14:paraId="57075BA5">
            <w:pPr>
              <w:jc w:val="center"/>
              <w:rPr>
                <w:color w:val="auto"/>
                <w:sz w:val="21"/>
                <w:highlight w:val="none"/>
              </w:rPr>
            </w:pPr>
          </w:p>
        </w:tc>
        <w:tc>
          <w:tcPr>
            <w:tcW w:w="1161" w:type="dxa"/>
            <w:tcBorders>
              <w:top w:val="single" w:color="auto" w:sz="4" w:space="0"/>
              <w:left w:val="single" w:color="auto" w:sz="6" w:space="0"/>
              <w:bottom w:val="single" w:color="auto" w:sz="4" w:space="0"/>
              <w:right w:val="single" w:color="auto" w:sz="2" w:space="0"/>
            </w:tcBorders>
            <w:vAlign w:val="center"/>
          </w:tcPr>
          <w:p w14:paraId="193A3692">
            <w:pPr>
              <w:jc w:val="center"/>
              <w:rPr>
                <w:color w:val="auto"/>
                <w:sz w:val="21"/>
                <w:highlight w:val="none"/>
              </w:rPr>
            </w:pPr>
          </w:p>
        </w:tc>
      </w:tr>
      <w:tr w14:paraId="0550CAC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952" w:type="dxa"/>
            <w:vMerge w:val="continue"/>
            <w:tcBorders>
              <w:top w:val="single" w:color="auto" w:sz="6" w:space="0"/>
              <w:left w:val="single" w:color="auto" w:sz="2" w:space="0"/>
              <w:bottom w:val="single" w:color="auto" w:sz="6" w:space="0"/>
              <w:right w:val="single" w:color="auto" w:sz="4" w:space="0"/>
            </w:tcBorders>
            <w:vAlign w:val="center"/>
          </w:tcPr>
          <w:p w14:paraId="040EBB1C">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2490C8D4">
            <w:pPr>
              <w:rPr>
                <w:color w:val="auto"/>
                <w:sz w:val="21"/>
                <w:highlight w:val="none"/>
              </w:rPr>
            </w:pPr>
            <w:r>
              <w:rPr>
                <w:rFonts w:hint="eastAsia"/>
                <w:color w:val="auto"/>
                <w:sz w:val="21"/>
                <w:highlight w:val="none"/>
              </w:rPr>
              <w:t>本项目不接受联合体投标。</w:t>
            </w:r>
          </w:p>
        </w:tc>
        <w:tc>
          <w:tcPr>
            <w:tcW w:w="1049" w:type="dxa"/>
            <w:tcBorders>
              <w:top w:val="single" w:color="auto" w:sz="4" w:space="0"/>
              <w:left w:val="single" w:color="auto" w:sz="6" w:space="0"/>
              <w:bottom w:val="single" w:color="auto" w:sz="4" w:space="0"/>
              <w:right w:val="single" w:color="auto" w:sz="6" w:space="0"/>
            </w:tcBorders>
            <w:vAlign w:val="center"/>
          </w:tcPr>
          <w:p w14:paraId="19C74549">
            <w:pPr>
              <w:jc w:val="center"/>
              <w:rPr>
                <w:color w:val="auto"/>
                <w:sz w:val="21"/>
                <w:highlight w:val="none"/>
              </w:rPr>
            </w:pPr>
          </w:p>
        </w:tc>
        <w:tc>
          <w:tcPr>
            <w:tcW w:w="1049" w:type="dxa"/>
            <w:tcBorders>
              <w:top w:val="single" w:color="auto" w:sz="4" w:space="0"/>
              <w:left w:val="single" w:color="auto" w:sz="6" w:space="0"/>
              <w:bottom w:val="single" w:color="auto" w:sz="4" w:space="0"/>
              <w:right w:val="single" w:color="auto" w:sz="6" w:space="0"/>
            </w:tcBorders>
            <w:vAlign w:val="center"/>
          </w:tcPr>
          <w:p w14:paraId="59F93D07">
            <w:pPr>
              <w:jc w:val="center"/>
              <w:rPr>
                <w:color w:val="auto"/>
                <w:sz w:val="21"/>
                <w:highlight w:val="none"/>
              </w:rPr>
            </w:pPr>
          </w:p>
        </w:tc>
        <w:tc>
          <w:tcPr>
            <w:tcW w:w="1161" w:type="dxa"/>
            <w:tcBorders>
              <w:top w:val="single" w:color="auto" w:sz="4" w:space="0"/>
              <w:left w:val="single" w:color="auto" w:sz="6" w:space="0"/>
              <w:bottom w:val="single" w:color="auto" w:sz="4" w:space="0"/>
              <w:right w:val="single" w:color="auto" w:sz="2" w:space="0"/>
            </w:tcBorders>
            <w:vAlign w:val="center"/>
          </w:tcPr>
          <w:p w14:paraId="6885F488">
            <w:pPr>
              <w:jc w:val="center"/>
              <w:rPr>
                <w:color w:val="auto"/>
                <w:sz w:val="21"/>
                <w:highlight w:val="none"/>
              </w:rPr>
            </w:pPr>
          </w:p>
        </w:tc>
      </w:tr>
      <w:tr w14:paraId="4F37C4C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952" w:type="dxa"/>
            <w:vMerge w:val="restart"/>
            <w:tcBorders>
              <w:top w:val="single" w:color="auto" w:sz="6" w:space="0"/>
              <w:left w:val="single" w:color="auto" w:sz="2" w:space="0"/>
              <w:bottom w:val="single" w:color="auto" w:sz="6" w:space="0"/>
              <w:right w:val="single" w:color="auto" w:sz="6" w:space="0"/>
            </w:tcBorders>
            <w:vAlign w:val="center"/>
          </w:tcPr>
          <w:p w14:paraId="46BE18CB">
            <w:pPr>
              <w:jc w:val="center"/>
              <w:rPr>
                <w:color w:val="auto"/>
                <w:sz w:val="21"/>
                <w:highlight w:val="none"/>
              </w:rPr>
            </w:pPr>
            <w:r>
              <w:rPr>
                <w:rFonts w:hint="eastAsia"/>
                <w:color w:val="auto"/>
                <w:sz w:val="21"/>
                <w:highlight w:val="none"/>
              </w:rPr>
              <w:t>符合性审查</w:t>
            </w: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4805BF0D">
            <w:pPr>
              <w:rPr>
                <w:color w:val="auto"/>
                <w:sz w:val="21"/>
                <w:highlight w:val="none"/>
              </w:rPr>
            </w:pPr>
            <w:r>
              <w:rPr>
                <w:rFonts w:hint="eastAsia"/>
                <w:color w:val="auto"/>
                <w:sz w:val="21"/>
                <w:highlight w:val="none"/>
              </w:rPr>
              <w:t>符合投标有效期</w:t>
            </w:r>
          </w:p>
        </w:tc>
        <w:tc>
          <w:tcPr>
            <w:tcW w:w="1049" w:type="dxa"/>
            <w:tcBorders>
              <w:top w:val="single" w:color="auto" w:sz="6" w:space="0"/>
              <w:left w:val="single" w:color="auto" w:sz="6" w:space="0"/>
              <w:bottom w:val="single" w:color="auto" w:sz="6" w:space="0"/>
              <w:right w:val="single" w:color="auto" w:sz="6" w:space="0"/>
            </w:tcBorders>
            <w:vAlign w:val="center"/>
          </w:tcPr>
          <w:p w14:paraId="23F27EE4">
            <w:pPr>
              <w:jc w:val="center"/>
              <w:rPr>
                <w:color w:val="auto"/>
                <w:sz w:val="21"/>
                <w:highlight w:val="none"/>
              </w:rPr>
            </w:pPr>
          </w:p>
        </w:tc>
        <w:tc>
          <w:tcPr>
            <w:tcW w:w="1049" w:type="dxa"/>
            <w:tcBorders>
              <w:top w:val="single" w:color="auto" w:sz="6" w:space="0"/>
              <w:left w:val="single" w:color="auto" w:sz="6" w:space="0"/>
              <w:bottom w:val="single" w:color="auto" w:sz="6" w:space="0"/>
              <w:right w:val="single" w:color="auto" w:sz="6" w:space="0"/>
            </w:tcBorders>
            <w:vAlign w:val="center"/>
          </w:tcPr>
          <w:p w14:paraId="26A1FD4B">
            <w:pPr>
              <w:jc w:val="center"/>
              <w:rPr>
                <w:color w:val="auto"/>
                <w:sz w:val="21"/>
                <w:highlight w:val="none"/>
              </w:rPr>
            </w:pPr>
          </w:p>
        </w:tc>
        <w:tc>
          <w:tcPr>
            <w:tcW w:w="1161" w:type="dxa"/>
            <w:tcBorders>
              <w:top w:val="single" w:color="auto" w:sz="6" w:space="0"/>
              <w:left w:val="single" w:color="auto" w:sz="6" w:space="0"/>
              <w:bottom w:val="single" w:color="auto" w:sz="6" w:space="0"/>
              <w:right w:val="single" w:color="auto" w:sz="2" w:space="0"/>
            </w:tcBorders>
            <w:vAlign w:val="center"/>
          </w:tcPr>
          <w:p w14:paraId="12763502">
            <w:pPr>
              <w:jc w:val="center"/>
              <w:rPr>
                <w:color w:val="auto"/>
                <w:sz w:val="21"/>
                <w:highlight w:val="none"/>
              </w:rPr>
            </w:pPr>
          </w:p>
        </w:tc>
      </w:tr>
      <w:tr w14:paraId="5A11902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952" w:type="dxa"/>
            <w:vMerge w:val="continue"/>
            <w:tcBorders>
              <w:top w:val="single" w:color="auto" w:sz="6" w:space="0"/>
              <w:left w:val="single" w:color="auto" w:sz="2" w:space="0"/>
              <w:bottom w:val="single" w:color="auto" w:sz="6" w:space="0"/>
              <w:right w:val="single" w:color="auto" w:sz="6" w:space="0"/>
            </w:tcBorders>
            <w:vAlign w:val="center"/>
          </w:tcPr>
          <w:p w14:paraId="081A41F3">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5077C9E4">
            <w:pPr>
              <w:rPr>
                <w:color w:val="auto"/>
                <w:sz w:val="21"/>
                <w:highlight w:val="none"/>
              </w:rPr>
            </w:pPr>
            <w:r>
              <w:rPr>
                <w:rFonts w:hint="eastAsia"/>
                <w:bCs/>
                <w:color w:val="auto"/>
                <w:sz w:val="21"/>
                <w:highlight w:val="none"/>
              </w:rPr>
              <w:t>投标文件按照招标文件规定要求签署、盖章</w:t>
            </w:r>
          </w:p>
        </w:tc>
        <w:tc>
          <w:tcPr>
            <w:tcW w:w="1049" w:type="dxa"/>
            <w:tcBorders>
              <w:top w:val="single" w:color="auto" w:sz="6" w:space="0"/>
              <w:left w:val="single" w:color="auto" w:sz="6" w:space="0"/>
              <w:bottom w:val="single" w:color="auto" w:sz="6" w:space="0"/>
              <w:right w:val="single" w:color="auto" w:sz="6" w:space="0"/>
            </w:tcBorders>
            <w:vAlign w:val="center"/>
          </w:tcPr>
          <w:p w14:paraId="02CA3285">
            <w:pPr>
              <w:jc w:val="center"/>
              <w:rPr>
                <w:color w:val="auto"/>
                <w:sz w:val="21"/>
                <w:highlight w:val="none"/>
              </w:rPr>
            </w:pPr>
          </w:p>
        </w:tc>
        <w:tc>
          <w:tcPr>
            <w:tcW w:w="1049" w:type="dxa"/>
            <w:tcBorders>
              <w:top w:val="single" w:color="auto" w:sz="6" w:space="0"/>
              <w:left w:val="single" w:color="auto" w:sz="6" w:space="0"/>
              <w:bottom w:val="single" w:color="auto" w:sz="6" w:space="0"/>
              <w:right w:val="single" w:color="auto" w:sz="6" w:space="0"/>
            </w:tcBorders>
            <w:vAlign w:val="center"/>
          </w:tcPr>
          <w:p w14:paraId="51F981EA">
            <w:pPr>
              <w:jc w:val="center"/>
              <w:rPr>
                <w:color w:val="auto"/>
                <w:sz w:val="21"/>
                <w:highlight w:val="none"/>
              </w:rPr>
            </w:pPr>
          </w:p>
        </w:tc>
        <w:tc>
          <w:tcPr>
            <w:tcW w:w="1161" w:type="dxa"/>
            <w:tcBorders>
              <w:top w:val="single" w:color="auto" w:sz="6" w:space="0"/>
              <w:left w:val="single" w:color="auto" w:sz="6" w:space="0"/>
              <w:bottom w:val="single" w:color="auto" w:sz="6" w:space="0"/>
              <w:right w:val="single" w:color="auto" w:sz="2" w:space="0"/>
            </w:tcBorders>
            <w:vAlign w:val="center"/>
          </w:tcPr>
          <w:p w14:paraId="670B6904">
            <w:pPr>
              <w:jc w:val="center"/>
              <w:rPr>
                <w:color w:val="auto"/>
                <w:sz w:val="21"/>
                <w:highlight w:val="none"/>
              </w:rPr>
            </w:pPr>
          </w:p>
        </w:tc>
      </w:tr>
      <w:tr w14:paraId="0202C08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952" w:type="dxa"/>
            <w:vMerge w:val="continue"/>
            <w:tcBorders>
              <w:top w:val="single" w:color="auto" w:sz="6" w:space="0"/>
              <w:left w:val="single" w:color="auto" w:sz="2" w:space="0"/>
              <w:bottom w:val="single" w:color="auto" w:sz="6" w:space="0"/>
              <w:right w:val="single" w:color="auto" w:sz="6" w:space="0"/>
            </w:tcBorders>
            <w:vAlign w:val="center"/>
          </w:tcPr>
          <w:p w14:paraId="458857C3">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53A7EBF4">
            <w:pPr>
              <w:rPr>
                <w:color w:val="auto"/>
                <w:sz w:val="21"/>
                <w:highlight w:val="none"/>
              </w:rPr>
            </w:pPr>
            <w:r>
              <w:rPr>
                <w:rFonts w:hint="eastAsia"/>
                <w:color w:val="auto"/>
                <w:sz w:val="21"/>
                <w:highlight w:val="none"/>
              </w:rPr>
              <w:t>投标报价没有超出最高限价</w:t>
            </w:r>
          </w:p>
        </w:tc>
        <w:tc>
          <w:tcPr>
            <w:tcW w:w="1049" w:type="dxa"/>
            <w:tcBorders>
              <w:top w:val="single" w:color="auto" w:sz="6" w:space="0"/>
              <w:left w:val="single" w:color="auto" w:sz="6" w:space="0"/>
              <w:bottom w:val="single" w:color="auto" w:sz="6" w:space="0"/>
              <w:right w:val="single" w:color="auto" w:sz="6" w:space="0"/>
            </w:tcBorders>
            <w:vAlign w:val="center"/>
          </w:tcPr>
          <w:p w14:paraId="131C8713">
            <w:pPr>
              <w:jc w:val="center"/>
              <w:rPr>
                <w:color w:val="auto"/>
                <w:sz w:val="21"/>
                <w:highlight w:val="none"/>
              </w:rPr>
            </w:pPr>
          </w:p>
        </w:tc>
        <w:tc>
          <w:tcPr>
            <w:tcW w:w="1049" w:type="dxa"/>
            <w:tcBorders>
              <w:top w:val="single" w:color="auto" w:sz="6" w:space="0"/>
              <w:left w:val="single" w:color="auto" w:sz="6" w:space="0"/>
              <w:bottom w:val="single" w:color="auto" w:sz="6" w:space="0"/>
              <w:right w:val="single" w:color="auto" w:sz="6" w:space="0"/>
            </w:tcBorders>
            <w:vAlign w:val="center"/>
          </w:tcPr>
          <w:p w14:paraId="5719199E">
            <w:pPr>
              <w:jc w:val="center"/>
              <w:rPr>
                <w:color w:val="auto"/>
                <w:sz w:val="21"/>
                <w:highlight w:val="none"/>
              </w:rPr>
            </w:pPr>
          </w:p>
        </w:tc>
        <w:tc>
          <w:tcPr>
            <w:tcW w:w="1161" w:type="dxa"/>
            <w:tcBorders>
              <w:top w:val="single" w:color="auto" w:sz="6" w:space="0"/>
              <w:left w:val="single" w:color="auto" w:sz="6" w:space="0"/>
              <w:bottom w:val="single" w:color="auto" w:sz="6" w:space="0"/>
              <w:right w:val="single" w:color="auto" w:sz="2" w:space="0"/>
            </w:tcBorders>
            <w:vAlign w:val="center"/>
          </w:tcPr>
          <w:p w14:paraId="5FDF0182">
            <w:pPr>
              <w:jc w:val="center"/>
              <w:rPr>
                <w:color w:val="auto"/>
                <w:sz w:val="21"/>
                <w:highlight w:val="none"/>
              </w:rPr>
            </w:pPr>
          </w:p>
        </w:tc>
      </w:tr>
      <w:tr w14:paraId="104C001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952" w:type="dxa"/>
            <w:vMerge w:val="continue"/>
            <w:tcBorders>
              <w:top w:val="single" w:color="auto" w:sz="6" w:space="0"/>
              <w:left w:val="single" w:color="auto" w:sz="2" w:space="0"/>
              <w:bottom w:val="single" w:color="auto" w:sz="6" w:space="0"/>
              <w:right w:val="single" w:color="auto" w:sz="6" w:space="0"/>
            </w:tcBorders>
            <w:vAlign w:val="center"/>
          </w:tcPr>
          <w:p w14:paraId="3B516C34">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27752499">
            <w:pPr>
              <w:rPr>
                <w:color w:val="auto"/>
                <w:sz w:val="21"/>
                <w:highlight w:val="none"/>
              </w:rPr>
            </w:pPr>
            <w:r>
              <w:rPr>
                <w:rFonts w:hint="eastAsia"/>
                <w:color w:val="auto"/>
                <w:sz w:val="21"/>
                <w:highlight w:val="none"/>
              </w:rPr>
              <w:t>完全满足招标文件中标注“★”的条款</w:t>
            </w:r>
          </w:p>
        </w:tc>
        <w:tc>
          <w:tcPr>
            <w:tcW w:w="1049" w:type="dxa"/>
            <w:tcBorders>
              <w:top w:val="single" w:color="auto" w:sz="6" w:space="0"/>
              <w:left w:val="single" w:color="auto" w:sz="6" w:space="0"/>
              <w:bottom w:val="single" w:color="auto" w:sz="6" w:space="0"/>
              <w:right w:val="single" w:color="auto" w:sz="6" w:space="0"/>
            </w:tcBorders>
            <w:vAlign w:val="center"/>
          </w:tcPr>
          <w:p w14:paraId="233EAE29">
            <w:pPr>
              <w:jc w:val="center"/>
              <w:rPr>
                <w:color w:val="auto"/>
                <w:sz w:val="21"/>
                <w:highlight w:val="none"/>
              </w:rPr>
            </w:pPr>
          </w:p>
        </w:tc>
        <w:tc>
          <w:tcPr>
            <w:tcW w:w="1049" w:type="dxa"/>
            <w:tcBorders>
              <w:top w:val="single" w:color="auto" w:sz="6" w:space="0"/>
              <w:left w:val="single" w:color="auto" w:sz="6" w:space="0"/>
              <w:bottom w:val="single" w:color="auto" w:sz="6" w:space="0"/>
              <w:right w:val="single" w:color="auto" w:sz="6" w:space="0"/>
            </w:tcBorders>
            <w:vAlign w:val="center"/>
          </w:tcPr>
          <w:p w14:paraId="3F226AC0">
            <w:pPr>
              <w:jc w:val="center"/>
              <w:rPr>
                <w:color w:val="auto"/>
                <w:sz w:val="21"/>
                <w:highlight w:val="none"/>
              </w:rPr>
            </w:pPr>
          </w:p>
        </w:tc>
        <w:tc>
          <w:tcPr>
            <w:tcW w:w="1161" w:type="dxa"/>
            <w:tcBorders>
              <w:top w:val="single" w:color="auto" w:sz="6" w:space="0"/>
              <w:left w:val="single" w:color="auto" w:sz="6" w:space="0"/>
              <w:bottom w:val="single" w:color="auto" w:sz="6" w:space="0"/>
              <w:right w:val="single" w:color="auto" w:sz="2" w:space="0"/>
            </w:tcBorders>
            <w:vAlign w:val="center"/>
          </w:tcPr>
          <w:p w14:paraId="63216F7C">
            <w:pPr>
              <w:jc w:val="center"/>
              <w:rPr>
                <w:color w:val="auto"/>
                <w:sz w:val="21"/>
                <w:highlight w:val="none"/>
              </w:rPr>
            </w:pPr>
          </w:p>
        </w:tc>
      </w:tr>
      <w:tr w14:paraId="55006DD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952" w:type="dxa"/>
            <w:vMerge w:val="continue"/>
            <w:tcBorders>
              <w:top w:val="single" w:color="auto" w:sz="6" w:space="0"/>
              <w:left w:val="single" w:color="auto" w:sz="2" w:space="0"/>
              <w:bottom w:val="single" w:color="auto" w:sz="6" w:space="0"/>
              <w:right w:val="single" w:color="auto" w:sz="6" w:space="0"/>
            </w:tcBorders>
            <w:vAlign w:val="center"/>
          </w:tcPr>
          <w:p w14:paraId="3E86F738">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29396038">
            <w:pPr>
              <w:rPr>
                <w:color w:val="auto"/>
                <w:sz w:val="21"/>
                <w:highlight w:val="none"/>
              </w:rPr>
            </w:pPr>
            <w:r>
              <w:rPr>
                <w:rFonts w:hint="eastAsia"/>
                <w:color w:val="auto"/>
                <w:sz w:val="21"/>
                <w:highlight w:val="none"/>
              </w:rPr>
              <w:t>未出现招标文件规定的属于投标无效的情形</w:t>
            </w:r>
          </w:p>
        </w:tc>
        <w:tc>
          <w:tcPr>
            <w:tcW w:w="1049" w:type="dxa"/>
            <w:tcBorders>
              <w:top w:val="single" w:color="auto" w:sz="6" w:space="0"/>
              <w:left w:val="single" w:color="auto" w:sz="6" w:space="0"/>
              <w:bottom w:val="single" w:color="auto" w:sz="6" w:space="0"/>
              <w:right w:val="single" w:color="auto" w:sz="6" w:space="0"/>
            </w:tcBorders>
            <w:vAlign w:val="center"/>
          </w:tcPr>
          <w:p w14:paraId="06390801">
            <w:pPr>
              <w:jc w:val="center"/>
              <w:rPr>
                <w:color w:val="auto"/>
                <w:sz w:val="21"/>
                <w:highlight w:val="none"/>
              </w:rPr>
            </w:pPr>
          </w:p>
        </w:tc>
        <w:tc>
          <w:tcPr>
            <w:tcW w:w="1049" w:type="dxa"/>
            <w:tcBorders>
              <w:top w:val="single" w:color="auto" w:sz="6" w:space="0"/>
              <w:left w:val="single" w:color="auto" w:sz="6" w:space="0"/>
              <w:bottom w:val="single" w:color="auto" w:sz="6" w:space="0"/>
              <w:right w:val="single" w:color="auto" w:sz="6" w:space="0"/>
            </w:tcBorders>
            <w:vAlign w:val="center"/>
          </w:tcPr>
          <w:p w14:paraId="3FFAD21A">
            <w:pPr>
              <w:jc w:val="center"/>
              <w:rPr>
                <w:color w:val="auto"/>
                <w:sz w:val="21"/>
                <w:highlight w:val="none"/>
              </w:rPr>
            </w:pPr>
          </w:p>
        </w:tc>
        <w:tc>
          <w:tcPr>
            <w:tcW w:w="1161" w:type="dxa"/>
            <w:tcBorders>
              <w:top w:val="single" w:color="auto" w:sz="6" w:space="0"/>
              <w:left w:val="single" w:color="auto" w:sz="6" w:space="0"/>
              <w:bottom w:val="single" w:color="auto" w:sz="6" w:space="0"/>
              <w:right w:val="single" w:color="auto" w:sz="2" w:space="0"/>
            </w:tcBorders>
            <w:vAlign w:val="center"/>
          </w:tcPr>
          <w:p w14:paraId="1909389D">
            <w:pPr>
              <w:jc w:val="center"/>
              <w:rPr>
                <w:color w:val="auto"/>
                <w:sz w:val="21"/>
                <w:highlight w:val="none"/>
              </w:rPr>
            </w:pPr>
          </w:p>
        </w:tc>
      </w:tr>
      <w:tr w14:paraId="53CD84E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952" w:type="dxa"/>
            <w:vMerge w:val="continue"/>
            <w:tcBorders>
              <w:top w:val="single" w:color="auto" w:sz="6" w:space="0"/>
              <w:left w:val="single" w:color="auto" w:sz="2" w:space="0"/>
              <w:bottom w:val="single" w:color="auto" w:sz="6" w:space="0"/>
              <w:right w:val="single" w:color="auto" w:sz="6" w:space="0"/>
            </w:tcBorders>
            <w:vAlign w:val="center"/>
          </w:tcPr>
          <w:p w14:paraId="7BFEBC33">
            <w:pPr>
              <w:widowControl/>
              <w:autoSpaceDE/>
              <w:autoSpaceDN/>
              <w:rPr>
                <w:color w:val="auto"/>
                <w:sz w:val="21"/>
                <w:highlight w:val="none"/>
              </w:rPr>
            </w:pPr>
          </w:p>
        </w:tc>
        <w:tc>
          <w:tcPr>
            <w:tcW w:w="6213" w:type="dxa"/>
            <w:gridSpan w:val="2"/>
            <w:tcBorders>
              <w:top w:val="single" w:color="auto" w:sz="6" w:space="0"/>
              <w:left w:val="single" w:color="auto" w:sz="6" w:space="0"/>
              <w:bottom w:val="single" w:color="auto" w:sz="6" w:space="0"/>
              <w:right w:val="single" w:color="auto" w:sz="6" w:space="0"/>
            </w:tcBorders>
            <w:vAlign w:val="center"/>
          </w:tcPr>
          <w:p w14:paraId="72F1352B">
            <w:pPr>
              <w:rPr>
                <w:color w:val="auto"/>
                <w:sz w:val="21"/>
                <w:highlight w:val="none"/>
              </w:rPr>
            </w:pPr>
            <w:r>
              <w:rPr>
                <w:rFonts w:hint="eastAsia"/>
                <w:color w:val="auto"/>
                <w:sz w:val="21"/>
                <w:highlight w:val="none"/>
              </w:rPr>
              <w:t>没有其他未实质性响应招标文件要求的</w:t>
            </w:r>
          </w:p>
        </w:tc>
        <w:tc>
          <w:tcPr>
            <w:tcW w:w="1049" w:type="dxa"/>
            <w:tcBorders>
              <w:top w:val="single" w:color="auto" w:sz="6" w:space="0"/>
              <w:left w:val="single" w:color="auto" w:sz="6" w:space="0"/>
              <w:bottom w:val="single" w:color="auto" w:sz="6" w:space="0"/>
              <w:right w:val="single" w:color="auto" w:sz="6" w:space="0"/>
            </w:tcBorders>
            <w:vAlign w:val="center"/>
          </w:tcPr>
          <w:p w14:paraId="2A654116">
            <w:pPr>
              <w:jc w:val="center"/>
              <w:rPr>
                <w:color w:val="auto"/>
                <w:sz w:val="21"/>
                <w:highlight w:val="none"/>
              </w:rPr>
            </w:pPr>
          </w:p>
        </w:tc>
        <w:tc>
          <w:tcPr>
            <w:tcW w:w="1049" w:type="dxa"/>
            <w:tcBorders>
              <w:top w:val="single" w:color="auto" w:sz="6" w:space="0"/>
              <w:left w:val="single" w:color="auto" w:sz="6" w:space="0"/>
              <w:bottom w:val="single" w:color="auto" w:sz="6" w:space="0"/>
              <w:right w:val="single" w:color="auto" w:sz="6" w:space="0"/>
            </w:tcBorders>
            <w:vAlign w:val="center"/>
          </w:tcPr>
          <w:p w14:paraId="19DBFFF9">
            <w:pPr>
              <w:jc w:val="center"/>
              <w:rPr>
                <w:color w:val="auto"/>
                <w:sz w:val="21"/>
                <w:highlight w:val="none"/>
              </w:rPr>
            </w:pPr>
          </w:p>
        </w:tc>
        <w:tc>
          <w:tcPr>
            <w:tcW w:w="1161" w:type="dxa"/>
            <w:tcBorders>
              <w:top w:val="single" w:color="auto" w:sz="6" w:space="0"/>
              <w:left w:val="single" w:color="auto" w:sz="6" w:space="0"/>
              <w:bottom w:val="single" w:color="auto" w:sz="6" w:space="0"/>
              <w:right w:val="single" w:color="auto" w:sz="2" w:space="0"/>
            </w:tcBorders>
            <w:vAlign w:val="center"/>
          </w:tcPr>
          <w:p w14:paraId="2DDA0F45">
            <w:pPr>
              <w:jc w:val="center"/>
              <w:rPr>
                <w:color w:val="auto"/>
                <w:sz w:val="21"/>
                <w:highlight w:val="none"/>
              </w:rPr>
            </w:pPr>
          </w:p>
        </w:tc>
      </w:tr>
      <w:tr w14:paraId="6F8A0CA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818" w:hRule="atLeast"/>
        </w:trPr>
        <w:tc>
          <w:tcPr>
            <w:tcW w:w="2966" w:type="dxa"/>
            <w:gridSpan w:val="2"/>
            <w:tcBorders>
              <w:top w:val="single" w:color="auto" w:sz="6" w:space="0"/>
              <w:left w:val="single" w:color="auto" w:sz="2" w:space="0"/>
              <w:bottom w:val="single" w:color="auto" w:sz="2" w:space="0"/>
              <w:right w:val="single" w:color="auto" w:sz="6" w:space="0"/>
            </w:tcBorders>
            <w:vAlign w:val="center"/>
          </w:tcPr>
          <w:p w14:paraId="0C8534B6">
            <w:pPr>
              <w:jc w:val="center"/>
              <w:rPr>
                <w:color w:val="auto"/>
                <w:sz w:val="21"/>
                <w:highlight w:val="none"/>
              </w:rPr>
            </w:pPr>
            <w:r>
              <w:rPr>
                <w:rFonts w:hint="eastAsia"/>
                <w:color w:val="auto"/>
                <w:sz w:val="21"/>
                <w:highlight w:val="none"/>
              </w:rPr>
              <w:t>结论</w:t>
            </w:r>
          </w:p>
        </w:tc>
        <w:tc>
          <w:tcPr>
            <w:tcW w:w="4199" w:type="dxa"/>
            <w:tcBorders>
              <w:top w:val="single" w:color="auto" w:sz="6" w:space="0"/>
              <w:left w:val="single" w:color="auto" w:sz="6" w:space="0"/>
              <w:bottom w:val="single" w:color="auto" w:sz="2" w:space="0"/>
              <w:right w:val="single" w:color="auto" w:sz="6" w:space="0"/>
            </w:tcBorders>
            <w:vAlign w:val="center"/>
          </w:tcPr>
          <w:p w14:paraId="6E42CB06">
            <w:pPr>
              <w:rPr>
                <w:color w:val="auto"/>
                <w:sz w:val="21"/>
                <w:highlight w:val="none"/>
              </w:rPr>
            </w:pPr>
            <w:r>
              <w:rPr>
                <w:rFonts w:hint="eastAsia"/>
                <w:color w:val="auto"/>
                <w:sz w:val="21"/>
                <w:highlight w:val="none"/>
              </w:rPr>
              <w:t>是否同意进入下一阶段评议</w:t>
            </w:r>
          </w:p>
          <w:p w14:paraId="79A4C195">
            <w:pPr>
              <w:rPr>
                <w:color w:val="auto"/>
                <w:sz w:val="21"/>
                <w:highlight w:val="none"/>
              </w:rPr>
            </w:pPr>
            <w:r>
              <w:rPr>
                <w:rFonts w:hint="eastAsia"/>
                <w:color w:val="auto"/>
                <w:sz w:val="21"/>
                <w:highlight w:val="none"/>
              </w:rPr>
              <w:t>（写“同意”或“不同意”）</w:t>
            </w:r>
          </w:p>
        </w:tc>
        <w:tc>
          <w:tcPr>
            <w:tcW w:w="1049" w:type="dxa"/>
            <w:tcBorders>
              <w:top w:val="single" w:color="auto" w:sz="6" w:space="0"/>
              <w:left w:val="single" w:color="auto" w:sz="6" w:space="0"/>
              <w:bottom w:val="single" w:color="auto" w:sz="2" w:space="0"/>
              <w:right w:val="single" w:color="auto" w:sz="6" w:space="0"/>
            </w:tcBorders>
            <w:vAlign w:val="center"/>
          </w:tcPr>
          <w:p w14:paraId="02B420E5">
            <w:pPr>
              <w:jc w:val="center"/>
              <w:rPr>
                <w:color w:val="auto"/>
                <w:sz w:val="21"/>
                <w:highlight w:val="none"/>
              </w:rPr>
            </w:pPr>
          </w:p>
        </w:tc>
        <w:tc>
          <w:tcPr>
            <w:tcW w:w="1049" w:type="dxa"/>
            <w:tcBorders>
              <w:top w:val="single" w:color="auto" w:sz="6" w:space="0"/>
              <w:left w:val="single" w:color="auto" w:sz="6" w:space="0"/>
              <w:bottom w:val="single" w:color="auto" w:sz="2" w:space="0"/>
              <w:right w:val="single" w:color="auto" w:sz="6" w:space="0"/>
            </w:tcBorders>
            <w:vAlign w:val="center"/>
          </w:tcPr>
          <w:p w14:paraId="421E98B0">
            <w:pPr>
              <w:jc w:val="center"/>
              <w:rPr>
                <w:color w:val="auto"/>
                <w:sz w:val="21"/>
                <w:highlight w:val="none"/>
              </w:rPr>
            </w:pPr>
          </w:p>
        </w:tc>
        <w:tc>
          <w:tcPr>
            <w:tcW w:w="1161" w:type="dxa"/>
            <w:tcBorders>
              <w:top w:val="single" w:color="auto" w:sz="6" w:space="0"/>
              <w:left w:val="single" w:color="auto" w:sz="6" w:space="0"/>
              <w:bottom w:val="single" w:color="auto" w:sz="2" w:space="0"/>
              <w:right w:val="single" w:color="auto" w:sz="2" w:space="0"/>
            </w:tcBorders>
            <w:vAlign w:val="center"/>
          </w:tcPr>
          <w:p w14:paraId="74827CDD">
            <w:pPr>
              <w:jc w:val="center"/>
              <w:rPr>
                <w:color w:val="auto"/>
                <w:sz w:val="21"/>
                <w:highlight w:val="none"/>
              </w:rPr>
            </w:pPr>
          </w:p>
        </w:tc>
      </w:tr>
    </w:tbl>
    <w:p w14:paraId="3EA96049">
      <w:pPr>
        <w:numPr>
          <w:ilvl w:val="0"/>
          <w:numId w:val="20"/>
        </w:numPr>
        <w:tabs>
          <w:tab w:val="left" w:pos="540"/>
        </w:tabs>
        <w:spacing w:line="400" w:lineRule="exact"/>
        <w:rPr>
          <w:color w:val="auto"/>
          <w:sz w:val="21"/>
          <w:highlight w:val="none"/>
        </w:rPr>
      </w:pPr>
      <w:r>
        <w:rPr>
          <w:rFonts w:hint="eastAsia"/>
          <w:color w:val="auto"/>
          <w:sz w:val="21"/>
          <w:highlight w:val="none"/>
        </w:rPr>
        <w:t>每一项目符合的打“○”，不符合的打“×”；出现一个“×”的结论为不同意进入下一阶段评议；</w:t>
      </w:r>
    </w:p>
    <w:p w14:paraId="416EF746">
      <w:pPr>
        <w:numPr>
          <w:ilvl w:val="0"/>
          <w:numId w:val="20"/>
        </w:numPr>
        <w:tabs>
          <w:tab w:val="left" w:pos="540"/>
        </w:tabs>
        <w:spacing w:line="400" w:lineRule="exact"/>
        <w:ind w:left="540" w:hanging="360"/>
        <w:rPr>
          <w:color w:val="auto"/>
          <w:sz w:val="21"/>
          <w:highlight w:val="none"/>
        </w:rPr>
      </w:pPr>
      <w:r>
        <w:rPr>
          <w:rFonts w:hint="eastAsia"/>
          <w:color w:val="auto"/>
          <w:sz w:val="21"/>
          <w:highlight w:val="none"/>
        </w:rPr>
        <w:t>表中全部条件满足为通过, 同意进入下一阶段评议；</w:t>
      </w:r>
    </w:p>
    <w:p w14:paraId="05624497">
      <w:pPr>
        <w:numPr>
          <w:ilvl w:val="0"/>
          <w:numId w:val="20"/>
        </w:numPr>
        <w:tabs>
          <w:tab w:val="left" w:pos="540"/>
        </w:tabs>
        <w:spacing w:line="400" w:lineRule="exact"/>
        <w:ind w:left="540" w:hanging="360"/>
        <w:rPr>
          <w:color w:val="auto"/>
          <w:sz w:val="21"/>
          <w:highlight w:val="none"/>
        </w:rPr>
      </w:pPr>
      <w:r>
        <w:rPr>
          <w:rFonts w:hint="eastAsia"/>
          <w:color w:val="auto"/>
          <w:sz w:val="21"/>
          <w:highlight w:val="none"/>
        </w:rPr>
        <w:t>是否同意进入下一阶段评议一栏中应写 “同意”或“不同意”。</w:t>
      </w:r>
    </w:p>
    <w:p w14:paraId="1C3BD453">
      <w:pPr>
        <w:numPr>
          <w:ilvl w:val="0"/>
          <w:numId w:val="20"/>
        </w:numPr>
        <w:tabs>
          <w:tab w:val="left" w:pos="540"/>
        </w:tabs>
        <w:spacing w:line="400" w:lineRule="exact"/>
        <w:ind w:left="540" w:hanging="360"/>
        <w:rPr>
          <w:color w:val="auto"/>
          <w:sz w:val="21"/>
          <w:highlight w:val="none"/>
        </w:rPr>
      </w:pPr>
      <w:r>
        <w:rPr>
          <w:rFonts w:hint="eastAsia"/>
          <w:color w:val="auto"/>
          <w:sz w:val="21"/>
          <w:highlight w:val="none"/>
        </w:rPr>
        <w:t>结论汇总意见采取少数服从多数原则，即超过半数评委的结论为“通过”，则该投标人通过符合性检查，否则不通过。</w:t>
      </w:r>
    </w:p>
    <w:p w14:paraId="6D7C1489">
      <w:pPr>
        <w:rPr>
          <w:color w:val="auto"/>
          <w:highlight w:val="none"/>
        </w:rPr>
      </w:pPr>
      <w:r>
        <w:rPr>
          <w:rFonts w:hint="eastAsia"/>
          <w:color w:val="auto"/>
          <w:highlight w:val="none"/>
        </w:rPr>
        <w:br w:type="page"/>
      </w:r>
    </w:p>
    <w:p w14:paraId="30D474D1">
      <w:pPr>
        <w:pStyle w:val="3"/>
        <w:spacing w:before="100" w:after="100" w:line="360" w:lineRule="auto"/>
        <w:jc w:val="center"/>
        <w:rPr>
          <w:rFonts w:ascii="宋体" w:hAnsi="宋体" w:eastAsia="宋体" w:cs="宋体"/>
          <w:bCs/>
          <w:color w:val="auto"/>
          <w:highlight w:val="none"/>
        </w:rPr>
      </w:pPr>
      <w:r>
        <w:rPr>
          <w:rFonts w:hint="eastAsia" w:ascii="宋体" w:hAnsi="宋体" w:eastAsia="宋体" w:cs="宋体"/>
          <w:color w:val="auto"/>
          <w:highlight w:val="none"/>
        </w:rPr>
        <w:t>附表二：</w:t>
      </w:r>
      <w:r>
        <w:rPr>
          <w:rFonts w:hint="eastAsia" w:ascii="宋体" w:hAnsi="宋体" w:eastAsia="宋体" w:cs="宋体"/>
          <w:bCs/>
          <w:color w:val="auto"/>
          <w:highlight w:val="none"/>
          <w:lang w:val="en-US" w:eastAsia="zh-CN"/>
        </w:rPr>
        <w:t>综合评分</w:t>
      </w:r>
      <w:r>
        <w:rPr>
          <w:rFonts w:hint="eastAsia" w:ascii="宋体" w:hAnsi="宋体" w:eastAsia="宋体" w:cs="宋体"/>
          <w:bCs/>
          <w:color w:val="auto"/>
          <w:highlight w:val="none"/>
        </w:rPr>
        <w:t>表</w:t>
      </w:r>
      <w:bookmarkEnd w:id="164"/>
    </w:p>
    <w:tbl>
      <w:tblPr>
        <w:tblStyle w:val="34"/>
        <w:tblW w:w="86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6"/>
        <w:gridCol w:w="1650"/>
        <w:gridCol w:w="5931"/>
      </w:tblGrid>
      <w:tr w14:paraId="59C54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tcPr>
          <w:p w14:paraId="4426AAA4">
            <w:pPr>
              <w:pStyle w:val="89"/>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评审因素</w:t>
            </w:r>
          </w:p>
        </w:tc>
        <w:tc>
          <w:tcPr>
            <w:tcW w:w="7581" w:type="dxa"/>
            <w:gridSpan w:val="2"/>
          </w:tcPr>
          <w:p w14:paraId="5A78AA73">
            <w:pPr>
              <w:pStyle w:val="89"/>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评审标准</w:t>
            </w:r>
          </w:p>
        </w:tc>
      </w:tr>
      <w:tr w14:paraId="5D629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Align w:val="center"/>
          </w:tcPr>
          <w:p w14:paraId="73BACAF3">
            <w:pPr>
              <w:pStyle w:val="89"/>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分值构成</w:t>
            </w:r>
          </w:p>
        </w:tc>
        <w:tc>
          <w:tcPr>
            <w:tcW w:w="7581" w:type="dxa"/>
            <w:gridSpan w:val="2"/>
          </w:tcPr>
          <w:p w14:paraId="29FFEDA2">
            <w:pPr>
              <w:pStyle w:val="89"/>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技术部分50.0分</w:t>
            </w:r>
          </w:p>
          <w:p w14:paraId="0CCF1078">
            <w:pPr>
              <w:pStyle w:val="89"/>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商务部分35.0分</w:t>
            </w:r>
          </w:p>
          <w:p w14:paraId="0BC40984">
            <w:pPr>
              <w:pStyle w:val="89"/>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报价得分10.0分</w:t>
            </w:r>
          </w:p>
          <w:p w14:paraId="201CDD31">
            <w:pPr>
              <w:pStyle w:val="89"/>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综合信用分5.0分</w:t>
            </w:r>
          </w:p>
        </w:tc>
      </w:tr>
      <w:tr w14:paraId="7729A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restart"/>
            <w:vAlign w:val="center"/>
          </w:tcPr>
          <w:p w14:paraId="1D575BB9">
            <w:pPr>
              <w:pStyle w:val="89"/>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技术部分</w:t>
            </w:r>
          </w:p>
        </w:tc>
        <w:tc>
          <w:tcPr>
            <w:tcW w:w="1650" w:type="dxa"/>
            <w:vAlign w:val="center"/>
          </w:tcPr>
          <w:p w14:paraId="3DB06573">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服务工作目标及管理方案1</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2.0分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31EC404F">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投标人所提供的服务工作目标及管理方案（包括采购需求三、服务要求及标准的第（一）至（五）项内容）进行评审：所提供的服务工作目标及管理方案包含（1）综合管理服务方案，（2）物业共用部位和共用设施设备维护方案，（3）公共秩序维护方案，（4）保洁服务方案，（5）绿化养护方案，每提供1项得0.4分，本项最高得2.0分。未提供的不得分。</w:t>
            </w:r>
          </w:p>
        </w:tc>
      </w:tr>
      <w:tr w14:paraId="2C4C0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5B7EB512">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6149BCB6">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服务工作目标及管理方案2</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6.0分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2641A157">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投标人所提供的服务工作目标及管理方案（包括采购需求三、服务要求及标准的第（一）至（五）项内容）进行评审：1、综合管理服务方案优于采购需求的，得1.2分；完全满足采购需求的，得0.8分；部分满足采购需求的，得0.4分；不能满足的，不得分。2、物业共用部位和共用设施设备维护方案优于采购需求的，得1.2分；完全满足采购需求的，得0.8分；部分满足采购需求的，得0.4分；不能满足的，不得分。3、公共秩序维护方案优于采购需求的，得1.2分；完全满足采购需求的，得0.8分；部分满足采购需求的，得0.4分；不能满足的，不得分。4、保洁服务方案优于采购需求的，得1.2分；完全满足采购需求的，得0.8分；部分满足采购需求的，得0.4分；不能满足的，不得分。5、绿化养护方案优于采购需求的，得1.2分；完全满足采购需求的，得0.8分；部分满足采购需求的，得0.4分；不能满足的，不得分。</w:t>
            </w:r>
          </w:p>
        </w:tc>
      </w:tr>
      <w:tr w14:paraId="29355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4C8DDE67">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3AB5B4D5">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机构设立、运作流程、管理计划</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9.0分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62B4B29D">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投标人针对本项目所提供内容进行评审：1、机构设立介绍：内容包括服务组织机构图、人员岗位工作职责及分工，每包含1项内容得1.5分，最高得3分；未提供的不得分。2、运作流程介绍：内容包括促进项目开展的事前、事中和事后管理措施，每包含1项内容得1分，最高得3分；未提供的不得分。3、管理计划情况：内容包括管理目标、管理方式、所使用的管理方法、管理人员、管理流程和管理节点，每包含1项内容得0.5分，最高得3分。未提供的不得分。</w:t>
            </w:r>
          </w:p>
        </w:tc>
      </w:tr>
      <w:tr w14:paraId="5EB03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479B1589">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50519633">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工作人员培训及管理1</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2分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78F9084B">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投标人针对本项目要求的各岗位职责提供培训及管理方案进行评审：1、培训方案内容包含（1）培训目标、（2）所培训的内容、（3）培训成果的评估与反馈机制，每提供1项得0.25分，最高得0.75分;未提供的不得分。2、人员管理方案内容包含（1）入职指引、（2）考勤、（3）请假、（4）人事异动、（5）员工行为规范、（6）奖惩规定、（7）绩效考核，每提供1项得0.25分，最高得1.75分。未提供的不得分。</w:t>
            </w:r>
          </w:p>
        </w:tc>
      </w:tr>
      <w:tr w14:paraId="12B99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616368F8">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5770DF9B">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工作人员培训及管理2</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4</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37EDAC0F">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根据“工作人员培训及人员管理1”所提供的培训方案及人员管理方案:方案优于采购需求的，得</w:t>
            </w:r>
            <w:r>
              <w:rPr>
                <w:rFonts w:hint="eastAsia" w:asciiTheme="minorEastAsia" w:hAnsiTheme="minorEastAsia" w:cstheme="minorEastAsia"/>
                <w:color w:val="auto"/>
                <w:kern w:val="0"/>
                <w:sz w:val="20"/>
                <w:szCs w:val="20"/>
                <w:highlight w:val="none"/>
                <w:lang w:val="en-US" w:eastAsia="zh-CN"/>
              </w:rPr>
              <w:t>4</w:t>
            </w:r>
            <w:r>
              <w:rPr>
                <w:rFonts w:hint="eastAsia" w:asciiTheme="minorEastAsia" w:hAnsiTheme="minorEastAsia" w:eastAsiaTheme="minorEastAsia" w:cstheme="minorEastAsia"/>
                <w:color w:val="auto"/>
                <w:kern w:val="0"/>
                <w:sz w:val="20"/>
                <w:szCs w:val="20"/>
                <w:highlight w:val="none"/>
              </w:rPr>
              <w:t>分;完全满足采购需求的，得2分；部分满足采购需求的，得1分;不能满足的，不得分。</w:t>
            </w:r>
          </w:p>
        </w:tc>
      </w:tr>
      <w:tr w14:paraId="7721E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788AD843">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1B02BB09">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服务人员工资方案（人员福利待遇）1</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2.0分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56981B5C">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根据投标人提供针对本项目服务人员工资及福利待遇方案进行评审：方案完全包含员工福利费、高温补贴等内容的，得2分；方案未完全包含员工福利费、高温补贴等内容的，得1分。未提供的不得分。</w:t>
            </w:r>
          </w:p>
        </w:tc>
      </w:tr>
      <w:tr w14:paraId="2179B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2E031072">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599AB7F5">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服务人员工资方案（人员福利待遇）2</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4.0分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0515796B">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服务人员工资方案（人员福利待遇）1”投标人所提供针对本项目服务人员工资及福利待遇方案进行评审：方案完全满足本项目服务需求的，得4分；部分满足本项目服务需求的，得2分；不能满足的，不得分。</w:t>
            </w:r>
          </w:p>
        </w:tc>
      </w:tr>
      <w:tr w14:paraId="4F49D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783B53ED">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646C4499">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质量保证体系及措施1</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2.0分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2DE92FD1">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根据投标人所提供针对本项目的质量保证体系及管理措施进行评审：所提供质量保证体系及管理措施包括（1）质量进度管理、（2）风险预防和应对措施内容的，每提供1项得1分，最高得2分。未提供的不得分。</w:t>
            </w:r>
          </w:p>
        </w:tc>
      </w:tr>
      <w:tr w14:paraId="4E8C7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22FDDEEA">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35E4701F">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质量保证体系及措施2</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3.0分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5C1217F2">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根据“质量保证体系及措施1”投标人所提供针对本项目的质量保证体系及管理措施进行评审：措施内容全部满足本项目情况的，得3分；部分满足的，得1分；不能满足的，不得分。</w:t>
            </w:r>
          </w:p>
        </w:tc>
      </w:tr>
      <w:tr w14:paraId="76A09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05C8BB72">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3531B2AB">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对突发事件的应急服务预案1</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2.0分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10FC7259">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根据投标人所提供的应急服务预案（包括“第二章采购需求”-“三、服务要求及标准”-“（七）应急服务预案”的各项预案内容及应对措施）进行评审：能提供应急服务预案的，得2分。未提供的不得分。</w:t>
            </w:r>
          </w:p>
        </w:tc>
      </w:tr>
      <w:tr w14:paraId="52371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3046ACE9">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47500981">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对突发事件的应急服务预案2</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4.0分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5345A8D9">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投标人所提供的应急服务预案（包括“第二章采购需求”-“三、服务要求及标准”-“（七）应急服务预案”的各项预案内容及应对措施）进行评审：预案内容优于采购需求的，得4分；完全满足采购需求的，得2分；部分满足采购需求的，得1分；不能满足的，不得分。</w:t>
            </w:r>
          </w:p>
        </w:tc>
      </w:tr>
      <w:tr w14:paraId="5CD72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442272D0">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58DE0195">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项目安全管理方案1</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2.0分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13E2D857">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根据投标人所提供的项目安全管理方案（包括安全管理措施）进行评审：能提供项目安全管理方案的，得2分。未提供的不得分。</w:t>
            </w:r>
          </w:p>
        </w:tc>
      </w:tr>
      <w:tr w14:paraId="4C163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53233615">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650A8E6C">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项目安全管理方案2</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4.0分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1483E215">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根据投标人所提供的项目安全管理方案（包括安全管理措施）进行评审：方案内容全部满足本项目情况的，得4分；部分满足的，得2分；不能满足的，不得分。</w:t>
            </w:r>
          </w:p>
        </w:tc>
      </w:tr>
      <w:tr w14:paraId="771A4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1C1F0A98">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3774B1D3">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物资装备计划</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4.0分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4F8C861F">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能根据“第</w:t>
            </w:r>
            <w:r>
              <w:rPr>
                <w:rFonts w:hint="eastAsia" w:asciiTheme="minorEastAsia" w:hAnsiTheme="minorEastAsia" w:cstheme="minorEastAsia"/>
                <w:color w:val="auto"/>
                <w:kern w:val="0"/>
                <w:sz w:val="20"/>
                <w:szCs w:val="20"/>
                <w:highlight w:val="none"/>
                <w:lang w:val="en-US" w:eastAsia="zh-CN"/>
              </w:rPr>
              <w:t>三部分</w:t>
            </w:r>
            <w:r>
              <w:rPr>
                <w:rFonts w:hint="eastAsia" w:asciiTheme="minorEastAsia" w:hAnsiTheme="minorEastAsia" w:eastAsiaTheme="minorEastAsia" w:cstheme="minorEastAsia"/>
                <w:color w:val="auto"/>
                <w:kern w:val="0"/>
                <w:sz w:val="20"/>
                <w:szCs w:val="20"/>
                <w:highlight w:val="none"/>
              </w:rPr>
              <w:t>采购需求”-“六、物业管理服务的具体要求”-“（六）物资装备要求”要求在投标文件中完整列出各类用于本项目的物资装备清单，所列清单内容完全满足或优于采购需求，得4分；部分满足采购需求，得2分；未提供或其他情况的得0分。</w:t>
            </w:r>
          </w:p>
        </w:tc>
      </w:tr>
      <w:tr w14:paraId="36021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restart"/>
            <w:vAlign w:val="center"/>
          </w:tcPr>
          <w:p w14:paraId="01C5CE8B">
            <w:pPr>
              <w:pStyle w:val="89"/>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商务部分</w:t>
            </w:r>
          </w:p>
        </w:tc>
        <w:tc>
          <w:tcPr>
            <w:tcW w:w="1650" w:type="dxa"/>
            <w:vAlign w:val="center"/>
          </w:tcPr>
          <w:p w14:paraId="2FA51D21">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同类项目经验</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4</w:t>
            </w:r>
            <w:r>
              <w:rPr>
                <w:rFonts w:hint="eastAsia" w:asciiTheme="minorEastAsia" w:hAnsiTheme="minorEastAsia" w:eastAsiaTheme="minorEastAsia" w:cstheme="minorEastAsia"/>
                <w:color w:val="auto"/>
                <w:kern w:val="0"/>
                <w:sz w:val="20"/>
                <w:szCs w:val="20"/>
                <w:highlight w:val="none"/>
              </w:rPr>
              <w:t>.0分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59CBADD9">
            <w:pPr>
              <w:widowControl w:val="0"/>
              <w:numPr>
                <w:ilvl w:val="0"/>
                <w:numId w:val="0"/>
              </w:numPr>
              <w:jc w:val="both"/>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自2019年1月1日至今（以合同签订时间为准）承接过的物业管理项目业绩，每个得1分，最高得4分。同一项目按一份计算，不重复计算分数</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应提供合同关键页扫描件，即体现项目名称、项目内容、合同履约时间加盖公章，合同关键页缺项漏项不得分。</w:t>
            </w:r>
          </w:p>
        </w:tc>
      </w:tr>
      <w:tr w14:paraId="08B96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3F465903">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5ED52A88">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管理或服务体系认证情况</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8</w:t>
            </w:r>
            <w:r>
              <w:rPr>
                <w:rFonts w:hint="eastAsia" w:asciiTheme="minorEastAsia" w:hAnsiTheme="minorEastAsia" w:eastAsiaTheme="minorEastAsia" w:cstheme="minorEastAsia"/>
                <w:color w:val="auto"/>
                <w:kern w:val="0"/>
                <w:sz w:val="20"/>
                <w:szCs w:val="20"/>
                <w:highlight w:val="none"/>
              </w:rPr>
              <w:t>.0分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2D8EE651">
            <w:pPr>
              <w:pStyle w:val="89"/>
              <w:numPr>
                <w:ilvl w:val="0"/>
                <w:numId w:val="0"/>
              </w:numPr>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具备有效期内的认证证书进行评审，要求如下：</w:t>
            </w:r>
          </w:p>
          <w:p w14:paraId="6A231BD2">
            <w:pPr>
              <w:pStyle w:val="89"/>
              <w:numPr>
                <w:ilvl w:val="0"/>
                <w:numId w:val="0"/>
              </w:numPr>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（1）质量管理体系认证证书，得</w:t>
            </w:r>
            <w:r>
              <w:rPr>
                <w:rFonts w:hint="eastAsia" w:asciiTheme="minorEastAsia" w:hAnsiTheme="minorEastAsia" w:eastAsiaTheme="minorEastAsia" w:cstheme="minorEastAsia"/>
                <w:color w:val="auto"/>
                <w:kern w:val="0"/>
                <w:sz w:val="20"/>
                <w:szCs w:val="20"/>
                <w:highlight w:val="none"/>
                <w:lang w:val="en-US" w:eastAsia="zh-CN"/>
              </w:rPr>
              <w:t>2</w:t>
            </w:r>
            <w:r>
              <w:rPr>
                <w:rFonts w:hint="eastAsia" w:asciiTheme="minorEastAsia" w:hAnsiTheme="minorEastAsia" w:eastAsiaTheme="minorEastAsia" w:cstheme="minorEastAsia"/>
                <w:color w:val="auto"/>
                <w:kern w:val="0"/>
                <w:sz w:val="20"/>
                <w:szCs w:val="20"/>
                <w:highlight w:val="none"/>
              </w:rPr>
              <w:t>分；</w:t>
            </w:r>
          </w:p>
          <w:p w14:paraId="1134804B">
            <w:pPr>
              <w:pStyle w:val="89"/>
              <w:numPr>
                <w:ilvl w:val="0"/>
                <w:numId w:val="0"/>
              </w:numPr>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Hans"/>
              </w:rPr>
              <w:t>（2）</w:t>
            </w:r>
            <w:r>
              <w:rPr>
                <w:rFonts w:hint="eastAsia" w:asciiTheme="minorEastAsia" w:hAnsiTheme="minorEastAsia" w:eastAsiaTheme="minorEastAsia" w:cstheme="minorEastAsia"/>
                <w:color w:val="auto"/>
                <w:kern w:val="0"/>
                <w:sz w:val="20"/>
                <w:szCs w:val="20"/>
                <w:highlight w:val="none"/>
              </w:rPr>
              <w:t>环境管理体系认证证书，得</w:t>
            </w:r>
            <w:r>
              <w:rPr>
                <w:rFonts w:hint="eastAsia" w:asciiTheme="minorEastAsia" w:hAnsiTheme="minorEastAsia" w:eastAsiaTheme="minorEastAsia" w:cstheme="minorEastAsia"/>
                <w:color w:val="auto"/>
                <w:kern w:val="0"/>
                <w:sz w:val="20"/>
                <w:szCs w:val="20"/>
                <w:highlight w:val="none"/>
                <w:lang w:val="en-US" w:eastAsia="zh-CN"/>
              </w:rPr>
              <w:t>2</w:t>
            </w:r>
            <w:r>
              <w:rPr>
                <w:rFonts w:hint="eastAsia" w:asciiTheme="minorEastAsia" w:hAnsiTheme="minorEastAsia" w:eastAsiaTheme="minorEastAsia" w:cstheme="minorEastAsia"/>
                <w:color w:val="auto"/>
                <w:kern w:val="0"/>
                <w:sz w:val="20"/>
                <w:szCs w:val="20"/>
                <w:highlight w:val="none"/>
              </w:rPr>
              <w:t>分；</w:t>
            </w:r>
          </w:p>
          <w:p w14:paraId="6D529196">
            <w:pPr>
              <w:pStyle w:val="89"/>
              <w:numPr>
                <w:ilvl w:val="0"/>
                <w:numId w:val="0"/>
              </w:numPr>
              <w:jc w:val="left"/>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val="en-US" w:eastAsia="zh-Hans"/>
              </w:rPr>
              <w:t>（3）</w:t>
            </w:r>
            <w:r>
              <w:rPr>
                <w:rFonts w:hint="eastAsia" w:asciiTheme="minorEastAsia" w:hAnsiTheme="minorEastAsia" w:eastAsiaTheme="minorEastAsia" w:cstheme="minorEastAsia"/>
                <w:color w:val="auto"/>
                <w:kern w:val="0"/>
                <w:sz w:val="20"/>
                <w:szCs w:val="20"/>
                <w:highlight w:val="none"/>
              </w:rPr>
              <w:t>职业健康安全管理体系认证证书，得</w:t>
            </w:r>
            <w:r>
              <w:rPr>
                <w:rFonts w:hint="eastAsia" w:asciiTheme="minorEastAsia" w:hAnsiTheme="minorEastAsia" w:eastAsiaTheme="minorEastAsia" w:cstheme="minorEastAsia"/>
                <w:color w:val="auto"/>
                <w:kern w:val="0"/>
                <w:sz w:val="20"/>
                <w:szCs w:val="20"/>
                <w:highlight w:val="none"/>
                <w:lang w:val="en-US" w:eastAsia="zh-CN"/>
              </w:rPr>
              <w:t>2</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p w14:paraId="4DD0B450">
            <w:pPr>
              <w:pStyle w:val="89"/>
              <w:numPr>
                <w:ilvl w:val="0"/>
                <w:numId w:val="0"/>
              </w:numPr>
              <w:jc w:val="left"/>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lang w:val="en-US" w:eastAsia="zh-Hans"/>
              </w:rPr>
              <w:t>（</w:t>
            </w:r>
            <w:r>
              <w:rPr>
                <w:rFonts w:hint="eastAsia" w:asciiTheme="minorEastAsia" w:hAnsiTheme="minorEastAsia" w:eastAsiaTheme="minorEastAsia" w:cstheme="minorEastAsia"/>
                <w:color w:val="auto"/>
                <w:kern w:val="0"/>
                <w:sz w:val="20"/>
                <w:szCs w:val="20"/>
                <w:highlight w:val="none"/>
                <w:lang w:val="en-US" w:eastAsia="zh-CN"/>
              </w:rPr>
              <w:t>4</w:t>
            </w:r>
            <w:r>
              <w:rPr>
                <w:rFonts w:hint="eastAsia" w:asciiTheme="minorEastAsia" w:hAnsiTheme="minorEastAsia" w:eastAsiaTheme="minorEastAsia" w:cstheme="minorEastAsia"/>
                <w:color w:val="auto"/>
                <w:kern w:val="0"/>
                <w:sz w:val="20"/>
                <w:szCs w:val="20"/>
                <w:highlight w:val="none"/>
                <w:lang w:val="en-US" w:eastAsia="zh-Hans"/>
              </w:rPr>
              <w:t>）</w:t>
            </w:r>
            <w:r>
              <w:rPr>
                <w:rFonts w:hint="eastAsia" w:asciiTheme="minorEastAsia" w:hAnsiTheme="minorEastAsia" w:cstheme="minorEastAsia"/>
                <w:color w:val="auto"/>
                <w:kern w:val="0"/>
                <w:sz w:val="20"/>
                <w:szCs w:val="20"/>
                <w:highlight w:val="none"/>
                <w:lang w:val="en-US" w:eastAsia="zh-CN"/>
              </w:rPr>
              <w:t>五星级物业服务认证证书</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2</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cstheme="minorEastAsia"/>
                <w:color w:val="auto"/>
                <w:kern w:val="0"/>
                <w:sz w:val="20"/>
                <w:szCs w:val="20"/>
                <w:highlight w:val="none"/>
                <w:lang w:val="en-US" w:eastAsia="zh-CN"/>
              </w:rPr>
              <w:t>；</w:t>
            </w:r>
          </w:p>
          <w:p w14:paraId="5E7B9E0F">
            <w:pPr>
              <w:pStyle w:val="89"/>
              <w:numPr>
                <w:ilvl w:val="0"/>
                <w:numId w:val="0"/>
              </w:numPr>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注：须同时提供以上证书扫描件及国家认证认可监督管理委员的“全国认证认可信息公共服务平台”（http://cx.cnca.cn）查询结果截图，失效、撤销或暂停的对应证书项不得分。</w:t>
            </w:r>
          </w:p>
        </w:tc>
      </w:tr>
      <w:tr w14:paraId="26EF4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23C94B24">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6FA0B807">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客户评价</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4</w:t>
            </w:r>
            <w:r>
              <w:rPr>
                <w:rFonts w:hint="eastAsia" w:asciiTheme="minorEastAsia" w:hAnsiTheme="minorEastAsia" w:eastAsiaTheme="minorEastAsia" w:cstheme="minorEastAsia"/>
                <w:color w:val="auto"/>
                <w:kern w:val="0"/>
                <w:sz w:val="20"/>
                <w:szCs w:val="20"/>
                <w:highlight w:val="none"/>
              </w:rPr>
              <w:t>.0分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38006801">
            <w:pPr>
              <w:widowControl w:val="0"/>
              <w:numPr>
                <w:ilvl w:val="0"/>
                <w:numId w:val="0"/>
              </w:numPr>
              <w:jc w:val="both"/>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2019年以来的物业管理服务项目获得评价为正面评价（优秀、优良、良好、满意或相当于类似评价）。每份得1分，同一项目按一份评价计算，不重复计算分数，此项最高得4分。注：提供合同甲方或甲方负责物业服务工作主管/分管部门盖章的评价文件或验收文件，不提供不得分。</w:t>
            </w:r>
          </w:p>
        </w:tc>
      </w:tr>
      <w:tr w14:paraId="35754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6241DDC5">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227FEDFC">
            <w:pPr>
              <w:widowControl w:val="0"/>
              <w:numPr>
                <w:ilvl w:val="0"/>
                <w:numId w:val="0"/>
              </w:numPr>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拟投入本项目的项目经理资质情况</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4</w:t>
            </w:r>
            <w:r>
              <w:rPr>
                <w:rFonts w:hint="eastAsia" w:asciiTheme="minorEastAsia" w:hAnsiTheme="minorEastAsia" w:eastAsiaTheme="minorEastAsia" w:cstheme="minorEastAsia"/>
                <w:color w:val="auto"/>
                <w:kern w:val="0"/>
                <w:sz w:val="20"/>
                <w:szCs w:val="20"/>
                <w:highlight w:val="none"/>
              </w:rPr>
              <w:t>.0分</w:t>
            </w:r>
            <w:r>
              <w:rPr>
                <w:rFonts w:hint="eastAsia" w:asciiTheme="minorEastAsia" w:hAnsiTheme="minorEastAsia" w:eastAsiaTheme="minorEastAsia" w:cstheme="minorEastAsia"/>
                <w:color w:val="auto"/>
                <w:kern w:val="0"/>
                <w:sz w:val="20"/>
                <w:szCs w:val="20"/>
                <w:highlight w:val="none"/>
                <w:lang w:eastAsia="zh-CN"/>
              </w:rPr>
              <w:t>）</w:t>
            </w:r>
          </w:p>
          <w:p w14:paraId="7194E55C">
            <w:pPr>
              <w:jc w:val="center"/>
              <w:rPr>
                <w:rFonts w:hint="eastAsia" w:asciiTheme="minorEastAsia" w:hAnsiTheme="minorEastAsia" w:eastAsiaTheme="minorEastAsia" w:cstheme="minorEastAsia"/>
                <w:color w:val="auto"/>
                <w:kern w:val="0"/>
                <w:sz w:val="20"/>
                <w:szCs w:val="20"/>
                <w:highlight w:val="none"/>
              </w:rPr>
            </w:pPr>
          </w:p>
        </w:tc>
        <w:tc>
          <w:tcPr>
            <w:tcW w:w="5931" w:type="dxa"/>
          </w:tcPr>
          <w:p w14:paraId="387738A2">
            <w:pPr>
              <w:widowControl w:val="0"/>
              <w:numPr>
                <w:ilvl w:val="0"/>
                <w:numId w:val="0"/>
              </w:numPr>
              <w:jc w:val="both"/>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拟投入本项目的项目经理资质情况</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4</w:t>
            </w:r>
            <w:r>
              <w:rPr>
                <w:rFonts w:hint="eastAsia" w:asciiTheme="minorEastAsia" w:hAnsiTheme="minorEastAsia" w:eastAsiaTheme="minorEastAsia" w:cstheme="minorEastAsia"/>
                <w:color w:val="auto"/>
                <w:kern w:val="0"/>
                <w:sz w:val="20"/>
                <w:szCs w:val="20"/>
                <w:highlight w:val="none"/>
              </w:rPr>
              <w:t>.0分</w:t>
            </w:r>
            <w:r>
              <w:rPr>
                <w:rFonts w:hint="eastAsia" w:asciiTheme="minorEastAsia" w:hAnsiTheme="minorEastAsia" w:eastAsiaTheme="minorEastAsia" w:cstheme="minorEastAsia"/>
                <w:color w:val="auto"/>
                <w:kern w:val="0"/>
                <w:sz w:val="20"/>
                <w:szCs w:val="20"/>
                <w:highlight w:val="none"/>
                <w:lang w:eastAsia="zh-CN"/>
              </w:rPr>
              <w:t>）</w:t>
            </w:r>
          </w:p>
          <w:p w14:paraId="75BA594C">
            <w:pPr>
              <w:widowControl w:val="0"/>
              <w:numPr>
                <w:ilvl w:val="0"/>
                <w:numId w:val="0"/>
              </w:numPr>
              <w:jc w:val="both"/>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1、具有物业管理专业大专</w:t>
            </w:r>
            <w:r>
              <w:rPr>
                <w:rFonts w:hint="eastAsia" w:asciiTheme="minorEastAsia" w:hAnsiTheme="minorEastAsia" w:eastAsiaTheme="minorEastAsia" w:cstheme="minorEastAsia"/>
                <w:color w:val="auto"/>
                <w:kern w:val="0"/>
                <w:sz w:val="20"/>
                <w:szCs w:val="20"/>
                <w:highlight w:val="none"/>
                <w:lang w:val="en-US" w:eastAsia="zh-CN"/>
              </w:rPr>
              <w:t>或以上</w:t>
            </w:r>
            <w:r>
              <w:rPr>
                <w:rFonts w:hint="eastAsia" w:asciiTheme="minorEastAsia" w:hAnsiTheme="minorEastAsia" w:eastAsiaTheme="minorEastAsia" w:cstheme="minorEastAsia"/>
                <w:color w:val="auto"/>
                <w:kern w:val="0"/>
                <w:sz w:val="20"/>
                <w:szCs w:val="20"/>
                <w:highlight w:val="none"/>
              </w:rPr>
              <w:t>学历</w:t>
            </w:r>
            <w:r>
              <w:rPr>
                <w:rFonts w:hint="eastAsia" w:asciiTheme="minorEastAsia" w:hAnsiTheme="minorEastAsia" w:eastAsiaTheme="minorEastAsia" w:cstheme="minorEastAsia"/>
                <w:color w:val="auto"/>
                <w:kern w:val="0"/>
                <w:sz w:val="20"/>
                <w:szCs w:val="20"/>
                <w:highlight w:val="none"/>
                <w:lang w:val="en-US" w:eastAsia="zh-CN"/>
              </w:rPr>
              <w:t>的</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2</w:t>
            </w:r>
            <w:r>
              <w:rPr>
                <w:rFonts w:hint="eastAsia" w:asciiTheme="minorEastAsia" w:hAnsiTheme="minorEastAsia" w:eastAsiaTheme="minorEastAsia" w:cstheme="minorEastAsia"/>
                <w:color w:val="auto"/>
                <w:kern w:val="0"/>
                <w:sz w:val="20"/>
                <w:szCs w:val="20"/>
                <w:highlight w:val="none"/>
              </w:rPr>
              <w:t>分，其它不得分；</w:t>
            </w:r>
          </w:p>
          <w:p w14:paraId="2BC9CF6F">
            <w:pPr>
              <w:widowControl w:val="0"/>
              <w:numPr>
                <w:ilvl w:val="0"/>
                <w:numId w:val="0"/>
              </w:numPr>
              <w:jc w:val="both"/>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2、具有物业项目经理管理工作经验</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5年或以上的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2</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val="en-US" w:eastAsia="zh-CN"/>
              </w:rPr>
              <w:t>3（含）～5年，得1分，其他不得分。</w:t>
            </w:r>
          </w:p>
          <w:p w14:paraId="5AA955D0">
            <w:pPr>
              <w:widowControl w:val="0"/>
              <w:numPr>
                <w:ilvl w:val="0"/>
                <w:numId w:val="0"/>
              </w:numPr>
              <w:jc w:val="both"/>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注：</w:t>
            </w:r>
          </w:p>
          <w:p w14:paraId="60973DB0">
            <w:pPr>
              <w:widowControl w:val="0"/>
              <w:numPr>
                <w:ilvl w:val="0"/>
                <w:numId w:val="0"/>
              </w:numPr>
              <w:jc w:val="both"/>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提供学历证书及学信网查询截图</w:t>
            </w:r>
            <w:r>
              <w:rPr>
                <w:rFonts w:hint="eastAsia" w:asciiTheme="minorEastAsia" w:hAnsiTheme="minorEastAsia" w:eastAsiaTheme="minorEastAsia" w:cstheme="minorEastAsia"/>
                <w:color w:val="auto"/>
                <w:kern w:val="0"/>
                <w:sz w:val="20"/>
                <w:szCs w:val="20"/>
                <w:highlight w:val="none"/>
              </w:rPr>
              <w:t>。（供应商提供的学历证书复印件，如为国</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境</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外学历学位证书，需提供中文翻译及通过教育部学历认证的网上截图或教育部门出具的鉴定证明纸质版扫描件）；</w:t>
            </w:r>
          </w:p>
          <w:p w14:paraId="146A3BA0">
            <w:pPr>
              <w:widowControl w:val="0"/>
              <w:numPr>
                <w:ilvl w:val="0"/>
                <w:numId w:val="0"/>
              </w:numPr>
              <w:jc w:val="both"/>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（2）工作经验须提供用户单位证明、</w:t>
            </w:r>
            <w:r>
              <w:rPr>
                <w:rFonts w:hint="eastAsia" w:asciiTheme="minorEastAsia" w:hAnsiTheme="minorEastAsia" w:eastAsiaTheme="minorEastAsia" w:cstheme="minorEastAsia"/>
                <w:color w:val="auto"/>
                <w:kern w:val="0"/>
                <w:sz w:val="20"/>
                <w:szCs w:val="20"/>
                <w:highlight w:val="none"/>
                <w:lang w:val="en-US" w:eastAsia="zh-CN"/>
              </w:rPr>
              <w:t>项目</w:t>
            </w:r>
            <w:r>
              <w:rPr>
                <w:rFonts w:hint="eastAsia" w:asciiTheme="minorEastAsia" w:hAnsiTheme="minorEastAsia" w:eastAsiaTheme="minorEastAsia" w:cstheme="minorEastAsia"/>
                <w:color w:val="auto"/>
                <w:kern w:val="0"/>
                <w:sz w:val="20"/>
                <w:szCs w:val="20"/>
                <w:highlight w:val="none"/>
              </w:rPr>
              <w:t>合同等有效的证明材料；</w:t>
            </w:r>
          </w:p>
          <w:p w14:paraId="31462ECD">
            <w:pPr>
              <w:widowControl w:val="0"/>
              <w:numPr>
                <w:ilvl w:val="0"/>
                <w:numId w:val="0"/>
              </w:numPr>
              <w:jc w:val="both"/>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（3）社保机构出具的在投标截止时间前</w:t>
            </w:r>
            <w:r>
              <w:rPr>
                <w:rFonts w:hint="eastAsia" w:asciiTheme="minorEastAsia" w:hAnsiTheme="minorEastAsia" w:eastAsiaTheme="minorEastAsia" w:cstheme="minorEastAsia"/>
                <w:color w:val="auto"/>
                <w:kern w:val="0"/>
                <w:sz w:val="20"/>
                <w:szCs w:val="20"/>
                <w:highlight w:val="none"/>
                <w:lang w:val="en-US" w:eastAsia="zh-CN"/>
              </w:rPr>
              <w:t>六个月</w:t>
            </w:r>
            <w:r>
              <w:rPr>
                <w:rFonts w:hint="eastAsia" w:asciiTheme="minorEastAsia" w:hAnsiTheme="minorEastAsia" w:eastAsiaTheme="minorEastAsia" w:cstheme="minorEastAsia"/>
                <w:color w:val="auto"/>
                <w:kern w:val="0"/>
                <w:sz w:val="20"/>
                <w:szCs w:val="20"/>
                <w:highlight w:val="none"/>
              </w:rPr>
              <w:t>内至少连续</w:t>
            </w:r>
            <w:r>
              <w:rPr>
                <w:rFonts w:hint="eastAsia" w:asciiTheme="minorEastAsia" w:hAnsiTheme="minorEastAsia" w:eastAsiaTheme="minorEastAsia" w:cstheme="minorEastAsia"/>
                <w:color w:val="auto"/>
                <w:kern w:val="0"/>
                <w:sz w:val="20"/>
                <w:szCs w:val="20"/>
                <w:highlight w:val="none"/>
                <w:lang w:val="en-US" w:eastAsia="zh-CN"/>
              </w:rPr>
              <w:t>3</w:t>
            </w:r>
            <w:r>
              <w:rPr>
                <w:rFonts w:hint="eastAsia" w:asciiTheme="minorEastAsia" w:hAnsiTheme="minorEastAsia" w:eastAsiaTheme="minorEastAsia" w:cstheme="minorEastAsia"/>
                <w:color w:val="auto"/>
                <w:kern w:val="0"/>
                <w:sz w:val="20"/>
                <w:szCs w:val="20"/>
                <w:highlight w:val="none"/>
              </w:rPr>
              <w:t>个月由投标单位为其缴纳的社保证明复印件</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需加盖社保机构章</w:t>
            </w:r>
            <w:r>
              <w:rPr>
                <w:rFonts w:hint="eastAsia" w:asciiTheme="minorEastAsia" w:hAnsiTheme="minorEastAsia" w:eastAsiaTheme="minorEastAsia" w:cstheme="minorEastAsia"/>
                <w:color w:val="auto"/>
                <w:kern w:val="0"/>
                <w:sz w:val="20"/>
                <w:szCs w:val="20"/>
                <w:highlight w:val="none"/>
                <w:lang w:eastAsia="zh-CN"/>
              </w:rPr>
              <w:t>）</w:t>
            </w:r>
          </w:p>
          <w:p w14:paraId="42F7C0A8">
            <w:pPr>
              <w:widowControl w:val="0"/>
              <w:numPr>
                <w:ilvl w:val="0"/>
                <w:numId w:val="0"/>
              </w:numPr>
              <w:jc w:val="both"/>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未按上述要求</w:t>
            </w:r>
            <w:r>
              <w:rPr>
                <w:rFonts w:hint="eastAsia" w:asciiTheme="minorEastAsia" w:hAnsiTheme="minorEastAsia" w:eastAsiaTheme="minorEastAsia" w:cstheme="minorEastAsia"/>
                <w:color w:val="auto"/>
                <w:kern w:val="0"/>
                <w:sz w:val="20"/>
                <w:szCs w:val="20"/>
                <w:highlight w:val="none"/>
              </w:rPr>
              <w:t>提供的不得分。</w:t>
            </w:r>
          </w:p>
        </w:tc>
      </w:tr>
      <w:tr w14:paraId="43B60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2DEC1F08">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3FF45E1A">
            <w:pPr>
              <w:numPr>
                <w:ilvl w:val="0"/>
                <w:numId w:val="0"/>
              </w:numPr>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lang w:val="en-US" w:eastAsia="zh-CN"/>
              </w:rPr>
              <w:t>拟</w:t>
            </w:r>
            <w:r>
              <w:rPr>
                <w:rFonts w:hint="eastAsia" w:asciiTheme="minorEastAsia" w:hAnsiTheme="minorEastAsia" w:eastAsiaTheme="minorEastAsia" w:cstheme="minorEastAsia"/>
                <w:color w:val="auto"/>
                <w:kern w:val="0"/>
                <w:sz w:val="20"/>
                <w:szCs w:val="20"/>
                <w:highlight w:val="none"/>
              </w:rPr>
              <w:t>投入本项目其他管理人员</w:t>
            </w:r>
            <w:r>
              <w:rPr>
                <w:rFonts w:hint="eastAsia" w:asciiTheme="minorEastAsia" w:hAnsiTheme="minorEastAsia" w:eastAsiaTheme="minorEastAsia" w:cstheme="minorEastAsia"/>
                <w:color w:val="auto"/>
                <w:kern w:val="0"/>
                <w:sz w:val="20"/>
                <w:szCs w:val="20"/>
                <w:highlight w:val="none"/>
                <w:lang w:val="en-US" w:eastAsia="zh-CN"/>
              </w:rPr>
              <w:t>的资质情况</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10.</w:t>
            </w:r>
            <w:r>
              <w:rPr>
                <w:rFonts w:hint="eastAsia" w:asciiTheme="minorEastAsia" w:hAnsiTheme="minorEastAsia" w:eastAsiaTheme="minorEastAsia" w:cstheme="minorEastAsia"/>
                <w:color w:val="auto"/>
                <w:kern w:val="0"/>
                <w:sz w:val="20"/>
                <w:szCs w:val="20"/>
                <w:highlight w:val="none"/>
              </w:rPr>
              <w:t>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6A3DA4D3">
            <w:pPr>
              <w:numPr>
                <w:ilvl w:val="0"/>
                <w:numId w:val="0"/>
              </w:numPr>
              <w:rPr>
                <w:rFonts w:hint="eastAsia" w:asciiTheme="minorEastAsia" w:hAnsiTheme="minorEastAsia" w:eastAsiaTheme="minorEastAsia" w:cstheme="minorEastAsia"/>
                <w:b/>
                <w:bCs/>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lang w:val="en-US" w:eastAsia="zh-CN" w:bidi="ar-SA"/>
              </w:rPr>
              <w:t>1、</w:t>
            </w:r>
            <w:r>
              <w:rPr>
                <w:rFonts w:hint="eastAsia" w:asciiTheme="minorEastAsia" w:hAnsiTheme="minorEastAsia" w:eastAsiaTheme="minorEastAsia" w:cstheme="minorEastAsia"/>
                <w:b/>
                <w:bCs/>
                <w:color w:val="auto"/>
                <w:kern w:val="0"/>
                <w:sz w:val="20"/>
                <w:szCs w:val="20"/>
                <w:highlight w:val="none"/>
                <w:lang w:val="en-US" w:eastAsia="zh-CN"/>
              </w:rPr>
              <w:t>保安</w:t>
            </w:r>
            <w:r>
              <w:rPr>
                <w:rFonts w:hint="eastAsia" w:asciiTheme="minorEastAsia" w:hAnsiTheme="minorEastAsia" w:eastAsiaTheme="minorEastAsia" w:cstheme="minorEastAsia"/>
                <w:b/>
                <w:bCs/>
                <w:color w:val="auto"/>
                <w:kern w:val="0"/>
                <w:sz w:val="20"/>
                <w:szCs w:val="20"/>
                <w:highlight w:val="none"/>
              </w:rPr>
              <w:t>主管：</w:t>
            </w:r>
          </w:p>
          <w:p w14:paraId="0799D536">
            <w:pPr>
              <w:numPr>
                <w:ilvl w:val="0"/>
                <w:numId w:val="0"/>
              </w:numP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①具有</w:t>
            </w:r>
            <w:r>
              <w:rPr>
                <w:rFonts w:hint="eastAsia" w:asciiTheme="minorEastAsia" w:hAnsiTheme="minorEastAsia" w:eastAsiaTheme="minorEastAsia" w:cstheme="minorEastAsia"/>
                <w:color w:val="auto"/>
                <w:kern w:val="0"/>
                <w:sz w:val="20"/>
                <w:szCs w:val="20"/>
                <w:highlight w:val="none"/>
                <w:lang w:val="en-US" w:eastAsia="zh-CN"/>
              </w:rPr>
              <w:t>大专</w:t>
            </w:r>
            <w:r>
              <w:rPr>
                <w:rFonts w:hint="eastAsia" w:asciiTheme="minorEastAsia" w:hAnsiTheme="minorEastAsia" w:eastAsiaTheme="minorEastAsia" w:cstheme="minorEastAsia"/>
                <w:color w:val="auto"/>
                <w:kern w:val="0"/>
                <w:sz w:val="20"/>
                <w:szCs w:val="20"/>
                <w:highlight w:val="none"/>
              </w:rPr>
              <w:t>或以上学历</w:t>
            </w:r>
            <w:r>
              <w:rPr>
                <w:rFonts w:hint="eastAsia" w:asciiTheme="minorEastAsia" w:hAnsiTheme="minorEastAsia" w:eastAsiaTheme="minorEastAsia" w:cstheme="minorEastAsia"/>
                <w:color w:val="auto"/>
                <w:kern w:val="0"/>
                <w:sz w:val="20"/>
                <w:szCs w:val="20"/>
                <w:highlight w:val="none"/>
                <w:lang w:val="en-US" w:eastAsia="zh-CN"/>
              </w:rPr>
              <w:t>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1</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p w14:paraId="7730F728">
            <w:pPr>
              <w:numPr>
                <w:ilvl w:val="0"/>
                <w:numId w:val="0"/>
              </w:numP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②具有退伍军人证，得</w:t>
            </w:r>
            <w:r>
              <w:rPr>
                <w:rFonts w:hint="eastAsia" w:asciiTheme="minorEastAsia" w:hAnsiTheme="minorEastAsia" w:eastAsiaTheme="minorEastAsia" w:cstheme="minorEastAsia"/>
                <w:color w:val="auto"/>
                <w:kern w:val="0"/>
                <w:sz w:val="20"/>
                <w:szCs w:val="20"/>
                <w:highlight w:val="none"/>
                <w:lang w:val="en-US" w:eastAsia="zh-CN"/>
              </w:rPr>
              <w:t>0.5</w:t>
            </w:r>
            <w:r>
              <w:rPr>
                <w:rFonts w:hint="eastAsia" w:asciiTheme="minorEastAsia" w:hAnsiTheme="minorEastAsia" w:eastAsiaTheme="minorEastAsia" w:cstheme="minorEastAsia"/>
                <w:color w:val="auto"/>
                <w:kern w:val="0"/>
                <w:sz w:val="20"/>
                <w:szCs w:val="20"/>
                <w:highlight w:val="none"/>
              </w:rPr>
              <w:t>分。</w:t>
            </w:r>
          </w:p>
          <w:p w14:paraId="2C623CA7">
            <w:pPr>
              <w:numPr>
                <w:ilvl w:val="0"/>
                <w:numId w:val="0"/>
              </w:numP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③取得五级</w:t>
            </w:r>
            <w:r>
              <w:rPr>
                <w:rFonts w:hint="eastAsia" w:asciiTheme="minorEastAsia" w:hAnsiTheme="minorEastAsia" w:eastAsiaTheme="minorEastAsia" w:cstheme="minorEastAsia"/>
                <w:color w:val="auto"/>
                <w:kern w:val="0"/>
                <w:sz w:val="20"/>
                <w:szCs w:val="20"/>
                <w:highlight w:val="none"/>
                <w:lang w:val="en-US" w:eastAsia="zh-CN"/>
              </w:rPr>
              <w:t>或以上应急救援员</w:t>
            </w:r>
            <w:r>
              <w:rPr>
                <w:rFonts w:hint="eastAsia" w:asciiTheme="minorEastAsia" w:hAnsiTheme="minorEastAsia" w:eastAsiaTheme="minorEastAsia" w:cstheme="minorEastAsia"/>
                <w:color w:val="auto"/>
                <w:kern w:val="0"/>
                <w:sz w:val="20"/>
                <w:szCs w:val="20"/>
                <w:highlight w:val="none"/>
              </w:rPr>
              <w:t>职业资格证书的，得</w:t>
            </w:r>
            <w:r>
              <w:rPr>
                <w:rFonts w:hint="eastAsia" w:asciiTheme="minorEastAsia" w:hAnsiTheme="minorEastAsia" w:eastAsiaTheme="minorEastAsia" w:cstheme="minorEastAsia"/>
                <w:color w:val="auto"/>
                <w:kern w:val="0"/>
                <w:sz w:val="20"/>
                <w:szCs w:val="20"/>
                <w:highlight w:val="none"/>
                <w:lang w:val="en-US" w:eastAsia="zh-CN"/>
              </w:rPr>
              <w:t>0.5</w:t>
            </w:r>
            <w:r>
              <w:rPr>
                <w:rFonts w:hint="eastAsia" w:asciiTheme="minorEastAsia" w:hAnsiTheme="minorEastAsia" w:eastAsiaTheme="minorEastAsia" w:cstheme="minorEastAsia"/>
                <w:color w:val="auto"/>
                <w:kern w:val="0"/>
                <w:sz w:val="20"/>
                <w:szCs w:val="20"/>
                <w:highlight w:val="none"/>
              </w:rPr>
              <w:t>分；</w:t>
            </w:r>
          </w:p>
          <w:p w14:paraId="17BD1385">
            <w:pPr>
              <w:numPr>
                <w:ilvl w:val="0"/>
                <w:numId w:val="0"/>
              </w:numP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lang w:val="en-US" w:eastAsia="zh-CN"/>
              </w:rPr>
              <w:t>④</w:t>
            </w:r>
            <w:r>
              <w:rPr>
                <w:rFonts w:hint="eastAsia" w:asciiTheme="minorEastAsia" w:hAnsiTheme="minorEastAsia" w:eastAsiaTheme="minorEastAsia" w:cstheme="minorEastAsia"/>
                <w:color w:val="auto"/>
                <w:kern w:val="0"/>
                <w:sz w:val="20"/>
                <w:szCs w:val="20"/>
                <w:highlight w:val="none"/>
              </w:rPr>
              <w:t>具有</w:t>
            </w:r>
            <w:r>
              <w:rPr>
                <w:rFonts w:hint="eastAsia" w:asciiTheme="minorEastAsia" w:hAnsiTheme="minorEastAsia" w:eastAsiaTheme="minorEastAsia" w:cstheme="minorEastAsia"/>
                <w:color w:val="auto"/>
                <w:kern w:val="0"/>
                <w:sz w:val="20"/>
                <w:szCs w:val="20"/>
                <w:highlight w:val="none"/>
                <w:lang w:val="en-US" w:eastAsia="zh-CN"/>
              </w:rPr>
              <w:t>相关</w:t>
            </w:r>
            <w:r>
              <w:rPr>
                <w:rFonts w:hint="eastAsia" w:asciiTheme="minorEastAsia" w:hAnsiTheme="minorEastAsia" w:eastAsiaTheme="minorEastAsia" w:cstheme="minorEastAsia"/>
                <w:color w:val="auto"/>
                <w:kern w:val="0"/>
                <w:sz w:val="20"/>
                <w:szCs w:val="20"/>
                <w:highlight w:val="none"/>
              </w:rPr>
              <w:t>工作经验</w:t>
            </w:r>
            <w:r>
              <w:rPr>
                <w:rFonts w:hint="eastAsia" w:asciiTheme="minorEastAsia" w:hAnsiTheme="minorEastAsia" w:eastAsiaTheme="minorEastAsia" w:cstheme="minorEastAsia"/>
                <w:color w:val="auto"/>
                <w:kern w:val="0"/>
                <w:sz w:val="20"/>
                <w:szCs w:val="20"/>
                <w:highlight w:val="none"/>
                <w:lang w:val="en-US" w:eastAsia="zh-CN"/>
              </w:rPr>
              <w:t>5年或以上的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1</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val="en-US" w:eastAsia="zh-CN"/>
              </w:rPr>
              <w:t>1（含）-5年的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0.5</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val="en-US" w:eastAsia="zh-CN"/>
              </w:rPr>
              <w:t>1年</w:t>
            </w:r>
            <w:r>
              <w:rPr>
                <w:rFonts w:hint="eastAsia" w:asciiTheme="minorEastAsia" w:hAnsiTheme="minorEastAsia" w:eastAsiaTheme="minorEastAsia" w:cstheme="minorEastAsia"/>
                <w:color w:val="auto"/>
                <w:kern w:val="0"/>
                <w:sz w:val="20"/>
                <w:szCs w:val="20"/>
                <w:highlight w:val="none"/>
              </w:rPr>
              <w:t>以下</w:t>
            </w:r>
            <w:r>
              <w:rPr>
                <w:rFonts w:hint="eastAsia" w:asciiTheme="minorEastAsia" w:hAnsiTheme="minorEastAsia" w:eastAsiaTheme="minorEastAsia" w:cstheme="minorEastAsia"/>
                <w:color w:val="auto"/>
                <w:kern w:val="0"/>
                <w:sz w:val="20"/>
                <w:szCs w:val="20"/>
                <w:highlight w:val="none"/>
                <w:lang w:val="en-US" w:eastAsia="zh-CN"/>
              </w:rPr>
              <w:t>的</w:t>
            </w:r>
            <w:r>
              <w:rPr>
                <w:rFonts w:hint="eastAsia" w:asciiTheme="minorEastAsia" w:hAnsiTheme="minorEastAsia" w:eastAsiaTheme="minorEastAsia" w:cstheme="minorEastAsia"/>
                <w:color w:val="auto"/>
                <w:kern w:val="0"/>
                <w:sz w:val="20"/>
                <w:szCs w:val="20"/>
                <w:highlight w:val="none"/>
              </w:rPr>
              <w:t>不得分；</w:t>
            </w:r>
          </w:p>
          <w:p w14:paraId="3829AF38">
            <w:pPr>
              <w:numPr>
                <w:ilvl w:val="0"/>
                <w:numId w:val="0"/>
              </w:numP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本小项最高得</w:t>
            </w:r>
            <w:r>
              <w:rPr>
                <w:rFonts w:hint="eastAsia" w:asciiTheme="minorEastAsia" w:hAnsiTheme="minorEastAsia" w:eastAsiaTheme="minorEastAsia" w:cstheme="minorEastAsia"/>
                <w:color w:val="auto"/>
                <w:kern w:val="0"/>
                <w:sz w:val="20"/>
                <w:szCs w:val="20"/>
                <w:highlight w:val="none"/>
                <w:lang w:val="en-US" w:eastAsia="zh-CN"/>
              </w:rPr>
              <w:t>3</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cstheme="minorEastAsia"/>
                <w:color w:val="auto"/>
                <w:kern w:val="0"/>
                <w:sz w:val="20"/>
                <w:szCs w:val="20"/>
                <w:highlight w:val="none"/>
                <w:lang w:eastAsia="zh-CN"/>
              </w:rPr>
              <w:t>。</w:t>
            </w:r>
          </w:p>
          <w:p w14:paraId="6039AF10">
            <w:pPr>
              <w:numPr>
                <w:ilvl w:val="0"/>
                <w:numId w:val="0"/>
              </w:numPr>
              <w:rPr>
                <w:rFonts w:hint="eastAsia" w:asciiTheme="minorEastAsia" w:hAnsiTheme="minorEastAsia" w:eastAsiaTheme="minorEastAsia" w:cstheme="minorEastAsia"/>
                <w:b/>
                <w:bCs/>
                <w:color w:val="auto"/>
                <w:kern w:val="0"/>
                <w:sz w:val="20"/>
                <w:szCs w:val="20"/>
                <w:highlight w:val="none"/>
                <w:lang w:val="en-US" w:eastAsia="zh-CN" w:bidi="ar-SA"/>
              </w:rPr>
            </w:pPr>
            <w:r>
              <w:rPr>
                <w:rFonts w:hint="eastAsia" w:asciiTheme="minorEastAsia" w:hAnsiTheme="minorEastAsia" w:eastAsiaTheme="minorEastAsia" w:cstheme="minorEastAsia"/>
                <w:b/>
                <w:bCs/>
                <w:color w:val="auto"/>
                <w:kern w:val="0"/>
                <w:sz w:val="20"/>
                <w:szCs w:val="20"/>
                <w:highlight w:val="none"/>
                <w:lang w:val="en-US" w:eastAsia="zh-CN" w:bidi="ar-SA"/>
              </w:rPr>
              <w:t>2、工程主管：</w:t>
            </w:r>
          </w:p>
          <w:p w14:paraId="6480A938">
            <w:pPr>
              <w:numPr>
                <w:ilvl w:val="0"/>
                <w:numId w:val="0"/>
              </w:numP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①具有</w:t>
            </w:r>
            <w:r>
              <w:rPr>
                <w:rFonts w:hint="eastAsia" w:asciiTheme="minorEastAsia" w:hAnsiTheme="minorEastAsia" w:eastAsiaTheme="minorEastAsia" w:cstheme="minorEastAsia"/>
                <w:color w:val="auto"/>
                <w:kern w:val="0"/>
                <w:sz w:val="20"/>
                <w:szCs w:val="20"/>
                <w:highlight w:val="none"/>
                <w:lang w:val="en-US" w:eastAsia="zh-CN"/>
              </w:rPr>
              <w:t>大专</w:t>
            </w:r>
            <w:r>
              <w:rPr>
                <w:rFonts w:hint="eastAsia" w:asciiTheme="minorEastAsia" w:hAnsiTheme="minorEastAsia" w:eastAsiaTheme="minorEastAsia" w:cstheme="minorEastAsia"/>
                <w:color w:val="auto"/>
                <w:kern w:val="0"/>
                <w:sz w:val="20"/>
                <w:szCs w:val="20"/>
                <w:highlight w:val="none"/>
              </w:rPr>
              <w:t>或以上学历</w:t>
            </w:r>
            <w:r>
              <w:rPr>
                <w:rFonts w:hint="eastAsia" w:asciiTheme="minorEastAsia" w:hAnsiTheme="minorEastAsia" w:eastAsiaTheme="minorEastAsia" w:cstheme="minorEastAsia"/>
                <w:color w:val="auto"/>
                <w:kern w:val="0"/>
                <w:sz w:val="20"/>
                <w:szCs w:val="20"/>
                <w:highlight w:val="none"/>
                <w:lang w:val="en-US" w:eastAsia="zh-CN"/>
              </w:rPr>
              <w:t>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1</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p w14:paraId="501B78AC">
            <w:pPr>
              <w:numPr>
                <w:ilvl w:val="0"/>
                <w:numId w:val="0"/>
              </w:numP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②具有</w:t>
            </w:r>
            <w:r>
              <w:rPr>
                <w:rFonts w:hint="eastAsia" w:asciiTheme="minorEastAsia" w:hAnsiTheme="minorEastAsia" w:eastAsiaTheme="minorEastAsia" w:cstheme="minorEastAsia"/>
                <w:color w:val="auto"/>
                <w:kern w:val="0"/>
                <w:sz w:val="20"/>
                <w:szCs w:val="20"/>
                <w:highlight w:val="none"/>
                <w:lang w:val="en-US" w:eastAsia="zh-CN"/>
              </w:rPr>
              <w:t>应急管理部门颁发的特种作业操作证（低压电工）的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1</w:t>
            </w:r>
            <w:r>
              <w:rPr>
                <w:rFonts w:hint="eastAsia" w:asciiTheme="minorEastAsia" w:hAnsiTheme="minorEastAsia" w:eastAsiaTheme="minorEastAsia" w:cstheme="minorEastAsia"/>
                <w:color w:val="auto"/>
                <w:kern w:val="0"/>
                <w:sz w:val="20"/>
                <w:szCs w:val="20"/>
                <w:highlight w:val="none"/>
              </w:rPr>
              <w:t>分。</w:t>
            </w:r>
          </w:p>
          <w:p w14:paraId="5F91E8F0">
            <w:pPr>
              <w:numPr>
                <w:ilvl w:val="0"/>
                <w:numId w:val="0"/>
              </w:numP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③具有</w:t>
            </w:r>
            <w:r>
              <w:rPr>
                <w:rFonts w:hint="eastAsia" w:asciiTheme="minorEastAsia" w:hAnsiTheme="minorEastAsia" w:eastAsiaTheme="minorEastAsia" w:cstheme="minorEastAsia"/>
                <w:color w:val="auto"/>
                <w:kern w:val="0"/>
                <w:sz w:val="20"/>
                <w:szCs w:val="20"/>
                <w:highlight w:val="none"/>
                <w:lang w:val="en-US" w:eastAsia="zh-CN"/>
              </w:rPr>
              <w:t>相关</w:t>
            </w:r>
            <w:r>
              <w:rPr>
                <w:rFonts w:hint="eastAsia" w:asciiTheme="minorEastAsia" w:hAnsiTheme="minorEastAsia" w:eastAsiaTheme="minorEastAsia" w:cstheme="minorEastAsia"/>
                <w:color w:val="auto"/>
                <w:kern w:val="0"/>
                <w:sz w:val="20"/>
                <w:szCs w:val="20"/>
                <w:highlight w:val="none"/>
              </w:rPr>
              <w:t>工作经验</w:t>
            </w:r>
            <w:r>
              <w:rPr>
                <w:rFonts w:hint="eastAsia" w:asciiTheme="minorEastAsia" w:hAnsiTheme="minorEastAsia" w:eastAsiaTheme="minorEastAsia" w:cstheme="minorEastAsia"/>
                <w:color w:val="auto"/>
                <w:kern w:val="0"/>
                <w:sz w:val="20"/>
                <w:szCs w:val="20"/>
                <w:highlight w:val="none"/>
                <w:lang w:val="en-US" w:eastAsia="zh-CN"/>
              </w:rPr>
              <w:t>5年或以上的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1</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val="en-US" w:eastAsia="zh-CN"/>
              </w:rPr>
              <w:t>1（含）-5年的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0.5</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val="en-US" w:eastAsia="zh-CN"/>
              </w:rPr>
              <w:t>1年</w:t>
            </w:r>
            <w:r>
              <w:rPr>
                <w:rFonts w:hint="eastAsia" w:asciiTheme="minorEastAsia" w:hAnsiTheme="minorEastAsia" w:eastAsiaTheme="minorEastAsia" w:cstheme="minorEastAsia"/>
                <w:color w:val="auto"/>
                <w:kern w:val="0"/>
                <w:sz w:val="20"/>
                <w:szCs w:val="20"/>
                <w:highlight w:val="none"/>
              </w:rPr>
              <w:t>以下</w:t>
            </w:r>
            <w:r>
              <w:rPr>
                <w:rFonts w:hint="eastAsia" w:asciiTheme="minorEastAsia" w:hAnsiTheme="minorEastAsia" w:eastAsiaTheme="minorEastAsia" w:cstheme="minorEastAsia"/>
                <w:color w:val="auto"/>
                <w:kern w:val="0"/>
                <w:sz w:val="20"/>
                <w:szCs w:val="20"/>
                <w:highlight w:val="none"/>
                <w:lang w:val="en-US" w:eastAsia="zh-CN"/>
              </w:rPr>
              <w:t>的</w:t>
            </w:r>
            <w:r>
              <w:rPr>
                <w:rFonts w:hint="eastAsia" w:asciiTheme="minorEastAsia" w:hAnsiTheme="minorEastAsia" w:eastAsiaTheme="minorEastAsia" w:cstheme="minorEastAsia"/>
                <w:color w:val="auto"/>
                <w:kern w:val="0"/>
                <w:sz w:val="20"/>
                <w:szCs w:val="20"/>
                <w:highlight w:val="none"/>
              </w:rPr>
              <w:t>不得分</w:t>
            </w:r>
            <w:r>
              <w:rPr>
                <w:rFonts w:hint="eastAsia" w:asciiTheme="minorEastAsia" w:hAnsiTheme="minorEastAsia" w:eastAsiaTheme="minorEastAsia" w:cstheme="minorEastAsia"/>
                <w:color w:val="auto"/>
                <w:kern w:val="0"/>
                <w:sz w:val="20"/>
                <w:szCs w:val="20"/>
                <w:highlight w:val="none"/>
                <w:lang w:val="en-US" w:eastAsia="zh-CN"/>
              </w:rPr>
              <w:t>；</w:t>
            </w:r>
          </w:p>
          <w:p w14:paraId="1ADF79FB">
            <w:pPr>
              <w:numPr>
                <w:ilvl w:val="0"/>
                <w:numId w:val="0"/>
              </w:numP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本小项最高得</w:t>
            </w:r>
            <w:r>
              <w:rPr>
                <w:rFonts w:hint="eastAsia" w:asciiTheme="minorEastAsia" w:hAnsiTheme="minorEastAsia" w:eastAsiaTheme="minorEastAsia" w:cstheme="minorEastAsia"/>
                <w:color w:val="auto"/>
                <w:kern w:val="0"/>
                <w:sz w:val="20"/>
                <w:szCs w:val="20"/>
                <w:highlight w:val="none"/>
                <w:lang w:val="en-US" w:eastAsia="zh-CN"/>
              </w:rPr>
              <w:t>3</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p w14:paraId="1B170497">
            <w:pPr>
              <w:numPr>
                <w:ilvl w:val="0"/>
                <w:numId w:val="0"/>
              </w:numPr>
              <w:rPr>
                <w:rFonts w:hint="eastAsia" w:asciiTheme="minorEastAsia" w:hAnsiTheme="minorEastAsia" w:eastAsiaTheme="minorEastAsia" w:cstheme="minorEastAsia"/>
                <w:b/>
                <w:bCs/>
                <w:color w:val="auto"/>
                <w:kern w:val="0"/>
                <w:sz w:val="20"/>
                <w:szCs w:val="20"/>
                <w:highlight w:val="none"/>
                <w:lang w:val="en-US" w:eastAsia="zh-CN" w:bidi="ar-SA"/>
              </w:rPr>
            </w:pPr>
            <w:r>
              <w:rPr>
                <w:rFonts w:hint="eastAsia" w:asciiTheme="minorEastAsia" w:hAnsiTheme="minorEastAsia" w:eastAsiaTheme="minorEastAsia" w:cstheme="minorEastAsia"/>
                <w:b/>
                <w:bCs/>
                <w:color w:val="auto"/>
                <w:kern w:val="0"/>
                <w:sz w:val="20"/>
                <w:szCs w:val="20"/>
                <w:highlight w:val="none"/>
                <w:lang w:val="en-US" w:eastAsia="zh-CN" w:bidi="ar-SA"/>
              </w:rPr>
              <w:t>3、客服主管：</w:t>
            </w:r>
          </w:p>
          <w:p w14:paraId="60ACCD4E">
            <w:pPr>
              <w:numPr>
                <w:ilvl w:val="0"/>
                <w:numId w:val="0"/>
              </w:numP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①具有</w:t>
            </w:r>
            <w:r>
              <w:rPr>
                <w:rFonts w:hint="eastAsia" w:asciiTheme="minorEastAsia" w:hAnsiTheme="minorEastAsia" w:eastAsiaTheme="minorEastAsia" w:cstheme="minorEastAsia"/>
                <w:color w:val="auto"/>
                <w:kern w:val="0"/>
                <w:sz w:val="20"/>
                <w:szCs w:val="20"/>
                <w:highlight w:val="none"/>
                <w:lang w:val="en-US" w:eastAsia="zh-CN"/>
              </w:rPr>
              <w:t>大专</w:t>
            </w:r>
            <w:r>
              <w:rPr>
                <w:rFonts w:hint="eastAsia" w:asciiTheme="minorEastAsia" w:hAnsiTheme="minorEastAsia" w:eastAsiaTheme="minorEastAsia" w:cstheme="minorEastAsia"/>
                <w:color w:val="auto"/>
                <w:kern w:val="0"/>
                <w:sz w:val="20"/>
                <w:szCs w:val="20"/>
                <w:highlight w:val="none"/>
              </w:rPr>
              <w:t>或以上学历</w:t>
            </w:r>
            <w:r>
              <w:rPr>
                <w:rFonts w:hint="eastAsia" w:asciiTheme="minorEastAsia" w:hAnsiTheme="minorEastAsia" w:eastAsiaTheme="minorEastAsia" w:cstheme="minorEastAsia"/>
                <w:color w:val="auto"/>
                <w:kern w:val="0"/>
                <w:sz w:val="20"/>
                <w:szCs w:val="20"/>
                <w:highlight w:val="none"/>
                <w:lang w:val="en-US" w:eastAsia="zh-CN"/>
              </w:rPr>
              <w:t>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1</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p w14:paraId="3909D2AC">
            <w:pPr>
              <w:numPr>
                <w:ilvl w:val="0"/>
                <w:numId w:val="0"/>
              </w:numP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②具有</w:t>
            </w:r>
            <w:r>
              <w:rPr>
                <w:rFonts w:hint="eastAsia" w:asciiTheme="minorEastAsia" w:hAnsiTheme="minorEastAsia" w:eastAsiaTheme="minorEastAsia" w:cstheme="minorEastAsia"/>
                <w:color w:val="auto"/>
                <w:kern w:val="0"/>
                <w:sz w:val="20"/>
                <w:szCs w:val="20"/>
                <w:highlight w:val="none"/>
                <w:lang w:val="en-US" w:eastAsia="zh-CN"/>
              </w:rPr>
              <w:t>相关</w:t>
            </w:r>
            <w:r>
              <w:rPr>
                <w:rFonts w:hint="eastAsia" w:asciiTheme="minorEastAsia" w:hAnsiTheme="minorEastAsia" w:eastAsiaTheme="minorEastAsia" w:cstheme="minorEastAsia"/>
                <w:color w:val="auto"/>
                <w:kern w:val="0"/>
                <w:sz w:val="20"/>
                <w:szCs w:val="20"/>
                <w:highlight w:val="none"/>
              </w:rPr>
              <w:t>工作经验</w:t>
            </w:r>
            <w:r>
              <w:rPr>
                <w:rFonts w:hint="eastAsia" w:asciiTheme="minorEastAsia" w:hAnsiTheme="minorEastAsia" w:eastAsiaTheme="minorEastAsia" w:cstheme="minorEastAsia"/>
                <w:color w:val="auto"/>
                <w:kern w:val="0"/>
                <w:sz w:val="20"/>
                <w:szCs w:val="20"/>
                <w:highlight w:val="none"/>
                <w:lang w:val="en-US" w:eastAsia="zh-CN"/>
              </w:rPr>
              <w:t>5年或以上的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1</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val="en-US" w:eastAsia="zh-CN"/>
              </w:rPr>
              <w:t>1（含）-5年的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0.5</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val="en-US" w:eastAsia="zh-CN"/>
              </w:rPr>
              <w:t>1年</w:t>
            </w:r>
            <w:r>
              <w:rPr>
                <w:rFonts w:hint="eastAsia" w:asciiTheme="minorEastAsia" w:hAnsiTheme="minorEastAsia" w:eastAsiaTheme="minorEastAsia" w:cstheme="minorEastAsia"/>
                <w:color w:val="auto"/>
                <w:kern w:val="0"/>
                <w:sz w:val="20"/>
                <w:szCs w:val="20"/>
                <w:highlight w:val="none"/>
              </w:rPr>
              <w:t>以下</w:t>
            </w:r>
            <w:r>
              <w:rPr>
                <w:rFonts w:hint="eastAsia" w:asciiTheme="minorEastAsia" w:hAnsiTheme="minorEastAsia" w:eastAsiaTheme="minorEastAsia" w:cstheme="minorEastAsia"/>
                <w:color w:val="auto"/>
                <w:kern w:val="0"/>
                <w:sz w:val="20"/>
                <w:szCs w:val="20"/>
                <w:highlight w:val="none"/>
                <w:lang w:val="en-US" w:eastAsia="zh-CN"/>
              </w:rPr>
              <w:t>的</w:t>
            </w:r>
            <w:r>
              <w:rPr>
                <w:rFonts w:hint="eastAsia" w:asciiTheme="minorEastAsia" w:hAnsiTheme="minorEastAsia" w:eastAsiaTheme="minorEastAsia" w:cstheme="minorEastAsia"/>
                <w:color w:val="auto"/>
                <w:kern w:val="0"/>
                <w:sz w:val="20"/>
                <w:szCs w:val="20"/>
                <w:highlight w:val="none"/>
              </w:rPr>
              <w:t>不得分</w:t>
            </w:r>
            <w:r>
              <w:rPr>
                <w:rFonts w:hint="eastAsia" w:asciiTheme="minorEastAsia" w:hAnsiTheme="minorEastAsia" w:eastAsiaTheme="minorEastAsia" w:cstheme="minorEastAsia"/>
                <w:color w:val="auto"/>
                <w:kern w:val="0"/>
                <w:sz w:val="20"/>
                <w:szCs w:val="20"/>
                <w:highlight w:val="none"/>
                <w:lang w:val="en-US" w:eastAsia="zh-CN"/>
              </w:rPr>
              <w:t>；</w:t>
            </w:r>
          </w:p>
          <w:p w14:paraId="09C43664">
            <w:pPr>
              <w:numPr>
                <w:ilvl w:val="0"/>
                <w:numId w:val="0"/>
              </w:numPr>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本小项最高得</w:t>
            </w:r>
            <w:r>
              <w:rPr>
                <w:rFonts w:hint="eastAsia" w:asciiTheme="minorEastAsia" w:hAnsiTheme="minorEastAsia" w:eastAsiaTheme="minorEastAsia" w:cstheme="minorEastAsia"/>
                <w:color w:val="auto"/>
                <w:kern w:val="0"/>
                <w:sz w:val="20"/>
                <w:szCs w:val="20"/>
                <w:highlight w:val="none"/>
                <w:lang w:val="en-US" w:eastAsia="zh-CN"/>
              </w:rPr>
              <w:t>2</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p w14:paraId="076A337E">
            <w:pPr>
              <w:numPr>
                <w:ilvl w:val="0"/>
                <w:numId w:val="0"/>
              </w:numP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b/>
                <w:bCs/>
                <w:color w:val="auto"/>
                <w:kern w:val="0"/>
                <w:sz w:val="20"/>
                <w:szCs w:val="20"/>
                <w:highlight w:val="none"/>
                <w:lang w:val="en-US" w:eastAsia="zh-CN" w:bidi="ar-SA"/>
              </w:rPr>
              <w:t>4、保洁绿化主管：</w:t>
            </w:r>
          </w:p>
          <w:p w14:paraId="55015DF5">
            <w:pPr>
              <w:numPr>
                <w:ilvl w:val="0"/>
                <w:numId w:val="0"/>
              </w:numP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①具有</w:t>
            </w:r>
            <w:r>
              <w:rPr>
                <w:rFonts w:hint="eastAsia" w:asciiTheme="minorEastAsia" w:hAnsiTheme="minorEastAsia" w:eastAsiaTheme="minorEastAsia" w:cstheme="minorEastAsia"/>
                <w:color w:val="auto"/>
                <w:kern w:val="0"/>
                <w:sz w:val="20"/>
                <w:szCs w:val="20"/>
                <w:highlight w:val="none"/>
                <w:lang w:val="en-US" w:eastAsia="zh-CN"/>
              </w:rPr>
              <w:t>大专</w:t>
            </w:r>
            <w:r>
              <w:rPr>
                <w:rFonts w:hint="eastAsia" w:asciiTheme="minorEastAsia" w:hAnsiTheme="minorEastAsia" w:eastAsiaTheme="minorEastAsia" w:cstheme="minorEastAsia"/>
                <w:color w:val="auto"/>
                <w:kern w:val="0"/>
                <w:sz w:val="20"/>
                <w:szCs w:val="20"/>
                <w:highlight w:val="none"/>
              </w:rPr>
              <w:t>或以上学历</w:t>
            </w:r>
            <w:r>
              <w:rPr>
                <w:rFonts w:hint="eastAsia" w:asciiTheme="minorEastAsia" w:hAnsiTheme="minorEastAsia" w:eastAsiaTheme="minorEastAsia" w:cstheme="minorEastAsia"/>
                <w:color w:val="auto"/>
                <w:kern w:val="0"/>
                <w:sz w:val="20"/>
                <w:szCs w:val="20"/>
                <w:highlight w:val="none"/>
                <w:lang w:val="en-US" w:eastAsia="zh-CN"/>
              </w:rPr>
              <w:t>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1</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eastAsia="zh-CN"/>
              </w:rPr>
              <w:t>；</w:t>
            </w:r>
          </w:p>
          <w:p w14:paraId="5BBFEB06">
            <w:pPr>
              <w:numPr>
                <w:ilvl w:val="0"/>
                <w:numId w:val="0"/>
              </w:numP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②具有</w:t>
            </w:r>
            <w:r>
              <w:rPr>
                <w:rFonts w:hint="eastAsia" w:asciiTheme="minorEastAsia" w:hAnsiTheme="minorEastAsia" w:eastAsiaTheme="minorEastAsia" w:cstheme="minorEastAsia"/>
                <w:color w:val="auto"/>
                <w:kern w:val="0"/>
                <w:sz w:val="20"/>
                <w:szCs w:val="20"/>
                <w:highlight w:val="none"/>
                <w:lang w:val="en-US" w:eastAsia="zh-CN"/>
              </w:rPr>
              <w:t>相关</w:t>
            </w:r>
            <w:r>
              <w:rPr>
                <w:rFonts w:hint="eastAsia" w:asciiTheme="minorEastAsia" w:hAnsiTheme="minorEastAsia" w:eastAsiaTheme="minorEastAsia" w:cstheme="minorEastAsia"/>
                <w:color w:val="auto"/>
                <w:kern w:val="0"/>
                <w:sz w:val="20"/>
                <w:szCs w:val="20"/>
                <w:highlight w:val="none"/>
              </w:rPr>
              <w:t>工作经验</w:t>
            </w:r>
            <w:r>
              <w:rPr>
                <w:rFonts w:hint="eastAsia" w:asciiTheme="minorEastAsia" w:hAnsiTheme="minorEastAsia" w:eastAsiaTheme="minorEastAsia" w:cstheme="minorEastAsia"/>
                <w:color w:val="auto"/>
                <w:kern w:val="0"/>
                <w:sz w:val="20"/>
                <w:szCs w:val="20"/>
                <w:highlight w:val="none"/>
                <w:lang w:val="en-US" w:eastAsia="zh-CN"/>
              </w:rPr>
              <w:t>5年或以上的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1</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val="en-US" w:eastAsia="zh-CN"/>
              </w:rPr>
              <w:t>1（含）-5年的</w:t>
            </w:r>
            <w:r>
              <w:rPr>
                <w:rFonts w:hint="eastAsia" w:asciiTheme="minorEastAsia" w:hAnsiTheme="minorEastAsia" w:eastAsiaTheme="minorEastAsia" w:cstheme="minorEastAsia"/>
                <w:color w:val="auto"/>
                <w:kern w:val="0"/>
                <w:sz w:val="20"/>
                <w:szCs w:val="20"/>
                <w:highlight w:val="none"/>
              </w:rPr>
              <w:t>得</w:t>
            </w:r>
            <w:r>
              <w:rPr>
                <w:rFonts w:hint="eastAsia" w:asciiTheme="minorEastAsia" w:hAnsiTheme="minorEastAsia" w:eastAsiaTheme="minorEastAsia" w:cstheme="minorEastAsia"/>
                <w:color w:val="auto"/>
                <w:kern w:val="0"/>
                <w:sz w:val="20"/>
                <w:szCs w:val="20"/>
                <w:highlight w:val="none"/>
                <w:lang w:val="en-US" w:eastAsia="zh-CN"/>
              </w:rPr>
              <w:t>0.5</w:t>
            </w:r>
            <w:r>
              <w:rPr>
                <w:rFonts w:hint="eastAsia" w:asciiTheme="minorEastAsia" w:hAnsiTheme="minorEastAsia" w:eastAsiaTheme="minorEastAsia" w:cstheme="minorEastAsia"/>
                <w:color w:val="auto"/>
                <w:kern w:val="0"/>
                <w:sz w:val="20"/>
                <w:szCs w:val="20"/>
                <w:highlight w:val="none"/>
              </w:rPr>
              <w:t>分，</w:t>
            </w:r>
            <w:r>
              <w:rPr>
                <w:rFonts w:hint="eastAsia" w:asciiTheme="minorEastAsia" w:hAnsiTheme="minorEastAsia" w:eastAsiaTheme="minorEastAsia" w:cstheme="minorEastAsia"/>
                <w:color w:val="auto"/>
                <w:kern w:val="0"/>
                <w:sz w:val="20"/>
                <w:szCs w:val="20"/>
                <w:highlight w:val="none"/>
                <w:lang w:val="en-US" w:eastAsia="zh-CN"/>
              </w:rPr>
              <w:t>1年</w:t>
            </w:r>
            <w:r>
              <w:rPr>
                <w:rFonts w:hint="eastAsia" w:asciiTheme="minorEastAsia" w:hAnsiTheme="minorEastAsia" w:eastAsiaTheme="minorEastAsia" w:cstheme="minorEastAsia"/>
                <w:color w:val="auto"/>
                <w:kern w:val="0"/>
                <w:sz w:val="20"/>
                <w:szCs w:val="20"/>
                <w:highlight w:val="none"/>
              </w:rPr>
              <w:t>以下</w:t>
            </w:r>
            <w:r>
              <w:rPr>
                <w:rFonts w:hint="eastAsia" w:asciiTheme="minorEastAsia" w:hAnsiTheme="minorEastAsia" w:eastAsiaTheme="minorEastAsia" w:cstheme="minorEastAsia"/>
                <w:color w:val="auto"/>
                <w:kern w:val="0"/>
                <w:sz w:val="20"/>
                <w:szCs w:val="20"/>
                <w:highlight w:val="none"/>
                <w:lang w:val="en-US" w:eastAsia="zh-CN"/>
              </w:rPr>
              <w:t>的</w:t>
            </w:r>
            <w:r>
              <w:rPr>
                <w:rFonts w:hint="eastAsia" w:asciiTheme="minorEastAsia" w:hAnsiTheme="minorEastAsia" w:eastAsiaTheme="minorEastAsia" w:cstheme="minorEastAsia"/>
                <w:color w:val="auto"/>
                <w:kern w:val="0"/>
                <w:sz w:val="20"/>
                <w:szCs w:val="20"/>
                <w:highlight w:val="none"/>
              </w:rPr>
              <w:t>不得分</w:t>
            </w:r>
            <w:r>
              <w:rPr>
                <w:rFonts w:hint="eastAsia" w:asciiTheme="minorEastAsia" w:hAnsiTheme="minorEastAsia" w:eastAsiaTheme="minorEastAsia" w:cstheme="minorEastAsia"/>
                <w:color w:val="auto"/>
                <w:kern w:val="0"/>
                <w:sz w:val="20"/>
                <w:szCs w:val="20"/>
                <w:highlight w:val="none"/>
                <w:lang w:val="en-US" w:eastAsia="zh-CN"/>
              </w:rPr>
              <w:t>；</w:t>
            </w:r>
          </w:p>
          <w:p w14:paraId="4429EDF9">
            <w:pPr>
              <w:numPr>
                <w:ilvl w:val="0"/>
                <w:numId w:val="0"/>
              </w:numP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本小项最高得2分</w:t>
            </w:r>
            <w:r>
              <w:rPr>
                <w:rFonts w:hint="eastAsia" w:asciiTheme="minorEastAsia" w:hAnsiTheme="minorEastAsia" w:eastAsiaTheme="minorEastAsia" w:cstheme="minorEastAsia"/>
                <w:color w:val="auto"/>
                <w:kern w:val="0"/>
                <w:sz w:val="20"/>
                <w:szCs w:val="20"/>
                <w:highlight w:val="none"/>
                <w:lang w:eastAsia="zh-CN"/>
              </w:rPr>
              <w:t>。</w:t>
            </w:r>
          </w:p>
          <w:p w14:paraId="39CC7AF0">
            <w:pPr>
              <w:widowControl w:val="0"/>
              <w:numPr>
                <w:ilvl w:val="0"/>
                <w:numId w:val="0"/>
              </w:numPr>
              <w:jc w:val="both"/>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注：</w:t>
            </w:r>
          </w:p>
          <w:p w14:paraId="0CFD3ACD">
            <w:pPr>
              <w:widowControl w:val="0"/>
              <w:numPr>
                <w:ilvl w:val="0"/>
                <w:numId w:val="0"/>
              </w:numPr>
              <w:jc w:val="both"/>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（1）</w:t>
            </w:r>
            <w:r>
              <w:rPr>
                <w:rFonts w:hint="eastAsia" w:asciiTheme="minorEastAsia" w:hAnsiTheme="minorEastAsia" w:eastAsiaTheme="minorEastAsia" w:cstheme="minorEastAsia"/>
                <w:color w:val="auto"/>
                <w:kern w:val="0"/>
                <w:sz w:val="20"/>
                <w:szCs w:val="20"/>
                <w:highlight w:val="none"/>
                <w:lang w:val="en-US" w:eastAsia="zh-CN"/>
              </w:rPr>
              <w:t>提供学历证书及学信网查询截图、其他相关证件</w:t>
            </w:r>
            <w:r>
              <w:rPr>
                <w:rFonts w:hint="eastAsia" w:asciiTheme="minorEastAsia" w:hAnsiTheme="minorEastAsia" w:eastAsiaTheme="minorEastAsia" w:cstheme="minorEastAsia"/>
                <w:color w:val="auto"/>
                <w:kern w:val="0"/>
                <w:sz w:val="20"/>
                <w:szCs w:val="20"/>
                <w:highlight w:val="none"/>
              </w:rPr>
              <w:t>。（供应商提供的学历证书复印件，如为国</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境</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外学历学位证书，需提供中文翻译及通过教育部学历认证的网上截图或教育部门出具的鉴定证明纸质版扫描件）；</w:t>
            </w:r>
          </w:p>
          <w:p w14:paraId="60FD98FA">
            <w:pPr>
              <w:widowControl w:val="0"/>
              <w:numPr>
                <w:ilvl w:val="0"/>
                <w:numId w:val="0"/>
              </w:numPr>
              <w:jc w:val="both"/>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（2）工作经验须提供用户单位证明、</w:t>
            </w:r>
            <w:r>
              <w:rPr>
                <w:rFonts w:hint="eastAsia" w:asciiTheme="minorEastAsia" w:hAnsiTheme="minorEastAsia" w:eastAsiaTheme="minorEastAsia" w:cstheme="minorEastAsia"/>
                <w:color w:val="auto"/>
                <w:kern w:val="0"/>
                <w:sz w:val="20"/>
                <w:szCs w:val="20"/>
                <w:highlight w:val="none"/>
                <w:lang w:val="en-US" w:eastAsia="zh-CN"/>
              </w:rPr>
              <w:t>项目</w:t>
            </w:r>
            <w:r>
              <w:rPr>
                <w:rFonts w:hint="eastAsia" w:asciiTheme="minorEastAsia" w:hAnsiTheme="minorEastAsia" w:eastAsiaTheme="minorEastAsia" w:cstheme="minorEastAsia"/>
                <w:color w:val="auto"/>
                <w:kern w:val="0"/>
                <w:sz w:val="20"/>
                <w:szCs w:val="20"/>
                <w:highlight w:val="none"/>
              </w:rPr>
              <w:t>合同等有效的证明材料；</w:t>
            </w:r>
          </w:p>
          <w:p w14:paraId="10E4526B">
            <w:pPr>
              <w:widowControl w:val="0"/>
              <w:numPr>
                <w:ilvl w:val="0"/>
                <w:numId w:val="0"/>
              </w:numPr>
              <w:jc w:val="both"/>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（3）社保机构出具的在投标截止时间前</w:t>
            </w:r>
            <w:r>
              <w:rPr>
                <w:rFonts w:hint="eastAsia" w:asciiTheme="minorEastAsia" w:hAnsiTheme="minorEastAsia" w:eastAsiaTheme="minorEastAsia" w:cstheme="minorEastAsia"/>
                <w:color w:val="auto"/>
                <w:kern w:val="0"/>
                <w:sz w:val="20"/>
                <w:szCs w:val="20"/>
                <w:highlight w:val="none"/>
                <w:lang w:val="en-US" w:eastAsia="zh-CN"/>
              </w:rPr>
              <w:t>六个月</w:t>
            </w:r>
            <w:r>
              <w:rPr>
                <w:rFonts w:hint="eastAsia" w:asciiTheme="minorEastAsia" w:hAnsiTheme="minorEastAsia" w:eastAsiaTheme="minorEastAsia" w:cstheme="minorEastAsia"/>
                <w:color w:val="auto"/>
                <w:kern w:val="0"/>
                <w:sz w:val="20"/>
                <w:szCs w:val="20"/>
                <w:highlight w:val="none"/>
              </w:rPr>
              <w:t>内至少连续</w:t>
            </w:r>
            <w:r>
              <w:rPr>
                <w:rFonts w:hint="eastAsia" w:asciiTheme="minorEastAsia" w:hAnsiTheme="minorEastAsia" w:eastAsiaTheme="minorEastAsia" w:cstheme="minorEastAsia"/>
                <w:color w:val="auto"/>
                <w:kern w:val="0"/>
                <w:sz w:val="20"/>
                <w:szCs w:val="20"/>
                <w:highlight w:val="none"/>
                <w:lang w:val="en-US" w:eastAsia="zh-CN"/>
              </w:rPr>
              <w:t>3</w:t>
            </w:r>
            <w:r>
              <w:rPr>
                <w:rFonts w:hint="eastAsia" w:asciiTheme="minorEastAsia" w:hAnsiTheme="minorEastAsia" w:eastAsiaTheme="minorEastAsia" w:cstheme="minorEastAsia"/>
                <w:color w:val="auto"/>
                <w:kern w:val="0"/>
                <w:sz w:val="20"/>
                <w:szCs w:val="20"/>
                <w:highlight w:val="none"/>
              </w:rPr>
              <w:t>个月由投标单位为其缴纳的社保证明复印件</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需加盖社保机构章</w:t>
            </w:r>
            <w:r>
              <w:rPr>
                <w:rFonts w:hint="eastAsia" w:asciiTheme="minorEastAsia" w:hAnsiTheme="minorEastAsia" w:eastAsiaTheme="minorEastAsia" w:cstheme="minorEastAsia"/>
                <w:color w:val="auto"/>
                <w:kern w:val="0"/>
                <w:sz w:val="20"/>
                <w:szCs w:val="20"/>
                <w:highlight w:val="none"/>
                <w:lang w:eastAsia="zh-CN"/>
              </w:rPr>
              <w:t>）</w:t>
            </w:r>
          </w:p>
        </w:tc>
      </w:tr>
      <w:tr w14:paraId="54AB5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Merge w:val="continue"/>
            <w:vAlign w:val="center"/>
          </w:tcPr>
          <w:p w14:paraId="249EC78D">
            <w:pPr>
              <w:jc w:val="center"/>
              <w:rPr>
                <w:rFonts w:hint="eastAsia" w:asciiTheme="minorEastAsia" w:hAnsiTheme="minorEastAsia" w:eastAsiaTheme="minorEastAsia" w:cstheme="minorEastAsia"/>
                <w:color w:val="auto"/>
                <w:kern w:val="0"/>
                <w:sz w:val="20"/>
                <w:szCs w:val="20"/>
                <w:highlight w:val="none"/>
              </w:rPr>
            </w:pPr>
          </w:p>
        </w:tc>
        <w:tc>
          <w:tcPr>
            <w:tcW w:w="1650" w:type="dxa"/>
            <w:vAlign w:val="center"/>
          </w:tcPr>
          <w:p w14:paraId="0A97CDAF">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对非重大违法违规记录的扣分</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lang w:val="en-US" w:eastAsia="zh-CN"/>
              </w:rPr>
              <w:t>5</w:t>
            </w:r>
            <w:r>
              <w:rPr>
                <w:rFonts w:hint="eastAsia" w:asciiTheme="minorEastAsia" w:hAnsiTheme="minorEastAsia" w:eastAsiaTheme="minorEastAsia" w:cstheme="minorEastAsia"/>
                <w:color w:val="auto"/>
                <w:kern w:val="0"/>
                <w:sz w:val="20"/>
                <w:szCs w:val="20"/>
                <w:highlight w:val="none"/>
              </w:rPr>
              <w:t>.0分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61BEC248">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以“信用中国”（www.creditchina.gov.cn）网站为查询渠道：对列入行政处罚或经营异常的投标人每一条记录扣0.1分，最高扣</w:t>
            </w:r>
            <w:r>
              <w:rPr>
                <w:rFonts w:hint="eastAsia" w:asciiTheme="minorEastAsia" w:hAnsiTheme="minorEastAsia" w:eastAsiaTheme="minorEastAsia" w:cstheme="minorEastAsia"/>
                <w:color w:val="auto"/>
                <w:kern w:val="0"/>
                <w:sz w:val="20"/>
                <w:szCs w:val="20"/>
                <w:highlight w:val="none"/>
                <w:lang w:val="en-US" w:eastAsia="zh-CN"/>
              </w:rPr>
              <w:t>5</w:t>
            </w:r>
            <w:r>
              <w:rPr>
                <w:rFonts w:hint="eastAsia" w:asciiTheme="minorEastAsia" w:hAnsiTheme="minorEastAsia" w:eastAsiaTheme="minorEastAsia" w:cstheme="minorEastAsia"/>
                <w:color w:val="auto"/>
                <w:kern w:val="0"/>
                <w:sz w:val="20"/>
                <w:szCs w:val="20"/>
                <w:highlight w:val="none"/>
              </w:rPr>
              <w:t>分。如查询结果显示没有相关记录，视为没有上述非重大违法违规记录，则不扣分。以评标委员会于评审时在上述网站查询结果为准，评标委员会应将上述记录查询情况截图存档。注：总公司（总所）投标的，只查询总公司（总所）；分支机构（分所）投标的，只查询该分支机构。</w:t>
            </w:r>
          </w:p>
        </w:tc>
      </w:tr>
      <w:tr w14:paraId="46E7F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Align w:val="center"/>
          </w:tcPr>
          <w:p w14:paraId="40E5840A">
            <w:pPr>
              <w:pStyle w:val="89"/>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投标报价</w:t>
            </w:r>
          </w:p>
        </w:tc>
        <w:tc>
          <w:tcPr>
            <w:tcW w:w="1650" w:type="dxa"/>
            <w:vAlign w:val="center"/>
          </w:tcPr>
          <w:p w14:paraId="52C4F4F0">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投标报价得分</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10.0分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0A67B086">
            <w:pPr>
              <w:pStyle w:val="89"/>
              <w:jc w:val="left"/>
              <w:rPr>
                <w:rFonts w:hint="eastAsia" w:asciiTheme="minorEastAsia" w:hAnsiTheme="minorEastAsia" w:eastAsiaTheme="minorEastAsia" w:cstheme="minor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投标报价得分＝（评标基准价/投标报价）×价格分值【注：满足招标文件要求且投标价格最低的投标报价为评标基准价。】最低报价不是中标的唯一依据。</w:t>
            </w:r>
          </w:p>
        </w:tc>
      </w:tr>
      <w:tr w14:paraId="3621A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dxa"/>
            <w:vAlign w:val="center"/>
          </w:tcPr>
          <w:p w14:paraId="3CF7F75A">
            <w:pPr>
              <w:pStyle w:val="89"/>
              <w:jc w:val="center"/>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综合信用分</w:t>
            </w:r>
          </w:p>
        </w:tc>
        <w:tc>
          <w:tcPr>
            <w:tcW w:w="1650" w:type="dxa"/>
            <w:vAlign w:val="center"/>
          </w:tcPr>
          <w:p w14:paraId="57F1EEA3">
            <w:pPr>
              <w:pStyle w:val="89"/>
              <w:jc w:val="center"/>
              <w:rPr>
                <w:rFonts w:hint="eastAsia" w:asciiTheme="minorEastAsia" w:hAnsiTheme="minorEastAsia" w:eastAsiaTheme="minorEastAsia" w:cstheme="minorEastAsia"/>
                <w:color w:val="auto"/>
                <w:kern w:val="0"/>
                <w:sz w:val="20"/>
                <w:szCs w:val="20"/>
                <w:highlight w:val="none"/>
                <w:lang w:eastAsia="zh-CN"/>
              </w:rPr>
            </w:pPr>
            <w:r>
              <w:rPr>
                <w:rFonts w:hint="eastAsia" w:asciiTheme="minorEastAsia" w:hAnsiTheme="minorEastAsia" w:eastAsiaTheme="minorEastAsia" w:cstheme="minorEastAsia"/>
                <w:color w:val="auto"/>
                <w:kern w:val="0"/>
                <w:sz w:val="20"/>
                <w:szCs w:val="20"/>
                <w:highlight w:val="none"/>
              </w:rPr>
              <w:t>综合信用评价</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5.0分</w:t>
            </w:r>
            <w:r>
              <w:rPr>
                <w:rFonts w:hint="eastAsia" w:asciiTheme="minorEastAsia" w:hAnsiTheme="minorEastAsia" w:eastAsiaTheme="minorEastAsia" w:cstheme="minorEastAsia"/>
                <w:color w:val="auto"/>
                <w:kern w:val="0"/>
                <w:sz w:val="20"/>
                <w:szCs w:val="20"/>
                <w:highlight w:val="none"/>
                <w:lang w:eastAsia="zh-CN"/>
              </w:rPr>
              <w:t>）</w:t>
            </w:r>
          </w:p>
        </w:tc>
        <w:tc>
          <w:tcPr>
            <w:tcW w:w="5931" w:type="dxa"/>
          </w:tcPr>
          <w:p w14:paraId="29CF8A5D">
            <w:pPr>
              <w:pStyle w:val="89"/>
              <w:jc w:val="left"/>
              <w:rPr>
                <w:rFonts w:hint="eastAsia"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综合信用评价得分=综合信用评价得分</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属于商务部分的一部分</w:t>
            </w:r>
            <w:r>
              <w:rPr>
                <w:rFonts w:hint="eastAsia" w:asciiTheme="minorEastAsia" w:hAnsiTheme="minorEastAsia" w:eastAsiaTheme="minorEastAsia" w:cstheme="minorEastAsia"/>
                <w:color w:val="auto"/>
                <w:kern w:val="0"/>
                <w:sz w:val="20"/>
                <w:szCs w:val="20"/>
                <w:highlight w:val="none"/>
                <w:lang w:eastAsia="zh-CN"/>
              </w:rPr>
              <w:t>）</w:t>
            </w:r>
            <w:r>
              <w:rPr>
                <w:rFonts w:hint="eastAsia" w:asciiTheme="minorEastAsia" w:hAnsiTheme="minorEastAsia" w:eastAsiaTheme="minorEastAsia" w:cstheme="minorEastAsia"/>
                <w:color w:val="auto"/>
                <w:kern w:val="0"/>
                <w:sz w:val="20"/>
                <w:szCs w:val="20"/>
                <w:highlight w:val="none"/>
              </w:rPr>
              <w:t>=投标人的广州公共资源交易信用评价（政府采购供应商信用评价分）×5%。投标人的信用评价分以开标当天广州交易集团有限公司网站公布的分值为准（通过“广州交易集团有限公司网站-信用信息-广州公共资源交易信用平台3.0”进行核实，未能在网站查询到供应商信用评价分的，以当天信用评价基准分计算）。供应商为联合体的，以牵头方信用评价分计算。</w:t>
            </w:r>
          </w:p>
        </w:tc>
      </w:tr>
    </w:tbl>
    <w:p w14:paraId="5C85D6DE">
      <w:pPr>
        <w:rPr>
          <w:color w:val="auto"/>
          <w:highlight w:val="none"/>
        </w:rPr>
      </w:pPr>
      <w:r>
        <w:rPr>
          <w:rFonts w:hint="eastAsia"/>
          <w:b/>
          <w:bCs/>
          <w:color w:val="auto"/>
          <w:sz w:val="21"/>
          <w:szCs w:val="21"/>
          <w:highlight w:val="none"/>
        </w:rPr>
        <w:br w:type="page"/>
      </w:r>
    </w:p>
    <w:p w14:paraId="40723972">
      <w:pPr>
        <w:pStyle w:val="2"/>
        <w:spacing w:line="400" w:lineRule="exact"/>
        <w:jc w:val="center"/>
        <w:rPr>
          <w:b/>
          <w:bCs/>
          <w:color w:val="auto"/>
          <w:sz w:val="32"/>
          <w:szCs w:val="32"/>
          <w:highlight w:val="none"/>
        </w:rPr>
      </w:pPr>
      <w:bookmarkStart w:id="165" w:name="_Toc29825810"/>
      <w:bookmarkStart w:id="166" w:name="_Toc368513819"/>
      <w:bookmarkStart w:id="167" w:name="_Toc86349476"/>
      <w:r>
        <w:rPr>
          <w:rFonts w:hint="eastAsia"/>
          <w:b/>
          <w:bCs/>
          <w:color w:val="auto"/>
          <w:sz w:val="32"/>
          <w:szCs w:val="32"/>
          <w:highlight w:val="none"/>
        </w:rPr>
        <w:t>第</w:t>
      </w:r>
      <w:r>
        <w:rPr>
          <w:rFonts w:hint="eastAsia"/>
          <w:b/>
          <w:bCs/>
          <w:color w:val="auto"/>
          <w:sz w:val="32"/>
          <w:szCs w:val="32"/>
          <w:highlight w:val="none"/>
          <w:lang w:val="en-US"/>
        </w:rPr>
        <w:t>六部分</w:t>
      </w:r>
      <w:r>
        <w:rPr>
          <w:rFonts w:hint="eastAsia"/>
          <w:b/>
          <w:bCs/>
          <w:color w:val="auto"/>
          <w:sz w:val="32"/>
          <w:szCs w:val="32"/>
          <w:highlight w:val="none"/>
        </w:rPr>
        <w:t xml:space="preserve"> 投标文件格式</w:t>
      </w:r>
      <w:bookmarkEnd w:id="165"/>
      <w:bookmarkEnd w:id="166"/>
      <w:bookmarkEnd w:id="167"/>
    </w:p>
    <w:p w14:paraId="59C33670">
      <w:pPr>
        <w:pStyle w:val="3"/>
        <w:keepNext w:val="0"/>
        <w:keepLines w:val="0"/>
        <w:widowControl/>
        <w:spacing w:before="188" w:after="188" w:line="400" w:lineRule="exact"/>
        <w:jc w:val="center"/>
        <w:rPr>
          <w:rFonts w:ascii="宋体" w:hAnsi="宋体" w:eastAsia="宋体" w:cs="宋体"/>
          <w:bCs/>
          <w:color w:val="auto"/>
          <w:kern w:val="2"/>
          <w:highlight w:val="none"/>
        </w:rPr>
      </w:pPr>
      <w:bookmarkStart w:id="168" w:name="_Toc29825811"/>
      <w:bookmarkStart w:id="169" w:name="_Toc86349477"/>
      <w:r>
        <w:rPr>
          <w:rFonts w:hint="eastAsia" w:ascii="宋体" w:hAnsi="宋体" w:eastAsia="宋体" w:cs="宋体"/>
          <w:bCs/>
          <w:color w:val="auto"/>
          <w:kern w:val="2"/>
          <w:highlight w:val="none"/>
        </w:rPr>
        <w:t>第一章</w:t>
      </w:r>
      <w:bookmarkStart w:id="170" w:name="_Toc368513820"/>
      <w:bookmarkStart w:id="171" w:name="_Toc367012682"/>
      <w:r>
        <w:rPr>
          <w:rFonts w:hint="eastAsia" w:ascii="宋体" w:hAnsi="宋体" w:eastAsia="宋体" w:cs="宋体"/>
          <w:bCs/>
          <w:color w:val="auto"/>
          <w:kern w:val="2"/>
          <w:highlight w:val="none"/>
        </w:rPr>
        <w:t xml:space="preserve"> 目录</w:t>
      </w:r>
      <w:bookmarkEnd w:id="168"/>
      <w:bookmarkEnd w:id="169"/>
      <w:bookmarkEnd w:id="170"/>
      <w:bookmarkEnd w:id="171"/>
    </w:p>
    <w:tbl>
      <w:tblPr>
        <w:tblStyle w:val="34"/>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5061"/>
        <w:gridCol w:w="1034"/>
        <w:gridCol w:w="1417"/>
      </w:tblGrid>
      <w:tr w14:paraId="4418C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tcBorders>
              <w:top w:val="single" w:color="000000" w:sz="4" w:space="0"/>
              <w:left w:val="single" w:color="000000" w:sz="4" w:space="0"/>
              <w:bottom w:val="single" w:color="000000" w:sz="4" w:space="0"/>
              <w:right w:val="single" w:color="auto" w:sz="4" w:space="0"/>
            </w:tcBorders>
            <w:vAlign w:val="center"/>
          </w:tcPr>
          <w:p w14:paraId="2AC6FA99">
            <w:pPr>
              <w:widowControl/>
              <w:spacing w:line="300" w:lineRule="exact"/>
              <w:jc w:val="center"/>
              <w:rPr>
                <w:b/>
                <w:bCs/>
                <w:color w:val="auto"/>
                <w:sz w:val="21"/>
                <w:highlight w:val="none"/>
              </w:rPr>
            </w:pPr>
            <w:r>
              <w:rPr>
                <w:rFonts w:hint="eastAsia"/>
                <w:b/>
                <w:bCs/>
                <w:color w:val="auto"/>
                <w:sz w:val="21"/>
                <w:highlight w:val="none"/>
              </w:rPr>
              <w:t>类型名称</w:t>
            </w:r>
          </w:p>
        </w:tc>
        <w:tc>
          <w:tcPr>
            <w:tcW w:w="709" w:type="dxa"/>
            <w:tcBorders>
              <w:top w:val="single" w:color="000000" w:sz="4" w:space="0"/>
              <w:left w:val="single" w:color="auto" w:sz="4" w:space="0"/>
              <w:bottom w:val="single" w:color="000000" w:sz="4" w:space="0"/>
              <w:right w:val="single" w:color="000000" w:sz="4" w:space="0"/>
            </w:tcBorders>
            <w:vAlign w:val="center"/>
          </w:tcPr>
          <w:p w14:paraId="7CADE5D3">
            <w:pPr>
              <w:widowControl/>
              <w:spacing w:line="300" w:lineRule="exact"/>
              <w:jc w:val="center"/>
              <w:rPr>
                <w:b/>
                <w:bCs/>
                <w:color w:val="auto"/>
                <w:sz w:val="21"/>
                <w:highlight w:val="none"/>
              </w:rPr>
            </w:pPr>
            <w:r>
              <w:rPr>
                <w:rFonts w:hint="eastAsia"/>
                <w:b/>
                <w:bCs/>
                <w:color w:val="auto"/>
                <w:sz w:val="21"/>
                <w:highlight w:val="none"/>
              </w:rPr>
              <w:t>序号</w:t>
            </w:r>
          </w:p>
        </w:tc>
        <w:tc>
          <w:tcPr>
            <w:tcW w:w="5061" w:type="dxa"/>
            <w:tcBorders>
              <w:top w:val="single" w:color="000000" w:sz="4" w:space="0"/>
              <w:left w:val="single" w:color="000000" w:sz="4" w:space="0"/>
              <w:bottom w:val="single" w:color="000000" w:sz="4" w:space="0"/>
              <w:right w:val="single" w:color="000000" w:sz="4" w:space="0"/>
            </w:tcBorders>
            <w:vAlign w:val="center"/>
          </w:tcPr>
          <w:p w14:paraId="4F33E063">
            <w:pPr>
              <w:widowControl/>
              <w:spacing w:line="300" w:lineRule="exact"/>
              <w:jc w:val="center"/>
              <w:rPr>
                <w:b/>
                <w:bCs/>
                <w:color w:val="auto"/>
                <w:sz w:val="21"/>
                <w:highlight w:val="none"/>
              </w:rPr>
            </w:pPr>
            <w:r>
              <w:rPr>
                <w:rFonts w:hint="eastAsia"/>
                <w:b/>
                <w:bCs/>
                <w:color w:val="auto"/>
                <w:sz w:val="21"/>
                <w:highlight w:val="none"/>
              </w:rPr>
              <w:t>文件名称</w:t>
            </w:r>
          </w:p>
        </w:tc>
        <w:tc>
          <w:tcPr>
            <w:tcW w:w="1034" w:type="dxa"/>
            <w:tcBorders>
              <w:top w:val="single" w:color="000000" w:sz="4" w:space="0"/>
              <w:left w:val="single" w:color="000000" w:sz="4" w:space="0"/>
              <w:bottom w:val="single" w:color="000000" w:sz="4" w:space="0"/>
              <w:right w:val="single" w:color="auto" w:sz="4" w:space="0"/>
            </w:tcBorders>
            <w:vAlign w:val="center"/>
          </w:tcPr>
          <w:p w14:paraId="03D96BEC">
            <w:pPr>
              <w:widowControl/>
              <w:spacing w:line="300" w:lineRule="exact"/>
              <w:jc w:val="center"/>
              <w:rPr>
                <w:b/>
                <w:bCs/>
                <w:color w:val="auto"/>
                <w:sz w:val="21"/>
                <w:highlight w:val="none"/>
              </w:rPr>
            </w:pPr>
            <w:r>
              <w:rPr>
                <w:rFonts w:hint="eastAsia"/>
                <w:b/>
                <w:bCs/>
                <w:color w:val="auto"/>
                <w:sz w:val="21"/>
                <w:highlight w:val="none"/>
              </w:rPr>
              <w:t>页码</w:t>
            </w:r>
          </w:p>
        </w:tc>
        <w:tc>
          <w:tcPr>
            <w:tcW w:w="1417" w:type="dxa"/>
            <w:tcBorders>
              <w:top w:val="single" w:color="000000" w:sz="4" w:space="0"/>
              <w:left w:val="single" w:color="auto" w:sz="4" w:space="0"/>
              <w:bottom w:val="single" w:color="000000" w:sz="4" w:space="0"/>
              <w:right w:val="single" w:color="000000" w:sz="4" w:space="0"/>
            </w:tcBorders>
            <w:vAlign w:val="center"/>
          </w:tcPr>
          <w:p w14:paraId="41FD5B3C">
            <w:pPr>
              <w:widowControl/>
              <w:spacing w:line="300" w:lineRule="exact"/>
              <w:jc w:val="center"/>
              <w:rPr>
                <w:b/>
                <w:bCs/>
                <w:color w:val="auto"/>
                <w:sz w:val="21"/>
                <w:highlight w:val="none"/>
              </w:rPr>
            </w:pPr>
            <w:r>
              <w:rPr>
                <w:rFonts w:hint="eastAsia"/>
                <w:b/>
                <w:bCs/>
                <w:color w:val="auto"/>
                <w:sz w:val="21"/>
                <w:highlight w:val="none"/>
              </w:rPr>
              <w:t>备注</w:t>
            </w:r>
          </w:p>
        </w:tc>
      </w:tr>
      <w:tr w14:paraId="48462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restart"/>
            <w:tcBorders>
              <w:top w:val="single" w:color="000000" w:sz="4" w:space="0"/>
              <w:left w:val="single" w:color="000000" w:sz="4" w:space="0"/>
              <w:bottom w:val="single" w:color="000000" w:sz="4" w:space="0"/>
              <w:right w:val="single" w:color="auto" w:sz="4" w:space="0"/>
            </w:tcBorders>
            <w:vAlign w:val="center"/>
          </w:tcPr>
          <w:p w14:paraId="564488AE">
            <w:pPr>
              <w:widowControl/>
              <w:spacing w:line="300" w:lineRule="exact"/>
              <w:jc w:val="center"/>
              <w:rPr>
                <w:b/>
                <w:bCs/>
                <w:color w:val="auto"/>
                <w:sz w:val="21"/>
                <w:highlight w:val="none"/>
              </w:rPr>
            </w:pPr>
            <w:r>
              <w:rPr>
                <w:rFonts w:hint="eastAsia"/>
                <w:b/>
                <w:bCs/>
                <w:color w:val="auto"/>
                <w:sz w:val="21"/>
                <w:highlight w:val="none"/>
              </w:rPr>
              <w:t>索引</w:t>
            </w:r>
          </w:p>
        </w:tc>
        <w:tc>
          <w:tcPr>
            <w:tcW w:w="709" w:type="dxa"/>
            <w:tcBorders>
              <w:top w:val="single" w:color="000000" w:sz="4" w:space="0"/>
              <w:left w:val="single" w:color="auto" w:sz="4" w:space="0"/>
              <w:bottom w:val="single" w:color="000000" w:sz="4" w:space="0"/>
              <w:right w:val="single" w:color="000000" w:sz="4" w:space="0"/>
            </w:tcBorders>
            <w:vAlign w:val="center"/>
          </w:tcPr>
          <w:p w14:paraId="26C08127">
            <w:pPr>
              <w:widowControl/>
              <w:numPr>
                <w:ilvl w:val="0"/>
                <w:numId w:val="21"/>
              </w:numPr>
              <w:spacing w:line="300" w:lineRule="exact"/>
              <w:jc w:val="center"/>
              <w:rPr>
                <w:b/>
                <w:bCs/>
                <w:color w:val="auto"/>
                <w:sz w:val="21"/>
                <w:szCs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4232F7E1">
            <w:pPr>
              <w:widowControl/>
              <w:spacing w:line="300" w:lineRule="exact"/>
              <w:rPr>
                <w:b/>
                <w:bCs/>
                <w:color w:val="auto"/>
                <w:sz w:val="21"/>
                <w:szCs w:val="21"/>
                <w:highlight w:val="none"/>
              </w:rPr>
            </w:pPr>
            <w:r>
              <w:rPr>
                <w:rFonts w:hint="eastAsia"/>
                <w:b/>
                <w:bCs/>
                <w:color w:val="auto"/>
                <w:sz w:val="21"/>
                <w:szCs w:val="21"/>
                <w:highlight w:val="none"/>
              </w:rPr>
              <w:t>资格、符合性审查自查表</w:t>
            </w:r>
          </w:p>
        </w:tc>
        <w:tc>
          <w:tcPr>
            <w:tcW w:w="1034" w:type="dxa"/>
            <w:tcBorders>
              <w:top w:val="single" w:color="000000" w:sz="4" w:space="0"/>
              <w:left w:val="single" w:color="000000" w:sz="4" w:space="0"/>
              <w:bottom w:val="single" w:color="000000" w:sz="4" w:space="0"/>
              <w:right w:val="single" w:color="auto" w:sz="4" w:space="0"/>
            </w:tcBorders>
            <w:vAlign w:val="center"/>
          </w:tcPr>
          <w:p w14:paraId="02F8AD3E">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2F8DC5DA">
            <w:pPr>
              <w:widowControl/>
              <w:spacing w:line="300" w:lineRule="exact"/>
              <w:jc w:val="center"/>
              <w:rPr>
                <w:b/>
                <w:bCs/>
                <w:color w:val="auto"/>
                <w:sz w:val="21"/>
                <w:highlight w:val="none"/>
              </w:rPr>
            </w:pPr>
          </w:p>
        </w:tc>
      </w:tr>
      <w:tr w14:paraId="7D40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continue"/>
            <w:tcBorders>
              <w:top w:val="single" w:color="000000" w:sz="4" w:space="0"/>
              <w:left w:val="single" w:color="000000" w:sz="4" w:space="0"/>
              <w:bottom w:val="single" w:color="000000" w:sz="4" w:space="0"/>
              <w:right w:val="single" w:color="auto" w:sz="4" w:space="0"/>
            </w:tcBorders>
            <w:vAlign w:val="center"/>
          </w:tcPr>
          <w:p w14:paraId="0480EBA4">
            <w:pPr>
              <w:widowControl/>
              <w:autoSpaceDE/>
              <w:autoSpaceDN/>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3FCEB649">
            <w:pPr>
              <w:widowControl/>
              <w:numPr>
                <w:ilvl w:val="0"/>
                <w:numId w:val="21"/>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43097C19">
            <w:pPr>
              <w:widowControl/>
              <w:spacing w:line="300" w:lineRule="exact"/>
              <w:rPr>
                <w:b/>
                <w:bCs/>
                <w:color w:val="auto"/>
                <w:sz w:val="21"/>
                <w:highlight w:val="none"/>
              </w:rPr>
            </w:pPr>
            <w:r>
              <w:rPr>
                <w:rFonts w:hint="eastAsia"/>
                <w:b/>
                <w:bCs/>
                <w:color w:val="auto"/>
                <w:sz w:val="21"/>
                <w:szCs w:val="21"/>
                <w:highlight w:val="none"/>
              </w:rPr>
              <w:t>评审要素投标资料索引表</w:t>
            </w:r>
          </w:p>
        </w:tc>
        <w:tc>
          <w:tcPr>
            <w:tcW w:w="1034" w:type="dxa"/>
            <w:tcBorders>
              <w:top w:val="single" w:color="000000" w:sz="4" w:space="0"/>
              <w:left w:val="single" w:color="000000" w:sz="4" w:space="0"/>
              <w:bottom w:val="single" w:color="000000" w:sz="4" w:space="0"/>
              <w:right w:val="single" w:color="auto" w:sz="4" w:space="0"/>
            </w:tcBorders>
            <w:vAlign w:val="center"/>
          </w:tcPr>
          <w:p w14:paraId="14739DA9">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508BFC39">
            <w:pPr>
              <w:widowControl/>
              <w:spacing w:line="300" w:lineRule="exact"/>
              <w:jc w:val="center"/>
              <w:rPr>
                <w:b/>
                <w:bCs/>
                <w:color w:val="auto"/>
                <w:sz w:val="21"/>
                <w:highlight w:val="none"/>
              </w:rPr>
            </w:pPr>
          </w:p>
        </w:tc>
      </w:tr>
      <w:tr w14:paraId="4BF7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top w:val="single" w:color="000000" w:sz="4" w:space="0"/>
              <w:left w:val="single" w:color="000000" w:sz="4" w:space="0"/>
              <w:bottom w:val="single" w:color="000000" w:sz="4" w:space="0"/>
              <w:right w:val="single" w:color="auto" w:sz="4" w:space="0"/>
            </w:tcBorders>
            <w:vAlign w:val="center"/>
          </w:tcPr>
          <w:p w14:paraId="3EF564D1">
            <w:pPr>
              <w:widowControl/>
              <w:spacing w:line="300" w:lineRule="exact"/>
              <w:jc w:val="center"/>
              <w:rPr>
                <w:b/>
                <w:bCs/>
                <w:color w:val="auto"/>
                <w:sz w:val="21"/>
                <w:highlight w:val="none"/>
              </w:rPr>
            </w:pPr>
            <w:r>
              <w:rPr>
                <w:rFonts w:hint="eastAsia"/>
                <w:b/>
                <w:bCs/>
                <w:color w:val="auto"/>
                <w:sz w:val="21"/>
                <w:highlight w:val="none"/>
              </w:rPr>
              <w:t>资格审查文件</w:t>
            </w:r>
          </w:p>
          <w:p w14:paraId="17B5A729">
            <w:pPr>
              <w:widowControl/>
              <w:spacing w:line="300" w:lineRule="exact"/>
              <w:jc w:val="center"/>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7322B5B9">
            <w:pPr>
              <w:widowControl/>
              <w:numPr>
                <w:ilvl w:val="0"/>
                <w:numId w:val="22"/>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02E0CC02">
            <w:pPr>
              <w:widowControl/>
              <w:spacing w:line="300" w:lineRule="exact"/>
              <w:rPr>
                <w:b/>
                <w:bCs/>
                <w:color w:val="auto"/>
                <w:sz w:val="21"/>
                <w:szCs w:val="21"/>
                <w:highlight w:val="none"/>
              </w:rPr>
            </w:pPr>
            <w:r>
              <w:rPr>
                <w:rFonts w:hint="eastAsia"/>
                <w:b/>
                <w:bCs/>
                <w:color w:val="auto"/>
                <w:sz w:val="21"/>
                <w:szCs w:val="21"/>
                <w:highlight w:val="none"/>
              </w:rPr>
              <w:t>资格声明函</w:t>
            </w:r>
          </w:p>
        </w:tc>
        <w:tc>
          <w:tcPr>
            <w:tcW w:w="1034" w:type="dxa"/>
            <w:tcBorders>
              <w:top w:val="single" w:color="000000" w:sz="4" w:space="0"/>
              <w:left w:val="single" w:color="000000" w:sz="4" w:space="0"/>
              <w:bottom w:val="single" w:color="000000" w:sz="4" w:space="0"/>
              <w:right w:val="single" w:color="auto" w:sz="4" w:space="0"/>
            </w:tcBorders>
            <w:vAlign w:val="center"/>
          </w:tcPr>
          <w:p w14:paraId="63A3298F">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214678C6">
            <w:pPr>
              <w:widowControl/>
              <w:spacing w:line="300" w:lineRule="exact"/>
              <w:jc w:val="center"/>
              <w:rPr>
                <w:b/>
                <w:bCs/>
                <w:color w:val="auto"/>
                <w:sz w:val="21"/>
                <w:highlight w:val="none"/>
              </w:rPr>
            </w:pPr>
          </w:p>
        </w:tc>
      </w:tr>
      <w:tr w14:paraId="3CCE1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top w:val="single" w:color="000000" w:sz="4" w:space="0"/>
              <w:left w:val="single" w:color="000000" w:sz="4" w:space="0"/>
              <w:bottom w:val="single" w:color="000000" w:sz="4" w:space="0"/>
              <w:right w:val="single" w:color="auto" w:sz="4" w:space="0"/>
            </w:tcBorders>
            <w:vAlign w:val="center"/>
          </w:tcPr>
          <w:p w14:paraId="22197750">
            <w:pPr>
              <w:widowControl/>
              <w:autoSpaceDE/>
              <w:autoSpaceDN/>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7B6E5718">
            <w:pPr>
              <w:widowControl/>
              <w:numPr>
                <w:ilvl w:val="0"/>
                <w:numId w:val="22"/>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49D148BA">
            <w:pPr>
              <w:widowControl/>
              <w:spacing w:line="300" w:lineRule="exact"/>
              <w:rPr>
                <w:b/>
                <w:bCs/>
                <w:color w:val="auto"/>
                <w:sz w:val="21"/>
                <w:highlight w:val="none"/>
              </w:rPr>
            </w:pPr>
            <w:r>
              <w:rPr>
                <w:rFonts w:hint="eastAsia"/>
                <w:b/>
                <w:bCs/>
                <w:color w:val="auto"/>
                <w:sz w:val="21"/>
                <w:highlight w:val="none"/>
              </w:rPr>
              <w:t>投标人认为必要的其他文件。</w:t>
            </w:r>
          </w:p>
        </w:tc>
        <w:tc>
          <w:tcPr>
            <w:tcW w:w="1034" w:type="dxa"/>
            <w:tcBorders>
              <w:top w:val="single" w:color="000000" w:sz="4" w:space="0"/>
              <w:left w:val="single" w:color="000000" w:sz="4" w:space="0"/>
              <w:bottom w:val="single" w:color="000000" w:sz="4" w:space="0"/>
              <w:right w:val="single" w:color="auto" w:sz="4" w:space="0"/>
            </w:tcBorders>
            <w:vAlign w:val="center"/>
          </w:tcPr>
          <w:p w14:paraId="3D9A11F0">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408E0E74">
            <w:pPr>
              <w:widowControl/>
              <w:spacing w:line="300" w:lineRule="exact"/>
              <w:jc w:val="center"/>
              <w:rPr>
                <w:b/>
                <w:bCs/>
                <w:color w:val="auto"/>
                <w:sz w:val="21"/>
                <w:highlight w:val="none"/>
              </w:rPr>
            </w:pPr>
          </w:p>
        </w:tc>
      </w:tr>
      <w:tr w14:paraId="258A5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top w:val="single" w:color="000000" w:sz="4" w:space="0"/>
              <w:left w:val="single" w:color="000000" w:sz="4" w:space="0"/>
              <w:bottom w:val="single" w:color="000000" w:sz="4" w:space="0"/>
              <w:right w:val="single" w:color="auto" w:sz="4" w:space="0"/>
            </w:tcBorders>
            <w:vAlign w:val="center"/>
          </w:tcPr>
          <w:p w14:paraId="030AB9E7">
            <w:pPr>
              <w:widowControl/>
              <w:spacing w:line="240" w:lineRule="atLeast"/>
              <w:jc w:val="center"/>
              <w:rPr>
                <w:b/>
                <w:bCs/>
                <w:color w:val="auto"/>
                <w:sz w:val="21"/>
                <w:highlight w:val="none"/>
              </w:rPr>
            </w:pPr>
            <w:r>
              <w:rPr>
                <w:rFonts w:hint="eastAsia"/>
                <w:b/>
                <w:bCs/>
                <w:color w:val="auto"/>
                <w:sz w:val="21"/>
                <w:highlight w:val="none"/>
              </w:rPr>
              <w:t>商务部分</w:t>
            </w:r>
          </w:p>
          <w:p w14:paraId="784348FA">
            <w:pPr>
              <w:widowControl/>
              <w:spacing w:line="240" w:lineRule="atLeast"/>
              <w:jc w:val="center"/>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51C16A6D">
            <w:pPr>
              <w:widowControl/>
              <w:numPr>
                <w:ilvl w:val="0"/>
                <w:numId w:val="23"/>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16BC4184">
            <w:pPr>
              <w:widowControl/>
              <w:spacing w:line="300" w:lineRule="exact"/>
              <w:rPr>
                <w:b/>
                <w:bCs/>
                <w:color w:val="auto"/>
                <w:sz w:val="21"/>
                <w:highlight w:val="none"/>
              </w:rPr>
            </w:pPr>
            <w:r>
              <w:rPr>
                <w:rFonts w:hint="eastAsia"/>
                <w:b/>
                <w:bCs/>
                <w:color w:val="auto"/>
                <w:sz w:val="21"/>
                <w:highlight w:val="none"/>
              </w:rPr>
              <w:t>投标函</w:t>
            </w:r>
          </w:p>
        </w:tc>
        <w:tc>
          <w:tcPr>
            <w:tcW w:w="1034" w:type="dxa"/>
            <w:tcBorders>
              <w:top w:val="single" w:color="000000" w:sz="4" w:space="0"/>
              <w:left w:val="single" w:color="000000" w:sz="4" w:space="0"/>
              <w:bottom w:val="single" w:color="000000" w:sz="4" w:space="0"/>
              <w:right w:val="single" w:color="auto" w:sz="4" w:space="0"/>
            </w:tcBorders>
            <w:vAlign w:val="center"/>
          </w:tcPr>
          <w:p w14:paraId="699D32F8">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608557E6">
            <w:pPr>
              <w:widowControl/>
              <w:spacing w:line="300" w:lineRule="exact"/>
              <w:jc w:val="center"/>
              <w:rPr>
                <w:b/>
                <w:bCs/>
                <w:color w:val="auto"/>
                <w:sz w:val="21"/>
                <w:highlight w:val="none"/>
              </w:rPr>
            </w:pPr>
          </w:p>
        </w:tc>
      </w:tr>
      <w:tr w14:paraId="487B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top w:val="single" w:color="000000" w:sz="4" w:space="0"/>
              <w:left w:val="single" w:color="000000" w:sz="4" w:space="0"/>
              <w:bottom w:val="single" w:color="000000" w:sz="4" w:space="0"/>
              <w:right w:val="single" w:color="auto" w:sz="4" w:space="0"/>
            </w:tcBorders>
            <w:vAlign w:val="center"/>
          </w:tcPr>
          <w:p w14:paraId="2F306BB1">
            <w:pPr>
              <w:widowControl/>
              <w:autoSpaceDE/>
              <w:autoSpaceDN/>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45A87432">
            <w:pPr>
              <w:widowControl/>
              <w:numPr>
                <w:ilvl w:val="0"/>
                <w:numId w:val="23"/>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4DD1C491">
            <w:pPr>
              <w:widowControl/>
              <w:spacing w:line="300" w:lineRule="exact"/>
              <w:rPr>
                <w:b/>
                <w:bCs/>
                <w:color w:val="auto"/>
                <w:sz w:val="21"/>
                <w:highlight w:val="none"/>
              </w:rPr>
            </w:pPr>
            <w:r>
              <w:rPr>
                <w:rFonts w:hint="eastAsia"/>
                <w:b/>
                <w:bCs/>
                <w:color w:val="auto"/>
                <w:sz w:val="21"/>
                <w:highlight w:val="none"/>
              </w:rPr>
              <w:t>法定代表人证明书或法定代表人授权委托书</w:t>
            </w:r>
          </w:p>
        </w:tc>
        <w:tc>
          <w:tcPr>
            <w:tcW w:w="1034" w:type="dxa"/>
            <w:tcBorders>
              <w:top w:val="single" w:color="000000" w:sz="4" w:space="0"/>
              <w:left w:val="single" w:color="000000" w:sz="4" w:space="0"/>
              <w:bottom w:val="single" w:color="000000" w:sz="4" w:space="0"/>
              <w:right w:val="single" w:color="auto" w:sz="4" w:space="0"/>
            </w:tcBorders>
            <w:vAlign w:val="center"/>
          </w:tcPr>
          <w:p w14:paraId="4AEDAEFB">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7979F1FA">
            <w:pPr>
              <w:widowControl/>
              <w:spacing w:line="300" w:lineRule="exact"/>
              <w:jc w:val="center"/>
              <w:rPr>
                <w:b/>
                <w:bCs/>
                <w:color w:val="auto"/>
                <w:sz w:val="21"/>
                <w:highlight w:val="none"/>
              </w:rPr>
            </w:pPr>
          </w:p>
        </w:tc>
      </w:tr>
      <w:tr w14:paraId="140A0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top w:val="single" w:color="000000" w:sz="4" w:space="0"/>
              <w:left w:val="single" w:color="000000" w:sz="4" w:space="0"/>
              <w:bottom w:val="single" w:color="000000" w:sz="4" w:space="0"/>
              <w:right w:val="single" w:color="auto" w:sz="4" w:space="0"/>
            </w:tcBorders>
            <w:vAlign w:val="center"/>
          </w:tcPr>
          <w:p w14:paraId="03BA555C">
            <w:pPr>
              <w:widowControl/>
              <w:autoSpaceDE/>
              <w:autoSpaceDN/>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31C54D6D">
            <w:pPr>
              <w:widowControl/>
              <w:numPr>
                <w:ilvl w:val="0"/>
                <w:numId w:val="23"/>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25F227F2">
            <w:pPr>
              <w:widowControl/>
              <w:spacing w:line="300" w:lineRule="exact"/>
              <w:rPr>
                <w:b/>
                <w:bCs/>
                <w:color w:val="auto"/>
                <w:sz w:val="21"/>
                <w:highlight w:val="none"/>
              </w:rPr>
            </w:pPr>
            <w:r>
              <w:rPr>
                <w:rFonts w:hint="eastAsia"/>
                <w:b/>
                <w:bCs/>
                <w:color w:val="auto"/>
                <w:sz w:val="21"/>
                <w:highlight w:val="none"/>
              </w:rPr>
              <w:t>实质性响应一览表</w:t>
            </w:r>
          </w:p>
        </w:tc>
        <w:tc>
          <w:tcPr>
            <w:tcW w:w="1034" w:type="dxa"/>
            <w:tcBorders>
              <w:top w:val="single" w:color="000000" w:sz="4" w:space="0"/>
              <w:left w:val="single" w:color="000000" w:sz="4" w:space="0"/>
              <w:bottom w:val="single" w:color="000000" w:sz="4" w:space="0"/>
              <w:right w:val="single" w:color="auto" w:sz="4" w:space="0"/>
            </w:tcBorders>
            <w:vAlign w:val="center"/>
          </w:tcPr>
          <w:p w14:paraId="4B899528">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3A4A7892">
            <w:pPr>
              <w:widowControl/>
              <w:spacing w:line="300" w:lineRule="exact"/>
              <w:jc w:val="center"/>
              <w:rPr>
                <w:b/>
                <w:bCs/>
                <w:color w:val="auto"/>
                <w:sz w:val="21"/>
                <w:highlight w:val="none"/>
              </w:rPr>
            </w:pPr>
          </w:p>
        </w:tc>
      </w:tr>
      <w:tr w14:paraId="1E46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top w:val="single" w:color="000000" w:sz="4" w:space="0"/>
              <w:left w:val="single" w:color="000000" w:sz="4" w:space="0"/>
              <w:bottom w:val="single" w:color="000000" w:sz="4" w:space="0"/>
              <w:right w:val="single" w:color="auto" w:sz="4" w:space="0"/>
            </w:tcBorders>
            <w:vAlign w:val="center"/>
          </w:tcPr>
          <w:p w14:paraId="0548633D">
            <w:pPr>
              <w:widowControl/>
              <w:autoSpaceDE/>
              <w:autoSpaceDN/>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0AA21712">
            <w:pPr>
              <w:widowControl/>
              <w:numPr>
                <w:ilvl w:val="0"/>
                <w:numId w:val="23"/>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0D0DD55F">
            <w:pPr>
              <w:widowControl/>
              <w:spacing w:line="300" w:lineRule="exact"/>
              <w:rPr>
                <w:b/>
                <w:bCs/>
                <w:color w:val="auto"/>
                <w:sz w:val="21"/>
                <w:highlight w:val="none"/>
              </w:rPr>
            </w:pPr>
            <w:r>
              <w:rPr>
                <w:rFonts w:hint="eastAsia"/>
                <w:b/>
                <w:color w:val="auto"/>
                <w:sz w:val="21"/>
                <w:szCs w:val="21"/>
                <w:highlight w:val="none"/>
              </w:rPr>
              <w:t>投标响应与招标文件差异一览表</w:t>
            </w:r>
          </w:p>
        </w:tc>
        <w:tc>
          <w:tcPr>
            <w:tcW w:w="1034" w:type="dxa"/>
            <w:tcBorders>
              <w:top w:val="single" w:color="000000" w:sz="4" w:space="0"/>
              <w:left w:val="single" w:color="000000" w:sz="4" w:space="0"/>
              <w:bottom w:val="single" w:color="000000" w:sz="4" w:space="0"/>
              <w:right w:val="single" w:color="auto" w:sz="4" w:space="0"/>
            </w:tcBorders>
            <w:vAlign w:val="center"/>
          </w:tcPr>
          <w:p w14:paraId="5E23A897">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2844D917">
            <w:pPr>
              <w:widowControl/>
              <w:spacing w:line="300" w:lineRule="exact"/>
              <w:jc w:val="center"/>
              <w:rPr>
                <w:b/>
                <w:bCs/>
                <w:color w:val="auto"/>
                <w:sz w:val="21"/>
                <w:highlight w:val="none"/>
              </w:rPr>
            </w:pPr>
          </w:p>
        </w:tc>
      </w:tr>
      <w:tr w14:paraId="398EF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top w:val="single" w:color="000000" w:sz="4" w:space="0"/>
              <w:left w:val="single" w:color="000000" w:sz="4" w:space="0"/>
              <w:bottom w:val="single" w:color="000000" w:sz="4" w:space="0"/>
              <w:right w:val="single" w:color="auto" w:sz="4" w:space="0"/>
            </w:tcBorders>
            <w:vAlign w:val="center"/>
          </w:tcPr>
          <w:p w14:paraId="56332264">
            <w:pPr>
              <w:widowControl/>
              <w:autoSpaceDE/>
              <w:autoSpaceDN/>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50185BDB">
            <w:pPr>
              <w:widowControl/>
              <w:numPr>
                <w:ilvl w:val="0"/>
                <w:numId w:val="23"/>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7365F452">
            <w:pPr>
              <w:widowControl/>
              <w:spacing w:line="300" w:lineRule="exact"/>
              <w:rPr>
                <w:b/>
                <w:bCs/>
                <w:color w:val="auto"/>
                <w:sz w:val="21"/>
                <w:highlight w:val="none"/>
              </w:rPr>
            </w:pPr>
            <w:r>
              <w:rPr>
                <w:rFonts w:hint="eastAsia"/>
                <w:b/>
                <w:bCs/>
                <w:color w:val="auto"/>
                <w:sz w:val="21"/>
                <w:highlight w:val="none"/>
              </w:rPr>
              <w:t>投标人基本情况表</w:t>
            </w:r>
          </w:p>
        </w:tc>
        <w:tc>
          <w:tcPr>
            <w:tcW w:w="1034" w:type="dxa"/>
            <w:tcBorders>
              <w:top w:val="single" w:color="000000" w:sz="4" w:space="0"/>
              <w:left w:val="single" w:color="000000" w:sz="4" w:space="0"/>
              <w:bottom w:val="single" w:color="000000" w:sz="4" w:space="0"/>
              <w:right w:val="single" w:color="auto" w:sz="4" w:space="0"/>
            </w:tcBorders>
            <w:vAlign w:val="center"/>
          </w:tcPr>
          <w:p w14:paraId="17DDCFE9">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385E8018">
            <w:pPr>
              <w:widowControl/>
              <w:spacing w:line="300" w:lineRule="exact"/>
              <w:jc w:val="center"/>
              <w:rPr>
                <w:b/>
                <w:bCs/>
                <w:color w:val="auto"/>
                <w:sz w:val="21"/>
                <w:highlight w:val="none"/>
              </w:rPr>
            </w:pPr>
          </w:p>
        </w:tc>
      </w:tr>
      <w:tr w14:paraId="34613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top w:val="single" w:color="000000" w:sz="4" w:space="0"/>
              <w:left w:val="single" w:color="000000" w:sz="4" w:space="0"/>
              <w:bottom w:val="single" w:color="000000" w:sz="4" w:space="0"/>
              <w:right w:val="single" w:color="auto" w:sz="4" w:space="0"/>
            </w:tcBorders>
            <w:vAlign w:val="center"/>
          </w:tcPr>
          <w:p w14:paraId="37EEE4F0">
            <w:pPr>
              <w:widowControl/>
              <w:autoSpaceDE/>
              <w:autoSpaceDN/>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3126A182">
            <w:pPr>
              <w:widowControl/>
              <w:numPr>
                <w:ilvl w:val="0"/>
                <w:numId w:val="23"/>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2D404E30">
            <w:pPr>
              <w:widowControl/>
              <w:spacing w:line="300" w:lineRule="exact"/>
              <w:rPr>
                <w:b/>
                <w:bCs/>
                <w:color w:val="auto"/>
                <w:sz w:val="21"/>
                <w:highlight w:val="none"/>
              </w:rPr>
            </w:pPr>
            <w:r>
              <w:rPr>
                <w:rFonts w:hint="eastAsia"/>
                <w:b/>
                <w:bCs/>
                <w:color w:val="auto"/>
                <w:sz w:val="21"/>
                <w:highlight w:val="none"/>
              </w:rPr>
              <w:t>类似项目业绩一览表</w:t>
            </w:r>
          </w:p>
        </w:tc>
        <w:tc>
          <w:tcPr>
            <w:tcW w:w="1034" w:type="dxa"/>
            <w:tcBorders>
              <w:top w:val="single" w:color="000000" w:sz="4" w:space="0"/>
              <w:left w:val="single" w:color="000000" w:sz="4" w:space="0"/>
              <w:bottom w:val="single" w:color="000000" w:sz="4" w:space="0"/>
              <w:right w:val="single" w:color="auto" w:sz="4" w:space="0"/>
            </w:tcBorders>
            <w:vAlign w:val="center"/>
          </w:tcPr>
          <w:p w14:paraId="3F7C0FF6">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26FBBD19">
            <w:pPr>
              <w:widowControl/>
              <w:spacing w:line="300" w:lineRule="exact"/>
              <w:jc w:val="center"/>
              <w:rPr>
                <w:b/>
                <w:bCs/>
                <w:color w:val="auto"/>
                <w:sz w:val="21"/>
                <w:highlight w:val="none"/>
              </w:rPr>
            </w:pPr>
          </w:p>
        </w:tc>
      </w:tr>
      <w:tr w14:paraId="0B2E8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top w:val="single" w:color="000000" w:sz="4" w:space="0"/>
              <w:left w:val="single" w:color="000000" w:sz="4" w:space="0"/>
              <w:bottom w:val="single" w:color="000000" w:sz="4" w:space="0"/>
              <w:right w:val="single" w:color="auto" w:sz="4" w:space="0"/>
            </w:tcBorders>
            <w:vAlign w:val="center"/>
          </w:tcPr>
          <w:p w14:paraId="2491EDB8">
            <w:pPr>
              <w:widowControl/>
              <w:autoSpaceDE/>
              <w:autoSpaceDN/>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6DE911F1">
            <w:pPr>
              <w:widowControl/>
              <w:numPr>
                <w:ilvl w:val="0"/>
                <w:numId w:val="23"/>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4CB65346">
            <w:pPr>
              <w:widowControl/>
              <w:spacing w:line="300" w:lineRule="exact"/>
              <w:rPr>
                <w:b/>
                <w:bCs/>
                <w:color w:val="auto"/>
                <w:sz w:val="21"/>
                <w:highlight w:val="none"/>
              </w:rPr>
            </w:pPr>
            <w:r>
              <w:rPr>
                <w:rFonts w:hint="eastAsia"/>
                <w:b/>
                <w:bCs/>
                <w:color w:val="auto"/>
                <w:sz w:val="21"/>
                <w:highlight w:val="none"/>
              </w:rPr>
              <w:t>拟派项目工作人员的一览表</w:t>
            </w:r>
          </w:p>
        </w:tc>
        <w:tc>
          <w:tcPr>
            <w:tcW w:w="1034" w:type="dxa"/>
            <w:tcBorders>
              <w:top w:val="single" w:color="000000" w:sz="4" w:space="0"/>
              <w:left w:val="single" w:color="000000" w:sz="4" w:space="0"/>
              <w:bottom w:val="single" w:color="000000" w:sz="4" w:space="0"/>
              <w:right w:val="single" w:color="auto" w:sz="4" w:space="0"/>
            </w:tcBorders>
            <w:vAlign w:val="center"/>
          </w:tcPr>
          <w:p w14:paraId="3AB9EC4A">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4AF94D91">
            <w:pPr>
              <w:widowControl/>
              <w:spacing w:line="300" w:lineRule="exact"/>
              <w:jc w:val="center"/>
              <w:rPr>
                <w:b/>
                <w:bCs/>
                <w:color w:val="auto"/>
                <w:sz w:val="21"/>
                <w:highlight w:val="none"/>
              </w:rPr>
            </w:pPr>
          </w:p>
        </w:tc>
      </w:tr>
      <w:tr w14:paraId="4BA55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top w:val="single" w:color="000000" w:sz="4" w:space="0"/>
              <w:left w:val="single" w:color="000000" w:sz="4" w:space="0"/>
              <w:bottom w:val="single" w:color="000000" w:sz="4" w:space="0"/>
              <w:right w:val="single" w:color="auto" w:sz="4" w:space="0"/>
            </w:tcBorders>
            <w:vAlign w:val="center"/>
          </w:tcPr>
          <w:p w14:paraId="4598F8B8">
            <w:pPr>
              <w:widowControl/>
              <w:autoSpaceDE/>
              <w:autoSpaceDN/>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70F101EC">
            <w:pPr>
              <w:widowControl/>
              <w:numPr>
                <w:ilvl w:val="0"/>
                <w:numId w:val="23"/>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1522CF29">
            <w:pPr>
              <w:widowControl/>
              <w:spacing w:line="300" w:lineRule="exact"/>
              <w:rPr>
                <w:b/>
                <w:bCs/>
                <w:color w:val="auto"/>
                <w:sz w:val="21"/>
                <w:highlight w:val="none"/>
              </w:rPr>
            </w:pPr>
            <w:r>
              <w:rPr>
                <w:rFonts w:hint="eastAsia"/>
                <w:b/>
                <w:bCs/>
                <w:color w:val="auto"/>
                <w:sz w:val="21"/>
                <w:highlight w:val="none"/>
              </w:rPr>
              <w:t>投标人认为必要的其他商务资料</w:t>
            </w:r>
          </w:p>
        </w:tc>
        <w:tc>
          <w:tcPr>
            <w:tcW w:w="1034" w:type="dxa"/>
            <w:tcBorders>
              <w:top w:val="single" w:color="000000" w:sz="4" w:space="0"/>
              <w:left w:val="single" w:color="000000" w:sz="4" w:space="0"/>
              <w:bottom w:val="single" w:color="000000" w:sz="4" w:space="0"/>
              <w:right w:val="single" w:color="auto" w:sz="4" w:space="0"/>
            </w:tcBorders>
            <w:vAlign w:val="center"/>
          </w:tcPr>
          <w:p w14:paraId="26BE9474">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1112B52B">
            <w:pPr>
              <w:widowControl/>
              <w:spacing w:line="300" w:lineRule="exact"/>
              <w:jc w:val="center"/>
              <w:rPr>
                <w:b/>
                <w:bCs/>
                <w:color w:val="auto"/>
                <w:sz w:val="21"/>
                <w:highlight w:val="none"/>
              </w:rPr>
            </w:pPr>
          </w:p>
        </w:tc>
      </w:tr>
      <w:tr w14:paraId="49D4D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top w:val="single" w:color="auto" w:sz="4" w:space="0"/>
              <w:left w:val="single" w:color="000000" w:sz="4" w:space="0"/>
              <w:bottom w:val="single" w:color="000000" w:sz="4" w:space="0"/>
              <w:right w:val="single" w:color="auto" w:sz="4" w:space="0"/>
            </w:tcBorders>
            <w:vAlign w:val="center"/>
          </w:tcPr>
          <w:p w14:paraId="25DC95A9">
            <w:pPr>
              <w:widowControl/>
              <w:spacing w:line="240" w:lineRule="atLeast"/>
              <w:jc w:val="center"/>
              <w:rPr>
                <w:b/>
                <w:bCs/>
                <w:color w:val="auto"/>
                <w:sz w:val="21"/>
                <w:highlight w:val="none"/>
              </w:rPr>
            </w:pPr>
            <w:r>
              <w:rPr>
                <w:rFonts w:hint="eastAsia"/>
                <w:b/>
                <w:bCs/>
                <w:color w:val="auto"/>
                <w:sz w:val="21"/>
                <w:highlight w:val="none"/>
              </w:rPr>
              <w:t>技术部分</w:t>
            </w:r>
          </w:p>
          <w:p w14:paraId="488196D8">
            <w:pPr>
              <w:spacing w:line="300" w:lineRule="exact"/>
              <w:jc w:val="center"/>
              <w:rPr>
                <w:b/>
                <w:bCs/>
                <w:color w:val="auto"/>
                <w:sz w:val="21"/>
                <w:highlight w:val="none"/>
              </w:rPr>
            </w:pPr>
          </w:p>
        </w:tc>
        <w:tc>
          <w:tcPr>
            <w:tcW w:w="709" w:type="dxa"/>
            <w:tcBorders>
              <w:top w:val="single" w:color="auto" w:sz="4" w:space="0"/>
              <w:left w:val="single" w:color="auto" w:sz="4" w:space="0"/>
              <w:bottom w:val="single" w:color="000000" w:sz="4" w:space="0"/>
              <w:right w:val="single" w:color="000000" w:sz="4" w:space="0"/>
            </w:tcBorders>
            <w:vAlign w:val="center"/>
          </w:tcPr>
          <w:p w14:paraId="19791D08">
            <w:pPr>
              <w:widowControl/>
              <w:numPr>
                <w:ilvl w:val="0"/>
                <w:numId w:val="23"/>
              </w:numPr>
              <w:spacing w:line="300" w:lineRule="exact"/>
              <w:jc w:val="center"/>
              <w:rPr>
                <w:b/>
                <w:bCs/>
                <w:color w:val="auto"/>
                <w:sz w:val="21"/>
                <w:highlight w:val="none"/>
              </w:rPr>
            </w:pPr>
          </w:p>
        </w:tc>
        <w:tc>
          <w:tcPr>
            <w:tcW w:w="5061" w:type="dxa"/>
            <w:tcBorders>
              <w:top w:val="single" w:color="auto" w:sz="4" w:space="0"/>
              <w:left w:val="single" w:color="000000" w:sz="4" w:space="0"/>
              <w:bottom w:val="single" w:color="000000" w:sz="4" w:space="0"/>
              <w:right w:val="single" w:color="000000" w:sz="4" w:space="0"/>
            </w:tcBorders>
            <w:vAlign w:val="center"/>
          </w:tcPr>
          <w:p w14:paraId="77F43AA6">
            <w:pPr>
              <w:adjustRightInd w:val="0"/>
              <w:rPr>
                <w:b/>
                <w:bCs/>
                <w:color w:val="auto"/>
                <w:sz w:val="21"/>
                <w:szCs w:val="21"/>
                <w:highlight w:val="none"/>
              </w:rPr>
            </w:pPr>
            <w:r>
              <w:rPr>
                <w:rFonts w:hint="eastAsia"/>
                <w:b/>
                <w:bCs/>
                <w:color w:val="auto"/>
                <w:sz w:val="21"/>
                <w:szCs w:val="21"/>
                <w:highlight w:val="none"/>
              </w:rPr>
              <w:t>详见《第五章 投标文件技术部分》</w:t>
            </w:r>
          </w:p>
        </w:tc>
        <w:tc>
          <w:tcPr>
            <w:tcW w:w="1034" w:type="dxa"/>
            <w:tcBorders>
              <w:top w:val="single" w:color="000000" w:sz="4" w:space="0"/>
              <w:left w:val="single" w:color="000000" w:sz="4" w:space="0"/>
              <w:bottom w:val="single" w:color="000000" w:sz="4" w:space="0"/>
              <w:right w:val="single" w:color="auto" w:sz="4" w:space="0"/>
            </w:tcBorders>
            <w:vAlign w:val="center"/>
          </w:tcPr>
          <w:p w14:paraId="74633E66">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71FC3357">
            <w:pPr>
              <w:widowControl/>
              <w:spacing w:line="300" w:lineRule="exact"/>
              <w:jc w:val="center"/>
              <w:rPr>
                <w:b/>
                <w:bCs/>
                <w:color w:val="auto"/>
                <w:sz w:val="21"/>
                <w:highlight w:val="none"/>
              </w:rPr>
            </w:pPr>
          </w:p>
        </w:tc>
      </w:tr>
      <w:tr w14:paraId="38739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top w:val="single" w:color="auto" w:sz="4" w:space="0"/>
              <w:left w:val="single" w:color="000000" w:sz="4" w:space="0"/>
              <w:bottom w:val="single" w:color="000000" w:sz="4" w:space="0"/>
              <w:right w:val="single" w:color="auto" w:sz="4" w:space="0"/>
            </w:tcBorders>
            <w:vAlign w:val="center"/>
          </w:tcPr>
          <w:p w14:paraId="1C800EED">
            <w:pPr>
              <w:widowControl/>
              <w:autoSpaceDE/>
              <w:autoSpaceDN/>
              <w:rPr>
                <w:b/>
                <w:bCs/>
                <w:color w:val="auto"/>
                <w:sz w:val="21"/>
                <w:highlight w:val="none"/>
              </w:rPr>
            </w:pPr>
          </w:p>
        </w:tc>
        <w:tc>
          <w:tcPr>
            <w:tcW w:w="709" w:type="dxa"/>
            <w:tcBorders>
              <w:top w:val="single" w:color="000000" w:sz="4" w:space="0"/>
              <w:left w:val="single" w:color="auto" w:sz="4" w:space="0"/>
              <w:bottom w:val="single" w:color="000000" w:sz="4" w:space="0"/>
              <w:right w:val="single" w:color="000000" w:sz="4" w:space="0"/>
            </w:tcBorders>
            <w:vAlign w:val="center"/>
          </w:tcPr>
          <w:p w14:paraId="053E5447">
            <w:pPr>
              <w:widowControl/>
              <w:numPr>
                <w:ilvl w:val="0"/>
                <w:numId w:val="23"/>
              </w:numPr>
              <w:spacing w:line="300" w:lineRule="exact"/>
              <w:jc w:val="center"/>
              <w:rPr>
                <w:b/>
                <w:bCs/>
                <w:color w:val="auto"/>
                <w:sz w:val="21"/>
                <w:highlight w:val="none"/>
              </w:rPr>
            </w:pPr>
          </w:p>
        </w:tc>
        <w:tc>
          <w:tcPr>
            <w:tcW w:w="5061" w:type="dxa"/>
            <w:tcBorders>
              <w:top w:val="single" w:color="000000" w:sz="4" w:space="0"/>
              <w:left w:val="single" w:color="000000" w:sz="4" w:space="0"/>
              <w:bottom w:val="single" w:color="000000" w:sz="4" w:space="0"/>
              <w:right w:val="single" w:color="000000" w:sz="4" w:space="0"/>
            </w:tcBorders>
            <w:vAlign w:val="center"/>
          </w:tcPr>
          <w:p w14:paraId="448D84D7">
            <w:pPr>
              <w:pStyle w:val="16"/>
              <w:spacing w:line="240" w:lineRule="exact"/>
              <w:rPr>
                <w:rFonts w:hAnsi="宋体"/>
                <w:b/>
                <w:bCs/>
                <w:color w:val="auto"/>
                <w:sz w:val="21"/>
                <w:highlight w:val="none"/>
              </w:rPr>
            </w:pPr>
            <w:r>
              <w:rPr>
                <w:rFonts w:hint="eastAsia" w:hAnsi="宋体"/>
                <w:b/>
                <w:bCs/>
                <w:color w:val="auto"/>
                <w:sz w:val="21"/>
                <w:highlight w:val="none"/>
              </w:rPr>
              <w:t>投标人认为必要的其他技术资料</w:t>
            </w:r>
          </w:p>
        </w:tc>
        <w:tc>
          <w:tcPr>
            <w:tcW w:w="1034" w:type="dxa"/>
            <w:tcBorders>
              <w:top w:val="single" w:color="000000" w:sz="4" w:space="0"/>
              <w:left w:val="single" w:color="000000" w:sz="4" w:space="0"/>
              <w:bottom w:val="single" w:color="000000" w:sz="4" w:space="0"/>
              <w:right w:val="single" w:color="auto" w:sz="4" w:space="0"/>
            </w:tcBorders>
            <w:vAlign w:val="center"/>
          </w:tcPr>
          <w:p w14:paraId="71C3AB5C">
            <w:pPr>
              <w:widowControl/>
              <w:spacing w:line="300" w:lineRule="exact"/>
              <w:jc w:val="center"/>
              <w:rPr>
                <w:b/>
                <w:bCs/>
                <w:color w:val="auto"/>
                <w:sz w:val="21"/>
                <w:highlight w:val="none"/>
              </w:rPr>
            </w:pPr>
          </w:p>
        </w:tc>
        <w:tc>
          <w:tcPr>
            <w:tcW w:w="1417" w:type="dxa"/>
            <w:tcBorders>
              <w:top w:val="single" w:color="000000" w:sz="4" w:space="0"/>
              <w:left w:val="single" w:color="auto" w:sz="4" w:space="0"/>
              <w:bottom w:val="single" w:color="000000" w:sz="4" w:space="0"/>
              <w:right w:val="single" w:color="000000" w:sz="4" w:space="0"/>
            </w:tcBorders>
            <w:vAlign w:val="center"/>
          </w:tcPr>
          <w:p w14:paraId="606D54C0">
            <w:pPr>
              <w:widowControl/>
              <w:spacing w:line="300" w:lineRule="exact"/>
              <w:jc w:val="center"/>
              <w:rPr>
                <w:b/>
                <w:bCs/>
                <w:color w:val="auto"/>
                <w:sz w:val="21"/>
                <w:highlight w:val="none"/>
              </w:rPr>
            </w:pPr>
          </w:p>
        </w:tc>
      </w:tr>
    </w:tbl>
    <w:p w14:paraId="1B29176F">
      <w:pPr>
        <w:widowControl/>
        <w:spacing w:line="300" w:lineRule="exact"/>
        <w:jc w:val="center"/>
        <w:rPr>
          <w:b/>
          <w:bCs/>
          <w:color w:val="auto"/>
          <w:sz w:val="21"/>
          <w:highlight w:val="none"/>
        </w:rPr>
      </w:pPr>
    </w:p>
    <w:p w14:paraId="5B79BCAE">
      <w:pPr>
        <w:pStyle w:val="3"/>
        <w:keepNext w:val="0"/>
        <w:keepLines w:val="0"/>
        <w:widowControl/>
        <w:spacing w:before="188" w:after="188" w:line="400" w:lineRule="exact"/>
        <w:jc w:val="center"/>
        <w:rPr>
          <w:rFonts w:ascii="宋体" w:hAnsi="宋体" w:eastAsia="宋体" w:cs="宋体"/>
          <w:color w:val="auto"/>
          <w:highlight w:val="none"/>
        </w:rPr>
      </w:pPr>
      <w:r>
        <w:rPr>
          <w:rFonts w:hint="eastAsia"/>
          <w:b w:val="0"/>
          <w:color w:val="auto"/>
          <w:sz w:val="21"/>
          <w:szCs w:val="21"/>
          <w:highlight w:val="none"/>
        </w:rPr>
        <w:br w:type="page"/>
      </w:r>
      <w:bookmarkStart w:id="172" w:name="_Toc86349478"/>
      <w:bookmarkStart w:id="173" w:name="_Toc29825812"/>
      <w:r>
        <w:rPr>
          <w:rFonts w:hint="eastAsia" w:ascii="宋体" w:hAnsi="宋体" w:eastAsia="宋体" w:cs="宋体"/>
          <w:bCs/>
          <w:color w:val="auto"/>
          <w:kern w:val="2"/>
          <w:highlight w:val="none"/>
        </w:rPr>
        <w:t>第二章 索引</w:t>
      </w:r>
      <w:bookmarkEnd w:id="172"/>
      <w:bookmarkEnd w:id="173"/>
    </w:p>
    <w:p w14:paraId="5A147304">
      <w:pPr>
        <w:pStyle w:val="3"/>
        <w:keepNext w:val="0"/>
        <w:keepLines w:val="0"/>
        <w:widowControl/>
        <w:numPr>
          <w:ilvl w:val="1"/>
          <w:numId w:val="24"/>
        </w:numPr>
        <w:spacing w:before="188" w:after="188"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74" w:name="_Toc29825813"/>
      <w:bookmarkStart w:id="175" w:name="_Toc86349479"/>
      <w:r>
        <w:rPr>
          <w:rFonts w:hint="eastAsia" w:ascii="宋体" w:hAnsi="宋体" w:eastAsia="宋体" w:cs="宋体"/>
          <w:color w:val="auto"/>
          <w:sz w:val="21"/>
          <w:szCs w:val="21"/>
          <w:highlight w:val="none"/>
        </w:rPr>
        <w:t>资格、符合性审查自查表</w:t>
      </w:r>
      <w:bookmarkEnd w:id="174"/>
      <w:bookmarkEnd w:id="175"/>
    </w:p>
    <w:tbl>
      <w:tblPr>
        <w:tblStyle w:val="34"/>
        <w:tblW w:w="10424"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67"/>
        <w:gridCol w:w="6494"/>
        <w:gridCol w:w="1501"/>
        <w:gridCol w:w="1462"/>
      </w:tblGrid>
      <w:tr w14:paraId="0C82C8B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7461" w:type="dxa"/>
            <w:gridSpan w:val="2"/>
            <w:tcBorders>
              <w:top w:val="single" w:color="auto" w:sz="2" w:space="0"/>
              <w:left w:val="single" w:color="auto" w:sz="2" w:space="0"/>
              <w:bottom w:val="single" w:color="auto" w:sz="4" w:space="0"/>
              <w:right w:val="single" w:color="auto" w:sz="6" w:space="0"/>
            </w:tcBorders>
            <w:vAlign w:val="center"/>
          </w:tcPr>
          <w:p w14:paraId="2E4870AB">
            <w:pPr>
              <w:spacing w:line="320" w:lineRule="atLeast"/>
              <w:ind w:left="-171"/>
              <w:jc w:val="center"/>
              <w:rPr>
                <w:b/>
                <w:bCs/>
                <w:color w:val="auto"/>
                <w:sz w:val="21"/>
                <w:szCs w:val="21"/>
                <w:highlight w:val="none"/>
              </w:rPr>
            </w:pPr>
            <w:r>
              <w:rPr>
                <w:rFonts w:hint="eastAsia"/>
                <w:b/>
                <w:color w:val="auto"/>
                <w:sz w:val="21"/>
                <w:szCs w:val="21"/>
                <w:highlight w:val="none"/>
              </w:rPr>
              <w:t>评审内容</w:t>
            </w:r>
          </w:p>
        </w:tc>
        <w:tc>
          <w:tcPr>
            <w:tcW w:w="1501" w:type="dxa"/>
            <w:tcBorders>
              <w:top w:val="single" w:color="auto" w:sz="2" w:space="0"/>
              <w:left w:val="single" w:color="auto" w:sz="6" w:space="0"/>
              <w:bottom w:val="single" w:color="auto" w:sz="6" w:space="0"/>
              <w:right w:val="single" w:color="auto" w:sz="6" w:space="0"/>
            </w:tcBorders>
            <w:vAlign w:val="center"/>
          </w:tcPr>
          <w:p w14:paraId="4D55D169">
            <w:pPr>
              <w:spacing w:line="320" w:lineRule="atLeast"/>
              <w:ind w:left="-171"/>
              <w:jc w:val="center"/>
              <w:rPr>
                <w:b/>
                <w:bCs/>
                <w:color w:val="auto"/>
                <w:sz w:val="21"/>
                <w:szCs w:val="21"/>
                <w:highlight w:val="none"/>
              </w:rPr>
            </w:pPr>
            <w:r>
              <w:rPr>
                <w:rFonts w:hint="eastAsia"/>
                <w:b/>
                <w:bCs/>
                <w:color w:val="auto"/>
                <w:sz w:val="21"/>
                <w:szCs w:val="21"/>
                <w:highlight w:val="none"/>
              </w:rPr>
              <w:t>自查结论</w:t>
            </w:r>
          </w:p>
        </w:tc>
        <w:tc>
          <w:tcPr>
            <w:tcW w:w="1462" w:type="dxa"/>
            <w:tcBorders>
              <w:top w:val="single" w:color="auto" w:sz="2" w:space="0"/>
              <w:left w:val="single" w:color="auto" w:sz="6" w:space="0"/>
              <w:bottom w:val="single" w:color="auto" w:sz="6" w:space="0"/>
              <w:right w:val="single" w:color="auto" w:sz="2" w:space="0"/>
            </w:tcBorders>
            <w:vAlign w:val="center"/>
          </w:tcPr>
          <w:p w14:paraId="6D4FE981">
            <w:pPr>
              <w:spacing w:line="320" w:lineRule="atLeast"/>
              <w:jc w:val="center"/>
              <w:rPr>
                <w:color w:val="auto"/>
                <w:sz w:val="21"/>
                <w:szCs w:val="21"/>
                <w:highlight w:val="none"/>
              </w:rPr>
            </w:pPr>
            <w:r>
              <w:rPr>
                <w:rFonts w:hint="eastAsia"/>
                <w:b/>
                <w:bCs/>
                <w:color w:val="auto"/>
                <w:sz w:val="21"/>
                <w:szCs w:val="21"/>
                <w:highlight w:val="none"/>
              </w:rPr>
              <w:t>证明资料</w:t>
            </w:r>
          </w:p>
        </w:tc>
      </w:tr>
      <w:tr w14:paraId="7BD2C95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67" w:type="dxa"/>
            <w:vMerge w:val="restart"/>
            <w:tcBorders>
              <w:top w:val="single" w:color="auto" w:sz="4" w:space="0"/>
              <w:left w:val="single" w:color="auto" w:sz="2" w:space="0"/>
              <w:bottom w:val="single" w:color="auto" w:sz="6" w:space="0"/>
              <w:right w:val="single" w:color="auto" w:sz="4" w:space="0"/>
            </w:tcBorders>
            <w:vAlign w:val="center"/>
          </w:tcPr>
          <w:p w14:paraId="0EC77FAF">
            <w:pPr>
              <w:jc w:val="center"/>
              <w:rPr>
                <w:color w:val="auto"/>
                <w:sz w:val="21"/>
                <w:szCs w:val="21"/>
                <w:highlight w:val="none"/>
              </w:rPr>
            </w:pPr>
            <w:r>
              <w:rPr>
                <w:rFonts w:hint="eastAsia"/>
                <w:color w:val="auto"/>
                <w:sz w:val="21"/>
                <w:szCs w:val="21"/>
                <w:highlight w:val="none"/>
              </w:rPr>
              <w:t>资格</w:t>
            </w:r>
          </w:p>
          <w:p w14:paraId="0BE23537">
            <w:pPr>
              <w:jc w:val="center"/>
              <w:rPr>
                <w:color w:val="auto"/>
                <w:sz w:val="21"/>
                <w:szCs w:val="21"/>
                <w:highlight w:val="none"/>
              </w:rPr>
            </w:pPr>
            <w:r>
              <w:rPr>
                <w:rFonts w:hint="eastAsia"/>
                <w:color w:val="auto"/>
                <w:sz w:val="21"/>
                <w:szCs w:val="21"/>
                <w:highlight w:val="none"/>
              </w:rPr>
              <w:t>审查</w:t>
            </w:r>
          </w:p>
        </w:tc>
        <w:tc>
          <w:tcPr>
            <w:tcW w:w="6494" w:type="dxa"/>
            <w:tcBorders>
              <w:top w:val="single" w:color="auto" w:sz="6" w:space="0"/>
              <w:left w:val="single" w:color="auto" w:sz="6" w:space="0"/>
              <w:bottom w:val="single" w:color="auto" w:sz="6" w:space="0"/>
              <w:right w:val="single" w:color="auto" w:sz="6" w:space="0"/>
            </w:tcBorders>
            <w:vAlign w:val="center"/>
          </w:tcPr>
          <w:p w14:paraId="03E2F0A7">
            <w:pPr>
              <w:spacing w:line="400" w:lineRule="exact"/>
              <w:rPr>
                <w:color w:val="auto"/>
                <w:sz w:val="21"/>
                <w:szCs w:val="21"/>
                <w:highlight w:val="none"/>
              </w:rPr>
            </w:pPr>
            <w:r>
              <w:rPr>
                <w:rFonts w:hint="eastAsia"/>
                <w:color w:val="auto"/>
                <w:szCs w:val="21"/>
                <w:highlight w:val="none"/>
                <w:lang w:val="en-US"/>
              </w:rPr>
              <w:t>投标人须为具有独立承担民事责任能力的在中华人民共和国境内注册的法人，须提供在中华人民共和国境内注册的法人或其他组织的营业执照或事业单位法人证书或社会团体法人登记证书复印件。分支机构投标，须取得具有法人资格的总公司出具给分支机构的授权书，并提供总公司和分支机构的营业执照（执业许可证）复印件。</w:t>
            </w:r>
          </w:p>
        </w:tc>
        <w:tc>
          <w:tcPr>
            <w:tcW w:w="1501" w:type="dxa"/>
            <w:tcBorders>
              <w:top w:val="single" w:color="auto" w:sz="6" w:space="0"/>
              <w:left w:val="single" w:color="auto" w:sz="6" w:space="0"/>
              <w:bottom w:val="single" w:color="auto" w:sz="6" w:space="0"/>
              <w:right w:val="single" w:color="auto" w:sz="6" w:space="0"/>
            </w:tcBorders>
            <w:vAlign w:val="center"/>
          </w:tcPr>
          <w:p w14:paraId="07EC6409">
            <w:pPr>
              <w:spacing w:line="320" w:lineRule="atLeast"/>
              <w:jc w:val="center"/>
              <w:rPr>
                <w:color w:val="auto"/>
                <w:sz w:val="21"/>
                <w:szCs w:val="21"/>
                <w:highlight w:val="none"/>
              </w:rPr>
            </w:pPr>
            <w:r>
              <w:rPr>
                <w:rFonts w:hint="eastAsia"/>
                <w:color w:val="auto"/>
                <w:sz w:val="21"/>
                <w:szCs w:val="21"/>
                <w:highlight w:val="none"/>
              </w:rPr>
              <w:t xml:space="preserve">□通过  </w:t>
            </w:r>
          </w:p>
          <w:p w14:paraId="60DA9C72">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3DF596FC">
            <w:pPr>
              <w:spacing w:line="320" w:lineRule="atLeast"/>
              <w:jc w:val="center"/>
              <w:rPr>
                <w:color w:val="auto"/>
                <w:sz w:val="21"/>
                <w:szCs w:val="21"/>
                <w:highlight w:val="none"/>
              </w:rPr>
            </w:pPr>
            <w:r>
              <w:rPr>
                <w:rFonts w:hint="eastAsia"/>
                <w:color w:val="auto"/>
                <w:sz w:val="21"/>
                <w:szCs w:val="21"/>
                <w:highlight w:val="none"/>
              </w:rPr>
              <w:t>见投标文件第（）页</w:t>
            </w:r>
          </w:p>
        </w:tc>
      </w:tr>
      <w:tr w14:paraId="2BC866A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67" w:type="dxa"/>
            <w:vMerge w:val="continue"/>
            <w:tcBorders>
              <w:top w:val="single" w:color="auto" w:sz="4" w:space="0"/>
              <w:left w:val="single" w:color="auto" w:sz="2" w:space="0"/>
              <w:bottom w:val="single" w:color="auto" w:sz="6" w:space="0"/>
              <w:right w:val="single" w:color="auto" w:sz="4" w:space="0"/>
            </w:tcBorders>
            <w:vAlign w:val="center"/>
          </w:tcPr>
          <w:p w14:paraId="4D8F7A3E">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6" w:space="0"/>
              <w:right w:val="single" w:color="auto" w:sz="6" w:space="0"/>
            </w:tcBorders>
            <w:vAlign w:val="center"/>
          </w:tcPr>
          <w:p w14:paraId="6743344F">
            <w:pPr>
              <w:spacing w:line="400" w:lineRule="exact"/>
              <w:rPr>
                <w:color w:val="auto"/>
                <w:sz w:val="21"/>
                <w:szCs w:val="21"/>
                <w:highlight w:val="none"/>
                <w:lang w:val="en-US"/>
              </w:rPr>
            </w:pPr>
            <w:r>
              <w:rPr>
                <w:rFonts w:hint="eastAsia"/>
                <w:color w:val="auto"/>
                <w:szCs w:val="21"/>
                <w:highlight w:val="none"/>
                <w:lang w:val="en-US"/>
              </w:rPr>
              <w:t>投标人</w:t>
            </w:r>
            <w:r>
              <w:rPr>
                <w:rFonts w:hint="eastAsia"/>
                <w:color w:val="auto"/>
                <w:highlight w:val="none"/>
              </w:rPr>
              <w:t>有依法缴纳税收和社会保障资金的良好记录</w:t>
            </w:r>
            <w:r>
              <w:rPr>
                <w:rFonts w:hint="eastAsia"/>
                <w:color w:val="auto"/>
                <w:szCs w:val="21"/>
                <w:highlight w:val="none"/>
              </w:rPr>
              <w:t>，须提供投标截止之日前6个月任意1个月依法缴纳税收和社会保障资金相关证明材料；如依法免税和依法不需要缴纳社会保障资金，则须提供相应文件证明其依法免税和不需要缴纳社会保障资金；</w:t>
            </w:r>
            <w:r>
              <w:rPr>
                <w:color w:val="auto"/>
                <w:highlight w:val="none"/>
              </w:rPr>
              <w:t>并加盖公章</w:t>
            </w:r>
            <w:r>
              <w:rPr>
                <w:rFonts w:hint="eastAsia"/>
                <w:color w:val="auto"/>
                <w:szCs w:val="21"/>
                <w:highlight w:val="none"/>
              </w:rPr>
              <w:t>。</w:t>
            </w:r>
          </w:p>
        </w:tc>
        <w:tc>
          <w:tcPr>
            <w:tcW w:w="1501" w:type="dxa"/>
            <w:tcBorders>
              <w:top w:val="single" w:color="auto" w:sz="6" w:space="0"/>
              <w:left w:val="single" w:color="auto" w:sz="6" w:space="0"/>
              <w:bottom w:val="single" w:color="auto" w:sz="6" w:space="0"/>
              <w:right w:val="single" w:color="auto" w:sz="6" w:space="0"/>
            </w:tcBorders>
            <w:vAlign w:val="center"/>
          </w:tcPr>
          <w:p w14:paraId="4E63ACC6">
            <w:pPr>
              <w:spacing w:line="320" w:lineRule="atLeast"/>
              <w:jc w:val="center"/>
              <w:rPr>
                <w:color w:val="auto"/>
                <w:sz w:val="21"/>
                <w:szCs w:val="21"/>
                <w:highlight w:val="none"/>
              </w:rPr>
            </w:pPr>
            <w:r>
              <w:rPr>
                <w:rFonts w:hint="eastAsia"/>
                <w:color w:val="auto"/>
                <w:sz w:val="21"/>
                <w:szCs w:val="21"/>
                <w:highlight w:val="none"/>
              </w:rPr>
              <w:t xml:space="preserve">□通过  </w:t>
            </w:r>
          </w:p>
          <w:p w14:paraId="59260A7B">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331D6413">
            <w:pPr>
              <w:spacing w:line="320" w:lineRule="atLeast"/>
              <w:jc w:val="center"/>
              <w:rPr>
                <w:color w:val="auto"/>
                <w:sz w:val="21"/>
                <w:szCs w:val="21"/>
                <w:highlight w:val="none"/>
              </w:rPr>
            </w:pPr>
            <w:r>
              <w:rPr>
                <w:rFonts w:hint="eastAsia"/>
                <w:color w:val="auto"/>
                <w:sz w:val="21"/>
                <w:szCs w:val="21"/>
                <w:highlight w:val="none"/>
              </w:rPr>
              <w:t>见投标文件第（）页</w:t>
            </w:r>
          </w:p>
        </w:tc>
      </w:tr>
      <w:tr w14:paraId="0989230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67" w:type="dxa"/>
            <w:vMerge w:val="continue"/>
            <w:tcBorders>
              <w:top w:val="single" w:color="auto" w:sz="4" w:space="0"/>
              <w:left w:val="single" w:color="auto" w:sz="2" w:space="0"/>
              <w:bottom w:val="single" w:color="auto" w:sz="6" w:space="0"/>
              <w:right w:val="single" w:color="auto" w:sz="4" w:space="0"/>
            </w:tcBorders>
            <w:vAlign w:val="center"/>
          </w:tcPr>
          <w:p w14:paraId="1E12B5A6">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6" w:space="0"/>
              <w:right w:val="single" w:color="auto" w:sz="6" w:space="0"/>
            </w:tcBorders>
            <w:vAlign w:val="center"/>
          </w:tcPr>
          <w:p w14:paraId="546AD73A">
            <w:pPr>
              <w:spacing w:line="400" w:lineRule="exact"/>
              <w:rPr>
                <w:color w:val="auto"/>
                <w:sz w:val="21"/>
                <w:szCs w:val="21"/>
                <w:highlight w:val="none"/>
                <w:lang w:val="en-US"/>
              </w:rPr>
            </w:pPr>
            <w:r>
              <w:rPr>
                <w:rFonts w:hint="eastAsia"/>
                <w:color w:val="auto"/>
                <w:szCs w:val="21"/>
                <w:highlight w:val="none"/>
                <w:lang w:val="en-US"/>
              </w:rPr>
              <w:t>投标人具有良好的商业信誉和健全的财务会计制度，须提供</w:t>
            </w:r>
            <w:r>
              <w:rPr>
                <w:color w:val="auto"/>
                <w:szCs w:val="21"/>
                <w:highlight w:val="none"/>
                <w:lang w:val="en-US"/>
              </w:rPr>
              <w:t>202</w:t>
            </w:r>
            <w:r>
              <w:rPr>
                <w:rFonts w:hint="eastAsia"/>
                <w:color w:val="auto"/>
                <w:szCs w:val="21"/>
                <w:highlight w:val="none"/>
                <w:lang w:val="en-US" w:eastAsia="zh-CN"/>
              </w:rPr>
              <w:t>2</w:t>
            </w:r>
            <w:r>
              <w:rPr>
                <w:color w:val="auto"/>
                <w:szCs w:val="21"/>
                <w:highlight w:val="none"/>
                <w:lang w:val="en-US"/>
              </w:rPr>
              <w:t>年度、202</w:t>
            </w:r>
            <w:r>
              <w:rPr>
                <w:rFonts w:hint="eastAsia"/>
                <w:color w:val="auto"/>
                <w:szCs w:val="21"/>
                <w:highlight w:val="none"/>
                <w:lang w:val="en-US" w:eastAsia="zh-CN"/>
              </w:rPr>
              <w:t>3</w:t>
            </w:r>
            <w:r>
              <w:rPr>
                <w:color w:val="auto"/>
                <w:szCs w:val="21"/>
                <w:highlight w:val="none"/>
                <w:lang w:val="en-US"/>
              </w:rPr>
              <w:t>年度的财务审计报告或者基本户开户银行出具的资信证明，若为新成立的，提供成立至今的月或季度财务状况报告复印件并加盖公章。</w:t>
            </w:r>
          </w:p>
        </w:tc>
        <w:tc>
          <w:tcPr>
            <w:tcW w:w="1501" w:type="dxa"/>
            <w:tcBorders>
              <w:top w:val="single" w:color="auto" w:sz="6" w:space="0"/>
              <w:left w:val="single" w:color="auto" w:sz="6" w:space="0"/>
              <w:bottom w:val="single" w:color="auto" w:sz="6" w:space="0"/>
              <w:right w:val="single" w:color="auto" w:sz="6" w:space="0"/>
            </w:tcBorders>
            <w:vAlign w:val="center"/>
          </w:tcPr>
          <w:p w14:paraId="31BA2747">
            <w:pPr>
              <w:spacing w:line="320" w:lineRule="atLeast"/>
              <w:jc w:val="center"/>
              <w:rPr>
                <w:color w:val="auto"/>
                <w:sz w:val="21"/>
                <w:szCs w:val="21"/>
                <w:highlight w:val="none"/>
              </w:rPr>
            </w:pPr>
            <w:r>
              <w:rPr>
                <w:rFonts w:hint="eastAsia"/>
                <w:color w:val="auto"/>
                <w:sz w:val="21"/>
                <w:szCs w:val="21"/>
                <w:highlight w:val="none"/>
              </w:rPr>
              <w:t xml:space="preserve">□通过  </w:t>
            </w:r>
          </w:p>
          <w:p w14:paraId="61E7EC3A">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509C98C1">
            <w:pPr>
              <w:spacing w:line="320" w:lineRule="atLeast"/>
              <w:jc w:val="center"/>
              <w:rPr>
                <w:color w:val="auto"/>
                <w:sz w:val="21"/>
                <w:szCs w:val="21"/>
                <w:highlight w:val="none"/>
              </w:rPr>
            </w:pPr>
            <w:r>
              <w:rPr>
                <w:rFonts w:hint="eastAsia"/>
                <w:color w:val="auto"/>
                <w:sz w:val="21"/>
                <w:szCs w:val="21"/>
                <w:highlight w:val="none"/>
              </w:rPr>
              <w:t>见投标文件第（）页</w:t>
            </w:r>
          </w:p>
        </w:tc>
      </w:tr>
      <w:tr w14:paraId="6F61E0A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67" w:type="dxa"/>
            <w:vMerge w:val="continue"/>
            <w:tcBorders>
              <w:top w:val="single" w:color="auto" w:sz="4" w:space="0"/>
              <w:left w:val="single" w:color="auto" w:sz="2" w:space="0"/>
              <w:bottom w:val="single" w:color="auto" w:sz="6" w:space="0"/>
              <w:right w:val="single" w:color="auto" w:sz="4" w:space="0"/>
            </w:tcBorders>
            <w:vAlign w:val="center"/>
          </w:tcPr>
          <w:p w14:paraId="79ACFFD3">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6" w:space="0"/>
              <w:right w:val="single" w:color="auto" w:sz="6" w:space="0"/>
            </w:tcBorders>
            <w:vAlign w:val="center"/>
          </w:tcPr>
          <w:p w14:paraId="6CA067F6">
            <w:pPr>
              <w:spacing w:line="400" w:lineRule="exact"/>
              <w:rPr>
                <w:color w:val="auto"/>
                <w:sz w:val="21"/>
                <w:szCs w:val="21"/>
                <w:highlight w:val="none"/>
                <w:lang w:val="en-US"/>
              </w:rPr>
            </w:pPr>
            <w:r>
              <w:rPr>
                <w:rFonts w:hint="eastAsia"/>
                <w:color w:val="auto"/>
                <w:szCs w:val="21"/>
                <w:highlight w:val="none"/>
                <w:lang w:val="en-US"/>
              </w:rPr>
              <w:t>投标人具有</w:t>
            </w:r>
            <w:r>
              <w:rPr>
                <w:rFonts w:hint="eastAsia"/>
                <w:color w:val="auto"/>
                <w:highlight w:val="none"/>
              </w:rPr>
              <w:t>履行合同所必</w:t>
            </w:r>
            <w:bookmarkStart w:id="265" w:name="_GoBack"/>
            <w:bookmarkEnd w:id="265"/>
            <w:r>
              <w:rPr>
                <w:rFonts w:hint="eastAsia"/>
                <w:color w:val="auto"/>
                <w:highlight w:val="none"/>
              </w:rPr>
              <w:t>需的设备和专业技术能力：提供承诺函，格式自拟，具体详见用户需求书。</w:t>
            </w:r>
          </w:p>
        </w:tc>
        <w:tc>
          <w:tcPr>
            <w:tcW w:w="1501" w:type="dxa"/>
            <w:tcBorders>
              <w:top w:val="single" w:color="auto" w:sz="6" w:space="0"/>
              <w:left w:val="single" w:color="auto" w:sz="6" w:space="0"/>
              <w:bottom w:val="single" w:color="auto" w:sz="6" w:space="0"/>
              <w:right w:val="single" w:color="auto" w:sz="6" w:space="0"/>
            </w:tcBorders>
            <w:vAlign w:val="center"/>
          </w:tcPr>
          <w:p w14:paraId="47A5AC5E">
            <w:pPr>
              <w:spacing w:line="320" w:lineRule="atLeast"/>
              <w:jc w:val="center"/>
              <w:rPr>
                <w:color w:val="auto"/>
                <w:sz w:val="21"/>
                <w:szCs w:val="21"/>
                <w:highlight w:val="none"/>
              </w:rPr>
            </w:pPr>
            <w:r>
              <w:rPr>
                <w:rFonts w:hint="eastAsia"/>
                <w:color w:val="auto"/>
                <w:sz w:val="21"/>
                <w:szCs w:val="21"/>
                <w:highlight w:val="none"/>
              </w:rPr>
              <w:t xml:space="preserve">□通过  </w:t>
            </w:r>
          </w:p>
          <w:p w14:paraId="56245AC9">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5D1F8DEC">
            <w:pPr>
              <w:spacing w:line="320" w:lineRule="atLeast"/>
              <w:jc w:val="center"/>
              <w:rPr>
                <w:color w:val="auto"/>
                <w:sz w:val="21"/>
                <w:szCs w:val="21"/>
                <w:highlight w:val="none"/>
              </w:rPr>
            </w:pPr>
            <w:r>
              <w:rPr>
                <w:rFonts w:hint="eastAsia"/>
                <w:color w:val="auto"/>
                <w:sz w:val="21"/>
                <w:szCs w:val="21"/>
                <w:highlight w:val="none"/>
              </w:rPr>
              <w:t>见投标文件第（）页</w:t>
            </w:r>
          </w:p>
        </w:tc>
      </w:tr>
      <w:tr w14:paraId="78AED4A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67" w:type="dxa"/>
            <w:vMerge w:val="continue"/>
            <w:tcBorders>
              <w:top w:val="single" w:color="auto" w:sz="4" w:space="0"/>
              <w:left w:val="single" w:color="auto" w:sz="2" w:space="0"/>
              <w:bottom w:val="single" w:color="auto" w:sz="6" w:space="0"/>
              <w:right w:val="single" w:color="auto" w:sz="4" w:space="0"/>
            </w:tcBorders>
            <w:vAlign w:val="center"/>
          </w:tcPr>
          <w:p w14:paraId="123F8BA7">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6" w:space="0"/>
              <w:right w:val="single" w:color="auto" w:sz="6" w:space="0"/>
            </w:tcBorders>
            <w:vAlign w:val="center"/>
          </w:tcPr>
          <w:p w14:paraId="64C11187">
            <w:pPr>
              <w:spacing w:line="400" w:lineRule="exact"/>
              <w:rPr>
                <w:color w:val="auto"/>
                <w:sz w:val="21"/>
                <w:szCs w:val="21"/>
                <w:highlight w:val="none"/>
                <w:lang w:val="en-US"/>
              </w:rPr>
            </w:pPr>
            <w:r>
              <w:rPr>
                <w:rFonts w:hint="eastAsia"/>
                <w:color w:val="auto"/>
                <w:highlight w:val="none"/>
              </w:rPr>
              <w:t>投标人参加招标活动前3年内，在经营活动中没有重大违法记录：提供承诺函，格式自拟。</w:t>
            </w:r>
          </w:p>
        </w:tc>
        <w:tc>
          <w:tcPr>
            <w:tcW w:w="1501" w:type="dxa"/>
            <w:tcBorders>
              <w:top w:val="single" w:color="auto" w:sz="6" w:space="0"/>
              <w:left w:val="single" w:color="auto" w:sz="6" w:space="0"/>
              <w:bottom w:val="single" w:color="auto" w:sz="6" w:space="0"/>
              <w:right w:val="single" w:color="auto" w:sz="6" w:space="0"/>
            </w:tcBorders>
            <w:vAlign w:val="center"/>
          </w:tcPr>
          <w:p w14:paraId="41539AF6">
            <w:pPr>
              <w:spacing w:line="320" w:lineRule="atLeast"/>
              <w:jc w:val="center"/>
              <w:rPr>
                <w:color w:val="auto"/>
                <w:sz w:val="21"/>
                <w:szCs w:val="21"/>
                <w:highlight w:val="none"/>
              </w:rPr>
            </w:pPr>
            <w:r>
              <w:rPr>
                <w:rFonts w:hint="eastAsia"/>
                <w:color w:val="auto"/>
                <w:sz w:val="21"/>
                <w:szCs w:val="21"/>
                <w:highlight w:val="none"/>
              </w:rPr>
              <w:t xml:space="preserve">□通过  </w:t>
            </w:r>
          </w:p>
          <w:p w14:paraId="68744FEE">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229016F2">
            <w:pPr>
              <w:spacing w:line="320" w:lineRule="atLeast"/>
              <w:jc w:val="center"/>
              <w:rPr>
                <w:color w:val="auto"/>
                <w:sz w:val="21"/>
                <w:szCs w:val="21"/>
                <w:highlight w:val="none"/>
              </w:rPr>
            </w:pPr>
            <w:r>
              <w:rPr>
                <w:rFonts w:hint="eastAsia"/>
                <w:color w:val="auto"/>
                <w:sz w:val="21"/>
                <w:szCs w:val="21"/>
                <w:highlight w:val="none"/>
              </w:rPr>
              <w:t>见投标文件第（）页</w:t>
            </w:r>
          </w:p>
        </w:tc>
      </w:tr>
      <w:tr w14:paraId="4DBAA33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67" w:type="dxa"/>
            <w:vMerge w:val="continue"/>
            <w:tcBorders>
              <w:top w:val="single" w:color="auto" w:sz="4" w:space="0"/>
              <w:left w:val="single" w:color="auto" w:sz="2" w:space="0"/>
              <w:bottom w:val="single" w:color="auto" w:sz="6" w:space="0"/>
              <w:right w:val="single" w:color="auto" w:sz="4" w:space="0"/>
            </w:tcBorders>
            <w:vAlign w:val="center"/>
          </w:tcPr>
          <w:p w14:paraId="448F01F8">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6" w:space="0"/>
              <w:right w:val="single" w:color="auto" w:sz="6" w:space="0"/>
            </w:tcBorders>
            <w:vAlign w:val="center"/>
          </w:tcPr>
          <w:p w14:paraId="6C83F280">
            <w:pPr>
              <w:spacing w:line="400" w:lineRule="exact"/>
              <w:rPr>
                <w:color w:val="auto"/>
                <w:sz w:val="21"/>
                <w:szCs w:val="21"/>
                <w:highlight w:val="none"/>
              </w:rPr>
            </w:pPr>
            <w:r>
              <w:rPr>
                <w:rFonts w:hint="eastAsia"/>
                <w:color w:val="auto"/>
                <w:szCs w:val="21"/>
                <w:highlight w:val="none"/>
                <w:lang w:val="en-US"/>
              </w:rPr>
              <w:t>单位负责人为同一人或者存在直接控股、管理关系的不同投标人，不得同时参加本项目投标，</w:t>
            </w:r>
            <w:r>
              <w:rPr>
                <w:rFonts w:hint="eastAsia"/>
                <w:color w:val="auto"/>
                <w:highlight w:val="none"/>
              </w:rPr>
              <w:t>提供承诺函，格式自拟。</w:t>
            </w:r>
          </w:p>
        </w:tc>
        <w:tc>
          <w:tcPr>
            <w:tcW w:w="1501" w:type="dxa"/>
            <w:tcBorders>
              <w:top w:val="single" w:color="auto" w:sz="6" w:space="0"/>
              <w:left w:val="single" w:color="auto" w:sz="6" w:space="0"/>
              <w:bottom w:val="single" w:color="auto" w:sz="6" w:space="0"/>
              <w:right w:val="single" w:color="auto" w:sz="6" w:space="0"/>
            </w:tcBorders>
            <w:vAlign w:val="center"/>
          </w:tcPr>
          <w:p w14:paraId="496EFD40">
            <w:pPr>
              <w:spacing w:line="320" w:lineRule="atLeast"/>
              <w:jc w:val="center"/>
              <w:rPr>
                <w:color w:val="auto"/>
                <w:sz w:val="21"/>
                <w:szCs w:val="21"/>
                <w:highlight w:val="none"/>
              </w:rPr>
            </w:pPr>
            <w:r>
              <w:rPr>
                <w:rFonts w:hint="eastAsia"/>
                <w:color w:val="auto"/>
                <w:sz w:val="21"/>
                <w:szCs w:val="21"/>
                <w:highlight w:val="none"/>
              </w:rPr>
              <w:t xml:space="preserve">□通过  </w:t>
            </w:r>
          </w:p>
          <w:p w14:paraId="1D5C37E6">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14844B59">
            <w:pPr>
              <w:spacing w:line="320" w:lineRule="atLeast"/>
              <w:jc w:val="center"/>
              <w:rPr>
                <w:color w:val="auto"/>
                <w:sz w:val="21"/>
                <w:szCs w:val="21"/>
                <w:highlight w:val="none"/>
              </w:rPr>
            </w:pPr>
            <w:r>
              <w:rPr>
                <w:rFonts w:hint="eastAsia"/>
                <w:color w:val="auto"/>
                <w:sz w:val="21"/>
                <w:szCs w:val="21"/>
                <w:highlight w:val="none"/>
              </w:rPr>
              <w:t>见投标文件第（）页</w:t>
            </w:r>
          </w:p>
        </w:tc>
      </w:tr>
      <w:tr w14:paraId="204C58D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967" w:type="dxa"/>
            <w:vMerge w:val="continue"/>
            <w:tcBorders>
              <w:top w:val="single" w:color="auto" w:sz="4" w:space="0"/>
              <w:left w:val="single" w:color="auto" w:sz="2" w:space="0"/>
              <w:bottom w:val="single" w:color="auto" w:sz="6" w:space="0"/>
              <w:right w:val="single" w:color="auto" w:sz="4" w:space="0"/>
            </w:tcBorders>
            <w:vAlign w:val="center"/>
          </w:tcPr>
          <w:p w14:paraId="1D2619D4">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6" w:space="0"/>
              <w:right w:val="single" w:color="auto" w:sz="6" w:space="0"/>
            </w:tcBorders>
            <w:vAlign w:val="center"/>
          </w:tcPr>
          <w:p w14:paraId="2F6E2A30">
            <w:pPr>
              <w:spacing w:line="400" w:lineRule="exact"/>
              <w:rPr>
                <w:color w:val="auto"/>
                <w:sz w:val="21"/>
                <w:szCs w:val="21"/>
                <w:highlight w:val="none"/>
                <w:lang w:val="en-US"/>
              </w:rPr>
            </w:pPr>
            <w:r>
              <w:rPr>
                <w:rFonts w:hint="eastAsia"/>
                <w:color w:val="auto"/>
                <w:sz w:val="21"/>
                <w:highlight w:val="none"/>
                <w:lang w:val="en-US"/>
              </w:rPr>
              <w:t>投标人未被列入“信用中国”网站</w:t>
            </w:r>
            <w:r>
              <w:rPr>
                <w:color w:val="auto"/>
                <w:sz w:val="21"/>
                <w:highlight w:val="none"/>
                <w:lang w:val="en-US"/>
              </w:rPr>
              <w:t>(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1501" w:type="dxa"/>
            <w:tcBorders>
              <w:top w:val="single" w:color="auto" w:sz="6" w:space="0"/>
              <w:left w:val="single" w:color="auto" w:sz="6" w:space="0"/>
              <w:bottom w:val="single" w:color="auto" w:sz="6" w:space="0"/>
              <w:right w:val="single" w:color="auto" w:sz="6" w:space="0"/>
            </w:tcBorders>
            <w:vAlign w:val="center"/>
          </w:tcPr>
          <w:p w14:paraId="59A93532">
            <w:pPr>
              <w:spacing w:line="320" w:lineRule="atLeast"/>
              <w:jc w:val="center"/>
              <w:rPr>
                <w:color w:val="auto"/>
                <w:sz w:val="21"/>
                <w:szCs w:val="21"/>
                <w:highlight w:val="none"/>
              </w:rPr>
            </w:pPr>
            <w:r>
              <w:rPr>
                <w:rFonts w:hint="eastAsia"/>
                <w:color w:val="auto"/>
                <w:sz w:val="21"/>
                <w:szCs w:val="21"/>
                <w:highlight w:val="none"/>
              </w:rPr>
              <w:t xml:space="preserve">□通过  </w:t>
            </w:r>
          </w:p>
          <w:p w14:paraId="6C306A34">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2BDA4C9F">
            <w:pPr>
              <w:spacing w:line="320" w:lineRule="atLeast"/>
              <w:jc w:val="center"/>
              <w:rPr>
                <w:color w:val="auto"/>
                <w:sz w:val="21"/>
                <w:szCs w:val="21"/>
                <w:highlight w:val="none"/>
              </w:rPr>
            </w:pPr>
            <w:r>
              <w:rPr>
                <w:rFonts w:hint="eastAsia"/>
                <w:color w:val="auto"/>
                <w:sz w:val="21"/>
                <w:szCs w:val="21"/>
                <w:highlight w:val="none"/>
              </w:rPr>
              <w:t>见投标文件第（）页</w:t>
            </w:r>
          </w:p>
        </w:tc>
      </w:tr>
      <w:tr w14:paraId="27D49B7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967" w:type="dxa"/>
            <w:vMerge w:val="continue"/>
            <w:tcBorders>
              <w:top w:val="single" w:color="auto" w:sz="4" w:space="0"/>
              <w:left w:val="single" w:color="auto" w:sz="2" w:space="0"/>
              <w:bottom w:val="single" w:color="auto" w:sz="6" w:space="0"/>
              <w:right w:val="single" w:color="auto" w:sz="4" w:space="0"/>
            </w:tcBorders>
            <w:vAlign w:val="center"/>
          </w:tcPr>
          <w:p w14:paraId="03EB67A9">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6" w:space="0"/>
              <w:right w:val="single" w:color="auto" w:sz="6" w:space="0"/>
            </w:tcBorders>
            <w:vAlign w:val="center"/>
          </w:tcPr>
          <w:p w14:paraId="721A958A">
            <w:pPr>
              <w:spacing w:line="400" w:lineRule="exact"/>
              <w:rPr>
                <w:color w:val="auto"/>
                <w:sz w:val="21"/>
                <w:szCs w:val="21"/>
                <w:highlight w:val="none"/>
              </w:rPr>
            </w:pPr>
            <w:r>
              <w:rPr>
                <w:rFonts w:hint="eastAsia"/>
                <w:color w:val="auto"/>
                <w:sz w:val="21"/>
                <w:highlight w:val="none"/>
              </w:rPr>
              <w:t>本项目不接受联合体投标。</w:t>
            </w:r>
          </w:p>
        </w:tc>
        <w:tc>
          <w:tcPr>
            <w:tcW w:w="1501" w:type="dxa"/>
            <w:tcBorders>
              <w:top w:val="single" w:color="auto" w:sz="6" w:space="0"/>
              <w:left w:val="single" w:color="auto" w:sz="6" w:space="0"/>
              <w:bottom w:val="single" w:color="auto" w:sz="6" w:space="0"/>
              <w:right w:val="single" w:color="auto" w:sz="6" w:space="0"/>
            </w:tcBorders>
            <w:vAlign w:val="center"/>
          </w:tcPr>
          <w:p w14:paraId="6ED6079F">
            <w:pPr>
              <w:spacing w:line="320" w:lineRule="atLeast"/>
              <w:jc w:val="center"/>
              <w:rPr>
                <w:color w:val="auto"/>
                <w:sz w:val="21"/>
                <w:szCs w:val="21"/>
                <w:highlight w:val="none"/>
              </w:rPr>
            </w:pPr>
            <w:r>
              <w:rPr>
                <w:rFonts w:hint="eastAsia"/>
                <w:color w:val="auto"/>
                <w:sz w:val="21"/>
                <w:szCs w:val="21"/>
                <w:highlight w:val="none"/>
              </w:rPr>
              <w:t xml:space="preserve">□通过  </w:t>
            </w:r>
          </w:p>
          <w:p w14:paraId="09EEE7D5">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17ED71BA">
            <w:pPr>
              <w:spacing w:line="320" w:lineRule="atLeast"/>
              <w:jc w:val="center"/>
              <w:rPr>
                <w:color w:val="auto"/>
                <w:sz w:val="21"/>
                <w:szCs w:val="21"/>
                <w:highlight w:val="none"/>
              </w:rPr>
            </w:pPr>
            <w:r>
              <w:rPr>
                <w:rFonts w:hint="eastAsia"/>
                <w:color w:val="auto"/>
                <w:sz w:val="21"/>
                <w:szCs w:val="21"/>
                <w:highlight w:val="none"/>
              </w:rPr>
              <w:t>见投标文件第（）页</w:t>
            </w:r>
          </w:p>
        </w:tc>
      </w:tr>
      <w:tr w14:paraId="302B113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967" w:type="dxa"/>
            <w:vMerge w:val="restart"/>
            <w:tcBorders>
              <w:top w:val="single" w:color="auto" w:sz="6" w:space="0"/>
              <w:left w:val="single" w:color="auto" w:sz="2" w:space="0"/>
              <w:bottom w:val="single" w:color="auto" w:sz="2" w:space="0"/>
              <w:right w:val="single" w:color="auto" w:sz="6" w:space="0"/>
            </w:tcBorders>
            <w:vAlign w:val="center"/>
          </w:tcPr>
          <w:p w14:paraId="2FED04A9">
            <w:pPr>
              <w:jc w:val="center"/>
              <w:rPr>
                <w:color w:val="auto"/>
                <w:sz w:val="21"/>
                <w:szCs w:val="21"/>
                <w:highlight w:val="none"/>
              </w:rPr>
            </w:pPr>
            <w:r>
              <w:rPr>
                <w:rFonts w:hint="eastAsia"/>
                <w:color w:val="auto"/>
                <w:sz w:val="21"/>
                <w:szCs w:val="21"/>
                <w:highlight w:val="none"/>
              </w:rPr>
              <w:t>符合性检查</w:t>
            </w:r>
          </w:p>
        </w:tc>
        <w:tc>
          <w:tcPr>
            <w:tcW w:w="6494" w:type="dxa"/>
            <w:tcBorders>
              <w:top w:val="single" w:color="auto" w:sz="6" w:space="0"/>
              <w:left w:val="single" w:color="auto" w:sz="6" w:space="0"/>
              <w:bottom w:val="single" w:color="auto" w:sz="6" w:space="0"/>
              <w:right w:val="single" w:color="auto" w:sz="6" w:space="0"/>
            </w:tcBorders>
            <w:vAlign w:val="center"/>
          </w:tcPr>
          <w:p w14:paraId="6E5D0A4D">
            <w:pPr>
              <w:rPr>
                <w:color w:val="auto"/>
                <w:sz w:val="21"/>
                <w:szCs w:val="21"/>
                <w:highlight w:val="none"/>
              </w:rPr>
            </w:pPr>
            <w:r>
              <w:rPr>
                <w:rFonts w:hint="eastAsia"/>
                <w:color w:val="auto"/>
                <w:sz w:val="21"/>
                <w:szCs w:val="21"/>
                <w:highlight w:val="none"/>
              </w:rPr>
              <w:t>符合投标有效期</w:t>
            </w:r>
          </w:p>
        </w:tc>
        <w:tc>
          <w:tcPr>
            <w:tcW w:w="1501" w:type="dxa"/>
            <w:tcBorders>
              <w:top w:val="single" w:color="auto" w:sz="6" w:space="0"/>
              <w:left w:val="single" w:color="auto" w:sz="6" w:space="0"/>
              <w:bottom w:val="single" w:color="auto" w:sz="6" w:space="0"/>
              <w:right w:val="single" w:color="auto" w:sz="6" w:space="0"/>
            </w:tcBorders>
            <w:vAlign w:val="center"/>
          </w:tcPr>
          <w:p w14:paraId="2E6D0612">
            <w:pPr>
              <w:spacing w:line="320" w:lineRule="atLeast"/>
              <w:jc w:val="center"/>
              <w:rPr>
                <w:color w:val="auto"/>
                <w:sz w:val="21"/>
                <w:szCs w:val="21"/>
                <w:highlight w:val="none"/>
              </w:rPr>
            </w:pPr>
            <w:r>
              <w:rPr>
                <w:rFonts w:hint="eastAsia"/>
                <w:color w:val="auto"/>
                <w:sz w:val="21"/>
                <w:szCs w:val="21"/>
                <w:highlight w:val="none"/>
              </w:rPr>
              <w:t xml:space="preserve">□通过  </w:t>
            </w:r>
          </w:p>
          <w:p w14:paraId="22F8B630">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4A447C24">
            <w:pPr>
              <w:spacing w:line="320" w:lineRule="atLeast"/>
              <w:jc w:val="center"/>
              <w:rPr>
                <w:color w:val="auto"/>
                <w:sz w:val="21"/>
                <w:szCs w:val="21"/>
                <w:highlight w:val="none"/>
              </w:rPr>
            </w:pPr>
            <w:r>
              <w:rPr>
                <w:rFonts w:hint="eastAsia"/>
                <w:color w:val="auto"/>
                <w:sz w:val="21"/>
                <w:szCs w:val="21"/>
                <w:highlight w:val="none"/>
              </w:rPr>
              <w:t>见投标文件第（）页</w:t>
            </w:r>
          </w:p>
        </w:tc>
      </w:tr>
      <w:tr w14:paraId="0D879B9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967" w:type="dxa"/>
            <w:vMerge w:val="continue"/>
            <w:tcBorders>
              <w:top w:val="single" w:color="auto" w:sz="6" w:space="0"/>
              <w:left w:val="single" w:color="auto" w:sz="2" w:space="0"/>
              <w:bottom w:val="single" w:color="auto" w:sz="2" w:space="0"/>
              <w:right w:val="single" w:color="auto" w:sz="6" w:space="0"/>
            </w:tcBorders>
            <w:vAlign w:val="center"/>
          </w:tcPr>
          <w:p w14:paraId="42A34DD5">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6" w:space="0"/>
              <w:right w:val="single" w:color="auto" w:sz="6" w:space="0"/>
            </w:tcBorders>
            <w:vAlign w:val="center"/>
          </w:tcPr>
          <w:p w14:paraId="3746264D">
            <w:pPr>
              <w:rPr>
                <w:color w:val="auto"/>
                <w:sz w:val="21"/>
                <w:szCs w:val="21"/>
                <w:highlight w:val="none"/>
              </w:rPr>
            </w:pPr>
            <w:r>
              <w:rPr>
                <w:rFonts w:hint="eastAsia"/>
                <w:color w:val="auto"/>
                <w:sz w:val="21"/>
                <w:szCs w:val="21"/>
                <w:highlight w:val="none"/>
              </w:rPr>
              <w:t>投标文件照招标文件规定要求签署、盖章合格</w:t>
            </w:r>
          </w:p>
        </w:tc>
        <w:tc>
          <w:tcPr>
            <w:tcW w:w="1501" w:type="dxa"/>
            <w:tcBorders>
              <w:top w:val="single" w:color="auto" w:sz="6" w:space="0"/>
              <w:left w:val="single" w:color="auto" w:sz="6" w:space="0"/>
              <w:bottom w:val="single" w:color="auto" w:sz="6" w:space="0"/>
              <w:right w:val="single" w:color="auto" w:sz="6" w:space="0"/>
            </w:tcBorders>
            <w:vAlign w:val="center"/>
          </w:tcPr>
          <w:p w14:paraId="581735A9">
            <w:pPr>
              <w:spacing w:line="320" w:lineRule="atLeast"/>
              <w:jc w:val="center"/>
              <w:rPr>
                <w:color w:val="auto"/>
                <w:sz w:val="21"/>
                <w:szCs w:val="21"/>
                <w:highlight w:val="none"/>
              </w:rPr>
            </w:pPr>
            <w:r>
              <w:rPr>
                <w:rFonts w:hint="eastAsia"/>
                <w:color w:val="auto"/>
                <w:sz w:val="21"/>
                <w:szCs w:val="21"/>
                <w:highlight w:val="none"/>
              </w:rPr>
              <w:t xml:space="preserve">□通过  </w:t>
            </w:r>
          </w:p>
          <w:p w14:paraId="09119A65">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4B9C7140">
            <w:pPr>
              <w:spacing w:line="320" w:lineRule="atLeast"/>
              <w:jc w:val="center"/>
              <w:rPr>
                <w:color w:val="auto"/>
                <w:sz w:val="21"/>
                <w:szCs w:val="21"/>
                <w:highlight w:val="none"/>
              </w:rPr>
            </w:pPr>
            <w:r>
              <w:rPr>
                <w:rFonts w:hint="eastAsia"/>
                <w:color w:val="auto"/>
                <w:sz w:val="21"/>
                <w:szCs w:val="21"/>
                <w:highlight w:val="none"/>
              </w:rPr>
              <w:t>见投标文件第（）页</w:t>
            </w:r>
          </w:p>
        </w:tc>
      </w:tr>
      <w:tr w14:paraId="365AA3D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967" w:type="dxa"/>
            <w:vMerge w:val="continue"/>
            <w:tcBorders>
              <w:top w:val="single" w:color="auto" w:sz="6" w:space="0"/>
              <w:left w:val="single" w:color="auto" w:sz="2" w:space="0"/>
              <w:bottom w:val="single" w:color="auto" w:sz="2" w:space="0"/>
              <w:right w:val="single" w:color="auto" w:sz="6" w:space="0"/>
            </w:tcBorders>
            <w:vAlign w:val="center"/>
          </w:tcPr>
          <w:p w14:paraId="404590FA">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6" w:space="0"/>
              <w:right w:val="single" w:color="auto" w:sz="6" w:space="0"/>
            </w:tcBorders>
            <w:vAlign w:val="center"/>
          </w:tcPr>
          <w:p w14:paraId="08EABD3A">
            <w:pPr>
              <w:rPr>
                <w:color w:val="auto"/>
                <w:sz w:val="21"/>
                <w:szCs w:val="21"/>
                <w:highlight w:val="none"/>
              </w:rPr>
            </w:pPr>
            <w:r>
              <w:rPr>
                <w:rFonts w:hint="eastAsia"/>
                <w:color w:val="auto"/>
                <w:sz w:val="21"/>
                <w:szCs w:val="21"/>
                <w:highlight w:val="none"/>
              </w:rPr>
              <w:t>完全满足招标文件中标注“★”的条款</w:t>
            </w:r>
          </w:p>
        </w:tc>
        <w:tc>
          <w:tcPr>
            <w:tcW w:w="1501" w:type="dxa"/>
            <w:tcBorders>
              <w:top w:val="single" w:color="auto" w:sz="6" w:space="0"/>
              <w:left w:val="single" w:color="auto" w:sz="6" w:space="0"/>
              <w:bottom w:val="single" w:color="auto" w:sz="6" w:space="0"/>
              <w:right w:val="single" w:color="auto" w:sz="6" w:space="0"/>
            </w:tcBorders>
            <w:vAlign w:val="center"/>
          </w:tcPr>
          <w:p w14:paraId="5501B7FF">
            <w:pPr>
              <w:spacing w:line="320" w:lineRule="atLeast"/>
              <w:jc w:val="center"/>
              <w:rPr>
                <w:color w:val="auto"/>
                <w:sz w:val="21"/>
                <w:szCs w:val="21"/>
                <w:highlight w:val="none"/>
              </w:rPr>
            </w:pPr>
            <w:r>
              <w:rPr>
                <w:rFonts w:hint="eastAsia"/>
                <w:color w:val="auto"/>
                <w:sz w:val="21"/>
                <w:szCs w:val="21"/>
                <w:highlight w:val="none"/>
              </w:rPr>
              <w:t xml:space="preserve">□通过  </w:t>
            </w:r>
          </w:p>
          <w:p w14:paraId="21472C57">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5475AE0F">
            <w:pPr>
              <w:spacing w:line="320" w:lineRule="atLeast"/>
              <w:jc w:val="center"/>
              <w:rPr>
                <w:color w:val="auto"/>
                <w:sz w:val="21"/>
                <w:szCs w:val="21"/>
                <w:highlight w:val="none"/>
              </w:rPr>
            </w:pPr>
            <w:r>
              <w:rPr>
                <w:rFonts w:hint="eastAsia"/>
                <w:color w:val="auto"/>
                <w:sz w:val="21"/>
                <w:szCs w:val="21"/>
                <w:highlight w:val="none"/>
              </w:rPr>
              <w:t>见投标文件第（）页</w:t>
            </w:r>
          </w:p>
        </w:tc>
      </w:tr>
      <w:tr w14:paraId="78EAB69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967" w:type="dxa"/>
            <w:vMerge w:val="continue"/>
            <w:tcBorders>
              <w:top w:val="single" w:color="auto" w:sz="6" w:space="0"/>
              <w:left w:val="single" w:color="auto" w:sz="2" w:space="0"/>
              <w:bottom w:val="single" w:color="auto" w:sz="2" w:space="0"/>
              <w:right w:val="single" w:color="auto" w:sz="6" w:space="0"/>
            </w:tcBorders>
            <w:vAlign w:val="center"/>
          </w:tcPr>
          <w:p w14:paraId="364A7222">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6" w:space="0"/>
              <w:right w:val="single" w:color="auto" w:sz="6" w:space="0"/>
            </w:tcBorders>
            <w:vAlign w:val="center"/>
          </w:tcPr>
          <w:p w14:paraId="62CED3D5">
            <w:pPr>
              <w:rPr>
                <w:color w:val="auto"/>
                <w:sz w:val="21"/>
                <w:szCs w:val="21"/>
                <w:highlight w:val="none"/>
              </w:rPr>
            </w:pPr>
            <w:r>
              <w:rPr>
                <w:rFonts w:hint="eastAsia"/>
                <w:color w:val="auto"/>
                <w:sz w:val="21"/>
                <w:highlight w:val="none"/>
              </w:rPr>
              <w:t>未出现招标文件规定的属于投标无效的情形</w:t>
            </w:r>
          </w:p>
        </w:tc>
        <w:tc>
          <w:tcPr>
            <w:tcW w:w="1501" w:type="dxa"/>
            <w:tcBorders>
              <w:top w:val="single" w:color="auto" w:sz="6" w:space="0"/>
              <w:left w:val="single" w:color="auto" w:sz="6" w:space="0"/>
              <w:bottom w:val="single" w:color="auto" w:sz="6" w:space="0"/>
              <w:right w:val="single" w:color="auto" w:sz="6" w:space="0"/>
            </w:tcBorders>
            <w:vAlign w:val="center"/>
          </w:tcPr>
          <w:p w14:paraId="21F99855">
            <w:pPr>
              <w:spacing w:line="320" w:lineRule="atLeast"/>
              <w:jc w:val="center"/>
              <w:rPr>
                <w:color w:val="auto"/>
                <w:sz w:val="21"/>
                <w:szCs w:val="21"/>
                <w:highlight w:val="none"/>
              </w:rPr>
            </w:pPr>
            <w:r>
              <w:rPr>
                <w:rFonts w:hint="eastAsia"/>
                <w:color w:val="auto"/>
                <w:sz w:val="21"/>
                <w:szCs w:val="21"/>
                <w:highlight w:val="none"/>
              </w:rPr>
              <w:t xml:space="preserve">□通过  </w:t>
            </w:r>
          </w:p>
          <w:p w14:paraId="4790AA13">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6" w:space="0"/>
              <w:right w:val="single" w:color="auto" w:sz="2" w:space="0"/>
            </w:tcBorders>
            <w:vAlign w:val="center"/>
          </w:tcPr>
          <w:p w14:paraId="0F441ED9">
            <w:pPr>
              <w:spacing w:line="320" w:lineRule="atLeast"/>
              <w:jc w:val="center"/>
              <w:rPr>
                <w:color w:val="auto"/>
                <w:sz w:val="21"/>
                <w:szCs w:val="21"/>
                <w:highlight w:val="none"/>
              </w:rPr>
            </w:pPr>
            <w:r>
              <w:rPr>
                <w:rFonts w:hint="eastAsia"/>
                <w:color w:val="auto"/>
                <w:sz w:val="21"/>
                <w:szCs w:val="21"/>
                <w:highlight w:val="none"/>
              </w:rPr>
              <w:t>见投标文件第（）页</w:t>
            </w:r>
          </w:p>
        </w:tc>
      </w:tr>
      <w:tr w14:paraId="2A02758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967" w:type="dxa"/>
            <w:vMerge w:val="continue"/>
            <w:tcBorders>
              <w:top w:val="single" w:color="auto" w:sz="6" w:space="0"/>
              <w:left w:val="single" w:color="auto" w:sz="2" w:space="0"/>
              <w:bottom w:val="single" w:color="auto" w:sz="2" w:space="0"/>
              <w:right w:val="single" w:color="auto" w:sz="6" w:space="0"/>
            </w:tcBorders>
            <w:vAlign w:val="center"/>
          </w:tcPr>
          <w:p w14:paraId="531D0148">
            <w:pPr>
              <w:widowControl/>
              <w:autoSpaceDE/>
              <w:autoSpaceDN/>
              <w:rPr>
                <w:color w:val="auto"/>
                <w:sz w:val="21"/>
                <w:szCs w:val="21"/>
                <w:highlight w:val="none"/>
              </w:rPr>
            </w:pPr>
          </w:p>
        </w:tc>
        <w:tc>
          <w:tcPr>
            <w:tcW w:w="6494" w:type="dxa"/>
            <w:tcBorders>
              <w:top w:val="single" w:color="auto" w:sz="6" w:space="0"/>
              <w:left w:val="single" w:color="auto" w:sz="6" w:space="0"/>
              <w:bottom w:val="single" w:color="auto" w:sz="2" w:space="0"/>
              <w:right w:val="single" w:color="auto" w:sz="6" w:space="0"/>
            </w:tcBorders>
            <w:vAlign w:val="center"/>
          </w:tcPr>
          <w:p w14:paraId="5C0E0AD2">
            <w:pPr>
              <w:rPr>
                <w:color w:val="auto"/>
                <w:sz w:val="21"/>
                <w:szCs w:val="21"/>
                <w:highlight w:val="none"/>
              </w:rPr>
            </w:pPr>
            <w:r>
              <w:rPr>
                <w:rFonts w:hint="eastAsia"/>
                <w:color w:val="auto"/>
                <w:sz w:val="21"/>
                <w:highlight w:val="none"/>
              </w:rPr>
              <w:t>没有其他未实质性响应招标文件要求的</w:t>
            </w:r>
          </w:p>
        </w:tc>
        <w:tc>
          <w:tcPr>
            <w:tcW w:w="1501" w:type="dxa"/>
            <w:tcBorders>
              <w:top w:val="single" w:color="auto" w:sz="6" w:space="0"/>
              <w:left w:val="single" w:color="auto" w:sz="6" w:space="0"/>
              <w:bottom w:val="single" w:color="auto" w:sz="2" w:space="0"/>
              <w:right w:val="single" w:color="auto" w:sz="6" w:space="0"/>
            </w:tcBorders>
            <w:vAlign w:val="center"/>
          </w:tcPr>
          <w:p w14:paraId="095C67B9">
            <w:pPr>
              <w:spacing w:line="320" w:lineRule="atLeast"/>
              <w:jc w:val="center"/>
              <w:rPr>
                <w:color w:val="auto"/>
                <w:sz w:val="21"/>
                <w:szCs w:val="21"/>
                <w:highlight w:val="none"/>
              </w:rPr>
            </w:pPr>
            <w:r>
              <w:rPr>
                <w:rFonts w:hint="eastAsia"/>
                <w:color w:val="auto"/>
                <w:sz w:val="21"/>
                <w:szCs w:val="21"/>
                <w:highlight w:val="none"/>
              </w:rPr>
              <w:t xml:space="preserve">□通过  </w:t>
            </w:r>
          </w:p>
          <w:p w14:paraId="09057A5B">
            <w:pPr>
              <w:spacing w:line="320" w:lineRule="atLeast"/>
              <w:jc w:val="center"/>
              <w:rPr>
                <w:color w:val="auto"/>
                <w:sz w:val="21"/>
                <w:szCs w:val="21"/>
                <w:highlight w:val="none"/>
              </w:rPr>
            </w:pPr>
            <w:r>
              <w:rPr>
                <w:rFonts w:hint="eastAsia"/>
                <w:color w:val="auto"/>
                <w:sz w:val="21"/>
                <w:szCs w:val="21"/>
                <w:highlight w:val="none"/>
              </w:rPr>
              <w:t>□不通过</w:t>
            </w:r>
          </w:p>
        </w:tc>
        <w:tc>
          <w:tcPr>
            <w:tcW w:w="1462" w:type="dxa"/>
            <w:tcBorders>
              <w:top w:val="single" w:color="auto" w:sz="6" w:space="0"/>
              <w:left w:val="single" w:color="auto" w:sz="6" w:space="0"/>
              <w:bottom w:val="single" w:color="auto" w:sz="2" w:space="0"/>
              <w:right w:val="single" w:color="auto" w:sz="2" w:space="0"/>
            </w:tcBorders>
            <w:vAlign w:val="center"/>
          </w:tcPr>
          <w:p w14:paraId="3EDF0AB0">
            <w:pPr>
              <w:spacing w:line="320" w:lineRule="atLeast"/>
              <w:jc w:val="center"/>
              <w:rPr>
                <w:color w:val="auto"/>
                <w:sz w:val="21"/>
                <w:szCs w:val="21"/>
                <w:highlight w:val="none"/>
              </w:rPr>
            </w:pPr>
            <w:r>
              <w:rPr>
                <w:rFonts w:hint="eastAsia"/>
                <w:color w:val="auto"/>
                <w:sz w:val="21"/>
                <w:szCs w:val="21"/>
                <w:highlight w:val="none"/>
              </w:rPr>
              <w:t>见投标文件第（）页</w:t>
            </w:r>
          </w:p>
        </w:tc>
      </w:tr>
    </w:tbl>
    <w:p w14:paraId="701107F5">
      <w:pPr>
        <w:rPr>
          <w:color w:val="auto"/>
          <w:highlight w:val="none"/>
        </w:rPr>
      </w:pPr>
    </w:p>
    <w:p w14:paraId="1827F59B">
      <w:pPr>
        <w:pStyle w:val="11"/>
        <w:spacing w:line="360" w:lineRule="auto"/>
        <w:rPr>
          <w:color w:val="auto"/>
          <w:sz w:val="21"/>
          <w:szCs w:val="21"/>
          <w:highlight w:val="none"/>
        </w:rPr>
      </w:pPr>
      <w:r>
        <w:rPr>
          <w:rFonts w:hint="eastAsia"/>
          <w:color w:val="auto"/>
          <w:sz w:val="21"/>
          <w:szCs w:val="21"/>
          <w:highlight w:val="none"/>
        </w:rPr>
        <w:t>注：以上材料将作为投标人资格、符合性审核的重要内容之一，投标人应严格按照其内容及序列要求在投标文件中对应如实提供，对缺漏和不符合项将会直接导致投标无效！请在对应的 □ 打“√”。</w:t>
      </w:r>
    </w:p>
    <w:p w14:paraId="1435EAFB">
      <w:pPr>
        <w:pStyle w:val="3"/>
        <w:keepNext w:val="0"/>
        <w:keepLines w:val="0"/>
        <w:widowControl/>
        <w:numPr>
          <w:ilvl w:val="1"/>
          <w:numId w:val="24"/>
        </w:numPr>
        <w:spacing w:before="188" w:after="188" w:line="400" w:lineRule="exact"/>
        <w:jc w:val="center"/>
        <w:rPr>
          <w:rFonts w:ascii="宋体" w:hAnsi="宋体" w:eastAsia="宋体" w:cs="宋体"/>
          <w:b w:val="0"/>
          <w:bCs/>
          <w:color w:val="auto"/>
          <w:sz w:val="21"/>
          <w:szCs w:val="21"/>
          <w:highlight w:val="none"/>
        </w:rPr>
      </w:pPr>
      <w:r>
        <w:rPr>
          <w:rFonts w:hint="eastAsia"/>
          <w:b w:val="0"/>
          <w:color w:val="auto"/>
          <w:sz w:val="21"/>
          <w:szCs w:val="21"/>
          <w:highlight w:val="none"/>
        </w:rPr>
        <w:br w:type="page"/>
      </w:r>
      <w:r>
        <w:rPr>
          <w:rFonts w:hint="eastAsia" w:ascii="宋体" w:hAnsi="宋体" w:eastAsia="宋体" w:cs="宋体"/>
          <w:color w:val="auto"/>
          <w:sz w:val="21"/>
          <w:szCs w:val="21"/>
          <w:highlight w:val="none"/>
        </w:rPr>
        <w:t xml:space="preserve">  </w:t>
      </w:r>
      <w:bookmarkStart w:id="176" w:name="_Toc86349480"/>
      <w:bookmarkStart w:id="177" w:name="_Toc29825814"/>
      <w:r>
        <w:rPr>
          <w:rFonts w:hint="eastAsia" w:ascii="宋体" w:hAnsi="宋体" w:eastAsia="宋体" w:cs="宋体"/>
          <w:color w:val="auto"/>
          <w:sz w:val="21"/>
          <w:szCs w:val="21"/>
          <w:highlight w:val="none"/>
        </w:rPr>
        <w:t>评审要素投标资料表</w:t>
      </w:r>
      <w:bookmarkEnd w:id="176"/>
      <w:bookmarkEnd w:id="177"/>
    </w:p>
    <w:tbl>
      <w:tblPr>
        <w:tblStyle w:val="3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14:paraId="2FD3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646E542C">
            <w:pPr>
              <w:pStyle w:val="75"/>
              <w:keepNext w:val="0"/>
              <w:adjustRightInd/>
              <w:spacing w:before="0" w:after="0" w:line="360" w:lineRule="auto"/>
              <w:rPr>
                <w:rFonts w:ascii="宋体" w:hAnsi="宋体"/>
                <w:b/>
                <w:bCs/>
                <w:color w:val="auto"/>
                <w:spacing w:val="0"/>
                <w:kern w:val="2"/>
                <w:sz w:val="21"/>
                <w:szCs w:val="21"/>
                <w:highlight w:val="none"/>
              </w:rPr>
            </w:pPr>
            <w:bookmarkStart w:id="178" w:name="_Toc424115983"/>
            <w:bookmarkStart w:id="179" w:name="_Toc368513821"/>
            <w:r>
              <w:rPr>
                <w:rFonts w:hint="eastAsia" w:ascii="宋体" w:hAnsi="宋体"/>
                <w:b/>
                <w:bCs/>
                <w:color w:val="auto"/>
                <w:spacing w:val="0"/>
                <w:kern w:val="2"/>
                <w:sz w:val="21"/>
                <w:szCs w:val="21"/>
                <w:highlight w:val="none"/>
              </w:rPr>
              <w:t>商务评审分项</w:t>
            </w:r>
          </w:p>
        </w:tc>
        <w:tc>
          <w:tcPr>
            <w:tcW w:w="5580" w:type="dxa"/>
            <w:tcBorders>
              <w:top w:val="single" w:color="auto" w:sz="4" w:space="0"/>
              <w:left w:val="single" w:color="auto" w:sz="4" w:space="0"/>
              <w:bottom w:val="single" w:color="auto" w:sz="4" w:space="0"/>
              <w:right w:val="single" w:color="auto" w:sz="4" w:space="0"/>
            </w:tcBorders>
            <w:vAlign w:val="center"/>
          </w:tcPr>
          <w:p w14:paraId="5D20B513">
            <w:pPr>
              <w:pStyle w:val="75"/>
              <w:keepNext w:val="0"/>
              <w:adjustRightInd/>
              <w:spacing w:before="0" w:after="0" w:line="360" w:lineRule="auto"/>
              <w:rPr>
                <w:rFonts w:ascii="宋体" w:hAnsi="宋体"/>
                <w:b/>
                <w:bCs/>
                <w:color w:val="auto"/>
                <w:spacing w:val="0"/>
                <w:kern w:val="2"/>
                <w:sz w:val="21"/>
                <w:szCs w:val="21"/>
                <w:highlight w:val="none"/>
              </w:rPr>
            </w:pPr>
            <w:r>
              <w:rPr>
                <w:rFonts w:hint="eastAsia" w:ascii="宋体" w:hAnsi="宋体"/>
                <w:b/>
                <w:bCs/>
                <w:color w:val="auto"/>
                <w:spacing w:val="0"/>
                <w:kern w:val="2"/>
                <w:sz w:val="21"/>
                <w:szCs w:val="21"/>
                <w:highlight w:val="none"/>
              </w:rPr>
              <w:t>商务评审细则</w:t>
            </w:r>
          </w:p>
        </w:tc>
        <w:tc>
          <w:tcPr>
            <w:tcW w:w="2160" w:type="dxa"/>
            <w:tcBorders>
              <w:top w:val="single" w:color="auto" w:sz="4" w:space="0"/>
              <w:left w:val="single" w:color="auto" w:sz="4" w:space="0"/>
              <w:bottom w:val="single" w:color="auto" w:sz="4" w:space="0"/>
              <w:right w:val="single" w:color="auto" w:sz="4" w:space="0"/>
            </w:tcBorders>
            <w:vAlign w:val="center"/>
          </w:tcPr>
          <w:p w14:paraId="2BE16F8B">
            <w:pPr>
              <w:pStyle w:val="75"/>
              <w:keepNext w:val="0"/>
              <w:adjustRightInd/>
              <w:spacing w:before="0" w:after="0" w:line="360" w:lineRule="auto"/>
              <w:rPr>
                <w:rFonts w:ascii="宋体" w:hAnsi="宋体"/>
                <w:b/>
                <w:bCs/>
                <w:color w:val="auto"/>
                <w:spacing w:val="0"/>
                <w:kern w:val="2"/>
                <w:sz w:val="21"/>
                <w:szCs w:val="21"/>
                <w:highlight w:val="none"/>
              </w:rPr>
            </w:pPr>
            <w:r>
              <w:rPr>
                <w:rFonts w:hint="eastAsia" w:ascii="宋体" w:hAnsi="宋体"/>
                <w:b/>
                <w:bCs/>
                <w:color w:val="auto"/>
                <w:spacing w:val="0"/>
                <w:kern w:val="2"/>
                <w:sz w:val="21"/>
                <w:szCs w:val="21"/>
                <w:highlight w:val="none"/>
              </w:rPr>
              <w:t>证明文件</w:t>
            </w:r>
          </w:p>
        </w:tc>
      </w:tr>
      <w:tr w14:paraId="0888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2B44DD69">
            <w:pPr>
              <w:pStyle w:val="74"/>
              <w:spacing w:before="0" w:after="0" w:line="240" w:lineRule="auto"/>
              <w:jc w:val="center"/>
              <w:rPr>
                <w:rFonts w:ascii="宋体" w:hAnsi="宋体"/>
                <w:color w:val="auto"/>
                <w:sz w:val="21"/>
                <w:szCs w:val="21"/>
                <w:highlight w:val="none"/>
              </w:rPr>
            </w:pPr>
            <w:r>
              <w:rPr>
                <w:rFonts w:hint="eastAsia" w:ascii="宋体" w:hAnsi="宋体"/>
                <w:color w:val="auto"/>
                <w:szCs w:val="21"/>
                <w:highlight w:val="none"/>
              </w:rPr>
              <w:t xml:space="preserve"> </w:t>
            </w:r>
          </w:p>
        </w:tc>
        <w:tc>
          <w:tcPr>
            <w:tcW w:w="5580" w:type="dxa"/>
            <w:tcBorders>
              <w:top w:val="single" w:color="auto" w:sz="4" w:space="0"/>
              <w:left w:val="single" w:color="auto" w:sz="4" w:space="0"/>
              <w:bottom w:val="single" w:color="auto" w:sz="4" w:space="0"/>
              <w:right w:val="single" w:color="auto" w:sz="4" w:space="0"/>
            </w:tcBorders>
            <w:vAlign w:val="center"/>
          </w:tcPr>
          <w:p w14:paraId="623B1906">
            <w:pPr>
              <w:spacing w:line="360" w:lineRule="auto"/>
              <w:rPr>
                <w:bCs/>
                <w:iCs/>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8EE7626">
            <w:pPr>
              <w:pStyle w:val="25"/>
              <w:spacing w:line="360" w:lineRule="auto"/>
              <w:rPr>
                <w:rFonts w:ascii="宋体" w:hAnsi="宋体"/>
                <w:color w:val="auto"/>
                <w:szCs w:val="21"/>
                <w:highlight w:val="none"/>
              </w:rPr>
            </w:pPr>
            <w:r>
              <w:rPr>
                <w:rFonts w:hint="eastAsia" w:ascii="宋体" w:hAnsi="宋体"/>
                <w:color w:val="auto"/>
                <w:szCs w:val="21"/>
                <w:highlight w:val="none"/>
              </w:rPr>
              <w:t>见投标文件第（）页</w:t>
            </w:r>
          </w:p>
        </w:tc>
      </w:tr>
      <w:tr w14:paraId="6045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4B732A4F">
            <w:pPr>
              <w:jc w:val="center"/>
              <w:rPr>
                <w:color w:val="auto"/>
                <w:sz w:val="21"/>
                <w:szCs w:val="21"/>
                <w:highlight w:val="none"/>
              </w:rPr>
            </w:pPr>
            <w:r>
              <w:rPr>
                <w:rFonts w:hint="eastAsia"/>
                <w:color w:val="auto"/>
                <w:szCs w:val="21"/>
                <w:highlight w:val="none"/>
              </w:rPr>
              <w:t xml:space="preserve"> </w:t>
            </w:r>
          </w:p>
        </w:tc>
        <w:tc>
          <w:tcPr>
            <w:tcW w:w="5580" w:type="dxa"/>
            <w:tcBorders>
              <w:top w:val="single" w:color="auto" w:sz="4" w:space="0"/>
              <w:left w:val="single" w:color="auto" w:sz="4" w:space="0"/>
              <w:bottom w:val="single" w:color="auto" w:sz="4" w:space="0"/>
              <w:right w:val="single" w:color="auto" w:sz="4" w:space="0"/>
            </w:tcBorders>
            <w:vAlign w:val="center"/>
          </w:tcPr>
          <w:p w14:paraId="06AF75FB">
            <w:pPr>
              <w:pStyle w:val="25"/>
              <w:spacing w:line="360" w:lineRule="auto"/>
              <w:ind w:left="11" w:leftChars="5"/>
              <w:rPr>
                <w:rFonts w:ascii="宋体" w:hAnsi="宋体"/>
                <w:bCs/>
                <w:iCs/>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3DB8917">
            <w:pPr>
              <w:pStyle w:val="25"/>
              <w:spacing w:line="360" w:lineRule="auto"/>
              <w:rPr>
                <w:rFonts w:ascii="宋体" w:hAnsi="宋体"/>
                <w:color w:val="auto"/>
                <w:szCs w:val="21"/>
                <w:highlight w:val="none"/>
              </w:rPr>
            </w:pPr>
            <w:r>
              <w:rPr>
                <w:rFonts w:hint="eastAsia" w:ascii="宋体" w:hAnsi="宋体"/>
                <w:color w:val="auto"/>
                <w:szCs w:val="21"/>
                <w:highlight w:val="none"/>
              </w:rPr>
              <w:t>见投标文件第（）页</w:t>
            </w:r>
          </w:p>
        </w:tc>
      </w:tr>
      <w:tr w14:paraId="61CF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340DE3F8">
            <w:pPr>
              <w:jc w:val="center"/>
              <w:rPr>
                <w:color w:val="auto"/>
                <w:sz w:val="21"/>
                <w:szCs w:val="21"/>
                <w:highlight w:val="none"/>
              </w:rPr>
            </w:pPr>
            <w:r>
              <w:rPr>
                <w:rFonts w:hint="eastAsia"/>
                <w:color w:val="auto"/>
                <w:szCs w:val="21"/>
                <w:highlight w:val="none"/>
              </w:rPr>
              <w:t xml:space="preserve"> </w:t>
            </w:r>
          </w:p>
        </w:tc>
        <w:tc>
          <w:tcPr>
            <w:tcW w:w="5580" w:type="dxa"/>
            <w:tcBorders>
              <w:top w:val="single" w:color="auto" w:sz="4" w:space="0"/>
              <w:left w:val="single" w:color="auto" w:sz="4" w:space="0"/>
              <w:bottom w:val="single" w:color="auto" w:sz="4" w:space="0"/>
              <w:right w:val="single" w:color="auto" w:sz="4" w:space="0"/>
            </w:tcBorders>
            <w:vAlign w:val="center"/>
          </w:tcPr>
          <w:p w14:paraId="4385D466">
            <w:pPr>
              <w:pStyle w:val="25"/>
              <w:spacing w:line="360" w:lineRule="auto"/>
              <w:ind w:left="11" w:leftChars="5"/>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C7110AD">
            <w:pPr>
              <w:pStyle w:val="25"/>
              <w:spacing w:line="360" w:lineRule="auto"/>
              <w:rPr>
                <w:rFonts w:ascii="宋体" w:hAnsi="宋体"/>
                <w:color w:val="auto"/>
                <w:szCs w:val="21"/>
                <w:highlight w:val="none"/>
              </w:rPr>
            </w:pPr>
            <w:r>
              <w:rPr>
                <w:rFonts w:hint="eastAsia" w:ascii="宋体" w:hAnsi="宋体"/>
                <w:color w:val="auto"/>
                <w:szCs w:val="21"/>
                <w:highlight w:val="none"/>
              </w:rPr>
              <w:t>见投标文件第（）页</w:t>
            </w:r>
          </w:p>
        </w:tc>
      </w:tr>
      <w:tr w14:paraId="4B2D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364E187E">
            <w:pPr>
              <w:spacing w:line="360" w:lineRule="auto"/>
              <w:jc w:val="center"/>
              <w:rPr>
                <w:color w:val="auto"/>
                <w:sz w:val="21"/>
                <w:szCs w:val="21"/>
                <w:highlight w:val="none"/>
                <w:lang w:val="en-US"/>
              </w:rPr>
            </w:pPr>
          </w:p>
        </w:tc>
        <w:tc>
          <w:tcPr>
            <w:tcW w:w="5580" w:type="dxa"/>
            <w:tcBorders>
              <w:top w:val="single" w:color="auto" w:sz="4" w:space="0"/>
              <w:left w:val="single" w:color="auto" w:sz="4" w:space="0"/>
              <w:bottom w:val="single" w:color="auto" w:sz="4" w:space="0"/>
              <w:right w:val="single" w:color="auto" w:sz="4" w:space="0"/>
            </w:tcBorders>
            <w:vAlign w:val="center"/>
          </w:tcPr>
          <w:p w14:paraId="160D1770">
            <w:pPr>
              <w:pStyle w:val="25"/>
              <w:spacing w:line="360" w:lineRule="auto"/>
              <w:ind w:left="11" w:leftChars="5"/>
              <w:rPr>
                <w:rFonts w:ascii="宋体" w:hAnsi="宋体"/>
                <w:color w:val="auto"/>
                <w:szCs w:val="21"/>
                <w:highlight w:val="none"/>
                <w:lang w:val="en-US"/>
              </w:rPr>
            </w:pPr>
          </w:p>
        </w:tc>
        <w:tc>
          <w:tcPr>
            <w:tcW w:w="2160" w:type="dxa"/>
            <w:tcBorders>
              <w:top w:val="single" w:color="auto" w:sz="4" w:space="0"/>
              <w:left w:val="single" w:color="auto" w:sz="4" w:space="0"/>
              <w:bottom w:val="single" w:color="auto" w:sz="4" w:space="0"/>
              <w:right w:val="single" w:color="auto" w:sz="4" w:space="0"/>
            </w:tcBorders>
            <w:vAlign w:val="center"/>
          </w:tcPr>
          <w:p w14:paraId="0D3CC835">
            <w:pPr>
              <w:pStyle w:val="25"/>
              <w:spacing w:line="360" w:lineRule="auto"/>
              <w:rPr>
                <w:rFonts w:ascii="宋体" w:hAnsi="宋体"/>
                <w:color w:val="auto"/>
                <w:szCs w:val="21"/>
                <w:highlight w:val="none"/>
              </w:rPr>
            </w:pPr>
            <w:r>
              <w:rPr>
                <w:rFonts w:hint="eastAsia" w:ascii="宋体" w:hAnsi="宋体"/>
                <w:color w:val="auto"/>
                <w:szCs w:val="21"/>
                <w:highlight w:val="none"/>
              </w:rPr>
              <w:t>见投标文件第（）页</w:t>
            </w:r>
          </w:p>
        </w:tc>
      </w:tr>
      <w:tr w14:paraId="13C2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32A073D2">
            <w:pPr>
              <w:pStyle w:val="75"/>
              <w:keepNext w:val="0"/>
              <w:adjustRightInd/>
              <w:spacing w:before="0" w:after="0" w:line="360" w:lineRule="auto"/>
              <w:rPr>
                <w:rFonts w:ascii="宋体" w:hAnsi="宋体"/>
                <w:b/>
                <w:bCs/>
                <w:color w:val="auto"/>
                <w:spacing w:val="0"/>
                <w:kern w:val="2"/>
                <w:sz w:val="21"/>
                <w:szCs w:val="21"/>
                <w:highlight w:val="none"/>
              </w:rPr>
            </w:pPr>
            <w:r>
              <w:rPr>
                <w:rFonts w:hint="eastAsia" w:ascii="宋体" w:hAnsi="宋体"/>
                <w:b/>
                <w:bCs/>
                <w:color w:val="auto"/>
                <w:spacing w:val="0"/>
                <w:kern w:val="2"/>
                <w:sz w:val="21"/>
                <w:szCs w:val="21"/>
                <w:highlight w:val="none"/>
              </w:rPr>
              <w:t>技术评审分项</w:t>
            </w:r>
          </w:p>
        </w:tc>
        <w:tc>
          <w:tcPr>
            <w:tcW w:w="5580" w:type="dxa"/>
            <w:tcBorders>
              <w:top w:val="single" w:color="auto" w:sz="4" w:space="0"/>
              <w:left w:val="single" w:color="auto" w:sz="4" w:space="0"/>
              <w:bottom w:val="single" w:color="auto" w:sz="4" w:space="0"/>
              <w:right w:val="single" w:color="auto" w:sz="4" w:space="0"/>
            </w:tcBorders>
            <w:vAlign w:val="center"/>
          </w:tcPr>
          <w:p w14:paraId="76415D8B">
            <w:pPr>
              <w:pStyle w:val="75"/>
              <w:keepNext w:val="0"/>
              <w:adjustRightInd/>
              <w:spacing w:before="0" w:after="0" w:line="360" w:lineRule="auto"/>
              <w:ind w:left="11" w:leftChars="5"/>
              <w:rPr>
                <w:rFonts w:ascii="宋体" w:hAnsi="宋体"/>
                <w:b/>
                <w:bCs/>
                <w:color w:val="auto"/>
                <w:spacing w:val="0"/>
                <w:kern w:val="2"/>
                <w:sz w:val="21"/>
                <w:szCs w:val="21"/>
                <w:highlight w:val="none"/>
              </w:rPr>
            </w:pPr>
            <w:r>
              <w:rPr>
                <w:rFonts w:hint="eastAsia" w:ascii="宋体" w:hAnsi="宋体"/>
                <w:b/>
                <w:bCs/>
                <w:color w:val="auto"/>
                <w:spacing w:val="0"/>
                <w:kern w:val="2"/>
                <w:sz w:val="21"/>
                <w:szCs w:val="21"/>
                <w:highlight w:val="none"/>
              </w:rPr>
              <w:t>技术评审细则</w:t>
            </w:r>
          </w:p>
        </w:tc>
        <w:tc>
          <w:tcPr>
            <w:tcW w:w="2160" w:type="dxa"/>
            <w:tcBorders>
              <w:top w:val="single" w:color="auto" w:sz="4" w:space="0"/>
              <w:left w:val="single" w:color="auto" w:sz="4" w:space="0"/>
              <w:bottom w:val="single" w:color="auto" w:sz="4" w:space="0"/>
              <w:right w:val="single" w:color="auto" w:sz="4" w:space="0"/>
            </w:tcBorders>
            <w:vAlign w:val="center"/>
          </w:tcPr>
          <w:p w14:paraId="364D40AA">
            <w:pPr>
              <w:pStyle w:val="75"/>
              <w:keepNext w:val="0"/>
              <w:adjustRightInd/>
              <w:spacing w:before="0" w:after="0" w:line="360" w:lineRule="auto"/>
              <w:rPr>
                <w:rFonts w:ascii="宋体" w:hAnsi="宋体"/>
                <w:b/>
                <w:bCs/>
                <w:color w:val="auto"/>
                <w:spacing w:val="0"/>
                <w:kern w:val="2"/>
                <w:sz w:val="21"/>
                <w:szCs w:val="21"/>
                <w:highlight w:val="none"/>
              </w:rPr>
            </w:pPr>
            <w:r>
              <w:rPr>
                <w:rFonts w:hint="eastAsia" w:ascii="宋体" w:hAnsi="宋体"/>
                <w:b/>
                <w:bCs/>
                <w:color w:val="auto"/>
                <w:spacing w:val="0"/>
                <w:kern w:val="2"/>
                <w:sz w:val="21"/>
                <w:szCs w:val="21"/>
                <w:highlight w:val="none"/>
              </w:rPr>
              <w:t>证明文件</w:t>
            </w:r>
          </w:p>
        </w:tc>
      </w:tr>
      <w:tr w14:paraId="79B7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6ECAC5D7">
            <w:pPr>
              <w:spacing w:line="360" w:lineRule="auto"/>
              <w:jc w:val="center"/>
              <w:rPr>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center"/>
          </w:tcPr>
          <w:p w14:paraId="6785964C">
            <w:pPr>
              <w:pStyle w:val="25"/>
              <w:spacing w:line="360" w:lineRule="auto"/>
              <w:ind w:left="11" w:leftChars="5"/>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17EC322">
            <w:pPr>
              <w:pStyle w:val="25"/>
              <w:spacing w:line="360" w:lineRule="auto"/>
              <w:ind w:left="-35" w:leftChars="-16"/>
              <w:rPr>
                <w:rFonts w:ascii="宋体" w:hAnsi="宋体"/>
                <w:color w:val="auto"/>
                <w:szCs w:val="21"/>
                <w:highlight w:val="none"/>
              </w:rPr>
            </w:pPr>
            <w:r>
              <w:rPr>
                <w:rFonts w:hint="eastAsia" w:ascii="宋体" w:hAnsi="宋体"/>
                <w:color w:val="auto"/>
                <w:szCs w:val="21"/>
                <w:highlight w:val="none"/>
              </w:rPr>
              <w:t>见投标文件第（）页</w:t>
            </w:r>
          </w:p>
        </w:tc>
      </w:tr>
      <w:tr w14:paraId="5EDE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133902D0">
            <w:pPr>
              <w:spacing w:line="360" w:lineRule="auto"/>
              <w:jc w:val="center"/>
              <w:rPr>
                <w:bCs/>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center"/>
          </w:tcPr>
          <w:p w14:paraId="4D40BF0E">
            <w:pPr>
              <w:spacing w:line="360" w:lineRule="auto"/>
              <w:ind w:left="11" w:leftChars="5"/>
              <w:rPr>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6D03F32">
            <w:pPr>
              <w:spacing w:line="360" w:lineRule="auto"/>
              <w:ind w:left="-35" w:leftChars="-16"/>
              <w:rPr>
                <w:color w:val="auto"/>
                <w:sz w:val="21"/>
                <w:szCs w:val="21"/>
                <w:highlight w:val="none"/>
              </w:rPr>
            </w:pPr>
            <w:r>
              <w:rPr>
                <w:rFonts w:hint="eastAsia"/>
                <w:color w:val="auto"/>
                <w:sz w:val="21"/>
                <w:szCs w:val="21"/>
                <w:highlight w:val="none"/>
              </w:rPr>
              <w:t>见投标文件第（）页</w:t>
            </w:r>
          </w:p>
        </w:tc>
      </w:tr>
      <w:tr w14:paraId="1097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110ECF0D">
            <w:pPr>
              <w:spacing w:line="360" w:lineRule="auto"/>
              <w:jc w:val="center"/>
              <w:rPr>
                <w:bCs/>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center"/>
          </w:tcPr>
          <w:p w14:paraId="7E5BF45D">
            <w:pPr>
              <w:spacing w:line="360" w:lineRule="auto"/>
              <w:rPr>
                <w:color w:val="auto"/>
                <w:sz w:val="21"/>
                <w:szCs w:val="21"/>
                <w:highlight w:val="none"/>
                <w:lang w:val="en-US"/>
              </w:rPr>
            </w:pPr>
          </w:p>
        </w:tc>
        <w:tc>
          <w:tcPr>
            <w:tcW w:w="2160" w:type="dxa"/>
            <w:tcBorders>
              <w:top w:val="single" w:color="auto" w:sz="4" w:space="0"/>
              <w:left w:val="single" w:color="auto" w:sz="4" w:space="0"/>
              <w:bottom w:val="single" w:color="auto" w:sz="4" w:space="0"/>
              <w:right w:val="single" w:color="auto" w:sz="4" w:space="0"/>
            </w:tcBorders>
            <w:vAlign w:val="center"/>
          </w:tcPr>
          <w:p w14:paraId="64C2F065">
            <w:pPr>
              <w:spacing w:line="360" w:lineRule="auto"/>
              <w:ind w:left="-35" w:leftChars="-16"/>
              <w:rPr>
                <w:color w:val="auto"/>
                <w:sz w:val="21"/>
                <w:szCs w:val="21"/>
                <w:highlight w:val="none"/>
              </w:rPr>
            </w:pPr>
            <w:r>
              <w:rPr>
                <w:rFonts w:hint="eastAsia"/>
                <w:color w:val="auto"/>
                <w:sz w:val="21"/>
                <w:szCs w:val="21"/>
                <w:highlight w:val="none"/>
              </w:rPr>
              <w:t>见投标文件第（）页</w:t>
            </w:r>
          </w:p>
        </w:tc>
      </w:tr>
      <w:tr w14:paraId="4647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14:paraId="6D226CFD">
            <w:pPr>
              <w:spacing w:line="360" w:lineRule="auto"/>
              <w:jc w:val="center"/>
              <w:rPr>
                <w:bCs/>
                <w:color w:val="auto"/>
                <w:szCs w:val="21"/>
                <w:highlight w:val="none"/>
              </w:rPr>
            </w:pPr>
          </w:p>
        </w:tc>
        <w:tc>
          <w:tcPr>
            <w:tcW w:w="5580" w:type="dxa"/>
            <w:tcBorders>
              <w:top w:val="single" w:color="auto" w:sz="4" w:space="0"/>
              <w:left w:val="single" w:color="auto" w:sz="4" w:space="0"/>
              <w:bottom w:val="single" w:color="auto" w:sz="4" w:space="0"/>
              <w:right w:val="single" w:color="auto" w:sz="4" w:space="0"/>
            </w:tcBorders>
            <w:vAlign w:val="center"/>
          </w:tcPr>
          <w:p w14:paraId="59174505">
            <w:pPr>
              <w:spacing w:line="360" w:lineRule="auto"/>
              <w:ind w:left="11" w:leftChars="5"/>
              <w:rPr>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A5CA265">
            <w:pPr>
              <w:spacing w:line="360" w:lineRule="auto"/>
              <w:ind w:left="-35" w:leftChars="-16"/>
              <w:rPr>
                <w:color w:val="auto"/>
                <w:sz w:val="21"/>
                <w:szCs w:val="21"/>
                <w:highlight w:val="none"/>
              </w:rPr>
            </w:pPr>
            <w:r>
              <w:rPr>
                <w:rFonts w:hint="eastAsia"/>
                <w:color w:val="auto"/>
                <w:sz w:val="21"/>
                <w:szCs w:val="21"/>
                <w:highlight w:val="none"/>
              </w:rPr>
              <w:t>见投标文件第（）页</w:t>
            </w:r>
          </w:p>
        </w:tc>
      </w:tr>
    </w:tbl>
    <w:p w14:paraId="2196F390">
      <w:pPr>
        <w:adjustRightInd w:val="0"/>
        <w:snapToGrid w:val="0"/>
        <w:spacing w:line="360" w:lineRule="auto"/>
        <w:rPr>
          <w:color w:val="auto"/>
          <w:sz w:val="21"/>
          <w:szCs w:val="21"/>
          <w:highlight w:val="none"/>
        </w:rPr>
      </w:pPr>
    </w:p>
    <w:p w14:paraId="4B623201">
      <w:pPr>
        <w:adjustRightInd w:val="0"/>
        <w:snapToGrid w:val="0"/>
        <w:spacing w:line="360" w:lineRule="auto"/>
        <w:rPr>
          <w:color w:val="auto"/>
          <w:sz w:val="21"/>
          <w:szCs w:val="21"/>
          <w:highlight w:val="none"/>
        </w:rPr>
      </w:pPr>
      <w:r>
        <w:rPr>
          <w:rFonts w:hint="eastAsia"/>
          <w:color w:val="auto"/>
          <w:sz w:val="21"/>
          <w:szCs w:val="21"/>
          <w:highlight w:val="none"/>
        </w:rPr>
        <w:t>注：1、投标人应根据《技术评审表》和《商务评审表》的各项内容填写此表，表格可延长。</w:t>
      </w:r>
    </w:p>
    <w:p w14:paraId="2C428F79">
      <w:pPr>
        <w:adjustRightInd w:val="0"/>
        <w:snapToGrid w:val="0"/>
        <w:spacing w:line="360" w:lineRule="auto"/>
        <w:ind w:firstLine="424" w:firstLineChars="202"/>
        <w:rPr>
          <w:color w:val="auto"/>
          <w:sz w:val="21"/>
          <w:szCs w:val="21"/>
          <w:highlight w:val="none"/>
        </w:rPr>
      </w:pPr>
      <w:r>
        <w:rPr>
          <w:rFonts w:hint="eastAsia"/>
          <w:color w:val="auto"/>
          <w:sz w:val="21"/>
          <w:szCs w:val="21"/>
          <w:highlight w:val="none"/>
        </w:rPr>
        <w:t>2、按评审项的顺序填写。</w:t>
      </w:r>
    </w:p>
    <w:p w14:paraId="247BCBAE">
      <w:pPr>
        <w:rPr>
          <w:color w:val="auto"/>
          <w:highlight w:val="none"/>
        </w:rPr>
      </w:pPr>
    </w:p>
    <w:p w14:paraId="475040A5">
      <w:pPr>
        <w:rPr>
          <w:color w:val="auto"/>
          <w:highlight w:val="none"/>
        </w:rPr>
      </w:pPr>
    </w:p>
    <w:p w14:paraId="0BC917DD">
      <w:pPr>
        <w:pStyle w:val="3"/>
        <w:keepNext w:val="0"/>
        <w:keepLines w:val="0"/>
        <w:widowControl/>
        <w:spacing w:before="188" w:after="188" w:line="400" w:lineRule="exact"/>
        <w:ind w:left="420"/>
        <w:jc w:val="center"/>
        <w:rPr>
          <w:rFonts w:ascii="宋体" w:hAnsi="宋体" w:eastAsia="宋体" w:cs="宋体"/>
          <w:color w:val="auto"/>
          <w:sz w:val="21"/>
          <w:highlight w:val="none"/>
        </w:rPr>
      </w:pPr>
      <w:r>
        <w:rPr>
          <w:rFonts w:hint="eastAsia"/>
          <w:b w:val="0"/>
          <w:color w:val="auto"/>
          <w:sz w:val="21"/>
          <w:highlight w:val="none"/>
        </w:rPr>
        <w:br w:type="page"/>
      </w:r>
      <w:bookmarkStart w:id="180" w:name="_Toc29825815"/>
      <w:bookmarkStart w:id="181" w:name="_Toc86349481"/>
      <w:r>
        <w:rPr>
          <w:rFonts w:hint="eastAsia" w:ascii="宋体" w:hAnsi="宋体" w:eastAsia="宋体" w:cs="宋体"/>
          <w:bCs/>
          <w:color w:val="auto"/>
          <w:kern w:val="2"/>
          <w:highlight w:val="none"/>
        </w:rPr>
        <w:t>第三章 资格审查文件</w:t>
      </w:r>
      <w:bookmarkEnd w:id="180"/>
      <w:bookmarkEnd w:id="181"/>
    </w:p>
    <w:p w14:paraId="4F8DC2F4">
      <w:pPr>
        <w:pStyle w:val="3"/>
        <w:keepNext w:val="0"/>
        <w:keepLines w:val="0"/>
        <w:widowControl/>
        <w:numPr>
          <w:ilvl w:val="1"/>
          <w:numId w:val="25"/>
        </w:numPr>
        <w:spacing w:before="188" w:after="188"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End w:id="178"/>
      <w:bookmarkStart w:id="182" w:name="_Toc29825816"/>
      <w:bookmarkStart w:id="183" w:name="_Toc86349482"/>
      <w:r>
        <w:rPr>
          <w:rFonts w:hint="eastAsia" w:ascii="宋体" w:hAnsi="宋体" w:eastAsia="宋体" w:cs="宋体"/>
          <w:color w:val="auto"/>
          <w:sz w:val="21"/>
          <w:szCs w:val="21"/>
          <w:highlight w:val="none"/>
        </w:rPr>
        <w:t>资格声明函</w:t>
      </w:r>
      <w:bookmarkEnd w:id="182"/>
      <w:bookmarkEnd w:id="183"/>
    </w:p>
    <w:p w14:paraId="28A312E9">
      <w:pPr>
        <w:rPr>
          <w:b/>
          <w:color w:val="auto"/>
          <w:sz w:val="21"/>
          <w:szCs w:val="21"/>
          <w:highlight w:val="none"/>
        </w:rPr>
      </w:pPr>
      <w:r>
        <w:rPr>
          <w:rFonts w:hint="eastAsia"/>
          <w:b/>
          <w:color w:val="auto"/>
          <w:sz w:val="21"/>
          <w:szCs w:val="21"/>
          <w:highlight w:val="none"/>
        </w:rPr>
        <w:t>广东省建筑工程监理有限公司：</w:t>
      </w:r>
    </w:p>
    <w:p w14:paraId="5DE19A2D">
      <w:pPr>
        <w:snapToGrid w:val="0"/>
        <w:spacing w:before="120" w:beforeLines="50" w:line="360" w:lineRule="auto"/>
        <w:ind w:firstLine="525" w:firstLineChars="250"/>
        <w:rPr>
          <w:bCs/>
          <w:color w:val="auto"/>
          <w:sz w:val="21"/>
          <w:szCs w:val="21"/>
          <w:highlight w:val="none"/>
        </w:rPr>
      </w:pPr>
      <w:r>
        <w:rPr>
          <w:rFonts w:hint="eastAsia"/>
          <w:color w:val="auto"/>
          <w:sz w:val="21"/>
          <w:szCs w:val="21"/>
          <w:highlight w:val="none"/>
        </w:rPr>
        <w:t>关于贵公司的</w:t>
      </w:r>
      <w:r>
        <w:rPr>
          <w:rFonts w:hint="eastAsia"/>
          <w:color w:val="auto"/>
          <w:sz w:val="21"/>
          <w:szCs w:val="21"/>
          <w:highlight w:val="none"/>
          <w:u w:val="single"/>
        </w:rPr>
        <w:t xml:space="preserve">     （项目名称）             </w:t>
      </w:r>
      <w:r>
        <w:rPr>
          <w:rFonts w:hint="eastAsia"/>
          <w:color w:val="auto"/>
          <w:sz w:val="21"/>
          <w:szCs w:val="21"/>
          <w:highlight w:val="none"/>
        </w:rPr>
        <w:t>（项目编号：</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u w:val="single"/>
        </w:rPr>
        <w:t xml:space="preserve">   </w:t>
      </w:r>
      <w:r>
        <w:rPr>
          <w:rFonts w:hint="eastAsia"/>
          <w:color w:val="auto"/>
          <w:sz w:val="21"/>
          <w:szCs w:val="21"/>
          <w:highlight w:val="none"/>
        </w:rPr>
        <w:t>）的投标邀请，本单位（企业）自愿参加投标</w:t>
      </w:r>
      <w:r>
        <w:rPr>
          <w:rFonts w:hint="eastAsia"/>
          <w:bCs/>
          <w:color w:val="auto"/>
          <w:sz w:val="21"/>
          <w:szCs w:val="21"/>
          <w:highlight w:val="none"/>
        </w:rPr>
        <w:t>，现声明如下：</w:t>
      </w:r>
    </w:p>
    <w:p w14:paraId="2B487466">
      <w:pPr>
        <w:snapToGrid w:val="0"/>
        <w:spacing w:line="360" w:lineRule="auto"/>
        <w:ind w:firstLine="424" w:firstLineChars="202"/>
        <w:rPr>
          <w:color w:val="auto"/>
          <w:sz w:val="21"/>
          <w:szCs w:val="21"/>
          <w:highlight w:val="none"/>
        </w:rPr>
      </w:pPr>
      <w:r>
        <w:rPr>
          <w:rFonts w:hint="eastAsia"/>
          <w:color w:val="auto"/>
          <w:sz w:val="21"/>
          <w:szCs w:val="21"/>
          <w:highlight w:val="none"/>
        </w:rPr>
        <w:t>本单位具备</w:t>
      </w:r>
      <w:r>
        <w:rPr>
          <w:rFonts w:hint="eastAsia"/>
          <w:bCs/>
          <w:color w:val="auto"/>
          <w:sz w:val="21"/>
          <w:szCs w:val="21"/>
          <w:highlight w:val="none"/>
        </w:rPr>
        <w:t>独立法人资格条件，</w:t>
      </w:r>
      <w:r>
        <w:rPr>
          <w:rFonts w:hint="eastAsia"/>
          <w:color w:val="auto"/>
          <w:sz w:val="21"/>
          <w:szCs w:val="21"/>
          <w:highlight w:val="none"/>
        </w:rPr>
        <w:t>并已清楚招标文件的要求及有关文件规定。</w:t>
      </w:r>
    </w:p>
    <w:p w14:paraId="6B8B4F9E">
      <w:pPr>
        <w:snapToGrid w:val="0"/>
        <w:spacing w:line="360" w:lineRule="auto"/>
        <w:ind w:firstLine="424" w:firstLineChars="202"/>
        <w:rPr>
          <w:color w:val="auto"/>
          <w:sz w:val="21"/>
          <w:szCs w:val="21"/>
          <w:highlight w:val="none"/>
        </w:rPr>
      </w:pPr>
      <w:r>
        <w:rPr>
          <w:rFonts w:hint="eastAsia"/>
          <w:color w:val="auto"/>
          <w:sz w:val="21"/>
          <w:szCs w:val="21"/>
          <w:highlight w:val="none"/>
        </w:rPr>
        <w:t>本单位的法定代表人或单位负责人与所参投本采购项目其他投标人的单位负责人</w:t>
      </w:r>
      <w:r>
        <w:rPr>
          <w:rFonts w:hint="eastAsia"/>
          <w:color w:val="auto"/>
          <w:sz w:val="21"/>
          <w:szCs w:val="21"/>
          <w:highlight w:val="none"/>
          <w:lang w:val="en-US"/>
        </w:rPr>
        <w:t>非</w:t>
      </w:r>
      <w:r>
        <w:rPr>
          <w:rFonts w:hint="eastAsia"/>
          <w:color w:val="auto"/>
          <w:sz w:val="21"/>
          <w:szCs w:val="21"/>
          <w:highlight w:val="none"/>
        </w:rPr>
        <w:t>同一人</w:t>
      </w:r>
      <w:r>
        <w:rPr>
          <w:rFonts w:hint="eastAsia"/>
          <w:color w:val="auto"/>
          <w:sz w:val="21"/>
          <w:szCs w:val="21"/>
          <w:highlight w:val="none"/>
          <w:lang w:val="en-US"/>
        </w:rPr>
        <w:t>且不</w:t>
      </w:r>
      <w:r>
        <w:rPr>
          <w:rFonts w:hint="eastAsia"/>
          <w:color w:val="auto"/>
          <w:sz w:val="21"/>
          <w:szCs w:val="21"/>
          <w:highlight w:val="none"/>
        </w:rPr>
        <w:t>存在直接控股、管理关系。</w:t>
      </w:r>
    </w:p>
    <w:p w14:paraId="4BD2AB01">
      <w:pPr>
        <w:snapToGrid w:val="0"/>
        <w:spacing w:line="360" w:lineRule="auto"/>
        <w:ind w:firstLine="424" w:firstLineChars="202"/>
        <w:rPr>
          <w:color w:val="auto"/>
          <w:sz w:val="21"/>
          <w:szCs w:val="21"/>
          <w:highlight w:val="none"/>
        </w:rPr>
      </w:pPr>
      <w:r>
        <w:rPr>
          <w:rFonts w:hint="eastAsia"/>
          <w:color w:val="auto"/>
          <w:sz w:val="21"/>
          <w:szCs w:val="21"/>
          <w:highlight w:val="none"/>
        </w:rPr>
        <w:t>本单位非联合体投标，中标后不转包、不分包。</w:t>
      </w:r>
    </w:p>
    <w:p w14:paraId="0EA0F0F5">
      <w:pPr>
        <w:snapToGrid w:val="0"/>
        <w:spacing w:line="360" w:lineRule="auto"/>
        <w:ind w:firstLine="424" w:firstLineChars="202"/>
        <w:rPr>
          <w:color w:val="auto"/>
          <w:sz w:val="21"/>
          <w:szCs w:val="21"/>
          <w:highlight w:val="none"/>
        </w:rPr>
      </w:pPr>
      <w:r>
        <w:rPr>
          <w:rFonts w:hint="eastAsia"/>
          <w:color w:val="auto"/>
          <w:sz w:val="21"/>
          <w:szCs w:val="21"/>
          <w:highlight w:val="none"/>
        </w:rPr>
        <w:t>本次招标采购活动中，如有违法、违规、弄虚作假行为，所造成的损失、不良后果及法律责任，一律由我单位承担。</w:t>
      </w:r>
    </w:p>
    <w:p w14:paraId="2E50F9CA">
      <w:pPr>
        <w:spacing w:line="360" w:lineRule="auto"/>
        <w:ind w:firstLine="420"/>
        <w:rPr>
          <w:b/>
          <w:color w:val="auto"/>
          <w:sz w:val="21"/>
          <w:szCs w:val="21"/>
          <w:highlight w:val="none"/>
        </w:rPr>
      </w:pPr>
      <w:r>
        <w:rPr>
          <w:rFonts w:hint="eastAsia"/>
          <w:b/>
          <w:color w:val="auto"/>
          <w:sz w:val="21"/>
          <w:szCs w:val="21"/>
          <w:highlight w:val="none"/>
        </w:rPr>
        <w:t>特此声明！</w:t>
      </w:r>
    </w:p>
    <w:p w14:paraId="21329641">
      <w:pPr>
        <w:spacing w:line="360" w:lineRule="auto"/>
        <w:ind w:firstLine="420"/>
        <w:rPr>
          <w:b/>
          <w:color w:val="auto"/>
          <w:sz w:val="21"/>
          <w:szCs w:val="21"/>
          <w:highlight w:val="none"/>
        </w:rPr>
      </w:pPr>
    </w:p>
    <w:p w14:paraId="0EF75E57">
      <w:pPr>
        <w:spacing w:line="360" w:lineRule="auto"/>
        <w:ind w:firstLine="420"/>
        <w:rPr>
          <w:b/>
          <w:color w:val="auto"/>
          <w:sz w:val="21"/>
          <w:szCs w:val="21"/>
          <w:highlight w:val="none"/>
        </w:rPr>
      </w:pPr>
    </w:p>
    <w:p w14:paraId="06857EBC">
      <w:pPr>
        <w:tabs>
          <w:tab w:val="left" w:pos="2268"/>
        </w:tabs>
        <w:spacing w:line="420" w:lineRule="exact"/>
        <w:rPr>
          <w:color w:val="auto"/>
          <w:sz w:val="21"/>
          <w:szCs w:val="21"/>
          <w:highlight w:val="none"/>
        </w:rPr>
      </w:pPr>
      <w:r>
        <w:rPr>
          <w:rFonts w:hint="eastAsia"/>
          <w:color w:val="auto"/>
          <w:sz w:val="21"/>
          <w:szCs w:val="21"/>
          <w:highlight w:val="none"/>
        </w:rPr>
        <w:t>投标人名称（并加盖公章）：</w:t>
      </w:r>
    </w:p>
    <w:p w14:paraId="73087557">
      <w:pPr>
        <w:tabs>
          <w:tab w:val="left" w:pos="2268"/>
        </w:tabs>
        <w:spacing w:line="420" w:lineRule="exact"/>
        <w:rPr>
          <w:color w:val="auto"/>
          <w:sz w:val="21"/>
          <w:szCs w:val="21"/>
          <w:highlight w:val="none"/>
        </w:rPr>
      </w:pPr>
    </w:p>
    <w:p w14:paraId="02372E7C">
      <w:pPr>
        <w:tabs>
          <w:tab w:val="left" w:pos="2268"/>
        </w:tabs>
        <w:spacing w:line="420" w:lineRule="exact"/>
        <w:rPr>
          <w:color w:val="auto"/>
          <w:sz w:val="21"/>
          <w:szCs w:val="21"/>
          <w:highlight w:val="none"/>
        </w:rPr>
      </w:pPr>
      <w:r>
        <w:rPr>
          <w:rFonts w:hint="eastAsia"/>
          <w:color w:val="auto"/>
          <w:sz w:val="21"/>
          <w:szCs w:val="21"/>
          <w:highlight w:val="none"/>
        </w:rPr>
        <w:t>投标人法定代表人或其委托人签字或印鉴：</w:t>
      </w:r>
    </w:p>
    <w:p w14:paraId="27E17128">
      <w:pPr>
        <w:tabs>
          <w:tab w:val="left" w:pos="2268"/>
        </w:tabs>
        <w:spacing w:line="420" w:lineRule="exact"/>
        <w:rPr>
          <w:color w:val="auto"/>
          <w:sz w:val="21"/>
          <w:szCs w:val="21"/>
          <w:highlight w:val="none"/>
        </w:rPr>
      </w:pPr>
    </w:p>
    <w:p w14:paraId="5B676EEB">
      <w:pPr>
        <w:tabs>
          <w:tab w:val="left" w:pos="2268"/>
        </w:tabs>
        <w:spacing w:line="420" w:lineRule="exact"/>
        <w:rPr>
          <w:color w:val="auto"/>
          <w:sz w:val="21"/>
          <w:szCs w:val="21"/>
          <w:highlight w:val="non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0A2316A6">
      <w:pPr>
        <w:spacing w:line="360" w:lineRule="auto"/>
        <w:ind w:firstLine="420"/>
        <w:rPr>
          <w:color w:val="auto"/>
          <w:sz w:val="21"/>
          <w:szCs w:val="21"/>
          <w:highlight w:val="none"/>
        </w:rPr>
      </w:pPr>
    </w:p>
    <w:p w14:paraId="2DBD5DA8">
      <w:pPr>
        <w:tabs>
          <w:tab w:val="left" w:pos="567"/>
        </w:tabs>
        <w:adjustRightInd w:val="0"/>
        <w:snapToGrid w:val="0"/>
        <w:spacing w:line="360" w:lineRule="auto"/>
        <w:rPr>
          <w:b/>
          <w:color w:val="auto"/>
          <w:sz w:val="21"/>
          <w:szCs w:val="21"/>
          <w:highlight w:val="none"/>
        </w:rPr>
      </w:pPr>
    </w:p>
    <w:p w14:paraId="5D97E227">
      <w:pPr>
        <w:tabs>
          <w:tab w:val="left" w:pos="567"/>
        </w:tabs>
        <w:adjustRightInd w:val="0"/>
        <w:snapToGrid w:val="0"/>
        <w:spacing w:line="360" w:lineRule="auto"/>
        <w:rPr>
          <w:b/>
          <w:color w:val="auto"/>
          <w:sz w:val="21"/>
          <w:szCs w:val="21"/>
          <w:highlight w:val="none"/>
        </w:rPr>
      </w:pPr>
      <w:r>
        <w:rPr>
          <w:rFonts w:hint="eastAsia"/>
          <w:b/>
          <w:color w:val="auto"/>
          <w:sz w:val="21"/>
          <w:szCs w:val="21"/>
          <w:highlight w:val="none"/>
        </w:rPr>
        <w:t>附：</w:t>
      </w:r>
    </w:p>
    <w:p w14:paraId="2599CD51">
      <w:pPr>
        <w:spacing w:line="360" w:lineRule="auto"/>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rPr>
        <w:t>①企业法人提供企业法人营业执照；②事业法人提供事业法人登记证；③其他组织提供其他组织的社会团体法人登记证或执业许可证等的复印件</w:t>
      </w:r>
      <w:r>
        <w:rPr>
          <w:rFonts w:hint="eastAsia"/>
          <w:color w:val="auto"/>
          <w:sz w:val="21"/>
          <w:szCs w:val="21"/>
          <w:highlight w:val="none"/>
        </w:rPr>
        <w:t>；</w:t>
      </w:r>
      <w:r>
        <w:rPr>
          <w:rFonts w:hint="eastAsia"/>
          <w:color w:val="auto"/>
          <w:sz w:val="21"/>
          <w:szCs w:val="21"/>
          <w:highlight w:val="none"/>
          <w:lang w:val="en-US"/>
        </w:rPr>
        <w:t>分支机构投标，须取得具有法人资格的总公司出具给分支机构的授权书，并提供总公司和分支机构的营业执照（执业许可证）复印件。</w:t>
      </w:r>
    </w:p>
    <w:p w14:paraId="63A17B78">
      <w:pPr>
        <w:spacing w:line="360" w:lineRule="auto"/>
        <w:rPr>
          <w:b/>
          <w:bCs/>
          <w:color w:val="auto"/>
          <w:sz w:val="21"/>
          <w:szCs w:val="21"/>
          <w:highlight w:val="none"/>
        </w:rPr>
      </w:pPr>
      <w:r>
        <w:rPr>
          <w:rFonts w:hint="eastAsia"/>
          <w:color w:val="auto"/>
          <w:sz w:val="21"/>
          <w:szCs w:val="21"/>
          <w:highlight w:val="none"/>
        </w:rPr>
        <w:t>2、其他招标文件要求的资料。</w:t>
      </w:r>
      <w:r>
        <w:rPr>
          <w:rFonts w:hint="eastAsia"/>
          <w:b/>
          <w:bCs/>
          <w:color w:val="auto"/>
          <w:sz w:val="21"/>
          <w:szCs w:val="21"/>
          <w:highlight w:val="none"/>
        </w:rPr>
        <w:br w:type="page"/>
      </w:r>
    </w:p>
    <w:p w14:paraId="623399E5">
      <w:pPr>
        <w:pStyle w:val="7"/>
        <w:ind w:left="2640" w:hanging="2498"/>
        <w:rPr>
          <w:b/>
          <w:bCs/>
          <w:color w:val="auto"/>
          <w:sz w:val="21"/>
          <w:szCs w:val="21"/>
          <w:highlight w:val="none"/>
        </w:rPr>
      </w:pPr>
      <w:r>
        <w:rPr>
          <w:rFonts w:hint="eastAsia"/>
          <w:b/>
          <w:bCs/>
          <w:color w:val="auto"/>
          <w:sz w:val="21"/>
          <w:szCs w:val="21"/>
          <w:highlight w:val="none"/>
        </w:rPr>
        <w:t>附件</w:t>
      </w:r>
      <w:r>
        <w:rPr>
          <w:b/>
          <w:bCs/>
          <w:color w:val="auto"/>
          <w:sz w:val="21"/>
          <w:szCs w:val="21"/>
          <w:highlight w:val="none"/>
        </w:rPr>
        <w:t>3</w:t>
      </w:r>
      <w:r>
        <w:rPr>
          <w:rFonts w:hint="eastAsia"/>
          <w:b/>
          <w:bCs/>
          <w:color w:val="auto"/>
          <w:sz w:val="21"/>
          <w:szCs w:val="21"/>
          <w:highlight w:val="none"/>
        </w:rPr>
        <w:t>：</w:t>
      </w:r>
    </w:p>
    <w:p w14:paraId="28CBC742">
      <w:pPr>
        <w:spacing w:line="360" w:lineRule="auto"/>
        <w:jc w:val="center"/>
        <w:rPr>
          <w:rFonts w:ascii="仿宋" w:hAnsi="仿宋" w:eastAsia="仿宋"/>
          <w:color w:val="auto"/>
          <w:sz w:val="32"/>
          <w:szCs w:val="32"/>
          <w:highlight w:val="none"/>
        </w:rPr>
      </w:pPr>
      <w:r>
        <w:rPr>
          <w:rFonts w:hint="eastAsia"/>
          <w:b/>
          <w:bCs/>
          <w:color w:val="auto"/>
          <w:sz w:val="32"/>
          <w:szCs w:val="32"/>
          <w:highlight w:val="none"/>
        </w:rPr>
        <w:t>投标人控股及管理关系情况申报表</w:t>
      </w:r>
    </w:p>
    <w:p w14:paraId="6EAB90AA">
      <w:pPr>
        <w:spacing w:line="360" w:lineRule="auto"/>
        <w:rPr>
          <w:color w:val="auto"/>
          <w:sz w:val="24"/>
          <w:szCs w:val="24"/>
          <w:highlight w:val="none"/>
          <w:u w:val="single"/>
        </w:rPr>
      </w:pPr>
      <w:r>
        <w:rPr>
          <w:rFonts w:hint="eastAsia"/>
          <w:color w:val="auto"/>
          <w:sz w:val="24"/>
          <w:szCs w:val="24"/>
          <w:highlight w:val="none"/>
        </w:rPr>
        <w:t>致：</w:t>
      </w:r>
      <w:r>
        <w:rPr>
          <w:rFonts w:hint="eastAsia"/>
          <w:color w:val="auto"/>
          <w:sz w:val="24"/>
          <w:szCs w:val="24"/>
          <w:highlight w:val="none"/>
          <w:u w:val="single"/>
        </w:rPr>
        <w:t>（招标人名称）</w:t>
      </w:r>
    </w:p>
    <w:p w14:paraId="3644522B">
      <w:pPr>
        <w:spacing w:line="360" w:lineRule="auto"/>
        <w:ind w:firstLine="480" w:firstLineChars="200"/>
        <w:rPr>
          <w:color w:val="auto"/>
          <w:sz w:val="24"/>
          <w:szCs w:val="24"/>
          <w:highlight w:val="none"/>
        </w:rPr>
      </w:pPr>
      <w:r>
        <w:rPr>
          <w:rFonts w:hint="eastAsia"/>
          <w:color w:val="auto"/>
          <w:sz w:val="24"/>
          <w:szCs w:val="24"/>
          <w:highlight w:val="none"/>
        </w:rPr>
        <w:t>本单位参加</w:t>
      </w:r>
      <w:r>
        <w:rPr>
          <w:rFonts w:hint="eastAsia"/>
          <w:color w:val="auto"/>
          <w:sz w:val="24"/>
          <w:szCs w:val="24"/>
          <w:highlight w:val="none"/>
          <w:u w:val="single"/>
        </w:rPr>
        <w:t xml:space="preserve">   （项目名称） </w:t>
      </w:r>
      <w:r>
        <w:rPr>
          <w:rFonts w:hint="eastAsia"/>
          <w:color w:val="auto"/>
          <w:sz w:val="24"/>
          <w:szCs w:val="24"/>
          <w:highlight w:val="none"/>
        </w:rPr>
        <w:t>标段的投标，根据法律法规维护投标公正性的相关规定，特就本单位控股及管理关系情况申报如下，并承担申报不实的责任。</w:t>
      </w:r>
    </w:p>
    <w:tbl>
      <w:tblPr>
        <w:tblStyle w:val="3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1587"/>
        <w:gridCol w:w="4968"/>
      </w:tblGrid>
      <w:tr w14:paraId="657D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805" w:type="dxa"/>
            <w:tcBorders>
              <w:top w:val="single" w:color="auto" w:sz="4" w:space="0"/>
              <w:left w:val="single" w:color="auto" w:sz="4" w:space="0"/>
              <w:bottom w:val="single" w:color="auto" w:sz="4" w:space="0"/>
              <w:right w:val="single" w:color="auto" w:sz="4" w:space="0"/>
            </w:tcBorders>
            <w:vAlign w:val="center"/>
          </w:tcPr>
          <w:p w14:paraId="207CAE6B">
            <w:pPr>
              <w:spacing w:line="360" w:lineRule="auto"/>
              <w:rPr>
                <w:color w:val="auto"/>
                <w:highlight w:val="none"/>
              </w:rPr>
            </w:pPr>
            <w:r>
              <w:rPr>
                <w:rFonts w:hint="eastAsia"/>
                <w:color w:val="auto"/>
                <w:highlight w:val="none"/>
              </w:rPr>
              <w:t>申报人名称</w:t>
            </w:r>
          </w:p>
        </w:tc>
        <w:tc>
          <w:tcPr>
            <w:tcW w:w="6555" w:type="dxa"/>
            <w:gridSpan w:val="2"/>
            <w:tcBorders>
              <w:top w:val="single" w:color="auto" w:sz="4" w:space="0"/>
              <w:left w:val="single" w:color="auto" w:sz="4" w:space="0"/>
              <w:bottom w:val="single" w:color="auto" w:sz="4" w:space="0"/>
              <w:right w:val="single" w:color="auto" w:sz="4" w:space="0"/>
            </w:tcBorders>
          </w:tcPr>
          <w:p w14:paraId="69F6553E">
            <w:pPr>
              <w:spacing w:line="360" w:lineRule="auto"/>
              <w:rPr>
                <w:color w:val="auto"/>
                <w:highlight w:val="none"/>
              </w:rPr>
            </w:pPr>
          </w:p>
        </w:tc>
      </w:tr>
      <w:tr w14:paraId="1BA1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805" w:type="dxa"/>
            <w:vMerge w:val="restart"/>
            <w:tcBorders>
              <w:top w:val="single" w:color="auto" w:sz="4" w:space="0"/>
              <w:left w:val="single" w:color="auto" w:sz="4" w:space="0"/>
              <w:bottom w:val="single" w:color="auto" w:sz="4" w:space="0"/>
              <w:right w:val="single" w:color="auto" w:sz="4" w:space="0"/>
            </w:tcBorders>
            <w:vAlign w:val="center"/>
          </w:tcPr>
          <w:p w14:paraId="207E46E3">
            <w:pPr>
              <w:spacing w:line="360" w:lineRule="auto"/>
              <w:rPr>
                <w:color w:val="auto"/>
                <w:highlight w:val="none"/>
              </w:rPr>
            </w:pPr>
            <w:r>
              <w:rPr>
                <w:rFonts w:hint="eastAsia"/>
                <w:color w:val="auto"/>
                <w:highlight w:val="none"/>
              </w:rPr>
              <w:t>法定代表人/单位负责人</w:t>
            </w:r>
          </w:p>
        </w:tc>
        <w:tc>
          <w:tcPr>
            <w:tcW w:w="1587" w:type="dxa"/>
            <w:tcBorders>
              <w:top w:val="single" w:color="auto" w:sz="4" w:space="0"/>
              <w:left w:val="single" w:color="auto" w:sz="4" w:space="0"/>
              <w:bottom w:val="single" w:color="auto" w:sz="4" w:space="0"/>
              <w:right w:val="single" w:color="auto" w:sz="4" w:space="0"/>
            </w:tcBorders>
            <w:vAlign w:val="center"/>
          </w:tcPr>
          <w:p w14:paraId="5BD3B866">
            <w:pPr>
              <w:spacing w:line="360" w:lineRule="auto"/>
              <w:rPr>
                <w:color w:val="auto"/>
                <w:highlight w:val="none"/>
              </w:rPr>
            </w:pPr>
            <w:r>
              <w:rPr>
                <w:rFonts w:hint="eastAsia"/>
                <w:color w:val="auto"/>
                <w:highlight w:val="none"/>
              </w:rPr>
              <w:t>姓    名</w:t>
            </w:r>
          </w:p>
        </w:tc>
        <w:tc>
          <w:tcPr>
            <w:tcW w:w="4968" w:type="dxa"/>
            <w:tcBorders>
              <w:top w:val="single" w:color="auto" w:sz="4" w:space="0"/>
              <w:left w:val="single" w:color="auto" w:sz="4" w:space="0"/>
              <w:bottom w:val="single" w:color="auto" w:sz="4" w:space="0"/>
              <w:right w:val="single" w:color="auto" w:sz="4" w:space="0"/>
            </w:tcBorders>
          </w:tcPr>
          <w:p w14:paraId="6387FF78">
            <w:pPr>
              <w:spacing w:line="360" w:lineRule="auto"/>
              <w:rPr>
                <w:color w:val="auto"/>
                <w:highlight w:val="none"/>
              </w:rPr>
            </w:pPr>
          </w:p>
        </w:tc>
      </w:tr>
      <w:tr w14:paraId="1209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805" w:type="dxa"/>
            <w:vMerge w:val="continue"/>
            <w:tcBorders>
              <w:top w:val="single" w:color="auto" w:sz="4" w:space="0"/>
              <w:left w:val="single" w:color="auto" w:sz="4" w:space="0"/>
              <w:bottom w:val="single" w:color="auto" w:sz="4" w:space="0"/>
              <w:right w:val="single" w:color="auto" w:sz="4" w:space="0"/>
            </w:tcBorders>
            <w:vAlign w:val="center"/>
          </w:tcPr>
          <w:p w14:paraId="79B0CDC9">
            <w:pPr>
              <w:widowControl/>
              <w:autoSpaceDE/>
              <w:autoSpaceDN/>
              <w:rPr>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4BB9680D">
            <w:pPr>
              <w:spacing w:line="360" w:lineRule="auto"/>
              <w:rPr>
                <w:color w:val="auto"/>
                <w:highlight w:val="none"/>
              </w:rPr>
            </w:pPr>
            <w:r>
              <w:rPr>
                <w:rFonts w:hint="eastAsia"/>
                <w:color w:val="auto"/>
                <w:highlight w:val="none"/>
              </w:rPr>
              <w:t>身份证号</w:t>
            </w:r>
          </w:p>
        </w:tc>
        <w:tc>
          <w:tcPr>
            <w:tcW w:w="4968" w:type="dxa"/>
            <w:tcBorders>
              <w:top w:val="single" w:color="auto" w:sz="4" w:space="0"/>
              <w:left w:val="single" w:color="auto" w:sz="4" w:space="0"/>
              <w:bottom w:val="single" w:color="auto" w:sz="4" w:space="0"/>
              <w:right w:val="single" w:color="auto" w:sz="4" w:space="0"/>
            </w:tcBorders>
          </w:tcPr>
          <w:p w14:paraId="18444AA5">
            <w:pPr>
              <w:spacing w:line="360" w:lineRule="auto"/>
              <w:rPr>
                <w:color w:val="auto"/>
                <w:highlight w:val="none"/>
              </w:rPr>
            </w:pPr>
          </w:p>
        </w:tc>
      </w:tr>
      <w:tr w14:paraId="5579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805" w:type="dxa"/>
            <w:tcBorders>
              <w:top w:val="single" w:color="auto" w:sz="4" w:space="0"/>
              <w:left w:val="single" w:color="auto" w:sz="4" w:space="0"/>
              <w:bottom w:val="single" w:color="auto" w:sz="4" w:space="0"/>
              <w:right w:val="single" w:color="auto" w:sz="4" w:space="0"/>
            </w:tcBorders>
            <w:vAlign w:val="center"/>
          </w:tcPr>
          <w:p w14:paraId="083128FB">
            <w:pPr>
              <w:spacing w:line="360" w:lineRule="auto"/>
              <w:rPr>
                <w:color w:val="auto"/>
                <w:highlight w:val="none"/>
              </w:rPr>
            </w:pPr>
            <w:r>
              <w:rPr>
                <w:rFonts w:hint="eastAsia"/>
                <w:color w:val="auto"/>
                <w:highlight w:val="none"/>
              </w:rPr>
              <w:t>控股股东/投资人名称、身份证号及出资比例</w:t>
            </w:r>
          </w:p>
        </w:tc>
        <w:tc>
          <w:tcPr>
            <w:tcW w:w="6555" w:type="dxa"/>
            <w:gridSpan w:val="2"/>
            <w:tcBorders>
              <w:top w:val="single" w:color="auto" w:sz="4" w:space="0"/>
              <w:left w:val="single" w:color="auto" w:sz="4" w:space="0"/>
              <w:bottom w:val="single" w:color="auto" w:sz="4" w:space="0"/>
              <w:right w:val="single" w:color="auto" w:sz="4" w:space="0"/>
            </w:tcBorders>
          </w:tcPr>
          <w:p w14:paraId="55C8A4A1">
            <w:pPr>
              <w:spacing w:line="360" w:lineRule="auto"/>
              <w:rPr>
                <w:color w:val="auto"/>
                <w:highlight w:val="none"/>
              </w:rPr>
            </w:pPr>
          </w:p>
        </w:tc>
      </w:tr>
      <w:tr w14:paraId="2CE2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805" w:type="dxa"/>
            <w:tcBorders>
              <w:top w:val="single" w:color="auto" w:sz="4" w:space="0"/>
              <w:left w:val="single" w:color="auto" w:sz="4" w:space="0"/>
              <w:bottom w:val="single" w:color="auto" w:sz="4" w:space="0"/>
              <w:right w:val="single" w:color="auto" w:sz="4" w:space="0"/>
            </w:tcBorders>
            <w:vAlign w:val="center"/>
          </w:tcPr>
          <w:p w14:paraId="231C4F41">
            <w:pPr>
              <w:spacing w:line="360" w:lineRule="auto"/>
              <w:rPr>
                <w:color w:val="auto"/>
                <w:highlight w:val="none"/>
              </w:rPr>
            </w:pPr>
            <w:r>
              <w:rPr>
                <w:rFonts w:hint="eastAsia"/>
                <w:color w:val="auto"/>
                <w:highlight w:val="none"/>
              </w:rPr>
              <w:t>非控股股东/投资人名称、身份证号及出资比例</w:t>
            </w:r>
          </w:p>
        </w:tc>
        <w:tc>
          <w:tcPr>
            <w:tcW w:w="6555" w:type="dxa"/>
            <w:gridSpan w:val="2"/>
            <w:tcBorders>
              <w:top w:val="single" w:color="auto" w:sz="4" w:space="0"/>
              <w:left w:val="single" w:color="auto" w:sz="4" w:space="0"/>
              <w:bottom w:val="single" w:color="auto" w:sz="4" w:space="0"/>
              <w:right w:val="single" w:color="auto" w:sz="4" w:space="0"/>
            </w:tcBorders>
          </w:tcPr>
          <w:p w14:paraId="7E4ED46E">
            <w:pPr>
              <w:spacing w:line="360" w:lineRule="auto"/>
              <w:rPr>
                <w:color w:val="auto"/>
                <w:highlight w:val="none"/>
              </w:rPr>
            </w:pPr>
          </w:p>
        </w:tc>
      </w:tr>
      <w:tr w14:paraId="0031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805" w:type="dxa"/>
            <w:vMerge w:val="restart"/>
            <w:tcBorders>
              <w:top w:val="single" w:color="auto" w:sz="4" w:space="0"/>
              <w:left w:val="single" w:color="auto" w:sz="4" w:space="0"/>
              <w:bottom w:val="single" w:color="auto" w:sz="4" w:space="0"/>
              <w:right w:val="single" w:color="auto" w:sz="4" w:space="0"/>
            </w:tcBorders>
            <w:vAlign w:val="center"/>
          </w:tcPr>
          <w:p w14:paraId="038DF451">
            <w:pPr>
              <w:spacing w:line="360" w:lineRule="auto"/>
              <w:rPr>
                <w:color w:val="auto"/>
                <w:highlight w:val="none"/>
              </w:rPr>
            </w:pPr>
            <w:r>
              <w:rPr>
                <w:rFonts w:hint="eastAsia"/>
                <w:color w:val="auto"/>
                <w:highlight w:val="none"/>
              </w:rPr>
              <w:t>管理关系单位名称</w:t>
            </w:r>
          </w:p>
        </w:tc>
        <w:tc>
          <w:tcPr>
            <w:tcW w:w="1587" w:type="dxa"/>
            <w:tcBorders>
              <w:top w:val="single" w:color="auto" w:sz="4" w:space="0"/>
              <w:left w:val="single" w:color="auto" w:sz="4" w:space="0"/>
              <w:bottom w:val="single" w:color="auto" w:sz="4" w:space="0"/>
              <w:right w:val="single" w:color="auto" w:sz="4" w:space="0"/>
            </w:tcBorders>
            <w:vAlign w:val="center"/>
          </w:tcPr>
          <w:p w14:paraId="25110B8B">
            <w:pPr>
              <w:spacing w:line="360" w:lineRule="auto"/>
              <w:rPr>
                <w:color w:val="auto"/>
                <w:highlight w:val="none"/>
              </w:rPr>
            </w:pPr>
            <w:r>
              <w:rPr>
                <w:rFonts w:hint="eastAsia"/>
                <w:color w:val="auto"/>
                <w:highlight w:val="none"/>
              </w:rPr>
              <w:t>管理关系单位名称</w:t>
            </w:r>
          </w:p>
        </w:tc>
        <w:tc>
          <w:tcPr>
            <w:tcW w:w="4968" w:type="dxa"/>
            <w:tcBorders>
              <w:top w:val="single" w:color="auto" w:sz="4" w:space="0"/>
              <w:left w:val="single" w:color="auto" w:sz="4" w:space="0"/>
              <w:bottom w:val="single" w:color="auto" w:sz="4" w:space="0"/>
              <w:right w:val="single" w:color="auto" w:sz="4" w:space="0"/>
            </w:tcBorders>
          </w:tcPr>
          <w:p w14:paraId="6D9D588E">
            <w:pPr>
              <w:spacing w:line="360" w:lineRule="auto"/>
              <w:rPr>
                <w:color w:val="auto"/>
                <w:highlight w:val="none"/>
              </w:rPr>
            </w:pPr>
          </w:p>
        </w:tc>
      </w:tr>
      <w:tr w14:paraId="1093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805" w:type="dxa"/>
            <w:vMerge w:val="continue"/>
            <w:tcBorders>
              <w:top w:val="single" w:color="auto" w:sz="4" w:space="0"/>
              <w:left w:val="single" w:color="auto" w:sz="4" w:space="0"/>
              <w:bottom w:val="single" w:color="auto" w:sz="4" w:space="0"/>
              <w:right w:val="single" w:color="auto" w:sz="4" w:space="0"/>
            </w:tcBorders>
            <w:vAlign w:val="center"/>
          </w:tcPr>
          <w:p w14:paraId="1822656E">
            <w:pPr>
              <w:widowControl/>
              <w:autoSpaceDE/>
              <w:autoSpaceDN/>
              <w:rPr>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4FA30301">
            <w:pPr>
              <w:spacing w:line="360" w:lineRule="auto"/>
              <w:rPr>
                <w:color w:val="auto"/>
                <w:highlight w:val="none"/>
              </w:rPr>
            </w:pPr>
            <w:r>
              <w:rPr>
                <w:rFonts w:hint="eastAsia"/>
                <w:color w:val="auto"/>
                <w:highlight w:val="none"/>
              </w:rPr>
              <w:t>被管理关系单位名称</w:t>
            </w:r>
          </w:p>
        </w:tc>
        <w:tc>
          <w:tcPr>
            <w:tcW w:w="4968" w:type="dxa"/>
            <w:tcBorders>
              <w:top w:val="single" w:color="auto" w:sz="4" w:space="0"/>
              <w:left w:val="single" w:color="auto" w:sz="4" w:space="0"/>
              <w:bottom w:val="single" w:color="auto" w:sz="4" w:space="0"/>
              <w:right w:val="single" w:color="auto" w:sz="4" w:space="0"/>
            </w:tcBorders>
          </w:tcPr>
          <w:p w14:paraId="1A0D2C19">
            <w:pPr>
              <w:spacing w:line="360" w:lineRule="auto"/>
              <w:rPr>
                <w:color w:val="auto"/>
                <w:highlight w:val="none"/>
              </w:rPr>
            </w:pPr>
          </w:p>
        </w:tc>
      </w:tr>
      <w:tr w14:paraId="72BF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05" w:type="dxa"/>
            <w:tcBorders>
              <w:top w:val="single" w:color="auto" w:sz="4" w:space="0"/>
              <w:left w:val="single" w:color="auto" w:sz="4" w:space="0"/>
              <w:bottom w:val="single" w:color="auto" w:sz="4" w:space="0"/>
              <w:right w:val="single" w:color="auto" w:sz="4" w:space="0"/>
            </w:tcBorders>
            <w:vAlign w:val="center"/>
          </w:tcPr>
          <w:p w14:paraId="3DE37923">
            <w:pPr>
              <w:spacing w:line="360" w:lineRule="auto"/>
              <w:rPr>
                <w:color w:val="auto"/>
                <w:highlight w:val="none"/>
              </w:rPr>
            </w:pPr>
            <w:r>
              <w:rPr>
                <w:rFonts w:hint="eastAsia"/>
                <w:color w:val="auto"/>
                <w:highlight w:val="none"/>
              </w:rPr>
              <w:t>备注</w:t>
            </w:r>
          </w:p>
        </w:tc>
        <w:tc>
          <w:tcPr>
            <w:tcW w:w="6555" w:type="dxa"/>
            <w:gridSpan w:val="2"/>
            <w:tcBorders>
              <w:top w:val="single" w:color="auto" w:sz="4" w:space="0"/>
              <w:left w:val="single" w:color="auto" w:sz="4" w:space="0"/>
              <w:bottom w:val="single" w:color="auto" w:sz="4" w:space="0"/>
              <w:right w:val="single" w:color="auto" w:sz="4" w:space="0"/>
            </w:tcBorders>
            <w:vAlign w:val="center"/>
          </w:tcPr>
          <w:p w14:paraId="30D41FC1">
            <w:pPr>
              <w:spacing w:line="360" w:lineRule="auto"/>
              <w:rPr>
                <w:color w:val="auto"/>
                <w:highlight w:val="none"/>
              </w:rPr>
            </w:pPr>
          </w:p>
        </w:tc>
      </w:tr>
    </w:tbl>
    <w:p w14:paraId="271CDD0C">
      <w:pPr>
        <w:spacing w:line="360" w:lineRule="auto"/>
        <w:rPr>
          <w:color w:val="auto"/>
          <w:sz w:val="24"/>
          <w:szCs w:val="24"/>
          <w:highlight w:val="none"/>
        </w:rPr>
      </w:pPr>
    </w:p>
    <w:p w14:paraId="28214D4F">
      <w:pPr>
        <w:spacing w:line="360" w:lineRule="auto"/>
        <w:rPr>
          <w:color w:val="auto"/>
          <w:sz w:val="24"/>
          <w:szCs w:val="24"/>
          <w:highlight w:val="none"/>
        </w:rPr>
      </w:pPr>
      <w:r>
        <w:rPr>
          <w:rFonts w:hint="eastAsia"/>
          <w:color w:val="auto"/>
          <w:sz w:val="24"/>
          <w:szCs w:val="24"/>
          <w:highlight w:val="none"/>
        </w:rPr>
        <w:t>注：1.控股股东/投资人是指出资比例在50%以上，或者出资比例不足50%，但享有公司股东会/董事会控制权的投资方（含单位或者个人）；</w:t>
      </w:r>
    </w:p>
    <w:p w14:paraId="7E77F9A5">
      <w:pPr>
        <w:spacing w:line="360" w:lineRule="auto"/>
        <w:rPr>
          <w:color w:val="auto"/>
          <w:sz w:val="24"/>
          <w:szCs w:val="24"/>
          <w:highlight w:val="none"/>
        </w:rPr>
      </w:pPr>
      <w:r>
        <w:rPr>
          <w:rFonts w:hint="eastAsia"/>
          <w:color w:val="auto"/>
          <w:sz w:val="24"/>
          <w:szCs w:val="24"/>
          <w:highlight w:val="none"/>
        </w:rPr>
        <w:t xml:space="preserve">    2.管理关系单位是指与不具有出资持股关系的其他单位之间存在管理与被管理关系的单位； </w:t>
      </w:r>
    </w:p>
    <w:p w14:paraId="65555A3E">
      <w:pPr>
        <w:spacing w:line="360" w:lineRule="auto"/>
        <w:ind w:firstLine="480" w:firstLineChars="200"/>
        <w:rPr>
          <w:color w:val="auto"/>
          <w:sz w:val="24"/>
          <w:szCs w:val="24"/>
          <w:highlight w:val="none"/>
        </w:rPr>
      </w:pPr>
      <w:r>
        <w:rPr>
          <w:rFonts w:hint="eastAsia"/>
          <w:color w:val="auto"/>
          <w:sz w:val="24"/>
          <w:szCs w:val="24"/>
          <w:highlight w:val="none"/>
        </w:rPr>
        <w:t>3.如未有相关情况，请在相应栏填写“无”。</w:t>
      </w:r>
    </w:p>
    <w:p w14:paraId="00792374">
      <w:pPr>
        <w:spacing w:line="360" w:lineRule="auto"/>
        <w:ind w:firstLine="480" w:firstLineChars="200"/>
        <w:rPr>
          <w:color w:val="auto"/>
          <w:sz w:val="24"/>
          <w:szCs w:val="24"/>
          <w:highlight w:val="none"/>
        </w:rPr>
      </w:pPr>
      <w:r>
        <w:rPr>
          <w:rFonts w:hint="eastAsia"/>
          <w:color w:val="auto"/>
          <w:sz w:val="24"/>
          <w:szCs w:val="24"/>
          <w:highlight w:val="none"/>
        </w:rPr>
        <w:t xml:space="preserve">4.如不同投标人之间存在同名同姓的股东，则由评审委员会根据具体投标响应情况并结合招标文件的要求进行判断，并将结论在评审报告中予以体现。 </w:t>
      </w:r>
    </w:p>
    <w:p w14:paraId="10CC59CD">
      <w:pPr>
        <w:snapToGrid w:val="0"/>
        <w:spacing w:line="360" w:lineRule="auto"/>
        <w:ind w:firstLine="480" w:firstLineChars="229"/>
        <w:rPr>
          <w:color w:val="auto"/>
          <w:sz w:val="21"/>
          <w:szCs w:val="21"/>
          <w:highlight w:val="none"/>
        </w:rPr>
      </w:pPr>
    </w:p>
    <w:p w14:paraId="07BBDD1B">
      <w:pPr>
        <w:snapToGrid w:val="0"/>
        <w:spacing w:line="360" w:lineRule="auto"/>
        <w:ind w:firstLine="480" w:firstLineChars="229"/>
        <w:rPr>
          <w:color w:val="auto"/>
          <w:sz w:val="21"/>
          <w:szCs w:val="21"/>
          <w:highlight w:val="none"/>
        </w:rPr>
      </w:pPr>
      <w:r>
        <w:rPr>
          <w:rFonts w:hint="eastAsia"/>
          <w:color w:val="auto"/>
          <w:sz w:val="21"/>
          <w:szCs w:val="21"/>
          <w:highlight w:val="none"/>
        </w:rPr>
        <w:t xml:space="preserve">投标人法定代表人（或法定代表人授权代表）签字：       </w:t>
      </w:r>
    </w:p>
    <w:p w14:paraId="01046845">
      <w:pPr>
        <w:snapToGrid w:val="0"/>
        <w:spacing w:line="360" w:lineRule="auto"/>
        <w:ind w:firstLine="480" w:firstLineChars="229"/>
        <w:rPr>
          <w:color w:val="auto"/>
          <w:sz w:val="21"/>
          <w:szCs w:val="21"/>
          <w:highlight w:val="none"/>
        </w:rPr>
      </w:pPr>
      <w:r>
        <w:rPr>
          <w:rFonts w:hint="eastAsia"/>
          <w:color w:val="auto"/>
          <w:sz w:val="21"/>
          <w:szCs w:val="21"/>
          <w:highlight w:val="none"/>
        </w:rPr>
        <w:t xml:space="preserve">投标人名称（加盖公章）：       </w:t>
      </w:r>
    </w:p>
    <w:p w14:paraId="67DE1104">
      <w:pPr>
        <w:snapToGrid w:val="0"/>
        <w:spacing w:line="360" w:lineRule="auto"/>
        <w:ind w:firstLine="480" w:firstLineChars="229"/>
        <w:rPr>
          <w:color w:val="auto"/>
          <w:sz w:val="21"/>
          <w:szCs w:val="21"/>
          <w:highlight w:val="none"/>
        </w:rPr>
      </w:pPr>
      <w:r>
        <w:rPr>
          <w:rFonts w:hint="eastAsia"/>
          <w:color w:val="auto"/>
          <w:sz w:val="21"/>
          <w:szCs w:val="21"/>
          <w:highlight w:val="none"/>
        </w:rPr>
        <w:t>日期：      年    月    日</w:t>
      </w:r>
    </w:p>
    <w:p w14:paraId="6F866F63">
      <w:pPr>
        <w:pStyle w:val="3"/>
        <w:keepNext w:val="0"/>
        <w:keepLines w:val="0"/>
        <w:widowControl/>
        <w:numPr>
          <w:ilvl w:val="1"/>
          <w:numId w:val="25"/>
        </w:numPr>
        <w:spacing w:before="188" w:after="188" w:line="400" w:lineRule="exact"/>
        <w:jc w:val="center"/>
        <w:rPr>
          <w:rFonts w:ascii="宋体" w:hAnsi="宋体" w:eastAsia="宋体" w:cs="宋体"/>
          <w:color w:val="auto"/>
          <w:sz w:val="21"/>
          <w:szCs w:val="21"/>
          <w:highlight w:val="none"/>
        </w:rPr>
      </w:pPr>
      <w:r>
        <w:rPr>
          <w:rFonts w:hint="eastAsia"/>
          <w:b w:val="0"/>
          <w:color w:val="auto"/>
          <w:sz w:val="21"/>
          <w:szCs w:val="21"/>
          <w:highlight w:val="none"/>
        </w:rPr>
        <w:br w:type="page"/>
      </w:r>
      <w:bookmarkStart w:id="184" w:name="_Toc466964793"/>
      <w:r>
        <w:rPr>
          <w:rFonts w:hint="eastAsia" w:ascii="宋体" w:hAnsi="宋体" w:eastAsia="宋体" w:cs="宋体"/>
          <w:color w:val="auto"/>
          <w:sz w:val="21"/>
          <w:szCs w:val="21"/>
          <w:highlight w:val="none"/>
        </w:rPr>
        <w:t xml:space="preserve">  </w:t>
      </w:r>
      <w:bookmarkStart w:id="185" w:name="_Toc29825817"/>
      <w:bookmarkStart w:id="186" w:name="_Toc86349483"/>
      <w:r>
        <w:rPr>
          <w:rFonts w:hint="eastAsia" w:ascii="宋体" w:hAnsi="宋体" w:eastAsia="宋体" w:cs="宋体"/>
          <w:color w:val="auto"/>
          <w:sz w:val="21"/>
          <w:szCs w:val="21"/>
          <w:highlight w:val="none"/>
        </w:rPr>
        <w:t>符合“投标人资格”要求的其他证明文件</w:t>
      </w:r>
      <w:bookmarkEnd w:id="184"/>
      <w:bookmarkEnd w:id="185"/>
      <w:bookmarkEnd w:id="186"/>
    </w:p>
    <w:p w14:paraId="33750F5E">
      <w:pPr>
        <w:tabs>
          <w:tab w:val="left" w:pos="709"/>
        </w:tabs>
        <w:spacing w:line="440" w:lineRule="exact"/>
        <w:ind w:left="180"/>
        <w:rPr>
          <w:color w:val="auto"/>
          <w:sz w:val="21"/>
          <w:szCs w:val="21"/>
          <w:highlight w:val="none"/>
        </w:rPr>
      </w:pPr>
      <w:r>
        <w:rPr>
          <w:rFonts w:hint="eastAsia"/>
          <w:color w:val="auto"/>
          <w:sz w:val="21"/>
          <w:szCs w:val="21"/>
          <w:highlight w:val="none"/>
        </w:rPr>
        <w:t>附件1：投标人认为必要的其他材料</w:t>
      </w:r>
    </w:p>
    <w:p w14:paraId="3D5076AD">
      <w:pPr>
        <w:tabs>
          <w:tab w:val="left" w:pos="709"/>
        </w:tabs>
        <w:spacing w:line="440" w:lineRule="exact"/>
        <w:ind w:left="180"/>
        <w:rPr>
          <w:color w:val="auto"/>
          <w:sz w:val="21"/>
          <w:szCs w:val="21"/>
          <w:highlight w:val="none"/>
        </w:rPr>
      </w:pPr>
    </w:p>
    <w:p w14:paraId="0BB405F3">
      <w:pPr>
        <w:tabs>
          <w:tab w:val="left" w:pos="709"/>
        </w:tabs>
        <w:spacing w:line="440" w:lineRule="exact"/>
        <w:ind w:left="180"/>
        <w:rPr>
          <w:color w:val="auto"/>
          <w:sz w:val="21"/>
          <w:szCs w:val="21"/>
          <w:highlight w:val="none"/>
        </w:rPr>
      </w:pPr>
    </w:p>
    <w:p w14:paraId="696D510D">
      <w:pPr>
        <w:spacing w:line="360" w:lineRule="auto"/>
        <w:rPr>
          <w:color w:val="auto"/>
          <w:sz w:val="21"/>
          <w:szCs w:val="21"/>
          <w:highlight w:val="none"/>
        </w:rPr>
      </w:pPr>
    </w:p>
    <w:p w14:paraId="17C56E71">
      <w:pPr>
        <w:pStyle w:val="3"/>
        <w:keepNext w:val="0"/>
        <w:keepLines w:val="0"/>
        <w:widowControl/>
        <w:spacing w:before="188" w:after="188" w:line="400" w:lineRule="exact"/>
        <w:ind w:left="420"/>
        <w:jc w:val="center"/>
        <w:rPr>
          <w:rFonts w:ascii="宋体" w:hAnsi="宋体" w:eastAsia="宋体" w:cs="宋体"/>
          <w:bCs/>
          <w:color w:val="auto"/>
          <w:kern w:val="2"/>
          <w:highlight w:val="none"/>
        </w:rPr>
      </w:pPr>
      <w:r>
        <w:rPr>
          <w:rFonts w:hint="eastAsia"/>
          <w:b w:val="0"/>
          <w:bCs/>
          <w:color w:val="auto"/>
          <w:kern w:val="2"/>
          <w:highlight w:val="none"/>
        </w:rPr>
        <w:br w:type="page"/>
      </w:r>
      <w:bookmarkStart w:id="187" w:name="_Toc29825818"/>
      <w:bookmarkStart w:id="188" w:name="_Toc86349484"/>
      <w:r>
        <w:rPr>
          <w:rFonts w:hint="eastAsia" w:ascii="宋体" w:hAnsi="宋体" w:eastAsia="宋体" w:cs="宋体"/>
          <w:bCs/>
          <w:color w:val="auto"/>
          <w:kern w:val="2"/>
          <w:highlight w:val="none"/>
        </w:rPr>
        <w:t>第四章 投标文件商务部分</w:t>
      </w:r>
      <w:bookmarkEnd w:id="187"/>
      <w:bookmarkEnd w:id="188"/>
    </w:p>
    <w:p w14:paraId="18542C21">
      <w:pPr>
        <w:pStyle w:val="63"/>
        <w:widowControl/>
        <w:numPr>
          <w:ilvl w:val="0"/>
          <w:numId w:val="25"/>
        </w:numPr>
        <w:spacing w:line="400" w:lineRule="exact"/>
        <w:ind w:hanging="357"/>
        <w:jc w:val="center"/>
        <w:outlineLvl w:val="1"/>
        <w:rPr>
          <w:b/>
          <w:vanish/>
          <w:color w:val="auto"/>
          <w:kern w:val="44"/>
          <w:sz w:val="21"/>
          <w:szCs w:val="21"/>
          <w:highlight w:val="none"/>
        </w:rPr>
      </w:pPr>
      <w:bookmarkStart w:id="189" w:name="_Toc492475670"/>
      <w:bookmarkEnd w:id="189"/>
      <w:bookmarkStart w:id="190" w:name="_Toc492475619"/>
      <w:bookmarkEnd w:id="190"/>
      <w:bookmarkStart w:id="191" w:name="_Toc425155464"/>
      <w:bookmarkEnd w:id="191"/>
      <w:bookmarkStart w:id="192" w:name="_Toc466965317"/>
      <w:bookmarkEnd w:id="192"/>
      <w:bookmarkStart w:id="193" w:name="_Toc492486548"/>
      <w:bookmarkEnd w:id="193"/>
      <w:bookmarkStart w:id="194" w:name="_Toc510968907"/>
      <w:bookmarkEnd w:id="194"/>
      <w:bookmarkStart w:id="195" w:name="_Toc492488527"/>
      <w:bookmarkEnd w:id="195"/>
      <w:bookmarkStart w:id="196" w:name="_Toc425155190"/>
      <w:bookmarkEnd w:id="196"/>
      <w:bookmarkStart w:id="197" w:name="_Toc464638355"/>
      <w:bookmarkEnd w:id="197"/>
      <w:bookmarkStart w:id="198" w:name="_Toc86349321"/>
      <w:bookmarkEnd w:id="198"/>
      <w:bookmarkStart w:id="199" w:name="_Toc466293975"/>
      <w:bookmarkEnd w:id="199"/>
      <w:bookmarkStart w:id="200" w:name="_Toc464200496"/>
      <w:bookmarkEnd w:id="200"/>
      <w:bookmarkStart w:id="201" w:name="_Toc508631519"/>
      <w:bookmarkEnd w:id="201"/>
      <w:bookmarkStart w:id="202" w:name="_Toc508631470"/>
      <w:bookmarkEnd w:id="202"/>
      <w:bookmarkStart w:id="203" w:name="_Toc522001854"/>
      <w:bookmarkEnd w:id="203"/>
      <w:bookmarkStart w:id="204" w:name="_Toc465177980"/>
      <w:bookmarkEnd w:id="204"/>
      <w:bookmarkStart w:id="205" w:name="_Toc492469416"/>
      <w:bookmarkEnd w:id="205"/>
      <w:bookmarkStart w:id="206" w:name="_Toc510433526"/>
      <w:bookmarkEnd w:id="206"/>
      <w:bookmarkStart w:id="207" w:name="_Toc86349485"/>
      <w:bookmarkEnd w:id="207"/>
      <w:bookmarkStart w:id="208" w:name="_Toc425156141"/>
      <w:bookmarkEnd w:id="208"/>
      <w:bookmarkStart w:id="209" w:name="_Toc432770657"/>
      <w:bookmarkEnd w:id="209"/>
      <w:bookmarkStart w:id="210" w:name="_Toc425156077"/>
      <w:bookmarkEnd w:id="210"/>
      <w:bookmarkStart w:id="211" w:name="_Toc29825819"/>
      <w:bookmarkEnd w:id="211"/>
      <w:bookmarkStart w:id="212" w:name="_Toc510190122"/>
      <w:bookmarkEnd w:id="212"/>
      <w:bookmarkStart w:id="213" w:name="_Toc512689475"/>
      <w:bookmarkEnd w:id="213"/>
      <w:bookmarkStart w:id="214" w:name="_Toc512696577"/>
      <w:bookmarkEnd w:id="214"/>
      <w:bookmarkStart w:id="215" w:name="_Toc510435010"/>
      <w:bookmarkEnd w:id="215"/>
      <w:bookmarkStart w:id="216" w:name="_Toc514936825"/>
      <w:bookmarkEnd w:id="216"/>
      <w:bookmarkStart w:id="217" w:name="_Toc510966358"/>
      <w:bookmarkEnd w:id="217"/>
      <w:bookmarkStart w:id="218" w:name="_Toc492487427"/>
      <w:bookmarkEnd w:id="218"/>
      <w:bookmarkStart w:id="219" w:name="_Toc425155842"/>
      <w:bookmarkEnd w:id="219"/>
      <w:bookmarkStart w:id="220" w:name="_Toc425337888"/>
      <w:bookmarkEnd w:id="220"/>
      <w:bookmarkStart w:id="221" w:name="_Toc510372601"/>
      <w:bookmarkEnd w:id="221"/>
      <w:bookmarkStart w:id="222" w:name="_Toc510189737"/>
      <w:bookmarkEnd w:id="222"/>
      <w:bookmarkStart w:id="223" w:name="_Toc466987305"/>
      <w:bookmarkEnd w:id="223"/>
      <w:bookmarkStart w:id="224" w:name="_Toc514936574"/>
      <w:bookmarkEnd w:id="224"/>
      <w:bookmarkStart w:id="225" w:name="_Toc464200112"/>
      <w:bookmarkEnd w:id="225"/>
      <w:bookmarkStart w:id="226" w:name="_Toc425155971"/>
      <w:bookmarkEnd w:id="226"/>
      <w:bookmarkStart w:id="227" w:name="_Toc463691708"/>
      <w:bookmarkEnd w:id="227"/>
      <w:bookmarkStart w:id="228" w:name="_Toc29825775"/>
      <w:bookmarkEnd w:id="228"/>
      <w:bookmarkStart w:id="229" w:name="_Toc510188416"/>
      <w:bookmarkEnd w:id="229"/>
      <w:bookmarkStart w:id="230" w:name="_Toc492483021"/>
      <w:bookmarkEnd w:id="230"/>
    </w:p>
    <w:p w14:paraId="74E6F1EB">
      <w:pPr>
        <w:pStyle w:val="3"/>
        <w:keepNext w:val="0"/>
        <w:keepLines w:val="0"/>
        <w:widowControl/>
        <w:numPr>
          <w:ilvl w:val="1"/>
          <w:numId w:val="25"/>
        </w:numPr>
        <w:spacing w:before="0" w:after="0" w:line="440" w:lineRule="exact"/>
        <w:ind w:hanging="357"/>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231" w:name="_Toc86349486"/>
      <w:bookmarkStart w:id="232" w:name="_Toc29825820"/>
      <w:r>
        <w:rPr>
          <w:rFonts w:hint="eastAsia" w:ascii="宋体" w:hAnsi="宋体" w:eastAsia="宋体" w:cs="宋体"/>
          <w:color w:val="auto"/>
          <w:sz w:val="21"/>
          <w:szCs w:val="21"/>
          <w:highlight w:val="none"/>
        </w:rPr>
        <w:t>投标函</w:t>
      </w:r>
      <w:bookmarkEnd w:id="179"/>
      <w:bookmarkEnd w:id="231"/>
      <w:bookmarkEnd w:id="232"/>
    </w:p>
    <w:p w14:paraId="2DF8D916">
      <w:pPr>
        <w:spacing w:line="440" w:lineRule="exact"/>
        <w:ind w:left="748" w:hanging="567"/>
        <w:rPr>
          <w:color w:val="auto"/>
          <w:sz w:val="21"/>
          <w:szCs w:val="21"/>
          <w:highlight w:val="none"/>
        </w:rPr>
      </w:pPr>
      <w:bookmarkStart w:id="233" w:name="_Toc72860202"/>
      <w:r>
        <w:rPr>
          <w:rFonts w:hint="eastAsia"/>
          <w:color w:val="auto"/>
          <w:sz w:val="21"/>
          <w:szCs w:val="21"/>
          <w:highlight w:val="none"/>
        </w:rPr>
        <w:t>致：</w:t>
      </w:r>
      <w:bookmarkEnd w:id="233"/>
      <w:r>
        <w:rPr>
          <w:rFonts w:hint="eastAsia"/>
          <w:color w:val="auto"/>
          <w:sz w:val="21"/>
          <w:szCs w:val="21"/>
          <w:highlight w:val="none"/>
        </w:rPr>
        <w:t>广东省建筑工程监理有限公司</w:t>
      </w:r>
    </w:p>
    <w:p w14:paraId="6FA3660C">
      <w:pPr>
        <w:spacing w:line="440" w:lineRule="exact"/>
        <w:ind w:left="165" w:leftChars="75" w:firstLine="500" w:firstLineChars="200"/>
        <w:rPr>
          <w:color w:val="auto"/>
          <w:sz w:val="21"/>
          <w:szCs w:val="21"/>
          <w:highlight w:val="none"/>
        </w:rPr>
      </w:pPr>
      <w:r>
        <w:rPr>
          <w:rFonts w:hint="eastAsia"/>
          <w:color w:val="auto"/>
          <w:spacing w:val="20"/>
          <w:sz w:val="21"/>
          <w:szCs w:val="21"/>
          <w:highlight w:val="none"/>
        </w:rPr>
        <w:t>我方收到贵方关于</w:t>
      </w:r>
      <w:r>
        <w:rPr>
          <w:rFonts w:hint="eastAsia"/>
          <w:color w:val="auto"/>
          <w:sz w:val="21"/>
          <w:szCs w:val="21"/>
          <w:highlight w:val="none"/>
          <w:u w:val="single"/>
        </w:rPr>
        <w:t xml:space="preserve">                            </w:t>
      </w:r>
      <w:r>
        <w:rPr>
          <w:rFonts w:hint="eastAsia"/>
          <w:color w:val="auto"/>
          <w:spacing w:val="20"/>
          <w:sz w:val="21"/>
          <w:szCs w:val="21"/>
          <w:highlight w:val="none"/>
        </w:rPr>
        <w:t>（项目编号</w:t>
      </w:r>
      <w:r>
        <w:rPr>
          <w:rFonts w:hint="eastAsia"/>
          <w:color w:val="auto"/>
          <w:spacing w:val="20"/>
          <w:sz w:val="21"/>
          <w:szCs w:val="21"/>
          <w:highlight w:val="none"/>
          <w:u w:val="single"/>
        </w:rPr>
        <w:t>：</w:t>
      </w:r>
      <w:r>
        <w:rPr>
          <w:rFonts w:hint="eastAsia"/>
          <w:color w:val="auto"/>
          <w:sz w:val="21"/>
          <w:szCs w:val="21"/>
          <w:highlight w:val="none"/>
          <w:u w:val="single"/>
        </w:rPr>
        <w:t xml:space="preserve">                  </w:t>
      </w:r>
      <w:r>
        <w:rPr>
          <w:rFonts w:hint="eastAsia"/>
          <w:color w:val="auto"/>
          <w:spacing w:val="20"/>
          <w:sz w:val="21"/>
          <w:szCs w:val="21"/>
          <w:highlight w:val="none"/>
        </w:rPr>
        <w:t>）的招标文件，</w:t>
      </w:r>
      <w:r>
        <w:rPr>
          <w:rFonts w:hint="eastAsia"/>
          <w:color w:val="auto"/>
          <w:sz w:val="21"/>
          <w:szCs w:val="21"/>
          <w:highlight w:val="none"/>
        </w:rPr>
        <w:t>我方完全理解招标文件的所有内容，现决定投标本项目，据此我方承诺如下：</w:t>
      </w:r>
    </w:p>
    <w:p w14:paraId="3A0C2DED">
      <w:pPr>
        <w:numPr>
          <w:ilvl w:val="1"/>
          <w:numId w:val="26"/>
        </w:numPr>
        <w:spacing w:line="440" w:lineRule="exact"/>
        <w:rPr>
          <w:color w:val="auto"/>
          <w:sz w:val="21"/>
          <w:szCs w:val="21"/>
          <w:highlight w:val="none"/>
        </w:rPr>
      </w:pPr>
      <w:r>
        <w:rPr>
          <w:rFonts w:hint="eastAsia"/>
          <w:color w:val="auto"/>
          <w:sz w:val="21"/>
          <w:szCs w:val="21"/>
          <w:highlight w:val="none"/>
        </w:rPr>
        <w:t>我方的投标文件在投标截止日后90天（日历天）内保持有效，如中标，有效期将延至本项目《采购合同》执行期满日为止。</w:t>
      </w:r>
    </w:p>
    <w:p w14:paraId="623FD9FC">
      <w:pPr>
        <w:numPr>
          <w:ilvl w:val="1"/>
          <w:numId w:val="26"/>
        </w:numPr>
        <w:spacing w:line="440" w:lineRule="exact"/>
        <w:rPr>
          <w:color w:val="auto"/>
          <w:sz w:val="21"/>
          <w:szCs w:val="21"/>
          <w:highlight w:val="none"/>
        </w:rPr>
      </w:pPr>
      <w:r>
        <w:rPr>
          <w:rFonts w:hint="eastAsia"/>
          <w:color w:val="auto"/>
          <w:sz w:val="21"/>
          <w:szCs w:val="21"/>
          <w:highlight w:val="none"/>
        </w:rPr>
        <w:t>我方在参与投标前已仔细研究了招标文件和所有相关资料，我方完全明白并认为此招标文件没有倾向性，也没有存在排斥潜在投标人的内容，我方同意招标文件的相关条款，放弃对招标文件提出误解和异议的一切权利。</w:t>
      </w:r>
    </w:p>
    <w:p w14:paraId="432FAFF5">
      <w:pPr>
        <w:numPr>
          <w:ilvl w:val="1"/>
          <w:numId w:val="26"/>
        </w:numPr>
        <w:spacing w:line="440" w:lineRule="exact"/>
        <w:rPr>
          <w:color w:val="auto"/>
          <w:sz w:val="21"/>
          <w:szCs w:val="21"/>
          <w:highlight w:val="none"/>
        </w:rPr>
      </w:pPr>
      <w:r>
        <w:rPr>
          <w:rFonts w:hint="eastAsia"/>
          <w:color w:val="auto"/>
          <w:sz w:val="21"/>
          <w:szCs w:val="21"/>
          <w:highlight w:val="none"/>
        </w:rPr>
        <w:t>我方作为在法律、财务和运作上独立于</w:t>
      </w:r>
      <w:r>
        <w:rPr>
          <w:rFonts w:hint="eastAsia"/>
          <w:color w:val="auto"/>
          <w:sz w:val="21"/>
          <w:szCs w:val="21"/>
          <w:highlight w:val="none"/>
          <w:lang w:val="en-US" w:eastAsia="zh-CN"/>
        </w:rPr>
        <w:t>招标人</w:t>
      </w:r>
      <w:r>
        <w:rPr>
          <w:rFonts w:hint="eastAsia"/>
          <w:color w:val="auto"/>
          <w:sz w:val="21"/>
          <w:szCs w:val="21"/>
          <w:highlight w:val="none"/>
        </w:rPr>
        <w:t>、招标代理机构的投标人，在此保证所提交的所有文件和全部说明是真实的和正确的。由于我方提供资料不实而造成的责任和后果由我方承担。我方同意按照贵方提出的要求，提供与投标有关的任何其它数据或信息。</w:t>
      </w:r>
    </w:p>
    <w:p w14:paraId="7DBD9C21">
      <w:pPr>
        <w:numPr>
          <w:ilvl w:val="1"/>
          <w:numId w:val="26"/>
        </w:numPr>
        <w:spacing w:line="440" w:lineRule="exact"/>
        <w:rPr>
          <w:color w:val="auto"/>
          <w:sz w:val="21"/>
          <w:szCs w:val="21"/>
          <w:highlight w:val="none"/>
        </w:rPr>
      </w:pPr>
      <w:r>
        <w:rPr>
          <w:rFonts w:hint="eastAsia"/>
          <w:color w:val="auto"/>
          <w:sz w:val="21"/>
          <w:szCs w:val="21"/>
          <w:highlight w:val="none"/>
        </w:rPr>
        <w:t>我方同意如在本项目开标后、投标有效期之内撤回投标的，贵方将不退还投标保证金（如有）。</w:t>
      </w:r>
    </w:p>
    <w:p w14:paraId="53221B74">
      <w:pPr>
        <w:numPr>
          <w:ilvl w:val="1"/>
          <w:numId w:val="26"/>
        </w:numPr>
        <w:spacing w:line="440" w:lineRule="exact"/>
        <w:rPr>
          <w:color w:val="auto"/>
          <w:sz w:val="21"/>
          <w:szCs w:val="21"/>
          <w:highlight w:val="none"/>
        </w:rPr>
      </w:pPr>
      <w:r>
        <w:rPr>
          <w:rFonts w:hint="eastAsia"/>
          <w:color w:val="auto"/>
          <w:sz w:val="21"/>
          <w:szCs w:val="21"/>
          <w:highlight w:val="none"/>
        </w:rPr>
        <w:t>我方如果中标，保证履行投标文件中承诺的全部责任和义务，切实履行《采购合同》中的全部条款。</w:t>
      </w:r>
    </w:p>
    <w:p w14:paraId="451A4231">
      <w:pPr>
        <w:numPr>
          <w:ilvl w:val="1"/>
          <w:numId w:val="26"/>
        </w:numPr>
        <w:spacing w:line="440" w:lineRule="exact"/>
        <w:rPr>
          <w:color w:val="auto"/>
          <w:sz w:val="21"/>
          <w:szCs w:val="21"/>
          <w:highlight w:val="none"/>
        </w:rPr>
      </w:pPr>
      <w:r>
        <w:rPr>
          <w:rFonts w:hint="eastAsia"/>
          <w:color w:val="auto"/>
          <w:sz w:val="21"/>
          <w:szCs w:val="21"/>
          <w:highlight w:val="none"/>
        </w:rPr>
        <w:t>我方保证，招标人在中华人民共和国境内使用我方投标货物、资料、技术、服务或其任何一部分时，享有不受限制的无偿使用权，如有第三方向招标人提出侵犯其专利权、商标权或其它知识产权的主张，该责任由我方承担。</w:t>
      </w:r>
    </w:p>
    <w:p w14:paraId="25D13C8D">
      <w:pPr>
        <w:numPr>
          <w:ilvl w:val="1"/>
          <w:numId w:val="26"/>
        </w:numPr>
        <w:spacing w:line="440" w:lineRule="exact"/>
        <w:rPr>
          <w:color w:val="auto"/>
          <w:sz w:val="21"/>
          <w:szCs w:val="21"/>
          <w:highlight w:val="none"/>
        </w:rPr>
      </w:pPr>
      <w:r>
        <w:rPr>
          <w:rFonts w:hint="eastAsia"/>
          <w:color w:val="auto"/>
          <w:sz w:val="21"/>
          <w:szCs w:val="21"/>
          <w:highlight w:val="none"/>
        </w:rPr>
        <w:t>与本投标有关的一切正式往来通讯请寄：</w:t>
      </w:r>
    </w:p>
    <w:p w14:paraId="21812025">
      <w:pPr>
        <w:tabs>
          <w:tab w:val="left" w:pos="900"/>
          <w:tab w:val="left" w:pos="5529"/>
        </w:tabs>
        <w:spacing w:line="440" w:lineRule="exact"/>
        <w:ind w:left="540"/>
        <w:rPr>
          <w:color w:val="auto"/>
          <w:sz w:val="21"/>
          <w:szCs w:val="21"/>
          <w:highlight w:val="none"/>
        </w:rPr>
      </w:pPr>
      <w:r>
        <w:rPr>
          <w:rFonts w:hint="eastAsia"/>
          <w:color w:val="auto"/>
          <w:sz w:val="21"/>
          <w:szCs w:val="21"/>
          <w:highlight w:val="none"/>
        </w:rPr>
        <w:t>地址：</w:t>
      </w:r>
      <w:r>
        <w:rPr>
          <w:rFonts w:hint="eastAsia"/>
          <w:color w:val="auto"/>
          <w:sz w:val="21"/>
          <w:szCs w:val="21"/>
          <w:highlight w:val="none"/>
        </w:rPr>
        <w:tab/>
      </w:r>
      <w:r>
        <w:rPr>
          <w:rFonts w:hint="eastAsia"/>
          <w:color w:val="auto"/>
          <w:sz w:val="21"/>
          <w:szCs w:val="21"/>
          <w:highlight w:val="none"/>
        </w:rPr>
        <w:t>邮编：</w:t>
      </w:r>
    </w:p>
    <w:p w14:paraId="3049FEDC">
      <w:pPr>
        <w:tabs>
          <w:tab w:val="left" w:pos="900"/>
          <w:tab w:val="left" w:pos="5529"/>
        </w:tabs>
        <w:spacing w:line="440" w:lineRule="exact"/>
        <w:ind w:left="540"/>
        <w:rPr>
          <w:color w:val="auto"/>
          <w:sz w:val="21"/>
          <w:szCs w:val="21"/>
          <w:highlight w:val="none"/>
        </w:rPr>
      </w:pPr>
      <w:r>
        <w:rPr>
          <w:rFonts w:hint="eastAsia"/>
          <w:color w:val="auto"/>
          <w:sz w:val="21"/>
          <w:szCs w:val="21"/>
          <w:highlight w:val="none"/>
        </w:rPr>
        <w:t>电话：</w:t>
      </w:r>
      <w:r>
        <w:rPr>
          <w:rFonts w:hint="eastAsia"/>
          <w:color w:val="auto"/>
          <w:sz w:val="21"/>
          <w:szCs w:val="21"/>
          <w:highlight w:val="none"/>
        </w:rPr>
        <w:tab/>
      </w:r>
      <w:r>
        <w:rPr>
          <w:rFonts w:hint="eastAsia"/>
          <w:color w:val="auto"/>
          <w:sz w:val="21"/>
          <w:szCs w:val="21"/>
          <w:highlight w:val="none"/>
        </w:rPr>
        <w:t>传真：</w:t>
      </w:r>
    </w:p>
    <w:p w14:paraId="6326E4A2">
      <w:pPr>
        <w:tabs>
          <w:tab w:val="left" w:pos="900"/>
        </w:tabs>
        <w:spacing w:line="440" w:lineRule="exact"/>
        <w:ind w:left="540"/>
        <w:rPr>
          <w:color w:val="auto"/>
          <w:sz w:val="21"/>
          <w:szCs w:val="21"/>
          <w:highlight w:val="none"/>
        </w:rPr>
      </w:pPr>
      <w:r>
        <w:rPr>
          <w:rFonts w:hint="eastAsia"/>
          <w:color w:val="auto"/>
          <w:sz w:val="21"/>
          <w:szCs w:val="21"/>
          <w:highlight w:val="none"/>
        </w:rPr>
        <w:t>投标人代表姓名、职务：</w:t>
      </w:r>
      <w:r>
        <w:rPr>
          <w:rFonts w:hint="eastAsia"/>
          <w:color w:val="auto"/>
          <w:sz w:val="21"/>
          <w:szCs w:val="21"/>
          <w:highlight w:val="none"/>
          <w:u w:val="single"/>
        </w:rPr>
        <w:t xml:space="preserve">                    </w:t>
      </w:r>
      <w:r>
        <w:rPr>
          <w:rFonts w:hint="eastAsia"/>
          <w:color w:val="auto"/>
          <w:sz w:val="21"/>
          <w:szCs w:val="21"/>
          <w:highlight w:val="none"/>
        </w:rPr>
        <w:t xml:space="preserve"> </w:t>
      </w:r>
    </w:p>
    <w:p w14:paraId="321CD4B4">
      <w:pPr>
        <w:tabs>
          <w:tab w:val="left" w:pos="900"/>
        </w:tabs>
        <w:spacing w:line="440" w:lineRule="exact"/>
        <w:ind w:left="540"/>
        <w:rPr>
          <w:color w:val="auto"/>
          <w:sz w:val="21"/>
          <w:szCs w:val="21"/>
          <w:highlight w:val="none"/>
        </w:rPr>
      </w:pPr>
      <w:r>
        <w:rPr>
          <w:rFonts w:hint="eastAsia"/>
          <w:color w:val="auto"/>
          <w:sz w:val="21"/>
          <w:szCs w:val="21"/>
          <w:highlight w:val="none"/>
        </w:rPr>
        <w:t>投标人名称：（并加盖公章）</w:t>
      </w:r>
    </w:p>
    <w:p w14:paraId="0CB85AE4">
      <w:pPr>
        <w:tabs>
          <w:tab w:val="left" w:pos="900"/>
        </w:tabs>
        <w:spacing w:line="440" w:lineRule="exact"/>
        <w:ind w:left="540"/>
        <w:rPr>
          <w:color w:val="auto"/>
          <w:sz w:val="21"/>
          <w:szCs w:val="21"/>
          <w:highlight w:val="none"/>
        </w:rPr>
      </w:pPr>
      <w:r>
        <w:rPr>
          <w:rFonts w:hint="eastAsia"/>
          <w:color w:val="auto"/>
          <w:sz w:val="21"/>
          <w:szCs w:val="21"/>
          <w:highlight w:val="none"/>
        </w:rPr>
        <w:t>投标人法定代表人或其委托人签字或印鉴：</w:t>
      </w:r>
      <w:r>
        <w:rPr>
          <w:rFonts w:hint="eastAsia"/>
          <w:color w:val="auto"/>
          <w:sz w:val="21"/>
          <w:szCs w:val="21"/>
          <w:highlight w:val="none"/>
          <w:u w:val="single"/>
        </w:rPr>
        <w:t xml:space="preserve">                  </w:t>
      </w:r>
    </w:p>
    <w:p w14:paraId="067948F9">
      <w:pPr>
        <w:tabs>
          <w:tab w:val="left" w:pos="900"/>
        </w:tabs>
        <w:spacing w:line="440" w:lineRule="exact"/>
        <w:ind w:left="540"/>
        <w:rPr>
          <w:color w:val="auto"/>
          <w:sz w:val="21"/>
          <w:szCs w:val="21"/>
          <w:highlight w:val="non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46E0181D">
      <w:pPr>
        <w:tabs>
          <w:tab w:val="left" w:pos="900"/>
        </w:tabs>
        <w:spacing w:line="440" w:lineRule="exact"/>
        <w:ind w:left="540"/>
        <w:rPr>
          <w:color w:val="auto"/>
          <w:sz w:val="21"/>
          <w:szCs w:val="21"/>
          <w:highlight w:val="none"/>
        </w:rPr>
      </w:pPr>
      <w:r>
        <w:rPr>
          <w:rFonts w:hint="eastAsia"/>
          <w:b/>
          <w:color w:val="auto"/>
          <w:sz w:val="21"/>
          <w:szCs w:val="21"/>
          <w:highlight w:val="none"/>
        </w:rPr>
        <w:t>注：法定代表人委托全权代表人，需附法定代表人签字或印鉴的授权书。</w:t>
      </w:r>
    </w:p>
    <w:p w14:paraId="678E60C8">
      <w:pPr>
        <w:pStyle w:val="3"/>
        <w:keepNext w:val="0"/>
        <w:keepLines w:val="0"/>
        <w:widowControl/>
        <w:numPr>
          <w:ilvl w:val="1"/>
          <w:numId w:val="25"/>
        </w:numPr>
        <w:spacing w:before="188" w:after="188" w:line="400" w:lineRule="exact"/>
        <w:jc w:val="center"/>
        <w:rPr>
          <w:rFonts w:ascii="宋体" w:hAnsi="宋体" w:eastAsia="宋体" w:cs="宋体"/>
          <w:color w:val="auto"/>
          <w:sz w:val="21"/>
          <w:szCs w:val="21"/>
          <w:highlight w:val="none"/>
        </w:rPr>
      </w:pPr>
      <w:r>
        <w:rPr>
          <w:rFonts w:hint="eastAsia"/>
          <w:b w:val="0"/>
          <w:color w:val="auto"/>
          <w:sz w:val="21"/>
          <w:szCs w:val="21"/>
          <w:highlight w:val="none"/>
        </w:rPr>
        <w:br w:type="page"/>
      </w:r>
      <w:bookmarkStart w:id="234" w:name="_Toc368513823"/>
      <w:r>
        <w:rPr>
          <w:rFonts w:hint="eastAsia" w:ascii="宋体" w:hAnsi="宋体" w:eastAsia="宋体" w:cs="宋体"/>
          <w:color w:val="auto"/>
          <w:sz w:val="21"/>
          <w:szCs w:val="21"/>
          <w:highlight w:val="none"/>
        </w:rPr>
        <w:t xml:space="preserve">  </w:t>
      </w:r>
      <w:bookmarkStart w:id="235" w:name="_Toc29825821"/>
      <w:bookmarkStart w:id="236" w:name="_Toc86349487"/>
      <w:r>
        <w:rPr>
          <w:rFonts w:hint="eastAsia" w:ascii="宋体" w:hAnsi="宋体" w:eastAsia="宋体" w:cs="宋体"/>
          <w:color w:val="auto"/>
          <w:sz w:val="21"/>
          <w:szCs w:val="21"/>
          <w:highlight w:val="none"/>
        </w:rPr>
        <w:t>法定代表人证明书/法定代表人授权书格式</w:t>
      </w:r>
      <w:bookmarkEnd w:id="234"/>
      <w:bookmarkEnd w:id="235"/>
      <w:bookmarkEnd w:id="236"/>
    </w:p>
    <w:p w14:paraId="296954A1">
      <w:pPr>
        <w:spacing w:line="360" w:lineRule="auto"/>
        <w:ind w:firstLine="422" w:firstLineChars="200"/>
        <w:rPr>
          <w:b/>
          <w:bCs/>
          <w:color w:val="auto"/>
          <w:sz w:val="21"/>
          <w:szCs w:val="21"/>
          <w:highlight w:val="none"/>
        </w:rPr>
      </w:pPr>
      <w:r>
        <w:rPr>
          <w:rFonts w:hint="eastAsia"/>
          <w:b/>
          <w:bCs/>
          <w:color w:val="auto"/>
          <w:sz w:val="21"/>
          <w:szCs w:val="21"/>
          <w:highlight w:val="none"/>
        </w:rPr>
        <w:t>法定代表人证明书和法定代表人授权书按以下格式填写，如由法定代表人投标并签署投标文件，需提供法定代表人证明书，否则需提供法定代表人证明书和法定代表人授权书。</w:t>
      </w:r>
    </w:p>
    <w:p w14:paraId="7D20DE86">
      <w:pPr>
        <w:pStyle w:val="7"/>
        <w:ind w:left="0"/>
        <w:jc w:val="center"/>
        <w:rPr>
          <w:rFonts w:ascii="宋体" w:hAnsi="宋体"/>
          <w:b/>
          <w:color w:val="auto"/>
          <w:sz w:val="21"/>
          <w:szCs w:val="21"/>
          <w:highlight w:val="none"/>
        </w:rPr>
      </w:pPr>
    </w:p>
    <w:p w14:paraId="5E936DD4">
      <w:pPr>
        <w:pStyle w:val="7"/>
        <w:ind w:left="0"/>
        <w:jc w:val="center"/>
        <w:rPr>
          <w:rFonts w:ascii="宋体" w:hAnsi="宋体"/>
          <w:b/>
          <w:color w:val="auto"/>
          <w:sz w:val="21"/>
          <w:szCs w:val="21"/>
          <w:highlight w:val="none"/>
        </w:rPr>
      </w:pPr>
      <w:r>
        <w:rPr>
          <w:rFonts w:hint="eastAsia" w:ascii="宋体" w:hAnsi="宋体"/>
          <w:b/>
          <w:color w:val="auto"/>
          <w:sz w:val="21"/>
          <w:szCs w:val="21"/>
          <w:highlight w:val="none"/>
        </w:rPr>
        <w:t>法定代表人证明书</w:t>
      </w:r>
    </w:p>
    <w:p w14:paraId="70F7509A">
      <w:pPr>
        <w:spacing w:line="360" w:lineRule="auto"/>
        <w:rPr>
          <w:b/>
          <w:bCs/>
          <w:color w:val="auto"/>
          <w:sz w:val="21"/>
          <w:szCs w:val="21"/>
          <w:highlight w:val="none"/>
        </w:rPr>
      </w:pPr>
    </w:p>
    <w:p w14:paraId="09C2E66C">
      <w:pPr>
        <w:spacing w:line="360" w:lineRule="auto"/>
        <w:ind w:left="671" w:leftChars="305"/>
        <w:rPr>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同志，现任我单位</w:t>
      </w:r>
      <w:r>
        <w:rPr>
          <w:rFonts w:hint="eastAsia"/>
          <w:color w:val="auto"/>
          <w:sz w:val="21"/>
          <w:szCs w:val="21"/>
          <w:highlight w:val="none"/>
          <w:u w:val="single"/>
        </w:rPr>
        <w:t xml:space="preserve">         </w:t>
      </w:r>
      <w:r>
        <w:rPr>
          <w:rFonts w:hint="eastAsia"/>
          <w:color w:val="auto"/>
          <w:sz w:val="21"/>
          <w:szCs w:val="21"/>
          <w:highlight w:val="none"/>
        </w:rPr>
        <w:t>职务，为法定代表人，特此证明。</w:t>
      </w:r>
    </w:p>
    <w:p w14:paraId="76E32FAB">
      <w:pPr>
        <w:spacing w:line="360" w:lineRule="auto"/>
        <w:ind w:left="724" w:leftChars="119" w:hanging="462" w:hangingChars="220"/>
        <w:jc w:val="right"/>
        <w:rPr>
          <w:color w:val="auto"/>
          <w:sz w:val="21"/>
          <w:szCs w:val="21"/>
          <w:highlight w:val="none"/>
        </w:rPr>
      </w:pPr>
      <w:r>
        <w:rPr>
          <w:rFonts w:hint="eastAsia"/>
          <w:color w:val="auto"/>
          <w:sz w:val="21"/>
          <w:szCs w:val="21"/>
          <w:highlight w:val="none"/>
        </w:rPr>
        <w:t>签发日期：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6D2233FE">
      <w:pPr>
        <w:spacing w:line="360" w:lineRule="auto"/>
        <w:ind w:left="748" w:hanging="567"/>
        <w:rPr>
          <w:color w:val="auto"/>
          <w:sz w:val="21"/>
          <w:szCs w:val="21"/>
          <w:highlight w:val="none"/>
        </w:rPr>
      </w:pPr>
      <w:r>
        <w:rPr>
          <w:rFonts w:hint="eastAsia"/>
          <w:color w:val="auto"/>
          <w:sz w:val="21"/>
          <w:szCs w:val="21"/>
          <w:highlight w:val="none"/>
        </w:rPr>
        <w:t>附：</w:t>
      </w:r>
    </w:p>
    <w:p w14:paraId="3F168D8C">
      <w:pPr>
        <w:spacing w:line="360" w:lineRule="auto"/>
        <w:ind w:left="748" w:hanging="567"/>
        <w:rPr>
          <w:color w:val="auto"/>
          <w:sz w:val="21"/>
          <w:szCs w:val="21"/>
          <w:highlight w:val="none"/>
        </w:rPr>
      </w:pPr>
      <w:r>
        <w:rPr>
          <w:rFonts w:hint="eastAsia"/>
          <w:color w:val="auto"/>
          <w:sz w:val="21"/>
          <w:szCs w:val="21"/>
          <w:highlight w:val="none"/>
        </w:rPr>
        <w:t xml:space="preserve">营业执照/登记证书（注册号或登记号）： </w:t>
      </w:r>
    </w:p>
    <w:p w14:paraId="30D6B51E">
      <w:pPr>
        <w:spacing w:line="360" w:lineRule="auto"/>
        <w:ind w:left="748" w:hanging="567"/>
        <w:rPr>
          <w:color w:val="auto"/>
          <w:sz w:val="21"/>
          <w:szCs w:val="21"/>
          <w:highlight w:val="none"/>
        </w:rPr>
      </w:pPr>
      <w:r>
        <w:rPr>
          <w:rFonts w:hint="eastAsia"/>
          <w:color w:val="auto"/>
          <w:sz w:val="21"/>
          <w:szCs w:val="21"/>
          <w:highlight w:val="none"/>
        </w:rPr>
        <w:t>经济性质：</w:t>
      </w:r>
    </w:p>
    <w:p w14:paraId="5ACBA974">
      <w:pPr>
        <w:spacing w:line="360" w:lineRule="auto"/>
        <w:ind w:left="748" w:hanging="567"/>
        <w:rPr>
          <w:color w:val="auto"/>
          <w:sz w:val="21"/>
          <w:szCs w:val="21"/>
          <w:highlight w:val="none"/>
        </w:rPr>
      </w:pPr>
      <w:r>
        <w:rPr>
          <w:rFonts w:hint="eastAsia"/>
          <w:color w:val="auto"/>
          <w:sz w:val="21"/>
          <w:szCs w:val="21"/>
          <w:highlight w:val="none"/>
        </w:rPr>
        <w:t>主营（产）：</w:t>
      </w:r>
    </w:p>
    <w:p w14:paraId="009212E6">
      <w:pPr>
        <w:spacing w:line="360" w:lineRule="auto"/>
        <w:ind w:left="748" w:hanging="567"/>
        <w:rPr>
          <w:color w:val="auto"/>
          <w:sz w:val="21"/>
          <w:szCs w:val="21"/>
          <w:highlight w:val="none"/>
        </w:rPr>
      </w:pPr>
      <w:r>
        <w:rPr>
          <w:rFonts w:hint="eastAsia"/>
          <w:color w:val="auto"/>
          <w:sz w:val="21"/>
          <w:szCs w:val="21"/>
          <w:highlight w:val="none"/>
        </w:rPr>
        <w:t>兼营（产）：</w:t>
      </w:r>
    </w:p>
    <w:p w14:paraId="684E6519">
      <w:pPr>
        <w:spacing w:line="360" w:lineRule="auto"/>
        <w:ind w:left="748" w:hanging="567"/>
        <w:rPr>
          <w:color w:val="auto"/>
          <w:sz w:val="21"/>
          <w:szCs w:val="21"/>
          <w:highlight w:val="none"/>
        </w:rPr>
      </w:pPr>
    </w:p>
    <w:p w14:paraId="7BCC0787">
      <w:pPr>
        <w:spacing w:line="360" w:lineRule="auto"/>
        <w:ind w:left="748" w:hanging="567"/>
        <w:rPr>
          <w:color w:val="auto"/>
          <w:sz w:val="21"/>
          <w:szCs w:val="21"/>
          <w:highlight w:val="none"/>
        </w:rPr>
      </w:pPr>
    </w:p>
    <w:p w14:paraId="053233B3">
      <w:pPr>
        <w:spacing w:line="360" w:lineRule="auto"/>
        <w:ind w:left="748" w:hanging="567"/>
        <w:rPr>
          <w:color w:val="auto"/>
          <w:sz w:val="21"/>
          <w:szCs w:val="21"/>
          <w:highlight w:val="none"/>
        </w:rPr>
      </w:pPr>
    </w:p>
    <w:p w14:paraId="4E87513C">
      <w:pPr>
        <w:spacing w:line="360" w:lineRule="auto"/>
        <w:ind w:left="748" w:hanging="567"/>
        <w:rPr>
          <w:color w:val="auto"/>
          <w:sz w:val="21"/>
          <w:szCs w:val="21"/>
          <w:highlight w:val="none"/>
        </w:rPr>
      </w:pPr>
      <w:r>
        <w:rPr>
          <w:rFonts w:hint="eastAsia"/>
          <w:color w:val="auto"/>
          <w:sz w:val="21"/>
          <w:szCs w:val="21"/>
          <w:highlight w:val="none"/>
        </w:rPr>
        <w:t xml:space="preserve"> </w:t>
      </w:r>
    </w:p>
    <w:p w14:paraId="498052C7">
      <w:pPr>
        <w:spacing w:line="360" w:lineRule="auto"/>
        <w:ind w:left="748" w:hanging="567"/>
        <w:rPr>
          <w:color w:val="auto"/>
          <w:sz w:val="21"/>
          <w:szCs w:val="21"/>
          <w:highlight w:val="none"/>
        </w:rPr>
      </w:pPr>
      <w:r>
        <w:rPr>
          <w:rFonts w:hint="eastAsia"/>
          <w:color w:val="auto"/>
          <w:sz w:val="21"/>
          <w:szCs w:val="21"/>
          <w:highlight w:val="none"/>
        </w:rPr>
        <w:t>投标人名称（并加盖公章）：</w:t>
      </w:r>
    </w:p>
    <w:p w14:paraId="77647C9E">
      <w:pPr>
        <w:spacing w:line="360" w:lineRule="auto"/>
        <w:ind w:left="748" w:hanging="567"/>
        <w:rPr>
          <w:color w:val="auto"/>
          <w:sz w:val="21"/>
          <w:szCs w:val="21"/>
          <w:highlight w:val="none"/>
        </w:rPr>
      </w:pPr>
      <w:r>
        <w:rPr>
          <w:rFonts w:hint="eastAsia"/>
          <w:color w:val="auto"/>
          <w:sz w:val="21"/>
          <w:szCs w:val="21"/>
          <w:highlight w:val="none"/>
        </w:rPr>
        <w:t>地址：</w:t>
      </w:r>
    </w:p>
    <w:p w14:paraId="7F040C4A">
      <w:pPr>
        <w:spacing w:line="360" w:lineRule="auto"/>
        <w:ind w:left="748" w:hanging="567"/>
        <w:rPr>
          <w:color w:val="auto"/>
          <w:sz w:val="21"/>
          <w:szCs w:val="21"/>
          <w:highlight w:val="none"/>
        </w:rPr>
      </w:pPr>
      <w:r>
        <w:rPr>
          <w:rFonts w:hint="eastAsia"/>
          <w:color w:val="auto"/>
          <w:sz w:val="21"/>
          <w:szCs w:val="21"/>
          <w:highlight w:val="none"/>
        </w:rPr>
        <w:t>日期：</w:t>
      </w:r>
    </w:p>
    <w:p w14:paraId="5FBA6621">
      <w:pPr>
        <w:spacing w:line="400" w:lineRule="exact"/>
        <w:ind w:left="748" w:hanging="567"/>
        <w:rPr>
          <w:color w:val="auto"/>
          <w:sz w:val="21"/>
          <w:szCs w:val="21"/>
          <w:highlight w:val="none"/>
        </w:rPr>
      </w:pPr>
    </w:p>
    <w:p w14:paraId="15AFC63E">
      <w:pPr>
        <w:pStyle w:val="7"/>
        <w:rPr>
          <w:rFonts w:ascii="宋体" w:hAnsi="宋体"/>
          <w:b/>
          <w:color w:val="auto"/>
          <w:sz w:val="21"/>
          <w:szCs w:val="21"/>
          <w:highlight w:val="none"/>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355600</wp:posOffset>
                </wp:positionV>
                <wp:extent cx="2479675" cy="1596390"/>
                <wp:effectExtent l="0" t="0" r="15875" b="22860"/>
                <wp:wrapNone/>
                <wp:docPr id="10" name="矩形 4"/>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5ED2CA">
                            <w:pPr>
                              <w:jc w:val="center"/>
                            </w:pPr>
                          </w:p>
                          <w:p w14:paraId="6BCB5173">
                            <w:pPr>
                              <w:jc w:val="center"/>
                              <w:rPr>
                                <w:sz w:val="21"/>
                                <w:szCs w:val="21"/>
                              </w:rPr>
                            </w:pPr>
                            <w:r>
                              <w:rPr>
                                <w:rFonts w:hint="eastAsia"/>
                                <w:sz w:val="21"/>
                                <w:szCs w:val="21"/>
                              </w:rPr>
                              <w:t>法定代表人</w:t>
                            </w:r>
                          </w:p>
                          <w:p w14:paraId="6B1DE026">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2DCA10DB">
                            <w:pPr>
                              <w:jc w:val="center"/>
                              <w:rPr>
                                <w:sz w:val="21"/>
                                <w:szCs w:val="21"/>
                              </w:rPr>
                            </w:pPr>
                          </w:p>
                        </w:txbxContent>
                      </wps:txbx>
                      <wps:bodyPr upright="1"/>
                    </wps:wsp>
                  </a:graphicData>
                </a:graphic>
              </wp:anchor>
            </w:drawing>
          </mc:Choice>
          <mc:Fallback>
            <w:pict>
              <v:rect id="矩形 4" o:spid="_x0000_s1026" o:spt="1" style="position:absolute;left:0pt;margin-left:13.25pt;margin-top:28pt;height:125.7pt;width:195.25pt;z-index:251659264;mso-width-relative:page;mso-height-relative:page;" fillcolor="#FFFFFF" filled="t" stroked="t"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Ff1xrYAAAACQEAAA8AAAAAAAAAAQAgAAAAIgAAAGRy&#10;cy9kb3ducmV2LnhtbFBLAQIUABQAAAAIAIdO4kCcBLq1BQIAACsEAAAOAAAAAAAAAAEAIAAAACcB&#10;AABkcnMvZTJvRG9jLnhtbFBLBQYAAAAABgAGAFkBAACeBQAAAAA=&#10;">
                <v:fill on="t" focussize="0,0"/>
                <v:stroke color="#000000" joinstyle="miter"/>
                <v:imagedata o:title=""/>
                <o:lock v:ext="edit" aspectratio="f"/>
                <v:textbox>
                  <w:txbxContent>
                    <w:p w14:paraId="365ED2CA">
                      <w:pPr>
                        <w:jc w:val="center"/>
                      </w:pPr>
                    </w:p>
                    <w:p w14:paraId="6BCB5173">
                      <w:pPr>
                        <w:jc w:val="center"/>
                        <w:rPr>
                          <w:sz w:val="21"/>
                          <w:szCs w:val="21"/>
                        </w:rPr>
                      </w:pPr>
                      <w:r>
                        <w:rPr>
                          <w:rFonts w:hint="eastAsia"/>
                          <w:sz w:val="21"/>
                          <w:szCs w:val="21"/>
                        </w:rPr>
                        <w:t>法定代表人</w:t>
                      </w:r>
                    </w:p>
                    <w:p w14:paraId="6B1DE026">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2DCA10DB">
                      <w:pPr>
                        <w:jc w:val="center"/>
                        <w:rPr>
                          <w:sz w:val="21"/>
                          <w:szCs w:val="21"/>
                        </w:rPr>
                      </w:pPr>
                    </w:p>
                  </w:txbxContent>
                </v:textbox>
              </v:rect>
            </w:pict>
          </mc:Fallback>
        </mc:AlternateContent>
      </w: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355600</wp:posOffset>
                </wp:positionV>
                <wp:extent cx="2491740" cy="1596390"/>
                <wp:effectExtent l="0" t="0" r="22860" b="22860"/>
                <wp:wrapNone/>
                <wp:docPr id="14" name="矩形 3"/>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7A3624">
                            <w:pPr>
                              <w:jc w:val="center"/>
                            </w:pPr>
                          </w:p>
                          <w:p w14:paraId="70478F20">
                            <w:pPr>
                              <w:jc w:val="center"/>
                              <w:rPr>
                                <w:sz w:val="21"/>
                                <w:szCs w:val="21"/>
                              </w:rPr>
                            </w:pPr>
                            <w:r>
                              <w:rPr>
                                <w:rFonts w:hint="eastAsia"/>
                                <w:sz w:val="21"/>
                                <w:szCs w:val="21"/>
                              </w:rPr>
                              <w:t>法定代表人</w:t>
                            </w:r>
                          </w:p>
                          <w:p w14:paraId="0645EEBA">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5A8FFB1B">
                            <w:pPr>
                              <w:jc w:val="center"/>
                              <w:rPr>
                                <w:sz w:val="21"/>
                                <w:szCs w:val="21"/>
                              </w:rPr>
                            </w:pPr>
                          </w:p>
                        </w:txbxContent>
                      </wps:txbx>
                      <wps:bodyPr upright="1"/>
                    </wps:wsp>
                  </a:graphicData>
                </a:graphic>
              </wp:anchor>
            </w:drawing>
          </mc:Choice>
          <mc:Fallback>
            <w:pict>
              <v:rect id="矩形 3" o:spid="_x0000_s1026" o:spt="1" style="position:absolute;left:0pt;margin-left:224.15pt;margin-top:28pt;height:125.7pt;width:196.2pt;z-index:251660288;mso-width-relative:page;mso-height-relative:page;" fillcolor="#FFFFFF" filled="t" stroked="t"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&#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3Cn42QAAAAoBAAAPAAAAAAAAAAEAIAAAACIAAABk&#10;cnMvZG93bnJldi54bWxQSwECFAAUAAAACACHTuJAcHFswgUCAAArBAAADgAAAAAAAAABACAAAAAo&#10;AQAAZHJzL2Uyb0RvYy54bWxQSwUGAAAAAAYABgBZAQAAnwUAAAAA&#10;">
                <v:fill on="t" focussize="0,0"/>
                <v:stroke color="#000000" joinstyle="miter"/>
                <v:imagedata o:title=""/>
                <o:lock v:ext="edit" aspectratio="f"/>
                <v:textbox>
                  <w:txbxContent>
                    <w:p w14:paraId="3E7A3624">
                      <w:pPr>
                        <w:jc w:val="center"/>
                      </w:pPr>
                    </w:p>
                    <w:p w14:paraId="70478F20">
                      <w:pPr>
                        <w:jc w:val="center"/>
                        <w:rPr>
                          <w:sz w:val="21"/>
                          <w:szCs w:val="21"/>
                        </w:rPr>
                      </w:pPr>
                      <w:r>
                        <w:rPr>
                          <w:rFonts w:hint="eastAsia"/>
                          <w:sz w:val="21"/>
                          <w:szCs w:val="21"/>
                        </w:rPr>
                        <w:t>法定代表人</w:t>
                      </w:r>
                    </w:p>
                    <w:p w14:paraId="0645EEBA">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5A8FFB1B">
                      <w:pPr>
                        <w:jc w:val="center"/>
                        <w:rPr>
                          <w:sz w:val="21"/>
                          <w:szCs w:val="21"/>
                        </w:rPr>
                      </w:pPr>
                    </w:p>
                  </w:txbxContent>
                </v:textbox>
              </v:rect>
            </w:pict>
          </mc:Fallback>
        </mc:AlternateContent>
      </w:r>
    </w:p>
    <w:p w14:paraId="328434BC">
      <w:pPr>
        <w:pStyle w:val="7"/>
        <w:rPr>
          <w:rFonts w:ascii="宋体" w:hAnsi="宋体"/>
          <w:b/>
          <w:color w:val="auto"/>
          <w:sz w:val="21"/>
          <w:szCs w:val="21"/>
          <w:highlight w:val="none"/>
        </w:rPr>
      </w:pPr>
    </w:p>
    <w:p w14:paraId="6407975A">
      <w:pPr>
        <w:pStyle w:val="7"/>
        <w:rPr>
          <w:rFonts w:ascii="宋体" w:hAnsi="宋体"/>
          <w:b/>
          <w:color w:val="auto"/>
          <w:sz w:val="21"/>
          <w:szCs w:val="21"/>
          <w:highlight w:val="none"/>
        </w:rPr>
      </w:pPr>
    </w:p>
    <w:p w14:paraId="4A26B2D3">
      <w:pPr>
        <w:pStyle w:val="7"/>
        <w:rPr>
          <w:rFonts w:ascii="宋体" w:hAnsi="宋体"/>
          <w:b/>
          <w:color w:val="auto"/>
          <w:sz w:val="21"/>
          <w:szCs w:val="21"/>
          <w:highlight w:val="none"/>
        </w:rPr>
      </w:pPr>
    </w:p>
    <w:p w14:paraId="5F596CC7">
      <w:pPr>
        <w:pStyle w:val="7"/>
        <w:rPr>
          <w:rFonts w:ascii="宋体" w:hAnsi="宋体"/>
          <w:b/>
          <w:color w:val="auto"/>
          <w:sz w:val="21"/>
          <w:szCs w:val="21"/>
          <w:highlight w:val="none"/>
        </w:rPr>
      </w:pPr>
    </w:p>
    <w:p w14:paraId="27742CFF">
      <w:pPr>
        <w:pStyle w:val="7"/>
        <w:spacing w:line="480" w:lineRule="auto"/>
        <w:ind w:left="0" w:firstLine="0"/>
        <w:rPr>
          <w:rFonts w:ascii="宋体" w:hAnsi="宋体"/>
          <w:b/>
          <w:color w:val="auto"/>
          <w:sz w:val="21"/>
          <w:szCs w:val="21"/>
          <w:highlight w:val="none"/>
        </w:rPr>
      </w:pPr>
    </w:p>
    <w:p w14:paraId="24CF6BAB">
      <w:pPr>
        <w:pStyle w:val="7"/>
        <w:ind w:left="0"/>
        <w:jc w:val="center"/>
        <w:rPr>
          <w:rFonts w:ascii="宋体" w:hAnsi="宋体"/>
          <w:b/>
          <w:color w:val="auto"/>
          <w:sz w:val="21"/>
          <w:szCs w:val="21"/>
          <w:highlight w:val="none"/>
        </w:rPr>
      </w:pPr>
      <w:r>
        <w:rPr>
          <w:rFonts w:hint="eastAsia"/>
          <w:b/>
          <w:color w:val="auto"/>
          <w:sz w:val="21"/>
          <w:szCs w:val="21"/>
          <w:highlight w:val="none"/>
        </w:rPr>
        <w:br w:type="page"/>
      </w:r>
      <w:r>
        <w:rPr>
          <w:rFonts w:hint="eastAsia" w:ascii="宋体" w:hAnsi="宋体"/>
          <w:b/>
          <w:color w:val="auto"/>
          <w:sz w:val="21"/>
          <w:szCs w:val="21"/>
          <w:highlight w:val="none"/>
        </w:rPr>
        <w:t>法定代表人授权书</w:t>
      </w:r>
    </w:p>
    <w:p w14:paraId="40336A3C">
      <w:pPr>
        <w:rPr>
          <w:color w:val="auto"/>
          <w:sz w:val="21"/>
          <w:szCs w:val="21"/>
          <w:highlight w:val="none"/>
        </w:rPr>
      </w:pPr>
    </w:p>
    <w:p w14:paraId="1D09B141">
      <w:pPr>
        <w:spacing w:line="360" w:lineRule="auto"/>
        <w:ind w:left="748" w:hanging="567"/>
        <w:rPr>
          <w:color w:val="auto"/>
          <w:sz w:val="21"/>
          <w:szCs w:val="21"/>
          <w:highlight w:val="none"/>
        </w:rPr>
      </w:pPr>
      <w:r>
        <w:rPr>
          <w:rFonts w:hint="eastAsia"/>
          <w:color w:val="auto"/>
          <w:sz w:val="21"/>
          <w:szCs w:val="21"/>
          <w:highlight w:val="none"/>
        </w:rPr>
        <w:t>致：广东省建筑工程监理有限公司</w:t>
      </w:r>
    </w:p>
    <w:p w14:paraId="16958356">
      <w:pPr>
        <w:spacing w:line="360" w:lineRule="auto"/>
        <w:ind w:firstLine="420" w:firstLineChars="200"/>
        <w:rPr>
          <w:color w:val="auto"/>
          <w:sz w:val="21"/>
          <w:szCs w:val="21"/>
          <w:highlight w:val="none"/>
        </w:rPr>
      </w:pPr>
      <w:r>
        <w:rPr>
          <w:rFonts w:hint="eastAsia"/>
          <w:color w:val="auto"/>
          <w:sz w:val="21"/>
          <w:szCs w:val="21"/>
          <w:highlight w:val="none"/>
        </w:rPr>
        <w:t>本授权书声明：注册于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 xml:space="preserve">        （投标人名称）</w:t>
      </w:r>
      <w:r>
        <w:rPr>
          <w:rFonts w:hint="eastAsia"/>
          <w:color w:val="auto"/>
          <w:sz w:val="21"/>
          <w:szCs w:val="21"/>
          <w:highlight w:val="none"/>
        </w:rPr>
        <w:t>在下面签字（或印鉴）的</w:t>
      </w:r>
      <w:r>
        <w:rPr>
          <w:rFonts w:hint="eastAsia"/>
          <w:color w:val="auto"/>
          <w:sz w:val="21"/>
          <w:szCs w:val="21"/>
          <w:highlight w:val="none"/>
          <w:u w:val="single"/>
        </w:rPr>
        <w:t xml:space="preserve">   （法定代表人姓名、职务）</w:t>
      </w:r>
      <w:r>
        <w:rPr>
          <w:rFonts w:hint="eastAsia"/>
          <w:color w:val="auto"/>
          <w:sz w:val="21"/>
          <w:szCs w:val="21"/>
          <w:highlight w:val="none"/>
        </w:rPr>
        <w:t>代表本单位授权在下面签字（或印鉴）的</w:t>
      </w:r>
      <w:r>
        <w:rPr>
          <w:rFonts w:hint="eastAsia"/>
          <w:color w:val="auto"/>
          <w:sz w:val="21"/>
          <w:szCs w:val="21"/>
          <w:highlight w:val="none"/>
          <w:u w:val="single"/>
        </w:rPr>
        <w:t xml:space="preserve">                          （被授权人的姓名、职务）</w:t>
      </w:r>
      <w:r>
        <w:rPr>
          <w:rFonts w:hint="eastAsia"/>
          <w:color w:val="auto"/>
          <w:sz w:val="21"/>
          <w:szCs w:val="21"/>
          <w:highlight w:val="none"/>
        </w:rPr>
        <w:t>为本单位的合法代表人，就</w:t>
      </w:r>
      <w:r>
        <w:rPr>
          <w:rFonts w:hint="eastAsia"/>
          <w:color w:val="auto"/>
          <w:sz w:val="21"/>
          <w:szCs w:val="21"/>
          <w:highlight w:val="none"/>
          <w:u w:val="single"/>
        </w:rPr>
        <w:t xml:space="preserve">                            </w:t>
      </w:r>
      <w:r>
        <w:rPr>
          <w:rFonts w:hint="eastAsia"/>
          <w:color w:val="auto"/>
          <w:sz w:val="21"/>
          <w:szCs w:val="21"/>
          <w:highlight w:val="none"/>
        </w:rPr>
        <w:t>（项目编号：</w:t>
      </w:r>
      <w:r>
        <w:rPr>
          <w:rFonts w:hint="eastAsia"/>
          <w:color w:val="auto"/>
          <w:sz w:val="21"/>
          <w:szCs w:val="21"/>
          <w:highlight w:val="none"/>
          <w:u w:val="single"/>
        </w:rPr>
        <w:t xml:space="preserve">              </w:t>
      </w:r>
      <w:r>
        <w:rPr>
          <w:rFonts w:hint="eastAsia"/>
          <w:color w:val="auto"/>
          <w:sz w:val="21"/>
          <w:szCs w:val="21"/>
          <w:highlight w:val="none"/>
        </w:rPr>
        <w:t>）的投标活动，提交投标文件及采购合同的签订、执行，作为投标人代表以我方的名义处理一切与之有关的事务。</w:t>
      </w:r>
    </w:p>
    <w:p w14:paraId="74F8611C">
      <w:pPr>
        <w:spacing w:line="360" w:lineRule="auto"/>
        <w:ind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年    月    日</w:t>
      </w:r>
      <w:r>
        <w:rPr>
          <w:rFonts w:hint="eastAsia"/>
          <w:color w:val="auto"/>
          <w:sz w:val="21"/>
          <w:szCs w:val="21"/>
          <w:highlight w:val="none"/>
        </w:rPr>
        <w:t>签字（或印鉴）生效，特此声明。</w:t>
      </w:r>
    </w:p>
    <w:p w14:paraId="1B58A9FB">
      <w:pPr>
        <w:spacing w:line="360" w:lineRule="auto"/>
        <w:ind w:left="748" w:hanging="567"/>
        <w:rPr>
          <w:color w:val="auto"/>
          <w:sz w:val="21"/>
          <w:szCs w:val="21"/>
          <w:highlight w:val="none"/>
        </w:rPr>
      </w:pPr>
    </w:p>
    <w:p w14:paraId="4469CA99">
      <w:pPr>
        <w:spacing w:line="360" w:lineRule="auto"/>
        <w:ind w:left="748" w:hanging="567"/>
        <w:rPr>
          <w:color w:val="auto"/>
          <w:sz w:val="21"/>
          <w:szCs w:val="21"/>
          <w:highlight w:val="none"/>
        </w:rPr>
      </w:pPr>
      <w:r>
        <w:rPr>
          <w:rFonts w:hint="eastAsia"/>
          <w:color w:val="auto"/>
          <w:sz w:val="21"/>
          <w:szCs w:val="21"/>
          <w:highlight w:val="none"/>
        </w:rPr>
        <w:t>投 标 人 名 称（并加盖公章）：</w:t>
      </w:r>
    </w:p>
    <w:p w14:paraId="19D1AB67">
      <w:pPr>
        <w:spacing w:line="360" w:lineRule="auto"/>
        <w:ind w:left="748" w:hanging="567"/>
        <w:rPr>
          <w:color w:val="auto"/>
          <w:sz w:val="21"/>
          <w:szCs w:val="21"/>
          <w:highlight w:val="none"/>
        </w:rPr>
      </w:pPr>
      <w:r>
        <w:rPr>
          <w:rFonts w:hint="eastAsia"/>
          <w:color w:val="auto"/>
          <w:sz w:val="21"/>
          <w:szCs w:val="21"/>
          <w:highlight w:val="none"/>
        </w:rPr>
        <w:t>地        址：</w:t>
      </w:r>
    </w:p>
    <w:p w14:paraId="49024BA9">
      <w:pPr>
        <w:spacing w:line="360" w:lineRule="auto"/>
        <w:ind w:left="748" w:hanging="567"/>
        <w:rPr>
          <w:color w:val="auto"/>
          <w:sz w:val="21"/>
          <w:szCs w:val="21"/>
          <w:highlight w:val="none"/>
        </w:rPr>
      </w:pPr>
      <w:r>
        <w:rPr>
          <w:rFonts w:hint="eastAsia"/>
          <w:color w:val="auto"/>
          <w:sz w:val="21"/>
          <w:szCs w:val="21"/>
          <w:highlight w:val="none"/>
        </w:rPr>
        <w:t>法定代表人（签字或印鉴）：</w:t>
      </w:r>
    </w:p>
    <w:p w14:paraId="1E5A566E">
      <w:pPr>
        <w:spacing w:line="360" w:lineRule="auto"/>
        <w:ind w:left="748" w:hanging="567"/>
        <w:rPr>
          <w:color w:val="auto"/>
          <w:sz w:val="21"/>
          <w:szCs w:val="21"/>
          <w:highlight w:val="none"/>
        </w:rPr>
      </w:pPr>
      <w:r>
        <w:rPr>
          <w:rFonts w:hint="eastAsia"/>
          <w:color w:val="auto"/>
          <w:sz w:val="21"/>
          <w:szCs w:val="21"/>
          <w:highlight w:val="none"/>
        </w:rPr>
        <w:t>职        务：</w:t>
      </w:r>
    </w:p>
    <w:p w14:paraId="3B8ECE07">
      <w:pPr>
        <w:spacing w:line="360" w:lineRule="auto"/>
        <w:ind w:left="748" w:hanging="567"/>
        <w:rPr>
          <w:color w:val="auto"/>
          <w:sz w:val="21"/>
          <w:szCs w:val="21"/>
          <w:highlight w:val="none"/>
        </w:rPr>
      </w:pPr>
      <w:r>
        <w:rPr>
          <w:rFonts w:hint="eastAsia"/>
          <w:color w:val="auto"/>
          <w:sz w:val="21"/>
          <w:szCs w:val="21"/>
          <w:highlight w:val="none"/>
        </w:rPr>
        <w:t>被授权人（签字或印鉴）：</w:t>
      </w:r>
    </w:p>
    <w:p w14:paraId="10074848">
      <w:pPr>
        <w:spacing w:line="360" w:lineRule="auto"/>
        <w:ind w:left="748" w:hanging="567"/>
        <w:rPr>
          <w:color w:val="auto"/>
          <w:sz w:val="21"/>
          <w:szCs w:val="21"/>
          <w:highlight w:val="none"/>
        </w:rPr>
      </w:pPr>
      <w:r>
        <w:rPr>
          <w:rFonts w:hint="eastAsia"/>
          <w:color w:val="auto"/>
          <w:sz w:val="21"/>
          <w:szCs w:val="21"/>
          <w:highlight w:val="none"/>
        </w:rPr>
        <w:t>职        务：</w:t>
      </w:r>
    </w:p>
    <w:p w14:paraId="7D7FD4F2">
      <w:pPr>
        <w:spacing w:line="400" w:lineRule="exact"/>
        <w:ind w:left="748" w:hanging="567"/>
        <w:rPr>
          <w:color w:val="auto"/>
          <w:sz w:val="21"/>
          <w:szCs w:val="21"/>
          <w:highlight w:val="none"/>
        </w:rPr>
      </w:pPr>
    </w:p>
    <w:p w14:paraId="79A33CC1">
      <w:pPr>
        <w:spacing w:line="400" w:lineRule="exact"/>
        <w:ind w:left="748" w:hanging="567"/>
        <w:rPr>
          <w:color w:val="auto"/>
          <w:sz w:val="21"/>
          <w:szCs w:val="21"/>
          <w:highlight w:val="none"/>
        </w:rPr>
      </w:pPr>
    </w:p>
    <w:p w14:paraId="4871AADA">
      <w:pPr>
        <w:spacing w:line="400" w:lineRule="exact"/>
        <w:ind w:left="748" w:hanging="567"/>
        <w:rPr>
          <w:color w:val="auto"/>
          <w:sz w:val="21"/>
          <w:szCs w:val="21"/>
          <w:highlight w:val="none"/>
        </w:rPr>
      </w:pPr>
    </w:p>
    <w:p w14:paraId="43ECC85B">
      <w:pPr>
        <w:spacing w:line="400" w:lineRule="exact"/>
        <w:ind w:left="748" w:hanging="567"/>
        <w:rPr>
          <w:color w:val="auto"/>
          <w:sz w:val="21"/>
          <w:szCs w:val="21"/>
          <w:highlight w:val="none"/>
        </w:rPr>
      </w:pP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220345</wp:posOffset>
                </wp:positionV>
                <wp:extent cx="2479675" cy="1596390"/>
                <wp:effectExtent l="0" t="0" r="15875" b="22860"/>
                <wp:wrapNone/>
                <wp:docPr id="12" name="矩形 2"/>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68C1A2">
                            <w:pPr>
                              <w:jc w:val="center"/>
                            </w:pPr>
                          </w:p>
                          <w:p w14:paraId="6DC97AAD">
                            <w:pPr>
                              <w:jc w:val="center"/>
                              <w:rPr>
                                <w:sz w:val="21"/>
                                <w:szCs w:val="21"/>
                              </w:rPr>
                            </w:pPr>
                            <w:r>
                              <w:rPr>
                                <w:rFonts w:hint="eastAsia"/>
                                <w:sz w:val="21"/>
                                <w:szCs w:val="21"/>
                              </w:rPr>
                              <w:t>被授权人（授权代表）</w:t>
                            </w:r>
                          </w:p>
                          <w:p w14:paraId="74AE2427">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3F24CFBB">
                            <w:pPr>
                              <w:jc w:val="center"/>
                              <w:rPr>
                                <w:sz w:val="21"/>
                                <w:szCs w:val="21"/>
                              </w:rPr>
                            </w:pPr>
                          </w:p>
                        </w:txbxContent>
                      </wps:txbx>
                      <wps:bodyPr upright="1"/>
                    </wps:wsp>
                  </a:graphicData>
                </a:graphic>
              </wp:anchor>
            </w:drawing>
          </mc:Choice>
          <mc:Fallback>
            <w:pict>
              <v:rect id="矩形 2" o:spid="_x0000_s1026" o:spt="1" style="position:absolute;left:0pt;margin-left:25.25pt;margin-top:17.35pt;height:125.7pt;width:195.25pt;z-index:251661312;mso-width-relative:page;mso-height-relative:page;" fillcolor="#FFFFFF" filled="t" stroked="t"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b5rbnYAAAACQEAAA8AAAAAAAAAAQAgAAAAIgAAAGRy&#10;cy9kb3ducmV2LnhtbFBLAQIUABQAAAAIAIdO4kArll9OBQIAACsEAAAOAAAAAAAAAAEAIAAAACcB&#10;AABkcnMvZTJvRG9jLnhtbFBLBQYAAAAABgAGAFkBAACeBQAAAAA=&#10;">
                <v:fill on="t" focussize="0,0"/>
                <v:stroke color="#000000" joinstyle="miter"/>
                <v:imagedata o:title=""/>
                <o:lock v:ext="edit" aspectratio="f"/>
                <v:textbox>
                  <w:txbxContent>
                    <w:p w14:paraId="2D68C1A2">
                      <w:pPr>
                        <w:jc w:val="center"/>
                      </w:pPr>
                    </w:p>
                    <w:p w14:paraId="6DC97AAD">
                      <w:pPr>
                        <w:jc w:val="center"/>
                        <w:rPr>
                          <w:sz w:val="21"/>
                          <w:szCs w:val="21"/>
                        </w:rPr>
                      </w:pPr>
                      <w:r>
                        <w:rPr>
                          <w:rFonts w:hint="eastAsia"/>
                          <w:sz w:val="21"/>
                          <w:szCs w:val="21"/>
                        </w:rPr>
                        <w:t>被授权人（授权代表）</w:t>
                      </w:r>
                    </w:p>
                    <w:p w14:paraId="74AE2427">
                      <w:pPr>
                        <w:jc w:val="center"/>
                        <w:rPr>
                          <w:sz w:val="21"/>
                          <w:szCs w:val="21"/>
                        </w:rPr>
                      </w:pPr>
                      <w:r>
                        <w:rPr>
                          <w:rFonts w:hint="eastAsia"/>
                          <w:b/>
                          <w:sz w:val="21"/>
                          <w:szCs w:val="21"/>
                          <w:u w:val="single"/>
                        </w:rPr>
                        <w:t>有效期内的</w:t>
                      </w:r>
                      <w:r>
                        <w:rPr>
                          <w:rFonts w:hint="eastAsia"/>
                          <w:sz w:val="21"/>
                          <w:szCs w:val="21"/>
                        </w:rPr>
                        <w:t>居民身份证复印件（正面）粘贴处</w:t>
                      </w:r>
                    </w:p>
                    <w:p w14:paraId="3F24CFBB">
                      <w:pPr>
                        <w:jc w:val="center"/>
                        <w:rPr>
                          <w:sz w:val="21"/>
                          <w:szCs w:val="21"/>
                        </w:rPr>
                      </w:pPr>
                    </w:p>
                  </w:txbxContent>
                </v:textbox>
              </v:rect>
            </w:pict>
          </mc:Fallback>
        </mc:AlternateContent>
      </w:r>
      <w:r>
        <w:rPr>
          <w:rFonts w:hint="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220345</wp:posOffset>
                </wp:positionV>
                <wp:extent cx="2491740" cy="1596390"/>
                <wp:effectExtent l="0" t="0" r="22860" b="22860"/>
                <wp:wrapNone/>
                <wp:docPr id="11" name="矩形 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B84308">
                            <w:pPr>
                              <w:jc w:val="center"/>
                            </w:pPr>
                          </w:p>
                          <w:p w14:paraId="7C0C2FD9">
                            <w:pPr>
                              <w:jc w:val="center"/>
                              <w:rPr>
                                <w:sz w:val="21"/>
                                <w:szCs w:val="21"/>
                              </w:rPr>
                            </w:pPr>
                            <w:r>
                              <w:rPr>
                                <w:rFonts w:hint="eastAsia"/>
                                <w:sz w:val="21"/>
                                <w:szCs w:val="21"/>
                              </w:rPr>
                              <w:t>被授权人（授权代表）</w:t>
                            </w:r>
                          </w:p>
                          <w:p w14:paraId="4CFA6154">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7AFF0E11">
                            <w:pPr>
                              <w:jc w:val="center"/>
                              <w:rPr>
                                <w:sz w:val="21"/>
                                <w:szCs w:val="21"/>
                              </w:rPr>
                            </w:pPr>
                          </w:p>
                        </w:txbxContent>
                      </wps:txbx>
                      <wps:bodyPr upright="1"/>
                    </wps:wsp>
                  </a:graphicData>
                </a:graphic>
              </wp:anchor>
            </w:drawing>
          </mc:Choice>
          <mc:Fallback>
            <w:pict>
              <v:rect id="矩形 1" o:spid="_x0000_s1026" o:spt="1" style="position:absolute;left:0pt;margin-left:236.15pt;margin-top:17.35pt;height:125.7pt;width:196.2pt;z-index:251662336;mso-width-relative:page;mso-height-relative:page;" fillcolor="#FFFFFF" filled="t" stroked="t"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8hI62QAAAAoBAAAPAAAAAAAAAAEAIAAAACIAAABk&#10;cnMvZG93bnJldi54bWxQSwECFAAUAAAACACHTuJAyH3x6wUCAAArBAAADgAAAAAAAAABACAAAAAo&#10;AQAAZHJzL2Uyb0RvYy54bWxQSwUGAAAAAAYABgBZAQAAnwUAAAAA&#10;">
                <v:fill on="t" focussize="0,0"/>
                <v:stroke color="#000000" joinstyle="miter"/>
                <v:imagedata o:title=""/>
                <o:lock v:ext="edit" aspectratio="f"/>
                <v:textbox>
                  <w:txbxContent>
                    <w:p w14:paraId="24B84308">
                      <w:pPr>
                        <w:jc w:val="center"/>
                      </w:pPr>
                    </w:p>
                    <w:p w14:paraId="7C0C2FD9">
                      <w:pPr>
                        <w:jc w:val="center"/>
                        <w:rPr>
                          <w:sz w:val="21"/>
                          <w:szCs w:val="21"/>
                        </w:rPr>
                      </w:pPr>
                      <w:r>
                        <w:rPr>
                          <w:rFonts w:hint="eastAsia"/>
                          <w:sz w:val="21"/>
                          <w:szCs w:val="21"/>
                        </w:rPr>
                        <w:t>被授权人（授权代表）</w:t>
                      </w:r>
                    </w:p>
                    <w:p w14:paraId="4CFA6154">
                      <w:pPr>
                        <w:jc w:val="center"/>
                        <w:rPr>
                          <w:sz w:val="21"/>
                          <w:szCs w:val="21"/>
                        </w:rPr>
                      </w:pPr>
                      <w:r>
                        <w:rPr>
                          <w:rFonts w:hint="eastAsia"/>
                          <w:b/>
                          <w:sz w:val="21"/>
                          <w:szCs w:val="21"/>
                          <w:u w:val="single"/>
                        </w:rPr>
                        <w:t>有效期内的</w:t>
                      </w:r>
                      <w:r>
                        <w:rPr>
                          <w:rFonts w:hint="eastAsia"/>
                          <w:sz w:val="21"/>
                          <w:szCs w:val="21"/>
                        </w:rPr>
                        <w:t>居民身份证复印件（反面）粘贴处</w:t>
                      </w:r>
                    </w:p>
                    <w:p w14:paraId="7AFF0E11">
                      <w:pPr>
                        <w:jc w:val="center"/>
                        <w:rPr>
                          <w:sz w:val="21"/>
                          <w:szCs w:val="21"/>
                        </w:rPr>
                      </w:pPr>
                    </w:p>
                  </w:txbxContent>
                </v:textbox>
              </v:rect>
            </w:pict>
          </mc:Fallback>
        </mc:AlternateContent>
      </w:r>
    </w:p>
    <w:p w14:paraId="4B6FF0BD">
      <w:pPr>
        <w:spacing w:line="360" w:lineRule="auto"/>
        <w:ind w:left="748" w:hanging="567"/>
        <w:rPr>
          <w:color w:val="auto"/>
          <w:sz w:val="21"/>
          <w:szCs w:val="21"/>
          <w:highlight w:val="none"/>
        </w:rPr>
      </w:pPr>
    </w:p>
    <w:p w14:paraId="22FF6E01">
      <w:pPr>
        <w:spacing w:line="360" w:lineRule="auto"/>
        <w:ind w:left="748" w:hanging="567"/>
        <w:rPr>
          <w:color w:val="auto"/>
          <w:sz w:val="21"/>
          <w:szCs w:val="21"/>
          <w:highlight w:val="none"/>
        </w:rPr>
      </w:pPr>
    </w:p>
    <w:p w14:paraId="41744744">
      <w:pPr>
        <w:spacing w:line="400" w:lineRule="exact"/>
        <w:ind w:left="748" w:hanging="567"/>
        <w:rPr>
          <w:color w:val="auto"/>
          <w:sz w:val="21"/>
          <w:szCs w:val="21"/>
          <w:highlight w:val="none"/>
        </w:rPr>
      </w:pPr>
    </w:p>
    <w:p w14:paraId="188EF113">
      <w:pPr>
        <w:spacing w:line="400" w:lineRule="exact"/>
        <w:ind w:left="748" w:hanging="567"/>
        <w:rPr>
          <w:color w:val="auto"/>
          <w:sz w:val="21"/>
          <w:szCs w:val="21"/>
          <w:highlight w:val="none"/>
        </w:rPr>
      </w:pPr>
    </w:p>
    <w:p w14:paraId="0B21B9A9">
      <w:pPr>
        <w:spacing w:line="400" w:lineRule="exact"/>
        <w:ind w:left="748" w:hanging="567"/>
        <w:rPr>
          <w:color w:val="auto"/>
          <w:sz w:val="21"/>
          <w:szCs w:val="21"/>
          <w:highlight w:val="none"/>
        </w:rPr>
      </w:pPr>
    </w:p>
    <w:p w14:paraId="025966DD">
      <w:pPr>
        <w:spacing w:line="400" w:lineRule="exact"/>
        <w:ind w:left="748" w:hanging="567"/>
        <w:rPr>
          <w:color w:val="auto"/>
          <w:sz w:val="21"/>
          <w:szCs w:val="21"/>
          <w:highlight w:val="none"/>
        </w:rPr>
      </w:pPr>
    </w:p>
    <w:p w14:paraId="53C716C1">
      <w:pPr>
        <w:spacing w:line="400" w:lineRule="exact"/>
        <w:ind w:left="748" w:hanging="567"/>
        <w:rPr>
          <w:color w:val="auto"/>
          <w:sz w:val="21"/>
          <w:szCs w:val="21"/>
          <w:highlight w:val="none"/>
        </w:rPr>
      </w:pPr>
    </w:p>
    <w:p w14:paraId="695B4343">
      <w:pPr>
        <w:pStyle w:val="3"/>
        <w:keepNext w:val="0"/>
        <w:keepLines w:val="0"/>
        <w:widowControl/>
        <w:numPr>
          <w:ilvl w:val="1"/>
          <w:numId w:val="25"/>
        </w:numPr>
        <w:spacing w:before="188" w:after="188" w:line="400" w:lineRule="exact"/>
        <w:jc w:val="center"/>
        <w:rPr>
          <w:rFonts w:ascii="宋体" w:hAnsi="宋体" w:eastAsia="宋体" w:cs="宋体"/>
          <w:color w:val="auto"/>
          <w:sz w:val="21"/>
          <w:szCs w:val="21"/>
          <w:highlight w:val="none"/>
        </w:rPr>
      </w:pPr>
      <w:r>
        <w:rPr>
          <w:rFonts w:hint="eastAsia"/>
          <w:b w:val="0"/>
          <w:color w:val="auto"/>
          <w:sz w:val="21"/>
          <w:szCs w:val="21"/>
          <w:highlight w:val="none"/>
        </w:rPr>
        <w:br w:type="page"/>
      </w:r>
      <w:bookmarkStart w:id="237" w:name="_Toc275865623"/>
      <w:bookmarkEnd w:id="237"/>
      <w:bookmarkStart w:id="238" w:name="_Toc367012690"/>
      <w:bookmarkEnd w:id="238"/>
      <w:bookmarkStart w:id="239" w:name="_Toc368513825"/>
      <w:bookmarkEnd w:id="239"/>
      <w:bookmarkStart w:id="240" w:name="_Toc210275025"/>
      <w:bookmarkStart w:id="241" w:name="_Toc368513826"/>
      <w:bookmarkStart w:id="242" w:name="_Toc161571022"/>
      <w:r>
        <w:rPr>
          <w:rFonts w:hint="eastAsia" w:ascii="宋体" w:hAnsi="宋体" w:eastAsia="宋体" w:cs="宋体"/>
          <w:color w:val="auto"/>
          <w:sz w:val="21"/>
          <w:szCs w:val="21"/>
          <w:highlight w:val="none"/>
        </w:rPr>
        <w:t xml:space="preserve">  </w:t>
      </w:r>
      <w:bookmarkStart w:id="243" w:name="_Toc86349490"/>
      <w:bookmarkStart w:id="244" w:name="_Toc29825824"/>
      <w:r>
        <w:rPr>
          <w:rFonts w:hint="eastAsia" w:ascii="宋体" w:hAnsi="宋体" w:eastAsia="宋体" w:cs="宋体"/>
          <w:color w:val="auto"/>
          <w:sz w:val="21"/>
          <w:szCs w:val="21"/>
          <w:highlight w:val="none"/>
        </w:rPr>
        <w:t>开标一览表</w:t>
      </w:r>
      <w:bookmarkStart w:id="245" w:name="_Hlk131991038"/>
    </w:p>
    <w:p w14:paraId="356013B5">
      <w:pPr>
        <w:tabs>
          <w:tab w:val="left" w:pos="142"/>
        </w:tabs>
        <w:spacing w:before="120" w:after="120" w:line="360" w:lineRule="exact"/>
        <w:ind w:left="130" w:leftChars="59" w:firstLine="210" w:firstLineChars="100"/>
        <w:rPr>
          <w:color w:val="auto"/>
          <w:szCs w:val="21"/>
          <w:highlight w:val="none"/>
        </w:rPr>
      </w:pPr>
      <w:r>
        <w:rPr>
          <w:rFonts w:hint="eastAsia"/>
          <w:color w:val="auto"/>
          <w:sz w:val="21"/>
          <w:szCs w:val="21"/>
          <w:highlight w:val="none"/>
        </w:rPr>
        <w:t>项目名称：</w:t>
      </w:r>
      <w:r>
        <w:rPr>
          <w:rFonts w:hint="eastAsia"/>
          <w:color w:val="auto"/>
          <w:sz w:val="21"/>
          <w:szCs w:val="21"/>
          <w:highlight w:val="none"/>
          <w:lang w:val="en-US"/>
        </w:rPr>
        <w:t xml:space="preserve"> </w:t>
      </w:r>
      <w:r>
        <w:rPr>
          <w:rFonts w:hint="eastAsia"/>
          <w:color w:val="auto"/>
          <w:szCs w:val="21"/>
          <w:highlight w:val="none"/>
        </w:rPr>
        <w:t xml:space="preserve"> </w:t>
      </w:r>
    </w:p>
    <w:p w14:paraId="43BBAF4B">
      <w:pPr>
        <w:tabs>
          <w:tab w:val="left" w:pos="142"/>
        </w:tabs>
        <w:spacing w:before="120" w:after="120" w:line="360" w:lineRule="exact"/>
        <w:ind w:left="130" w:leftChars="59" w:firstLine="220" w:firstLineChars="100"/>
        <w:rPr>
          <w:color w:val="auto"/>
          <w:highlight w:val="none"/>
        </w:rPr>
      </w:pPr>
      <w:r>
        <w:rPr>
          <w:rFonts w:hint="eastAsia"/>
          <w:color w:val="auto"/>
          <w:highlight w:val="none"/>
        </w:rPr>
        <w:t xml:space="preserve">项目编号： </w:t>
      </w:r>
    </w:p>
    <w:tbl>
      <w:tblPr>
        <w:tblStyle w:val="34"/>
        <w:tblW w:w="88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29"/>
        <w:gridCol w:w="1293"/>
        <w:gridCol w:w="2133"/>
        <w:gridCol w:w="1734"/>
        <w:gridCol w:w="955"/>
      </w:tblGrid>
      <w:tr w14:paraId="5089F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13" w:type="dxa"/>
            <w:tcBorders>
              <w:top w:val="single" w:color="auto" w:sz="12" w:space="0"/>
              <w:left w:val="single" w:color="auto" w:sz="12" w:space="0"/>
              <w:bottom w:val="single" w:color="auto" w:sz="4" w:space="0"/>
              <w:right w:val="single" w:color="auto" w:sz="4" w:space="0"/>
            </w:tcBorders>
            <w:vAlign w:val="center"/>
          </w:tcPr>
          <w:p w14:paraId="2852CADD">
            <w:pPr>
              <w:pStyle w:val="81"/>
              <w:spacing w:line="300" w:lineRule="exact"/>
              <w:jc w:val="center"/>
              <w:rPr>
                <w:rFonts w:ascii="宋体" w:hAnsi="宋体"/>
                <w:color w:val="auto"/>
                <w:highlight w:val="none"/>
              </w:rPr>
            </w:pPr>
            <w:r>
              <w:rPr>
                <w:rFonts w:hint="eastAsia" w:ascii="宋体" w:hAnsi="宋体"/>
                <w:color w:val="auto"/>
                <w:highlight w:val="none"/>
              </w:rPr>
              <w:t>序号</w:t>
            </w:r>
          </w:p>
        </w:tc>
        <w:tc>
          <w:tcPr>
            <w:tcW w:w="1929" w:type="dxa"/>
            <w:tcBorders>
              <w:top w:val="single" w:color="auto" w:sz="12" w:space="0"/>
              <w:left w:val="single" w:color="auto" w:sz="4" w:space="0"/>
              <w:bottom w:val="single" w:color="auto" w:sz="4" w:space="0"/>
              <w:right w:val="single" w:color="auto" w:sz="4" w:space="0"/>
            </w:tcBorders>
            <w:vAlign w:val="center"/>
          </w:tcPr>
          <w:p w14:paraId="735DBD71">
            <w:pPr>
              <w:pStyle w:val="81"/>
              <w:spacing w:line="3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分项</w:t>
            </w:r>
          </w:p>
        </w:tc>
        <w:tc>
          <w:tcPr>
            <w:tcW w:w="1293" w:type="dxa"/>
            <w:tcBorders>
              <w:top w:val="single" w:color="auto" w:sz="12" w:space="0"/>
              <w:left w:val="single" w:color="auto" w:sz="4" w:space="0"/>
              <w:bottom w:val="single" w:color="auto" w:sz="4" w:space="0"/>
              <w:right w:val="single" w:color="auto" w:sz="4" w:space="0"/>
            </w:tcBorders>
            <w:vAlign w:val="center"/>
          </w:tcPr>
          <w:p w14:paraId="0F201CC6">
            <w:pPr>
              <w:pStyle w:val="81"/>
              <w:spacing w:line="300" w:lineRule="exact"/>
              <w:jc w:val="center"/>
              <w:rPr>
                <w:rFonts w:hint="eastAsia" w:ascii="宋体" w:hAnsi="宋体"/>
                <w:color w:val="auto"/>
                <w:highlight w:val="none"/>
              </w:rPr>
            </w:pPr>
            <w:r>
              <w:rPr>
                <w:rFonts w:hint="eastAsia" w:ascii="宋体" w:hAnsi="宋体"/>
                <w:color w:val="auto"/>
                <w:highlight w:val="none"/>
              </w:rPr>
              <w:t>服务期</w:t>
            </w:r>
          </w:p>
        </w:tc>
        <w:tc>
          <w:tcPr>
            <w:tcW w:w="2133" w:type="dxa"/>
            <w:tcBorders>
              <w:top w:val="single" w:color="auto" w:sz="12" w:space="0"/>
              <w:left w:val="single" w:color="auto" w:sz="4" w:space="0"/>
              <w:bottom w:val="single" w:color="auto" w:sz="4" w:space="0"/>
              <w:right w:val="single" w:color="auto" w:sz="4" w:space="0"/>
            </w:tcBorders>
            <w:vAlign w:val="center"/>
          </w:tcPr>
          <w:p w14:paraId="675938F5">
            <w:pPr>
              <w:pStyle w:val="81"/>
              <w:spacing w:line="300" w:lineRule="exact"/>
              <w:jc w:val="center"/>
              <w:rPr>
                <w:rFonts w:ascii="宋体" w:hAnsi="宋体"/>
                <w:color w:val="auto"/>
                <w:highlight w:val="none"/>
              </w:rPr>
            </w:pPr>
            <w:r>
              <w:rPr>
                <w:rFonts w:hint="eastAsia" w:ascii="宋体" w:hAnsi="宋体"/>
                <w:color w:val="auto"/>
                <w:highlight w:val="none"/>
                <w:lang w:val="en-US" w:eastAsia="zh-CN"/>
              </w:rPr>
              <w:t>单</w:t>
            </w:r>
            <w:r>
              <w:rPr>
                <w:rFonts w:hint="eastAsia" w:ascii="宋体" w:hAnsi="宋体"/>
                <w:color w:val="auto"/>
                <w:highlight w:val="none"/>
              </w:rPr>
              <w:t>价</w:t>
            </w:r>
          </w:p>
          <w:p w14:paraId="06BD5C80">
            <w:pPr>
              <w:pStyle w:val="81"/>
              <w:spacing w:line="300" w:lineRule="exact"/>
              <w:jc w:val="center"/>
              <w:rPr>
                <w:rFonts w:ascii="宋体" w:hAnsi="宋体"/>
                <w:color w:val="auto"/>
                <w:highlight w:val="none"/>
              </w:rPr>
            </w:pPr>
            <w:r>
              <w:rPr>
                <w:rFonts w:hint="eastAsia" w:ascii="宋体" w:hAnsi="宋体"/>
                <w:color w:val="auto"/>
                <w:highlight w:val="none"/>
              </w:rPr>
              <w:t>（元）</w:t>
            </w:r>
          </w:p>
        </w:tc>
        <w:tc>
          <w:tcPr>
            <w:tcW w:w="1734" w:type="dxa"/>
            <w:tcBorders>
              <w:top w:val="single" w:color="auto" w:sz="12" w:space="0"/>
              <w:left w:val="single" w:color="auto" w:sz="4" w:space="0"/>
              <w:bottom w:val="single" w:color="auto" w:sz="4" w:space="0"/>
              <w:right w:val="single" w:color="auto" w:sz="4" w:space="0"/>
            </w:tcBorders>
            <w:vAlign w:val="center"/>
          </w:tcPr>
          <w:p w14:paraId="5930286C">
            <w:pPr>
              <w:pStyle w:val="81"/>
              <w:spacing w:line="300" w:lineRule="exact"/>
              <w:jc w:val="center"/>
              <w:rPr>
                <w:rFonts w:ascii="宋体" w:hAnsi="宋体"/>
                <w:color w:val="auto"/>
                <w:highlight w:val="none"/>
              </w:rPr>
            </w:pPr>
            <w:r>
              <w:rPr>
                <w:rFonts w:hint="eastAsia" w:ascii="宋体" w:hAnsi="宋体"/>
                <w:color w:val="auto"/>
                <w:highlight w:val="none"/>
                <w:lang w:val="en-US" w:eastAsia="zh-CN"/>
              </w:rPr>
              <w:t>总</w:t>
            </w:r>
            <w:r>
              <w:rPr>
                <w:rFonts w:hint="eastAsia" w:ascii="宋体" w:hAnsi="宋体"/>
                <w:color w:val="auto"/>
                <w:highlight w:val="none"/>
              </w:rPr>
              <w:t>价</w:t>
            </w:r>
          </w:p>
          <w:p w14:paraId="0153A437">
            <w:pPr>
              <w:pStyle w:val="81"/>
              <w:spacing w:line="300" w:lineRule="exact"/>
              <w:jc w:val="center"/>
              <w:rPr>
                <w:rFonts w:hint="eastAsia" w:ascii="宋体" w:hAnsi="宋体"/>
                <w:color w:val="auto"/>
                <w:highlight w:val="none"/>
              </w:rPr>
            </w:pPr>
            <w:r>
              <w:rPr>
                <w:rFonts w:hint="eastAsia" w:ascii="宋体" w:hAnsi="宋体"/>
                <w:color w:val="auto"/>
                <w:highlight w:val="none"/>
              </w:rPr>
              <w:t>（元）</w:t>
            </w:r>
          </w:p>
        </w:tc>
        <w:tc>
          <w:tcPr>
            <w:tcW w:w="955" w:type="dxa"/>
            <w:tcBorders>
              <w:top w:val="single" w:color="auto" w:sz="12" w:space="0"/>
              <w:left w:val="single" w:color="auto" w:sz="4" w:space="0"/>
              <w:bottom w:val="single" w:color="auto" w:sz="4" w:space="0"/>
              <w:right w:val="single" w:color="auto" w:sz="12" w:space="0"/>
            </w:tcBorders>
            <w:vAlign w:val="center"/>
          </w:tcPr>
          <w:p w14:paraId="22DB69DE">
            <w:pPr>
              <w:pStyle w:val="81"/>
              <w:spacing w:line="300" w:lineRule="exact"/>
              <w:jc w:val="center"/>
              <w:rPr>
                <w:rFonts w:ascii="宋体" w:hAnsi="宋体"/>
                <w:color w:val="auto"/>
                <w:highlight w:val="none"/>
              </w:rPr>
            </w:pPr>
            <w:r>
              <w:rPr>
                <w:rFonts w:hint="eastAsia" w:ascii="宋体" w:hAnsi="宋体"/>
                <w:color w:val="auto"/>
                <w:highlight w:val="none"/>
              </w:rPr>
              <w:t>备注</w:t>
            </w:r>
          </w:p>
        </w:tc>
      </w:tr>
      <w:tr w14:paraId="36E91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13" w:type="dxa"/>
            <w:tcBorders>
              <w:top w:val="single" w:color="auto" w:sz="4" w:space="0"/>
              <w:left w:val="single" w:color="auto" w:sz="12" w:space="0"/>
              <w:bottom w:val="single" w:color="auto" w:sz="4" w:space="0"/>
              <w:right w:val="single" w:color="auto" w:sz="4" w:space="0"/>
            </w:tcBorders>
            <w:vAlign w:val="center"/>
          </w:tcPr>
          <w:p w14:paraId="1B852D92">
            <w:pPr>
              <w:pStyle w:val="81"/>
              <w:numPr>
                <w:ilvl w:val="1"/>
                <w:numId w:val="0"/>
              </w:numPr>
              <w:spacing w:line="300" w:lineRule="exact"/>
              <w:ind w:left="0" w:firstLine="0"/>
              <w:jc w:val="center"/>
              <w:rPr>
                <w:rFonts w:hint="eastAsia" w:ascii="宋体" w:hAnsi="宋体"/>
                <w:color w:val="auto"/>
                <w:highlight w:val="none"/>
              </w:rPr>
            </w:pPr>
            <w:r>
              <w:rPr>
                <w:rFonts w:hint="eastAsia" w:ascii="宋体" w:hAnsi="宋体" w:eastAsia="宋体" w:cs="Times New Roman"/>
                <w:color w:val="auto"/>
                <w:kern w:val="0"/>
                <w:sz w:val="21"/>
                <w:szCs w:val="21"/>
                <w:highlight w:val="none"/>
                <w:lang w:val="zh-CN" w:eastAsia="zh-CN" w:bidi="zh-CN"/>
              </w:rPr>
              <w:t>1</w:t>
            </w:r>
          </w:p>
        </w:tc>
        <w:tc>
          <w:tcPr>
            <w:tcW w:w="1929" w:type="dxa"/>
            <w:tcBorders>
              <w:top w:val="single" w:color="auto" w:sz="4" w:space="0"/>
              <w:left w:val="single" w:color="auto" w:sz="4" w:space="0"/>
              <w:bottom w:val="single" w:color="auto" w:sz="4" w:space="0"/>
              <w:right w:val="single" w:color="auto" w:sz="4" w:space="0"/>
            </w:tcBorders>
            <w:vAlign w:val="center"/>
          </w:tcPr>
          <w:p w14:paraId="5036B919">
            <w:pPr>
              <w:pStyle w:val="81"/>
              <w:spacing w:line="300" w:lineRule="exact"/>
              <w:jc w:val="center"/>
              <w:rPr>
                <w:rFonts w:hint="eastAsia" w:ascii="宋体" w:hAnsi="宋体"/>
                <w:color w:val="auto"/>
                <w:highlight w:val="none"/>
              </w:rPr>
            </w:pPr>
            <w:r>
              <w:rPr>
                <w:rFonts w:hint="eastAsia"/>
                <w:color w:val="auto"/>
                <w:sz w:val="24"/>
                <w:highlight w:val="none"/>
                <w:lang w:val="en-US" w:eastAsia="zh-CN"/>
              </w:rPr>
              <w:t>住宅</w:t>
            </w:r>
          </w:p>
        </w:tc>
        <w:tc>
          <w:tcPr>
            <w:tcW w:w="1293" w:type="dxa"/>
            <w:tcBorders>
              <w:top w:val="single" w:color="auto" w:sz="4" w:space="0"/>
              <w:left w:val="single" w:color="auto" w:sz="4" w:space="0"/>
              <w:bottom w:val="single" w:color="auto" w:sz="4" w:space="0"/>
              <w:right w:val="single" w:color="auto" w:sz="4" w:space="0"/>
            </w:tcBorders>
            <w:vAlign w:val="center"/>
          </w:tcPr>
          <w:p w14:paraId="6A0980F2">
            <w:pPr>
              <w:pStyle w:val="81"/>
              <w:spacing w:line="30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8年</w:t>
            </w:r>
          </w:p>
        </w:tc>
        <w:tc>
          <w:tcPr>
            <w:tcW w:w="2133" w:type="dxa"/>
            <w:tcBorders>
              <w:top w:val="single" w:color="auto" w:sz="4" w:space="0"/>
              <w:left w:val="single" w:color="auto" w:sz="4" w:space="0"/>
              <w:bottom w:val="single" w:color="auto" w:sz="4" w:space="0"/>
              <w:right w:val="single" w:color="auto" w:sz="4" w:space="0"/>
            </w:tcBorders>
            <w:vAlign w:val="center"/>
          </w:tcPr>
          <w:p w14:paraId="1321838C">
            <w:pPr>
              <w:pStyle w:val="81"/>
              <w:spacing w:line="300" w:lineRule="exact"/>
              <w:rPr>
                <w:rFonts w:hint="default" w:ascii="宋体" w:hAnsi="宋体"/>
                <w:color w:val="auto"/>
                <w:highlight w:val="none"/>
                <w:lang w:val="en-US" w:eastAsia="zh-CN"/>
              </w:rPr>
            </w:pPr>
            <w:r>
              <w:rPr>
                <w:rFonts w:ascii="宋体" w:hAnsi="宋体"/>
                <w:color w:val="auto"/>
                <w:highlight w:val="none"/>
                <w:u w:val="single"/>
              </w:rPr>
              <w:t xml:space="preserve">   </w:t>
            </w:r>
            <w:r>
              <w:rPr>
                <w:rFonts w:ascii="宋体" w:hAnsi="宋体"/>
                <w:b/>
                <w:color w:val="auto"/>
                <w:highlight w:val="none"/>
                <w:u w:val="single"/>
              </w:rPr>
              <w:t xml:space="preserve">  </w:t>
            </w:r>
            <w:r>
              <w:rPr>
                <w:rFonts w:ascii="宋体" w:hAnsi="宋体" w:cs="宋体"/>
                <w:color w:val="auto"/>
                <w:sz w:val="24"/>
                <w:szCs w:val="24"/>
                <w:highlight w:val="none"/>
              </w:rPr>
              <w:t>元/㎡/月</w:t>
            </w:r>
          </w:p>
        </w:tc>
        <w:tc>
          <w:tcPr>
            <w:tcW w:w="1734" w:type="dxa"/>
            <w:tcBorders>
              <w:top w:val="single" w:color="auto" w:sz="4" w:space="0"/>
              <w:left w:val="single" w:color="auto" w:sz="4" w:space="0"/>
              <w:bottom w:val="single" w:color="auto" w:sz="4" w:space="0"/>
              <w:right w:val="single" w:color="auto" w:sz="4" w:space="0"/>
            </w:tcBorders>
            <w:vAlign w:val="center"/>
          </w:tcPr>
          <w:p w14:paraId="2DE6C10C">
            <w:pPr>
              <w:pStyle w:val="81"/>
              <w:spacing w:line="300" w:lineRule="exact"/>
              <w:rPr>
                <w:rFonts w:hint="eastAsia" w:ascii="宋体" w:hAnsi="宋体"/>
                <w:color w:val="auto"/>
                <w:highlight w:val="none"/>
              </w:rPr>
            </w:pPr>
          </w:p>
        </w:tc>
        <w:tc>
          <w:tcPr>
            <w:tcW w:w="955" w:type="dxa"/>
            <w:tcBorders>
              <w:top w:val="single" w:color="auto" w:sz="4" w:space="0"/>
              <w:left w:val="single" w:color="auto" w:sz="4" w:space="0"/>
              <w:bottom w:val="single" w:color="auto" w:sz="4" w:space="0"/>
              <w:right w:val="single" w:color="auto" w:sz="12" w:space="0"/>
            </w:tcBorders>
            <w:vAlign w:val="center"/>
          </w:tcPr>
          <w:p w14:paraId="44F66D2C">
            <w:pPr>
              <w:pStyle w:val="81"/>
              <w:spacing w:line="240" w:lineRule="exact"/>
              <w:rPr>
                <w:rFonts w:ascii="宋体" w:hAnsi="宋体"/>
                <w:color w:val="auto"/>
                <w:highlight w:val="none"/>
              </w:rPr>
            </w:pPr>
          </w:p>
        </w:tc>
      </w:tr>
      <w:tr w14:paraId="11D8A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13" w:type="dxa"/>
            <w:tcBorders>
              <w:top w:val="single" w:color="auto" w:sz="4" w:space="0"/>
              <w:left w:val="single" w:color="auto" w:sz="12" w:space="0"/>
              <w:bottom w:val="single" w:color="auto" w:sz="4" w:space="0"/>
              <w:right w:val="single" w:color="auto" w:sz="4" w:space="0"/>
            </w:tcBorders>
            <w:vAlign w:val="center"/>
          </w:tcPr>
          <w:p w14:paraId="2D88F4C4">
            <w:pPr>
              <w:pStyle w:val="81"/>
              <w:numPr>
                <w:ilvl w:val="1"/>
                <w:numId w:val="0"/>
              </w:numPr>
              <w:spacing w:line="300" w:lineRule="exact"/>
              <w:ind w:left="0" w:firstLine="0"/>
              <w:jc w:val="center"/>
              <w:rPr>
                <w:rFonts w:hint="eastAsia" w:ascii="宋体" w:hAnsi="宋体"/>
                <w:color w:val="auto"/>
                <w:highlight w:val="none"/>
              </w:rPr>
            </w:pPr>
            <w:r>
              <w:rPr>
                <w:rFonts w:hint="eastAsia" w:ascii="宋体" w:hAnsi="宋体" w:eastAsia="宋体" w:cs="Times New Roman"/>
                <w:color w:val="auto"/>
                <w:kern w:val="0"/>
                <w:sz w:val="21"/>
                <w:szCs w:val="21"/>
                <w:highlight w:val="none"/>
                <w:lang w:val="zh-CN" w:eastAsia="zh-CN" w:bidi="zh-CN"/>
              </w:rPr>
              <w:t>2</w:t>
            </w:r>
          </w:p>
        </w:tc>
        <w:tc>
          <w:tcPr>
            <w:tcW w:w="1929" w:type="dxa"/>
            <w:tcBorders>
              <w:top w:val="single" w:color="auto" w:sz="4" w:space="0"/>
              <w:left w:val="single" w:color="auto" w:sz="4" w:space="0"/>
              <w:bottom w:val="single" w:color="auto" w:sz="4" w:space="0"/>
              <w:right w:val="single" w:color="auto" w:sz="4" w:space="0"/>
            </w:tcBorders>
            <w:vAlign w:val="center"/>
          </w:tcPr>
          <w:p w14:paraId="00B8691F">
            <w:pPr>
              <w:pStyle w:val="81"/>
              <w:spacing w:line="300" w:lineRule="exact"/>
              <w:jc w:val="center"/>
              <w:rPr>
                <w:rFonts w:hint="eastAsia" w:ascii="宋体" w:hAnsi="宋体"/>
                <w:color w:val="auto"/>
                <w:highlight w:val="none"/>
              </w:rPr>
            </w:pPr>
            <w:r>
              <w:rPr>
                <w:rFonts w:hint="eastAsia"/>
                <w:color w:val="auto"/>
                <w:sz w:val="24"/>
                <w:highlight w:val="none"/>
                <w:lang w:val="en-US" w:eastAsia="zh-CN"/>
              </w:rPr>
              <w:t>商业服务设施</w:t>
            </w:r>
          </w:p>
        </w:tc>
        <w:tc>
          <w:tcPr>
            <w:tcW w:w="1293" w:type="dxa"/>
            <w:tcBorders>
              <w:top w:val="single" w:color="auto" w:sz="4" w:space="0"/>
              <w:left w:val="single" w:color="auto" w:sz="4" w:space="0"/>
              <w:bottom w:val="single" w:color="auto" w:sz="4" w:space="0"/>
              <w:right w:val="single" w:color="auto" w:sz="4" w:space="0"/>
            </w:tcBorders>
            <w:vAlign w:val="center"/>
          </w:tcPr>
          <w:p w14:paraId="735FBD6C">
            <w:pPr>
              <w:pStyle w:val="81"/>
              <w:spacing w:line="300" w:lineRule="exact"/>
              <w:jc w:val="center"/>
              <w:rPr>
                <w:rFonts w:hint="eastAsia" w:ascii="宋体" w:hAnsi="宋体"/>
                <w:color w:val="auto"/>
                <w:highlight w:val="none"/>
              </w:rPr>
            </w:pPr>
            <w:r>
              <w:rPr>
                <w:rFonts w:hint="eastAsia" w:ascii="宋体" w:hAnsi="宋体"/>
                <w:color w:val="auto"/>
                <w:highlight w:val="none"/>
                <w:lang w:val="en-US" w:eastAsia="zh-CN"/>
              </w:rPr>
              <w:t>8年</w:t>
            </w:r>
          </w:p>
        </w:tc>
        <w:tc>
          <w:tcPr>
            <w:tcW w:w="2133" w:type="dxa"/>
            <w:tcBorders>
              <w:top w:val="single" w:color="auto" w:sz="4" w:space="0"/>
              <w:left w:val="single" w:color="auto" w:sz="4" w:space="0"/>
              <w:bottom w:val="single" w:color="auto" w:sz="4" w:space="0"/>
              <w:right w:val="single" w:color="auto" w:sz="4" w:space="0"/>
            </w:tcBorders>
            <w:vAlign w:val="center"/>
          </w:tcPr>
          <w:p w14:paraId="1179ECEC">
            <w:pPr>
              <w:pStyle w:val="81"/>
              <w:spacing w:line="300" w:lineRule="exact"/>
              <w:rPr>
                <w:rFonts w:hint="eastAsia" w:ascii="宋体" w:hAnsi="宋体" w:eastAsia="宋体"/>
                <w:color w:val="auto"/>
                <w:highlight w:val="none"/>
                <w:lang w:val="en-US" w:eastAsia="zh-CN"/>
              </w:rPr>
            </w:pPr>
            <w:r>
              <w:rPr>
                <w:rFonts w:ascii="宋体" w:hAnsi="宋体"/>
                <w:color w:val="auto"/>
                <w:highlight w:val="none"/>
                <w:u w:val="single"/>
              </w:rPr>
              <w:t xml:space="preserve">   </w:t>
            </w:r>
            <w:r>
              <w:rPr>
                <w:rFonts w:ascii="宋体" w:hAnsi="宋体"/>
                <w:b/>
                <w:color w:val="auto"/>
                <w:highlight w:val="none"/>
                <w:u w:val="single"/>
              </w:rPr>
              <w:t xml:space="preserve">  </w:t>
            </w:r>
            <w:r>
              <w:rPr>
                <w:rFonts w:ascii="宋体" w:hAnsi="宋体" w:cs="宋体"/>
                <w:color w:val="auto"/>
                <w:sz w:val="24"/>
                <w:szCs w:val="24"/>
                <w:highlight w:val="none"/>
              </w:rPr>
              <w:t>元/㎡/月</w:t>
            </w:r>
          </w:p>
        </w:tc>
        <w:tc>
          <w:tcPr>
            <w:tcW w:w="1734" w:type="dxa"/>
            <w:tcBorders>
              <w:top w:val="single" w:color="auto" w:sz="4" w:space="0"/>
              <w:left w:val="single" w:color="auto" w:sz="4" w:space="0"/>
              <w:bottom w:val="single" w:color="auto" w:sz="4" w:space="0"/>
              <w:right w:val="single" w:color="auto" w:sz="4" w:space="0"/>
            </w:tcBorders>
            <w:vAlign w:val="center"/>
          </w:tcPr>
          <w:p w14:paraId="626F6552">
            <w:pPr>
              <w:pStyle w:val="81"/>
              <w:spacing w:line="240" w:lineRule="exact"/>
              <w:rPr>
                <w:rFonts w:hint="eastAsia" w:ascii="宋体" w:hAnsi="宋体"/>
                <w:color w:val="auto"/>
                <w:highlight w:val="none"/>
              </w:rPr>
            </w:pPr>
          </w:p>
        </w:tc>
        <w:tc>
          <w:tcPr>
            <w:tcW w:w="955" w:type="dxa"/>
            <w:tcBorders>
              <w:top w:val="single" w:color="auto" w:sz="4" w:space="0"/>
              <w:left w:val="single" w:color="auto" w:sz="4" w:space="0"/>
              <w:bottom w:val="single" w:color="auto" w:sz="4" w:space="0"/>
              <w:right w:val="single" w:color="auto" w:sz="12" w:space="0"/>
            </w:tcBorders>
            <w:vAlign w:val="center"/>
          </w:tcPr>
          <w:p w14:paraId="13A19FD9">
            <w:pPr>
              <w:pStyle w:val="81"/>
              <w:spacing w:line="240" w:lineRule="exact"/>
              <w:rPr>
                <w:rFonts w:ascii="宋体" w:hAnsi="宋体"/>
                <w:color w:val="auto"/>
                <w:highlight w:val="none"/>
              </w:rPr>
            </w:pPr>
          </w:p>
        </w:tc>
      </w:tr>
      <w:tr w14:paraId="35931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13" w:type="dxa"/>
            <w:tcBorders>
              <w:top w:val="single" w:color="auto" w:sz="4" w:space="0"/>
              <w:left w:val="single" w:color="auto" w:sz="12" w:space="0"/>
              <w:bottom w:val="single" w:color="auto" w:sz="4" w:space="0"/>
              <w:right w:val="single" w:color="auto" w:sz="4" w:space="0"/>
            </w:tcBorders>
            <w:vAlign w:val="center"/>
          </w:tcPr>
          <w:p w14:paraId="73359733">
            <w:pPr>
              <w:pStyle w:val="81"/>
              <w:numPr>
                <w:ilvl w:val="1"/>
                <w:numId w:val="0"/>
              </w:numPr>
              <w:spacing w:line="300" w:lineRule="exact"/>
              <w:ind w:left="0" w:firstLine="0"/>
              <w:jc w:val="center"/>
              <w:rPr>
                <w:rFonts w:hint="eastAsia" w:ascii="宋体" w:hAnsi="宋体"/>
                <w:color w:val="auto"/>
                <w:highlight w:val="none"/>
              </w:rPr>
            </w:pPr>
            <w:r>
              <w:rPr>
                <w:rFonts w:hint="eastAsia" w:ascii="宋体" w:hAnsi="宋体" w:eastAsia="宋体" w:cs="Times New Roman"/>
                <w:color w:val="auto"/>
                <w:kern w:val="0"/>
                <w:sz w:val="21"/>
                <w:szCs w:val="21"/>
                <w:highlight w:val="none"/>
                <w:lang w:val="zh-CN" w:eastAsia="zh-CN" w:bidi="zh-CN"/>
              </w:rPr>
              <w:t>3</w:t>
            </w:r>
          </w:p>
        </w:tc>
        <w:tc>
          <w:tcPr>
            <w:tcW w:w="1929" w:type="dxa"/>
            <w:tcBorders>
              <w:top w:val="single" w:color="auto" w:sz="4" w:space="0"/>
              <w:left w:val="single" w:color="auto" w:sz="4" w:space="0"/>
              <w:bottom w:val="single" w:color="auto" w:sz="4" w:space="0"/>
              <w:right w:val="single" w:color="auto" w:sz="4" w:space="0"/>
            </w:tcBorders>
            <w:vAlign w:val="center"/>
          </w:tcPr>
          <w:p w14:paraId="63E24A1C">
            <w:pPr>
              <w:pStyle w:val="81"/>
              <w:spacing w:line="300" w:lineRule="exact"/>
              <w:jc w:val="center"/>
              <w:rPr>
                <w:rFonts w:hint="eastAsia" w:ascii="宋体" w:hAnsi="宋体"/>
                <w:color w:val="auto"/>
                <w:highlight w:val="none"/>
              </w:rPr>
            </w:pPr>
            <w:r>
              <w:rPr>
                <w:rFonts w:hint="eastAsia"/>
                <w:color w:val="auto"/>
                <w:sz w:val="24"/>
                <w:highlight w:val="none"/>
                <w:lang w:val="en-US" w:eastAsia="zh-CN"/>
              </w:rPr>
              <w:t>机动车车位</w:t>
            </w:r>
          </w:p>
        </w:tc>
        <w:tc>
          <w:tcPr>
            <w:tcW w:w="1293" w:type="dxa"/>
            <w:tcBorders>
              <w:top w:val="single" w:color="auto" w:sz="4" w:space="0"/>
              <w:left w:val="single" w:color="auto" w:sz="4" w:space="0"/>
              <w:bottom w:val="single" w:color="auto" w:sz="4" w:space="0"/>
              <w:right w:val="single" w:color="auto" w:sz="4" w:space="0"/>
            </w:tcBorders>
            <w:vAlign w:val="center"/>
          </w:tcPr>
          <w:p w14:paraId="3661C963">
            <w:pPr>
              <w:pStyle w:val="81"/>
              <w:spacing w:line="300" w:lineRule="exact"/>
              <w:jc w:val="center"/>
              <w:rPr>
                <w:rFonts w:hint="eastAsia" w:ascii="宋体" w:hAnsi="宋体"/>
                <w:color w:val="auto"/>
                <w:highlight w:val="none"/>
              </w:rPr>
            </w:pPr>
            <w:r>
              <w:rPr>
                <w:rFonts w:hint="eastAsia" w:ascii="宋体" w:hAnsi="宋体"/>
                <w:color w:val="auto"/>
                <w:highlight w:val="none"/>
                <w:lang w:val="en-US" w:eastAsia="zh-CN"/>
              </w:rPr>
              <w:t>8年</w:t>
            </w:r>
          </w:p>
        </w:tc>
        <w:tc>
          <w:tcPr>
            <w:tcW w:w="2133" w:type="dxa"/>
            <w:tcBorders>
              <w:top w:val="single" w:color="auto" w:sz="4" w:space="0"/>
              <w:left w:val="single" w:color="auto" w:sz="4" w:space="0"/>
              <w:bottom w:val="single" w:color="auto" w:sz="4" w:space="0"/>
              <w:right w:val="single" w:color="auto" w:sz="4" w:space="0"/>
            </w:tcBorders>
            <w:vAlign w:val="center"/>
          </w:tcPr>
          <w:p w14:paraId="56A3D051">
            <w:pPr>
              <w:pStyle w:val="81"/>
              <w:spacing w:line="300" w:lineRule="exact"/>
              <w:rPr>
                <w:rFonts w:hint="eastAsia" w:ascii="宋体" w:hAnsi="宋体"/>
                <w:color w:val="auto"/>
                <w:highlight w:val="none"/>
              </w:rPr>
            </w:pPr>
            <w:r>
              <w:rPr>
                <w:rFonts w:ascii="宋体" w:hAnsi="宋体"/>
                <w:color w:val="auto"/>
                <w:highlight w:val="none"/>
                <w:u w:val="single"/>
              </w:rPr>
              <w:t xml:space="preserve">   </w:t>
            </w:r>
            <w:r>
              <w:rPr>
                <w:rFonts w:ascii="宋体" w:hAnsi="宋体"/>
                <w:b/>
                <w:color w:val="auto"/>
                <w:highlight w:val="none"/>
                <w:u w:val="single"/>
              </w:rPr>
              <w:t xml:space="preserve">  </w:t>
            </w:r>
            <w:r>
              <w:rPr>
                <w:rFonts w:ascii="宋体" w:hAnsi="宋体" w:cs="宋体"/>
                <w:color w:val="auto"/>
                <w:sz w:val="24"/>
                <w:szCs w:val="24"/>
                <w:highlight w:val="none"/>
              </w:rPr>
              <w:t>元/</w:t>
            </w:r>
            <w:r>
              <w:rPr>
                <w:rFonts w:hint="eastAsia" w:ascii="宋体" w:hAnsi="宋体" w:cs="宋体"/>
                <w:color w:val="auto"/>
                <w:sz w:val="24"/>
                <w:szCs w:val="24"/>
                <w:highlight w:val="none"/>
                <w:lang w:val="en-US" w:eastAsia="zh-CN"/>
              </w:rPr>
              <w:t>个</w:t>
            </w:r>
            <w:r>
              <w:rPr>
                <w:rFonts w:ascii="宋体" w:hAnsi="宋体" w:cs="宋体"/>
                <w:color w:val="auto"/>
                <w:sz w:val="24"/>
                <w:szCs w:val="24"/>
                <w:highlight w:val="none"/>
              </w:rPr>
              <w:t>/月</w:t>
            </w:r>
          </w:p>
        </w:tc>
        <w:tc>
          <w:tcPr>
            <w:tcW w:w="1734" w:type="dxa"/>
            <w:tcBorders>
              <w:top w:val="single" w:color="auto" w:sz="4" w:space="0"/>
              <w:left w:val="single" w:color="auto" w:sz="4" w:space="0"/>
              <w:bottom w:val="single" w:color="auto" w:sz="4" w:space="0"/>
              <w:right w:val="single" w:color="auto" w:sz="4" w:space="0"/>
            </w:tcBorders>
            <w:vAlign w:val="center"/>
          </w:tcPr>
          <w:p w14:paraId="5D63EE43">
            <w:pPr>
              <w:pStyle w:val="81"/>
              <w:spacing w:line="240" w:lineRule="exact"/>
              <w:rPr>
                <w:rFonts w:hint="eastAsia" w:ascii="宋体" w:hAnsi="宋体"/>
                <w:color w:val="auto"/>
                <w:highlight w:val="none"/>
              </w:rPr>
            </w:pPr>
          </w:p>
        </w:tc>
        <w:tc>
          <w:tcPr>
            <w:tcW w:w="955" w:type="dxa"/>
            <w:tcBorders>
              <w:top w:val="single" w:color="auto" w:sz="4" w:space="0"/>
              <w:left w:val="single" w:color="auto" w:sz="4" w:space="0"/>
              <w:bottom w:val="single" w:color="auto" w:sz="4" w:space="0"/>
              <w:right w:val="single" w:color="auto" w:sz="12" w:space="0"/>
            </w:tcBorders>
            <w:vAlign w:val="center"/>
          </w:tcPr>
          <w:p w14:paraId="0130FB57">
            <w:pPr>
              <w:pStyle w:val="81"/>
              <w:spacing w:line="240" w:lineRule="exact"/>
              <w:rPr>
                <w:rFonts w:ascii="宋体" w:hAnsi="宋体"/>
                <w:color w:val="auto"/>
                <w:highlight w:val="none"/>
              </w:rPr>
            </w:pPr>
          </w:p>
        </w:tc>
      </w:tr>
      <w:tr w14:paraId="447BF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742" w:type="dxa"/>
            <w:gridSpan w:val="2"/>
            <w:tcBorders>
              <w:top w:val="single" w:color="auto" w:sz="4" w:space="0"/>
              <w:left w:val="single" w:color="auto" w:sz="12" w:space="0"/>
              <w:right w:val="single" w:color="auto" w:sz="4" w:space="0"/>
            </w:tcBorders>
            <w:vAlign w:val="center"/>
          </w:tcPr>
          <w:p w14:paraId="795D748F">
            <w:pPr>
              <w:pStyle w:val="81"/>
              <w:spacing w:line="300" w:lineRule="exact"/>
              <w:jc w:val="center"/>
              <w:rPr>
                <w:rFonts w:hint="default"/>
                <w:color w:val="auto"/>
                <w:sz w:val="24"/>
                <w:highlight w:val="none"/>
                <w:lang w:val="en-US" w:eastAsia="zh-CN"/>
              </w:rPr>
            </w:pPr>
            <w:r>
              <w:rPr>
                <w:rFonts w:hint="eastAsia"/>
                <w:color w:val="auto"/>
                <w:sz w:val="24"/>
                <w:highlight w:val="none"/>
                <w:lang w:val="en-US" w:eastAsia="zh-CN"/>
              </w:rPr>
              <w:t>投标总价合计</w:t>
            </w:r>
          </w:p>
        </w:tc>
        <w:tc>
          <w:tcPr>
            <w:tcW w:w="6115" w:type="dxa"/>
            <w:gridSpan w:val="4"/>
            <w:tcBorders>
              <w:top w:val="single" w:color="auto" w:sz="4" w:space="0"/>
              <w:left w:val="single" w:color="auto" w:sz="4" w:space="0"/>
              <w:right w:val="single" w:color="auto" w:sz="12" w:space="0"/>
            </w:tcBorders>
            <w:vAlign w:val="center"/>
          </w:tcPr>
          <w:p w14:paraId="3E712873">
            <w:pPr>
              <w:pStyle w:val="81"/>
              <w:spacing w:line="240" w:lineRule="exact"/>
              <w:rPr>
                <w:rFonts w:hint="eastAsia" w:ascii="宋体" w:hAnsi="宋体"/>
                <w:color w:val="auto"/>
                <w:highlight w:val="none"/>
                <w:lang w:val="en-US" w:eastAsia="zh-CN"/>
              </w:rPr>
            </w:pPr>
            <w:r>
              <w:rPr>
                <w:rFonts w:hint="eastAsia" w:ascii="宋体" w:hAnsi="宋体"/>
                <w:color w:val="auto"/>
                <w:highlight w:val="none"/>
                <w:lang w:val="en-US" w:eastAsia="zh-CN"/>
              </w:rPr>
              <w:t>小写：</w:t>
            </w:r>
          </w:p>
          <w:p w14:paraId="7B6E29BC">
            <w:pPr>
              <w:pStyle w:val="81"/>
              <w:spacing w:line="240" w:lineRule="exact"/>
              <w:rPr>
                <w:rFonts w:hint="default" w:ascii="宋体" w:hAnsi="宋体"/>
                <w:color w:val="auto"/>
                <w:highlight w:val="none"/>
                <w:lang w:val="en-US" w:eastAsia="zh-CN"/>
              </w:rPr>
            </w:pPr>
            <w:r>
              <w:rPr>
                <w:rFonts w:hint="eastAsia" w:ascii="宋体" w:hAnsi="宋体"/>
                <w:color w:val="auto"/>
                <w:highlight w:val="none"/>
                <w:lang w:val="en-US" w:eastAsia="zh-CN"/>
              </w:rPr>
              <w:t>大写：</w:t>
            </w:r>
          </w:p>
        </w:tc>
      </w:tr>
    </w:tbl>
    <w:p w14:paraId="5897A5A9">
      <w:pPr>
        <w:spacing w:line="360" w:lineRule="auto"/>
        <w:ind w:left="748" w:hanging="567"/>
        <w:rPr>
          <w:color w:val="auto"/>
          <w:sz w:val="21"/>
          <w:szCs w:val="21"/>
          <w:highlight w:val="none"/>
        </w:rPr>
      </w:pPr>
      <w:r>
        <w:rPr>
          <w:rFonts w:hint="eastAsia"/>
          <w:color w:val="auto"/>
          <w:sz w:val="21"/>
          <w:szCs w:val="21"/>
          <w:highlight w:val="none"/>
        </w:rPr>
        <w:t>注：</w:t>
      </w:r>
    </w:p>
    <w:p w14:paraId="0A39946C">
      <w:pPr>
        <w:spacing w:line="360" w:lineRule="auto"/>
        <w:ind w:left="425" w:leftChars="193" w:right="568" w:rightChars="258"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 xml:space="preserve"> </w:t>
      </w:r>
      <w:r>
        <w:rPr>
          <w:rFonts w:hint="eastAsia"/>
          <w:color w:val="auto"/>
          <w:sz w:val="21"/>
          <w:szCs w:val="21"/>
          <w:highlight w:val="none"/>
        </w:rPr>
        <w:t>投标报价包含服务期内乙方</w:t>
      </w:r>
      <w:r>
        <w:rPr>
          <w:rFonts w:hint="eastAsia"/>
          <w:color w:val="auto"/>
          <w:sz w:val="21"/>
          <w:szCs w:val="21"/>
          <w:highlight w:val="none"/>
          <w:lang w:val="en-US" w:eastAsia="zh-CN"/>
        </w:rPr>
        <w:t>提供物业管理服务</w:t>
      </w:r>
      <w:r>
        <w:rPr>
          <w:rFonts w:hint="eastAsia"/>
          <w:color w:val="auto"/>
          <w:sz w:val="21"/>
          <w:szCs w:val="21"/>
          <w:highlight w:val="none"/>
        </w:rPr>
        <w:t>所需的一切费用（由物业管理服务成本及费用、法定税费和物业管理企业利润构成，其中物业管理服务成本及费用包括但不限于下列项目：1.物业管理区域内管理人员的工资、社会保险和按规定提取的福利费等</w:t>
      </w:r>
      <w:r>
        <w:rPr>
          <w:rFonts w:hint="eastAsia"/>
          <w:color w:val="auto"/>
          <w:sz w:val="21"/>
          <w:szCs w:val="21"/>
          <w:highlight w:val="none"/>
          <w:lang w:val="en-US" w:eastAsia="zh-CN"/>
        </w:rPr>
        <w:t>；</w:t>
      </w:r>
      <w:r>
        <w:rPr>
          <w:rFonts w:hint="eastAsia"/>
          <w:color w:val="auto"/>
          <w:sz w:val="21"/>
          <w:szCs w:val="21"/>
          <w:highlight w:val="none"/>
        </w:rPr>
        <w:t>2.物业共用部位、共用设施设备（包括但不限于电梯、水泵房、监控设备、消防系统、停车场、道闸、垃圾站、后备发电机等）的运行、维护、维修管理费及场地日常小修维护费</w:t>
      </w:r>
      <w:r>
        <w:rPr>
          <w:rFonts w:hint="eastAsia"/>
          <w:color w:val="auto"/>
          <w:sz w:val="21"/>
          <w:szCs w:val="21"/>
          <w:highlight w:val="none"/>
          <w:lang w:val="en-US" w:eastAsia="zh-CN"/>
        </w:rPr>
        <w:t>；</w:t>
      </w:r>
      <w:r>
        <w:rPr>
          <w:rFonts w:hint="eastAsia"/>
          <w:color w:val="auto"/>
          <w:sz w:val="21"/>
          <w:szCs w:val="21"/>
          <w:highlight w:val="none"/>
        </w:rPr>
        <w:t>3.物业管理区域内公共秩序维护服务费</w:t>
      </w:r>
      <w:r>
        <w:rPr>
          <w:rFonts w:hint="eastAsia"/>
          <w:color w:val="auto"/>
          <w:sz w:val="21"/>
          <w:szCs w:val="21"/>
          <w:highlight w:val="none"/>
          <w:lang w:val="en-US" w:eastAsia="zh-CN"/>
        </w:rPr>
        <w:t>；</w:t>
      </w:r>
      <w:r>
        <w:rPr>
          <w:rFonts w:hint="eastAsia"/>
          <w:color w:val="auto"/>
          <w:sz w:val="21"/>
          <w:szCs w:val="21"/>
          <w:highlight w:val="none"/>
        </w:rPr>
        <w:t>4.园林绿地日常维护费，包括修剪、淋用水、补种补栽绿化等费用</w:t>
      </w:r>
      <w:r>
        <w:rPr>
          <w:rFonts w:hint="eastAsia"/>
          <w:color w:val="auto"/>
          <w:sz w:val="21"/>
          <w:szCs w:val="21"/>
          <w:highlight w:val="none"/>
          <w:lang w:val="en-US" w:eastAsia="zh-CN"/>
        </w:rPr>
        <w:t>；</w:t>
      </w:r>
      <w:r>
        <w:rPr>
          <w:rFonts w:hint="eastAsia"/>
          <w:color w:val="auto"/>
          <w:sz w:val="21"/>
          <w:szCs w:val="21"/>
          <w:highlight w:val="none"/>
        </w:rPr>
        <w:t>5.清洁卫生（包含生活垃圾外运费、垃圾处理费、水箱清洗费）、除“四害”、白蚁、红火蚁等的管理服务费</w:t>
      </w:r>
      <w:r>
        <w:rPr>
          <w:rFonts w:hint="eastAsia"/>
          <w:color w:val="auto"/>
          <w:sz w:val="21"/>
          <w:szCs w:val="21"/>
          <w:highlight w:val="none"/>
          <w:lang w:val="en-US" w:eastAsia="zh-CN"/>
        </w:rPr>
        <w:t>；</w:t>
      </w:r>
      <w:r>
        <w:rPr>
          <w:rFonts w:hint="eastAsia"/>
          <w:color w:val="auto"/>
          <w:sz w:val="21"/>
          <w:szCs w:val="21"/>
          <w:highlight w:val="none"/>
        </w:rPr>
        <w:t>6.用于物业管理的固定资产折旧费</w:t>
      </w:r>
      <w:r>
        <w:rPr>
          <w:rFonts w:hint="eastAsia"/>
          <w:color w:val="auto"/>
          <w:sz w:val="21"/>
          <w:szCs w:val="21"/>
          <w:highlight w:val="none"/>
          <w:lang w:val="en-US" w:eastAsia="zh-CN"/>
        </w:rPr>
        <w:t>；</w:t>
      </w:r>
      <w:r>
        <w:rPr>
          <w:rFonts w:hint="eastAsia"/>
          <w:color w:val="auto"/>
          <w:sz w:val="21"/>
          <w:szCs w:val="21"/>
          <w:highlight w:val="none"/>
        </w:rPr>
        <w:t>7.共用设施设备、部位及场地的水电费（已独立装表计量且供水供电部门已分摊到户的除外；目前南沙各安置区公共水电费用由物业公司承担）</w:t>
      </w:r>
      <w:r>
        <w:rPr>
          <w:rFonts w:hint="eastAsia"/>
          <w:color w:val="auto"/>
          <w:sz w:val="21"/>
          <w:szCs w:val="21"/>
          <w:highlight w:val="none"/>
          <w:lang w:val="en-US" w:eastAsia="zh-CN"/>
        </w:rPr>
        <w:t>；</w:t>
      </w:r>
      <w:r>
        <w:rPr>
          <w:rFonts w:hint="eastAsia"/>
          <w:color w:val="auto"/>
          <w:sz w:val="21"/>
          <w:szCs w:val="21"/>
          <w:highlight w:val="none"/>
        </w:rPr>
        <w:t>8.物业共用部位、共用设施设备及公众责任保险费用</w:t>
      </w:r>
      <w:r>
        <w:rPr>
          <w:rFonts w:hint="eastAsia"/>
          <w:color w:val="auto"/>
          <w:sz w:val="21"/>
          <w:szCs w:val="21"/>
          <w:highlight w:val="none"/>
          <w:lang w:val="en-US" w:eastAsia="zh-CN"/>
        </w:rPr>
        <w:t>；</w:t>
      </w:r>
      <w:r>
        <w:rPr>
          <w:rFonts w:hint="eastAsia"/>
          <w:color w:val="auto"/>
          <w:sz w:val="21"/>
          <w:szCs w:val="21"/>
          <w:highlight w:val="none"/>
        </w:rPr>
        <w:t>9.办公费用</w:t>
      </w:r>
      <w:r>
        <w:rPr>
          <w:rFonts w:hint="eastAsia"/>
          <w:color w:val="auto"/>
          <w:sz w:val="21"/>
          <w:szCs w:val="21"/>
          <w:highlight w:val="none"/>
          <w:lang w:val="en-US" w:eastAsia="zh-CN"/>
        </w:rPr>
        <w:t>；</w:t>
      </w:r>
      <w:r>
        <w:rPr>
          <w:rFonts w:hint="eastAsia"/>
          <w:color w:val="auto"/>
          <w:sz w:val="21"/>
          <w:szCs w:val="21"/>
          <w:highlight w:val="none"/>
        </w:rPr>
        <w:t>10.小区总水表与所有住户水表读数之间差额水费（含污水处理费）</w:t>
      </w:r>
      <w:r>
        <w:rPr>
          <w:rFonts w:hint="eastAsia"/>
          <w:color w:val="auto"/>
          <w:sz w:val="21"/>
          <w:szCs w:val="21"/>
          <w:highlight w:val="none"/>
          <w:lang w:val="en-US" w:eastAsia="zh-CN"/>
        </w:rPr>
        <w:t>；</w:t>
      </w:r>
      <w:r>
        <w:rPr>
          <w:rFonts w:hint="eastAsia"/>
          <w:color w:val="auto"/>
          <w:sz w:val="21"/>
          <w:szCs w:val="21"/>
          <w:highlight w:val="none"/>
        </w:rPr>
        <w:t>11.其它由法律、法规规定应由物业服务人承担的费用。</w:t>
      </w:r>
    </w:p>
    <w:p w14:paraId="6E0A6BB0">
      <w:pPr>
        <w:spacing w:line="360"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 xml:space="preserve"> </w:t>
      </w:r>
      <w:r>
        <w:rPr>
          <w:rFonts w:hint="eastAsia"/>
          <w:color w:val="auto"/>
          <w:sz w:val="21"/>
          <w:szCs w:val="21"/>
          <w:highlight w:val="none"/>
        </w:rPr>
        <w:t>投标</w:t>
      </w:r>
      <w:r>
        <w:rPr>
          <w:rFonts w:hint="eastAsia"/>
          <w:color w:val="auto"/>
          <w:szCs w:val="21"/>
          <w:highlight w:val="none"/>
        </w:rPr>
        <w:t>报价要求投标货币为人民币，单位为元。</w:t>
      </w:r>
    </w:p>
    <w:p w14:paraId="19978853">
      <w:pPr>
        <w:pStyle w:val="12"/>
        <w:rPr>
          <w:color w:val="auto"/>
          <w:highlight w:val="none"/>
        </w:rPr>
      </w:pPr>
    </w:p>
    <w:p w14:paraId="08513F1F">
      <w:pPr>
        <w:spacing w:line="360" w:lineRule="auto"/>
        <w:ind w:left="748" w:hanging="567"/>
        <w:rPr>
          <w:color w:val="auto"/>
          <w:sz w:val="21"/>
          <w:szCs w:val="21"/>
          <w:highlight w:val="none"/>
        </w:rPr>
      </w:pPr>
      <w:r>
        <w:rPr>
          <w:rFonts w:hint="eastAsia"/>
          <w:color w:val="auto"/>
          <w:sz w:val="21"/>
          <w:szCs w:val="21"/>
          <w:highlight w:val="none"/>
        </w:rPr>
        <w:t>投标人名称（并加盖公章）：</w:t>
      </w:r>
    </w:p>
    <w:p w14:paraId="35471E60">
      <w:pPr>
        <w:spacing w:line="360" w:lineRule="auto"/>
        <w:ind w:left="748" w:hanging="567"/>
        <w:rPr>
          <w:color w:val="auto"/>
          <w:sz w:val="21"/>
          <w:szCs w:val="21"/>
          <w:highlight w:val="none"/>
        </w:rPr>
      </w:pPr>
      <w:r>
        <w:rPr>
          <w:rFonts w:hint="eastAsia"/>
          <w:color w:val="auto"/>
          <w:sz w:val="21"/>
          <w:szCs w:val="21"/>
          <w:highlight w:val="none"/>
        </w:rPr>
        <w:t xml:space="preserve">投标人法定代表人或其委托人签字或印鉴： </w:t>
      </w:r>
      <w:r>
        <w:rPr>
          <w:rFonts w:hint="eastAsia"/>
          <w:color w:val="auto"/>
          <w:sz w:val="21"/>
          <w:szCs w:val="21"/>
          <w:highlight w:val="none"/>
          <w:u w:val="single"/>
        </w:rPr>
        <w:t xml:space="preserve">          </w:t>
      </w:r>
    </w:p>
    <w:p w14:paraId="28F4F213">
      <w:pPr>
        <w:spacing w:line="360" w:lineRule="auto"/>
        <w:ind w:left="748" w:hanging="567"/>
        <w:rPr>
          <w:color w:val="auto"/>
          <w:sz w:val="21"/>
          <w:szCs w:val="21"/>
          <w:highlight w:val="none"/>
        </w:rPr>
      </w:pPr>
      <w:r>
        <w:rPr>
          <w:rFonts w:hint="eastAsia"/>
          <w:color w:val="auto"/>
          <w:sz w:val="21"/>
          <w:szCs w:val="21"/>
          <w:highlight w:val="none"/>
        </w:rPr>
        <w:t>日期：     年   月   日</w:t>
      </w:r>
    </w:p>
    <w:p w14:paraId="33393AF5">
      <w:pPr>
        <w:rPr>
          <w:color w:val="auto"/>
          <w:highlight w:val="none"/>
        </w:rPr>
      </w:pPr>
      <w:r>
        <w:rPr>
          <w:rFonts w:hint="eastAsia"/>
          <w:color w:val="auto"/>
          <w:highlight w:val="none"/>
        </w:rPr>
        <w:br w:type="page"/>
      </w:r>
    </w:p>
    <w:bookmarkEnd w:id="245"/>
    <w:p w14:paraId="1DB4946E">
      <w:pPr>
        <w:pStyle w:val="3"/>
        <w:keepNext w:val="0"/>
        <w:keepLines w:val="0"/>
        <w:widowControl/>
        <w:numPr>
          <w:ilvl w:val="1"/>
          <w:numId w:val="25"/>
        </w:numPr>
        <w:spacing w:before="188" w:after="188"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实质性响应一览表</w:t>
      </w:r>
      <w:bookmarkEnd w:id="243"/>
      <w:bookmarkEnd w:id="244"/>
    </w:p>
    <w:p w14:paraId="41E8553A">
      <w:pPr>
        <w:spacing w:before="50" w:after="188" w:line="400" w:lineRule="exact"/>
        <w:ind w:left="495" w:leftChars="225" w:firstLine="105" w:firstLineChars="50"/>
        <w:rPr>
          <w:color w:val="auto"/>
          <w:sz w:val="21"/>
          <w:szCs w:val="21"/>
          <w:highlight w:val="none"/>
        </w:rPr>
      </w:pPr>
      <w:r>
        <w:rPr>
          <w:rFonts w:hint="eastAsia"/>
          <w:color w:val="auto"/>
          <w:sz w:val="21"/>
          <w:szCs w:val="21"/>
          <w:highlight w:val="none"/>
        </w:rPr>
        <w:t>项目名称：</w:t>
      </w:r>
    </w:p>
    <w:p w14:paraId="5E89F62A">
      <w:pPr>
        <w:spacing w:before="50" w:after="188" w:line="400" w:lineRule="exact"/>
        <w:ind w:left="495" w:leftChars="225" w:firstLine="105" w:firstLineChars="50"/>
        <w:rPr>
          <w:color w:val="auto"/>
          <w:sz w:val="21"/>
          <w:szCs w:val="21"/>
          <w:highlight w:val="none"/>
        </w:rPr>
      </w:pPr>
      <w:r>
        <w:rPr>
          <w:rFonts w:hint="eastAsia"/>
          <w:color w:val="auto"/>
          <w:sz w:val="21"/>
          <w:szCs w:val="21"/>
          <w:highlight w:val="none"/>
        </w:rPr>
        <w:t>项目编号：</w:t>
      </w:r>
    </w:p>
    <w:tbl>
      <w:tblPr>
        <w:tblStyle w:val="87"/>
        <w:tblW w:w="9701"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5976"/>
        <w:gridCol w:w="923"/>
        <w:gridCol w:w="975"/>
        <w:gridCol w:w="975"/>
      </w:tblGrid>
      <w:tr w14:paraId="3E72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52" w:type="dxa"/>
            <w:shd w:val="clear" w:color="auto" w:fill="F4F4F4"/>
            <w:vAlign w:val="center"/>
          </w:tcPr>
          <w:p w14:paraId="243DE70E">
            <w:pPr>
              <w:pStyle w:val="65"/>
              <w:jc w:val="center"/>
              <w:rPr>
                <w:b/>
                <w:bCs/>
                <w:color w:val="auto"/>
                <w:sz w:val="20"/>
                <w:szCs w:val="20"/>
                <w:highlight w:val="none"/>
              </w:rPr>
            </w:pPr>
            <w:r>
              <w:rPr>
                <w:b/>
                <w:bCs/>
                <w:color w:val="auto"/>
                <w:sz w:val="20"/>
                <w:szCs w:val="20"/>
                <w:highlight w:val="none"/>
              </w:rPr>
              <w:t>序号</w:t>
            </w:r>
          </w:p>
        </w:tc>
        <w:tc>
          <w:tcPr>
            <w:tcW w:w="5976" w:type="dxa"/>
            <w:shd w:val="clear" w:color="auto" w:fill="F4F4F4"/>
            <w:vAlign w:val="center"/>
          </w:tcPr>
          <w:p w14:paraId="22B6AD72">
            <w:pPr>
              <w:pStyle w:val="65"/>
              <w:jc w:val="center"/>
              <w:rPr>
                <w:b/>
                <w:bCs/>
                <w:color w:val="auto"/>
                <w:sz w:val="20"/>
                <w:szCs w:val="20"/>
                <w:highlight w:val="none"/>
              </w:rPr>
            </w:pPr>
            <w:r>
              <w:rPr>
                <w:b/>
                <w:bCs/>
                <w:color w:val="auto"/>
                <w:sz w:val="20"/>
                <w:szCs w:val="20"/>
                <w:highlight w:val="none"/>
              </w:rPr>
              <w:t>实质性响应条款</w:t>
            </w:r>
          </w:p>
        </w:tc>
        <w:tc>
          <w:tcPr>
            <w:tcW w:w="923" w:type="dxa"/>
            <w:shd w:val="clear" w:color="auto" w:fill="F4F4F4"/>
            <w:vAlign w:val="center"/>
          </w:tcPr>
          <w:p w14:paraId="01FB6751">
            <w:pPr>
              <w:pStyle w:val="65"/>
              <w:spacing w:before="60"/>
              <w:jc w:val="center"/>
              <w:rPr>
                <w:b/>
                <w:bCs/>
                <w:color w:val="auto"/>
                <w:sz w:val="20"/>
                <w:szCs w:val="20"/>
                <w:highlight w:val="none"/>
              </w:rPr>
            </w:pPr>
            <w:r>
              <w:rPr>
                <w:b/>
                <w:bCs/>
                <w:color w:val="auto"/>
                <w:sz w:val="20"/>
                <w:szCs w:val="20"/>
                <w:highlight w:val="none"/>
              </w:rPr>
              <w:t>投标人响应情况</w:t>
            </w:r>
          </w:p>
        </w:tc>
        <w:tc>
          <w:tcPr>
            <w:tcW w:w="975" w:type="dxa"/>
            <w:shd w:val="clear" w:color="auto" w:fill="F4F4F4"/>
            <w:vAlign w:val="center"/>
          </w:tcPr>
          <w:p w14:paraId="01567BAE">
            <w:pPr>
              <w:jc w:val="center"/>
              <w:rPr>
                <w:b/>
                <w:bCs/>
                <w:color w:val="auto"/>
                <w:sz w:val="20"/>
                <w:szCs w:val="20"/>
                <w:highlight w:val="none"/>
              </w:rPr>
            </w:pPr>
            <w:r>
              <w:rPr>
                <w:b/>
                <w:bCs/>
                <w:color w:val="auto"/>
                <w:sz w:val="20"/>
                <w:szCs w:val="20"/>
                <w:highlight w:val="none"/>
              </w:rPr>
              <w:t>差异</w:t>
            </w:r>
          </w:p>
        </w:tc>
        <w:tc>
          <w:tcPr>
            <w:tcW w:w="975" w:type="dxa"/>
            <w:shd w:val="clear" w:color="auto" w:fill="F4F4F4"/>
            <w:vAlign w:val="center"/>
          </w:tcPr>
          <w:p w14:paraId="2F796704">
            <w:pPr>
              <w:jc w:val="center"/>
              <w:rPr>
                <w:rFonts w:hint="default"/>
                <w:b/>
                <w:bCs/>
                <w:color w:val="auto"/>
                <w:sz w:val="20"/>
                <w:szCs w:val="20"/>
                <w:highlight w:val="none"/>
                <w:lang w:val="en-US" w:eastAsia="zh-CN"/>
              </w:rPr>
            </w:pPr>
            <w:r>
              <w:rPr>
                <w:rFonts w:hint="eastAsia"/>
                <w:b/>
                <w:bCs/>
                <w:color w:val="auto"/>
                <w:sz w:val="20"/>
                <w:szCs w:val="20"/>
                <w:highlight w:val="none"/>
                <w:lang w:val="en-US" w:eastAsia="zh-CN"/>
              </w:rPr>
              <w:t>页码</w:t>
            </w:r>
          </w:p>
        </w:tc>
      </w:tr>
      <w:tr w14:paraId="0298C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52" w:type="dxa"/>
            <w:vAlign w:val="center"/>
          </w:tcPr>
          <w:p w14:paraId="22D2924B">
            <w:pPr>
              <w:pStyle w:val="65"/>
              <w:jc w:val="center"/>
              <w:rPr>
                <w:color w:val="auto"/>
                <w:szCs w:val="20"/>
                <w:highlight w:val="none"/>
              </w:rPr>
            </w:pPr>
            <w:r>
              <w:rPr>
                <w:color w:val="auto"/>
                <w:szCs w:val="20"/>
                <w:highlight w:val="none"/>
              </w:rPr>
              <w:t>1</w:t>
            </w:r>
          </w:p>
        </w:tc>
        <w:tc>
          <w:tcPr>
            <w:tcW w:w="5976" w:type="dxa"/>
          </w:tcPr>
          <w:p w14:paraId="31AFDC25">
            <w:pPr>
              <w:pStyle w:val="89"/>
              <w:ind w:firstLine="540"/>
              <w:rPr>
                <w:color w:val="auto"/>
                <w:kern w:val="0"/>
                <w:sz w:val="20"/>
                <w:szCs w:val="20"/>
                <w:highlight w:val="none"/>
              </w:rPr>
            </w:pPr>
            <w:r>
              <w:rPr>
                <w:color w:val="auto"/>
                <w:kern w:val="0"/>
                <w:sz w:val="20"/>
                <w:szCs w:val="20"/>
                <w:highlight w:val="none"/>
              </w:rPr>
              <w:t>★中标人应按照《中华人民共和国劳动法》的相关规定发放工资，服务人员工资不得低于广州市企业职工最低工资标准（工资不含按国家规定供应商必须支付的社会保险及其他应付费用）。</w:t>
            </w:r>
          </w:p>
        </w:tc>
        <w:tc>
          <w:tcPr>
            <w:tcW w:w="923" w:type="dxa"/>
          </w:tcPr>
          <w:p w14:paraId="394CF5E7">
            <w:pPr>
              <w:pStyle w:val="65"/>
              <w:rPr>
                <w:rFonts w:ascii="Times New Roman"/>
                <w:color w:val="auto"/>
                <w:sz w:val="18"/>
                <w:szCs w:val="20"/>
                <w:highlight w:val="none"/>
              </w:rPr>
            </w:pPr>
          </w:p>
        </w:tc>
        <w:tc>
          <w:tcPr>
            <w:tcW w:w="975" w:type="dxa"/>
          </w:tcPr>
          <w:p w14:paraId="55ABCD11">
            <w:pPr>
              <w:pStyle w:val="65"/>
              <w:rPr>
                <w:rFonts w:ascii="Times New Roman"/>
                <w:color w:val="auto"/>
                <w:sz w:val="18"/>
                <w:szCs w:val="20"/>
                <w:highlight w:val="none"/>
              </w:rPr>
            </w:pPr>
          </w:p>
        </w:tc>
        <w:tc>
          <w:tcPr>
            <w:tcW w:w="975" w:type="dxa"/>
          </w:tcPr>
          <w:p w14:paraId="73E41890">
            <w:pPr>
              <w:pStyle w:val="65"/>
              <w:rPr>
                <w:rFonts w:ascii="Times New Roman"/>
                <w:color w:val="auto"/>
                <w:sz w:val="18"/>
                <w:szCs w:val="20"/>
                <w:highlight w:val="none"/>
              </w:rPr>
            </w:pPr>
          </w:p>
        </w:tc>
      </w:tr>
      <w:tr w14:paraId="63D0B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852" w:type="dxa"/>
            <w:vAlign w:val="center"/>
          </w:tcPr>
          <w:p w14:paraId="3EE34109">
            <w:pPr>
              <w:pStyle w:val="65"/>
              <w:jc w:val="center"/>
              <w:rPr>
                <w:color w:val="auto"/>
                <w:szCs w:val="20"/>
                <w:highlight w:val="none"/>
              </w:rPr>
            </w:pPr>
            <w:r>
              <w:rPr>
                <w:color w:val="auto"/>
                <w:szCs w:val="20"/>
                <w:highlight w:val="none"/>
              </w:rPr>
              <w:t>2</w:t>
            </w:r>
          </w:p>
        </w:tc>
        <w:tc>
          <w:tcPr>
            <w:tcW w:w="5976" w:type="dxa"/>
          </w:tcPr>
          <w:p w14:paraId="3F6949B3">
            <w:pPr>
              <w:pStyle w:val="89"/>
              <w:ind w:firstLine="540"/>
              <w:rPr>
                <w:color w:val="auto"/>
                <w:kern w:val="0"/>
                <w:sz w:val="20"/>
                <w:szCs w:val="20"/>
                <w:highlight w:val="none"/>
              </w:rPr>
            </w:pPr>
            <w:r>
              <w:rPr>
                <w:color w:val="auto"/>
                <w:kern w:val="0"/>
                <w:sz w:val="20"/>
                <w:szCs w:val="20"/>
                <w:highlight w:val="none"/>
              </w:rPr>
              <w:t>★中标人应按照《中华人民共和国社会保险法》和《住房公积金管理条例》的相关规定，支付国家规定必须购买的社会保险费用和缴存住房公积金。</w:t>
            </w:r>
          </w:p>
        </w:tc>
        <w:tc>
          <w:tcPr>
            <w:tcW w:w="923" w:type="dxa"/>
          </w:tcPr>
          <w:p w14:paraId="71726B54">
            <w:pPr>
              <w:pStyle w:val="65"/>
              <w:rPr>
                <w:rFonts w:ascii="Times New Roman"/>
                <w:color w:val="auto"/>
                <w:sz w:val="18"/>
                <w:szCs w:val="20"/>
                <w:highlight w:val="none"/>
              </w:rPr>
            </w:pPr>
          </w:p>
        </w:tc>
        <w:tc>
          <w:tcPr>
            <w:tcW w:w="975" w:type="dxa"/>
          </w:tcPr>
          <w:p w14:paraId="1AF46B8C">
            <w:pPr>
              <w:pStyle w:val="65"/>
              <w:rPr>
                <w:rFonts w:ascii="Times New Roman"/>
                <w:color w:val="auto"/>
                <w:sz w:val="18"/>
                <w:szCs w:val="20"/>
                <w:highlight w:val="none"/>
              </w:rPr>
            </w:pPr>
          </w:p>
        </w:tc>
        <w:tc>
          <w:tcPr>
            <w:tcW w:w="975" w:type="dxa"/>
          </w:tcPr>
          <w:p w14:paraId="05534BFA">
            <w:pPr>
              <w:pStyle w:val="65"/>
              <w:rPr>
                <w:rFonts w:ascii="Times New Roman"/>
                <w:color w:val="auto"/>
                <w:sz w:val="18"/>
                <w:szCs w:val="20"/>
                <w:highlight w:val="none"/>
              </w:rPr>
            </w:pPr>
          </w:p>
        </w:tc>
      </w:tr>
      <w:tr w14:paraId="1DF0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52" w:type="dxa"/>
            <w:vAlign w:val="center"/>
          </w:tcPr>
          <w:p w14:paraId="1DBCC9B6">
            <w:pPr>
              <w:pStyle w:val="65"/>
              <w:jc w:val="center"/>
              <w:rPr>
                <w:rFonts w:hint="eastAsia" w:eastAsia="宋体"/>
                <w:color w:val="auto"/>
                <w:szCs w:val="20"/>
                <w:highlight w:val="none"/>
                <w:lang w:val="en-US" w:eastAsia="zh-CN"/>
              </w:rPr>
            </w:pPr>
            <w:r>
              <w:rPr>
                <w:rFonts w:hint="eastAsia"/>
                <w:color w:val="auto"/>
                <w:szCs w:val="20"/>
                <w:highlight w:val="none"/>
                <w:lang w:val="en-US" w:eastAsia="zh-CN"/>
              </w:rPr>
              <w:t>3</w:t>
            </w:r>
          </w:p>
        </w:tc>
        <w:tc>
          <w:tcPr>
            <w:tcW w:w="5976" w:type="dxa"/>
          </w:tcPr>
          <w:p w14:paraId="4770088C">
            <w:pPr>
              <w:pStyle w:val="89"/>
              <w:ind w:firstLine="540"/>
              <w:rPr>
                <w:color w:val="auto"/>
                <w:kern w:val="0"/>
                <w:sz w:val="20"/>
                <w:szCs w:val="20"/>
                <w:highlight w:val="none"/>
              </w:rPr>
            </w:pPr>
            <w:r>
              <w:rPr>
                <w:rFonts w:hint="eastAsia"/>
                <w:color w:val="auto"/>
                <w:kern w:val="0"/>
                <w:sz w:val="20"/>
                <w:szCs w:val="20"/>
                <w:highlight w:val="none"/>
              </w:rPr>
              <w:t>★中标人自开始保安服务之日起30日内向物业所在地设区的市级人民政府公安机关办理备案。</w:t>
            </w:r>
          </w:p>
        </w:tc>
        <w:tc>
          <w:tcPr>
            <w:tcW w:w="923" w:type="dxa"/>
          </w:tcPr>
          <w:p w14:paraId="44B80AEA">
            <w:pPr>
              <w:pStyle w:val="65"/>
              <w:rPr>
                <w:rFonts w:ascii="Times New Roman"/>
                <w:color w:val="auto"/>
                <w:sz w:val="18"/>
                <w:szCs w:val="20"/>
                <w:highlight w:val="none"/>
              </w:rPr>
            </w:pPr>
          </w:p>
        </w:tc>
        <w:tc>
          <w:tcPr>
            <w:tcW w:w="975" w:type="dxa"/>
          </w:tcPr>
          <w:p w14:paraId="2A61FAFF">
            <w:pPr>
              <w:pStyle w:val="65"/>
              <w:rPr>
                <w:rFonts w:ascii="Times New Roman"/>
                <w:color w:val="auto"/>
                <w:sz w:val="18"/>
                <w:szCs w:val="20"/>
                <w:highlight w:val="none"/>
              </w:rPr>
            </w:pPr>
          </w:p>
        </w:tc>
        <w:tc>
          <w:tcPr>
            <w:tcW w:w="975" w:type="dxa"/>
          </w:tcPr>
          <w:p w14:paraId="499FA608">
            <w:pPr>
              <w:pStyle w:val="65"/>
              <w:rPr>
                <w:rFonts w:ascii="Times New Roman"/>
                <w:color w:val="auto"/>
                <w:sz w:val="18"/>
                <w:szCs w:val="20"/>
                <w:highlight w:val="none"/>
              </w:rPr>
            </w:pPr>
          </w:p>
        </w:tc>
      </w:tr>
      <w:tr w14:paraId="06F1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52" w:type="dxa"/>
            <w:vAlign w:val="center"/>
          </w:tcPr>
          <w:p w14:paraId="552384AE">
            <w:pPr>
              <w:pStyle w:val="65"/>
              <w:jc w:val="center"/>
              <w:rPr>
                <w:rFonts w:hint="eastAsia" w:eastAsia="宋体"/>
                <w:color w:val="auto"/>
                <w:szCs w:val="20"/>
                <w:highlight w:val="none"/>
                <w:lang w:val="en-US" w:eastAsia="zh-CN"/>
              </w:rPr>
            </w:pPr>
            <w:r>
              <w:rPr>
                <w:rFonts w:hint="eastAsia"/>
                <w:color w:val="auto"/>
                <w:szCs w:val="20"/>
                <w:highlight w:val="none"/>
                <w:lang w:val="en-US" w:eastAsia="zh-CN"/>
              </w:rPr>
              <w:t>4</w:t>
            </w:r>
          </w:p>
        </w:tc>
        <w:tc>
          <w:tcPr>
            <w:tcW w:w="5976" w:type="dxa"/>
          </w:tcPr>
          <w:p w14:paraId="11F414E3">
            <w:pPr>
              <w:pStyle w:val="89"/>
              <w:ind w:firstLine="540"/>
              <w:rPr>
                <w:rFonts w:hint="eastAsia"/>
                <w:color w:val="auto"/>
                <w:kern w:val="0"/>
                <w:sz w:val="20"/>
                <w:szCs w:val="20"/>
                <w:highlight w:val="none"/>
                <w:lang w:val="en-US" w:eastAsia="zh-CN"/>
              </w:rPr>
            </w:pPr>
            <w:r>
              <w:rPr>
                <w:rFonts w:hint="eastAsia" w:asciiTheme="minorEastAsia" w:hAnsiTheme="minorEastAsia" w:eastAsiaTheme="minorEastAsia" w:cstheme="minorEastAsia"/>
                <w:color w:val="auto"/>
                <w:kern w:val="0"/>
                <w:sz w:val="20"/>
                <w:szCs w:val="20"/>
                <w:highlight w:val="none"/>
              </w:rPr>
              <w:t>★</w:t>
            </w:r>
            <w:r>
              <w:rPr>
                <w:rFonts w:hint="eastAsia"/>
                <w:color w:val="auto"/>
                <w:kern w:val="0"/>
                <w:sz w:val="20"/>
                <w:szCs w:val="20"/>
                <w:highlight w:val="none"/>
              </w:rPr>
              <w:t>本项目</w:t>
            </w:r>
            <w:r>
              <w:rPr>
                <w:rFonts w:hint="eastAsia"/>
                <w:color w:val="auto"/>
                <w:kern w:val="0"/>
                <w:sz w:val="20"/>
                <w:szCs w:val="20"/>
                <w:highlight w:val="none"/>
                <w:lang w:val="en-US" w:eastAsia="zh-CN"/>
              </w:rPr>
              <w:t>限项目总价，同时分单项限单项最高单价和单项最高总价；投标人需按单项报单项单价和单项总价，计算得出项目综合单价和项目总价，按项目总价计算价格得分：</w:t>
            </w:r>
          </w:p>
          <w:p w14:paraId="0E7AD26E">
            <w:pPr>
              <w:pStyle w:val="89"/>
              <w:ind w:firstLine="540"/>
              <w:rPr>
                <w:rFonts w:hint="eastAsia"/>
                <w:color w:val="auto"/>
                <w:kern w:val="0"/>
                <w:sz w:val="20"/>
                <w:szCs w:val="20"/>
                <w:highlight w:val="none"/>
                <w:lang w:val="en-US" w:eastAsia="zh-CN"/>
              </w:rPr>
            </w:pPr>
            <w:r>
              <w:rPr>
                <w:rFonts w:hint="eastAsia"/>
                <w:color w:val="auto"/>
                <w:kern w:val="0"/>
                <w:sz w:val="20"/>
                <w:szCs w:val="20"/>
                <w:highlight w:val="none"/>
                <w:lang w:val="en-US" w:eastAsia="zh-CN"/>
              </w:rPr>
              <w:t>本项目服务期：8年，合计96个月；本项目物业服务费计费面积构成为：计容建筑面积中住宅面积103709.00</w:t>
            </w:r>
            <w:r>
              <w:rPr>
                <w:rFonts w:hint="eastAsia"/>
                <w:color w:val="auto"/>
                <w:kern w:val="0"/>
                <w:sz w:val="20"/>
                <w:szCs w:val="20"/>
                <w:highlight w:val="none"/>
              </w:rPr>
              <w:t>㎡</w:t>
            </w:r>
            <w:r>
              <w:rPr>
                <w:rFonts w:hint="eastAsia"/>
                <w:color w:val="auto"/>
                <w:kern w:val="0"/>
                <w:sz w:val="20"/>
                <w:szCs w:val="20"/>
                <w:highlight w:val="none"/>
                <w:lang w:eastAsia="zh-CN"/>
              </w:rPr>
              <w:t>，</w:t>
            </w:r>
            <w:r>
              <w:rPr>
                <w:rFonts w:hint="eastAsia"/>
                <w:color w:val="auto"/>
                <w:kern w:val="0"/>
                <w:sz w:val="20"/>
                <w:szCs w:val="20"/>
                <w:highlight w:val="none"/>
                <w:lang w:val="en-US" w:eastAsia="zh-CN"/>
              </w:rPr>
              <w:t>商业服务设施500.00</w:t>
            </w:r>
            <w:r>
              <w:rPr>
                <w:rFonts w:hint="eastAsia"/>
                <w:color w:val="auto"/>
                <w:kern w:val="0"/>
                <w:sz w:val="20"/>
                <w:szCs w:val="20"/>
                <w:highlight w:val="none"/>
              </w:rPr>
              <w:t>㎡</w:t>
            </w:r>
            <w:r>
              <w:rPr>
                <w:rFonts w:hint="eastAsia"/>
                <w:color w:val="auto"/>
                <w:kern w:val="0"/>
                <w:sz w:val="20"/>
                <w:szCs w:val="20"/>
                <w:highlight w:val="none"/>
                <w:lang w:eastAsia="zh-CN"/>
              </w:rPr>
              <w:t>，</w:t>
            </w:r>
            <w:r>
              <w:rPr>
                <w:rFonts w:hint="eastAsia"/>
                <w:color w:val="auto"/>
                <w:kern w:val="0"/>
                <w:sz w:val="20"/>
                <w:szCs w:val="20"/>
                <w:highlight w:val="none"/>
                <w:lang w:val="en-US" w:eastAsia="zh-CN"/>
              </w:rPr>
              <w:t>机动车车位1135个；最高项目总价：人民币36833779.20元（大写：人民币叁仟陆佰捌拾叁万叁仟柒佰柒拾玖元贰角），其中：</w:t>
            </w:r>
          </w:p>
          <w:p w14:paraId="7F4E020E">
            <w:pPr>
              <w:pStyle w:val="89"/>
              <w:ind w:firstLine="540"/>
              <w:rPr>
                <w:rFonts w:hint="eastAsia"/>
                <w:color w:val="auto"/>
                <w:kern w:val="0"/>
                <w:sz w:val="20"/>
                <w:szCs w:val="20"/>
                <w:highlight w:val="none"/>
                <w:lang w:val="en-US" w:eastAsia="zh-CN"/>
              </w:rPr>
            </w:pPr>
            <w:r>
              <w:rPr>
                <w:rFonts w:hint="eastAsia"/>
                <w:color w:val="auto"/>
                <w:kern w:val="0"/>
                <w:sz w:val="20"/>
                <w:szCs w:val="20"/>
                <w:highlight w:val="none"/>
                <w:lang w:val="en-US" w:eastAsia="zh-CN"/>
              </w:rPr>
              <w:t>1.住宅面积103709.00</w:t>
            </w:r>
            <w:r>
              <w:rPr>
                <w:rFonts w:hint="eastAsia"/>
                <w:color w:val="auto"/>
                <w:kern w:val="0"/>
                <w:sz w:val="20"/>
                <w:szCs w:val="20"/>
                <w:highlight w:val="none"/>
              </w:rPr>
              <w:t>㎡</w:t>
            </w:r>
            <w:r>
              <w:rPr>
                <w:rFonts w:hint="eastAsia"/>
                <w:color w:val="auto"/>
                <w:kern w:val="0"/>
                <w:sz w:val="20"/>
                <w:szCs w:val="20"/>
                <w:highlight w:val="none"/>
                <w:lang w:eastAsia="zh-CN"/>
              </w:rPr>
              <w:t>，</w:t>
            </w:r>
            <w:r>
              <w:rPr>
                <w:rFonts w:hint="eastAsia"/>
                <w:color w:val="auto"/>
                <w:kern w:val="0"/>
                <w:sz w:val="20"/>
                <w:szCs w:val="20"/>
                <w:highlight w:val="none"/>
                <w:lang w:val="en-US" w:eastAsia="zh-CN"/>
              </w:rPr>
              <w:t>最高单价：</w:t>
            </w:r>
            <w:r>
              <w:rPr>
                <w:rFonts w:hint="eastAsia"/>
                <w:color w:val="auto"/>
                <w:kern w:val="0"/>
                <w:sz w:val="20"/>
                <w:szCs w:val="20"/>
                <w:highlight w:val="none"/>
              </w:rPr>
              <w:t>人民币2</w:t>
            </w:r>
            <w:r>
              <w:rPr>
                <w:rFonts w:hint="eastAsia"/>
                <w:color w:val="auto"/>
                <w:kern w:val="0"/>
                <w:sz w:val="20"/>
                <w:szCs w:val="20"/>
                <w:highlight w:val="none"/>
                <w:lang w:val="en-US" w:eastAsia="zh-CN"/>
              </w:rPr>
              <w:t>.80</w:t>
            </w:r>
            <w:r>
              <w:rPr>
                <w:rFonts w:hint="eastAsia"/>
                <w:color w:val="auto"/>
                <w:kern w:val="0"/>
                <w:sz w:val="20"/>
                <w:szCs w:val="20"/>
                <w:highlight w:val="none"/>
              </w:rPr>
              <w:t>元/㎡/月</w:t>
            </w:r>
            <w:r>
              <w:rPr>
                <w:rFonts w:hint="eastAsia"/>
                <w:color w:val="auto"/>
                <w:kern w:val="0"/>
                <w:sz w:val="20"/>
                <w:szCs w:val="20"/>
                <w:highlight w:val="none"/>
                <w:lang w:val="en-US" w:eastAsia="zh-CN"/>
              </w:rPr>
              <w:t>；最高总价：2.80</w:t>
            </w:r>
            <w:r>
              <w:rPr>
                <w:rFonts w:hint="eastAsia"/>
                <w:color w:val="auto"/>
                <w:kern w:val="0"/>
                <w:sz w:val="20"/>
                <w:szCs w:val="20"/>
                <w:highlight w:val="none"/>
              </w:rPr>
              <w:t>元/㎡/月</w:t>
            </w:r>
            <w:r>
              <w:rPr>
                <w:rFonts w:hint="eastAsia"/>
                <w:color w:val="auto"/>
                <w:kern w:val="0"/>
                <w:sz w:val="20"/>
                <w:szCs w:val="20"/>
                <w:highlight w:val="none"/>
                <w:lang w:eastAsia="zh-CN"/>
              </w:rPr>
              <w:t>×</w:t>
            </w:r>
            <w:r>
              <w:rPr>
                <w:rFonts w:hint="eastAsia"/>
                <w:color w:val="auto"/>
                <w:kern w:val="0"/>
                <w:sz w:val="20"/>
                <w:szCs w:val="20"/>
                <w:highlight w:val="none"/>
                <w:lang w:val="en-US" w:eastAsia="zh-CN"/>
              </w:rPr>
              <w:t>103709.00</w:t>
            </w:r>
            <w:r>
              <w:rPr>
                <w:rFonts w:hint="eastAsia"/>
                <w:color w:val="auto"/>
                <w:kern w:val="0"/>
                <w:sz w:val="20"/>
                <w:szCs w:val="20"/>
                <w:highlight w:val="none"/>
              </w:rPr>
              <w:t>㎡</w:t>
            </w:r>
            <w:r>
              <w:rPr>
                <w:rFonts w:hint="eastAsia"/>
                <w:color w:val="auto"/>
                <w:kern w:val="0"/>
                <w:sz w:val="20"/>
                <w:szCs w:val="20"/>
                <w:highlight w:val="none"/>
                <w:lang w:eastAsia="zh-CN"/>
              </w:rPr>
              <w:t>×</w:t>
            </w:r>
            <w:r>
              <w:rPr>
                <w:rFonts w:hint="eastAsia"/>
                <w:color w:val="auto"/>
                <w:kern w:val="0"/>
                <w:sz w:val="20"/>
                <w:szCs w:val="20"/>
                <w:highlight w:val="none"/>
                <w:lang w:val="en-US" w:eastAsia="zh-CN"/>
              </w:rPr>
              <w:t>96个月=27876979.2元（大写：人民币贰仟柒佰捌拾柒万陆仟玖佰柒拾玖元贰角）；</w:t>
            </w:r>
          </w:p>
          <w:p w14:paraId="7067B427">
            <w:pPr>
              <w:pStyle w:val="89"/>
              <w:ind w:firstLine="540"/>
              <w:rPr>
                <w:rFonts w:hint="eastAsia"/>
                <w:color w:val="auto"/>
                <w:kern w:val="0"/>
                <w:sz w:val="20"/>
                <w:szCs w:val="20"/>
                <w:highlight w:val="none"/>
                <w:lang w:val="en-US" w:eastAsia="zh-CN"/>
              </w:rPr>
            </w:pPr>
            <w:r>
              <w:rPr>
                <w:rFonts w:hint="eastAsia"/>
                <w:color w:val="auto"/>
                <w:kern w:val="0"/>
                <w:sz w:val="20"/>
                <w:szCs w:val="20"/>
                <w:highlight w:val="none"/>
                <w:lang w:val="en-US" w:eastAsia="zh-CN"/>
              </w:rPr>
              <w:t>2.商业服务设施500.00</w:t>
            </w:r>
            <w:r>
              <w:rPr>
                <w:rFonts w:hint="eastAsia"/>
                <w:color w:val="auto"/>
                <w:kern w:val="0"/>
                <w:sz w:val="20"/>
                <w:szCs w:val="20"/>
                <w:highlight w:val="none"/>
              </w:rPr>
              <w:t>㎡</w:t>
            </w:r>
            <w:r>
              <w:rPr>
                <w:rFonts w:hint="eastAsia"/>
                <w:color w:val="auto"/>
                <w:kern w:val="0"/>
                <w:sz w:val="20"/>
                <w:szCs w:val="20"/>
                <w:highlight w:val="none"/>
                <w:lang w:eastAsia="zh-CN"/>
              </w:rPr>
              <w:t>，</w:t>
            </w:r>
            <w:r>
              <w:rPr>
                <w:rFonts w:hint="eastAsia"/>
                <w:color w:val="auto"/>
                <w:kern w:val="0"/>
                <w:sz w:val="20"/>
                <w:szCs w:val="20"/>
                <w:highlight w:val="none"/>
                <w:lang w:val="en-US" w:eastAsia="zh-CN"/>
              </w:rPr>
              <w:t>最高单价：</w:t>
            </w:r>
            <w:r>
              <w:rPr>
                <w:rFonts w:hint="eastAsia"/>
                <w:color w:val="auto"/>
                <w:kern w:val="0"/>
                <w:sz w:val="20"/>
                <w:szCs w:val="20"/>
                <w:highlight w:val="none"/>
              </w:rPr>
              <w:t>人民币</w:t>
            </w:r>
            <w:r>
              <w:rPr>
                <w:rFonts w:hint="eastAsia"/>
                <w:color w:val="auto"/>
                <w:kern w:val="0"/>
                <w:sz w:val="20"/>
                <w:szCs w:val="20"/>
                <w:highlight w:val="none"/>
                <w:lang w:val="en-US" w:eastAsia="zh-CN"/>
              </w:rPr>
              <w:t>5.00</w:t>
            </w:r>
            <w:r>
              <w:rPr>
                <w:rFonts w:hint="eastAsia"/>
                <w:color w:val="auto"/>
                <w:kern w:val="0"/>
                <w:sz w:val="20"/>
                <w:szCs w:val="20"/>
                <w:highlight w:val="none"/>
              </w:rPr>
              <w:t>元/㎡/月</w:t>
            </w:r>
            <w:r>
              <w:rPr>
                <w:rFonts w:hint="eastAsia"/>
                <w:color w:val="auto"/>
                <w:kern w:val="0"/>
                <w:sz w:val="20"/>
                <w:szCs w:val="20"/>
                <w:highlight w:val="none"/>
                <w:lang w:val="en-US" w:eastAsia="zh-CN"/>
              </w:rPr>
              <w:t>；最高总价：5.00</w:t>
            </w:r>
            <w:r>
              <w:rPr>
                <w:rFonts w:hint="eastAsia"/>
                <w:color w:val="auto"/>
                <w:kern w:val="0"/>
                <w:sz w:val="20"/>
                <w:szCs w:val="20"/>
                <w:highlight w:val="none"/>
              </w:rPr>
              <w:t>元/㎡/月</w:t>
            </w:r>
            <w:r>
              <w:rPr>
                <w:rFonts w:hint="eastAsia"/>
                <w:color w:val="auto"/>
                <w:kern w:val="0"/>
                <w:sz w:val="20"/>
                <w:szCs w:val="20"/>
                <w:highlight w:val="none"/>
                <w:lang w:eastAsia="zh-CN"/>
              </w:rPr>
              <w:t>×</w:t>
            </w:r>
            <w:r>
              <w:rPr>
                <w:rFonts w:hint="eastAsia"/>
                <w:color w:val="auto"/>
                <w:kern w:val="0"/>
                <w:sz w:val="20"/>
                <w:szCs w:val="20"/>
                <w:highlight w:val="none"/>
                <w:lang w:val="en-US" w:eastAsia="zh-CN"/>
              </w:rPr>
              <w:t>500.00</w:t>
            </w:r>
            <w:r>
              <w:rPr>
                <w:rFonts w:hint="eastAsia"/>
                <w:color w:val="auto"/>
                <w:kern w:val="0"/>
                <w:sz w:val="20"/>
                <w:szCs w:val="20"/>
                <w:highlight w:val="none"/>
              </w:rPr>
              <w:t>㎡</w:t>
            </w:r>
            <w:r>
              <w:rPr>
                <w:rFonts w:hint="eastAsia"/>
                <w:color w:val="auto"/>
                <w:kern w:val="0"/>
                <w:sz w:val="20"/>
                <w:szCs w:val="20"/>
                <w:highlight w:val="none"/>
                <w:lang w:eastAsia="zh-CN"/>
              </w:rPr>
              <w:t>×</w:t>
            </w:r>
            <w:r>
              <w:rPr>
                <w:rFonts w:hint="eastAsia"/>
                <w:color w:val="auto"/>
                <w:kern w:val="0"/>
                <w:sz w:val="20"/>
                <w:szCs w:val="20"/>
                <w:highlight w:val="none"/>
                <w:lang w:val="en-US" w:eastAsia="zh-CN"/>
              </w:rPr>
              <w:t>96个月=240000.00元（大写：人民币贰拾肆万元）；</w:t>
            </w:r>
          </w:p>
          <w:p w14:paraId="00ABE33C">
            <w:pPr>
              <w:pStyle w:val="89"/>
              <w:ind w:firstLine="540"/>
              <w:rPr>
                <w:color w:val="auto"/>
                <w:kern w:val="0"/>
                <w:sz w:val="20"/>
                <w:szCs w:val="20"/>
                <w:highlight w:val="none"/>
              </w:rPr>
            </w:pPr>
            <w:r>
              <w:rPr>
                <w:rFonts w:hint="eastAsia"/>
                <w:color w:val="auto"/>
                <w:kern w:val="0"/>
                <w:sz w:val="20"/>
                <w:szCs w:val="20"/>
                <w:highlight w:val="none"/>
                <w:lang w:val="en-US" w:eastAsia="zh-CN"/>
              </w:rPr>
              <w:t>3.机动车车位1135个，最高车位管理费限价：80元/月/个；最高总价：80.00</w:t>
            </w:r>
            <w:r>
              <w:rPr>
                <w:rFonts w:hint="eastAsia"/>
                <w:color w:val="auto"/>
                <w:kern w:val="0"/>
                <w:sz w:val="20"/>
                <w:szCs w:val="20"/>
                <w:highlight w:val="none"/>
              </w:rPr>
              <w:t>元/</w:t>
            </w:r>
            <w:r>
              <w:rPr>
                <w:rFonts w:hint="eastAsia"/>
                <w:color w:val="auto"/>
                <w:kern w:val="0"/>
                <w:sz w:val="20"/>
                <w:szCs w:val="20"/>
                <w:highlight w:val="none"/>
                <w:lang w:val="en-US" w:eastAsia="zh-CN"/>
              </w:rPr>
              <w:t>月</w:t>
            </w:r>
            <w:r>
              <w:rPr>
                <w:rFonts w:hint="eastAsia"/>
                <w:color w:val="auto"/>
                <w:kern w:val="0"/>
                <w:sz w:val="20"/>
                <w:szCs w:val="20"/>
                <w:highlight w:val="none"/>
              </w:rPr>
              <w:t>/</w:t>
            </w:r>
            <w:r>
              <w:rPr>
                <w:rFonts w:hint="eastAsia"/>
                <w:color w:val="auto"/>
                <w:kern w:val="0"/>
                <w:sz w:val="20"/>
                <w:szCs w:val="20"/>
                <w:highlight w:val="none"/>
                <w:lang w:val="en-US" w:eastAsia="zh-CN"/>
              </w:rPr>
              <w:t>个</w:t>
            </w:r>
            <w:r>
              <w:rPr>
                <w:rFonts w:hint="eastAsia"/>
                <w:color w:val="auto"/>
                <w:kern w:val="0"/>
                <w:sz w:val="20"/>
                <w:szCs w:val="20"/>
                <w:highlight w:val="none"/>
                <w:lang w:eastAsia="zh-CN"/>
              </w:rPr>
              <w:t>×</w:t>
            </w:r>
            <w:r>
              <w:rPr>
                <w:rFonts w:hint="eastAsia"/>
                <w:color w:val="auto"/>
                <w:kern w:val="0"/>
                <w:sz w:val="20"/>
                <w:szCs w:val="20"/>
                <w:highlight w:val="none"/>
                <w:lang w:val="en-US" w:eastAsia="zh-CN"/>
              </w:rPr>
              <w:t>1135个</w:t>
            </w:r>
            <w:r>
              <w:rPr>
                <w:rFonts w:hint="eastAsia"/>
                <w:color w:val="auto"/>
                <w:kern w:val="0"/>
                <w:sz w:val="20"/>
                <w:szCs w:val="20"/>
                <w:highlight w:val="none"/>
                <w:lang w:eastAsia="zh-CN"/>
              </w:rPr>
              <w:t>×</w:t>
            </w:r>
            <w:r>
              <w:rPr>
                <w:rFonts w:hint="eastAsia"/>
                <w:color w:val="auto"/>
                <w:kern w:val="0"/>
                <w:sz w:val="20"/>
                <w:szCs w:val="20"/>
                <w:highlight w:val="none"/>
                <w:lang w:val="en-US" w:eastAsia="zh-CN"/>
              </w:rPr>
              <w:t>96个月=8716800.00元（大写：人民币捌佰柒拾壹万陆仟捌佰元）。</w:t>
            </w:r>
          </w:p>
        </w:tc>
        <w:tc>
          <w:tcPr>
            <w:tcW w:w="923" w:type="dxa"/>
          </w:tcPr>
          <w:p w14:paraId="448AA984">
            <w:pPr>
              <w:pStyle w:val="65"/>
              <w:rPr>
                <w:rFonts w:ascii="Times New Roman"/>
                <w:color w:val="auto"/>
                <w:sz w:val="18"/>
                <w:szCs w:val="20"/>
                <w:highlight w:val="none"/>
              </w:rPr>
            </w:pPr>
          </w:p>
        </w:tc>
        <w:tc>
          <w:tcPr>
            <w:tcW w:w="975" w:type="dxa"/>
          </w:tcPr>
          <w:p w14:paraId="0D3A3C99">
            <w:pPr>
              <w:pStyle w:val="65"/>
              <w:rPr>
                <w:rFonts w:ascii="Times New Roman"/>
                <w:color w:val="auto"/>
                <w:sz w:val="18"/>
                <w:szCs w:val="20"/>
                <w:highlight w:val="none"/>
              </w:rPr>
            </w:pPr>
          </w:p>
        </w:tc>
        <w:tc>
          <w:tcPr>
            <w:tcW w:w="975" w:type="dxa"/>
          </w:tcPr>
          <w:p w14:paraId="6331FE2F">
            <w:pPr>
              <w:pStyle w:val="65"/>
              <w:rPr>
                <w:rFonts w:ascii="Times New Roman"/>
                <w:color w:val="auto"/>
                <w:sz w:val="18"/>
                <w:szCs w:val="20"/>
                <w:highlight w:val="none"/>
              </w:rPr>
            </w:pPr>
          </w:p>
        </w:tc>
      </w:tr>
      <w:tr w14:paraId="0F3C9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52" w:type="dxa"/>
            <w:vAlign w:val="center"/>
          </w:tcPr>
          <w:p w14:paraId="58F72951">
            <w:pPr>
              <w:pStyle w:val="65"/>
              <w:jc w:val="center"/>
              <w:rPr>
                <w:rFonts w:hint="eastAsia" w:eastAsia="宋体"/>
                <w:color w:val="auto"/>
                <w:szCs w:val="20"/>
                <w:highlight w:val="none"/>
                <w:lang w:val="en-US" w:eastAsia="zh-CN"/>
              </w:rPr>
            </w:pPr>
            <w:r>
              <w:rPr>
                <w:rFonts w:hint="eastAsia"/>
                <w:color w:val="auto"/>
                <w:szCs w:val="20"/>
                <w:highlight w:val="none"/>
                <w:lang w:val="en-US" w:eastAsia="zh-CN"/>
              </w:rPr>
              <w:t>5</w:t>
            </w:r>
          </w:p>
        </w:tc>
        <w:tc>
          <w:tcPr>
            <w:tcW w:w="5976" w:type="dxa"/>
          </w:tcPr>
          <w:p w14:paraId="1A337D7A">
            <w:pPr>
              <w:pStyle w:val="89"/>
              <w:ind w:firstLine="540"/>
              <w:rPr>
                <w:color w:val="auto"/>
                <w:kern w:val="0"/>
                <w:sz w:val="20"/>
                <w:szCs w:val="20"/>
                <w:highlight w:val="none"/>
              </w:rPr>
            </w:pPr>
            <w:r>
              <w:rPr>
                <w:rFonts w:hint="eastAsia"/>
                <w:color w:val="auto"/>
                <w:kern w:val="0"/>
                <w:sz w:val="20"/>
                <w:szCs w:val="20"/>
                <w:highlight w:val="none"/>
              </w:rPr>
              <w:t>★本项目固定岗位服务人员配置须不少于</w:t>
            </w:r>
            <w:r>
              <w:rPr>
                <w:rFonts w:hint="eastAsia"/>
                <w:color w:val="auto"/>
                <w:kern w:val="0"/>
                <w:sz w:val="20"/>
                <w:szCs w:val="20"/>
                <w:highlight w:val="none"/>
                <w:lang w:val="en-US" w:eastAsia="zh-CN"/>
              </w:rPr>
              <w:t>45</w:t>
            </w:r>
            <w:r>
              <w:rPr>
                <w:rFonts w:hint="eastAsia"/>
                <w:color w:val="auto"/>
                <w:kern w:val="0"/>
                <w:sz w:val="20"/>
                <w:szCs w:val="20"/>
                <w:highlight w:val="none"/>
              </w:rPr>
              <w:t>人</w:t>
            </w:r>
          </w:p>
        </w:tc>
        <w:tc>
          <w:tcPr>
            <w:tcW w:w="923" w:type="dxa"/>
          </w:tcPr>
          <w:p w14:paraId="1029B82B">
            <w:pPr>
              <w:pStyle w:val="65"/>
              <w:rPr>
                <w:rFonts w:ascii="Times New Roman"/>
                <w:color w:val="auto"/>
                <w:sz w:val="18"/>
                <w:szCs w:val="20"/>
                <w:highlight w:val="none"/>
              </w:rPr>
            </w:pPr>
          </w:p>
        </w:tc>
        <w:tc>
          <w:tcPr>
            <w:tcW w:w="975" w:type="dxa"/>
          </w:tcPr>
          <w:p w14:paraId="5CE63096">
            <w:pPr>
              <w:pStyle w:val="65"/>
              <w:rPr>
                <w:rFonts w:ascii="Times New Roman"/>
                <w:color w:val="auto"/>
                <w:sz w:val="18"/>
                <w:szCs w:val="20"/>
                <w:highlight w:val="none"/>
              </w:rPr>
            </w:pPr>
          </w:p>
        </w:tc>
        <w:tc>
          <w:tcPr>
            <w:tcW w:w="975" w:type="dxa"/>
          </w:tcPr>
          <w:p w14:paraId="6FD37159">
            <w:pPr>
              <w:pStyle w:val="65"/>
              <w:rPr>
                <w:rFonts w:ascii="Times New Roman"/>
                <w:color w:val="auto"/>
                <w:sz w:val="18"/>
                <w:szCs w:val="20"/>
                <w:highlight w:val="none"/>
              </w:rPr>
            </w:pPr>
          </w:p>
        </w:tc>
      </w:tr>
      <w:tr w14:paraId="6406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852" w:type="dxa"/>
            <w:vAlign w:val="center"/>
          </w:tcPr>
          <w:p w14:paraId="153732D1">
            <w:pPr>
              <w:pStyle w:val="65"/>
              <w:jc w:val="center"/>
              <w:rPr>
                <w:rFonts w:hint="default"/>
                <w:color w:val="auto"/>
                <w:szCs w:val="20"/>
                <w:highlight w:val="none"/>
                <w:lang w:val="en-US" w:eastAsia="zh-CN"/>
              </w:rPr>
            </w:pPr>
            <w:r>
              <w:rPr>
                <w:rFonts w:hint="eastAsia"/>
                <w:color w:val="auto"/>
                <w:szCs w:val="20"/>
                <w:highlight w:val="none"/>
                <w:lang w:val="en-US" w:eastAsia="zh-CN"/>
              </w:rPr>
              <w:t>6</w:t>
            </w:r>
          </w:p>
        </w:tc>
        <w:tc>
          <w:tcPr>
            <w:tcW w:w="5976" w:type="dxa"/>
          </w:tcPr>
          <w:p w14:paraId="5E1553EE">
            <w:pPr>
              <w:pStyle w:val="89"/>
              <w:ind w:firstLine="540"/>
              <w:rPr>
                <w:rFonts w:hint="eastAsia"/>
                <w:color w:val="auto"/>
                <w:kern w:val="0"/>
                <w:sz w:val="20"/>
                <w:szCs w:val="20"/>
                <w:highlight w:val="none"/>
                <w:lang w:val="en-US" w:eastAsia="zh-CN"/>
              </w:rPr>
            </w:pPr>
            <w:r>
              <w:rPr>
                <w:rFonts w:hint="eastAsia"/>
                <w:color w:val="auto"/>
                <w:kern w:val="0"/>
                <w:sz w:val="20"/>
                <w:szCs w:val="20"/>
                <w:highlight w:val="none"/>
                <w:lang w:val="en-US" w:eastAsia="zh-CN"/>
              </w:rPr>
              <w:t>★</w:t>
            </w:r>
            <w:r>
              <w:rPr>
                <w:rFonts w:hint="eastAsia"/>
                <w:color w:val="auto"/>
                <w:kern w:val="0"/>
                <w:sz w:val="20"/>
                <w:szCs w:val="20"/>
                <w:highlight w:val="none"/>
              </w:rPr>
              <w:t>本项目</w:t>
            </w:r>
            <w:r>
              <w:rPr>
                <w:rFonts w:hint="eastAsia"/>
                <w:color w:val="auto"/>
                <w:kern w:val="0"/>
                <w:sz w:val="20"/>
                <w:szCs w:val="20"/>
                <w:highlight w:val="none"/>
                <w:lang w:val="en-US" w:eastAsia="zh-CN"/>
              </w:rPr>
              <w:t>中招标人的车位</w:t>
            </w:r>
            <w:r>
              <w:rPr>
                <w:rFonts w:hint="eastAsia"/>
                <w:color w:val="auto"/>
                <w:kern w:val="0"/>
                <w:sz w:val="20"/>
                <w:szCs w:val="20"/>
                <w:highlight w:val="none"/>
              </w:rPr>
              <w:t>属于村集体产业项目。在合同履行期内，</w:t>
            </w:r>
            <w:r>
              <w:rPr>
                <w:rFonts w:hint="eastAsia"/>
                <w:color w:val="auto"/>
                <w:kern w:val="0"/>
                <w:sz w:val="20"/>
                <w:szCs w:val="20"/>
                <w:highlight w:val="none"/>
                <w:lang w:val="en-US" w:eastAsia="zh-CN"/>
              </w:rPr>
              <w:t>物业服务区域内属招标人享有所有权的车位，招标人委托中标人代为经营管理出租，租金收益(含临时停车收入)归招标人所有。车位的收费标准由招标人确定后，交由中标人执行。中标人应当与停车场车位使用人签订书面的车位租赁服务协议，或通过其他合法方式明确双方在车位使用及停车管理服务等方面的权利义务。需要进行车辆保管服务的，车位使用人须与中标人另行签订保管协议，或通过其他合法方式明确双方利义务。中标人应当将本物业服务区域内临时停车的收费标准等信息在显著位置公示。中标人经营车位期间，由中标人向车位使用人代收费用。中标人在下个月3日前向招标人支付上个月的车位租金收益，甲乙双方另行就每月支付的具体金额、经营酬金等事项协商确定。车位物业费按合同第八条的约定执行。</w:t>
            </w:r>
          </w:p>
        </w:tc>
        <w:tc>
          <w:tcPr>
            <w:tcW w:w="923" w:type="dxa"/>
          </w:tcPr>
          <w:p w14:paraId="35A0035C">
            <w:pPr>
              <w:pStyle w:val="65"/>
              <w:rPr>
                <w:rFonts w:ascii="Times New Roman"/>
                <w:color w:val="auto"/>
                <w:sz w:val="18"/>
                <w:szCs w:val="20"/>
                <w:highlight w:val="none"/>
              </w:rPr>
            </w:pPr>
          </w:p>
        </w:tc>
        <w:tc>
          <w:tcPr>
            <w:tcW w:w="975" w:type="dxa"/>
          </w:tcPr>
          <w:p w14:paraId="36263334">
            <w:pPr>
              <w:pStyle w:val="65"/>
              <w:rPr>
                <w:rFonts w:ascii="Times New Roman"/>
                <w:color w:val="auto"/>
                <w:sz w:val="18"/>
                <w:szCs w:val="20"/>
                <w:highlight w:val="none"/>
              </w:rPr>
            </w:pPr>
          </w:p>
        </w:tc>
        <w:tc>
          <w:tcPr>
            <w:tcW w:w="975" w:type="dxa"/>
          </w:tcPr>
          <w:p w14:paraId="7C25A6AF">
            <w:pPr>
              <w:pStyle w:val="65"/>
              <w:rPr>
                <w:rFonts w:ascii="Times New Roman"/>
                <w:color w:val="auto"/>
                <w:sz w:val="18"/>
                <w:szCs w:val="20"/>
                <w:highlight w:val="none"/>
              </w:rPr>
            </w:pPr>
          </w:p>
        </w:tc>
      </w:tr>
      <w:tr w14:paraId="225E0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852" w:type="dxa"/>
            <w:vAlign w:val="center"/>
          </w:tcPr>
          <w:p w14:paraId="016D3725">
            <w:pPr>
              <w:pStyle w:val="65"/>
              <w:jc w:val="center"/>
              <w:rPr>
                <w:rFonts w:hint="eastAsia" w:eastAsia="宋体"/>
                <w:color w:val="auto"/>
                <w:szCs w:val="20"/>
                <w:highlight w:val="none"/>
                <w:lang w:val="en-US" w:eastAsia="zh-CN"/>
              </w:rPr>
            </w:pPr>
            <w:r>
              <w:rPr>
                <w:rFonts w:hint="eastAsia"/>
                <w:color w:val="auto"/>
                <w:szCs w:val="20"/>
                <w:highlight w:val="none"/>
                <w:lang w:val="en-US" w:eastAsia="zh-CN"/>
              </w:rPr>
              <w:t>7</w:t>
            </w:r>
          </w:p>
        </w:tc>
        <w:tc>
          <w:tcPr>
            <w:tcW w:w="5976" w:type="dxa"/>
          </w:tcPr>
          <w:p w14:paraId="4E1ECDA9">
            <w:pPr>
              <w:pStyle w:val="89"/>
              <w:ind w:firstLine="540"/>
              <w:rPr>
                <w:color w:val="auto"/>
                <w:kern w:val="0"/>
                <w:sz w:val="20"/>
                <w:szCs w:val="20"/>
                <w:highlight w:val="none"/>
              </w:rPr>
            </w:pPr>
            <w:r>
              <w:rPr>
                <w:rFonts w:hint="eastAsia"/>
                <w:color w:val="auto"/>
                <w:kern w:val="0"/>
                <w:sz w:val="20"/>
                <w:szCs w:val="20"/>
                <w:highlight w:val="none"/>
                <w:lang w:val="en-US" w:eastAsia="zh-CN"/>
              </w:rPr>
              <w:t>★投标人在投标时需签订《变更计价承诺书、项目经理及项目投入人员承诺书、不将本项目转包、分包承诺书》（具体见合同附件4）并包含在投标人提供的投标文件中</w:t>
            </w:r>
            <w:r>
              <w:rPr>
                <w:rFonts w:hint="eastAsia"/>
                <w:color w:val="auto"/>
                <w:kern w:val="0"/>
                <w:sz w:val="20"/>
                <w:szCs w:val="20"/>
                <w:highlight w:val="none"/>
              </w:rPr>
              <w:t>。</w:t>
            </w:r>
          </w:p>
        </w:tc>
        <w:tc>
          <w:tcPr>
            <w:tcW w:w="923" w:type="dxa"/>
          </w:tcPr>
          <w:p w14:paraId="4BCF3810">
            <w:pPr>
              <w:pStyle w:val="65"/>
              <w:rPr>
                <w:rFonts w:ascii="Times New Roman"/>
                <w:color w:val="auto"/>
                <w:sz w:val="18"/>
                <w:szCs w:val="20"/>
                <w:highlight w:val="none"/>
              </w:rPr>
            </w:pPr>
          </w:p>
        </w:tc>
        <w:tc>
          <w:tcPr>
            <w:tcW w:w="975" w:type="dxa"/>
          </w:tcPr>
          <w:p w14:paraId="2D4FD27D">
            <w:pPr>
              <w:pStyle w:val="65"/>
              <w:rPr>
                <w:rFonts w:ascii="Times New Roman"/>
                <w:color w:val="auto"/>
                <w:sz w:val="18"/>
                <w:szCs w:val="20"/>
                <w:highlight w:val="none"/>
              </w:rPr>
            </w:pPr>
          </w:p>
        </w:tc>
        <w:tc>
          <w:tcPr>
            <w:tcW w:w="975" w:type="dxa"/>
          </w:tcPr>
          <w:p w14:paraId="46D940B4">
            <w:pPr>
              <w:pStyle w:val="65"/>
              <w:rPr>
                <w:rFonts w:ascii="Times New Roman"/>
                <w:color w:val="auto"/>
                <w:sz w:val="18"/>
                <w:szCs w:val="20"/>
                <w:highlight w:val="none"/>
              </w:rPr>
            </w:pPr>
          </w:p>
        </w:tc>
      </w:tr>
    </w:tbl>
    <w:p w14:paraId="1CC81756">
      <w:pPr>
        <w:pStyle w:val="12"/>
        <w:spacing w:before="122"/>
        <w:ind w:left="490"/>
        <w:rPr>
          <w:color w:val="auto"/>
          <w:highlight w:val="none"/>
        </w:rPr>
      </w:pPr>
      <w:r>
        <w:rPr>
          <w:color w:val="auto"/>
          <w:highlight w:val="none"/>
        </w:rPr>
        <w:t>说明：</w:t>
      </w:r>
    </w:p>
    <w:p w14:paraId="75B241BF">
      <w:pPr>
        <w:pStyle w:val="63"/>
        <w:numPr>
          <w:ilvl w:val="0"/>
          <w:numId w:val="27"/>
        </w:numPr>
        <w:tabs>
          <w:tab w:val="left" w:pos="673"/>
        </w:tabs>
        <w:spacing w:before="103"/>
        <w:rPr>
          <w:color w:val="auto"/>
          <w:sz w:val="19"/>
          <w:highlight w:val="none"/>
        </w:rPr>
      </w:pPr>
      <w:r>
        <w:rPr>
          <w:rFonts w:hint="eastAsia"/>
          <w:color w:val="auto"/>
          <w:sz w:val="19"/>
          <w:highlight w:val="none"/>
        </w:rPr>
        <w:t>实质性响应条款一览表后续内容请根据第</w:t>
      </w:r>
      <w:r>
        <w:rPr>
          <w:rFonts w:hint="eastAsia"/>
          <w:color w:val="auto"/>
          <w:sz w:val="19"/>
          <w:highlight w:val="none"/>
          <w:lang w:val="en-US" w:eastAsia="zh-CN"/>
        </w:rPr>
        <w:t>三部妢</w:t>
      </w:r>
      <w:r>
        <w:rPr>
          <w:rFonts w:hint="eastAsia"/>
          <w:color w:val="auto"/>
          <w:sz w:val="19"/>
          <w:highlight w:val="none"/>
        </w:rPr>
        <w:t>采购需求★号条款详细列举</w:t>
      </w:r>
    </w:p>
    <w:p w14:paraId="0555B155">
      <w:pPr>
        <w:pStyle w:val="63"/>
        <w:numPr>
          <w:ilvl w:val="0"/>
          <w:numId w:val="27"/>
        </w:numPr>
        <w:tabs>
          <w:tab w:val="left" w:pos="673"/>
        </w:tabs>
        <w:spacing w:before="53"/>
        <w:rPr>
          <w:color w:val="auto"/>
          <w:sz w:val="19"/>
          <w:highlight w:val="none"/>
        </w:rPr>
      </w:pPr>
      <w:r>
        <w:rPr>
          <w:rFonts w:hint="eastAsia"/>
          <w:color w:val="auto"/>
          <w:sz w:val="19"/>
          <w:highlight w:val="none"/>
        </w:rPr>
        <w:t>本表所列条款必须一一予以响应，“投标人响应情况”一栏应填写具体的响应内容，有差异的要具体说明。</w:t>
      </w:r>
    </w:p>
    <w:p w14:paraId="62662A5F">
      <w:pPr>
        <w:pStyle w:val="63"/>
        <w:numPr>
          <w:ilvl w:val="0"/>
          <w:numId w:val="27"/>
        </w:numPr>
        <w:tabs>
          <w:tab w:val="left" w:pos="673"/>
        </w:tabs>
        <w:spacing w:before="53"/>
        <w:rPr>
          <w:color w:val="auto"/>
          <w:highlight w:val="none"/>
        </w:rPr>
      </w:pPr>
      <w:r>
        <w:rPr>
          <w:color w:val="auto"/>
          <w:sz w:val="19"/>
          <w:highlight w:val="none"/>
        </w:rPr>
        <w:t>请投标人认真填写本表内容，如填写错误将可能导致投标无效。</w:t>
      </w:r>
    </w:p>
    <w:p w14:paraId="096BC82F">
      <w:pPr>
        <w:spacing w:line="400" w:lineRule="exact"/>
        <w:ind w:firstLine="310" w:firstLineChars="148"/>
        <w:rPr>
          <w:color w:val="auto"/>
          <w:sz w:val="21"/>
          <w:szCs w:val="21"/>
          <w:highlight w:val="none"/>
        </w:rPr>
      </w:pPr>
    </w:p>
    <w:p w14:paraId="06168B71">
      <w:pPr>
        <w:spacing w:line="400" w:lineRule="exact"/>
        <w:ind w:firstLine="310" w:firstLineChars="148"/>
        <w:rPr>
          <w:color w:val="auto"/>
          <w:sz w:val="21"/>
          <w:szCs w:val="21"/>
          <w:highlight w:val="none"/>
        </w:rPr>
      </w:pPr>
    </w:p>
    <w:p w14:paraId="75F41B52">
      <w:pPr>
        <w:spacing w:line="400" w:lineRule="exact"/>
        <w:ind w:firstLine="539" w:firstLineChars="257"/>
        <w:rPr>
          <w:color w:val="auto"/>
          <w:sz w:val="21"/>
          <w:szCs w:val="21"/>
          <w:highlight w:val="none"/>
        </w:rPr>
      </w:pPr>
      <w:r>
        <w:rPr>
          <w:rFonts w:hint="eastAsia"/>
          <w:color w:val="auto"/>
          <w:sz w:val="21"/>
          <w:szCs w:val="21"/>
          <w:highlight w:val="none"/>
        </w:rPr>
        <w:t>投标人名称（并加盖公章）：</w:t>
      </w:r>
    </w:p>
    <w:p w14:paraId="044CFADA">
      <w:pPr>
        <w:spacing w:line="400" w:lineRule="exact"/>
        <w:ind w:firstLine="539" w:firstLineChars="257"/>
        <w:rPr>
          <w:color w:val="auto"/>
          <w:sz w:val="21"/>
          <w:szCs w:val="21"/>
          <w:highlight w:val="none"/>
        </w:rPr>
      </w:pPr>
      <w:r>
        <w:rPr>
          <w:rFonts w:hint="eastAsia"/>
          <w:color w:val="auto"/>
          <w:sz w:val="21"/>
          <w:szCs w:val="21"/>
          <w:highlight w:val="none"/>
        </w:rPr>
        <w:t xml:space="preserve"> </w:t>
      </w:r>
    </w:p>
    <w:p w14:paraId="7CD874EC">
      <w:pPr>
        <w:spacing w:line="400" w:lineRule="exact"/>
        <w:ind w:firstLine="539" w:firstLineChars="257"/>
        <w:rPr>
          <w:color w:val="auto"/>
          <w:sz w:val="21"/>
          <w:szCs w:val="21"/>
          <w:highlight w:val="none"/>
        </w:rPr>
      </w:pPr>
      <w:r>
        <w:rPr>
          <w:rFonts w:hint="eastAsia"/>
          <w:color w:val="auto"/>
          <w:sz w:val="21"/>
          <w:szCs w:val="21"/>
          <w:highlight w:val="none"/>
        </w:rPr>
        <w:t xml:space="preserve">投标人法定代表人或其委托人签字或印鉴： </w:t>
      </w:r>
      <w:r>
        <w:rPr>
          <w:rFonts w:hint="eastAsia"/>
          <w:color w:val="auto"/>
          <w:sz w:val="21"/>
          <w:szCs w:val="21"/>
          <w:highlight w:val="none"/>
          <w:u w:val="single"/>
        </w:rPr>
        <w:t xml:space="preserve">          </w:t>
      </w:r>
    </w:p>
    <w:p w14:paraId="4274D8EE">
      <w:pPr>
        <w:spacing w:line="400" w:lineRule="exact"/>
        <w:ind w:firstLine="539" w:firstLineChars="257"/>
        <w:rPr>
          <w:color w:val="auto"/>
          <w:sz w:val="21"/>
          <w:szCs w:val="21"/>
          <w:highlight w:val="none"/>
        </w:rPr>
      </w:pPr>
      <w:r>
        <w:rPr>
          <w:rFonts w:hint="eastAsia"/>
          <w:color w:val="auto"/>
          <w:sz w:val="21"/>
          <w:szCs w:val="21"/>
          <w:highlight w:val="none"/>
        </w:rPr>
        <w:t xml:space="preserve"> </w:t>
      </w:r>
    </w:p>
    <w:p w14:paraId="637AAC55">
      <w:pPr>
        <w:spacing w:line="400" w:lineRule="exact"/>
        <w:ind w:firstLine="539" w:firstLineChars="257"/>
        <w:rPr>
          <w:color w:val="auto"/>
          <w:sz w:val="21"/>
          <w:szCs w:val="21"/>
          <w:highlight w:val="none"/>
        </w:rPr>
      </w:pPr>
      <w:r>
        <w:rPr>
          <w:rFonts w:hint="eastAsia"/>
          <w:color w:val="auto"/>
          <w:sz w:val="21"/>
          <w:szCs w:val="21"/>
          <w:highlight w:val="none"/>
        </w:rPr>
        <w:t>日期：</w:t>
      </w:r>
    </w:p>
    <w:p w14:paraId="7B599476">
      <w:pPr>
        <w:spacing w:line="400" w:lineRule="exact"/>
        <w:rPr>
          <w:color w:val="auto"/>
          <w:sz w:val="21"/>
          <w:szCs w:val="21"/>
          <w:highlight w:val="none"/>
        </w:rPr>
      </w:pPr>
    </w:p>
    <w:p w14:paraId="58DCD16B">
      <w:pPr>
        <w:spacing w:line="400" w:lineRule="exact"/>
        <w:rPr>
          <w:color w:val="auto"/>
          <w:sz w:val="21"/>
          <w:szCs w:val="21"/>
          <w:highlight w:val="none"/>
        </w:rPr>
      </w:pPr>
    </w:p>
    <w:p w14:paraId="6888AA62">
      <w:pPr>
        <w:pStyle w:val="3"/>
        <w:keepNext w:val="0"/>
        <w:keepLines w:val="0"/>
        <w:widowControl/>
        <w:numPr>
          <w:ilvl w:val="1"/>
          <w:numId w:val="25"/>
        </w:numPr>
        <w:spacing w:before="188" w:after="188" w:line="400" w:lineRule="exact"/>
        <w:jc w:val="center"/>
        <w:rPr>
          <w:rFonts w:ascii="宋体" w:hAnsi="宋体" w:eastAsia="宋体" w:cs="宋体"/>
          <w:color w:val="auto"/>
          <w:sz w:val="21"/>
          <w:szCs w:val="21"/>
          <w:highlight w:val="none"/>
        </w:rPr>
      </w:pPr>
      <w:r>
        <w:rPr>
          <w:rFonts w:hint="eastAsia"/>
          <w:bCs/>
          <w:color w:val="auto"/>
          <w:sz w:val="21"/>
          <w:szCs w:val="21"/>
          <w:highlight w:val="none"/>
        </w:rPr>
        <w:br w:type="page"/>
      </w:r>
      <w:bookmarkEnd w:id="240"/>
      <w:bookmarkEnd w:id="241"/>
      <w:bookmarkEnd w:id="242"/>
      <w:r>
        <w:rPr>
          <w:rFonts w:hint="eastAsia" w:ascii="宋体" w:hAnsi="宋体" w:eastAsia="宋体" w:cs="宋体"/>
          <w:b w:val="0"/>
          <w:bCs/>
          <w:color w:val="auto"/>
          <w:sz w:val="21"/>
          <w:szCs w:val="21"/>
          <w:highlight w:val="none"/>
        </w:rPr>
        <w:t xml:space="preserve">  </w:t>
      </w:r>
      <w:bookmarkStart w:id="246" w:name="_Toc86349491"/>
      <w:bookmarkStart w:id="247" w:name="_Toc29825825"/>
      <w:r>
        <w:rPr>
          <w:rFonts w:hint="eastAsia" w:ascii="宋体" w:hAnsi="宋体" w:eastAsia="宋体" w:cs="宋体"/>
          <w:color w:val="auto"/>
          <w:kern w:val="0"/>
          <w:sz w:val="21"/>
          <w:szCs w:val="21"/>
          <w:highlight w:val="none"/>
        </w:rPr>
        <w:t>投</w:t>
      </w:r>
      <w:r>
        <w:rPr>
          <w:rFonts w:hint="eastAsia" w:ascii="宋体" w:hAnsi="宋体" w:eastAsia="宋体" w:cs="宋体"/>
          <w:color w:val="auto"/>
          <w:sz w:val="21"/>
          <w:szCs w:val="21"/>
          <w:highlight w:val="none"/>
        </w:rPr>
        <w:t>标响应与招标文件差异一览表</w:t>
      </w:r>
      <w:bookmarkEnd w:id="246"/>
      <w:bookmarkEnd w:id="247"/>
    </w:p>
    <w:p w14:paraId="78B78461">
      <w:pPr>
        <w:spacing w:before="50" w:after="188" w:line="400" w:lineRule="exact"/>
        <w:rPr>
          <w:b/>
          <w:color w:val="auto"/>
          <w:sz w:val="21"/>
          <w:szCs w:val="21"/>
          <w:highlight w:val="none"/>
        </w:rPr>
      </w:pPr>
      <w:r>
        <w:rPr>
          <w:rFonts w:hint="eastAsia"/>
          <w:b/>
          <w:bCs/>
          <w:color w:val="auto"/>
          <w:sz w:val="21"/>
          <w:szCs w:val="21"/>
          <w:highlight w:val="none"/>
        </w:rPr>
        <w:t>投标人对招标文件中标 “▲”条款的响应情况</w:t>
      </w:r>
    </w:p>
    <w:tbl>
      <w:tblPr>
        <w:tblStyle w:val="34"/>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2EDA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6625DCB7">
            <w:pPr>
              <w:jc w:val="center"/>
              <w:rPr>
                <w:color w:val="auto"/>
                <w:sz w:val="21"/>
                <w:highlight w:val="none"/>
              </w:rPr>
            </w:pPr>
            <w:r>
              <w:rPr>
                <w:rFonts w:hint="eastAsia"/>
                <w:color w:val="auto"/>
                <w:sz w:val="21"/>
                <w:highlight w:val="none"/>
              </w:rPr>
              <w:t>序号</w:t>
            </w:r>
          </w:p>
        </w:tc>
        <w:tc>
          <w:tcPr>
            <w:tcW w:w="3444" w:type="dxa"/>
            <w:tcBorders>
              <w:top w:val="single" w:color="auto" w:sz="4" w:space="0"/>
              <w:left w:val="single" w:color="auto" w:sz="4" w:space="0"/>
              <w:bottom w:val="single" w:color="auto" w:sz="4" w:space="0"/>
              <w:right w:val="single" w:color="auto" w:sz="4" w:space="0"/>
            </w:tcBorders>
            <w:vAlign w:val="center"/>
          </w:tcPr>
          <w:p w14:paraId="1048DED5">
            <w:pPr>
              <w:jc w:val="center"/>
              <w:rPr>
                <w:color w:val="auto"/>
                <w:sz w:val="21"/>
                <w:highlight w:val="none"/>
              </w:rPr>
            </w:pPr>
            <w:r>
              <w:rPr>
                <w:rFonts w:hint="eastAsia"/>
                <w:bCs/>
                <w:color w:val="auto"/>
                <w:sz w:val="21"/>
                <w:szCs w:val="21"/>
                <w:highlight w:val="none"/>
              </w:rPr>
              <w:t>招标文件中标有“▲”的内容</w:t>
            </w:r>
          </w:p>
        </w:tc>
        <w:tc>
          <w:tcPr>
            <w:tcW w:w="1708" w:type="dxa"/>
            <w:tcBorders>
              <w:top w:val="single" w:color="auto" w:sz="4" w:space="0"/>
              <w:left w:val="single" w:color="auto" w:sz="4" w:space="0"/>
              <w:bottom w:val="single" w:color="auto" w:sz="4" w:space="0"/>
              <w:right w:val="single" w:color="auto" w:sz="4" w:space="0"/>
            </w:tcBorders>
            <w:vAlign w:val="center"/>
          </w:tcPr>
          <w:p w14:paraId="631F6727">
            <w:pPr>
              <w:jc w:val="center"/>
              <w:rPr>
                <w:color w:val="auto"/>
                <w:sz w:val="21"/>
                <w:highlight w:val="none"/>
              </w:rPr>
            </w:pPr>
            <w:r>
              <w:rPr>
                <w:rFonts w:hint="eastAsia"/>
                <w:color w:val="auto"/>
                <w:sz w:val="21"/>
                <w:highlight w:val="none"/>
              </w:rPr>
              <w:t>投标人响应情况描述</w:t>
            </w:r>
          </w:p>
        </w:tc>
        <w:tc>
          <w:tcPr>
            <w:tcW w:w="1977" w:type="dxa"/>
            <w:tcBorders>
              <w:top w:val="single" w:color="auto" w:sz="4" w:space="0"/>
              <w:left w:val="single" w:color="auto" w:sz="4" w:space="0"/>
              <w:bottom w:val="single" w:color="auto" w:sz="4" w:space="0"/>
              <w:right w:val="single" w:color="auto" w:sz="4" w:space="0"/>
            </w:tcBorders>
            <w:vAlign w:val="center"/>
          </w:tcPr>
          <w:p w14:paraId="29ECCFE5">
            <w:pPr>
              <w:jc w:val="center"/>
              <w:rPr>
                <w:color w:val="auto"/>
                <w:sz w:val="21"/>
                <w:highlight w:val="none"/>
              </w:rPr>
            </w:pPr>
            <w:r>
              <w:rPr>
                <w:rFonts w:hint="eastAsia"/>
                <w:color w:val="auto"/>
                <w:sz w:val="21"/>
                <w:highlight w:val="none"/>
              </w:rPr>
              <w:t>偏离说明（正偏离/完全响应/负偏离）</w:t>
            </w:r>
          </w:p>
        </w:tc>
        <w:tc>
          <w:tcPr>
            <w:tcW w:w="1559" w:type="dxa"/>
            <w:tcBorders>
              <w:top w:val="single" w:color="auto" w:sz="4" w:space="0"/>
              <w:left w:val="single" w:color="auto" w:sz="4" w:space="0"/>
              <w:bottom w:val="single" w:color="auto" w:sz="4" w:space="0"/>
              <w:right w:val="single" w:color="auto" w:sz="4" w:space="0"/>
            </w:tcBorders>
            <w:vAlign w:val="center"/>
          </w:tcPr>
          <w:p w14:paraId="577FB66B">
            <w:pPr>
              <w:jc w:val="center"/>
              <w:rPr>
                <w:color w:val="auto"/>
                <w:sz w:val="21"/>
                <w:highlight w:val="none"/>
              </w:rPr>
            </w:pPr>
            <w:r>
              <w:rPr>
                <w:rFonts w:hint="eastAsia"/>
                <w:color w:val="auto"/>
                <w:sz w:val="21"/>
                <w:highlight w:val="none"/>
              </w:rPr>
              <w:t>对应投标文件位置及页码</w:t>
            </w:r>
          </w:p>
        </w:tc>
      </w:tr>
      <w:tr w14:paraId="6BE7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Borders>
              <w:top w:val="single" w:color="auto" w:sz="4" w:space="0"/>
              <w:left w:val="single" w:color="auto" w:sz="4" w:space="0"/>
              <w:bottom w:val="single" w:color="auto" w:sz="4" w:space="0"/>
              <w:right w:val="single" w:color="auto" w:sz="4" w:space="0"/>
            </w:tcBorders>
          </w:tcPr>
          <w:p w14:paraId="4534E041">
            <w:pPr>
              <w:spacing w:line="300" w:lineRule="auto"/>
              <w:jc w:val="center"/>
              <w:rPr>
                <w:color w:val="auto"/>
                <w:sz w:val="21"/>
                <w:szCs w:val="21"/>
                <w:highlight w:val="none"/>
              </w:rPr>
            </w:pPr>
          </w:p>
          <w:p w14:paraId="72E26588">
            <w:pPr>
              <w:spacing w:line="300" w:lineRule="auto"/>
              <w:jc w:val="center"/>
              <w:rPr>
                <w:color w:val="auto"/>
                <w:sz w:val="21"/>
                <w:szCs w:val="21"/>
                <w:highlight w:val="none"/>
              </w:rPr>
            </w:pPr>
          </w:p>
        </w:tc>
        <w:tc>
          <w:tcPr>
            <w:tcW w:w="3444" w:type="dxa"/>
            <w:tcBorders>
              <w:top w:val="single" w:color="auto" w:sz="4" w:space="0"/>
              <w:left w:val="single" w:color="auto" w:sz="4" w:space="0"/>
              <w:bottom w:val="single" w:color="auto" w:sz="4" w:space="0"/>
              <w:right w:val="single" w:color="auto" w:sz="4" w:space="0"/>
            </w:tcBorders>
          </w:tcPr>
          <w:p w14:paraId="2B45F88E">
            <w:pPr>
              <w:spacing w:line="300" w:lineRule="auto"/>
              <w:jc w:val="center"/>
              <w:rPr>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14:paraId="65A7B35B">
            <w:pPr>
              <w:spacing w:line="300" w:lineRule="auto"/>
              <w:jc w:val="center"/>
              <w:rPr>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tcPr>
          <w:p w14:paraId="45953C12">
            <w:pPr>
              <w:spacing w:line="300" w:lineRule="auto"/>
              <w:jc w:val="center"/>
              <w:rPr>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2F311B25">
            <w:pPr>
              <w:spacing w:line="300" w:lineRule="auto"/>
              <w:jc w:val="center"/>
              <w:rPr>
                <w:color w:val="auto"/>
                <w:sz w:val="21"/>
                <w:szCs w:val="21"/>
                <w:highlight w:val="none"/>
              </w:rPr>
            </w:pPr>
          </w:p>
        </w:tc>
      </w:tr>
      <w:tr w14:paraId="7765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Borders>
              <w:top w:val="single" w:color="auto" w:sz="4" w:space="0"/>
              <w:left w:val="single" w:color="auto" w:sz="4" w:space="0"/>
              <w:bottom w:val="single" w:color="auto" w:sz="4" w:space="0"/>
              <w:right w:val="single" w:color="auto" w:sz="4" w:space="0"/>
            </w:tcBorders>
          </w:tcPr>
          <w:p w14:paraId="0077AA08">
            <w:pPr>
              <w:spacing w:line="300" w:lineRule="auto"/>
              <w:jc w:val="center"/>
              <w:rPr>
                <w:color w:val="auto"/>
                <w:sz w:val="21"/>
                <w:szCs w:val="21"/>
                <w:highlight w:val="none"/>
              </w:rPr>
            </w:pPr>
          </w:p>
          <w:p w14:paraId="168D39F8">
            <w:pPr>
              <w:spacing w:line="300" w:lineRule="auto"/>
              <w:jc w:val="center"/>
              <w:rPr>
                <w:color w:val="auto"/>
                <w:sz w:val="21"/>
                <w:szCs w:val="21"/>
                <w:highlight w:val="none"/>
              </w:rPr>
            </w:pPr>
          </w:p>
        </w:tc>
        <w:tc>
          <w:tcPr>
            <w:tcW w:w="3444" w:type="dxa"/>
            <w:tcBorders>
              <w:top w:val="single" w:color="auto" w:sz="4" w:space="0"/>
              <w:left w:val="single" w:color="auto" w:sz="4" w:space="0"/>
              <w:bottom w:val="single" w:color="auto" w:sz="4" w:space="0"/>
              <w:right w:val="single" w:color="auto" w:sz="4" w:space="0"/>
            </w:tcBorders>
          </w:tcPr>
          <w:p w14:paraId="0AA68C92">
            <w:pPr>
              <w:spacing w:line="300" w:lineRule="auto"/>
              <w:jc w:val="center"/>
              <w:rPr>
                <w:color w:val="auto"/>
                <w:sz w:val="21"/>
                <w:szCs w:val="21"/>
                <w:highlight w:val="none"/>
              </w:rPr>
            </w:pPr>
          </w:p>
          <w:p w14:paraId="426CFEE7">
            <w:pPr>
              <w:spacing w:line="300" w:lineRule="auto"/>
              <w:jc w:val="center"/>
              <w:rPr>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14:paraId="020D67EB">
            <w:pPr>
              <w:spacing w:line="300" w:lineRule="auto"/>
              <w:jc w:val="center"/>
              <w:rPr>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tcPr>
          <w:p w14:paraId="03218E64">
            <w:pPr>
              <w:spacing w:line="300" w:lineRule="auto"/>
              <w:jc w:val="center"/>
              <w:rPr>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5C8F98AC">
            <w:pPr>
              <w:spacing w:line="300" w:lineRule="auto"/>
              <w:jc w:val="center"/>
              <w:rPr>
                <w:color w:val="auto"/>
                <w:sz w:val="21"/>
                <w:szCs w:val="21"/>
                <w:highlight w:val="none"/>
              </w:rPr>
            </w:pPr>
          </w:p>
        </w:tc>
      </w:tr>
      <w:tr w14:paraId="0D02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Borders>
              <w:top w:val="single" w:color="auto" w:sz="4" w:space="0"/>
              <w:left w:val="single" w:color="auto" w:sz="4" w:space="0"/>
              <w:bottom w:val="single" w:color="auto" w:sz="4" w:space="0"/>
              <w:right w:val="single" w:color="auto" w:sz="4" w:space="0"/>
            </w:tcBorders>
          </w:tcPr>
          <w:p w14:paraId="416FE422">
            <w:pPr>
              <w:spacing w:line="300" w:lineRule="auto"/>
              <w:jc w:val="center"/>
              <w:rPr>
                <w:color w:val="auto"/>
                <w:sz w:val="21"/>
                <w:szCs w:val="21"/>
                <w:highlight w:val="none"/>
              </w:rPr>
            </w:pPr>
          </w:p>
        </w:tc>
        <w:tc>
          <w:tcPr>
            <w:tcW w:w="3444" w:type="dxa"/>
            <w:tcBorders>
              <w:top w:val="single" w:color="auto" w:sz="4" w:space="0"/>
              <w:left w:val="single" w:color="auto" w:sz="4" w:space="0"/>
              <w:bottom w:val="single" w:color="auto" w:sz="4" w:space="0"/>
              <w:right w:val="single" w:color="auto" w:sz="4" w:space="0"/>
            </w:tcBorders>
          </w:tcPr>
          <w:p w14:paraId="472F2A58">
            <w:pPr>
              <w:spacing w:line="300" w:lineRule="auto"/>
              <w:jc w:val="center"/>
              <w:rPr>
                <w:color w:val="auto"/>
                <w:sz w:val="21"/>
                <w:szCs w:val="21"/>
                <w:highlight w:val="none"/>
              </w:rPr>
            </w:pPr>
            <w:r>
              <w:rPr>
                <w:rFonts w:hint="eastAsia"/>
                <w:color w:val="auto"/>
                <w:sz w:val="21"/>
                <w:szCs w:val="21"/>
                <w:highlight w:val="none"/>
              </w:rPr>
              <w:t>……</w:t>
            </w:r>
          </w:p>
        </w:tc>
        <w:tc>
          <w:tcPr>
            <w:tcW w:w="1708" w:type="dxa"/>
            <w:tcBorders>
              <w:top w:val="single" w:color="auto" w:sz="4" w:space="0"/>
              <w:left w:val="single" w:color="auto" w:sz="4" w:space="0"/>
              <w:bottom w:val="single" w:color="auto" w:sz="4" w:space="0"/>
              <w:right w:val="single" w:color="auto" w:sz="4" w:space="0"/>
            </w:tcBorders>
          </w:tcPr>
          <w:p w14:paraId="28325EF2">
            <w:pPr>
              <w:spacing w:line="300" w:lineRule="auto"/>
              <w:jc w:val="center"/>
              <w:rPr>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tcPr>
          <w:p w14:paraId="47D1DB71">
            <w:pPr>
              <w:spacing w:line="300" w:lineRule="auto"/>
              <w:jc w:val="center"/>
              <w:rPr>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6704F358">
            <w:pPr>
              <w:spacing w:line="300" w:lineRule="auto"/>
              <w:jc w:val="center"/>
              <w:rPr>
                <w:color w:val="auto"/>
                <w:sz w:val="21"/>
                <w:szCs w:val="21"/>
                <w:highlight w:val="none"/>
              </w:rPr>
            </w:pPr>
          </w:p>
        </w:tc>
      </w:tr>
    </w:tbl>
    <w:p w14:paraId="57CFF122">
      <w:pPr>
        <w:spacing w:line="300" w:lineRule="auto"/>
        <w:rPr>
          <w:color w:val="auto"/>
          <w:sz w:val="21"/>
          <w:szCs w:val="21"/>
          <w:highlight w:val="none"/>
        </w:rPr>
      </w:pPr>
      <w:r>
        <w:rPr>
          <w:rFonts w:hint="eastAsia"/>
          <w:color w:val="auto"/>
          <w:sz w:val="21"/>
          <w:szCs w:val="21"/>
          <w:highlight w:val="none"/>
        </w:rPr>
        <w:t>说明：</w:t>
      </w:r>
    </w:p>
    <w:p w14:paraId="42E32F00">
      <w:pPr>
        <w:spacing w:line="300" w:lineRule="auto"/>
        <w:ind w:left="360"/>
        <w:rPr>
          <w:bCs/>
          <w:color w:val="auto"/>
          <w:sz w:val="21"/>
          <w:szCs w:val="21"/>
          <w:highlight w:val="none"/>
        </w:rPr>
      </w:pPr>
      <w:r>
        <w:rPr>
          <w:rFonts w:hint="eastAsia"/>
          <w:bCs/>
          <w:color w:val="auto"/>
          <w:sz w:val="21"/>
          <w:szCs w:val="21"/>
          <w:highlight w:val="none"/>
        </w:rPr>
        <w:t>1.请投标人将招标文件中标有“▲”的相关要求的响应情况按顺序逐条列入此表。</w:t>
      </w:r>
    </w:p>
    <w:p w14:paraId="5CC2E30D">
      <w:pPr>
        <w:spacing w:line="300" w:lineRule="auto"/>
        <w:ind w:left="360"/>
        <w:rPr>
          <w:bCs/>
          <w:color w:val="auto"/>
          <w:sz w:val="21"/>
          <w:szCs w:val="21"/>
          <w:highlight w:val="none"/>
        </w:rPr>
      </w:pPr>
      <w:r>
        <w:rPr>
          <w:rFonts w:hint="eastAsia"/>
          <w:bCs/>
          <w:color w:val="auto"/>
          <w:sz w:val="21"/>
          <w:szCs w:val="21"/>
          <w:highlight w:val="none"/>
        </w:rPr>
        <w:t>2.此表可延长。</w:t>
      </w:r>
    </w:p>
    <w:p w14:paraId="231800DE">
      <w:pPr>
        <w:spacing w:line="300" w:lineRule="auto"/>
        <w:ind w:left="360"/>
        <w:rPr>
          <w:bCs/>
          <w:color w:val="auto"/>
          <w:sz w:val="21"/>
          <w:szCs w:val="21"/>
          <w:highlight w:val="none"/>
        </w:rPr>
      </w:pPr>
      <w:r>
        <w:rPr>
          <w:rFonts w:hint="eastAsia"/>
          <w:bCs/>
          <w:color w:val="auto"/>
          <w:sz w:val="21"/>
          <w:szCs w:val="21"/>
          <w:highlight w:val="none"/>
        </w:rPr>
        <w:t>3.招标文件若无“▲”标注的条款，则上表留空。</w:t>
      </w:r>
    </w:p>
    <w:p w14:paraId="444D6354">
      <w:pPr>
        <w:spacing w:before="50" w:after="188" w:line="400" w:lineRule="exact"/>
        <w:rPr>
          <w:b/>
          <w:bCs/>
          <w:color w:val="auto"/>
          <w:sz w:val="21"/>
          <w:szCs w:val="21"/>
          <w:highlight w:val="none"/>
        </w:rPr>
      </w:pPr>
      <w:r>
        <w:rPr>
          <w:rFonts w:hint="eastAsia"/>
          <w:b/>
          <w:bCs/>
          <w:color w:val="auto"/>
          <w:sz w:val="21"/>
          <w:szCs w:val="21"/>
          <w:highlight w:val="none"/>
        </w:rPr>
        <w:t>投标人对招标需求的响应情况（标 “▲”的条款除外）</w:t>
      </w:r>
    </w:p>
    <w:tbl>
      <w:tblPr>
        <w:tblStyle w:val="34"/>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14:paraId="7AD4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7F61FA58">
            <w:pPr>
              <w:jc w:val="center"/>
              <w:rPr>
                <w:color w:val="auto"/>
                <w:sz w:val="21"/>
                <w:highlight w:val="none"/>
              </w:rPr>
            </w:pPr>
            <w:r>
              <w:rPr>
                <w:rFonts w:hint="eastAsia"/>
                <w:color w:val="auto"/>
                <w:sz w:val="21"/>
                <w:highlight w:val="none"/>
              </w:rPr>
              <w:t>序号</w:t>
            </w:r>
          </w:p>
        </w:tc>
        <w:tc>
          <w:tcPr>
            <w:tcW w:w="3444" w:type="dxa"/>
            <w:tcBorders>
              <w:top w:val="single" w:color="auto" w:sz="4" w:space="0"/>
              <w:left w:val="single" w:color="auto" w:sz="4" w:space="0"/>
              <w:bottom w:val="single" w:color="auto" w:sz="4" w:space="0"/>
              <w:right w:val="single" w:color="auto" w:sz="4" w:space="0"/>
            </w:tcBorders>
            <w:vAlign w:val="center"/>
          </w:tcPr>
          <w:p w14:paraId="4AF8225A">
            <w:pPr>
              <w:jc w:val="center"/>
              <w:rPr>
                <w:color w:val="auto"/>
                <w:sz w:val="21"/>
                <w:highlight w:val="none"/>
              </w:rPr>
            </w:pPr>
            <w:r>
              <w:rPr>
                <w:rFonts w:hint="eastAsia"/>
                <w:color w:val="auto"/>
                <w:sz w:val="21"/>
                <w:highlight w:val="none"/>
              </w:rPr>
              <w:t>招标文件要求</w:t>
            </w:r>
          </w:p>
        </w:tc>
        <w:tc>
          <w:tcPr>
            <w:tcW w:w="1708" w:type="dxa"/>
            <w:tcBorders>
              <w:top w:val="single" w:color="auto" w:sz="4" w:space="0"/>
              <w:left w:val="single" w:color="auto" w:sz="4" w:space="0"/>
              <w:bottom w:val="single" w:color="auto" w:sz="4" w:space="0"/>
              <w:right w:val="single" w:color="auto" w:sz="4" w:space="0"/>
            </w:tcBorders>
            <w:vAlign w:val="center"/>
          </w:tcPr>
          <w:p w14:paraId="30C8AE04">
            <w:pPr>
              <w:jc w:val="center"/>
              <w:rPr>
                <w:color w:val="auto"/>
                <w:sz w:val="21"/>
                <w:highlight w:val="none"/>
              </w:rPr>
            </w:pPr>
            <w:r>
              <w:rPr>
                <w:rFonts w:hint="eastAsia"/>
                <w:color w:val="auto"/>
                <w:sz w:val="21"/>
                <w:highlight w:val="none"/>
              </w:rPr>
              <w:t>投标人响应情况描述</w:t>
            </w:r>
          </w:p>
        </w:tc>
        <w:tc>
          <w:tcPr>
            <w:tcW w:w="1977" w:type="dxa"/>
            <w:tcBorders>
              <w:top w:val="single" w:color="auto" w:sz="4" w:space="0"/>
              <w:left w:val="single" w:color="auto" w:sz="4" w:space="0"/>
              <w:bottom w:val="single" w:color="auto" w:sz="4" w:space="0"/>
              <w:right w:val="single" w:color="auto" w:sz="4" w:space="0"/>
            </w:tcBorders>
            <w:vAlign w:val="center"/>
          </w:tcPr>
          <w:p w14:paraId="450B482B">
            <w:pPr>
              <w:jc w:val="center"/>
              <w:rPr>
                <w:color w:val="auto"/>
                <w:sz w:val="21"/>
                <w:highlight w:val="none"/>
              </w:rPr>
            </w:pPr>
            <w:r>
              <w:rPr>
                <w:rFonts w:hint="eastAsia"/>
                <w:color w:val="auto"/>
                <w:sz w:val="21"/>
                <w:highlight w:val="none"/>
              </w:rPr>
              <w:t>偏离说明（正偏离/完全响应/负偏离）</w:t>
            </w:r>
          </w:p>
        </w:tc>
        <w:tc>
          <w:tcPr>
            <w:tcW w:w="1559" w:type="dxa"/>
            <w:tcBorders>
              <w:top w:val="single" w:color="auto" w:sz="4" w:space="0"/>
              <w:left w:val="single" w:color="auto" w:sz="4" w:space="0"/>
              <w:bottom w:val="single" w:color="auto" w:sz="4" w:space="0"/>
              <w:right w:val="single" w:color="auto" w:sz="4" w:space="0"/>
            </w:tcBorders>
            <w:vAlign w:val="center"/>
          </w:tcPr>
          <w:p w14:paraId="670F2163">
            <w:pPr>
              <w:jc w:val="center"/>
              <w:rPr>
                <w:color w:val="auto"/>
                <w:sz w:val="21"/>
                <w:highlight w:val="none"/>
              </w:rPr>
            </w:pPr>
            <w:r>
              <w:rPr>
                <w:rFonts w:hint="eastAsia"/>
                <w:color w:val="auto"/>
                <w:sz w:val="21"/>
                <w:highlight w:val="none"/>
              </w:rPr>
              <w:t>对应投标文件位置及页码</w:t>
            </w:r>
          </w:p>
        </w:tc>
      </w:tr>
      <w:tr w14:paraId="324E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79" w:type="dxa"/>
            <w:tcBorders>
              <w:top w:val="single" w:color="auto" w:sz="4" w:space="0"/>
              <w:left w:val="single" w:color="auto" w:sz="4" w:space="0"/>
              <w:bottom w:val="single" w:color="auto" w:sz="4" w:space="0"/>
              <w:right w:val="single" w:color="auto" w:sz="4" w:space="0"/>
            </w:tcBorders>
          </w:tcPr>
          <w:p w14:paraId="49622A5F">
            <w:pPr>
              <w:spacing w:line="300" w:lineRule="auto"/>
              <w:jc w:val="center"/>
              <w:rPr>
                <w:color w:val="auto"/>
                <w:sz w:val="21"/>
                <w:szCs w:val="21"/>
                <w:highlight w:val="none"/>
              </w:rPr>
            </w:pPr>
          </w:p>
          <w:p w14:paraId="4D12EFAE">
            <w:pPr>
              <w:spacing w:line="300" w:lineRule="auto"/>
              <w:jc w:val="center"/>
              <w:rPr>
                <w:color w:val="auto"/>
                <w:sz w:val="21"/>
                <w:szCs w:val="21"/>
                <w:highlight w:val="none"/>
              </w:rPr>
            </w:pPr>
          </w:p>
        </w:tc>
        <w:tc>
          <w:tcPr>
            <w:tcW w:w="3444" w:type="dxa"/>
            <w:tcBorders>
              <w:top w:val="single" w:color="auto" w:sz="4" w:space="0"/>
              <w:left w:val="single" w:color="auto" w:sz="4" w:space="0"/>
              <w:bottom w:val="single" w:color="auto" w:sz="4" w:space="0"/>
              <w:right w:val="single" w:color="auto" w:sz="4" w:space="0"/>
            </w:tcBorders>
          </w:tcPr>
          <w:p w14:paraId="444481E4">
            <w:pPr>
              <w:spacing w:line="300" w:lineRule="auto"/>
              <w:jc w:val="center"/>
              <w:rPr>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14:paraId="58BA565E">
            <w:pPr>
              <w:spacing w:line="300" w:lineRule="auto"/>
              <w:jc w:val="center"/>
              <w:rPr>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tcPr>
          <w:p w14:paraId="780259BB">
            <w:pPr>
              <w:spacing w:line="300" w:lineRule="auto"/>
              <w:jc w:val="center"/>
              <w:rPr>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4F545A50">
            <w:pPr>
              <w:spacing w:line="300" w:lineRule="auto"/>
              <w:jc w:val="center"/>
              <w:rPr>
                <w:color w:val="auto"/>
                <w:sz w:val="21"/>
                <w:szCs w:val="21"/>
                <w:highlight w:val="none"/>
              </w:rPr>
            </w:pPr>
          </w:p>
        </w:tc>
      </w:tr>
      <w:tr w14:paraId="42F9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Borders>
              <w:top w:val="single" w:color="auto" w:sz="4" w:space="0"/>
              <w:left w:val="single" w:color="auto" w:sz="4" w:space="0"/>
              <w:bottom w:val="single" w:color="auto" w:sz="4" w:space="0"/>
              <w:right w:val="single" w:color="auto" w:sz="4" w:space="0"/>
            </w:tcBorders>
          </w:tcPr>
          <w:p w14:paraId="6C389F32">
            <w:pPr>
              <w:spacing w:line="300" w:lineRule="auto"/>
              <w:jc w:val="center"/>
              <w:rPr>
                <w:color w:val="auto"/>
                <w:sz w:val="21"/>
                <w:szCs w:val="21"/>
                <w:highlight w:val="none"/>
              </w:rPr>
            </w:pPr>
          </w:p>
          <w:p w14:paraId="2899EC36">
            <w:pPr>
              <w:spacing w:line="300" w:lineRule="auto"/>
              <w:jc w:val="center"/>
              <w:rPr>
                <w:color w:val="auto"/>
                <w:sz w:val="21"/>
                <w:szCs w:val="21"/>
                <w:highlight w:val="none"/>
              </w:rPr>
            </w:pPr>
          </w:p>
        </w:tc>
        <w:tc>
          <w:tcPr>
            <w:tcW w:w="3444" w:type="dxa"/>
            <w:tcBorders>
              <w:top w:val="single" w:color="auto" w:sz="4" w:space="0"/>
              <w:left w:val="single" w:color="auto" w:sz="4" w:space="0"/>
              <w:bottom w:val="single" w:color="auto" w:sz="4" w:space="0"/>
              <w:right w:val="single" w:color="auto" w:sz="4" w:space="0"/>
            </w:tcBorders>
          </w:tcPr>
          <w:p w14:paraId="7B568A29">
            <w:pPr>
              <w:spacing w:line="300" w:lineRule="auto"/>
              <w:jc w:val="center"/>
              <w:rPr>
                <w:color w:val="auto"/>
                <w:sz w:val="21"/>
                <w:szCs w:val="21"/>
                <w:highlight w:val="none"/>
              </w:rPr>
            </w:pPr>
          </w:p>
          <w:p w14:paraId="0F9E4A0D">
            <w:pPr>
              <w:spacing w:line="300" w:lineRule="auto"/>
              <w:jc w:val="center"/>
              <w:rPr>
                <w:color w:val="auto"/>
                <w:sz w:val="21"/>
                <w:szCs w:val="21"/>
                <w:highlight w:val="none"/>
              </w:rPr>
            </w:pPr>
          </w:p>
        </w:tc>
        <w:tc>
          <w:tcPr>
            <w:tcW w:w="1708" w:type="dxa"/>
            <w:tcBorders>
              <w:top w:val="single" w:color="auto" w:sz="4" w:space="0"/>
              <w:left w:val="single" w:color="auto" w:sz="4" w:space="0"/>
              <w:bottom w:val="single" w:color="auto" w:sz="4" w:space="0"/>
              <w:right w:val="single" w:color="auto" w:sz="4" w:space="0"/>
            </w:tcBorders>
          </w:tcPr>
          <w:p w14:paraId="75E52B82">
            <w:pPr>
              <w:spacing w:line="300" w:lineRule="auto"/>
              <w:jc w:val="center"/>
              <w:rPr>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tcPr>
          <w:p w14:paraId="78EB3159">
            <w:pPr>
              <w:spacing w:line="300" w:lineRule="auto"/>
              <w:jc w:val="center"/>
              <w:rPr>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528F18A1">
            <w:pPr>
              <w:spacing w:line="300" w:lineRule="auto"/>
              <w:jc w:val="center"/>
              <w:rPr>
                <w:color w:val="auto"/>
                <w:sz w:val="21"/>
                <w:szCs w:val="21"/>
                <w:highlight w:val="none"/>
              </w:rPr>
            </w:pPr>
          </w:p>
        </w:tc>
      </w:tr>
      <w:tr w14:paraId="6EB0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79" w:type="dxa"/>
            <w:tcBorders>
              <w:top w:val="single" w:color="auto" w:sz="4" w:space="0"/>
              <w:left w:val="single" w:color="auto" w:sz="4" w:space="0"/>
              <w:bottom w:val="single" w:color="auto" w:sz="4" w:space="0"/>
              <w:right w:val="single" w:color="auto" w:sz="4" w:space="0"/>
            </w:tcBorders>
          </w:tcPr>
          <w:p w14:paraId="54155C5C">
            <w:pPr>
              <w:spacing w:line="300" w:lineRule="auto"/>
              <w:jc w:val="center"/>
              <w:rPr>
                <w:color w:val="auto"/>
                <w:sz w:val="21"/>
                <w:szCs w:val="21"/>
                <w:highlight w:val="none"/>
              </w:rPr>
            </w:pPr>
          </w:p>
        </w:tc>
        <w:tc>
          <w:tcPr>
            <w:tcW w:w="3444" w:type="dxa"/>
            <w:tcBorders>
              <w:top w:val="single" w:color="auto" w:sz="4" w:space="0"/>
              <w:left w:val="single" w:color="auto" w:sz="4" w:space="0"/>
              <w:bottom w:val="single" w:color="auto" w:sz="4" w:space="0"/>
              <w:right w:val="single" w:color="auto" w:sz="4" w:space="0"/>
            </w:tcBorders>
          </w:tcPr>
          <w:p w14:paraId="724CBE4C">
            <w:pPr>
              <w:spacing w:line="300" w:lineRule="auto"/>
              <w:jc w:val="center"/>
              <w:rPr>
                <w:color w:val="auto"/>
                <w:sz w:val="21"/>
                <w:szCs w:val="21"/>
                <w:highlight w:val="none"/>
              </w:rPr>
            </w:pPr>
            <w:r>
              <w:rPr>
                <w:rFonts w:hint="eastAsia"/>
                <w:color w:val="auto"/>
                <w:sz w:val="21"/>
                <w:szCs w:val="21"/>
                <w:highlight w:val="none"/>
              </w:rPr>
              <w:t>……</w:t>
            </w:r>
          </w:p>
        </w:tc>
        <w:tc>
          <w:tcPr>
            <w:tcW w:w="1708" w:type="dxa"/>
            <w:tcBorders>
              <w:top w:val="single" w:color="auto" w:sz="4" w:space="0"/>
              <w:left w:val="single" w:color="auto" w:sz="4" w:space="0"/>
              <w:bottom w:val="single" w:color="auto" w:sz="4" w:space="0"/>
              <w:right w:val="single" w:color="auto" w:sz="4" w:space="0"/>
            </w:tcBorders>
          </w:tcPr>
          <w:p w14:paraId="144C2567">
            <w:pPr>
              <w:spacing w:line="300" w:lineRule="auto"/>
              <w:jc w:val="center"/>
              <w:rPr>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tcPr>
          <w:p w14:paraId="3CC554DF">
            <w:pPr>
              <w:spacing w:line="300" w:lineRule="auto"/>
              <w:jc w:val="center"/>
              <w:rPr>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6C4A8454">
            <w:pPr>
              <w:spacing w:line="300" w:lineRule="auto"/>
              <w:jc w:val="center"/>
              <w:rPr>
                <w:color w:val="auto"/>
                <w:sz w:val="21"/>
                <w:szCs w:val="21"/>
                <w:highlight w:val="none"/>
              </w:rPr>
            </w:pPr>
          </w:p>
        </w:tc>
      </w:tr>
    </w:tbl>
    <w:p w14:paraId="4BFBECC9">
      <w:pPr>
        <w:spacing w:line="300" w:lineRule="auto"/>
        <w:ind w:left="360"/>
        <w:rPr>
          <w:color w:val="auto"/>
          <w:sz w:val="21"/>
          <w:szCs w:val="21"/>
          <w:highlight w:val="none"/>
        </w:rPr>
      </w:pPr>
      <w:r>
        <w:rPr>
          <w:rFonts w:hint="eastAsia"/>
          <w:color w:val="auto"/>
          <w:sz w:val="21"/>
          <w:szCs w:val="21"/>
          <w:highlight w:val="none"/>
        </w:rPr>
        <w:t>说明：</w:t>
      </w:r>
    </w:p>
    <w:p w14:paraId="56F9DCB4">
      <w:pPr>
        <w:spacing w:line="300" w:lineRule="auto"/>
        <w:ind w:left="360"/>
        <w:rPr>
          <w:bCs/>
          <w:color w:val="auto"/>
          <w:sz w:val="21"/>
          <w:szCs w:val="21"/>
          <w:highlight w:val="none"/>
        </w:rPr>
      </w:pPr>
      <w:r>
        <w:rPr>
          <w:rFonts w:hint="eastAsia"/>
          <w:bCs/>
          <w:color w:val="auto"/>
          <w:sz w:val="21"/>
          <w:szCs w:val="21"/>
          <w:highlight w:val="none"/>
        </w:rPr>
        <w:t>1.把招标需求相关要求的响应情况逐条列入此表。</w:t>
      </w:r>
    </w:p>
    <w:p w14:paraId="058CDA1F">
      <w:pPr>
        <w:spacing w:line="300" w:lineRule="auto"/>
        <w:ind w:left="360"/>
        <w:rPr>
          <w:bCs/>
          <w:color w:val="auto"/>
          <w:sz w:val="21"/>
          <w:szCs w:val="21"/>
          <w:highlight w:val="none"/>
        </w:rPr>
      </w:pPr>
      <w:r>
        <w:rPr>
          <w:rFonts w:hint="eastAsia"/>
          <w:bCs/>
          <w:color w:val="auto"/>
          <w:sz w:val="21"/>
          <w:szCs w:val="21"/>
          <w:highlight w:val="none"/>
        </w:rPr>
        <w:t>2.按招标需求的顺序填写。</w:t>
      </w:r>
    </w:p>
    <w:p w14:paraId="585283D5">
      <w:pPr>
        <w:spacing w:line="300" w:lineRule="auto"/>
        <w:ind w:left="360"/>
        <w:rPr>
          <w:bCs/>
          <w:color w:val="auto"/>
          <w:sz w:val="21"/>
          <w:szCs w:val="21"/>
          <w:highlight w:val="none"/>
        </w:rPr>
      </w:pPr>
      <w:r>
        <w:rPr>
          <w:rFonts w:hint="eastAsia"/>
          <w:bCs/>
          <w:color w:val="auto"/>
          <w:sz w:val="21"/>
          <w:szCs w:val="21"/>
          <w:highlight w:val="none"/>
        </w:rPr>
        <w:t>3.此表可延长</w:t>
      </w:r>
    </w:p>
    <w:p w14:paraId="06323F47">
      <w:pPr>
        <w:spacing w:line="360" w:lineRule="auto"/>
        <w:ind w:firstLine="239" w:firstLineChars="114"/>
        <w:rPr>
          <w:color w:val="auto"/>
          <w:sz w:val="21"/>
          <w:szCs w:val="21"/>
          <w:highlight w:val="none"/>
        </w:rPr>
      </w:pPr>
      <w:r>
        <w:rPr>
          <w:rFonts w:hint="eastAsia"/>
          <w:color w:val="auto"/>
          <w:sz w:val="21"/>
          <w:szCs w:val="21"/>
          <w:highlight w:val="none"/>
        </w:rPr>
        <w:t>投标人名称（并加盖公章）：</w:t>
      </w:r>
    </w:p>
    <w:p w14:paraId="570BC228">
      <w:pPr>
        <w:tabs>
          <w:tab w:val="left" w:pos="3119"/>
        </w:tabs>
        <w:spacing w:line="360" w:lineRule="auto"/>
        <w:ind w:left="194" w:leftChars="88" w:firstLine="25" w:firstLineChars="12"/>
        <w:rPr>
          <w:color w:val="auto"/>
          <w:sz w:val="21"/>
          <w:szCs w:val="21"/>
          <w:highlight w:val="none"/>
          <w:u w:val="single"/>
        </w:rPr>
      </w:pPr>
      <w:r>
        <w:rPr>
          <w:rFonts w:hint="eastAsia"/>
          <w:color w:val="auto"/>
          <w:sz w:val="21"/>
          <w:szCs w:val="21"/>
          <w:highlight w:val="none"/>
        </w:rPr>
        <w:t xml:space="preserve">投标人法定代表人或其委托人签字或印鉴： </w:t>
      </w:r>
      <w:r>
        <w:rPr>
          <w:rFonts w:hint="eastAsia"/>
          <w:color w:val="auto"/>
          <w:sz w:val="21"/>
          <w:szCs w:val="21"/>
          <w:highlight w:val="none"/>
          <w:u w:val="single"/>
        </w:rPr>
        <w:t xml:space="preserve">          </w:t>
      </w:r>
    </w:p>
    <w:p w14:paraId="523F3C17">
      <w:pPr>
        <w:tabs>
          <w:tab w:val="left" w:pos="3119"/>
        </w:tabs>
        <w:spacing w:line="360" w:lineRule="auto"/>
        <w:ind w:left="194" w:leftChars="88" w:firstLine="25" w:firstLineChars="12"/>
        <w:rPr>
          <w:color w:val="auto"/>
          <w:sz w:val="21"/>
          <w:szCs w:val="21"/>
          <w:highlight w:val="none"/>
        </w:rPr>
      </w:pPr>
      <w:r>
        <w:rPr>
          <w:rFonts w:hint="eastAsia"/>
          <w:color w:val="auto"/>
          <w:sz w:val="21"/>
          <w:szCs w:val="21"/>
          <w:highlight w:val="none"/>
        </w:rPr>
        <w:t>日期：</w:t>
      </w:r>
    </w:p>
    <w:p w14:paraId="0449B471">
      <w:pPr>
        <w:pStyle w:val="3"/>
        <w:keepNext w:val="0"/>
        <w:keepLines w:val="0"/>
        <w:widowControl/>
        <w:numPr>
          <w:ilvl w:val="1"/>
          <w:numId w:val="25"/>
        </w:numPr>
        <w:spacing w:before="188" w:after="188" w:line="400" w:lineRule="exact"/>
        <w:jc w:val="center"/>
        <w:rPr>
          <w:rFonts w:ascii="宋体" w:hAnsi="宋体" w:eastAsia="宋体" w:cs="宋体"/>
          <w:color w:val="auto"/>
          <w:sz w:val="21"/>
          <w:szCs w:val="21"/>
          <w:highlight w:val="none"/>
        </w:rPr>
      </w:pPr>
      <w:r>
        <w:rPr>
          <w:rFonts w:hint="eastAsia"/>
          <w:b w:val="0"/>
          <w:color w:val="auto"/>
          <w:sz w:val="21"/>
          <w:szCs w:val="21"/>
          <w:highlight w:val="none"/>
        </w:rPr>
        <w:br w:type="page"/>
      </w:r>
      <w:bookmarkStart w:id="248" w:name="_Toc368513832"/>
      <w:r>
        <w:rPr>
          <w:rFonts w:hint="eastAsia" w:ascii="宋体" w:hAnsi="宋体" w:eastAsia="宋体" w:cs="宋体"/>
          <w:color w:val="auto"/>
          <w:sz w:val="21"/>
          <w:szCs w:val="21"/>
          <w:highlight w:val="none"/>
        </w:rPr>
        <w:t xml:space="preserve">  </w:t>
      </w:r>
      <w:bookmarkStart w:id="249" w:name="_Toc86349492"/>
      <w:bookmarkStart w:id="250" w:name="_Toc29825826"/>
      <w:r>
        <w:rPr>
          <w:rFonts w:hint="eastAsia" w:ascii="宋体" w:hAnsi="宋体" w:eastAsia="宋体" w:cs="宋体"/>
          <w:color w:val="auto"/>
          <w:sz w:val="21"/>
          <w:szCs w:val="21"/>
          <w:highlight w:val="none"/>
        </w:rPr>
        <w:t>投标人基本情况表</w:t>
      </w:r>
      <w:bookmarkEnd w:id="248"/>
      <w:bookmarkEnd w:id="249"/>
      <w:bookmarkEnd w:id="250"/>
    </w:p>
    <w:tbl>
      <w:tblPr>
        <w:tblStyle w:val="34"/>
        <w:tblW w:w="10198" w:type="dxa"/>
        <w:tblInd w:w="2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6"/>
        <w:gridCol w:w="1869"/>
        <w:gridCol w:w="1168"/>
        <w:gridCol w:w="1053"/>
        <w:gridCol w:w="1986"/>
        <w:gridCol w:w="2486"/>
      </w:tblGrid>
      <w:tr w14:paraId="662D0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6" w:type="dxa"/>
            <w:tcBorders>
              <w:top w:val="single" w:color="auto" w:sz="12" w:space="0"/>
              <w:left w:val="single" w:color="auto" w:sz="12" w:space="0"/>
              <w:bottom w:val="single" w:color="auto" w:sz="6" w:space="0"/>
              <w:right w:val="single" w:color="auto" w:sz="6" w:space="0"/>
            </w:tcBorders>
            <w:vAlign w:val="center"/>
          </w:tcPr>
          <w:p w14:paraId="686BDDF9">
            <w:pPr>
              <w:jc w:val="center"/>
              <w:rPr>
                <w:color w:val="auto"/>
                <w:szCs w:val="21"/>
                <w:highlight w:val="none"/>
              </w:rPr>
            </w:pPr>
            <w:r>
              <w:rPr>
                <w:rFonts w:hint="eastAsia"/>
                <w:color w:val="auto"/>
                <w:szCs w:val="21"/>
                <w:highlight w:val="none"/>
              </w:rPr>
              <w:t>单位名称</w:t>
            </w:r>
          </w:p>
        </w:tc>
        <w:tc>
          <w:tcPr>
            <w:tcW w:w="4090" w:type="dxa"/>
            <w:gridSpan w:val="3"/>
            <w:tcBorders>
              <w:top w:val="single" w:color="auto" w:sz="12" w:space="0"/>
              <w:left w:val="single" w:color="auto" w:sz="6" w:space="0"/>
              <w:bottom w:val="single" w:color="auto" w:sz="6" w:space="0"/>
              <w:right w:val="single" w:color="auto" w:sz="6" w:space="0"/>
            </w:tcBorders>
            <w:vAlign w:val="center"/>
          </w:tcPr>
          <w:p w14:paraId="5E6A414A">
            <w:pPr>
              <w:jc w:val="center"/>
              <w:rPr>
                <w:color w:val="auto"/>
                <w:szCs w:val="21"/>
                <w:highlight w:val="none"/>
              </w:rPr>
            </w:pPr>
          </w:p>
        </w:tc>
        <w:tc>
          <w:tcPr>
            <w:tcW w:w="1986" w:type="dxa"/>
            <w:tcBorders>
              <w:top w:val="single" w:color="auto" w:sz="12" w:space="0"/>
              <w:left w:val="single" w:color="auto" w:sz="6" w:space="0"/>
              <w:bottom w:val="single" w:color="auto" w:sz="6" w:space="0"/>
              <w:right w:val="single" w:color="auto" w:sz="6" w:space="0"/>
            </w:tcBorders>
            <w:vAlign w:val="center"/>
          </w:tcPr>
          <w:p w14:paraId="23E9E6A7">
            <w:pPr>
              <w:jc w:val="center"/>
              <w:rPr>
                <w:color w:val="auto"/>
                <w:szCs w:val="21"/>
                <w:highlight w:val="none"/>
              </w:rPr>
            </w:pPr>
            <w:r>
              <w:rPr>
                <w:rFonts w:hint="eastAsia"/>
                <w:color w:val="auto"/>
                <w:szCs w:val="21"/>
                <w:highlight w:val="none"/>
              </w:rPr>
              <w:t>组织机构代码</w:t>
            </w:r>
          </w:p>
        </w:tc>
        <w:tc>
          <w:tcPr>
            <w:tcW w:w="2486" w:type="dxa"/>
            <w:tcBorders>
              <w:top w:val="single" w:color="auto" w:sz="12" w:space="0"/>
              <w:left w:val="single" w:color="auto" w:sz="6" w:space="0"/>
              <w:bottom w:val="single" w:color="auto" w:sz="6" w:space="0"/>
              <w:right w:val="single" w:color="auto" w:sz="12" w:space="0"/>
            </w:tcBorders>
            <w:vAlign w:val="center"/>
          </w:tcPr>
          <w:p w14:paraId="540FFFFD">
            <w:pPr>
              <w:jc w:val="center"/>
              <w:rPr>
                <w:color w:val="auto"/>
                <w:szCs w:val="21"/>
                <w:highlight w:val="none"/>
              </w:rPr>
            </w:pPr>
          </w:p>
        </w:tc>
      </w:tr>
      <w:tr w14:paraId="0B418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36" w:type="dxa"/>
            <w:tcBorders>
              <w:top w:val="single" w:color="auto" w:sz="6" w:space="0"/>
              <w:left w:val="single" w:color="auto" w:sz="12" w:space="0"/>
              <w:bottom w:val="single" w:color="auto" w:sz="6" w:space="0"/>
              <w:right w:val="single" w:color="auto" w:sz="6" w:space="0"/>
            </w:tcBorders>
            <w:vAlign w:val="center"/>
          </w:tcPr>
          <w:p w14:paraId="4D6CD4D7">
            <w:pPr>
              <w:jc w:val="center"/>
              <w:rPr>
                <w:color w:val="auto"/>
                <w:szCs w:val="21"/>
                <w:highlight w:val="none"/>
              </w:rPr>
            </w:pPr>
            <w:r>
              <w:rPr>
                <w:rFonts w:hint="eastAsia"/>
                <w:color w:val="auto"/>
                <w:szCs w:val="21"/>
                <w:highlight w:val="none"/>
              </w:rPr>
              <w:t>注册地址</w:t>
            </w:r>
          </w:p>
        </w:tc>
        <w:tc>
          <w:tcPr>
            <w:tcW w:w="4090" w:type="dxa"/>
            <w:gridSpan w:val="3"/>
            <w:tcBorders>
              <w:top w:val="single" w:color="auto" w:sz="6" w:space="0"/>
              <w:left w:val="single" w:color="auto" w:sz="6" w:space="0"/>
              <w:bottom w:val="single" w:color="auto" w:sz="6" w:space="0"/>
              <w:right w:val="single" w:color="auto" w:sz="6" w:space="0"/>
            </w:tcBorders>
            <w:vAlign w:val="center"/>
          </w:tcPr>
          <w:p w14:paraId="06947275">
            <w:pPr>
              <w:jc w:val="center"/>
              <w:rPr>
                <w:color w:val="auto"/>
                <w:szCs w:val="21"/>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14:paraId="64C29791">
            <w:pPr>
              <w:jc w:val="center"/>
              <w:rPr>
                <w:color w:val="auto"/>
                <w:szCs w:val="21"/>
                <w:highlight w:val="none"/>
              </w:rPr>
            </w:pPr>
            <w:r>
              <w:rPr>
                <w:rFonts w:hint="eastAsia"/>
                <w:color w:val="auto"/>
                <w:szCs w:val="21"/>
                <w:highlight w:val="none"/>
              </w:rPr>
              <w:t>注册登记号</w:t>
            </w:r>
          </w:p>
        </w:tc>
        <w:tc>
          <w:tcPr>
            <w:tcW w:w="2486" w:type="dxa"/>
            <w:tcBorders>
              <w:top w:val="single" w:color="auto" w:sz="6" w:space="0"/>
              <w:left w:val="single" w:color="auto" w:sz="6" w:space="0"/>
              <w:bottom w:val="single" w:color="auto" w:sz="6" w:space="0"/>
              <w:right w:val="single" w:color="auto" w:sz="12" w:space="0"/>
            </w:tcBorders>
            <w:vAlign w:val="center"/>
          </w:tcPr>
          <w:p w14:paraId="703ECEC6">
            <w:pPr>
              <w:jc w:val="center"/>
              <w:rPr>
                <w:color w:val="auto"/>
                <w:szCs w:val="21"/>
                <w:highlight w:val="none"/>
              </w:rPr>
            </w:pPr>
          </w:p>
        </w:tc>
      </w:tr>
      <w:tr w14:paraId="6FD2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36" w:type="dxa"/>
            <w:tcBorders>
              <w:top w:val="single" w:color="auto" w:sz="6" w:space="0"/>
              <w:left w:val="single" w:color="auto" w:sz="12" w:space="0"/>
              <w:bottom w:val="single" w:color="auto" w:sz="6" w:space="0"/>
              <w:right w:val="single" w:color="auto" w:sz="6" w:space="0"/>
            </w:tcBorders>
            <w:vAlign w:val="center"/>
          </w:tcPr>
          <w:p w14:paraId="2ECEFCB8">
            <w:pPr>
              <w:jc w:val="center"/>
              <w:rPr>
                <w:color w:val="auto"/>
                <w:szCs w:val="21"/>
                <w:highlight w:val="none"/>
              </w:rPr>
            </w:pPr>
            <w:r>
              <w:rPr>
                <w:rFonts w:hint="eastAsia"/>
                <w:color w:val="auto"/>
                <w:szCs w:val="21"/>
                <w:highlight w:val="none"/>
              </w:rPr>
              <w:t>经营地址</w:t>
            </w:r>
          </w:p>
        </w:tc>
        <w:tc>
          <w:tcPr>
            <w:tcW w:w="4090" w:type="dxa"/>
            <w:gridSpan w:val="3"/>
            <w:tcBorders>
              <w:top w:val="single" w:color="auto" w:sz="6" w:space="0"/>
              <w:left w:val="single" w:color="auto" w:sz="6" w:space="0"/>
              <w:bottom w:val="single" w:color="auto" w:sz="6" w:space="0"/>
              <w:right w:val="single" w:color="auto" w:sz="6" w:space="0"/>
            </w:tcBorders>
            <w:vAlign w:val="center"/>
          </w:tcPr>
          <w:p w14:paraId="43669916">
            <w:pPr>
              <w:jc w:val="center"/>
              <w:rPr>
                <w:color w:val="auto"/>
                <w:szCs w:val="21"/>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14:paraId="648CC237">
            <w:pPr>
              <w:jc w:val="center"/>
              <w:rPr>
                <w:color w:val="auto"/>
                <w:spacing w:val="30"/>
                <w:szCs w:val="21"/>
                <w:highlight w:val="none"/>
              </w:rPr>
            </w:pPr>
            <w:r>
              <w:rPr>
                <w:rFonts w:hint="eastAsia"/>
                <w:color w:val="auto"/>
                <w:szCs w:val="21"/>
                <w:highlight w:val="none"/>
              </w:rPr>
              <w:t>税务登记证号</w:t>
            </w:r>
          </w:p>
        </w:tc>
        <w:tc>
          <w:tcPr>
            <w:tcW w:w="2486" w:type="dxa"/>
            <w:tcBorders>
              <w:top w:val="single" w:color="auto" w:sz="6" w:space="0"/>
              <w:left w:val="single" w:color="auto" w:sz="6" w:space="0"/>
              <w:bottom w:val="single" w:color="auto" w:sz="6" w:space="0"/>
              <w:right w:val="single" w:color="auto" w:sz="12" w:space="0"/>
            </w:tcBorders>
            <w:vAlign w:val="center"/>
          </w:tcPr>
          <w:p w14:paraId="11922507">
            <w:pPr>
              <w:jc w:val="center"/>
              <w:rPr>
                <w:color w:val="auto"/>
                <w:szCs w:val="21"/>
                <w:highlight w:val="none"/>
              </w:rPr>
            </w:pPr>
          </w:p>
        </w:tc>
      </w:tr>
      <w:tr w14:paraId="57B5D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36" w:type="dxa"/>
            <w:tcBorders>
              <w:top w:val="single" w:color="auto" w:sz="6" w:space="0"/>
              <w:left w:val="single" w:color="auto" w:sz="12" w:space="0"/>
              <w:bottom w:val="single" w:color="auto" w:sz="6" w:space="0"/>
              <w:right w:val="single" w:color="auto" w:sz="6" w:space="0"/>
            </w:tcBorders>
            <w:vAlign w:val="center"/>
          </w:tcPr>
          <w:p w14:paraId="39E7472B">
            <w:pPr>
              <w:jc w:val="center"/>
              <w:rPr>
                <w:color w:val="auto"/>
                <w:szCs w:val="21"/>
                <w:highlight w:val="none"/>
              </w:rPr>
            </w:pPr>
            <w:r>
              <w:rPr>
                <w:rFonts w:hint="eastAsia"/>
                <w:color w:val="auto"/>
                <w:szCs w:val="21"/>
                <w:highlight w:val="none"/>
              </w:rPr>
              <w:t>单位性质</w:t>
            </w:r>
          </w:p>
        </w:tc>
        <w:tc>
          <w:tcPr>
            <w:tcW w:w="4090" w:type="dxa"/>
            <w:gridSpan w:val="3"/>
            <w:tcBorders>
              <w:top w:val="single" w:color="auto" w:sz="6" w:space="0"/>
              <w:left w:val="single" w:color="auto" w:sz="6" w:space="0"/>
              <w:bottom w:val="single" w:color="auto" w:sz="6" w:space="0"/>
              <w:right w:val="single" w:color="auto" w:sz="6" w:space="0"/>
            </w:tcBorders>
            <w:vAlign w:val="center"/>
          </w:tcPr>
          <w:p w14:paraId="5A2EEE42">
            <w:pPr>
              <w:pStyle w:val="69"/>
              <w:widowControl w:val="0"/>
              <w:ind w:left="2160" w:hanging="480"/>
              <w:rPr>
                <w:color w:val="auto"/>
                <w:kern w:val="2"/>
                <w:sz w:val="21"/>
                <w:szCs w:val="21"/>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14:paraId="37DA7576">
            <w:pPr>
              <w:jc w:val="center"/>
              <w:rPr>
                <w:color w:val="auto"/>
                <w:spacing w:val="34"/>
                <w:szCs w:val="21"/>
                <w:highlight w:val="none"/>
              </w:rPr>
            </w:pPr>
            <w:r>
              <w:rPr>
                <w:rFonts w:hint="eastAsia"/>
                <w:color w:val="auto"/>
                <w:spacing w:val="34"/>
                <w:szCs w:val="21"/>
                <w:highlight w:val="none"/>
              </w:rPr>
              <w:t>注册资本</w:t>
            </w:r>
          </w:p>
        </w:tc>
        <w:tc>
          <w:tcPr>
            <w:tcW w:w="2486" w:type="dxa"/>
            <w:tcBorders>
              <w:top w:val="single" w:color="auto" w:sz="6" w:space="0"/>
              <w:left w:val="single" w:color="auto" w:sz="6" w:space="0"/>
              <w:bottom w:val="single" w:color="auto" w:sz="6" w:space="0"/>
              <w:right w:val="single" w:color="auto" w:sz="12" w:space="0"/>
            </w:tcBorders>
            <w:vAlign w:val="center"/>
          </w:tcPr>
          <w:p w14:paraId="43BE4A9D">
            <w:pPr>
              <w:jc w:val="center"/>
              <w:rPr>
                <w:color w:val="auto"/>
                <w:szCs w:val="21"/>
                <w:highlight w:val="none"/>
              </w:rPr>
            </w:pPr>
          </w:p>
        </w:tc>
      </w:tr>
      <w:tr w14:paraId="743B5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36" w:type="dxa"/>
            <w:tcBorders>
              <w:top w:val="single" w:color="auto" w:sz="6" w:space="0"/>
              <w:left w:val="single" w:color="auto" w:sz="12" w:space="0"/>
              <w:bottom w:val="single" w:color="auto" w:sz="6" w:space="0"/>
              <w:right w:val="single" w:color="auto" w:sz="6" w:space="0"/>
            </w:tcBorders>
            <w:vAlign w:val="center"/>
          </w:tcPr>
          <w:p w14:paraId="0D44C9B7">
            <w:pPr>
              <w:jc w:val="center"/>
              <w:rPr>
                <w:color w:val="auto"/>
                <w:szCs w:val="21"/>
                <w:highlight w:val="none"/>
              </w:rPr>
            </w:pPr>
            <w:r>
              <w:rPr>
                <w:rFonts w:hint="eastAsia"/>
                <w:color w:val="auto"/>
                <w:szCs w:val="21"/>
                <w:highlight w:val="none"/>
              </w:rPr>
              <w:t>经营范围</w:t>
            </w:r>
          </w:p>
        </w:tc>
        <w:tc>
          <w:tcPr>
            <w:tcW w:w="4090" w:type="dxa"/>
            <w:gridSpan w:val="3"/>
            <w:tcBorders>
              <w:top w:val="single" w:color="auto" w:sz="6" w:space="0"/>
              <w:left w:val="single" w:color="auto" w:sz="6" w:space="0"/>
              <w:bottom w:val="single" w:color="auto" w:sz="6" w:space="0"/>
              <w:right w:val="single" w:color="auto" w:sz="6" w:space="0"/>
            </w:tcBorders>
            <w:vAlign w:val="center"/>
          </w:tcPr>
          <w:p w14:paraId="081F5EFB">
            <w:pPr>
              <w:jc w:val="center"/>
              <w:rPr>
                <w:color w:val="auto"/>
                <w:szCs w:val="21"/>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14:paraId="6509568B">
            <w:pPr>
              <w:jc w:val="center"/>
              <w:rPr>
                <w:color w:val="auto"/>
                <w:szCs w:val="21"/>
                <w:highlight w:val="none"/>
              </w:rPr>
            </w:pPr>
            <w:r>
              <w:rPr>
                <w:rFonts w:hint="eastAsia"/>
                <w:color w:val="auto"/>
                <w:szCs w:val="21"/>
                <w:highlight w:val="none"/>
              </w:rPr>
              <w:t>营业期限</w:t>
            </w:r>
          </w:p>
        </w:tc>
        <w:tc>
          <w:tcPr>
            <w:tcW w:w="2486" w:type="dxa"/>
            <w:tcBorders>
              <w:top w:val="single" w:color="auto" w:sz="6" w:space="0"/>
              <w:left w:val="single" w:color="auto" w:sz="6" w:space="0"/>
              <w:bottom w:val="single" w:color="auto" w:sz="6" w:space="0"/>
              <w:right w:val="single" w:color="auto" w:sz="12" w:space="0"/>
            </w:tcBorders>
            <w:vAlign w:val="center"/>
          </w:tcPr>
          <w:p w14:paraId="780B4E98">
            <w:pPr>
              <w:jc w:val="center"/>
              <w:rPr>
                <w:color w:val="auto"/>
                <w:szCs w:val="21"/>
                <w:highlight w:val="none"/>
              </w:rPr>
            </w:pPr>
            <w:r>
              <w:rPr>
                <w:rFonts w:hint="eastAsia"/>
                <w:color w:val="auto"/>
                <w:szCs w:val="21"/>
                <w:highlight w:val="none"/>
              </w:rPr>
              <w:t>年 月-  年 月</w:t>
            </w:r>
          </w:p>
        </w:tc>
      </w:tr>
      <w:tr w14:paraId="19BD2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36" w:type="dxa"/>
            <w:tcBorders>
              <w:top w:val="single" w:color="auto" w:sz="6" w:space="0"/>
              <w:left w:val="single" w:color="auto" w:sz="12" w:space="0"/>
              <w:bottom w:val="single" w:color="auto" w:sz="6" w:space="0"/>
              <w:right w:val="single" w:color="auto" w:sz="6" w:space="0"/>
            </w:tcBorders>
            <w:vAlign w:val="center"/>
          </w:tcPr>
          <w:p w14:paraId="53405694">
            <w:pPr>
              <w:jc w:val="center"/>
              <w:rPr>
                <w:color w:val="auto"/>
                <w:szCs w:val="21"/>
                <w:highlight w:val="none"/>
              </w:rPr>
            </w:pPr>
            <w:r>
              <w:rPr>
                <w:rFonts w:hint="eastAsia"/>
                <w:color w:val="auto"/>
                <w:szCs w:val="21"/>
                <w:highlight w:val="none"/>
              </w:rPr>
              <w:t>资质情况</w:t>
            </w:r>
          </w:p>
        </w:tc>
        <w:tc>
          <w:tcPr>
            <w:tcW w:w="8562" w:type="dxa"/>
            <w:gridSpan w:val="5"/>
            <w:tcBorders>
              <w:top w:val="single" w:color="auto" w:sz="6" w:space="0"/>
              <w:left w:val="single" w:color="auto" w:sz="6" w:space="0"/>
              <w:bottom w:val="single" w:color="auto" w:sz="6" w:space="0"/>
              <w:right w:val="single" w:color="auto" w:sz="12" w:space="0"/>
            </w:tcBorders>
            <w:vAlign w:val="center"/>
          </w:tcPr>
          <w:p w14:paraId="18915220">
            <w:pPr>
              <w:jc w:val="center"/>
              <w:rPr>
                <w:color w:val="auto"/>
                <w:szCs w:val="21"/>
                <w:highlight w:val="none"/>
              </w:rPr>
            </w:pPr>
          </w:p>
        </w:tc>
      </w:tr>
      <w:tr w14:paraId="08A4F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36" w:type="dxa"/>
            <w:tcBorders>
              <w:top w:val="single" w:color="auto" w:sz="6" w:space="0"/>
              <w:left w:val="single" w:color="auto" w:sz="12" w:space="0"/>
              <w:bottom w:val="single" w:color="auto" w:sz="6" w:space="0"/>
              <w:right w:val="single" w:color="auto" w:sz="6" w:space="0"/>
            </w:tcBorders>
            <w:vAlign w:val="center"/>
          </w:tcPr>
          <w:p w14:paraId="46EE322D">
            <w:pPr>
              <w:jc w:val="center"/>
              <w:rPr>
                <w:color w:val="auto"/>
                <w:szCs w:val="21"/>
                <w:highlight w:val="none"/>
              </w:rPr>
            </w:pPr>
            <w:r>
              <w:rPr>
                <w:rFonts w:hint="eastAsia"/>
                <w:color w:val="auto"/>
                <w:szCs w:val="21"/>
                <w:highlight w:val="none"/>
              </w:rPr>
              <w:t>员工数量</w:t>
            </w:r>
          </w:p>
        </w:tc>
        <w:tc>
          <w:tcPr>
            <w:tcW w:w="8562" w:type="dxa"/>
            <w:gridSpan w:val="5"/>
            <w:tcBorders>
              <w:top w:val="single" w:color="auto" w:sz="6" w:space="0"/>
              <w:left w:val="single" w:color="auto" w:sz="6" w:space="0"/>
              <w:bottom w:val="single" w:color="auto" w:sz="6" w:space="0"/>
              <w:right w:val="single" w:color="auto" w:sz="12" w:space="0"/>
            </w:tcBorders>
            <w:vAlign w:val="center"/>
          </w:tcPr>
          <w:p w14:paraId="11E89401">
            <w:pPr>
              <w:rPr>
                <w:color w:val="auto"/>
                <w:szCs w:val="21"/>
                <w:highlight w:val="none"/>
              </w:rPr>
            </w:pPr>
            <w:r>
              <w:rPr>
                <w:rFonts w:hint="eastAsia"/>
                <w:color w:val="auto"/>
                <w:szCs w:val="21"/>
                <w:highlight w:val="none"/>
              </w:rPr>
              <w:t>共</w:t>
            </w:r>
            <w:r>
              <w:rPr>
                <w:rFonts w:hint="eastAsia"/>
                <w:color w:val="auto"/>
                <w:szCs w:val="21"/>
                <w:highlight w:val="none"/>
                <w:u w:val="single"/>
              </w:rPr>
              <w:t xml:space="preserve">  </w:t>
            </w:r>
            <w:r>
              <w:rPr>
                <w:rFonts w:hint="eastAsia"/>
                <w:color w:val="auto"/>
                <w:szCs w:val="21"/>
                <w:highlight w:val="none"/>
              </w:rPr>
              <w:t>人，其中，高级职称</w:t>
            </w:r>
            <w:r>
              <w:rPr>
                <w:rFonts w:hint="eastAsia"/>
                <w:color w:val="auto"/>
                <w:szCs w:val="21"/>
                <w:highlight w:val="none"/>
                <w:u w:val="single"/>
              </w:rPr>
              <w:t xml:space="preserve">   </w:t>
            </w:r>
            <w:r>
              <w:rPr>
                <w:rFonts w:hint="eastAsia"/>
                <w:color w:val="auto"/>
                <w:szCs w:val="21"/>
                <w:highlight w:val="none"/>
              </w:rPr>
              <w:t>人，中级职称</w:t>
            </w:r>
            <w:r>
              <w:rPr>
                <w:rFonts w:hint="eastAsia"/>
                <w:color w:val="auto"/>
                <w:szCs w:val="21"/>
                <w:highlight w:val="none"/>
                <w:u w:val="single"/>
              </w:rPr>
              <w:t xml:space="preserve">  </w:t>
            </w:r>
            <w:r>
              <w:rPr>
                <w:rFonts w:hint="eastAsia"/>
                <w:color w:val="auto"/>
                <w:szCs w:val="21"/>
                <w:highlight w:val="none"/>
              </w:rPr>
              <w:t>人</w:t>
            </w:r>
          </w:p>
        </w:tc>
      </w:tr>
      <w:tr w14:paraId="4A2E6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36" w:type="dxa"/>
            <w:tcBorders>
              <w:top w:val="single" w:color="auto" w:sz="6" w:space="0"/>
              <w:left w:val="single" w:color="auto" w:sz="12" w:space="0"/>
              <w:bottom w:val="single" w:color="auto" w:sz="6" w:space="0"/>
              <w:right w:val="single" w:color="auto" w:sz="6" w:space="0"/>
            </w:tcBorders>
            <w:vAlign w:val="center"/>
          </w:tcPr>
          <w:p w14:paraId="2F27EAD4">
            <w:pPr>
              <w:jc w:val="center"/>
              <w:rPr>
                <w:color w:val="auto"/>
                <w:szCs w:val="21"/>
                <w:highlight w:val="none"/>
              </w:rPr>
            </w:pPr>
            <w:r>
              <w:rPr>
                <w:rFonts w:hint="eastAsia"/>
                <w:color w:val="auto"/>
                <w:szCs w:val="21"/>
                <w:highlight w:val="none"/>
              </w:rPr>
              <w:t>联系电话</w:t>
            </w:r>
          </w:p>
        </w:tc>
        <w:tc>
          <w:tcPr>
            <w:tcW w:w="4090" w:type="dxa"/>
            <w:gridSpan w:val="3"/>
            <w:tcBorders>
              <w:top w:val="single" w:color="auto" w:sz="6" w:space="0"/>
              <w:left w:val="single" w:color="auto" w:sz="6" w:space="0"/>
              <w:bottom w:val="single" w:color="auto" w:sz="6" w:space="0"/>
              <w:right w:val="single" w:color="auto" w:sz="6" w:space="0"/>
            </w:tcBorders>
            <w:vAlign w:val="center"/>
          </w:tcPr>
          <w:p w14:paraId="7C65599F">
            <w:pPr>
              <w:jc w:val="center"/>
              <w:rPr>
                <w:color w:val="auto"/>
                <w:szCs w:val="21"/>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14:paraId="07F9F785">
            <w:pPr>
              <w:jc w:val="center"/>
              <w:rPr>
                <w:color w:val="auto"/>
                <w:szCs w:val="21"/>
                <w:highlight w:val="none"/>
              </w:rPr>
            </w:pPr>
            <w:r>
              <w:rPr>
                <w:rFonts w:hint="eastAsia"/>
                <w:color w:val="auto"/>
                <w:szCs w:val="21"/>
                <w:highlight w:val="none"/>
              </w:rPr>
              <w:t>传真</w:t>
            </w:r>
          </w:p>
        </w:tc>
        <w:tc>
          <w:tcPr>
            <w:tcW w:w="2486" w:type="dxa"/>
            <w:tcBorders>
              <w:top w:val="single" w:color="auto" w:sz="6" w:space="0"/>
              <w:left w:val="single" w:color="auto" w:sz="6" w:space="0"/>
              <w:bottom w:val="single" w:color="auto" w:sz="6" w:space="0"/>
              <w:right w:val="single" w:color="auto" w:sz="12" w:space="0"/>
            </w:tcBorders>
            <w:vAlign w:val="center"/>
          </w:tcPr>
          <w:p w14:paraId="06E66BD6">
            <w:pPr>
              <w:jc w:val="center"/>
              <w:rPr>
                <w:color w:val="auto"/>
                <w:szCs w:val="21"/>
                <w:highlight w:val="none"/>
              </w:rPr>
            </w:pPr>
          </w:p>
        </w:tc>
      </w:tr>
      <w:tr w14:paraId="4F5B6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6" w:hRule="atLeast"/>
        </w:trPr>
        <w:tc>
          <w:tcPr>
            <w:tcW w:w="1636" w:type="dxa"/>
            <w:tcBorders>
              <w:top w:val="single" w:color="auto" w:sz="6" w:space="0"/>
              <w:left w:val="single" w:color="auto" w:sz="12" w:space="0"/>
              <w:bottom w:val="single" w:color="auto" w:sz="6" w:space="0"/>
              <w:right w:val="single" w:color="auto" w:sz="6" w:space="0"/>
            </w:tcBorders>
            <w:vAlign w:val="center"/>
          </w:tcPr>
          <w:p w14:paraId="0BC7DAD5">
            <w:pPr>
              <w:jc w:val="center"/>
              <w:rPr>
                <w:color w:val="auto"/>
                <w:szCs w:val="21"/>
                <w:highlight w:val="none"/>
              </w:rPr>
            </w:pPr>
            <w:r>
              <w:rPr>
                <w:rFonts w:hint="eastAsia"/>
                <w:color w:val="auto"/>
                <w:szCs w:val="21"/>
                <w:highlight w:val="none"/>
              </w:rPr>
              <w:t>主要业绩</w:t>
            </w:r>
          </w:p>
        </w:tc>
        <w:tc>
          <w:tcPr>
            <w:tcW w:w="8562" w:type="dxa"/>
            <w:gridSpan w:val="5"/>
            <w:tcBorders>
              <w:top w:val="single" w:color="auto" w:sz="6" w:space="0"/>
              <w:left w:val="single" w:color="auto" w:sz="6" w:space="0"/>
              <w:bottom w:val="single" w:color="auto" w:sz="6" w:space="0"/>
              <w:right w:val="single" w:color="auto" w:sz="12" w:space="0"/>
            </w:tcBorders>
            <w:vAlign w:val="center"/>
          </w:tcPr>
          <w:p w14:paraId="25BD172F">
            <w:pPr>
              <w:rPr>
                <w:color w:val="auto"/>
                <w:szCs w:val="21"/>
                <w:highlight w:val="none"/>
              </w:rPr>
            </w:pPr>
          </w:p>
          <w:p w14:paraId="4711B642">
            <w:pPr>
              <w:rPr>
                <w:color w:val="auto"/>
                <w:szCs w:val="21"/>
                <w:highlight w:val="none"/>
              </w:rPr>
            </w:pPr>
          </w:p>
          <w:p w14:paraId="4AF884C4">
            <w:pPr>
              <w:rPr>
                <w:color w:val="auto"/>
                <w:szCs w:val="21"/>
                <w:highlight w:val="none"/>
              </w:rPr>
            </w:pPr>
          </w:p>
          <w:p w14:paraId="4A2BC5E3">
            <w:pPr>
              <w:rPr>
                <w:color w:val="auto"/>
                <w:szCs w:val="21"/>
                <w:highlight w:val="none"/>
              </w:rPr>
            </w:pPr>
          </w:p>
        </w:tc>
      </w:tr>
      <w:tr w14:paraId="6B55E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0198" w:type="dxa"/>
            <w:gridSpan w:val="6"/>
            <w:tcBorders>
              <w:top w:val="single" w:color="auto" w:sz="6" w:space="0"/>
              <w:left w:val="single" w:color="auto" w:sz="12" w:space="0"/>
              <w:bottom w:val="single" w:color="auto" w:sz="6" w:space="0"/>
              <w:right w:val="single" w:color="auto" w:sz="12" w:space="0"/>
            </w:tcBorders>
            <w:vAlign w:val="center"/>
          </w:tcPr>
          <w:p w14:paraId="470C7E86">
            <w:pPr>
              <w:jc w:val="center"/>
              <w:rPr>
                <w:color w:val="auto"/>
                <w:szCs w:val="21"/>
                <w:highlight w:val="none"/>
              </w:rPr>
            </w:pPr>
            <w:r>
              <w:rPr>
                <w:rFonts w:hint="eastAsia"/>
                <w:color w:val="auto"/>
                <w:szCs w:val="21"/>
                <w:highlight w:val="none"/>
              </w:rPr>
              <w:t>法 定 代 表 人 基 本 情 况</w:t>
            </w:r>
          </w:p>
        </w:tc>
      </w:tr>
      <w:tr w14:paraId="1BFAD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36" w:type="dxa"/>
            <w:tcBorders>
              <w:top w:val="single" w:color="auto" w:sz="6" w:space="0"/>
              <w:left w:val="single" w:color="auto" w:sz="12" w:space="0"/>
              <w:bottom w:val="single" w:color="auto" w:sz="6" w:space="0"/>
              <w:right w:val="single" w:color="auto" w:sz="6" w:space="0"/>
            </w:tcBorders>
            <w:vAlign w:val="center"/>
          </w:tcPr>
          <w:p w14:paraId="0092A4BF">
            <w:pPr>
              <w:jc w:val="center"/>
              <w:rPr>
                <w:color w:val="auto"/>
                <w:szCs w:val="21"/>
                <w:highlight w:val="none"/>
              </w:rPr>
            </w:pPr>
            <w:r>
              <w:rPr>
                <w:rFonts w:hint="eastAsia"/>
                <w:color w:val="auto"/>
                <w:szCs w:val="21"/>
                <w:highlight w:val="none"/>
              </w:rPr>
              <w:t>姓  名</w:t>
            </w:r>
          </w:p>
        </w:tc>
        <w:tc>
          <w:tcPr>
            <w:tcW w:w="4090" w:type="dxa"/>
            <w:gridSpan w:val="3"/>
            <w:tcBorders>
              <w:top w:val="single" w:color="auto" w:sz="6" w:space="0"/>
              <w:left w:val="single" w:color="auto" w:sz="6" w:space="0"/>
              <w:bottom w:val="single" w:color="auto" w:sz="6" w:space="0"/>
              <w:right w:val="single" w:color="auto" w:sz="6" w:space="0"/>
            </w:tcBorders>
            <w:vAlign w:val="center"/>
          </w:tcPr>
          <w:p w14:paraId="230D9512">
            <w:pPr>
              <w:jc w:val="center"/>
              <w:rPr>
                <w:color w:val="auto"/>
                <w:szCs w:val="21"/>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14:paraId="56E225D7">
            <w:pPr>
              <w:jc w:val="center"/>
              <w:rPr>
                <w:color w:val="auto"/>
                <w:szCs w:val="21"/>
                <w:highlight w:val="none"/>
              </w:rPr>
            </w:pPr>
            <w:r>
              <w:rPr>
                <w:rFonts w:hint="eastAsia"/>
                <w:color w:val="auto"/>
                <w:szCs w:val="21"/>
                <w:highlight w:val="none"/>
              </w:rPr>
              <w:t>身份证号码</w:t>
            </w:r>
          </w:p>
        </w:tc>
        <w:tc>
          <w:tcPr>
            <w:tcW w:w="2486" w:type="dxa"/>
            <w:tcBorders>
              <w:top w:val="single" w:color="auto" w:sz="6" w:space="0"/>
              <w:left w:val="single" w:color="auto" w:sz="6" w:space="0"/>
              <w:bottom w:val="single" w:color="auto" w:sz="6" w:space="0"/>
              <w:right w:val="single" w:color="auto" w:sz="12" w:space="0"/>
            </w:tcBorders>
            <w:vAlign w:val="center"/>
          </w:tcPr>
          <w:p w14:paraId="0554E6A9">
            <w:pPr>
              <w:jc w:val="center"/>
              <w:rPr>
                <w:color w:val="auto"/>
                <w:szCs w:val="21"/>
                <w:highlight w:val="none"/>
              </w:rPr>
            </w:pPr>
          </w:p>
        </w:tc>
      </w:tr>
      <w:tr w14:paraId="4548B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636" w:type="dxa"/>
            <w:tcBorders>
              <w:top w:val="single" w:color="auto" w:sz="6" w:space="0"/>
              <w:left w:val="single" w:color="auto" w:sz="12" w:space="0"/>
              <w:bottom w:val="single" w:color="auto" w:sz="6" w:space="0"/>
              <w:right w:val="single" w:color="auto" w:sz="6" w:space="0"/>
            </w:tcBorders>
            <w:vAlign w:val="center"/>
          </w:tcPr>
          <w:p w14:paraId="27ABF9D6">
            <w:pPr>
              <w:jc w:val="center"/>
              <w:rPr>
                <w:color w:val="auto"/>
                <w:szCs w:val="21"/>
                <w:highlight w:val="none"/>
              </w:rPr>
            </w:pPr>
            <w:r>
              <w:rPr>
                <w:rFonts w:hint="eastAsia"/>
                <w:color w:val="auto"/>
                <w:szCs w:val="21"/>
                <w:highlight w:val="none"/>
              </w:rPr>
              <w:t>职  务</w:t>
            </w:r>
          </w:p>
        </w:tc>
        <w:tc>
          <w:tcPr>
            <w:tcW w:w="1869" w:type="dxa"/>
            <w:tcBorders>
              <w:top w:val="single" w:color="auto" w:sz="6" w:space="0"/>
              <w:left w:val="single" w:color="auto" w:sz="6" w:space="0"/>
              <w:bottom w:val="single" w:color="auto" w:sz="6" w:space="0"/>
              <w:right w:val="single" w:color="auto" w:sz="6" w:space="0"/>
            </w:tcBorders>
            <w:vAlign w:val="center"/>
          </w:tcPr>
          <w:p w14:paraId="11F466D5">
            <w:pPr>
              <w:jc w:val="center"/>
              <w:rPr>
                <w:color w:val="auto"/>
                <w:szCs w:val="21"/>
                <w:highlight w:val="none"/>
              </w:rPr>
            </w:pPr>
          </w:p>
        </w:tc>
        <w:tc>
          <w:tcPr>
            <w:tcW w:w="1168" w:type="dxa"/>
            <w:tcBorders>
              <w:top w:val="single" w:color="auto" w:sz="6" w:space="0"/>
              <w:left w:val="single" w:color="auto" w:sz="6" w:space="0"/>
              <w:bottom w:val="single" w:color="auto" w:sz="6" w:space="0"/>
              <w:right w:val="single" w:color="auto" w:sz="6" w:space="0"/>
            </w:tcBorders>
            <w:vAlign w:val="center"/>
          </w:tcPr>
          <w:p w14:paraId="1E23C6ED">
            <w:pPr>
              <w:jc w:val="center"/>
              <w:rPr>
                <w:color w:val="auto"/>
                <w:szCs w:val="21"/>
                <w:highlight w:val="none"/>
              </w:rPr>
            </w:pPr>
            <w:r>
              <w:rPr>
                <w:rFonts w:hint="eastAsia"/>
                <w:color w:val="auto"/>
                <w:szCs w:val="21"/>
                <w:highlight w:val="none"/>
              </w:rPr>
              <w:t>职   称</w:t>
            </w:r>
          </w:p>
        </w:tc>
        <w:tc>
          <w:tcPr>
            <w:tcW w:w="1053" w:type="dxa"/>
            <w:tcBorders>
              <w:top w:val="single" w:color="auto" w:sz="6" w:space="0"/>
              <w:left w:val="single" w:color="auto" w:sz="6" w:space="0"/>
              <w:bottom w:val="single" w:color="auto" w:sz="6" w:space="0"/>
              <w:right w:val="single" w:color="auto" w:sz="6" w:space="0"/>
            </w:tcBorders>
            <w:vAlign w:val="center"/>
          </w:tcPr>
          <w:p w14:paraId="59C84688">
            <w:pPr>
              <w:jc w:val="center"/>
              <w:rPr>
                <w:color w:val="auto"/>
                <w:szCs w:val="21"/>
                <w:highlight w:val="none"/>
              </w:rPr>
            </w:pPr>
          </w:p>
        </w:tc>
        <w:tc>
          <w:tcPr>
            <w:tcW w:w="1986" w:type="dxa"/>
            <w:tcBorders>
              <w:top w:val="single" w:color="auto" w:sz="6" w:space="0"/>
              <w:left w:val="single" w:color="auto" w:sz="6" w:space="0"/>
              <w:bottom w:val="single" w:color="auto" w:sz="6" w:space="0"/>
              <w:right w:val="single" w:color="auto" w:sz="6" w:space="0"/>
            </w:tcBorders>
            <w:vAlign w:val="center"/>
          </w:tcPr>
          <w:p w14:paraId="609796D3">
            <w:pPr>
              <w:jc w:val="center"/>
              <w:rPr>
                <w:color w:val="auto"/>
                <w:szCs w:val="21"/>
                <w:highlight w:val="none"/>
              </w:rPr>
            </w:pPr>
            <w:r>
              <w:rPr>
                <w:rFonts w:hint="eastAsia"/>
                <w:color w:val="auto"/>
                <w:szCs w:val="21"/>
                <w:highlight w:val="none"/>
              </w:rPr>
              <w:t>学    历</w:t>
            </w:r>
          </w:p>
        </w:tc>
        <w:tc>
          <w:tcPr>
            <w:tcW w:w="2486" w:type="dxa"/>
            <w:tcBorders>
              <w:top w:val="single" w:color="auto" w:sz="6" w:space="0"/>
              <w:left w:val="single" w:color="auto" w:sz="6" w:space="0"/>
              <w:bottom w:val="single" w:color="auto" w:sz="6" w:space="0"/>
              <w:right w:val="single" w:color="auto" w:sz="12" w:space="0"/>
            </w:tcBorders>
            <w:vAlign w:val="center"/>
          </w:tcPr>
          <w:p w14:paraId="1AE3C6B4">
            <w:pPr>
              <w:jc w:val="center"/>
              <w:rPr>
                <w:color w:val="auto"/>
                <w:szCs w:val="21"/>
                <w:highlight w:val="none"/>
              </w:rPr>
            </w:pPr>
          </w:p>
        </w:tc>
      </w:tr>
      <w:tr w14:paraId="07B92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atLeast"/>
        </w:trPr>
        <w:tc>
          <w:tcPr>
            <w:tcW w:w="10198" w:type="dxa"/>
            <w:gridSpan w:val="6"/>
            <w:tcBorders>
              <w:top w:val="single" w:color="auto" w:sz="6" w:space="0"/>
              <w:left w:val="single" w:color="auto" w:sz="12" w:space="0"/>
              <w:bottom w:val="single" w:color="auto" w:sz="12" w:space="0"/>
              <w:right w:val="single" w:color="auto" w:sz="12" w:space="0"/>
            </w:tcBorders>
          </w:tcPr>
          <w:p w14:paraId="43A6D73D">
            <w:pPr>
              <w:rPr>
                <w:color w:val="auto"/>
                <w:szCs w:val="21"/>
                <w:highlight w:val="none"/>
              </w:rPr>
            </w:pPr>
            <w:r>
              <w:rPr>
                <w:rFonts w:hint="eastAsia"/>
                <w:color w:val="auto"/>
                <w:szCs w:val="21"/>
                <w:highlight w:val="none"/>
              </w:rPr>
              <w:t>备注:</w:t>
            </w:r>
          </w:p>
        </w:tc>
      </w:tr>
    </w:tbl>
    <w:p w14:paraId="34BAC3E5">
      <w:pPr>
        <w:spacing w:line="360" w:lineRule="auto"/>
        <w:ind w:left="748" w:leftChars="119" w:hanging="486" w:hangingChars="220"/>
        <w:rPr>
          <w:color w:val="auto"/>
          <w:sz w:val="21"/>
          <w:szCs w:val="21"/>
          <w:highlight w:val="none"/>
        </w:rPr>
      </w:pPr>
      <w:r>
        <w:rPr>
          <w:rFonts w:hint="eastAsia"/>
          <w:b/>
          <w:color w:val="auto"/>
          <w:szCs w:val="21"/>
          <w:highlight w:val="none"/>
        </w:rPr>
        <w:t>兹证明上述声明是真实、正确的，并提供了全部能提供的资料和数据，我们同意遵照贵方要求出示有关证明文件。</w:t>
      </w:r>
    </w:p>
    <w:p w14:paraId="2844161C">
      <w:pPr>
        <w:spacing w:line="360" w:lineRule="auto"/>
        <w:ind w:left="724" w:leftChars="119" w:hanging="462" w:hangingChars="220"/>
        <w:rPr>
          <w:color w:val="auto"/>
          <w:sz w:val="21"/>
          <w:szCs w:val="21"/>
          <w:highlight w:val="none"/>
        </w:rPr>
      </w:pPr>
      <w:r>
        <w:rPr>
          <w:rFonts w:hint="eastAsia"/>
          <w:color w:val="auto"/>
          <w:sz w:val="21"/>
          <w:szCs w:val="21"/>
          <w:highlight w:val="none"/>
        </w:rPr>
        <w:t>投标人名称（并加盖公章）：</w:t>
      </w:r>
    </w:p>
    <w:p w14:paraId="5F61787F">
      <w:pPr>
        <w:spacing w:line="360" w:lineRule="auto"/>
        <w:ind w:left="724" w:leftChars="119" w:hanging="462" w:hangingChars="220"/>
        <w:rPr>
          <w:color w:val="auto"/>
          <w:sz w:val="21"/>
          <w:szCs w:val="21"/>
          <w:highlight w:val="none"/>
        </w:rPr>
      </w:pPr>
      <w:r>
        <w:rPr>
          <w:rFonts w:hint="eastAsia"/>
          <w:color w:val="auto"/>
          <w:sz w:val="21"/>
          <w:szCs w:val="21"/>
          <w:highlight w:val="none"/>
        </w:rPr>
        <w:t xml:space="preserve">投标人法定代表人或其委托人签字或印鉴： </w:t>
      </w:r>
      <w:r>
        <w:rPr>
          <w:rFonts w:hint="eastAsia"/>
          <w:color w:val="auto"/>
          <w:sz w:val="21"/>
          <w:szCs w:val="21"/>
          <w:highlight w:val="none"/>
          <w:u w:val="single"/>
        </w:rPr>
        <w:t xml:space="preserve">             </w:t>
      </w:r>
    </w:p>
    <w:p w14:paraId="32A2713E">
      <w:pPr>
        <w:spacing w:line="360" w:lineRule="auto"/>
        <w:ind w:left="724" w:leftChars="119" w:hanging="462" w:hangingChars="220"/>
        <w:rPr>
          <w:color w:val="auto"/>
          <w:sz w:val="21"/>
          <w:szCs w:val="21"/>
          <w:highlight w:val="none"/>
        </w:rPr>
      </w:pPr>
      <w:r>
        <w:rPr>
          <w:rFonts w:hint="eastAsia"/>
          <w:color w:val="auto"/>
          <w:sz w:val="21"/>
          <w:szCs w:val="21"/>
          <w:highlight w:val="none"/>
        </w:rPr>
        <w:t>日期：</w:t>
      </w:r>
    </w:p>
    <w:p w14:paraId="64817E7A">
      <w:pPr>
        <w:pStyle w:val="3"/>
        <w:keepNext w:val="0"/>
        <w:keepLines w:val="0"/>
        <w:widowControl/>
        <w:numPr>
          <w:ilvl w:val="1"/>
          <w:numId w:val="25"/>
        </w:numPr>
        <w:spacing w:before="188" w:after="188" w:line="400" w:lineRule="exact"/>
        <w:jc w:val="center"/>
        <w:rPr>
          <w:rFonts w:ascii="宋体" w:hAnsi="宋体" w:eastAsia="宋体" w:cs="宋体"/>
          <w:color w:val="auto"/>
          <w:sz w:val="21"/>
          <w:szCs w:val="21"/>
          <w:highlight w:val="none"/>
        </w:rPr>
      </w:pPr>
      <w:r>
        <w:rPr>
          <w:rFonts w:hint="eastAsia"/>
          <w:b w:val="0"/>
          <w:color w:val="auto"/>
          <w:sz w:val="21"/>
          <w:szCs w:val="21"/>
          <w:highlight w:val="none"/>
        </w:rPr>
        <w:br w:type="page"/>
      </w:r>
      <w:bookmarkStart w:id="251" w:name="_Hlt107565134"/>
      <w:bookmarkEnd w:id="251"/>
      <w:bookmarkStart w:id="252" w:name="_Toc368513833"/>
      <w:bookmarkStart w:id="253" w:name="_Toc368513829"/>
      <w:r>
        <w:rPr>
          <w:rFonts w:hint="eastAsia" w:ascii="宋体" w:hAnsi="宋体" w:eastAsia="宋体" w:cs="宋体"/>
          <w:color w:val="auto"/>
          <w:sz w:val="21"/>
          <w:szCs w:val="21"/>
          <w:highlight w:val="none"/>
        </w:rPr>
        <w:t xml:space="preserve">  </w:t>
      </w:r>
      <w:bookmarkStart w:id="254" w:name="_Toc86349493"/>
      <w:bookmarkStart w:id="255" w:name="_Toc29825827"/>
      <w:r>
        <w:rPr>
          <w:rFonts w:hint="eastAsia" w:ascii="宋体" w:hAnsi="宋体" w:eastAsia="宋体" w:cs="宋体"/>
          <w:color w:val="auto"/>
          <w:sz w:val="21"/>
          <w:szCs w:val="21"/>
          <w:highlight w:val="none"/>
        </w:rPr>
        <w:t>拟派项目工作人员一览表</w:t>
      </w:r>
      <w:bookmarkEnd w:id="252"/>
      <w:bookmarkEnd w:id="254"/>
      <w:bookmarkEnd w:id="255"/>
    </w:p>
    <w:p w14:paraId="79004E1D">
      <w:pPr>
        <w:adjustRightInd w:val="0"/>
        <w:spacing w:line="360" w:lineRule="auto"/>
        <w:rPr>
          <w:snapToGrid w:val="0"/>
          <w:color w:val="auto"/>
          <w:szCs w:val="21"/>
          <w:highlight w:val="none"/>
          <w:u w:val="single"/>
        </w:rPr>
      </w:pPr>
      <w:bookmarkStart w:id="256" w:name="_Toc368513834"/>
      <w:r>
        <w:rPr>
          <w:rFonts w:hint="eastAsia"/>
          <w:bCs/>
          <w:snapToGrid w:val="0"/>
          <w:color w:val="auto"/>
          <w:szCs w:val="21"/>
          <w:highlight w:val="none"/>
        </w:rPr>
        <w:t>项目名称：</w:t>
      </w:r>
    </w:p>
    <w:p w14:paraId="24D03048">
      <w:pPr>
        <w:adjustRightInd w:val="0"/>
        <w:spacing w:line="360" w:lineRule="auto"/>
        <w:rPr>
          <w:bCs/>
          <w:color w:val="auto"/>
          <w:szCs w:val="21"/>
          <w:highlight w:val="none"/>
          <w:u w:val="single"/>
        </w:rPr>
      </w:pPr>
      <w:r>
        <w:rPr>
          <w:rFonts w:hint="eastAsia"/>
          <w:snapToGrid w:val="0"/>
          <w:color w:val="auto"/>
          <w:szCs w:val="21"/>
          <w:highlight w:val="none"/>
        </w:rPr>
        <w:t>招标编号：</w:t>
      </w:r>
    </w:p>
    <w:tbl>
      <w:tblPr>
        <w:tblStyle w:val="34"/>
        <w:tblW w:w="104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2"/>
        <w:gridCol w:w="1182"/>
        <w:gridCol w:w="2256"/>
        <w:gridCol w:w="1981"/>
        <w:gridCol w:w="1205"/>
        <w:gridCol w:w="2358"/>
      </w:tblGrid>
      <w:tr w14:paraId="0CC28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1442" w:type="dxa"/>
            <w:tcBorders>
              <w:top w:val="single" w:color="auto" w:sz="12" w:space="0"/>
              <w:left w:val="single" w:color="auto" w:sz="12" w:space="0"/>
              <w:bottom w:val="single" w:color="auto" w:sz="6" w:space="0"/>
              <w:right w:val="single" w:color="auto" w:sz="6" w:space="0"/>
            </w:tcBorders>
            <w:vAlign w:val="center"/>
          </w:tcPr>
          <w:p w14:paraId="23CE1729">
            <w:pPr>
              <w:spacing w:before="120" w:line="360" w:lineRule="auto"/>
              <w:jc w:val="center"/>
              <w:rPr>
                <w:b/>
                <w:bCs/>
                <w:color w:val="auto"/>
                <w:highlight w:val="none"/>
              </w:rPr>
            </w:pPr>
            <w:r>
              <w:rPr>
                <w:rFonts w:hint="eastAsia" w:cs="仿宋"/>
                <w:b/>
                <w:color w:val="auto"/>
                <w:sz w:val="24"/>
                <w:szCs w:val="24"/>
                <w:highlight w:val="none"/>
              </w:rPr>
              <w:t>姓名</w:t>
            </w:r>
          </w:p>
        </w:tc>
        <w:tc>
          <w:tcPr>
            <w:tcW w:w="1182" w:type="dxa"/>
            <w:tcBorders>
              <w:top w:val="single" w:color="auto" w:sz="12" w:space="0"/>
              <w:left w:val="single" w:color="auto" w:sz="6" w:space="0"/>
              <w:bottom w:val="single" w:color="auto" w:sz="6" w:space="0"/>
              <w:right w:val="single" w:color="auto" w:sz="6" w:space="0"/>
            </w:tcBorders>
            <w:vAlign w:val="center"/>
          </w:tcPr>
          <w:p w14:paraId="77F36E9C">
            <w:pPr>
              <w:spacing w:before="120" w:line="360" w:lineRule="auto"/>
              <w:jc w:val="center"/>
              <w:rPr>
                <w:b/>
                <w:bCs/>
                <w:color w:val="auto"/>
                <w:highlight w:val="none"/>
              </w:rPr>
            </w:pPr>
            <w:r>
              <w:rPr>
                <w:rFonts w:hint="eastAsia" w:cs="仿宋"/>
                <w:b/>
                <w:color w:val="auto"/>
                <w:sz w:val="24"/>
                <w:szCs w:val="24"/>
                <w:highlight w:val="none"/>
              </w:rPr>
              <w:t>现职务</w:t>
            </w:r>
          </w:p>
        </w:tc>
        <w:tc>
          <w:tcPr>
            <w:tcW w:w="2256" w:type="dxa"/>
            <w:tcBorders>
              <w:top w:val="single" w:color="auto" w:sz="12" w:space="0"/>
              <w:left w:val="single" w:color="auto" w:sz="6" w:space="0"/>
              <w:bottom w:val="single" w:color="auto" w:sz="6" w:space="0"/>
              <w:right w:val="single" w:color="auto" w:sz="6" w:space="0"/>
            </w:tcBorders>
            <w:vAlign w:val="center"/>
          </w:tcPr>
          <w:p w14:paraId="1E8858CA">
            <w:pPr>
              <w:spacing w:before="120" w:line="360" w:lineRule="auto"/>
              <w:jc w:val="center"/>
              <w:rPr>
                <w:b/>
                <w:bCs/>
                <w:color w:val="auto"/>
                <w:highlight w:val="none"/>
                <w:lang w:eastAsia="zh-Hans"/>
              </w:rPr>
            </w:pPr>
            <w:r>
              <w:rPr>
                <w:rFonts w:hint="eastAsia" w:cs="仿宋"/>
                <w:b/>
                <w:color w:val="auto"/>
                <w:sz w:val="24"/>
                <w:szCs w:val="24"/>
                <w:highlight w:val="none"/>
              </w:rPr>
              <w:t>执业资格/职称</w:t>
            </w:r>
          </w:p>
        </w:tc>
        <w:tc>
          <w:tcPr>
            <w:tcW w:w="1981" w:type="dxa"/>
            <w:tcBorders>
              <w:top w:val="single" w:color="auto" w:sz="12" w:space="0"/>
              <w:left w:val="single" w:color="auto" w:sz="6" w:space="0"/>
              <w:bottom w:val="single" w:color="auto" w:sz="6" w:space="0"/>
              <w:right w:val="single" w:color="auto" w:sz="6" w:space="0"/>
            </w:tcBorders>
            <w:vAlign w:val="center"/>
          </w:tcPr>
          <w:p w14:paraId="4D651BF8">
            <w:pPr>
              <w:spacing w:before="120" w:line="360" w:lineRule="auto"/>
              <w:jc w:val="center"/>
              <w:rPr>
                <w:b/>
                <w:bCs/>
                <w:color w:val="auto"/>
                <w:highlight w:val="none"/>
              </w:rPr>
            </w:pPr>
            <w:r>
              <w:rPr>
                <w:rFonts w:hint="eastAsia" w:cs="仿宋"/>
                <w:b/>
                <w:color w:val="auto"/>
                <w:sz w:val="24"/>
                <w:szCs w:val="24"/>
                <w:highlight w:val="none"/>
              </w:rPr>
              <w:t>专业类别</w:t>
            </w:r>
          </w:p>
        </w:tc>
        <w:tc>
          <w:tcPr>
            <w:tcW w:w="1205" w:type="dxa"/>
            <w:tcBorders>
              <w:top w:val="single" w:color="auto" w:sz="12" w:space="0"/>
              <w:left w:val="single" w:color="auto" w:sz="6" w:space="0"/>
              <w:bottom w:val="single" w:color="auto" w:sz="6" w:space="0"/>
              <w:right w:val="single" w:color="auto" w:sz="6" w:space="0"/>
            </w:tcBorders>
            <w:vAlign w:val="center"/>
          </w:tcPr>
          <w:p w14:paraId="00FB37B1">
            <w:pPr>
              <w:spacing w:before="120" w:line="360" w:lineRule="auto"/>
              <w:rPr>
                <w:b/>
                <w:bCs/>
                <w:color w:val="auto"/>
                <w:highlight w:val="none"/>
              </w:rPr>
            </w:pPr>
            <w:r>
              <w:rPr>
                <w:rFonts w:hint="eastAsia" w:cs="仿宋"/>
                <w:b/>
                <w:color w:val="auto"/>
                <w:sz w:val="24"/>
                <w:szCs w:val="24"/>
                <w:highlight w:val="none"/>
              </w:rPr>
              <w:t>经验年限</w:t>
            </w:r>
          </w:p>
        </w:tc>
        <w:tc>
          <w:tcPr>
            <w:tcW w:w="2358" w:type="dxa"/>
            <w:tcBorders>
              <w:top w:val="single" w:color="auto" w:sz="12" w:space="0"/>
              <w:left w:val="single" w:color="auto" w:sz="6" w:space="0"/>
              <w:bottom w:val="single" w:color="auto" w:sz="6" w:space="0"/>
              <w:right w:val="single" w:color="auto" w:sz="12" w:space="0"/>
            </w:tcBorders>
            <w:vAlign w:val="center"/>
          </w:tcPr>
          <w:p w14:paraId="6F3E97F9">
            <w:pPr>
              <w:spacing w:before="120" w:line="360" w:lineRule="auto"/>
              <w:jc w:val="center"/>
              <w:rPr>
                <w:b/>
                <w:bCs/>
                <w:color w:val="auto"/>
                <w:highlight w:val="none"/>
                <w:lang w:eastAsia="zh-Hans"/>
              </w:rPr>
            </w:pPr>
            <w:r>
              <w:rPr>
                <w:rFonts w:hint="eastAsia"/>
                <w:b/>
                <w:bCs/>
                <w:color w:val="auto"/>
                <w:highlight w:val="none"/>
                <w:lang w:eastAsia="zh-Hans"/>
              </w:rPr>
              <w:t>联系电话</w:t>
            </w:r>
          </w:p>
        </w:tc>
      </w:tr>
      <w:tr w14:paraId="2A166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442" w:type="dxa"/>
            <w:tcBorders>
              <w:top w:val="single" w:color="auto" w:sz="6" w:space="0"/>
              <w:left w:val="single" w:color="auto" w:sz="12" w:space="0"/>
              <w:bottom w:val="single" w:color="auto" w:sz="6" w:space="0"/>
              <w:right w:val="single" w:color="auto" w:sz="6" w:space="0"/>
            </w:tcBorders>
            <w:vAlign w:val="center"/>
          </w:tcPr>
          <w:p w14:paraId="093A17E7">
            <w:pPr>
              <w:spacing w:before="120" w:line="360" w:lineRule="auto"/>
              <w:jc w:val="center"/>
              <w:rPr>
                <w:b/>
                <w:bCs/>
                <w:color w:val="auto"/>
                <w:highlight w:val="none"/>
              </w:rPr>
            </w:pPr>
          </w:p>
        </w:tc>
        <w:tc>
          <w:tcPr>
            <w:tcW w:w="1182" w:type="dxa"/>
            <w:tcBorders>
              <w:top w:val="single" w:color="auto" w:sz="6" w:space="0"/>
              <w:left w:val="single" w:color="auto" w:sz="6" w:space="0"/>
              <w:bottom w:val="single" w:color="auto" w:sz="6" w:space="0"/>
              <w:right w:val="single" w:color="auto" w:sz="6" w:space="0"/>
            </w:tcBorders>
            <w:vAlign w:val="center"/>
          </w:tcPr>
          <w:p w14:paraId="62F8F79E">
            <w:pPr>
              <w:spacing w:before="120" w:line="360" w:lineRule="auto"/>
              <w:jc w:val="center"/>
              <w:rPr>
                <w:b/>
                <w:bCs/>
                <w:color w:val="auto"/>
                <w:highlight w:val="none"/>
              </w:rPr>
            </w:pPr>
          </w:p>
        </w:tc>
        <w:tc>
          <w:tcPr>
            <w:tcW w:w="2256" w:type="dxa"/>
            <w:tcBorders>
              <w:top w:val="single" w:color="auto" w:sz="6" w:space="0"/>
              <w:left w:val="single" w:color="auto" w:sz="6" w:space="0"/>
              <w:bottom w:val="single" w:color="auto" w:sz="6" w:space="0"/>
              <w:right w:val="single" w:color="auto" w:sz="6" w:space="0"/>
            </w:tcBorders>
            <w:vAlign w:val="center"/>
          </w:tcPr>
          <w:p w14:paraId="3932FA77">
            <w:pPr>
              <w:spacing w:before="120" w:line="360" w:lineRule="auto"/>
              <w:jc w:val="center"/>
              <w:rPr>
                <w:b/>
                <w:bCs/>
                <w:color w:val="auto"/>
                <w:highlight w:val="none"/>
                <w:lang w:eastAsia="zh-Hans"/>
              </w:rPr>
            </w:pPr>
          </w:p>
        </w:tc>
        <w:tc>
          <w:tcPr>
            <w:tcW w:w="1981" w:type="dxa"/>
            <w:tcBorders>
              <w:top w:val="single" w:color="auto" w:sz="6" w:space="0"/>
              <w:left w:val="single" w:color="auto" w:sz="6" w:space="0"/>
              <w:bottom w:val="single" w:color="auto" w:sz="6" w:space="0"/>
              <w:right w:val="single" w:color="auto" w:sz="6" w:space="0"/>
            </w:tcBorders>
            <w:vAlign w:val="center"/>
          </w:tcPr>
          <w:p w14:paraId="54045B59">
            <w:pPr>
              <w:spacing w:before="120" w:line="360" w:lineRule="auto"/>
              <w:jc w:val="center"/>
              <w:rPr>
                <w:b/>
                <w:bCs/>
                <w:color w:val="auto"/>
                <w:highlight w:val="none"/>
              </w:rPr>
            </w:pPr>
          </w:p>
        </w:tc>
        <w:tc>
          <w:tcPr>
            <w:tcW w:w="1205" w:type="dxa"/>
            <w:tcBorders>
              <w:top w:val="single" w:color="auto" w:sz="6" w:space="0"/>
              <w:left w:val="single" w:color="auto" w:sz="6" w:space="0"/>
              <w:bottom w:val="single" w:color="auto" w:sz="6" w:space="0"/>
              <w:right w:val="single" w:color="auto" w:sz="6" w:space="0"/>
            </w:tcBorders>
            <w:vAlign w:val="center"/>
          </w:tcPr>
          <w:p w14:paraId="5EA9DEC8">
            <w:pPr>
              <w:spacing w:before="120" w:line="360" w:lineRule="auto"/>
              <w:rPr>
                <w:b/>
                <w:bCs/>
                <w:color w:val="auto"/>
                <w:highlight w:val="none"/>
              </w:rPr>
            </w:pPr>
          </w:p>
        </w:tc>
        <w:tc>
          <w:tcPr>
            <w:tcW w:w="2358" w:type="dxa"/>
            <w:tcBorders>
              <w:top w:val="single" w:color="auto" w:sz="6" w:space="0"/>
              <w:left w:val="single" w:color="auto" w:sz="6" w:space="0"/>
              <w:bottom w:val="single" w:color="auto" w:sz="6" w:space="0"/>
              <w:right w:val="single" w:color="auto" w:sz="12" w:space="0"/>
            </w:tcBorders>
            <w:vAlign w:val="center"/>
          </w:tcPr>
          <w:p w14:paraId="7C00D244">
            <w:pPr>
              <w:spacing w:before="120" w:line="360" w:lineRule="auto"/>
              <w:jc w:val="center"/>
              <w:rPr>
                <w:b/>
                <w:bCs/>
                <w:color w:val="auto"/>
                <w:highlight w:val="none"/>
                <w:lang w:eastAsia="zh-Hans"/>
              </w:rPr>
            </w:pPr>
          </w:p>
        </w:tc>
      </w:tr>
      <w:tr w14:paraId="5A9C8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442" w:type="dxa"/>
            <w:tcBorders>
              <w:top w:val="single" w:color="auto" w:sz="6" w:space="0"/>
              <w:left w:val="single" w:color="auto" w:sz="12" w:space="0"/>
              <w:bottom w:val="single" w:color="auto" w:sz="6" w:space="0"/>
              <w:right w:val="single" w:color="auto" w:sz="6" w:space="0"/>
            </w:tcBorders>
            <w:vAlign w:val="center"/>
          </w:tcPr>
          <w:p w14:paraId="4A2825FB">
            <w:pPr>
              <w:spacing w:line="400" w:lineRule="exact"/>
              <w:jc w:val="center"/>
              <w:rPr>
                <w:color w:val="auto"/>
                <w:szCs w:val="21"/>
                <w:highlight w:val="none"/>
              </w:rPr>
            </w:pPr>
          </w:p>
        </w:tc>
        <w:tc>
          <w:tcPr>
            <w:tcW w:w="1182" w:type="dxa"/>
            <w:tcBorders>
              <w:top w:val="single" w:color="auto" w:sz="6" w:space="0"/>
              <w:left w:val="single" w:color="auto" w:sz="6" w:space="0"/>
              <w:bottom w:val="single" w:color="auto" w:sz="6" w:space="0"/>
              <w:right w:val="single" w:color="auto" w:sz="6" w:space="0"/>
            </w:tcBorders>
            <w:vAlign w:val="center"/>
          </w:tcPr>
          <w:p w14:paraId="10F2BD60">
            <w:pPr>
              <w:spacing w:line="400" w:lineRule="exact"/>
              <w:jc w:val="center"/>
              <w:rPr>
                <w:color w:val="auto"/>
                <w:szCs w:val="21"/>
                <w:highlight w:val="none"/>
              </w:rPr>
            </w:pPr>
          </w:p>
        </w:tc>
        <w:tc>
          <w:tcPr>
            <w:tcW w:w="2256" w:type="dxa"/>
            <w:tcBorders>
              <w:top w:val="single" w:color="auto" w:sz="6" w:space="0"/>
              <w:left w:val="single" w:color="auto" w:sz="6" w:space="0"/>
              <w:bottom w:val="single" w:color="auto" w:sz="6" w:space="0"/>
              <w:right w:val="single" w:color="auto" w:sz="6" w:space="0"/>
            </w:tcBorders>
            <w:vAlign w:val="center"/>
          </w:tcPr>
          <w:p w14:paraId="07643053">
            <w:pPr>
              <w:spacing w:line="400" w:lineRule="exact"/>
              <w:jc w:val="center"/>
              <w:rPr>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vAlign w:val="center"/>
          </w:tcPr>
          <w:p w14:paraId="7636B83F">
            <w:pPr>
              <w:spacing w:line="400" w:lineRule="exact"/>
              <w:jc w:val="center"/>
              <w:rPr>
                <w:color w:val="auto"/>
                <w:szCs w:val="21"/>
                <w:highlight w:val="none"/>
              </w:rPr>
            </w:pPr>
          </w:p>
        </w:tc>
        <w:tc>
          <w:tcPr>
            <w:tcW w:w="1205" w:type="dxa"/>
            <w:tcBorders>
              <w:top w:val="single" w:color="auto" w:sz="6" w:space="0"/>
              <w:left w:val="single" w:color="auto" w:sz="6" w:space="0"/>
              <w:bottom w:val="single" w:color="auto" w:sz="6" w:space="0"/>
              <w:right w:val="single" w:color="auto" w:sz="6" w:space="0"/>
            </w:tcBorders>
            <w:vAlign w:val="center"/>
          </w:tcPr>
          <w:p w14:paraId="48C23D0B">
            <w:pPr>
              <w:spacing w:line="400" w:lineRule="exact"/>
              <w:jc w:val="center"/>
              <w:rPr>
                <w:color w:val="auto"/>
                <w:szCs w:val="21"/>
                <w:highlight w:val="none"/>
              </w:rPr>
            </w:pPr>
          </w:p>
        </w:tc>
        <w:tc>
          <w:tcPr>
            <w:tcW w:w="2358" w:type="dxa"/>
            <w:tcBorders>
              <w:top w:val="single" w:color="auto" w:sz="6" w:space="0"/>
              <w:left w:val="single" w:color="auto" w:sz="6" w:space="0"/>
              <w:bottom w:val="single" w:color="auto" w:sz="6" w:space="0"/>
              <w:right w:val="single" w:color="auto" w:sz="12" w:space="0"/>
            </w:tcBorders>
            <w:vAlign w:val="center"/>
          </w:tcPr>
          <w:p w14:paraId="3F754700">
            <w:pPr>
              <w:spacing w:line="400" w:lineRule="exact"/>
              <w:jc w:val="center"/>
              <w:rPr>
                <w:color w:val="auto"/>
                <w:szCs w:val="21"/>
                <w:highlight w:val="none"/>
              </w:rPr>
            </w:pPr>
          </w:p>
        </w:tc>
      </w:tr>
      <w:tr w14:paraId="218A0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442" w:type="dxa"/>
            <w:tcBorders>
              <w:top w:val="single" w:color="auto" w:sz="6" w:space="0"/>
              <w:left w:val="single" w:color="auto" w:sz="12" w:space="0"/>
              <w:bottom w:val="single" w:color="auto" w:sz="6" w:space="0"/>
              <w:right w:val="single" w:color="auto" w:sz="6" w:space="0"/>
            </w:tcBorders>
            <w:vAlign w:val="center"/>
          </w:tcPr>
          <w:p w14:paraId="11267997">
            <w:pPr>
              <w:spacing w:line="400" w:lineRule="exact"/>
              <w:jc w:val="center"/>
              <w:rPr>
                <w:color w:val="auto"/>
                <w:szCs w:val="21"/>
                <w:highlight w:val="none"/>
              </w:rPr>
            </w:pPr>
          </w:p>
        </w:tc>
        <w:tc>
          <w:tcPr>
            <w:tcW w:w="1182" w:type="dxa"/>
            <w:tcBorders>
              <w:top w:val="single" w:color="auto" w:sz="6" w:space="0"/>
              <w:left w:val="single" w:color="auto" w:sz="6" w:space="0"/>
              <w:bottom w:val="single" w:color="auto" w:sz="6" w:space="0"/>
              <w:right w:val="single" w:color="auto" w:sz="6" w:space="0"/>
            </w:tcBorders>
            <w:vAlign w:val="center"/>
          </w:tcPr>
          <w:p w14:paraId="1C05463B">
            <w:pPr>
              <w:spacing w:line="400" w:lineRule="exact"/>
              <w:jc w:val="center"/>
              <w:rPr>
                <w:color w:val="auto"/>
                <w:szCs w:val="21"/>
                <w:highlight w:val="none"/>
              </w:rPr>
            </w:pPr>
          </w:p>
        </w:tc>
        <w:tc>
          <w:tcPr>
            <w:tcW w:w="2256" w:type="dxa"/>
            <w:tcBorders>
              <w:top w:val="single" w:color="auto" w:sz="6" w:space="0"/>
              <w:left w:val="single" w:color="auto" w:sz="6" w:space="0"/>
              <w:bottom w:val="single" w:color="auto" w:sz="6" w:space="0"/>
              <w:right w:val="single" w:color="auto" w:sz="6" w:space="0"/>
            </w:tcBorders>
            <w:vAlign w:val="center"/>
          </w:tcPr>
          <w:p w14:paraId="2C236C71">
            <w:pPr>
              <w:spacing w:line="400" w:lineRule="exact"/>
              <w:jc w:val="center"/>
              <w:rPr>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vAlign w:val="center"/>
          </w:tcPr>
          <w:p w14:paraId="6722B23D">
            <w:pPr>
              <w:spacing w:line="400" w:lineRule="exact"/>
              <w:jc w:val="center"/>
              <w:rPr>
                <w:color w:val="auto"/>
                <w:szCs w:val="21"/>
                <w:highlight w:val="none"/>
              </w:rPr>
            </w:pPr>
          </w:p>
        </w:tc>
        <w:tc>
          <w:tcPr>
            <w:tcW w:w="1205" w:type="dxa"/>
            <w:tcBorders>
              <w:top w:val="single" w:color="auto" w:sz="6" w:space="0"/>
              <w:left w:val="single" w:color="auto" w:sz="6" w:space="0"/>
              <w:bottom w:val="single" w:color="auto" w:sz="6" w:space="0"/>
              <w:right w:val="single" w:color="auto" w:sz="6" w:space="0"/>
            </w:tcBorders>
            <w:vAlign w:val="center"/>
          </w:tcPr>
          <w:p w14:paraId="582E0BEC">
            <w:pPr>
              <w:spacing w:line="400" w:lineRule="exact"/>
              <w:jc w:val="center"/>
              <w:rPr>
                <w:color w:val="auto"/>
                <w:szCs w:val="21"/>
                <w:highlight w:val="none"/>
              </w:rPr>
            </w:pPr>
          </w:p>
        </w:tc>
        <w:tc>
          <w:tcPr>
            <w:tcW w:w="2358" w:type="dxa"/>
            <w:tcBorders>
              <w:top w:val="single" w:color="auto" w:sz="6" w:space="0"/>
              <w:left w:val="single" w:color="auto" w:sz="6" w:space="0"/>
              <w:bottom w:val="single" w:color="auto" w:sz="6" w:space="0"/>
              <w:right w:val="single" w:color="auto" w:sz="12" w:space="0"/>
            </w:tcBorders>
            <w:vAlign w:val="center"/>
          </w:tcPr>
          <w:p w14:paraId="48839118">
            <w:pPr>
              <w:spacing w:line="400" w:lineRule="exact"/>
              <w:jc w:val="center"/>
              <w:rPr>
                <w:color w:val="auto"/>
                <w:szCs w:val="21"/>
                <w:highlight w:val="none"/>
              </w:rPr>
            </w:pPr>
          </w:p>
        </w:tc>
      </w:tr>
      <w:tr w14:paraId="2C201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442" w:type="dxa"/>
            <w:tcBorders>
              <w:top w:val="single" w:color="auto" w:sz="6" w:space="0"/>
              <w:left w:val="single" w:color="auto" w:sz="12" w:space="0"/>
              <w:bottom w:val="single" w:color="auto" w:sz="6" w:space="0"/>
              <w:right w:val="single" w:color="auto" w:sz="6" w:space="0"/>
            </w:tcBorders>
            <w:vAlign w:val="center"/>
          </w:tcPr>
          <w:p w14:paraId="17455C16">
            <w:pPr>
              <w:spacing w:line="400" w:lineRule="exact"/>
              <w:jc w:val="center"/>
              <w:rPr>
                <w:color w:val="auto"/>
                <w:szCs w:val="21"/>
                <w:highlight w:val="none"/>
              </w:rPr>
            </w:pPr>
          </w:p>
        </w:tc>
        <w:tc>
          <w:tcPr>
            <w:tcW w:w="1182" w:type="dxa"/>
            <w:tcBorders>
              <w:top w:val="single" w:color="auto" w:sz="6" w:space="0"/>
              <w:left w:val="single" w:color="auto" w:sz="6" w:space="0"/>
              <w:bottom w:val="single" w:color="auto" w:sz="6" w:space="0"/>
              <w:right w:val="single" w:color="auto" w:sz="6" w:space="0"/>
            </w:tcBorders>
            <w:vAlign w:val="center"/>
          </w:tcPr>
          <w:p w14:paraId="4FF20466">
            <w:pPr>
              <w:spacing w:line="400" w:lineRule="exact"/>
              <w:jc w:val="center"/>
              <w:rPr>
                <w:color w:val="auto"/>
                <w:szCs w:val="21"/>
                <w:highlight w:val="none"/>
              </w:rPr>
            </w:pPr>
          </w:p>
        </w:tc>
        <w:tc>
          <w:tcPr>
            <w:tcW w:w="2256" w:type="dxa"/>
            <w:tcBorders>
              <w:top w:val="single" w:color="auto" w:sz="6" w:space="0"/>
              <w:left w:val="single" w:color="auto" w:sz="6" w:space="0"/>
              <w:bottom w:val="single" w:color="auto" w:sz="6" w:space="0"/>
              <w:right w:val="single" w:color="auto" w:sz="6" w:space="0"/>
            </w:tcBorders>
            <w:vAlign w:val="center"/>
          </w:tcPr>
          <w:p w14:paraId="7103D43F">
            <w:pPr>
              <w:spacing w:line="400" w:lineRule="exact"/>
              <w:jc w:val="center"/>
              <w:rPr>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vAlign w:val="center"/>
          </w:tcPr>
          <w:p w14:paraId="1B00AACE">
            <w:pPr>
              <w:spacing w:line="400" w:lineRule="exact"/>
              <w:jc w:val="center"/>
              <w:rPr>
                <w:color w:val="auto"/>
                <w:szCs w:val="21"/>
                <w:highlight w:val="none"/>
              </w:rPr>
            </w:pPr>
          </w:p>
        </w:tc>
        <w:tc>
          <w:tcPr>
            <w:tcW w:w="1205" w:type="dxa"/>
            <w:tcBorders>
              <w:top w:val="single" w:color="auto" w:sz="6" w:space="0"/>
              <w:left w:val="single" w:color="auto" w:sz="6" w:space="0"/>
              <w:bottom w:val="single" w:color="auto" w:sz="6" w:space="0"/>
              <w:right w:val="single" w:color="auto" w:sz="6" w:space="0"/>
            </w:tcBorders>
            <w:vAlign w:val="center"/>
          </w:tcPr>
          <w:p w14:paraId="1609CE4C">
            <w:pPr>
              <w:spacing w:line="400" w:lineRule="exact"/>
              <w:jc w:val="center"/>
              <w:rPr>
                <w:color w:val="auto"/>
                <w:szCs w:val="21"/>
                <w:highlight w:val="none"/>
              </w:rPr>
            </w:pPr>
          </w:p>
        </w:tc>
        <w:tc>
          <w:tcPr>
            <w:tcW w:w="2358" w:type="dxa"/>
            <w:tcBorders>
              <w:top w:val="single" w:color="auto" w:sz="6" w:space="0"/>
              <w:left w:val="single" w:color="auto" w:sz="6" w:space="0"/>
              <w:bottom w:val="single" w:color="auto" w:sz="6" w:space="0"/>
              <w:right w:val="single" w:color="auto" w:sz="12" w:space="0"/>
            </w:tcBorders>
            <w:vAlign w:val="center"/>
          </w:tcPr>
          <w:p w14:paraId="604FA074">
            <w:pPr>
              <w:spacing w:line="400" w:lineRule="exact"/>
              <w:jc w:val="center"/>
              <w:rPr>
                <w:color w:val="auto"/>
                <w:szCs w:val="21"/>
                <w:highlight w:val="none"/>
              </w:rPr>
            </w:pPr>
          </w:p>
        </w:tc>
      </w:tr>
      <w:tr w14:paraId="16201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442" w:type="dxa"/>
            <w:tcBorders>
              <w:top w:val="single" w:color="auto" w:sz="6" w:space="0"/>
              <w:left w:val="single" w:color="auto" w:sz="12" w:space="0"/>
              <w:bottom w:val="single" w:color="auto" w:sz="6" w:space="0"/>
              <w:right w:val="single" w:color="auto" w:sz="6" w:space="0"/>
            </w:tcBorders>
            <w:vAlign w:val="center"/>
          </w:tcPr>
          <w:p w14:paraId="7A8DC47C">
            <w:pPr>
              <w:spacing w:line="400" w:lineRule="exact"/>
              <w:jc w:val="center"/>
              <w:rPr>
                <w:color w:val="auto"/>
                <w:szCs w:val="21"/>
                <w:highlight w:val="none"/>
              </w:rPr>
            </w:pPr>
          </w:p>
        </w:tc>
        <w:tc>
          <w:tcPr>
            <w:tcW w:w="1182" w:type="dxa"/>
            <w:tcBorders>
              <w:top w:val="single" w:color="auto" w:sz="6" w:space="0"/>
              <w:left w:val="single" w:color="auto" w:sz="6" w:space="0"/>
              <w:bottom w:val="single" w:color="auto" w:sz="6" w:space="0"/>
              <w:right w:val="single" w:color="auto" w:sz="6" w:space="0"/>
            </w:tcBorders>
            <w:vAlign w:val="center"/>
          </w:tcPr>
          <w:p w14:paraId="4C02C0C8">
            <w:pPr>
              <w:spacing w:line="400" w:lineRule="exact"/>
              <w:jc w:val="center"/>
              <w:rPr>
                <w:bCs/>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vAlign w:val="center"/>
          </w:tcPr>
          <w:p w14:paraId="0FE175D1">
            <w:pPr>
              <w:spacing w:line="400" w:lineRule="exact"/>
              <w:jc w:val="center"/>
              <w:rPr>
                <w:color w:val="auto"/>
                <w:szCs w:val="21"/>
                <w:highlight w:val="none"/>
              </w:rPr>
            </w:pPr>
          </w:p>
        </w:tc>
        <w:tc>
          <w:tcPr>
            <w:tcW w:w="1981" w:type="dxa"/>
            <w:tcBorders>
              <w:top w:val="single" w:color="auto" w:sz="6" w:space="0"/>
              <w:left w:val="single" w:color="auto" w:sz="6" w:space="0"/>
              <w:bottom w:val="single" w:color="auto" w:sz="6" w:space="0"/>
              <w:right w:val="single" w:color="auto" w:sz="6" w:space="0"/>
            </w:tcBorders>
            <w:vAlign w:val="center"/>
          </w:tcPr>
          <w:p w14:paraId="608BB515">
            <w:pPr>
              <w:spacing w:line="400" w:lineRule="exact"/>
              <w:jc w:val="center"/>
              <w:rPr>
                <w:color w:val="auto"/>
                <w:szCs w:val="21"/>
                <w:highlight w:val="none"/>
              </w:rPr>
            </w:pPr>
          </w:p>
        </w:tc>
        <w:tc>
          <w:tcPr>
            <w:tcW w:w="1205" w:type="dxa"/>
            <w:tcBorders>
              <w:top w:val="single" w:color="auto" w:sz="6" w:space="0"/>
              <w:left w:val="single" w:color="auto" w:sz="6" w:space="0"/>
              <w:bottom w:val="single" w:color="auto" w:sz="6" w:space="0"/>
              <w:right w:val="single" w:color="auto" w:sz="6" w:space="0"/>
            </w:tcBorders>
            <w:vAlign w:val="center"/>
          </w:tcPr>
          <w:p w14:paraId="71F11D8F">
            <w:pPr>
              <w:spacing w:line="400" w:lineRule="exact"/>
              <w:jc w:val="center"/>
              <w:rPr>
                <w:color w:val="auto"/>
                <w:szCs w:val="21"/>
                <w:highlight w:val="none"/>
              </w:rPr>
            </w:pPr>
          </w:p>
        </w:tc>
        <w:tc>
          <w:tcPr>
            <w:tcW w:w="2358" w:type="dxa"/>
            <w:tcBorders>
              <w:top w:val="single" w:color="auto" w:sz="6" w:space="0"/>
              <w:left w:val="single" w:color="auto" w:sz="6" w:space="0"/>
              <w:bottom w:val="single" w:color="auto" w:sz="6" w:space="0"/>
              <w:right w:val="single" w:color="auto" w:sz="12" w:space="0"/>
            </w:tcBorders>
            <w:vAlign w:val="center"/>
          </w:tcPr>
          <w:p w14:paraId="4B16FBAB">
            <w:pPr>
              <w:spacing w:line="400" w:lineRule="exact"/>
              <w:jc w:val="center"/>
              <w:rPr>
                <w:color w:val="auto"/>
                <w:szCs w:val="21"/>
                <w:highlight w:val="none"/>
              </w:rPr>
            </w:pPr>
          </w:p>
        </w:tc>
      </w:tr>
      <w:tr w14:paraId="63657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442" w:type="dxa"/>
            <w:tcBorders>
              <w:top w:val="single" w:color="auto" w:sz="6" w:space="0"/>
              <w:left w:val="single" w:color="auto" w:sz="12" w:space="0"/>
              <w:bottom w:val="single" w:color="auto" w:sz="12" w:space="0"/>
              <w:right w:val="single" w:color="auto" w:sz="6" w:space="0"/>
            </w:tcBorders>
            <w:vAlign w:val="center"/>
          </w:tcPr>
          <w:p w14:paraId="2E42B1EC">
            <w:pPr>
              <w:spacing w:line="400" w:lineRule="exact"/>
              <w:jc w:val="center"/>
              <w:rPr>
                <w:color w:val="auto"/>
                <w:szCs w:val="21"/>
                <w:highlight w:val="none"/>
              </w:rPr>
            </w:pPr>
          </w:p>
        </w:tc>
        <w:tc>
          <w:tcPr>
            <w:tcW w:w="1182" w:type="dxa"/>
            <w:tcBorders>
              <w:top w:val="single" w:color="auto" w:sz="6" w:space="0"/>
              <w:left w:val="single" w:color="auto" w:sz="6" w:space="0"/>
              <w:bottom w:val="single" w:color="auto" w:sz="12" w:space="0"/>
              <w:right w:val="single" w:color="auto" w:sz="6" w:space="0"/>
            </w:tcBorders>
            <w:vAlign w:val="center"/>
          </w:tcPr>
          <w:p w14:paraId="12A0A8A3">
            <w:pPr>
              <w:spacing w:line="400" w:lineRule="exact"/>
              <w:jc w:val="center"/>
              <w:rPr>
                <w:bCs/>
                <w:color w:val="auto"/>
                <w:sz w:val="21"/>
                <w:szCs w:val="21"/>
                <w:highlight w:val="none"/>
                <w:lang w:val="en-US"/>
              </w:rPr>
            </w:pPr>
          </w:p>
        </w:tc>
        <w:tc>
          <w:tcPr>
            <w:tcW w:w="2256" w:type="dxa"/>
            <w:tcBorders>
              <w:top w:val="single" w:color="auto" w:sz="6" w:space="0"/>
              <w:left w:val="single" w:color="auto" w:sz="6" w:space="0"/>
              <w:bottom w:val="single" w:color="auto" w:sz="12" w:space="0"/>
              <w:right w:val="single" w:color="auto" w:sz="6" w:space="0"/>
            </w:tcBorders>
            <w:vAlign w:val="center"/>
          </w:tcPr>
          <w:p w14:paraId="70F18808">
            <w:pPr>
              <w:spacing w:line="400" w:lineRule="exact"/>
              <w:jc w:val="center"/>
              <w:rPr>
                <w:color w:val="auto"/>
                <w:szCs w:val="21"/>
                <w:highlight w:val="none"/>
              </w:rPr>
            </w:pPr>
          </w:p>
        </w:tc>
        <w:tc>
          <w:tcPr>
            <w:tcW w:w="1981" w:type="dxa"/>
            <w:tcBorders>
              <w:top w:val="single" w:color="auto" w:sz="6" w:space="0"/>
              <w:left w:val="single" w:color="auto" w:sz="6" w:space="0"/>
              <w:bottom w:val="single" w:color="auto" w:sz="12" w:space="0"/>
              <w:right w:val="single" w:color="auto" w:sz="6" w:space="0"/>
            </w:tcBorders>
            <w:vAlign w:val="center"/>
          </w:tcPr>
          <w:p w14:paraId="5C7D1B1C">
            <w:pPr>
              <w:spacing w:line="400" w:lineRule="exact"/>
              <w:jc w:val="center"/>
              <w:rPr>
                <w:color w:val="auto"/>
                <w:szCs w:val="21"/>
                <w:highlight w:val="none"/>
              </w:rPr>
            </w:pPr>
          </w:p>
        </w:tc>
        <w:tc>
          <w:tcPr>
            <w:tcW w:w="1205" w:type="dxa"/>
            <w:tcBorders>
              <w:top w:val="single" w:color="auto" w:sz="6" w:space="0"/>
              <w:left w:val="single" w:color="auto" w:sz="6" w:space="0"/>
              <w:bottom w:val="single" w:color="auto" w:sz="12" w:space="0"/>
              <w:right w:val="single" w:color="auto" w:sz="6" w:space="0"/>
            </w:tcBorders>
            <w:vAlign w:val="center"/>
          </w:tcPr>
          <w:p w14:paraId="7BB735A8">
            <w:pPr>
              <w:spacing w:line="400" w:lineRule="exact"/>
              <w:jc w:val="center"/>
              <w:rPr>
                <w:color w:val="auto"/>
                <w:szCs w:val="21"/>
                <w:highlight w:val="none"/>
              </w:rPr>
            </w:pPr>
          </w:p>
        </w:tc>
        <w:tc>
          <w:tcPr>
            <w:tcW w:w="2358" w:type="dxa"/>
            <w:tcBorders>
              <w:top w:val="single" w:color="auto" w:sz="6" w:space="0"/>
              <w:left w:val="single" w:color="auto" w:sz="6" w:space="0"/>
              <w:bottom w:val="single" w:color="auto" w:sz="12" w:space="0"/>
              <w:right w:val="single" w:color="auto" w:sz="12" w:space="0"/>
            </w:tcBorders>
            <w:vAlign w:val="center"/>
          </w:tcPr>
          <w:p w14:paraId="43B96966">
            <w:pPr>
              <w:spacing w:line="400" w:lineRule="exact"/>
              <w:jc w:val="center"/>
              <w:rPr>
                <w:color w:val="auto"/>
                <w:szCs w:val="21"/>
                <w:highlight w:val="none"/>
              </w:rPr>
            </w:pPr>
          </w:p>
        </w:tc>
      </w:tr>
    </w:tbl>
    <w:p w14:paraId="57C5335E">
      <w:pPr>
        <w:spacing w:before="120"/>
        <w:rPr>
          <w:color w:val="auto"/>
          <w:szCs w:val="21"/>
          <w:highlight w:val="none"/>
        </w:rPr>
      </w:pPr>
      <w:r>
        <w:rPr>
          <w:rFonts w:hint="eastAsia"/>
          <w:b/>
          <w:color w:val="auto"/>
          <w:szCs w:val="21"/>
          <w:highlight w:val="none"/>
        </w:rPr>
        <w:t>备注：</w:t>
      </w:r>
      <w:r>
        <w:rPr>
          <w:rFonts w:hint="eastAsia"/>
          <w:b/>
          <w:color w:val="auto"/>
          <w:sz w:val="21"/>
          <w:szCs w:val="21"/>
          <w:highlight w:val="none"/>
        </w:rPr>
        <w:t>须提供招标文件要求的证明材料。</w:t>
      </w:r>
    </w:p>
    <w:p w14:paraId="31B90152">
      <w:pPr>
        <w:adjustRightInd w:val="0"/>
        <w:snapToGrid w:val="0"/>
        <w:spacing w:line="360" w:lineRule="auto"/>
        <w:rPr>
          <w:color w:val="auto"/>
          <w:szCs w:val="21"/>
          <w:highlight w:val="none"/>
        </w:rPr>
      </w:pPr>
    </w:p>
    <w:p w14:paraId="2B55EA20">
      <w:pPr>
        <w:adjustRightInd w:val="0"/>
        <w:snapToGrid w:val="0"/>
        <w:spacing w:line="360" w:lineRule="auto"/>
        <w:rPr>
          <w:color w:val="auto"/>
          <w:szCs w:val="21"/>
          <w:highlight w:val="none"/>
        </w:rPr>
      </w:pPr>
    </w:p>
    <w:p w14:paraId="57F0B2D7">
      <w:pPr>
        <w:adjustRightInd w:val="0"/>
        <w:snapToGrid w:val="0"/>
        <w:spacing w:line="360" w:lineRule="auto"/>
        <w:rPr>
          <w:color w:val="auto"/>
          <w:szCs w:val="21"/>
          <w:highlight w:val="none"/>
        </w:rPr>
      </w:pPr>
      <w:r>
        <w:rPr>
          <w:rFonts w:hint="eastAsia"/>
          <w:color w:val="auto"/>
          <w:szCs w:val="21"/>
          <w:highlight w:val="none"/>
        </w:rPr>
        <w:t>投标人法定代表人（或法定代表人授权代表）签字（或签字章）：</w:t>
      </w:r>
      <w:r>
        <w:rPr>
          <w:rFonts w:hint="eastAsia"/>
          <w:color w:val="auto"/>
          <w:szCs w:val="21"/>
          <w:highlight w:val="none"/>
          <w:u w:val="single"/>
        </w:rPr>
        <w:t xml:space="preserve">          </w:t>
      </w:r>
    </w:p>
    <w:p w14:paraId="0755C4AE">
      <w:pPr>
        <w:adjustRightInd w:val="0"/>
        <w:snapToGrid w:val="0"/>
        <w:spacing w:line="360" w:lineRule="auto"/>
        <w:rPr>
          <w:color w:val="auto"/>
          <w:szCs w:val="21"/>
          <w:highlight w:val="none"/>
          <w:u w:val="single"/>
        </w:rPr>
      </w:pPr>
      <w:r>
        <w:rPr>
          <w:rFonts w:hint="eastAsia"/>
          <w:color w:val="auto"/>
          <w:szCs w:val="21"/>
          <w:highlight w:val="none"/>
        </w:rPr>
        <w:t>投标人名称（签章）：</w:t>
      </w:r>
      <w:r>
        <w:rPr>
          <w:rFonts w:hint="eastAsia"/>
          <w:color w:val="auto"/>
          <w:szCs w:val="21"/>
          <w:highlight w:val="none"/>
          <w:u w:val="single"/>
        </w:rPr>
        <w:t xml:space="preserve">            </w:t>
      </w:r>
    </w:p>
    <w:p w14:paraId="53205792">
      <w:pPr>
        <w:adjustRightInd w:val="0"/>
        <w:snapToGrid w:val="0"/>
        <w:spacing w:line="360" w:lineRule="auto"/>
        <w:rPr>
          <w:color w:val="auto"/>
          <w:szCs w:val="21"/>
          <w:highlight w:val="none"/>
        </w:rPr>
      </w:pPr>
      <w:r>
        <w:rPr>
          <w:rFonts w:hint="eastAsia"/>
          <w:color w:val="auto"/>
          <w:szCs w:val="21"/>
          <w:highlight w:val="none"/>
        </w:rPr>
        <w:t>日  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1B48C2F2">
      <w:pPr>
        <w:adjustRightInd w:val="0"/>
        <w:snapToGrid w:val="0"/>
        <w:spacing w:line="360" w:lineRule="auto"/>
        <w:rPr>
          <w:color w:val="auto"/>
          <w:szCs w:val="21"/>
          <w:highlight w:val="none"/>
        </w:rPr>
      </w:pPr>
    </w:p>
    <w:p w14:paraId="47BCA484">
      <w:pPr>
        <w:adjustRightInd w:val="0"/>
        <w:snapToGrid w:val="0"/>
        <w:spacing w:line="360" w:lineRule="auto"/>
        <w:rPr>
          <w:color w:val="auto"/>
          <w:szCs w:val="21"/>
          <w:highlight w:val="none"/>
        </w:rPr>
      </w:pPr>
    </w:p>
    <w:p w14:paraId="03375183">
      <w:pPr>
        <w:adjustRightInd w:val="0"/>
        <w:snapToGrid w:val="0"/>
        <w:spacing w:line="360" w:lineRule="auto"/>
        <w:jc w:val="center"/>
        <w:rPr>
          <w:color w:val="auto"/>
          <w:sz w:val="21"/>
          <w:szCs w:val="21"/>
          <w:highlight w:val="none"/>
          <w:lang w:val="en-US"/>
        </w:rPr>
      </w:pPr>
      <w:r>
        <w:rPr>
          <w:rFonts w:hint="eastAsia"/>
          <w:color w:val="auto"/>
          <w:szCs w:val="21"/>
          <w:highlight w:val="none"/>
        </w:rPr>
        <w:br w:type="page"/>
      </w:r>
      <w:bookmarkEnd w:id="256"/>
    </w:p>
    <w:p w14:paraId="08BD6BAF">
      <w:pPr>
        <w:pStyle w:val="3"/>
        <w:keepNext w:val="0"/>
        <w:keepLines w:val="0"/>
        <w:widowControl/>
        <w:numPr>
          <w:ilvl w:val="1"/>
          <w:numId w:val="25"/>
        </w:numPr>
        <w:spacing w:before="188" w:after="188"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 xml:space="preserve"> </w:t>
      </w:r>
      <w:bookmarkStart w:id="257" w:name="_Toc86349495"/>
      <w:bookmarkStart w:id="258" w:name="_Toc368513835"/>
      <w:bookmarkStart w:id="259" w:name="_Toc29825829"/>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类似项目业绩一览表</w:t>
      </w:r>
      <w:bookmarkEnd w:id="257"/>
      <w:bookmarkEnd w:id="258"/>
      <w:bookmarkEnd w:id="259"/>
    </w:p>
    <w:p w14:paraId="2EFE513C">
      <w:pPr>
        <w:rPr>
          <w:color w:val="auto"/>
          <w:highlight w:val="none"/>
        </w:rPr>
      </w:pPr>
    </w:p>
    <w:tbl>
      <w:tblPr>
        <w:tblStyle w:val="34"/>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236"/>
        <w:gridCol w:w="1236"/>
        <w:gridCol w:w="1236"/>
        <w:gridCol w:w="1236"/>
        <w:gridCol w:w="2160"/>
      </w:tblGrid>
      <w:tr w14:paraId="74B6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6" w:type="dxa"/>
            <w:tcBorders>
              <w:top w:val="single" w:color="auto" w:sz="4" w:space="0"/>
              <w:left w:val="single" w:color="auto" w:sz="4" w:space="0"/>
              <w:bottom w:val="single" w:color="auto" w:sz="4" w:space="0"/>
              <w:right w:val="single" w:color="auto" w:sz="4" w:space="0"/>
            </w:tcBorders>
          </w:tcPr>
          <w:p w14:paraId="46C2A8AB">
            <w:pPr>
              <w:spacing w:before="156" w:after="156" w:line="400" w:lineRule="exact"/>
              <w:jc w:val="center"/>
              <w:rPr>
                <w:b/>
                <w:color w:val="auto"/>
                <w:sz w:val="21"/>
                <w:szCs w:val="21"/>
                <w:highlight w:val="none"/>
              </w:rPr>
            </w:pPr>
            <w:r>
              <w:rPr>
                <w:rFonts w:hint="eastAsia"/>
                <w:b/>
                <w:color w:val="auto"/>
                <w:sz w:val="21"/>
                <w:szCs w:val="21"/>
                <w:highlight w:val="none"/>
              </w:rPr>
              <w:t>序号</w:t>
            </w:r>
          </w:p>
        </w:tc>
        <w:tc>
          <w:tcPr>
            <w:tcW w:w="1236" w:type="dxa"/>
            <w:tcBorders>
              <w:top w:val="single" w:color="auto" w:sz="4" w:space="0"/>
              <w:left w:val="single" w:color="auto" w:sz="4" w:space="0"/>
              <w:bottom w:val="single" w:color="auto" w:sz="4" w:space="0"/>
              <w:right w:val="single" w:color="auto" w:sz="4" w:space="0"/>
            </w:tcBorders>
          </w:tcPr>
          <w:p w14:paraId="0542AB85">
            <w:pPr>
              <w:spacing w:before="156" w:after="156" w:line="400" w:lineRule="exact"/>
              <w:jc w:val="center"/>
              <w:rPr>
                <w:b/>
                <w:color w:val="auto"/>
                <w:sz w:val="21"/>
                <w:szCs w:val="21"/>
                <w:highlight w:val="none"/>
              </w:rPr>
            </w:pPr>
            <w:r>
              <w:rPr>
                <w:rFonts w:hint="eastAsia"/>
                <w:b/>
                <w:color w:val="auto"/>
                <w:sz w:val="21"/>
                <w:szCs w:val="21"/>
                <w:highlight w:val="none"/>
              </w:rPr>
              <w:t>项目名称</w:t>
            </w:r>
          </w:p>
        </w:tc>
        <w:tc>
          <w:tcPr>
            <w:tcW w:w="1236" w:type="dxa"/>
            <w:tcBorders>
              <w:top w:val="single" w:color="auto" w:sz="4" w:space="0"/>
              <w:left w:val="single" w:color="auto" w:sz="4" w:space="0"/>
              <w:bottom w:val="single" w:color="auto" w:sz="4" w:space="0"/>
              <w:right w:val="single" w:color="auto" w:sz="4" w:space="0"/>
            </w:tcBorders>
          </w:tcPr>
          <w:p w14:paraId="55F92415">
            <w:pPr>
              <w:spacing w:before="156" w:after="156" w:line="400" w:lineRule="exact"/>
              <w:jc w:val="center"/>
              <w:rPr>
                <w:b/>
                <w:color w:val="auto"/>
                <w:sz w:val="21"/>
                <w:szCs w:val="21"/>
                <w:highlight w:val="none"/>
              </w:rPr>
            </w:pPr>
            <w:r>
              <w:rPr>
                <w:rFonts w:hint="eastAsia"/>
                <w:b/>
                <w:color w:val="auto"/>
                <w:sz w:val="21"/>
                <w:szCs w:val="21"/>
                <w:highlight w:val="none"/>
              </w:rPr>
              <w:t>项目地点</w:t>
            </w:r>
          </w:p>
        </w:tc>
        <w:tc>
          <w:tcPr>
            <w:tcW w:w="1236" w:type="dxa"/>
            <w:tcBorders>
              <w:top w:val="single" w:color="auto" w:sz="4" w:space="0"/>
              <w:left w:val="single" w:color="auto" w:sz="4" w:space="0"/>
              <w:bottom w:val="single" w:color="auto" w:sz="4" w:space="0"/>
              <w:right w:val="single" w:color="auto" w:sz="4" w:space="0"/>
            </w:tcBorders>
          </w:tcPr>
          <w:p w14:paraId="25DE665C">
            <w:pPr>
              <w:spacing w:before="156" w:after="156" w:line="400" w:lineRule="exact"/>
              <w:jc w:val="center"/>
              <w:rPr>
                <w:b/>
                <w:color w:val="auto"/>
                <w:sz w:val="21"/>
                <w:szCs w:val="21"/>
                <w:highlight w:val="none"/>
              </w:rPr>
            </w:pPr>
            <w:r>
              <w:rPr>
                <w:rFonts w:hint="eastAsia"/>
                <w:b/>
                <w:color w:val="auto"/>
                <w:sz w:val="21"/>
                <w:szCs w:val="21"/>
                <w:highlight w:val="none"/>
              </w:rPr>
              <w:t>总价(人民币：万元)</w:t>
            </w:r>
          </w:p>
        </w:tc>
        <w:tc>
          <w:tcPr>
            <w:tcW w:w="1236" w:type="dxa"/>
            <w:tcBorders>
              <w:top w:val="single" w:color="auto" w:sz="4" w:space="0"/>
              <w:left w:val="single" w:color="auto" w:sz="4" w:space="0"/>
              <w:bottom w:val="single" w:color="auto" w:sz="4" w:space="0"/>
              <w:right w:val="single" w:color="auto" w:sz="4" w:space="0"/>
            </w:tcBorders>
          </w:tcPr>
          <w:p w14:paraId="0DF649D0">
            <w:pPr>
              <w:spacing w:before="156" w:after="156" w:line="400" w:lineRule="exact"/>
              <w:jc w:val="center"/>
              <w:rPr>
                <w:b/>
                <w:color w:val="auto"/>
                <w:sz w:val="21"/>
                <w:szCs w:val="21"/>
                <w:highlight w:val="none"/>
              </w:rPr>
            </w:pPr>
            <w:r>
              <w:rPr>
                <w:rFonts w:hint="eastAsia"/>
                <w:b/>
                <w:color w:val="auto"/>
                <w:sz w:val="21"/>
                <w:szCs w:val="21"/>
                <w:highlight w:val="none"/>
              </w:rPr>
              <w:t>签约日期</w:t>
            </w:r>
          </w:p>
        </w:tc>
        <w:tc>
          <w:tcPr>
            <w:tcW w:w="1236" w:type="dxa"/>
            <w:tcBorders>
              <w:top w:val="single" w:color="auto" w:sz="4" w:space="0"/>
              <w:left w:val="single" w:color="auto" w:sz="4" w:space="0"/>
              <w:bottom w:val="single" w:color="auto" w:sz="4" w:space="0"/>
              <w:right w:val="single" w:color="auto" w:sz="4" w:space="0"/>
            </w:tcBorders>
            <w:vAlign w:val="center"/>
          </w:tcPr>
          <w:p w14:paraId="11A7E8F6">
            <w:pPr>
              <w:snapToGrid w:val="0"/>
              <w:jc w:val="center"/>
              <w:rPr>
                <w:b/>
                <w:color w:val="auto"/>
                <w:sz w:val="21"/>
                <w:szCs w:val="21"/>
                <w:highlight w:val="none"/>
              </w:rPr>
            </w:pPr>
            <w:r>
              <w:rPr>
                <w:rFonts w:hint="eastAsia"/>
                <w:b/>
                <w:color w:val="auto"/>
                <w:sz w:val="21"/>
                <w:szCs w:val="21"/>
                <w:highlight w:val="none"/>
              </w:rPr>
              <w:t>项目业主负责人</w:t>
            </w:r>
          </w:p>
        </w:tc>
        <w:tc>
          <w:tcPr>
            <w:tcW w:w="2160" w:type="dxa"/>
            <w:tcBorders>
              <w:top w:val="single" w:color="auto" w:sz="4" w:space="0"/>
              <w:left w:val="single" w:color="auto" w:sz="4" w:space="0"/>
              <w:bottom w:val="single" w:color="auto" w:sz="4" w:space="0"/>
              <w:right w:val="single" w:color="auto" w:sz="4" w:space="0"/>
            </w:tcBorders>
          </w:tcPr>
          <w:p w14:paraId="17E1EFF5">
            <w:pPr>
              <w:spacing w:before="156" w:after="156" w:line="400" w:lineRule="exact"/>
              <w:jc w:val="center"/>
              <w:rPr>
                <w:b/>
                <w:color w:val="auto"/>
                <w:sz w:val="21"/>
                <w:szCs w:val="21"/>
                <w:highlight w:val="none"/>
              </w:rPr>
            </w:pPr>
            <w:r>
              <w:rPr>
                <w:rFonts w:hint="eastAsia"/>
                <w:b/>
                <w:color w:val="auto"/>
                <w:sz w:val="21"/>
                <w:szCs w:val="21"/>
                <w:highlight w:val="none"/>
              </w:rPr>
              <w:t>联系人及联系电话</w:t>
            </w:r>
          </w:p>
        </w:tc>
      </w:tr>
      <w:tr w14:paraId="04E9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14:paraId="4ABC442C">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050EC88F">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39CB692A">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6F401354">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130F5747">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04FAF194">
            <w:pPr>
              <w:spacing w:before="156" w:after="156" w:line="400" w:lineRule="exact"/>
              <w:rPr>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894EA2A">
            <w:pPr>
              <w:spacing w:before="156" w:after="156" w:line="400" w:lineRule="exact"/>
              <w:rPr>
                <w:color w:val="auto"/>
                <w:sz w:val="21"/>
                <w:szCs w:val="21"/>
                <w:highlight w:val="none"/>
              </w:rPr>
            </w:pPr>
          </w:p>
        </w:tc>
      </w:tr>
      <w:tr w14:paraId="1F62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14:paraId="5D9266D5">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5A99F6C6">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146D48BC">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1FC98FF1">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6EF58E21">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22F0CCDE">
            <w:pPr>
              <w:spacing w:before="156" w:after="156" w:line="400" w:lineRule="exact"/>
              <w:rPr>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491F8FC">
            <w:pPr>
              <w:spacing w:before="156" w:after="156" w:line="400" w:lineRule="exact"/>
              <w:rPr>
                <w:color w:val="auto"/>
                <w:sz w:val="21"/>
                <w:szCs w:val="21"/>
                <w:highlight w:val="none"/>
              </w:rPr>
            </w:pPr>
          </w:p>
        </w:tc>
      </w:tr>
      <w:tr w14:paraId="0E23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14:paraId="59FC7143">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7ACA5D09">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13208C9D">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32102735">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545D5777">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7394EC86">
            <w:pPr>
              <w:spacing w:before="156" w:after="156" w:line="400" w:lineRule="exact"/>
              <w:rPr>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719AF86">
            <w:pPr>
              <w:spacing w:before="156" w:after="156" w:line="400" w:lineRule="exact"/>
              <w:rPr>
                <w:color w:val="auto"/>
                <w:sz w:val="21"/>
                <w:szCs w:val="21"/>
                <w:highlight w:val="none"/>
              </w:rPr>
            </w:pPr>
          </w:p>
        </w:tc>
      </w:tr>
      <w:tr w14:paraId="1043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14:paraId="16B97B9D">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2A77B3DA">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3E68FDD1">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25464887">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3F9C59F9">
            <w:pPr>
              <w:spacing w:before="156" w:after="156" w:line="400" w:lineRule="exact"/>
              <w:rPr>
                <w:color w:val="auto"/>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14:paraId="452A898C">
            <w:pPr>
              <w:spacing w:before="156" w:after="156" w:line="400" w:lineRule="exact"/>
              <w:rPr>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11B961D">
            <w:pPr>
              <w:spacing w:before="156" w:after="156" w:line="400" w:lineRule="exact"/>
              <w:rPr>
                <w:color w:val="auto"/>
                <w:sz w:val="21"/>
                <w:szCs w:val="21"/>
                <w:highlight w:val="none"/>
              </w:rPr>
            </w:pPr>
          </w:p>
        </w:tc>
      </w:tr>
    </w:tbl>
    <w:p w14:paraId="64297770">
      <w:pPr>
        <w:spacing w:before="120"/>
        <w:rPr>
          <w:color w:val="auto"/>
          <w:sz w:val="21"/>
          <w:szCs w:val="21"/>
          <w:highlight w:val="none"/>
        </w:rPr>
      </w:pPr>
      <w:r>
        <w:rPr>
          <w:rFonts w:hint="eastAsia"/>
          <w:color w:val="auto"/>
          <w:sz w:val="21"/>
          <w:szCs w:val="21"/>
          <w:highlight w:val="none"/>
        </w:rPr>
        <w:t>（</w:t>
      </w:r>
      <w:r>
        <w:rPr>
          <w:rFonts w:hint="eastAsia"/>
          <w:color w:val="auto"/>
          <w:szCs w:val="21"/>
          <w:highlight w:val="none"/>
        </w:rPr>
        <w:t>本表可根据实际情况扩展此表格</w:t>
      </w:r>
      <w:r>
        <w:rPr>
          <w:rFonts w:hint="eastAsia"/>
          <w:color w:val="auto"/>
          <w:sz w:val="21"/>
          <w:szCs w:val="21"/>
          <w:highlight w:val="none"/>
        </w:rPr>
        <w:t>）</w:t>
      </w:r>
    </w:p>
    <w:p w14:paraId="5E462239">
      <w:pPr>
        <w:spacing w:before="156" w:after="156" w:line="360" w:lineRule="auto"/>
        <w:ind w:left="330" w:leftChars="150"/>
        <w:rPr>
          <w:color w:val="auto"/>
          <w:sz w:val="21"/>
          <w:highlight w:val="none"/>
        </w:rPr>
      </w:pPr>
      <w:r>
        <w:rPr>
          <w:rFonts w:hint="eastAsia"/>
          <w:b/>
          <w:color w:val="auto"/>
          <w:sz w:val="21"/>
          <w:szCs w:val="21"/>
          <w:highlight w:val="none"/>
        </w:rPr>
        <w:t>注：按评审细则提供证明材料。</w:t>
      </w:r>
    </w:p>
    <w:p w14:paraId="4EB45F7D">
      <w:pPr>
        <w:spacing w:before="156" w:after="156" w:line="360" w:lineRule="auto"/>
        <w:ind w:left="330" w:leftChars="150"/>
        <w:rPr>
          <w:color w:val="auto"/>
          <w:sz w:val="21"/>
          <w:szCs w:val="21"/>
          <w:highlight w:val="none"/>
        </w:rPr>
      </w:pPr>
    </w:p>
    <w:p w14:paraId="1CD39A18">
      <w:pPr>
        <w:spacing w:line="360" w:lineRule="auto"/>
        <w:ind w:left="330" w:leftChars="150"/>
        <w:rPr>
          <w:color w:val="auto"/>
          <w:sz w:val="21"/>
          <w:szCs w:val="21"/>
          <w:highlight w:val="none"/>
        </w:rPr>
      </w:pPr>
      <w:r>
        <w:rPr>
          <w:rFonts w:hint="eastAsia"/>
          <w:color w:val="auto"/>
          <w:sz w:val="21"/>
          <w:szCs w:val="21"/>
          <w:highlight w:val="none"/>
        </w:rPr>
        <w:t>投标人名称（并加盖公章）：</w:t>
      </w:r>
    </w:p>
    <w:p w14:paraId="32183712">
      <w:pPr>
        <w:spacing w:line="360" w:lineRule="auto"/>
        <w:ind w:left="330" w:leftChars="150"/>
        <w:rPr>
          <w:color w:val="auto"/>
          <w:sz w:val="21"/>
          <w:szCs w:val="21"/>
          <w:highlight w:val="none"/>
        </w:rPr>
      </w:pPr>
    </w:p>
    <w:p w14:paraId="1A52B8CE">
      <w:pPr>
        <w:spacing w:line="360" w:lineRule="auto"/>
        <w:ind w:left="330" w:leftChars="150"/>
        <w:rPr>
          <w:color w:val="auto"/>
          <w:sz w:val="21"/>
          <w:szCs w:val="21"/>
          <w:highlight w:val="none"/>
        </w:rPr>
      </w:pPr>
      <w:r>
        <w:rPr>
          <w:rFonts w:hint="eastAsia"/>
          <w:color w:val="auto"/>
          <w:sz w:val="21"/>
          <w:szCs w:val="21"/>
          <w:highlight w:val="none"/>
        </w:rPr>
        <w:t>投标人法定代表人或其委托人签字或印鉴：</w:t>
      </w:r>
      <w:r>
        <w:rPr>
          <w:rFonts w:hint="eastAsia"/>
          <w:color w:val="auto"/>
          <w:sz w:val="21"/>
          <w:szCs w:val="21"/>
          <w:highlight w:val="none"/>
          <w:u w:val="single"/>
        </w:rPr>
        <w:t xml:space="preserve">            </w:t>
      </w:r>
    </w:p>
    <w:p w14:paraId="364C6C92">
      <w:pPr>
        <w:spacing w:line="360" w:lineRule="auto"/>
        <w:ind w:left="330" w:leftChars="150"/>
        <w:rPr>
          <w:color w:val="auto"/>
          <w:sz w:val="21"/>
          <w:szCs w:val="21"/>
          <w:highlight w:val="none"/>
        </w:rPr>
      </w:pPr>
      <w:r>
        <w:rPr>
          <w:rFonts w:hint="eastAsia"/>
          <w:color w:val="auto"/>
          <w:sz w:val="21"/>
          <w:szCs w:val="21"/>
          <w:highlight w:val="none"/>
        </w:rPr>
        <w:t xml:space="preserve"> </w:t>
      </w:r>
    </w:p>
    <w:p w14:paraId="33CD3555">
      <w:pPr>
        <w:spacing w:before="156" w:after="156" w:line="360" w:lineRule="auto"/>
        <w:ind w:left="330" w:leftChars="150"/>
        <w:rPr>
          <w:color w:val="auto"/>
          <w:sz w:val="21"/>
          <w:szCs w:val="21"/>
          <w:highlight w:val="none"/>
        </w:rPr>
      </w:pPr>
      <w:r>
        <w:rPr>
          <w:rFonts w:hint="eastAsia"/>
          <w:color w:val="auto"/>
          <w:sz w:val="21"/>
          <w:szCs w:val="21"/>
          <w:highlight w:val="none"/>
        </w:rPr>
        <w:t>日  期：</w:t>
      </w:r>
      <w:bookmarkEnd w:id="253"/>
      <w:bookmarkStart w:id="260" w:name="_Toc29825830"/>
      <w:r>
        <w:rPr>
          <w:rFonts w:hint="eastAsia"/>
          <w:color w:val="auto"/>
          <w:sz w:val="21"/>
          <w:szCs w:val="21"/>
          <w:highlight w:val="none"/>
        </w:rPr>
        <w:t xml:space="preserve"> </w:t>
      </w:r>
    </w:p>
    <w:p w14:paraId="43741177">
      <w:pPr>
        <w:widowControl/>
        <w:autoSpaceDE/>
        <w:autoSpaceDN/>
        <w:spacing w:line="360" w:lineRule="auto"/>
        <w:rPr>
          <w:color w:val="auto"/>
          <w:sz w:val="21"/>
          <w:szCs w:val="21"/>
          <w:highlight w:val="none"/>
        </w:rPr>
        <w:sectPr>
          <w:pgSz w:w="11910" w:h="16840"/>
          <w:pgMar w:top="1060" w:right="851" w:bottom="1134" w:left="851" w:header="851" w:footer="1004" w:gutter="0"/>
          <w:cols w:space="720" w:num="1"/>
        </w:sectPr>
      </w:pPr>
    </w:p>
    <w:p w14:paraId="67071B63">
      <w:pPr>
        <w:pStyle w:val="3"/>
        <w:keepNext w:val="0"/>
        <w:keepLines w:val="0"/>
        <w:widowControl/>
        <w:numPr>
          <w:ilvl w:val="1"/>
          <w:numId w:val="25"/>
        </w:numPr>
        <w:spacing w:before="188" w:after="188" w:line="400" w:lineRule="exact"/>
        <w:jc w:val="center"/>
        <w:rPr>
          <w:rFonts w:ascii="宋体" w:hAnsi="宋体" w:eastAsia="宋体" w:cs="宋体"/>
          <w:color w:val="auto"/>
          <w:sz w:val="21"/>
          <w:szCs w:val="21"/>
          <w:highlight w:val="none"/>
        </w:rPr>
      </w:pPr>
      <w:bookmarkStart w:id="261" w:name="_Toc86349498"/>
      <w:r>
        <w:rPr>
          <w:rFonts w:hint="eastAsia" w:ascii="宋体" w:hAnsi="宋体" w:eastAsia="宋体" w:cs="宋体"/>
          <w:color w:val="auto"/>
          <w:sz w:val="21"/>
          <w:szCs w:val="21"/>
          <w:highlight w:val="none"/>
        </w:rPr>
        <w:t xml:space="preserve">  投标人认为有必要提供的其它资料。</w:t>
      </w:r>
      <w:bookmarkEnd w:id="261"/>
    </w:p>
    <w:p w14:paraId="00D20BB7">
      <w:pPr>
        <w:jc w:val="center"/>
        <w:rPr>
          <w:color w:val="auto"/>
          <w:highlight w:val="none"/>
        </w:rPr>
      </w:pPr>
      <w:r>
        <w:rPr>
          <w:rFonts w:hint="eastAsia"/>
          <w:color w:val="auto"/>
          <w:highlight w:val="none"/>
        </w:rPr>
        <w:br w:type="page"/>
      </w:r>
    </w:p>
    <w:bookmarkEnd w:id="260"/>
    <w:p w14:paraId="4BAAD609">
      <w:pPr>
        <w:pStyle w:val="3"/>
        <w:keepNext w:val="0"/>
        <w:keepLines w:val="0"/>
        <w:widowControl/>
        <w:spacing w:before="188" w:after="188" w:line="400" w:lineRule="exact"/>
        <w:jc w:val="center"/>
        <w:rPr>
          <w:rFonts w:ascii="宋体" w:hAnsi="宋体" w:eastAsia="宋体" w:cs="宋体"/>
          <w:color w:val="auto"/>
          <w:sz w:val="21"/>
          <w:szCs w:val="21"/>
          <w:highlight w:val="none"/>
        </w:rPr>
      </w:pPr>
      <w:bookmarkStart w:id="262" w:name="_Toc29825832"/>
      <w:bookmarkStart w:id="263" w:name="_Toc86349502"/>
      <w:r>
        <w:rPr>
          <w:rFonts w:hint="eastAsia" w:ascii="宋体" w:hAnsi="宋体" w:eastAsia="宋体" w:cs="宋体"/>
          <w:bCs/>
          <w:color w:val="auto"/>
          <w:kern w:val="2"/>
          <w:highlight w:val="none"/>
        </w:rPr>
        <w:t>第五章 投标文件技术部分</w:t>
      </w:r>
      <w:bookmarkEnd w:id="262"/>
      <w:bookmarkEnd w:id="263"/>
    </w:p>
    <w:p w14:paraId="6B0072CE">
      <w:pPr>
        <w:pStyle w:val="3"/>
        <w:keepNext w:val="0"/>
        <w:keepLines w:val="0"/>
        <w:widowControl/>
        <w:spacing w:before="188" w:after="188" w:line="400" w:lineRule="exact"/>
        <w:ind w:left="180"/>
        <w:jc w:val="center"/>
        <w:rPr>
          <w:rFonts w:ascii="宋体" w:hAnsi="宋体" w:eastAsia="宋体" w:cs="宋体"/>
          <w:b w:val="0"/>
          <w:color w:val="auto"/>
          <w:kern w:val="0"/>
          <w:sz w:val="22"/>
          <w:szCs w:val="21"/>
          <w:highlight w:val="none"/>
        </w:rPr>
      </w:pPr>
      <w:r>
        <w:rPr>
          <w:rFonts w:hint="eastAsia" w:ascii="宋体" w:hAnsi="宋体" w:eastAsia="宋体" w:cs="宋体"/>
          <w:b w:val="0"/>
          <w:color w:val="auto"/>
          <w:kern w:val="0"/>
          <w:sz w:val="22"/>
          <w:szCs w:val="21"/>
          <w:highlight w:val="none"/>
        </w:rPr>
        <w:t>5-1 项目实施方案</w:t>
      </w:r>
    </w:p>
    <w:p w14:paraId="3444534A">
      <w:pPr>
        <w:spacing w:line="360" w:lineRule="auto"/>
        <w:ind w:firstLine="550" w:firstLineChars="250"/>
        <w:rPr>
          <w:color w:val="auto"/>
          <w:szCs w:val="21"/>
          <w:highlight w:val="none"/>
        </w:rPr>
      </w:pPr>
      <w:bookmarkStart w:id="264" w:name="_Hlk104857397"/>
      <w:r>
        <w:rPr>
          <w:rFonts w:hint="eastAsia"/>
          <w:color w:val="auto"/>
          <w:highlight w:val="none"/>
        </w:rPr>
        <w:t>投标人应按照招标文件的要求，根据《用户需求书》要求内容作出全面响应并编制项目实施方案。其内容应包括但不限于人力、物力等资源的投入以及项目实施内容、方式、手段、措施、质量保证及建议等。实施</w:t>
      </w:r>
      <w:r>
        <w:rPr>
          <w:rFonts w:hint="eastAsia"/>
          <w:color w:val="auto"/>
          <w:szCs w:val="21"/>
          <w:highlight w:val="none"/>
        </w:rPr>
        <w:t>方案设计必须科学合理、真实可行，能充分体现出自身技术和专业优势。对含糊不清或欠具体明确之处，评委会可视为投标人履约能力不足或响应不全。</w:t>
      </w:r>
    </w:p>
    <w:p w14:paraId="3B924980">
      <w:pPr>
        <w:spacing w:line="360" w:lineRule="auto"/>
        <w:ind w:firstLine="550" w:firstLineChars="250"/>
        <w:rPr>
          <w:color w:val="auto"/>
          <w:szCs w:val="21"/>
          <w:highlight w:val="none"/>
        </w:rPr>
      </w:pPr>
      <w:r>
        <w:rPr>
          <w:rFonts w:hint="eastAsia"/>
          <w:color w:val="auto"/>
          <w:szCs w:val="21"/>
          <w:highlight w:val="none"/>
        </w:rPr>
        <w:t>其要点和主要内容包括但不限于以下内容：</w:t>
      </w:r>
    </w:p>
    <w:p w14:paraId="4A0C78BB">
      <w:pPr>
        <w:numPr>
          <w:ilvl w:val="0"/>
          <w:numId w:val="28"/>
        </w:numPr>
        <w:spacing w:line="360" w:lineRule="auto"/>
        <w:rPr>
          <w:color w:val="auto"/>
          <w:szCs w:val="21"/>
          <w:highlight w:val="none"/>
        </w:rPr>
      </w:pPr>
      <w:r>
        <w:rPr>
          <w:color w:val="auto"/>
          <w:highlight w:val="none"/>
        </w:rPr>
        <w:t>整体服务方案</w:t>
      </w:r>
      <w:r>
        <w:rPr>
          <w:rFonts w:hint="eastAsia"/>
          <w:bCs/>
          <w:color w:val="auto"/>
          <w:sz w:val="21"/>
          <w:szCs w:val="21"/>
          <w:highlight w:val="none"/>
          <w:lang w:val="en-US"/>
        </w:rPr>
        <w:t>；</w:t>
      </w:r>
    </w:p>
    <w:p w14:paraId="786DE9DD">
      <w:pPr>
        <w:numPr>
          <w:ilvl w:val="0"/>
          <w:numId w:val="28"/>
        </w:numPr>
        <w:spacing w:line="360" w:lineRule="auto"/>
        <w:rPr>
          <w:bCs/>
          <w:color w:val="auto"/>
          <w:sz w:val="21"/>
          <w:szCs w:val="21"/>
          <w:highlight w:val="none"/>
        </w:rPr>
      </w:pPr>
      <w:r>
        <w:rPr>
          <w:color w:val="auto"/>
          <w:highlight w:val="none"/>
        </w:rPr>
        <w:t>重点、难点分析及应对措施</w:t>
      </w:r>
      <w:r>
        <w:rPr>
          <w:rFonts w:hint="eastAsia"/>
          <w:bCs/>
          <w:color w:val="auto"/>
          <w:sz w:val="21"/>
          <w:szCs w:val="21"/>
          <w:highlight w:val="none"/>
        </w:rPr>
        <w:t>；</w:t>
      </w:r>
    </w:p>
    <w:p w14:paraId="3355D42E">
      <w:pPr>
        <w:numPr>
          <w:ilvl w:val="0"/>
          <w:numId w:val="28"/>
        </w:numPr>
        <w:spacing w:line="360" w:lineRule="auto"/>
        <w:rPr>
          <w:bCs/>
          <w:color w:val="auto"/>
          <w:sz w:val="21"/>
          <w:szCs w:val="21"/>
          <w:highlight w:val="none"/>
        </w:rPr>
      </w:pPr>
      <w:r>
        <w:rPr>
          <w:color w:val="auto"/>
          <w:highlight w:val="none"/>
        </w:rPr>
        <w:t>机构设立、运作流程、管理计划</w:t>
      </w:r>
      <w:r>
        <w:rPr>
          <w:rFonts w:hint="eastAsia"/>
          <w:bCs/>
          <w:color w:val="auto"/>
          <w:sz w:val="21"/>
          <w:szCs w:val="21"/>
          <w:highlight w:val="none"/>
        </w:rPr>
        <w:t>；</w:t>
      </w:r>
    </w:p>
    <w:p w14:paraId="12E28D9D">
      <w:pPr>
        <w:numPr>
          <w:ilvl w:val="0"/>
          <w:numId w:val="28"/>
        </w:numPr>
        <w:spacing w:line="360" w:lineRule="auto"/>
        <w:rPr>
          <w:bCs/>
          <w:color w:val="auto"/>
          <w:sz w:val="21"/>
          <w:szCs w:val="21"/>
          <w:highlight w:val="none"/>
        </w:rPr>
      </w:pPr>
      <w:r>
        <w:rPr>
          <w:color w:val="auto"/>
          <w:highlight w:val="none"/>
        </w:rPr>
        <w:t>应急预案</w:t>
      </w:r>
      <w:r>
        <w:rPr>
          <w:rFonts w:hint="eastAsia"/>
          <w:bCs/>
          <w:color w:val="auto"/>
          <w:sz w:val="21"/>
          <w:szCs w:val="21"/>
          <w:highlight w:val="none"/>
        </w:rPr>
        <w:t>；</w:t>
      </w:r>
    </w:p>
    <w:p w14:paraId="29442078">
      <w:pPr>
        <w:numPr>
          <w:ilvl w:val="0"/>
          <w:numId w:val="28"/>
        </w:numPr>
        <w:spacing w:line="360" w:lineRule="auto"/>
        <w:rPr>
          <w:bCs/>
          <w:color w:val="auto"/>
          <w:sz w:val="21"/>
          <w:szCs w:val="21"/>
          <w:highlight w:val="none"/>
        </w:rPr>
      </w:pPr>
      <w:r>
        <w:rPr>
          <w:color w:val="auto"/>
          <w:highlight w:val="none"/>
        </w:rPr>
        <w:t>安全管理制度及措施</w:t>
      </w:r>
      <w:r>
        <w:rPr>
          <w:rFonts w:hint="eastAsia"/>
          <w:color w:val="auto"/>
          <w:highlight w:val="none"/>
        </w:rPr>
        <w:t>；</w:t>
      </w:r>
    </w:p>
    <w:p w14:paraId="319F0F69">
      <w:pPr>
        <w:numPr>
          <w:ilvl w:val="0"/>
          <w:numId w:val="28"/>
        </w:numPr>
        <w:spacing w:line="360" w:lineRule="auto"/>
        <w:rPr>
          <w:bCs/>
          <w:color w:val="auto"/>
          <w:sz w:val="21"/>
          <w:szCs w:val="21"/>
          <w:highlight w:val="none"/>
        </w:rPr>
      </w:pPr>
      <w:r>
        <w:rPr>
          <w:color w:val="auto"/>
          <w:highlight w:val="none"/>
        </w:rPr>
        <w:t>工作人员培训及管理</w:t>
      </w:r>
    </w:p>
    <w:p w14:paraId="79A039BC">
      <w:pPr>
        <w:numPr>
          <w:ilvl w:val="0"/>
          <w:numId w:val="28"/>
        </w:numPr>
        <w:spacing w:line="360" w:lineRule="auto"/>
        <w:rPr>
          <w:bCs/>
          <w:color w:val="auto"/>
          <w:sz w:val="21"/>
          <w:szCs w:val="21"/>
          <w:highlight w:val="none"/>
        </w:rPr>
      </w:pPr>
      <w:r>
        <w:rPr>
          <w:rFonts w:hint="eastAsia"/>
          <w:bCs/>
          <w:color w:val="auto"/>
          <w:sz w:val="21"/>
          <w:szCs w:val="21"/>
          <w:highlight w:val="none"/>
        </w:rPr>
        <w:t>其他。</w:t>
      </w:r>
    </w:p>
    <w:bookmarkEnd w:id="264"/>
    <w:p w14:paraId="033F2C48">
      <w:pPr>
        <w:pStyle w:val="3"/>
        <w:keepNext w:val="0"/>
        <w:keepLines w:val="0"/>
        <w:widowControl/>
        <w:spacing w:before="188" w:after="188" w:line="400" w:lineRule="exact"/>
        <w:ind w:left="180"/>
        <w:jc w:val="center"/>
        <w:rPr>
          <w:rFonts w:ascii="宋体" w:hAnsi="宋体" w:eastAsia="宋体" w:cs="宋体"/>
          <w:b w:val="0"/>
          <w:color w:val="auto"/>
          <w:kern w:val="0"/>
          <w:sz w:val="22"/>
          <w:szCs w:val="21"/>
          <w:highlight w:val="none"/>
        </w:rPr>
      </w:pPr>
      <w:r>
        <w:rPr>
          <w:rFonts w:hint="eastAsia"/>
          <w:b w:val="0"/>
          <w:color w:val="auto"/>
          <w:szCs w:val="21"/>
          <w:highlight w:val="none"/>
        </w:rPr>
        <w:br w:type="page"/>
      </w:r>
      <w:r>
        <w:rPr>
          <w:rFonts w:hint="eastAsia" w:ascii="宋体" w:hAnsi="宋体" w:eastAsia="宋体" w:cs="宋体"/>
          <w:b w:val="0"/>
          <w:color w:val="auto"/>
          <w:kern w:val="0"/>
          <w:sz w:val="22"/>
          <w:szCs w:val="21"/>
          <w:highlight w:val="none"/>
        </w:rPr>
        <w:t>5-2 投标人认为必要的其他技术资料</w:t>
      </w:r>
    </w:p>
    <w:p w14:paraId="3CA02AF7">
      <w:pPr>
        <w:pStyle w:val="3"/>
        <w:keepNext w:val="0"/>
        <w:keepLines w:val="0"/>
        <w:jc w:val="center"/>
        <w:rPr>
          <w:rFonts w:ascii="宋体" w:hAnsi="宋体" w:eastAsia="宋体" w:cs="宋体"/>
          <w:color w:val="auto"/>
          <w:sz w:val="44"/>
          <w:szCs w:val="44"/>
          <w:highlight w:val="none"/>
          <w:lang w:val="en-US"/>
        </w:rPr>
      </w:pPr>
    </w:p>
    <w:p w14:paraId="53A49C2C">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947706"/>
      <w:docPartObj>
        <w:docPartGallery w:val="autotext"/>
      </w:docPartObj>
    </w:sdtPr>
    <w:sdtContent>
      <w:sdt>
        <w:sdtPr>
          <w:id w:val="-1705238520"/>
          <w:docPartObj>
            <w:docPartGallery w:val="autotext"/>
          </w:docPartObj>
        </w:sdtPr>
        <w:sdtContent>
          <w:p w14:paraId="2F083FB3">
            <w:pPr>
              <w:pStyle w:val="21"/>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24BAA586">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
    <w:nsid w:val="0000001F"/>
    <w:multiLevelType w:val="multilevel"/>
    <w:tmpl w:val="0000001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2">
    <w:nsid w:val="00000026"/>
    <w:multiLevelType w:val="multilevel"/>
    <w:tmpl w:val="00000026"/>
    <w:lvl w:ilvl="0" w:tentative="0">
      <w:start w:val="1"/>
      <w:numFmt w:val="decimal"/>
      <w:lvlText w:val="%1"/>
      <w:lvlJc w:val="left"/>
      <w:pPr>
        <w:tabs>
          <w:tab w:val="left" w:pos="420"/>
        </w:tabs>
        <w:ind w:left="420" w:hanging="42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3">
    <w:nsid w:val="0000002B"/>
    <w:multiLevelType w:val="multilevel"/>
    <w:tmpl w:val="0000002B"/>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rFonts w:hint="eastAsia" w:ascii="宋体" w:hAnsi="宋体" w:eastAsia="宋体"/>
        <w:color w:val="auto"/>
      </w:rPr>
    </w:lvl>
    <w:lvl w:ilvl="2" w:tentative="0">
      <w:start w:val="1"/>
      <w:numFmt w:val="decimal"/>
      <w:lvlText w:val="(%3)"/>
      <w:lvlJc w:val="left"/>
      <w:pPr>
        <w:tabs>
          <w:tab w:val="left" w:pos="1271"/>
        </w:tabs>
        <w:ind w:left="1271" w:hanging="420"/>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4">
    <w:nsid w:val="00000031"/>
    <w:multiLevelType w:val="multilevel"/>
    <w:tmpl w:val="00000031"/>
    <w:lvl w:ilvl="0" w:tentative="0">
      <w:start w:val="1"/>
      <w:numFmt w:val="decimal"/>
      <w:lvlText w:val="%1)"/>
      <w:lvlJc w:val="left"/>
      <w:pPr>
        <w:tabs>
          <w:tab w:val="left" w:pos="420"/>
        </w:tabs>
        <w:ind w:left="420" w:hanging="420"/>
      </w:pPr>
      <w:rPr>
        <w:color w:val="auto"/>
      </w:rPr>
    </w:lvl>
    <w:lvl w:ilvl="1" w:tentative="0">
      <w:start w:val="1"/>
      <w:numFmt w:val="lowerLetter"/>
      <w:suff w:val="nothing"/>
      <w:lvlText w:val="%2)"/>
      <w:lvlJc w:val="left"/>
      <w:pPr>
        <w:ind w:left="3346" w:hanging="510"/>
      </w:pPr>
    </w:lvl>
    <w:lvl w:ilvl="2" w:tentative="0">
      <w:start w:val="1"/>
      <w:numFmt w:val="decimal"/>
      <w:lvlText w:val="%3)"/>
      <w:lvlJc w:val="left"/>
      <w:pPr>
        <w:tabs>
          <w:tab w:val="left" w:pos="840"/>
        </w:tabs>
        <w:ind w:left="840" w:hanging="420"/>
      </w:pPr>
      <w:rPr>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00000032"/>
    <w:multiLevelType w:val="multilevel"/>
    <w:tmpl w:val="00000032"/>
    <w:lvl w:ilvl="0" w:tentative="0">
      <w:start w:val="1"/>
      <w:numFmt w:val="decimal"/>
      <w:lvlText w:val="（%1）"/>
      <w:lvlJc w:val="left"/>
      <w:pPr>
        <w:tabs>
          <w:tab w:val="left" w:pos="1080"/>
        </w:tabs>
        <w:ind w:left="1080" w:hanging="1080"/>
      </w:pPr>
    </w:lvl>
    <w:lvl w:ilvl="1" w:tentative="0">
      <w:start w:val="1"/>
      <w:numFmt w:val="bullet"/>
      <w:lvlText w:val=""/>
      <w:lvlJc w:val="left"/>
      <w:pPr>
        <w:tabs>
          <w:tab w:val="left" w:pos="600"/>
        </w:tabs>
        <w:ind w:left="60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37"/>
    <w:multiLevelType w:val="multilevel"/>
    <w:tmpl w:val="0000003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rFonts w:hint="eastAsia" w:ascii="宋体" w:hAnsi="宋体" w:eastAsia="宋体"/>
        <w:color w:val="auto"/>
      </w:rPr>
    </w:lvl>
    <w:lvl w:ilvl="2" w:tentative="0">
      <w:start w:val="1"/>
      <w:numFmt w:val="decimal"/>
      <w:lvlText w:val="(%3)"/>
      <w:lvlJc w:val="left"/>
      <w:pPr>
        <w:tabs>
          <w:tab w:val="left" w:pos="1271"/>
        </w:tabs>
        <w:ind w:left="1271" w:hanging="420"/>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7">
    <w:nsid w:val="00000038"/>
    <w:multiLevelType w:val="multilevel"/>
    <w:tmpl w:val="0000003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3"/>
        </w:tabs>
        <w:ind w:left="993" w:hanging="567"/>
      </w:pPr>
      <w:rPr>
        <w:rFonts w:hint="eastAsia" w:ascii="宋体" w:hAnsi="宋体" w:eastAsia="宋体"/>
        <w:color w:val="auto"/>
      </w:rPr>
    </w:lvl>
    <w:lvl w:ilvl="2" w:tentative="0">
      <w:start w:val="1"/>
      <w:numFmt w:val="decimal"/>
      <w:lvlText w:val="(%3)"/>
      <w:lvlJc w:val="left"/>
      <w:pPr>
        <w:tabs>
          <w:tab w:val="left" w:pos="1271"/>
        </w:tabs>
        <w:ind w:left="1271" w:hanging="420"/>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8">
    <w:nsid w:val="00000039"/>
    <w:multiLevelType w:val="multilevel"/>
    <w:tmpl w:val="00000039"/>
    <w:lvl w:ilvl="0" w:tentative="0">
      <w:start w:val="1"/>
      <w:numFmt w:val="decimal"/>
      <w:lvlText w:val="%1"/>
      <w:lvlJc w:val="left"/>
      <w:pPr>
        <w:tabs>
          <w:tab w:val="left" w:pos="425"/>
        </w:tabs>
        <w:ind w:left="425" w:hanging="425"/>
      </w:pPr>
      <w:rPr>
        <w:b/>
      </w:rPr>
    </w:lvl>
    <w:lvl w:ilvl="1" w:tentative="0">
      <w:start w:val="1"/>
      <w:numFmt w:val="decimal"/>
      <w:suff w:val="space"/>
      <w:lvlText w:val="%1.%2"/>
      <w:lvlJc w:val="left"/>
      <w:pPr>
        <w:ind w:left="992" w:hanging="567"/>
      </w:pPr>
      <w:rPr>
        <w:rFonts w:hint="eastAsia" w:ascii="宋体" w:hAnsi="宋体" w:eastAsia="宋体"/>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9">
    <w:nsid w:val="04957543"/>
    <w:multiLevelType w:val="multilevel"/>
    <w:tmpl w:val="04957543"/>
    <w:lvl w:ilvl="0" w:tentative="0">
      <w:start w:val="1"/>
      <w:numFmt w:val="decimal"/>
      <w:lvlText w:val="%1"/>
      <w:lvlJc w:val="left"/>
      <w:pPr>
        <w:ind w:left="1129"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CB2C9E"/>
    <w:multiLevelType w:val="multilevel"/>
    <w:tmpl w:val="07CB2C9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rFonts w:hint="eastAsia" w:ascii="宋体" w:hAnsi="宋体" w:eastAsia="宋体"/>
        <w:color w:val="auto"/>
      </w:rPr>
    </w:lvl>
    <w:lvl w:ilvl="2" w:tentative="0">
      <w:start w:val="1"/>
      <w:numFmt w:val="decimal"/>
      <w:lvlText w:val="(%3)"/>
      <w:lvlJc w:val="left"/>
      <w:pPr>
        <w:tabs>
          <w:tab w:val="left" w:pos="1271"/>
        </w:tabs>
        <w:ind w:left="1271" w:hanging="420"/>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1">
    <w:nsid w:val="151E52FD"/>
    <w:multiLevelType w:val="multilevel"/>
    <w:tmpl w:val="151E52FD"/>
    <w:lvl w:ilvl="0" w:tentative="0">
      <w:start w:val="1"/>
      <w:numFmt w:val="decimal"/>
      <w:suff w:val="nothing"/>
      <w:lvlText w:val="%1."/>
      <w:lvlJc w:val="left"/>
      <w:pPr>
        <w:ind w:left="970" w:hanging="420"/>
      </w:pPr>
    </w:lvl>
    <w:lvl w:ilvl="1" w:tentative="0">
      <w:start w:val="1"/>
      <w:numFmt w:val="lowerLetter"/>
      <w:lvlText w:val="%2)"/>
      <w:lvlJc w:val="left"/>
      <w:pPr>
        <w:ind w:left="1390" w:hanging="420"/>
      </w:pPr>
    </w:lvl>
    <w:lvl w:ilvl="2" w:tentative="0">
      <w:start w:val="1"/>
      <w:numFmt w:val="lowerRoman"/>
      <w:lvlText w:val="%3."/>
      <w:lvlJc w:val="right"/>
      <w:pPr>
        <w:ind w:left="1810" w:hanging="420"/>
      </w:pPr>
    </w:lvl>
    <w:lvl w:ilvl="3" w:tentative="0">
      <w:start w:val="1"/>
      <w:numFmt w:val="decimal"/>
      <w:lvlText w:val="%4."/>
      <w:lvlJc w:val="left"/>
      <w:pPr>
        <w:ind w:left="2230" w:hanging="420"/>
      </w:pPr>
    </w:lvl>
    <w:lvl w:ilvl="4" w:tentative="0">
      <w:start w:val="1"/>
      <w:numFmt w:val="lowerLetter"/>
      <w:lvlText w:val="%5)"/>
      <w:lvlJc w:val="left"/>
      <w:pPr>
        <w:ind w:left="2650" w:hanging="420"/>
      </w:pPr>
    </w:lvl>
    <w:lvl w:ilvl="5" w:tentative="0">
      <w:start w:val="1"/>
      <w:numFmt w:val="lowerRoman"/>
      <w:lvlText w:val="%6."/>
      <w:lvlJc w:val="right"/>
      <w:pPr>
        <w:ind w:left="3070" w:hanging="420"/>
      </w:pPr>
    </w:lvl>
    <w:lvl w:ilvl="6" w:tentative="0">
      <w:start w:val="1"/>
      <w:numFmt w:val="decimal"/>
      <w:lvlText w:val="%7."/>
      <w:lvlJc w:val="left"/>
      <w:pPr>
        <w:ind w:left="3490" w:hanging="420"/>
      </w:pPr>
    </w:lvl>
    <w:lvl w:ilvl="7" w:tentative="0">
      <w:start w:val="1"/>
      <w:numFmt w:val="lowerLetter"/>
      <w:lvlText w:val="%8)"/>
      <w:lvlJc w:val="left"/>
      <w:pPr>
        <w:ind w:left="3910" w:hanging="420"/>
      </w:pPr>
    </w:lvl>
    <w:lvl w:ilvl="8" w:tentative="0">
      <w:start w:val="1"/>
      <w:numFmt w:val="lowerRoman"/>
      <w:lvlText w:val="%9."/>
      <w:lvlJc w:val="right"/>
      <w:pPr>
        <w:ind w:left="4330" w:hanging="420"/>
      </w:pPr>
    </w:lvl>
  </w:abstractNum>
  <w:abstractNum w:abstractNumId="12">
    <w:nsid w:val="19A9267F"/>
    <w:multiLevelType w:val="multilevel"/>
    <w:tmpl w:val="19A9267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rFonts w:hint="eastAsia" w:ascii="宋体" w:hAnsi="宋体" w:eastAsia="宋体"/>
        <w:color w:val="auto"/>
      </w:rPr>
    </w:lvl>
    <w:lvl w:ilvl="2" w:tentative="0">
      <w:start w:val="1"/>
      <w:numFmt w:val="decimal"/>
      <w:lvlText w:val="(%3)"/>
      <w:lvlJc w:val="left"/>
      <w:pPr>
        <w:tabs>
          <w:tab w:val="left" w:pos="1271"/>
        </w:tabs>
        <w:ind w:left="1271" w:hanging="420"/>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3">
    <w:nsid w:val="28B159E2"/>
    <w:multiLevelType w:val="multilevel"/>
    <w:tmpl w:val="28B159E2"/>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992"/>
        </w:tabs>
        <w:ind w:left="992" w:hanging="567"/>
      </w:pPr>
      <w:rPr>
        <w:rFonts w:hint="eastAsia" w:ascii="宋体" w:hAnsi="宋体" w:eastAsia="宋体"/>
        <w:b w:val="0"/>
        <w:color w:val="auto"/>
      </w:rPr>
    </w:lvl>
    <w:lvl w:ilvl="2" w:tentative="0">
      <w:start w:val="1"/>
      <w:numFmt w:val="decimal"/>
      <w:lvlText w:val="(%3)"/>
      <w:lvlJc w:val="left"/>
      <w:pPr>
        <w:tabs>
          <w:tab w:val="left" w:pos="1271"/>
        </w:tabs>
        <w:ind w:left="1271" w:hanging="420"/>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4">
    <w:nsid w:val="318A3BD0"/>
    <w:multiLevelType w:val="multilevel"/>
    <w:tmpl w:val="318A3BD0"/>
    <w:lvl w:ilvl="0" w:tentative="0">
      <w:start w:val="1"/>
      <w:numFmt w:val="decimal"/>
      <w:lvlText w:val="%1"/>
      <w:lvlJc w:val="left"/>
      <w:pPr>
        <w:tabs>
          <w:tab w:val="left" w:pos="425"/>
        </w:tabs>
        <w:ind w:left="425" w:hanging="425"/>
      </w:pPr>
      <w:rPr>
        <w:b/>
      </w:rPr>
    </w:lvl>
    <w:lvl w:ilvl="1" w:tentative="0">
      <w:start w:val="1"/>
      <w:numFmt w:val="decimal"/>
      <w:lvlText w:val="5.%2"/>
      <w:lvlJc w:val="left"/>
      <w:pPr>
        <w:tabs>
          <w:tab w:val="left" w:pos="992"/>
        </w:tabs>
        <w:ind w:left="992" w:hanging="567"/>
      </w:pPr>
      <w:rPr>
        <w:b/>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5">
    <w:nsid w:val="358F7A7C"/>
    <w:multiLevelType w:val="multilevel"/>
    <w:tmpl w:val="358F7A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B887FD3"/>
    <w:multiLevelType w:val="multilevel"/>
    <w:tmpl w:val="3B887FD3"/>
    <w:lvl w:ilvl="0" w:tentative="0">
      <w:start w:val="1"/>
      <w:numFmt w:val="decimal"/>
      <w:lvlText w:val="%1."/>
      <w:lvlJc w:val="left"/>
      <w:pPr>
        <w:ind w:left="672" w:hanging="183"/>
      </w:pPr>
      <w:rPr>
        <w:rFonts w:hint="default" w:ascii="Arial Unicode MS" w:hAnsi="Arial Unicode MS" w:eastAsia="Arial Unicode MS" w:cs="Arial Unicode MS"/>
        <w:spacing w:val="-3"/>
        <w:w w:val="115"/>
        <w:sz w:val="17"/>
        <w:szCs w:val="17"/>
        <w:lang w:val="zh-CN" w:eastAsia="zh-CN" w:bidi="zh-CN"/>
      </w:rPr>
    </w:lvl>
    <w:lvl w:ilvl="1" w:tentative="0">
      <w:start w:val="0"/>
      <w:numFmt w:val="bullet"/>
      <w:lvlText w:val="•"/>
      <w:lvlJc w:val="left"/>
      <w:pPr>
        <w:ind w:left="1694" w:hanging="183"/>
      </w:pPr>
      <w:rPr>
        <w:rFonts w:hint="default"/>
        <w:lang w:val="zh-CN" w:eastAsia="zh-CN" w:bidi="zh-CN"/>
      </w:rPr>
    </w:lvl>
    <w:lvl w:ilvl="2" w:tentative="0">
      <w:start w:val="0"/>
      <w:numFmt w:val="bullet"/>
      <w:lvlText w:val="•"/>
      <w:lvlJc w:val="left"/>
      <w:pPr>
        <w:ind w:left="2708" w:hanging="183"/>
      </w:pPr>
      <w:rPr>
        <w:rFonts w:hint="default"/>
        <w:lang w:val="zh-CN" w:eastAsia="zh-CN" w:bidi="zh-CN"/>
      </w:rPr>
    </w:lvl>
    <w:lvl w:ilvl="3" w:tentative="0">
      <w:start w:val="0"/>
      <w:numFmt w:val="bullet"/>
      <w:lvlText w:val="•"/>
      <w:lvlJc w:val="left"/>
      <w:pPr>
        <w:ind w:left="3722" w:hanging="183"/>
      </w:pPr>
      <w:rPr>
        <w:rFonts w:hint="default"/>
        <w:lang w:val="zh-CN" w:eastAsia="zh-CN" w:bidi="zh-CN"/>
      </w:rPr>
    </w:lvl>
    <w:lvl w:ilvl="4" w:tentative="0">
      <w:start w:val="0"/>
      <w:numFmt w:val="bullet"/>
      <w:lvlText w:val="•"/>
      <w:lvlJc w:val="left"/>
      <w:pPr>
        <w:ind w:left="4736" w:hanging="183"/>
      </w:pPr>
      <w:rPr>
        <w:rFonts w:hint="default"/>
        <w:lang w:val="zh-CN" w:eastAsia="zh-CN" w:bidi="zh-CN"/>
      </w:rPr>
    </w:lvl>
    <w:lvl w:ilvl="5" w:tentative="0">
      <w:start w:val="0"/>
      <w:numFmt w:val="bullet"/>
      <w:lvlText w:val="•"/>
      <w:lvlJc w:val="left"/>
      <w:pPr>
        <w:ind w:left="5750" w:hanging="183"/>
      </w:pPr>
      <w:rPr>
        <w:rFonts w:hint="default"/>
        <w:lang w:val="zh-CN" w:eastAsia="zh-CN" w:bidi="zh-CN"/>
      </w:rPr>
    </w:lvl>
    <w:lvl w:ilvl="6" w:tentative="0">
      <w:start w:val="0"/>
      <w:numFmt w:val="bullet"/>
      <w:lvlText w:val="•"/>
      <w:lvlJc w:val="left"/>
      <w:pPr>
        <w:ind w:left="6764" w:hanging="183"/>
      </w:pPr>
      <w:rPr>
        <w:rFonts w:hint="default"/>
        <w:lang w:val="zh-CN" w:eastAsia="zh-CN" w:bidi="zh-CN"/>
      </w:rPr>
    </w:lvl>
    <w:lvl w:ilvl="7" w:tentative="0">
      <w:start w:val="0"/>
      <w:numFmt w:val="bullet"/>
      <w:lvlText w:val="•"/>
      <w:lvlJc w:val="left"/>
      <w:pPr>
        <w:ind w:left="7778" w:hanging="183"/>
      </w:pPr>
      <w:rPr>
        <w:rFonts w:hint="default"/>
        <w:lang w:val="zh-CN" w:eastAsia="zh-CN" w:bidi="zh-CN"/>
      </w:rPr>
    </w:lvl>
    <w:lvl w:ilvl="8" w:tentative="0">
      <w:start w:val="0"/>
      <w:numFmt w:val="bullet"/>
      <w:lvlText w:val="•"/>
      <w:lvlJc w:val="left"/>
      <w:pPr>
        <w:ind w:left="8792" w:hanging="183"/>
      </w:pPr>
      <w:rPr>
        <w:rFonts w:hint="default"/>
        <w:lang w:val="zh-CN" w:eastAsia="zh-CN" w:bidi="zh-CN"/>
      </w:rPr>
    </w:lvl>
  </w:abstractNum>
  <w:abstractNum w:abstractNumId="17">
    <w:nsid w:val="4C8137C7"/>
    <w:multiLevelType w:val="multilevel"/>
    <w:tmpl w:val="4C8137C7"/>
    <w:lvl w:ilvl="0" w:tentative="0">
      <w:start w:val="3"/>
      <w:numFmt w:val="decimal"/>
      <w:lvlText w:val="%1"/>
      <w:lvlJc w:val="left"/>
      <w:pPr>
        <w:tabs>
          <w:tab w:val="left" w:pos="425"/>
        </w:tabs>
        <w:ind w:left="425" w:hanging="425"/>
      </w:pPr>
    </w:lvl>
    <w:lvl w:ilvl="1" w:tentative="0">
      <w:start w:val="1"/>
      <w:numFmt w:val="decimal"/>
      <w:lvlText w:val="%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8">
    <w:nsid w:val="51BC4EB7"/>
    <w:multiLevelType w:val="multilevel"/>
    <w:tmpl w:val="51BC4EB7"/>
    <w:lvl w:ilvl="0" w:tentative="0">
      <w:start w:val="2"/>
      <w:numFmt w:val="decimal"/>
      <w:lvlText w:val="%1"/>
      <w:lvlJc w:val="left"/>
      <w:pPr>
        <w:ind w:left="360" w:hanging="360"/>
      </w:pPr>
      <w:rPr>
        <w:rFonts w:eastAsia="宋体"/>
        <w:b/>
      </w:rPr>
    </w:lvl>
    <w:lvl w:ilvl="1" w:tentative="0">
      <w:start w:val="1"/>
      <w:numFmt w:val="decimal"/>
      <w:lvlText w:val="%1-%2"/>
      <w:lvlJc w:val="left"/>
      <w:pPr>
        <w:ind w:left="900" w:hanging="360"/>
      </w:pPr>
      <w:rPr>
        <w:rFonts w:eastAsia="宋体"/>
        <w:b/>
      </w:rPr>
    </w:lvl>
    <w:lvl w:ilvl="2" w:tentative="0">
      <w:start w:val="1"/>
      <w:numFmt w:val="decimal"/>
      <w:lvlText w:val="%1-%2.%3"/>
      <w:lvlJc w:val="left"/>
      <w:pPr>
        <w:ind w:left="1800" w:hanging="720"/>
      </w:pPr>
      <w:rPr>
        <w:rFonts w:eastAsia="宋体"/>
        <w:b/>
      </w:rPr>
    </w:lvl>
    <w:lvl w:ilvl="3" w:tentative="0">
      <w:start w:val="1"/>
      <w:numFmt w:val="decimal"/>
      <w:lvlText w:val="%1-%2.%3.%4"/>
      <w:lvlJc w:val="left"/>
      <w:pPr>
        <w:ind w:left="2700" w:hanging="1080"/>
      </w:pPr>
      <w:rPr>
        <w:rFonts w:eastAsia="宋体"/>
        <w:b/>
      </w:rPr>
    </w:lvl>
    <w:lvl w:ilvl="4" w:tentative="0">
      <w:start w:val="1"/>
      <w:numFmt w:val="decimal"/>
      <w:lvlText w:val="%1-%2.%3.%4.%5"/>
      <w:lvlJc w:val="left"/>
      <w:pPr>
        <w:ind w:left="3240" w:hanging="1080"/>
      </w:pPr>
      <w:rPr>
        <w:rFonts w:eastAsia="宋体"/>
        <w:b/>
      </w:rPr>
    </w:lvl>
    <w:lvl w:ilvl="5" w:tentative="0">
      <w:start w:val="1"/>
      <w:numFmt w:val="decimal"/>
      <w:lvlText w:val="%1-%2.%3.%4.%5.%6"/>
      <w:lvlJc w:val="left"/>
      <w:pPr>
        <w:ind w:left="4140" w:hanging="1440"/>
      </w:pPr>
      <w:rPr>
        <w:rFonts w:eastAsia="宋体"/>
        <w:b/>
      </w:rPr>
    </w:lvl>
    <w:lvl w:ilvl="6" w:tentative="0">
      <w:start w:val="1"/>
      <w:numFmt w:val="decimal"/>
      <w:lvlText w:val="%1-%2.%3.%4.%5.%6.%7"/>
      <w:lvlJc w:val="left"/>
      <w:pPr>
        <w:ind w:left="4680" w:hanging="1440"/>
      </w:pPr>
      <w:rPr>
        <w:rFonts w:eastAsia="宋体"/>
        <w:b/>
      </w:rPr>
    </w:lvl>
    <w:lvl w:ilvl="7" w:tentative="0">
      <w:start w:val="1"/>
      <w:numFmt w:val="decimal"/>
      <w:lvlText w:val="%1-%2.%3.%4.%5.%6.%7.%8"/>
      <w:lvlJc w:val="left"/>
      <w:pPr>
        <w:ind w:left="5580" w:hanging="1800"/>
      </w:pPr>
      <w:rPr>
        <w:rFonts w:eastAsia="宋体"/>
        <w:b/>
      </w:rPr>
    </w:lvl>
    <w:lvl w:ilvl="8" w:tentative="0">
      <w:start w:val="1"/>
      <w:numFmt w:val="decimal"/>
      <w:lvlText w:val="%1-%2.%3.%4.%5.%6.%7.%8.%9"/>
      <w:lvlJc w:val="left"/>
      <w:pPr>
        <w:ind w:left="6120" w:hanging="1800"/>
      </w:pPr>
      <w:rPr>
        <w:rFonts w:eastAsia="宋体"/>
        <w:b/>
      </w:rPr>
    </w:lvl>
  </w:abstractNum>
  <w:abstractNum w:abstractNumId="19">
    <w:nsid w:val="526065B0"/>
    <w:multiLevelType w:val="multilevel"/>
    <w:tmpl w:val="526065B0"/>
    <w:lvl w:ilvl="0" w:tentative="0">
      <w:start w:val="1"/>
      <w:numFmt w:val="decimal"/>
      <w:lvlText w:val="%1"/>
      <w:lvlJc w:val="left"/>
      <w:pPr>
        <w:tabs>
          <w:tab w:val="left" w:pos="420"/>
        </w:tabs>
        <w:ind w:left="420" w:hanging="420"/>
      </w:pPr>
    </w:lvl>
    <w:lvl w:ilvl="1" w:tentative="0">
      <w:start w:val="1"/>
      <w:numFmt w:val="decimal"/>
      <w:lvlText w:val="%1.%2"/>
      <w:lvlJc w:val="left"/>
      <w:pPr>
        <w:tabs>
          <w:tab w:val="left" w:pos="992"/>
        </w:tabs>
        <w:ind w:left="992" w:hanging="567"/>
      </w:pPr>
    </w:lvl>
    <w:lvl w:ilvl="2" w:tentative="0">
      <w:start w:val="1"/>
      <w:numFmt w:val="bullet"/>
      <w:lvlText w:val=""/>
      <w:lvlJc w:val="left"/>
      <w:pPr>
        <w:tabs>
          <w:tab w:val="left" w:pos="1271"/>
        </w:tabs>
        <w:ind w:left="1271" w:hanging="420"/>
      </w:pPr>
      <w:rPr>
        <w:rFonts w:hint="default" w:ascii="Wingdings" w:hAnsi="Wingdings"/>
        <w:b w:val="0"/>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20">
    <w:nsid w:val="5C322488"/>
    <w:multiLevelType w:val="multilevel"/>
    <w:tmpl w:val="5C3224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F2853D6"/>
    <w:multiLevelType w:val="multilevel"/>
    <w:tmpl w:val="5F2853D6"/>
    <w:lvl w:ilvl="0" w:tentative="0">
      <w:start w:val="1"/>
      <w:numFmt w:val="decimal"/>
      <w:lvlText w:val="3.%1."/>
      <w:lvlJc w:val="left"/>
      <w:pPr>
        <w:ind w:left="845" w:hanging="420"/>
      </w:pPr>
      <w:rPr>
        <w:b/>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2">
    <w:nsid w:val="62A06D36"/>
    <w:multiLevelType w:val="multilevel"/>
    <w:tmpl w:val="62A06D36"/>
    <w:lvl w:ilvl="0" w:tentative="0">
      <w:start w:val="1"/>
      <w:numFmt w:val="decimal"/>
      <w:lvlText w:val="%1)"/>
      <w:lvlJc w:val="left"/>
      <w:pPr>
        <w:tabs>
          <w:tab w:val="left" w:pos="420"/>
        </w:tabs>
        <w:ind w:left="420" w:hanging="420"/>
      </w:pPr>
      <w:rPr>
        <w:color w:val="auto"/>
      </w:rPr>
    </w:lvl>
    <w:lvl w:ilvl="1" w:tentative="0">
      <w:start w:val="1"/>
      <w:numFmt w:val="decimal"/>
      <w:lvlText w:val="%2、"/>
      <w:lvlJc w:val="left"/>
      <w:pPr>
        <w:tabs>
          <w:tab w:val="left" w:pos="510"/>
        </w:tabs>
        <w:ind w:left="510" w:hanging="510"/>
      </w:pPr>
    </w:lvl>
    <w:lvl w:ilvl="2" w:tentative="0">
      <w:start w:val="1"/>
      <w:numFmt w:val="decimal"/>
      <w:lvlText w:val="%3)"/>
      <w:lvlJc w:val="left"/>
      <w:pPr>
        <w:tabs>
          <w:tab w:val="left" w:pos="840"/>
        </w:tabs>
        <w:ind w:left="840" w:hanging="420"/>
      </w:pPr>
      <w:rPr>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3">
    <w:nsid w:val="682D60D7"/>
    <w:multiLevelType w:val="multilevel"/>
    <w:tmpl w:val="682D60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A476BC4"/>
    <w:multiLevelType w:val="multilevel"/>
    <w:tmpl w:val="6A476BC4"/>
    <w:lvl w:ilvl="0" w:tentative="0">
      <w:start w:val="1"/>
      <w:numFmt w:val="decimal"/>
      <w:lvlText w:val="%1"/>
      <w:lvlJc w:val="left"/>
      <w:pPr>
        <w:ind w:left="425" w:hanging="425"/>
      </w:pPr>
    </w:lvl>
    <w:lvl w:ilvl="1" w:tentative="0">
      <w:start w:val="1"/>
      <w:numFmt w:val="decimal"/>
      <w:lvlText w:val="%1.%2"/>
      <w:lvlJc w:val="left"/>
      <w:pPr>
        <w:ind w:left="992" w:hanging="567"/>
      </w:pPr>
      <w:rPr>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6DBB6A53"/>
    <w:multiLevelType w:val="multilevel"/>
    <w:tmpl w:val="6DBB6A5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26">
    <w:nsid w:val="6E394D43"/>
    <w:multiLevelType w:val="multilevel"/>
    <w:tmpl w:val="6E394D43"/>
    <w:lvl w:ilvl="0" w:tentative="0">
      <w:start w:val="1"/>
      <w:numFmt w:val="decimal"/>
      <w:lvlText w:val="%1、"/>
      <w:lvlJc w:val="left"/>
      <w:pPr>
        <w:tabs>
          <w:tab w:val="left" w:pos="900"/>
        </w:tabs>
        <w:ind w:left="900" w:hanging="720"/>
      </w:pPr>
    </w:lvl>
    <w:lvl w:ilvl="1" w:tentative="0">
      <w:start w:val="1"/>
      <w:numFmt w:val="decimal"/>
      <w:lvlText w:val="%2."/>
      <w:lvlJc w:val="left"/>
      <w:pPr>
        <w:tabs>
          <w:tab w:val="left" w:pos="1060"/>
        </w:tabs>
        <w:ind w:left="1060" w:hanging="360"/>
      </w:pPr>
    </w:lvl>
    <w:lvl w:ilvl="2" w:tentative="0">
      <w:start w:val="1"/>
      <w:numFmt w:val="decimal"/>
      <w:lvlText w:val="%3."/>
      <w:lvlJc w:val="left"/>
      <w:pPr>
        <w:tabs>
          <w:tab w:val="left" w:pos="1780"/>
        </w:tabs>
        <w:ind w:left="1780" w:hanging="360"/>
      </w:pPr>
    </w:lvl>
    <w:lvl w:ilvl="3" w:tentative="0">
      <w:start w:val="1"/>
      <w:numFmt w:val="decimal"/>
      <w:lvlText w:val="%4."/>
      <w:lvlJc w:val="left"/>
      <w:pPr>
        <w:tabs>
          <w:tab w:val="left" w:pos="2500"/>
        </w:tabs>
        <w:ind w:left="2500" w:hanging="360"/>
      </w:pPr>
    </w:lvl>
    <w:lvl w:ilvl="4" w:tentative="0">
      <w:start w:val="1"/>
      <w:numFmt w:val="decimal"/>
      <w:lvlText w:val="%5."/>
      <w:lvlJc w:val="left"/>
      <w:pPr>
        <w:tabs>
          <w:tab w:val="left" w:pos="3220"/>
        </w:tabs>
        <w:ind w:left="3220" w:hanging="360"/>
      </w:pPr>
    </w:lvl>
    <w:lvl w:ilvl="5" w:tentative="0">
      <w:start w:val="1"/>
      <w:numFmt w:val="decimal"/>
      <w:lvlText w:val="%6."/>
      <w:lvlJc w:val="left"/>
      <w:pPr>
        <w:tabs>
          <w:tab w:val="left" w:pos="3940"/>
        </w:tabs>
        <w:ind w:left="3940" w:hanging="360"/>
      </w:pPr>
    </w:lvl>
    <w:lvl w:ilvl="6" w:tentative="0">
      <w:start w:val="1"/>
      <w:numFmt w:val="decimal"/>
      <w:lvlText w:val="%7."/>
      <w:lvlJc w:val="left"/>
      <w:pPr>
        <w:tabs>
          <w:tab w:val="left" w:pos="4660"/>
        </w:tabs>
        <w:ind w:left="4660" w:hanging="360"/>
      </w:pPr>
    </w:lvl>
    <w:lvl w:ilvl="7" w:tentative="0">
      <w:start w:val="1"/>
      <w:numFmt w:val="decimal"/>
      <w:lvlText w:val="%8."/>
      <w:lvlJc w:val="left"/>
      <w:pPr>
        <w:tabs>
          <w:tab w:val="left" w:pos="5380"/>
        </w:tabs>
        <w:ind w:left="5380" w:hanging="360"/>
      </w:pPr>
    </w:lvl>
    <w:lvl w:ilvl="8" w:tentative="0">
      <w:start w:val="1"/>
      <w:numFmt w:val="decimal"/>
      <w:lvlText w:val="%9."/>
      <w:lvlJc w:val="left"/>
      <w:pPr>
        <w:tabs>
          <w:tab w:val="left" w:pos="6100"/>
        </w:tabs>
        <w:ind w:left="6100" w:hanging="360"/>
      </w:pPr>
    </w:lvl>
  </w:abstractNum>
  <w:abstractNum w:abstractNumId="27">
    <w:nsid w:val="7F204BF1"/>
    <w:multiLevelType w:val="multilevel"/>
    <w:tmpl w:val="7F204BF1"/>
    <w:lvl w:ilvl="0" w:tentative="0">
      <w:start w:val="3"/>
      <w:numFmt w:val="decimal"/>
      <w:lvlText w:val="%1"/>
      <w:lvlJc w:val="left"/>
      <w:pPr>
        <w:ind w:left="360" w:hanging="360"/>
      </w:pPr>
    </w:lvl>
    <w:lvl w:ilvl="1" w:tentative="0">
      <w:start w:val="1"/>
      <w:numFmt w:val="decimal"/>
      <w:lvlText w:val="%1-%2"/>
      <w:lvlJc w:val="left"/>
      <w:pPr>
        <w:ind w:left="540" w:hanging="360"/>
      </w:pPr>
      <w:rPr>
        <w:rFonts w:hint="eastAsia" w:ascii="宋体" w:hAnsi="宋体" w:eastAsia="宋体"/>
        <w:sz w:val="21"/>
        <w:szCs w:val="21"/>
      </w:rPr>
    </w:lvl>
    <w:lvl w:ilvl="2" w:tentative="0">
      <w:start w:val="1"/>
      <w:numFmt w:val="decimal"/>
      <w:lvlText w:val="%1-%2.%3"/>
      <w:lvlJc w:val="left"/>
      <w:pPr>
        <w:ind w:left="1080" w:hanging="720"/>
      </w:pPr>
    </w:lvl>
    <w:lvl w:ilvl="3" w:tentative="0">
      <w:start w:val="1"/>
      <w:numFmt w:val="decimal"/>
      <w:lvlText w:val="%1-%2.%3.%4"/>
      <w:lvlJc w:val="left"/>
      <w:pPr>
        <w:ind w:left="1620" w:hanging="1080"/>
      </w:pPr>
    </w:lvl>
    <w:lvl w:ilvl="4" w:tentative="0">
      <w:start w:val="1"/>
      <w:numFmt w:val="decimal"/>
      <w:lvlText w:val="%1-%2.%3.%4.%5"/>
      <w:lvlJc w:val="left"/>
      <w:pPr>
        <w:ind w:left="1800" w:hanging="1080"/>
      </w:pPr>
    </w:lvl>
    <w:lvl w:ilvl="5" w:tentative="0">
      <w:start w:val="1"/>
      <w:numFmt w:val="decimal"/>
      <w:lvlText w:val="%1-%2.%3.%4.%5.%6"/>
      <w:lvlJc w:val="left"/>
      <w:pPr>
        <w:ind w:left="2340" w:hanging="1440"/>
      </w:pPr>
    </w:lvl>
    <w:lvl w:ilvl="6" w:tentative="0">
      <w:start w:val="1"/>
      <w:numFmt w:val="decimal"/>
      <w:lvlText w:val="%1-%2.%3.%4.%5.%6.%7"/>
      <w:lvlJc w:val="left"/>
      <w:pPr>
        <w:ind w:left="2520" w:hanging="1440"/>
      </w:pPr>
    </w:lvl>
    <w:lvl w:ilvl="7" w:tentative="0">
      <w:start w:val="1"/>
      <w:numFmt w:val="decimal"/>
      <w:lvlText w:val="%1-%2.%3.%4.%5.%6.%7.%8"/>
      <w:lvlJc w:val="left"/>
      <w:pPr>
        <w:ind w:left="3060" w:hanging="1800"/>
      </w:pPr>
    </w:lvl>
    <w:lvl w:ilvl="8" w:tentative="0">
      <w:start w:val="1"/>
      <w:numFmt w:val="decimal"/>
      <w:lvlText w:val="%1-%2.%3.%4.%5.%6.%7.%8.%9"/>
      <w:lvlJc w:val="left"/>
      <w:pPr>
        <w:ind w:left="3240"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9E7E65"/>
    <w:rsid w:val="00045F4A"/>
    <w:rsid w:val="00056CE2"/>
    <w:rsid w:val="00092A8C"/>
    <w:rsid w:val="000D7682"/>
    <w:rsid w:val="00152C4E"/>
    <w:rsid w:val="00181AB9"/>
    <w:rsid w:val="00252F9B"/>
    <w:rsid w:val="002941E7"/>
    <w:rsid w:val="002F2E65"/>
    <w:rsid w:val="00451A4C"/>
    <w:rsid w:val="004A65BE"/>
    <w:rsid w:val="004B18C3"/>
    <w:rsid w:val="004D2840"/>
    <w:rsid w:val="00512E94"/>
    <w:rsid w:val="005B2A3F"/>
    <w:rsid w:val="005B5575"/>
    <w:rsid w:val="005C6AE7"/>
    <w:rsid w:val="00677279"/>
    <w:rsid w:val="006C0096"/>
    <w:rsid w:val="00711A10"/>
    <w:rsid w:val="00751051"/>
    <w:rsid w:val="007970FF"/>
    <w:rsid w:val="007A1AA0"/>
    <w:rsid w:val="00864EA7"/>
    <w:rsid w:val="009A3C3D"/>
    <w:rsid w:val="009E7E65"/>
    <w:rsid w:val="00A91AD8"/>
    <w:rsid w:val="00B1600D"/>
    <w:rsid w:val="00B423AE"/>
    <w:rsid w:val="00B477B4"/>
    <w:rsid w:val="00B72506"/>
    <w:rsid w:val="00C936FE"/>
    <w:rsid w:val="00E7149C"/>
    <w:rsid w:val="00EE1289"/>
    <w:rsid w:val="00FE412C"/>
    <w:rsid w:val="044B7594"/>
    <w:rsid w:val="08C00E3E"/>
    <w:rsid w:val="096E4C6E"/>
    <w:rsid w:val="0C6B614E"/>
    <w:rsid w:val="116C178F"/>
    <w:rsid w:val="14AF06DB"/>
    <w:rsid w:val="1C387059"/>
    <w:rsid w:val="1EE75069"/>
    <w:rsid w:val="1F5A58F2"/>
    <w:rsid w:val="1FCD67F8"/>
    <w:rsid w:val="1FE96DD9"/>
    <w:rsid w:val="251A293E"/>
    <w:rsid w:val="25422063"/>
    <w:rsid w:val="28F840FE"/>
    <w:rsid w:val="30E36E33"/>
    <w:rsid w:val="3384536D"/>
    <w:rsid w:val="34C603ED"/>
    <w:rsid w:val="356903DC"/>
    <w:rsid w:val="39312C65"/>
    <w:rsid w:val="3A200827"/>
    <w:rsid w:val="3A944811"/>
    <w:rsid w:val="3EF67B21"/>
    <w:rsid w:val="3F273067"/>
    <w:rsid w:val="44594000"/>
    <w:rsid w:val="450D2150"/>
    <w:rsid w:val="47EA7AF7"/>
    <w:rsid w:val="4A72028D"/>
    <w:rsid w:val="4CDC7C31"/>
    <w:rsid w:val="4D79652F"/>
    <w:rsid w:val="4DA8622E"/>
    <w:rsid w:val="50FF69FE"/>
    <w:rsid w:val="51EC5CDA"/>
    <w:rsid w:val="52B54C41"/>
    <w:rsid w:val="53DC24A5"/>
    <w:rsid w:val="53E2216D"/>
    <w:rsid w:val="5A915A5F"/>
    <w:rsid w:val="5C327B52"/>
    <w:rsid w:val="5E9C790B"/>
    <w:rsid w:val="60DB1566"/>
    <w:rsid w:val="65D94A2C"/>
    <w:rsid w:val="686C18B5"/>
    <w:rsid w:val="69146BA0"/>
    <w:rsid w:val="6BB81B36"/>
    <w:rsid w:val="708939CB"/>
    <w:rsid w:val="7D65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qFormat="1"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link w:val="42"/>
    <w:qFormat/>
    <w:uiPriority w:val="0"/>
    <w:pPr>
      <w:keepNext/>
      <w:keepLines/>
      <w:spacing w:before="340" w:after="330" w:line="576" w:lineRule="auto"/>
      <w:outlineLvl w:val="0"/>
    </w:pPr>
    <w:rPr>
      <w:kern w:val="44"/>
      <w:sz w:val="44"/>
      <w:szCs w:val="44"/>
    </w:rPr>
  </w:style>
  <w:style w:type="paragraph" w:styleId="3">
    <w:name w:val="heading 2"/>
    <w:basedOn w:val="1"/>
    <w:next w:val="1"/>
    <w:link w:val="43"/>
    <w:semiHidden/>
    <w:unhideWhenUsed/>
    <w:qFormat/>
    <w:uiPriority w:val="0"/>
    <w:pPr>
      <w:keepNext/>
      <w:keepLines/>
      <w:spacing w:before="260" w:after="260" w:line="408" w:lineRule="auto"/>
      <w:outlineLvl w:val="1"/>
    </w:pPr>
    <w:rPr>
      <w:rFonts w:ascii="仿宋_GB2312" w:hAnsi="仿宋_GB2312" w:eastAsia="黑体" w:cs="Arial"/>
      <w:b/>
      <w:kern w:val="44"/>
      <w:sz w:val="28"/>
      <w:szCs w:val="28"/>
    </w:rPr>
  </w:style>
  <w:style w:type="paragraph" w:styleId="4">
    <w:name w:val="heading 3"/>
    <w:basedOn w:val="1"/>
    <w:next w:val="1"/>
    <w:link w:val="44"/>
    <w:semiHidden/>
    <w:unhideWhenUsed/>
    <w:qFormat/>
    <w:uiPriority w:val="9"/>
    <w:pPr>
      <w:keepNext/>
      <w:keepLines/>
      <w:spacing w:before="260" w:after="260" w:line="415" w:lineRule="auto"/>
      <w:outlineLvl w:val="2"/>
    </w:pPr>
    <w:rPr>
      <w:b/>
      <w:bCs/>
      <w:sz w:val="32"/>
      <w:szCs w:val="32"/>
    </w:rPr>
  </w:style>
  <w:style w:type="paragraph" w:styleId="5">
    <w:name w:val="heading 4"/>
    <w:basedOn w:val="1"/>
    <w:next w:val="1"/>
    <w:link w:val="45"/>
    <w:semiHidden/>
    <w:unhideWhenUsed/>
    <w:qFormat/>
    <w:uiPriority w:val="0"/>
    <w:pPr>
      <w:keepNext/>
      <w:keepLines/>
      <w:tabs>
        <w:tab w:val="left" w:pos="864"/>
      </w:tabs>
      <w:spacing w:before="280" w:after="290" w:line="372" w:lineRule="auto"/>
      <w:ind w:left="864" w:hanging="864"/>
      <w:outlineLvl w:val="3"/>
    </w:pPr>
    <w:rPr>
      <w:rFonts w:ascii="Arial" w:hAnsi="Arial" w:eastAsia="黑体"/>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autoSpaceDE/>
      <w:ind w:left="2520" w:leftChars="1200"/>
      <w:jc w:val="both"/>
    </w:pPr>
    <w:rPr>
      <w:rFonts w:ascii="Calibri" w:hAnsi="Calibri" w:cs="Times New Roman"/>
      <w:kern w:val="2"/>
      <w:sz w:val="21"/>
      <w:lang w:val="en-US" w:bidi="ar-SA"/>
    </w:rPr>
  </w:style>
  <w:style w:type="paragraph" w:styleId="7">
    <w:name w:val="Normal Indent"/>
    <w:basedOn w:val="1"/>
    <w:semiHidden/>
    <w:unhideWhenUsed/>
    <w:qFormat/>
    <w:uiPriority w:val="99"/>
    <w:pPr>
      <w:spacing w:line="360" w:lineRule="auto"/>
      <w:ind w:left="181" w:firstLine="420"/>
    </w:pPr>
    <w:rPr>
      <w:rFonts w:ascii="Times New Roman" w:hAnsi="Times New Roman"/>
      <w:szCs w:val="20"/>
    </w:rPr>
  </w:style>
  <w:style w:type="paragraph" w:styleId="8">
    <w:name w:val="caption"/>
    <w:basedOn w:val="1"/>
    <w:next w:val="1"/>
    <w:semiHidden/>
    <w:unhideWhenUsed/>
    <w:qFormat/>
    <w:uiPriority w:val="99"/>
    <w:pPr>
      <w:spacing w:before="152" w:after="160" w:line="360" w:lineRule="auto"/>
      <w:jc w:val="both"/>
    </w:pPr>
    <w:rPr>
      <w:rFonts w:ascii="Arial" w:hAnsi="Arial" w:eastAsia="黑体" w:cs="Arial"/>
      <w:kern w:val="2"/>
      <w:sz w:val="20"/>
    </w:rPr>
  </w:style>
  <w:style w:type="paragraph" w:styleId="9">
    <w:name w:val="Document Map"/>
    <w:basedOn w:val="1"/>
    <w:link w:val="58"/>
    <w:semiHidden/>
    <w:unhideWhenUsed/>
    <w:qFormat/>
    <w:uiPriority w:val="99"/>
    <w:rPr>
      <w:sz w:val="18"/>
      <w:szCs w:val="18"/>
    </w:rPr>
  </w:style>
  <w:style w:type="paragraph" w:styleId="10">
    <w:name w:val="annotation text"/>
    <w:basedOn w:val="1"/>
    <w:link w:val="47"/>
    <w:semiHidden/>
    <w:unhideWhenUsed/>
    <w:qFormat/>
    <w:uiPriority w:val="99"/>
  </w:style>
  <w:style w:type="paragraph" w:styleId="11">
    <w:name w:val="Body Text 3"/>
    <w:basedOn w:val="1"/>
    <w:link w:val="56"/>
    <w:semiHidden/>
    <w:unhideWhenUsed/>
    <w:qFormat/>
    <w:uiPriority w:val="99"/>
    <w:pPr>
      <w:spacing w:after="120"/>
    </w:pPr>
    <w:rPr>
      <w:sz w:val="16"/>
      <w:szCs w:val="16"/>
    </w:rPr>
  </w:style>
  <w:style w:type="paragraph" w:styleId="12">
    <w:name w:val="Body Text"/>
    <w:basedOn w:val="1"/>
    <w:next w:val="1"/>
    <w:link w:val="50"/>
    <w:unhideWhenUsed/>
    <w:qFormat/>
    <w:uiPriority w:val="1"/>
    <w:rPr>
      <w:sz w:val="21"/>
      <w:szCs w:val="21"/>
    </w:rPr>
  </w:style>
  <w:style w:type="paragraph" w:styleId="13">
    <w:name w:val="Body Text Indent"/>
    <w:basedOn w:val="1"/>
    <w:link w:val="52"/>
    <w:semiHidden/>
    <w:unhideWhenUsed/>
    <w:qFormat/>
    <w:uiPriority w:val="99"/>
    <w:pPr>
      <w:spacing w:line="560" w:lineRule="exact"/>
      <w:ind w:left="300"/>
    </w:pPr>
    <w:rPr>
      <w:sz w:val="24"/>
    </w:rPr>
  </w:style>
  <w:style w:type="paragraph" w:styleId="14">
    <w:name w:val="toc 5"/>
    <w:basedOn w:val="1"/>
    <w:next w:val="1"/>
    <w:semiHidden/>
    <w:unhideWhenUsed/>
    <w:qFormat/>
    <w:uiPriority w:val="39"/>
    <w:pPr>
      <w:autoSpaceDE/>
      <w:ind w:left="1680" w:leftChars="800"/>
      <w:jc w:val="both"/>
    </w:pPr>
    <w:rPr>
      <w:rFonts w:ascii="Calibri" w:hAnsi="Calibri" w:cs="Times New Roman"/>
      <w:kern w:val="2"/>
      <w:sz w:val="21"/>
      <w:lang w:val="en-US" w:bidi="ar-SA"/>
    </w:rPr>
  </w:style>
  <w:style w:type="paragraph" w:styleId="15">
    <w:name w:val="toc 3"/>
    <w:basedOn w:val="1"/>
    <w:next w:val="1"/>
    <w:semiHidden/>
    <w:unhideWhenUsed/>
    <w:qFormat/>
    <w:uiPriority w:val="39"/>
    <w:pPr>
      <w:ind w:left="840" w:leftChars="400"/>
    </w:pPr>
  </w:style>
  <w:style w:type="paragraph" w:styleId="16">
    <w:name w:val="Plain Text"/>
    <w:basedOn w:val="1"/>
    <w:link w:val="59"/>
    <w:semiHidden/>
    <w:unhideWhenUsed/>
    <w:qFormat/>
    <w:uiPriority w:val="99"/>
    <w:pPr>
      <w:spacing w:line="360" w:lineRule="auto"/>
    </w:pPr>
    <w:rPr>
      <w:rFonts w:hAnsi="Courier New"/>
      <w:szCs w:val="21"/>
    </w:rPr>
  </w:style>
  <w:style w:type="paragraph" w:styleId="17">
    <w:name w:val="toc 8"/>
    <w:basedOn w:val="1"/>
    <w:next w:val="1"/>
    <w:semiHidden/>
    <w:unhideWhenUsed/>
    <w:qFormat/>
    <w:uiPriority w:val="39"/>
    <w:pPr>
      <w:autoSpaceDE/>
      <w:ind w:left="2940" w:leftChars="1400"/>
      <w:jc w:val="both"/>
    </w:pPr>
    <w:rPr>
      <w:rFonts w:ascii="Calibri" w:hAnsi="Calibri" w:cs="Times New Roman"/>
      <w:kern w:val="2"/>
      <w:sz w:val="21"/>
      <w:lang w:val="en-US" w:bidi="ar-SA"/>
    </w:rPr>
  </w:style>
  <w:style w:type="paragraph" w:styleId="18">
    <w:name w:val="Date"/>
    <w:basedOn w:val="1"/>
    <w:next w:val="1"/>
    <w:link w:val="53"/>
    <w:semiHidden/>
    <w:unhideWhenUsed/>
    <w:qFormat/>
    <w:uiPriority w:val="99"/>
    <w:rPr>
      <w:rFonts w:ascii="Times New Roman" w:hAnsi="Times New Roman"/>
      <w:sz w:val="28"/>
      <w:szCs w:val="20"/>
    </w:rPr>
  </w:style>
  <w:style w:type="paragraph" w:styleId="19">
    <w:name w:val="Body Text Indent 2"/>
    <w:basedOn w:val="1"/>
    <w:link w:val="57"/>
    <w:semiHidden/>
    <w:unhideWhenUsed/>
    <w:qFormat/>
    <w:uiPriority w:val="99"/>
    <w:pPr>
      <w:spacing w:after="120" w:line="480" w:lineRule="auto"/>
      <w:ind w:left="420" w:leftChars="200"/>
    </w:pPr>
  </w:style>
  <w:style w:type="paragraph" w:styleId="20">
    <w:name w:val="Balloon Text"/>
    <w:basedOn w:val="1"/>
    <w:link w:val="60"/>
    <w:semiHidden/>
    <w:unhideWhenUsed/>
    <w:qFormat/>
    <w:uiPriority w:val="99"/>
    <w:rPr>
      <w:sz w:val="18"/>
      <w:szCs w:val="18"/>
    </w:rPr>
  </w:style>
  <w:style w:type="paragraph" w:styleId="21">
    <w:name w:val="footer"/>
    <w:basedOn w:val="1"/>
    <w:link w:val="49"/>
    <w:unhideWhenUsed/>
    <w:qFormat/>
    <w:uiPriority w:val="99"/>
    <w:pPr>
      <w:tabs>
        <w:tab w:val="center" w:pos="4153"/>
        <w:tab w:val="right" w:pos="8306"/>
      </w:tabs>
      <w:snapToGrid w:val="0"/>
    </w:pPr>
    <w:rPr>
      <w:sz w:val="18"/>
      <w:szCs w:val="18"/>
    </w:rPr>
  </w:style>
  <w:style w:type="paragraph" w:styleId="22">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unhideWhenUsed/>
    <w:qFormat/>
    <w:uiPriority w:val="39"/>
  </w:style>
  <w:style w:type="paragraph" w:styleId="24">
    <w:name w:val="toc 4"/>
    <w:basedOn w:val="1"/>
    <w:next w:val="1"/>
    <w:semiHidden/>
    <w:unhideWhenUsed/>
    <w:qFormat/>
    <w:uiPriority w:val="39"/>
    <w:pPr>
      <w:autoSpaceDE/>
      <w:ind w:left="1260" w:leftChars="600"/>
      <w:jc w:val="both"/>
    </w:pPr>
    <w:rPr>
      <w:rFonts w:ascii="Calibri" w:hAnsi="Calibri" w:cs="Times New Roman"/>
      <w:kern w:val="2"/>
      <w:sz w:val="21"/>
      <w:lang w:val="en-US" w:bidi="ar-SA"/>
    </w:rPr>
  </w:style>
  <w:style w:type="paragraph" w:styleId="25">
    <w:name w:val="index heading"/>
    <w:basedOn w:val="1"/>
    <w:next w:val="26"/>
    <w:semiHidden/>
    <w:unhideWhenUsed/>
    <w:qFormat/>
    <w:uiPriority w:val="99"/>
    <w:rPr>
      <w:rFonts w:ascii="Times New Roman" w:hAnsi="Times New Roman"/>
      <w:sz w:val="21"/>
      <w:szCs w:val="20"/>
    </w:rPr>
  </w:style>
  <w:style w:type="paragraph" w:styleId="26">
    <w:name w:val="index 1"/>
    <w:basedOn w:val="1"/>
    <w:next w:val="1"/>
    <w:semiHidden/>
    <w:unhideWhenUsed/>
    <w:qFormat/>
    <w:uiPriority w:val="99"/>
  </w:style>
  <w:style w:type="paragraph" w:styleId="27">
    <w:name w:val="toc 6"/>
    <w:basedOn w:val="1"/>
    <w:next w:val="1"/>
    <w:semiHidden/>
    <w:unhideWhenUsed/>
    <w:qFormat/>
    <w:uiPriority w:val="39"/>
    <w:pPr>
      <w:autoSpaceDE/>
      <w:ind w:left="2100" w:leftChars="1000"/>
      <w:jc w:val="both"/>
    </w:pPr>
    <w:rPr>
      <w:rFonts w:ascii="Calibri" w:hAnsi="Calibri" w:cs="Times New Roman"/>
      <w:kern w:val="2"/>
      <w:sz w:val="21"/>
      <w:lang w:val="en-US" w:bidi="ar-SA"/>
    </w:rPr>
  </w:style>
  <w:style w:type="paragraph" w:styleId="28">
    <w:name w:val="toc 2"/>
    <w:basedOn w:val="1"/>
    <w:next w:val="1"/>
    <w:semiHidden/>
    <w:unhideWhenUsed/>
    <w:qFormat/>
    <w:uiPriority w:val="39"/>
    <w:pPr>
      <w:ind w:left="420" w:leftChars="200"/>
    </w:pPr>
  </w:style>
  <w:style w:type="paragraph" w:styleId="29">
    <w:name w:val="toc 9"/>
    <w:basedOn w:val="1"/>
    <w:next w:val="1"/>
    <w:semiHidden/>
    <w:unhideWhenUsed/>
    <w:qFormat/>
    <w:uiPriority w:val="39"/>
    <w:pPr>
      <w:autoSpaceDE/>
      <w:ind w:left="3360" w:leftChars="1600"/>
      <w:jc w:val="both"/>
    </w:pPr>
    <w:rPr>
      <w:rFonts w:ascii="Calibri" w:hAnsi="Calibri" w:cs="Times New Roman"/>
      <w:kern w:val="2"/>
      <w:sz w:val="21"/>
      <w:lang w:val="en-US" w:bidi="ar-SA"/>
    </w:rPr>
  </w:style>
  <w:style w:type="paragraph" w:styleId="30">
    <w:name w:val="Normal (Web)"/>
    <w:basedOn w:val="1"/>
    <w:semiHidden/>
    <w:unhideWhenUsed/>
    <w:qFormat/>
    <w:uiPriority w:val="99"/>
    <w:rPr>
      <w:rFonts w:cs="Times New Roman"/>
      <w:sz w:val="24"/>
      <w:lang w:val="en-US" w:bidi="ar-SA"/>
    </w:rPr>
  </w:style>
  <w:style w:type="paragraph" w:styleId="31">
    <w:name w:val="annotation subject"/>
    <w:basedOn w:val="10"/>
    <w:next w:val="1"/>
    <w:link w:val="51"/>
    <w:semiHidden/>
    <w:unhideWhenUsed/>
    <w:qFormat/>
    <w:uiPriority w:val="99"/>
    <w:rPr>
      <w:b/>
      <w:bCs/>
    </w:rPr>
  </w:style>
  <w:style w:type="paragraph" w:styleId="32">
    <w:name w:val="Body Text First Indent"/>
    <w:basedOn w:val="12"/>
    <w:link w:val="54"/>
    <w:semiHidden/>
    <w:unhideWhenUsed/>
    <w:qFormat/>
    <w:uiPriority w:val="99"/>
    <w:pPr>
      <w:spacing w:after="120"/>
      <w:ind w:firstLine="420" w:firstLineChars="100"/>
    </w:pPr>
    <w:rPr>
      <w:sz w:val="22"/>
      <w:szCs w:val="22"/>
    </w:rPr>
  </w:style>
  <w:style w:type="paragraph" w:styleId="33">
    <w:name w:val="Body Text First Indent 2"/>
    <w:basedOn w:val="13"/>
    <w:link w:val="55"/>
    <w:semiHidden/>
    <w:unhideWhenUsed/>
    <w:qFormat/>
    <w:uiPriority w:val="99"/>
    <w:pPr>
      <w:ind w:left="420" w:firstLine="420" w:firstLineChars="200"/>
    </w:pPr>
  </w:style>
  <w:style w:type="table" w:styleId="35">
    <w:name w:val="Table Grid"/>
    <w:basedOn w:val="34"/>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rPr>
  </w:style>
  <w:style w:type="character" w:styleId="38">
    <w:name w:val="FollowedHyperlink"/>
    <w:semiHidden/>
    <w:unhideWhenUsed/>
    <w:qFormat/>
    <w:uiPriority w:val="99"/>
    <w:rPr>
      <w:color w:val="000000"/>
      <w:u w:val="single"/>
    </w:rPr>
  </w:style>
  <w:style w:type="character" w:styleId="39">
    <w:name w:val="Hyperlink"/>
    <w:semiHidden/>
    <w:unhideWhenUsed/>
    <w:qFormat/>
    <w:uiPriority w:val="99"/>
    <w:rPr>
      <w:color w:val="0000FF"/>
      <w:u w:val="single"/>
    </w:rPr>
  </w:style>
  <w:style w:type="character" w:styleId="40">
    <w:name w:val="HTML Code"/>
    <w:semiHidden/>
    <w:unhideWhenUsed/>
    <w:qFormat/>
    <w:uiPriority w:val="99"/>
    <w:rPr>
      <w:rFonts w:hint="default" w:ascii="Courier New" w:hAnsi="Courier New" w:eastAsia="Times New Roman" w:cs="Times New Roman"/>
      <w:sz w:val="24"/>
      <w:szCs w:val="24"/>
    </w:rPr>
  </w:style>
  <w:style w:type="character" w:styleId="41">
    <w:name w:val="annotation reference"/>
    <w:semiHidden/>
    <w:unhideWhenUsed/>
    <w:qFormat/>
    <w:uiPriority w:val="0"/>
    <w:rPr>
      <w:sz w:val="21"/>
      <w:szCs w:val="21"/>
    </w:rPr>
  </w:style>
  <w:style w:type="character" w:customStyle="1" w:styleId="42">
    <w:name w:val="标题 1 字符"/>
    <w:basedOn w:val="36"/>
    <w:link w:val="2"/>
    <w:qFormat/>
    <w:uiPriority w:val="0"/>
    <w:rPr>
      <w:rFonts w:ascii="宋体" w:hAnsi="宋体" w:eastAsia="宋体" w:cs="宋体"/>
      <w:kern w:val="44"/>
      <w:sz w:val="44"/>
      <w:szCs w:val="44"/>
      <w:lang w:val="zh-CN" w:bidi="zh-CN"/>
    </w:rPr>
  </w:style>
  <w:style w:type="character" w:customStyle="1" w:styleId="43">
    <w:name w:val="标题 2 字符"/>
    <w:basedOn w:val="36"/>
    <w:link w:val="3"/>
    <w:semiHidden/>
    <w:qFormat/>
    <w:uiPriority w:val="0"/>
    <w:rPr>
      <w:rFonts w:ascii="仿宋_GB2312" w:hAnsi="仿宋_GB2312" w:eastAsia="黑体" w:cs="Arial"/>
      <w:b/>
      <w:kern w:val="44"/>
      <w:sz w:val="28"/>
      <w:szCs w:val="28"/>
      <w:lang w:val="zh-CN" w:bidi="zh-CN"/>
    </w:rPr>
  </w:style>
  <w:style w:type="character" w:customStyle="1" w:styleId="44">
    <w:name w:val="标题 3 字符"/>
    <w:basedOn w:val="36"/>
    <w:link w:val="4"/>
    <w:semiHidden/>
    <w:qFormat/>
    <w:uiPriority w:val="9"/>
    <w:rPr>
      <w:rFonts w:ascii="宋体" w:hAnsi="宋体" w:eastAsia="宋体" w:cs="宋体"/>
      <w:b/>
      <w:bCs/>
      <w:kern w:val="0"/>
      <w:sz w:val="32"/>
      <w:szCs w:val="32"/>
      <w:lang w:val="zh-CN" w:bidi="zh-CN"/>
    </w:rPr>
  </w:style>
  <w:style w:type="character" w:customStyle="1" w:styleId="45">
    <w:name w:val="标题 4 字符"/>
    <w:basedOn w:val="36"/>
    <w:link w:val="5"/>
    <w:semiHidden/>
    <w:qFormat/>
    <w:uiPriority w:val="0"/>
    <w:rPr>
      <w:rFonts w:ascii="Arial" w:hAnsi="Arial" w:eastAsia="黑体" w:cs="宋体"/>
      <w:b/>
      <w:bCs/>
      <w:kern w:val="0"/>
      <w:sz w:val="28"/>
      <w:szCs w:val="28"/>
      <w:lang w:val="zh-CN" w:bidi="zh-CN"/>
    </w:rPr>
  </w:style>
  <w:style w:type="paragraph" w:customStyle="1" w:styleId="46">
    <w:name w:val="msonormal"/>
    <w:basedOn w:val="1"/>
    <w:qFormat/>
    <w:uiPriority w:val="99"/>
    <w:rPr>
      <w:rFonts w:cs="Times New Roman"/>
      <w:sz w:val="24"/>
      <w:lang w:val="en-US" w:bidi="ar-SA"/>
    </w:rPr>
  </w:style>
  <w:style w:type="character" w:customStyle="1" w:styleId="47">
    <w:name w:val="批注文字 字符"/>
    <w:basedOn w:val="36"/>
    <w:link w:val="10"/>
    <w:semiHidden/>
    <w:qFormat/>
    <w:uiPriority w:val="99"/>
    <w:rPr>
      <w:rFonts w:ascii="宋体" w:hAnsi="宋体" w:eastAsia="宋体" w:cs="宋体"/>
      <w:kern w:val="0"/>
      <w:sz w:val="22"/>
      <w:lang w:val="zh-CN" w:bidi="zh-CN"/>
    </w:rPr>
  </w:style>
  <w:style w:type="character" w:customStyle="1" w:styleId="48">
    <w:name w:val="页眉 字符"/>
    <w:basedOn w:val="36"/>
    <w:link w:val="22"/>
    <w:qFormat/>
    <w:uiPriority w:val="99"/>
    <w:rPr>
      <w:rFonts w:ascii="宋体" w:hAnsi="宋体" w:eastAsia="宋体" w:cs="宋体"/>
      <w:kern w:val="0"/>
      <w:sz w:val="18"/>
      <w:szCs w:val="18"/>
      <w:lang w:val="zh-CN" w:bidi="zh-CN"/>
    </w:rPr>
  </w:style>
  <w:style w:type="character" w:customStyle="1" w:styleId="49">
    <w:name w:val="页脚 字符"/>
    <w:basedOn w:val="36"/>
    <w:link w:val="21"/>
    <w:qFormat/>
    <w:uiPriority w:val="99"/>
    <w:rPr>
      <w:rFonts w:ascii="宋体" w:hAnsi="宋体" w:eastAsia="宋体" w:cs="宋体"/>
      <w:kern w:val="0"/>
      <w:sz w:val="18"/>
      <w:szCs w:val="18"/>
      <w:lang w:val="zh-CN" w:bidi="zh-CN"/>
    </w:rPr>
  </w:style>
  <w:style w:type="character" w:customStyle="1" w:styleId="50">
    <w:name w:val="正文文本 字符"/>
    <w:basedOn w:val="36"/>
    <w:link w:val="12"/>
    <w:qFormat/>
    <w:uiPriority w:val="1"/>
    <w:rPr>
      <w:rFonts w:ascii="宋体" w:hAnsi="宋体" w:eastAsia="宋体" w:cs="宋体"/>
      <w:kern w:val="0"/>
      <w:szCs w:val="21"/>
      <w:lang w:val="zh-CN" w:bidi="zh-CN"/>
    </w:rPr>
  </w:style>
  <w:style w:type="character" w:customStyle="1" w:styleId="51">
    <w:name w:val="批注主题 字符"/>
    <w:basedOn w:val="47"/>
    <w:link w:val="31"/>
    <w:semiHidden/>
    <w:qFormat/>
    <w:uiPriority w:val="99"/>
    <w:rPr>
      <w:rFonts w:ascii="宋体" w:hAnsi="宋体" w:eastAsia="宋体" w:cs="宋体"/>
      <w:b/>
      <w:bCs/>
      <w:kern w:val="0"/>
      <w:sz w:val="22"/>
      <w:lang w:val="zh-CN" w:bidi="zh-CN"/>
    </w:rPr>
  </w:style>
  <w:style w:type="character" w:customStyle="1" w:styleId="52">
    <w:name w:val="正文文本缩进 字符"/>
    <w:basedOn w:val="36"/>
    <w:link w:val="13"/>
    <w:semiHidden/>
    <w:qFormat/>
    <w:uiPriority w:val="99"/>
    <w:rPr>
      <w:rFonts w:ascii="宋体" w:hAnsi="宋体" w:eastAsia="宋体" w:cs="宋体"/>
      <w:kern w:val="0"/>
      <w:sz w:val="24"/>
      <w:lang w:val="zh-CN" w:bidi="zh-CN"/>
    </w:rPr>
  </w:style>
  <w:style w:type="character" w:customStyle="1" w:styleId="53">
    <w:name w:val="日期 字符"/>
    <w:basedOn w:val="36"/>
    <w:link w:val="18"/>
    <w:semiHidden/>
    <w:qFormat/>
    <w:uiPriority w:val="99"/>
    <w:rPr>
      <w:rFonts w:ascii="Times New Roman" w:hAnsi="Times New Roman" w:eastAsia="宋体" w:cs="宋体"/>
      <w:kern w:val="0"/>
      <w:sz w:val="28"/>
      <w:szCs w:val="20"/>
      <w:lang w:val="zh-CN" w:bidi="zh-CN"/>
    </w:rPr>
  </w:style>
  <w:style w:type="character" w:customStyle="1" w:styleId="54">
    <w:name w:val="正文文本首行缩进 字符"/>
    <w:basedOn w:val="50"/>
    <w:link w:val="32"/>
    <w:semiHidden/>
    <w:qFormat/>
    <w:uiPriority w:val="99"/>
    <w:rPr>
      <w:rFonts w:ascii="宋体" w:hAnsi="宋体" w:eastAsia="宋体" w:cs="宋体"/>
      <w:kern w:val="0"/>
      <w:sz w:val="22"/>
      <w:szCs w:val="21"/>
      <w:lang w:val="zh-CN" w:bidi="zh-CN"/>
    </w:rPr>
  </w:style>
  <w:style w:type="character" w:customStyle="1" w:styleId="55">
    <w:name w:val="正文文本首行缩进 2 字符"/>
    <w:basedOn w:val="52"/>
    <w:link w:val="33"/>
    <w:semiHidden/>
    <w:qFormat/>
    <w:uiPriority w:val="99"/>
    <w:rPr>
      <w:rFonts w:ascii="宋体" w:hAnsi="宋体" w:eastAsia="宋体" w:cs="宋体"/>
      <w:kern w:val="0"/>
      <w:sz w:val="24"/>
      <w:lang w:val="zh-CN" w:bidi="zh-CN"/>
    </w:rPr>
  </w:style>
  <w:style w:type="character" w:customStyle="1" w:styleId="56">
    <w:name w:val="正文文本 3 字符"/>
    <w:basedOn w:val="36"/>
    <w:link w:val="11"/>
    <w:semiHidden/>
    <w:qFormat/>
    <w:uiPriority w:val="99"/>
    <w:rPr>
      <w:rFonts w:ascii="宋体" w:hAnsi="宋体" w:eastAsia="宋体" w:cs="宋体"/>
      <w:kern w:val="0"/>
      <w:sz w:val="16"/>
      <w:szCs w:val="16"/>
      <w:lang w:val="zh-CN" w:bidi="zh-CN"/>
    </w:rPr>
  </w:style>
  <w:style w:type="character" w:customStyle="1" w:styleId="57">
    <w:name w:val="正文文本缩进 2 字符"/>
    <w:basedOn w:val="36"/>
    <w:link w:val="19"/>
    <w:semiHidden/>
    <w:qFormat/>
    <w:uiPriority w:val="99"/>
    <w:rPr>
      <w:rFonts w:ascii="宋体" w:hAnsi="宋体" w:eastAsia="宋体" w:cs="宋体"/>
      <w:kern w:val="0"/>
      <w:sz w:val="22"/>
      <w:lang w:val="zh-CN" w:bidi="zh-CN"/>
    </w:rPr>
  </w:style>
  <w:style w:type="character" w:customStyle="1" w:styleId="58">
    <w:name w:val="文档结构图 字符"/>
    <w:basedOn w:val="36"/>
    <w:link w:val="9"/>
    <w:semiHidden/>
    <w:qFormat/>
    <w:uiPriority w:val="99"/>
    <w:rPr>
      <w:rFonts w:ascii="宋体" w:hAnsi="宋体" w:eastAsia="宋体" w:cs="宋体"/>
      <w:kern w:val="0"/>
      <w:sz w:val="18"/>
      <w:szCs w:val="18"/>
      <w:lang w:val="zh-CN" w:bidi="zh-CN"/>
    </w:rPr>
  </w:style>
  <w:style w:type="character" w:customStyle="1" w:styleId="59">
    <w:name w:val="纯文本 字符"/>
    <w:basedOn w:val="36"/>
    <w:link w:val="16"/>
    <w:semiHidden/>
    <w:qFormat/>
    <w:uiPriority w:val="99"/>
    <w:rPr>
      <w:rFonts w:ascii="宋体" w:hAnsi="Courier New" w:eastAsia="宋体" w:cs="宋体"/>
      <w:kern w:val="0"/>
      <w:sz w:val="22"/>
      <w:szCs w:val="21"/>
      <w:lang w:val="zh-CN" w:bidi="zh-CN"/>
    </w:rPr>
  </w:style>
  <w:style w:type="character" w:customStyle="1" w:styleId="60">
    <w:name w:val="批注框文本 字符"/>
    <w:basedOn w:val="36"/>
    <w:link w:val="20"/>
    <w:semiHidden/>
    <w:qFormat/>
    <w:uiPriority w:val="99"/>
    <w:rPr>
      <w:rFonts w:ascii="宋体" w:hAnsi="宋体" w:eastAsia="宋体" w:cs="宋体"/>
      <w:kern w:val="0"/>
      <w:sz w:val="18"/>
      <w:szCs w:val="18"/>
      <w:lang w:val="zh-CN" w:bidi="zh-CN"/>
    </w:rPr>
  </w:style>
  <w:style w:type="paragraph" w:styleId="61">
    <w:name w:val="No Spacing"/>
    <w:qFormat/>
    <w:uiPriority w:val="99"/>
    <w:pPr>
      <w:widowControl w:val="0"/>
      <w:autoSpaceDN w:val="0"/>
      <w:jc w:val="both"/>
    </w:pPr>
    <w:rPr>
      <w:rFonts w:ascii="Times New Roman" w:hAnsi="Times New Roman" w:eastAsia="宋体" w:cs="Times New Roman"/>
      <w:kern w:val="2"/>
      <w:sz w:val="21"/>
      <w:szCs w:val="24"/>
      <w:lang w:val="en-US" w:eastAsia="zh-CN" w:bidi="ar-SA"/>
    </w:rPr>
  </w:style>
  <w:style w:type="paragraph" w:customStyle="1" w:styleId="62">
    <w:name w:val="Revision"/>
    <w:semiHidden/>
    <w:qFormat/>
    <w:uiPriority w:val="99"/>
    <w:pPr>
      <w:autoSpaceDN w:val="0"/>
    </w:pPr>
    <w:rPr>
      <w:rFonts w:ascii="宋体" w:hAnsi="宋体" w:eastAsia="宋体" w:cs="宋体"/>
      <w:kern w:val="0"/>
      <w:sz w:val="22"/>
      <w:szCs w:val="22"/>
      <w:lang w:val="zh-CN" w:eastAsia="zh-CN" w:bidi="zh-CN"/>
    </w:rPr>
  </w:style>
  <w:style w:type="paragraph" w:styleId="63">
    <w:name w:val="List Paragraph"/>
    <w:basedOn w:val="1"/>
    <w:qFormat/>
    <w:uiPriority w:val="34"/>
    <w:pPr>
      <w:ind w:left="844" w:hanging="567"/>
    </w:pPr>
  </w:style>
  <w:style w:type="paragraph" w:customStyle="1" w:styleId="64">
    <w:name w:val="TOC Heading"/>
    <w:basedOn w:val="2"/>
    <w:next w:val="1"/>
    <w:semiHidden/>
    <w:unhideWhenUsed/>
    <w:qFormat/>
    <w:uiPriority w:val="39"/>
    <w:pPr>
      <w:widowControl/>
      <w:autoSpaceDE/>
      <w:spacing w:before="480" w:after="0" w:line="276" w:lineRule="auto"/>
      <w:outlineLvl w:val="9"/>
    </w:pPr>
    <w:rPr>
      <w:rFonts w:ascii="Cambria" w:hAnsi="Cambria" w:cs="Times New Roman"/>
      <w:b/>
      <w:bCs/>
      <w:color w:val="365F91"/>
      <w:kern w:val="0"/>
      <w:sz w:val="28"/>
      <w:szCs w:val="28"/>
      <w:lang w:val="en-US" w:bidi="ar-SA"/>
    </w:rPr>
  </w:style>
  <w:style w:type="paragraph" w:customStyle="1" w:styleId="65">
    <w:name w:val="Table Paragraph"/>
    <w:basedOn w:val="1"/>
    <w:qFormat/>
    <w:uiPriority w:val="1"/>
  </w:style>
  <w:style w:type="paragraph" w:customStyle="1" w:styleId="66">
    <w:name w:val="标题 11"/>
    <w:basedOn w:val="1"/>
    <w:qFormat/>
    <w:uiPriority w:val="1"/>
    <w:pPr>
      <w:ind w:left="18"/>
      <w:jc w:val="center"/>
      <w:outlineLvl w:val="1"/>
    </w:pPr>
    <w:rPr>
      <w:b/>
      <w:bCs/>
      <w:sz w:val="28"/>
      <w:szCs w:val="28"/>
    </w:rPr>
  </w:style>
  <w:style w:type="paragraph" w:customStyle="1" w:styleId="67">
    <w:name w:val="_Style 3"/>
    <w:qFormat/>
    <w:uiPriority w:val="99"/>
    <w:pPr>
      <w:widowControl w:val="0"/>
      <w:autoSpaceDN w:val="0"/>
      <w:jc w:val="both"/>
    </w:pPr>
    <w:rPr>
      <w:rFonts w:ascii="Times New Roman" w:hAnsi="Times New Roman" w:eastAsia="宋体" w:cs="Times New Roman"/>
      <w:kern w:val="2"/>
      <w:sz w:val="21"/>
      <w:szCs w:val="22"/>
      <w:lang w:val="en-US" w:eastAsia="zh-CN" w:bidi="ar-SA"/>
    </w:rPr>
  </w:style>
  <w:style w:type="paragraph" w:customStyle="1" w:styleId="68">
    <w:name w:val="题注5"/>
    <w:basedOn w:val="1"/>
    <w:next w:val="8"/>
    <w:qFormat/>
    <w:uiPriority w:val="99"/>
    <w:pPr>
      <w:jc w:val="center"/>
    </w:pPr>
    <w:rPr>
      <w:b/>
      <w:color w:val="000000"/>
      <w:kern w:val="2"/>
      <w:sz w:val="24"/>
      <w:szCs w:val="21"/>
    </w:rPr>
  </w:style>
  <w:style w:type="paragraph" w:customStyle="1" w:styleId="69">
    <w:name w:val="xl29"/>
    <w:basedOn w:val="1"/>
    <w:qFormat/>
    <w:uiPriority w:val="99"/>
    <w:pPr>
      <w:widowControl/>
      <w:spacing w:before="100" w:beforeAutospacing="1" w:after="100" w:afterAutospacing="1"/>
      <w:jc w:val="center"/>
    </w:pPr>
    <w:rPr>
      <w:sz w:val="28"/>
      <w:szCs w:val="28"/>
    </w:rPr>
  </w:style>
  <w:style w:type="paragraph" w:customStyle="1" w:styleId="70">
    <w:name w:val="标题 31"/>
    <w:basedOn w:val="1"/>
    <w:qFormat/>
    <w:uiPriority w:val="1"/>
    <w:pPr>
      <w:spacing w:before="248"/>
      <w:ind w:left="679" w:right="999"/>
      <w:jc w:val="center"/>
      <w:outlineLvl w:val="3"/>
    </w:pPr>
    <w:rPr>
      <w:sz w:val="24"/>
      <w:szCs w:val="24"/>
    </w:rPr>
  </w:style>
  <w:style w:type="paragraph" w:customStyle="1" w:styleId="71">
    <w:name w:val="目录 11"/>
    <w:basedOn w:val="1"/>
    <w:qFormat/>
    <w:uiPriority w:val="1"/>
    <w:pPr>
      <w:spacing w:before="385"/>
      <w:ind w:left="220"/>
    </w:pPr>
    <w:rPr>
      <w:b/>
      <w:bCs/>
      <w:sz w:val="28"/>
      <w:szCs w:val="28"/>
    </w:rPr>
  </w:style>
  <w:style w:type="paragraph" w:customStyle="1" w:styleId="72">
    <w:name w:val="标题 21"/>
    <w:basedOn w:val="1"/>
    <w:qFormat/>
    <w:uiPriority w:val="1"/>
    <w:pPr>
      <w:ind w:left="277"/>
      <w:outlineLvl w:val="2"/>
    </w:pPr>
    <w:rPr>
      <w:b/>
      <w:bCs/>
      <w:sz w:val="24"/>
      <w:szCs w:val="24"/>
    </w:rPr>
  </w:style>
  <w:style w:type="paragraph" w:customStyle="1" w:styleId="73">
    <w:name w:val="大标题"/>
    <w:basedOn w:val="2"/>
    <w:qFormat/>
    <w:uiPriority w:val="99"/>
    <w:pPr>
      <w:snapToGrid w:val="0"/>
    </w:pPr>
    <w:rPr>
      <w:kern w:val="0"/>
      <w:sz w:val="52"/>
      <w:szCs w:val="72"/>
    </w:rPr>
  </w:style>
  <w:style w:type="paragraph" w:customStyle="1" w:styleId="74">
    <w:name w:val="表格文字"/>
    <w:basedOn w:val="1"/>
    <w:qFormat/>
    <w:uiPriority w:val="99"/>
    <w:pPr>
      <w:spacing w:before="25" w:after="25" w:line="300" w:lineRule="auto"/>
    </w:pPr>
    <w:rPr>
      <w:rFonts w:ascii="Times" w:hAnsi="Times"/>
      <w:spacing w:val="10"/>
      <w:szCs w:val="20"/>
    </w:rPr>
  </w:style>
  <w:style w:type="paragraph" w:customStyle="1" w:styleId="75">
    <w:name w:val="图"/>
    <w:basedOn w:val="1"/>
    <w:qFormat/>
    <w:uiPriority w:val="99"/>
    <w:pPr>
      <w:keepNext/>
      <w:adjustRightInd w:val="0"/>
      <w:snapToGrid w:val="0"/>
      <w:spacing w:before="60" w:after="60" w:line="300" w:lineRule="auto"/>
      <w:jc w:val="center"/>
    </w:pPr>
    <w:rPr>
      <w:rFonts w:ascii="Times New Roman" w:hAnsi="Times New Roman"/>
      <w:spacing w:val="20"/>
      <w:szCs w:val="20"/>
      <w:lang w:val="en-US"/>
    </w:rPr>
  </w:style>
  <w:style w:type="paragraph" w:customStyle="1" w:styleId="76">
    <w:name w:val="标题 41"/>
    <w:basedOn w:val="1"/>
    <w:qFormat/>
    <w:uiPriority w:val="1"/>
    <w:pPr>
      <w:ind w:left="702"/>
      <w:outlineLvl w:val="4"/>
    </w:pPr>
    <w:rPr>
      <w:b/>
      <w:bCs/>
      <w:sz w:val="21"/>
      <w:szCs w:val="21"/>
    </w:rPr>
  </w:style>
  <w:style w:type="paragraph" w:customStyle="1" w:styleId="77">
    <w:name w:val="p0"/>
    <w:basedOn w:val="1"/>
    <w:qFormat/>
    <w:uiPriority w:val="99"/>
    <w:pPr>
      <w:widowControl/>
    </w:pPr>
    <w:rPr>
      <w:rFonts w:ascii="Times New Roman" w:hAnsi="Times New Roman"/>
      <w:szCs w:val="24"/>
    </w:rPr>
  </w:style>
  <w:style w:type="paragraph" w:customStyle="1" w:styleId="78">
    <w:name w:val="msonormalcxspmiddle"/>
    <w:basedOn w:val="1"/>
    <w:qFormat/>
    <w:uiPriority w:val="99"/>
    <w:pPr>
      <w:widowControl/>
      <w:autoSpaceDE/>
      <w:spacing w:before="100" w:beforeAutospacing="1" w:after="100" w:afterAutospacing="1"/>
    </w:pPr>
    <w:rPr>
      <w:sz w:val="24"/>
      <w:szCs w:val="24"/>
      <w:lang w:val="en-US" w:bidi="ar-SA"/>
    </w:rPr>
  </w:style>
  <w:style w:type="paragraph" w:customStyle="1" w:styleId="79">
    <w:name w:val="列出段落1"/>
    <w:basedOn w:val="1"/>
    <w:qFormat/>
    <w:uiPriority w:val="34"/>
    <w:pPr>
      <w:autoSpaceDE/>
      <w:ind w:firstLine="420" w:firstLineChars="200"/>
      <w:jc w:val="both"/>
    </w:pPr>
    <w:rPr>
      <w:rFonts w:ascii="Calibri" w:hAnsi="Calibri" w:cs="Times New Roman"/>
      <w:kern w:val="2"/>
      <w:sz w:val="21"/>
      <w:lang w:val="en-US" w:bidi="ar-SA"/>
    </w:rPr>
  </w:style>
  <w:style w:type="paragraph" w:customStyle="1" w:styleId="80">
    <w:name w:val="附录表标题"/>
    <w:next w:val="1"/>
    <w:qFormat/>
    <w:uiPriority w:val="99"/>
    <w:pPr>
      <w:tabs>
        <w:tab w:val="left" w:pos="360"/>
      </w:tabs>
      <w:autoSpaceDN w:val="0"/>
      <w:ind w:left="360" w:hanging="360"/>
      <w:jc w:val="center"/>
    </w:pPr>
    <w:rPr>
      <w:rFonts w:ascii="黑体" w:hAnsi="Calibri" w:eastAsia="黑体" w:cs="Times New Roman"/>
      <w:kern w:val="21"/>
      <w:sz w:val="21"/>
      <w:szCs w:val="20"/>
      <w:lang w:val="en-US" w:eastAsia="zh-CN" w:bidi="ar-SA"/>
    </w:rPr>
  </w:style>
  <w:style w:type="paragraph" w:customStyle="1" w:styleId="81">
    <w:name w:val="Compact"/>
    <w:basedOn w:val="12"/>
    <w:qFormat/>
    <w:uiPriority w:val="99"/>
    <w:pPr>
      <w:spacing w:before="36" w:after="36"/>
    </w:pPr>
    <w:rPr>
      <w:rFonts w:ascii="Calibri" w:hAnsi="Calibri" w:cs="Times New Roman"/>
    </w:rPr>
  </w:style>
  <w:style w:type="character" w:customStyle="1" w:styleId="82">
    <w:name w:val="active2"/>
    <w:qFormat/>
    <w:uiPriority w:val="0"/>
    <w:rPr>
      <w:color w:val="333333"/>
    </w:rPr>
  </w:style>
  <w:style w:type="character" w:customStyle="1" w:styleId="83">
    <w:name w:val="fontstyle01"/>
    <w:qFormat/>
    <w:uiPriority w:val="0"/>
    <w:rPr>
      <w:rFonts w:hint="eastAsia" w:ascii="宋体" w:hAnsi="宋体" w:eastAsia="宋体" w:cs="宋体"/>
      <w:color w:val="000000"/>
      <w:sz w:val="22"/>
      <w:szCs w:val="22"/>
    </w:rPr>
  </w:style>
  <w:style w:type="character" w:customStyle="1" w:styleId="84">
    <w:name w:val="c3"/>
    <w:qFormat/>
    <w:uiPriority w:val="0"/>
  </w:style>
  <w:style w:type="character" w:customStyle="1" w:styleId="85">
    <w:name w:val="font41"/>
    <w:qFormat/>
    <w:uiPriority w:val="0"/>
    <w:rPr>
      <w:rFonts w:hint="default" w:ascii="Arial" w:hAnsi="Arial" w:cs="Arial"/>
      <w:color w:val="000000"/>
      <w:sz w:val="18"/>
      <w:szCs w:val="18"/>
      <w:u w:val="none"/>
    </w:rPr>
  </w:style>
  <w:style w:type="character" w:customStyle="1" w:styleId="86">
    <w:name w:val="正文文本 字符1"/>
    <w:qFormat/>
    <w:uiPriority w:val="1"/>
    <w:rPr>
      <w:rFonts w:hint="eastAsia" w:ascii="宋体" w:hAnsi="宋体" w:eastAsia="宋体" w:cs="宋体"/>
      <w:sz w:val="21"/>
      <w:szCs w:val="21"/>
      <w:lang w:val="zh-CN" w:bidi="zh-CN"/>
    </w:rPr>
  </w:style>
  <w:style w:type="table" w:customStyle="1" w:styleId="87">
    <w:name w:val="Table Normal"/>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88">
    <w:name w:val="标3"/>
    <w:basedOn w:val="1"/>
    <w:next w:val="1"/>
    <w:qFormat/>
    <w:uiPriority w:val="0"/>
    <w:pPr>
      <w:widowControl/>
      <w:adjustRightInd w:val="0"/>
      <w:spacing w:line="312" w:lineRule="auto"/>
      <w:jc w:val="left"/>
      <w:outlineLvl w:val="2"/>
    </w:pPr>
    <w:rPr>
      <w:rFonts w:ascii="Calibri" w:hAnsi="Calibri" w:cs="Arial"/>
      <w:b/>
      <w:bCs/>
      <w:kern w:val="24"/>
      <w:sz w:val="28"/>
      <w:szCs w:val="24"/>
    </w:rPr>
  </w:style>
  <w:style w:type="paragraph" w:customStyle="1" w:styleId="8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18425</Words>
  <Characters>19033</Characters>
  <Lines>327</Lines>
  <Paragraphs>92</Paragraphs>
  <TotalTime>13</TotalTime>
  <ScaleCrop>false</ScaleCrop>
  <LinksUpToDate>false</LinksUpToDate>
  <CharactersWithSpaces>19231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2024-02-02T10:33:00Z</dcterms:created>
  <dc:creator>April wong</dc:creator>
  <cp:lastModifiedBy>Administrator</cp:lastModifiedBy>
  <dcterms:modified xsi:type="dcterms:W3CDTF">2025-04-18T03:25:22Z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eyJoZGlkIjoiYzMxNDlkMWIzYTQ4N2IzNzZmNDdlZDczZDZhMmExZGQiLCJ1c2VySWQiOiIxMjk1Mjg3NjgwIn0=</vt:lpwstr>
  </property>
  <property fmtid="{D5CDD505-2E9C-101B-9397-08002B2CF9AE}" pid="3" name="KSOProductBuildVer">
    <vt:lpwstr>2052-12.1.0.20305</vt:lpwstr>
  </property>
  <property fmtid="{D5CDD505-2E9C-101B-9397-08002B2CF9AE}" pid="4" name="ICV">
    <vt:lpwstr>3ADCF3F088594C65B9F43CCDFFBCF626_13</vt:lpwstr>
  </property>
</Properties>
</file>