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BF366">
      <w:pPr>
        <w:pStyle w:val="31"/>
        <w:spacing w:line="480" w:lineRule="auto"/>
        <w:jc w:val="center"/>
        <w:rPr>
          <w:rFonts w:hint="eastAsia" w:eastAsia="宋体" w:cs="宋体"/>
          <w:b/>
          <w:color w:val="auto"/>
          <w:kern w:val="2"/>
          <w:sz w:val="36"/>
          <w:szCs w:val="36"/>
          <w:u w:val="none"/>
          <w:lang w:eastAsia="zh-CN"/>
        </w:rPr>
      </w:pPr>
      <w:bookmarkStart w:id="0" w:name="OLE_LINK2"/>
      <w:r>
        <w:rPr>
          <w:rFonts w:hint="eastAsia" w:cs="宋体"/>
          <w:b/>
          <w:color w:val="auto"/>
          <w:kern w:val="2"/>
          <w:sz w:val="36"/>
          <w:szCs w:val="36"/>
          <w:u w:val="none"/>
          <w:lang w:eastAsia="zh-CN"/>
        </w:rPr>
        <w:t>广州科教城（岗育路延长线）建设工程</w:t>
      </w:r>
    </w:p>
    <w:bookmarkEnd w:id="0"/>
    <w:p w14:paraId="628C72FC">
      <w:pPr>
        <w:pStyle w:val="31"/>
        <w:spacing w:line="480" w:lineRule="auto"/>
        <w:jc w:val="center"/>
        <w:rPr>
          <w:color w:val="auto"/>
          <w:sz w:val="24"/>
        </w:rPr>
      </w:pPr>
      <w:r>
        <w:rPr>
          <w:rFonts w:hint="eastAsia" w:cs="宋体"/>
          <w:b/>
          <w:color w:val="auto"/>
          <w:kern w:val="2"/>
          <w:sz w:val="36"/>
          <w:szCs w:val="36"/>
          <w:u w:val="none"/>
        </w:rPr>
        <w:t>施工总承包招标公告</w:t>
      </w:r>
    </w:p>
    <w:p w14:paraId="0E0DA6EA">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auto"/>
          <w:sz w:val="24"/>
        </w:rPr>
      </w:pPr>
      <w:r>
        <w:rPr>
          <w:rFonts w:hint="eastAsia" w:ascii="宋体" w:hAnsi="宋体"/>
          <w:color w:val="auto"/>
          <w:sz w:val="24"/>
        </w:rPr>
        <w:t>根据</w:t>
      </w:r>
      <w:r>
        <w:rPr>
          <w:rFonts w:hint="eastAsia" w:ascii="宋体" w:hAnsi="宋体" w:cs="宋体"/>
          <w:color w:val="auto"/>
          <w:sz w:val="24"/>
          <w:u w:val="single"/>
          <w:lang w:eastAsia="zh-CN"/>
        </w:rPr>
        <w:t>穗增发改投批〔2024〕103号</w:t>
      </w:r>
      <w:r>
        <w:rPr>
          <w:rFonts w:hint="eastAsia" w:ascii="宋体" w:hAnsi="宋体"/>
          <w:color w:val="auto"/>
          <w:sz w:val="24"/>
        </w:rPr>
        <w:t>批准，并且图纸和技术资料满足施工需要，</w:t>
      </w:r>
      <w:r>
        <w:rPr>
          <w:rFonts w:hint="eastAsia" w:ascii="宋体" w:hAnsi="宋体"/>
          <w:color w:val="auto"/>
          <w:sz w:val="24"/>
          <w:szCs w:val="24"/>
          <w:u w:val="single"/>
          <w:lang w:eastAsia="zh-CN"/>
        </w:rPr>
        <w:t>广州市增城区人民政府朱村街道办事处</w:t>
      </w:r>
      <w:r>
        <w:rPr>
          <w:rFonts w:hint="eastAsia" w:ascii="宋体" w:hAnsi="宋体"/>
          <w:color w:val="auto"/>
          <w:sz w:val="24"/>
        </w:rPr>
        <w:t>现对</w:t>
      </w:r>
      <w:r>
        <w:rPr>
          <w:rFonts w:hint="eastAsia" w:ascii="宋体" w:hAnsi="宋体" w:cs="宋体"/>
          <w:color w:val="auto"/>
          <w:sz w:val="24"/>
          <w:szCs w:val="24"/>
          <w:u w:val="single"/>
          <w:lang w:eastAsia="zh-CN"/>
        </w:rPr>
        <w:t>广州科教城（岗育路延长线）建设工程</w:t>
      </w:r>
      <w:r>
        <w:rPr>
          <w:rFonts w:hint="eastAsia" w:ascii="宋体" w:hAnsi="宋体"/>
          <w:color w:val="auto"/>
          <w:sz w:val="24"/>
        </w:rPr>
        <w:t>工程施工进行施工</w:t>
      </w:r>
      <w:r>
        <w:rPr>
          <w:rFonts w:hint="eastAsia"/>
          <w:color w:val="auto"/>
          <w:sz w:val="24"/>
          <w:u w:val="single"/>
        </w:rPr>
        <w:t>总承包</w:t>
      </w:r>
      <w:r>
        <w:rPr>
          <w:rFonts w:hint="eastAsia" w:ascii="宋体" w:hAnsi="宋体"/>
          <w:color w:val="auto"/>
          <w:sz w:val="24"/>
        </w:rPr>
        <w:t>公开招标，选定承包人。</w:t>
      </w:r>
    </w:p>
    <w:p w14:paraId="2A782DBF">
      <w:pPr>
        <w:keepNext w:val="0"/>
        <w:keepLines w:val="0"/>
        <w:pageBreakBefore w:val="0"/>
        <w:tabs>
          <w:tab w:val="center" w:pos="4415"/>
        </w:tabs>
        <w:kinsoku/>
        <w:wordWrap/>
        <w:overflowPunct/>
        <w:topLinePunct w:val="0"/>
        <w:autoSpaceDE/>
        <w:autoSpaceDN/>
        <w:bidi w:val="0"/>
        <w:adjustRightInd/>
        <w:spacing w:line="360" w:lineRule="auto"/>
        <w:ind w:firstLine="482" w:firstLineChars="200"/>
        <w:textAlignment w:val="auto"/>
        <w:rPr>
          <w:rFonts w:ascii="宋体" w:hAnsi="宋体"/>
          <w:color w:val="auto"/>
          <w:sz w:val="24"/>
          <w:u w:val="single"/>
        </w:rPr>
      </w:pPr>
      <w:bookmarkStart w:id="1" w:name="_Toc4156"/>
      <w:r>
        <w:rPr>
          <w:rStyle w:val="61"/>
          <w:rFonts w:hint="eastAsia"/>
          <w:color w:val="auto"/>
        </w:rPr>
        <w:t>一、</w:t>
      </w:r>
      <w:r>
        <w:rPr>
          <w:rStyle w:val="61"/>
          <w:rFonts w:hint="eastAsia"/>
          <w:color w:val="auto"/>
          <w:lang w:eastAsia="zh-CN"/>
        </w:rPr>
        <w:t>招标项目</w:t>
      </w:r>
      <w:r>
        <w:rPr>
          <w:rStyle w:val="61"/>
          <w:rFonts w:hint="eastAsia"/>
          <w:color w:val="auto"/>
        </w:rPr>
        <w:t>名称：</w:t>
      </w:r>
      <w:bookmarkEnd w:id="1"/>
      <w:r>
        <w:rPr>
          <w:rFonts w:hint="eastAsia" w:ascii="宋体" w:hAnsi="宋体" w:cs="宋体"/>
          <w:color w:val="auto"/>
          <w:sz w:val="24"/>
          <w:szCs w:val="24"/>
          <w:u w:val="single"/>
          <w:lang w:eastAsia="zh-CN"/>
        </w:rPr>
        <w:t>广州科教城（岗育路延长线）建设工程</w:t>
      </w:r>
    </w:p>
    <w:p w14:paraId="26B82830">
      <w:pPr>
        <w:keepNext w:val="0"/>
        <w:keepLines w:val="0"/>
        <w:pageBreakBefore w:val="0"/>
        <w:tabs>
          <w:tab w:val="center" w:pos="4415"/>
        </w:tabs>
        <w:kinsoku/>
        <w:wordWrap/>
        <w:overflowPunct/>
        <w:topLinePunct w:val="0"/>
        <w:autoSpaceDE/>
        <w:autoSpaceDN/>
        <w:bidi w:val="0"/>
        <w:adjustRightInd/>
        <w:spacing w:line="360" w:lineRule="auto"/>
        <w:ind w:firstLine="1015" w:firstLineChars="423"/>
        <w:textAlignment w:val="auto"/>
        <w:rPr>
          <w:rFonts w:ascii="宋体" w:hAnsi="宋体"/>
          <w:color w:val="auto"/>
          <w:sz w:val="24"/>
          <w:u w:val="single"/>
        </w:rPr>
      </w:pPr>
      <w:bookmarkStart w:id="2" w:name="_Toc10700"/>
      <w:r>
        <w:rPr>
          <w:rStyle w:val="61"/>
          <w:rFonts w:hint="eastAsia"/>
          <w:b w:val="0"/>
          <w:bCs/>
          <w:color w:val="auto"/>
          <w:lang w:eastAsia="zh-CN"/>
        </w:rPr>
        <w:t>招标项目对应工程项目</w:t>
      </w:r>
      <w:r>
        <w:rPr>
          <w:rStyle w:val="61"/>
          <w:rFonts w:hint="eastAsia"/>
          <w:b w:val="0"/>
          <w:bCs/>
          <w:color w:val="auto"/>
        </w:rPr>
        <w:t>名称：</w:t>
      </w:r>
      <w:bookmarkEnd w:id="2"/>
      <w:r>
        <w:rPr>
          <w:rFonts w:hint="eastAsia" w:ascii="宋体" w:hAnsi="宋体" w:cs="宋体"/>
          <w:color w:val="auto"/>
          <w:sz w:val="24"/>
          <w:szCs w:val="24"/>
          <w:u w:val="single"/>
          <w:lang w:eastAsia="zh-CN"/>
        </w:rPr>
        <w:t>广州科教城（岗育路延长线）建设工程</w:t>
      </w:r>
    </w:p>
    <w:p w14:paraId="75DA2988">
      <w:pPr>
        <w:keepNext w:val="0"/>
        <w:keepLines w:val="0"/>
        <w:pageBreakBefore w:val="0"/>
        <w:tabs>
          <w:tab w:val="center" w:pos="4415"/>
        </w:tabs>
        <w:kinsoku/>
        <w:wordWrap/>
        <w:overflowPunct/>
        <w:topLinePunct w:val="0"/>
        <w:autoSpaceDE/>
        <w:autoSpaceDN/>
        <w:bidi w:val="0"/>
        <w:adjustRightInd/>
        <w:spacing w:line="360" w:lineRule="auto"/>
        <w:ind w:firstLine="1017" w:firstLineChars="424"/>
        <w:textAlignment w:val="auto"/>
        <w:rPr>
          <w:rFonts w:ascii="宋体" w:hAnsi="宋体"/>
          <w:color w:val="auto"/>
          <w:sz w:val="24"/>
          <w:u w:val="single"/>
        </w:rPr>
      </w:pPr>
      <w:r>
        <w:rPr>
          <w:rFonts w:hint="eastAsia" w:ascii="宋体"/>
          <w:color w:val="auto"/>
          <w:sz w:val="24"/>
          <w:lang w:eastAsia="zh-CN"/>
        </w:rPr>
        <w:t>招标项目固定资产投资项目</w:t>
      </w:r>
      <w:r>
        <w:rPr>
          <w:rFonts w:hint="eastAsia" w:ascii="宋体"/>
          <w:color w:val="auto"/>
          <w:sz w:val="24"/>
        </w:rPr>
        <w:t>代码：</w:t>
      </w:r>
      <w:r>
        <w:rPr>
          <w:rFonts w:hint="eastAsia" w:ascii="宋体" w:hAnsi="宋体" w:cs="宋体"/>
          <w:color w:val="auto"/>
          <w:sz w:val="24"/>
          <w:szCs w:val="24"/>
          <w:u w:val="single"/>
          <w:lang w:val="en-US" w:eastAsia="zh-CN"/>
        </w:rPr>
        <w:t>2304-440118-04-01-425334</w:t>
      </w:r>
    </w:p>
    <w:p w14:paraId="25124DA7">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color w:val="auto"/>
          <w:sz w:val="24"/>
          <w:u w:val="single"/>
        </w:rPr>
      </w:pPr>
      <w:bookmarkStart w:id="3" w:name="_Toc31984"/>
      <w:r>
        <w:rPr>
          <w:rStyle w:val="61"/>
          <w:rFonts w:hint="eastAsia"/>
          <w:color w:val="auto"/>
        </w:rPr>
        <w:t>二、招标单位：</w:t>
      </w:r>
      <w:bookmarkEnd w:id="3"/>
      <w:r>
        <w:rPr>
          <w:rFonts w:hint="eastAsia" w:ascii="宋体" w:hAnsi="宋体"/>
          <w:color w:val="auto"/>
          <w:sz w:val="24"/>
          <w:szCs w:val="24"/>
          <w:u w:val="single"/>
          <w:lang w:eastAsia="zh-CN"/>
        </w:rPr>
        <w:t>广州市增城区人民政府朱村街道办事处</w:t>
      </w:r>
    </w:p>
    <w:p w14:paraId="3A087461">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cs="宋体"/>
          <w:color w:val="0000FF"/>
          <w:sz w:val="24"/>
          <w:u w:val="single"/>
          <w:lang w:val="en-US" w:eastAsia="zh-CN"/>
        </w:rPr>
      </w:pPr>
      <w:r>
        <w:rPr>
          <w:rFonts w:ascii="宋体" w:hAnsi="宋体"/>
          <w:color w:val="auto"/>
          <w:sz w:val="24"/>
        </w:rPr>
        <w:t xml:space="preserve">    </w:t>
      </w:r>
      <w:r>
        <w:rPr>
          <w:rFonts w:hint="eastAsia" w:ascii="宋体" w:hAnsi="宋体" w:cs="宋体"/>
          <w:color w:val="auto"/>
          <w:sz w:val="24"/>
        </w:rPr>
        <w:t>联系人：</w:t>
      </w:r>
      <w:r>
        <w:rPr>
          <w:rFonts w:hint="eastAsia" w:ascii="宋体" w:hAnsi="宋体" w:cs="宋体"/>
          <w:color w:val="auto"/>
          <w:sz w:val="24"/>
          <w:u w:val="single"/>
          <w:lang w:val="en-US" w:eastAsia="zh-CN"/>
        </w:rPr>
        <w:t>姚工</w:t>
      </w:r>
      <w:r>
        <w:rPr>
          <w:rFonts w:hint="eastAsia" w:ascii="宋体" w:hAnsi="宋体" w:cs="宋体"/>
          <w:color w:val="auto"/>
          <w:sz w:val="24"/>
          <w:u w:val="single"/>
        </w:rPr>
        <w:t xml:space="preserve"> </w:t>
      </w:r>
      <w:r>
        <w:rPr>
          <w:rFonts w:hint="eastAsia" w:ascii="宋体" w:hAnsi="宋体" w:cs="宋体"/>
          <w:color w:val="auto"/>
          <w:sz w:val="24"/>
        </w:rPr>
        <w:t xml:space="preserve"> 联系电话：</w:t>
      </w:r>
      <w:r>
        <w:rPr>
          <w:rFonts w:hint="eastAsia" w:ascii="宋体" w:hAnsi="宋体" w:cs="宋体"/>
          <w:color w:val="auto"/>
          <w:sz w:val="24"/>
          <w:u w:val="single"/>
          <w:lang w:eastAsia="zh-CN"/>
        </w:rPr>
        <w:t>020-</w:t>
      </w:r>
      <w:r>
        <w:rPr>
          <w:rFonts w:hint="eastAsia" w:ascii="宋体" w:hAnsi="宋体" w:cs="宋体"/>
          <w:color w:val="auto"/>
          <w:sz w:val="24"/>
          <w:u w:val="single"/>
          <w:lang w:val="en-US" w:eastAsia="zh-CN"/>
        </w:rPr>
        <w:t>82855488</w:t>
      </w:r>
    </w:p>
    <w:p w14:paraId="02B16195">
      <w:pPr>
        <w:keepNext w:val="0"/>
        <w:keepLines w:val="0"/>
        <w:pageBreakBefore w:val="0"/>
        <w:kinsoku/>
        <w:wordWrap/>
        <w:overflowPunct/>
        <w:topLinePunct w:val="0"/>
        <w:autoSpaceDE/>
        <w:autoSpaceDN/>
        <w:bidi w:val="0"/>
        <w:adjustRightInd/>
        <w:spacing w:line="360" w:lineRule="auto"/>
        <w:ind w:firstLine="1015" w:firstLineChars="423"/>
        <w:textAlignment w:val="auto"/>
        <w:rPr>
          <w:rFonts w:ascii="宋体" w:hAnsi="宋体"/>
          <w:color w:val="auto"/>
          <w:sz w:val="24"/>
          <w:u w:val="single"/>
        </w:rPr>
      </w:pPr>
      <w:r>
        <w:rPr>
          <w:rFonts w:hint="eastAsia" w:ascii="宋体" w:hAnsi="宋体"/>
          <w:color w:val="auto"/>
          <w:sz w:val="24"/>
        </w:rPr>
        <w:t>联系地址：</w:t>
      </w:r>
      <w:r>
        <w:rPr>
          <w:rFonts w:hint="eastAsia" w:ascii="宋体" w:hAnsi="宋体" w:cs="宋体"/>
          <w:color w:val="auto"/>
          <w:sz w:val="24"/>
          <w:highlight w:val="none"/>
          <w:u w:val="single"/>
          <w:lang w:val="en-US" w:eastAsia="zh-CN"/>
        </w:rPr>
        <w:t>广州市增城区朱村大道中288号</w:t>
      </w:r>
    </w:p>
    <w:p w14:paraId="1A85E3E8">
      <w:pPr>
        <w:spacing w:line="360" w:lineRule="auto"/>
        <w:ind w:firstLine="960" w:firstLineChars="400"/>
        <w:rPr>
          <w:rFonts w:hint="eastAsia" w:ascii="宋体" w:hAnsi="宋体" w:cs="宋体"/>
          <w:color w:val="auto"/>
          <w:sz w:val="24"/>
          <w:u w:val="single"/>
        </w:rPr>
      </w:pPr>
      <w:bookmarkStart w:id="4" w:name="_Toc8954"/>
      <w:r>
        <w:rPr>
          <w:rFonts w:hint="eastAsia" w:ascii="宋体" w:hAnsi="宋体" w:cs="宋体"/>
          <w:color w:val="auto"/>
          <w:sz w:val="24"/>
        </w:rPr>
        <w:t>项目建设管理单位：</w:t>
      </w:r>
      <w:r>
        <w:rPr>
          <w:rFonts w:hint="eastAsia" w:ascii="宋体" w:hAnsi="宋体" w:cs="宋体"/>
          <w:color w:val="auto"/>
          <w:sz w:val="24"/>
          <w:u w:val="single"/>
        </w:rPr>
        <w:t xml:space="preserve">   /       </w:t>
      </w:r>
    </w:p>
    <w:p w14:paraId="71C19332">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cs="宋体"/>
          <w:color w:val="auto"/>
          <w:sz w:val="24"/>
          <w:u w:val="single"/>
        </w:rPr>
      </w:pPr>
      <w:r>
        <w:rPr>
          <w:rFonts w:hint="eastAsia" w:ascii="宋体" w:hAnsi="宋体" w:cs="宋体"/>
          <w:color w:val="auto"/>
          <w:sz w:val="24"/>
        </w:rPr>
        <w:t xml:space="preserve">    联系人：</w:t>
      </w:r>
      <w:r>
        <w:rPr>
          <w:rFonts w:hint="eastAsia" w:ascii="宋体" w:hAnsi="宋体" w:cs="宋体"/>
          <w:color w:val="auto"/>
          <w:sz w:val="24"/>
          <w:u w:val="single"/>
        </w:rPr>
        <w:t xml:space="preserve">    /      </w:t>
      </w:r>
      <w:r>
        <w:rPr>
          <w:rFonts w:hint="eastAsia" w:ascii="宋体" w:hAnsi="宋体" w:cs="宋体"/>
          <w:color w:val="auto"/>
          <w:sz w:val="24"/>
        </w:rPr>
        <w:t xml:space="preserve">      联系电话：</w:t>
      </w:r>
      <w:r>
        <w:rPr>
          <w:rFonts w:hint="eastAsia" w:ascii="宋体" w:hAnsi="宋体" w:cs="宋体"/>
          <w:color w:val="auto"/>
          <w:sz w:val="24"/>
          <w:u w:val="single"/>
        </w:rPr>
        <w:t xml:space="preserve">  /    </w:t>
      </w:r>
    </w:p>
    <w:p w14:paraId="7A8571DF">
      <w:pPr>
        <w:pStyle w:val="25"/>
        <w:keepNext w:val="0"/>
        <w:keepLines w:val="0"/>
        <w:pageBreakBefore w:val="0"/>
        <w:widowControl w:val="0"/>
        <w:kinsoku/>
        <w:wordWrap/>
        <w:overflowPunct/>
        <w:topLinePunct w:val="0"/>
        <w:autoSpaceDE/>
        <w:autoSpaceDN/>
        <w:bidi w:val="0"/>
        <w:adjustRightInd/>
        <w:spacing w:line="460" w:lineRule="exact"/>
        <w:ind w:firstLine="960" w:firstLineChars="400"/>
        <w:textAlignment w:val="auto"/>
        <w:rPr>
          <w:rFonts w:hint="eastAsia"/>
          <w:color w:val="auto"/>
        </w:rPr>
      </w:pPr>
      <w:r>
        <w:rPr>
          <w:rFonts w:hint="eastAsia" w:ascii="宋体" w:hAnsi="宋体" w:cs="宋体"/>
          <w:color w:val="auto"/>
          <w:sz w:val="24"/>
          <w:highlight w:val="none"/>
        </w:rPr>
        <w:t>联系地址：</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highlight w:val="none"/>
          <w:u w:val="single"/>
          <w:lang w:val="en-US" w:eastAsia="zh-CN"/>
        </w:rPr>
        <w:t xml:space="preserve">        </w:t>
      </w:r>
    </w:p>
    <w:p w14:paraId="630A8429">
      <w:pPr>
        <w:keepNext w:val="0"/>
        <w:keepLines w:val="0"/>
        <w:pageBreakBefore w:val="0"/>
        <w:widowControl w:val="0"/>
        <w:kinsoku/>
        <w:wordWrap/>
        <w:overflowPunct/>
        <w:topLinePunct w:val="0"/>
        <w:autoSpaceDE/>
        <w:autoSpaceDN/>
        <w:bidi w:val="0"/>
        <w:adjustRightInd/>
        <w:spacing w:line="460" w:lineRule="exact"/>
        <w:ind w:firstLine="960" w:firstLineChars="400"/>
        <w:textAlignment w:val="auto"/>
        <w:rPr>
          <w:rFonts w:hint="eastAsia" w:ascii="宋体" w:hAnsi="宋体" w:eastAsia="宋体" w:cs="宋体"/>
          <w:color w:val="0000FF"/>
          <w:sz w:val="24"/>
          <w:u w:val="single"/>
          <w:lang w:eastAsia="zh-CN"/>
        </w:rPr>
      </w:pPr>
      <w:r>
        <w:rPr>
          <w:rFonts w:hint="eastAsia" w:ascii="宋体" w:hAnsi="宋体" w:cs="宋体"/>
          <w:color w:val="auto"/>
          <w:sz w:val="24"/>
        </w:rPr>
        <w:t>招标代理机构：</w:t>
      </w:r>
      <w:r>
        <w:rPr>
          <w:rFonts w:hint="eastAsia" w:ascii="宋体" w:hAnsi="宋体" w:cs="宋体"/>
          <w:color w:val="auto"/>
          <w:sz w:val="24"/>
          <w:szCs w:val="24"/>
          <w:u w:val="single"/>
          <w:lang w:eastAsia="zh-CN"/>
        </w:rPr>
        <w:t>广东信拓工程咨询有限公司</w:t>
      </w:r>
    </w:p>
    <w:p w14:paraId="02DF3452">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default" w:ascii="宋体" w:hAnsi="宋体" w:eastAsia="宋体" w:cs="宋体"/>
          <w:color w:val="auto"/>
          <w:sz w:val="24"/>
          <w:u w:val="single"/>
          <w:lang w:val="en-US" w:eastAsia="zh-CN"/>
        </w:rPr>
      </w:pPr>
      <w:r>
        <w:rPr>
          <w:rFonts w:hint="eastAsia" w:ascii="宋体" w:hAnsi="宋体" w:cs="宋体"/>
          <w:color w:val="0000FF"/>
          <w:sz w:val="24"/>
        </w:rPr>
        <w:t xml:space="preserve">   </w:t>
      </w:r>
      <w:r>
        <w:rPr>
          <w:rFonts w:hint="eastAsia" w:ascii="宋体" w:hAnsi="宋体" w:cs="宋体"/>
          <w:color w:val="auto"/>
          <w:sz w:val="24"/>
        </w:rPr>
        <w:t xml:space="preserve"> 联系人：</w:t>
      </w:r>
      <w:r>
        <w:rPr>
          <w:rFonts w:hint="eastAsia" w:ascii="宋体" w:hAnsi="宋体" w:cs="宋体"/>
          <w:color w:val="auto"/>
          <w:sz w:val="24"/>
          <w:u w:val="single"/>
          <w:lang w:val="en-US" w:eastAsia="zh-CN"/>
        </w:rPr>
        <w:t>罗</w:t>
      </w:r>
      <w:r>
        <w:rPr>
          <w:rFonts w:hint="eastAsia" w:ascii="宋体" w:hAnsi="宋体" w:cs="宋体"/>
          <w:color w:val="auto"/>
          <w:sz w:val="24"/>
          <w:u w:val="single"/>
        </w:rPr>
        <w:t>工</w:t>
      </w:r>
      <w:r>
        <w:rPr>
          <w:rFonts w:hint="eastAsia" w:ascii="宋体" w:hAnsi="宋体" w:cs="宋体"/>
          <w:color w:val="auto"/>
          <w:sz w:val="24"/>
        </w:rPr>
        <w:t xml:space="preserve">      联系电话：</w:t>
      </w:r>
      <w:r>
        <w:rPr>
          <w:rFonts w:hint="eastAsia" w:ascii="宋体" w:hAnsi="宋体" w:cs="宋体"/>
          <w:color w:val="auto"/>
          <w:sz w:val="24"/>
          <w:u w:val="single"/>
          <w:lang w:val="en-US" w:eastAsia="zh-CN"/>
        </w:rPr>
        <w:t>020-82653148</w:t>
      </w:r>
    </w:p>
    <w:p w14:paraId="690B5D70">
      <w:pPr>
        <w:pStyle w:val="25"/>
        <w:keepNext w:val="0"/>
        <w:keepLines w:val="0"/>
        <w:pageBreakBefore w:val="0"/>
        <w:widowControl w:val="0"/>
        <w:kinsoku/>
        <w:wordWrap/>
        <w:overflowPunct/>
        <w:topLinePunct w:val="0"/>
        <w:autoSpaceDE/>
        <w:autoSpaceDN/>
        <w:bidi w:val="0"/>
        <w:adjustRightInd/>
        <w:spacing w:line="460" w:lineRule="exact"/>
        <w:ind w:firstLine="960" w:firstLineChars="400"/>
        <w:textAlignment w:val="auto"/>
        <w:rPr>
          <w:rFonts w:hint="default"/>
          <w:color w:val="auto"/>
          <w:lang w:val="en-US"/>
        </w:rPr>
      </w:pPr>
      <w:r>
        <w:rPr>
          <w:rFonts w:hint="eastAsia" w:ascii="宋体" w:hAnsi="宋体" w:cs="宋体"/>
          <w:color w:val="auto"/>
          <w:sz w:val="24"/>
          <w:highlight w:val="none"/>
        </w:rPr>
        <w:t>联系地址：</w:t>
      </w:r>
      <w:r>
        <w:rPr>
          <w:rFonts w:hint="eastAsia" w:ascii="宋体" w:hAnsi="宋体" w:cs="宋体"/>
          <w:color w:val="auto"/>
          <w:sz w:val="24"/>
          <w:highlight w:val="none"/>
          <w:u w:val="single"/>
          <w:lang w:eastAsia="zh-CN"/>
        </w:rPr>
        <w:t>广州市增城区荔城街观翠路21号1幢702号</w:t>
      </w:r>
    </w:p>
    <w:p w14:paraId="61C01FC8">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 xml:space="preserve">    招标监督机构：</w:t>
      </w:r>
      <w:r>
        <w:rPr>
          <w:rFonts w:hint="eastAsia" w:ascii="宋体" w:hAnsi="宋体" w:cs="宋体"/>
          <w:color w:val="auto"/>
          <w:sz w:val="24"/>
          <w:szCs w:val="24"/>
          <w:u w:val="single"/>
        </w:rPr>
        <w:t>广州市增城区建设工程招标管理办公室</w:t>
      </w:r>
    </w:p>
    <w:p w14:paraId="5D0E1750">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cs="宋体"/>
          <w:color w:val="auto"/>
          <w:sz w:val="24"/>
          <w:u w:val="single"/>
        </w:rPr>
      </w:pPr>
      <w:r>
        <w:rPr>
          <w:rFonts w:hint="eastAsia" w:ascii="宋体" w:hAnsi="宋体" w:cs="宋体"/>
          <w:color w:val="auto"/>
          <w:sz w:val="24"/>
        </w:rPr>
        <w:t xml:space="preserve">    监督电话：</w:t>
      </w:r>
      <w:r>
        <w:rPr>
          <w:rFonts w:hint="eastAsia" w:ascii="宋体" w:hAnsi="宋体" w:cs="宋体"/>
          <w:color w:val="auto"/>
          <w:sz w:val="24"/>
          <w:u w:val="single"/>
        </w:rPr>
        <w:t>020-32821156</w:t>
      </w:r>
    </w:p>
    <w:p w14:paraId="7AB8DE4C">
      <w:pPr>
        <w:pStyle w:val="25"/>
        <w:keepNext w:val="0"/>
        <w:keepLines w:val="0"/>
        <w:pageBreakBefore w:val="0"/>
        <w:widowControl w:val="0"/>
        <w:kinsoku/>
        <w:wordWrap/>
        <w:overflowPunct/>
        <w:topLinePunct w:val="0"/>
        <w:autoSpaceDE/>
        <w:autoSpaceDN/>
        <w:bidi w:val="0"/>
        <w:adjustRightInd/>
        <w:spacing w:line="460" w:lineRule="exact"/>
        <w:ind w:firstLine="960" w:firstLineChars="400"/>
        <w:textAlignment w:val="auto"/>
        <w:rPr>
          <w:rFonts w:hint="eastAsia"/>
          <w:color w:val="auto"/>
        </w:rPr>
      </w:pPr>
      <w:r>
        <w:rPr>
          <w:rFonts w:hint="eastAsia" w:ascii="宋体" w:hAnsi="宋体" w:cs="宋体"/>
          <w:color w:val="auto"/>
          <w:sz w:val="24"/>
          <w:highlight w:val="none"/>
        </w:rPr>
        <w:t>联系地址：</w:t>
      </w:r>
      <w:r>
        <w:rPr>
          <w:rFonts w:hint="eastAsia" w:ascii="宋体" w:hAnsi="宋体" w:cs="宋体"/>
          <w:color w:val="auto"/>
          <w:sz w:val="24"/>
          <w:highlight w:val="none"/>
          <w:u w:val="single"/>
        </w:rPr>
        <w:t>广州市增城区荔城街挂绿路12号建设局4楼</w:t>
      </w:r>
    </w:p>
    <w:p w14:paraId="60CD8416">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color w:val="auto"/>
          <w:sz w:val="24"/>
          <w:u w:val="single"/>
        </w:rPr>
      </w:pPr>
      <w:r>
        <w:rPr>
          <w:rStyle w:val="61"/>
          <w:rFonts w:hint="eastAsia"/>
          <w:color w:val="auto"/>
        </w:rPr>
        <w:t>三、建设地点：</w:t>
      </w:r>
      <w:bookmarkEnd w:id="4"/>
      <w:r>
        <w:rPr>
          <w:rFonts w:hint="eastAsia" w:ascii="宋体" w:hAnsi="宋体" w:cs="宋体"/>
          <w:color w:val="auto"/>
          <w:sz w:val="24"/>
          <w:u w:val="single"/>
          <w:lang w:val="en-US" w:eastAsia="zh-CN"/>
        </w:rPr>
        <w:t>广州科教城东北部</w:t>
      </w:r>
      <w:r>
        <w:rPr>
          <w:rFonts w:hint="eastAsia" w:ascii="宋体" w:hAnsi="宋体" w:cs="宋体"/>
          <w:color w:val="auto"/>
          <w:sz w:val="24"/>
          <w:u w:val="single"/>
        </w:rPr>
        <w:t>。</w:t>
      </w:r>
    </w:p>
    <w:p w14:paraId="05037527">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color w:val="auto"/>
          <w:sz w:val="24"/>
          <w:u w:val="single"/>
        </w:rPr>
      </w:pPr>
      <w:bookmarkStart w:id="5" w:name="_Toc5544"/>
      <w:r>
        <w:rPr>
          <w:rStyle w:val="61"/>
          <w:rFonts w:hint="eastAsia"/>
          <w:color w:val="auto"/>
        </w:rPr>
        <w:t>四、项目概况：</w:t>
      </w:r>
      <w:bookmarkEnd w:id="5"/>
      <w:bookmarkStart w:id="6" w:name="OLE_LINK1"/>
      <w:r>
        <w:rPr>
          <w:rFonts w:hint="eastAsia" w:ascii="宋体" w:hAnsi="宋体" w:cs="宋体"/>
          <w:color w:val="auto"/>
          <w:sz w:val="24"/>
          <w:u w:val="single"/>
        </w:rPr>
        <w:t>项目位于广州科教城东北部，总体呈东西走向，起点接现状岗育路，终点接现状朱村街金兴路，路线全长约0.838千米，道路等级为城市支路，红线宽度20米，双向4车道，设计速度30千米/小时。项目建设按近远期两期实施。近期主要建设内容包括道路、交通、涵洞、给排水、照明、绿化等工程；远期主要建设内容包括电力、通信等工程。</w:t>
      </w:r>
      <w:r>
        <w:rPr>
          <w:rFonts w:hint="eastAsia" w:ascii="宋体" w:hAnsi="宋体" w:eastAsia="宋体" w:cs="宋体"/>
          <w:color w:val="auto"/>
          <w:sz w:val="24"/>
          <w:u w:val="single"/>
          <w:lang w:val="en-US" w:eastAsia="zh-CN"/>
        </w:rPr>
        <w:t>具体以工程量清单和施工图纸为准。</w:t>
      </w:r>
      <w:bookmarkEnd w:id="6"/>
    </w:p>
    <w:p w14:paraId="58715A73">
      <w:pPr>
        <w:pStyle w:val="7"/>
        <w:pageBreakBefore w:val="0"/>
        <w:kinsoku/>
        <w:wordWrap/>
        <w:overflowPunct/>
        <w:topLinePunct w:val="0"/>
        <w:autoSpaceDE/>
        <w:autoSpaceDN/>
        <w:bidi w:val="0"/>
        <w:spacing w:line="360" w:lineRule="auto"/>
        <w:ind w:left="0" w:leftChars="0" w:firstLine="482" w:firstLineChars="200"/>
        <w:jc w:val="both"/>
        <w:textAlignment w:val="auto"/>
        <w:rPr>
          <w:color w:val="auto"/>
        </w:rPr>
      </w:pPr>
      <w:bookmarkStart w:id="7" w:name="_Toc1453"/>
      <w:r>
        <w:rPr>
          <w:rFonts w:hint="eastAsia"/>
          <w:color w:val="auto"/>
        </w:rPr>
        <w:t>五、标段划分及各标段招标内容、规模和最高投标限价：</w:t>
      </w:r>
      <w:bookmarkEnd w:id="7"/>
    </w:p>
    <w:p w14:paraId="44498F20">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hAnsi="宋体" w:eastAsia="宋体"/>
          <w:i w:val="0"/>
          <w:color w:val="auto"/>
          <w:sz w:val="24"/>
        </w:rPr>
      </w:pPr>
      <w:r>
        <w:rPr>
          <w:rFonts w:ascii="宋体" w:hAnsi="宋体" w:eastAsia="宋体"/>
          <w:color w:val="auto"/>
          <w:sz w:val="24"/>
        </w:rPr>
        <w:t>1</w:t>
      </w:r>
      <w:r>
        <w:rPr>
          <w:rFonts w:hint="eastAsia" w:ascii="宋体" w:hAnsi="宋体"/>
          <w:color w:val="auto"/>
          <w:sz w:val="24"/>
          <w:lang w:val="en-US" w:eastAsia="zh-CN"/>
        </w:rPr>
        <w:t>.</w:t>
      </w:r>
      <w:r>
        <w:rPr>
          <w:rFonts w:ascii="宋体" w:hAnsi="宋体" w:eastAsia="宋体"/>
          <w:color w:val="auto"/>
          <w:sz w:val="24"/>
        </w:rPr>
        <w:t>本招标项目分为</w:t>
      </w:r>
      <w:r>
        <w:rPr>
          <w:rFonts w:ascii="宋体" w:hAnsi="宋体"/>
          <w:color w:val="auto"/>
          <w:sz w:val="24"/>
          <w:u w:val="single"/>
        </w:rPr>
        <w:t xml:space="preserve">  </w:t>
      </w:r>
      <w:r>
        <w:rPr>
          <w:rFonts w:hint="eastAsia" w:ascii="宋体" w:hAnsi="宋体"/>
          <w:color w:val="auto"/>
          <w:sz w:val="24"/>
          <w:u w:val="single"/>
          <w:lang w:val="en-US" w:eastAsia="zh-CN"/>
        </w:rPr>
        <w:t>1</w:t>
      </w:r>
      <w:r>
        <w:rPr>
          <w:rFonts w:ascii="宋体" w:hAnsi="宋体"/>
          <w:color w:val="auto"/>
          <w:sz w:val="24"/>
          <w:u w:val="single"/>
        </w:rPr>
        <w:t xml:space="preserve">  </w:t>
      </w:r>
      <w:r>
        <w:rPr>
          <w:rFonts w:hint="eastAsia" w:ascii="宋体" w:hAnsi="宋体" w:eastAsia="宋体"/>
          <w:color w:val="auto"/>
          <w:sz w:val="24"/>
        </w:rPr>
        <w:t>个标段。</w:t>
      </w:r>
    </w:p>
    <w:p w14:paraId="255E2259">
      <w:pPr>
        <w:spacing w:line="360" w:lineRule="auto"/>
        <w:ind w:firstLine="480" w:firstLineChars="200"/>
        <w:rPr>
          <w:rFonts w:ascii="宋体" w:hAnsi="宋体" w:eastAsia="宋体"/>
          <w:color w:val="auto"/>
          <w:sz w:val="24"/>
        </w:rPr>
      </w:pPr>
      <w:r>
        <w:rPr>
          <w:rFonts w:ascii="宋体" w:hAnsi="宋体" w:eastAsia="宋体"/>
          <w:color w:val="auto"/>
          <w:sz w:val="24"/>
        </w:rPr>
        <w:t>2</w:t>
      </w:r>
      <w:r>
        <w:rPr>
          <w:rFonts w:hint="eastAsia" w:ascii="宋体" w:hAnsi="宋体"/>
          <w:color w:val="auto"/>
          <w:sz w:val="24"/>
          <w:lang w:val="en-US" w:eastAsia="zh-CN"/>
        </w:rPr>
        <w:t>.</w:t>
      </w:r>
      <w:r>
        <w:rPr>
          <w:rFonts w:hint="eastAsia" w:ascii="宋体" w:hAnsi="宋体" w:eastAsia="宋体" w:cs="Times New Roman"/>
          <w:color w:val="auto"/>
          <w:sz w:val="24"/>
          <w:szCs w:val="22"/>
        </w:rPr>
        <w:t>招标</w:t>
      </w:r>
      <w:r>
        <w:rPr>
          <w:rFonts w:hint="eastAsia" w:ascii="宋体" w:hAnsi="宋体" w:eastAsia="宋体"/>
          <w:color w:val="auto"/>
          <w:sz w:val="24"/>
        </w:rPr>
        <w:t>内容</w:t>
      </w:r>
      <w:r>
        <w:rPr>
          <w:rFonts w:ascii="宋体" w:hAnsi="宋体" w:eastAsia="宋体"/>
          <w:color w:val="auto"/>
          <w:sz w:val="24"/>
        </w:rPr>
        <w:t>:</w:t>
      </w:r>
      <w:r>
        <w:rPr>
          <w:rFonts w:hint="eastAsia" w:ascii="宋体" w:hAnsi="宋体" w:cs="宋体"/>
          <w:color w:val="auto"/>
          <w:sz w:val="24"/>
          <w:u w:val="single"/>
        </w:rPr>
        <w:t>按发包人提供的招标文件、招标答疑文件、全套施工图、设计说明及补充说明，完成本项目的施工总承包。包工、包料、包工期、包质量、包安全、包文明施工、包工程相关报批手续、包编制竣工图，包招标范围内工程竣工验收通过、包移交、包结算、包保修的组织实施工作和资料整理等。</w:t>
      </w:r>
      <w:r>
        <w:rPr>
          <w:rFonts w:ascii="宋体" w:hAnsi="宋体" w:eastAsia="宋体"/>
          <w:color w:val="auto"/>
          <w:sz w:val="24"/>
        </w:rPr>
        <w:t xml:space="preserve"> </w:t>
      </w:r>
      <w:r>
        <w:rPr>
          <w:rFonts w:ascii="宋体" w:hAnsi="宋体" w:eastAsia="宋体"/>
          <w:color w:val="auto"/>
          <w:sz w:val="24"/>
          <w:u w:val="none"/>
        </w:rPr>
        <w:t xml:space="preserve">                 </w:t>
      </w:r>
    </w:p>
    <w:p w14:paraId="6425E2E2">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olor w:val="auto"/>
          <w:sz w:val="24"/>
          <w:lang w:val="en-US" w:eastAsia="zh-CN"/>
        </w:rPr>
      </w:pPr>
      <w:r>
        <w:rPr>
          <w:rFonts w:ascii="宋体" w:hAnsi="宋体" w:eastAsia="宋体"/>
          <w:color w:val="auto"/>
          <w:sz w:val="24"/>
        </w:rPr>
        <w:t>3</w:t>
      </w:r>
      <w:r>
        <w:rPr>
          <w:rFonts w:hint="eastAsia" w:ascii="宋体" w:hAnsi="宋体"/>
          <w:color w:val="auto"/>
          <w:sz w:val="24"/>
          <w:lang w:val="en-US" w:eastAsia="zh-CN"/>
        </w:rPr>
        <w:t>.</w:t>
      </w:r>
      <w:r>
        <w:rPr>
          <w:rFonts w:ascii="宋体" w:hAnsi="宋体" w:eastAsia="宋体"/>
          <w:color w:val="auto"/>
          <w:sz w:val="24"/>
        </w:rPr>
        <w:t>最高投标限价：</w:t>
      </w:r>
      <w:r>
        <w:rPr>
          <w:rFonts w:hint="eastAsia" w:ascii="宋体" w:hAnsi="宋体"/>
          <w:color w:val="auto"/>
          <w:sz w:val="24"/>
          <w:u w:val="single"/>
          <w:lang w:val="en-US" w:eastAsia="zh-CN"/>
        </w:rPr>
        <w:t>32008332.99</w:t>
      </w:r>
      <w:r>
        <w:rPr>
          <w:rFonts w:hint="eastAsia" w:ascii="宋体" w:hAnsi="宋体"/>
          <w:color w:val="auto"/>
          <w:sz w:val="24"/>
          <w:u w:val="none"/>
          <w:lang w:val="en-US" w:eastAsia="zh-CN"/>
        </w:rPr>
        <w:t>元</w:t>
      </w:r>
    </w:p>
    <w:p w14:paraId="4C1BCA49">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楷体" w:hAnsi="楷体" w:eastAsia="楷体" w:cs="楷体"/>
          <w:color w:val="auto"/>
          <w:sz w:val="24"/>
        </w:rPr>
      </w:pPr>
      <w:r>
        <w:rPr>
          <w:rFonts w:hint="eastAsia" w:ascii="楷体" w:hAnsi="楷体" w:eastAsia="楷体" w:cs="楷体"/>
          <w:color w:val="auto"/>
          <w:sz w:val="24"/>
        </w:rPr>
        <w:t>注：两个或两个以上标段的，应明确允许兼中或不兼中时，明确对项目负责人的数量要求。对于包含两个或两个以上专业的招标项目，应分别明确各专业对应的招标内容、规模和最高投标限价的专业组成费用。最高投标限价不得超过已批复的工程项目估算、概算中对应的金额。</w:t>
      </w:r>
    </w:p>
    <w:p w14:paraId="79CFA1EF">
      <w:pPr>
        <w:keepNext w:val="0"/>
        <w:keepLines w:val="0"/>
        <w:pageBreakBefore w:val="0"/>
        <w:kinsoku/>
        <w:wordWrap/>
        <w:overflowPunct/>
        <w:topLinePunct w:val="0"/>
        <w:autoSpaceDE/>
        <w:autoSpaceDN/>
        <w:bidi w:val="0"/>
        <w:adjustRightInd/>
        <w:spacing w:line="360" w:lineRule="auto"/>
        <w:ind w:firstLine="540" w:firstLineChars="224"/>
        <w:textAlignment w:val="auto"/>
        <w:rPr>
          <w:rFonts w:ascii="宋体" w:hAnsi="宋体"/>
          <w:color w:val="auto"/>
          <w:sz w:val="24"/>
          <w:u w:val="single"/>
        </w:rPr>
      </w:pPr>
      <w:bookmarkStart w:id="8" w:name="_Toc14879"/>
      <w:r>
        <w:rPr>
          <w:rStyle w:val="61"/>
          <w:rFonts w:hint="eastAsia"/>
          <w:color w:val="auto"/>
        </w:rPr>
        <w:t>六、资金来源：</w:t>
      </w:r>
      <w:bookmarkEnd w:id="8"/>
      <w:r>
        <w:rPr>
          <w:rFonts w:hint="eastAsia" w:ascii="宋体" w:hAnsi="宋体" w:cs="宋体"/>
          <w:color w:val="auto"/>
          <w:sz w:val="24"/>
          <w:u w:val="single"/>
          <w:lang w:val="en-US" w:eastAsia="zh-CN"/>
        </w:rPr>
        <w:t>财政资金</w:t>
      </w:r>
      <w:r>
        <w:rPr>
          <w:rFonts w:hint="eastAsia" w:ascii="宋体" w:hAnsi="宋体" w:cs="宋体"/>
          <w:color w:val="auto"/>
          <w:sz w:val="24"/>
          <w:u w:val="single"/>
        </w:rPr>
        <w:t>。</w:t>
      </w:r>
    </w:p>
    <w:p w14:paraId="3DF8FFB5">
      <w:pPr>
        <w:keepNext w:val="0"/>
        <w:keepLines w:val="0"/>
        <w:pageBreakBefore w:val="0"/>
        <w:kinsoku/>
        <w:wordWrap/>
        <w:overflowPunct/>
        <w:topLinePunct w:val="0"/>
        <w:autoSpaceDE/>
        <w:autoSpaceDN/>
        <w:bidi w:val="0"/>
        <w:adjustRightInd/>
        <w:spacing w:line="360" w:lineRule="auto"/>
        <w:ind w:left="120" w:leftChars="57" w:firstLine="417" w:firstLineChars="174"/>
        <w:textAlignment w:val="auto"/>
        <w:rPr>
          <w:rFonts w:ascii="宋体"/>
          <w:color w:val="auto"/>
          <w:sz w:val="24"/>
        </w:rPr>
      </w:pPr>
      <w:r>
        <w:rPr>
          <w:rFonts w:hint="eastAsia" w:ascii="楷体" w:hAnsi="楷体" w:eastAsia="楷体" w:cs="楷体"/>
          <w:color w:val="auto"/>
          <w:sz w:val="24"/>
        </w:rPr>
        <w:t>注：政府投资项目一律不得以建筑业企业带资承包的方式进行建设。</w:t>
      </w:r>
    </w:p>
    <w:p w14:paraId="5403C736">
      <w:pPr>
        <w:keepNext w:val="0"/>
        <w:keepLines w:val="0"/>
        <w:pageBreakBefore w:val="0"/>
        <w:kinsoku/>
        <w:wordWrap/>
        <w:overflowPunct/>
        <w:topLinePunct w:val="0"/>
        <w:autoSpaceDE/>
        <w:autoSpaceDN/>
        <w:bidi w:val="0"/>
        <w:adjustRightInd/>
        <w:snapToGrid w:val="0"/>
        <w:spacing w:line="360" w:lineRule="auto"/>
        <w:ind w:left="435"/>
        <w:textAlignment w:val="auto"/>
        <w:rPr>
          <w:rFonts w:ascii="宋体" w:hAnsi="宋体" w:cs="宋体"/>
          <w:color w:val="auto"/>
          <w:sz w:val="24"/>
          <w:szCs w:val="24"/>
        </w:rPr>
      </w:pPr>
      <w:bookmarkStart w:id="9" w:name="_Toc14645"/>
      <w:r>
        <w:rPr>
          <w:rStyle w:val="61"/>
          <w:rFonts w:hint="eastAsia"/>
          <w:color w:val="auto"/>
        </w:rPr>
        <w:t>七、公告发布日期、递交投标文件时间与开标时间</w:t>
      </w:r>
      <w:bookmarkEnd w:id="9"/>
      <w:r>
        <w:rPr>
          <w:rFonts w:hint="eastAsia" w:ascii="宋体" w:hAnsi="宋体" w:cs="宋体"/>
          <w:color w:val="auto"/>
          <w:sz w:val="24"/>
          <w:szCs w:val="24"/>
        </w:rPr>
        <w:t>：</w:t>
      </w:r>
    </w:p>
    <w:p w14:paraId="461E4D0D">
      <w:pPr>
        <w:keepNext w:val="0"/>
        <w:keepLines w:val="0"/>
        <w:pageBreakBefore w:val="0"/>
        <w:kinsoku/>
        <w:wordWrap/>
        <w:overflowPunct/>
        <w:topLinePunct w:val="0"/>
        <w:autoSpaceDE/>
        <w:autoSpaceDN/>
        <w:bidi w:val="0"/>
        <w:adjustRightInd/>
        <w:snapToGrid w:val="0"/>
        <w:spacing w:line="360" w:lineRule="auto"/>
        <w:ind w:left="435"/>
        <w:textAlignment w:val="auto"/>
        <w:rPr>
          <w:rFonts w:ascii="宋体" w:hAnsi="宋体"/>
          <w:color w:val="auto"/>
          <w:sz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w:t>
      </w:r>
      <w:r>
        <w:rPr>
          <w:rFonts w:hint="eastAsia" w:ascii="宋体" w:hAnsi="宋体"/>
          <w:color w:val="auto"/>
          <w:sz w:val="24"/>
        </w:rPr>
        <w:t>公告发布日期（含本日）：</w:t>
      </w:r>
      <w:r>
        <w:rPr>
          <w:rFonts w:hint="eastAsia" w:ascii="宋体" w:hAnsi="宋体" w:cs="宋体"/>
          <w:color w:val="auto"/>
          <w:sz w:val="24"/>
          <w:u w:val="single"/>
          <w:lang w:bidi="ar"/>
        </w:rPr>
        <w:t>202</w:t>
      </w:r>
      <w:r>
        <w:rPr>
          <w:rFonts w:hint="eastAsia" w:ascii="宋体" w:hAnsi="宋体" w:cs="宋体"/>
          <w:color w:val="auto"/>
          <w:sz w:val="24"/>
          <w:u w:val="single"/>
          <w:lang w:val="en-US" w:eastAsia="zh-CN" w:bidi="ar"/>
        </w:rPr>
        <w:t>5</w:t>
      </w:r>
      <w:r>
        <w:rPr>
          <w:rFonts w:hint="eastAsia" w:ascii="宋体" w:hAnsi="宋体" w:cs="宋体"/>
          <w:color w:val="auto"/>
          <w:sz w:val="24"/>
          <w:lang w:bidi="ar"/>
        </w:rPr>
        <w:t>年</w:t>
      </w:r>
      <w:r>
        <w:rPr>
          <w:rFonts w:hint="eastAsia" w:ascii="宋体" w:hAnsi="宋体" w:cs="宋体"/>
          <w:color w:val="auto"/>
          <w:sz w:val="24"/>
          <w:u w:val="single"/>
          <w:lang w:val="en-US" w:eastAsia="zh-CN" w:bidi="ar"/>
        </w:rPr>
        <w:t xml:space="preserve">  </w:t>
      </w:r>
      <w:r>
        <w:rPr>
          <w:rFonts w:hint="eastAsia" w:ascii="宋体" w:hAnsi="宋体" w:cs="宋体"/>
          <w:color w:val="auto"/>
          <w:sz w:val="24"/>
          <w:lang w:bidi="ar"/>
        </w:rPr>
        <w:t>月</w:t>
      </w:r>
      <w:r>
        <w:rPr>
          <w:rFonts w:hint="eastAsia" w:ascii="宋体" w:hAnsi="宋体" w:cs="宋体"/>
          <w:color w:val="auto"/>
          <w:sz w:val="24"/>
          <w:u w:val="single"/>
          <w:lang w:val="en-US" w:eastAsia="zh-CN" w:bidi="ar"/>
        </w:rPr>
        <w:t xml:space="preserve">  </w:t>
      </w:r>
      <w:r>
        <w:rPr>
          <w:rFonts w:hint="eastAsia" w:ascii="宋体" w:hAnsi="宋体" w:cs="宋体"/>
          <w:color w:val="auto"/>
          <w:sz w:val="24"/>
          <w:lang w:bidi="ar"/>
        </w:rPr>
        <w:t>日</w:t>
      </w:r>
      <w:r>
        <w:rPr>
          <w:rFonts w:hint="eastAsia" w:ascii="宋体" w:hAnsi="宋体" w:cs="宋体"/>
          <w:color w:val="auto"/>
          <w:sz w:val="24"/>
          <w:u w:val="single"/>
          <w:lang w:bidi="ar"/>
        </w:rPr>
        <w:t>00</w:t>
      </w:r>
      <w:r>
        <w:rPr>
          <w:rFonts w:hint="eastAsia" w:ascii="宋体" w:hAnsi="宋体" w:cs="宋体"/>
          <w:color w:val="auto"/>
          <w:sz w:val="24"/>
          <w:szCs w:val="24"/>
          <w:lang w:bidi="ar"/>
        </w:rPr>
        <w:t>时</w:t>
      </w:r>
      <w:r>
        <w:rPr>
          <w:rFonts w:hint="eastAsia" w:ascii="宋体" w:hAnsi="宋体" w:cs="宋体"/>
          <w:color w:val="auto"/>
          <w:sz w:val="24"/>
          <w:u w:val="single"/>
          <w:lang w:bidi="ar"/>
        </w:rPr>
        <w:t>00</w:t>
      </w:r>
      <w:r>
        <w:rPr>
          <w:rFonts w:hint="eastAsia" w:ascii="宋体" w:hAnsi="宋体" w:cs="宋体"/>
          <w:color w:val="auto"/>
          <w:sz w:val="24"/>
          <w:szCs w:val="24"/>
          <w:lang w:bidi="ar"/>
        </w:rPr>
        <w:t>分</w:t>
      </w:r>
      <w:r>
        <w:rPr>
          <w:rFonts w:hint="eastAsia" w:ascii="宋体" w:hAnsi="宋体" w:cs="宋体"/>
          <w:color w:val="auto"/>
          <w:sz w:val="24"/>
        </w:rPr>
        <w:t>至</w:t>
      </w:r>
      <w:r>
        <w:rPr>
          <w:rFonts w:hint="eastAsia" w:ascii="宋体" w:hAnsi="宋体" w:cs="宋体"/>
          <w:color w:val="auto"/>
          <w:sz w:val="24"/>
          <w:u w:val="single"/>
          <w:lang w:bidi="ar"/>
        </w:rPr>
        <w:t>202</w:t>
      </w:r>
      <w:r>
        <w:rPr>
          <w:rFonts w:hint="eastAsia" w:ascii="宋体" w:hAnsi="宋体" w:cs="宋体"/>
          <w:color w:val="auto"/>
          <w:sz w:val="24"/>
          <w:u w:val="single"/>
          <w:lang w:val="en-US" w:eastAsia="zh-CN" w:bidi="ar"/>
        </w:rPr>
        <w:t>5</w:t>
      </w:r>
      <w:r>
        <w:rPr>
          <w:rFonts w:hint="eastAsia" w:ascii="宋体" w:hAnsi="宋体" w:cs="宋体"/>
          <w:color w:val="auto"/>
          <w:sz w:val="24"/>
          <w:lang w:bidi="ar"/>
        </w:rPr>
        <w:t>年</w:t>
      </w:r>
      <w:r>
        <w:rPr>
          <w:rFonts w:hint="eastAsia" w:ascii="宋体" w:hAnsi="宋体" w:cs="宋体"/>
          <w:color w:val="auto"/>
          <w:sz w:val="24"/>
          <w:u w:val="single"/>
          <w:lang w:val="en-US" w:eastAsia="zh-CN" w:bidi="ar"/>
        </w:rPr>
        <w:t xml:space="preserve">  </w:t>
      </w:r>
      <w:r>
        <w:rPr>
          <w:rFonts w:hint="eastAsia" w:ascii="宋体" w:hAnsi="宋体" w:cs="宋体"/>
          <w:color w:val="auto"/>
          <w:sz w:val="24"/>
          <w:lang w:bidi="ar"/>
        </w:rPr>
        <w:t>月</w:t>
      </w:r>
      <w:r>
        <w:rPr>
          <w:rFonts w:hint="eastAsia" w:ascii="宋体" w:hAnsi="宋体" w:cs="宋体"/>
          <w:color w:val="auto"/>
          <w:sz w:val="24"/>
          <w:u w:val="single"/>
          <w:lang w:val="en-US" w:eastAsia="zh-CN" w:bidi="ar"/>
        </w:rPr>
        <w:t xml:space="preserve">  </w:t>
      </w:r>
      <w:r>
        <w:rPr>
          <w:rFonts w:hint="eastAsia" w:ascii="宋体" w:hAnsi="宋体" w:cs="宋体"/>
          <w:color w:val="auto"/>
          <w:sz w:val="24"/>
          <w:lang w:bidi="ar"/>
        </w:rPr>
        <w:t>日</w:t>
      </w:r>
      <w:r>
        <w:rPr>
          <w:rFonts w:hint="eastAsia" w:ascii="宋体" w:hAnsi="宋体" w:cs="宋体"/>
          <w:color w:val="auto"/>
          <w:sz w:val="24"/>
          <w:u w:val="single"/>
          <w:lang w:val="en-US" w:eastAsia="zh-CN" w:bidi="ar"/>
        </w:rPr>
        <w:t xml:space="preserve"> </w:t>
      </w:r>
      <w:r>
        <w:rPr>
          <w:rFonts w:hint="eastAsia" w:ascii="宋体" w:hAnsi="宋体" w:cs="宋体"/>
          <w:color w:val="auto"/>
          <w:sz w:val="24"/>
          <w:szCs w:val="24"/>
          <w:lang w:bidi="ar"/>
        </w:rPr>
        <w:t>时</w:t>
      </w:r>
      <w:r>
        <w:rPr>
          <w:rFonts w:hint="eastAsia" w:ascii="宋体" w:hAnsi="宋体" w:cs="宋体"/>
          <w:color w:val="auto"/>
          <w:sz w:val="24"/>
          <w:u w:val="single"/>
          <w:lang w:val="en-US" w:eastAsia="zh-CN" w:bidi="ar"/>
        </w:rPr>
        <w:t xml:space="preserve"> </w:t>
      </w:r>
      <w:r>
        <w:rPr>
          <w:rFonts w:hint="eastAsia" w:ascii="宋体" w:hAnsi="宋体" w:cs="宋体"/>
          <w:color w:val="auto"/>
          <w:sz w:val="24"/>
          <w:szCs w:val="24"/>
          <w:lang w:bidi="ar"/>
        </w:rPr>
        <w:t>分</w:t>
      </w:r>
    </w:p>
    <w:p w14:paraId="2DB7B121">
      <w:pPr>
        <w:keepNext w:val="0"/>
        <w:keepLines w:val="0"/>
        <w:pageBreakBefore w:val="0"/>
        <w:kinsoku/>
        <w:wordWrap/>
        <w:overflowPunct/>
        <w:topLinePunct w:val="0"/>
        <w:autoSpaceDE/>
        <w:autoSpaceDN/>
        <w:bidi w:val="0"/>
        <w:adjustRightInd/>
        <w:snapToGrid w:val="0"/>
        <w:spacing w:line="360" w:lineRule="auto"/>
        <w:ind w:left="435"/>
        <w:textAlignment w:val="auto"/>
        <w:rPr>
          <w:rFonts w:hint="eastAsia" w:ascii="宋体" w:hAnsi="宋体"/>
          <w:color w:val="auto"/>
          <w:sz w:val="24"/>
        </w:rPr>
      </w:pPr>
      <w:r>
        <w:rPr>
          <w:rFonts w:hint="eastAsia" w:ascii="宋体" w:hAnsi="宋体"/>
          <w:color w:val="auto"/>
          <w:sz w:val="24"/>
        </w:rPr>
        <w:t>凡有意参加投标者，请登录</w:t>
      </w:r>
      <w:r>
        <w:rPr>
          <w:rFonts w:hint="eastAsia" w:ascii="宋体" w:hAnsi="宋体" w:cs="宋体"/>
          <w:color w:val="auto"/>
          <w:sz w:val="24"/>
          <w:szCs w:val="24"/>
          <w:u w:val="single"/>
          <w:lang w:eastAsia="zh-CN"/>
        </w:rPr>
        <w:t>广州交易集团有限公司（广州公共资源交易中心）</w:t>
      </w:r>
      <w:r>
        <w:rPr>
          <w:rFonts w:hint="eastAsia" w:ascii="宋体" w:hAnsi="宋体"/>
          <w:color w:val="auto"/>
          <w:sz w:val="24"/>
          <w:szCs w:val="24"/>
        </w:rPr>
        <w:t>交易平台</w:t>
      </w:r>
      <w:r>
        <w:rPr>
          <w:rFonts w:hint="eastAsia" w:ascii="宋体" w:hAnsi="宋体"/>
          <w:color w:val="auto"/>
          <w:sz w:val="24"/>
        </w:rPr>
        <w:t>网站下载电子招标文件。</w:t>
      </w:r>
    </w:p>
    <w:p w14:paraId="493BE17E">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rPr>
        <w:t>注：发布招标公告的时间为招标公告发出之日起至投标截止时间止</w:t>
      </w:r>
      <w:r>
        <w:rPr>
          <w:rFonts w:hint="eastAsia" w:ascii="宋体" w:hAnsi="宋体" w:cs="宋体"/>
          <w:color w:val="auto"/>
          <w:kern w:val="0"/>
          <w:sz w:val="24"/>
          <w:szCs w:val="24"/>
          <w:lang w:eastAsia="zh-CN"/>
        </w:rPr>
        <w:t>。</w:t>
      </w:r>
    </w:p>
    <w:p w14:paraId="6B9A7884">
      <w:pPr>
        <w:pStyle w:val="20"/>
        <w:ind w:firstLine="480" w:firstLineChars="200"/>
        <w:rPr>
          <w:rFonts w:hint="eastAsia" w:hAnsi="宋体" w:eastAsia="宋体" w:cs="宋体"/>
          <w:color w:val="auto"/>
          <w:kern w:val="0"/>
          <w:sz w:val="24"/>
          <w:szCs w:val="24"/>
          <w:lang w:eastAsia="zh-CN"/>
        </w:rPr>
      </w:pPr>
      <w:r>
        <w:rPr>
          <w:rFonts w:hint="eastAsia" w:ascii="宋体" w:hAnsi="宋体" w:cs="宋体"/>
          <w:color w:val="auto"/>
          <w:sz w:val="24"/>
          <w:szCs w:val="24"/>
        </w:rPr>
        <w:t>2</w:t>
      </w:r>
      <w:r>
        <w:rPr>
          <w:rFonts w:hint="eastAsia" w:ascii="宋体" w:hAnsi="宋体" w:cs="宋体"/>
          <w:color w:val="auto"/>
          <w:sz w:val="24"/>
          <w:szCs w:val="24"/>
          <w:lang w:val="en-US" w:eastAsia="zh-CN"/>
        </w:rPr>
        <w:t>.</w:t>
      </w:r>
      <w:r>
        <w:rPr>
          <w:rFonts w:hint="eastAsia" w:ascii="宋体" w:hAnsi="宋体" w:cs="宋体"/>
          <w:color w:val="auto"/>
          <w:sz w:val="24"/>
          <w:szCs w:val="24"/>
        </w:rPr>
        <w:t>递交投标文件起始时间：</w:t>
      </w:r>
      <w:r>
        <w:rPr>
          <w:rFonts w:hint="eastAsia" w:ascii="宋体" w:hAnsi="宋体" w:cs="宋体"/>
          <w:color w:val="auto"/>
          <w:sz w:val="24"/>
          <w:u w:val="single"/>
          <w:lang w:bidi="ar"/>
        </w:rPr>
        <w:t>202</w:t>
      </w:r>
      <w:r>
        <w:rPr>
          <w:rFonts w:hint="eastAsia" w:ascii="宋体" w:hAnsi="宋体" w:cs="宋体"/>
          <w:color w:val="auto"/>
          <w:sz w:val="24"/>
          <w:u w:val="single"/>
          <w:lang w:val="en-US" w:eastAsia="zh-CN" w:bidi="ar"/>
        </w:rPr>
        <w:t>5</w:t>
      </w:r>
      <w:r>
        <w:rPr>
          <w:rFonts w:hint="eastAsia" w:ascii="宋体" w:hAnsi="宋体" w:cs="宋体"/>
          <w:color w:val="auto"/>
          <w:sz w:val="24"/>
          <w:lang w:bidi="ar"/>
        </w:rPr>
        <w:t>年</w:t>
      </w:r>
      <w:r>
        <w:rPr>
          <w:rFonts w:hint="eastAsia" w:ascii="宋体" w:hAnsi="宋体" w:cs="宋体"/>
          <w:color w:val="auto"/>
          <w:sz w:val="24"/>
          <w:u w:val="single"/>
          <w:lang w:val="en-US" w:eastAsia="zh-CN" w:bidi="ar"/>
        </w:rPr>
        <w:t xml:space="preserve">  </w:t>
      </w:r>
      <w:r>
        <w:rPr>
          <w:rFonts w:hint="eastAsia" w:ascii="宋体" w:hAnsi="宋体" w:cs="宋体"/>
          <w:color w:val="auto"/>
          <w:sz w:val="24"/>
          <w:lang w:bidi="ar"/>
        </w:rPr>
        <w:t>月</w:t>
      </w:r>
      <w:r>
        <w:rPr>
          <w:rFonts w:hint="eastAsia" w:ascii="宋体" w:hAnsi="宋体" w:cs="宋体"/>
          <w:color w:val="auto"/>
          <w:sz w:val="24"/>
          <w:u w:val="single"/>
          <w:lang w:val="en-US" w:eastAsia="zh-CN" w:bidi="ar"/>
        </w:rPr>
        <w:t xml:space="preserve">  </w:t>
      </w:r>
      <w:r>
        <w:rPr>
          <w:rFonts w:hint="eastAsia" w:ascii="宋体" w:hAnsi="宋体" w:cs="宋体"/>
          <w:color w:val="auto"/>
          <w:sz w:val="24"/>
          <w:lang w:bidi="ar"/>
        </w:rPr>
        <w:t>日</w:t>
      </w:r>
      <w:r>
        <w:rPr>
          <w:rFonts w:hint="eastAsia" w:ascii="宋体" w:hAnsi="宋体" w:cs="宋体"/>
          <w:color w:val="auto"/>
          <w:sz w:val="24"/>
          <w:u w:val="single"/>
          <w:lang w:bidi="ar"/>
        </w:rPr>
        <w:t>00</w:t>
      </w:r>
      <w:r>
        <w:rPr>
          <w:rFonts w:hint="eastAsia" w:ascii="宋体" w:hAnsi="宋体" w:cs="宋体"/>
          <w:color w:val="auto"/>
          <w:sz w:val="24"/>
          <w:szCs w:val="24"/>
          <w:lang w:bidi="ar"/>
        </w:rPr>
        <w:t>时</w:t>
      </w:r>
      <w:r>
        <w:rPr>
          <w:rFonts w:hint="eastAsia" w:ascii="宋体" w:hAnsi="宋体" w:cs="宋体"/>
          <w:color w:val="auto"/>
          <w:sz w:val="24"/>
          <w:u w:val="single"/>
          <w:lang w:bidi="ar"/>
        </w:rPr>
        <w:t>00</w:t>
      </w:r>
      <w:r>
        <w:rPr>
          <w:rFonts w:hint="eastAsia" w:ascii="宋体" w:hAnsi="宋体" w:cs="宋体"/>
          <w:color w:val="auto"/>
          <w:sz w:val="24"/>
          <w:szCs w:val="24"/>
          <w:lang w:bidi="ar"/>
        </w:rPr>
        <w:t>分</w:t>
      </w:r>
      <w:r>
        <w:rPr>
          <w:rFonts w:hint="eastAsia" w:hAnsi="宋体"/>
          <w:color w:val="auto"/>
          <w:sz w:val="24"/>
          <w:szCs w:val="24"/>
          <w:lang w:eastAsia="zh-CN"/>
        </w:rPr>
        <w:t>；</w:t>
      </w:r>
    </w:p>
    <w:p w14:paraId="55741B3C">
      <w:pPr>
        <w:pStyle w:val="20"/>
        <w:rPr>
          <w:rFonts w:hint="eastAsia" w:hAnsi="宋体" w:cs="宋体"/>
          <w:color w:val="auto"/>
          <w:kern w:val="0"/>
          <w:sz w:val="24"/>
          <w:szCs w:val="24"/>
          <w:lang w:eastAsia="zh-CN"/>
        </w:rPr>
      </w:pPr>
    </w:p>
    <w:p w14:paraId="1EE7CDD6">
      <w:pPr>
        <w:pStyle w:val="20"/>
        <w:ind w:firstLine="2400" w:firstLineChars="1000"/>
        <w:rPr>
          <w:rFonts w:hint="eastAsia" w:hAnsi="宋体"/>
          <w:color w:val="auto"/>
          <w:sz w:val="24"/>
          <w:szCs w:val="24"/>
          <w:lang w:eastAsia="zh-CN"/>
        </w:rPr>
      </w:pPr>
      <w:r>
        <w:rPr>
          <w:rFonts w:hint="eastAsia" w:ascii="宋体" w:hAnsi="宋体" w:cs="宋体"/>
          <w:color w:val="auto"/>
          <w:sz w:val="24"/>
          <w:szCs w:val="24"/>
        </w:rPr>
        <w:t>截止时间：</w:t>
      </w:r>
      <w:r>
        <w:rPr>
          <w:rFonts w:hint="eastAsia" w:ascii="宋体" w:hAnsi="宋体" w:cs="宋体"/>
          <w:color w:val="auto"/>
          <w:sz w:val="24"/>
          <w:u w:val="single"/>
          <w:lang w:bidi="ar"/>
        </w:rPr>
        <w:t>202</w:t>
      </w:r>
      <w:r>
        <w:rPr>
          <w:rFonts w:hint="eastAsia" w:ascii="宋体" w:hAnsi="宋体" w:cs="宋体"/>
          <w:color w:val="auto"/>
          <w:sz w:val="24"/>
          <w:u w:val="single"/>
          <w:lang w:val="en-US" w:eastAsia="zh-CN" w:bidi="ar"/>
        </w:rPr>
        <w:t>5</w:t>
      </w:r>
      <w:r>
        <w:rPr>
          <w:rFonts w:hint="eastAsia" w:ascii="宋体" w:hAnsi="宋体" w:cs="宋体"/>
          <w:color w:val="auto"/>
          <w:sz w:val="24"/>
          <w:lang w:bidi="ar"/>
        </w:rPr>
        <w:t>年</w:t>
      </w:r>
      <w:r>
        <w:rPr>
          <w:rFonts w:hint="eastAsia" w:ascii="宋体" w:hAnsi="宋体" w:cs="宋体"/>
          <w:color w:val="auto"/>
          <w:sz w:val="24"/>
          <w:u w:val="single"/>
          <w:lang w:val="en-US" w:eastAsia="zh-CN" w:bidi="ar"/>
        </w:rPr>
        <w:t xml:space="preserve">  </w:t>
      </w:r>
      <w:r>
        <w:rPr>
          <w:rFonts w:hint="eastAsia" w:ascii="宋体" w:hAnsi="宋体" w:cs="宋体"/>
          <w:color w:val="auto"/>
          <w:sz w:val="24"/>
          <w:lang w:bidi="ar"/>
        </w:rPr>
        <w:t>月</w:t>
      </w:r>
      <w:r>
        <w:rPr>
          <w:rFonts w:hint="eastAsia" w:ascii="宋体" w:hAnsi="宋体" w:cs="宋体"/>
          <w:color w:val="auto"/>
          <w:sz w:val="24"/>
          <w:u w:val="single"/>
          <w:lang w:val="en-US" w:eastAsia="zh-CN" w:bidi="ar"/>
        </w:rPr>
        <w:t xml:space="preserve">  </w:t>
      </w:r>
      <w:r>
        <w:rPr>
          <w:rFonts w:hint="eastAsia" w:ascii="宋体" w:hAnsi="宋体" w:cs="宋体"/>
          <w:color w:val="auto"/>
          <w:sz w:val="24"/>
          <w:lang w:bidi="ar"/>
        </w:rPr>
        <w:t>日</w:t>
      </w:r>
      <w:r>
        <w:rPr>
          <w:rFonts w:hint="eastAsia" w:ascii="宋体" w:hAnsi="宋体" w:cs="宋体"/>
          <w:color w:val="auto"/>
          <w:sz w:val="24"/>
          <w:u w:val="single"/>
          <w:lang w:val="en-US" w:eastAsia="zh-CN" w:bidi="ar"/>
        </w:rPr>
        <w:t xml:space="preserve">  </w:t>
      </w:r>
      <w:r>
        <w:rPr>
          <w:rFonts w:hint="eastAsia" w:ascii="宋体" w:hAnsi="宋体" w:cs="宋体"/>
          <w:color w:val="auto"/>
          <w:sz w:val="24"/>
          <w:szCs w:val="24"/>
          <w:lang w:bidi="ar"/>
        </w:rPr>
        <w:t>时</w:t>
      </w:r>
      <w:r>
        <w:rPr>
          <w:rFonts w:hint="eastAsia" w:ascii="宋体" w:hAnsi="宋体" w:cs="宋体"/>
          <w:color w:val="auto"/>
          <w:sz w:val="24"/>
          <w:u w:val="single"/>
          <w:lang w:val="en-US" w:eastAsia="zh-CN" w:bidi="ar"/>
        </w:rPr>
        <w:t xml:space="preserve">  </w:t>
      </w:r>
      <w:r>
        <w:rPr>
          <w:rFonts w:hint="eastAsia" w:ascii="宋体" w:hAnsi="宋体" w:cs="宋体"/>
          <w:color w:val="auto"/>
          <w:sz w:val="24"/>
          <w:szCs w:val="24"/>
          <w:lang w:bidi="ar"/>
        </w:rPr>
        <w:t>分</w:t>
      </w:r>
      <w:r>
        <w:rPr>
          <w:rFonts w:hint="eastAsia" w:hAnsi="宋体"/>
          <w:color w:val="auto"/>
          <w:sz w:val="24"/>
          <w:szCs w:val="24"/>
          <w:lang w:eastAsia="zh-CN"/>
        </w:rPr>
        <w:t>。</w:t>
      </w:r>
    </w:p>
    <w:p w14:paraId="3C126422">
      <w:pPr>
        <w:pStyle w:val="20"/>
        <w:ind w:firstLine="2400" w:firstLineChars="1000"/>
        <w:rPr>
          <w:rFonts w:hint="eastAsia" w:hAnsi="宋体"/>
          <w:color w:val="auto"/>
          <w:sz w:val="24"/>
          <w:szCs w:val="24"/>
          <w:lang w:eastAsia="zh-CN"/>
        </w:rPr>
      </w:pPr>
    </w:p>
    <w:p w14:paraId="2AF1400A">
      <w:pPr>
        <w:pStyle w:val="20"/>
        <w:numPr>
          <w:ilvl w:val="0"/>
          <w:numId w:val="0"/>
        </w:numPr>
        <w:ind w:firstLine="480" w:firstLineChars="200"/>
        <w:rPr>
          <w:rFonts w:hint="eastAsia" w:hAnsi="宋体"/>
          <w:color w:val="auto"/>
          <w:sz w:val="24"/>
          <w:szCs w:val="24"/>
          <w:lang w:eastAsia="zh-CN"/>
        </w:rPr>
      </w:pPr>
      <w:r>
        <w:rPr>
          <w:rFonts w:hint="eastAsia" w:ascii="宋体" w:hAnsi="宋体" w:cs="宋体"/>
          <w:color w:val="auto"/>
          <w:sz w:val="24"/>
          <w:szCs w:val="24"/>
          <w:lang w:val="en-US" w:eastAsia="zh-CN"/>
        </w:rPr>
        <w:t>3.</w:t>
      </w:r>
      <w:r>
        <w:rPr>
          <w:rFonts w:hint="eastAsia" w:ascii="宋体" w:hAnsi="宋体" w:cs="宋体"/>
          <w:color w:val="auto"/>
          <w:sz w:val="24"/>
          <w:szCs w:val="24"/>
        </w:rPr>
        <w:t>开标开始时间：</w:t>
      </w:r>
      <w:r>
        <w:rPr>
          <w:rFonts w:hint="eastAsia" w:ascii="宋体" w:hAnsi="宋体" w:cs="宋体"/>
          <w:color w:val="auto"/>
          <w:sz w:val="24"/>
          <w:u w:val="single"/>
          <w:lang w:bidi="ar"/>
        </w:rPr>
        <w:t>202</w:t>
      </w:r>
      <w:r>
        <w:rPr>
          <w:rFonts w:hint="eastAsia" w:ascii="宋体" w:hAnsi="宋体" w:cs="宋体"/>
          <w:color w:val="auto"/>
          <w:sz w:val="24"/>
          <w:u w:val="single"/>
          <w:lang w:val="en-US" w:eastAsia="zh-CN" w:bidi="ar"/>
        </w:rPr>
        <w:t>5</w:t>
      </w:r>
      <w:r>
        <w:rPr>
          <w:rFonts w:hint="eastAsia" w:ascii="宋体" w:hAnsi="宋体" w:cs="宋体"/>
          <w:color w:val="auto"/>
          <w:sz w:val="24"/>
          <w:lang w:bidi="ar"/>
        </w:rPr>
        <w:t>年</w:t>
      </w:r>
      <w:r>
        <w:rPr>
          <w:rFonts w:hint="eastAsia" w:ascii="宋体" w:hAnsi="宋体" w:cs="宋体"/>
          <w:color w:val="auto"/>
          <w:sz w:val="24"/>
          <w:u w:val="single"/>
          <w:lang w:val="en-US" w:eastAsia="zh-CN" w:bidi="ar"/>
        </w:rPr>
        <w:t xml:space="preserve">  </w:t>
      </w:r>
      <w:r>
        <w:rPr>
          <w:rFonts w:hint="eastAsia" w:ascii="宋体" w:hAnsi="宋体" w:cs="宋体"/>
          <w:color w:val="auto"/>
          <w:sz w:val="24"/>
          <w:lang w:bidi="ar"/>
        </w:rPr>
        <w:t>月</w:t>
      </w:r>
      <w:r>
        <w:rPr>
          <w:rFonts w:hint="eastAsia" w:ascii="宋体" w:hAnsi="宋体" w:cs="宋体"/>
          <w:color w:val="auto"/>
          <w:sz w:val="24"/>
          <w:u w:val="single"/>
          <w:lang w:val="en-US" w:eastAsia="zh-CN" w:bidi="ar"/>
        </w:rPr>
        <w:t xml:space="preserve">  </w:t>
      </w:r>
      <w:r>
        <w:rPr>
          <w:rFonts w:hint="eastAsia" w:ascii="宋体" w:hAnsi="宋体" w:cs="宋体"/>
          <w:color w:val="auto"/>
          <w:sz w:val="24"/>
          <w:lang w:bidi="ar"/>
        </w:rPr>
        <w:t>日</w:t>
      </w:r>
      <w:r>
        <w:rPr>
          <w:rFonts w:hint="eastAsia" w:ascii="宋体" w:hAnsi="宋体" w:cs="宋体"/>
          <w:color w:val="auto"/>
          <w:sz w:val="24"/>
          <w:u w:val="single"/>
          <w:lang w:val="en-US" w:eastAsia="zh-CN" w:bidi="ar"/>
        </w:rPr>
        <w:t xml:space="preserve">  </w:t>
      </w:r>
      <w:r>
        <w:rPr>
          <w:rFonts w:hint="eastAsia" w:ascii="宋体" w:hAnsi="宋体" w:cs="宋体"/>
          <w:color w:val="auto"/>
          <w:sz w:val="24"/>
          <w:szCs w:val="24"/>
          <w:lang w:bidi="ar"/>
        </w:rPr>
        <w:t>时</w:t>
      </w:r>
      <w:r>
        <w:rPr>
          <w:rFonts w:hint="eastAsia" w:ascii="宋体" w:hAnsi="宋体" w:cs="宋体"/>
          <w:color w:val="auto"/>
          <w:sz w:val="24"/>
          <w:u w:val="single"/>
          <w:lang w:val="en-US" w:eastAsia="zh-CN" w:bidi="ar"/>
        </w:rPr>
        <w:t xml:space="preserve">  </w:t>
      </w:r>
      <w:r>
        <w:rPr>
          <w:rFonts w:hint="eastAsia" w:ascii="宋体" w:hAnsi="宋体" w:cs="宋体"/>
          <w:color w:val="auto"/>
          <w:sz w:val="24"/>
          <w:szCs w:val="24"/>
          <w:lang w:bidi="ar"/>
        </w:rPr>
        <w:t>分</w:t>
      </w:r>
      <w:r>
        <w:rPr>
          <w:rFonts w:hint="eastAsia" w:hAnsi="宋体"/>
          <w:color w:val="auto"/>
          <w:sz w:val="24"/>
          <w:szCs w:val="24"/>
          <w:lang w:eastAsia="zh-CN"/>
        </w:rPr>
        <w:t>。</w:t>
      </w:r>
    </w:p>
    <w:p w14:paraId="45D64F17">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color w:val="auto"/>
          <w:sz w:val="24"/>
          <w:szCs w:val="24"/>
          <w:lang w:eastAsia="zh-CN"/>
        </w:rPr>
      </w:pPr>
      <w:r>
        <w:rPr>
          <w:rFonts w:hint="eastAsia" w:ascii="宋体" w:hAnsi="宋体" w:eastAsia="宋体" w:cs="仿宋_GB2312"/>
          <w:color w:val="auto"/>
          <w:sz w:val="24"/>
          <w:szCs w:val="24"/>
        </w:rPr>
        <w:t>4</w:t>
      </w:r>
      <w:r>
        <w:rPr>
          <w:rFonts w:hint="eastAsia" w:ascii="宋体" w:hAnsi="宋体" w:eastAsia="宋体" w:cs="仿宋_GB2312"/>
          <w:color w:val="auto"/>
          <w:sz w:val="24"/>
          <w:szCs w:val="24"/>
          <w:lang w:val="en-US" w:eastAsia="zh-CN"/>
        </w:rPr>
        <w:t>.</w:t>
      </w:r>
      <w:r>
        <w:rPr>
          <w:rFonts w:hint="eastAsia" w:ascii="宋体" w:hAnsi="宋体" w:eastAsia="宋体" w:cs="仿宋_GB2312"/>
          <w:color w:val="auto"/>
          <w:sz w:val="24"/>
          <w:szCs w:val="24"/>
        </w:rPr>
        <w:t>递交投标文件截止时间与开标时间是否有变化，请密切留意</w:t>
      </w:r>
      <w:r>
        <w:rPr>
          <w:rFonts w:hint="eastAsia" w:ascii="宋体" w:hAnsi="宋体" w:cs="宋体"/>
          <w:color w:val="auto"/>
          <w:sz w:val="24"/>
          <w:szCs w:val="24"/>
          <w:u w:val="single"/>
          <w:lang w:eastAsia="zh-CN"/>
        </w:rPr>
        <w:t>广州交易集团有限公司（广州公共资源交易中心）</w:t>
      </w:r>
      <w:r>
        <w:rPr>
          <w:rFonts w:hint="eastAsia" w:ascii="宋体" w:hAnsi="宋体" w:eastAsia="宋体" w:cs="仿宋_GB2312"/>
          <w:color w:val="auto"/>
          <w:sz w:val="24"/>
          <w:szCs w:val="24"/>
        </w:rPr>
        <w:t>中的相关信息。递交投标文件截止时间后，开标时间因故推迟的，相关评标信息仍以原递交投标文件截止时间的信息为准</w:t>
      </w:r>
      <w:r>
        <w:rPr>
          <w:rFonts w:hint="eastAsia" w:ascii="宋体" w:hAnsi="宋体" w:eastAsia="宋体" w:cs="仿宋_GB2312"/>
          <w:color w:val="auto"/>
          <w:sz w:val="24"/>
          <w:szCs w:val="24"/>
          <w:lang w:eastAsia="zh-CN"/>
        </w:rPr>
        <w:t>。</w:t>
      </w:r>
    </w:p>
    <w:p w14:paraId="74368B07">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仿宋_GB2312"/>
          <w:color w:val="auto"/>
          <w:sz w:val="24"/>
          <w:szCs w:val="24"/>
        </w:rPr>
      </w:pPr>
      <w:r>
        <w:rPr>
          <w:rFonts w:hint="eastAsia" w:ascii="宋体" w:hAnsi="宋体" w:cs="宋体"/>
          <w:color w:val="auto"/>
          <w:sz w:val="24"/>
          <w:szCs w:val="24"/>
        </w:rPr>
        <w:t>5</w:t>
      </w:r>
      <w:r>
        <w:rPr>
          <w:rFonts w:hint="eastAsia" w:ascii="宋体" w:hAnsi="宋体" w:cs="宋体"/>
          <w:color w:val="auto"/>
          <w:sz w:val="24"/>
          <w:szCs w:val="24"/>
          <w:lang w:val="en-US" w:eastAsia="zh-CN"/>
        </w:rPr>
        <w:t>.</w:t>
      </w:r>
      <w:r>
        <w:rPr>
          <w:rFonts w:hint="eastAsia" w:ascii="宋体" w:hAnsi="宋体"/>
          <w:bCs/>
          <w:color w:val="auto"/>
          <w:sz w:val="24"/>
        </w:rPr>
        <w:t>投标人通过</w:t>
      </w:r>
      <w:r>
        <w:rPr>
          <w:rFonts w:hint="eastAsia" w:ascii="宋体" w:hAnsi="宋体" w:cs="宋体"/>
          <w:color w:val="auto"/>
          <w:sz w:val="24"/>
          <w:szCs w:val="24"/>
          <w:u w:val="single"/>
          <w:lang w:eastAsia="zh-CN"/>
        </w:rPr>
        <w:t>广州交易集团有限公司（广州公共资源交易中心）</w:t>
      </w:r>
      <w:r>
        <w:rPr>
          <w:rFonts w:hint="eastAsia" w:ascii="宋体" w:hAnsi="宋体"/>
          <w:color w:val="auto"/>
          <w:sz w:val="24"/>
          <w:szCs w:val="24"/>
        </w:rPr>
        <w:t>交易平台</w:t>
      </w:r>
      <w:r>
        <w:rPr>
          <w:rFonts w:hint="eastAsia" w:ascii="宋体" w:hAnsi="宋体"/>
          <w:color w:val="auto"/>
          <w:sz w:val="24"/>
        </w:rPr>
        <w:t>递交电子投标文件。</w:t>
      </w:r>
      <w:r>
        <w:rPr>
          <w:rFonts w:hint="eastAsia" w:ascii="宋体" w:hAnsi="宋体" w:cs="仿宋_GB2312"/>
          <w:color w:val="auto"/>
          <w:sz w:val="24"/>
          <w:szCs w:val="24"/>
        </w:rPr>
        <w:t>投标人应在递交投标文件截止时间前，登录</w:t>
      </w:r>
      <w:r>
        <w:rPr>
          <w:rFonts w:hint="eastAsia" w:ascii="宋体" w:hAnsi="宋体" w:cs="宋体"/>
          <w:color w:val="auto"/>
          <w:sz w:val="24"/>
          <w:szCs w:val="24"/>
          <w:u w:val="single"/>
          <w:lang w:eastAsia="zh-CN"/>
        </w:rPr>
        <w:t>广州交易集团有限公司（广州公共资源交易中心）</w:t>
      </w:r>
      <w:r>
        <w:rPr>
          <w:rFonts w:hint="eastAsia" w:ascii="宋体" w:hAnsi="宋体"/>
          <w:color w:val="auto"/>
          <w:sz w:val="24"/>
          <w:szCs w:val="24"/>
        </w:rPr>
        <w:t>交易平台</w:t>
      </w:r>
      <w:r>
        <w:rPr>
          <w:rFonts w:hint="eastAsia" w:ascii="宋体" w:hAnsi="宋体" w:cs="仿宋_GB2312"/>
          <w:color w:val="auto"/>
          <w:sz w:val="24"/>
          <w:szCs w:val="24"/>
        </w:rPr>
        <w:t>网站办理网上投标登记手续。按照交易平台关于全流程电子化项目的相关指南进行操作。详见：</w:t>
      </w:r>
      <w:r>
        <w:rPr>
          <w:rFonts w:hint="eastAsia" w:ascii="宋体" w:hAnsi="宋体" w:cs="宋体"/>
          <w:color w:val="auto"/>
          <w:sz w:val="24"/>
          <w:szCs w:val="24"/>
          <w:u w:val="single"/>
          <w:lang w:eastAsia="zh-CN"/>
        </w:rPr>
        <w:t>广州交易集团有限公司（广州公共资源交易中心）</w:t>
      </w:r>
      <w:r>
        <w:rPr>
          <w:rFonts w:hint="eastAsia" w:ascii="宋体" w:hAnsi="宋体" w:cs="宋体"/>
          <w:color w:val="auto"/>
          <w:sz w:val="24"/>
          <w:szCs w:val="24"/>
          <w:u w:val="single"/>
        </w:rPr>
        <w:t>网站</w:t>
      </w:r>
      <w:r>
        <w:rPr>
          <w:rFonts w:hint="eastAsia" w:ascii="宋体" w:hAnsi="宋体" w:cs="仿宋_GB2312"/>
          <w:color w:val="auto"/>
          <w:sz w:val="24"/>
          <w:szCs w:val="24"/>
        </w:rPr>
        <w:t xml:space="preserve">。 </w:t>
      </w:r>
    </w:p>
    <w:p w14:paraId="6D277B19">
      <w:pPr>
        <w:keepNext w:val="0"/>
        <w:keepLines w:val="0"/>
        <w:pageBreakBefore w:val="0"/>
        <w:widowControl w:val="0"/>
        <w:kinsoku/>
        <w:overflowPunct/>
        <w:topLinePunct w:val="0"/>
        <w:autoSpaceDE/>
        <w:autoSpaceDN/>
        <w:bidi w:val="0"/>
        <w:adjustRightInd/>
        <w:snapToGrid/>
        <w:spacing w:line="560" w:lineRule="exact"/>
        <w:ind w:firstLine="537" w:firstLineChars="224"/>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u w:val="single"/>
        </w:rPr>
        <w:t>6、在投标登记时，投标人应按要求在交易系统中填写《施工项目管理团队人员信息表》（详见附件二），表中的项目管理团队人员信息作为投标文件的一部分，将由交易系统提取后供各相关单位在中标人履约时进行比对、查核。</w:t>
      </w:r>
    </w:p>
    <w:p w14:paraId="2C1E3D01">
      <w:pPr>
        <w:pStyle w:val="2"/>
        <w:rPr>
          <w:rFonts w:hint="eastAsia"/>
        </w:rPr>
      </w:pPr>
    </w:p>
    <w:p w14:paraId="3D90B2EF">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仿宋_GB2312"/>
          <w:color w:val="auto"/>
          <w:sz w:val="24"/>
          <w:szCs w:val="24"/>
          <w:lang w:eastAsia="zh-CN"/>
        </w:rPr>
      </w:pPr>
      <w:bookmarkStart w:id="10" w:name="_Toc10467"/>
      <w:r>
        <w:rPr>
          <w:rStyle w:val="61"/>
          <w:rFonts w:hint="eastAsia"/>
          <w:color w:val="auto"/>
        </w:rPr>
        <w:t>八、招标文件获取方式</w:t>
      </w:r>
      <w:r>
        <w:rPr>
          <w:rStyle w:val="61"/>
          <w:rFonts w:hint="eastAsia"/>
          <w:color w:val="auto"/>
          <w:lang w:eastAsia="zh-CN"/>
        </w:rPr>
        <w:t>：</w:t>
      </w:r>
      <w:bookmarkEnd w:id="10"/>
    </w:p>
    <w:p w14:paraId="159C38AF">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olor w:val="auto"/>
          <w:sz w:val="24"/>
          <w:szCs w:val="24"/>
          <w:u w:val="single"/>
          <w:lang w:eastAsia="zh-CN"/>
        </w:rPr>
      </w:pPr>
      <w:r>
        <w:rPr>
          <w:rFonts w:hint="eastAsia" w:ascii="宋体" w:hAnsi="宋体" w:cs="宋体"/>
          <w:color w:val="auto"/>
          <w:kern w:val="0"/>
          <w:sz w:val="24"/>
          <w:szCs w:val="24"/>
        </w:rPr>
        <w:t>本项目招标文件随招标公告一并在</w:t>
      </w:r>
      <w:r>
        <w:rPr>
          <w:rFonts w:hint="eastAsia" w:ascii="宋体" w:hAnsi="宋体" w:cs="宋体"/>
          <w:color w:val="auto"/>
          <w:kern w:val="0"/>
          <w:sz w:val="24"/>
          <w:szCs w:val="24"/>
          <w:highlight w:val="none"/>
          <w:u w:val="single"/>
          <w:lang w:eastAsia="zh-CN"/>
        </w:rPr>
        <w:t>广州交易集团有限公司（广州公共资源交易中心）</w:t>
      </w:r>
      <w:r>
        <w:rPr>
          <w:rFonts w:hint="eastAsia" w:ascii="宋体" w:hAnsi="宋体"/>
          <w:color w:val="auto"/>
          <w:sz w:val="24"/>
          <w:szCs w:val="24"/>
        </w:rPr>
        <w:t>交易平台</w:t>
      </w:r>
      <w:r>
        <w:rPr>
          <w:rFonts w:hint="eastAsia" w:ascii="宋体" w:hAnsi="宋体"/>
          <w:color w:val="auto"/>
          <w:sz w:val="24"/>
        </w:rPr>
        <w:t>网站发布。招标文件</w:t>
      </w:r>
      <w:r>
        <w:rPr>
          <w:rFonts w:hint="eastAsia" w:ascii="宋体" w:hAnsi="宋体" w:cs="宋体"/>
          <w:color w:val="auto"/>
          <w:kern w:val="0"/>
          <w:sz w:val="24"/>
          <w:szCs w:val="24"/>
        </w:rPr>
        <w:t>一经在</w:t>
      </w:r>
      <w:r>
        <w:rPr>
          <w:rFonts w:hint="eastAsia" w:ascii="宋体" w:hAnsi="宋体" w:cs="宋体"/>
          <w:color w:val="auto"/>
          <w:kern w:val="0"/>
          <w:sz w:val="24"/>
          <w:szCs w:val="24"/>
          <w:highlight w:val="none"/>
          <w:u w:val="single"/>
          <w:lang w:eastAsia="zh-CN"/>
        </w:rPr>
        <w:t>广州交易集团有限公司（广州公共资源交易中心）</w:t>
      </w:r>
      <w:r>
        <w:rPr>
          <w:rFonts w:hint="eastAsia" w:ascii="宋体" w:hAnsi="宋体"/>
          <w:color w:val="auto"/>
          <w:sz w:val="24"/>
          <w:szCs w:val="24"/>
        </w:rPr>
        <w:t>交易平台</w:t>
      </w:r>
      <w:r>
        <w:rPr>
          <w:rFonts w:hint="eastAsia" w:ascii="宋体" w:hAnsi="宋体" w:cs="宋体"/>
          <w:color w:val="auto"/>
          <w:kern w:val="0"/>
          <w:sz w:val="24"/>
          <w:szCs w:val="24"/>
        </w:rPr>
        <w:t>发布，视为发售给投标人，招标文件由投标人自行在</w:t>
      </w:r>
      <w:r>
        <w:rPr>
          <w:rFonts w:hint="eastAsia" w:ascii="宋体" w:hAnsi="宋体" w:cs="宋体"/>
          <w:color w:val="auto"/>
          <w:kern w:val="0"/>
          <w:sz w:val="24"/>
          <w:szCs w:val="24"/>
          <w:highlight w:val="none"/>
          <w:u w:val="single"/>
          <w:lang w:eastAsia="zh-CN"/>
        </w:rPr>
        <w:t>广州交易集团有限公司（广州公共资源交易中心）</w:t>
      </w:r>
      <w:r>
        <w:rPr>
          <w:rFonts w:hint="eastAsia" w:ascii="宋体" w:hAnsi="宋体"/>
          <w:color w:val="auto"/>
          <w:sz w:val="24"/>
          <w:szCs w:val="24"/>
        </w:rPr>
        <w:t>交易平台</w:t>
      </w:r>
      <w:r>
        <w:rPr>
          <w:rFonts w:hint="eastAsia" w:ascii="宋体" w:hAnsi="宋体" w:cs="宋体"/>
          <w:color w:val="auto"/>
          <w:kern w:val="0"/>
          <w:sz w:val="24"/>
          <w:szCs w:val="24"/>
        </w:rPr>
        <w:t>网站下载</w:t>
      </w:r>
      <w:r>
        <w:rPr>
          <w:rFonts w:hint="eastAsia" w:ascii="宋体" w:hAnsi="宋体" w:cs="宋体"/>
          <w:color w:val="auto"/>
          <w:kern w:val="0"/>
          <w:sz w:val="24"/>
          <w:szCs w:val="24"/>
          <w:lang w:eastAsia="zh-CN"/>
        </w:rPr>
        <w:t>。</w:t>
      </w:r>
    </w:p>
    <w:p w14:paraId="118ADDCA">
      <w:pPr>
        <w:keepNext w:val="0"/>
        <w:keepLines w:val="0"/>
        <w:pageBreakBefore w:val="0"/>
        <w:kinsoku/>
        <w:wordWrap/>
        <w:overflowPunct/>
        <w:topLinePunct w:val="0"/>
        <w:autoSpaceDE/>
        <w:autoSpaceDN/>
        <w:bidi w:val="0"/>
        <w:adjustRightInd/>
        <w:spacing w:line="360" w:lineRule="auto"/>
        <w:ind w:firstLine="540" w:firstLineChars="224"/>
        <w:textAlignment w:val="auto"/>
        <w:rPr>
          <w:rFonts w:ascii="宋体"/>
          <w:color w:val="auto"/>
          <w:sz w:val="24"/>
        </w:rPr>
      </w:pPr>
      <w:bookmarkStart w:id="11" w:name="_Toc3194"/>
      <w:r>
        <w:rPr>
          <w:rStyle w:val="61"/>
          <w:rFonts w:hint="eastAsia"/>
          <w:color w:val="auto"/>
        </w:rPr>
        <w:t>九、投标人</w:t>
      </w:r>
      <w:r>
        <w:rPr>
          <w:rStyle w:val="61"/>
          <w:rFonts w:hint="eastAsia"/>
          <w:color w:val="auto"/>
          <w:lang w:eastAsia="zh-CN"/>
        </w:rPr>
        <w:t>资格要求</w:t>
      </w:r>
      <w:bookmarkEnd w:id="11"/>
      <w:r>
        <w:rPr>
          <w:rFonts w:hint="eastAsia" w:ascii="宋体" w:hAnsi="宋体"/>
          <w:color w:val="auto"/>
          <w:sz w:val="24"/>
        </w:rPr>
        <w:t>：</w:t>
      </w:r>
    </w:p>
    <w:p w14:paraId="0F59E244">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rPr>
      </w:pPr>
      <w:r>
        <w:rPr>
          <w:rFonts w:ascii="宋体" w:hAnsi="宋体"/>
          <w:color w:val="auto"/>
          <w:sz w:val="24"/>
        </w:rPr>
        <w:t>1</w:t>
      </w:r>
      <w:r>
        <w:rPr>
          <w:rFonts w:hint="eastAsia" w:ascii="宋体" w:hAnsi="宋体"/>
          <w:color w:val="auto"/>
          <w:sz w:val="24"/>
          <w:lang w:val="en-US" w:eastAsia="zh-CN"/>
        </w:rPr>
        <w:t>.</w:t>
      </w:r>
      <w:r>
        <w:rPr>
          <w:rFonts w:hint="eastAsia" w:ascii="宋体" w:hAnsi="宋体"/>
          <w:color w:val="auto"/>
          <w:sz w:val="24"/>
        </w:rPr>
        <w:t>投标人</w:t>
      </w:r>
      <w:r>
        <w:rPr>
          <w:rFonts w:hint="eastAsia" w:ascii="宋体" w:hAnsi="宋体"/>
          <w:color w:val="auto"/>
          <w:sz w:val="24"/>
          <w:u w:val="single"/>
        </w:rPr>
        <w:t>参加投标的意思表达清楚，投标人代表被授权有效</w:t>
      </w:r>
      <w:r>
        <w:rPr>
          <w:rFonts w:hint="eastAsia" w:ascii="宋体" w:hAnsi="宋体"/>
          <w:color w:val="auto"/>
          <w:sz w:val="24"/>
        </w:rPr>
        <w:t>。</w:t>
      </w:r>
    </w:p>
    <w:p w14:paraId="2C99DD29">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rPr>
      </w:pPr>
      <w:r>
        <w:rPr>
          <w:rFonts w:ascii="宋体" w:hAnsi="宋体"/>
          <w:color w:val="auto"/>
          <w:sz w:val="24"/>
        </w:rPr>
        <w:t>2</w:t>
      </w:r>
      <w:r>
        <w:rPr>
          <w:rFonts w:hint="eastAsia" w:ascii="宋体" w:hAnsi="宋体"/>
          <w:color w:val="auto"/>
          <w:sz w:val="24"/>
          <w:lang w:val="en-US" w:eastAsia="zh-CN"/>
        </w:rPr>
        <w:t>.</w:t>
      </w:r>
      <w:r>
        <w:rPr>
          <w:rFonts w:hint="eastAsia" w:ascii="宋体" w:hAnsi="宋体"/>
          <w:color w:val="auto"/>
          <w:sz w:val="24"/>
        </w:rPr>
        <w:t>投标人</w:t>
      </w:r>
      <w:r>
        <w:rPr>
          <w:rFonts w:hint="eastAsia" w:ascii="宋体" w:hAnsi="宋体" w:eastAsia="宋体" w:cs="Times New Roman"/>
          <w:color w:val="auto"/>
          <w:sz w:val="24"/>
          <w:szCs w:val="22"/>
          <w:highlight w:val="none"/>
          <w:u w:val="single"/>
        </w:rPr>
        <w:t>是法人或其他组织</w:t>
      </w:r>
      <w:r>
        <w:rPr>
          <w:rFonts w:hint="eastAsia" w:ascii="宋体" w:hAnsi="宋体"/>
          <w:color w:val="auto"/>
          <w:sz w:val="24"/>
          <w:u w:val="single"/>
        </w:rPr>
        <w:t>，按国家法律经营</w:t>
      </w:r>
      <w:r>
        <w:rPr>
          <w:rFonts w:hint="eastAsia" w:ascii="宋体" w:hAnsi="宋体"/>
          <w:color w:val="auto"/>
          <w:sz w:val="24"/>
        </w:rPr>
        <w:t>。</w:t>
      </w:r>
    </w:p>
    <w:p w14:paraId="7EF1E822">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rPr>
      </w:pPr>
      <w:r>
        <w:rPr>
          <w:rFonts w:ascii="宋体" w:hAnsi="宋体"/>
          <w:color w:val="auto"/>
          <w:sz w:val="24"/>
        </w:rPr>
        <w:t>3</w:t>
      </w:r>
      <w:r>
        <w:rPr>
          <w:rFonts w:hint="eastAsia" w:ascii="宋体" w:hAnsi="宋体"/>
          <w:color w:val="auto"/>
          <w:sz w:val="24"/>
          <w:lang w:val="en-US" w:eastAsia="zh-CN"/>
        </w:rPr>
        <w:t>.</w:t>
      </w:r>
      <w:r>
        <w:rPr>
          <w:rFonts w:hint="eastAsia" w:ascii="宋体" w:hAnsi="宋体"/>
          <w:color w:val="auto"/>
          <w:sz w:val="24"/>
        </w:rPr>
        <w:t>投标人均持有</w:t>
      </w:r>
      <w:r>
        <w:rPr>
          <w:rFonts w:hint="eastAsia" w:ascii="宋体" w:hAnsi="宋体"/>
          <w:color w:val="auto"/>
          <w:sz w:val="24"/>
          <w:u w:val="single"/>
        </w:rPr>
        <w:t>建设行政主管部门颁发的有效期内的企业资质证书及安全生产许可证</w:t>
      </w:r>
      <w:r>
        <w:rPr>
          <w:rFonts w:hint="eastAsia" w:ascii="宋体" w:hAnsi="宋体"/>
          <w:color w:val="auto"/>
          <w:sz w:val="24"/>
        </w:rPr>
        <w:t>；</w:t>
      </w:r>
    </w:p>
    <w:p w14:paraId="18730355">
      <w:pPr>
        <w:pStyle w:val="97"/>
        <w:keepNext w:val="0"/>
        <w:keepLines w:val="0"/>
        <w:pageBreakBefore w:val="0"/>
        <w:kinsoku/>
        <w:wordWrap/>
        <w:overflowPunct/>
        <w:topLinePunct w:val="0"/>
        <w:autoSpaceDE/>
        <w:autoSpaceDN/>
        <w:bidi w:val="0"/>
        <w:adjustRightInd/>
        <w:spacing w:line="360" w:lineRule="auto"/>
        <w:ind w:firstLine="539"/>
        <w:textAlignment w:val="auto"/>
        <w:rPr>
          <w:rFonts w:ascii="宋体" w:hAnsi="宋体" w:eastAsia="宋体"/>
          <w:color w:val="auto"/>
          <w:sz w:val="24"/>
          <w:szCs w:val="24"/>
        </w:rPr>
      </w:pPr>
      <w:r>
        <w:rPr>
          <w:rFonts w:ascii="宋体" w:hAnsi="宋体" w:eastAsia="宋体"/>
          <w:color w:val="auto"/>
          <w:sz w:val="24"/>
          <w:szCs w:val="24"/>
        </w:rPr>
        <w:t>4</w:t>
      </w:r>
      <w:r>
        <w:rPr>
          <w:rFonts w:hint="eastAsia" w:ascii="宋体" w:hAnsi="宋体" w:eastAsia="宋体"/>
          <w:color w:val="auto"/>
          <w:sz w:val="24"/>
          <w:szCs w:val="24"/>
          <w:lang w:val="en-US" w:eastAsia="zh-CN"/>
        </w:rPr>
        <w:t>.</w:t>
      </w:r>
      <w:r>
        <w:rPr>
          <w:rFonts w:hint="eastAsia" w:ascii="宋体" w:hAnsi="宋体" w:eastAsia="宋体"/>
          <w:color w:val="auto"/>
          <w:sz w:val="24"/>
          <w:szCs w:val="24"/>
        </w:rPr>
        <w:t>投标人应具备以下资质：</w:t>
      </w:r>
    </w:p>
    <w:p w14:paraId="59DBFC4F">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投标人具有承接本工程</w:t>
      </w:r>
      <w:r>
        <w:rPr>
          <w:rFonts w:hint="eastAsia" w:ascii="宋体" w:hAnsi="宋体" w:eastAsia="宋体"/>
          <w:color w:val="auto"/>
          <w:sz w:val="24"/>
          <w:szCs w:val="24"/>
          <w:lang w:eastAsia="zh-CN"/>
        </w:rPr>
        <w:t>所需</w:t>
      </w:r>
      <w:r>
        <w:rPr>
          <w:rFonts w:hint="eastAsia" w:ascii="宋体" w:hAnsi="宋体" w:eastAsia="宋体"/>
          <w:color w:val="auto"/>
          <w:sz w:val="24"/>
          <w:szCs w:val="24"/>
        </w:rPr>
        <w:t>的</w:t>
      </w:r>
      <w:r>
        <w:rPr>
          <w:rFonts w:hint="eastAsia" w:ascii="宋体" w:hAnsi="宋体" w:eastAsia="宋体" w:cs="Times New Roman"/>
          <w:color w:val="auto"/>
          <w:sz w:val="24"/>
          <w:szCs w:val="24"/>
          <w:u w:val="single"/>
        </w:rPr>
        <w:t>市政公用工程施工总承包</w:t>
      </w:r>
      <w:r>
        <w:rPr>
          <w:rFonts w:hint="eastAsia" w:ascii="宋体" w:hAnsi="宋体" w:eastAsia="宋体" w:cs="Times New Roman"/>
          <w:color w:val="auto"/>
          <w:sz w:val="24"/>
          <w:szCs w:val="24"/>
          <w:u w:val="single"/>
          <w:lang w:val="en-US" w:eastAsia="zh-CN"/>
        </w:rPr>
        <w:t>贰</w:t>
      </w:r>
      <w:r>
        <w:rPr>
          <w:rFonts w:hint="eastAsia" w:ascii="宋体" w:hAnsi="宋体" w:eastAsia="宋体" w:cs="Times New Roman"/>
          <w:color w:val="auto"/>
          <w:sz w:val="24"/>
          <w:szCs w:val="24"/>
          <w:u w:val="single"/>
        </w:rPr>
        <w:t>级</w:t>
      </w:r>
      <w:r>
        <w:rPr>
          <w:rFonts w:hint="eastAsia" w:ascii="宋体" w:hAnsi="宋体" w:eastAsia="宋体"/>
          <w:color w:val="auto"/>
          <w:sz w:val="24"/>
          <w:szCs w:val="24"/>
        </w:rPr>
        <w:t>级或以上级别施工总承包资质；</w:t>
      </w:r>
    </w:p>
    <w:p w14:paraId="38AE96C6">
      <w:pPr>
        <w:pStyle w:val="6"/>
        <w:keepNext w:val="0"/>
        <w:keepLines w:val="0"/>
        <w:pageBreakBefore w:val="0"/>
        <w:widowControl w:val="0"/>
        <w:tabs>
          <w:tab w:val="left" w:pos="4500"/>
          <w:tab w:val="left" w:pos="6415"/>
        </w:tabs>
        <w:kinsoku w:val="0"/>
        <w:wordWrap/>
        <w:overflowPunct w:val="0"/>
        <w:topLinePunct w:val="0"/>
        <w:autoSpaceDE w:val="0"/>
        <w:autoSpaceDN w:val="0"/>
        <w:bidi w:val="0"/>
        <w:adjustRightInd/>
        <w:snapToGrid/>
        <w:spacing w:line="360" w:lineRule="auto"/>
        <w:ind w:left="0" w:leftChars="0" w:right="214" w:firstLine="480" w:firstLineChars="200"/>
        <w:jc w:val="both"/>
        <w:textAlignment w:val="auto"/>
        <w:rPr>
          <w:rFonts w:hint="eastAsia" w:ascii="宋体" w:hAnsi="宋体" w:eastAsia="宋体" w:cs="Times New Roman"/>
          <w:color w:val="auto"/>
          <w:sz w:val="24"/>
          <w:szCs w:val="24"/>
          <w:u w:val="single"/>
          <w:lang w:val="en-US" w:eastAsia="zh-CN" w:bidi="ar-SA"/>
        </w:rPr>
      </w:pPr>
      <w:r>
        <w:rPr>
          <w:rFonts w:hint="eastAsia" w:ascii="宋体" w:hAnsi="宋体" w:eastAsia="宋体" w:cs="Times New Roman"/>
          <w:color w:val="auto"/>
          <w:sz w:val="24"/>
          <w:szCs w:val="24"/>
          <w:u w:val="single"/>
          <w:lang w:val="en-US" w:eastAsia="zh-CN" w:bidi="ar-SA"/>
        </w:rPr>
        <w:t>对应所设置资质要求的规模指标：</w:t>
      </w:r>
    </w:p>
    <w:p w14:paraId="32ECA492">
      <w:pPr>
        <w:pStyle w:val="6"/>
        <w:keepNext w:val="0"/>
        <w:keepLines w:val="0"/>
        <w:pageBreakBefore w:val="0"/>
        <w:widowControl w:val="0"/>
        <w:tabs>
          <w:tab w:val="left" w:pos="4500"/>
          <w:tab w:val="left" w:pos="6415"/>
        </w:tabs>
        <w:kinsoku w:val="0"/>
        <w:wordWrap/>
        <w:overflowPunct w:val="0"/>
        <w:topLinePunct w:val="0"/>
        <w:autoSpaceDE w:val="0"/>
        <w:autoSpaceDN w:val="0"/>
        <w:bidi w:val="0"/>
        <w:adjustRightInd/>
        <w:snapToGrid/>
        <w:spacing w:line="360" w:lineRule="auto"/>
        <w:ind w:left="0" w:leftChars="0" w:right="214" w:firstLine="480" w:firstLineChars="200"/>
        <w:jc w:val="both"/>
        <w:textAlignment w:val="auto"/>
        <w:rPr>
          <w:rFonts w:hint="eastAsia" w:ascii="宋体" w:hAnsi="宋体" w:eastAsia="宋体" w:cs="Times New Roman"/>
          <w:color w:val="auto"/>
          <w:sz w:val="24"/>
          <w:szCs w:val="24"/>
          <w:u w:val="single"/>
          <w:lang w:val="en-US" w:eastAsia="zh-CN" w:bidi="ar-SA"/>
        </w:rPr>
      </w:pPr>
      <w:r>
        <w:rPr>
          <w:rFonts w:hint="eastAsia" w:ascii="宋体" w:hAnsi="宋体" w:eastAsia="宋体" w:cs="Times New Roman"/>
          <w:color w:val="auto"/>
          <w:sz w:val="24"/>
          <w:szCs w:val="24"/>
          <w:u w:val="single"/>
          <w:lang w:val="en-US" w:eastAsia="zh-CN" w:bidi="ar-SA"/>
        </w:rPr>
        <w:sym w:font="Wingdings 2" w:char="0052"/>
      </w:r>
      <w:r>
        <w:rPr>
          <w:rFonts w:hint="eastAsia" w:ascii="宋体" w:hAnsi="宋体" w:eastAsia="宋体" w:cs="Times New Roman"/>
          <w:color w:val="auto"/>
          <w:sz w:val="24"/>
          <w:szCs w:val="24"/>
          <w:u w:val="single"/>
          <w:lang w:val="en-US" w:eastAsia="zh-CN" w:bidi="ar-SA"/>
        </w:rPr>
        <w:t>城市</w:t>
      </w:r>
      <w:r>
        <w:rPr>
          <w:rFonts w:hint="eastAsia" w:ascii="宋体" w:hAnsi="宋体" w:cs="Times New Roman"/>
          <w:color w:val="auto"/>
          <w:sz w:val="24"/>
          <w:szCs w:val="24"/>
          <w:u w:val="single"/>
          <w:lang w:val="en-US" w:eastAsia="zh-CN" w:bidi="ar-SA"/>
        </w:rPr>
        <w:t>道路工程（不含快速路）</w:t>
      </w:r>
      <w:r>
        <w:rPr>
          <w:rFonts w:hint="eastAsia" w:ascii="宋体" w:hAnsi="宋体" w:eastAsia="宋体" w:cs="Times New Roman"/>
          <w:color w:val="auto"/>
          <w:sz w:val="24"/>
          <w:szCs w:val="24"/>
          <w:u w:val="single"/>
          <w:lang w:val="en-US" w:eastAsia="zh-CN" w:bidi="ar-SA"/>
        </w:rPr>
        <w:t xml:space="preserve"> □</w:t>
      </w:r>
      <w:r>
        <w:rPr>
          <w:rFonts w:hint="eastAsia" w:ascii="宋体" w:hAnsi="宋体" w:cs="Times New Roman"/>
          <w:color w:val="auto"/>
          <w:sz w:val="24"/>
          <w:szCs w:val="24"/>
          <w:u w:val="single"/>
          <w:lang w:val="en-US" w:eastAsia="zh-CN" w:bidi="ar-SA"/>
        </w:rPr>
        <w:t>单跨25米以下的城市桥梁工程</w:t>
      </w:r>
      <w:r>
        <w:rPr>
          <w:rFonts w:hint="eastAsia" w:ascii="宋体" w:hAnsi="宋体" w:eastAsia="宋体" w:cs="Times New Roman"/>
          <w:color w:val="auto"/>
          <w:sz w:val="24"/>
          <w:szCs w:val="24"/>
          <w:u w:val="single"/>
          <w:lang w:val="en-US" w:eastAsia="zh-CN" w:bidi="ar-SA"/>
        </w:rPr>
        <w:t xml:space="preserve">  □</w:t>
      </w:r>
      <w:r>
        <w:rPr>
          <w:rFonts w:hint="eastAsia" w:ascii="宋体" w:hAnsi="宋体" w:cs="Times New Roman"/>
          <w:color w:val="auto"/>
          <w:sz w:val="24"/>
          <w:szCs w:val="24"/>
          <w:u w:val="single"/>
          <w:lang w:val="en-US" w:eastAsia="zh-CN" w:bidi="ar-SA"/>
        </w:rPr>
        <w:t>直径1米以下供水管道</w:t>
      </w:r>
      <w:r>
        <w:rPr>
          <w:rFonts w:hint="eastAsia" w:ascii="宋体" w:hAnsi="宋体" w:eastAsia="宋体" w:cs="Times New Roman"/>
          <w:color w:val="auto"/>
          <w:sz w:val="24"/>
          <w:szCs w:val="24"/>
          <w:u w:val="single"/>
          <w:lang w:val="en-US" w:eastAsia="zh-CN" w:bidi="ar-SA"/>
        </w:rPr>
        <w:t xml:space="preserve">  □</w:t>
      </w:r>
      <w:r>
        <w:rPr>
          <w:rFonts w:hint="eastAsia" w:ascii="宋体" w:hAnsi="宋体" w:cs="Times New Roman"/>
          <w:color w:val="auto"/>
          <w:sz w:val="24"/>
          <w:szCs w:val="24"/>
          <w:u w:val="single"/>
          <w:lang w:val="en-US" w:eastAsia="zh-CN" w:bidi="ar-SA"/>
        </w:rPr>
        <w:t>直径1.5米以下污水及中水管道等</w:t>
      </w:r>
    </w:p>
    <w:p w14:paraId="3E1941FF">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w:t>
      </w:r>
      <w:r>
        <w:rPr>
          <w:rFonts w:hint="eastAsia" w:ascii="楷体" w:hAnsi="楷体" w:eastAsia="楷体" w:cs="楷体"/>
          <w:color w:val="auto"/>
          <w:sz w:val="24"/>
          <w:szCs w:val="24"/>
          <w:lang w:eastAsia="zh-CN"/>
        </w:rPr>
        <w:t>、</w:t>
      </w:r>
      <w:r>
        <w:rPr>
          <w:rFonts w:hint="eastAsia" w:ascii="楷体" w:hAnsi="楷体" w:eastAsia="楷体" w:cs="楷体"/>
          <w:color w:val="auto"/>
          <w:kern w:val="2"/>
          <w:sz w:val="24"/>
          <w:szCs w:val="24"/>
          <w:lang w:val="en-US" w:eastAsia="zh-CN" w:bidi="ar-SA"/>
        </w:rPr>
        <w:t>《住房和城乡建设部关于印发建设工程企业资质管理制度改革方案的通知》（建市〔2020〕94号）</w:t>
      </w:r>
      <w:r>
        <w:rPr>
          <w:rFonts w:hint="eastAsia" w:ascii="楷体" w:hAnsi="楷体" w:eastAsia="楷体" w:cs="楷体"/>
          <w:color w:val="auto"/>
          <w:sz w:val="24"/>
          <w:szCs w:val="24"/>
        </w:rPr>
        <w:t>)的要求设置。招标内容含有设计要求，且设计要求仅为深化设计的，在投标人的资质设置要求中，不允许设置设计资质。</w:t>
      </w:r>
    </w:p>
    <w:p w14:paraId="77ED0071">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投标人还应当符合《住房和城乡建设部办公厅关于做好建筑业“证照分离”改革衔接有关工作的通知》（建办市〔2021〕30号）、《住房和城乡建设部办公厅关于建设工程企业资质统一延续有关事项的通知》（建办市函〔2021〕510号）</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《广东省住房和城乡建设厅关于建设工程企业资质有效期延期的通知》（粤建许函〔2021〕849号）</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《住房和城乡建设部办公厅关于建设工程企业资质有关事宜的通知》（建办市函〔2022〕361号）、《广东省住房和城乡建设厅关于建设工程企业资质有关事宜的通知》（粤建许函〔2022〕846号）、</w:t>
      </w:r>
      <w:r>
        <w:rPr>
          <w:rFonts w:hint="eastAsia" w:ascii="楷体" w:hAnsi="楷体" w:eastAsia="楷体" w:cs="楷体"/>
          <w:color w:val="auto"/>
          <w:sz w:val="24"/>
          <w:szCs w:val="24"/>
          <w:lang w:eastAsia="zh-CN"/>
        </w:rPr>
        <w:t>《住房和城乡建设部关于进一步加强建设工程企业资质审批管理工作的通知》（建市规</w:t>
      </w:r>
      <w:r>
        <w:rPr>
          <w:rFonts w:hint="eastAsia" w:ascii="楷体" w:hAnsi="楷体" w:eastAsia="楷体" w:cs="楷体"/>
          <w:color w:val="auto"/>
          <w:sz w:val="24"/>
          <w:szCs w:val="24"/>
        </w:rPr>
        <w:t>〔20</w:t>
      </w:r>
      <w:r>
        <w:rPr>
          <w:rFonts w:hint="eastAsia" w:ascii="楷体" w:hAnsi="楷体" w:eastAsia="楷体" w:cs="楷体"/>
          <w:color w:val="auto"/>
          <w:sz w:val="24"/>
          <w:szCs w:val="24"/>
          <w:lang w:val="en-US" w:eastAsia="zh-CN"/>
        </w:rPr>
        <w:t>23</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3号）、</w:t>
      </w:r>
      <w:r>
        <w:rPr>
          <w:rFonts w:hint="eastAsia" w:ascii="楷体" w:hAnsi="楷体" w:eastAsia="楷体" w:cs="楷体"/>
          <w:color w:val="auto"/>
          <w:sz w:val="24"/>
          <w:szCs w:val="24"/>
        </w:rPr>
        <w:t>《住房城乡建设部办公厅关于做好有关建设</w:t>
      </w:r>
      <w:bookmarkStart w:id="13" w:name="_GoBack"/>
      <w:bookmarkEnd w:id="13"/>
      <w:r>
        <w:rPr>
          <w:rFonts w:hint="eastAsia" w:ascii="楷体" w:hAnsi="楷体" w:eastAsia="楷体" w:cs="楷体"/>
          <w:color w:val="auto"/>
          <w:sz w:val="24"/>
          <w:szCs w:val="24"/>
        </w:rPr>
        <w:t>工程企业资质证书换领和延续工作的通知》（建办市〔2023〕47号）</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《住房城乡建设部建筑市场监管司关于建设工程企业资质延续有关事项的通知》（建司局函市〔2023〕116号）、《广东省住房和城乡建设厅关于建设工程企业资质延续有关事项的通知》（粤建许函〔2023〕820号）</w:t>
      </w:r>
      <w:r>
        <w:rPr>
          <w:rFonts w:hint="eastAsia" w:ascii="楷体" w:hAnsi="楷体" w:eastAsia="楷体" w:cs="楷体"/>
          <w:color w:val="auto"/>
          <w:sz w:val="24"/>
          <w:szCs w:val="24"/>
          <w:lang w:eastAsia="zh-CN"/>
        </w:rPr>
        <w:t>、</w:t>
      </w:r>
      <w:r>
        <w:rPr>
          <w:rFonts w:hint="eastAsia" w:ascii="楷体" w:hAnsi="楷体" w:eastAsia="楷体" w:cs="楷体"/>
          <w:b w:val="0"/>
          <w:color w:val="auto"/>
          <w:kern w:val="2"/>
          <w:sz w:val="24"/>
          <w:szCs w:val="24"/>
          <w:highlight w:val="none"/>
          <w:lang w:eastAsia="zh-CN"/>
        </w:rPr>
        <w:t>广东省住房和城乡建设厅关于做好有关建设工程企业资质证书换领工作的通知（粤建许函〔2024〕124号）</w:t>
      </w:r>
      <w:r>
        <w:rPr>
          <w:rFonts w:hint="eastAsia" w:ascii="楷体" w:hAnsi="楷体" w:eastAsia="楷体" w:cs="楷体"/>
          <w:color w:val="auto"/>
          <w:sz w:val="24"/>
          <w:szCs w:val="24"/>
        </w:rPr>
        <w:t>等相关规定。根据上述文件的要求，投标人需办理企业资质有效期延续的，应当按照相关规定及时办理。</w:t>
      </w:r>
    </w:p>
    <w:p w14:paraId="6940DC7C">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3378D66E">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5C142A2B">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13D6E6D6">
      <w:pPr>
        <w:pStyle w:val="97"/>
        <w:keepNext w:val="0"/>
        <w:keepLines w:val="0"/>
        <w:pageBreakBefore w:val="0"/>
        <w:numPr>
          <w:ilvl w:val="0"/>
          <w:numId w:val="3"/>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投标人拟担任本工程项目负责人的人员为：</w:t>
      </w:r>
      <w:r>
        <w:rPr>
          <w:rFonts w:hint="eastAsia" w:ascii="宋体" w:hAnsi="宋体" w:eastAsia="宋体" w:cs="宋体"/>
          <w:color w:val="auto"/>
          <w:sz w:val="24"/>
          <w:szCs w:val="24"/>
          <w:u w:val="single"/>
        </w:rPr>
        <w:t>市政公用工程</w:t>
      </w:r>
      <w:r>
        <w:rPr>
          <w:rFonts w:hint="eastAsia" w:ascii="宋体" w:hAnsi="宋体" w:eastAsia="宋体"/>
          <w:color w:val="auto"/>
          <w:sz w:val="24"/>
          <w:szCs w:val="24"/>
        </w:rPr>
        <w:t>专业</w:t>
      </w:r>
      <w:r>
        <w:rPr>
          <w:rFonts w:hint="eastAsia" w:ascii="宋体" w:hAnsi="宋体" w:eastAsia="宋体"/>
          <w:color w:val="auto"/>
          <w:sz w:val="24"/>
          <w:szCs w:val="24"/>
          <w:u w:val="single"/>
          <w:lang w:val="en-US" w:eastAsia="zh-CN"/>
        </w:rPr>
        <w:t>壹</w:t>
      </w:r>
      <w:r>
        <w:rPr>
          <w:rFonts w:hint="eastAsia" w:ascii="宋体" w:hAnsi="宋体" w:eastAsia="宋体"/>
          <w:color w:val="auto"/>
          <w:sz w:val="24"/>
          <w:szCs w:val="24"/>
        </w:rPr>
        <w:t>级或以上级别的注册建造师</w:t>
      </w:r>
      <w:r>
        <w:rPr>
          <w:rFonts w:hint="eastAsia" w:ascii="宋体" w:hAnsi="宋体" w:eastAsia="宋体"/>
          <w:color w:val="auto"/>
          <w:sz w:val="24"/>
          <w:szCs w:val="24"/>
          <w:lang w:eastAsia="zh-CN"/>
        </w:rPr>
        <w:t>，</w:t>
      </w:r>
      <w:r>
        <w:rPr>
          <w:rFonts w:hint="eastAsia" w:ascii="宋体" w:hAnsi="宋体" w:eastAsia="宋体" w:cs="宋体"/>
          <w:color w:val="auto"/>
          <w:sz w:val="24"/>
          <w:szCs w:val="24"/>
          <w:lang w:eastAsia="zh-CN"/>
        </w:rPr>
        <w:t>且</w:t>
      </w:r>
      <w:r>
        <w:rPr>
          <w:rFonts w:hint="eastAsia" w:ascii="宋体" w:hAnsi="宋体" w:eastAsia="宋体" w:cs="宋体"/>
          <w:color w:val="auto"/>
          <w:sz w:val="24"/>
          <w:szCs w:val="24"/>
        </w:rPr>
        <w:t>必须为企业在岗人员，注册执业单位须与投标</w:t>
      </w:r>
      <w:r>
        <w:rPr>
          <w:rFonts w:hint="eastAsia" w:ascii="宋体" w:hAnsi="宋体" w:eastAsia="宋体" w:cs="宋体"/>
          <w:color w:val="auto"/>
          <w:sz w:val="24"/>
          <w:szCs w:val="24"/>
          <w:lang w:eastAsia="zh-CN"/>
        </w:rPr>
        <w:t>人</w:t>
      </w:r>
      <w:r>
        <w:rPr>
          <w:rFonts w:hint="eastAsia" w:ascii="宋体" w:hAnsi="宋体" w:eastAsia="宋体" w:cs="宋体"/>
          <w:color w:val="auto"/>
          <w:sz w:val="24"/>
          <w:szCs w:val="24"/>
        </w:rPr>
        <w:t>登记时一致</w:t>
      </w:r>
      <w:r>
        <w:rPr>
          <w:rFonts w:hint="eastAsia" w:ascii="宋体" w:hAnsi="宋体" w:eastAsia="宋体"/>
          <w:color w:val="auto"/>
          <w:sz w:val="24"/>
          <w:szCs w:val="24"/>
        </w:rPr>
        <w:t>；</w:t>
      </w:r>
      <w:r>
        <w:rPr>
          <w:rFonts w:ascii="宋体" w:hAnsi="宋体" w:eastAsia="宋体"/>
          <w:color w:val="auto"/>
          <w:sz w:val="24"/>
          <w:szCs w:val="24"/>
        </w:rPr>
        <w:t>项目负责人</w:t>
      </w:r>
      <w:r>
        <w:rPr>
          <w:rFonts w:hint="eastAsia" w:ascii="宋体" w:hAnsi="宋体" w:eastAsia="宋体"/>
          <w:color w:val="auto"/>
          <w:sz w:val="24"/>
          <w:szCs w:val="24"/>
          <w:lang w:eastAsia="zh-CN"/>
        </w:rPr>
        <w:t>需</w:t>
      </w:r>
      <w:r>
        <w:rPr>
          <w:rFonts w:ascii="宋体" w:hAnsi="宋体" w:eastAsia="宋体"/>
          <w:color w:val="auto"/>
          <w:sz w:val="24"/>
          <w:szCs w:val="24"/>
        </w:rPr>
        <w:t>持有安全</w:t>
      </w:r>
      <w:r>
        <w:rPr>
          <w:rFonts w:hint="eastAsia" w:ascii="宋体" w:hAnsi="宋体" w:eastAsia="宋体"/>
          <w:color w:val="auto"/>
          <w:sz w:val="24"/>
          <w:szCs w:val="24"/>
        </w:rPr>
        <w:t>生产</w:t>
      </w:r>
      <w:r>
        <w:rPr>
          <w:rFonts w:ascii="宋体" w:hAnsi="宋体" w:eastAsia="宋体"/>
          <w:color w:val="auto"/>
          <w:sz w:val="24"/>
          <w:szCs w:val="24"/>
        </w:rPr>
        <w:t>考核合格证（B类）或</w:t>
      </w:r>
      <w:r>
        <w:rPr>
          <w:rFonts w:hint="eastAsia" w:ascii="宋体" w:hAnsi="宋体" w:eastAsia="宋体"/>
          <w:color w:val="auto"/>
          <w:sz w:val="24"/>
          <w:szCs w:val="24"/>
        </w:rPr>
        <w:t>建筑施工企业项目负责人安全生产考核合格证书；</w:t>
      </w:r>
    </w:p>
    <w:p w14:paraId="417A5271">
      <w:pPr>
        <w:pStyle w:val="97"/>
        <w:keepNext w:val="0"/>
        <w:keepLines w:val="0"/>
        <w:pageBreakBefore w:val="0"/>
        <w:numPr>
          <w:ilvl w:val="0"/>
          <w:numId w:val="3"/>
        </w:numP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投标人拟担任本工程技术负责人的资格要求为：具有</w:t>
      </w:r>
      <w:r>
        <w:rPr>
          <w:rFonts w:hint="eastAsia" w:ascii="宋体" w:hAnsi="宋体" w:eastAsia="宋体" w:cs="宋体"/>
          <w:b/>
          <w:bCs/>
          <w:color w:val="auto"/>
          <w:sz w:val="24"/>
          <w:szCs w:val="24"/>
          <w:u w:val="single"/>
          <w:lang w:val="en-US" w:eastAsia="zh-CN"/>
        </w:rPr>
        <w:t>市政工程相关专业高级</w:t>
      </w:r>
      <w:r>
        <w:rPr>
          <w:rFonts w:hint="eastAsia" w:ascii="宋体" w:hAnsi="宋体" w:eastAsia="宋体" w:cs="宋体"/>
          <w:b/>
          <w:bCs/>
          <w:color w:val="auto"/>
          <w:sz w:val="24"/>
          <w:szCs w:val="24"/>
          <w:u w:val="single"/>
        </w:rPr>
        <w:t>工程师或以上技术职称，技术负责人和项目负责人不为同一人。</w:t>
      </w:r>
    </w:p>
    <w:p w14:paraId="018CAAA8">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kern w:val="0"/>
          <w:sz w:val="24"/>
        </w:rPr>
      </w:pPr>
      <w:r>
        <w:rPr>
          <w:rFonts w:hint="eastAsia" w:ascii="宋体" w:hAnsi="宋体"/>
          <w:color w:val="auto"/>
          <w:kern w:val="0"/>
          <w:sz w:val="24"/>
          <w:lang w:val="en-US" w:eastAsia="zh-CN"/>
        </w:rPr>
        <w:t>7.</w:t>
      </w:r>
      <w:r>
        <w:rPr>
          <w:rFonts w:hint="eastAsia" w:ascii="宋体" w:hAnsi="宋体"/>
          <w:color w:val="auto"/>
          <w:kern w:val="0"/>
          <w:sz w:val="24"/>
        </w:rPr>
        <w:t>拟配备的专职安全员不少于</w:t>
      </w:r>
      <w:r>
        <w:rPr>
          <w:rFonts w:hint="eastAsia" w:ascii="宋体" w:hAnsi="宋体"/>
          <w:color w:val="auto"/>
          <w:sz w:val="24"/>
          <w:u w:val="single"/>
        </w:rPr>
        <w:t xml:space="preserve"> </w:t>
      </w:r>
      <w:r>
        <w:rPr>
          <w:rFonts w:hint="eastAsia" w:ascii="宋体" w:hAnsi="宋体"/>
          <w:color w:val="auto"/>
          <w:sz w:val="24"/>
          <w:u w:val="single"/>
          <w:lang w:val="en-US" w:eastAsia="zh-CN"/>
        </w:rPr>
        <w:t>1</w:t>
      </w:r>
      <w:r>
        <w:rPr>
          <w:rFonts w:hint="eastAsia" w:ascii="宋体" w:hAnsi="宋体"/>
          <w:color w:val="auto"/>
          <w:sz w:val="24"/>
          <w:u w:val="single"/>
        </w:rPr>
        <w:t xml:space="preserve"> 人，</w:t>
      </w:r>
      <w:r>
        <w:rPr>
          <w:rFonts w:hint="eastAsia" w:ascii="宋体" w:hAnsi="宋体"/>
          <w:color w:val="auto"/>
          <w:sz w:val="24"/>
          <w:szCs w:val="24"/>
        </w:rPr>
        <w:t>专职安全员须具有安全生产考核合格证（</w:t>
      </w:r>
      <w:r>
        <w:rPr>
          <w:rFonts w:ascii="宋体" w:hAnsi="宋体"/>
          <w:color w:val="auto"/>
          <w:sz w:val="24"/>
          <w:szCs w:val="24"/>
        </w:rPr>
        <w:t>C</w:t>
      </w:r>
      <w:r>
        <w:rPr>
          <w:rFonts w:hint="eastAsia" w:ascii="宋体" w:hAnsi="宋体"/>
          <w:color w:val="auto"/>
          <w:sz w:val="24"/>
          <w:szCs w:val="24"/>
        </w:rPr>
        <w:t>类）</w:t>
      </w:r>
      <w:r>
        <w:rPr>
          <w:rFonts w:hint="eastAsia" w:ascii="宋体" w:hAnsi="宋体"/>
          <w:color w:val="auto"/>
          <w:kern w:val="0"/>
          <w:sz w:val="24"/>
        </w:rPr>
        <w:t>或建筑施工企业专职安全生产管理人员安全生产考核合格证书（C3）。</w:t>
      </w:r>
    </w:p>
    <w:p w14:paraId="7F7F7A32">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楷体" w:hAnsi="楷体" w:eastAsia="楷体" w:cs="楷体"/>
          <w:color w:val="auto"/>
          <w:sz w:val="24"/>
        </w:rPr>
      </w:pPr>
      <w:r>
        <w:rPr>
          <w:rFonts w:hint="eastAsia" w:ascii="楷体" w:hAnsi="楷体" w:eastAsia="楷体" w:cs="楷体"/>
          <w:color w:val="auto"/>
          <w:sz w:val="24"/>
        </w:rPr>
        <w:t>注：需配备专职安全员数量根据《建筑施工企业安全生产管理机构设置及专职安全生产管理人员配备办法》第十三条和招标项目实际执行。</w:t>
      </w:r>
    </w:p>
    <w:p w14:paraId="424E259F">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ascii="宋体"/>
          <w:color w:val="auto"/>
          <w:sz w:val="24"/>
        </w:rPr>
      </w:pPr>
      <w:r>
        <w:rPr>
          <w:rFonts w:hint="eastAsia" w:ascii="宋体" w:hAnsi="宋体"/>
          <w:color w:val="auto"/>
          <w:sz w:val="24"/>
          <w:lang w:val="en-US" w:eastAsia="zh-CN"/>
        </w:rPr>
        <w:t>8.</w:t>
      </w:r>
      <w:r>
        <w:rPr>
          <w:rFonts w:hint="eastAsia" w:ascii="宋体" w:hAnsi="宋体"/>
          <w:color w:val="auto"/>
          <w:sz w:val="24"/>
        </w:rPr>
        <w:t>投标人已按照附件一的内容签署盖章的</w:t>
      </w:r>
      <w:r>
        <w:rPr>
          <w:rFonts w:hint="eastAsia" w:ascii="宋体" w:hAnsi="宋体"/>
          <w:color w:val="auto"/>
          <w:sz w:val="24"/>
          <w:highlight w:val="none"/>
          <w:lang w:eastAsia="zh-CN"/>
        </w:rPr>
        <w:t>《</w:t>
      </w:r>
      <w:r>
        <w:rPr>
          <w:rFonts w:hint="eastAsia" w:ascii="宋体" w:hAnsi="宋体"/>
          <w:color w:val="auto"/>
          <w:sz w:val="24"/>
          <w:highlight w:val="none"/>
        </w:rPr>
        <w:t>投标人声明（一）</w:t>
      </w:r>
      <w:r>
        <w:rPr>
          <w:rFonts w:hint="eastAsia" w:ascii="宋体" w:hAnsi="宋体"/>
          <w:color w:val="auto"/>
          <w:sz w:val="24"/>
          <w:highlight w:val="none"/>
          <w:lang w:eastAsia="zh-CN"/>
        </w:rPr>
        <w:t>》、《</w:t>
      </w:r>
      <w:r>
        <w:rPr>
          <w:rFonts w:hint="eastAsia" w:ascii="宋体" w:hAnsi="宋体"/>
          <w:color w:val="auto"/>
          <w:sz w:val="24"/>
          <w:highlight w:val="none"/>
        </w:rPr>
        <w:t>投标人声明（</w:t>
      </w:r>
      <w:r>
        <w:rPr>
          <w:rFonts w:hint="eastAsia" w:ascii="宋体" w:hAnsi="宋体"/>
          <w:color w:val="auto"/>
          <w:sz w:val="24"/>
          <w:highlight w:val="none"/>
          <w:lang w:eastAsia="zh-CN"/>
        </w:rPr>
        <w:t>二</w:t>
      </w:r>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rPr>
        <w:t>投标人声明（</w:t>
      </w:r>
      <w:r>
        <w:rPr>
          <w:rFonts w:hint="eastAsia" w:ascii="宋体" w:hAnsi="宋体"/>
          <w:color w:val="auto"/>
          <w:sz w:val="24"/>
          <w:highlight w:val="none"/>
          <w:lang w:val="en-US" w:eastAsia="zh-CN"/>
        </w:rPr>
        <w:t>三</w:t>
      </w:r>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rPr>
        <w:t>。</w:t>
      </w:r>
    </w:p>
    <w:p w14:paraId="42272FE3">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ascii="宋体"/>
          <w:color w:val="auto"/>
          <w:sz w:val="24"/>
        </w:rPr>
      </w:pPr>
      <w:r>
        <w:rPr>
          <w:rFonts w:hint="eastAsia" w:ascii="宋体" w:hAnsi="宋体"/>
          <w:color w:val="auto"/>
          <w:sz w:val="24"/>
          <w:szCs w:val="24"/>
          <w:lang w:val="en-US" w:eastAsia="zh-CN"/>
        </w:rPr>
        <w:t>9.</w:t>
      </w:r>
      <w:r>
        <w:rPr>
          <w:rFonts w:hint="eastAsia" w:ascii="宋体" w:hAnsi="宋体"/>
          <w:color w:val="auto"/>
          <w:sz w:val="24"/>
          <w:szCs w:val="24"/>
        </w:rPr>
        <w:t>关于联合体投标：</w:t>
      </w:r>
    </w:p>
    <w:p w14:paraId="35D425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auto"/>
          <w:sz w:val="24"/>
          <w:highlight w:val="none"/>
          <w:lang w:eastAsia="zh-CN"/>
        </w:rPr>
      </w:pPr>
      <w:r>
        <w:rPr>
          <w:rFonts w:hint="eastAsia" w:ascii="宋体" w:hAnsi="宋体"/>
          <w:color w:val="auto"/>
          <w:sz w:val="24"/>
          <w:szCs w:val="24"/>
          <w:lang w:eastAsia="zh-CN"/>
        </w:rPr>
        <w:t>本次招标</w:t>
      </w:r>
      <w:r>
        <w:rPr>
          <w:rFonts w:hint="eastAsia" w:ascii="宋体" w:hAnsi="宋体"/>
          <w:color w:val="auto"/>
          <w:sz w:val="24"/>
          <w:szCs w:val="24"/>
          <w:u w:val="single"/>
          <w:lang w:eastAsia="zh-CN"/>
        </w:rPr>
        <w:t>（</w:t>
      </w:r>
      <w:r>
        <w:rPr>
          <w:rFonts w:hint="eastAsia" w:ascii="宋体" w:hAnsi="宋体"/>
          <w:color w:val="auto"/>
          <w:sz w:val="24"/>
          <w:szCs w:val="24"/>
          <w:u w:val="single"/>
          <w:lang w:val="en-US" w:eastAsia="zh-CN"/>
        </w:rPr>
        <w:t>不接受）</w:t>
      </w:r>
      <w:r>
        <w:rPr>
          <w:rFonts w:hint="eastAsia" w:ascii="宋体" w:hAnsi="宋体"/>
          <w:color w:val="auto"/>
          <w:sz w:val="24"/>
          <w:szCs w:val="24"/>
          <w:lang w:val="en-US" w:eastAsia="zh-CN"/>
        </w:rPr>
        <w:t>联合体投标。</w:t>
      </w:r>
    </w:p>
    <w:p w14:paraId="000E5650">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ascii="宋体" w:hAnsi="宋体"/>
          <w:color w:val="auto"/>
          <w:sz w:val="24"/>
        </w:rPr>
      </w:pPr>
      <w:r>
        <w:rPr>
          <w:rFonts w:hint="eastAsia" w:ascii="宋体" w:hAnsi="宋体"/>
          <w:color w:val="auto"/>
          <w:sz w:val="24"/>
          <w:lang w:val="en-US" w:eastAsia="zh-CN"/>
        </w:rPr>
        <w:t>10.</w:t>
      </w:r>
      <w:r>
        <w:rPr>
          <w:rFonts w:hint="eastAsia" w:ascii="宋体" w:hAnsi="宋体"/>
          <w:color w:val="auto"/>
          <w:sz w:val="24"/>
          <w:szCs w:val="24"/>
        </w:rPr>
        <w:t>投标人未出现以下情形：与其它投标人的单位负责人为同一人或者存在控股、管理关系的（按投标人提供的《投标人声明</w:t>
      </w:r>
      <w:r>
        <w:rPr>
          <w:rFonts w:hint="eastAsia" w:ascii="宋体" w:hAnsi="宋体"/>
          <w:color w:val="auto"/>
          <w:sz w:val="24"/>
          <w:szCs w:val="24"/>
          <w:lang w:eastAsia="zh-CN"/>
        </w:rPr>
        <w:t>（</w:t>
      </w:r>
      <w:r>
        <w:rPr>
          <w:rFonts w:hint="eastAsia" w:ascii="宋体" w:hAnsi="宋体"/>
          <w:color w:val="auto"/>
          <w:sz w:val="24"/>
          <w:szCs w:val="24"/>
          <w:lang w:val="en-US" w:eastAsia="zh-CN"/>
        </w:rPr>
        <w:t>一</w:t>
      </w:r>
      <w:r>
        <w:rPr>
          <w:rFonts w:hint="eastAsia" w:ascii="宋体" w:hAnsi="宋体"/>
          <w:color w:val="auto"/>
          <w:sz w:val="24"/>
          <w:szCs w:val="24"/>
          <w:lang w:eastAsia="zh-CN"/>
        </w:rPr>
        <w:t>）</w:t>
      </w:r>
      <w:r>
        <w:rPr>
          <w:rFonts w:hint="eastAsia" w:ascii="宋体" w:hAnsi="宋体"/>
          <w:color w:val="auto"/>
          <w:sz w:val="24"/>
          <w:szCs w:val="24"/>
        </w:rPr>
        <w:t>》第八条内容进行评审）。如不同投标申请人出现单位负责人为同一人或者存在控股、管理关系的情形，则</w:t>
      </w:r>
      <w:r>
        <w:rPr>
          <w:rFonts w:hint="eastAsia" w:ascii="宋体" w:hAnsi="宋体" w:cs="宋体"/>
          <w:color w:val="auto"/>
          <w:sz w:val="24"/>
          <w:highlight w:val="none"/>
          <w:u w:val="single"/>
        </w:rPr>
        <w:t>不通过资格审查</w:t>
      </w:r>
      <w:r>
        <w:rPr>
          <w:rFonts w:hint="eastAsia" w:ascii="宋体" w:hAnsi="宋体"/>
          <w:color w:val="auto"/>
          <w:sz w:val="24"/>
        </w:rPr>
        <w:t>。</w:t>
      </w:r>
    </w:p>
    <w:p w14:paraId="483BEC11">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ascii="宋体" w:hAnsi="宋体"/>
          <w:color w:val="auto"/>
          <w:sz w:val="24"/>
          <w:szCs w:val="24"/>
        </w:rPr>
      </w:pPr>
      <w:r>
        <w:rPr>
          <w:rFonts w:hint="eastAsia" w:ascii="宋体" w:hAnsi="宋体"/>
          <w:color w:val="auto"/>
          <w:sz w:val="24"/>
        </w:rPr>
        <w:t>1</w:t>
      </w:r>
      <w:r>
        <w:rPr>
          <w:rFonts w:hint="eastAsia" w:ascii="宋体" w:hAnsi="宋体"/>
          <w:color w:val="auto"/>
          <w:sz w:val="24"/>
          <w:lang w:val="en-US" w:eastAsia="zh-CN"/>
        </w:rPr>
        <w:t>1.</w:t>
      </w:r>
      <w:r>
        <w:rPr>
          <w:rFonts w:hint="eastAsia" w:ascii="宋体" w:hAnsi="宋体" w:eastAsia="宋体" w:cs="宋体"/>
          <w:color w:val="auto"/>
          <w:sz w:val="24"/>
          <w:szCs w:val="24"/>
        </w:rPr>
        <w:t>在投标截止时间前</w:t>
      </w:r>
      <w:r>
        <w:rPr>
          <w:rFonts w:hint="eastAsia" w:ascii="宋体" w:hAnsi="宋体"/>
          <w:color w:val="auto"/>
          <w:sz w:val="24"/>
        </w:rPr>
        <w:t>，未被列入拖欠农民工工资失信联合惩戒对象名单</w:t>
      </w:r>
      <w:r>
        <w:rPr>
          <w:rFonts w:hint="eastAsia" w:ascii="宋体" w:hAnsi="宋体"/>
          <w:color w:val="auto"/>
          <w:sz w:val="24"/>
          <w:szCs w:val="24"/>
        </w:rPr>
        <w:t>。</w:t>
      </w:r>
    </w:p>
    <w:p w14:paraId="2F611B20">
      <w:pPr>
        <w:keepNext w:val="0"/>
        <w:keepLines w:val="0"/>
        <w:pageBreakBefore w:val="0"/>
        <w:widowControl w:val="0"/>
        <w:kinsoku/>
        <w:wordWrap/>
        <w:overflowPunct/>
        <w:topLinePunct w:val="0"/>
        <w:autoSpaceDE/>
        <w:autoSpaceDN/>
        <w:bidi w:val="0"/>
        <w:adjustRightInd/>
        <w:spacing w:line="360" w:lineRule="auto"/>
        <w:ind w:firstLine="537" w:firstLineChars="224"/>
        <w:textAlignment w:val="auto"/>
        <w:rPr>
          <w:rFonts w:hint="eastAsia" w:ascii="宋体" w:hAnsi="宋体" w:eastAsia="宋体"/>
          <w:color w:val="auto"/>
          <w:sz w:val="24"/>
          <w:lang w:val="en-US" w:eastAsia="zh-CN"/>
        </w:rPr>
      </w:pPr>
      <w:r>
        <w:rPr>
          <w:rFonts w:hint="eastAsia" w:ascii="宋体" w:hAnsi="宋体"/>
          <w:color w:val="auto"/>
          <w:sz w:val="24"/>
          <w:lang w:val="en-US" w:eastAsia="zh-CN"/>
        </w:rPr>
        <w:t>12</w:t>
      </w:r>
      <w:r>
        <w:rPr>
          <w:rFonts w:hint="eastAsia" w:ascii="宋体" w:hAnsi="宋体" w:eastAsia="宋体"/>
          <w:color w:val="auto"/>
          <w:sz w:val="24"/>
          <w:lang w:val="en-US" w:eastAsia="zh-CN"/>
        </w:rPr>
        <w:t>.政府投资项目，</w:t>
      </w:r>
      <w:r>
        <w:rPr>
          <w:rFonts w:hint="eastAsia" w:ascii="宋体" w:hAnsi="宋体" w:eastAsia="宋体"/>
          <w:color w:val="auto"/>
          <w:sz w:val="24"/>
        </w:rPr>
        <w:t>在投标截止时间前，</w:t>
      </w:r>
      <w:r>
        <w:rPr>
          <w:rFonts w:hint="default" w:ascii="宋体" w:hAnsi="宋体" w:eastAsia="宋体"/>
          <w:color w:val="auto"/>
          <w:sz w:val="24"/>
          <w:lang w:val="en-US" w:eastAsia="zh-CN"/>
        </w:rPr>
        <w:t>投标人</w:t>
      </w:r>
      <w:r>
        <w:rPr>
          <w:rFonts w:hint="eastAsia" w:ascii="宋体" w:hAnsi="宋体" w:eastAsia="宋体"/>
          <w:color w:val="auto"/>
          <w:sz w:val="24"/>
          <w:lang w:val="en-US" w:eastAsia="zh-CN"/>
        </w:rPr>
        <w:t>（如为联合体，则联合体各方）</w:t>
      </w:r>
      <w:r>
        <w:rPr>
          <w:rFonts w:hint="default" w:ascii="宋体" w:hAnsi="宋体" w:eastAsia="宋体"/>
          <w:color w:val="auto"/>
          <w:sz w:val="24"/>
          <w:lang w:val="en-US" w:eastAsia="zh-CN"/>
        </w:rPr>
        <w:t>未被列入“</w:t>
      </w:r>
      <w:r>
        <w:rPr>
          <w:rFonts w:hint="eastAsia" w:ascii="宋体" w:hAnsi="宋体" w:eastAsia="宋体"/>
          <w:color w:val="auto"/>
          <w:sz w:val="24"/>
          <w:lang w:val="en-US" w:eastAsia="zh-CN"/>
        </w:rPr>
        <w:t>失信被执行人</w:t>
      </w:r>
      <w:r>
        <w:rPr>
          <w:rFonts w:hint="default" w:ascii="宋体" w:hAnsi="宋体" w:eastAsia="宋体"/>
          <w:color w:val="auto"/>
          <w:sz w:val="24"/>
          <w:lang w:val="en-US" w:eastAsia="zh-CN"/>
        </w:rPr>
        <w:t>”</w:t>
      </w:r>
      <w:r>
        <w:rPr>
          <w:rFonts w:hint="eastAsia" w:ascii="宋体" w:hAnsi="宋体" w:eastAsia="宋体"/>
          <w:color w:val="auto"/>
          <w:sz w:val="24"/>
          <w:lang w:val="en-US" w:eastAsia="zh-CN"/>
        </w:rPr>
        <w:t>名单。</w:t>
      </w:r>
    </w:p>
    <w:p w14:paraId="2B39FA2B">
      <w:pPr>
        <w:pStyle w:val="5"/>
        <w:keepNext w:val="0"/>
        <w:keepLines w:val="0"/>
        <w:pageBreakBefore w:val="0"/>
        <w:widowControl w:val="0"/>
        <w:tabs>
          <w:tab w:val="left" w:pos="7380"/>
        </w:tabs>
        <w:kinsoku/>
        <w:wordWrap/>
        <w:overflowPunct/>
        <w:topLinePunct w:val="0"/>
        <w:autoSpaceDE/>
        <w:autoSpaceDN/>
        <w:bidi w:val="0"/>
        <w:adjustRightInd/>
        <w:spacing w:after="0" w:line="360" w:lineRule="auto"/>
        <w:ind w:firstLine="523" w:firstLineChars="218"/>
        <w:textAlignment w:val="auto"/>
        <w:rPr>
          <w:rFonts w:ascii="宋体"/>
          <w:color w:val="auto"/>
          <w:sz w:val="24"/>
        </w:rPr>
      </w:pPr>
      <w:r>
        <w:rPr>
          <w:rFonts w:hint="eastAsia" w:ascii="宋体" w:hAnsi="宋体"/>
          <w:color w:val="auto"/>
          <w:sz w:val="24"/>
        </w:rPr>
        <w:t>注：未在招标公告第九条单列的资审合格条件，不作为资审不合格的依据。</w:t>
      </w:r>
    </w:p>
    <w:p w14:paraId="10A7B92B">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ascii="宋体" w:cs="宋体"/>
          <w:color w:val="auto"/>
          <w:sz w:val="24"/>
          <w:szCs w:val="24"/>
        </w:rPr>
      </w:pPr>
      <w:bookmarkStart w:id="12" w:name="_Toc7553"/>
      <w:r>
        <w:rPr>
          <w:rStyle w:val="61"/>
          <w:rFonts w:hint="eastAsia"/>
          <w:color w:val="auto"/>
        </w:rPr>
        <w:t>十、资格审查方式</w:t>
      </w:r>
      <w:bookmarkEnd w:id="12"/>
      <w:r>
        <w:rPr>
          <w:rFonts w:hint="eastAsia" w:ascii="宋体" w:hAnsi="宋体" w:cs="宋体"/>
          <w:color w:val="auto"/>
          <w:sz w:val="24"/>
          <w:szCs w:val="24"/>
        </w:rPr>
        <w:t>：</w:t>
      </w:r>
    </w:p>
    <w:p w14:paraId="33B46BA2">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宋体" w:cs="宋体"/>
          <w:color w:val="auto"/>
          <w:sz w:val="24"/>
          <w:szCs w:val="24"/>
        </w:rPr>
      </w:pPr>
      <w:r>
        <w:rPr>
          <w:rFonts w:hint="eastAsia" w:ascii="宋体" w:hAnsi="宋体" w:cs="宋体"/>
          <w:color w:val="auto"/>
          <w:sz w:val="24"/>
          <w:szCs w:val="24"/>
        </w:rPr>
        <w:t>本工程采用资格后审方式，由评标委员会负责资格审查。</w:t>
      </w:r>
    </w:p>
    <w:p w14:paraId="3A40F452">
      <w:pPr>
        <w:keepNext w:val="0"/>
        <w:keepLines w:val="0"/>
        <w:pageBreakBefore w:val="0"/>
        <w:kinsoku/>
        <w:wordWrap/>
        <w:overflowPunct/>
        <w:topLinePunct w:val="0"/>
        <w:autoSpaceDE/>
        <w:autoSpaceDN/>
        <w:bidi w:val="0"/>
        <w:adjustRightInd/>
        <w:snapToGrid w:val="0"/>
        <w:spacing w:line="360" w:lineRule="auto"/>
        <w:textAlignment w:val="auto"/>
        <w:rPr>
          <w:rFonts w:ascii="宋体" w:hAnsi="宋体"/>
          <w:color w:val="auto"/>
          <w:sz w:val="24"/>
        </w:rPr>
      </w:pPr>
      <w:r>
        <w:rPr>
          <w:rFonts w:hint="eastAsia" w:ascii="宋体" w:hAnsi="宋体"/>
          <w:color w:val="auto"/>
          <w:sz w:val="24"/>
        </w:rPr>
        <w:t xml:space="preserve">    十一、资格审查结果</w:t>
      </w:r>
      <w:r>
        <w:rPr>
          <w:rFonts w:hint="eastAsia" w:ascii="宋体" w:hAnsi="宋体" w:cs="宋体"/>
          <w:color w:val="auto"/>
          <w:kern w:val="2"/>
          <w:sz w:val="24"/>
          <w:szCs w:val="24"/>
          <w:u w:val="single"/>
          <w:lang w:bidi="ar"/>
        </w:rPr>
        <w:t>及中标结果</w:t>
      </w:r>
      <w:r>
        <w:rPr>
          <w:rFonts w:hint="eastAsia" w:ascii="宋体" w:hAnsi="宋体"/>
          <w:color w:val="auto"/>
          <w:sz w:val="24"/>
        </w:rPr>
        <w:t>将在</w:t>
      </w:r>
      <w:r>
        <w:rPr>
          <w:rFonts w:hint="eastAsia"/>
          <w:color w:val="auto"/>
          <w:sz w:val="24"/>
          <w:szCs w:val="24"/>
          <w:highlight w:val="none"/>
          <w:u w:val="single"/>
          <w:lang w:eastAsia="zh-CN"/>
        </w:rPr>
        <w:t>广州交易集团有限公司（广州公共资源交易中心）</w:t>
      </w:r>
      <w:r>
        <w:rPr>
          <w:rFonts w:hint="eastAsia" w:ascii="宋体" w:hAnsi="宋体"/>
          <w:color w:val="auto"/>
          <w:sz w:val="24"/>
          <w:szCs w:val="24"/>
        </w:rPr>
        <w:t>交易平台</w:t>
      </w:r>
      <w:r>
        <w:rPr>
          <w:rFonts w:hint="eastAsia" w:ascii="宋体" w:hAnsi="宋体"/>
          <w:color w:val="auto"/>
          <w:sz w:val="24"/>
        </w:rPr>
        <w:t>和广东省招标投标监管网公示，</w:t>
      </w:r>
      <w:r>
        <w:rPr>
          <w:rFonts w:hint="eastAsia" w:ascii="宋体" w:hAnsi="宋体"/>
          <w:bCs/>
          <w:color w:val="auto"/>
          <w:sz w:val="24"/>
        </w:rPr>
        <w:t>公示时间不得少于3日</w:t>
      </w:r>
      <w:r>
        <w:rPr>
          <w:rFonts w:hint="eastAsia" w:ascii="宋体" w:hAnsi="宋体"/>
          <w:bCs/>
          <w:color w:val="auto"/>
          <w:sz w:val="24"/>
          <w:highlight w:val="none"/>
          <w:lang w:eastAsia="zh-CN"/>
        </w:rPr>
        <w:t>，</w:t>
      </w:r>
      <w:r>
        <w:rPr>
          <w:rFonts w:hint="eastAsia" w:ascii="宋体" w:hAnsi="宋体" w:eastAsia="宋体" w:cs="宋体"/>
          <w:color w:val="auto"/>
          <w:sz w:val="24"/>
          <w:szCs w:val="24"/>
          <w:highlight w:val="none"/>
          <w:u w:val="single"/>
        </w:rPr>
        <w:t>最后一日为工作日</w:t>
      </w:r>
      <w:r>
        <w:rPr>
          <w:rFonts w:hint="eastAsia" w:ascii="宋体" w:hAnsi="宋体"/>
          <w:bCs/>
          <w:color w:val="auto"/>
          <w:sz w:val="24"/>
        </w:rPr>
        <w:t>。</w:t>
      </w:r>
    </w:p>
    <w:p w14:paraId="5C62F695">
      <w:pPr>
        <w:keepNext w:val="0"/>
        <w:keepLines w:val="0"/>
        <w:pageBreakBefore w:val="0"/>
        <w:kinsoku/>
        <w:wordWrap/>
        <w:overflowPunct/>
        <w:topLinePunct w:val="0"/>
        <w:autoSpaceDE/>
        <w:autoSpaceDN/>
        <w:bidi w:val="0"/>
        <w:adjustRightInd/>
        <w:snapToGrid w:val="0"/>
        <w:spacing w:line="360" w:lineRule="auto"/>
        <w:ind w:firstLine="480"/>
        <w:textAlignment w:val="auto"/>
        <w:rPr>
          <w:rFonts w:ascii="宋体" w:hAnsi="宋体"/>
          <w:color w:val="auto"/>
          <w:sz w:val="24"/>
        </w:rPr>
      </w:pPr>
      <w:r>
        <w:rPr>
          <w:rFonts w:hint="eastAsia" w:ascii="宋体" w:hAnsi="宋体"/>
          <w:color w:val="auto"/>
          <w:sz w:val="24"/>
        </w:rPr>
        <w:t>十二、</w:t>
      </w: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rPr>
        <w:t>（适用于单标段</w:t>
      </w:r>
      <w:r>
        <w:rPr>
          <w:rFonts w:hint="eastAsia" w:ascii="宋体" w:hAnsi="宋体"/>
          <w:color w:val="auto"/>
          <w:sz w:val="24"/>
          <w:lang w:eastAsia="zh-CN"/>
        </w:rPr>
        <w:t>招标</w:t>
      </w:r>
      <w:r>
        <w:rPr>
          <w:rFonts w:hint="eastAsia" w:ascii="宋体" w:hAnsi="宋体"/>
          <w:color w:val="auto"/>
          <w:sz w:val="24"/>
        </w:rPr>
        <w:t>项目）递交投标文件的投标人</w:t>
      </w:r>
      <w:r>
        <w:rPr>
          <w:rFonts w:hint="eastAsia" w:ascii="宋体" w:hAnsi="宋体"/>
          <w:color w:val="auto"/>
          <w:sz w:val="24"/>
          <w:lang w:eastAsia="zh-CN"/>
        </w:rPr>
        <w:t>不足</w:t>
      </w:r>
      <w:r>
        <w:rPr>
          <w:rFonts w:hint="eastAsia" w:ascii="宋体" w:hAnsi="宋体"/>
          <w:color w:val="auto"/>
          <w:sz w:val="24"/>
          <w:lang w:val="en-US" w:eastAsia="zh-CN"/>
        </w:rPr>
        <w:t>3名，或</w:t>
      </w:r>
      <w:r>
        <w:rPr>
          <w:rFonts w:hint="eastAsia" w:ascii="宋体" w:hAnsi="宋体"/>
          <w:color w:val="auto"/>
          <w:sz w:val="24"/>
        </w:rPr>
        <w:t>满足资格审查合格条件的投标人不足 3 名</w:t>
      </w:r>
      <w:r>
        <w:rPr>
          <w:rFonts w:hint="eastAsia" w:ascii="宋体" w:hAnsi="宋体"/>
          <w:color w:val="auto"/>
          <w:sz w:val="24"/>
          <w:lang w:eastAsia="zh-CN"/>
        </w:rPr>
        <w:t>，</w:t>
      </w:r>
      <w:r>
        <w:rPr>
          <w:rFonts w:hint="eastAsia" w:ascii="宋体" w:hAnsi="宋体"/>
          <w:color w:val="auto"/>
          <w:sz w:val="24"/>
        </w:rPr>
        <w:t>或通过有效性审查的投标人不足3名时为招标失败。</w:t>
      </w:r>
    </w:p>
    <w:p w14:paraId="002688B1">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rPr>
      </w:pPr>
      <w:r>
        <w:rPr>
          <w:rFonts w:hint="eastAsia" w:ascii="宋体" w:hAnsi="宋体"/>
          <w:color w:val="auto"/>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6D85136C">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color w:val="auto"/>
          <w:sz w:val="24"/>
        </w:rPr>
      </w:pPr>
      <w:r>
        <w:rPr>
          <w:rFonts w:hint="eastAsia" w:ascii="宋体" w:hAnsi="宋体"/>
          <w:color w:val="auto"/>
          <w:sz w:val="24"/>
        </w:rPr>
        <w:t>十四、投标文件全部采用电子文档，投标人按招标文件要求提交投标文件。</w:t>
      </w:r>
    </w:p>
    <w:p w14:paraId="74C391F3">
      <w:pPr>
        <w:keepNext w:val="0"/>
        <w:keepLines w:val="0"/>
        <w:pageBreakBefore w:val="0"/>
        <w:kinsoku/>
        <w:wordWrap/>
        <w:overflowPunct/>
        <w:topLinePunct w:val="0"/>
        <w:autoSpaceDE/>
        <w:autoSpaceDN/>
        <w:bidi w:val="0"/>
        <w:adjustRightInd/>
        <w:spacing w:line="360" w:lineRule="auto"/>
        <w:ind w:left="239" w:leftChars="114" w:firstLine="297" w:firstLineChars="124"/>
        <w:textAlignment w:val="auto"/>
        <w:rPr>
          <w:rFonts w:ascii="宋体" w:hAnsi="宋体"/>
          <w:color w:val="auto"/>
          <w:sz w:val="24"/>
        </w:rPr>
      </w:pPr>
      <w:r>
        <w:rPr>
          <w:rFonts w:hint="eastAsia" w:ascii="宋体" w:hAnsi="宋体"/>
          <w:color w:val="auto"/>
          <w:sz w:val="24"/>
        </w:rPr>
        <w:t>十五、潜在投标人或利害关系人对本招标公告及招标文件有异议的，应当在投标截止时间10日前向招标人书面提出。</w:t>
      </w:r>
    </w:p>
    <w:p w14:paraId="7E4B1403">
      <w:pPr>
        <w:snapToGrid w:val="0"/>
        <w:spacing w:line="360" w:lineRule="auto"/>
        <w:ind w:left="479" w:leftChars="228"/>
        <w:rPr>
          <w:rFonts w:hint="eastAsia" w:ascii="宋体" w:hAnsi="宋体" w:cs="宋体"/>
          <w:color w:val="auto"/>
          <w:sz w:val="24"/>
        </w:rPr>
      </w:pPr>
      <w:r>
        <w:rPr>
          <w:rFonts w:hint="eastAsia" w:ascii="宋体" w:hAnsi="宋体" w:cs="宋体"/>
          <w:color w:val="auto"/>
          <w:sz w:val="24"/>
        </w:rPr>
        <w:t>异议受理部门：</w:t>
      </w:r>
      <w:r>
        <w:rPr>
          <w:rFonts w:hint="eastAsia" w:ascii="宋体" w:hAnsi="宋体"/>
          <w:color w:val="auto"/>
          <w:sz w:val="24"/>
          <w:szCs w:val="24"/>
          <w:u w:val="single"/>
          <w:lang w:eastAsia="zh-CN"/>
        </w:rPr>
        <w:t>广州市增城区人民政府朱村街道办事处</w:t>
      </w:r>
      <w:r>
        <w:rPr>
          <w:rFonts w:hint="eastAsia" w:ascii="宋体" w:hAnsi="宋体" w:cs="宋体"/>
          <w:color w:val="auto"/>
          <w:sz w:val="24"/>
        </w:rPr>
        <w:t xml:space="preserve">  </w:t>
      </w:r>
    </w:p>
    <w:p w14:paraId="655A0565">
      <w:pPr>
        <w:snapToGrid w:val="0"/>
        <w:spacing w:line="360" w:lineRule="auto"/>
        <w:ind w:firstLine="480" w:firstLineChars="200"/>
        <w:rPr>
          <w:rFonts w:hint="eastAsia" w:ascii="宋体" w:hAnsi="宋体" w:cs="宋体"/>
          <w:color w:val="auto"/>
          <w:sz w:val="24"/>
          <w:u w:val="single"/>
          <w:lang w:val="en-US" w:eastAsia="zh-CN"/>
        </w:rPr>
      </w:pPr>
      <w:r>
        <w:rPr>
          <w:rFonts w:hint="eastAsia" w:ascii="宋体" w:hAnsi="宋体"/>
          <w:color w:val="auto"/>
          <w:sz w:val="24"/>
        </w:rPr>
        <w:t>异议受理电话：</w:t>
      </w:r>
      <w:r>
        <w:rPr>
          <w:rFonts w:hint="eastAsia" w:ascii="宋体" w:hAnsi="宋体" w:cs="宋体"/>
          <w:color w:val="auto"/>
          <w:sz w:val="24"/>
          <w:u w:val="single"/>
          <w:lang w:eastAsia="zh-CN"/>
        </w:rPr>
        <w:t>020-</w:t>
      </w:r>
      <w:r>
        <w:rPr>
          <w:rFonts w:hint="eastAsia" w:ascii="宋体" w:hAnsi="宋体" w:cs="宋体"/>
          <w:color w:val="auto"/>
          <w:sz w:val="24"/>
          <w:u w:val="single"/>
          <w:lang w:val="en-US" w:eastAsia="zh-CN"/>
        </w:rPr>
        <w:t>82855488</w:t>
      </w:r>
    </w:p>
    <w:p w14:paraId="5E0A9251">
      <w:pPr>
        <w:snapToGrid w:val="0"/>
        <w:spacing w:line="360" w:lineRule="auto"/>
        <w:ind w:firstLine="480" w:firstLineChars="200"/>
        <w:rPr>
          <w:rFonts w:hint="eastAsia" w:ascii="宋体" w:hAnsi="宋体" w:cs="宋体"/>
          <w:color w:val="auto"/>
          <w:sz w:val="24"/>
          <w:highlight w:val="none"/>
          <w:u w:val="single"/>
          <w:lang w:val="en-US" w:eastAsia="zh-CN"/>
        </w:rPr>
      </w:pPr>
      <w:r>
        <w:rPr>
          <w:rFonts w:hint="eastAsia" w:ascii="宋体" w:hAnsi="宋体"/>
          <w:color w:val="auto"/>
          <w:sz w:val="24"/>
        </w:rPr>
        <w:t>地</w:t>
      </w:r>
      <w:r>
        <w:rPr>
          <w:rFonts w:ascii="宋体" w:hAnsi="宋体"/>
          <w:color w:val="auto"/>
          <w:sz w:val="24"/>
        </w:rPr>
        <w:t xml:space="preserve">        </w:t>
      </w:r>
      <w:r>
        <w:rPr>
          <w:rFonts w:hint="eastAsia" w:ascii="宋体" w:hAnsi="宋体"/>
          <w:color w:val="auto"/>
          <w:sz w:val="24"/>
        </w:rPr>
        <w:t>址：</w:t>
      </w:r>
      <w:r>
        <w:rPr>
          <w:rFonts w:hint="eastAsia" w:ascii="宋体" w:hAnsi="宋体" w:cs="宋体"/>
          <w:color w:val="auto"/>
          <w:sz w:val="24"/>
          <w:highlight w:val="none"/>
          <w:u w:val="single"/>
          <w:lang w:val="en-US" w:eastAsia="zh-CN"/>
        </w:rPr>
        <w:t>广州市增城区朱村大道中288号</w:t>
      </w:r>
    </w:p>
    <w:p w14:paraId="387B0A80">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color w:val="auto"/>
          <w:sz w:val="24"/>
        </w:rPr>
      </w:pPr>
      <w:r>
        <w:rPr>
          <w:rFonts w:hint="eastAsia" w:ascii="宋体" w:hAnsi="宋体"/>
          <w:color w:val="auto"/>
          <w:sz w:val="24"/>
        </w:rPr>
        <w:t>注：潜在投标人或利害关系人</w:t>
      </w:r>
      <w:r>
        <w:rPr>
          <w:rFonts w:hint="eastAsia" w:ascii="宋体" w:hAnsi="宋体"/>
          <w:color w:val="auto"/>
          <w:sz w:val="24"/>
          <w:lang w:eastAsia="zh-CN"/>
        </w:rPr>
        <w:t>对本招标公告及招标文件有异议的，应当在招标投标相关法律法规规定的时间内（投标截止时间</w:t>
      </w:r>
      <w:r>
        <w:rPr>
          <w:rFonts w:hint="eastAsia" w:ascii="宋体" w:hAnsi="宋体"/>
          <w:color w:val="auto"/>
          <w:sz w:val="24"/>
          <w:u w:val="single"/>
          <w:lang w:val="en-US" w:eastAsia="zh-CN"/>
        </w:rPr>
        <w:t>10</w:t>
      </w:r>
      <w:r>
        <w:rPr>
          <w:rFonts w:hint="eastAsia" w:ascii="宋体" w:hAnsi="宋体"/>
          <w:color w:val="auto"/>
          <w:sz w:val="24"/>
          <w:lang w:eastAsia="zh-CN"/>
        </w:rPr>
        <w:t>日前）</w:t>
      </w:r>
      <w:r>
        <w:rPr>
          <w:rFonts w:hint="eastAsia" w:ascii="宋体" w:hAnsi="宋体"/>
          <w:color w:val="auto"/>
          <w:sz w:val="24"/>
        </w:rPr>
        <w:t>通过</w:t>
      </w:r>
      <w:r>
        <w:rPr>
          <w:rFonts w:hint="eastAsia" w:ascii="宋体" w:hAnsi="宋体"/>
          <w:color w:val="auto"/>
          <w:sz w:val="24"/>
          <w:lang w:eastAsia="zh-CN"/>
        </w:rPr>
        <w:t>电子交易系统向招标人</w:t>
      </w:r>
      <w:r>
        <w:rPr>
          <w:rFonts w:hint="eastAsia" w:ascii="宋体" w:hAnsi="宋体"/>
          <w:color w:val="auto"/>
          <w:sz w:val="24"/>
        </w:rPr>
        <w:t>提出异议</w:t>
      </w:r>
      <w:r>
        <w:rPr>
          <w:rFonts w:hint="eastAsia" w:ascii="宋体" w:hAnsi="宋体"/>
          <w:color w:val="auto"/>
          <w:sz w:val="24"/>
          <w:lang w:eastAsia="zh-CN"/>
        </w:rPr>
        <w:t>，</w:t>
      </w:r>
      <w:r>
        <w:rPr>
          <w:rFonts w:hint="eastAsia" w:ascii="宋体" w:hAnsi="宋体"/>
          <w:color w:val="auto"/>
          <w:sz w:val="24"/>
        </w:rPr>
        <w:t>具体按照</w:t>
      </w:r>
      <w:r>
        <w:rPr>
          <w:rFonts w:hint="eastAsia" w:ascii="宋体" w:hAnsi="宋体"/>
          <w:color w:val="auto"/>
          <w:sz w:val="24"/>
          <w:lang w:eastAsia="zh-CN"/>
        </w:rPr>
        <w:t>电子招标投标</w:t>
      </w:r>
      <w:r>
        <w:rPr>
          <w:rFonts w:hint="eastAsia" w:ascii="宋体" w:hAnsi="宋体"/>
          <w:color w:val="auto"/>
          <w:sz w:val="24"/>
        </w:rPr>
        <w:t>交易平台相关指南进行操作。</w:t>
      </w:r>
      <w:r>
        <w:rPr>
          <w:rFonts w:hint="eastAsia" w:ascii="宋体" w:hAnsi="宋体"/>
          <w:color w:val="auto"/>
          <w:sz w:val="24"/>
          <w:lang w:eastAsia="zh-CN"/>
        </w:rPr>
        <w:t>尚未登记注册的，可</w:t>
      </w:r>
      <w:r>
        <w:rPr>
          <w:rFonts w:hint="eastAsia" w:ascii="宋体" w:hAnsi="宋体"/>
          <w:color w:val="auto"/>
          <w:sz w:val="24"/>
          <w:lang w:val="en-US" w:eastAsia="zh-CN"/>
        </w:rPr>
        <w:t>书面</w:t>
      </w:r>
      <w:r>
        <w:rPr>
          <w:rFonts w:hint="eastAsia" w:ascii="宋体" w:hAnsi="宋体"/>
          <w:color w:val="auto"/>
          <w:sz w:val="24"/>
          <w:lang w:eastAsia="zh-CN"/>
        </w:rPr>
        <w:t>向招标人</w:t>
      </w:r>
      <w:r>
        <w:rPr>
          <w:rFonts w:hint="eastAsia" w:ascii="宋体" w:hAnsi="宋体"/>
          <w:color w:val="auto"/>
          <w:sz w:val="24"/>
        </w:rPr>
        <w:t>提出</w:t>
      </w:r>
      <w:r>
        <w:rPr>
          <w:rFonts w:hint="eastAsia" w:ascii="宋体" w:hAnsi="宋体"/>
          <w:color w:val="auto"/>
          <w:sz w:val="24"/>
          <w:lang w:eastAsia="zh-CN"/>
        </w:rPr>
        <w:t>。</w:t>
      </w:r>
      <w:r>
        <w:rPr>
          <w:rFonts w:hint="eastAsia" w:ascii="宋体" w:hAnsi="宋体"/>
          <w:color w:val="auto"/>
          <w:sz w:val="24"/>
        </w:rPr>
        <w:t>招标人</w:t>
      </w:r>
      <w:r>
        <w:rPr>
          <w:rFonts w:hint="eastAsia" w:ascii="宋体" w:hAnsi="宋体"/>
          <w:color w:val="auto"/>
          <w:sz w:val="24"/>
          <w:lang w:eastAsia="zh-CN"/>
        </w:rPr>
        <w:t>应当在规定的异议答复期限内作出答复；</w:t>
      </w:r>
      <w:r>
        <w:rPr>
          <w:rFonts w:hint="eastAsia" w:ascii="宋体" w:hAnsi="宋体"/>
          <w:color w:val="auto"/>
          <w:sz w:val="24"/>
        </w:rPr>
        <w:t>作出答复前，应当暂停招标投标活动。</w:t>
      </w:r>
      <w:r>
        <w:rPr>
          <w:rFonts w:hint="eastAsia" w:ascii="宋体" w:hAnsi="宋体"/>
          <w:color w:val="auto"/>
          <w:sz w:val="24"/>
          <w:lang w:eastAsia="zh-CN"/>
        </w:rPr>
        <w:t>招标人依法作出答复、发布招标文件澄清或者修改文件的，应当通过电子交易系统进行。</w:t>
      </w:r>
      <w:r>
        <w:rPr>
          <w:rFonts w:hint="eastAsia" w:ascii="宋体" w:hAnsi="宋体"/>
          <w:color w:val="auto"/>
          <w:sz w:val="24"/>
        </w:rPr>
        <w:t>作出答复前，应当暂停招标投标活动。</w:t>
      </w:r>
    </w:p>
    <w:p w14:paraId="0B9368BC">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hAnsi="宋体"/>
          <w:color w:val="auto"/>
          <w:sz w:val="24"/>
        </w:rPr>
      </w:pPr>
      <w:r>
        <w:rPr>
          <w:rFonts w:hint="eastAsia" w:ascii="宋体" w:hAnsi="宋体"/>
          <w:color w:val="auto"/>
          <w:sz w:val="24"/>
        </w:rPr>
        <w:t>十六、本公告在</w:t>
      </w:r>
      <w:r>
        <w:rPr>
          <w:rFonts w:hint="eastAsia" w:ascii="宋体" w:hAnsi="宋体" w:cs="宋体"/>
          <w:color w:val="auto"/>
          <w:kern w:val="0"/>
          <w:sz w:val="24"/>
          <w:szCs w:val="24"/>
          <w:highlight w:val="none"/>
          <w:u w:val="single"/>
          <w:lang w:eastAsia="zh-CN"/>
        </w:rPr>
        <w:t>广州交易集团有限公司（广州公共资源交易中心）</w:t>
      </w:r>
      <w:r>
        <w:rPr>
          <w:rFonts w:hint="eastAsia" w:ascii="宋体" w:hAnsi="宋体" w:cs="宋体"/>
          <w:color w:val="auto"/>
          <w:sz w:val="24"/>
          <w:u w:val="single"/>
        </w:rPr>
        <w:t>网</w:t>
      </w:r>
      <w:r>
        <w:rPr>
          <w:rFonts w:hint="eastAsia" w:ascii="宋体" w:hAnsi="宋体" w:cs="宋体"/>
          <w:color w:val="auto"/>
          <w:sz w:val="24"/>
          <w:u w:val="single"/>
          <w:lang w:val="en-US" w:eastAsia="zh-CN"/>
        </w:rPr>
        <w:t>站</w:t>
      </w:r>
      <w:r>
        <w:rPr>
          <w:rFonts w:hint="eastAsia" w:ascii="宋体" w:hAnsi="宋体"/>
          <w:color w:val="auto"/>
          <w:sz w:val="24"/>
        </w:rPr>
        <w:t>（网址：</w:t>
      </w:r>
      <w:r>
        <w:rPr>
          <w:rFonts w:hint="eastAsia" w:ascii="宋体" w:hAnsi="宋体" w:cs="宋体"/>
          <w:color w:val="auto"/>
          <w:sz w:val="24"/>
        </w:rPr>
        <w:t>https://zbtb.gd.gov.cn/</w:t>
      </w:r>
      <w:r>
        <w:rPr>
          <w:rFonts w:hint="eastAsia" w:ascii="宋体" w:hAnsi="宋体"/>
          <w:color w:val="auto"/>
          <w:sz w:val="24"/>
        </w:rPr>
        <w:t>）、广东省招标投标监管网（网址：https://zbtb.gd.gov.cn/）和中国招标投标公共服务平台（网址：http://www.cebpubservice.com/）</w:t>
      </w:r>
      <w:r>
        <w:rPr>
          <w:rFonts w:hint="eastAsia" w:ascii="宋体" w:hAnsi="宋体" w:cs="宋体"/>
          <w:color w:val="auto"/>
          <w:sz w:val="24"/>
          <w:u w:val="single"/>
        </w:rPr>
        <w:t>和广州市增城区人民政府门户网站（http://www.zc.gov.cn/）的“</w:t>
      </w:r>
      <w:r>
        <w:rPr>
          <w:rFonts w:hint="eastAsia" w:ascii="宋体" w:hAnsi="宋体" w:cs="宋体"/>
          <w:color w:val="auto"/>
          <w:sz w:val="24"/>
          <w:szCs w:val="24"/>
          <w:u w:val="single"/>
          <w:lang w:bidi="ar"/>
        </w:rPr>
        <w:t>首页&gt;公开&gt;公共资源配置领域&gt;工程建设项目招投标”栏目</w:t>
      </w:r>
      <w:r>
        <w:rPr>
          <w:rFonts w:hint="eastAsia" w:ascii="宋体" w:hAnsi="宋体"/>
          <w:color w:val="auto"/>
          <w:sz w:val="24"/>
        </w:rPr>
        <w:t>发布。招标公告、公示信息的发布时间和内容，以在广东省招标投标监管网发布的为准。</w:t>
      </w:r>
    </w:p>
    <w:p w14:paraId="7BE2EE6F">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hAnsi="宋体"/>
          <w:color w:val="auto"/>
          <w:sz w:val="24"/>
        </w:rPr>
      </w:pPr>
      <w:r>
        <w:rPr>
          <w:rFonts w:hint="eastAsia" w:ascii="宋体" w:hAnsi="宋体"/>
          <w:color w:val="auto"/>
          <w:sz w:val="24"/>
        </w:rPr>
        <w:t>十七、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color w:val="auto"/>
          <w:sz w:val="24"/>
          <w:lang w:eastAsia="zh-CN"/>
        </w:rPr>
        <w:t>招标人如需发布补充公告的，以最后发布的补充公告时间起计算编制投标文件时间。</w:t>
      </w:r>
      <w:r>
        <w:rPr>
          <w:rFonts w:hint="eastAsia" w:ascii="宋体" w:hAnsi="宋体"/>
          <w:color w:val="auto"/>
          <w:sz w:val="24"/>
        </w:rPr>
        <w:t>招标人应综合考虑节假日因素，合理确定投标人编制投标文件所需要的时间，如遇春节、五一、十一等长假，建议招标人结合项目特点和实际需要适当延长备标期。</w:t>
      </w:r>
    </w:p>
    <w:p w14:paraId="1679FC18">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rPr>
      </w:pPr>
      <w:r>
        <w:rPr>
          <w:rFonts w:hint="eastAsia" w:ascii="宋体"/>
          <w:color w:val="auto"/>
          <w:sz w:val="24"/>
        </w:rPr>
        <w:t>十</w:t>
      </w:r>
      <w:r>
        <w:rPr>
          <w:rFonts w:hint="eastAsia" w:ascii="宋体"/>
          <w:color w:val="auto"/>
          <w:sz w:val="24"/>
          <w:lang w:eastAsia="zh-CN"/>
        </w:rPr>
        <w:t>八</w:t>
      </w:r>
      <w:r>
        <w:rPr>
          <w:rFonts w:hint="eastAsia" w:ascii="宋体"/>
          <w:color w:val="auto"/>
          <w:sz w:val="24"/>
        </w:rPr>
        <w:t>、《投诉处理决定书》和《行政处理决定书》在</w:t>
      </w:r>
      <w:r>
        <w:rPr>
          <w:rFonts w:hint="eastAsia" w:ascii="宋体" w:hAnsi="宋体"/>
          <w:color w:val="auto"/>
          <w:sz w:val="24"/>
        </w:rPr>
        <w:t>广州市</w:t>
      </w:r>
      <w:r>
        <w:rPr>
          <w:rFonts w:hint="eastAsia" w:ascii="宋体" w:hAnsi="宋体"/>
          <w:color w:val="auto"/>
          <w:sz w:val="24"/>
          <w:lang w:eastAsia="zh-CN"/>
        </w:rPr>
        <w:t>交通运输</w:t>
      </w:r>
      <w:r>
        <w:rPr>
          <w:rFonts w:hint="eastAsia" w:ascii="宋体" w:hAnsi="宋体"/>
          <w:color w:val="auto"/>
          <w:sz w:val="24"/>
        </w:rPr>
        <w:t>局</w:t>
      </w:r>
      <w:r>
        <w:rPr>
          <w:rFonts w:hint="eastAsia" w:ascii="宋体"/>
          <w:color w:val="auto"/>
          <w:sz w:val="24"/>
        </w:rPr>
        <w:t>网站网站上公布的，视为送达其他与决定书有关的当事人。</w:t>
      </w:r>
    </w:p>
    <w:p w14:paraId="0557565A">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rPr>
      </w:pPr>
      <w:r>
        <w:rPr>
          <w:rFonts w:hint="eastAsia" w:ascii="宋体"/>
          <w:color w:val="auto"/>
          <w:sz w:val="24"/>
        </w:rPr>
        <w:t>十</w:t>
      </w:r>
      <w:r>
        <w:rPr>
          <w:rFonts w:hint="eastAsia" w:ascii="宋体"/>
          <w:color w:val="auto"/>
          <w:sz w:val="24"/>
          <w:lang w:eastAsia="zh-CN"/>
        </w:rPr>
        <w:t>九</w:t>
      </w:r>
      <w:r>
        <w:rPr>
          <w:rFonts w:hint="eastAsia" w:ascii="宋体"/>
          <w:color w:val="auto"/>
          <w:sz w:val="24"/>
        </w:rPr>
        <w:t>、</w:t>
      </w:r>
      <w:r>
        <w:rPr>
          <w:rFonts w:hint="eastAsia" w:ascii="宋体"/>
          <w:color w:val="auto"/>
          <w:sz w:val="24"/>
          <w:lang w:eastAsia="zh-CN"/>
        </w:rPr>
        <w:t>（选择性条款）</w:t>
      </w:r>
      <w:r>
        <w:rPr>
          <w:rFonts w:hint="eastAsia" w:ascii="宋体"/>
          <w:color w:val="auto"/>
          <w:sz w:val="24"/>
        </w:rPr>
        <w:t>投标人在本项目招标人的工程项目中存在下列行为的，将被拒绝一定时期内参与招标人后续工程投标。（注：拒绝投标时限由招标人视严重程度确定，最低三个月起，自招标人发出通知之日起计）</w:t>
      </w:r>
    </w:p>
    <w:p w14:paraId="68A70767">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rPr>
      </w:pPr>
      <w:r>
        <w:rPr>
          <w:rFonts w:hint="eastAsia" w:ascii="宋体"/>
          <w:color w:val="auto"/>
          <w:sz w:val="24"/>
        </w:rPr>
        <w:t>1.将中标工程转包或者违法分包的;</w:t>
      </w:r>
    </w:p>
    <w:p w14:paraId="6C35482B">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rPr>
      </w:pPr>
      <w:r>
        <w:rPr>
          <w:rFonts w:hint="eastAsia" w:ascii="宋体"/>
          <w:color w:val="auto"/>
          <w:sz w:val="24"/>
        </w:rPr>
        <w:t>2.在中标工程中不执行质量、安全生产相关规定的，造成质量或安全事故的；</w:t>
      </w:r>
    </w:p>
    <w:p w14:paraId="6C5D3402">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rPr>
      </w:pPr>
      <w:r>
        <w:rPr>
          <w:rFonts w:hint="eastAsia" w:ascii="宋体"/>
          <w:color w:val="auto"/>
          <w:sz w:val="24"/>
        </w:rPr>
        <w:t>3.出让投标资格的；</w:t>
      </w:r>
    </w:p>
    <w:p w14:paraId="34DB2AE4">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eastAsia="宋体"/>
          <w:color w:val="auto"/>
          <w:sz w:val="24"/>
          <w:lang w:eastAsia="zh-CN"/>
        </w:rPr>
      </w:pPr>
      <w:r>
        <w:rPr>
          <w:rFonts w:hint="eastAsia" w:ascii="宋体"/>
          <w:color w:val="auto"/>
          <w:sz w:val="24"/>
        </w:rPr>
        <w:t>4.</w:t>
      </w:r>
      <w:r>
        <w:rPr>
          <w:rFonts w:hint="eastAsia" w:ascii="宋体"/>
          <w:color w:val="auto"/>
          <w:sz w:val="24"/>
          <w:u w:val="none"/>
        </w:rPr>
        <w:t>存在围标</w:t>
      </w:r>
      <w:r>
        <w:rPr>
          <w:rFonts w:hint="eastAsia" w:ascii="宋体"/>
          <w:color w:val="auto"/>
          <w:sz w:val="24"/>
          <w:u w:val="none"/>
          <w:lang w:eastAsia="zh-CN"/>
        </w:rPr>
        <w:t>、</w:t>
      </w:r>
      <w:r>
        <w:rPr>
          <w:rFonts w:hint="eastAsia" w:ascii="宋体"/>
          <w:color w:val="auto"/>
          <w:sz w:val="24"/>
          <w:u w:val="none"/>
        </w:rPr>
        <w:t>串标情形的</w:t>
      </w:r>
      <w:r>
        <w:rPr>
          <w:rFonts w:hint="eastAsia" w:ascii="宋体"/>
          <w:color w:val="auto"/>
          <w:sz w:val="24"/>
          <w:u w:val="none"/>
          <w:lang w:eastAsia="zh-CN"/>
        </w:rPr>
        <w:t>；</w:t>
      </w:r>
    </w:p>
    <w:p w14:paraId="63233D92">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rPr>
      </w:pPr>
      <w:r>
        <w:rPr>
          <w:rFonts w:hint="eastAsia" w:ascii="宋体"/>
          <w:color w:val="auto"/>
          <w:sz w:val="24"/>
        </w:rPr>
        <w:t>5.在投标文件中提供虚假材料的；</w:t>
      </w:r>
    </w:p>
    <w:p w14:paraId="6444844E">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rPr>
      </w:pPr>
      <w:r>
        <w:rPr>
          <w:rFonts w:hint="eastAsia" w:ascii="宋体"/>
          <w:color w:val="auto"/>
          <w:sz w:val="24"/>
        </w:rPr>
        <w:t>6.存在少放、不放业绩、奖项等客观评审资料，减少自身竞争力情形的；</w:t>
      </w:r>
    </w:p>
    <w:p w14:paraId="65A01234">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rPr>
      </w:pPr>
      <w:r>
        <w:rPr>
          <w:rFonts w:hint="eastAsia" w:ascii="宋体"/>
          <w:color w:val="auto"/>
          <w:sz w:val="24"/>
        </w:rPr>
        <w:t>7.存在行贿情形的;</w:t>
      </w:r>
    </w:p>
    <w:p w14:paraId="22D71615">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rPr>
      </w:pPr>
      <w:r>
        <w:rPr>
          <w:rFonts w:hint="eastAsia" w:ascii="宋体"/>
          <w:color w:val="auto"/>
          <w:sz w:val="24"/>
        </w:rPr>
        <w:t>8.拖欠农民工工资的；</w:t>
      </w:r>
    </w:p>
    <w:p w14:paraId="331D3C51">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rPr>
      </w:pPr>
      <w:r>
        <w:rPr>
          <w:rFonts w:hint="eastAsia" w:ascii="宋体"/>
          <w:color w:val="auto"/>
          <w:sz w:val="24"/>
        </w:rPr>
        <w:t>9.未按照国家、省、市有关建筑施工实名制管理和工人工资支付分账管理的规定执行，被行政监管部门处罚的；</w:t>
      </w:r>
    </w:p>
    <w:p w14:paraId="05FD34FC">
      <w:pPr>
        <w:keepNext w:val="0"/>
        <w:keepLines w:val="0"/>
        <w:pageBreakBefore w:val="0"/>
        <w:kinsoku/>
        <w:wordWrap/>
        <w:overflowPunct/>
        <w:topLinePunct w:val="0"/>
        <w:autoSpaceDE/>
        <w:autoSpaceDN/>
        <w:bidi w:val="0"/>
        <w:adjustRightInd/>
        <w:spacing w:line="360" w:lineRule="auto"/>
        <w:ind w:firstLine="537" w:firstLineChars="224"/>
        <w:textAlignment w:val="auto"/>
        <w:rPr>
          <w:rFonts w:hint="eastAsia" w:ascii="宋体"/>
          <w:color w:val="auto"/>
          <w:sz w:val="24"/>
        </w:rPr>
      </w:pPr>
      <w:r>
        <w:rPr>
          <w:rFonts w:hint="eastAsia" w:ascii="宋体"/>
          <w:color w:val="auto"/>
          <w:sz w:val="24"/>
        </w:rPr>
        <w:t>10.中标人在项目实施过程中选取的专业分包单位或劳务企业或劳务班组长与投标时不一致的（如有）；</w:t>
      </w:r>
    </w:p>
    <w:p w14:paraId="3F559663">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rPr>
      </w:pPr>
      <w:r>
        <w:rPr>
          <w:rFonts w:hint="eastAsia" w:ascii="宋体"/>
          <w:color w:val="auto"/>
          <w:sz w:val="24"/>
        </w:rPr>
        <w:t>11.其他(由招标人依法添加)：</w:t>
      </w:r>
      <w:r>
        <w:rPr>
          <w:rFonts w:hint="eastAsia" w:ascii="宋体"/>
          <w:color w:val="auto"/>
          <w:sz w:val="24"/>
          <w:u w:val="single"/>
        </w:rPr>
        <w:t>无</w:t>
      </w:r>
      <w:r>
        <w:rPr>
          <w:rFonts w:hint="eastAsia" w:ascii="宋体"/>
          <w:color w:val="auto"/>
          <w:sz w:val="24"/>
        </w:rPr>
        <w:t>。</w:t>
      </w:r>
    </w:p>
    <w:p w14:paraId="6A17A781">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rPr>
      </w:pPr>
    </w:p>
    <w:p w14:paraId="44AD0396">
      <w:pPr>
        <w:spacing w:line="360" w:lineRule="auto"/>
        <w:jc w:val="right"/>
        <w:rPr>
          <w:rFonts w:hint="eastAsia" w:ascii="宋体" w:hAnsi="宋体" w:eastAsia="宋体" w:cs="宋体"/>
          <w:color w:val="auto"/>
          <w:sz w:val="24"/>
          <w:lang w:eastAsia="zh-CN"/>
        </w:rPr>
      </w:pPr>
      <w:r>
        <w:rPr>
          <w:rFonts w:hint="eastAsia" w:ascii="宋体" w:hAnsi="宋体" w:cs="宋体"/>
          <w:color w:val="auto"/>
          <w:sz w:val="24"/>
        </w:rPr>
        <w:t>招标单位：</w:t>
      </w:r>
      <w:r>
        <w:rPr>
          <w:rFonts w:hint="eastAsia" w:ascii="宋体" w:hAnsi="宋体" w:cs="宋体"/>
          <w:color w:val="auto"/>
          <w:sz w:val="24"/>
          <w:lang w:eastAsia="zh-CN"/>
        </w:rPr>
        <w:t>广州市增城区人民政府朱村街道办事处</w:t>
      </w:r>
    </w:p>
    <w:p w14:paraId="01954B15">
      <w:pPr>
        <w:spacing w:line="360" w:lineRule="auto"/>
        <w:jc w:val="right"/>
        <w:rPr>
          <w:rFonts w:hint="eastAsia" w:ascii="宋体" w:hAnsi="宋体" w:cs="宋体"/>
          <w:color w:val="auto"/>
          <w:sz w:val="24"/>
        </w:rPr>
      </w:pPr>
      <w:r>
        <w:rPr>
          <w:rFonts w:hint="eastAsia" w:ascii="宋体" w:hAnsi="宋体" w:cs="宋体"/>
          <w:color w:val="auto"/>
          <w:sz w:val="24"/>
        </w:rPr>
        <w:t>招标代理机构：</w:t>
      </w:r>
      <w:r>
        <w:rPr>
          <w:rFonts w:hint="eastAsia" w:ascii="宋体" w:hAnsi="宋体" w:cs="宋体"/>
          <w:color w:val="auto"/>
          <w:sz w:val="24"/>
          <w:lang w:eastAsia="zh-CN"/>
        </w:rPr>
        <w:t>广东信拓工程咨询有限公司</w:t>
      </w:r>
      <w:r>
        <w:rPr>
          <w:rFonts w:hint="eastAsia" w:ascii="宋体" w:hAnsi="宋体" w:cs="宋体"/>
          <w:color w:val="0000FF"/>
          <w:sz w:val="24"/>
        </w:rPr>
        <w:t xml:space="preserve"> </w:t>
      </w:r>
    </w:p>
    <w:p w14:paraId="42DB489D">
      <w:pPr>
        <w:spacing w:line="360" w:lineRule="auto"/>
        <w:ind w:firstLine="4860" w:firstLineChars="2025"/>
        <w:jc w:val="right"/>
        <w:rPr>
          <w:rFonts w:hint="eastAsia" w:ascii="宋体" w:hAnsi="宋体" w:cs="宋体"/>
          <w:color w:val="auto"/>
          <w:sz w:val="24"/>
        </w:rPr>
      </w:pP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rPr>
        <w:t>年</w:t>
      </w:r>
      <w:r>
        <w:rPr>
          <w:rFonts w:hint="eastAsia" w:ascii="宋体" w:hAnsi="宋体" w:cs="宋体"/>
          <w:color w:val="auto"/>
          <w:sz w:val="24"/>
          <w:u w:val="single"/>
          <w:lang w:val="en-US" w:eastAsia="zh-CN" w:bidi="ar"/>
        </w:rPr>
        <w:t xml:space="preserve">  </w:t>
      </w:r>
      <w:r>
        <w:rPr>
          <w:rFonts w:hint="eastAsia" w:ascii="宋体" w:hAnsi="宋体" w:cs="宋体"/>
          <w:color w:val="auto"/>
          <w:sz w:val="24"/>
        </w:rPr>
        <w:t>月</w:t>
      </w:r>
      <w:r>
        <w:rPr>
          <w:rFonts w:hint="eastAsia" w:ascii="宋体" w:hAnsi="宋体" w:cs="宋体"/>
          <w:color w:val="auto"/>
          <w:sz w:val="24"/>
          <w:u w:val="single"/>
          <w:lang w:val="en-US" w:eastAsia="zh-CN" w:bidi="ar"/>
        </w:rPr>
        <w:t xml:space="preserve">  </w:t>
      </w:r>
      <w:r>
        <w:rPr>
          <w:rFonts w:hint="eastAsia" w:ascii="宋体" w:hAnsi="宋体" w:cs="宋体"/>
          <w:color w:val="auto"/>
          <w:sz w:val="24"/>
        </w:rPr>
        <w:t>日</w:t>
      </w:r>
    </w:p>
    <w:p w14:paraId="02B8F741">
      <w:pPr>
        <w:keepNext w:val="0"/>
        <w:keepLines w:val="0"/>
        <w:pageBreakBefore w:val="0"/>
        <w:kinsoku/>
        <w:wordWrap/>
        <w:overflowPunct/>
        <w:topLinePunct w:val="0"/>
        <w:autoSpaceDE/>
        <w:autoSpaceDN/>
        <w:bidi w:val="0"/>
        <w:adjustRightInd/>
        <w:spacing w:line="360" w:lineRule="auto"/>
        <w:ind w:firstLine="537" w:firstLineChars="224"/>
        <w:textAlignment w:val="auto"/>
        <w:rPr>
          <w:rFonts w:ascii="宋体"/>
          <w:color w:val="auto"/>
          <w:sz w:val="24"/>
        </w:rPr>
        <w:sectPr>
          <w:footerReference r:id="rId3" w:type="default"/>
          <w:endnotePr>
            <w:numFmt w:val="decimal"/>
          </w:endnotePr>
          <w:pgSz w:w="11906" w:h="16838"/>
          <w:pgMar w:top="1440" w:right="1134" w:bottom="1440" w:left="1134" w:header="851" w:footer="992" w:gutter="0"/>
          <w:pgNumType w:fmt="decimal" w:start="1"/>
          <w:cols w:space="425" w:num="1"/>
          <w:docGrid w:type="lines" w:linePitch="312" w:charSpace="0"/>
        </w:sectPr>
      </w:pPr>
    </w:p>
    <w:p w14:paraId="0211A6E9">
      <w:pPr>
        <w:spacing w:line="360" w:lineRule="auto"/>
        <w:rPr>
          <w:b/>
          <w:color w:val="auto"/>
          <w:sz w:val="44"/>
        </w:rPr>
      </w:pPr>
      <w:r>
        <w:rPr>
          <w:rFonts w:hint="eastAsia" w:ascii="宋体" w:hAnsi="宋体"/>
          <w:color w:val="auto"/>
          <w:sz w:val="24"/>
        </w:rPr>
        <w:t>附件一：</w:t>
      </w:r>
    </w:p>
    <w:p w14:paraId="3A42F311">
      <w:pPr>
        <w:spacing w:line="360" w:lineRule="auto"/>
        <w:rPr>
          <w:b/>
          <w:color w:val="auto"/>
          <w:sz w:val="44"/>
        </w:rPr>
      </w:pPr>
    </w:p>
    <w:p w14:paraId="08E5FBE0">
      <w:pPr>
        <w:jc w:val="center"/>
        <w:rPr>
          <w:b/>
          <w:color w:val="auto"/>
          <w:sz w:val="44"/>
          <w:szCs w:val="44"/>
        </w:rPr>
      </w:pPr>
      <w:r>
        <w:rPr>
          <w:rFonts w:hint="eastAsia"/>
          <w:b/>
          <w:color w:val="auto"/>
          <w:kern w:val="0"/>
          <w:sz w:val="44"/>
          <w:szCs w:val="44"/>
        </w:rPr>
        <w:t>投标人</w:t>
      </w:r>
      <w:r>
        <w:rPr>
          <w:rFonts w:hint="eastAsia"/>
          <w:b/>
          <w:color w:val="auto"/>
          <w:sz w:val="44"/>
          <w:szCs w:val="44"/>
        </w:rPr>
        <w:t>声明</w:t>
      </w:r>
      <w:r>
        <w:rPr>
          <w:rFonts w:hint="eastAsia"/>
          <w:b/>
          <w:color w:val="auto"/>
          <w:sz w:val="44"/>
          <w:szCs w:val="44"/>
          <w:lang w:eastAsia="zh-CN"/>
        </w:rPr>
        <w:t>（</w:t>
      </w:r>
      <w:r>
        <w:rPr>
          <w:rFonts w:hint="eastAsia"/>
          <w:b/>
          <w:color w:val="auto"/>
          <w:sz w:val="44"/>
          <w:szCs w:val="44"/>
          <w:lang w:val="en-US" w:eastAsia="zh-CN"/>
        </w:rPr>
        <w:t>一</w:t>
      </w:r>
      <w:r>
        <w:rPr>
          <w:rFonts w:hint="eastAsia"/>
          <w:b/>
          <w:color w:val="auto"/>
          <w:sz w:val="44"/>
          <w:szCs w:val="44"/>
          <w:lang w:eastAsia="zh-CN"/>
        </w:rPr>
        <w:t>）</w:t>
      </w:r>
    </w:p>
    <w:p w14:paraId="558138FE">
      <w:pPr>
        <w:jc w:val="center"/>
        <w:rPr>
          <w:b/>
          <w:color w:val="auto"/>
          <w:sz w:val="44"/>
          <w:szCs w:val="44"/>
        </w:rPr>
      </w:pPr>
    </w:p>
    <w:p w14:paraId="0BFD8DF3">
      <w:pPr>
        <w:pStyle w:val="97"/>
        <w:keepNext w:val="0"/>
        <w:keepLines w:val="0"/>
        <w:pageBreakBefore w:val="0"/>
        <w:kinsoku/>
        <w:wordWrap/>
        <w:overflowPunct/>
        <w:topLinePunct w:val="0"/>
        <w:autoSpaceDE/>
        <w:autoSpaceDN/>
        <w:bidi w:val="0"/>
        <w:adjustRightInd/>
        <w:spacing w:line="360" w:lineRule="auto"/>
        <w:ind w:firstLine="0"/>
        <w:textAlignment w:val="auto"/>
        <w:rPr>
          <w:rFonts w:ascii="宋体" w:hAnsi="宋体" w:eastAsia="宋体"/>
          <w:color w:val="auto"/>
          <w:sz w:val="24"/>
          <w:szCs w:val="24"/>
        </w:rPr>
      </w:pPr>
      <w:r>
        <w:rPr>
          <w:rFonts w:hint="eastAsia" w:ascii="宋体" w:hAnsi="宋体" w:eastAsia="宋体"/>
          <w:color w:val="auto"/>
          <w:sz w:val="24"/>
          <w:szCs w:val="24"/>
        </w:rPr>
        <w:t>本招标项目招标人及招标监管机构：</w:t>
      </w:r>
    </w:p>
    <w:p w14:paraId="32303B1C">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本公司就参加</w:t>
      </w:r>
      <w:r>
        <w:rPr>
          <w:rFonts w:ascii="宋体" w:hAnsi="宋体" w:eastAsia="宋体"/>
          <w:color w:val="auto"/>
          <w:sz w:val="24"/>
          <w:szCs w:val="24"/>
          <w:u w:val="single"/>
        </w:rPr>
        <w:t xml:space="preserve">                        </w:t>
      </w:r>
      <w:r>
        <w:rPr>
          <w:rFonts w:hint="eastAsia" w:ascii="宋体" w:hAnsi="宋体" w:eastAsia="宋体"/>
          <w:color w:val="auto"/>
          <w:sz w:val="24"/>
          <w:szCs w:val="24"/>
        </w:rPr>
        <w:t>投标工作，作出郑重声明：</w:t>
      </w:r>
    </w:p>
    <w:p w14:paraId="3261C159">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一、本公司保证投标文件及其后提供的一切材料都是真实</w:t>
      </w:r>
      <w:r>
        <w:rPr>
          <w:rFonts w:hint="eastAsia" w:ascii="宋体" w:hAnsi="宋体" w:eastAsia="宋体"/>
          <w:color w:val="auto"/>
          <w:sz w:val="24"/>
          <w:szCs w:val="24"/>
          <w:lang w:eastAsia="zh-CN"/>
        </w:rPr>
        <w:t>的</w:t>
      </w:r>
      <w:r>
        <w:rPr>
          <w:rFonts w:hint="eastAsia" w:ascii="宋体" w:hAnsi="宋体" w:eastAsia="宋体"/>
          <w:color w:val="auto"/>
          <w:sz w:val="24"/>
          <w:szCs w:val="24"/>
        </w:rPr>
        <w:t>、完整的</w:t>
      </w:r>
      <w:r>
        <w:rPr>
          <w:rFonts w:hint="eastAsia" w:ascii="宋体" w:hAnsi="宋体" w:eastAsia="宋体"/>
          <w:color w:val="auto"/>
          <w:sz w:val="24"/>
          <w:szCs w:val="24"/>
          <w:lang w:eastAsia="zh-CN"/>
        </w:rPr>
        <w:t>、合法的。</w:t>
      </w:r>
      <w:r>
        <w:rPr>
          <w:rFonts w:hint="eastAsia" w:ascii="宋体" w:hAnsi="宋体" w:eastAsia="宋体"/>
          <w:color w:val="auto"/>
          <w:sz w:val="24"/>
          <w:szCs w:val="24"/>
        </w:rPr>
        <w:t>如我司成为本项目中标候选人，我司同意并授权招标人将我司投标文件商务部分的人员、业绩、奖项等资料进行公开。</w:t>
      </w:r>
    </w:p>
    <w:p w14:paraId="175F1AAA">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53E41B36">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三、本公司不存在下列情形之一：</w:t>
      </w:r>
    </w:p>
    <w:p w14:paraId="10A8DCC4">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（一）为招标人不具有独立法人资格的附属机构（单位）；</w:t>
      </w:r>
    </w:p>
    <w:p w14:paraId="3CD1F399">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（二）为本标段前期准备提供设计或咨询服务或者与本项目设计人或提供咨询服务的机构存在附属关系的；</w:t>
      </w:r>
    </w:p>
    <w:p w14:paraId="53A92881">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（三）为本标段监理人或者与本标段监理人存在隶属关系或者其他利害关系；</w:t>
      </w:r>
    </w:p>
    <w:p w14:paraId="6F12C4ED">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（四）为本标段的代建人；</w:t>
      </w:r>
    </w:p>
    <w:p w14:paraId="7E11BEC5">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（五）为本标段提供招标代理服务的；</w:t>
      </w:r>
    </w:p>
    <w:p w14:paraId="0D4153FF">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（六）与本标段的监理人或代建人或招标代理机构同为一个法定代表人的；</w:t>
      </w:r>
    </w:p>
    <w:p w14:paraId="26B833B9">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（七）与本标段的监理人或代建人或招标代理机构互相控股或参股的；</w:t>
      </w:r>
    </w:p>
    <w:p w14:paraId="27FC9896">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（八）与本标段的监理人或代建人或招标代理机构相互任职或工作的；</w:t>
      </w:r>
    </w:p>
    <w:p w14:paraId="76FDEC6E">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（九）与本标段的检测机构有隶属关系或者其他利害关系；</w:t>
      </w:r>
    </w:p>
    <w:p w14:paraId="3E0F889A">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 xml:space="preserve">（十）与招标人存在利害关系且可能影响招标公正性； </w:t>
      </w:r>
    </w:p>
    <w:p w14:paraId="1663EE40">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（十一）被依法暂停或取消投标资格的；（</w:t>
      </w:r>
      <w:r>
        <w:rPr>
          <w:rFonts w:hint="eastAsia" w:ascii="宋体" w:hAnsi="宋体" w:eastAsia="宋体"/>
          <w:color w:val="auto"/>
          <w:sz w:val="24"/>
          <w:szCs w:val="24"/>
          <w:lang w:val="zh-CN"/>
        </w:rPr>
        <w:t>本项事实应当以根据《中华人民共和国行政处罚法》依法作出并已经生效的行政处罚决定为认定依据。行政处罚决定中已经明确的暂停或取消投标资格的区域范围不包含本标段建设地点的，</w:t>
      </w:r>
      <w:r>
        <w:rPr>
          <w:rStyle w:val="44"/>
          <w:rFonts w:hint="eastAsia" w:ascii="宋体" w:hAnsi="宋体" w:eastAsia="宋体"/>
          <w:color w:val="auto"/>
          <w:kern w:val="2"/>
          <w:sz w:val="24"/>
          <w:szCs w:val="24"/>
        </w:rPr>
        <w:t>或者已过处罚期限的，</w:t>
      </w:r>
      <w:r>
        <w:rPr>
          <w:rFonts w:hint="eastAsia" w:ascii="宋体" w:hAnsi="宋体" w:eastAsia="宋体"/>
          <w:color w:val="auto"/>
          <w:sz w:val="24"/>
          <w:szCs w:val="24"/>
          <w:lang w:val="zh-CN"/>
        </w:rPr>
        <w:t>不受该项规定限制</w:t>
      </w:r>
      <w:r>
        <w:rPr>
          <w:rFonts w:hint="eastAsia" w:ascii="宋体" w:hAnsi="宋体" w:eastAsia="宋体"/>
          <w:color w:val="auto"/>
          <w:sz w:val="24"/>
          <w:szCs w:val="24"/>
        </w:rPr>
        <w:t xml:space="preserve">） </w:t>
      </w:r>
    </w:p>
    <w:p w14:paraId="19312B81">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（十二）被责令停产停业、暂扣或者吊销许可证、暂扣或者吊销执照的（</w:t>
      </w:r>
      <w:r>
        <w:rPr>
          <w:rFonts w:hint="eastAsia" w:ascii="宋体" w:hAnsi="宋体" w:eastAsia="宋体"/>
          <w:color w:val="auto"/>
          <w:sz w:val="24"/>
          <w:szCs w:val="24"/>
          <w:lang w:val="zh-CN"/>
        </w:rPr>
        <w:t>本项事实应当以根据《中华人民共和国行政处罚法》依法作出并已经生效的行政处罚决定为认定依据。</w:t>
      </w:r>
      <w:r>
        <w:rPr>
          <w:rFonts w:hint="eastAsia" w:ascii="宋体" w:hAnsi="宋体" w:eastAsia="宋体"/>
          <w:color w:val="auto"/>
          <w:sz w:val="24"/>
          <w:szCs w:val="24"/>
        </w:rPr>
        <w:t>）；</w:t>
      </w:r>
    </w:p>
    <w:p w14:paraId="0222EE26">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（十三）进入清算程序，或被宣布破产，或其他丧失履约能力的情形；</w:t>
      </w:r>
    </w:p>
    <w:p w14:paraId="5C081A04">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lang w:eastAsia="zh-CN"/>
        </w:rPr>
      </w:pPr>
      <w:r>
        <w:rPr>
          <w:rFonts w:hint="eastAsia" w:ascii="宋体" w:hAnsi="宋体" w:eastAsia="宋体"/>
          <w:color w:val="auto"/>
          <w:sz w:val="24"/>
          <w:szCs w:val="24"/>
        </w:rPr>
        <w:t>（十四）在最近三年内有严重违约或重大工程质量问题的；（</w:t>
      </w:r>
      <w:r>
        <w:rPr>
          <w:rFonts w:hint="eastAsia" w:ascii="宋体" w:hAnsi="宋体" w:eastAsia="宋体"/>
          <w:color w:val="auto"/>
          <w:sz w:val="24"/>
          <w:szCs w:val="24"/>
          <w:lang w:val="zh-CN"/>
        </w:rPr>
        <w:t>“严重违约”事实应当以</w:t>
      </w:r>
      <w:r>
        <w:rPr>
          <w:rFonts w:hint="eastAsia" w:ascii="宋体" w:hAnsi="宋体" w:eastAsia="宋体"/>
          <w:color w:val="auto"/>
          <w:sz w:val="24"/>
          <w:szCs w:val="24"/>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hint="eastAsia" w:ascii="宋体" w:hAnsi="宋体" w:eastAsia="宋体"/>
          <w:color w:val="auto"/>
          <w:sz w:val="24"/>
          <w:szCs w:val="24"/>
          <w:lang w:eastAsia="zh-CN"/>
        </w:rPr>
        <w:t>；</w:t>
      </w:r>
    </w:p>
    <w:p w14:paraId="498A83C7">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（十五）法律法规规定的其他情形。</w:t>
      </w:r>
    </w:p>
    <w:p w14:paraId="1BB6153C">
      <w:pPr>
        <w:pStyle w:val="97"/>
        <w:keepNext w:val="0"/>
        <w:keepLines w:val="0"/>
        <w:pageBreakBefore w:val="0"/>
        <w:numPr>
          <w:ilvl w:val="255"/>
          <w:numId w:val="0"/>
        </w:numPr>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四、本公司保证：本项目拟派的项目负责人没有在其他在建项目中任施工单位项目负责人，本项目拟派的专职安全员没有在其他在建项目中任职。</w:t>
      </w:r>
    </w:p>
    <w:p w14:paraId="18CCD000">
      <w:pPr>
        <w:pStyle w:val="97"/>
        <w:keepNext w:val="0"/>
        <w:keepLines w:val="0"/>
        <w:pageBreakBefore w:val="0"/>
        <w:numPr>
          <w:ilvl w:val="255"/>
          <w:numId w:val="0"/>
        </w:numPr>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52C891D5">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AAF4CBC">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七、（适用于施工总承包招标项目）本公司承诺，切实落实《住房城乡建设部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5E678B0C">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八、与本公司单位负责人为同一人或者与本公司存在控股、管理关系的其他单位包括：</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。（注：本条由投标人如实填写，如有，应列出全部满足招标公告资质要求的相关单位的名称；如无，则填写“无”。）</w:t>
      </w:r>
    </w:p>
    <w:p w14:paraId="7BCE912F">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九、（适用于有余泥渣土产生的项目，如无，则删除）本公司拟委派专职安全员兼任本工程的工地余泥渣土运输与排放管理员，严格遵守建设工程余泥渣土运输与排放管理制度，执行“一不准进、三不准出”规定，选择合法的余泥渣土运输单位及排放点。</w:t>
      </w:r>
    </w:p>
    <w:p w14:paraId="02AFEDF7">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lang w:eastAsia="zh-CN"/>
        </w:rPr>
      </w:pPr>
      <w:r>
        <w:rPr>
          <w:rFonts w:hint="eastAsia" w:ascii="宋体" w:hAnsi="宋体" w:eastAsia="宋体"/>
          <w:color w:val="auto"/>
          <w:sz w:val="24"/>
          <w:szCs w:val="24"/>
        </w:rPr>
        <w:t>十、本公司承诺，中标后将按招标人要求，积极响应广州市关于投身“百千万工程”的号召，主动参与建筑业结对帮扶</w:t>
      </w:r>
      <w:r>
        <w:rPr>
          <w:rFonts w:hint="eastAsia" w:ascii="宋体" w:hAnsi="宋体" w:eastAsia="宋体"/>
          <w:color w:val="auto"/>
          <w:sz w:val="24"/>
          <w:szCs w:val="24"/>
          <w:lang w:eastAsia="zh-CN"/>
        </w:rPr>
        <w:t>。</w:t>
      </w:r>
    </w:p>
    <w:p w14:paraId="68783E08">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lang w:eastAsia="zh-CN"/>
        </w:rPr>
        <w:t>十一、</w:t>
      </w:r>
      <w:r>
        <w:rPr>
          <w:rFonts w:hint="eastAsia" w:ascii="宋体" w:hAnsi="宋体" w:eastAsia="宋体"/>
          <w:color w:val="auto"/>
          <w:sz w:val="24"/>
          <w:szCs w:val="24"/>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52D1FD59">
      <w:pPr>
        <w:pStyle w:val="97"/>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十二、本公司承诺，中标后</w:t>
      </w:r>
      <w:r>
        <w:rPr>
          <w:rFonts w:hint="eastAsia" w:ascii="宋体" w:hAnsi="宋体" w:eastAsia="宋体"/>
          <w:color w:val="auto"/>
          <w:sz w:val="24"/>
          <w:szCs w:val="24"/>
          <w:lang w:val="en-US" w:eastAsia="zh-CN"/>
        </w:rPr>
        <w:t>不委托近两年因伪造检测数据、出具虚假检测报告被各级建设行政主管部门或市场监督管理部门行政处罚或通报的检测单位负责本项目的检测工作</w:t>
      </w:r>
      <w:r>
        <w:rPr>
          <w:rFonts w:hint="eastAsia" w:ascii="宋体" w:hAnsi="宋体" w:eastAsia="宋体"/>
          <w:color w:val="auto"/>
          <w:sz w:val="24"/>
          <w:szCs w:val="24"/>
          <w:lang w:eastAsia="zh-CN"/>
        </w:rPr>
        <w:t>。</w:t>
      </w:r>
    </w:p>
    <w:p w14:paraId="41F6A88C">
      <w:pPr>
        <w:pStyle w:val="97"/>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olor w:val="auto"/>
          <w:sz w:val="24"/>
          <w:szCs w:val="24"/>
        </w:rPr>
      </w:pPr>
      <w:r>
        <w:rPr>
          <w:rFonts w:hint="eastAsia" w:ascii="宋体" w:hAnsi="宋体" w:eastAsia="宋体"/>
          <w:color w:val="auto"/>
          <w:sz w:val="24"/>
          <w:szCs w:val="24"/>
        </w:rPr>
        <w:t>十</w:t>
      </w:r>
      <w:r>
        <w:rPr>
          <w:rFonts w:hint="eastAsia" w:ascii="宋体" w:hAnsi="宋体" w:eastAsia="宋体"/>
          <w:color w:val="auto"/>
          <w:sz w:val="24"/>
          <w:szCs w:val="24"/>
          <w:lang w:eastAsia="zh-CN"/>
        </w:rPr>
        <w:t>三</w:t>
      </w:r>
      <w:r>
        <w:rPr>
          <w:rFonts w:hint="eastAsia" w:ascii="宋体" w:hAnsi="宋体" w:eastAsia="宋体"/>
          <w:color w:val="auto"/>
          <w:sz w:val="24"/>
          <w:szCs w:val="24"/>
        </w:rPr>
        <w:t>、</w:t>
      </w:r>
      <w:r>
        <w:rPr>
          <w:rFonts w:hint="eastAsia" w:ascii="宋体" w:hAnsi="宋体" w:eastAsia="宋体" w:cs="宋体"/>
          <w:color w:val="auto"/>
          <w:sz w:val="21"/>
          <w:szCs w:val="21"/>
        </w:rPr>
        <w:t>本公司违反上述承诺，或本声明陈述与事实不符，经查实，本公司愿意接受公开</w:t>
      </w:r>
      <w:r>
        <w:rPr>
          <w:rFonts w:hint="eastAsia" w:ascii="宋体" w:hAnsi="宋体" w:eastAsia="宋体" w:cs="宋体"/>
          <w:color w:val="auto"/>
          <w:sz w:val="21"/>
          <w:szCs w:val="21"/>
          <w:lang w:val="en-US" w:eastAsia="zh-CN"/>
        </w:rPr>
        <w:t>年的</w:t>
      </w:r>
      <w:r>
        <w:rPr>
          <w:rFonts w:hint="eastAsia" w:ascii="宋体" w:hAnsi="宋体" w:eastAsia="宋体" w:cs="宋体"/>
          <w:color w:val="auto"/>
          <w:sz w:val="21"/>
          <w:szCs w:val="21"/>
        </w:rPr>
        <w:t>通报，</w:t>
      </w:r>
      <w:r>
        <w:rPr>
          <w:rFonts w:hint="eastAsia" w:ascii="宋体" w:hAnsi="宋体" w:eastAsia="宋体" w:cs="宋体"/>
          <w:b/>
          <w:bCs/>
          <w:color w:val="auto"/>
          <w:sz w:val="21"/>
          <w:szCs w:val="21"/>
        </w:rPr>
        <w:t>愿意按照广州市交通运输局有关信用</w:t>
      </w:r>
      <w:r>
        <w:rPr>
          <w:rFonts w:hint="eastAsia" w:ascii="宋体" w:hAnsi="宋体" w:eastAsia="宋体" w:cs="宋体"/>
          <w:b/>
          <w:bCs/>
          <w:color w:val="auto"/>
          <w:sz w:val="21"/>
          <w:szCs w:val="21"/>
          <w:lang w:eastAsia="zh-CN"/>
        </w:rPr>
        <w:t>评价管理</w:t>
      </w:r>
      <w:r>
        <w:rPr>
          <w:rFonts w:hint="eastAsia" w:ascii="宋体" w:hAnsi="宋体" w:eastAsia="宋体" w:cs="宋体"/>
          <w:b/>
          <w:bCs/>
          <w:color w:val="auto"/>
          <w:sz w:val="21"/>
          <w:szCs w:val="21"/>
        </w:rPr>
        <w:t>有关规定，被记录为“不良</w:t>
      </w:r>
      <w:r>
        <w:rPr>
          <w:rFonts w:hint="eastAsia" w:ascii="宋体" w:hAnsi="宋体" w:eastAsia="宋体" w:cs="宋体"/>
          <w:b/>
          <w:bCs/>
          <w:color w:val="auto"/>
          <w:sz w:val="21"/>
          <w:szCs w:val="21"/>
          <w:lang w:eastAsia="zh-CN"/>
        </w:rPr>
        <w:t>交易行为</w:t>
      </w:r>
      <w:r>
        <w:rPr>
          <w:rFonts w:hint="eastAsia" w:ascii="宋体" w:hAnsi="宋体" w:eastAsia="宋体" w:cs="宋体"/>
          <w:b/>
          <w:bCs/>
          <w:color w:val="auto"/>
          <w:sz w:val="21"/>
          <w:szCs w:val="21"/>
        </w:rPr>
        <w:t>信息”</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月</w:t>
      </w:r>
      <w:r>
        <w:rPr>
          <w:rFonts w:hint="eastAsia" w:ascii="宋体" w:hAnsi="宋体" w:eastAsia="宋体" w:cs="宋体"/>
          <w:color w:val="auto"/>
          <w:sz w:val="21"/>
          <w:szCs w:val="21"/>
        </w:rPr>
        <w:t>承担由此带来的法律后果</w:t>
      </w:r>
      <w:r>
        <w:rPr>
          <w:rFonts w:hint="eastAsia" w:ascii="宋体" w:hAnsi="宋体" w:eastAsia="宋体"/>
          <w:color w:val="auto"/>
          <w:sz w:val="24"/>
          <w:szCs w:val="24"/>
        </w:rPr>
        <w:t>。</w:t>
      </w:r>
    </w:p>
    <w:p w14:paraId="66F487FC">
      <w:pPr>
        <w:pStyle w:val="97"/>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4"/>
          <w:szCs w:val="24"/>
        </w:rPr>
      </w:pPr>
      <w:r>
        <w:rPr>
          <w:rFonts w:hint="eastAsia" w:ascii="宋体" w:hAnsi="宋体" w:eastAsia="宋体"/>
          <w:color w:val="auto"/>
          <w:sz w:val="24"/>
          <w:szCs w:val="24"/>
        </w:rPr>
        <w:t>特此声明</w:t>
      </w:r>
    </w:p>
    <w:p w14:paraId="6E45009B">
      <w:pPr>
        <w:pStyle w:val="97"/>
        <w:keepNext w:val="0"/>
        <w:keepLines w:val="0"/>
        <w:pageBreakBefore w:val="0"/>
        <w:kinsoku/>
        <w:wordWrap/>
        <w:overflowPunct/>
        <w:topLinePunct w:val="0"/>
        <w:autoSpaceDE/>
        <w:autoSpaceDN/>
        <w:bidi w:val="0"/>
        <w:adjustRightInd/>
        <w:spacing w:line="360" w:lineRule="auto"/>
        <w:ind w:firstLine="0"/>
        <w:textAlignment w:val="auto"/>
        <w:rPr>
          <w:rFonts w:hint="eastAsia" w:ascii="宋体" w:hAnsi="宋体" w:eastAsia="宋体"/>
          <w:color w:val="auto"/>
          <w:sz w:val="24"/>
          <w:szCs w:val="24"/>
        </w:rPr>
      </w:pPr>
    </w:p>
    <w:p w14:paraId="57FC29F0">
      <w:pPr>
        <w:pStyle w:val="99"/>
        <w:keepNext w:val="0"/>
        <w:keepLines w:val="0"/>
        <w:pageBreakBefore w:val="0"/>
        <w:kinsoku/>
        <w:wordWrap/>
        <w:overflowPunct/>
        <w:topLinePunct w:val="0"/>
        <w:autoSpaceDE/>
        <w:autoSpaceDN/>
        <w:bidi w:val="0"/>
        <w:adjustRightInd/>
        <w:spacing w:line="360" w:lineRule="auto"/>
        <w:ind w:left="629" w:right="1449"/>
        <w:jc w:val="both"/>
        <w:textAlignment w:val="auto"/>
        <w:rPr>
          <w:rFonts w:ascii="宋体" w:hAnsi="宋体" w:eastAsia="宋体"/>
          <w:color w:val="auto"/>
          <w:sz w:val="24"/>
          <w:szCs w:val="24"/>
        </w:rPr>
      </w:pPr>
      <w:r>
        <w:rPr>
          <w:rFonts w:hint="eastAsia" w:ascii="宋体" w:hAnsi="宋体" w:eastAsia="宋体"/>
          <w:color w:val="auto"/>
          <w:sz w:val="24"/>
          <w:szCs w:val="24"/>
        </w:rPr>
        <w:t xml:space="preserve">   </w:t>
      </w:r>
      <w:r>
        <w:rPr>
          <w:rFonts w:ascii="宋体" w:hAnsi="宋体" w:eastAsia="宋体"/>
          <w:color w:val="auto"/>
          <w:sz w:val="24"/>
          <w:szCs w:val="24"/>
        </w:rPr>
        <w:t xml:space="preserve">          </w:t>
      </w:r>
      <w:r>
        <w:rPr>
          <w:rFonts w:hint="eastAsia" w:ascii="宋体" w:hAnsi="宋体" w:eastAsia="宋体"/>
          <w:color w:val="auto"/>
          <w:sz w:val="24"/>
          <w:szCs w:val="24"/>
        </w:rPr>
        <w:t xml:space="preserve">           声明企业：</w:t>
      </w:r>
    </w:p>
    <w:p w14:paraId="093465BD">
      <w:pPr>
        <w:pStyle w:val="97"/>
        <w:keepNext w:val="0"/>
        <w:keepLines w:val="0"/>
        <w:pageBreakBefore w:val="0"/>
        <w:kinsoku/>
        <w:wordWrap/>
        <w:overflowPunct/>
        <w:topLinePunct w:val="0"/>
        <w:autoSpaceDE/>
        <w:autoSpaceDN/>
        <w:bidi w:val="0"/>
        <w:adjustRightInd/>
        <w:spacing w:line="360" w:lineRule="auto"/>
        <w:ind w:right="1179" w:firstLine="0"/>
        <w:textAlignment w:val="auto"/>
        <w:rPr>
          <w:rFonts w:ascii="宋体" w:hAnsi="宋体" w:eastAsia="宋体"/>
          <w:color w:val="auto"/>
          <w:sz w:val="24"/>
          <w:szCs w:val="24"/>
        </w:rPr>
      </w:pPr>
      <w:r>
        <w:rPr>
          <w:rFonts w:hint="eastAsia" w:ascii="宋体" w:hAnsi="宋体" w:eastAsia="宋体"/>
          <w:color w:val="auto"/>
          <w:sz w:val="24"/>
          <w:szCs w:val="24"/>
        </w:rPr>
        <w:t xml:space="preserve">                             法定代表人或授权代理人签字：</w:t>
      </w:r>
    </w:p>
    <w:p w14:paraId="472F6C63">
      <w:pPr>
        <w:pStyle w:val="97"/>
        <w:keepNext w:val="0"/>
        <w:keepLines w:val="0"/>
        <w:pageBreakBefore w:val="0"/>
        <w:kinsoku/>
        <w:wordWrap/>
        <w:overflowPunct/>
        <w:topLinePunct w:val="0"/>
        <w:autoSpaceDE/>
        <w:autoSpaceDN/>
        <w:bidi w:val="0"/>
        <w:adjustRightInd/>
        <w:spacing w:line="360" w:lineRule="auto"/>
        <w:ind w:right="1179" w:firstLine="0"/>
        <w:textAlignment w:val="auto"/>
        <w:rPr>
          <w:rFonts w:ascii="宋体" w:hAnsi="宋体" w:eastAsia="宋体"/>
          <w:color w:val="auto"/>
          <w:sz w:val="24"/>
          <w:szCs w:val="24"/>
        </w:rPr>
      </w:pPr>
      <w:r>
        <w:rPr>
          <w:rFonts w:hint="eastAsia" w:ascii="宋体" w:hAnsi="宋体" w:eastAsia="宋体"/>
          <w:color w:val="auto"/>
          <w:sz w:val="24"/>
          <w:szCs w:val="24"/>
        </w:rPr>
        <w:t xml:space="preserve">                             项目负责人签字:</w:t>
      </w:r>
    </w:p>
    <w:p w14:paraId="15046001">
      <w:pPr>
        <w:pStyle w:val="97"/>
        <w:keepNext w:val="0"/>
        <w:keepLines w:val="0"/>
        <w:pageBreakBefore w:val="0"/>
        <w:kinsoku/>
        <w:wordWrap/>
        <w:overflowPunct/>
        <w:topLinePunct w:val="0"/>
        <w:autoSpaceDE/>
        <w:autoSpaceDN/>
        <w:bidi w:val="0"/>
        <w:adjustRightInd/>
        <w:spacing w:line="360" w:lineRule="auto"/>
        <w:ind w:right="879" w:firstLine="2160" w:firstLineChars="900"/>
        <w:jc w:val="left"/>
        <w:textAlignment w:val="auto"/>
        <w:rPr>
          <w:rFonts w:ascii="宋体" w:hAnsi="宋体" w:eastAsia="宋体"/>
          <w:color w:val="auto"/>
          <w:sz w:val="24"/>
          <w:szCs w:val="24"/>
        </w:rPr>
      </w:pPr>
      <w:r>
        <w:rPr>
          <w:rFonts w:hint="eastAsia" w:ascii="宋体" w:hAnsi="宋体" w:eastAsia="宋体"/>
          <w:color w:val="auto"/>
          <w:sz w:val="24"/>
          <w:szCs w:val="24"/>
        </w:rPr>
        <w:t xml:space="preserve">           技术负责人签字：</w:t>
      </w:r>
    </w:p>
    <w:p w14:paraId="2F581D64">
      <w:pPr>
        <w:pStyle w:val="97"/>
        <w:keepNext w:val="0"/>
        <w:keepLines w:val="0"/>
        <w:pageBreakBefore w:val="0"/>
        <w:kinsoku/>
        <w:wordWrap/>
        <w:overflowPunct/>
        <w:topLinePunct w:val="0"/>
        <w:autoSpaceDE/>
        <w:autoSpaceDN/>
        <w:bidi w:val="0"/>
        <w:adjustRightInd/>
        <w:spacing w:line="360" w:lineRule="auto"/>
        <w:ind w:right="879" w:firstLine="2160" w:firstLineChars="900"/>
        <w:jc w:val="right"/>
        <w:textAlignment w:val="auto"/>
        <w:rPr>
          <w:rFonts w:ascii="宋体" w:hAnsi="宋体" w:eastAsia="宋体"/>
          <w:color w:val="auto"/>
          <w:sz w:val="24"/>
          <w:szCs w:val="24"/>
        </w:rPr>
      </w:pPr>
      <w:r>
        <w:rPr>
          <w:rFonts w:hint="eastAsia" w:ascii="宋体" w:hAnsi="宋体" w:eastAsia="宋体"/>
          <w:color w:val="auto"/>
          <w:sz w:val="24"/>
          <w:szCs w:val="24"/>
        </w:rPr>
        <w:t>年</w:t>
      </w:r>
      <w:r>
        <w:rPr>
          <w:rFonts w:ascii="宋体" w:hAnsi="宋体" w:eastAsia="宋体"/>
          <w:color w:val="auto"/>
          <w:sz w:val="24"/>
          <w:szCs w:val="24"/>
        </w:rPr>
        <w:t xml:space="preserve">   </w:t>
      </w:r>
      <w:r>
        <w:rPr>
          <w:rFonts w:hint="eastAsia" w:ascii="宋体" w:hAnsi="宋体" w:eastAsia="宋体"/>
          <w:color w:val="auto"/>
          <w:sz w:val="24"/>
          <w:szCs w:val="24"/>
        </w:rPr>
        <w:t>月</w:t>
      </w:r>
      <w:r>
        <w:rPr>
          <w:rFonts w:ascii="宋体" w:hAnsi="宋体" w:eastAsia="宋体"/>
          <w:color w:val="auto"/>
          <w:sz w:val="24"/>
          <w:szCs w:val="24"/>
        </w:rPr>
        <w:t xml:space="preserve">   </w:t>
      </w:r>
      <w:r>
        <w:rPr>
          <w:rFonts w:hint="eastAsia" w:ascii="宋体" w:hAnsi="宋体" w:eastAsia="宋体"/>
          <w:color w:val="auto"/>
          <w:sz w:val="24"/>
          <w:szCs w:val="24"/>
        </w:rPr>
        <w:t>日</w:t>
      </w:r>
    </w:p>
    <w:p w14:paraId="67E1716A">
      <w:pPr>
        <w:keepNext w:val="0"/>
        <w:keepLines w:val="0"/>
        <w:pageBreakBefore w:val="0"/>
        <w:kinsoku/>
        <w:wordWrap/>
        <w:overflowPunct/>
        <w:topLinePunct w:val="0"/>
        <w:autoSpaceDE/>
        <w:autoSpaceDN/>
        <w:bidi w:val="0"/>
        <w:adjustRightInd/>
        <w:spacing w:line="360" w:lineRule="auto"/>
        <w:textAlignment w:val="auto"/>
        <w:rPr>
          <w:rFonts w:ascii="宋体"/>
          <w:color w:val="auto"/>
          <w:sz w:val="24"/>
          <w:szCs w:val="24"/>
        </w:rPr>
      </w:pPr>
      <w:r>
        <w:rPr>
          <w:rFonts w:hint="eastAsia" w:ascii="宋体" w:hAnsi="宋体"/>
          <w:color w:val="auto"/>
          <w:sz w:val="24"/>
          <w:szCs w:val="24"/>
        </w:rPr>
        <w:t xml:space="preserve">                                                       </w:t>
      </w:r>
      <w:r>
        <w:rPr>
          <w:rFonts w:hint="eastAsia" w:ascii="宋体" w:hAnsi="宋体"/>
          <w:color w:val="auto"/>
          <w:kern w:val="0"/>
          <w:sz w:val="24"/>
          <w:szCs w:val="24"/>
        </w:rPr>
        <w:t>（企业公章）</w:t>
      </w:r>
    </w:p>
    <w:p w14:paraId="4C40BF14">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r>
        <w:rPr>
          <w:rFonts w:hint="eastAsia" w:ascii="宋体" w:hAnsi="宋体"/>
          <w:color w:val="auto"/>
          <w:sz w:val="24"/>
          <w:szCs w:val="24"/>
        </w:rPr>
        <w:t>注：招标人应当要求投标人的法定代表人或授权代理人、项目负责人、技术负责人签字。</w:t>
      </w:r>
    </w:p>
    <w:p w14:paraId="5688400F">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0E72CDB8">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1AF5D151">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6CFDE35A">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3DADB060">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585105ED">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69A8BF1C">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5E91EB92">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52D13B1F">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20C55954">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6685C614">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585CC78B">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6280B9D8">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30926EFA">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6C1CAB7F">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0493758A">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5F8F4294">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618793FA">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2C674565">
      <w:pPr>
        <w:widowControl/>
        <w:spacing w:line="240" w:lineRule="auto"/>
        <w:jc w:val="center"/>
        <w:rPr>
          <w:rFonts w:hint="eastAsia" w:ascii="Calibri" w:hAnsi="Calibri" w:eastAsia="宋体" w:cs="Times New Roman"/>
          <w:b/>
          <w:color w:val="auto"/>
          <w:kern w:val="0"/>
          <w:sz w:val="44"/>
          <w:szCs w:val="44"/>
          <w:highlight w:val="none"/>
          <w:u w:val="none"/>
        </w:rPr>
      </w:pPr>
      <w:r>
        <w:rPr>
          <w:rFonts w:hint="eastAsia" w:ascii="Calibri" w:hAnsi="Calibri" w:eastAsia="宋体" w:cs="Times New Roman"/>
          <w:b/>
          <w:color w:val="auto"/>
          <w:kern w:val="0"/>
          <w:sz w:val="44"/>
          <w:szCs w:val="44"/>
          <w:highlight w:val="none"/>
          <w:u w:val="none"/>
        </w:rPr>
        <w:t>投标人声明（二）</w:t>
      </w:r>
    </w:p>
    <w:p w14:paraId="69990736">
      <w:pPr>
        <w:widowControl/>
        <w:spacing w:line="380" w:lineRule="exact"/>
        <w:jc w:val="center"/>
        <w:rPr>
          <w:rFonts w:hint="eastAsia" w:ascii="宋体" w:hAnsi="宋体" w:eastAsia="宋体" w:cs="宋体"/>
          <w:color w:val="auto"/>
          <w:spacing w:val="15"/>
          <w:kern w:val="0"/>
          <w:sz w:val="21"/>
          <w:szCs w:val="21"/>
          <w:highlight w:val="none"/>
        </w:rPr>
      </w:pPr>
      <w:r>
        <w:rPr>
          <w:rFonts w:hint="eastAsia" w:ascii="宋体" w:hAnsi="宋体" w:eastAsia="宋体" w:cs="宋体"/>
          <w:bCs/>
          <w:color w:val="auto"/>
          <w:spacing w:val="15"/>
          <w:kern w:val="0"/>
          <w:sz w:val="21"/>
          <w:szCs w:val="21"/>
          <w:highlight w:val="none"/>
        </w:rPr>
        <w:t>关于投标过程不发生围标串标行为的声明</w:t>
      </w:r>
    </w:p>
    <w:p w14:paraId="0DF1F440">
      <w:pPr>
        <w:widowControl/>
        <w:spacing w:line="380" w:lineRule="exact"/>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本招标项目招标人及招标监管机构：</w:t>
      </w:r>
    </w:p>
    <w:p w14:paraId="2856AE48">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本公司就参加位于增城区的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5"/>
          <w:kern w:val="0"/>
          <w:sz w:val="21"/>
          <w:szCs w:val="21"/>
          <w:highlight w:val="none"/>
        </w:rPr>
        <w:t>的投标工作，作出郑重声明：</w:t>
      </w:r>
    </w:p>
    <w:p w14:paraId="6A4EF23C">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本公司保证在投标过程中不出现以下情形：</w:t>
      </w:r>
    </w:p>
    <w:p w14:paraId="4BDD4592">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一、不同投标人的投标文件内容存在非正常一致的；</w:t>
      </w:r>
    </w:p>
    <w:p w14:paraId="38744355">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二、不同投标人的投标文件2处以上错漏一致的；</w:t>
      </w:r>
    </w:p>
    <w:p w14:paraId="1379A0CF">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三、不同投标人的投标报价或者报价组成异常一致或者呈规律性变化的；</w:t>
      </w:r>
    </w:p>
    <w:p w14:paraId="0E67CFEF">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四、不同投标人的投标文件由同一企业或者同一人编制的；</w:t>
      </w:r>
    </w:p>
    <w:p w14:paraId="15D03179">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五、不同投标人的投标文件载明的项目管理班子成员出现同一人的；</w:t>
      </w:r>
    </w:p>
    <w:p w14:paraId="45754038">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六、不同投标人的投标文件相互混装的；</w:t>
      </w:r>
    </w:p>
    <w:p w14:paraId="5CBB49D5">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七、不同投标人的投标文件由同一台电脑编制或者同一台附属设备打印的；</w:t>
      </w:r>
    </w:p>
    <w:p w14:paraId="17CAE635">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八、不同投标人委托同一人投标的；</w:t>
      </w:r>
    </w:p>
    <w:p w14:paraId="62148A48">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九、不同投标人使用同一人或者企业资金交纳投标保证金或者投标保函的反担保的；</w:t>
      </w:r>
    </w:p>
    <w:p w14:paraId="326A43D8">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十、不同投标人聘请同一人为其投标提供技术或者经济咨询服务的，但招标工程本身要求采用专用技术的除外；</w:t>
      </w:r>
    </w:p>
    <w:p w14:paraId="54E1D6C3">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十一、评标委员会认定的其他串通投标情形。</w:t>
      </w:r>
    </w:p>
    <w:p w14:paraId="5DC36BC2">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如果出现上述情形之一的，愿意接受评标委员会或建设行政主管部门作围标串标行为的认定，并自愿无条件接受招标人和建设行政主管部门的以下处理：</w:t>
      </w:r>
    </w:p>
    <w:p w14:paraId="6F22161D">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1、取消投标、中标候选人资格、中标资格；</w:t>
      </w:r>
    </w:p>
    <w:p w14:paraId="1BFB4378">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2、由招标人没收投标保证金或合同履约保证金；</w:t>
      </w:r>
    </w:p>
    <w:p w14:paraId="6486BC83">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3、两年内停止或永久禁止参与增城区财政资金建设工程的投标；</w:t>
      </w:r>
    </w:p>
    <w:p w14:paraId="69CD461C">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4、两年内停止或永久禁止在增城区承接工程或者执业；</w:t>
      </w:r>
    </w:p>
    <w:p w14:paraId="0DC68356">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5、对不良行为予以记录，并行公告；</w:t>
      </w:r>
    </w:p>
    <w:p w14:paraId="06F8361B">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6、报增城区建设行政主管部门备案，并提请上级相关行政主管部门依法进行处罚；</w:t>
      </w:r>
    </w:p>
    <w:p w14:paraId="24435099">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7、其他行政处理决定。</w:t>
      </w:r>
    </w:p>
    <w:p w14:paraId="37779EDE">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p>
    <w:p w14:paraId="7BA5FC44">
      <w:pPr>
        <w:widowControl/>
        <w:spacing w:line="380" w:lineRule="exact"/>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特此声明</w:t>
      </w:r>
    </w:p>
    <w:p w14:paraId="14C58F89">
      <w:pPr>
        <w:widowControl/>
        <w:spacing w:line="380" w:lineRule="exact"/>
        <w:ind w:firstLine="960" w:firstLineChars="400"/>
        <w:jc w:val="left"/>
        <w:rPr>
          <w:rFonts w:hint="eastAsia" w:ascii="宋体" w:hAnsi="宋体" w:eastAsia="宋体" w:cs="宋体"/>
          <w:color w:val="auto"/>
          <w:spacing w:val="15"/>
          <w:kern w:val="0"/>
          <w:sz w:val="21"/>
          <w:szCs w:val="21"/>
          <w:highlight w:val="none"/>
        </w:rPr>
      </w:pPr>
    </w:p>
    <w:p w14:paraId="3A664FDA">
      <w:pPr>
        <w:widowControl/>
        <w:spacing w:line="380" w:lineRule="exact"/>
        <w:ind w:firstLine="960" w:firstLineChars="4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声明企业：                          年    月    日</w:t>
      </w:r>
    </w:p>
    <w:p w14:paraId="6502EA86">
      <w:pPr>
        <w:widowControl/>
        <w:spacing w:line="380" w:lineRule="exact"/>
        <w:ind w:firstLine="840" w:firstLineChars="400"/>
        <w:jc w:val="left"/>
        <w:rPr>
          <w:rFonts w:hint="eastAsia" w:ascii="宋体" w:hAnsi="宋体" w:eastAsia="宋体" w:cs="宋体"/>
          <w:color w:val="auto"/>
          <w:spacing w:val="15"/>
          <w:kern w:val="0"/>
          <w:sz w:val="21"/>
          <w:szCs w:val="21"/>
          <w:highlight w:val="none"/>
        </w:rPr>
      </w:pPr>
      <w:r>
        <w:rPr>
          <w:rFonts w:hint="eastAsia" w:ascii="宋体" w:hAnsi="宋体" w:cs="宋体"/>
          <w:color w:val="auto"/>
          <w:szCs w:val="21"/>
          <w:highlight w:val="none"/>
        </w:rPr>
        <w:t>法定代表人签字</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pacing w:val="15"/>
          <w:kern w:val="0"/>
          <w:sz w:val="21"/>
          <w:szCs w:val="21"/>
          <w:highlight w:val="none"/>
        </w:rPr>
        <w:t xml:space="preserve"> (企业公章)</w:t>
      </w:r>
    </w:p>
    <w:p w14:paraId="6EFDF7E0">
      <w:pPr>
        <w:widowControl/>
        <w:spacing w:line="240" w:lineRule="auto"/>
        <w:jc w:val="center"/>
        <w:rPr>
          <w:rFonts w:hint="eastAsia" w:ascii="宋体" w:hAnsi="宋体" w:eastAsia="宋体" w:cs="宋体"/>
          <w:b/>
          <w:color w:val="auto"/>
          <w:sz w:val="36"/>
          <w:szCs w:val="36"/>
          <w:highlight w:val="none"/>
          <w:u w:val="single"/>
        </w:rPr>
      </w:pPr>
      <w:r>
        <w:rPr>
          <w:rFonts w:hint="eastAsia" w:ascii="宋体" w:hAnsi="宋体" w:eastAsia="宋体" w:cs="宋体"/>
          <w:bCs/>
          <w:color w:val="auto"/>
          <w:spacing w:val="15"/>
          <w:kern w:val="0"/>
          <w:sz w:val="21"/>
          <w:szCs w:val="21"/>
          <w:highlight w:val="none"/>
        </w:rPr>
        <w:br w:type="page"/>
      </w:r>
      <w:r>
        <w:rPr>
          <w:rFonts w:hint="eastAsia" w:ascii="Calibri" w:hAnsi="Calibri" w:eastAsia="宋体" w:cs="Times New Roman"/>
          <w:b/>
          <w:color w:val="auto"/>
          <w:kern w:val="0"/>
          <w:sz w:val="44"/>
          <w:szCs w:val="44"/>
          <w:highlight w:val="none"/>
          <w:u w:val="none"/>
        </w:rPr>
        <w:t>投标人声明（三）</w:t>
      </w:r>
    </w:p>
    <w:p w14:paraId="1BB19059">
      <w:pPr>
        <w:widowControl/>
        <w:spacing w:line="360" w:lineRule="auto"/>
        <w:jc w:val="center"/>
        <w:rPr>
          <w:rFonts w:hint="eastAsia" w:ascii="宋体" w:hAnsi="宋体" w:eastAsia="宋体" w:cs="宋体"/>
          <w:color w:val="auto"/>
          <w:spacing w:val="15"/>
          <w:kern w:val="0"/>
          <w:sz w:val="21"/>
          <w:szCs w:val="21"/>
          <w:highlight w:val="none"/>
        </w:rPr>
      </w:pPr>
      <w:r>
        <w:rPr>
          <w:rFonts w:hint="eastAsia" w:ascii="宋体" w:hAnsi="宋体" w:eastAsia="宋体" w:cs="宋体"/>
          <w:bCs/>
          <w:color w:val="auto"/>
          <w:spacing w:val="15"/>
          <w:kern w:val="0"/>
          <w:sz w:val="21"/>
          <w:szCs w:val="21"/>
          <w:highlight w:val="none"/>
        </w:rPr>
        <w:t>关于遵守招标文件和履行工程总承包合同的声明</w:t>
      </w:r>
    </w:p>
    <w:p w14:paraId="1D0F7FA6">
      <w:pPr>
        <w:widowControl/>
        <w:spacing w:line="360" w:lineRule="auto"/>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本招标项目招标人及招标监管机构：</w:t>
      </w:r>
    </w:p>
    <w:p w14:paraId="607DACA1">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本公司就参加位于增城区的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5"/>
          <w:kern w:val="0"/>
          <w:sz w:val="21"/>
          <w:szCs w:val="21"/>
          <w:highlight w:val="none"/>
        </w:rPr>
        <w:t>的投标工作，作出郑重声明：</w:t>
      </w:r>
    </w:p>
    <w:p w14:paraId="16DD00FA">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一、若成为本工程的中标人，我公司将严格遵守招标文件和履行施工合同的下列要求：</w:t>
      </w:r>
    </w:p>
    <w:p w14:paraId="32C38E26">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1、订立合同：在招标文件规定的限期内与招标人订立工程总承包合同。</w:t>
      </w:r>
    </w:p>
    <w:p w14:paraId="5A4871E8">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2、施工现场技术和管理人员：</w:t>
      </w:r>
    </w:p>
    <w:p w14:paraId="0204603E">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（1）投标承诺及派驻现场的项目管理架构中全部技术和管理人员均为我公司员工；</w:t>
      </w:r>
    </w:p>
    <w:p w14:paraId="46C47E9A">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（2）根据本工程建设的实际需要适当设置的项目管理架构，委派的技术和管理人员的数量、资质和实际工作能力均满足本工程建设实施要求；</w:t>
      </w:r>
    </w:p>
    <w:p w14:paraId="1E4E0BFF">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（3）在收到发包人进场通知的3天内，所有技术和管理人员全部到位，进入现场办公，不得兼职或者擅自离岗；</w:t>
      </w:r>
    </w:p>
    <w:p w14:paraId="4088C529">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1D880E1C">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42429C50">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4、材料、设备：保证准备并供应充足的材料设备，按投标承诺的时间全部按时到位。不因任何材料、设备因素阻碍工期而影响投标承诺的竣工日期。</w:t>
      </w:r>
    </w:p>
    <w:p w14:paraId="4D04D36F">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5、质量、安全：保证实现本工程招标文件所确定的工程质量、安全目标计划，且按增城区有关文件及本工程招标文件文明施工管理方案中的要求进行文明施工管理。</w:t>
      </w:r>
    </w:p>
    <w:p w14:paraId="7343D971">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6、不发生出借资质、转包、违法分包行为。</w:t>
      </w:r>
    </w:p>
    <w:p w14:paraId="11245DD5">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7、不拖欠或克扣劳务人员工资，不拖欠材料、设备价款、分包合同工程款（如有分包工程）。</w:t>
      </w:r>
    </w:p>
    <w:p w14:paraId="75436C17">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二、如不能履行上述承诺，本公司愿意承担由此带来的法律后果，并自愿无条件地接受招标人和建设行政主管部门的以下处理：</w:t>
      </w:r>
    </w:p>
    <w:p w14:paraId="66941AEB">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1、取消中标资格或者解除合同；</w:t>
      </w:r>
    </w:p>
    <w:p w14:paraId="7E9B2D2D">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2、由招标人没收投标保证金或合同履约保证金；</w:t>
      </w:r>
    </w:p>
    <w:p w14:paraId="6894D805">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3、两年内停止或永久禁止参与增城区财政资金建设工程的投标；</w:t>
      </w:r>
    </w:p>
    <w:p w14:paraId="48994224">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4、两年内停止或永久禁止在增城区承接工程或者执业；</w:t>
      </w:r>
    </w:p>
    <w:p w14:paraId="5D472E4E">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5、对不良行为予以记录，并进行公告；</w:t>
      </w:r>
    </w:p>
    <w:p w14:paraId="5E3BF7E9">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6、报增城区建设行政主管部门备案，并提请上级相关行政主管部门依法进行处罚；</w:t>
      </w:r>
    </w:p>
    <w:p w14:paraId="10BAF863">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7、其他行政处理决定。</w:t>
      </w:r>
    </w:p>
    <w:p w14:paraId="57D16B4C">
      <w:pPr>
        <w:widowControl/>
        <w:spacing w:line="360" w:lineRule="auto"/>
        <w:ind w:firstLine="600" w:firstLineChars="25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特此声明</w:t>
      </w:r>
    </w:p>
    <w:p w14:paraId="5CF4310D">
      <w:pPr>
        <w:widowControl/>
        <w:spacing w:line="360" w:lineRule="auto"/>
        <w:ind w:firstLine="600" w:firstLineChars="250"/>
        <w:jc w:val="left"/>
        <w:rPr>
          <w:rFonts w:hint="eastAsia" w:ascii="宋体" w:hAnsi="宋体" w:eastAsia="宋体" w:cs="宋体"/>
          <w:color w:val="auto"/>
          <w:spacing w:val="15"/>
          <w:kern w:val="0"/>
          <w:sz w:val="21"/>
          <w:szCs w:val="21"/>
          <w:highlight w:val="none"/>
        </w:rPr>
      </w:pPr>
    </w:p>
    <w:p w14:paraId="0EB26A78">
      <w:pPr>
        <w:widowControl/>
        <w:spacing w:line="360" w:lineRule="auto"/>
        <w:ind w:firstLine="600" w:firstLineChars="250"/>
        <w:jc w:val="left"/>
        <w:rPr>
          <w:rFonts w:hint="eastAsia" w:ascii="宋体" w:hAnsi="宋体" w:eastAsia="宋体" w:cs="宋体"/>
          <w:color w:val="auto"/>
          <w:spacing w:val="15"/>
          <w:kern w:val="0"/>
          <w:sz w:val="21"/>
          <w:szCs w:val="21"/>
          <w:highlight w:val="none"/>
        </w:rPr>
      </w:pPr>
    </w:p>
    <w:p w14:paraId="24C65C1E">
      <w:pPr>
        <w:widowControl/>
        <w:spacing w:line="360" w:lineRule="auto"/>
        <w:ind w:firstLine="600" w:firstLineChars="250"/>
        <w:jc w:val="left"/>
        <w:rPr>
          <w:rFonts w:hint="eastAsia" w:ascii="宋体" w:hAnsi="宋体" w:eastAsia="宋体" w:cs="宋体"/>
          <w:color w:val="auto"/>
          <w:spacing w:val="15"/>
          <w:kern w:val="0"/>
          <w:sz w:val="21"/>
          <w:szCs w:val="21"/>
          <w:highlight w:val="none"/>
        </w:rPr>
      </w:pPr>
    </w:p>
    <w:p w14:paraId="6F7C75F5">
      <w:pPr>
        <w:widowControl/>
        <w:spacing w:line="360" w:lineRule="auto"/>
        <w:ind w:firstLine="600" w:firstLineChars="25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声明企业：                               年    月  日</w:t>
      </w:r>
    </w:p>
    <w:p w14:paraId="570D24F8">
      <w:pPr>
        <w:widowControl/>
        <w:spacing w:line="380" w:lineRule="exact"/>
        <w:ind w:firstLine="630" w:firstLineChars="300"/>
        <w:jc w:val="left"/>
        <w:rPr>
          <w:rFonts w:hint="eastAsia" w:ascii="宋体" w:hAnsi="宋体" w:eastAsia="宋体" w:cs="宋体"/>
          <w:color w:val="auto"/>
          <w:spacing w:val="15"/>
          <w:kern w:val="0"/>
          <w:sz w:val="21"/>
          <w:szCs w:val="21"/>
          <w:highlight w:val="none"/>
        </w:rPr>
      </w:pPr>
      <w:r>
        <w:rPr>
          <w:rFonts w:hint="eastAsia" w:ascii="宋体" w:hAnsi="宋体" w:cs="宋体"/>
          <w:color w:val="auto"/>
          <w:szCs w:val="21"/>
          <w:highlight w:val="none"/>
        </w:rPr>
        <w:t>法定代表人签字</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pacing w:val="15"/>
          <w:kern w:val="0"/>
          <w:sz w:val="21"/>
          <w:szCs w:val="21"/>
          <w:highlight w:val="none"/>
        </w:rPr>
        <w:t xml:space="preserve"> (企业公章)</w:t>
      </w:r>
    </w:p>
    <w:p w14:paraId="5E57D929">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6CA89737">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72DBAA1C">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3EED6679">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0E0D1022">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7342D12F">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3F518AEB">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44D88DC1">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4E253823">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11095FB7">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44259ABC">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577C6104">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4A97D51A">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58F39D58">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4B681A18">
      <w:pPr>
        <w:spacing w:line="360" w:lineRule="auto"/>
        <w:rPr>
          <w:b/>
          <w:color w:val="auto"/>
          <w:sz w:val="44"/>
          <w:szCs w:val="44"/>
          <w:highlight w:val="none"/>
        </w:rPr>
      </w:pPr>
      <w:r>
        <w:rPr>
          <w:rFonts w:hint="eastAsia" w:ascii="宋体" w:hAnsi="宋体" w:cs="宋体"/>
          <w:color w:val="auto"/>
          <w:sz w:val="24"/>
          <w:szCs w:val="24"/>
          <w:highlight w:val="none"/>
          <w:lang w:bidi="ar"/>
        </w:rPr>
        <w:t>附件</w:t>
      </w:r>
      <w:r>
        <w:rPr>
          <w:rFonts w:hint="eastAsia" w:ascii="宋体" w:hAnsi="宋体" w:cs="宋体"/>
          <w:color w:val="auto"/>
          <w:sz w:val="24"/>
          <w:szCs w:val="24"/>
          <w:highlight w:val="none"/>
          <w:lang w:eastAsia="zh-CN" w:bidi="ar"/>
        </w:rPr>
        <w:t>二</w:t>
      </w:r>
      <w:r>
        <w:rPr>
          <w:rFonts w:hint="eastAsia" w:ascii="宋体" w:hAnsi="宋体" w:cs="宋体"/>
          <w:color w:val="auto"/>
          <w:sz w:val="24"/>
          <w:szCs w:val="24"/>
          <w:highlight w:val="none"/>
          <w:lang w:bidi="ar"/>
        </w:rPr>
        <w:t>：</w:t>
      </w:r>
    </w:p>
    <w:p w14:paraId="76CA993D">
      <w:pPr>
        <w:jc w:val="center"/>
        <w:rPr>
          <w:rFonts w:ascii="Arial" w:hAnsi="Arial"/>
          <w:b/>
          <w:color w:val="auto"/>
          <w:kern w:val="44"/>
          <w:sz w:val="28"/>
          <w:szCs w:val="28"/>
          <w:highlight w:val="none"/>
        </w:rPr>
      </w:pPr>
      <w:r>
        <w:rPr>
          <w:rFonts w:hint="eastAsia" w:ascii="宋体" w:hAnsi="宋体" w:cs="宋体"/>
          <w:b/>
          <w:color w:val="auto"/>
          <w:kern w:val="44"/>
          <w:sz w:val="28"/>
          <w:szCs w:val="28"/>
          <w:highlight w:val="none"/>
          <w:lang w:bidi="ar"/>
        </w:rPr>
        <w:t>施工项目管理团队人员信息表</w:t>
      </w:r>
    </w:p>
    <w:p w14:paraId="685A0C2A">
      <w:pPr>
        <w:rPr>
          <w:rFonts w:ascii="宋体" w:hAnsi="宋体"/>
          <w:color w:val="auto"/>
          <w:szCs w:val="21"/>
          <w:highlight w:val="none"/>
        </w:rPr>
      </w:pP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461"/>
        <w:gridCol w:w="1796"/>
        <w:gridCol w:w="1796"/>
        <w:gridCol w:w="2731"/>
      </w:tblGrid>
      <w:tr w14:paraId="7D40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jc w:val="center"/>
        </w:trPr>
        <w:tc>
          <w:tcPr>
            <w:tcW w:w="433" w:type="pct"/>
            <w:noWrap w:val="0"/>
            <w:vAlign w:val="center"/>
          </w:tcPr>
          <w:p w14:paraId="5CEB4C0D">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857" w:type="pct"/>
            <w:noWrap w:val="0"/>
            <w:vAlign w:val="center"/>
          </w:tcPr>
          <w:p w14:paraId="58D6B80D">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姓名</w:t>
            </w:r>
          </w:p>
        </w:tc>
        <w:tc>
          <w:tcPr>
            <w:tcW w:w="1054" w:type="pct"/>
            <w:noWrap w:val="0"/>
            <w:vAlign w:val="center"/>
          </w:tcPr>
          <w:p w14:paraId="54600EFB">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岗位</w:t>
            </w:r>
          </w:p>
        </w:tc>
        <w:tc>
          <w:tcPr>
            <w:tcW w:w="1054" w:type="pct"/>
            <w:noWrap w:val="0"/>
            <w:vAlign w:val="center"/>
          </w:tcPr>
          <w:p w14:paraId="69DC36AE">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职称</w:t>
            </w:r>
          </w:p>
        </w:tc>
        <w:tc>
          <w:tcPr>
            <w:tcW w:w="1599" w:type="pct"/>
            <w:noWrap w:val="0"/>
            <w:vAlign w:val="center"/>
          </w:tcPr>
          <w:p w14:paraId="07494713">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职称证书或资格证书编号</w:t>
            </w:r>
          </w:p>
        </w:tc>
      </w:tr>
      <w:tr w14:paraId="1675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noWrap/>
            <w:vAlign w:val="center"/>
          </w:tcPr>
          <w:p w14:paraId="3CADDD5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57" w:type="pct"/>
            <w:noWrap/>
            <w:vAlign w:val="center"/>
          </w:tcPr>
          <w:p w14:paraId="5625DCC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5B1BA4F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7AE9512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99" w:type="pct"/>
            <w:noWrap/>
            <w:vAlign w:val="center"/>
          </w:tcPr>
          <w:p w14:paraId="2185B5C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53A3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noWrap/>
            <w:vAlign w:val="center"/>
          </w:tcPr>
          <w:p w14:paraId="0F2B7951">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57" w:type="pct"/>
            <w:noWrap/>
            <w:vAlign w:val="center"/>
          </w:tcPr>
          <w:p w14:paraId="5DD5677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47671B5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146F7542">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99" w:type="pct"/>
            <w:noWrap/>
            <w:vAlign w:val="center"/>
          </w:tcPr>
          <w:p w14:paraId="4920273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6BAAC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noWrap/>
            <w:vAlign w:val="center"/>
          </w:tcPr>
          <w:p w14:paraId="44AF681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57" w:type="pct"/>
            <w:noWrap/>
            <w:vAlign w:val="center"/>
          </w:tcPr>
          <w:p w14:paraId="71507E9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353229B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614003E7">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99" w:type="pct"/>
            <w:noWrap/>
            <w:vAlign w:val="center"/>
          </w:tcPr>
          <w:p w14:paraId="0F71D32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1735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noWrap/>
            <w:vAlign w:val="center"/>
          </w:tcPr>
          <w:p w14:paraId="3F10CC1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57" w:type="pct"/>
            <w:noWrap/>
            <w:vAlign w:val="center"/>
          </w:tcPr>
          <w:p w14:paraId="2D19776D">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6505CE56">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28F2226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99" w:type="pct"/>
            <w:noWrap/>
            <w:vAlign w:val="center"/>
          </w:tcPr>
          <w:p w14:paraId="14597E05">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B39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noWrap/>
            <w:vAlign w:val="center"/>
          </w:tcPr>
          <w:p w14:paraId="37A1D998">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57" w:type="pct"/>
            <w:noWrap/>
            <w:vAlign w:val="center"/>
          </w:tcPr>
          <w:p w14:paraId="6B9A1F2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2C3482B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4CB351DE">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99" w:type="pct"/>
            <w:noWrap/>
            <w:vAlign w:val="center"/>
          </w:tcPr>
          <w:p w14:paraId="07AE8D1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1D84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33" w:type="pct"/>
            <w:noWrap/>
            <w:vAlign w:val="center"/>
          </w:tcPr>
          <w:p w14:paraId="0151448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857" w:type="pct"/>
            <w:noWrap/>
            <w:vAlign w:val="center"/>
          </w:tcPr>
          <w:p w14:paraId="2EFF8C3B">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538F8E5A">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54" w:type="pct"/>
            <w:noWrap/>
            <w:vAlign w:val="center"/>
          </w:tcPr>
          <w:p w14:paraId="7D56710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599" w:type="pct"/>
            <w:noWrap/>
            <w:vAlign w:val="center"/>
          </w:tcPr>
          <w:p w14:paraId="068763E0">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54E3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6" w:hRule="atLeast"/>
          <w:jc w:val="center"/>
        </w:trPr>
        <w:tc>
          <w:tcPr>
            <w:tcW w:w="5000" w:type="pct"/>
            <w:gridSpan w:val="5"/>
            <w:noWrap w:val="0"/>
            <w:vAlign w:val="center"/>
          </w:tcPr>
          <w:p w14:paraId="7A9EF15F">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1备注：</w:t>
            </w:r>
          </w:p>
          <w:p w14:paraId="43D35E53">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1、“岗位”要求</w:t>
            </w:r>
            <w:r>
              <w:rPr>
                <w:rFonts w:hint="eastAsia" w:ascii="宋体" w:hAnsi="宋体" w:eastAsia="宋体" w:cs="宋体"/>
                <w:b/>
                <w:bCs/>
                <w:color w:val="auto"/>
                <w:kern w:val="0"/>
                <w:szCs w:val="21"/>
                <w:highlight w:val="none"/>
              </w:rPr>
              <w:t>（除项目负责人和专职安全员外）</w:t>
            </w:r>
            <w:r>
              <w:rPr>
                <w:rFonts w:hint="eastAsia" w:ascii="宋体" w:hAnsi="宋体" w:eastAsia="宋体" w:cs="宋体"/>
                <w:color w:val="auto"/>
                <w:kern w:val="0"/>
                <w:szCs w:val="21"/>
                <w:highlight w:val="none"/>
              </w:rPr>
              <w:t>由招标人根据项目管理需要在本表备注中明确提出，如：拟派技术负责人、质量负责人、安全负责人、造价负责人等。以上项目管理团队人员信息将由交易系统提取后供各相关单位在履约时比对、查核。</w:t>
            </w:r>
          </w:p>
          <w:p w14:paraId="6669376C">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1968427B">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734491A3">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4FBC4619">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3D70E9C5">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3443CAB9">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2BC1D37D">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43E90649">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5189DE30">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rPr>
      </w:pPr>
    </w:p>
    <w:p w14:paraId="5953F521">
      <w:pPr>
        <w:pStyle w:val="97"/>
        <w:keepNext w:val="0"/>
        <w:keepLines w:val="0"/>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olor w:val="auto"/>
          <w:sz w:val="24"/>
          <w:szCs w:val="24"/>
          <w:lang w:eastAsia="zh-CN"/>
        </w:rPr>
      </w:pPr>
      <w:r>
        <w:rPr>
          <w:rFonts w:hint="eastAsia" w:ascii="宋体" w:hAnsi="宋体" w:eastAsia="宋体"/>
          <w:color w:val="auto"/>
          <w:sz w:val="24"/>
          <w:szCs w:val="24"/>
        </w:rPr>
        <w:t>附件</w:t>
      </w:r>
      <w:r>
        <w:rPr>
          <w:rFonts w:hint="eastAsia" w:ascii="宋体" w:hAnsi="宋体" w:eastAsia="宋体"/>
          <w:color w:val="auto"/>
          <w:sz w:val="24"/>
          <w:szCs w:val="24"/>
          <w:lang w:val="en-US" w:eastAsia="zh-CN"/>
        </w:rPr>
        <w:t>三</w:t>
      </w:r>
    </w:p>
    <w:p w14:paraId="5132E384">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lang w:eastAsia="zh-CN"/>
        </w:rPr>
      </w:pPr>
    </w:p>
    <w:p w14:paraId="2C008C0D">
      <w:pPr>
        <w:jc w:val="center"/>
        <w:rPr>
          <w:rFonts w:hint="eastAsia"/>
          <w:b/>
          <w:color w:val="auto"/>
          <w:kern w:val="0"/>
          <w:sz w:val="44"/>
          <w:szCs w:val="44"/>
        </w:rPr>
      </w:pPr>
      <w:r>
        <w:rPr>
          <w:rFonts w:hint="eastAsia"/>
          <w:b/>
          <w:color w:val="auto"/>
          <w:kern w:val="0"/>
          <w:sz w:val="44"/>
          <w:szCs w:val="44"/>
        </w:rPr>
        <w:t>评标委员会成员声明</w:t>
      </w:r>
    </w:p>
    <w:p w14:paraId="504B5288">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本项目招标人：</w:t>
      </w:r>
    </w:p>
    <w:p w14:paraId="2A54126F">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本人就参与</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项目的评标工作，作出郑重声明：</w:t>
      </w:r>
    </w:p>
    <w:p w14:paraId="3834B222">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7874DC35">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1F7D0E69">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5C6BE05F">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43C18CCB">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59FE1A02">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如果本人违反上述声明内容，造成的后果由本人自行承担。</w:t>
      </w:r>
    </w:p>
    <w:p w14:paraId="0559B749">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rPr>
      </w:pPr>
    </w:p>
    <w:p w14:paraId="6FBF2A4E">
      <w:pPr>
        <w:pStyle w:val="97"/>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u w:val="single"/>
        </w:rPr>
      </w:pPr>
      <w:r>
        <w:rPr>
          <w:rFonts w:hint="eastAsia" w:ascii="宋体" w:hAnsi="宋体" w:eastAsia="宋体"/>
          <w:color w:val="auto"/>
          <w:sz w:val="24"/>
          <w:szCs w:val="24"/>
        </w:rPr>
        <w:t xml:space="preserve">                             声明人：</w:t>
      </w:r>
      <w:r>
        <w:rPr>
          <w:rFonts w:hint="eastAsia" w:ascii="宋体" w:hAnsi="宋体" w:eastAsia="宋体"/>
          <w:color w:val="auto"/>
          <w:sz w:val="24"/>
          <w:szCs w:val="24"/>
          <w:u w:val="single"/>
        </w:rPr>
        <w:t xml:space="preserve">（签名）  </w:t>
      </w:r>
    </w:p>
    <w:p w14:paraId="23EFDEF3">
      <w:pPr>
        <w:spacing w:line="360" w:lineRule="auto"/>
        <w:jc w:val="both"/>
        <w:rPr>
          <w:rFonts w:hint="eastAsia"/>
          <w:color w:val="auto"/>
          <w:sz w:val="36"/>
        </w:rPr>
      </w:pPr>
    </w:p>
    <w:p w14:paraId="28B1EE95">
      <w:pPr>
        <w:pStyle w:val="20"/>
        <w:rPr>
          <w:color w:val="auto"/>
          <w:sz w:val="36"/>
          <w:u w:val="single"/>
        </w:rPr>
      </w:pPr>
    </w:p>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FB3EC">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F0206">
                          <w:pPr>
                            <w:pStyle w:val="25"/>
                            <w:rPr>
                              <w:rStyle w:val="41"/>
                            </w:rPr>
                          </w:pPr>
                          <w:r>
                            <w:rPr>
                              <w:rStyle w:val="41"/>
                            </w:rPr>
                            <w:fldChar w:fldCharType="begin"/>
                          </w:r>
                          <w:r>
                            <w:rPr>
                              <w:rStyle w:val="41"/>
                            </w:rPr>
                            <w:instrText xml:space="preserve">PAGE  </w:instrText>
                          </w:r>
                          <w:r>
                            <w:rPr>
                              <w:rStyle w:val="41"/>
                            </w:rPr>
                            <w:fldChar w:fldCharType="separate"/>
                          </w:r>
                          <w:r>
                            <w:rPr>
                              <w:rStyle w:val="41"/>
                            </w:rPr>
                            <w:t>12</w:t>
                          </w:r>
                          <w:r>
                            <w:rPr>
                              <w:rStyle w:val="41"/>
                            </w:rPr>
                            <w:fldChar w:fldCharType="end"/>
                          </w:r>
                        </w:p>
                        <w:p w14:paraId="5071A294"/>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1CF0206">
                    <w:pPr>
                      <w:pStyle w:val="25"/>
                      <w:rPr>
                        <w:rStyle w:val="41"/>
                      </w:rPr>
                    </w:pPr>
                    <w:r>
                      <w:rPr>
                        <w:rStyle w:val="41"/>
                      </w:rPr>
                      <w:fldChar w:fldCharType="begin"/>
                    </w:r>
                    <w:r>
                      <w:rPr>
                        <w:rStyle w:val="41"/>
                      </w:rPr>
                      <w:instrText xml:space="preserve">PAGE  </w:instrText>
                    </w:r>
                    <w:r>
                      <w:rPr>
                        <w:rStyle w:val="41"/>
                      </w:rPr>
                      <w:fldChar w:fldCharType="separate"/>
                    </w:r>
                    <w:r>
                      <w:rPr>
                        <w:rStyle w:val="41"/>
                      </w:rPr>
                      <w:t>12</w:t>
                    </w:r>
                    <w:r>
                      <w:rPr>
                        <w:rStyle w:val="41"/>
                      </w:rPr>
                      <w:fldChar w:fldCharType="end"/>
                    </w:r>
                  </w:p>
                  <w:p w14:paraId="5071A294"/>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85B1E">
    <w:pPr>
      <w:pStyle w:val="25"/>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13E39">
                          <w:pPr>
                            <w:pStyle w:val="25"/>
                            <w:jc w:val="center"/>
                            <w:rPr>
                              <w:rStyle w:val="41"/>
                            </w:rPr>
                          </w:pPr>
                          <w:r>
                            <w:rPr>
                              <w:rStyle w:val="41"/>
                            </w:rPr>
                            <w:fldChar w:fldCharType="begin"/>
                          </w:r>
                          <w:r>
                            <w:rPr>
                              <w:rStyle w:val="41"/>
                            </w:rPr>
                            <w:instrText xml:space="preserve">PAGE  </w:instrText>
                          </w:r>
                          <w:r>
                            <w:rPr>
                              <w:rStyle w:val="41"/>
                            </w:rPr>
                            <w:fldChar w:fldCharType="separate"/>
                          </w:r>
                          <w:r>
                            <w:rPr>
                              <w:rStyle w:val="41"/>
                            </w:rPr>
                            <w:t>74</w:t>
                          </w:r>
                          <w:r>
                            <w:rPr>
                              <w:rStyle w:val="41"/>
                            </w:rPr>
                            <w:fldChar w:fldCharType="end"/>
                          </w:r>
                        </w:p>
                        <w:p w14:paraId="5C47EDB3">
                          <w:pPr>
                            <w:pStyle w:val="25"/>
                            <w:ind w:left="-4410" w:leftChars="-2100" w:right="-4439" w:rightChars="-2114"/>
                            <w:rPr>
                              <w:rStyle w:val="41"/>
                            </w:rPr>
                          </w:pPr>
                        </w:p>
                        <w:p w14:paraId="24CB959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7A13E39">
                    <w:pPr>
                      <w:pStyle w:val="25"/>
                      <w:jc w:val="center"/>
                      <w:rPr>
                        <w:rStyle w:val="41"/>
                      </w:rPr>
                    </w:pPr>
                    <w:r>
                      <w:rPr>
                        <w:rStyle w:val="41"/>
                      </w:rPr>
                      <w:fldChar w:fldCharType="begin"/>
                    </w:r>
                    <w:r>
                      <w:rPr>
                        <w:rStyle w:val="41"/>
                      </w:rPr>
                      <w:instrText xml:space="preserve">PAGE  </w:instrText>
                    </w:r>
                    <w:r>
                      <w:rPr>
                        <w:rStyle w:val="41"/>
                      </w:rPr>
                      <w:fldChar w:fldCharType="separate"/>
                    </w:r>
                    <w:r>
                      <w:rPr>
                        <w:rStyle w:val="41"/>
                      </w:rPr>
                      <w:t>74</w:t>
                    </w:r>
                    <w:r>
                      <w:rPr>
                        <w:rStyle w:val="41"/>
                      </w:rPr>
                      <w:fldChar w:fldCharType="end"/>
                    </w:r>
                  </w:p>
                  <w:p w14:paraId="5C47EDB3">
                    <w:pPr>
                      <w:pStyle w:val="25"/>
                      <w:ind w:left="-4410" w:leftChars="-2100" w:right="-4439" w:rightChars="-2114"/>
                      <w:rPr>
                        <w:rStyle w:val="41"/>
                      </w:rPr>
                    </w:pPr>
                  </w:p>
                  <w:p w14:paraId="24CB959A"/>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0B3C4">
    <w:pPr>
      <w:pStyle w:val="2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2F91E"/>
    <w:multiLevelType w:val="singleLevel"/>
    <w:tmpl w:val="12D2F91E"/>
    <w:lvl w:ilvl="0" w:tentative="0">
      <w:start w:val="5"/>
      <w:numFmt w:val="decimal"/>
      <w:lvlText w:val="%1."/>
      <w:lvlJc w:val="left"/>
      <w:pPr>
        <w:tabs>
          <w:tab w:val="left" w:pos="312"/>
        </w:tabs>
      </w:pPr>
    </w:lvl>
  </w:abstractNum>
  <w:abstractNum w:abstractNumId="1">
    <w:nsid w:val="259905B5"/>
    <w:multiLevelType w:val="multilevel"/>
    <w:tmpl w:val="259905B5"/>
    <w:lvl w:ilvl="0" w:tentative="0">
      <w:start w:val="1"/>
      <w:numFmt w:val="chineseCountingThousand"/>
      <w:pStyle w:val="94"/>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9"/>
      <w:suff w:val="space"/>
      <w:lvlText w:val="%2.%3.%4"/>
      <w:lvlJc w:val="left"/>
      <w:pPr>
        <w:ind w:left="284" w:hanging="284"/>
      </w:pPr>
      <w:rPr>
        <w:rFonts w:hint="eastAsia" w:ascii="宋体" w:eastAsia="宋体" w:cs="Times New Roman"/>
        <w:b/>
        <w:i w:val="0"/>
        <w:sz w:val="28"/>
      </w:rPr>
    </w:lvl>
    <w:lvl w:ilvl="4" w:tentative="0">
      <w:start w:val="1"/>
      <w:numFmt w:val="decimal"/>
      <w:pStyle w:val="10"/>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2">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BE"/>
    <w:rsid w:val="000200EE"/>
    <w:rsid w:val="00055C10"/>
    <w:rsid w:val="000575F8"/>
    <w:rsid w:val="00074FD1"/>
    <w:rsid w:val="0007706A"/>
    <w:rsid w:val="00091BFE"/>
    <w:rsid w:val="000B5826"/>
    <w:rsid w:val="000C1007"/>
    <w:rsid w:val="000C11E0"/>
    <w:rsid w:val="000C2710"/>
    <w:rsid w:val="000D396E"/>
    <w:rsid w:val="001667FD"/>
    <w:rsid w:val="00181CAA"/>
    <w:rsid w:val="00193EB2"/>
    <w:rsid w:val="001C5D94"/>
    <w:rsid w:val="001F3D02"/>
    <w:rsid w:val="002025C6"/>
    <w:rsid w:val="0022299B"/>
    <w:rsid w:val="00250092"/>
    <w:rsid w:val="00266748"/>
    <w:rsid w:val="00280CC3"/>
    <w:rsid w:val="002C4F11"/>
    <w:rsid w:val="003204F0"/>
    <w:rsid w:val="00336AA3"/>
    <w:rsid w:val="0037590B"/>
    <w:rsid w:val="003A5C56"/>
    <w:rsid w:val="00405D31"/>
    <w:rsid w:val="004370EC"/>
    <w:rsid w:val="004424B8"/>
    <w:rsid w:val="00472A98"/>
    <w:rsid w:val="004B295D"/>
    <w:rsid w:val="004D63FD"/>
    <w:rsid w:val="00510754"/>
    <w:rsid w:val="005118C8"/>
    <w:rsid w:val="00576448"/>
    <w:rsid w:val="005866FB"/>
    <w:rsid w:val="005B5915"/>
    <w:rsid w:val="005C212B"/>
    <w:rsid w:val="006036EF"/>
    <w:rsid w:val="00673B83"/>
    <w:rsid w:val="00680BFD"/>
    <w:rsid w:val="006B5ED1"/>
    <w:rsid w:val="006B6B0D"/>
    <w:rsid w:val="006F3576"/>
    <w:rsid w:val="0073229B"/>
    <w:rsid w:val="00780EC8"/>
    <w:rsid w:val="007A3304"/>
    <w:rsid w:val="007B41BE"/>
    <w:rsid w:val="007B6534"/>
    <w:rsid w:val="007D6D06"/>
    <w:rsid w:val="007E2745"/>
    <w:rsid w:val="00835C9E"/>
    <w:rsid w:val="008C4DAF"/>
    <w:rsid w:val="008D2515"/>
    <w:rsid w:val="008E20BD"/>
    <w:rsid w:val="008E4AD1"/>
    <w:rsid w:val="00920E49"/>
    <w:rsid w:val="00934DF4"/>
    <w:rsid w:val="00991949"/>
    <w:rsid w:val="009A704D"/>
    <w:rsid w:val="009E5A35"/>
    <w:rsid w:val="009F18D3"/>
    <w:rsid w:val="00A0387A"/>
    <w:rsid w:val="00A05F7D"/>
    <w:rsid w:val="00A0619D"/>
    <w:rsid w:val="00A15723"/>
    <w:rsid w:val="00A20AF3"/>
    <w:rsid w:val="00A2579D"/>
    <w:rsid w:val="00A460C3"/>
    <w:rsid w:val="00A50D34"/>
    <w:rsid w:val="00A55F9B"/>
    <w:rsid w:val="00A64E29"/>
    <w:rsid w:val="00AD3DEE"/>
    <w:rsid w:val="00AD6716"/>
    <w:rsid w:val="00AF1BCD"/>
    <w:rsid w:val="00AF2A6F"/>
    <w:rsid w:val="00B53804"/>
    <w:rsid w:val="00B72862"/>
    <w:rsid w:val="00BC2597"/>
    <w:rsid w:val="00BC7B91"/>
    <w:rsid w:val="00BE1732"/>
    <w:rsid w:val="00BE216D"/>
    <w:rsid w:val="00BE7667"/>
    <w:rsid w:val="00BF1FEA"/>
    <w:rsid w:val="00C267C0"/>
    <w:rsid w:val="00C32C1E"/>
    <w:rsid w:val="00C408D3"/>
    <w:rsid w:val="00C81F53"/>
    <w:rsid w:val="00C82C8A"/>
    <w:rsid w:val="00CB3932"/>
    <w:rsid w:val="00CD156B"/>
    <w:rsid w:val="00CF68BB"/>
    <w:rsid w:val="00D60E1D"/>
    <w:rsid w:val="00D75B45"/>
    <w:rsid w:val="00D84E64"/>
    <w:rsid w:val="00DF1C79"/>
    <w:rsid w:val="00E22EAB"/>
    <w:rsid w:val="00E36378"/>
    <w:rsid w:val="00E457F6"/>
    <w:rsid w:val="00E54A7D"/>
    <w:rsid w:val="00E638F3"/>
    <w:rsid w:val="00EA368C"/>
    <w:rsid w:val="00EB4FAD"/>
    <w:rsid w:val="00EB6530"/>
    <w:rsid w:val="00EC014E"/>
    <w:rsid w:val="00F214CA"/>
    <w:rsid w:val="00F26640"/>
    <w:rsid w:val="00F40301"/>
    <w:rsid w:val="00F50A88"/>
    <w:rsid w:val="00FA5926"/>
    <w:rsid w:val="00FC5596"/>
    <w:rsid w:val="02690261"/>
    <w:rsid w:val="02C05BB1"/>
    <w:rsid w:val="02FD74EC"/>
    <w:rsid w:val="030977B8"/>
    <w:rsid w:val="03B73450"/>
    <w:rsid w:val="03F53B6F"/>
    <w:rsid w:val="04016C0A"/>
    <w:rsid w:val="042965C4"/>
    <w:rsid w:val="04A75B49"/>
    <w:rsid w:val="05935ABA"/>
    <w:rsid w:val="05EA2C50"/>
    <w:rsid w:val="061A393B"/>
    <w:rsid w:val="061C7FBD"/>
    <w:rsid w:val="06CF5060"/>
    <w:rsid w:val="06D038B7"/>
    <w:rsid w:val="071250C8"/>
    <w:rsid w:val="072F44E3"/>
    <w:rsid w:val="07312890"/>
    <w:rsid w:val="073C3C45"/>
    <w:rsid w:val="07A13F45"/>
    <w:rsid w:val="07EF4429"/>
    <w:rsid w:val="08061A64"/>
    <w:rsid w:val="08517165"/>
    <w:rsid w:val="08A51580"/>
    <w:rsid w:val="08C11542"/>
    <w:rsid w:val="090C13B6"/>
    <w:rsid w:val="090F4EF1"/>
    <w:rsid w:val="094E1D6F"/>
    <w:rsid w:val="09EB6AE1"/>
    <w:rsid w:val="09F33618"/>
    <w:rsid w:val="0A0F62EE"/>
    <w:rsid w:val="0AF62F6A"/>
    <w:rsid w:val="0B4354CB"/>
    <w:rsid w:val="0B6E4437"/>
    <w:rsid w:val="0B9109AA"/>
    <w:rsid w:val="0BC3240C"/>
    <w:rsid w:val="0BC83F60"/>
    <w:rsid w:val="0C521233"/>
    <w:rsid w:val="0C730B66"/>
    <w:rsid w:val="0D020937"/>
    <w:rsid w:val="0D4A0241"/>
    <w:rsid w:val="0DA717DD"/>
    <w:rsid w:val="0E1D06E9"/>
    <w:rsid w:val="0E4C4CAD"/>
    <w:rsid w:val="0E6C4374"/>
    <w:rsid w:val="0F6A1B72"/>
    <w:rsid w:val="0F7E4AB5"/>
    <w:rsid w:val="0FDF5C57"/>
    <w:rsid w:val="0FEF45D8"/>
    <w:rsid w:val="106B07D0"/>
    <w:rsid w:val="10B57C21"/>
    <w:rsid w:val="11052D75"/>
    <w:rsid w:val="11121F8F"/>
    <w:rsid w:val="11CA3566"/>
    <w:rsid w:val="11E8746F"/>
    <w:rsid w:val="129B2E90"/>
    <w:rsid w:val="12C51E21"/>
    <w:rsid w:val="137A5404"/>
    <w:rsid w:val="13EF0EA4"/>
    <w:rsid w:val="14D34591"/>
    <w:rsid w:val="14D74F4B"/>
    <w:rsid w:val="14D9719C"/>
    <w:rsid w:val="14F35BB7"/>
    <w:rsid w:val="15DD252D"/>
    <w:rsid w:val="162C4539"/>
    <w:rsid w:val="17077E1E"/>
    <w:rsid w:val="173741A6"/>
    <w:rsid w:val="17497256"/>
    <w:rsid w:val="174B1C4B"/>
    <w:rsid w:val="17684412"/>
    <w:rsid w:val="17822770"/>
    <w:rsid w:val="17AE485B"/>
    <w:rsid w:val="17B0263E"/>
    <w:rsid w:val="17B8199D"/>
    <w:rsid w:val="17EC2627"/>
    <w:rsid w:val="18151F96"/>
    <w:rsid w:val="181C07FE"/>
    <w:rsid w:val="18474916"/>
    <w:rsid w:val="18891660"/>
    <w:rsid w:val="190E2584"/>
    <w:rsid w:val="195E4844"/>
    <w:rsid w:val="19AE6A7C"/>
    <w:rsid w:val="19D2412A"/>
    <w:rsid w:val="1A205D77"/>
    <w:rsid w:val="1A2F4635"/>
    <w:rsid w:val="1A6500CD"/>
    <w:rsid w:val="1A6E3101"/>
    <w:rsid w:val="1AA40A79"/>
    <w:rsid w:val="1AAA7997"/>
    <w:rsid w:val="1AB67180"/>
    <w:rsid w:val="1AD03189"/>
    <w:rsid w:val="1AD432CC"/>
    <w:rsid w:val="1AEA5623"/>
    <w:rsid w:val="1B927ADD"/>
    <w:rsid w:val="1B9E2075"/>
    <w:rsid w:val="1BAE4885"/>
    <w:rsid w:val="1BDF0B10"/>
    <w:rsid w:val="1BED33B9"/>
    <w:rsid w:val="1C471BAE"/>
    <w:rsid w:val="1C5C0C26"/>
    <w:rsid w:val="1CD4051D"/>
    <w:rsid w:val="1CDD2E94"/>
    <w:rsid w:val="1D027F1C"/>
    <w:rsid w:val="1D0A3E09"/>
    <w:rsid w:val="1E1D26F4"/>
    <w:rsid w:val="1E486D96"/>
    <w:rsid w:val="1E513B7B"/>
    <w:rsid w:val="1E66059A"/>
    <w:rsid w:val="1EBA5A37"/>
    <w:rsid w:val="1F47327D"/>
    <w:rsid w:val="1F816AF6"/>
    <w:rsid w:val="1F8E47EB"/>
    <w:rsid w:val="1FCD6E14"/>
    <w:rsid w:val="20E36C50"/>
    <w:rsid w:val="21250A1F"/>
    <w:rsid w:val="21924D23"/>
    <w:rsid w:val="219F1FA0"/>
    <w:rsid w:val="21E76FBA"/>
    <w:rsid w:val="22016D7A"/>
    <w:rsid w:val="226B42AC"/>
    <w:rsid w:val="226F3203"/>
    <w:rsid w:val="22AD29BB"/>
    <w:rsid w:val="232F5F2B"/>
    <w:rsid w:val="232F6B26"/>
    <w:rsid w:val="23355E47"/>
    <w:rsid w:val="233A2E13"/>
    <w:rsid w:val="23AD17DA"/>
    <w:rsid w:val="24116252"/>
    <w:rsid w:val="244D1F35"/>
    <w:rsid w:val="24615AF1"/>
    <w:rsid w:val="24A47FAB"/>
    <w:rsid w:val="24A972CC"/>
    <w:rsid w:val="24B2644C"/>
    <w:rsid w:val="24BD7292"/>
    <w:rsid w:val="259D757A"/>
    <w:rsid w:val="25C90160"/>
    <w:rsid w:val="25EB1CBA"/>
    <w:rsid w:val="26CA70AB"/>
    <w:rsid w:val="27206676"/>
    <w:rsid w:val="27323AFD"/>
    <w:rsid w:val="273625F3"/>
    <w:rsid w:val="27640D6C"/>
    <w:rsid w:val="281929B4"/>
    <w:rsid w:val="284631BC"/>
    <w:rsid w:val="28790229"/>
    <w:rsid w:val="28955221"/>
    <w:rsid w:val="29463324"/>
    <w:rsid w:val="29483044"/>
    <w:rsid w:val="29DB5E89"/>
    <w:rsid w:val="2A880A7B"/>
    <w:rsid w:val="2AE47E9C"/>
    <w:rsid w:val="2AE5327C"/>
    <w:rsid w:val="2AEC5CA9"/>
    <w:rsid w:val="2B044026"/>
    <w:rsid w:val="2B585185"/>
    <w:rsid w:val="2B987E93"/>
    <w:rsid w:val="2BA900DA"/>
    <w:rsid w:val="2BFF6D43"/>
    <w:rsid w:val="2C5E4903"/>
    <w:rsid w:val="2CCD5185"/>
    <w:rsid w:val="2CDE257A"/>
    <w:rsid w:val="2CEE627B"/>
    <w:rsid w:val="2D1D0F10"/>
    <w:rsid w:val="2D254805"/>
    <w:rsid w:val="2D3E6293"/>
    <w:rsid w:val="2D716FB7"/>
    <w:rsid w:val="2D7D1990"/>
    <w:rsid w:val="2DB66D80"/>
    <w:rsid w:val="2DC144F7"/>
    <w:rsid w:val="2DC4660F"/>
    <w:rsid w:val="2ED85E73"/>
    <w:rsid w:val="2EDA6F06"/>
    <w:rsid w:val="2F384988"/>
    <w:rsid w:val="2F3E13BB"/>
    <w:rsid w:val="2F60641D"/>
    <w:rsid w:val="2F6239B5"/>
    <w:rsid w:val="2FC04BEF"/>
    <w:rsid w:val="30057BEC"/>
    <w:rsid w:val="301A4A2F"/>
    <w:rsid w:val="30287B62"/>
    <w:rsid w:val="30442541"/>
    <w:rsid w:val="305C69DC"/>
    <w:rsid w:val="30997F39"/>
    <w:rsid w:val="30B03D7B"/>
    <w:rsid w:val="31047F0E"/>
    <w:rsid w:val="315C46BD"/>
    <w:rsid w:val="329135B7"/>
    <w:rsid w:val="32BF3509"/>
    <w:rsid w:val="32E35695"/>
    <w:rsid w:val="33110959"/>
    <w:rsid w:val="33B916E0"/>
    <w:rsid w:val="33D321A9"/>
    <w:rsid w:val="33E31656"/>
    <w:rsid w:val="33FC15EB"/>
    <w:rsid w:val="349E2586"/>
    <w:rsid w:val="34AC0990"/>
    <w:rsid w:val="35150EE6"/>
    <w:rsid w:val="36107F4A"/>
    <w:rsid w:val="36174299"/>
    <w:rsid w:val="36504865"/>
    <w:rsid w:val="366D489F"/>
    <w:rsid w:val="367C1664"/>
    <w:rsid w:val="36807F5F"/>
    <w:rsid w:val="368F09FA"/>
    <w:rsid w:val="36E76FE1"/>
    <w:rsid w:val="375D203C"/>
    <w:rsid w:val="38026A6F"/>
    <w:rsid w:val="38244844"/>
    <w:rsid w:val="383C5696"/>
    <w:rsid w:val="387B18EF"/>
    <w:rsid w:val="387E303B"/>
    <w:rsid w:val="38FD1C54"/>
    <w:rsid w:val="392D582E"/>
    <w:rsid w:val="39C15447"/>
    <w:rsid w:val="3A3C34B9"/>
    <w:rsid w:val="3A9827B6"/>
    <w:rsid w:val="3AB578C7"/>
    <w:rsid w:val="3AD14697"/>
    <w:rsid w:val="3BC63B24"/>
    <w:rsid w:val="3BCD3EBF"/>
    <w:rsid w:val="3CAB19CD"/>
    <w:rsid w:val="3CAC7EDE"/>
    <w:rsid w:val="3CDB3BDA"/>
    <w:rsid w:val="3CFB3391"/>
    <w:rsid w:val="3D562934"/>
    <w:rsid w:val="3D60411F"/>
    <w:rsid w:val="3D8A02CD"/>
    <w:rsid w:val="3DA93298"/>
    <w:rsid w:val="3DDF4B2C"/>
    <w:rsid w:val="3DF94976"/>
    <w:rsid w:val="3E004CF1"/>
    <w:rsid w:val="3E547E99"/>
    <w:rsid w:val="3EC82150"/>
    <w:rsid w:val="3EFA5782"/>
    <w:rsid w:val="3F0D44AE"/>
    <w:rsid w:val="3F1D6618"/>
    <w:rsid w:val="3F36468C"/>
    <w:rsid w:val="3FB75AA7"/>
    <w:rsid w:val="3FBA1F41"/>
    <w:rsid w:val="3FFC782B"/>
    <w:rsid w:val="401B3CF2"/>
    <w:rsid w:val="40327DB0"/>
    <w:rsid w:val="40A9190D"/>
    <w:rsid w:val="40AB1D23"/>
    <w:rsid w:val="40F53849"/>
    <w:rsid w:val="41E657FF"/>
    <w:rsid w:val="41E70D48"/>
    <w:rsid w:val="42917FBA"/>
    <w:rsid w:val="43054E88"/>
    <w:rsid w:val="436C0A8D"/>
    <w:rsid w:val="43DB52A2"/>
    <w:rsid w:val="43DC2B82"/>
    <w:rsid w:val="43E22ABA"/>
    <w:rsid w:val="43F80DCD"/>
    <w:rsid w:val="43FB75A4"/>
    <w:rsid w:val="445D41D8"/>
    <w:rsid w:val="44751F2B"/>
    <w:rsid w:val="44884C83"/>
    <w:rsid w:val="449622B7"/>
    <w:rsid w:val="453074E6"/>
    <w:rsid w:val="46500EC4"/>
    <w:rsid w:val="467E1C70"/>
    <w:rsid w:val="468A4245"/>
    <w:rsid w:val="4748596C"/>
    <w:rsid w:val="47500045"/>
    <w:rsid w:val="47601042"/>
    <w:rsid w:val="476B40D2"/>
    <w:rsid w:val="478B7839"/>
    <w:rsid w:val="48040645"/>
    <w:rsid w:val="48523C0A"/>
    <w:rsid w:val="48763CF2"/>
    <w:rsid w:val="487C78C9"/>
    <w:rsid w:val="489E3890"/>
    <w:rsid w:val="494975E8"/>
    <w:rsid w:val="497A2C70"/>
    <w:rsid w:val="49E47F6E"/>
    <w:rsid w:val="4A4F766A"/>
    <w:rsid w:val="4A51245D"/>
    <w:rsid w:val="4B3A06D7"/>
    <w:rsid w:val="4B3F6B82"/>
    <w:rsid w:val="4B447127"/>
    <w:rsid w:val="4B6B7860"/>
    <w:rsid w:val="4B822253"/>
    <w:rsid w:val="4BC56187"/>
    <w:rsid w:val="4BD34E49"/>
    <w:rsid w:val="4C0C01C1"/>
    <w:rsid w:val="4CBC28D9"/>
    <w:rsid w:val="4D3021F3"/>
    <w:rsid w:val="4D3F455B"/>
    <w:rsid w:val="4D6E3BBD"/>
    <w:rsid w:val="4DBC088F"/>
    <w:rsid w:val="4DCF2F60"/>
    <w:rsid w:val="4E2174AB"/>
    <w:rsid w:val="4E2C1433"/>
    <w:rsid w:val="4E300D69"/>
    <w:rsid w:val="4E4E5A90"/>
    <w:rsid w:val="4E6C325B"/>
    <w:rsid w:val="4EC54C1D"/>
    <w:rsid w:val="4ED35B75"/>
    <w:rsid w:val="4EE00DE1"/>
    <w:rsid w:val="4F7072B9"/>
    <w:rsid w:val="4F7E2EF6"/>
    <w:rsid w:val="4F8464B4"/>
    <w:rsid w:val="4F9A1B35"/>
    <w:rsid w:val="4FD70343"/>
    <w:rsid w:val="50391FDB"/>
    <w:rsid w:val="504E4830"/>
    <w:rsid w:val="50530F7D"/>
    <w:rsid w:val="50806617"/>
    <w:rsid w:val="50D76907"/>
    <w:rsid w:val="50E71153"/>
    <w:rsid w:val="513F1823"/>
    <w:rsid w:val="516F27CB"/>
    <w:rsid w:val="5196143C"/>
    <w:rsid w:val="51DC2339"/>
    <w:rsid w:val="51E63FE0"/>
    <w:rsid w:val="52043826"/>
    <w:rsid w:val="52125025"/>
    <w:rsid w:val="524266BE"/>
    <w:rsid w:val="52F13971"/>
    <w:rsid w:val="531151F6"/>
    <w:rsid w:val="53193AC3"/>
    <w:rsid w:val="53356AB0"/>
    <w:rsid w:val="53597175"/>
    <w:rsid w:val="53687418"/>
    <w:rsid w:val="53720DE2"/>
    <w:rsid w:val="53C90016"/>
    <w:rsid w:val="53CD4272"/>
    <w:rsid w:val="53F92C98"/>
    <w:rsid w:val="54067AFD"/>
    <w:rsid w:val="54FD6B07"/>
    <w:rsid w:val="555D67A4"/>
    <w:rsid w:val="55B60238"/>
    <w:rsid w:val="55EA5219"/>
    <w:rsid w:val="561505D4"/>
    <w:rsid w:val="563102A4"/>
    <w:rsid w:val="56973E1F"/>
    <w:rsid w:val="576772B5"/>
    <w:rsid w:val="57CD71C9"/>
    <w:rsid w:val="57E34306"/>
    <w:rsid w:val="57E57589"/>
    <w:rsid w:val="57ED2754"/>
    <w:rsid w:val="58AC71CF"/>
    <w:rsid w:val="591254B9"/>
    <w:rsid w:val="59A92A61"/>
    <w:rsid w:val="59C9560C"/>
    <w:rsid w:val="5ADE1F73"/>
    <w:rsid w:val="5BF8382F"/>
    <w:rsid w:val="5C22684F"/>
    <w:rsid w:val="5CB52BD2"/>
    <w:rsid w:val="5CDF456F"/>
    <w:rsid w:val="5CE3322E"/>
    <w:rsid w:val="5D572C78"/>
    <w:rsid w:val="5DCB33F6"/>
    <w:rsid w:val="5DD153DA"/>
    <w:rsid w:val="5DFF429F"/>
    <w:rsid w:val="5E3556CC"/>
    <w:rsid w:val="5E6A2CC5"/>
    <w:rsid w:val="5E990EF9"/>
    <w:rsid w:val="5E99583F"/>
    <w:rsid w:val="5EBF74D1"/>
    <w:rsid w:val="5F2465E8"/>
    <w:rsid w:val="5F306102"/>
    <w:rsid w:val="5F4B72E8"/>
    <w:rsid w:val="5F783DAA"/>
    <w:rsid w:val="601A24B3"/>
    <w:rsid w:val="603B11D0"/>
    <w:rsid w:val="60E15CF6"/>
    <w:rsid w:val="60FE4D9D"/>
    <w:rsid w:val="61067EA9"/>
    <w:rsid w:val="612C47B1"/>
    <w:rsid w:val="61AA49D7"/>
    <w:rsid w:val="61DB480A"/>
    <w:rsid w:val="626A12F1"/>
    <w:rsid w:val="62B063C4"/>
    <w:rsid w:val="62F241E8"/>
    <w:rsid w:val="632B71C6"/>
    <w:rsid w:val="634C153F"/>
    <w:rsid w:val="636F7002"/>
    <w:rsid w:val="6438051B"/>
    <w:rsid w:val="645940DA"/>
    <w:rsid w:val="64834DD8"/>
    <w:rsid w:val="648C318D"/>
    <w:rsid w:val="64D30970"/>
    <w:rsid w:val="653505E7"/>
    <w:rsid w:val="65721177"/>
    <w:rsid w:val="658F218E"/>
    <w:rsid w:val="661B154B"/>
    <w:rsid w:val="662114A5"/>
    <w:rsid w:val="662E766F"/>
    <w:rsid w:val="66AC2722"/>
    <w:rsid w:val="67305B69"/>
    <w:rsid w:val="676A38DC"/>
    <w:rsid w:val="678F1196"/>
    <w:rsid w:val="67A05B7E"/>
    <w:rsid w:val="67ED5EED"/>
    <w:rsid w:val="68101CC4"/>
    <w:rsid w:val="687424E1"/>
    <w:rsid w:val="68D433DA"/>
    <w:rsid w:val="68D81006"/>
    <w:rsid w:val="69146FEF"/>
    <w:rsid w:val="69D34CDF"/>
    <w:rsid w:val="6A5F4FA1"/>
    <w:rsid w:val="6A7A4E34"/>
    <w:rsid w:val="6ADA6866"/>
    <w:rsid w:val="6B61332D"/>
    <w:rsid w:val="6C4516BE"/>
    <w:rsid w:val="6C4F5101"/>
    <w:rsid w:val="6C7621DF"/>
    <w:rsid w:val="6C787452"/>
    <w:rsid w:val="6C853C97"/>
    <w:rsid w:val="6CE1254E"/>
    <w:rsid w:val="6CEF4F0F"/>
    <w:rsid w:val="6D397846"/>
    <w:rsid w:val="6DAA12B9"/>
    <w:rsid w:val="6DAB59DE"/>
    <w:rsid w:val="6DAC0CA7"/>
    <w:rsid w:val="6E434EF0"/>
    <w:rsid w:val="6E6E4E06"/>
    <w:rsid w:val="6E7A016D"/>
    <w:rsid w:val="6EC47A23"/>
    <w:rsid w:val="6EF47564"/>
    <w:rsid w:val="701B0E3A"/>
    <w:rsid w:val="70235C5C"/>
    <w:rsid w:val="702C1048"/>
    <w:rsid w:val="70455FF7"/>
    <w:rsid w:val="705B4869"/>
    <w:rsid w:val="707215D5"/>
    <w:rsid w:val="708B7B34"/>
    <w:rsid w:val="71493855"/>
    <w:rsid w:val="71525973"/>
    <w:rsid w:val="71B53A87"/>
    <w:rsid w:val="71D55BDA"/>
    <w:rsid w:val="71DA2ABA"/>
    <w:rsid w:val="71F76241"/>
    <w:rsid w:val="726971FF"/>
    <w:rsid w:val="72F42593"/>
    <w:rsid w:val="730043D2"/>
    <w:rsid w:val="73724465"/>
    <w:rsid w:val="73CC483B"/>
    <w:rsid w:val="74125A53"/>
    <w:rsid w:val="741D2362"/>
    <w:rsid w:val="74933D70"/>
    <w:rsid w:val="749C2B7B"/>
    <w:rsid w:val="749D1342"/>
    <w:rsid w:val="7548123A"/>
    <w:rsid w:val="75566EE4"/>
    <w:rsid w:val="7583200C"/>
    <w:rsid w:val="7660428B"/>
    <w:rsid w:val="76A81B85"/>
    <w:rsid w:val="76C56DC4"/>
    <w:rsid w:val="76F2653C"/>
    <w:rsid w:val="7731279D"/>
    <w:rsid w:val="77B4314C"/>
    <w:rsid w:val="77CD13AB"/>
    <w:rsid w:val="77D84AFD"/>
    <w:rsid w:val="789E6215"/>
    <w:rsid w:val="78C647AD"/>
    <w:rsid w:val="79900684"/>
    <w:rsid w:val="79963F39"/>
    <w:rsid w:val="79A65463"/>
    <w:rsid w:val="79F31D17"/>
    <w:rsid w:val="7A286456"/>
    <w:rsid w:val="7AAA2C74"/>
    <w:rsid w:val="7ACF0E2A"/>
    <w:rsid w:val="7ADC31A8"/>
    <w:rsid w:val="7AE11CFE"/>
    <w:rsid w:val="7B275319"/>
    <w:rsid w:val="7B4324F0"/>
    <w:rsid w:val="7B453B00"/>
    <w:rsid w:val="7B6A4869"/>
    <w:rsid w:val="7B8F0214"/>
    <w:rsid w:val="7BF111A2"/>
    <w:rsid w:val="7C280C89"/>
    <w:rsid w:val="7CAE4569"/>
    <w:rsid w:val="7CB121DB"/>
    <w:rsid w:val="7CBE43EB"/>
    <w:rsid w:val="7D040A54"/>
    <w:rsid w:val="7D2B5029"/>
    <w:rsid w:val="7DBB4185"/>
    <w:rsid w:val="7DC934DB"/>
    <w:rsid w:val="7E5739DC"/>
    <w:rsid w:val="7E9E3841"/>
    <w:rsid w:val="7ECB1A77"/>
    <w:rsid w:val="7ECC1B65"/>
    <w:rsid w:val="7ED60533"/>
    <w:rsid w:val="7EE23AE4"/>
    <w:rsid w:val="7EE52B34"/>
    <w:rsid w:val="7FB77874"/>
    <w:rsid w:val="7FE3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60"/>
    <w:qFormat/>
    <w:uiPriority w:val="0"/>
    <w:pPr>
      <w:keepNext/>
      <w:keepLines/>
      <w:spacing w:after="120" w:line="360" w:lineRule="auto"/>
      <w:outlineLvl w:val="0"/>
    </w:pPr>
    <w:rPr>
      <w:kern w:val="44"/>
      <w:sz w:val="28"/>
      <w:szCs w:val="28"/>
    </w:rPr>
  </w:style>
  <w:style w:type="paragraph" w:styleId="7">
    <w:name w:val="heading 2"/>
    <w:basedOn w:val="1"/>
    <w:next w:val="1"/>
    <w:link w:val="61"/>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8">
    <w:name w:val="heading 3"/>
    <w:basedOn w:val="1"/>
    <w:next w:val="1"/>
    <w:link w:val="46"/>
    <w:qFormat/>
    <w:uiPriority w:val="0"/>
    <w:pPr>
      <w:widowControl/>
      <w:spacing w:before="100" w:beforeAutospacing="1" w:after="100" w:afterAutospacing="1"/>
      <w:jc w:val="left"/>
      <w:outlineLvl w:val="2"/>
    </w:pPr>
    <w:rPr>
      <w:rFonts w:ascii="宋体" w:hAnsi="宋体" w:eastAsia="宋体" w:cs="宋体"/>
      <w:kern w:val="0"/>
      <w:sz w:val="24"/>
      <w:szCs w:val="27"/>
    </w:rPr>
  </w:style>
  <w:style w:type="paragraph" w:styleId="9">
    <w:name w:val="heading 4"/>
    <w:basedOn w:val="8"/>
    <w:next w:val="2"/>
    <w:link w:val="62"/>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0">
    <w:name w:val="heading 5"/>
    <w:basedOn w:val="9"/>
    <w:next w:val="2"/>
    <w:link w:val="63"/>
    <w:qFormat/>
    <w:uiPriority w:val="0"/>
    <w:pPr>
      <w:numPr>
        <w:ilvl w:val="4"/>
      </w:numPr>
      <w:spacing w:line="240" w:lineRule="exact"/>
      <w:outlineLvl w:val="4"/>
    </w:pPr>
  </w:style>
  <w:style w:type="paragraph" w:styleId="11">
    <w:name w:val="heading 6"/>
    <w:basedOn w:val="1"/>
    <w:next w:val="1"/>
    <w:link w:val="64"/>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2"/>
    <w:link w:val="65"/>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3">
    <w:name w:val="heading 8"/>
    <w:basedOn w:val="1"/>
    <w:next w:val="2"/>
    <w:link w:val="66"/>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2"/>
    <w:link w:val="67"/>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szCs w:val="20"/>
    </w:rPr>
  </w:style>
  <w:style w:type="paragraph" w:styleId="4">
    <w:name w:val="Title"/>
    <w:basedOn w:val="1"/>
    <w:link w:val="69"/>
    <w:qFormat/>
    <w:uiPriority w:val="0"/>
    <w:pPr>
      <w:spacing w:before="120" w:after="60"/>
      <w:jc w:val="center"/>
    </w:pPr>
    <w:rPr>
      <w:rFonts w:ascii="Arial" w:hAnsi="Arial"/>
      <w:b/>
      <w:sz w:val="44"/>
      <w:szCs w:val="20"/>
    </w:rPr>
  </w:style>
  <w:style w:type="paragraph" w:styleId="5">
    <w:name w:val="Body Text First Indent"/>
    <w:basedOn w:val="6"/>
    <w:link w:val="73"/>
    <w:qFormat/>
    <w:uiPriority w:val="0"/>
    <w:pPr>
      <w:ind w:firstLine="420"/>
    </w:pPr>
  </w:style>
  <w:style w:type="paragraph" w:styleId="6">
    <w:name w:val="Body Text"/>
    <w:basedOn w:val="1"/>
    <w:link w:val="71"/>
    <w:qFormat/>
    <w:uiPriority w:val="0"/>
    <w:pPr>
      <w:spacing w:after="120"/>
    </w:pPr>
    <w:rPr>
      <w:rFonts w:ascii="Times New Roman" w:hAnsi="Times New Roman"/>
      <w:szCs w:val="20"/>
    </w:rPr>
  </w:style>
  <w:style w:type="paragraph" w:styleId="15">
    <w:name w:val="Document Map"/>
    <w:basedOn w:val="1"/>
    <w:link w:val="79"/>
    <w:qFormat/>
    <w:uiPriority w:val="0"/>
    <w:pPr>
      <w:shd w:val="clear" w:color="auto" w:fill="000080"/>
    </w:pPr>
    <w:rPr>
      <w:rFonts w:ascii="Times New Roman" w:hAnsi="Times New Roman"/>
      <w:szCs w:val="20"/>
    </w:rPr>
  </w:style>
  <w:style w:type="paragraph" w:styleId="16">
    <w:name w:val="annotation text"/>
    <w:basedOn w:val="1"/>
    <w:link w:val="105"/>
    <w:qFormat/>
    <w:uiPriority w:val="0"/>
    <w:pPr>
      <w:spacing w:line="360" w:lineRule="auto"/>
      <w:ind w:firstLine="523" w:firstLineChars="218"/>
      <w:jc w:val="left"/>
    </w:pPr>
    <w:rPr>
      <w:rFonts w:ascii="宋体" w:hAnsi="宋体"/>
      <w:sz w:val="24"/>
      <w:szCs w:val="24"/>
    </w:rPr>
  </w:style>
  <w:style w:type="paragraph" w:styleId="17">
    <w:name w:val="Body Text Indent"/>
    <w:basedOn w:val="1"/>
    <w:link w:val="77"/>
    <w:qFormat/>
    <w:uiPriority w:val="0"/>
    <w:pPr>
      <w:ind w:firstLine="570"/>
    </w:pPr>
    <w:rPr>
      <w:rFonts w:ascii="Times New Roman" w:hAnsi="Times New Roman"/>
      <w:sz w:val="28"/>
      <w:szCs w:val="20"/>
    </w:rPr>
  </w:style>
  <w:style w:type="paragraph" w:styleId="18">
    <w:name w:val="index 4"/>
    <w:basedOn w:val="1"/>
    <w:next w:val="1"/>
    <w:unhideWhenUsed/>
    <w:qFormat/>
    <w:uiPriority w:val="99"/>
    <w:pPr>
      <w:ind w:left="600" w:leftChars="600"/>
    </w:pPr>
  </w:style>
  <w:style w:type="paragraph" w:styleId="19">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0">
    <w:name w:val="Plain Text"/>
    <w:basedOn w:val="1"/>
    <w:next w:val="1"/>
    <w:link w:val="81"/>
    <w:qFormat/>
    <w:uiPriority w:val="0"/>
    <w:rPr>
      <w:rFonts w:ascii="宋体" w:hAnsi="Courier New"/>
      <w:szCs w:val="20"/>
    </w:rPr>
  </w:style>
  <w:style w:type="paragraph" w:styleId="21">
    <w:name w:val="Date"/>
    <w:basedOn w:val="1"/>
    <w:next w:val="1"/>
    <w:link w:val="75"/>
    <w:qFormat/>
    <w:uiPriority w:val="0"/>
    <w:rPr>
      <w:rFonts w:ascii="Times New Roman" w:hAnsi="Times New Roman"/>
      <w:szCs w:val="20"/>
    </w:rPr>
  </w:style>
  <w:style w:type="paragraph" w:styleId="22">
    <w:name w:val="Body Text Indent 2"/>
    <w:basedOn w:val="1"/>
    <w:link w:val="83"/>
    <w:qFormat/>
    <w:uiPriority w:val="0"/>
    <w:pPr>
      <w:spacing w:line="400" w:lineRule="exact"/>
      <w:ind w:left="425"/>
    </w:pPr>
    <w:rPr>
      <w:rFonts w:ascii="Times New Roman" w:hAnsi="Times New Roman"/>
      <w:color w:val="000000"/>
      <w:sz w:val="24"/>
      <w:szCs w:val="20"/>
    </w:rPr>
  </w:style>
  <w:style w:type="paragraph" w:styleId="23">
    <w:name w:val="endnote text"/>
    <w:basedOn w:val="1"/>
    <w:link w:val="92"/>
    <w:qFormat/>
    <w:uiPriority w:val="0"/>
    <w:pPr>
      <w:snapToGrid w:val="0"/>
      <w:jc w:val="left"/>
    </w:pPr>
    <w:rPr>
      <w:rFonts w:ascii="Times New Roman" w:hAnsi="Times New Roman"/>
      <w:szCs w:val="20"/>
    </w:rPr>
  </w:style>
  <w:style w:type="paragraph" w:styleId="24">
    <w:name w:val="Balloon Text"/>
    <w:basedOn w:val="1"/>
    <w:link w:val="102"/>
    <w:qFormat/>
    <w:uiPriority w:val="0"/>
    <w:rPr>
      <w:rFonts w:ascii="Times New Roman" w:hAnsi="Times New Roman"/>
      <w:sz w:val="18"/>
      <w:szCs w:val="18"/>
    </w:rPr>
  </w:style>
  <w:style w:type="paragraph" w:styleId="25">
    <w:name w:val="footer"/>
    <w:basedOn w:val="1"/>
    <w:link w:val="59"/>
    <w:unhideWhenUsed/>
    <w:qFormat/>
    <w:uiPriority w:val="0"/>
    <w:pPr>
      <w:tabs>
        <w:tab w:val="center" w:pos="4153"/>
        <w:tab w:val="right" w:pos="8306"/>
      </w:tabs>
      <w:snapToGrid w:val="0"/>
      <w:jc w:val="left"/>
    </w:pPr>
    <w:rPr>
      <w:sz w:val="18"/>
      <w:szCs w:val="18"/>
    </w:rPr>
  </w:style>
  <w:style w:type="paragraph" w:styleId="26">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8">
    <w:name w:val="footnote text"/>
    <w:basedOn w:val="1"/>
    <w:link w:val="107"/>
    <w:qFormat/>
    <w:uiPriority w:val="0"/>
    <w:pPr>
      <w:snapToGrid w:val="0"/>
      <w:spacing w:line="360" w:lineRule="auto"/>
      <w:ind w:firstLine="523" w:firstLineChars="218"/>
      <w:jc w:val="left"/>
    </w:pPr>
    <w:rPr>
      <w:rFonts w:ascii="宋体" w:hAnsi="宋体"/>
      <w:sz w:val="18"/>
      <w:szCs w:val="18"/>
    </w:rPr>
  </w:style>
  <w:style w:type="paragraph" w:styleId="29">
    <w:name w:val="Body Text Indent 3"/>
    <w:basedOn w:val="1"/>
    <w:link w:val="85"/>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0">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Body Text 2"/>
    <w:basedOn w:val="1"/>
    <w:link w:val="89"/>
    <w:qFormat/>
    <w:uiPriority w:val="0"/>
    <w:rPr>
      <w:rFonts w:ascii="宋体" w:hAnsi="宋体"/>
      <w:szCs w:val="24"/>
      <w:u w:val="single"/>
    </w:rPr>
  </w:style>
  <w:style w:type="paragraph" w:styleId="3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3">
    <w:name w:val="Normal (Web)"/>
    <w:basedOn w:val="1"/>
    <w:qFormat/>
    <w:uiPriority w:val="0"/>
    <w:pPr>
      <w:widowControl/>
      <w:autoSpaceDE/>
      <w:autoSpaceDN/>
      <w:spacing w:before="100" w:beforeAutospacing="1" w:after="100" w:afterAutospacing="1"/>
    </w:pPr>
    <w:rPr>
      <w:rFonts w:ascii="宋体" w:hAnsi="宋体" w:eastAsia="方正楷体_GB2312" w:cs="宋体"/>
      <w:sz w:val="24"/>
      <w:szCs w:val="24"/>
    </w:rPr>
  </w:style>
  <w:style w:type="paragraph" w:styleId="34">
    <w:name w:val="index 1"/>
    <w:basedOn w:val="1"/>
    <w:next w:val="1"/>
    <w:qFormat/>
    <w:uiPriority w:val="0"/>
    <w:rPr>
      <w:rFonts w:ascii="Times New Roman" w:hAnsi="Times New Roman" w:eastAsia="仿宋_GB2312"/>
      <w:sz w:val="28"/>
      <w:szCs w:val="20"/>
    </w:rPr>
  </w:style>
  <w:style w:type="paragraph" w:styleId="35">
    <w:name w:val="annotation subject"/>
    <w:basedOn w:val="16"/>
    <w:next w:val="16"/>
    <w:link w:val="109"/>
    <w:qFormat/>
    <w:uiPriority w:val="0"/>
    <w:rPr>
      <w:b/>
      <w:bCs/>
    </w:rPr>
  </w:style>
  <w:style w:type="table" w:styleId="37">
    <w:name w:val="Table Grid"/>
    <w:basedOn w:val="36"/>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endnote reference"/>
    <w:qFormat/>
    <w:uiPriority w:val="0"/>
    <w:rPr>
      <w:vertAlign w:val="superscript"/>
    </w:rPr>
  </w:style>
  <w:style w:type="character" w:styleId="41">
    <w:name w:val="page number"/>
    <w:qFormat/>
    <w:uiPriority w:val="0"/>
    <w:rPr>
      <w:rFonts w:cs="Times New Roman"/>
    </w:rPr>
  </w:style>
  <w:style w:type="character" w:styleId="42">
    <w:name w:val="FollowedHyperlink"/>
    <w:semiHidden/>
    <w:unhideWhenUsed/>
    <w:qFormat/>
    <w:uiPriority w:val="99"/>
    <w:rPr>
      <w:color w:val="954F72"/>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styleId="45">
    <w:name w:val="footnote reference"/>
    <w:qFormat/>
    <w:uiPriority w:val="0"/>
    <w:rPr>
      <w:vertAlign w:val="superscript"/>
    </w:rPr>
  </w:style>
  <w:style w:type="character" w:customStyle="1" w:styleId="46">
    <w:name w:val="标题 3 Char"/>
    <w:link w:val="8"/>
    <w:qFormat/>
    <w:uiPriority w:val="0"/>
    <w:rPr>
      <w:rFonts w:ascii="宋体" w:hAnsi="宋体" w:eastAsia="宋体" w:cs="宋体"/>
      <w:kern w:val="0"/>
      <w:sz w:val="24"/>
      <w:szCs w:val="27"/>
    </w:rPr>
  </w:style>
  <w:style w:type="character" w:customStyle="1" w:styleId="47">
    <w:name w:val="标题 1 字符"/>
    <w:qFormat/>
    <w:uiPriority w:val="9"/>
    <w:rPr>
      <w:rFonts w:ascii="Calibri" w:hAnsi="Calibri" w:eastAsia="宋体" w:cs="Times New Roman"/>
      <w:b/>
      <w:bCs/>
      <w:kern w:val="44"/>
      <w:sz w:val="44"/>
      <w:szCs w:val="44"/>
    </w:rPr>
  </w:style>
  <w:style w:type="character" w:customStyle="1" w:styleId="48">
    <w:name w:val="标题 2 字符"/>
    <w:semiHidden/>
    <w:qFormat/>
    <w:uiPriority w:val="9"/>
    <w:rPr>
      <w:rFonts w:ascii="等线 Light" w:hAnsi="等线 Light" w:eastAsia="等线 Light" w:cs="Times New Roman"/>
      <w:b/>
      <w:bCs/>
      <w:sz w:val="32"/>
      <w:szCs w:val="32"/>
    </w:rPr>
  </w:style>
  <w:style w:type="character" w:customStyle="1" w:styleId="49">
    <w:name w:val="标题 3 字符"/>
    <w:semiHidden/>
    <w:qFormat/>
    <w:uiPriority w:val="9"/>
    <w:rPr>
      <w:rFonts w:ascii="Calibri" w:hAnsi="Calibri" w:eastAsia="宋体" w:cs="Times New Roman"/>
      <w:b/>
      <w:bCs/>
      <w:sz w:val="32"/>
      <w:szCs w:val="32"/>
    </w:rPr>
  </w:style>
  <w:style w:type="character" w:customStyle="1" w:styleId="50">
    <w:name w:val="标题 4 字符"/>
    <w:semiHidden/>
    <w:qFormat/>
    <w:uiPriority w:val="9"/>
    <w:rPr>
      <w:rFonts w:ascii="等线 Light" w:hAnsi="等线 Light" w:eastAsia="等线 Light" w:cs="Times New Roman"/>
      <w:b/>
      <w:bCs/>
      <w:sz w:val="28"/>
      <w:szCs w:val="28"/>
    </w:rPr>
  </w:style>
  <w:style w:type="character" w:customStyle="1" w:styleId="51">
    <w:name w:val="标题 5 字符"/>
    <w:semiHidden/>
    <w:qFormat/>
    <w:uiPriority w:val="9"/>
    <w:rPr>
      <w:rFonts w:ascii="Calibri" w:hAnsi="Calibri" w:eastAsia="宋体" w:cs="Times New Roman"/>
      <w:b/>
      <w:bCs/>
      <w:sz w:val="28"/>
      <w:szCs w:val="28"/>
    </w:rPr>
  </w:style>
  <w:style w:type="character" w:customStyle="1" w:styleId="52">
    <w:name w:val="标题 6 字符"/>
    <w:semiHidden/>
    <w:qFormat/>
    <w:uiPriority w:val="9"/>
    <w:rPr>
      <w:rFonts w:ascii="等线 Light" w:hAnsi="等线 Light" w:eastAsia="等线 Light" w:cs="Times New Roman"/>
      <w:b/>
      <w:bCs/>
      <w:sz w:val="24"/>
      <w:szCs w:val="24"/>
    </w:rPr>
  </w:style>
  <w:style w:type="character" w:customStyle="1" w:styleId="53">
    <w:name w:val="标题 7 字符"/>
    <w:semiHidden/>
    <w:qFormat/>
    <w:uiPriority w:val="9"/>
    <w:rPr>
      <w:rFonts w:ascii="Calibri" w:hAnsi="Calibri" w:eastAsia="宋体" w:cs="Times New Roman"/>
      <w:b/>
      <w:bCs/>
      <w:sz w:val="24"/>
      <w:szCs w:val="24"/>
    </w:rPr>
  </w:style>
  <w:style w:type="character" w:customStyle="1" w:styleId="54">
    <w:name w:val="标题 8 字符"/>
    <w:semiHidden/>
    <w:qFormat/>
    <w:uiPriority w:val="9"/>
    <w:rPr>
      <w:rFonts w:ascii="等线 Light" w:hAnsi="等线 Light" w:eastAsia="等线 Light" w:cs="Times New Roman"/>
      <w:sz w:val="24"/>
      <w:szCs w:val="24"/>
    </w:rPr>
  </w:style>
  <w:style w:type="character" w:customStyle="1" w:styleId="55">
    <w:name w:val="标题 9 字符"/>
    <w:semiHidden/>
    <w:qFormat/>
    <w:uiPriority w:val="9"/>
    <w:rPr>
      <w:rFonts w:ascii="等线 Light" w:hAnsi="等线 Light" w:eastAsia="等线 Light" w:cs="Times New Roman"/>
      <w:szCs w:val="21"/>
    </w:rPr>
  </w:style>
  <w:style w:type="character" w:customStyle="1" w:styleId="56">
    <w:name w:val="页眉 字符"/>
    <w:semiHidden/>
    <w:qFormat/>
    <w:uiPriority w:val="99"/>
    <w:rPr>
      <w:rFonts w:ascii="Calibri" w:hAnsi="Calibri" w:eastAsia="宋体" w:cs="Times New Roman"/>
      <w:sz w:val="18"/>
      <w:szCs w:val="18"/>
    </w:rPr>
  </w:style>
  <w:style w:type="character" w:customStyle="1" w:styleId="57">
    <w:name w:val="页眉 Char3"/>
    <w:link w:val="26"/>
    <w:qFormat/>
    <w:uiPriority w:val="0"/>
    <w:rPr>
      <w:rFonts w:ascii="Calibri" w:hAnsi="Calibri" w:eastAsia="宋体" w:cs="Times New Roman"/>
      <w:sz w:val="18"/>
      <w:szCs w:val="18"/>
    </w:rPr>
  </w:style>
  <w:style w:type="character" w:customStyle="1" w:styleId="58">
    <w:name w:val="页脚 字符"/>
    <w:semiHidden/>
    <w:qFormat/>
    <w:uiPriority w:val="99"/>
    <w:rPr>
      <w:rFonts w:ascii="Calibri" w:hAnsi="Calibri" w:eastAsia="宋体" w:cs="Times New Roman"/>
      <w:sz w:val="18"/>
      <w:szCs w:val="18"/>
    </w:rPr>
  </w:style>
  <w:style w:type="character" w:customStyle="1" w:styleId="59">
    <w:name w:val="页脚 Char"/>
    <w:link w:val="25"/>
    <w:qFormat/>
    <w:uiPriority w:val="0"/>
    <w:rPr>
      <w:rFonts w:ascii="Calibri" w:hAnsi="Calibri" w:eastAsia="宋体" w:cs="Times New Roman"/>
      <w:sz w:val="18"/>
      <w:szCs w:val="18"/>
    </w:rPr>
  </w:style>
  <w:style w:type="character" w:customStyle="1" w:styleId="60">
    <w:name w:val="标题 1 Char"/>
    <w:link w:val="3"/>
    <w:qFormat/>
    <w:uiPriority w:val="0"/>
    <w:rPr>
      <w:rFonts w:ascii="Arial" w:hAnsi="Arial" w:eastAsia="宋体"/>
      <w:b/>
      <w:kern w:val="44"/>
      <w:sz w:val="28"/>
      <w:szCs w:val="28"/>
    </w:rPr>
  </w:style>
  <w:style w:type="character" w:customStyle="1" w:styleId="61">
    <w:name w:val="标题 2 Char"/>
    <w:link w:val="7"/>
    <w:qFormat/>
    <w:uiPriority w:val="0"/>
    <w:rPr>
      <w:rFonts w:ascii="Arial" w:hAnsi="Arial" w:eastAsia="宋体" w:cs="Times New Roman"/>
      <w:b/>
      <w:color w:val="000000"/>
      <w:sz w:val="24"/>
      <w:szCs w:val="24"/>
    </w:rPr>
  </w:style>
  <w:style w:type="character" w:customStyle="1" w:styleId="62">
    <w:name w:val="标题 4 Char"/>
    <w:link w:val="9"/>
    <w:qFormat/>
    <w:uiPriority w:val="0"/>
    <w:rPr>
      <w:rFonts w:ascii="Arial" w:hAnsi="Arial" w:eastAsia="宋体" w:cs="Times New Roman"/>
      <w:color w:val="000000"/>
      <w:szCs w:val="21"/>
    </w:rPr>
  </w:style>
  <w:style w:type="character" w:customStyle="1" w:styleId="63">
    <w:name w:val="标题 5 Char"/>
    <w:link w:val="10"/>
    <w:qFormat/>
    <w:uiPriority w:val="0"/>
    <w:rPr>
      <w:rFonts w:ascii="Arial" w:hAnsi="Arial" w:eastAsia="宋体" w:cs="Times New Roman"/>
      <w:color w:val="000000"/>
      <w:szCs w:val="21"/>
    </w:rPr>
  </w:style>
  <w:style w:type="character" w:customStyle="1" w:styleId="64">
    <w:name w:val="标题 6 Char"/>
    <w:link w:val="11"/>
    <w:qFormat/>
    <w:uiPriority w:val="0"/>
    <w:rPr>
      <w:rFonts w:ascii="Arial" w:hAnsi="Arial" w:eastAsia="黑体" w:cs="Times New Roman"/>
      <w:b/>
      <w:bCs/>
      <w:sz w:val="24"/>
      <w:szCs w:val="24"/>
    </w:rPr>
  </w:style>
  <w:style w:type="character" w:customStyle="1" w:styleId="65">
    <w:name w:val="标题 7 Char"/>
    <w:link w:val="12"/>
    <w:qFormat/>
    <w:uiPriority w:val="0"/>
    <w:rPr>
      <w:rFonts w:ascii="Times New Roman" w:hAnsi="Times New Roman" w:eastAsia="宋体" w:cs="Times New Roman"/>
      <w:b/>
      <w:sz w:val="24"/>
      <w:szCs w:val="20"/>
    </w:rPr>
  </w:style>
  <w:style w:type="character" w:customStyle="1" w:styleId="66">
    <w:name w:val="标题 8 Char"/>
    <w:link w:val="13"/>
    <w:qFormat/>
    <w:uiPriority w:val="0"/>
    <w:rPr>
      <w:rFonts w:ascii="Arial" w:hAnsi="Arial" w:eastAsia="黑体" w:cs="Times New Roman"/>
      <w:sz w:val="24"/>
      <w:szCs w:val="20"/>
    </w:rPr>
  </w:style>
  <w:style w:type="character" w:customStyle="1" w:styleId="67">
    <w:name w:val="标题 9 Char"/>
    <w:link w:val="14"/>
    <w:qFormat/>
    <w:uiPriority w:val="0"/>
    <w:rPr>
      <w:rFonts w:ascii="Arial" w:hAnsi="Arial" w:eastAsia="黑体" w:cs="Times New Roman"/>
      <w:szCs w:val="20"/>
    </w:rPr>
  </w:style>
  <w:style w:type="character" w:customStyle="1" w:styleId="68">
    <w:name w:val="标题 字符"/>
    <w:qFormat/>
    <w:uiPriority w:val="10"/>
    <w:rPr>
      <w:rFonts w:ascii="等线 Light" w:hAnsi="等线 Light" w:eastAsia="等线 Light" w:cs="Times New Roman"/>
      <w:b/>
      <w:bCs/>
      <w:sz w:val="32"/>
      <w:szCs w:val="32"/>
    </w:rPr>
  </w:style>
  <w:style w:type="character" w:customStyle="1" w:styleId="69">
    <w:name w:val="标题 Char"/>
    <w:link w:val="4"/>
    <w:qFormat/>
    <w:uiPriority w:val="0"/>
    <w:rPr>
      <w:rFonts w:ascii="Arial" w:hAnsi="Arial" w:eastAsia="宋体" w:cs="Times New Roman"/>
      <w:b/>
      <w:sz w:val="44"/>
      <w:szCs w:val="20"/>
    </w:rPr>
  </w:style>
  <w:style w:type="character" w:customStyle="1" w:styleId="70">
    <w:name w:val="正文文本 字符"/>
    <w:semiHidden/>
    <w:qFormat/>
    <w:uiPriority w:val="99"/>
    <w:rPr>
      <w:rFonts w:ascii="Calibri" w:hAnsi="Calibri" w:eastAsia="宋体" w:cs="Times New Roman"/>
    </w:rPr>
  </w:style>
  <w:style w:type="character" w:customStyle="1" w:styleId="71">
    <w:name w:val="正文文本 Char"/>
    <w:link w:val="6"/>
    <w:qFormat/>
    <w:uiPriority w:val="0"/>
    <w:rPr>
      <w:rFonts w:ascii="Times New Roman" w:hAnsi="Times New Roman" w:eastAsia="宋体" w:cs="Times New Roman"/>
      <w:szCs w:val="20"/>
    </w:rPr>
  </w:style>
  <w:style w:type="character" w:customStyle="1" w:styleId="72">
    <w:name w:val="正文首行缩进 字符"/>
    <w:basedOn w:val="70"/>
    <w:semiHidden/>
    <w:qFormat/>
    <w:uiPriority w:val="99"/>
    <w:rPr>
      <w:rFonts w:ascii="Calibri" w:hAnsi="Calibri" w:eastAsia="宋体" w:cs="Times New Roman"/>
    </w:rPr>
  </w:style>
  <w:style w:type="character" w:customStyle="1" w:styleId="73">
    <w:name w:val="正文首行缩进 Char"/>
    <w:link w:val="5"/>
    <w:qFormat/>
    <w:uiPriority w:val="0"/>
  </w:style>
  <w:style w:type="character" w:customStyle="1" w:styleId="74">
    <w:name w:val="日期 字符"/>
    <w:semiHidden/>
    <w:qFormat/>
    <w:uiPriority w:val="99"/>
    <w:rPr>
      <w:rFonts w:ascii="Calibri" w:hAnsi="Calibri" w:eastAsia="宋体" w:cs="Times New Roman"/>
    </w:rPr>
  </w:style>
  <w:style w:type="character" w:customStyle="1" w:styleId="75">
    <w:name w:val="日期 Char"/>
    <w:link w:val="21"/>
    <w:qFormat/>
    <w:uiPriority w:val="0"/>
    <w:rPr>
      <w:rFonts w:ascii="Times New Roman" w:hAnsi="Times New Roman" w:eastAsia="宋体" w:cs="Times New Roman"/>
      <w:szCs w:val="20"/>
    </w:rPr>
  </w:style>
  <w:style w:type="character" w:customStyle="1" w:styleId="76">
    <w:name w:val="正文文本缩进 字符"/>
    <w:semiHidden/>
    <w:qFormat/>
    <w:uiPriority w:val="99"/>
    <w:rPr>
      <w:rFonts w:ascii="Calibri" w:hAnsi="Calibri" w:eastAsia="宋体" w:cs="Times New Roman"/>
    </w:rPr>
  </w:style>
  <w:style w:type="character" w:customStyle="1" w:styleId="77">
    <w:name w:val="正文文本缩进 Char"/>
    <w:link w:val="17"/>
    <w:qFormat/>
    <w:uiPriority w:val="0"/>
    <w:rPr>
      <w:rFonts w:ascii="Times New Roman" w:hAnsi="Times New Roman" w:eastAsia="宋体" w:cs="Times New Roman"/>
      <w:sz w:val="28"/>
      <w:szCs w:val="20"/>
    </w:rPr>
  </w:style>
  <w:style w:type="character" w:customStyle="1" w:styleId="78">
    <w:name w:val="文档结构图 字符"/>
    <w:semiHidden/>
    <w:qFormat/>
    <w:uiPriority w:val="99"/>
    <w:rPr>
      <w:rFonts w:ascii="Microsoft YaHei UI" w:hAnsi="Calibri" w:eastAsia="Microsoft YaHei UI" w:cs="Times New Roman"/>
      <w:sz w:val="18"/>
      <w:szCs w:val="18"/>
    </w:rPr>
  </w:style>
  <w:style w:type="character" w:customStyle="1" w:styleId="79">
    <w:name w:val="文档结构图 Char"/>
    <w:link w:val="15"/>
    <w:qFormat/>
    <w:uiPriority w:val="0"/>
    <w:rPr>
      <w:rFonts w:ascii="Times New Roman" w:hAnsi="Times New Roman" w:eastAsia="宋体" w:cs="Times New Roman"/>
      <w:szCs w:val="20"/>
      <w:shd w:val="clear" w:color="auto" w:fill="000080"/>
    </w:rPr>
  </w:style>
  <w:style w:type="character" w:customStyle="1" w:styleId="80">
    <w:name w:val="纯文本 字符"/>
    <w:semiHidden/>
    <w:qFormat/>
    <w:uiPriority w:val="99"/>
    <w:rPr>
      <w:rFonts w:ascii="等线" w:hAnsi="Courier New" w:cs="Courier New"/>
    </w:rPr>
  </w:style>
  <w:style w:type="character" w:customStyle="1" w:styleId="81">
    <w:name w:val="纯文本 Char"/>
    <w:link w:val="20"/>
    <w:qFormat/>
    <w:uiPriority w:val="0"/>
    <w:rPr>
      <w:rFonts w:ascii="宋体" w:hAnsi="Courier New" w:eastAsia="宋体" w:cs="Times New Roman"/>
      <w:szCs w:val="20"/>
    </w:rPr>
  </w:style>
  <w:style w:type="character" w:customStyle="1" w:styleId="82">
    <w:name w:val="正文文本缩进 2 字符"/>
    <w:semiHidden/>
    <w:qFormat/>
    <w:uiPriority w:val="99"/>
    <w:rPr>
      <w:rFonts w:ascii="Calibri" w:hAnsi="Calibri" w:eastAsia="宋体" w:cs="Times New Roman"/>
    </w:rPr>
  </w:style>
  <w:style w:type="character" w:customStyle="1" w:styleId="83">
    <w:name w:val="正文文本缩进 2 Char"/>
    <w:link w:val="22"/>
    <w:qFormat/>
    <w:uiPriority w:val="0"/>
    <w:rPr>
      <w:rFonts w:ascii="Times New Roman" w:hAnsi="Times New Roman" w:eastAsia="宋体" w:cs="Times New Roman"/>
      <w:color w:val="000000"/>
      <w:sz w:val="24"/>
      <w:szCs w:val="20"/>
    </w:rPr>
  </w:style>
  <w:style w:type="character" w:customStyle="1" w:styleId="84">
    <w:name w:val="正文文本缩进 3 字符"/>
    <w:semiHidden/>
    <w:qFormat/>
    <w:uiPriority w:val="99"/>
    <w:rPr>
      <w:rFonts w:ascii="Calibri" w:hAnsi="Calibri" w:eastAsia="宋体" w:cs="Times New Roman"/>
      <w:sz w:val="16"/>
      <w:szCs w:val="16"/>
    </w:rPr>
  </w:style>
  <w:style w:type="character" w:customStyle="1" w:styleId="85">
    <w:name w:val="正文文本缩进 3 Char"/>
    <w:link w:val="29"/>
    <w:qFormat/>
    <w:uiPriority w:val="0"/>
    <w:rPr>
      <w:rFonts w:ascii="Times New Roman" w:hAnsi="Times New Roman" w:eastAsia="宋体" w:cs="Times New Roman"/>
      <w:color w:val="000000"/>
      <w:sz w:val="24"/>
      <w:szCs w:val="20"/>
    </w:rPr>
  </w:style>
  <w:style w:type="paragraph" w:customStyle="1" w:styleId="86">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7">
    <w:name w:val="_Style 69"/>
    <w:qFormat/>
    <w:uiPriority w:val="0"/>
    <w:rPr>
      <w:rFonts w:ascii="等线" w:hAnsi="等线" w:eastAsia="等线" w:cs="Times New Roman"/>
      <w:lang w:val="en-US" w:eastAsia="zh-CN" w:bidi="ar-SA"/>
    </w:rPr>
  </w:style>
  <w:style w:type="character" w:customStyle="1" w:styleId="88">
    <w:name w:val="正文文本 2 字符"/>
    <w:semiHidden/>
    <w:qFormat/>
    <w:uiPriority w:val="99"/>
    <w:rPr>
      <w:rFonts w:ascii="Calibri" w:hAnsi="Calibri" w:eastAsia="宋体" w:cs="Times New Roman"/>
    </w:rPr>
  </w:style>
  <w:style w:type="character" w:customStyle="1" w:styleId="89">
    <w:name w:val="正文文本 2 Char"/>
    <w:link w:val="31"/>
    <w:qFormat/>
    <w:uiPriority w:val="0"/>
    <w:rPr>
      <w:rFonts w:ascii="宋体" w:hAnsi="宋体" w:eastAsia="宋体" w:cs="Times New Roman"/>
      <w:szCs w:val="24"/>
      <w:u w:val="single"/>
    </w:rPr>
  </w:style>
  <w:style w:type="paragraph" w:customStyle="1" w:styleId="90">
    <w:name w:val="表头"/>
    <w:basedOn w:val="1"/>
    <w:qFormat/>
    <w:uiPriority w:val="0"/>
    <w:pPr>
      <w:spacing w:line="360" w:lineRule="auto"/>
      <w:jc w:val="center"/>
    </w:pPr>
    <w:rPr>
      <w:rFonts w:ascii="黑体" w:hAnsi="Times New Roman" w:eastAsia="黑体"/>
      <w:kern w:val="0"/>
      <w:sz w:val="24"/>
      <w:szCs w:val="20"/>
    </w:rPr>
  </w:style>
  <w:style w:type="character" w:customStyle="1" w:styleId="91">
    <w:name w:val="尾注文本 字符"/>
    <w:semiHidden/>
    <w:qFormat/>
    <w:uiPriority w:val="99"/>
    <w:rPr>
      <w:rFonts w:ascii="Calibri" w:hAnsi="Calibri" w:eastAsia="宋体" w:cs="Times New Roman"/>
    </w:rPr>
  </w:style>
  <w:style w:type="character" w:customStyle="1" w:styleId="92">
    <w:name w:val="尾注文本 Char"/>
    <w:link w:val="23"/>
    <w:qFormat/>
    <w:uiPriority w:val="0"/>
    <w:rPr>
      <w:rFonts w:ascii="Times New Roman" w:hAnsi="Times New Roman" w:eastAsia="宋体" w:cs="Times New Roman"/>
      <w:szCs w:val="20"/>
    </w:rPr>
  </w:style>
  <w:style w:type="paragraph" w:customStyle="1" w:styleId="93">
    <w:name w:val="Char"/>
    <w:basedOn w:val="1"/>
    <w:qFormat/>
    <w:uiPriority w:val="0"/>
    <w:rPr>
      <w:rFonts w:ascii="Tahoma" w:hAnsi="Tahoma"/>
      <w:sz w:val="24"/>
      <w:szCs w:val="20"/>
    </w:rPr>
  </w:style>
  <w:style w:type="paragraph" w:customStyle="1" w:styleId="94">
    <w:name w:val="Char1"/>
    <w:basedOn w:val="1"/>
    <w:qFormat/>
    <w:uiPriority w:val="0"/>
    <w:pPr>
      <w:numPr>
        <w:ilvl w:val="0"/>
        <w:numId w:val="1"/>
      </w:numPr>
    </w:pPr>
    <w:rPr>
      <w:rFonts w:ascii="Times New Roman" w:hAnsi="Times New Roman"/>
      <w:sz w:val="24"/>
      <w:szCs w:val="24"/>
    </w:rPr>
  </w:style>
  <w:style w:type="paragraph" w:customStyle="1" w:styleId="95">
    <w:name w:val="公文抬头"/>
    <w:basedOn w:val="2"/>
    <w:qFormat/>
    <w:uiPriority w:val="0"/>
    <w:pPr>
      <w:ind w:firstLine="0"/>
    </w:pPr>
    <w:rPr>
      <w:rFonts w:ascii="仿宋_GB2312" w:eastAsia="仿宋_GB2312"/>
      <w:sz w:val="30"/>
      <w:szCs w:val="24"/>
    </w:rPr>
  </w:style>
  <w:style w:type="paragraph" w:customStyle="1" w:styleId="96">
    <w:name w:val="Char Char Char1 Char"/>
    <w:basedOn w:val="15"/>
    <w:qFormat/>
    <w:uiPriority w:val="0"/>
    <w:rPr>
      <w:rFonts w:ascii="Tahoma" w:hAnsi="Tahoma"/>
      <w:sz w:val="24"/>
      <w:szCs w:val="24"/>
    </w:rPr>
  </w:style>
  <w:style w:type="paragraph" w:customStyle="1" w:styleId="9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8">
    <w:name w:val="公文标题"/>
    <w:basedOn w:val="8"/>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99">
    <w:name w:val="发文落款"/>
    <w:basedOn w:val="97"/>
    <w:qFormat/>
    <w:uiPriority w:val="0"/>
    <w:pPr>
      <w:ind w:left="4094" w:right="607" w:firstLine="0"/>
      <w:jc w:val="center"/>
    </w:pPr>
  </w:style>
  <w:style w:type="paragraph" w:customStyle="1" w:styleId="100">
    <w:name w:val="Char Char Char Char"/>
    <w:basedOn w:val="1"/>
    <w:qFormat/>
    <w:uiPriority w:val="0"/>
    <w:rPr>
      <w:rFonts w:ascii="Times New Roman" w:hAnsi="Times New Roman"/>
      <w:sz w:val="30"/>
      <w:szCs w:val="24"/>
    </w:rPr>
  </w:style>
  <w:style w:type="character" w:customStyle="1" w:styleId="101">
    <w:name w:val="批注框文本 字符"/>
    <w:semiHidden/>
    <w:qFormat/>
    <w:uiPriority w:val="99"/>
    <w:rPr>
      <w:rFonts w:ascii="Calibri" w:hAnsi="Calibri" w:eastAsia="宋体" w:cs="Times New Roman"/>
      <w:sz w:val="18"/>
      <w:szCs w:val="18"/>
    </w:rPr>
  </w:style>
  <w:style w:type="character" w:customStyle="1" w:styleId="102">
    <w:name w:val="批注框文本 Char"/>
    <w:link w:val="24"/>
    <w:qFormat/>
    <w:uiPriority w:val="0"/>
    <w:rPr>
      <w:rFonts w:ascii="Times New Roman" w:hAnsi="Times New Roman" w:eastAsia="宋体" w:cs="Times New Roman"/>
      <w:sz w:val="18"/>
      <w:szCs w:val="18"/>
    </w:rPr>
  </w:style>
  <w:style w:type="paragraph" w:customStyle="1" w:styleId="103">
    <w:name w:val="TOC 标题1"/>
    <w:basedOn w:val="3"/>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4">
    <w:name w:val="批注文字 字符"/>
    <w:semiHidden/>
    <w:qFormat/>
    <w:uiPriority w:val="99"/>
    <w:rPr>
      <w:rFonts w:ascii="Calibri" w:hAnsi="Calibri" w:eastAsia="宋体" w:cs="Times New Roman"/>
    </w:rPr>
  </w:style>
  <w:style w:type="character" w:customStyle="1" w:styleId="105">
    <w:name w:val="批注文字 Char"/>
    <w:link w:val="16"/>
    <w:qFormat/>
    <w:uiPriority w:val="0"/>
    <w:rPr>
      <w:rFonts w:ascii="宋体" w:hAnsi="宋体" w:eastAsia="宋体" w:cs="Times New Roman"/>
      <w:sz w:val="24"/>
      <w:szCs w:val="24"/>
    </w:rPr>
  </w:style>
  <w:style w:type="character" w:customStyle="1" w:styleId="106">
    <w:name w:val="脚注文本 字符"/>
    <w:semiHidden/>
    <w:qFormat/>
    <w:uiPriority w:val="99"/>
    <w:rPr>
      <w:rFonts w:ascii="Calibri" w:hAnsi="Calibri" w:eastAsia="宋体" w:cs="Times New Roman"/>
      <w:sz w:val="18"/>
      <w:szCs w:val="18"/>
    </w:rPr>
  </w:style>
  <w:style w:type="character" w:customStyle="1" w:styleId="107">
    <w:name w:val="脚注文本 Char"/>
    <w:link w:val="28"/>
    <w:qFormat/>
    <w:uiPriority w:val="0"/>
    <w:rPr>
      <w:rFonts w:ascii="宋体" w:hAnsi="宋体" w:eastAsia="宋体" w:cs="Times New Roman"/>
      <w:sz w:val="18"/>
      <w:szCs w:val="18"/>
    </w:rPr>
  </w:style>
  <w:style w:type="character" w:customStyle="1" w:styleId="108">
    <w:name w:val="批注主题 字符"/>
    <w:semiHidden/>
    <w:qFormat/>
    <w:uiPriority w:val="99"/>
    <w:rPr>
      <w:rFonts w:ascii="Calibri" w:hAnsi="Calibri" w:eastAsia="宋体" w:cs="Times New Roman"/>
      <w:b/>
      <w:bCs/>
    </w:rPr>
  </w:style>
  <w:style w:type="character" w:customStyle="1" w:styleId="109">
    <w:name w:val="批注主题 Char"/>
    <w:link w:val="35"/>
    <w:qFormat/>
    <w:uiPriority w:val="0"/>
    <w:rPr>
      <w:rFonts w:ascii="宋体" w:hAnsi="宋体" w:eastAsia="宋体" w:cs="Times New Roman"/>
      <w:b/>
      <w:bCs/>
      <w:sz w:val="24"/>
      <w:szCs w:val="24"/>
    </w:rPr>
  </w:style>
  <w:style w:type="paragraph" w:styleId="110">
    <w:name w:val="List Paragraph"/>
    <w:basedOn w:val="1"/>
    <w:qFormat/>
    <w:uiPriority w:val="34"/>
    <w:pPr>
      <w:ind w:firstLine="420" w:firstLineChars="200"/>
    </w:pPr>
    <w:rPr>
      <w:rFonts w:ascii="Times New Roman" w:hAnsi="Times New Roman"/>
      <w:szCs w:val="20"/>
    </w:rPr>
  </w:style>
  <w:style w:type="paragraph" w:customStyle="1" w:styleId="111">
    <w:name w:val="修订1"/>
    <w:hidden/>
    <w:semiHidden/>
    <w:qFormat/>
    <w:uiPriority w:val="99"/>
    <w:rPr>
      <w:rFonts w:ascii="Times New Roman" w:hAnsi="Times New Roman" w:eastAsia="宋体" w:cs="Times New Roman"/>
      <w:kern w:val="2"/>
      <w:sz w:val="21"/>
      <w:lang w:val="en-US" w:eastAsia="zh-CN" w:bidi="ar-SA"/>
    </w:rPr>
  </w:style>
  <w:style w:type="paragraph" w:customStyle="1" w:styleId="112">
    <w:name w:val="修订2"/>
    <w:hidden/>
    <w:unhideWhenUsed/>
    <w:qFormat/>
    <w:uiPriority w:val="99"/>
    <w:rPr>
      <w:rFonts w:ascii="Calibri" w:hAnsi="Calibri" w:eastAsia="宋体" w:cs="Times New Roman"/>
      <w:kern w:val="2"/>
      <w:sz w:val="21"/>
      <w:szCs w:val="22"/>
      <w:lang w:val="en-US" w:eastAsia="zh-CN" w:bidi="ar-SA"/>
    </w:rPr>
  </w:style>
  <w:style w:type="paragraph" w:customStyle="1" w:styleId="113">
    <w:name w:val="Revision"/>
    <w:hidden/>
    <w:unhideWhenUsed/>
    <w:qFormat/>
    <w:uiPriority w:val="99"/>
    <w:rPr>
      <w:rFonts w:ascii="Calibri" w:hAnsi="Calibri" w:eastAsia="宋体" w:cs="Times New Roman"/>
      <w:kern w:val="2"/>
      <w:sz w:val="21"/>
      <w:szCs w:val="22"/>
      <w:lang w:val="en-US" w:eastAsia="zh-CN" w:bidi="ar-SA"/>
    </w:rPr>
  </w:style>
  <w:style w:type="character" w:customStyle="1" w:styleId="114">
    <w:name w:val="页眉 Char"/>
    <w:qFormat/>
    <w:uiPriority w:val="99"/>
    <w:rPr>
      <w:kern w:val="2"/>
      <w:sz w:val="18"/>
      <w:szCs w:val="18"/>
      <w:lang w:val="zh-CN" w:eastAsia="zh-CN"/>
    </w:rPr>
  </w:style>
  <w:style w:type="character" w:customStyle="1" w:styleId="115">
    <w:name w:val="标准正文 Char"/>
    <w:link w:val="116"/>
    <w:qFormat/>
    <w:uiPriority w:val="0"/>
    <w:rPr>
      <w:szCs w:val="24"/>
    </w:rPr>
  </w:style>
  <w:style w:type="paragraph" w:customStyle="1" w:styleId="116">
    <w:name w:val="标准正文"/>
    <w:basedOn w:val="1"/>
    <w:link w:val="115"/>
    <w:qFormat/>
    <w:uiPriority w:val="0"/>
    <w:pPr>
      <w:tabs>
        <w:tab w:val="left" w:pos="720"/>
      </w:tabs>
      <w:spacing w:line="360" w:lineRule="auto"/>
      <w:ind w:firstLine="200" w:firstLineChars="200"/>
    </w:pPr>
    <w:rPr>
      <w:rFonts w:ascii="等线" w:hAnsi="等线" w:eastAsia="等线"/>
      <w:kern w:val="0"/>
      <w:sz w:val="20"/>
      <w:szCs w:val="24"/>
    </w:rPr>
  </w:style>
  <w:style w:type="paragraph" w:customStyle="1" w:styleId="117">
    <w:name w:val="PlainText"/>
    <w:basedOn w:val="1"/>
    <w:qFormat/>
    <w:uiPriority w:val="0"/>
    <w:pPr>
      <w:textAlignment w:val="baseline"/>
    </w:pPr>
    <w:rPr>
      <w:rFonts w:ascii="宋体" w:hAnsi="Courier New" w:cs="Calibri"/>
      <w:color w:val="000000"/>
      <w:kern w:val="0"/>
      <w:sz w:val="20"/>
      <w:szCs w:val="20"/>
    </w:rPr>
  </w:style>
  <w:style w:type="character" w:customStyle="1" w:styleId="118">
    <w:name w:val="正文文本1"/>
    <w:qFormat/>
    <w:uiPriority w:val="0"/>
    <w:rPr>
      <w:rFonts w:ascii="宋体" w:hAnsi="宋体" w:eastAsia="宋体" w:cs="宋体"/>
      <w:color w:val="000000"/>
      <w:spacing w:val="0"/>
      <w:w w:val="100"/>
      <w:position w:val="0"/>
      <w:sz w:val="19"/>
      <w:szCs w:val="19"/>
      <w:shd w:val="clear" w:color="auto" w:fill="FFFFFF"/>
      <w:lang w:val="zh-TW"/>
    </w:rPr>
  </w:style>
  <w:style w:type="paragraph" w:customStyle="1" w:styleId="119">
    <w:name w:val="正文文本3"/>
    <w:basedOn w:val="1"/>
    <w:qFormat/>
    <w:uiPriority w:val="0"/>
    <w:pPr>
      <w:shd w:val="clear" w:color="auto" w:fill="FFFFFF"/>
      <w:spacing w:line="0" w:lineRule="atLeast"/>
      <w:jc w:val="left"/>
    </w:pPr>
    <w:rPr>
      <w:rFonts w:ascii="宋体" w:hAnsi="宋体"/>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1807</Words>
  <Characters>1924</Characters>
  <Lines>582</Lines>
  <Paragraphs>164</Paragraphs>
  <TotalTime>27</TotalTime>
  <ScaleCrop>false</ScaleCrop>
  <LinksUpToDate>false</LinksUpToDate>
  <CharactersWithSpaces>2058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2019-10-12T15:40:00Z</dcterms:created>
  <dc:creator>管理员</dc:creator>
  <cp:lastModifiedBy>oo</cp:lastModifiedBy>
  <dcterms:modified xsi:type="dcterms:W3CDTF">2025-04-17T09:18:57Z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B5500F81B1B445C2B1185437853BFA4A</vt:lpwstr>
  </property>
  <property fmtid="{D5CDD505-2E9C-101B-9397-08002B2CF9AE}" pid="4" name="KSOTemplateDocerSaveRecord">
    <vt:lpwstr>eyJoZGlkIjoiYTNkYTEyYjk5OTI5YjdkOTE1ODdhYzlhODNlYmMwZmMiLCJ1c2VySWQiOiIxNDE1NTMifQ==</vt:lpwstr>
  </property>
</Properties>
</file>