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007216">
      <w:pPr>
        <w:spacing w:line="360" w:lineRule="auto"/>
        <w:jc w:val="center"/>
        <w:rPr>
          <w:rFonts w:hint="eastAsia" w:ascii="宋体" w:hAnsi="宋体" w:cs="宋体"/>
          <w:b/>
          <w:bCs/>
          <w:spacing w:val="26"/>
          <w:sz w:val="56"/>
          <w:szCs w:val="52"/>
        </w:rPr>
      </w:pPr>
    </w:p>
    <w:p w14:paraId="142576A9">
      <w:pPr>
        <w:spacing w:line="360" w:lineRule="auto"/>
        <w:jc w:val="center"/>
        <w:rPr>
          <w:rFonts w:hint="eastAsia" w:ascii="宋体" w:hAnsi="宋体"/>
          <w:b/>
          <w:bCs/>
          <w:spacing w:val="26"/>
          <w:sz w:val="40"/>
          <w:szCs w:val="60"/>
        </w:rPr>
      </w:pPr>
      <w:r>
        <w:rPr>
          <w:rFonts w:hint="eastAsia" w:ascii="宋体" w:hAnsi="宋体" w:cs="宋体"/>
          <w:b/>
          <w:bCs/>
          <w:sz w:val="72"/>
          <w:szCs w:val="72"/>
        </w:rPr>
        <w:t>莲塘村二村社商业楼施工</w:t>
      </w:r>
    </w:p>
    <w:p w14:paraId="7C45DB80">
      <w:pPr>
        <w:spacing w:line="360" w:lineRule="auto"/>
        <w:rPr>
          <w:rFonts w:hint="eastAsia" w:ascii="宋体" w:hAnsi="宋体"/>
          <w:b/>
          <w:bCs/>
          <w:spacing w:val="26"/>
          <w:sz w:val="52"/>
          <w:szCs w:val="110"/>
        </w:rPr>
      </w:pPr>
    </w:p>
    <w:p w14:paraId="1F02C0DA">
      <w:pPr>
        <w:spacing w:line="360" w:lineRule="auto"/>
        <w:rPr>
          <w:rFonts w:hint="eastAsia" w:ascii="宋体" w:hAnsi="宋体"/>
          <w:b/>
          <w:bCs/>
          <w:spacing w:val="26"/>
          <w:sz w:val="44"/>
          <w:szCs w:val="110"/>
        </w:rPr>
      </w:pPr>
    </w:p>
    <w:p w14:paraId="47AD2EB5">
      <w:pPr>
        <w:spacing w:line="360" w:lineRule="auto"/>
        <w:rPr>
          <w:rFonts w:hint="eastAsia" w:ascii="宋体" w:hAnsi="宋体"/>
          <w:b/>
          <w:bCs/>
          <w:spacing w:val="26"/>
          <w:sz w:val="44"/>
          <w:szCs w:val="110"/>
        </w:rPr>
      </w:pPr>
    </w:p>
    <w:p w14:paraId="59E5A27B">
      <w:pPr>
        <w:spacing w:line="360" w:lineRule="auto"/>
        <w:rPr>
          <w:rFonts w:hint="eastAsia" w:ascii="宋体" w:hAnsi="宋体"/>
          <w:b/>
          <w:bCs/>
          <w:spacing w:val="26"/>
          <w:sz w:val="44"/>
          <w:szCs w:val="110"/>
        </w:rPr>
      </w:pPr>
    </w:p>
    <w:p w14:paraId="59972285">
      <w:pPr>
        <w:spacing w:line="360" w:lineRule="auto"/>
        <w:rPr>
          <w:rFonts w:hint="eastAsia" w:ascii="宋体" w:hAnsi="宋体"/>
          <w:b/>
          <w:bCs/>
          <w:spacing w:val="26"/>
          <w:sz w:val="44"/>
          <w:szCs w:val="110"/>
        </w:rPr>
      </w:pPr>
    </w:p>
    <w:p w14:paraId="1614405B">
      <w:pPr>
        <w:spacing w:line="360" w:lineRule="auto"/>
        <w:jc w:val="center"/>
        <w:rPr>
          <w:rFonts w:hint="eastAsia" w:ascii="宋体" w:hAnsi="宋体"/>
          <w:b/>
          <w:bCs/>
          <w:spacing w:val="26"/>
          <w:sz w:val="110"/>
          <w:szCs w:val="110"/>
        </w:rPr>
      </w:pPr>
      <w:r>
        <w:rPr>
          <w:rFonts w:hint="eastAsia" w:ascii="宋体" w:hAnsi="宋体"/>
          <w:b/>
          <w:bCs/>
          <w:spacing w:val="26"/>
          <w:sz w:val="110"/>
          <w:szCs w:val="110"/>
        </w:rPr>
        <w:t>招标文件</w:t>
      </w:r>
    </w:p>
    <w:p w14:paraId="21F59616">
      <w:pPr>
        <w:spacing w:line="360" w:lineRule="auto"/>
        <w:ind w:firstLine="2560" w:firstLineChars="800"/>
        <w:rPr>
          <w:rFonts w:hint="eastAsia" w:ascii="宋体" w:hAnsi="宋体"/>
          <w:sz w:val="32"/>
        </w:rPr>
      </w:pPr>
    </w:p>
    <w:p w14:paraId="658B9837">
      <w:pPr>
        <w:spacing w:line="360" w:lineRule="auto"/>
        <w:rPr>
          <w:rFonts w:hint="eastAsia" w:ascii="宋体" w:hAnsi="宋体"/>
          <w:sz w:val="52"/>
        </w:rPr>
      </w:pPr>
    </w:p>
    <w:p w14:paraId="375B6819">
      <w:pPr>
        <w:spacing w:line="360" w:lineRule="auto"/>
        <w:rPr>
          <w:rFonts w:hint="eastAsia" w:ascii="宋体" w:hAnsi="宋体"/>
          <w:sz w:val="52"/>
        </w:rPr>
      </w:pPr>
    </w:p>
    <w:p w14:paraId="48B5530F">
      <w:pPr>
        <w:rPr>
          <w:rFonts w:hint="eastAsia" w:ascii="宋体" w:hAnsi="宋体"/>
          <w:sz w:val="52"/>
        </w:rPr>
      </w:pPr>
    </w:p>
    <w:p w14:paraId="6F404754">
      <w:pPr>
        <w:autoSpaceDE w:val="0"/>
        <w:autoSpaceDN w:val="0"/>
        <w:adjustRightInd w:val="0"/>
        <w:spacing w:line="360" w:lineRule="auto"/>
        <w:jc w:val="left"/>
        <w:rPr>
          <w:rFonts w:hint="eastAsia" w:ascii="宋体" w:hAnsi="宋体" w:cs="宋体"/>
          <w:b/>
          <w:bCs/>
          <w:sz w:val="32"/>
          <w:szCs w:val="32"/>
          <w:lang w:val="zh-CN"/>
        </w:rPr>
      </w:pPr>
    </w:p>
    <w:p w14:paraId="0FFD5C67">
      <w:pPr>
        <w:autoSpaceDE w:val="0"/>
        <w:autoSpaceDN w:val="0"/>
        <w:adjustRightInd w:val="0"/>
        <w:spacing w:line="360" w:lineRule="auto"/>
        <w:ind w:firstLine="1280" w:firstLineChars="400"/>
        <w:jc w:val="left"/>
        <w:rPr>
          <w:rFonts w:hint="eastAsia" w:ascii="宋体" w:hAnsi="宋体" w:cs="宋体"/>
          <w:b/>
          <w:bCs/>
          <w:sz w:val="32"/>
          <w:szCs w:val="32"/>
          <w:lang w:val="zh-CN"/>
        </w:rPr>
      </w:pPr>
      <w:r>
        <w:rPr>
          <w:rFonts w:hint="eastAsia" w:ascii="宋体" w:hAnsi="宋体" w:cs="宋体"/>
          <w:b/>
          <w:bCs/>
          <w:sz w:val="32"/>
          <w:szCs w:val="32"/>
          <w:lang w:val="zh-CN"/>
        </w:rPr>
        <w:t>招 标 人：</w:t>
      </w:r>
      <w:r>
        <w:rPr>
          <w:rFonts w:hint="eastAsia" w:ascii="宋体" w:hAnsi="宋体" w:cs="宋体"/>
          <w:b/>
          <w:bCs/>
          <w:sz w:val="32"/>
          <w:szCs w:val="32"/>
          <w:u w:val="single"/>
          <w:lang w:val="zh-CN"/>
        </w:rPr>
        <w:t>广州市花都区新华街莲塘村村民委员会</w:t>
      </w:r>
    </w:p>
    <w:p w14:paraId="05CE8AB4">
      <w:pPr>
        <w:autoSpaceDE w:val="0"/>
        <w:autoSpaceDN w:val="0"/>
        <w:adjustRightInd w:val="0"/>
        <w:spacing w:line="360" w:lineRule="auto"/>
        <w:ind w:firstLine="1280" w:firstLineChars="400"/>
        <w:jc w:val="left"/>
        <w:rPr>
          <w:rFonts w:hint="eastAsia" w:ascii="宋体" w:hAnsi="宋体" w:cs="宋体"/>
          <w:b/>
          <w:bCs/>
          <w:sz w:val="32"/>
          <w:szCs w:val="32"/>
        </w:rPr>
      </w:pPr>
      <w:r>
        <w:rPr>
          <w:rFonts w:hint="eastAsia" w:ascii="宋体" w:hAnsi="宋体" w:cs="宋体"/>
          <w:b/>
          <w:bCs/>
          <w:sz w:val="32"/>
          <w:szCs w:val="32"/>
          <w:lang w:val="zh-CN"/>
        </w:rPr>
        <w:t>招标代理机构：</w:t>
      </w:r>
      <w:r>
        <w:rPr>
          <w:rFonts w:hint="eastAsia" w:ascii="宋体" w:hAnsi="宋体" w:cs="宋体"/>
          <w:b/>
          <w:bCs/>
          <w:sz w:val="32"/>
          <w:szCs w:val="32"/>
          <w:u w:val="single"/>
          <w:lang w:val="zh-CN"/>
        </w:rPr>
        <w:t>广州粤信工程项目管理有限公司</w:t>
      </w:r>
    </w:p>
    <w:p w14:paraId="5FABC01B">
      <w:pPr>
        <w:spacing w:line="360" w:lineRule="auto"/>
        <w:ind w:firstLine="1280" w:firstLineChars="400"/>
        <w:jc w:val="left"/>
        <w:rPr>
          <w:rFonts w:hint="eastAsia" w:ascii="宋体" w:hAnsi="宋体"/>
          <w:sz w:val="32"/>
        </w:rPr>
      </w:pPr>
      <w:r>
        <w:rPr>
          <w:rFonts w:hint="eastAsia" w:ascii="宋体" w:hAnsi="宋体" w:cs="宋体"/>
          <w:b/>
          <w:bCs/>
          <w:sz w:val="32"/>
          <w:szCs w:val="32"/>
          <w:lang w:val="zh-CN"/>
        </w:rPr>
        <w:t>日</w:t>
      </w:r>
      <w:r>
        <w:rPr>
          <w:rFonts w:ascii="宋体" w:hAnsi="宋体" w:cs="宋体"/>
          <w:b/>
          <w:bCs/>
          <w:sz w:val="32"/>
          <w:szCs w:val="32"/>
          <w:lang w:val="zh-CN"/>
        </w:rPr>
        <w:t xml:space="preserve">        </w:t>
      </w:r>
      <w:r>
        <w:rPr>
          <w:rFonts w:hint="eastAsia" w:ascii="宋体" w:hAnsi="宋体" w:cs="宋体"/>
          <w:b/>
          <w:bCs/>
          <w:sz w:val="32"/>
          <w:szCs w:val="32"/>
          <w:lang w:val="zh-CN"/>
        </w:rPr>
        <w:t>期：</w:t>
      </w:r>
      <w:r>
        <w:rPr>
          <w:rFonts w:hint="eastAsia" w:ascii="宋体" w:hAnsi="宋体" w:cs="宋体"/>
          <w:b/>
          <w:bCs/>
          <w:sz w:val="32"/>
          <w:szCs w:val="32"/>
          <w:u w:val="single"/>
          <w:lang w:val="zh-CN"/>
        </w:rPr>
        <w:t>2025</w:t>
      </w:r>
      <w:r>
        <w:rPr>
          <w:rFonts w:hint="eastAsia" w:ascii="宋体" w:hAnsi="宋体" w:cs="宋体"/>
          <w:b/>
          <w:bCs/>
          <w:sz w:val="32"/>
          <w:szCs w:val="32"/>
          <w:lang w:val="zh-CN"/>
        </w:rPr>
        <w:t>年</w:t>
      </w:r>
      <w:r>
        <w:rPr>
          <w:rFonts w:hint="eastAsia" w:ascii="宋体" w:hAnsi="宋体" w:cs="宋体"/>
          <w:b/>
          <w:bCs/>
          <w:sz w:val="32"/>
          <w:szCs w:val="32"/>
          <w:u w:val="single"/>
          <w:lang w:val="en-US" w:eastAsia="zh-CN"/>
        </w:rPr>
        <w:t>4</w:t>
      </w:r>
      <w:r>
        <w:rPr>
          <w:rFonts w:hint="eastAsia" w:ascii="宋体" w:hAnsi="宋体" w:cs="宋体"/>
          <w:b/>
          <w:bCs/>
          <w:sz w:val="32"/>
          <w:szCs w:val="32"/>
          <w:lang w:val="zh-CN"/>
        </w:rPr>
        <w:t>月</w:t>
      </w:r>
    </w:p>
    <w:p w14:paraId="5AF5A5CC">
      <w:pPr>
        <w:pStyle w:val="20"/>
      </w:pPr>
    </w:p>
    <w:p w14:paraId="1CE662B8">
      <w:pPr>
        <w:rPr>
          <w:rStyle w:val="65"/>
          <w:b/>
          <w:bCs/>
          <w:color w:val="auto"/>
          <w:sz w:val="28"/>
          <w:szCs w:val="28"/>
        </w:rPr>
      </w:pPr>
      <w:r>
        <w:rPr>
          <w:rStyle w:val="65"/>
          <w:rFonts w:hint="eastAsia"/>
          <w:b/>
          <w:bCs/>
          <w:color w:val="auto"/>
          <w:sz w:val="28"/>
          <w:szCs w:val="28"/>
        </w:rPr>
        <w:br w:type="page"/>
      </w:r>
    </w:p>
    <w:p w14:paraId="4D65FDFE">
      <w:pPr>
        <w:jc w:val="center"/>
        <w:rPr>
          <w:rFonts w:hint="eastAsia" w:ascii="宋体" w:hAnsi="宋体"/>
          <w:b/>
          <w:caps/>
          <w:kern w:val="0"/>
          <w:sz w:val="28"/>
          <w:szCs w:val="28"/>
        </w:rPr>
      </w:pPr>
      <w:r>
        <w:rPr>
          <w:rStyle w:val="65"/>
          <w:rFonts w:hint="eastAsia"/>
          <w:b/>
          <w:bCs/>
          <w:color w:val="auto"/>
          <w:sz w:val="28"/>
          <w:szCs w:val="28"/>
        </w:rPr>
        <w:t>目录</w:t>
      </w:r>
    </w:p>
    <w:p w14:paraId="5CCDC83F">
      <w:pPr>
        <w:pStyle w:val="37"/>
        <w:tabs>
          <w:tab w:val="right" w:leader="dot" w:pos="9298"/>
          <w:tab w:val="clear" w:pos="9060"/>
        </w:tabs>
        <w:rPr>
          <w:rFonts w:hint="eastAsia"/>
        </w:rPr>
      </w:pPr>
      <w:r>
        <w:fldChar w:fldCharType="begin"/>
      </w:r>
      <w:r>
        <w:instrText xml:space="preserve"> TOC \o "1-3" \h \z \u </w:instrText>
      </w:r>
      <w:r>
        <w:fldChar w:fldCharType="separate"/>
      </w:r>
      <w:r>
        <w:fldChar w:fldCharType="begin"/>
      </w:r>
      <w:r>
        <w:instrText xml:space="preserve"> HYPERLINK \l "_Toc14469" </w:instrText>
      </w:r>
      <w:r>
        <w:fldChar w:fldCharType="separate"/>
      </w:r>
      <w:r>
        <w:rPr>
          <w:rFonts w:hint="eastAsia"/>
          <w:bCs/>
        </w:rPr>
        <w:t>第一章</w:t>
      </w:r>
      <w:r>
        <w:rPr>
          <w:bCs/>
        </w:rPr>
        <w:t xml:space="preserve">  </w:t>
      </w:r>
      <w:r>
        <w:rPr>
          <w:rFonts w:hint="eastAsia"/>
          <w:bCs/>
        </w:rPr>
        <w:t>投标须知</w:t>
      </w:r>
      <w:r>
        <w:tab/>
      </w:r>
      <w:r>
        <w:fldChar w:fldCharType="begin"/>
      </w:r>
      <w:r>
        <w:instrText xml:space="preserve"> PAGEREF _Toc14469 \h </w:instrText>
      </w:r>
      <w:r>
        <w:fldChar w:fldCharType="separate"/>
      </w:r>
      <w:r>
        <w:t>2</w:t>
      </w:r>
      <w:r>
        <w:fldChar w:fldCharType="end"/>
      </w:r>
      <w:r>
        <w:fldChar w:fldCharType="end"/>
      </w:r>
    </w:p>
    <w:p w14:paraId="5D8803F5">
      <w:pPr>
        <w:pStyle w:val="44"/>
        <w:tabs>
          <w:tab w:val="right" w:leader="dot" w:pos="9298"/>
          <w:tab w:val="clear" w:pos="9060"/>
        </w:tabs>
      </w:pPr>
      <w:r>
        <w:fldChar w:fldCharType="begin"/>
      </w:r>
      <w:r>
        <w:instrText xml:space="preserve"> HYPERLINK \l "_Toc21720" </w:instrText>
      </w:r>
      <w:r>
        <w:fldChar w:fldCharType="separate"/>
      </w:r>
      <w:r>
        <w:rPr>
          <w:rFonts w:hint="eastAsia"/>
        </w:rPr>
        <w:t>一、投标须知前附表</w:t>
      </w:r>
      <w:r>
        <w:tab/>
      </w:r>
      <w:r>
        <w:fldChar w:fldCharType="begin"/>
      </w:r>
      <w:r>
        <w:instrText xml:space="preserve"> PAGEREF _Toc21720 \h </w:instrText>
      </w:r>
      <w:r>
        <w:fldChar w:fldCharType="separate"/>
      </w:r>
      <w:r>
        <w:t>2</w:t>
      </w:r>
      <w:r>
        <w:fldChar w:fldCharType="end"/>
      </w:r>
      <w:r>
        <w:fldChar w:fldCharType="end"/>
      </w:r>
    </w:p>
    <w:p w14:paraId="460CBD7F">
      <w:pPr>
        <w:pStyle w:val="44"/>
        <w:tabs>
          <w:tab w:val="right" w:leader="dot" w:pos="9298"/>
          <w:tab w:val="clear" w:pos="9060"/>
        </w:tabs>
      </w:pPr>
      <w:r>
        <w:fldChar w:fldCharType="begin"/>
      </w:r>
      <w:r>
        <w:instrText xml:space="preserve"> HYPERLINK \l "_Toc19614" </w:instrText>
      </w:r>
      <w:r>
        <w:fldChar w:fldCharType="separate"/>
      </w:r>
      <w:r>
        <w:rPr>
          <w:rFonts w:hint="eastAsia"/>
        </w:rPr>
        <w:t>二、投标须知修改表</w:t>
      </w:r>
      <w:r>
        <w:tab/>
      </w:r>
      <w:r>
        <w:fldChar w:fldCharType="begin"/>
      </w:r>
      <w:r>
        <w:instrText xml:space="preserve"> PAGEREF _Toc19614 \h </w:instrText>
      </w:r>
      <w:r>
        <w:fldChar w:fldCharType="separate"/>
      </w:r>
      <w:r>
        <w:t>7</w:t>
      </w:r>
      <w:r>
        <w:fldChar w:fldCharType="end"/>
      </w:r>
      <w:r>
        <w:fldChar w:fldCharType="end"/>
      </w:r>
    </w:p>
    <w:p w14:paraId="71CE95C3">
      <w:pPr>
        <w:pStyle w:val="44"/>
        <w:tabs>
          <w:tab w:val="right" w:leader="dot" w:pos="9298"/>
          <w:tab w:val="clear" w:pos="9060"/>
        </w:tabs>
      </w:pPr>
      <w:r>
        <w:fldChar w:fldCharType="begin"/>
      </w:r>
      <w:r>
        <w:instrText xml:space="preserve"> HYPERLINK \l "_Toc3072" </w:instrText>
      </w:r>
      <w:r>
        <w:fldChar w:fldCharType="separate"/>
      </w:r>
      <w:r>
        <w:rPr>
          <w:rFonts w:hint="eastAsia"/>
        </w:rPr>
        <w:t>三、投标须知通用条款</w:t>
      </w:r>
      <w:r>
        <w:tab/>
      </w:r>
      <w:r>
        <w:fldChar w:fldCharType="begin"/>
      </w:r>
      <w:r>
        <w:instrText xml:space="preserve"> PAGEREF _Toc3072 \h </w:instrText>
      </w:r>
      <w:r>
        <w:fldChar w:fldCharType="separate"/>
      </w:r>
      <w:r>
        <w:t>20</w:t>
      </w:r>
      <w:r>
        <w:fldChar w:fldCharType="end"/>
      </w:r>
      <w:r>
        <w:fldChar w:fldCharType="end"/>
      </w:r>
    </w:p>
    <w:p w14:paraId="1D5457DF">
      <w:pPr>
        <w:pStyle w:val="29"/>
        <w:tabs>
          <w:tab w:val="right" w:leader="dot" w:pos="9298"/>
        </w:tabs>
        <w:ind w:left="840"/>
      </w:pPr>
      <w:r>
        <w:fldChar w:fldCharType="begin"/>
      </w:r>
      <w:r>
        <w:instrText xml:space="preserve"> HYPERLINK \l "_Toc29420" </w:instrText>
      </w:r>
      <w:r>
        <w:fldChar w:fldCharType="separate"/>
      </w:r>
      <w:r>
        <w:rPr>
          <w:rFonts w:hint="eastAsia"/>
        </w:rPr>
        <w:t>（一）总则</w:t>
      </w:r>
      <w:r>
        <w:tab/>
      </w:r>
      <w:r>
        <w:fldChar w:fldCharType="begin"/>
      </w:r>
      <w:r>
        <w:instrText xml:space="preserve"> PAGEREF _Toc29420 \h </w:instrText>
      </w:r>
      <w:r>
        <w:fldChar w:fldCharType="separate"/>
      </w:r>
      <w:r>
        <w:t>20</w:t>
      </w:r>
      <w:r>
        <w:fldChar w:fldCharType="end"/>
      </w:r>
      <w:r>
        <w:fldChar w:fldCharType="end"/>
      </w:r>
    </w:p>
    <w:p w14:paraId="47BBCD91">
      <w:pPr>
        <w:pStyle w:val="29"/>
        <w:tabs>
          <w:tab w:val="right" w:leader="dot" w:pos="9298"/>
        </w:tabs>
        <w:ind w:left="840"/>
      </w:pPr>
      <w:r>
        <w:fldChar w:fldCharType="begin"/>
      </w:r>
      <w:r>
        <w:instrText xml:space="preserve"> HYPERLINK \l "_Toc17248" </w:instrText>
      </w:r>
      <w:r>
        <w:fldChar w:fldCharType="separate"/>
      </w:r>
      <w:r>
        <w:rPr>
          <w:rFonts w:hint="eastAsia"/>
          <w:szCs w:val="24"/>
        </w:rPr>
        <w:t>（二）招标文件</w:t>
      </w:r>
      <w:r>
        <w:tab/>
      </w:r>
      <w:r>
        <w:fldChar w:fldCharType="begin"/>
      </w:r>
      <w:r>
        <w:instrText xml:space="preserve"> PAGEREF _Toc17248 \h </w:instrText>
      </w:r>
      <w:r>
        <w:fldChar w:fldCharType="separate"/>
      </w:r>
      <w:r>
        <w:t>21</w:t>
      </w:r>
      <w:r>
        <w:fldChar w:fldCharType="end"/>
      </w:r>
      <w:r>
        <w:fldChar w:fldCharType="end"/>
      </w:r>
    </w:p>
    <w:p w14:paraId="0ACA1F6D">
      <w:pPr>
        <w:pStyle w:val="29"/>
        <w:tabs>
          <w:tab w:val="right" w:leader="dot" w:pos="9298"/>
        </w:tabs>
        <w:ind w:left="840"/>
      </w:pPr>
      <w:r>
        <w:fldChar w:fldCharType="begin"/>
      </w:r>
      <w:r>
        <w:instrText xml:space="preserve"> HYPERLINK \l "_Toc9481" </w:instrText>
      </w:r>
      <w:r>
        <w:fldChar w:fldCharType="separate"/>
      </w:r>
      <w:r>
        <w:rPr>
          <w:rFonts w:hint="eastAsia"/>
          <w:szCs w:val="24"/>
        </w:rPr>
        <w:t>（三）投标文件的编制</w:t>
      </w:r>
      <w:r>
        <w:tab/>
      </w:r>
      <w:r>
        <w:fldChar w:fldCharType="begin"/>
      </w:r>
      <w:r>
        <w:instrText xml:space="preserve"> PAGEREF _Toc9481 \h </w:instrText>
      </w:r>
      <w:r>
        <w:fldChar w:fldCharType="separate"/>
      </w:r>
      <w:r>
        <w:t>23</w:t>
      </w:r>
      <w:r>
        <w:fldChar w:fldCharType="end"/>
      </w:r>
      <w:r>
        <w:fldChar w:fldCharType="end"/>
      </w:r>
    </w:p>
    <w:p w14:paraId="072453B8">
      <w:pPr>
        <w:pStyle w:val="29"/>
        <w:tabs>
          <w:tab w:val="right" w:leader="dot" w:pos="9298"/>
        </w:tabs>
        <w:ind w:left="840"/>
      </w:pPr>
      <w:r>
        <w:fldChar w:fldCharType="begin"/>
      </w:r>
      <w:r>
        <w:instrText xml:space="preserve"> HYPERLINK \l "_Toc7919" </w:instrText>
      </w:r>
      <w:r>
        <w:fldChar w:fldCharType="separate"/>
      </w:r>
      <w:r>
        <w:rPr>
          <w:rFonts w:hint="eastAsia"/>
          <w:szCs w:val="24"/>
        </w:rPr>
        <w:t>（四）投标文件的提交</w:t>
      </w:r>
      <w:r>
        <w:tab/>
      </w:r>
      <w:r>
        <w:fldChar w:fldCharType="begin"/>
      </w:r>
      <w:r>
        <w:instrText xml:space="preserve"> PAGEREF _Toc7919 \h </w:instrText>
      </w:r>
      <w:r>
        <w:fldChar w:fldCharType="separate"/>
      </w:r>
      <w:r>
        <w:t>29</w:t>
      </w:r>
      <w:r>
        <w:fldChar w:fldCharType="end"/>
      </w:r>
      <w:r>
        <w:fldChar w:fldCharType="end"/>
      </w:r>
    </w:p>
    <w:p w14:paraId="17AC7963">
      <w:pPr>
        <w:pStyle w:val="29"/>
        <w:tabs>
          <w:tab w:val="right" w:leader="dot" w:pos="9298"/>
        </w:tabs>
        <w:ind w:left="840"/>
      </w:pPr>
      <w:r>
        <w:fldChar w:fldCharType="begin"/>
      </w:r>
      <w:r>
        <w:instrText xml:space="preserve"> HYPERLINK \l "_Toc19660" </w:instrText>
      </w:r>
      <w:r>
        <w:fldChar w:fldCharType="separate"/>
      </w:r>
      <w:r>
        <w:rPr>
          <w:rFonts w:hint="eastAsia"/>
          <w:szCs w:val="24"/>
        </w:rPr>
        <w:t>（五）开标、评标、定标及合同签定</w:t>
      </w:r>
      <w:r>
        <w:tab/>
      </w:r>
      <w:r>
        <w:fldChar w:fldCharType="begin"/>
      </w:r>
      <w:r>
        <w:instrText xml:space="preserve"> PAGEREF _Toc19660 \h </w:instrText>
      </w:r>
      <w:r>
        <w:fldChar w:fldCharType="separate"/>
      </w:r>
      <w:r>
        <w:t>30</w:t>
      </w:r>
      <w:r>
        <w:fldChar w:fldCharType="end"/>
      </w:r>
      <w:r>
        <w:fldChar w:fldCharType="end"/>
      </w:r>
    </w:p>
    <w:p w14:paraId="4EB97FA4">
      <w:pPr>
        <w:pStyle w:val="37"/>
        <w:tabs>
          <w:tab w:val="right" w:leader="dot" w:pos="9298"/>
          <w:tab w:val="clear" w:pos="9060"/>
        </w:tabs>
        <w:rPr>
          <w:rFonts w:hint="eastAsia"/>
        </w:rPr>
      </w:pPr>
      <w:r>
        <w:fldChar w:fldCharType="begin"/>
      </w:r>
      <w:r>
        <w:instrText xml:space="preserve"> HYPERLINK \l "_Toc18423" </w:instrText>
      </w:r>
      <w:r>
        <w:fldChar w:fldCharType="separate"/>
      </w:r>
      <w:r>
        <w:rPr>
          <w:rFonts w:hint="eastAsia" w:cs="宋体"/>
          <w:kern w:val="44"/>
          <w:szCs w:val="28"/>
        </w:rPr>
        <w:t>第二章  开标、评标及定标办法</w:t>
      </w:r>
      <w:r>
        <w:tab/>
      </w:r>
      <w:r>
        <w:fldChar w:fldCharType="begin"/>
      </w:r>
      <w:r>
        <w:instrText xml:space="preserve"> PAGEREF _Toc18423 \h </w:instrText>
      </w:r>
      <w:r>
        <w:fldChar w:fldCharType="separate"/>
      </w:r>
      <w:r>
        <w:t>33</w:t>
      </w:r>
      <w:r>
        <w:fldChar w:fldCharType="end"/>
      </w:r>
      <w:r>
        <w:fldChar w:fldCharType="end"/>
      </w:r>
    </w:p>
    <w:p w14:paraId="3D6284A7">
      <w:pPr>
        <w:pStyle w:val="44"/>
        <w:tabs>
          <w:tab w:val="right" w:leader="dot" w:pos="9298"/>
          <w:tab w:val="clear" w:pos="9060"/>
        </w:tabs>
      </w:pPr>
      <w:r>
        <w:fldChar w:fldCharType="begin"/>
      </w:r>
      <w:r>
        <w:instrText xml:space="preserve"> HYPERLINK \l "_Toc477" </w:instrText>
      </w:r>
      <w:r>
        <w:fldChar w:fldCharType="separate"/>
      </w:r>
      <w:r>
        <w:rPr>
          <w:rFonts w:hint="eastAsia" w:ascii="宋体" w:hAnsi="宋体" w:cs="宋体"/>
          <w:kern w:val="0"/>
          <w:szCs w:val="28"/>
          <w:lang w:val="zh-CN"/>
        </w:rPr>
        <w:t>一、</w:t>
      </w:r>
      <w:r>
        <w:rPr>
          <w:rFonts w:hint="eastAsia" w:ascii="宋体" w:hAnsi="宋体" w:cs="宋体"/>
          <w:kern w:val="0"/>
          <w:lang w:val="zh-CN"/>
        </w:rPr>
        <w:t>开标、评标及定标办法修改表</w:t>
      </w:r>
      <w:r>
        <w:tab/>
      </w:r>
      <w:r>
        <w:fldChar w:fldCharType="begin"/>
      </w:r>
      <w:r>
        <w:instrText xml:space="preserve"> PAGEREF _Toc477 \h </w:instrText>
      </w:r>
      <w:r>
        <w:fldChar w:fldCharType="separate"/>
      </w:r>
      <w:r>
        <w:t>33</w:t>
      </w:r>
      <w:r>
        <w:fldChar w:fldCharType="end"/>
      </w:r>
      <w:r>
        <w:fldChar w:fldCharType="end"/>
      </w:r>
    </w:p>
    <w:p w14:paraId="0787DEDA">
      <w:pPr>
        <w:pStyle w:val="44"/>
        <w:tabs>
          <w:tab w:val="right" w:leader="dot" w:pos="9298"/>
          <w:tab w:val="clear" w:pos="9060"/>
        </w:tabs>
      </w:pPr>
      <w:r>
        <w:fldChar w:fldCharType="begin"/>
      </w:r>
      <w:r>
        <w:instrText xml:space="preserve"> HYPERLINK \l "_Toc25828" </w:instrText>
      </w:r>
      <w:r>
        <w:fldChar w:fldCharType="separate"/>
      </w:r>
      <w:r>
        <w:rPr>
          <w:rFonts w:hint="eastAsia"/>
          <w:szCs w:val="28"/>
        </w:rPr>
        <w:t>二、开标、评标及定标办法通用条款</w:t>
      </w:r>
      <w:r>
        <w:tab/>
      </w:r>
      <w:r>
        <w:fldChar w:fldCharType="begin"/>
      </w:r>
      <w:r>
        <w:instrText xml:space="preserve"> PAGEREF _Toc25828 \h </w:instrText>
      </w:r>
      <w:r>
        <w:fldChar w:fldCharType="separate"/>
      </w:r>
      <w:r>
        <w:t>40</w:t>
      </w:r>
      <w:r>
        <w:fldChar w:fldCharType="end"/>
      </w:r>
      <w:r>
        <w:fldChar w:fldCharType="end"/>
      </w:r>
    </w:p>
    <w:p w14:paraId="027CFF0E">
      <w:pPr>
        <w:pStyle w:val="29"/>
        <w:tabs>
          <w:tab w:val="right" w:leader="dot" w:pos="9298"/>
        </w:tabs>
        <w:ind w:left="840"/>
      </w:pPr>
      <w:r>
        <w:fldChar w:fldCharType="begin"/>
      </w:r>
      <w:r>
        <w:instrText xml:space="preserve"> HYPERLINK \l "_Toc4312" </w:instrText>
      </w:r>
      <w:r>
        <w:fldChar w:fldCharType="separate"/>
      </w:r>
      <w:r>
        <w:rPr>
          <w:rFonts w:hint="eastAsia"/>
        </w:rPr>
        <w:t>（一）总则</w:t>
      </w:r>
      <w:r>
        <w:tab/>
      </w:r>
      <w:r>
        <w:fldChar w:fldCharType="begin"/>
      </w:r>
      <w:r>
        <w:instrText xml:space="preserve"> PAGEREF _Toc4312 \h </w:instrText>
      </w:r>
      <w:r>
        <w:fldChar w:fldCharType="separate"/>
      </w:r>
      <w:r>
        <w:t>40</w:t>
      </w:r>
      <w:r>
        <w:fldChar w:fldCharType="end"/>
      </w:r>
      <w:r>
        <w:fldChar w:fldCharType="end"/>
      </w:r>
    </w:p>
    <w:p w14:paraId="105175DC">
      <w:pPr>
        <w:pStyle w:val="29"/>
        <w:tabs>
          <w:tab w:val="right" w:leader="dot" w:pos="9298"/>
        </w:tabs>
        <w:ind w:left="840"/>
      </w:pPr>
      <w:r>
        <w:fldChar w:fldCharType="begin"/>
      </w:r>
      <w:r>
        <w:instrText xml:space="preserve"> HYPERLINK \l "_Toc14420" </w:instrText>
      </w:r>
      <w:r>
        <w:fldChar w:fldCharType="separate"/>
      </w:r>
      <w:r>
        <w:rPr>
          <w:rFonts w:hint="eastAsia"/>
          <w:szCs w:val="24"/>
        </w:rPr>
        <w:t>（二）开标评标办法程序和细则</w:t>
      </w:r>
      <w:r>
        <w:tab/>
      </w:r>
      <w:r>
        <w:fldChar w:fldCharType="begin"/>
      </w:r>
      <w:r>
        <w:instrText xml:space="preserve"> PAGEREF _Toc14420 \h </w:instrText>
      </w:r>
      <w:r>
        <w:fldChar w:fldCharType="separate"/>
      </w:r>
      <w:r>
        <w:t>43</w:t>
      </w:r>
      <w:r>
        <w:fldChar w:fldCharType="end"/>
      </w:r>
      <w:r>
        <w:fldChar w:fldCharType="end"/>
      </w:r>
    </w:p>
    <w:p w14:paraId="20232E20">
      <w:pPr>
        <w:pStyle w:val="29"/>
        <w:tabs>
          <w:tab w:val="right" w:leader="dot" w:pos="9298"/>
        </w:tabs>
        <w:ind w:left="840"/>
      </w:pPr>
      <w:r>
        <w:fldChar w:fldCharType="begin"/>
      </w:r>
      <w:r>
        <w:instrText xml:space="preserve"> HYPERLINK \l "_Toc136" </w:instrText>
      </w:r>
      <w:r>
        <w:fldChar w:fldCharType="separate"/>
      </w:r>
      <w:r>
        <w:rPr>
          <w:rFonts w:hint="eastAsia"/>
          <w:szCs w:val="24"/>
        </w:rPr>
        <w:t>可选办法七（适合综合评分法四，技术标与经济标同时开启）</w:t>
      </w:r>
      <w:r>
        <w:tab/>
      </w:r>
      <w:r>
        <w:fldChar w:fldCharType="begin"/>
      </w:r>
      <w:r>
        <w:instrText xml:space="preserve"> PAGEREF _Toc136 \h </w:instrText>
      </w:r>
      <w:r>
        <w:fldChar w:fldCharType="separate"/>
      </w:r>
      <w:r>
        <w:t>43</w:t>
      </w:r>
      <w:r>
        <w:fldChar w:fldCharType="end"/>
      </w:r>
      <w:r>
        <w:fldChar w:fldCharType="end"/>
      </w:r>
    </w:p>
    <w:p w14:paraId="00AD4AC2">
      <w:pPr>
        <w:pStyle w:val="29"/>
        <w:tabs>
          <w:tab w:val="right" w:leader="dot" w:pos="9298"/>
        </w:tabs>
        <w:ind w:left="840"/>
      </w:pPr>
      <w:r>
        <w:fldChar w:fldCharType="begin"/>
      </w:r>
      <w:r>
        <w:instrText xml:space="preserve"> HYPERLINK \l "_Toc27112" </w:instrText>
      </w:r>
      <w:r>
        <w:fldChar w:fldCharType="separate"/>
      </w:r>
      <w:r>
        <w:rPr>
          <w:rFonts w:hint="eastAsia"/>
          <w:bCs/>
          <w:szCs w:val="36"/>
        </w:rPr>
        <w:t>技术标详细审查评分表</w:t>
      </w:r>
      <w:r>
        <w:tab/>
      </w:r>
      <w:r>
        <w:fldChar w:fldCharType="begin"/>
      </w:r>
      <w:r>
        <w:instrText xml:space="preserve"> PAGEREF _Toc27112 \h </w:instrText>
      </w:r>
      <w:r>
        <w:fldChar w:fldCharType="separate"/>
      </w:r>
      <w:r>
        <w:t>52</w:t>
      </w:r>
      <w:r>
        <w:fldChar w:fldCharType="end"/>
      </w:r>
      <w:r>
        <w:fldChar w:fldCharType="end"/>
      </w:r>
    </w:p>
    <w:p w14:paraId="1319B2BF">
      <w:pPr>
        <w:pStyle w:val="37"/>
        <w:tabs>
          <w:tab w:val="right" w:leader="dot" w:pos="9298"/>
          <w:tab w:val="clear" w:pos="9060"/>
        </w:tabs>
        <w:rPr>
          <w:rFonts w:hint="eastAsia"/>
        </w:rPr>
      </w:pPr>
      <w:r>
        <w:fldChar w:fldCharType="begin"/>
      </w:r>
      <w:r>
        <w:instrText xml:space="preserve"> HYPERLINK \l "_Toc11780" </w:instrText>
      </w:r>
      <w:r>
        <w:fldChar w:fldCharType="separate"/>
      </w:r>
      <w:r>
        <w:rPr>
          <w:rFonts w:hint="eastAsia"/>
          <w:bCs/>
        </w:rPr>
        <w:t>第三章</w:t>
      </w:r>
      <w:r>
        <w:rPr>
          <w:bCs/>
        </w:rPr>
        <w:t xml:space="preserve">  </w:t>
      </w:r>
      <w:r>
        <w:rPr>
          <w:rFonts w:hint="eastAsia"/>
          <w:bCs/>
        </w:rPr>
        <w:t>合同条款</w:t>
      </w:r>
      <w:r>
        <w:tab/>
      </w:r>
      <w:r>
        <w:fldChar w:fldCharType="begin"/>
      </w:r>
      <w:r>
        <w:instrText xml:space="preserve"> PAGEREF _Toc11780 \h </w:instrText>
      </w:r>
      <w:r>
        <w:fldChar w:fldCharType="separate"/>
      </w:r>
      <w:r>
        <w:t>58</w:t>
      </w:r>
      <w:r>
        <w:fldChar w:fldCharType="end"/>
      </w:r>
      <w:r>
        <w:fldChar w:fldCharType="end"/>
      </w:r>
    </w:p>
    <w:p w14:paraId="5BEAFAB0">
      <w:pPr>
        <w:pStyle w:val="37"/>
        <w:tabs>
          <w:tab w:val="right" w:leader="dot" w:pos="9298"/>
          <w:tab w:val="clear" w:pos="9060"/>
        </w:tabs>
        <w:rPr>
          <w:rFonts w:hint="eastAsia"/>
        </w:rPr>
      </w:pPr>
      <w:r>
        <w:fldChar w:fldCharType="begin"/>
      </w:r>
      <w:r>
        <w:instrText xml:space="preserve"> HYPERLINK \l "_Toc20075" </w:instrText>
      </w:r>
      <w:r>
        <w:fldChar w:fldCharType="separate"/>
      </w:r>
      <w:r>
        <w:rPr>
          <w:rFonts w:hint="eastAsia"/>
          <w:bCs/>
        </w:rPr>
        <w:t>第四章</w:t>
      </w:r>
      <w:r>
        <w:rPr>
          <w:bCs/>
        </w:rPr>
        <w:t xml:space="preserve">  </w:t>
      </w:r>
      <w:r>
        <w:rPr>
          <w:rFonts w:hint="eastAsia"/>
          <w:bCs/>
        </w:rPr>
        <w:t>投标文件格式</w:t>
      </w:r>
      <w:r>
        <w:tab/>
      </w:r>
      <w:r>
        <w:fldChar w:fldCharType="begin"/>
      </w:r>
      <w:r>
        <w:instrText xml:space="preserve"> PAGEREF _Toc20075 \h </w:instrText>
      </w:r>
      <w:r>
        <w:fldChar w:fldCharType="separate"/>
      </w:r>
      <w:r>
        <w:t>59</w:t>
      </w:r>
      <w:r>
        <w:fldChar w:fldCharType="end"/>
      </w:r>
      <w:r>
        <w:fldChar w:fldCharType="end"/>
      </w:r>
    </w:p>
    <w:p w14:paraId="60A02B35">
      <w:pPr>
        <w:pStyle w:val="37"/>
        <w:tabs>
          <w:tab w:val="right" w:leader="dot" w:pos="9298"/>
          <w:tab w:val="clear" w:pos="9060"/>
        </w:tabs>
        <w:rPr>
          <w:rFonts w:hint="eastAsia"/>
        </w:rPr>
      </w:pPr>
      <w:r>
        <w:fldChar w:fldCharType="begin"/>
      </w:r>
      <w:r>
        <w:instrText xml:space="preserve"> HYPERLINK \l "_Toc15085" </w:instrText>
      </w:r>
      <w:r>
        <w:fldChar w:fldCharType="separate"/>
      </w:r>
      <w:r>
        <w:rPr>
          <w:rFonts w:hint="eastAsia"/>
          <w:bCs/>
        </w:rPr>
        <w:t>第六章 图纸及勘察资料</w:t>
      </w:r>
      <w:r>
        <w:tab/>
      </w:r>
      <w:r>
        <w:fldChar w:fldCharType="begin"/>
      </w:r>
      <w:r>
        <w:instrText xml:space="preserve"> PAGEREF _Toc15085 \h </w:instrText>
      </w:r>
      <w:r>
        <w:fldChar w:fldCharType="separate"/>
      </w:r>
      <w:r>
        <w:t>72</w:t>
      </w:r>
      <w:r>
        <w:fldChar w:fldCharType="end"/>
      </w:r>
      <w:r>
        <w:fldChar w:fldCharType="end"/>
      </w:r>
    </w:p>
    <w:p w14:paraId="7BA67CBF">
      <w:pPr>
        <w:pStyle w:val="37"/>
        <w:tabs>
          <w:tab w:val="right" w:leader="dot" w:pos="9298"/>
          <w:tab w:val="clear" w:pos="9060"/>
        </w:tabs>
        <w:rPr>
          <w:rFonts w:hint="eastAsia"/>
        </w:rPr>
      </w:pPr>
      <w:r>
        <w:fldChar w:fldCharType="begin"/>
      </w:r>
      <w:r>
        <w:instrText xml:space="preserve"> HYPERLINK \l "_Toc10801" </w:instrText>
      </w:r>
      <w:r>
        <w:fldChar w:fldCharType="separate"/>
      </w:r>
      <w:r>
        <w:rPr>
          <w:rFonts w:hint="eastAsia"/>
          <w:bCs/>
        </w:rPr>
        <w:t>第七章 工程量清单</w:t>
      </w:r>
      <w:r>
        <w:tab/>
      </w:r>
      <w:r>
        <w:fldChar w:fldCharType="begin"/>
      </w:r>
      <w:r>
        <w:instrText xml:space="preserve"> PAGEREF _Toc10801 \h </w:instrText>
      </w:r>
      <w:r>
        <w:fldChar w:fldCharType="separate"/>
      </w:r>
      <w:r>
        <w:t>73</w:t>
      </w:r>
      <w:r>
        <w:fldChar w:fldCharType="end"/>
      </w:r>
      <w:r>
        <w:fldChar w:fldCharType="end"/>
      </w:r>
    </w:p>
    <w:p w14:paraId="3D0CAC30">
      <w:pPr>
        <w:pStyle w:val="37"/>
        <w:tabs>
          <w:tab w:val="right" w:leader="dot" w:pos="9298"/>
          <w:tab w:val="clear" w:pos="9060"/>
        </w:tabs>
        <w:rPr>
          <w:rFonts w:hint="eastAsia"/>
        </w:rPr>
      </w:pPr>
      <w:r>
        <w:fldChar w:fldCharType="begin"/>
      </w:r>
      <w:r>
        <w:instrText xml:space="preserve"> HYPERLINK \l "_Toc22431" </w:instrText>
      </w:r>
      <w:r>
        <w:fldChar w:fldCharType="separate"/>
      </w:r>
      <w:r>
        <w:rPr>
          <w:rFonts w:hint="eastAsia"/>
          <w:bCs/>
        </w:rPr>
        <w:t>第八章 最高投标限价</w:t>
      </w:r>
      <w:r>
        <w:tab/>
      </w:r>
      <w:r>
        <w:fldChar w:fldCharType="begin"/>
      </w:r>
      <w:r>
        <w:instrText xml:space="preserve"> PAGEREF _Toc22431 \h </w:instrText>
      </w:r>
      <w:r>
        <w:fldChar w:fldCharType="separate"/>
      </w:r>
      <w:r>
        <w:t>74</w:t>
      </w:r>
      <w:r>
        <w:fldChar w:fldCharType="end"/>
      </w:r>
      <w:r>
        <w:fldChar w:fldCharType="end"/>
      </w:r>
    </w:p>
    <w:p w14:paraId="2A369092">
      <w:pPr>
        <w:pStyle w:val="3"/>
        <w:tabs>
          <w:tab w:val="center" w:pos="4535"/>
          <w:tab w:val="left" w:pos="6825"/>
        </w:tabs>
      </w:pPr>
      <w:r>
        <w:fldChar w:fldCharType="end"/>
      </w:r>
      <w:bookmarkStart w:id="0" w:name="_Toc21165"/>
    </w:p>
    <w:p w14:paraId="0A54F06F">
      <w:r>
        <w:br w:type="page"/>
      </w:r>
    </w:p>
    <w:p w14:paraId="7798790F">
      <w:pPr>
        <w:pStyle w:val="3"/>
        <w:tabs>
          <w:tab w:val="center" w:pos="4535"/>
          <w:tab w:val="left" w:pos="6825"/>
        </w:tabs>
        <w:spacing w:after="0" w:line="240" w:lineRule="auto"/>
        <w:jc w:val="center"/>
        <w:rPr>
          <w:b/>
          <w:bCs/>
        </w:rPr>
      </w:pPr>
      <w:bookmarkStart w:id="1" w:name="_Toc905"/>
      <w:bookmarkStart w:id="2" w:name="_Toc20614"/>
      <w:bookmarkStart w:id="3" w:name="_Toc26733"/>
      <w:bookmarkStart w:id="4" w:name="_Toc26595"/>
      <w:bookmarkStart w:id="5" w:name="_Toc14469"/>
      <w:r>
        <w:rPr>
          <w:rFonts w:hint="eastAsia"/>
          <w:b/>
          <w:bCs/>
        </w:rPr>
        <w:t>第一章</w:t>
      </w:r>
      <w:r>
        <w:rPr>
          <w:b/>
          <w:bCs/>
        </w:rPr>
        <w:t xml:space="preserve">  </w:t>
      </w:r>
      <w:r>
        <w:rPr>
          <w:rFonts w:hint="eastAsia"/>
          <w:b/>
          <w:bCs/>
        </w:rPr>
        <w:t>投标须知</w:t>
      </w:r>
      <w:bookmarkEnd w:id="0"/>
      <w:bookmarkEnd w:id="1"/>
      <w:bookmarkEnd w:id="2"/>
      <w:bookmarkEnd w:id="3"/>
      <w:bookmarkEnd w:id="4"/>
      <w:bookmarkEnd w:id="5"/>
    </w:p>
    <w:p w14:paraId="2F693122">
      <w:pPr>
        <w:pStyle w:val="4"/>
        <w:spacing w:before="0" w:after="0" w:line="360" w:lineRule="auto"/>
        <w:ind w:left="0"/>
        <w:rPr>
          <w:color w:val="auto"/>
        </w:rPr>
      </w:pPr>
      <w:bookmarkStart w:id="6" w:name="_Toc26370"/>
      <w:bookmarkStart w:id="7" w:name="_Toc10972"/>
      <w:bookmarkStart w:id="8" w:name="_Toc26761"/>
      <w:bookmarkStart w:id="9" w:name="_Toc21720"/>
      <w:bookmarkStart w:id="10" w:name="_Toc2523"/>
      <w:bookmarkStart w:id="11" w:name="_Toc5952"/>
      <w:r>
        <w:rPr>
          <w:rFonts w:hint="eastAsia"/>
          <w:color w:val="auto"/>
        </w:rPr>
        <w:t>一、投标须知前附表</w:t>
      </w:r>
      <w:bookmarkEnd w:id="6"/>
      <w:bookmarkEnd w:id="7"/>
      <w:bookmarkEnd w:id="8"/>
      <w:bookmarkEnd w:id="9"/>
      <w:bookmarkEnd w:id="10"/>
      <w:bookmarkEnd w:id="11"/>
    </w:p>
    <w:p w14:paraId="718EA26A">
      <w:pPr>
        <w:pStyle w:val="2"/>
        <w:spacing w:line="360" w:lineRule="auto"/>
        <w:ind w:firstLine="0"/>
        <w:rPr>
          <w:rFonts w:hint="eastAsia" w:ascii="宋体" w:hAnsi="宋体"/>
          <w:b/>
          <w:szCs w:val="21"/>
        </w:rPr>
      </w:pPr>
      <w:r>
        <w:rPr>
          <w:rFonts w:hint="eastAsia" w:ascii="宋体" w:hAnsi="宋体"/>
          <w:b/>
          <w:szCs w:val="21"/>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52"/>
        <w:tblW w:w="935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881"/>
        <w:gridCol w:w="5786"/>
      </w:tblGrid>
      <w:tr w14:paraId="246D35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702" w:type="dxa"/>
            <w:tcBorders>
              <w:top w:val="double" w:color="auto" w:sz="4" w:space="0"/>
              <w:left w:val="double" w:color="auto" w:sz="4" w:space="0"/>
              <w:bottom w:val="single" w:color="auto" w:sz="4" w:space="0"/>
              <w:right w:val="single" w:color="auto" w:sz="4" w:space="0"/>
            </w:tcBorders>
            <w:vAlign w:val="center"/>
          </w:tcPr>
          <w:p w14:paraId="07F9BE23">
            <w:pPr>
              <w:rPr>
                <w:rFonts w:hint="eastAsia" w:ascii="宋体" w:hAnsi="宋体"/>
                <w:szCs w:val="21"/>
              </w:rPr>
            </w:pPr>
            <w:r>
              <w:rPr>
                <w:rFonts w:hint="eastAsia" w:ascii="宋体" w:hAnsi="宋体"/>
                <w:szCs w:val="21"/>
              </w:rPr>
              <w:t>项目</w:t>
            </w:r>
          </w:p>
        </w:tc>
        <w:tc>
          <w:tcPr>
            <w:tcW w:w="981" w:type="dxa"/>
            <w:tcBorders>
              <w:top w:val="double" w:color="auto" w:sz="4" w:space="0"/>
              <w:left w:val="single" w:color="auto" w:sz="4" w:space="0"/>
              <w:bottom w:val="single" w:color="auto" w:sz="4" w:space="0"/>
              <w:right w:val="single" w:color="auto" w:sz="4" w:space="0"/>
            </w:tcBorders>
            <w:vAlign w:val="center"/>
          </w:tcPr>
          <w:p w14:paraId="1300017C">
            <w:pPr>
              <w:rPr>
                <w:rFonts w:hint="eastAsia" w:ascii="宋体" w:hAnsi="宋体"/>
                <w:szCs w:val="21"/>
              </w:rPr>
            </w:pPr>
            <w:r>
              <w:rPr>
                <w:rFonts w:hint="eastAsia" w:ascii="宋体" w:hAnsi="宋体"/>
                <w:szCs w:val="21"/>
              </w:rPr>
              <w:t>条款号</w:t>
            </w:r>
          </w:p>
        </w:tc>
        <w:tc>
          <w:tcPr>
            <w:tcW w:w="1881" w:type="dxa"/>
            <w:tcBorders>
              <w:top w:val="double" w:color="auto" w:sz="4" w:space="0"/>
              <w:left w:val="single" w:color="auto" w:sz="4" w:space="0"/>
              <w:bottom w:val="single" w:color="auto" w:sz="4" w:space="0"/>
              <w:right w:val="single" w:color="auto" w:sz="4" w:space="0"/>
            </w:tcBorders>
            <w:vAlign w:val="center"/>
          </w:tcPr>
          <w:p w14:paraId="0245B171">
            <w:pPr>
              <w:ind w:firstLine="458"/>
              <w:rPr>
                <w:rFonts w:hint="eastAsia" w:ascii="宋体" w:hAnsi="宋体"/>
                <w:szCs w:val="21"/>
              </w:rPr>
            </w:pPr>
            <w:r>
              <w:rPr>
                <w:rFonts w:hint="eastAsia" w:ascii="宋体" w:hAnsi="宋体"/>
                <w:szCs w:val="21"/>
              </w:rPr>
              <w:t>内容</w:t>
            </w:r>
          </w:p>
        </w:tc>
        <w:tc>
          <w:tcPr>
            <w:tcW w:w="5786" w:type="dxa"/>
            <w:tcBorders>
              <w:top w:val="double" w:color="auto" w:sz="4" w:space="0"/>
              <w:left w:val="single" w:color="auto" w:sz="4" w:space="0"/>
              <w:bottom w:val="single" w:color="auto" w:sz="4" w:space="0"/>
              <w:right w:val="double" w:color="auto" w:sz="4" w:space="0"/>
            </w:tcBorders>
            <w:vAlign w:val="center"/>
          </w:tcPr>
          <w:p w14:paraId="46B4E2CA">
            <w:pPr>
              <w:pStyle w:val="31"/>
              <w:ind w:firstLine="458"/>
              <w:jc w:val="center"/>
              <w:rPr>
                <w:rFonts w:hint="eastAsia" w:ascii="宋体" w:hAnsi="宋体"/>
                <w:szCs w:val="21"/>
              </w:rPr>
            </w:pPr>
            <w:r>
              <w:rPr>
                <w:rFonts w:hint="eastAsia" w:ascii="宋体" w:hAnsi="宋体"/>
                <w:szCs w:val="21"/>
              </w:rPr>
              <w:t>说明与要求</w:t>
            </w:r>
          </w:p>
        </w:tc>
      </w:tr>
      <w:tr w14:paraId="1B1026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0CB20E77">
            <w:pPr>
              <w:rPr>
                <w:rFonts w:hint="eastAsia" w:ascii="宋体" w:hAnsi="宋体"/>
                <w:szCs w:val="21"/>
              </w:rPr>
            </w:pPr>
            <w:r>
              <w:rPr>
                <w:rFonts w:ascii="宋体" w:hAnsi="宋体"/>
                <w:szCs w:val="21"/>
              </w:rPr>
              <w:t>1</w:t>
            </w:r>
          </w:p>
        </w:tc>
        <w:tc>
          <w:tcPr>
            <w:tcW w:w="981" w:type="dxa"/>
            <w:tcBorders>
              <w:top w:val="single" w:color="auto" w:sz="4" w:space="0"/>
              <w:left w:val="single" w:color="auto" w:sz="4" w:space="0"/>
              <w:bottom w:val="single" w:color="auto" w:sz="4" w:space="0"/>
              <w:right w:val="single" w:color="auto" w:sz="4" w:space="0"/>
            </w:tcBorders>
            <w:vAlign w:val="center"/>
          </w:tcPr>
          <w:p w14:paraId="25E19711">
            <w:pPr>
              <w:rPr>
                <w:rFonts w:hint="eastAsia" w:ascii="宋体" w:hAnsi="宋体"/>
                <w:szCs w:val="21"/>
              </w:rPr>
            </w:pPr>
            <w:r>
              <w:rPr>
                <w:rFonts w:ascii="宋体" w:hAnsi="宋体"/>
                <w:szCs w:val="21"/>
              </w:rPr>
              <w:t>1</w:t>
            </w:r>
          </w:p>
        </w:tc>
        <w:tc>
          <w:tcPr>
            <w:tcW w:w="1881" w:type="dxa"/>
            <w:tcBorders>
              <w:top w:val="single" w:color="auto" w:sz="4" w:space="0"/>
              <w:left w:val="single" w:color="auto" w:sz="4" w:space="0"/>
              <w:bottom w:val="single" w:color="auto" w:sz="4" w:space="0"/>
              <w:right w:val="single" w:color="auto" w:sz="4" w:space="0"/>
            </w:tcBorders>
            <w:vAlign w:val="center"/>
          </w:tcPr>
          <w:p w14:paraId="5A6D249E">
            <w:pPr>
              <w:rPr>
                <w:rFonts w:hint="eastAsia" w:ascii="宋体" w:hAnsi="宋体"/>
                <w:szCs w:val="21"/>
              </w:rPr>
            </w:pPr>
            <w:r>
              <w:rPr>
                <w:rFonts w:hint="eastAsia" w:ascii="宋体" w:hAnsi="宋体"/>
                <w:szCs w:val="21"/>
              </w:rPr>
              <w:t>定义</w:t>
            </w:r>
          </w:p>
        </w:tc>
        <w:tc>
          <w:tcPr>
            <w:tcW w:w="5786" w:type="dxa"/>
            <w:tcBorders>
              <w:top w:val="single" w:color="auto" w:sz="4" w:space="0"/>
              <w:left w:val="single" w:color="auto" w:sz="4" w:space="0"/>
              <w:bottom w:val="single" w:color="auto" w:sz="4" w:space="0"/>
              <w:right w:val="double" w:color="auto" w:sz="4" w:space="0"/>
            </w:tcBorders>
            <w:vAlign w:val="center"/>
          </w:tcPr>
          <w:p w14:paraId="28229924">
            <w:pPr>
              <w:rPr>
                <w:rFonts w:hint="eastAsia" w:ascii="宋体" w:hAnsi="宋体" w:cs="宋体"/>
                <w:szCs w:val="21"/>
              </w:rPr>
            </w:pPr>
            <w:r>
              <w:rPr>
                <w:rFonts w:hint="eastAsia" w:ascii="宋体" w:hAnsi="宋体" w:cs="宋体"/>
                <w:szCs w:val="21"/>
              </w:rPr>
              <w:t>招标人（即发包人）：</w:t>
            </w:r>
            <w:r>
              <w:rPr>
                <w:rFonts w:hint="eastAsia" w:ascii="宋体" w:hAnsi="宋体"/>
                <w:szCs w:val="21"/>
                <w:u w:val="single"/>
              </w:rPr>
              <w:t>广州市花都区新华街莲塘村村民委员会</w:t>
            </w:r>
          </w:p>
          <w:p w14:paraId="5259C874">
            <w:pPr>
              <w:rPr>
                <w:rFonts w:hint="eastAsia" w:ascii="宋体" w:hAnsi="宋体" w:cs="宋体"/>
                <w:szCs w:val="21"/>
                <w:u w:val="single"/>
                <w:lang w:val="zh-CN"/>
              </w:rPr>
            </w:pPr>
            <w:r>
              <w:rPr>
                <w:rFonts w:hint="eastAsia" w:ascii="宋体" w:hAnsi="宋体" w:cs="宋体"/>
                <w:szCs w:val="21"/>
              </w:rPr>
              <w:t>招标代理：</w:t>
            </w:r>
            <w:r>
              <w:rPr>
                <w:rFonts w:hint="eastAsia" w:ascii="宋体" w:hAnsi="宋体"/>
                <w:szCs w:val="21"/>
                <w:u w:val="single"/>
              </w:rPr>
              <w:t>广州粤信工程项目管理有限公司</w:t>
            </w:r>
          </w:p>
          <w:p w14:paraId="596BE3D4">
            <w:pPr>
              <w:rPr>
                <w:rFonts w:hint="eastAsia" w:ascii="宋体" w:hAnsi="宋体"/>
                <w:szCs w:val="21"/>
              </w:rPr>
            </w:pPr>
            <w:r>
              <w:rPr>
                <w:rFonts w:ascii="宋体" w:hAnsi="宋体"/>
                <w:szCs w:val="21"/>
              </w:rPr>
              <w:t>设计单位：</w:t>
            </w:r>
            <w:r>
              <w:rPr>
                <w:rFonts w:hint="eastAsia" w:ascii="宋体" w:hAnsi="宋体"/>
                <w:szCs w:val="21"/>
                <w:u w:val="single"/>
              </w:rPr>
              <w:t>广州市设计院集团有限公司</w:t>
            </w:r>
          </w:p>
        </w:tc>
      </w:tr>
      <w:tr w14:paraId="0FD5BB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5593082A">
            <w:pPr>
              <w:rPr>
                <w:rFonts w:hint="eastAsia" w:ascii="宋体" w:hAnsi="宋体"/>
                <w:szCs w:val="21"/>
              </w:rPr>
            </w:pPr>
            <w:r>
              <w:rPr>
                <w:rFonts w:ascii="宋体" w:hAnsi="宋体"/>
                <w:szCs w:val="21"/>
              </w:rPr>
              <w:t>2</w:t>
            </w:r>
          </w:p>
        </w:tc>
        <w:tc>
          <w:tcPr>
            <w:tcW w:w="981" w:type="dxa"/>
            <w:tcBorders>
              <w:top w:val="single" w:color="auto" w:sz="4" w:space="0"/>
              <w:left w:val="single" w:color="auto" w:sz="4" w:space="0"/>
              <w:bottom w:val="single" w:color="auto" w:sz="4" w:space="0"/>
              <w:right w:val="single" w:color="auto" w:sz="4" w:space="0"/>
            </w:tcBorders>
            <w:vAlign w:val="center"/>
          </w:tcPr>
          <w:p w14:paraId="04AD271A">
            <w:pPr>
              <w:rPr>
                <w:rFonts w:hint="eastAsia" w:ascii="宋体" w:hAnsi="宋体"/>
                <w:szCs w:val="21"/>
              </w:rPr>
            </w:pPr>
            <w:r>
              <w:rPr>
                <w:rFonts w:ascii="宋体" w:hAnsi="宋体"/>
                <w:szCs w:val="21"/>
              </w:rPr>
              <w:t>2.2</w:t>
            </w:r>
          </w:p>
        </w:tc>
        <w:tc>
          <w:tcPr>
            <w:tcW w:w="1881" w:type="dxa"/>
            <w:tcBorders>
              <w:top w:val="single" w:color="auto" w:sz="4" w:space="0"/>
              <w:left w:val="single" w:color="auto" w:sz="4" w:space="0"/>
              <w:bottom w:val="single" w:color="auto" w:sz="4" w:space="0"/>
              <w:right w:val="single" w:color="auto" w:sz="4" w:space="0"/>
            </w:tcBorders>
            <w:vAlign w:val="center"/>
          </w:tcPr>
          <w:p w14:paraId="01C1BCE2">
            <w:pPr>
              <w:rPr>
                <w:rFonts w:hint="eastAsia" w:ascii="宋体" w:hAnsi="宋体"/>
                <w:szCs w:val="21"/>
              </w:rPr>
            </w:pPr>
            <w:r>
              <w:rPr>
                <w:rFonts w:hint="eastAsia" w:ascii="宋体" w:hAnsi="宋体"/>
                <w:szCs w:val="21"/>
              </w:rPr>
              <w:t>工程名称</w:t>
            </w:r>
          </w:p>
        </w:tc>
        <w:tc>
          <w:tcPr>
            <w:tcW w:w="5786" w:type="dxa"/>
            <w:tcBorders>
              <w:top w:val="single" w:color="auto" w:sz="4" w:space="0"/>
              <w:left w:val="single" w:color="auto" w:sz="4" w:space="0"/>
              <w:bottom w:val="single" w:color="auto" w:sz="4" w:space="0"/>
              <w:right w:val="double" w:color="auto" w:sz="4" w:space="0"/>
            </w:tcBorders>
            <w:vAlign w:val="center"/>
          </w:tcPr>
          <w:p w14:paraId="0077D291">
            <w:pPr>
              <w:rPr>
                <w:rFonts w:hint="eastAsia" w:ascii="宋体" w:hAnsi="宋体"/>
                <w:szCs w:val="21"/>
                <w:u w:val="single"/>
              </w:rPr>
            </w:pPr>
            <w:r>
              <w:rPr>
                <w:rFonts w:hint="eastAsia" w:ascii="宋体" w:hAnsi="宋体"/>
                <w:szCs w:val="21"/>
                <w:u w:val="single"/>
              </w:rPr>
              <w:t>莲塘村二村社商业楼施工</w:t>
            </w:r>
          </w:p>
        </w:tc>
      </w:tr>
      <w:tr w14:paraId="6CF533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15851326">
            <w:pPr>
              <w:rPr>
                <w:rFonts w:hint="eastAsia" w:ascii="宋体" w:hAnsi="宋体"/>
                <w:szCs w:val="21"/>
              </w:rPr>
            </w:pPr>
            <w:r>
              <w:rPr>
                <w:rFonts w:ascii="宋体" w:hAnsi="宋体"/>
                <w:szCs w:val="21"/>
              </w:rPr>
              <w:t>3</w:t>
            </w:r>
          </w:p>
        </w:tc>
        <w:tc>
          <w:tcPr>
            <w:tcW w:w="981" w:type="dxa"/>
            <w:tcBorders>
              <w:top w:val="single" w:color="auto" w:sz="4" w:space="0"/>
              <w:left w:val="single" w:color="auto" w:sz="4" w:space="0"/>
              <w:bottom w:val="single" w:color="auto" w:sz="4" w:space="0"/>
              <w:right w:val="single" w:color="auto" w:sz="4" w:space="0"/>
            </w:tcBorders>
            <w:vAlign w:val="center"/>
          </w:tcPr>
          <w:p w14:paraId="2D3C607E">
            <w:pPr>
              <w:rPr>
                <w:rFonts w:hint="eastAsia" w:ascii="宋体" w:hAnsi="宋体"/>
                <w:szCs w:val="21"/>
              </w:rPr>
            </w:pPr>
            <w:r>
              <w:rPr>
                <w:rFonts w:ascii="宋体" w:hAnsi="宋体"/>
                <w:szCs w:val="21"/>
              </w:rPr>
              <w:t>2.2</w:t>
            </w:r>
          </w:p>
        </w:tc>
        <w:tc>
          <w:tcPr>
            <w:tcW w:w="1881" w:type="dxa"/>
            <w:tcBorders>
              <w:top w:val="single" w:color="auto" w:sz="4" w:space="0"/>
              <w:left w:val="single" w:color="auto" w:sz="4" w:space="0"/>
              <w:bottom w:val="single" w:color="auto" w:sz="4" w:space="0"/>
              <w:right w:val="single" w:color="auto" w:sz="4" w:space="0"/>
            </w:tcBorders>
            <w:vAlign w:val="center"/>
          </w:tcPr>
          <w:p w14:paraId="004E9CF2">
            <w:pPr>
              <w:rPr>
                <w:rFonts w:hint="eastAsia" w:ascii="宋体" w:hAnsi="宋体"/>
                <w:szCs w:val="21"/>
              </w:rPr>
            </w:pPr>
            <w:r>
              <w:rPr>
                <w:rFonts w:hint="eastAsia" w:ascii="宋体" w:hAnsi="宋体"/>
                <w:szCs w:val="21"/>
              </w:rPr>
              <w:t>建设地点</w:t>
            </w:r>
          </w:p>
        </w:tc>
        <w:tc>
          <w:tcPr>
            <w:tcW w:w="5786" w:type="dxa"/>
            <w:tcBorders>
              <w:top w:val="single" w:color="auto" w:sz="4" w:space="0"/>
              <w:left w:val="single" w:color="auto" w:sz="4" w:space="0"/>
              <w:bottom w:val="single" w:color="auto" w:sz="4" w:space="0"/>
              <w:right w:val="double" w:color="auto" w:sz="4" w:space="0"/>
            </w:tcBorders>
            <w:vAlign w:val="center"/>
          </w:tcPr>
          <w:p w14:paraId="62E7AD6E">
            <w:pPr>
              <w:rPr>
                <w:rFonts w:hint="eastAsia" w:ascii="宋体" w:hAnsi="宋体"/>
                <w:szCs w:val="21"/>
                <w:u w:val="single"/>
              </w:rPr>
            </w:pPr>
            <w:r>
              <w:rPr>
                <w:rFonts w:hint="eastAsia" w:ascii="宋体" w:hAnsi="宋体" w:cs="宋体"/>
                <w:u w:val="single"/>
              </w:rPr>
              <w:t>详见</w:t>
            </w:r>
            <w:r>
              <w:rPr>
                <w:rFonts w:hint="eastAsia" w:ascii="宋体" w:hAnsi="宋体"/>
                <w:szCs w:val="21"/>
                <w:u w:val="single"/>
              </w:rPr>
              <w:t>本工程</w:t>
            </w:r>
            <w:r>
              <w:rPr>
                <w:rFonts w:hint="eastAsia" w:ascii="宋体" w:hAnsi="宋体" w:cs="宋体"/>
                <w:u w:val="single"/>
              </w:rPr>
              <w:t>招标公告。</w:t>
            </w:r>
          </w:p>
        </w:tc>
      </w:tr>
      <w:tr w14:paraId="04F1A8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15CC2621">
            <w:pPr>
              <w:rPr>
                <w:rFonts w:hint="eastAsia" w:ascii="宋体" w:hAnsi="宋体"/>
                <w:szCs w:val="21"/>
              </w:rPr>
            </w:pPr>
            <w:r>
              <w:rPr>
                <w:rFonts w:ascii="宋体" w:hAnsi="宋体"/>
                <w:szCs w:val="21"/>
              </w:rPr>
              <w:t>4</w:t>
            </w:r>
          </w:p>
        </w:tc>
        <w:tc>
          <w:tcPr>
            <w:tcW w:w="981" w:type="dxa"/>
            <w:tcBorders>
              <w:top w:val="single" w:color="auto" w:sz="4" w:space="0"/>
              <w:left w:val="single" w:color="auto" w:sz="4" w:space="0"/>
              <w:bottom w:val="single" w:color="auto" w:sz="4" w:space="0"/>
              <w:right w:val="single" w:color="auto" w:sz="4" w:space="0"/>
            </w:tcBorders>
            <w:vAlign w:val="center"/>
          </w:tcPr>
          <w:p w14:paraId="53DF6EF8">
            <w:pPr>
              <w:rPr>
                <w:rFonts w:hint="eastAsia" w:ascii="宋体" w:hAnsi="宋体"/>
                <w:szCs w:val="21"/>
              </w:rPr>
            </w:pPr>
            <w:r>
              <w:rPr>
                <w:rFonts w:ascii="宋体" w:hAnsi="宋体"/>
                <w:szCs w:val="21"/>
              </w:rPr>
              <w:t>2.2</w:t>
            </w:r>
          </w:p>
        </w:tc>
        <w:tc>
          <w:tcPr>
            <w:tcW w:w="1881" w:type="dxa"/>
            <w:tcBorders>
              <w:top w:val="single" w:color="auto" w:sz="4" w:space="0"/>
              <w:left w:val="single" w:color="auto" w:sz="4" w:space="0"/>
              <w:bottom w:val="single" w:color="auto" w:sz="4" w:space="0"/>
              <w:right w:val="single" w:color="auto" w:sz="4" w:space="0"/>
            </w:tcBorders>
            <w:vAlign w:val="center"/>
          </w:tcPr>
          <w:p w14:paraId="3DB0F5AA">
            <w:pPr>
              <w:rPr>
                <w:rFonts w:hint="eastAsia" w:ascii="宋体" w:hAnsi="宋体"/>
                <w:szCs w:val="21"/>
              </w:rPr>
            </w:pPr>
            <w:r>
              <w:rPr>
                <w:rFonts w:hint="eastAsia" w:ascii="宋体" w:hAnsi="宋体"/>
                <w:szCs w:val="21"/>
              </w:rPr>
              <w:t>建设规模</w:t>
            </w:r>
          </w:p>
        </w:tc>
        <w:tc>
          <w:tcPr>
            <w:tcW w:w="5786" w:type="dxa"/>
            <w:tcBorders>
              <w:top w:val="single" w:color="auto" w:sz="4" w:space="0"/>
              <w:left w:val="single" w:color="auto" w:sz="4" w:space="0"/>
              <w:bottom w:val="single" w:color="auto" w:sz="4" w:space="0"/>
              <w:right w:val="double" w:color="auto" w:sz="4" w:space="0"/>
            </w:tcBorders>
            <w:vAlign w:val="center"/>
          </w:tcPr>
          <w:p w14:paraId="48CD3EDE">
            <w:pPr>
              <w:rPr>
                <w:rFonts w:hint="eastAsia" w:ascii="宋体" w:hAnsi="宋体"/>
                <w:szCs w:val="21"/>
                <w:u w:val="single"/>
              </w:rPr>
            </w:pPr>
            <w:r>
              <w:rPr>
                <w:rFonts w:hint="eastAsia" w:ascii="宋体" w:hAnsi="宋体"/>
                <w:szCs w:val="21"/>
                <w:u w:val="single"/>
              </w:rPr>
              <w:t>详见本工程招标公告。</w:t>
            </w:r>
          </w:p>
        </w:tc>
      </w:tr>
      <w:tr w14:paraId="0E97EE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45E3F9B6">
            <w:pPr>
              <w:rPr>
                <w:rFonts w:hint="eastAsia" w:ascii="宋体" w:hAnsi="宋体"/>
                <w:szCs w:val="21"/>
              </w:rPr>
            </w:pPr>
            <w:r>
              <w:rPr>
                <w:rFonts w:ascii="宋体" w:hAnsi="宋体"/>
                <w:szCs w:val="21"/>
              </w:rPr>
              <w:t>5</w:t>
            </w:r>
          </w:p>
        </w:tc>
        <w:tc>
          <w:tcPr>
            <w:tcW w:w="981" w:type="dxa"/>
            <w:tcBorders>
              <w:top w:val="single" w:color="auto" w:sz="4" w:space="0"/>
              <w:left w:val="single" w:color="auto" w:sz="4" w:space="0"/>
              <w:bottom w:val="single" w:color="auto" w:sz="4" w:space="0"/>
              <w:right w:val="single" w:color="auto" w:sz="4" w:space="0"/>
            </w:tcBorders>
            <w:vAlign w:val="center"/>
          </w:tcPr>
          <w:p w14:paraId="55EF8FC9">
            <w:pPr>
              <w:rPr>
                <w:rFonts w:hint="eastAsia" w:ascii="宋体" w:hAnsi="宋体"/>
                <w:szCs w:val="21"/>
              </w:rPr>
            </w:pPr>
            <w:r>
              <w:rPr>
                <w:rFonts w:ascii="宋体" w:hAnsi="宋体"/>
                <w:szCs w:val="21"/>
              </w:rPr>
              <w:t>2.2</w:t>
            </w:r>
          </w:p>
        </w:tc>
        <w:tc>
          <w:tcPr>
            <w:tcW w:w="1881" w:type="dxa"/>
            <w:tcBorders>
              <w:top w:val="single" w:color="auto" w:sz="4" w:space="0"/>
              <w:left w:val="single" w:color="auto" w:sz="4" w:space="0"/>
              <w:bottom w:val="single" w:color="auto" w:sz="4" w:space="0"/>
              <w:right w:val="single" w:color="auto" w:sz="4" w:space="0"/>
            </w:tcBorders>
            <w:vAlign w:val="center"/>
          </w:tcPr>
          <w:p w14:paraId="626BF599">
            <w:pPr>
              <w:rPr>
                <w:rFonts w:hint="eastAsia" w:ascii="宋体" w:hAnsi="宋体"/>
                <w:szCs w:val="21"/>
              </w:rPr>
            </w:pPr>
            <w:r>
              <w:rPr>
                <w:rFonts w:hint="eastAsia" w:ascii="宋体" w:hAnsi="宋体"/>
                <w:szCs w:val="21"/>
              </w:rPr>
              <w:t>承包方式</w:t>
            </w:r>
          </w:p>
        </w:tc>
        <w:tc>
          <w:tcPr>
            <w:tcW w:w="5786" w:type="dxa"/>
            <w:tcBorders>
              <w:top w:val="single" w:color="auto" w:sz="4" w:space="0"/>
              <w:left w:val="single" w:color="auto" w:sz="4" w:space="0"/>
              <w:bottom w:val="single" w:color="auto" w:sz="4" w:space="0"/>
              <w:right w:val="double" w:color="auto" w:sz="4" w:space="0"/>
            </w:tcBorders>
            <w:vAlign w:val="center"/>
          </w:tcPr>
          <w:p w14:paraId="62B9D7C8">
            <w:pPr>
              <w:rPr>
                <w:rFonts w:hint="eastAsia" w:ascii="宋体" w:hAnsi="宋体"/>
                <w:szCs w:val="21"/>
                <w:u w:val="single"/>
              </w:rPr>
            </w:pPr>
            <w:r>
              <w:rPr>
                <w:rFonts w:hint="eastAsia" w:ascii="宋体" w:hAnsi="宋体"/>
                <w:szCs w:val="21"/>
                <w:u w:val="single"/>
              </w:rPr>
              <w:t>承包人按招标文件、施工图纸、合同条件和规范及标准要求，对承包范围内的工程采取包工、包料、包工期、包质量、包安全生产、包文明施工、包验收、包保修，</w:t>
            </w:r>
            <w:r>
              <w:rPr>
                <w:rFonts w:hint="eastAsia" w:ascii="宋体" w:hAnsi="宋体" w:cs="宋体"/>
                <w:szCs w:val="21"/>
              </w:rPr>
              <w:t>综合单价包干</w:t>
            </w:r>
            <w:r>
              <w:rPr>
                <w:rFonts w:hint="eastAsia" w:ascii="宋体" w:hAnsi="宋体"/>
                <w:szCs w:val="21"/>
                <w:u w:val="single"/>
              </w:rPr>
              <w:t>。具体要求按施工合同。</w:t>
            </w:r>
          </w:p>
        </w:tc>
      </w:tr>
      <w:tr w14:paraId="68E0BB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75A17141">
            <w:pPr>
              <w:rPr>
                <w:rFonts w:hint="eastAsia" w:ascii="宋体" w:hAnsi="宋体"/>
                <w:color w:val="auto"/>
                <w:szCs w:val="21"/>
              </w:rPr>
            </w:pPr>
            <w:r>
              <w:rPr>
                <w:rFonts w:ascii="宋体" w:hAnsi="宋体"/>
                <w:color w:val="auto"/>
                <w:szCs w:val="21"/>
              </w:rPr>
              <w:t>6</w:t>
            </w:r>
          </w:p>
        </w:tc>
        <w:tc>
          <w:tcPr>
            <w:tcW w:w="981" w:type="dxa"/>
            <w:tcBorders>
              <w:top w:val="single" w:color="auto" w:sz="4" w:space="0"/>
              <w:left w:val="single" w:color="auto" w:sz="4" w:space="0"/>
              <w:bottom w:val="single" w:color="auto" w:sz="4" w:space="0"/>
              <w:right w:val="single" w:color="auto" w:sz="4" w:space="0"/>
            </w:tcBorders>
            <w:vAlign w:val="center"/>
          </w:tcPr>
          <w:p w14:paraId="4D82BF47">
            <w:pPr>
              <w:rPr>
                <w:rFonts w:hint="eastAsia" w:ascii="宋体" w:hAnsi="宋体"/>
                <w:color w:val="auto"/>
                <w:szCs w:val="21"/>
              </w:rPr>
            </w:pPr>
            <w:r>
              <w:rPr>
                <w:rFonts w:ascii="宋体" w:hAnsi="宋体"/>
                <w:color w:val="auto"/>
                <w:szCs w:val="21"/>
              </w:rPr>
              <w:t>2.2</w:t>
            </w:r>
          </w:p>
        </w:tc>
        <w:tc>
          <w:tcPr>
            <w:tcW w:w="1881" w:type="dxa"/>
            <w:tcBorders>
              <w:top w:val="single" w:color="auto" w:sz="4" w:space="0"/>
              <w:left w:val="single" w:color="auto" w:sz="4" w:space="0"/>
              <w:bottom w:val="single" w:color="auto" w:sz="4" w:space="0"/>
              <w:right w:val="single" w:color="auto" w:sz="4" w:space="0"/>
            </w:tcBorders>
            <w:vAlign w:val="center"/>
          </w:tcPr>
          <w:p w14:paraId="2BF0D997">
            <w:pPr>
              <w:rPr>
                <w:rFonts w:hint="eastAsia" w:ascii="宋体" w:hAnsi="宋体"/>
                <w:color w:val="auto"/>
                <w:szCs w:val="21"/>
              </w:rPr>
            </w:pPr>
            <w:r>
              <w:rPr>
                <w:rFonts w:hint="eastAsia" w:ascii="宋体" w:hAnsi="宋体"/>
                <w:color w:val="auto"/>
                <w:szCs w:val="21"/>
              </w:rPr>
              <w:t>质量标准</w:t>
            </w:r>
          </w:p>
        </w:tc>
        <w:tc>
          <w:tcPr>
            <w:tcW w:w="5786" w:type="dxa"/>
            <w:tcBorders>
              <w:top w:val="single" w:color="auto" w:sz="4" w:space="0"/>
              <w:left w:val="single" w:color="auto" w:sz="4" w:space="0"/>
              <w:bottom w:val="single" w:color="auto" w:sz="4" w:space="0"/>
              <w:right w:val="double" w:color="auto" w:sz="4" w:space="0"/>
            </w:tcBorders>
            <w:vAlign w:val="center"/>
          </w:tcPr>
          <w:p w14:paraId="70CFA458">
            <w:pPr>
              <w:rPr>
                <w:rFonts w:hint="eastAsia" w:ascii="宋体" w:hAnsi="宋体"/>
                <w:color w:val="auto"/>
                <w:szCs w:val="21"/>
                <w:u w:val="single"/>
              </w:rPr>
            </w:pPr>
            <w:r>
              <w:rPr>
                <w:rFonts w:hint="eastAsia" w:ascii="宋体" w:hAnsi="宋体"/>
                <w:color w:val="auto"/>
                <w:szCs w:val="21"/>
                <w:u w:val="single"/>
              </w:rPr>
              <w:t>工程质量符合《工程施工质量验收规范》合格标准及国家、行业及地方相关施工验收规范合格标准，一次性验收合格</w:t>
            </w:r>
            <w:r>
              <w:rPr>
                <w:rFonts w:hint="eastAsia" w:ascii="宋体" w:hAnsi="宋体"/>
                <w:color w:val="auto"/>
                <w:szCs w:val="21"/>
                <w:u w:val="single"/>
                <w:lang w:eastAsia="zh-CN"/>
              </w:rPr>
              <w:t>；</w:t>
            </w:r>
            <w:r>
              <w:rPr>
                <w:rFonts w:hint="eastAsia" w:ascii="宋体" w:hAnsi="宋体"/>
                <w:color w:val="auto"/>
                <w:szCs w:val="21"/>
                <w:u w:val="single"/>
                <w:lang w:val="en-US" w:eastAsia="zh-CN"/>
              </w:rPr>
              <w:t>消防工程一次性验收合格，</w:t>
            </w:r>
            <w:r>
              <w:rPr>
                <w:rFonts w:hint="eastAsia" w:ascii="宋体" w:hAnsi="宋体"/>
                <w:color w:val="auto"/>
                <w:szCs w:val="21"/>
                <w:u w:val="single"/>
              </w:rPr>
              <w:t>其他质量要求详见施工合同。</w:t>
            </w:r>
          </w:p>
        </w:tc>
      </w:tr>
      <w:tr w14:paraId="1F8808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108DCC6C">
            <w:pPr>
              <w:rPr>
                <w:rFonts w:hint="eastAsia" w:ascii="宋体" w:hAnsi="宋体"/>
                <w:color w:val="auto"/>
                <w:szCs w:val="21"/>
              </w:rPr>
            </w:pPr>
            <w:r>
              <w:rPr>
                <w:rFonts w:ascii="宋体" w:hAnsi="宋体"/>
                <w:color w:val="auto"/>
                <w:szCs w:val="21"/>
              </w:rPr>
              <w:t>7</w:t>
            </w:r>
          </w:p>
        </w:tc>
        <w:tc>
          <w:tcPr>
            <w:tcW w:w="981" w:type="dxa"/>
            <w:tcBorders>
              <w:top w:val="single" w:color="auto" w:sz="4" w:space="0"/>
              <w:left w:val="single" w:color="auto" w:sz="4" w:space="0"/>
              <w:bottom w:val="single" w:color="auto" w:sz="4" w:space="0"/>
              <w:right w:val="single" w:color="auto" w:sz="4" w:space="0"/>
            </w:tcBorders>
            <w:vAlign w:val="center"/>
          </w:tcPr>
          <w:p w14:paraId="2AE81185">
            <w:pPr>
              <w:rPr>
                <w:rFonts w:hint="eastAsia" w:ascii="宋体" w:hAnsi="宋体"/>
                <w:color w:val="auto"/>
                <w:szCs w:val="21"/>
              </w:rPr>
            </w:pPr>
            <w:r>
              <w:rPr>
                <w:rFonts w:ascii="宋体" w:hAnsi="宋体"/>
                <w:color w:val="auto"/>
                <w:szCs w:val="21"/>
              </w:rPr>
              <w:t>2.2</w:t>
            </w:r>
          </w:p>
        </w:tc>
        <w:tc>
          <w:tcPr>
            <w:tcW w:w="1881" w:type="dxa"/>
            <w:tcBorders>
              <w:top w:val="single" w:color="auto" w:sz="4" w:space="0"/>
              <w:left w:val="single" w:color="auto" w:sz="4" w:space="0"/>
              <w:bottom w:val="single" w:color="auto" w:sz="4" w:space="0"/>
              <w:right w:val="single" w:color="auto" w:sz="4" w:space="0"/>
            </w:tcBorders>
            <w:vAlign w:val="center"/>
          </w:tcPr>
          <w:p w14:paraId="23F4DD55">
            <w:pPr>
              <w:rPr>
                <w:rFonts w:hint="eastAsia" w:ascii="宋体" w:hAnsi="宋体"/>
                <w:color w:val="auto"/>
                <w:szCs w:val="21"/>
              </w:rPr>
            </w:pPr>
            <w:r>
              <w:rPr>
                <w:rFonts w:hint="eastAsia" w:ascii="宋体" w:hAnsi="宋体"/>
                <w:color w:val="auto"/>
                <w:szCs w:val="21"/>
              </w:rPr>
              <w:t>招标范围</w:t>
            </w:r>
          </w:p>
        </w:tc>
        <w:tc>
          <w:tcPr>
            <w:tcW w:w="5786" w:type="dxa"/>
            <w:tcBorders>
              <w:top w:val="single" w:color="auto" w:sz="4" w:space="0"/>
              <w:left w:val="single" w:color="auto" w:sz="4" w:space="0"/>
              <w:bottom w:val="single" w:color="auto" w:sz="4" w:space="0"/>
              <w:right w:val="double" w:color="auto" w:sz="4" w:space="0"/>
            </w:tcBorders>
            <w:vAlign w:val="center"/>
          </w:tcPr>
          <w:p w14:paraId="03DBBA55">
            <w:pPr>
              <w:rPr>
                <w:rFonts w:hint="eastAsia" w:ascii="宋体" w:hAnsi="宋体"/>
                <w:color w:val="auto"/>
                <w:szCs w:val="21"/>
                <w:u w:val="single"/>
              </w:rPr>
            </w:pPr>
            <w:r>
              <w:rPr>
                <w:rFonts w:hint="eastAsia" w:ascii="宋体" w:hAnsi="宋体"/>
                <w:color w:val="auto"/>
                <w:szCs w:val="21"/>
                <w:u w:val="single"/>
              </w:rPr>
              <w:t>详见本工程招标公告。</w:t>
            </w:r>
          </w:p>
        </w:tc>
      </w:tr>
      <w:tr w14:paraId="2336D4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40A9A4E7">
            <w:pPr>
              <w:rPr>
                <w:rFonts w:hint="eastAsia" w:ascii="宋体" w:hAnsi="宋体"/>
                <w:color w:val="auto"/>
                <w:szCs w:val="21"/>
                <w:highlight w:val="none"/>
              </w:rPr>
            </w:pPr>
            <w:r>
              <w:rPr>
                <w:rFonts w:ascii="宋体" w:hAnsi="宋体"/>
                <w:color w:val="auto"/>
                <w:szCs w:val="21"/>
                <w:highlight w:val="none"/>
              </w:rPr>
              <w:t>8</w:t>
            </w:r>
          </w:p>
        </w:tc>
        <w:tc>
          <w:tcPr>
            <w:tcW w:w="981" w:type="dxa"/>
            <w:tcBorders>
              <w:top w:val="single" w:color="auto" w:sz="4" w:space="0"/>
              <w:left w:val="single" w:color="auto" w:sz="4" w:space="0"/>
              <w:bottom w:val="single" w:color="auto" w:sz="4" w:space="0"/>
              <w:right w:val="single" w:color="auto" w:sz="4" w:space="0"/>
            </w:tcBorders>
            <w:vAlign w:val="center"/>
          </w:tcPr>
          <w:p w14:paraId="47280503">
            <w:pPr>
              <w:rPr>
                <w:rFonts w:hint="eastAsia" w:ascii="宋体" w:hAnsi="宋体"/>
                <w:color w:val="auto"/>
                <w:szCs w:val="21"/>
                <w:highlight w:val="none"/>
              </w:rPr>
            </w:pPr>
            <w:r>
              <w:rPr>
                <w:rFonts w:ascii="宋体" w:hAnsi="宋体"/>
                <w:color w:val="auto"/>
                <w:szCs w:val="21"/>
                <w:highlight w:val="none"/>
              </w:rPr>
              <w:t>2.2</w:t>
            </w:r>
          </w:p>
        </w:tc>
        <w:tc>
          <w:tcPr>
            <w:tcW w:w="1881" w:type="dxa"/>
            <w:tcBorders>
              <w:top w:val="single" w:color="auto" w:sz="4" w:space="0"/>
              <w:left w:val="single" w:color="auto" w:sz="4" w:space="0"/>
              <w:bottom w:val="single" w:color="auto" w:sz="4" w:space="0"/>
              <w:right w:val="single" w:color="auto" w:sz="4" w:space="0"/>
            </w:tcBorders>
            <w:vAlign w:val="center"/>
          </w:tcPr>
          <w:p w14:paraId="65552EC9">
            <w:pPr>
              <w:rPr>
                <w:rFonts w:hint="eastAsia" w:ascii="宋体" w:hAnsi="宋体"/>
                <w:color w:val="auto"/>
                <w:szCs w:val="21"/>
                <w:highlight w:val="none"/>
              </w:rPr>
            </w:pPr>
            <w:r>
              <w:rPr>
                <w:rFonts w:hint="eastAsia" w:ascii="宋体" w:hAnsi="宋体"/>
                <w:color w:val="auto"/>
                <w:szCs w:val="21"/>
                <w:highlight w:val="none"/>
              </w:rPr>
              <w:t>工期要求</w:t>
            </w:r>
          </w:p>
        </w:tc>
        <w:tc>
          <w:tcPr>
            <w:tcW w:w="5786" w:type="dxa"/>
            <w:tcBorders>
              <w:top w:val="single" w:color="auto" w:sz="4" w:space="0"/>
              <w:left w:val="single" w:color="auto" w:sz="4" w:space="0"/>
              <w:bottom w:val="single" w:color="auto" w:sz="4" w:space="0"/>
              <w:right w:val="double" w:color="auto" w:sz="4" w:space="0"/>
            </w:tcBorders>
            <w:vAlign w:val="center"/>
          </w:tcPr>
          <w:p w14:paraId="0FF0C80A">
            <w:pPr>
              <w:rPr>
                <w:rFonts w:hint="eastAsia" w:ascii="宋体" w:hAnsi="宋体"/>
                <w:color w:val="auto"/>
                <w:szCs w:val="21"/>
                <w:highlight w:val="none"/>
              </w:rPr>
            </w:pPr>
            <w:r>
              <w:rPr>
                <w:rFonts w:hint="eastAsia" w:ascii="宋体" w:hAnsi="宋体" w:cs="宋体"/>
                <w:color w:val="auto"/>
                <w:szCs w:val="21"/>
                <w:highlight w:val="none"/>
              </w:rPr>
              <w:t>总工期</w:t>
            </w:r>
            <w:r>
              <w:rPr>
                <w:rFonts w:hint="eastAsia" w:ascii="宋体" w:hAnsi="宋体" w:cs="宋体"/>
                <w:color w:val="auto"/>
                <w:szCs w:val="21"/>
                <w:highlight w:val="none"/>
                <w:lang w:val="en-US" w:eastAsia="zh-CN"/>
              </w:rPr>
              <w:t>57</w:t>
            </w:r>
            <w:r>
              <w:rPr>
                <w:rFonts w:hint="eastAsia" w:ascii="宋体" w:hAnsi="宋体" w:cs="宋体"/>
                <w:color w:val="auto"/>
                <w:szCs w:val="21"/>
                <w:highlight w:val="none"/>
              </w:rPr>
              <w:t>0日历天。</w:t>
            </w:r>
          </w:p>
        </w:tc>
      </w:tr>
      <w:tr w14:paraId="7BF1EF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09753EE0">
            <w:pPr>
              <w:rPr>
                <w:rFonts w:hint="eastAsia" w:ascii="宋体" w:hAnsi="宋体"/>
                <w:szCs w:val="21"/>
              </w:rPr>
            </w:pPr>
            <w:r>
              <w:rPr>
                <w:rFonts w:ascii="宋体" w:hAnsi="宋体"/>
                <w:szCs w:val="21"/>
              </w:rPr>
              <w:t>9</w:t>
            </w:r>
          </w:p>
        </w:tc>
        <w:tc>
          <w:tcPr>
            <w:tcW w:w="981" w:type="dxa"/>
            <w:tcBorders>
              <w:top w:val="single" w:color="auto" w:sz="4" w:space="0"/>
              <w:left w:val="single" w:color="auto" w:sz="4" w:space="0"/>
              <w:bottom w:val="single" w:color="auto" w:sz="4" w:space="0"/>
              <w:right w:val="single" w:color="auto" w:sz="4" w:space="0"/>
            </w:tcBorders>
            <w:vAlign w:val="center"/>
          </w:tcPr>
          <w:p w14:paraId="71F9CA06">
            <w:pPr>
              <w:rPr>
                <w:rFonts w:hint="eastAsia" w:ascii="宋体" w:hAnsi="宋体"/>
                <w:szCs w:val="21"/>
              </w:rPr>
            </w:pPr>
            <w:r>
              <w:rPr>
                <w:rFonts w:ascii="宋体" w:hAnsi="宋体"/>
                <w:szCs w:val="21"/>
              </w:rPr>
              <w:t>3.1</w:t>
            </w:r>
          </w:p>
        </w:tc>
        <w:tc>
          <w:tcPr>
            <w:tcW w:w="1881" w:type="dxa"/>
            <w:tcBorders>
              <w:top w:val="single" w:color="auto" w:sz="4" w:space="0"/>
              <w:left w:val="single" w:color="auto" w:sz="4" w:space="0"/>
              <w:bottom w:val="single" w:color="auto" w:sz="4" w:space="0"/>
              <w:right w:val="single" w:color="auto" w:sz="4" w:space="0"/>
            </w:tcBorders>
            <w:vAlign w:val="center"/>
          </w:tcPr>
          <w:p w14:paraId="16C8404B">
            <w:pPr>
              <w:rPr>
                <w:rFonts w:hint="eastAsia" w:ascii="宋体" w:hAnsi="宋体"/>
                <w:szCs w:val="21"/>
              </w:rPr>
            </w:pPr>
            <w:r>
              <w:rPr>
                <w:rFonts w:hint="eastAsia" w:ascii="宋体" w:hAnsi="宋体"/>
                <w:szCs w:val="21"/>
              </w:rPr>
              <w:t>资金来源</w:t>
            </w:r>
          </w:p>
        </w:tc>
        <w:tc>
          <w:tcPr>
            <w:tcW w:w="5786" w:type="dxa"/>
            <w:tcBorders>
              <w:top w:val="single" w:color="auto" w:sz="4" w:space="0"/>
              <w:left w:val="single" w:color="auto" w:sz="4" w:space="0"/>
              <w:bottom w:val="single" w:color="auto" w:sz="4" w:space="0"/>
              <w:right w:val="double" w:color="auto" w:sz="4" w:space="0"/>
            </w:tcBorders>
            <w:vAlign w:val="center"/>
          </w:tcPr>
          <w:p w14:paraId="1B573751">
            <w:pPr>
              <w:rPr>
                <w:rFonts w:hint="eastAsia" w:ascii="宋体" w:hAnsi="宋体"/>
                <w:szCs w:val="21"/>
              </w:rPr>
            </w:pPr>
            <w:r>
              <w:rPr>
                <w:rFonts w:hint="eastAsia" w:ascii="宋体" w:hAnsi="宋体" w:cs="宋体"/>
                <w:szCs w:val="21"/>
                <w:u w:val="single"/>
              </w:rPr>
              <w:t>自筹资金100%。</w:t>
            </w:r>
          </w:p>
        </w:tc>
      </w:tr>
      <w:tr w14:paraId="3D7878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0B7DC982">
            <w:pPr>
              <w:rPr>
                <w:rFonts w:hint="eastAsia" w:ascii="宋体" w:hAnsi="宋体"/>
                <w:szCs w:val="21"/>
              </w:rPr>
            </w:pPr>
            <w:r>
              <w:rPr>
                <w:rFonts w:ascii="宋体" w:hAnsi="宋体"/>
                <w:szCs w:val="21"/>
              </w:rPr>
              <w:t>10</w:t>
            </w:r>
          </w:p>
        </w:tc>
        <w:tc>
          <w:tcPr>
            <w:tcW w:w="981" w:type="dxa"/>
            <w:tcBorders>
              <w:top w:val="single" w:color="auto" w:sz="4" w:space="0"/>
              <w:left w:val="single" w:color="auto" w:sz="4" w:space="0"/>
              <w:bottom w:val="single" w:color="auto" w:sz="4" w:space="0"/>
              <w:right w:val="single" w:color="auto" w:sz="4" w:space="0"/>
            </w:tcBorders>
            <w:vAlign w:val="center"/>
          </w:tcPr>
          <w:p w14:paraId="73A84921">
            <w:pPr>
              <w:rPr>
                <w:rFonts w:hint="eastAsia" w:ascii="宋体" w:hAnsi="宋体"/>
                <w:szCs w:val="21"/>
              </w:rPr>
            </w:pPr>
            <w:r>
              <w:rPr>
                <w:rFonts w:ascii="宋体" w:hAnsi="宋体"/>
                <w:szCs w:val="21"/>
              </w:rPr>
              <w:t>4.1</w:t>
            </w:r>
          </w:p>
        </w:tc>
        <w:tc>
          <w:tcPr>
            <w:tcW w:w="1881" w:type="dxa"/>
            <w:tcBorders>
              <w:top w:val="single" w:color="auto" w:sz="4" w:space="0"/>
              <w:left w:val="single" w:color="auto" w:sz="4" w:space="0"/>
              <w:bottom w:val="single" w:color="auto" w:sz="4" w:space="0"/>
              <w:right w:val="single" w:color="auto" w:sz="4" w:space="0"/>
            </w:tcBorders>
            <w:vAlign w:val="center"/>
          </w:tcPr>
          <w:p w14:paraId="1A0A6D14">
            <w:pPr>
              <w:rPr>
                <w:rFonts w:hint="eastAsia" w:ascii="宋体" w:hAnsi="宋体"/>
                <w:szCs w:val="21"/>
              </w:rPr>
            </w:pPr>
            <w:r>
              <w:rPr>
                <w:rFonts w:hint="eastAsia" w:ascii="宋体" w:hAnsi="宋体"/>
                <w:szCs w:val="21"/>
              </w:rPr>
              <w:t>投标人资质等级及项目负责人等级要求</w:t>
            </w:r>
          </w:p>
        </w:tc>
        <w:tc>
          <w:tcPr>
            <w:tcW w:w="5786" w:type="dxa"/>
            <w:tcBorders>
              <w:top w:val="single" w:color="auto" w:sz="4" w:space="0"/>
              <w:left w:val="single" w:color="auto" w:sz="4" w:space="0"/>
              <w:bottom w:val="single" w:color="auto" w:sz="4" w:space="0"/>
              <w:right w:val="double" w:color="auto" w:sz="4" w:space="0"/>
            </w:tcBorders>
            <w:vAlign w:val="center"/>
          </w:tcPr>
          <w:p w14:paraId="1D0755EF">
            <w:pPr>
              <w:rPr>
                <w:rFonts w:hint="eastAsia" w:ascii="宋体" w:hAnsi="宋体"/>
                <w:szCs w:val="21"/>
              </w:rPr>
            </w:pPr>
            <w:r>
              <w:rPr>
                <w:rFonts w:hint="eastAsia" w:ascii="宋体" w:hAnsi="宋体"/>
                <w:szCs w:val="21"/>
              </w:rPr>
              <w:t>详见本工程招标公告。</w:t>
            </w:r>
          </w:p>
        </w:tc>
      </w:tr>
      <w:tr w14:paraId="13CFE2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51A48C2F">
            <w:pPr>
              <w:rPr>
                <w:rFonts w:hint="eastAsia" w:ascii="宋体" w:hAnsi="宋体"/>
                <w:szCs w:val="21"/>
              </w:rPr>
            </w:pPr>
            <w:r>
              <w:rPr>
                <w:rFonts w:ascii="宋体" w:hAnsi="宋体"/>
                <w:szCs w:val="21"/>
              </w:rPr>
              <w:t>11</w:t>
            </w:r>
          </w:p>
        </w:tc>
        <w:tc>
          <w:tcPr>
            <w:tcW w:w="981" w:type="dxa"/>
            <w:tcBorders>
              <w:top w:val="single" w:color="auto" w:sz="4" w:space="0"/>
              <w:left w:val="single" w:color="auto" w:sz="4" w:space="0"/>
              <w:bottom w:val="single" w:color="auto" w:sz="4" w:space="0"/>
              <w:right w:val="single" w:color="auto" w:sz="4" w:space="0"/>
            </w:tcBorders>
            <w:vAlign w:val="center"/>
          </w:tcPr>
          <w:p w14:paraId="30A2C1E3">
            <w:pPr>
              <w:ind w:firstLine="458"/>
              <w:rPr>
                <w:rFonts w:hint="eastAsia" w:ascii="宋体" w:hAnsi="宋体"/>
                <w:szCs w:val="21"/>
              </w:rPr>
            </w:pPr>
          </w:p>
        </w:tc>
        <w:tc>
          <w:tcPr>
            <w:tcW w:w="1881" w:type="dxa"/>
            <w:tcBorders>
              <w:top w:val="single" w:color="auto" w:sz="4" w:space="0"/>
              <w:left w:val="single" w:color="auto" w:sz="4" w:space="0"/>
              <w:bottom w:val="single" w:color="auto" w:sz="4" w:space="0"/>
              <w:right w:val="single" w:color="auto" w:sz="4" w:space="0"/>
            </w:tcBorders>
            <w:vAlign w:val="center"/>
          </w:tcPr>
          <w:p w14:paraId="6EF500FF">
            <w:pPr>
              <w:rPr>
                <w:rFonts w:hint="eastAsia" w:ascii="宋体" w:hAnsi="宋体"/>
                <w:szCs w:val="21"/>
              </w:rPr>
            </w:pPr>
            <w:r>
              <w:rPr>
                <w:rFonts w:hint="eastAsia" w:ascii="宋体" w:hAnsi="宋体"/>
                <w:szCs w:val="21"/>
              </w:rPr>
              <w:t>资格审查方式</w:t>
            </w:r>
          </w:p>
        </w:tc>
        <w:tc>
          <w:tcPr>
            <w:tcW w:w="5786" w:type="dxa"/>
            <w:tcBorders>
              <w:top w:val="single" w:color="auto" w:sz="4" w:space="0"/>
              <w:left w:val="single" w:color="auto" w:sz="4" w:space="0"/>
              <w:bottom w:val="single" w:color="auto" w:sz="4" w:space="0"/>
              <w:right w:val="double" w:color="auto" w:sz="4" w:space="0"/>
            </w:tcBorders>
            <w:vAlign w:val="center"/>
          </w:tcPr>
          <w:p w14:paraId="4834272E">
            <w:pPr>
              <w:rPr>
                <w:rFonts w:hint="eastAsia" w:ascii="宋体" w:hAnsi="宋体"/>
                <w:szCs w:val="21"/>
              </w:rPr>
            </w:pPr>
            <w:r>
              <w:rPr>
                <w:rFonts w:hint="eastAsia" w:ascii="宋体" w:hAnsi="宋体"/>
                <w:szCs w:val="21"/>
              </w:rPr>
              <w:t>详见本工程招标公告。</w:t>
            </w:r>
          </w:p>
        </w:tc>
      </w:tr>
      <w:tr w14:paraId="0C09B8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2942A347">
            <w:pPr>
              <w:rPr>
                <w:rFonts w:hint="eastAsia" w:ascii="宋体" w:hAnsi="宋体"/>
                <w:szCs w:val="21"/>
              </w:rPr>
            </w:pPr>
            <w:r>
              <w:rPr>
                <w:rFonts w:ascii="宋体" w:hAnsi="宋体"/>
                <w:szCs w:val="21"/>
              </w:rPr>
              <w:t>12</w:t>
            </w:r>
          </w:p>
        </w:tc>
        <w:tc>
          <w:tcPr>
            <w:tcW w:w="981" w:type="dxa"/>
            <w:tcBorders>
              <w:top w:val="single" w:color="auto" w:sz="4" w:space="0"/>
              <w:left w:val="single" w:color="auto" w:sz="4" w:space="0"/>
              <w:bottom w:val="single" w:color="auto" w:sz="4" w:space="0"/>
              <w:right w:val="single" w:color="auto" w:sz="4" w:space="0"/>
            </w:tcBorders>
            <w:vAlign w:val="center"/>
          </w:tcPr>
          <w:p w14:paraId="7C7E9F33">
            <w:pPr>
              <w:rPr>
                <w:rFonts w:hint="eastAsia" w:ascii="宋体" w:hAnsi="宋体"/>
                <w:szCs w:val="21"/>
              </w:rPr>
            </w:pPr>
            <w:r>
              <w:rPr>
                <w:rFonts w:ascii="宋体" w:hAnsi="宋体"/>
                <w:szCs w:val="21"/>
              </w:rPr>
              <w:t>13.1</w:t>
            </w:r>
          </w:p>
        </w:tc>
        <w:tc>
          <w:tcPr>
            <w:tcW w:w="1881" w:type="dxa"/>
            <w:tcBorders>
              <w:top w:val="single" w:color="auto" w:sz="4" w:space="0"/>
              <w:left w:val="single" w:color="auto" w:sz="4" w:space="0"/>
              <w:bottom w:val="single" w:color="auto" w:sz="4" w:space="0"/>
              <w:right w:val="single" w:color="auto" w:sz="4" w:space="0"/>
            </w:tcBorders>
            <w:vAlign w:val="center"/>
          </w:tcPr>
          <w:p w14:paraId="20AE6183">
            <w:pPr>
              <w:rPr>
                <w:rFonts w:hint="eastAsia" w:ascii="宋体" w:hAnsi="宋体"/>
                <w:szCs w:val="21"/>
              </w:rPr>
            </w:pPr>
            <w:r>
              <w:rPr>
                <w:rFonts w:hint="eastAsia" w:ascii="宋体" w:hAnsi="宋体"/>
                <w:szCs w:val="21"/>
              </w:rPr>
              <w:t>报价以及单价和总价计算方式</w:t>
            </w:r>
          </w:p>
        </w:tc>
        <w:tc>
          <w:tcPr>
            <w:tcW w:w="5786" w:type="dxa"/>
            <w:tcBorders>
              <w:top w:val="single" w:color="auto" w:sz="4" w:space="0"/>
              <w:left w:val="single" w:color="auto" w:sz="4" w:space="0"/>
              <w:bottom w:val="single" w:color="auto" w:sz="4" w:space="0"/>
              <w:right w:val="double" w:color="auto" w:sz="4" w:space="0"/>
            </w:tcBorders>
            <w:vAlign w:val="center"/>
          </w:tcPr>
          <w:p w14:paraId="5CDFAD57">
            <w:r>
              <w:rPr>
                <w:rFonts w:hint="eastAsia"/>
              </w:rPr>
              <w:t>工程量清单计价，</w:t>
            </w:r>
            <w:r>
              <w:rPr>
                <w:rFonts w:hint="eastAsia"/>
                <w:u w:val="single"/>
              </w:rPr>
              <w:t>按国家、省有关计价规范执行。</w:t>
            </w:r>
          </w:p>
        </w:tc>
      </w:tr>
      <w:tr w14:paraId="54AC54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6C02596C">
            <w:pPr>
              <w:rPr>
                <w:rFonts w:hint="eastAsia" w:ascii="宋体" w:hAnsi="宋体"/>
                <w:szCs w:val="21"/>
              </w:rPr>
            </w:pPr>
            <w:r>
              <w:rPr>
                <w:rFonts w:ascii="宋体" w:hAnsi="宋体"/>
                <w:szCs w:val="21"/>
              </w:rPr>
              <w:t>13</w:t>
            </w:r>
          </w:p>
        </w:tc>
        <w:tc>
          <w:tcPr>
            <w:tcW w:w="981" w:type="dxa"/>
            <w:tcBorders>
              <w:top w:val="single" w:color="auto" w:sz="4" w:space="0"/>
              <w:left w:val="single" w:color="auto" w:sz="4" w:space="0"/>
              <w:bottom w:val="single" w:color="auto" w:sz="4" w:space="0"/>
              <w:right w:val="single" w:color="auto" w:sz="4" w:space="0"/>
            </w:tcBorders>
            <w:vAlign w:val="center"/>
          </w:tcPr>
          <w:p w14:paraId="312D67BE">
            <w:pPr>
              <w:rPr>
                <w:rFonts w:hint="eastAsia" w:ascii="宋体" w:hAnsi="宋体"/>
                <w:szCs w:val="21"/>
              </w:rPr>
            </w:pPr>
            <w:r>
              <w:rPr>
                <w:rFonts w:ascii="宋体" w:hAnsi="宋体"/>
                <w:szCs w:val="21"/>
              </w:rPr>
              <w:t>15.1</w:t>
            </w:r>
          </w:p>
        </w:tc>
        <w:tc>
          <w:tcPr>
            <w:tcW w:w="1881" w:type="dxa"/>
            <w:tcBorders>
              <w:top w:val="single" w:color="auto" w:sz="4" w:space="0"/>
              <w:left w:val="single" w:color="auto" w:sz="4" w:space="0"/>
              <w:bottom w:val="single" w:color="auto" w:sz="4" w:space="0"/>
              <w:right w:val="single" w:color="auto" w:sz="4" w:space="0"/>
            </w:tcBorders>
            <w:vAlign w:val="center"/>
          </w:tcPr>
          <w:p w14:paraId="35F19FE4">
            <w:pPr>
              <w:rPr>
                <w:rFonts w:hint="eastAsia" w:ascii="宋体" w:hAnsi="宋体"/>
                <w:szCs w:val="21"/>
              </w:rPr>
            </w:pPr>
            <w:r>
              <w:rPr>
                <w:rFonts w:hint="eastAsia" w:ascii="宋体" w:hAnsi="宋体"/>
                <w:szCs w:val="21"/>
              </w:rPr>
              <w:t>投标有效期</w:t>
            </w:r>
          </w:p>
        </w:tc>
        <w:tc>
          <w:tcPr>
            <w:tcW w:w="5786" w:type="dxa"/>
            <w:tcBorders>
              <w:top w:val="single" w:color="auto" w:sz="4" w:space="0"/>
              <w:left w:val="single" w:color="auto" w:sz="4" w:space="0"/>
              <w:bottom w:val="single" w:color="auto" w:sz="4" w:space="0"/>
              <w:right w:val="double" w:color="auto" w:sz="4" w:space="0"/>
            </w:tcBorders>
            <w:vAlign w:val="center"/>
          </w:tcPr>
          <w:p w14:paraId="118FCCB1">
            <w:pPr>
              <w:rPr>
                <w:rFonts w:hint="eastAsia" w:ascii="宋体" w:hAnsi="宋体"/>
                <w:szCs w:val="21"/>
                <w:u w:val="single"/>
              </w:rPr>
            </w:pPr>
            <w:r>
              <w:rPr>
                <w:rFonts w:ascii="宋体" w:hAnsi="宋体" w:cs="宋体"/>
                <w:szCs w:val="21"/>
                <w:u w:val="single"/>
              </w:rPr>
              <w:t>120</w:t>
            </w:r>
            <w:r>
              <w:rPr>
                <w:rFonts w:hint="eastAsia" w:ascii="宋体" w:hAnsi="宋体" w:cs="宋体"/>
                <w:szCs w:val="21"/>
              </w:rPr>
              <w:t>日历天。</w:t>
            </w:r>
            <w:r>
              <w:rPr>
                <w:rFonts w:hint="eastAsia" w:ascii="宋体" w:hAnsi="宋体"/>
                <w:szCs w:val="21"/>
              </w:rPr>
              <w:t>（</w:t>
            </w:r>
            <w:r>
              <w:rPr>
                <w:rFonts w:hint="eastAsia" w:ascii="宋体" w:hAnsi="宋体"/>
                <w:szCs w:val="21"/>
                <w:u w:val="single"/>
              </w:rPr>
              <w:t>从递交投标文件截止之日计起</w:t>
            </w:r>
            <w:r>
              <w:rPr>
                <w:rFonts w:hint="eastAsia" w:ascii="宋体" w:hAnsi="宋体"/>
                <w:szCs w:val="21"/>
              </w:rPr>
              <w:t>）</w:t>
            </w:r>
            <w:r>
              <w:rPr>
                <w:rFonts w:hint="eastAsia" w:ascii="宋体" w:hAnsi="宋体" w:cs="宋体"/>
                <w:szCs w:val="21"/>
                <w:u w:val="single"/>
              </w:rPr>
              <w:t>如投标有效期内发生异议或投诉的，则投标有效期自动延长至异议或投诉处理结束后</w:t>
            </w:r>
            <w:r>
              <w:rPr>
                <w:rFonts w:ascii="宋体" w:hAnsi="宋体" w:cs="宋体"/>
                <w:szCs w:val="21"/>
                <w:u w:val="single"/>
              </w:rPr>
              <w:t>120</w:t>
            </w:r>
            <w:r>
              <w:rPr>
                <w:rFonts w:hint="eastAsia" w:ascii="宋体" w:hAnsi="宋体" w:cs="宋体"/>
                <w:szCs w:val="21"/>
                <w:u w:val="single"/>
              </w:rPr>
              <w:t>日历天。</w:t>
            </w:r>
          </w:p>
        </w:tc>
      </w:tr>
      <w:tr w14:paraId="5D2DD7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722447CF">
            <w:pPr>
              <w:keepNext/>
              <w:rPr>
                <w:rFonts w:hint="eastAsia" w:ascii="宋体" w:hAnsi="宋体"/>
                <w:szCs w:val="21"/>
              </w:rPr>
            </w:pPr>
            <w:r>
              <w:rPr>
                <w:rFonts w:ascii="宋体" w:hAnsi="宋体"/>
                <w:szCs w:val="21"/>
              </w:rPr>
              <w:t>14</w:t>
            </w:r>
          </w:p>
        </w:tc>
        <w:tc>
          <w:tcPr>
            <w:tcW w:w="981" w:type="dxa"/>
            <w:tcBorders>
              <w:top w:val="single" w:color="auto" w:sz="4" w:space="0"/>
              <w:left w:val="single" w:color="auto" w:sz="4" w:space="0"/>
              <w:bottom w:val="single" w:color="auto" w:sz="4" w:space="0"/>
              <w:right w:val="single" w:color="auto" w:sz="4" w:space="0"/>
            </w:tcBorders>
            <w:vAlign w:val="center"/>
          </w:tcPr>
          <w:p w14:paraId="74E3B786">
            <w:pPr>
              <w:keepNext/>
              <w:rPr>
                <w:rFonts w:hint="eastAsia" w:ascii="宋体" w:hAnsi="宋体"/>
                <w:szCs w:val="21"/>
              </w:rPr>
            </w:pPr>
            <w:r>
              <w:rPr>
                <w:rFonts w:ascii="宋体" w:hAnsi="宋体"/>
                <w:szCs w:val="21"/>
              </w:rPr>
              <w:t>16.1</w:t>
            </w:r>
          </w:p>
        </w:tc>
        <w:tc>
          <w:tcPr>
            <w:tcW w:w="1881" w:type="dxa"/>
            <w:tcBorders>
              <w:top w:val="single" w:color="auto" w:sz="4" w:space="0"/>
              <w:left w:val="single" w:color="auto" w:sz="4" w:space="0"/>
              <w:bottom w:val="single" w:color="auto" w:sz="4" w:space="0"/>
              <w:right w:val="single" w:color="auto" w:sz="4" w:space="0"/>
            </w:tcBorders>
            <w:vAlign w:val="center"/>
          </w:tcPr>
          <w:p w14:paraId="5F047C19">
            <w:pPr>
              <w:keepNext/>
              <w:rPr>
                <w:rFonts w:hint="eastAsia" w:ascii="宋体" w:hAnsi="宋体"/>
                <w:szCs w:val="21"/>
              </w:rPr>
            </w:pPr>
            <w:r>
              <w:rPr>
                <w:rFonts w:hint="eastAsia" w:ascii="宋体" w:hAnsi="宋体"/>
                <w:szCs w:val="21"/>
              </w:rPr>
              <w:t>投标保证金</w:t>
            </w:r>
          </w:p>
        </w:tc>
        <w:tc>
          <w:tcPr>
            <w:tcW w:w="5786" w:type="dxa"/>
            <w:tcBorders>
              <w:top w:val="single" w:color="auto" w:sz="4" w:space="0"/>
              <w:left w:val="single" w:color="auto" w:sz="4" w:space="0"/>
              <w:bottom w:val="single" w:color="auto" w:sz="4" w:space="0"/>
              <w:right w:val="double" w:color="auto" w:sz="4" w:space="0"/>
            </w:tcBorders>
            <w:vAlign w:val="center"/>
          </w:tcPr>
          <w:p w14:paraId="4A19C4FD">
            <w:pPr>
              <w:keepNext/>
              <w:rPr>
                <w:rFonts w:hint="eastAsia" w:ascii="宋体" w:hAnsi="宋体" w:cs="宋体"/>
                <w:szCs w:val="21"/>
              </w:rPr>
            </w:pPr>
            <w:r>
              <w:rPr>
                <w:rFonts w:hint="eastAsia" w:ascii="宋体" w:hAnsi="宋体" w:cs="宋体"/>
                <w:szCs w:val="21"/>
              </w:rPr>
              <w:t>是否要求投标人递交投标保证金：</w:t>
            </w:r>
          </w:p>
          <w:p w14:paraId="59A70C0E">
            <w:pPr>
              <w:keepNext/>
              <w:rPr>
                <w:rFonts w:hint="eastAsia" w:ascii="宋体" w:hAnsi="宋体" w:cs="宋体"/>
                <w:szCs w:val="21"/>
              </w:rPr>
            </w:pPr>
            <w:r>
              <w:rPr>
                <w:rFonts w:hint="eastAsia" w:ascii="宋体" w:hAnsi="宋体" w:cs="宋体"/>
                <w:szCs w:val="21"/>
              </w:rPr>
              <w:t>☑要求递交投标保证金：</w:t>
            </w:r>
          </w:p>
          <w:p w14:paraId="78864F5F">
            <w:pPr>
              <w:keepNext/>
              <w:rPr>
                <w:rFonts w:hint="eastAsia" w:ascii="宋体" w:hAnsi="宋体" w:cs="宋体"/>
                <w:szCs w:val="21"/>
              </w:rPr>
            </w:pPr>
            <w:r>
              <w:rPr>
                <w:rFonts w:hint="eastAsia" w:ascii="宋体" w:hAnsi="宋体" w:cs="宋体"/>
                <w:szCs w:val="21"/>
              </w:rPr>
              <w:t>投标保证金10万元人民币</w:t>
            </w:r>
          </w:p>
          <w:p w14:paraId="539FEAFE">
            <w:pPr>
              <w:keepNext/>
              <w:rPr>
                <w:rFonts w:hint="eastAsia" w:ascii="宋体" w:hAnsi="宋体"/>
                <w:szCs w:val="21"/>
              </w:rPr>
            </w:pPr>
            <w:r>
              <w:rPr>
                <w:rFonts w:hint="eastAsia" w:ascii="宋体" w:hAnsi="宋体"/>
                <w:szCs w:val="21"/>
              </w:rPr>
              <w:t>1、投标保证金可采用现金、支票、转账、投标保证保险、投标保函（银行或专业担保公司出具）的形式，须在递交投标文件截止时间前完成缴纳。</w:t>
            </w:r>
          </w:p>
          <w:p w14:paraId="3906F94D">
            <w:pPr>
              <w:keepNext/>
              <w:rPr>
                <w:rFonts w:hint="eastAsia" w:ascii="宋体" w:hAnsi="宋体"/>
                <w:szCs w:val="21"/>
              </w:rPr>
            </w:pPr>
            <w:r>
              <w:rPr>
                <w:rFonts w:hint="eastAsia" w:ascii="宋体" w:hAnsi="宋体"/>
                <w:szCs w:val="21"/>
              </w:rPr>
              <w:t>2、如采用现金或者转账或者支票形式提交的由广</w:t>
            </w:r>
            <w:r>
              <w:rPr>
                <w:rFonts w:hint="eastAsia" w:ascii="宋体" w:hAnsi="宋体" w:cs="宋体"/>
                <w:szCs w:val="21"/>
              </w:rPr>
              <w:t>广州交易集团有限公司（广州公共资源交易中心）</w:t>
            </w:r>
            <w:r>
              <w:rPr>
                <w:rFonts w:hint="eastAsia" w:ascii="宋体" w:hAnsi="宋体"/>
                <w:szCs w:val="21"/>
              </w:rPr>
              <w:t>代收。缴纳情况以开标时</w:t>
            </w:r>
            <w:r>
              <w:rPr>
                <w:rFonts w:hint="eastAsia" w:ascii="宋体" w:hAnsi="宋体" w:cs="宋体"/>
                <w:szCs w:val="21"/>
              </w:rPr>
              <w:t>广州交易集团有限公司（广州公共资源交易中心）</w:t>
            </w:r>
            <w:r>
              <w:rPr>
                <w:rFonts w:hint="eastAsia" w:ascii="宋体" w:hAnsi="宋体"/>
                <w:szCs w:val="21"/>
              </w:rPr>
              <w:t>网站查询为准。具体操作流程详见</w:t>
            </w:r>
            <w:r>
              <w:rPr>
                <w:rFonts w:hint="eastAsia" w:ascii="宋体" w:hAnsi="宋体" w:cs="宋体"/>
                <w:szCs w:val="21"/>
              </w:rPr>
              <w:t>广州交易集团有限公司（广州公共资源交易中心）</w:t>
            </w:r>
            <w:r>
              <w:rPr>
                <w:rFonts w:hint="eastAsia" w:ascii="宋体" w:hAnsi="宋体"/>
                <w:szCs w:val="21"/>
              </w:rPr>
              <w:t>最新的投标保证金缴纳操作指引或自行咨询交易中心。</w:t>
            </w:r>
          </w:p>
          <w:p w14:paraId="5B96CF72">
            <w:pPr>
              <w:keepNext/>
              <w:rPr>
                <w:rFonts w:hint="eastAsia" w:ascii="宋体" w:hAnsi="宋体"/>
                <w:szCs w:val="21"/>
              </w:rPr>
            </w:pPr>
            <w:r>
              <w:rPr>
                <w:rFonts w:hint="eastAsia" w:ascii="宋体" w:hAnsi="宋体"/>
                <w:szCs w:val="21"/>
              </w:rPr>
              <w:t>3、如采用保函或保险等形式提交的，银行保函需开具给招标人，银行保函有效期不少于投标有效期。保证保险需开具给招标人（受益人也必须是招标人），保证保险有效期不少于投标有效期。在开标前不强制要求提交纸质原件，但投标人应在投标文件中提交投标保函或投标保证保险扫描件并加盖投标人电子印章，由中标候选人在中标候选人公示前提交并在网上公示。</w:t>
            </w:r>
          </w:p>
          <w:p w14:paraId="43A12566">
            <w:pPr>
              <w:keepNext/>
              <w:wordWrap w:val="0"/>
              <w:rPr>
                <w:rFonts w:hint="eastAsia" w:ascii="宋体" w:hAnsi="宋体"/>
                <w:szCs w:val="21"/>
              </w:rPr>
            </w:pPr>
            <w:r>
              <w:rPr>
                <w:rFonts w:hint="eastAsia" w:ascii="宋体" w:hAnsi="宋体"/>
                <w:szCs w:val="21"/>
              </w:rPr>
              <w:t>4、本项目允许递交电子保函，具体操作详见</w:t>
            </w:r>
            <w:r>
              <w:rPr>
                <w:rFonts w:hint="eastAsia" w:ascii="宋体" w:hAnsi="宋体" w:cs="宋体"/>
                <w:szCs w:val="21"/>
              </w:rPr>
              <w:t>广州交易集团有限公司（广州公共资源交易中心）</w:t>
            </w:r>
            <w:r>
              <w:rPr>
                <w:rFonts w:hint="eastAsia" w:ascii="宋体" w:hAnsi="宋体"/>
                <w:szCs w:val="21"/>
              </w:rPr>
              <w:t>操作指引（https://www.gzggzy.cn/fwznbszycwxg/857020.jhtml）。缴纳情况以开标时</w:t>
            </w:r>
            <w:r>
              <w:rPr>
                <w:rFonts w:hint="eastAsia" w:ascii="宋体" w:hAnsi="宋体" w:cs="宋体"/>
                <w:szCs w:val="21"/>
              </w:rPr>
              <w:t>广州交易集团有限公司（广州公共资源交易中心）</w:t>
            </w:r>
            <w:r>
              <w:rPr>
                <w:rFonts w:hint="eastAsia" w:ascii="宋体" w:hAnsi="宋体"/>
                <w:szCs w:val="21"/>
              </w:rPr>
              <w:t>网站查询为准。</w:t>
            </w:r>
          </w:p>
          <w:p w14:paraId="1824A3DB">
            <w:pPr>
              <w:keepNext/>
              <w:rPr>
                <w:rFonts w:hint="eastAsia" w:ascii="宋体" w:hAnsi="宋体"/>
                <w:szCs w:val="21"/>
              </w:rPr>
            </w:pPr>
            <w:r>
              <w:rPr>
                <w:rFonts w:hint="eastAsia" w:ascii="宋体" w:hAnsi="宋体"/>
                <w:szCs w:val="21"/>
              </w:rPr>
              <w:t>5、开标时，对于未能按要求交纳投标保证金的投标人，招标人将视为不响应招标文件而否决其投标，责任由投标人自负。</w:t>
            </w:r>
          </w:p>
          <w:p w14:paraId="50AECE51">
            <w:pPr>
              <w:keepNext/>
              <w:rPr>
                <w:rFonts w:hint="eastAsia" w:ascii="宋体" w:hAnsi="宋体"/>
                <w:szCs w:val="21"/>
                <w:u w:val="single"/>
              </w:rPr>
            </w:pPr>
            <w:r>
              <w:rPr>
                <w:rFonts w:hint="eastAsia" w:ascii="宋体" w:hAnsi="宋体" w:cs="宋体"/>
                <w:szCs w:val="21"/>
              </w:rPr>
              <w:t>□不要求递交投标保证金。</w:t>
            </w:r>
          </w:p>
        </w:tc>
      </w:tr>
      <w:tr w14:paraId="3221BA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42ACC243">
            <w:pPr>
              <w:rPr>
                <w:rFonts w:hint="eastAsia" w:ascii="宋体" w:hAnsi="宋体"/>
                <w:szCs w:val="21"/>
              </w:rPr>
            </w:pPr>
            <w:r>
              <w:rPr>
                <w:rFonts w:ascii="宋体" w:hAnsi="宋体"/>
                <w:szCs w:val="21"/>
              </w:rPr>
              <w:t>15</w:t>
            </w:r>
          </w:p>
        </w:tc>
        <w:tc>
          <w:tcPr>
            <w:tcW w:w="981" w:type="dxa"/>
            <w:tcBorders>
              <w:top w:val="single" w:color="auto" w:sz="4" w:space="0"/>
              <w:left w:val="single" w:color="auto" w:sz="4" w:space="0"/>
              <w:bottom w:val="single" w:color="auto" w:sz="4" w:space="0"/>
              <w:right w:val="single" w:color="auto" w:sz="4" w:space="0"/>
            </w:tcBorders>
            <w:vAlign w:val="center"/>
          </w:tcPr>
          <w:p w14:paraId="78A5613F">
            <w:pPr>
              <w:rPr>
                <w:rFonts w:hint="eastAsia" w:ascii="宋体" w:hAnsi="宋体"/>
                <w:szCs w:val="21"/>
              </w:rPr>
            </w:pPr>
            <w:r>
              <w:rPr>
                <w:rFonts w:ascii="宋体" w:hAnsi="宋体"/>
                <w:szCs w:val="21"/>
              </w:rPr>
              <w:t>5</w:t>
            </w:r>
          </w:p>
        </w:tc>
        <w:tc>
          <w:tcPr>
            <w:tcW w:w="1881" w:type="dxa"/>
            <w:tcBorders>
              <w:top w:val="single" w:color="auto" w:sz="4" w:space="0"/>
              <w:left w:val="single" w:color="auto" w:sz="4" w:space="0"/>
              <w:bottom w:val="single" w:color="auto" w:sz="4" w:space="0"/>
              <w:right w:val="single" w:color="auto" w:sz="4" w:space="0"/>
            </w:tcBorders>
            <w:vAlign w:val="center"/>
          </w:tcPr>
          <w:p w14:paraId="7B90B714">
            <w:pPr>
              <w:rPr>
                <w:rFonts w:hint="eastAsia" w:ascii="宋体" w:hAnsi="宋体"/>
                <w:szCs w:val="21"/>
              </w:rPr>
            </w:pPr>
            <w:r>
              <w:rPr>
                <w:rFonts w:hint="eastAsia" w:ascii="宋体" w:hAnsi="宋体"/>
                <w:szCs w:val="21"/>
              </w:rPr>
              <w:t>踏勘现场</w:t>
            </w:r>
          </w:p>
        </w:tc>
        <w:tc>
          <w:tcPr>
            <w:tcW w:w="5786" w:type="dxa"/>
            <w:tcBorders>
              <w:top w:val="single" w:color="auto" w:sz="4" w:space="0"/>
              <w:left w:val="single" w:color="auto" w:sz="4" w:space="0"/>
              <w:bottom w:val="single" w:color="auto" w:sz="4" w:space="0"/>
              <w:right w:val="double" w:color="auto" w:sz="4" w:space="0"/>
            </w:tcBorders>
            <w:vAlign w:val="center"/>
          </w:tcPr>
          <w:p w14:paraId="79CC6A94">
            <w:pPr>
              <w:pStyle w:val="31"/>
              <w:jc w:val="left"/>
              <w:rPr>
                <w:rFonts w:hint="eastAsia" w:ascii="宋体" w:hAnsi="宋体"/>
                <w:szCs w:val="21"/>
                <w:u w:val="single"/>
              </w:rPr>
            </w:pPr>
            <w:r>
              <w:rPr>
                <w:rFonts w:hint="eastAsia" w:ascii="宋体" w:hAnsi="宋体"/>
                <w:szCs w:val="21"/>
                <w:u w:val="single"/>
              </w:rPr>
              <w:t>招标人不集中组织，由投标人自行踏勘。投标人不进行踏勘的，视为已熟知现场条件，自行承担相关风险。</w:t>
            </w:r>
          </w:p>
        </w:tc>
      </w:tr>
      <w:tr w14:paraId="43E729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53067C37">
            <w:pPr>
              <w:rPr>
                <w:rFonts w:hint="eastAsia" w:ascii="宋体" w:hAnsi="宋体"/>
                <w:szCs w:val="21"/>
              </w:rPr>
            </w:pPr>
            <w:r>
              <w:rPr>
                <w:rFonts w:ascii="宋体" w:hAnsi="宋体"/>
                <w:szCs w:val="21"/>
              </w:rPr>
              <w:t>16</w:t>
            </w:r>
          </w:p>
        </w:tc>
        <w:tc>
          <w:tcPr>
            <w:tcW w:w="981" w:type="dxa"/>
            <w:tcBorders>
              <w:top w:val="single" w:color="auto" w:sz="4" w:space="0"/>
              <w:left w:val="single" w:color="auto" w:sz="4" w:space="0"/>
              <w:bottom w:val="single" w:color="auto" w:sz="4" w:space="0"/>
              <w:right w:val="single" w:color="auto" w:sz="4" w:space="0"/>
            </w:tcBorders>
            <w:vAlign w:val="center"/>
          </w:tcPr>
          <w:p w14:paraId="3AD83EB8">
            <w:pPr>
              <w:rPr>
                <w:rFonts w:hint="eastAsia" w:ascii="宋体" w:hAnsi="宋体"/>
                <w:szCs w:val="21"/>
              </w:rPr>
            </w:pPr>
            <w:r>
              <w:rPr>
                <w:rFonts w:ascii="宋体" w:hAnsi="宋体"/>
                <w:szCs w:val="21"/>
              </w:rPr>
              <w:t>8</w:t>
            </w:r>
          </w:p>
        </w:tc>
        <w:tc>
          <w:tcPr>
            <w:tcW w:w="1881" w:type="dxa"/>
            <w:tcBorders>
              <w:top w:val="single" w:color="auto" w:sz="4" w:space="0"/>
              <w:left w:val="single" w:color="auto" w:sz="4" w:space="0"/>
              <w:bottom w:val="single" w:color="auto" w:sz="4" w:space="0"/>
              <w:right w:val="single" w:color="auto" w:sz="4" w:space="0"/>
            </w:tcBorders>
            <w:vAlign w:val="center"/>
          </w:tcPr>
          <w:p w14:paraId="14EAF289">
            <w:pPr>
              <w:rPr>
                <w:rFonts w:hint="eastAsia" w:ascii="宋体" w:hAnsi="宋体"/>
                <w:szCs w:val="21"/>
              </w:rPr>
            </w:pPr>
            <w:r>
              <w:rPr>
                <w:rFonts w:hint="eastAsia" w:ascii="宋体" w:hAnsi="宋体"/>
                <w:szCs w:val="21"/>
              </w:rPr>
              <w:t>投标答疑</w:t>
            </w:r>
          </w:p>
        </w:tc>
        <w:tc>
          <w:tcPr>
            <w:tcW w:w="5786" w:type="dxa"/>
            <w:tcBorders>
              <w:top w:val="single" w:color="auto" w:sz="4" w:space="0"/>
              <w:left w:val="single" w:color="auto" w:sz="4" w:space="0"/>
              <w:bottom w:val="single" w:color="auto" w:sz="4" w:space="0"/>
              <w:right w:val="double" w:color="auto" w:sz="4" w:space="0"/>
            </w:tcBorders>
            <w:vAlign w:val="center"/>
          </w:tcPr>
          <w:p w14:paraId="14673582">
            <w:pPr>
              <w:rPr>
                <w:rFonts w:hint="eastAsia" w:ascii="宋体" w:hAnsi="宋体"/>
                <w:szCs w:val="21"/>
              </w:rPr>
            </w:pPr>
            <w:r>
              <w:rPr>
                <w:rFonts w:hint="eastAsia" w:ascii="宋体" w:hAnsi="宋体"/>
                <w:szCs w:val="21"/>
              </w:rPr>
              <w:t>疑问提交时间：</w:t>
            </w:r>
            <w:r>
              <w:rPr>
                <w:rFonts w:hint="eastAsia" w:ascii="宋体" w:hAnsi="宋体"/>
                <w:szCs w:val="21"/>
                <w:u w:val="single"/>
              </w:rPr>
              <w:t>2025</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w:t>
            </w:r>
            <w:r>
              <w:rPr>
                <w:rFonts w:hint="eastAsia" w:ascii="宋体" w:hAnsi="宋体"/>
                <w:szCs w:val="21"/>
              </w:rPr>
              <w:t>分前（在递交投标文件截止日期前18日）；</w:t>
            </w:r>
          </w:p>
          <w:p w14:paraId="567C777E">
            <w:pPr>
              <w:rPr>
                <w:rFonts w:hint="eastAsia" w:ascii="宋体" w:hAnsi="宋体"/>
                <w:szCs w:val="21"/>
              </w:rPr>
            </w:pPr>
            <w:r>
              <w:rPr>
                <w:rFonts w:hint="eastAsia" w:ascii="宋体" w:hAnsi="宋体"/>
                <w:szCs w:val="21"/>
              </w:rPr>
              <w:t>形式：投标人的疑问通过</w:t>
            </w:r>
            <w:r>
              <w:rPr>
                <w:rFonts w:hint="eastAsia" w:ascii="宋体" w:hAnsi="宋体" w:cs="宋体"/>
                <w:szCs w:val="21"/>
              </w:rPr>
              <w:t>广州交易集团有限公司（广州公共资源交易中心）</w:t>
            </w:r>
            <w:r>
              <w:rPr>
                <w:rFonts w:hint="eastAsia" w:ascii="宋体" w:hAnsi="宋体"/>
                <w:szCs w:val="21"/>
              </w:rPr>
              <w:t>提交。</w:t>
            </w:r>
          </w:p>
          <w:p w14:paraId="0001109E">
            <w:pPr>
              <w:rPr>
                <w:rFonts w:hint="eastAsia" w:ascii="宋体" w:hAnsi="宋体" w:cs="宋体"/>
                <w:szCs w:val="21"/>
              </w:rPr>
            </w:pPr>
            <w:r>
              <w:rPr>
                <w:rFonts w:hint="eastAsia" w:ascii="宋体" w:hAnsi="宋体"/>
                <w:szCs w:val="21"/>
              </w:rPr>
              <w:t>网上答疑的操作指南为：登陆</w:t>
            </w:r>
            <w:r>
              <w:rPr>
                <w:rFonts w:hint="eastAsia" w:ascii="宋体" w:hAnsi="宋体" w:cs="宋体"/>
                <w:szCs w:val="21"/>
              </w:rPr>
              <w:t>广州交易集团有限公司（广州公共资源交易中心）</w:t>
            </w:r>
            <w:r>
              <w:rPr>
                <w:rFonts w:hint="eastAsia" w:ascii="宋体" w:hAnsi="宋体"/>
                <w:szCs w:val="21"/>
              </w:rPr>
              <w:t>网站→进入“建设工程”专栏中的“网上答疑”通过项目编号或名称找到所需的项目→在上述的答疑时间内点击“提问”）进入到提问区域→提出问题以及查看所有的问题。提问一律不得署名。</w:t>
            </w:r>
          </w:p>
        </w:tc>
      </w:tr>
      <w:tr w14:paraId="672218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163C9F35">
            <w:pPr>
              <w:rPr>
                <w:rFonts w:hint="eastAsia" w:ascii="宋体" w:hAnsi="宋体"/>
                <w:szCs w:val="21"/>
              </w:rPr>
            </w:pPr>
            <w:r>
              <w:rPr>
                <w:rFonts w:ascii="宋体" w:hAnsi="宋体"/>
                <w:szCs w:val="21"/>
              </w:rPr>
              <w:t>1</w:t>
            </w:r>
            <w:r>
              <w:rPr>
                <w:rFonts w:hint="eastAsia" w:ascii="宋体" w:hAnsi="宋体"/>
                <w:szCs w:val="21"/>
              </w:rPr>
              <w:t>7</w:t>
            </w:r>
          </w:p>
        </w:tc>
        <w:tc>
          <w:tcPr>
            <w:tcW w:w="981" w:type="dxa"/>
            <w:tcBorders>
              <w:top w:val="single" w:color="auto" w:sz="4" w:space="0"/>
              <w:left w:val="single" w:color="auto" w:sz="4" w:space="0"/>
              <w:bottom w:val="single" w:color="auto" w:sz="4" w:space="0"/>
              <w:right w:val="single" w:color="auto" w:sz="4" w:space="0"/>
            </w:tcBorders>
            <w:vAlign w:val="center"/>
          </w:tcPr>
          <w:p w14:paraId="2EB478E4">
            <w:pPr>
              <w:rPr>
                <w:rFonts w:hint="eastAsia" w:ascii="宋体" w:hAnsi="宋体"/>
                <w:szCs w:val="21"/>
              </w:rPr>
            </w:pPr>
            <w:r>
              <w:rPr>
                <w:rFonts w:hint="eastAsia" w:ascii="宋体" w:hAnsi="宋体"/>
                <w:szCs w:val="21"/>
              </w:rPr>
              <w:t>20</w:t>
            </w:r>
            <w:r>
              <w:rPr>
                <w:rFonts w:ascii="宋体" w:hAnsi="宋体"/>
                <w:szCs w:val="21"/>
              </w:rPr>
              <w:t>.1</w:t>
            </w:r>
          </w:p>
        </w:tc>
        <w:tc>
          <w:tcPr>
            <w:tcW w:w="1881" w:type="dxa"/>
            <w:tcBorders>
              <w:top w:val="single" w:color="auto" w:sz="4" w:space="0"/>
              <w:left w:val="single" w:color="auto" w:sz="4" w:space="0"/>
              <w:bottom w:val="single" w:color="auto" w:sz="4" w:space="0"/>
              <w:right w:val="single" w:color="auto" w:sz="4" w:space="0"/>
            </w:tcBorders>
            <w:vAlign w:val="center"/>
          </w:tcPr>
          <w:p w14:paraId="5C8E84FD">
            <w:pPr>
              <w:rPr>
                <w:rFonts w:hint="eastAsia" w:ascii="宋体" w:hAnsi="宋体"/>
                <w:szCs w:val="21"/>
              </w:rPr>
            </w:pPr>
            <w:r>
              <w:rPr>
                <w:rFonts w:hint="eastAsia" w:ascii="宋体" w:hAnsi="宋体"/>
                <w:szCs w:val="21"/>
              </w:rPr>
              <w:t>投标截止时间</w:t>
            </w:r>
          </w:p>
        </w:tc>
        <w:tc>
          <w:tcPr>
            <w:tcW w:w="5786" w:type="dxa"/>
            <w:tcBorders>
              <w:top w:val="single" w:color="auto" w:sz="4" w:space="0"/>
              <w:left w:val="single" w:color="auto" w:sz="4" w:space="0"/>
              <w:bottom w:val="single" w:color="auto" w:sz="4" w:space="0"/>
              <w:right w:val="double" w:color="auto" w:sz="4" w:space="0"/>
            </w:tcBorders>
            <w:vAlign w:val="center"/>
          </w:tcPr>
          <w:p w14:paraId="6290C6A8">
            <w:pPr>
              <w:rPr>
                <w:rFonts w:hint="eastAsia" w:ascii="宋体" w:hAnsi="宋体"/>
                <w:strike/>
                <w:szCs w:val="21"/>
              </w:rPr>
            </w:pPr>
            <w:r>
              <w:rPr>
                <w:rFonts w:hint="eastAsia" w:ascii="宋体" w:hAnsi="宋体" w:cs="宋体"/>
                <w:szCs w:val="21"/>
                <w:u w:val="single"/>
              </w:rPr>
              <w:t>2025</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分</w:t>
            </w:r>
            <w:r>
              <w:rPr>
                <w:rFonts w:hint="eastAsia" w:ascii="宋体" w:hAnsi="宋体"/>
                <w:szCs w:val="21"/>
              </w:rPr>
              <w:t>（北京时间）。</w:t>
            </w:r>
          </w:p>
        </w:tc>
      </w:tr>
      <w:tr w14:paraId="7B5418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2219E2DE">
            <w:pPr>
              <w:rPr>
                <w:rFonts w:hint="eastAsia" w:ascii="宋体" w:hAnsi="宋体"/>
                <w:szCs w:val="21"/>
              </w:rPr>
            </w:pPr>
            <w:r>
              <w:rPr>
                <w:rFonts w:hint="eastAsia" w:ascii="宋体" w:hAnsi="宋体"/>
                <w:szCs w:val="21"/>
              </w:rPr>
              <w:t>18</w:t>
            </w:r>
          </w:p>
        </w:tc>
        <w:tc>
          <w:tcPr>
            <w:tcW w:w="981" w:type="dxa"/>
            <w:tcBorders>
              <w:top w:val="single" w:color="auto" w:sz="4" w:space="0"/>
              <w:left w:val="single" w:color="auto" w:sz="4" w:space="0"/>
              <w:bottom w:val="single" w:color="auto" w:sz="4" w:space="0"/>
              <w:right w:val="single" w:color="auto" w:sz="4" w:space="0"/>
            </w:tcBorders>
            <w:vAlign w:val="center"/>
          </w:tcPr>
          <w:p w14:paraId="56212AB3">
            <w:pPr>
              <w:rPr>
                <w:rFonts w:hint="eastAsia" w:ascii="宋体" w:hAnsi="宋体"/>
                <w:szCs w:val="21"/>
              </w:rPr>
            </w:pPr>
            <w:r>
              <w:rPr>
                <w:rFonts w:ascii="宋体" w:hAnsi="宋体"/>
                <w:szCs w:val="21"/>
              </w:rPr>
              <w:t>20.1</w:t>
            </w:r>
          </w:p>
        </w:tc>
        <w:tc>
          <w:tcPr>
            <w:tcW w:w="1881" w:type="dxa"/>
            <w:tcBorders>
              <w:top w:val="single" w:color="auto" w:sz="4" w:space="0"/>
              <w:left w:val="single" w:color="auto" w:sz="4" w:space="0"/>
              <w:bottom w:val="single" w:color="auto" w:sz="4" w:space="0"/>
              <w:right w:val="single" w:color="auto" w:sz="4" w:space="0"/>
            </w:tcBorders>
            <w:vAlign w:val="center"/>
          </w:tcPr>
          <w:p w14:paraId="516FFCE1">
            <w:pPr>
              <w:rPr>
                <w:rFonts w:hint="eastAsia" w:ascii="宋体" w:hAnsi="宋体"/>
                <w:szCs w:val="21"/>
              </w:rPr>
            </w:pPr>
            <w:r>
              <w:rPr>
                <w:rFonts w:hint="eastAsia" w:ascii="宋体" w:hAnsi="宋体"/>
                <w:szCs w:val="21"/>
              </w:rPr>
              <w:t>开标开始时间和地点</w:t>
            </w:r>
          </w:p>
        </w:tc>
        <w:tc>
          <w:tcPr>
            <w:tcW w:w="5786" w:type="dxa"/>
            <w:tcBorders>
              <w:top w:val="single" w:color="auto" w:sz="4" w:space="0"/>
              <w:left w:val="single" w:color="auto" w:sz="4" w:space="0"/>
              <w:bottom w:val="single" w:color="auto" w:sz="4" w:space="0"/>
              <w:right w:val="double" w:color="auto" w:sz="4" w:space="0"/>
            </w:tcBorders>
            <w:vAlign w:val="center"/>
          </w:tcPr>
          <w:p w14:paraId="50451423">
            <w:pPr>
              <w:spacing w:line="276" w:lineRule="auto"/>
              <w:rPr>
                <w:rFonts w:hint="eastAsia" w:ascii="宋体" w:hAnsi="宋体" w:cs="宋体"/>
                <w:szCs w:val="21"/>
              </w:rPr>
            </w:pPr>
            <w:r>
              <w:rPr>
                <w:rFonts w:hint="eastAsia" w:ascii="宋体" w:hAnsi="宋体" w:cs="宋体"/>
                <w:szCs w:val="21"/>
              </w:rPr>
              <w:t>（技术标和经济标同时开标）</w:t>
            </w:r>
          </w:p>
          <w:p w14:paraId="052258BD">
            <w:pPr>
              <w:wordWrap w:val="0"/>
              <w:spacing w:line="276" w:lineRule="auto"/>
              <w:rPr>
                <w:rFonts w:hint="eastAsia" w:ascii="宋体" w:hAnsi="宋体" w:cs="宋体"/>
                <w:szCs w:val="21"/>
              </w:rPr>
            </w:pPr>
            <w:r>
              <w:rPr>
                <w:rFonts w:hint="eastAsia" w:ascii="宋体" w:hAnsi="宋体" w:cs="宋体"/>
                <w:szCs w:val="21"/>
              </w:rPr>
              <w:t>1、开标开始时间：</w:t>
            </w:r>
            <w:r>
              <w:rPr>
                <w:rFonts w:hint="eastAsia" w:ascii="宋体" w:hAnsi="宋体" w:cs="宋体"/>
                <w:szCs w:val="21"/>
                <w:u w:val="single"/>
              </w:rPr>
              <w:t>2025</w:t>
            </w:r>
            <w:r>
              <w:rPr>
                <w:rFonts w:hint="eastAsia" w:ascii="宋体" w:hAnsi="宋体" w:cs="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分</w:t>
            </w:r>
            <w:r>
              <w:rPr>
                <w:rFonts w:hint="eastAsia" w:ascii="宋体" w:hAnsi="宋体" w:cs="宋体"/>
                <w:szCs w:val="21"/>
              </w:rPr>
              <w:t>（与投标截止时间为同一时间），地点：广州交易集团有限公司（广州公共资源交易中心）</w:t>
            </w:r>
            <w:r>
              <w:rPr>
                <w:rFonts w:hint="eastAsia" w:ascii="宋体" w:hAnsi="宋体" w:cs="宋体"/>
                <w:szCs w:val="21"/>
                <w:u w:val="single"/>
              </w:rPr>
              <w:t xml:space="preserve">   开标室（广州市天河区天润路333号）。</w:t>
            </w:r>
            <w:r>
              <w:rPr>
                <w:rFonts w:hint="eastAsia" w:ascii="宋体" w:hAnsi="宋体" w:cs="宋体"/>
                <w:szCs w:val="21"/>
              </w:rPr>
              <w:t>投标人也可选择参加在线开标，具体按照交易平台相关指南进行操作。详见：</w:t>
            </w:r>
            <w:r>
              <w:rPr>
                <w:rFonts w:hint="eastAsia" w:ascii="宋体" w:hAnsi="宋体" w:cs="宋体"/>
                <w:szCs w:val="21"/>
                <w:u w:val="single"/>
              </w:rPr>
              <w:t>广州交易集团有限公司（广州公共资源交易中心）网站最新指引</w:t>
            </w:r>
          </w:p>
          <w:p w14:paraId="11B2EBDB">
            <w:pPr>
              <w:spacing w:line="276" w:lineRule="auto"/>
              <w:rPr>
                <w:rFonts w:hint="eastAsia" w:ascii="宋体" w:hAnsi="宋体" w:cs="宋体"/>
                <w:szCs w:val="21"/>
              </w:rPr>
            </w:pPr>
            <w:r>
              <w:rPr>
                <w:rFonts w:hint="eastAsia" w:ascii="宋体" w:hAnsi="宋体" w:cs="宋体"/>
                <w:szCs w:val="21"/>
              </w:rPr>
              <w:t>注：投标文件解密问题。投标人只用执行一次解密，招标人执行解密次数根据招标文件开标次数确定。</w:t>
            </w:r>
          </w:p>
          <w:p w14:paraId="180EF5F2">
            <w:pPr>
              <w:spacing w:line="276" w:lineRule="auto"/>
              <w:rPr>
                <w:rFonts w:hint="eastAsia" w:ascii="宋体" w:hAnsi="宋体" w:cs="宋体"/>
                <w:szCs w:val="21"/>
              </w:rPr>
            </w:pPr>
            <w:r>
              <w:rPr>
                <w:rFonts w:hint="eastAsia" w:ascii="宋体" w:hAnsi="宋体" w:cs="宋体"/>
                <w:szCs w:val="21"/>
              </w:rPr>
              <w:t>2、递交投标文件备用光盘时间：</w:t>
            </w:r>
            <w:r>
              <w:rPr>
                <w:rFonts w:hint="eastAsia" w:ascii="宋体" w:hAnsi="宋体" w:cs="宋体"/>
                <w:szCs w:val="21"/>
                <w:u w:val="single"/>
              </w:rPr>
              <w:t>2025</w:t>
            </w:r>
            <w:r>
              <w:rPr>
                <w:rFonts w:hint="eastAsia" w:ascii="宋体" w:hAnsi="宋体" w:cs="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分</w:t>
            </w:r>
            <w:r>
              <w:rPr>
                <w:rFonts w:hint="eastAsia" w:ascii="宋体" w:hAnsi="宋体" w:cs="宋体"/>
                <w:szCs w:val="21"/>
              </w:rPr>
              <w:t>至</w:t>
            </w:r>
            <w:r>
              <w:rPr>
                <w:rFonts w:hint="eastAsia" w:ascii="宋体" w:hAnsi="宋体" w:cs="宋体"/>
                <w:szCs w:val="21"/>
                <w:u w:val="single"/>
              </w:rPr>
              <w:t>2025</w:t>
            </w:r>
            <w:r>
              <w:rPr>
                <w:rFonts w:hint="eastAsia" w:ascii="宋体" w:hAnsi="宋体" w:cs="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分</w:t>
            </w:r>
            <w:r>
              <w:rPr>
                <w:rFonts w:hint="eastAsia" w:ascii="宋体" w:hAnsi="宋体" w:cs="宋体"/>
                <w:szCs w:val="21"/>
              </w:rPr>
              <w:t>；递交地点：广州交易集团有限公司（广州公共资源交易中心）</w:t>
            </w:r>
            <w:r>
              <w:rPr>
                <w:rFonts w:hint="eastAsia" w:ascii="宋体" w:hAnsi="宋体" w:cs="宋体"/>
                <w:szCs w:val="21"/>
                <w:u w:val="single"/>
              </w:rPr>
              <w:t xml:space="preserve">    开标室（广州市天河区天润路333号）</w:t>
            </w:r>
            <w:r>
              <w:rPr>
                <w:rFonts w:hint="eastAsia" w:ascii="宋体" w:hAnsi="宋体" w:cs="宋体"/>
                <w:szCs w:val="21"/>
              </w:rPr>
              <w:t>。(安排在投标文件截止时间前15分钟至投标文件截止时间）</w:t>
            </w:r>
          </w:p>
          <w:p w14:paraId="10FE0009">
            <w:pPr>
              <w:spacing w:line="276" w:lineRule="auto"/>
            </w:pPr>
            <w:r>
              <w:rPr>
                <w:rFonts w:hint="eastAsia" w:ascii="宋体" w:hAnsi="宋体" w:cs="宋体"/>
                <w:szCs w:val="21"/>
              </w:rPr>
              <w:t>上述时间及地点是否有改变，请密切留意</w:t>
            </w:r>
            <w:r>
              <w:rPr>
                <w:rFonts w:hint="eastAsia" w:ascii="宋体" w:hAnsi="宋体" w:cs="宋体"/>
                <w:b/>
                <w:kern w:val="0"/>
                <w:szCs w:val="21"/>
              </w:rPr>
              <w:t>补充公告和</w:t>
            </w:r>
            <w:r>
              <w:rPr>
                <w:rFonts w:hint="eastAsia" w:ascii="宋体" w:hAnsi="宋体" w:cs="宋体"/>
                <w:szCs w:val="21"/>
              </w:rPr>
              <w:t>招标答疑纪要的相关信息。</w:t>
            </w:r>
          </w:p>
        </w:tc>
      </w:tr>
      <w:tr w14:paraId="49CC97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6448983C">
            <w:pPr>
              <w:rPr>
                <w:rFonts w:hint="eastAsia" w:ascii="宋体" w:hAnsi="宋体"/>
                <w:szCs w:val="21"/>
              </w:rPr>
            </w:pPr>
            <w:r>
              <w:rPr>
                <w:rFonts w:hint="eastAsia" w:ascii="宋体" w:hAnsi="宋体"/>
                <w:szCs w:val="21"/>
              </w:rPr>
              <w:t>19</w:t>
            </w:r>
          </w:p>
        </w:tc>
        <w:tc>
          <w:tcPr>
            <w:tcW w:w="981" w:type="dxa"/>
            <w:tcBorders>
              <w:top w:val="single" w:color="auto" w:sz="4" w:space="0"/>
              <w:left w:val="single" w:color="auto" w:sz="4" w:space="0"/>
              <w:bottom w:val="single" w:color="auto" w:sz="4" w:space="0"/>
              <w:right w:val="single" w:color="auto" w:sz="4" w:space="0"/>
            </w:tcBorders>
            <w:vAlign w:val="center"/>
          </w:tcPr>
          <w:p w14:paraId="50052A4F">
            <w:pPr>
              <w:rPr>
                <w:rFonts w:hint="eastAsia" w:ascii="宋体" w:hAnsi="宋体"/>
                <w:szCs w:val="21"/>
              </w:rPr>
            </w:pPr>
            <w:r>
              <w:rPr>
                <w:rFonts w:ascii="宋体" w:hAnsi="宋体"/>
                <w:szCs w:val="21"/>
              </w:rPr>
              <w:t>26</w:t>
            </w:r>
          </w:p>
        </w:tc>
        <w:tc>
          <w:tcPr>
            <w:tcW w:w="1881" w:type="dxa"/>
            <w:tcBorders>
              <w:top w:val="single" w:color="auto" w:sz="4" w:space="0"/>
              <w:left w:val="single" w:color="auto" w:sz="4" w:space="0"/>
              <w:bottom w:val="single" w:color="auto" w:sz="4" w:space="0"/>
              <w:right w:val="single" w:color="auto" w:sz="4" w:space="0"/>
            </w:tcBorders>
            <w:vAlign w:val="center"/>
          </w:tcPr>
          <w:p w14:paraId="713503D8">
            <w:pPr>
              <w:rPr>
                <w:rFonts w:hint="eastAsia" w:ascii="宋体" w:hAnsi="宋体"/>
                <w:szCs w:val="21"/>
              </w:rPr>
            </w:pPr>
            <w:r>
              <w:rPr>
                <w:rFonts w:hint="eastAsia" w:ascii="宋体" w:hAnsi="宋体"/>
                <w:szCs w:val="21"/>
              </w:rPr>
              <w:t>开标评标办法</w:t>
            </w:r>
          </w:p>
        </w:tc>
        <w:tc>
          <w:tcPr>
            <w:tcW w:w="5786" w:type="dxa"/>
            <w:tcBorders>
              <w:top w:val="single" w:color="auto" w:sz="4" w:space="0"/>
              <w:left w:val="single" w:color="auto" w:sz="4" w:space="0"/>
              <w:bottom w:val="single" w:color="auto" w:sz="4" w:space="0"/>
              <w:right w:val="double" w:color="auto" w:sz="4" w:space="0"/>
            </w:tcBorders>
            <w:vAlign w:val="center"/>
          </w:tcPr>
          <w:p w14:paraId="19E16BEF">
            <w:pPr>
              <w:spacing w:line="276" w:lineRule="auto"/>
              <w:rPr>
                <w:rFonts w:hint="eastAsia" w:ascii="宋体" w:hAnsi="宋体" w:cs="宋体"/>
                <w:szCs w:val="21"/>
              </w:rPr>
            </w:pPr>
            <w:r>
              <w:rPr>
                <w:rFonts w:hint="eastAsia" w:ascii="宋体" w:hAnsi="宋体" w:cs="宋体"/>
                <w:szCs w:val="21"/>
              </w:rPr>
              <w:t>方式一：选取方法七（适合综合评分法四，技术标与经济标同时开启）；</w:t>
            </w:r>
          </w:p>
          <w:p w14:paraId="77F66A0A">
            <w:pPr>
              <w:spacing w:line="276" w:lineRule="auto"/>
              <w:rPr>
                <w:rFonts w:hint="eastAsia" w:ascii="宋体" w:hAnsi="宋体" w:cs="宋体"/>
                <w:szCs w:val="21"/>
              </w:rPr>
            </w:pPr>
            <w:bookmarkStart w:id="12" w:name="_Hlk118242126"/>
            <w:r>
              <w:rPr>
                <w:rFonts w:hint="eastAsia" w:ascii="宋体" w:hAnsi="宋体" w:cs="宋体"/>
                <w:szCs w:val="21"/>
              </w:rPr>
              <w:t>投标人总得分=[技术得分(满分100分)×技术得分权重（40%）＋经济得分(满分100分)×经济得分权重（60%）]。</w:t>
            </w:r>
            <w:bookmarkEnd w:id="12"/>
          </w:p>
          <w:p w14:paraId="434F0701">
            <w:pPr>
              <w:spacing w:line="276" w:lineRule="auto"/>
              <w:rPr>
                <w:rFonts w:hint="eastAsia" w:ascii="宋体" w:hAnsi="宋体"/>
              </w:rPr>
            </w:pPr>
            <w:r>
              <w:rPr>
                <w:rFonts w:hint="eastAsia" w:ascii="宋体" w:hAnsi="宋体" w:cs="宋体"/>
                <w:szCs w:val="21"/>
              </w:rPr>
              <w:t>总得分相同的投标文件，以技术得分较高的排前；总得分与技术得分均相同的投标人，投标报价低的排前；如仍存在相同情况，则对具有相同情况的投标人，由评标委员会采用投票方式，确定投标人的排序。注：记名投票方式确定排序的具体操作步骤为：由评标委员会对出现该情况的投标人采取记名投票的方式确定，按得票数高低进行排序。</w:t>
            </w:r>
          </w:p>
        </w:tc>
      </w:tr>
      <w:tr w14:paraId="18CDE0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48DC865A">
            <w:pPr>
              <w:rPr>
                <w:rFonts w:hint="eastAsia" w:ascii="宋体" w:hAnsi="宋体"/>
                <w:szCs w:val="21"/>
              </w:rPr>
            </w:pPr>
            <w:r>
              <w:rPr>
                <w:rFonts w:ascii="宋体" w:hAnsi="宋体"/>
                <w:szCs w:val="21"/>
              </w:rPr>
              <w:t>2</w:t>
            </w:r>
            <w:r>
              <w:rPr>
                <w:rFonts w:hint="eastAsia" w:ascii="宋体" w:hAnsi="宋体"/>
                <w:szCs w:val="21"/>
              </w:rPr>
              <w:t>0</w:t>
            </w:r>
          </w:p>
        </w:tc>
        <w:tc>
          <w:tcPr>
            <w:tcW w:w="981" w:type="dxa"/>
            <w:tcBorders>
              <w:top w:val="single" w:color="auto" w:sz="4" w:space="0"/>
              <w:left w:val="single" w:color="auto" w:sz="4" w:space="0"/>
              <w:bottom w:val="single" w:color="auto" w:sz="4" w:space="0"/>
              <w:right w:val="single" w:color="auto" w:sz="4" w:space="0"/>
            </w:tcBorders>
            <w:vAlign w:val="center"/>
          </w:tcPr>
          <w:p w14:paraId="4F1B12C5">
            <w:pPr>
              <w:rPr>
                <w:rFonts w:hint="eastAsia" w:ascii="宋体" w:hAnsi="宋体"/>
                <w:szCs w:val="21"/>
              </w:rPr>
            </w:pPr>
            <w:r>
              <w:rPr>
                <w:rFonts w:ascii="宋体" w:hAnsi="宋体"/>
                <w:szCs w:val="21"/>
              </w:rPr>
              <w:t>29.1</w:t>
            </w:r>
          </w:p>
        </w:tc>
        <w:tc>
          <w:tcPr>
            <w:tcW w:w="1881" w:type="dxa"/>
            <w:tcBorders>
              <w:top w:val="single" w:color="auto" w:sz="4" w:space="0"/>
              <w:left w:val="single" w:color="auto" w:sz="4" w:space="0"/>
              <w:bottom w:val="single" w:color="auto" w:sz="4" w:space="0"/>
              <w:right w:val="single" w:color="auto" w:sz="4" w:space="0"/>
            </w:tcBorders>
            <w:vAlign w:val="center"/>
          </w:tcPr>
          <w:p w14:paraId="5CABF4DE">
            <w:pPr>
              <w:rPr>
                <w:rFonts w:hint="eastAsia" w:ascii="宋体" w:hAnsi="宋体"/>
                <w:szCs w:val="21"/>
              </w:rPr>
            </w:pPr>
            <w:r>
              <w:rPr>
                <w:rFonts w:hint="eastAsia" w:ascii="宋体" w:hAnsi="宋体"/>
                <w:szCs w:val="21"/>
              </w:rPr>
              <w:t>履约担保</w:t>
            </w:r>
          </w:p>
        </w:tc>
        <w:tc>
          <w:tcPr>
            <w:tcW w:w="5786" w:type="dxa"/>
            <w:tcBorders>
              <w:top w:val="single" w:color="auto" w:sz="4" w:space="0"/>
              <w:left w:val="single" w:color="auto" w:sz="4" w:space="0"/>
              <w:bottom w:val="single" w:color="auto" w:sz="4" w:space="0"/>
              <w:right w:val="double" w:color="auto" w:sz="4" w:space="0"/>
            </w:tcBorders>
            <w:vAlign w:val="center"/>
          </w:tcPr>
          <w:p w14:paraId="4BDDD8AA">
            <w:pPr>
              <w:rPr>
                <w:rFonts w:hint="eastAsia" w:ascii="宋体" w:hAnsi="宋体"/>
              </w:rPr>
            </w:pPr>
            <w:r>
              <w:rPr>
                <w:rFonts w:hint="eastAsia" w:ascii="宋体" w:hAnsi="宋体"/>
                <w:szCs w:val="21"/>
              </w:rPr>
              <w:t>方式一：中标人提供的履约保证金为中标价款的10%。可采用现金、银行汇票、银行本票、银行电汇、支票（现金支票、转账支票）、银行保函、保证保险、专业担保公司担保</w:t>
            </w:r>
            <w:r>
              <w:rPr>
                <w:rFonts w:hint="eastAsia"/>
                <w:szCs w:val="21"/>
                <w:u w:val="single"/>
              </w:rPr>
              <w:t>等有效方式向招标人递交履约担保；如果中标人的履约担保是以银行保函的形式提供，则该银行保函应由在中国注册的银行开具。</w:t>
            </w:r>
          </w:p>
        </w:tc>
      </w:tr>
      <w:tr w14:paraId="396FC4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2D35F9A8">
            <w:pPr>
              <w:rPr>
                <w:rFonts w:hint="eastAsia" w:ascii="宋体" w:hAnsi="宋体"/>
                <w:szCs w:val="21"/>
                <w:highlight w:val="none"/>
              </w:rPr>
            </w:pPr>
            <w:r>
              <w:rPr>
                <w:rFonts w:ascii="宋体" w:hAnsi="宋体"/>
                <w:szCs w:val="21"/>
                <w:highlight w:val="none"/>
              </w:rPr>
              <w:t>2</w:t>
            </w:r>
            <w:r>
              <w:rPr>
                <w:rFonts w:hint="eastAsia" w:ascii="宋体" w:hAnsi="宋体"/>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14:paraId="0AB76C10">
            <w:pPr>
              <w:rPr>
                <w:rFonts w:hint="eastAsia" w:ascii="宋体" w:hAnsi="宋体"/>
                <w:szCs w:val="21"/>
                <w:highlight w:val="none"/>
              </w:rPr>
            </w:pPr>
          </w:p>
        </w:tc>
        <w:tc>
          <w:tcPr>
            <w:tcW w:w="1881" w:type="dxa"/>
            <w:tcBorders>
              <w:top w:val="single" w:color="auto" w:sz="4" w:space="0"/>
              <w:left w:val="single" w:color="auto" w:sz="4" w:space="0"/>
              <w:bottom w:val="single" w:color="auto" w:sz="4" w:space="0"/>
              <w:right w:val="single" w:color="auto" w:sz="4" w:space="0"/>
            </w:tcBorders>
            <w:vAlign w:val="center"/>
          </w:tcPr>
          <w:p w14:paraId="39B966F9">
            <w:pPr>
              <w:rPr>
                <w:rFonts w:hint="eastAsia" w:ascii="宋体" w:hAnsi="宋体"/>
                <w:szCs w:val="21"/>
                <w:highlight w:val="none"/>
              </w:rPr>
            </w:pPr>
            <w:r>
              <w:rPr>
                <w:rFonts w:hint="eastAsia" w:ascii="宋体" w:hAnsi="宋体"/>
                <w:szCs w:val="21"/>
                <w:highlight w:val="none"/>
              </w:rPr>
              <w:t>最高投标限价</w:t>
            </w:r>
          </w:p>
        </w:tc>
        <w:tc>
          <w:tcPr>
            <w:tcW w:w="5786" w:type="dxa"/>
            <w:tcBorders>
              <w:top w:val="single" w:color="auto" w:sz="4" w:space="0"/>
              <w:left w:val="single" w:color="auto" w:sz="4" w:space="0"/>
              <w:bottom w:val="single" w:color="auto" w:sz="4" w:space="0"/>
              <w:right w:val="double" w:color="auto" w:sz="4" w:space="0"/>
            </w:tcBorders>
            <w:vAlign w:val="center"/>
          </w:tcPr>
          <w:p w14:paraId="18B02B09">
            <w:pPr>
              <w:rPr>
                <w:rFonts w:hint="eastAsia" w:ascii="宋体" w:hAnsi="宋体"/>
                <w:szCs w:val="21"/>
                <w:highlight w:val="none"/>
              </w:rPr>
            </w:pPr>
            <w:r>
              <w:rPr>
                <w:rFonts w:hint="eastAsia" w:ascii="宋体" w:hAnsi="宋体"/>
                <w:szCs w:val="21"/>
                <w:highlight w:val="none"/>
              </w:rPr>
              <w:t>本项目最高投标限价为人民币</w:t>
            </w:r>
            <w:r>
              <w:rPr>
                <w:rFonts w:hint="eastAsia" w:ascii="宋体" w:hAnsi="宋体"/>
                <w:szCs w:val="21"/>
                <w:highlight w:val="none"/>
                <w:u w:val="single"/>
              </w:rPr>
              <w:t>32790927.36</w:t>
            </w:r>
            <w:r>
              <w:rPr>
                <w:rFonts w:hint="eastAsia" w:ascii="宋体" w:hAnsi="宋体"/>
                <w:color w:val="000000" w:themeColor="text1"/>
                <w:szCs w:val="21"/>
                <w:highlight w:val="none"/>
                <w:u w:val="single"/>
                <w14:textFill>
                  <w14:solidFill>
                    <w14:schemeClr w14:val="tx1"/>
                  </w14:solidFill>
                </w14:textFill>
              </w:rPr>
              <w:t>元(其中暂列金为</w:t>
            </w:r>
            <w:r>
              <w:rPr>
                <w:rFonts w:hint="eastAsia" w:ascii="宋体" w:hAnsi="宋体" w:cs="宋体"/>
                <w:highlight w:val="none"/>
                <w:u w:val="single"/>
                <w:lang w:val="en-US" w:eastAsia="zh-CN"/>
              </w:rPr>
              <w:t>0</w:t>
            </w:r>
            <w:r>
              <w:rPr>
                <w:rFonts w:hint="eastAsia" w:ascii="宋体" w:hAnsi="宋体"/>
                <w:color w:val="000000" w:themeColor="text1"/>
                <w:szCs w:val="21"/>
                <w:highlight w:val="none"/>
                <w:u w:val="single"/>
                <w14:textFill>
                  <w14:solidFill>
                    <w14:schemeClr w14:val="tx1"/>
                  </w14:solidFill>
                </w14:textFill>
              </w:rPr>
              <w:t>元,暂列金投标单位不作下浮)。投标人的投标总报价高于招标人公布的最高投标限价的投标文件将被拒绝。</w:t>
            </w:r>
          </w:p>
        </w:tc>
      </w:tr>
      <w:tr w14:paraId="78E96C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0FC5A5E7">
            <w:pPr>
              <w:rPr>
                <w:rFonts w:hint="eastAsia" w:ascii="宋体" w:hAnsi="宋体"/>
                <w:szCs w:val="21"/>
                <w:highlight w:val="none"/>
              </w:rPr>
            </w:pPr>
            <w:r>
              <w:rPr>
                <w:rFonts w:ascii="宋体" w:hAnsi="宋体"/>
                <w:szCs w:val="21"/>
                <w:highlight w:val="none"/>
              </w:rPr>
              <w:t>2</w:t>
            </w:r>
            <w:r>
              <w:rPr>
                <w:rFonts w:hint="eastAsia" w:ascii="宋体" w:hAnsi="宋体"/>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14:paraId="2C7A4132">
            <w:pPr>
              <w:rPr>
                <w:rFonts w:hint="eastAsia" w:ascii="宋体" w:hAnsi="宋体"/>
                <w:szCs w:val="21"/>
                <w:highlight w:val="none"/>
              </w:rPr>
            </w:pPr>
          </w:p>
        </w:tc>
        <w:tc>
          <w:tcPr>
            <w:tcW w:w="1881" w:type="dxa"/>
            <w:tcBorders>
              <w:top w:val="single" w:color="auto" w:sz="4" w:space="0"/>
              <w:left w:val="single" w:color="auto" w:sz="4" w:space="0"/>
              <w:bottom w:val="single" w:color="auto" w:sz="4" w:space="0"/>
              <w:right w:val="single" w:color="auto" w:sz="4" w:space="0"/>
            </w:tcBorders>
            <w:vAlign w:val="center"/>
          </w:tcPr>
          <w:p w14:paraId="6923F06E">
            <w:pPr>
              <w:rPr>
                <w:rFonts w:hint="eastAsia" w:ascii="宋体" w:hAnsi="宋体"/>
                <w:szCs w:val="21"/>
                <w:highlight w:val="none"/>
              </w:rPr>
            </w:pPr>
            <w:r>
              <w:rPr>
                <w:rFonts w:hint="eastAsia" w:ascii="宋体" w:hAnsi="宋体"/>
                <w:szCs w:val="21"/>
                <w:highlight w:val="none"/>
              </w:rPr>
              <w:t>非竞争费用</w:t>
            </w:r>
          </w:p>
        </w:tc>
        <w:tc>
          <w:tcPr>
            <w:tcW w:w="5786" w:type="dxa"/>
            <w:tcBorders>
              <w:top w:val="single" w:color="auto" w:sz="4" w:space="0"/>
              <w:left w:val="single" w:color="auto" w:sz="4" w:space="0"/>
              <w:bottom w:val="single" w:color="auto" w:sz="4" w:space="0"/>
              <w:right w:val="double" w:color="auto" w:sz="4" w:space="0"/>
            </w:tcBorders>
            <w:vAlign w:val="center"/>
          </w:tcPr>
          <w:p w14:paraId="22CBA0ED">
            <w:pPr>
              <w:jc w:val="left"/>
              <w:rPr>
                <w:rFonts w:hint="eastAsia" w:ascii="宋体" w:hAnsi="宋体"/>
                <w:szCs w:val="21"/>
                <w:highlight w:val="none"/>
              </w:rPr>
            </w:pPr>
            <w:r>
              <w:rPr>
                <w:rFonts w:hint="eastAsia" w:ascii="宋体" w:hAnsi="宋体" w:cs="宋体"/>
                <w:highlight w:val="none"/>
              </w:rPr>
              <w:t>本项目绿色施工安全防护措施费为</w:t>
            </w:r>
            <w:r>
              <w:rPr>
                <w:rFonts w:hint="eastAsia" w:ascii="宋体" w:hAnsi="宋体" w:cs="宋体"/>
                <w:highlight w:val="none"/>
                <w:u w:val="single"/>
              </w:rPr>
              <w:t>1838135.68</w:t>
            </w:r>
            <w:r>
              <w:rPr>
                <w:rFonts w:hint="eastAsia" w:ascii="宋体" w:hAnsi="宋体" w:cs="宋体"/>
                <w:highlight w:val="none"/>
              </w:rPr>
              <w:t>元，暂列金额为</w:t>
            </w:r>
            <w:r>
              <w:rPr>
                <w:rFonts w:hint="eastAsia" w:ascii="宋体" w:hAnsi="宋体" w:cs="宋体"/>
                <w:highlight w:val="none"/>
                <w:u w:val="single"/>
                <w:lang w:val="en-US" w:eastAsia="zh-CN"/>
              </w:rPr>
              <w:t>0</w:t>
            </w:r>
            <w:r>
              <w:rPr>
                <w:rFonts w:hint="eastAsia" w:ascii="宋体" w:hAnsi="宋体" w:cs="宋体"/>
                <w:highlight w:val="none"/>
              </w:rPr>
              <w:t>元，暂估价为</w:t>
            </w:r>
            <w:r>
              <w:rPr>
                <w:rFonts w:hint="eastAsia" w:ascii="宋体" w:hAnsi="宋体" w:cs="宋体"/>
                <w:highlight w:val="none"/>
                <w:u w:val="single"/>
                <w:lang w:val="en-US" w:eastAsia="zh-CN"/>
              </w:rPr>
              <w:t>639696.65</w:t>
            </w:r>
            <w:r>
              <w:rPr>
                <w:rFonts w:hint="eastAsia" w:ascii="宋体" w:hAnsi="宋体" w:cs="宋体"/>
                <w:highlight w:val="none"/>
              </w:rPr>
              <w:t>元。（未按招标文件规定的金额填写的，由评标委员会按照招标文件规定的金额进行修正）</w:t>
            </w:r>
          </w:p>
        </w:tc>
      </w:tr>
      <w:tr w14:paraId="5C8EB1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2DEDB041">
            <w:pPr>
              <w:rPr>
                <w:rFonts w:hint="eastAsia" w:ascii="宋体" w:hAnsi="宋体"/>
                <w:szCs w:val="21"/>
              </w:rPr>
            </w:pPr>
            <w:r>
              <w:rPr>
                <w:rFonts w:hint="eastAsia" w:ascii="宋体" w:hAnsi="宋体"/>
                <w:szCs w:val="21"/>
              </w:rPr>
              <w:t>23</w:t>
            </w:r>
          </w:p>
        </w:tc>
        <w:tc>
          <w:tcPr>
            <w:tcW w:w="981" w:type="dxa"/>
            <w:tcBorders>
              <w:top w:val="single" w:color="auto" w:sz="4" w:space="0"/>
              <w:left w:val="single" w:color="auto" w:sz="4" w:space="0"/>
              <w:bottom w:val="single" w:color="auto" w:sz="4" w:space="0"/>
              <w:right w:val="single" w:color="auto" w:sz="4" w:space="0"/>
            </w:tcBorders>
            <w:vAlign w:val="center"/>
          </w:tcPr>
          <w:p w14:paraId="128F6A15">
            <w:pPr>
              <w:rPr>
                <w:rFonts w:hint="eastAsia" w:ascii="宋体" w:hAnsi="宋体"/>
                <w:szCs w:val="21"/>
              </w:rPr>
            </w:pPr>
          </w:p>
        </w:tc>
        <w:tc>
          <w:tcPr>
            <w:tcW w:w="1881" w:type="dxa"/>
            <w:tcBorders>
              <w:top w:val="single" w:color="auto" w:sz="4" w:space="0"/>
              <w:left w:val="single" w:color="auto" w:sz="4" w:space="0"/>
              <w:bottom w:val="single" w:color="auto" w:sz="4" w:space="0"/>
              <w:right w:val="single" w:color="auto" w:sz="4" w:space="0"/>
            </w:tcBorders>
            <w:vAlign w:val="center"/>
          </w:tcPr>
          <w:p w14:paraId="22E57183">
            <w:pPr>
              <w:pStyle w:val="50"/>
              <w:ind w:firstLine="0"/>
              <w:rPr>
                <w:rFonts w:hint="eastAsia" w:ascii="宋体" w:hAnsi="宋体"/>
                <w:szCs w:val="21"/>
              </w:rPr>
            </w:pPr>
            <w:r>
              <w:rPr>
                <w:rFonts w:hint="eastAsia" w:ascii="宋体" w:hAnsi="宋体" w:eastAsia="宋体" w:cs="Times New Roman"/>
                <w:szCs w:val="21"/>
              </w:rPr>
              <w:t>保修期</w:t>
            </w:r>
          </w:p>
        </w:tc>
        <w:tc>
          <w:tcPr>
            <w:tcW w:w="5786" w:type="dxa"/>
            <w:tcBorders>
              <w:top w:val="single" w:color="auto" w:sz="4" w:space="0"/>
              <w:left w:val="single" w:color="auto" w:sz="4" w:space="0"/>
              <w:bottom w:val="single" w:color="auto" w:sz="4" w:space="0"/>
              <w:right w:val="double" w:color="auto" w:sz="4" w:space="0"/>
            </w:tcBorders>
            <w:vAlign w:val="center"/>
          </w:tcPr>
          <w:p w14:paraId="574065D0">
            <w:pPr>
              <w:rPr>
                <w:rFonts w:hint="eastAsia" w:ascii="宋体" w:hAnsi="宋体"/>
                <w:szCs w:val="21"/>
              </w:rPr>
            </w:pPr>
            <w:r>
              <w:rPr>
                <w:rFonts w:hint="eastAsia" w:ascii="宋体" w:hAnsi="宋体" w:cs="宋体"/>
                <w:color w:val="auto"/>
                <w:szCs w:val="21"/>
                <w:highlight w:val="none"/>
              </w:rPr>
              <w:t>按照《建设工程质量管理条例》规定。</w:t>
            </w:r>
          </w:p>
        </w:tc>
      </w:tr>
      <w:tr w14:paraId="09ACF3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6937C7C1">
            <w:pPr>
              <w:rPr>
                <w:rFonts w:hint="eastAsia" w:ascii="宋体" w:hAnsi="宋体"/>
                <w:szCs w:val="21"/>
              </w:rPr>
            </w:pPr>
            <w:r>
              <w:rPr>
                <w:rFonts w:ascii="宋体" w:hAnsi="宋体"/>
                <w:szCs w:val="21"/>
              </w:rPr>
              <w:t>2</w:t>
            </w:r>
            <w:r>
              <w:rPr>
                <w:rFonts w:hint="eastAsia" w:ascii="宋体" w:hAnsi="宋体"/>
                <w:szCs w:val="21"/>
              </w:rPr>
              <w:t>4</w:t>
            </w:r>
          </w:p>
        </w:tc>
        <w:tc>
          <w:tcPr>
            <w:tcW w:w="981" w:type="dxa"/>
            <w:tcBorders>
              <w:top w:val="single" w:color="auto" w:sz="4" w:space="0"/>
              <w:left w:val="single" w:color="auto" w:sz="4" w:space="0"/>
              <w:bottom w:val="single" w:color="auto" w:sz="4" w:space="0"/>
              <w:right w:val="single" w:color="auto" w:sz="4" w:space="0"/>
            </w:tcBorders>
            <w:vAlign w:val="center"/>
          </w:tcPr>
          <w:p w14:paraId="1BF71813">
            <w:pPr>
              <w:rPr>
                <w:rFonts w:hint="eastAsia" w:ascii="宋体" w:hAnsi="宋体"/>
                <w:szCs w:val="21"/>
              </w:rPr>
            </w:pPr>
          </w:p>
        </w:tc>
        <w:tc>
          <w:tcPr>
            <w:tcW w:w="1881" w:type="dxa"/>
            <w:tcBorders>
              <w:top w:val="single" w:color="auto" w:sz="4" w:space="0"/>
              <w:left w:val="single" w:color="auto" w:sz="4" w:space="0"/>
              <w:bottom w:val="single" w:color="auto" w:sz="4" w:space="0"/>
              <w:right w:val="single" w:color="auto" w:sz="4" w:space="0"/>
            </w:tcBorders>
            <w:vAlign w:val="center"/>
          </w:tcPr>
          <w:p w14:paraId="71634606">
            <w:pPr>
              <w:rPr>
                <w:rFonts w:hint="eastAsia" w:ascii="宋体" w:hAnsi="宋体"/>
                <w:szCs w:val="21"/>
              </w:rPr>
            </w:pPr>
            <w:r>
              <w:rPr>
                <w:rFonts w:hint="eastAsia" w:ascii="宋体" w:hAnsi="宋体"/>
                <w:szCs w:val="21"/>
              </w:rPr>
              <w:t>计算评标参考价的等分点值</w:t>
            </w:r>
          </w:p>
        </w:tc>
        <w:tc>
          <w:tcPr>
            <w:tcW w:w="5786" w:type="dxa"/>
            <w:tcBorders>
              <w:top w:val="single" w:color="auto" w:sz="4" w:space="0"/>
              <w:left w:val="single" w:color="auto" w:sz="4" w:space="0"/>
              <w:bottom w:val="single" w:color="auto" w:sz="4" w:space="0"/>
              <w:right w:val="double" w:color="auto" w:sz="4" w:space="0"/>
            </w:tcBorders>
            <w:vAlign w:val="center"/>
          </w:tcPr>
          <w:p w14:paraId="08824C12">
            <w:pPr>
              <w:rPr>
                <w:rFonts w:hint="eastAsia" w:ascii="宋体" w:hAnsi="宋体"/>
                <w:szCs w:val="21"/>
              </w:rPr>
            </w:pPr>
            <w:r>
              <w:rPr>
                <w:rFonts w:hint="eastAsia" w:ascii="宋体" w:hAnsi="宋体" w:cs="宋体"/>
                <w:szCs w:val="21"/>
              </w:rPr>
              <w:t>本款不适用。</w:t>
            </w:r>
          </w:p>
        </w:tc>
      </w:tr>
      <w:tr w14:paraId="760794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4B0B3DF5">
            <w:pPr>
              <w:rPr>
                <w:rFonts w:hint="eastAsia" w:ascii="宋体" w:hAnsi="宋体"/>
                <w:strike/>
                <w:szCs w:val="21"/>
              </w:rPr>
            </w:pPr>
            <w:r>
              <w:rPr>
                <w:rFonts w:hint="eastAsia" w:ascii="宋体" w:hAnsi="宋体"/>
                <w:szCs w:val="21"/>
              </w:rPr>
              <w:t>25</w:t>
            </w:r>
          </w:p>
        </w:tc>
        <w:tc>
          <w:tcPr>
            <w:tcW w:w="981" w:type="dxa"/>
            <w:tcBorders>
              <w:top w:val="single" w:color="auto" w:sz="4" w:space="0"/>
              <w:left w:val="single" w:color="auto" w:sz="4" w:space="0"/>
              <w:bottom w:val="single" w:color="auto" w:sz="4" w:space="0"/>
              <w:right w:val="single" w:color="auto" w:sz="4" w:space="0"/>
            </w:tcBorders>
            <w:vAlign w:val="center"/>
          </w:tcPr>
          <w:p w14:paraId="0954AB03">
            <w:pPr>
              <w:ind w:firstLine="458"/>
              <w:rPr>
                <w:rFonts w:hint="eastAsia" w:ascii="宋体" w:hAnsi="宋体"/>
                <w:strike/>
                <w:szCs w:val="21"/>
              </w:rPr>
            </w:pPr>
          </w:p>
        </w:tc>
        <w:tc>
          <w:tcPr>
            <w:tcW w:w="1881" w:type="dxa"/>
            <w:tcBorders>
              <w:top w:val="single" w:color="auto" w:sz="4" w:space="0"/>
              <w:left w:val="single" w:color="auto" w:sz="4" w:space="0"/>
              <w:bottom w:val="single" w:color="auto" w:sz="4" w:space="0"/>
              <w:right w:val="single" w:color="auto" w:sz="4" w:space="0"/>
            </w:tcBorders>
            <w:vAlign w:val="center"/>
          </w:tcPr>
          <w:p w14:paraId="10313EC0">
            <w:pPr>
              <w:rPr>
                <w:rFonts w:hint="eastAsia" w:ascii="宋体" w:hAnsi="宋体"/>
                <w:szCs w:val="21"/>
              </w:rPr>
            </w:pPr>
            <w:r>
              <w:rPr>
                <w:rFonts w:hint="eastAsia" w:ascii="宋体" w:hAnsi="宋体"/>
                <w:szCs w:val="21"/>
              </w:rPr>
              <w:t>进入第二阶段评审的家数</w:t>
            </w:r>
          </w:p>
        </w:tc>
        <w:tc>
          <w:tcPr>
            <w:tcW w:w="5786" w:type="dxa"/>
            <w:tcBorders>
              <w:top w:val="single" w:color="auto" w:sz="4" w:space="0"/>
              <w:left w:val="single" w:color="auto" w:sz="4" w:space="0"/>
              <w:bottom w:val="single" w:color="auto" w:sz="4" w:space="0"/>
              <w:right w:val="double" w:color="auto" w:sz="4" w:space="0"/>
            </w:tcBorders>
            <w:vAlign w:val="center"/>
          </w:tcPr>
          <w:p w14:paraId="4C41091E">
            <w:pPr>
              <w:rPr>
                <w:rFonts w:hint="eastAsia" w:ascii="宋体" w:hAnsi="宋体"/>
                <w:szCs w:val="21"/>
              </w:rPr>
            </w:pPr>
            <w:r>
              <w:rPr>
                <w:rFonts w:hint="eastAsia" w:ascii="宋体" w:hAnsi="宋体" w:cs="宋体"/>
                <w:szCs w:val="21"/>
              </w:rPr>
              <w:t>本款不适用。</w:t>
            </w:r>
          </w:p>
        </w:tc>
      </w:tr>
      <w:tr w14:paraId="4BBE04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1BDF5CFC">
            <w:pPr>
              <w:rPr>
                <w:rFonts w:hint="eastAsia" w:ascii="宋体" w:hAnsi="宋体"/>
                <w:color w:val="auto"/>
                <w:szCs w:val="21"/>
                <w:highlight w:val="none"/>
              </w:rPr>
            </w:pPr>
            <w:r>
              <w:rPr>
                <w:rFonts w:hint="eastAsia" w:ascii="宋体" w:hAnsi="宋体"/>
                <w:color w:val="auto"/>
                <w:szCs w:val="21"/>
                <w:highlight w:val="none"/>
              </w:rPr>
              <w:t>26</w:t>
            </w:r>
          </w:p>
        </w:tc>
        <w:tc>
          <w:tcPr>
            <w:tcW w:w="981" w:type="dxa"/>
            <w:tcBorders>
              <w:top w:val="single" w:color="auto" w:sz="4" w:space="0"/>
              <w:left w:val="single" w:color="auto" w:sz="4" w:space="0"/>
              <w:bottom w:val="single" w:color="auto" w:sz="4" w:space="0"/>
              <w:right w:val="single" w:color="auto" w:sz="4" w:space="0"/>
            </w:tcBorders>
            <w:vAlign w:val="center"/>
          </w:tcPr>
          <w:p w14:paraId="62FEE292">
            <w:pPr>
              <w:rPr>
                <w:rFonts w:hint="eastAsia" w:ascii="宋体" w:hAnsi="宋体"/>
                <w:color w:val="auto"/>
                <w:szCs w:val="21"/>
                <w:highlight w:val="none"/>
              </w:rPr>
            </w:pPr>
          </w:p>
        </w:tc>
        <w:tc>
          <w:tcPr>
            <w:tcW w:w="1881" w:type="dxa"/>
            <w:tcBorders>
              <w:top w:val="single" w:color="auto" w:sz="4" w:space="0"/>
              <w:left w:val="single" w:color="auto" w:sz="4" w:space="0"/>
              <w:bottom w:val="single" w:color="auto" w:sz="4" w:space="0"/>
              <w:right w:val="single" w:color="auto" w:sz="4" w:space="0"/>
            </w:tcBorders>
            <w:vAlign w:val="center"/>
          </w:tcPr>
          <w:p w14:paraId="6746EFA0">
            <w:pPr>
              <w:rPr>
                <w:rFonts w:hint="eastAsia" w:ascii="宋体" w:hAnsi="宋体"/>
                <w:color w:val="auto"/>
                <w:szCs w:val="21"/>
                <w:highlight w:val="none"/>
              </w:rPr>
            </w:pPr>
            <w:r>
              <w:rPr>
                <w:rFonts w:hint="eastAsia" w:ascii="宋体" w:hAnsi="宋体"/>
                <w:color w:val="auto"/>
                <w:szCs w:val="21"/>
                <w:highlight w:val="none"/>
              </w:rPr>
              <w:t>工程成本警戒价</w:t>
            </w:r>
          </w:p>
        </w:tc>
        <w:tc>
          <w:tcPr>
            <w:tcW w:w="5786" w:type="dxa"/>
            <w:tcBorders>
              <w:top w:val="single" w:color="auto" w:sz="4" w:space="0"/>
              <w:left w:val="single" w:color="auto" w:sz="4" w:space="0"/>
              <w:bottom w:val="single" w:color="auto" w:sz="4" w:space="0"/>
              <w:right w:val="double" w:color="auto" w:sz="4" w:space="0"/>
            </w:tcBorders>
            <w:vAlign w:val="center"/>
          </w:tcPr>
          <w:p w14:paraId="2763BF3E">
            <w:pPr>
              <w:rPr>
                <w:rFonts w:hint="eastAsia" w:ascii="宋体" w:hAnsi="宋体"/>
                <w:color w:val="auto"/>
                <w:szCs w:val="21"/>
                <w:highlight w:val="none"/>
              </w:rPr>
            </w:pPr>
            <w:r>
              <w:rPr>
                <w:rFonts w:hint="eastAsia" w:ascii="宋体" w:hAnsi="宋体"/>
                <w:color w:val="auto"/>
                <w:szCs w:val="21"/>
                <w:highlight w:val="none"/>
              </w:rPr>
              <w:t>工程成本警戒价为</w:t>
            </w:r>
            <w:r>
              <w:rPr>
                <w:rFonts w:hint="eastAsia" w:ascii="宋体" w:hAnsi="宋体"/>
                <w:color w:val="auto"/>
                <w:szCs w:val="21"/>
                <w:highlight w:val="none"/>
                <w:u w:val="single"/>
                <w:lang w:val="en-US" w:eastAsia="zh-CN"/>
              </w:rPr>
              <w:t>31151380.99</w:t>
            </w:r>
            <w:r>
              <w:rPr>
                <w:rFonts w:hint="eastAsia" w:ascii="宋体" w:hAnsi="宋体"/>
                <w:color w:val="auto"/>
                <w:szCs w:val="21"/>
                <w:highlight w:val="none"/>
              </w:rPr>
              <w:t>元</w:t>
            </w:r>
            <w:r>
              <w:rPr>
                <w:rFonts w:hint="eastAsia" w:ascii="宋体" w:hAnsi="宋体" w:cs="宋体"/>
                <w:color w:val="auto"/>
                <w:szCs w:val="21"/>
                <w:highlight w:val="none"/>
              </w:rPr>
              <w:t>（招标控制价的95</w:t>
            </w:r>
            <w:r>
              <w:rPr>
                <w:rFonts w:ascii="宋体" w:hAnsi="宋体" w:cs="宋体"/>
                <w:color w:val="auto"/>
                <w:szCs w:val="21"/>
                <w:highlight w:val="none"/>
              </w:rPr>
              <w:t>%）</w:t>
            </w:r>
            <w:r>
              <w:rPr>
                <w:rFonts w:hint="eastAsia" w:ascii="宋体" w:hAnsi="宋体"/>
                <w:color w:val="auto"/>
                <w:szCs w:val="21"/>
                <w:highlight w:val="none"/>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0EBC219C">
            <w:pPr>
              <w:rPr>
                <w:rFonts w:hint="eastAsia" w:ascii="宋体" w:hAnsi="宋体"/>
                <w:color w:val="auto"/>
                <w:szCs w:val="21"/>
                <w:highlight w:val="none"/>
              </w:rPr>
            </w:pPr>
            <w:r>
              <w:rPr>
                <w:rFonts w:hint="eastAsia" w:ascii="宋体" w:hAnsi="宋体"/>
                <w:color w:val="auto"/>
                <w:szCs w:val="21"/>
                <w:highlight w:val="none"/>
              </w:rPr>
              <w:t>对低于警戒价的投标人报价不参与经济标</w:t>
            </w:r>
            <w:r>
              <w:rPr>
                <w:rFonts w:hint="eastAsia" w:ascii="宋体" w:hAnsi="宋体" w:cs="仿宋"/>
                <w:color w:val="auto"/>
                <w:kern w:val="0"/>
                <w:szCs w:val="21"/>
                <w:highlight w:val="none"/>
              </w:rPr>
              <w:t>评标参考价</w:t>
            </w:r>
            <w:r>
              <w:rPr>
                <w:rFonts w:hint="eastAsia" w:ascii="宋体" w:hAnsi="宋体"/>
                <w:color w:val="auto"/>
                <w:szCs w:val="21"/>
                <w:highlight w:val="none"/>
              </w:rPr>
              <w:t>评审。</w:t>
            </w:r>
          </w:p>
          <w:p w14:paraId="38AC7980">
            <w:pPr>
              <w:rPr>
                <w:rFonts w:hint="eastAsia" w:ascii="宋体" w:hAnsi="宋体"/>
                <w:color w:val="auto"/>
                <w:szCs w:val="21"/>
                <w:highlight w:val="none"/>
                <w:u w:val="single"/>
              </w:rPr>
            </w:pPr>
            <w:r>
              <w:rPr>
                <w:rFonts w:hint="eastAsia" w:ascii="宋体" w:hAnsi="宋体"/>
                <w:color w:val="auto"/>
                <w:szCs w:val="21"/>
                <w:highlight w:val="none"/>
              </w:rPr>
              <w:t>注：为充分体现招标人意愿及落实项目招标人负责制，警戒价由招标人决定。</w:t>
            </w:r>
          </w:p>
        </w:tc>
      </w:tr>
      <w:tr w14:paraId="5FF9F3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53BAF81F">
            <w:pPr>
              <w:rPr>
                <w:rFonts w:hint="eastAsia" w:ascii="宋体" w:hAnsi="宋体"/>
                <w:strike/>
                <w:szCs w:val="21"/>
              </w:rPr>
            </w:pPr>
            <w:r>
              <w:rPr>
                <w:rFonts w:hint="eastAsia" w:ascii="宋体" w:hAnsi="宋体"/>
                <w:szCs w:val="21"/>
              </w:rPr>
              <w:t>27</w:t>
            </w:r>
          </w:p>
        </w:tc>
        <w:tc>
          <w:tcPr>
            <w:tcW w:w="981" w:type="dxa"/>
            <w:tcBorders>
              <w:top w:val="single" w:color="auto" w:sz="4" w:space="0"/>
              <w:left w:val="single" w:color="auto" w:sz="4" w:space="0"/>
              <w:bottom w:val="single" w:color="auto" w:sz="4" w:space="0"/>
              <w:right w:val="single" w:color="auto" w:sz="4" w:space="0"/>
            </w:tcBorders>
            <w:vAlign w:val="center"/>
          </w:tcPr>
          <w:p w14:paraId="46CD92E8">
            <w:pPr>
              <w:rPr>
                <w:rFonts w:hint="eastAsia" w:ascii="宋体" w:hAnsi="宋体"/>
                <w:strike/>
                <w:szCs w:val="21"/>
              </w:rPr>
            </w:pPr>
          </w:p>
        </w:tc>
        <w:tc>
          <w:tcPr>
            <w:tcW w:w="1881" w:type="dxa"/>
            <w:tcBorders>
              <w:top w:val="single" w:color="auto" w:sz="4" w:space="0"/>
              <w:left w:val="single" w:color="auto" w:sz="4" w:space="0"/>
              <w:bottom w:val="single" w:color="auto" w:sz="4" w:space="0"/>
              <w:right w:val="single" w:color="auto" w:sz="4" w:space="0"/>
            </w:tcBorders>
            <w:vAlign w:val="center"/>
          </w:tcPr>
          <w:p w14:paraId="5789995C">
            <w:pPr>
              <w:rPr>
                <w:rFonts w:hint="eastAsia" w:ascii="宋体" w:hAnsi="宋体"/>
                <w:szCs w:val="21"/>
              </w:rPr>
            </w:pPr>
            <w:r>
              <w:rPr>
                <w:rFonts w:hint="eastAsia" w:ascii="宋体" w:hAnsi="宋体"/>
                <w:szCs w:val="21"/>
              </w:rPr>
              <w:t>第一阶段各分值的权重</w:t>
            </w:r>
          </w:p>
        </w:tc>
        <w:tc>
          <w:tcPr>
            <w:tcW w:w="5786" w:type="dxa"/>
            <w:tcBorders>
              <w:top w:val="single" w:color="auto" w:sz="4" w:space="0"/>
              <w:left w:val="single" w:color="auto" w:sz="4" w:space="0"/>
              <w:bottom w:val="single" w:color="auto" w:sz="4" w:space="0"/>
              <w:right w:val="double" w:color="auto" w:sz="4" w:space="0"/>
            </w:tcBorders>
            <w:vAlign w:val="center"/>
          </w:tcPr>
          <w:p w14:paraId="54CD3869">
            <w:pPr>
              <w:rPr>
                <w:rFonts w:hint="eastAsia" w:ascii="宋体" w:hAnsi="宋体"/>
                <w:szCs w:val="21"/>
              </w:rPr>
            </w:pPr>
            <w:r>
              <w:rPr>
                <w:rFonts w:hint="eastAsia" w:ascii="宋体" w:hAnsi="宋体" w:cs="宋体"/>
                <w:szCs w:val="21"/>
              </w:rPr>
              <w:t>本款不适用。</w:t>
            </w:r>
          </w:p>
        </w:tc>
      </w:tr>
      <w:tr w14:paraId="468C77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13090444">
            <w:pPr>
              <w:rPr>
                <w:rFonts w:hint="eastAsia" w:ascii="宋体" w:hAnsi="宋体"/>
                <w:szCs w:val="21"/>
              </w:rPr>
            </w:pPr>
            <w:r>
              <w:rPr>
                <w:rFonts w:hint="eastAsia" w:ascii="宋体" w:hAnsi="宋体"/>
                <w:szCs w:val="21"/>
              </w:rPr>
              <w:t>28</w:t>
            </w:r>
          </w:p>
        </w:tc>
        <w:tc>
          <w:tcPr>
            <w:tcW w:w="981" w:type="dxa"/>
            <w:tcBorders>
              <w:top w:val="single" w:color="auto" w:sz="4" w:space="0"/>
              <w:left w:val="single" w:color="auto" w:sz="4" w:space="0"/>
              <w:bottom w:val="single" w:color="auto" w:sz="4" w:space="0"/>
              <w:right w:val="single" w:color="auto" w:sz="4" w:space="0"/>
            </w:tcBorders>
            <w:vAlign w:val="center"/>
          </w:tcPr>
          <w:p w14:paraId="5BF54D50">
            <w:pPr>
              <w:rPr>
                <w:rFonts w:hint="eastAsia" w:ascii="宋体" w:hAnsi="宋体"/>
                <w:szCs w:val="21"/>
              </w:rPr>
            </w:pPr>
          </w:p>
        </w:tc>
        <w:tc>
          <w:tcPr>
            <w:tcW w:w="1881" w:type="dxa"/>
            <w:tcBorders>
              <w:top w:val="single" w:color="auto" w:sz="4" w:space="0"/>
              <w:left w:val="single" w:color="auto" w:sz="4" w:space="0"/>
              <w:bottom w:val="single" w:color="auto" w:sz="4" w:space="0"/>
              <w:right w:val="single" w:color="auto" w:sz="4" w:space="0"/>
            </w:tcBorders>
            <w:vAlign w:val="center"/>
          </w:tcPr>
          <w:p w14:paraId="6CA3E122">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评标委员会人数</w:t>
            </w:r>
          </w:p>
        </w:tc>
        <w:tc>
          <w:tcPr>
            <w:tcW w:w="5786" w:type="dxa"/>
            <w:tcBorders>
              <w:top w:val="single" w:color="auto" w:sz="4" w:space="0"/>
              <w:left w:val="single" w:color="auto" w:sz="4" w:space="0"/>
              <w:bottom w:val="single" w:color="auto" w:sz="4" w:space="0"/>
              <w:right w:val="double" w:color="auto" w:sz="4" w:space="0"/>
            </w:tcBorders>
            <w:vAlign w:val="center"/>
          </w:tcPr>
          <w:p w14:paraId="6600C4D8">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5人，评标委员会由招标人依法组建。</w:t>
            </w:r>
          </w:p>
        </w:tc>
      </w:tr>
      <w:tr w14:paraId="331DE0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15C1D1C0">
            <w:pPr>
              <w:rPr>
                <w:rFonts w:hint="eastAsia" w:ascii="宋体" w:hAnsi="宋体"/>
                <w:szCs w:val="21"/>
              </w:rPr>
            </w:pPr>
            <w:r>
              <w:rPr>
                <w:rFonts w:hint="eastAsia" w:ascii="宋体" w:hAnsi="宋体"/>
                <w:szCs w:val="21"/>
              </w:rPr>
              <w:t>29</w:t>
            </w:r>
          </w:p>
        </w:tc>
        <w:tc>
          <w:tcPr>
            <w:tcW w:w="981" w:type="dxa"/>
            <w:tcBorders>
              <w:top w:val="single" w:color="auto" w:sz="4" w:space="0"/>
              <w:left w:val="single" w:color="auto" w:sz="4" w:space="0"/>
              <w:bottom w:val="single" w:color="auto" w:sz="4" w:space="0"/>
              <w:right w:val="single" w:color="auto" w:sz="4" w:space="0"/>
            </w:tcBorders>
            <w:vAlign w:val="center"/>
          </w:tcPr>
          <w:p w14:paraId="47987A28">
            <w:pPr>
              <w:rPr>
                <w:rFonts w:hint="eastAsia" w:ascii="宋体" w:hAnsi="宋体"/>
                <w:szCs w:val="21"/>
              </w:rPr>
            </w:pPr>
          </w:p>
        </w:tc>
        <w:tc>
          <w:tcPr>
            <w:tcW w:w="1881" w:type="dxa"/>
            <w:tcBorders>
              <w:top w:val="single" w:color="auto" w:sz="4" w:space="0"/>
              <w:left w:val="single" w:color="auto" w:sz="4" w:space="0"/>
              <w:bottom w:val="single" w:color="auto" w:sz="4" w:space="0"/>
              <w:right w:val="single" w:color="auto" w:sz="4" w:space="0"/>
            </w:tcBorders>
            <w:vAlign w:val="center"/>
          </w:tcPr>
          <w:p w14:paraId="3F932E58">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企业综合诚信评价分数</w:t>
            </w:r>
          </w:p>
        </w:tc>
        <w:tc>
          <w:tcPr>
            <w:tcW w:w="5786" w:type="dxa"/>
            <w:tcBorders>
              <w:top w:val="single" w:color="auto" w:sz="4" w:space="0"/>
              <w:left w:val="single" w:color="auto" w:sz="4" w:space="0"/>
              <w:bottom w:val="single" w:color="auto" w:sz="4" w:space="0"/>
              <w:right w:val="double" w:color="auto" w:sz="4" w:space="0"/>
            </w:tcBorders>
            <w:vAlign w:val="center"/>
          </w:tcPr>
          <w:p w14:paraId="0C65A955">
            <w:pPr>
              <w:rPr>
                <w:rFonts w:hint="eastAsia" w:ascii="宋体" w:hAnsi="宋体"/>
                <w:color w:val="000000" w:themeColor="text1"/>
                <w:szCs w:val="21"/>
                <w14:textFill>
                  <w14:solidFill>
                    <w14:schemeClr w14:val="tx1"/>
                  </w14:solidFill>
                </w14:textFill>
              </w:rPr>
            </w:pPr>
            <w:r>
              <w:rPr>
                <w:rFonts w:hint="eastAsia" w:ascii="宋体" w:hAnsi="宋体" w:cs="宋体"/>
                <w:szCs w:val="21"/>
              </w:rPr>
              <w:t>本款不适用。</w:t>
            </w:r>
          </w:p>
        </w:tc>
      </w:tr>
      <w:tr w14:paraId="6BD4D3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1C40E234">
            <w:pPr>
              <w:rPr>
                <w:rFonts w:hint="eastAsia" w:ascii="宋体" w:hAnsi="宋体"/>
                <w:szCs w:val="21"/>
              </w:rPr>
            </w:pPr>
            <w:r>
              <w:rPr>
                <w:rFonts w:hint="eastAsia" w:ascii="宋体" w:hAnsi="宋体"/>
                <w:szCs w:val="21"/>
              </w:rPr>
              <w:t>30</w:t>
            </w:r>
          </w:p>
        </w:tc>
        <w:tc>
          <w:tcPr>
            <w:tcW w:w="981" w:type="dxa"/>
            <w:tcBorders>
              <w:top w:val="single" w:color="auto" w:sz="4" w:space="0"/>
              <w:left w:val="single" w:color="auto" w:sz="4" w:space="0"/>
              <w:bottom w:val="single" w:color="auto" w:sz="4" w:space="0"/>
              <w:right w:val="single" w:color="auto" w:sz="4" w:space="0"/>
            </w:tcBorders>
            <w:vAlign w:val="center"/>
          </w:tcPr>
          <w:p w14:paraId="0032B5D1">
            <w:pPr>
              <w:ind w:firstLine="458"/>
              <w:rPr>
                <w:rFonts w:hint="eastAsia" w:ascii="宋体" w:hAnsi="宋体"/>
                <w:szCs w:val="21"/>
              </w:rPr>
            </w:pPr>
          </w:p>
        </w:tc>
        <w:tc>
          <w:tcPr>
            <w:tcW w:w="1881" w:type="dxa"/>
            <w:tcBorders>
              <w:top w:val="single" w:color="auto" w:sz="4" w:space="0"/>
              <w:left w:val="single" w:color="auto" w:sz="4" w:space="0"/>
              <w:bottom w:val="single" w:color="auto" w:sz="4" w:space="0"/>
              <w:right w:val="single" w:color="auto" w:sz="4" w:space="0"/>
            </w:tcBorders>
            <w:vAlign w:val="center"/>
          </w:tcPr>
          <w:p w14:paraId="3475CCFF">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第二阶段投标人名次的排序方法（适用于办法一、办法二）</w:t>
            </w:r>
          </w:p>
        </w:tc>
        <w:tc>
          <w:tcPr>
            <w:tcW w:w="5786" w:type="dxa"/>
            <w:tcBorders>
              <w:top w:val="single" w:color="auto" w:sz="4" w:space="0"/>
              <w:left w:val="single" w:color="auto" w:sz="4" w:space="0"/>
              <w:bottom w:val="single" w:color="auto" w:sz="4" w:space="0"/>
              <w:right w:val="double" w:color="auto" w:sz="4" w:space="0"/>
            </w:tcBorders>
            <w:vAlign w:val="center"/>
          </w:tcPr>
          <w:p w14:paraId="264623B6">
            <w:pPr>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本款不适用。</w:t>
            </w:r>
          </w:p>
        </w:tc>
      </w:tr>
      <w:tr w14:paraId="4C6E9B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5EC30CA0">
            <w:pPr>
              <w:rPr>
                <w:rFonts w:hint="eastAsia" w:ascii="宋体" w:hAnsi="宋体"/>
                <w:szCs w:val="21"/>
              </w:rPr>
            </w:pPr>
            <w:r>
              <w:rPr>
                <w:rFonts w:hint="eastAsia" w:ascii="宋体" w:hAnsi="宋体"/>
                <w:szCs w:val="21"/>
              </w:rPr>
              <w:t>31</w:t>
            </w:r>
          </w:p>
        </w:tc>
        <w:tc>
          <w:tcPr>
            <w:tcW w:w="981" w:type="dxa"/>
            <w:tcBorders>
              <w:top w:val="single" w:color="auto" w:sz="4" w:space="0"/>
              <w:left w:val="single" w:color="auto" w:sz="4" w:space="0"/>
              <w:bottom w:val="single" w:color="auto" w:sz="4" w:space="0"/>
              <w:right w:val="single" w:color="auto" w:sz="4" w:space="0"/>
            </w:tcBorders>
            <w:vAlign w:val="center"/>
          </w:tcPr>
          <w:p w14:paraId="7BC82D43">
            <w:pPr>
              <w:ind w:firstLine="458"/>
              <w:rPr>
                <w:rFonts w:hint="eastAsia" w:ascii="宋体" w:hAnsi="宋体"/>
                <w:strike/>
                <w:szCs w:val="21"/>
              </w:rPr>
            </w:pPr>
          </w:p>
        </w:tc>
        <w:tc>
          <w:tcPr>
            <w:tcW w:w="1881" w:type="dxa"/>
            <w:tcBorders>
              <w:top w:val="single" w:color="auto" w:sz="4" w:space="0"/>
              <w:left w:val="single" w:color="auto" w:sz="4" w:space="0"/>
              <w:bottom w:val="single" w:color="auto" w:sz="4" w:space="0"/>
              <w:right w:val="single" w:color="auto" w:sz="4" w:space="0"/>
            </w:tcBorders>
            <w:vAlign w:val="center"/>
          </w:tcPr>
          <w:p w14:paraId="497D6D0F">
            <w:pPr>
              <w:rPr>
                <w:rFonts w:hint="eastAsia" w:ascii="宋体" w:hAnsi="宋体"/>
                <w:szCs w:val="21"/>
              </w:rPr>
            </w:pPr>
            <w:r>
              <w:rPr>
                <w:rFonts w:hint="eastAsia" w:ascii="宋体" w:hAnsi="宋体"/>
                <w:szCs w:val="21"/>
              </w:rPr>
              <w:t>经济分相同情况下的排序方法（适用于办法三、办法四）</w:t>
            </w:r>
          </w:p>
        </w:tc>
        <w:tc>
          <w:tcPr>
            <w:tcW w:w="5786" w:type="dxa"/>
            <w:tcBorders>
              <w:top w:val="single" w:color="auto" w:sz="4" w:space="0"/>
              <w:left w:val="single" w:color="auto" w:sz="4" w:space="0"/>
              <w:bottom w:val="single" w:color="auto" w:sz="4" w:space="0"/>
              <w:right w:val="double" w:color="auto" w:sz="4" w:space="0"/>
            </w:tcBorders>
            <w:vAlign w:val="center"/>
          </w:tcPr>
          <w:p w14:paraId="6BCDACE4">
            <w:pPr>
              <w:rPr>
                <w:rFonts w:hint="eastAsia" w:ascii="宋体" w:hAnsi="宋体"/>
                <w:szCs w:val="21"/>
              </w:rPr>
            </w:pPr>
            <w:r>
              <w:rPr>
                <w:rFonts w:hint="eastAsia" w:ascii="宋体" w:hAnsi="宋体" w:cs="宋体"/>
                <w:szCs w:val="21"/>
              </w:rPr>
              <w:t>本款不适用。</w:t>
            </w:r>
          </w:p>
        </w:tc>
      </w:tr>
      <w:tr w14:paraId="5BA335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4A5E62FF">
            <w:pPr>
              <w:rPr>
                <w:rFonts w:hint="eastAsia" w:ascii="宋体" w:hAnsi="宋体"/>
                <w:strike/>
                <w:szCs w:val="21"/>
              </w:rPr>
            </w:pPr>
            <w:r>
              <w:rPr>
                <w:rFonts w:hint="eastAsia" w:ascii="宋体" w:hAnsi="宋体"/>
                <w:szCs w:val="21"/>
              </w:rPr>
              <w:t>32</w:t>
            </w:r>
          </w:p>
        </w:tc>
        <w:tc>
          <w:tcPr>
            <w:tcW w:w="981" w:type="dxa"/>
            <w:tcBorders>
              <w:top w:val="single" w:color="auto" w:sz="4" w:space="0"/>
              <w:left w:val="single" w:color="auto" w:sz="4" w:space="0"/>
              <w:bottom w:val="single" w:color="auto" w:sz="4" w:space="0"/>
              <w:right w:val="single" w:color="auto" w:sz="4" w:space="0"/>
            </w:tcBorders>
            <w:vAlign w:val="center"/>
          </w:tcPr>
          <w:p w14:paraId="2208B831">
            <w:pPr>
              <w:ind w:firstLine="458"/>
              <w:rPr>
                <w:rFonts w:hint="eastAsia" w:ascii="宋体" w:hAnsi="宋体"/>
                <w:strike/>
                <w:szCs w:val="21"/>
              </w:rPr>
            </w:pPr>
          </w:p>
        </w:tc>
        <w:tc>
          <w:tcPr>
            <w:tcW w:w="1881" w:type="dxa"/>
            <w:tcBorders>
              <w:top w:val="single" w:color="auto" w:sz="4" w:space="0"/>
              <w:left w:val="single" w:color="auto" w:sz="4" w:space="0"/>
              <w:bottom w:val="single" w:color="auto" w:sz="4" w:space="0"/>
              <w:right w:val="single" w:color="auto" w:sz="4" w:space="0"/>
            </w:tcBorders>
            <w:vAlign w:val="center"/>
          </w:tcPr>
          <w:p w14:paraId="438EE453">
            <w:pPr>
              <w:rPr>
                <w:rFonts w:hint="eastAsia" w:ascii="宋体" w:hAnsi="宋体"/>
                <w:szCs w:val="21"/>
              </w:rPr>
            </w:pPr>
            <w:r>
              <w:rPr>
                <w:rFonts w:hint="eastAsia" w:ascii="宋体" w:hAnsi="宋体"/>
                <w:szCs w:val="21"/>
              </w:rPr>
              <w:t>第二阶段投标人名次的排序方法（适用于办法五、办法六）</w:t>
            </w:r>
          </w:p>
        </w:tc>
        <w:tc>
          <w:tcPr>
            <w:tcW w:w="5786" w:type="dxa"/>
            <w:tcBorders>
              <w:top w:val="single" w:color="auto" w:sz="4" w:space="0"/>
              <w:left w:val="single" w:color="auto" w:sz="4" w:space="0"/>
              <w:bottom w:val="single" w:color="auto" w:sz="4" w:space="0"/>
              <w:right w:val="double" w:color="auto" w:sz="4" w:space="0"/>
            </w:tcBorders>
            <w:vAlign w:val="center"/>
          </w:tcPr>
          <w:p w14:paraId="5BDA2AA7">
            <w:pPr>
              <w:rPr>
                <w:rFonts w:hint="eastAsia" w:ascii="宋体" w:hAnsi="宋体"/>
                <w:szCs w:val="21"/>
              </w:rPr>
            </w:pPr>
            <w:r>
              <w:rPr>
                <w:rFonts w:hint="eastAsia" w:ascii="宋体" w:hAnsi="宋体" w:cs="宋体"/>
                <w:szCs w:val="21"/>
              </w:rPr>
              <w:t>本款不适用。</w:t>
            </w:r>
          </w:p>
        </w:tc>
      </w:tr>
      <w:tr w14:paraId="1A2730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1F3886D4">
            <w:pPr>
              <w:rPr>
                <w:rFonts w:hint="eastAsia" w:ascii="宋体" w:hAnsi="宋体"/>
                <w:szCs w:val="21"/>
              </w:rPr>
            </w:pPr>
            <w:r>
              <w:rPr>
                <w:rFonts w:hint="eastAsia" w:ascii="宋体" w:hAnsi="宋体"/>
                <w:szCs w:val="21"/>
              </w:rPr>
              <w:t>33</w:t>
            </w:r>
          </w:p>
        </w:tc>
        <w:tc>
          <w:tcPr>
            <w:tcW w:w="981" w:type="dxa"/>
            <w:tcBorders>
              <w:top w:val="single" w:color="auto" w:sz="4" w:space="0"/>
              <w:left w:val="single" w:color="auto" w:sz="4" w:space="0"/>
              <w:bottom w:val="single" w:color="auto" w:sz="4" w:space="0"/>
              <w:right w:val="single" w:color="auto" w:sz="4" w:space="0"/>
            </w:tcBorders>
            <w:vAlign w:val="center"/>
          </w:tcPr>
          <w:p w14:paraId="569933D4">
            <w:pPr>
              <w:rPr>
                <w:rFonts w:hint="eastAsia" w:ascii="宋体" w:hAnsi="宋体"/>
                <w:szCs w:val="21"/>
              </w:rPr>
            </w:pPr>
            <w:r>
              <w:rPr>
                <w:rFonts w:ascii="宋体" w:hAnsi="宋体"/>
                <w:szCs w:val="21"/>
              </w:rPr>
              <w:t>13.4</w:t>
            </w:r>
            <w:r>
              <w:rPr>
                <w:rFonts w:hint="eastAsia" w:ascii="宋体" w:hAnsi="宋体"/>
                <w:szCs w:val="21"/>
              </w:rPr>
              <w:t>、</w:t>
            </w:r>
            <w:r>
              <w:rPr>
                <w:rFonts w:ascii="宋体" w:hAnsi="宋体"/>
                <w:szCs w:val="21"/>
              </w:rPr>
              <w:t>13.5.2</w:t>
            </w:r>
          </w:p>
        </w:tc>
        <w:tc>
          <w:tcPr>
            <w:tcW w:w="1881" w:type="dxa"/>
            <w:tcBorders>
              <w:top w:val="single" w:color="auto" w:sz="4" w:space="0"/>
              <w:left w:val="single" w:color="auto" w:sz="4" w:space="0"/>
              <w:bottom w:val="single" w:color="auto" w:sz="4" w:space="0"/>
              <w:right w:val="single" w:color="auto" w:sz="4" w:space="0"/>
            </w:tcBorders>
            <w:vAlign w:val="center"/>
          </w:tcPr>
          <w:p w14:paraId="4E662A6D">
            <w:pPr>
              <w:rPr>
                <w:rFonts w:hint="eastAsia" w:ascii="宋体" w:hAnsi="宋体"/>
                <w:szCs w:val="21"/>
              </w:rPr>
            </w:pPr>
            <w:r>
              <w:rPr>
                <w:rFonts w:hint="eastAsia" w:ascii="宋体" w:hAnsi="宋体"/>
                <w:szCs w:val="21"/>
              </w:rPr>
              <w:t>合同价款的调整办法</w:t>
            </w:r>
          </w:p>
        </w:tc>
        <w:tc>
          <w:tcPr>
            <w:tcW w:w="5786" w:type="dxa"/>
            <w:tcBorders>
              <w:top w:val="single" w:color="auto" w:sz="4" w:space="0"/>
              <w:left w:val="single" w:color="auto" w:sz="4" w:space="0"/>
              <w:bottom w:val="single" w:color="auto" w:sz="4" w:space="0"/>
              <w:right w:val="double" w:color="auto" w:sz="4" w:space="0"/>
            </w:tcBorders>
            <w:vAlign w:val="center"/>
          </w:tcPr>
          <w:p w14:paraId="40766C58">
            <w:pPr>
              <w:rPr>
                <w:rFonts w:hint="eastAsia" w:ascii="宋体" w:hAnsi="宋体"/>
                <w:szCs w:val="21"/>
                <w:u w:val="single"/>
              </w:rPr>
            </w:pPr>
            <w:r>
              <w:rPr>
                <w:rFonts w:hint="eastAsia" w:ascii="宋体" w:hAnsi="宋体"/>
                <w:szCs w:val="21"/>
                <w:u w:val="single"/>
              </w:rPr>
              <w:t>工程变更以合同的专用条款约定为准，详见招标文件相关合同条款。</w:t>
            </w:r>
          </w:p>
        </w:tc>
      </w:tr>
      <w:tr w14:paraId="313C20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6C6F2D3E">
            <w:pPr>
              <w:rPr>
                <w:rFonts w:hint="eastAsia" w:ascii="宋体" w:hAnsi="宋体"/>
                <w:szCs w:val="21"/>
              </w:rPr>
            </w:pPr>
            <w:r>
              <w:rPr>
                <w:rFonts w:ascii="宋体" w:hAnsi="宋体"/>
                <w:szCs w:val="21"/>
              </w:rPr>
              <w:t>3</w:t>
            </w:r>
            <w:r>
              <w:rPr>
                <w:rFonts w:hint="eastAsia" w:ascii="宋体" w:hAnsi="宋体"/>
                <w:szCs w:val="21"/>
              </w:rPr>
              <w:t>4</w:t>
            </w:r>
          </w:p>
        </w:tc>
        <w:tc>
          <w:tcPr>
            <w:tcW w:w="981" w:type="dxa"/>
            <w:tcBorders>
              <w:top w:val="single" w:color="auto" w:sz="4" w:space="0"/>
              <w:left w:val="single" w:color="auto" w:sz="4" w:space="0"/>
              <w:bottom w:val="single" w:color="auto" w:sz="4" w:space="0"/>
              <w:right w:val="single" w:color="auto" w:sz="4" w:space="0"/>
            </w:tcBorders>
            <w:vAlign w:val="center"/>
          </w:tcPr>
          <w:p w14:paraId="0027A501">
            <w:pPr>
              <w:rPr>
                <w:rFonts w:hint="eastAsia" w:ascii="宋体" w:hAnsi="宋体"/>
                <w:szCs w:val="21"/>
              </w:rPr>
            </w:pPr>
          </w:p>
        </w:tc>
        <w:tc>
          <w:tcPr>
            <w:tcW w:w="1881" w:type="dxa"/>
            <w:tcBorders>
              <w:top w:val="single" w:color="auto" w:sz="4" w:space="0"/>
              <w:left w:val="single" w:color="auto" w:sz="4" w:space="0"/>
              <w:bottom w:val="single" w:color="auto" w:sz="4" w:space="0"/>
              <w:right w:val="single" w:color="auto" w:sz="4" w:space="0"/>
            </w:tcBorders>
            <w:vAlign w:val="center"/>
          </w:tcPr>
          <w:p w14:paraId="0BF1C60C">
            <w:pPr>
              <w:rPr>
                <w:rFonts w:hint="eastAsia" w:ascii="宋体" w:hAnsi="宋体"/>
                <w:szCs w:val="21"/>
              </w:rPr>
            </w:pPr>
            <w:r>
              <w:rPr>
                <w:rFonts w:hint="eastAsia" w:ascii="宋体" w:hAnsi="宋体"/>
                <w:kern w:val="0"/>
                <w:szCs w:val="21"/>
                <w:lang w:val="zh-CN"/>
              </w:rPr>
              <w:t>建设工程质量检测单位</w:t>
            </w:r>
          </w:p>
        </w:tc>
        <w:tc>
          <w:tcPr>
            <w:tcW w:w="5786" w:type="dxa"/>
            <w:tcBorders>
              <w:top w:val="single" w:color="auto" w:sz="4" w:space="0"/>
              <w:left w:val="single" w:color="auto" w:sz="4" w:space="0"/>
              <w:bottom w:val="single" w:color="auto" w:sz="4" w:space="0"/>
              <w:right w:val="double" w:color="auto" w:sz="4" w:space="0"/>
            </w:tcBorders>
            <w:vAlign w:val="center"/>
          </w:tcPr>
          <w:p w14:paraId="5547740E">
            <w:pPr>
              <w:rPr>
                <w:rFonts w:hint="eastAsia" w:ascii="宋体" w:hAnsi="宋体"/>
                <w:kern w:val="0"/>
                <w:szCs w:val="21"/>
                <w:lang w:val="zh-CN"/>
              </w:rPr>
            </w:pPr>
            <w:r>
              <w:rPr>
                <w:rFonts w:hint="eastAsia" w:ascii="宋体" w:hAnsi="宋体" w:cs="宋体"/>
                <w:szCs w:val="21"/>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28700F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6AA6A7FA">
            <w:pPr>
              <w:rPr>
                <w:rFonts w:hint="eastAsia" w:ascii="宋体" w:hAnsi="宋体"/>
                <w:szCs w:val="21"/>
              </w:rPr>
            </w:pPr>
            <w:r>
              <w:rPr>
                <w:rFonts w:hint="eastAsia" w:ascii="宋体" w:hAnsi="宋体"/>
                <w:szCs w:val="21"/>
              </w:rPr>
              <w:t>35</w:t>
            </w:r>
          </w:p>
        </w:tc>
        <w:tc>
          <w:tcPr>
            <w:tcW w:w="981" w:type="dxa"/>
            <w:tcBorders>
              <w:top w:val="single" w:color="auto" w:sz="4" w:space="0"/>
              <w:left w:val="single" w:color="auto" w:sz="4" w:space="0"/>
              <w:bottom w:val="single" w:color="auto" w:sz="4" w:space="0"/>
              <w:right w:val="single" w:color="auto" w:sz="4" w:space="0"/>
            </w:tcBorders>
            <w:vAlign w:val="center"/>
          </w:tcPr>
          <w:p w14:paraId="16871B6F">
            <w:pPr>
              <w:rPr>
                <w:rFonts w:hint="eastAsia" w:ascii="宋体" w:hAnsi="宋体"/>
                <w:szCs w:val="21"/>
              </w:rPr>
            </w:pPr>
          </w:p>
        </w:tc>
        <w:tc>
          <w:tcPr>
            <w:tcW w:w="1881" w:type="dxa"/>
            <w:tcBorders>
              <w:top w:val="single" w:color="auto" w:sz="4" w:space="0"/>
              <w:left w:val="single" w:color="auto" w:sz="4" w:space="0"/>
              <w:bottom w:val="single" w:color="auto" w:sz="4" w:space="0"/>
              <w:right w:val="single" w:color="auto" w:sz="4" w:space="0"/>
            </w:tcBorders>
            <w:vAlign w:val="center"/>
          </w:tcPr>
          <w:p w14:paraId="58341D3B">
            <w:pPr>
              <w:rPr>
                <w:rFonts w:hint="eastAsia" w:ascii="宋体" w:hAnsi="宋体"/>
                <w:kern w:val="0"/>
                <w:szCs w:val="21"/>
                <w:lang w:val="zh-CN"/>
              </w:rPr>
            </w:pPr>
            <w:r>
              <w:rPr>
                <w:rFonts w:hint="eastAsia" w:ascii="宋体" w:hAnsi="宋体"/>
                <w:kern w:val="0"/>
                <w:szCs w:val="21"/>
                <w:lang w:val="zh-CN"/>
              </w:rPr>
              <w:t>分包</w:t>
            </w:r>
          </w:p>
        </w:tc>
        <w:tc>
          <w:tcPr>
            <w:tcW w:w="5786" w:type="dxa"/>
            <w:tcBorders>
              <w:top w:val="single" w:color="auto" w:sz="4" w:space="0"/>
              <w:left w:val="single" w:color="auto" w:sz="4" w:space="0"/>
              <w:bottom w:val="single" w:color="auto" w:sz="4" w:space="0"/>
              <w:right w:val="double" w:color="auto" w:sz="4" w:space="0"/>
            </w:tcBorders>
            <w:vAlign w:val="center"/>
          </w:tcPr>
          <w:p w14:paraId="62524B34">
            <w:pPr>
              <w:rPr>
                <w:rFonts w:hint="eastAsia" w:ascii="宋体" w:hAnsi="宋体" w:cs="宋体"/>
                <w:kern w:val="0"/>
                <w:szCs w:val="21"/>
                <w:lang w:val="zh-CN"/>
              </w:rPr>
            </w:pPr>
            <w:r>
              <w:rPr>
                <w:rFonts w:hint="eastAsia" w:ascii="宋体" w:hAnsi="宋体" w:cs="宋体"/>
                <w:kern w:val="0"/>
                <w:szCs w:val="21"/>
                <w:lang w:val="zh-CN"/>
              </w:rPr>
              <w:t>□不允许；</w:t>
            </w:r>
          </w:p>
          <w:p w14:paraId="5346E40D">
            <w:pPr>
              <w:rPr>
                <w:rFonts w:hint="eastAsia" w:ascii="宋体" w:hAnsi="宋体" w:cs="宋体"/>
                <w:kern w:val="0"/>
                <w:szCs w:val="21"/>
                <w:lang w:val="zh-CN"/>
              </w:rPr>
            </w:pPr>
            <w:r>
              <w:rPr>
                <w:rFonts w:hint="eastAsia" w:ascii="宋体" w:hAnsi="宋体" w:cs="宋体"/>
                <w:kern w:val="0"/>
                <w:szCs w:val="21"/>
                <w:lang w:val="zh-CN"/>
              </w:rPr>
              <w:t>☑允许：</w:t>
            </w:r>
          </w:p>
          <w:p w14:paraId="68A8528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宋体"/>
                <w:kern w:val="0"/>
                <w:szCs w:val="21"/>
                <w:lang w:val="zh-CN"/>
              </w:rPr>
            </w:pPr>
            <w:r>
              <w:rPr>
                <w:rFonts w:hint="eastAsia" w:ascii="宋体" w:hAnsi="宋体" w:cs="宋体"/>
                <w:kern w:val="0"/>
                <w:szCs w:val="21"/>
                <w:lang w:val="zh-CN"/>
              </w:rPr>
              <w:t>分包内容要求：</w:t>
            </w:r>
            <w:r>
              <w:rPr>
                <w:rFonts w:hint="eastAsia" w:ascii="宋体" w:hAnsi="宋体" w:cs="宋体"/>
                <w:kern w:val="0"/>
                <w:szCs w:val="21"/>
                <w:u w:val="single"/>
                <w:lang w:val="zh-CN"/>
              </w:rPr>
              <w:t>中标人按照合同约定或者经招标人同意，可以将中标项目的部分非主体、非关键性工作分包给他人完成。</w:t>
            </w:r>
          </w:p>
          <w:p w14:paraId="4ADB9E7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宋体"/>
                <w:kern w:val="0"/>
                <w:szCs w:val="21"/>
                <w:u w:val="single"/>
                <w:lang w:val="zh-CN"/>
              </w:rPr>
            </w:pPr>
            <w:r>
              <w:rPr>
                <w:rFonts w:hint="eastAsia" w:ascii="宋体" w:hAnsi="宋体" w:cs="宋体"/>
                <w:kern w:val="0"/>
                <w:szCs w:val="21"/>
                <w:lang w:val="zh-CN"/>
              </w:rPr>
              <w:t>分包金额要求：</w:t>
            </w:r>
            <w:r>
              <w:rPr>
                <w:rFonts w:hint="eastAsia" w:ascii="宋体" w:hAnsi="宋体" w:cs="宋体"/>
                <w:kern w:val="0"/>
                <w:szCs w:val="21"/>
                <w:u w:val="single"/>
                <w:lang w:val="zh-CN"/>
              </w:rPr>
              <w:t>根据实际情况确定。</w:t>
            </w:r>
          </w:p>
          <w:p w14:paraId="3F8B263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宋体"/>
                <w:kern w:val="0"/>
                <w:szCs w:val="21"/>
                <w:lang w:val="zh-CN"/>
              </w:rPr>
            </w:pPr>
            <w:r>
              <w:rPr>
                <w:rFonts w:hint="eastAsia" w:ascii="宋体" w:hAnsi="宋体" w:cs="宋体"/>
                <w:kern w:val="0"/>
                <w:szCs w:val="21"/>
                <w:lang w:val="zh-CN"/>
              </w:rPr>
              <w:t>对分包人的资质要求：</w:t>
            </w:r>
            <w:r>
              <w:rPr>
                <w:rFonts w:hint="eastAsia" w:ascii="宋体" w:hAnsi="宋体" w:cs="宋体"/>
                <w:kern w:val="0"/>
                <w:szCs w:val="21"/>
                <w:u w:val="single"/>
                <w:lang w:val="zh-CN"/>
              </w:rPr>
              <w:t>按国家资质管理规定执行。</w:t>
            </w:r>
          </w:p>
          <w:p w14:paraId="4571882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kern w:val="0"/>
                <w:szCs w:val="21"/>
                <w:lang w:val="zh-CN"/>
              </w:rPr>
            </w:pPr>
            <w:r>
              <w:rPr>
                <w:rFonts w:hint="eastAsia" w:ascii="宋体" w:hAnsi="宋体" w:cs="宋体"/>
                <w:kern w:val="0"/>
                <w:szCs w:val="21"/>
                <w:lang w:val="zh-CN"/>
              </w:rPr>
              <w:t>对分包人的其他要求：</w:t>
            </w:r>
            <w:r>
              <w:rPr>
                <w:rFonts w:hint="eastAsia" w:ascii="宋体" w:hAnsi="宋体" w:cs="宋体"/>
                <w:kern w:val="0"/>
                <w:szCs w:val="21"/>
                <w:u w:val="single"/>
                <w:lang w:val="zh-CN"/>
              </w:rPr>
              <w:t xml:space="preserve">  /  。</w:t>
            </w:r>
          </w:p>
        </w:tc>
      </w:tr>
      <w:tr w14:paraId="065960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6E19D82C">
            <w:pPr>
              <w:rPr>
                <w:rFonts w:hint="eastAsia" w:ascii="宋体" w:hAnsi="宋体"/>
                <w:szCs w:val="21"/>
              </w:rPr>
            </w:pPr>
            <w:r>
              <w:rPr>
                <w:rFonts w:hint="eastAsia" w:ascii="宋体" w:hAnsi="宋体"/>
                <w:szCs w:val="21"/>
              </w:rPr>
              <w:t>36</w:t>
            </w:r>
          </w:p>
        </w:tc>
        <w:tc>
          <w:tcPr>
            <w:tcW w:w="981" w:type="dxa"/>
            <w:tcBorders>
              <w:top w:val="single" w:color="auto" w:sz="4" w:space="0"/>
              <w:left w:val="single" w:color="auto" w:sz="4" w:space="0"/>
              <w:bottom w:val="single" w:color="auto" w:sz="4" w:space="0"/>
              <w:right w:val="single" w:color="auto" w:sz="4" w:space="0"/>
            </w:tcBorders>
            <w:vAlign w:val="center"/>
          </w:tcPr>
          <w:p w14:paraId="7087077E">
            <w:pPr>
              <w:rPr>
                <w:rFonts w:hint="eastAsia" w:ascii="宋体" w:hAnsi="宋体"/>
                <w:szCs w:val="21"/>
              </w:rPr>
            </w:pPr>
          </w:p>
        </w:tc>
        <w:tc>
          <w:tcPr>
            <w:tcW w:w="1881" w:type="dxa"/>
            <w:tcBorders>
              <w:top w:val="single" w:color="auto" w:sz="4" w:space="0"/>
              <w:left w:val="single" w:color="auto" w:sz="4" w:space="0"/>
              <w:bottom w:val="single" w:color="auto" w:sz="4" w:space="0"/>
              <w:right w:val="single" w:color="auto" w:sz="4" w:space="0"/>
            </w:tcBorders>
            <w:vAlign w:val="center"/>
          </w:tcPr>
          <w:p w14:paraId="07376231">
            <w:pPr>
              <w:jc w:val="center"/>
              <w:rPr>
                <w:rFonts w:hint="eastAsia" w:ascii="宋体" w:hAnsi="宋体" w:cs="宋体"/>
                <w:lang w:val="zh-CN"/>
              </w:rPr>
            </w:pPr>
            <w:r>
              <w:rPr>
                <w:rFonts w:hint="eastAsia" w:ascii="宋体" w:hAnsi="宋体" w:cs="宋体"/>
              </w:rPr>
              <w:t>电子招标投标解密失败及突发情况的补救</w:t>
            </w:r>
          </w:p>
        </w:tc>
        <w:tc>
          <w:tcPr>
            <w:tcW w:w="5786" w:type="dxa"/>
            <w:tcBorders>
              <w:top w:val="single" w:color="auto" w:sz="4" w:space="0"/>
              <w:left w:val="single" w:color="auto" w:sz="4" w:space="0"/>
              <w:bottom w:val="single" w:color="auto" w:sz="4" w:space="0"/>
              <w:right w:val="double" w:color="auto" w:sz="4" w:space="0"/>
            </w:tcBorders>
            <w:vAlign w:val="center"/>
          </w:tcPr>
          <w:p w14:paraId="72BE9730">
            <w:pPr>
              <w:rPr>
                <w:rFonts w:hint="eastAsia" w:ascii="宋体" w:hAnsi="宋体" w:cs="宋体"/>
                <w:szCs w:val="21"/>
              </w:rPr>
            </w:pPr>
            <w:r>
              <w:rPr>
                <w:rFonts w:hint="eastAsia" w:ascii="宋体" w:hAnsi="宋体" w:cs="宋体"/>
                <w:szCs w:val="21"/>
              </w:rPr>
              <w:t>1、按照广州交易集团有限公司（广州公共资源交易中心）交易平台关于全流程电子化项目的相关指南进行操作。详见：</w:t>
            </w:r>
            <w:r>
              <w:rPr>
                <w:rFonts w:hint="eastAsia" w:ascii="宋体" w:hAnsi="宋体" w:cs="宋体"/>
                <w:szCs w:val="21"/>
                <w:u w:val="single"/>
              </w:rPr>
              <w:t>广州交易集团有限公司（广州公共资源交易中心）网站最新指引</w:t>
            </w:r>
            <w:r>
              <w:rPr>
                <w:rFonts w:hint="eastAsia" w:ascii="宋体" w:hAnsi="宋体" w:cs="宋体"/>
                <w:szCs w:val="21"/>
              </w:rPr>
              <w:t>。</w:t>
            </w:r>
          </w:p>
          <w:p w14:paraId="14BAFEC8">
            <w:pPr>
              <w:rPr>
                <w:rFonts w:hint="eastAsia" w:ascii="宋体" w:hAnsi="宋体" w:cs="宋体"/>
                <w:szCs w:val="21"/>
              </w:rPr>
            </w:pPr>
            <w:r>
              <w:rPr>
                <w:rFonts w:hint="eastAsia" w:ascii="宋体" w:hAnsi="宋体" w:cs="宋体"/>
                <w:szCs w:val="21"/>
              </w:rPr>
              <w:t>2、提交投标文件光盘备用</w:t>
            </w:r>
          </w:p>
          <w:p w14:paraId="64CCF953">
            <w:pPr>
              <w:rPr>
                <w:rFonts w:hint="eastAsia" w:ascii="宋体" w:hAnsi="宋体" w:cs="宋体"/>
                <w:szCs w:val="21"/>
              </w:rPr>
            </w:pPr>
            <w:r>
              <w:rPr>
                <w:rFonts w:hint="eastAsia" w:ascii="宋体" w:hAnsi="宋体" w:cs="宋体"/>
                <w:szCs w:val="21"/>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2685C79C">
            <w:pPr>
              <w:rPr>
                <w:rFonts w:hint="eastAsia" w:ascii="宋体" w:hAnsi="宋体" w:cs="宋体"/>
                <w:szCs w:val="21"/>
              </w:rPr>
            </w:pPr>
            <w:r>
              <w:rPr>
                <w:rFonts w:hint="eastAsia" w:ascii="宋体" w:hAnsi="宋体" w:cs="宋体"/>
                <w:szCs w:val="21"/>
              </w:rPr>
              <w:t>3、补救方案</w:t>
            </w:r>
          </w:p>
          <w:p w14:paraId="75477912">
            <w:pPr>
              <w:rPr>
                <w:rFonts w:hint="eastAsia" w:ascii="宋体" w:hAnsi="宋体" w:cs="宋体"/>
                <w:szCs w:val="21"/>
              </w:rPr>
            </w:pPr>
            <w:r>
              <w:rPr>
                <w:rFonts w:hint="eastAsia" w:ascii="宋体" w:hAnsi="宋体" w:cs="宋体"/>
                <w:szCs w:val="21"/>
              </w:rPr>
              <w:t>（1）投标文件解密失败的补救方案：</w:t>
            </w:r>
          </w:p>
          <w:p w14:paraId="51FC99BB">
            <w:pPr>
              <w:rPr>
                <w:rFonts w:hint="eastAsia" w:ascii="宋体" w:hAnsi="宋体" w:cs="宋体"/>
                <w:szCs w:val="21"/>
              </w:rPr>
            </w:pPr>
            <w:r>
              <w:rPr>
                <w:rFonts w:hint="eastAsia" w:ascii="宋体" w:hAnsi="宋体" w:cs="宋体"/>
                <w:szCs w:val="21"/>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62A26DE1">
            <w:pPr>
              <w:rPr>
                <w:rFonts w:hint="eastAsia" w:ascii="宋体" w:hAnsi="宋体" w:cs="宋体"/>
                <w:szCs w:val="21"/>
              </w:rPr>
            </w:pPr>
            <w:r>
              <w:rPr>
                <w:rFonts w:hint="eastAsia" w:ascii="宋体" w:hAnsi="宋体" w:cs="宋体"/>
                <w:szCs w:val="21"/>
              </w:rPr>
              <w:t>（2）评标时突发情况的补救方案</w:t>
            </w:r>
          </w:p>
          <w:p w14:paraId="0C5E2D81">
            <w:pPr>
              <w:rPr>
                <w:rFonts w:hint="eastAsia" w:ascii="宋体" w:hAnsi="宋体" w:cs="宋体"/>
                <w:szCs w:val="21"/>
              </w:rPr>
            </w:pPr>
            <w:r>
              <w:rPr>
                <w:rFonts w:hint="eastAsia" w:ascii="宋体" w:hAnsi="宋体" w:cs="宋体"/>
                <w:szCs w:val="21"/>
              </w:rPr>
              <w:t>若遇不可抗力发生（指网络瘫痪、服务器损坏、交易系统故障短期无法恢复等因素），由评标委员会开启投标人递交的全部投标文件光盘，并按光盘内容进行评审。</w:t>
            </w:r>
          </w:p>
          <w:p w14:paraId="14045C66">
            <w:pPr>
              <w:rPr>
                <w:rFonts w:hint="eastAsia" w:ascii="宋体" w:hAnsi="宋体" w:cs="宋体"/>
                <w:szCs w:val="21"/>
                <w:lang w:val="zh-CN"/>
              </w:rPr>
            </w:pPr>
            <w:r>
              <w:rPr>
                <w:rFonts w:hint="eastAsia" w:ascii="宋体" w:hAnsi="宋体" w:cs="宋体"/>
                <w:szCs w:val="21"/>
              </w:rPr>
              <w:t>（3）除发生上述情况外，开标评标均以投标人通过交易平台网上递交的电子投标文件为准。</w:t>
            </w:r>
          </w:p>
        </w:tc>
      </w:tr>
      <w:tr w14:paraId="4F3925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2DE3E866">
            <w:pPr>
              <w:rPr>
                <w:rFonts w:hint="eastAsia" w:ascii="宋体" w:hAnsi="宋体"/>
                <w:szCs w:val="21"/>
              </w:rPr>
            </w:pPr>
            <w:r>
              <w:rPr>
                <w:rFonts w:hint="eastAsia" w:ascii="宋体" w:hAnsi="宋体"/>
                <w:szCs w:val="21"/>
              </w:rPr>
              <w:t>37</w:t>
            </w:r>
          </w:p>
        </w:tc>
        <w:tc>
          <w:tcPr>
            <w:tcW w:w="981" w:type="dxa"/>
            <w:tcBorders>
              <w:top w:val="single" w:color="auto" w:sz="4" w:space="0"/>
              <w:left w:val="single" w:color="auto" w:sz="4" w:space="0"/>
              <w:bottom w:val="single" w:color="auto" w:sz="4" w:space="0"/>
              <w:right w:val="single" w:color="auto" w:sz="4" w:space="0"/>
            </w:tcBorders>
            <w:vAlign w:val="center"/>
          </w:tcPr>
          <w:p w14:paraId="1B576CEB">
            <w:pPr>
              <w:rPr>
                <w:rFonts w:hint="eastAsia" w:ascii="宋体" w:hAnsi="宋体"/>
                <w:szCs w:val="21"/>
              </w:rPr>
            </w:pPr>
          </w:p>
        </w:tc>
        <w:tc>
          <w:tcPr>
            <w:tcW w:w="1881" w:type="dxa"/>
            <w:tcBorders>
              <w:top w:val="single" w:color="auto" w:sz="4" w:space="0"/>
              <w:left w:val="single" w:color="auto" w:sz="4" w:space="0"/>
              <w:bottom w:val="single" w:color="auto" w:sz="4" w:space="0"/>
              <w:right w:val="single" w:color="auto" w:sz="4" w:space="0"/>
            </w:tcBorders>
            <w:vAlign w:val="center"/>
          </w:tcPr>
          <w:p w14:paraId="03FA4160">
            <w:pPr>
              <w:spacing w:line="276" w:lineRule="auto"/>
              <w:rPr>
                <w:rFonts w:hint="eastAsia" w:ascii="宋体" w:hAnsi="宋体" w:cs="宋体"/>
                <w:szCs w:val="21"/>
                <w:u w:val="single"/>
                <w:lang w:val="zh-CN"/>
              </w:rPr>
            </w:pPr>
            <w:r>
              <w:rPr>
                <w:rFonts w:hint="eastAsia" w:ascii="宋体" w:hAnsi="宋体" w:cs="宋体"/>
                <w:szCs w:val="21"/>
                <w:u w:val="single"/>
              </w:rPr>
              <w:t>招标人拒绝接收投标文件备用光盘的情况</w:t>
            </w:r>
          </w:p>
        </w:tc>
        <w:tc>
          <w:tcPr>
            <w:tcW w:w="5786" w:type="dxa"/>
            <w:tcBorders>
              <w:top w:val="single" w:color="auto" w:sz="4" w:space="0"/>
              <w:left w:val="single" w:color="auto" w:sz="4" w:space="0"/>
              <w:bottom w:val="single" w:color="auto" w:sz="4" w:space="0"/>
              <w:right w:val="double" w:color="auto" w:sz="4" w:space="0"/>
            </w:tcBorders>
            <w:vAlign w:val="center"/>
          </w:tcPr>
          <w:p w14:paraId="32AAB6B9">
            <w:pPr>
              <w:spacing w:line="276" w:lineRule="auto"/>
              <w:rPr>
                <w:rFonts w:hint="eastAsia" w:ascii="宋体" w:hAnsi="宋体" w:cs="宋体"/>
                <w:szCs w:val="21"/>
                <w:u w:val="single"/>
              </w:rPr>
            </w:pPr>
            <w:r>
              <w:rPr>
                <w:rFonts w:hint="eastAsia" w:ascii="宋体" w:hAnsi="宋体" w:cs="宋体"/>
                <w:szCs w:val="21"/>
                <w:u w:val="single"/>
              </w:rPr>
              <w:t>1、在投标截止期后逾期或未在指定地点递交投标文件备用光盘的；</w:t>
            </w:r>
          </w:p>
          <w:p w14:paraId="5A30AF8C">
            <w:pPr>
              <w:spacing w:line="276" w:lineRule="auto"/>
              <w:rPr>
                <w:rFonts w:hint="eastAsia" w:ascii="宋体" w:hAnsi="宋体" w:cs="宋体"/>
                <w:szCs w:val="21"/>
                <w:u w:val="single"/>
              </w:rPr>
            </w:pPr>
            <w:r>
              <w:rPr>
                <w:rFonts w:hint="eastAsia" w:ascii="宋体" w:hAnsi="宋体" w:cs="宋体"/>
                <w:szCs w:val="21"/>
                <w:u w:val="single"/>
              </w:rPr>
              <w:t>2、投标文件备用光盘未按招标文件要求密封或未在密封处盖章的；</w:t>
            </w:r>
          </w:p>
          <w:p w14:paraId="18CB6D9F">
            <w:pPr>
              <w:spacing w:line="276" w:lineRule="auto"/>
              <w:rPr>
                <w:rFonts w:hint="eastAsia" w:ascii="宋体" w:hAnsi="宋体" w:cs="宋体"/>
                <w:szCs w:val="21"/>
                <w:u w:val="single"/>
                <w:lang w:val="zh-CN"/>
              </w:rPr>
            </w:pPr>
            <w:r>
              <w:rPr>
                <w:rFonts w:hint="eastAsia" w:ascii="宋体" w:hAnsi="宋体" w:cs="宋体"/>
                <w:szCs w:val="21"/>
                <w:u w:val="single"/>
              </w:rPr>
              <w:t>3、投标人代表未凭法定代表人证明书（原件）、授权委托书原件（仅限于非法定代表人）、本人身份证原件递交投标文件备用光盘的。</w:t>
            </w:r>
          </w:p>
        </w:tc>
      </w:tr>
      <w:tr w14:paraId="5B57E4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5E5FCCC7">
            <w:pPr>
              <w:rPr>
                <w:rFonts w:hint="eastAsia" w:ascii="宋体" w:hAnsi="宋体"/>
                <w:szCs w:val="21"/>
              </w:rPr>
            </w:pPr>
            <w:r>
              <w:rPr>
                <w:rFonts w:hint="eastAsia" w:ascii="宋体" w:hAnsi="宋体"/>
                <w:szCs w:val="21"/>
              </w:rPr>
              <w:t>38</w:t>
            </w:r>
          </w:p>
        </w:tc>
        <w:tc>
          <w:tcPr>
            <w:tcW w:w="981" w:type="dxa"/>
            <w:tcBorders>
              <w:top w:val="single" w:color="auto" w:sz="4" w:space="0"/>
              <w:left w:val="single" w:color="auto" w:sz="4" w:space="0"/>
              <w:bottom w:val="single" w:color="auto" w:sz="4" w:space="0"/>
              <w:right w:val="single" w:color="auto" w:sz="4" w:space="0"/>
            </w:tcBorders>
            <w:vAlign w:val="center"/>
          </w:tcPr>
          <w:p w14:paraId="1C3FDA1E">
            <w:pPr>
              <w:rPr>
                <w:rFonts w:hint="eastAsia" w:ascii="宋体" w:hAnsi="宋体"/>
                <w:szCs w:val="21"/>
              </w:rPr>
            </w:pPr>
          </w:p>
        </w:tc>
        <w:tc>
          <w:tcPr>
            <w:tcW w:w="1881" w:type="dxa"/>
            <w:tcBorders>
              <w:top w:val="single" w:color="auto" w:sz="4" w:space="0"/>
              <w:left w:val="single" w:color="auto" w:sz="4" w:space="0"/>
              <w:bottom w:val="single" w:color="auto" w:sz="4" w:space="0"/>
              <w:right w:val="single" w:color="auto" w:sz="4" w:space="0"/>
            </w:tcBorders>
            <w:vAlign w:val="center"/>
          </w:tcPr>
          <w:p w14:paraId="589F72FC">
            <w:pPr>
              <w:rPr>
                <w:rFonts w:hint="eastAsia" w:ascii="宋体" w:hAnsi="宋体"/>
                <w:szCs w:val="21"/>
                <w:lang w:val="zh-CN"/>
              </w:rPr>
            </w:pPr>
            <w:r>
              <w:rPr>
                <w:rFonts w:hint="eastAsia" w:ascii="宋体" w:hAnsi="宋体"/>
                <w:szCs w:val="21"/>
              </w:rPr>
              <w:t>投标文件格式</w:t>
            </w:r>
          </w:p>
        </w:tc>
        <w:tc>
          <w:tcPr>
            <w:tcW w:w="5786" w:type="dxa"/>
            <w:tcBorders>
              <w:top w:val="single" w:color="auto" w:sz="4" w:space="0"/>
              <w:left w:val="single" w:color="auto" w:sz="4" w:space="0"/>
              <w:bottom w:val="single" w:color="auto" w:sz="4" w:space="0"/>
              <w:right w:val="double" w:color="auto" w:sz="4" w:space="0"/>
            </w:tcBorders>
            <w:vAlign w:val="center"/>
          </w:tcPr>
          <w:p w14:paraId="780B0F53">
            <w:pPr>
              <w:rPr>
                <w:lang w:val="zh-CN"/>
              </w:rPr>
            </w:pPr>
            <w:r>
              <w:rPr>
                <w:rFonts w:hint="eastAsia" w:ascii="宋体" w:hAnsi="宋体" w:cs="宋体"/>
                <w:b/>
                <w:bCs/>
                <w:szCs w:val="21"/>
                <w:u w:val="single"/>
              </w:rPr>
              <w:t>投标人采用单位数字证书，按招标文件要求在相应位置加盖电子印章。投标文件需个人签字或盖章的，应加盖个人电子印章或在线下完成后扫描上传。按照交易平台关于全流程电子化项目的相关指南进行操作。</w:t>
            </w:r>
          </w:p>
        </w:tc>
      </w:tr>
      <w:tr w14:paraId="0BEDC1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55F64903">
            <w:pPr>
              <w:rPr>
                <w:rFonts w:hint="eastAsia" w:ascii="宋体" w:hAnsi="宋体"/>
                <w:szCs w:val="21"/>
              </w:rPr>
            </w:pPr>
            <w:r>
              <w:rPr>
                <w:rFonts w:hint="eastAsia" w:ascii="宋体" w:hAnsi="宋体"/>
                <w:szCs w:val="21"/>
              </w:rPr>
              <w:t>39</w:t>
            </w:r>
          </w:p>
        </w:tc>
        <w:tc>
          <w:tcPr>
            <w:tcW w:w="981" w:type="dxa"/>
            <w:tcBorders>
              <w:top w:val="single" w:color="auto" w:sz="4" w:space="0"/>
              <w:left w:val="single" w:color="auto" w:sz="4" w:space="0"/>
              <w:bottom w:val="single" w:color="auto" w:sz="4" w:space="0"/>
              <w:right w:val="single" w:color="auto" w:sz="4" w:space="0"/>
            </w:tcBorders>
            <w:vAlign w:val="center"/>
          </w:tcPr>
          <w:p w14:paraId="645BEE06">
            <w:pPr>
              <w:rPr>
                <w:rFonts w:hint="eastAsia" w:ascii="宋体" w:hAnsi="宋体"/>
                <w:szCs w:val="21"/>
              </w:rPr>
            </w:pPr>
          </w:p>
        </w:tc>
        <w:tc>
          <w:tcPr>
            <w:tcW w:w="1881" w:type="dxa"/>
            <w:tcBorders>
              <w:top w:val="single" w:color="auto" w:sz="4" w:space="0"/>
              <w:left w:val="single" w:color="auto" w:sz="4" w:space="0"/>
              <w:bottom w:val="single" w:color="auto" w:sz="4" w:space="0"/>
              <w:right w:val="single" w:color="auto" w:sz="4" w:space="0"/>
            </w:tcBorders>
            <w:vAlign w:val="center"/>
          </w:tcPr>
          <w:p w14:paraId="35C758A3">
            <w:pPr>
              <w:rPr>
                <w:rFonts w:hint="eastAsia" w:ascii="宋体" w:hAnsi="宋体"/>
                <w:szCs w:val="21"/>
              </w:rPr>
            </w:pPr>
            <w:r>
              <w:rPr>
                <w:rFonts w:hint="eastAsia" w:ascii="宋体" w:hAnsi="宋体" w:cs="宋体"/>
                <w:szCs w:val="21"/>
              </w:rPr>
              <w:t>其他</w:t>
            </w:r>
          </w:p>
        </w:tc>
        <w:tc>
          <w:tcPr>
            <w:tcW w:w="5786" w:type="dxa"/>
            <w:tcBorders>
              <w:top w:val="single" w:color="auto" w:sz="4" w:space="0"/>
              <w:left w:val="single" w:color="auto" w:sz="4" w:space="0"/>
              <w:bottom w:val="single" w:color="auto" w:sz="4" w:space="0"/>
              <w:right w:val="double" w:color="auto" w:sz="4" w:space="0"/>
            </w:tcBorders>
            <w:vAlign w:val="center"/>
          </w:tcPr>
          <w:p w14:paraId="3BA033BE">
            <w:pPr>
              <w:rPr>
                <w:rFonts w:hint="eastAsia" w:ascii="宋体" w:hAnsi="宋体" w:cs="宋体"/>
                <w:b/>
                <w:bCs/>
                <w:szCs w:val="21"/>
                <w:u w:val="single"/>
              </w:rPr>
            </w:pPr>
            <w:r>
              <w:rPr>
                <w:rFonts w:hint="eastAsia"/>
                <w:szCs w:val="21"/>
                <w:u w:val="single"/>
                <w:lang w:bidi="ar"/>
              </w:rPr>
              <w:t>交易服务费：由中标人支付，招标人不另行支付。</w:t>
            </w:r>
          </w:p>
        </w:tc>
      </w:tr>
    </w:tbl>
    <w:p w14:paraId="621E7080">
      <w:r>
        <w:rPr>
          <w:rFonts w:hint="eastAsia"/>
        </w:rPr>
        <w:br w:type="page"/>
      </w:r>
    </w:p>
    <w:p w14:paraId="44CEBD82">
      <w:pPr>
        <w:pStyle w:val="4"/>
        <w:rPr>
          <w:color w:val="auto"/>
        </w:rPr>
      </w:pPr>
      <w:bookmarkStart w:id="13" w:name="_Toc19614"/>
      <w:bookmarkStart w:id="14" w:name="_Toc7714"/>
      <w:bookmarkStart w:id="15" w:name="_Toc11970"/>
      <w:bookmarkStart w:id="16" w:name="_Toc25792"/>
      <w:bookmarkStart w:id="17" w:name="_Toc14337"/>
      <w:bookmarkStart w:id="18" w:name="_Toc15439"/>
      <w:r>
        <w:rPr>
          <w:rFonts w:hint="eastAsia"/>
          <w:color w:val="auto"/>
        </w:rPr>
        <w:t>二、投标须知修改表</w:t>
      </w:r>
      <w:bookmarkEnd w:id="13"/>
      <w:bookmarkEnd w:id="14"/>
      <w:bookmarkEnd w:id="15"/>
      <w:bookmarkEnd w:id="16"/>
      <w:bookmarkEnd w:id="17"/>
      <w:bookmarkEnd w:id="18"/>
    </w:p>
    <w:p w14:paraId="4A490A5B">
      <w:pPr>
        <w:pStyle w:val="50"/>
        <w:spacing w:line="360" w:lineRule="auto"/>
        <w:rPr>
          <w:rFonts w:hint="eastAsia" w:ascii="宋体" w:hAnsi="宋体" w:eastAsia="宋体"/>
          <w:b/>
          <w:szCs w:val="21"/>
        </w:rPr>
      </w:pPr>
      <w:r>
        <w:rPr>
          <w:rFonts w:hint="eastAsia" w:ascii="宋体" w:hAnsi="宋体" w:eastAsia="宋体"/>
          <w:b/>
          <w:szCs w:val="21"/>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http://zfcj.gz.gov.cn/）下载查阅。</w:t>
      </w:r>
    </w:p>
    <w:p w14:paraId="6F1F0EA3">
      <w:pPr>
        <w:spacing w:line="360" w:lineRule="auto"/>
        <w:ind w:firstLine="409" w:firstLineChars="195"/>
        <w:rPr>
          <w:rFonts w:hint="eastAsia" w:ascii="宋体" w:hAnsi="宋体" w:cs="宋体"/>
          <w:b/>
          <w:szCs w:val="21"/>
        </w:rPr>
      </w:pPr>
      <w:r>
        <w:rPr>
          <w:rFonts w:hint="eastAsia" w:ascii="宋体" w:hAnsi="宋体" w:cs="宋体"/>
          <w:b/>
          <w:szCs w:val="21"/>
        </w:rPr>
        <w:t>条款号：5.1                          修改类型：修改</w:t>
      </w:r>
    </w:p>
    <w:p w14:paraId="15816B4B">
      <w:pPr>
        <w:pBdr>
          <w:bottom w:val="single" w:color="auto" w:sz="6" w:space="1"/>
        </w:pBdr>
        <w:spacing w:line="360" w:lineRule="auto"/>
        <w:ind w:firstLine="409" w:firstLineChars="195"/>
        <w:rPr>
          <w:rFonts w:hint="eastAsia" w:ascii="宋体" w:hAnsi="宋体" w:cs="宋体"/>
          <w:szCs w:val="21"/>
        </w:rPr>
      </w:pPr>
      <w:r>
        <w:rPr>
          <w:rFonts w:hint="eastAsia" w:ascii="宋体" w:hAnsi="宋体" w:cs="宋体"/>
          <w:b/>
          <w:szCs w:val="21"/>
        </w:rPr>
        <w:t>原文</w:t>
      </w:r>
      <w:r>
        <w:rPr>
          <w:rFonts w:hint="eastAsia" w:ascii="宋体" w:hAnsi="宋体" w:cs="宋体"/>
          <w:szCs w:val="21"/>
        </w:rPr>
        <w:t>：5.1</w:t>
      </w:r>
      <w:r>
        <w:rPr>
          <w:rFonts w:hint="eastAsia" w:ascii="宋体" w:hAnsi="宋体" w:cs="宋体"/>
          <w:bCs/>
          <w:szCs w:val="21"/>
        </w:rPr>
        <w:t>投标人应按本投标须知前附表第15项所述时间和要求对工程现场及周围环境进行踏勘，</w:t>
      </w:r>
      <w:r>
        <w:rPr>
          <w:rFonts w:hint="eastAsia" w:ascii="宋体" w:hAnsi="宋体" w:cs="宋体"/>
          <w:szCs w:val="21"/>
        </w:rPr>
        <w:t>投标人应充分重视和仔细地进行这种考察，</w:t>
      </w:r>
      <w:r>
        <w:rPr>
          <w:rFonts w:hint="eastAsia" w:ascii="宋体" w:hAnsi="宋体" w:cs="宋体"/>
          <w:bCs/>
          <w:szCs w:val="21"/>
        </w:rPr>
        <w:t>以便投标人获取</w:t>
      </w:r>
      <w:r>
        <w:rPr>
          <w:rFonts w:hint="eastAsia" w:ascii="宋体" w:hAnsi="宋体" w:cs="宋体"/>
          <w:szCs w:val="21"/>
        </w:rPr>
        <w:t>那些须投标人自己负责的</w:t>
      </w:r>
      <w:r>
        <w:rPr>
          <w:rFonts w:hint="eastAsia" w:ascii="宋体" w:hAnsi="宋体" w:cs="宋体"/>
          <w:bCs/>
          <w:szCs w:val="21"/>
        </w:rPr>
        <w:t>有关编制投标文件和签署合同所涉及现场所有的资料。</w:t>
      </w:r>
      <w:r>
        <w:rPr>
          <w:rFonts w:hint="eastAsia" w:ascii="宋体" w:hAnsi="宋体" w:cs="宋体"/>
          <w:szCs w:val="21"/>
        </w:rPr>
        <w:t>一旦中标，这种考察即被认为其结果已在中标文件中得到充分反映。考察现场的费用由投标人自己承担。</w:t>
      </w:r>
    </w:p>
    <w:p w14:paraId="20FDDB43">
      <w:pPr>
        <w:pBdr>
          <w:bottom w:val="single" w:color="auto" w:sz="6" w:space="1"/>
        </w:pBdr>
        <w:spacing w:line="360" w:lineRule="auto"/>
        <w:ind w:firstLine="409" w:firstLineChars="195"/>
        <w:rPr>
          <w:rFonts w:hint="eastAsia" w:ascii="宋体" w:hAnsi="宋体" w:cs="宋体"/>
          <w:szCs w:val="21"/>
        </w:rPr>
      </w:pPr>
      <w:r>
        <w:rPr>
          <w:rFonts w:hint="eastAsia" w:ascii="宋体" w:hAnsi="宋体" w:cs="宋体"/>
          <w:b/>
          <w:szCs w:val="21"/>
        </w:rPr>
        <w:t>现文：</w:t>
      </w:r>
      <w:r>
        <w:rPr>
          <w:rFonts w:hint="eastAsia" w:ascii="宋体" w:hAnsi="宋体" w:cs="宋体"/>
          <w:szCs w:val="21"/>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cs="宋体"/>
          <w:szCs w:val="21"/>
          <w:u w:val="single"/>
        </w:rPr>
        <w:t>投标人不进行踏勘的，视为已熟知现场条件，自行承担相关风险。投标单位自行勘察并对工程量清单及图纸内容、准确性进行复核，如有误差必须在答疑中提出，否则视为已认可本项目的工程量清单及图纸所有内容。</w:t>
      </w:r>
      <w:r>
        <w:rPr>
          <w:rFonts w:hint="eastAsia" w:ascii="宋体" w:hAnsi="宋体" w:cs="宋体"/>
          <w:szCs w:val="21"/>
        </w:rPr>
        <w:t>一旦中标，这种考察即被认为其结果已在中标文件中得到充分反映。</w:t>
      </w:r>
      <w:r>
        <w:rPr>
          <w:rFonts w:hint="eastAsia" w:ascii="宋体" w:hAnsi="宋体" w:cs="宋体"/>
          <w:szCs w:val="21"/>
          <w:u w:val="single"/>
        </w:rPr>
        <w:t>招标人不受理因投标人缺乏对现场条件的了解或掌握而提出的任何索赔。</w:t>
      </w:r>
      <w:r>
        <w:rPr>
          <w:rFonts w:hint="eastAsia" w:ascii="宋体" w:hAnsi="宋体" w:cs="宋体"/>
          <w:szCs w:val="21"/>
        </w:rPr>
        <w:t>考察现场的费用由投标人自己承担。</w:t>
      </w:r>
    </w:p>
    <w:p w14:paraId="45D169F6">
      <w:pPr>
        <w:spacing w:line="360" w:lineRule="auto"/>
        <w:ind w:firstLine="420" w:firstLineChars="200"/>
        <w:rPr>
          <w:b/>
          <w:szCs w:val="21"/>
        </w:rPr>
      </w:pPr>
      <w:r>
        <w:rPr>
          <w:rFonts w:hint="eastAsia"/>
          <w:b/>
          <w:szCs w:val="21"/>
        </w:rPr>
        <w:t>条款号：</w:t>
      </w:r>
      <w:r>
        <w:rPr>
          <w:b/>
          <w:szCs w:val="21"/>
        </w:rPr>
        <w:t>7</w:t>
      </w:r>
      <w:r>
        <w:rPr>
          <w:rFonts w:hint="eastAsia"/>
          <w:b/>
          <w:szCs w:val="21"/>
        </w:rPr>
        <w:t>.1             修改类型：修改</w:t>
      </w:r>
    </w:p>
    <w:p w14:paraId="0DDAED4B">
      <w:pPr>
        <w:spacing w:line="360" w:lineRule="auto"/>
        <w:ind w:firstLine="420" w:firstLineChars="200"/>
        <w:rPr>
          <w:szCs w:val="21"/>
        </w:rPr>
      </w:pPr>
      <w:r>
        <w:rPr>
          <w:rFonts w:hint="eastAsia"/>
          <w:b/>
          <w:szCs w:val="21"/>
        </w:rPr>
        <w:t>原文：</w:t>
      </w:r>
      <w:r>
        <w:rPr>
          <w:b/>
          <w:szCs w:val="21"/>
        </w:rPr>
        <w:t xml:space="preserve">7.1 </w:t>
      </w:r>
      <w:r>
        <w:rPr>
          <w:rFonts w:hint="eastAsia"/>
          <w:szCs w:val="21"/>
        </w:rPr>
        <w:t>本招标文件包括下列文件，以及所有按本须知第8条发出的招标答疑会会议纪要和按本须知第9条发出的澄清或修改：</w:t>
      </w:r>
    </w:p>
    <w:p w14:paraId="22CE1171">
      <w:pPr>
        <w:spacing w:line="360" w:lineRule="auto"/>
        <w:ind w:firstLine="420" w:firstLineChars="200"/>
        <w:rPr>
          <w:szCs w:val="21"/>
        </w:rPr>
      </w:pPr>
      <w:r>
        <w:rPr>
          <w:rFonts w:hint="eastAsia"/>
          <w:szCs w:val="21"/>
        </w:rPr>
        <w:t>第一章  投标须知</w:t>
      </w:r>
    </w:p>
    <w:p w14:paraId="567FE28F">
      <w:pPr>
        <w:spacing w:line="360" w:lineRule="auto"/>
        <w:ind w:firstLine="420" w:firstLineChars="200"/>
        <w:rPr>
          <w:szCs w:val="21"/>
        </w:rPr>
      </w:pPr>
      <w:r>
        <w:rPr>
          <w:rFonts w:hint="eastAsia"/>
          <w:szCs w:val="21"/>
        </w:rPr>
        <w:t>第二章  开标、评标及定标办法</w:t>
      </w:r>
    </w:p>
    <w:p w14:paraId="03235EDF">
      <w:pPr>
        <w:spacing w:line="360" w:lineRule="auto"/>
        <w:ind w:firstLine="420" w:firstLineChars="200"/>
        <w:rPr>
          <w:szCs w:val="21"/>
        </w:rPr>
      </w:pPr>
      <w:r>
        <w:rPr>
          <w:rFonts w:hint="eastAsia"/>
          <w:szCs w:val="21"/>
        </w:rPr>
        <w:t>第三章  合同条款</w:t>
      </w:r>
    </w:p>
    <w:p w14:paraId="7EFB3918">
      <w:pPr>
        <w:spacing w:line="360" w:lineRule="auto"/>
        <w:ind w:firstLine="420" w:firstLineChars="200"/>
        <w:rPr>
          <w:szCs w:val="21"/>
        </w:rPr>
      </w:pPr>
      <w:r>
        <w:rPr>
          <w:rFonts w:hint="eastAsia"/>
          <w:szCs w:val="21"/>
        </w:rPr>
        <w:t>第四章  投标文件格式</w:t>
      </w:r>
    </w:p>
    <w:p w14:paraId="06CA54BF">
      <w:pPr>
        <w:spacing w:line="360" w:lineRule="auto"/>
        <w:ind w:firstLine="420" w:firstLineChars="200"/>
        <w:rPr>
          <w:szCs w:val="21"/>
        </w:rPr>
      </w:pPr>
      <w:r>
        <w:rPr>
          <w:rFonts w:hint="eastAsia"/>
          <w:szCs w:val="21"/>
        </w:rPr>
        <w:t>第五章  技术条件（工程建设标准）（另册）</w:t>
      </w:r>
    </w:p>
    <w:p w14:paraId="1B21D3B8">
      <w:pPr>
        <w:spacing w:line="360" w:lineRule="auto"/>
        <w:ind w:firstLine="420" w:firstLineChars="200"/>
        <w:rPr>
          <w:szCs w:val="21"/>
        </w:rPr>
      </w:pPr>
      <w:r>
        <w:rPr>
          <w:rFonts w:hint="eastAsia"/>
          <w:szCs w:val="21"/>
        </w:rPr>
        <w:t>第六章  图纸及勘察资料</w:t>
      </w:r>
      <w:bookmarkStart w:id="19" w:name="_Hlk48663595"/>
      <w:r>
        <w:rPr>
          <w:rFonts w:hint="eastAsia"/>
          <w:szCs w:val="21"/>
        </w:rPr>
        <w:t>（另册）</w:t>
      </w:r>
      <w:bookmarkEnd w:id="19"/>
    </w:p>
    <w:p w14:paraId="7BC3F363">
      <w:pPr>
        <w:spacing w:line="360" w:lineRule="auto"/>
        <w:ind w:firstLine="420" w:firstLineChars="200"/>
        <w:rPr>
          <w:szCs w:val="21"/>
        </w:rPr>
      </w:pPr>
      <w:r>
        <w:rPr>
          <w:rFonts w:hint="eastAsia"/>
          <w:szCs w:val="21"/>
        </w:rPr>
        <w:t>第七章  招标工程量清单（另册）</w:t>
      </w:r>
    </w:p>
    <w:p w14:paraId="275D09FD">
      <w:pPr>
        <w:spacing w:line="360" w:lineRule="auto"/>
        <w:ind w:firstLine="420" w:firstLineChars="200"/>
        <w:rPr>
          <w:szCs w:val="21"/>
        </w:rPr>
      </w:pPr>
      <w:r>
        <w:rPr>
          <w:rFonts w:hint="eastAsia"/>
          <w:szCs w:val="21"/>
        </w:rPr>
        <w:t>第八章  最高投标限价</w:t>
      </w:r>
    </w:p>
    <w:p w14:paraId="3754ED7A">
      <w:pPr>
        <w:spacing w:line="360" w:lineRule="auto"/>
        <w:ind w:firstLine="420" w:firstLineChars="200"/>
        <w:rPr>
          <w:szCs w:val="21"/>
        </w:rPr>
      </w:pPr>
      <w:r>
        <w:rPr>
          <w:rFonts w:hint="eastAsia"/>
          <w:b/>
          <w:bCs/>
          <w:szCs w:val="21"/>
        </w:rPr>
        <w:t>现文：7.1</w:t>
      </w:r>
      <w:r>
        <w:rPr>
          <w:rFonts w:hint="eastAsia"/>
          <w:szCs w:val="21"/>
        </w:rPr>
        <w:t>本招标文件包括下列文件，以及所有按本须知第8条发出的</w:t>
      </w:r>
      <w:r>
        <w:rPr>
          <w:rFonts w:hint="eastAsia"/>
          <w:szCs w:val="21"/>
          <w:u w:val="single"/>
        </w:rPr>
        <w:t>招标答疑纪要</w:t>
      </w:r>
      <w:r>
        <w:rPr>
          <w:rFonts w:hint="eastAsia"/>
          <w:szCs w:val="21"/>
        </w:rPr>
        <w:t>和按本须</w:t>
      </w:r>
      <w:r>
        <w:rPr>
          <w:szCs w:val="21"/>
        </w:rPr>
        <w:t>知第9条发出的澄清或修改：</w:t>
      </w:r>
    </w:p>
    <w:p w14:paraId="50272E7F">
      <w:pPr>
        <w:ind w:firstLine="420"/>
      </w:pPr>
      <w:r>
        <w:t>第一章  投标须知</w:t>
      </w:r>
    </w:p>
    <w:p w14:paraId="0A2F9B6D">
      <w:pPr>
        <w:spacing w:line="360" w:lineRule="auto"/>
        <w:ind w:firstLine="420" w:firstLineChars="200"/>
        <w:rPr>
          <w:szCs w:val="21"/>
        </w:rPr>
      </w:pPr>
      <w:r>
        <w:rPr>
          <w:rFonts w:hint="eastAsia"/>
          <w:szCs w:val="21"/>
        </w:rPr>
        <w:t>第二章  开标、评标及定标办法</w:t>
      </w:r>
    </w:p>
    <w:p w14:paraId="5F6A5D8B">
      <w:pPr>
        <w:spacing w:line="360" w:lineRule="auto"/>
        <w:ind w:firstLine="420" w:firstLineChars="200"/>
        <w:rPr>
          <w:szCs w:val="21"/>
        </w:rPr>
      </w:pPr>
      <w:r>
        <w:rPr>
          <w:rFonts w:hint="eastAsia"/>
          <w:szCs w:val="21"/>
        </w:rPr>
        <w:t>第三章  合同条款</w:t>
      </w:r>
    </w:p>
    <w:p w14:paraId="0E937923">
      <w:pPr>
        <w:spacing w:line="360" w:lineRule="auto"/>
        <w:ind w:firstLine="420" w:firstLineChars="200"/>
        <w:rPr>
          <w:szCs w:val="21"/>
        </w:rPr>
      </w:pPr>
      <w:r>
        <w:rPr>
          <w:rFonts w:hint="eastAsia"/>
          <w:szCs w:val="21"/>
        </w:rPr>
        <w:t>第四章  投标文件格式</w:t>
      </w:r>
    </w:p>
    <w:p w14:paraId="4A9AECCF">
      <w:pPr>
        <w:spacing w:line="360" w:lineRule="auto"/>
        <w:ind w:firstLine="420" w:firstLineChars="200"/>
        <w:rPr>
          <w:szCs w:val="21"/>
        </w:rPr>
      </w:pPr>
      <w:r>
        <w:rPr>
          <w:rFonts w:hint="eastAsia"/>
          <w:szCs w:val="21"/>
        </w:rPr>
        <w:t>第五章  技术条件（工程建设标准）</w:t>
      </w:r>
    </w:p>
    <w:p w14:paraId="347BAAC6">
      <w:pPr>
        <w:spacing w:line="360" w:lineRule="auto"/>
        <w:ind w:firstLine="420" w:firstLineChars="200"/>
        <w:rPr>
          <w:szCs w:val="21"/>
        </w:rPr>
      </w:pPr>
      <w:r>
        <w:rPr>
          <w:rFonts w:hint="eastAsia"/>
          <w:szCs w:val="21"/>
        </w:rPr>
        <w:t>第六章  图纸及勘察资料（另册）</w:t>
      </w:r>
    </w:p>
    <w:p w14:paraId="07534526">
      <w:pPr>
        <w:spacing w:line="360" w:lineRule="auto"/>
        <w:ind w:firstLine="420" w:firstLineChars="200"/>
        <w:rPr>
          <w:szCs w:val="21"/>
        </w:rPr>
      </w:pPr>
      <w:r>
        <w:rPr>
          <w:rFonts w:hint="eastAsia"/>
          <w:szCs w:val="21"/>
        </w:rPr>
        <w:t>第七章  招标工程量清单（另册）</w:t>
      </w:r>
    </w:p>
    <w:p w14:paraId="209086C4">
      <w:pPr>
        <w:pBdr>
          <w:top w:val="none" w:color="auto" w:sz="0" w:space="1"/>
          <w:left w:val="none" w:color="auto" w:sz="0" w:space="4"/>
          <w:right w:val="none" w:color="auto" w:sz="0" w:space="4"/>
        </w:pBdr>
        <w:spacing w:line="360" w:lineRule="auto"/>
        <w:ind w:firstLine="420" w:firstLineChars="200"/>
        <w:rPr>
          <w:szCs w:val="21"/>
        </w:rPr>
      </w:pPr>
      <w:r>
        <w:rPr>
          <w:rFonts w:hint="eastAsia"/>
          <w:szCs w:val="21"/>
        </w:rPr>
        <w:t>第八章  最高投标限价</w:t>
      </w:r>
      <w:r>
        <w:rPr>
          <w:rFonts w:hint="eastAsia"/>
          <w:szCs w:val="21"/>
          <w:u w:val="single"/>
        </w:rPr>
        <w:t>（另册）</w:t>
      </w:r>
    </w:p>
    <w:p w14:paraId="638EDD60">
      <w:pPr>
        <w:spacing w:line="360" w:lineRule="auto"/>
        <w:ind w:firstLine="420" w:firstLineChars="200"/>
        <w:rPr>
          <w:szCs w:val="21"/>
        </w:rPr>
      </w:pPr>
      <w:r>
        <w:rPr>
          <w:szCs w:val="21"/>
        </w:rPr>
        <w:t>注：招标人应在技术条件（工程建设标准）中明确施工现场建筑垃圾源头减量的具体要求和建筑垃圾综合利用产品的使用要求。</w:t>
      </w:r>
    </w:p>
    <w:p w14:paraId="7ACF9359">
      <w:pPr>
        <w:pBdr>
          <w:top w:val="single" w:color="auto" w:sz="4" w:space="1"/>
          <w:left w:val="none" w:color="auto" w:sz="0" w:space="4"/>
          <w:bottom w:val="none" w:color="auto" w:sz="0" w:space="1"/>
          <w:right w:val="none" w:color="auto" w:sz="0" w:space="4"/>
        </w:pBdr>
        <w:spacing w:line="360" w:lineRule="auto"/>
        <w:ind w:firstLine="420" w:firstLineChars="200"/>
        <w:rPr>
          <w:b/>
          <w:szCs w:val="21"/>
        </w:rPr>
      </w:pPr>
      <w:r>
        <w:rPr>
          <w:rFonts w:hint="eastAsia"/>
          <w:b/>
          <w:szCs w:val="21"/>
        </w:rPr>
        <w:t>条款号：8.1             修改类型：修改</w:t>
      </w:r>
    </w:p>
    <w:p w14:paraId="0854B79E">
      <w:pPr>
        <w:spacing w:line="360" w:lineRule="auto"/>
        <w:ind w:firstLine="420" w:firstLineChars="200"/>
        <w:rPr>
          <w:szCs w:val="21"/>
        </w:rPr>
      </w:pPr>
      <w:r>
        <w:rPr>
          <w:rFonts w:hint="eastAsia"/>
          <w:b/>
          <w:szCs w:val="21"/>
        </w:rPr>
        <w:t>原文：</w:t>
      </w:r>
      <w:r>
        <w:rPr>
          <w:rFonts w:hint="eastAsia"/>
          <w:szCs w:val="21"/>
        </w:rPr>
        <w:t>投标人若对招标文件（包括招标图纸）中有疑问，可以书面形式通过交易平台提交给招标人或招标代理人，提交形式见本须知前附表第16项。</w:t>
      </w:r>
    </w:p>
    <w:p w14:paraId="3514ECA9">
      <w:pPr>
        <w:pBdr>
          <w:bottom w:val="single" w:color="auto" w:sz="6" w:space="1"/>
        </w:pBdr>
        <w:spacing w:line="480" w:lineRule="auto"/>
        <w:ind w:firstLine="470" w:firstLineChars="224"/>
        <w:rPr>
          <w:b/>
          <w:szCs w:val="21"/>
        </w:rPr>
      </w:pPr>
      <w:r>
        <w:rPr>
          <w:rFonts w:hint="eastAsia"/>
          <w:b/>
          <w:szCs w:val="21"/>
        </w:rPr>
        <w:t>现文：</w:t>
      </w:r>
      <w:r>
        <w:rPr>
          <w:rFonts w:hint="eastAsia" w:ascii="宋体" w:hAnsi="宋体" w:cs="宋体"/>
          <w:szCs w:val="21"/>
          <w:u w:val="single"/>
        </w:rPr>
        <w:t>招标答疑采用网上答疑方式进行。投标人若对招标文件（包括招标图纸、清单、合同条款）有疑问的，可在规定的时间内通过广州交易集团有限公司（广州公共资源交易中心）交易平台将问题提交给招标人或招标代理人，提交问题时一律不得署名。提交形式见本须知前附表第16项。</w:t>
      </w:r>
      <w:r>
        <w:rPr>
          <w:rFonts w:hint="eastAsia" w:ascii="宋体" w:hAnsi="宋体" w:cs="宋体"/>
          <w:b/>
          <w:szCs w:val="21"/>
        </w:rPr>
        <w:t xml:space="preserve"> </w:t>
      </w:r>
    </w:p>
    <w:p w14:paraId="7EC7D513">
      <w:pPr>
        <w:spacing w:line="360" w:lineRule="auto"/>
        <w:ind w:firstLine="470" w:firstLineChars="224"/>
        <w:rPr>
          <w:rFonts w:hint="eastAsia" w:ascii="宋体" w:hAnsi="宋体" w:cs="宋体"/>
          <w:b/>
          <w:szCs w:val="21"/>
        </w:rPr>
      </w:pPr>
      <w:r>
        <w:rPr>
          <w:rFonts w:hint="eastAsia" w:ascii="宋体" w:hAnsi="宋体" w:cs="宋体"/>
          <w:b/>
          <w:szCs w:val="21"/>
        </w:rPr>
        <w:t>条款号：8.2             修改类型：修改</w:t>
      </w:r>
    </w:p>
    <w:p w14:paraId="53463742">
      <w:pPr>
        <w:spacing w:line="360" w:lineRule="auto"/>
        <w:ind w:firstLine="470" w:firstLineChars="224"/>
        <w:rPr>
          <w:rFonts w:hint="eastAsia" w:ascii="宋体" w:hAnsi="宋体" w:cs="宋体"/>
          <w:b/>
          <w:szCs w:val="21"/>
        </w:rPr>
      </w:pPr>
      <w:r>
        <w:rPr>
          <w:rFonts w:hint="eastAsia" w:ascii="宋体" w:hAnsi="宋体" w:cs="宋体"/>
          <w:b/>
          <w:szCs w:val="21"/>
        </w:rPr>
        <w:t>原文：8.2</w:t>
      </w:r>
      <w:r>
        <w:rPr>
          <w:rFonts w:hint="eastAsia" w:ascii="宋体" w:hAnsi="宋体" w:cs="宋体"/>
          <w:bCs/>
          <w:szCs w:val="21"/>
        </w:rPr>
        <w:t>招标答疑会会议纪要将在提交投标文件截止时间15日前在</w:t>
      </w:r>
      <w:r>
        <w:rPr>
          <w:rFonts w:hint="eastAsia" w:ascii="宋体" w:hAnsi="宋体" w:cs="宋体"/>
          <w:bCs/>
          <w:szCs w:val="21"/>
          <w:u w:val="single"/>
        </w:rPr>
        <w:t xml:space="preserve">        </w:t>
      </w:r>
      <w:r>
        <w:rPr>
          <w:rFonts w:hint="eastAsia" w:ascii="宋体" w:hAnsi="宋体" w:cs="宋体"/>
          <w:bCs/>
          <w:szCs w:val="21"/>
        </w:rPr>
        <w:t>交易平台 “项目答疑纪要”专区公开发布。答疑纪要一经在</w:t>
      </w:r>
      <w:r>
        <w:rPr>
          <w:rFonts w:hint="eastAsia" w:ascii="宋体" w:hAnsi="宋体" w:cs="宋体"/>
          <w:bCs/>
          <w:szCs w:val="21"/>
          <w:u w:val="single"/>
        </w:rPr>
        <w:t xml:space="preserve">        </w:t>
      </w:r>
      <w:r>
        <w:rPr>
          <w:rFonts w:hint="eastAsia" w:ascii="宋体" w:hAnsi="宋体" w:cs="宋体"/>
          <w:bCs/>
          <w:szCs w:val="21"/>
        </w:rPr>
        <w:t>交易平台发布，视作已发放给所有投标人。</w:t>
      </w:r>
    </w:p>
    <w:p w14:paraId="47C2B478">
      <w:pPr>
        <w:pBdr>
          <w:bottom w:val="single" w:color="auto" w:sz="6" w:space="1"/>
        </w:pBdr>
        <w:spacing w:line="480" w:lineRule="auto"/>
        <w:ind w:firstLine="470" w:firstLineChars="224"/>
        <w:rPr>
          <w:b/>
          <w:szCs w:val="21"/>
        </w:rPr>
      </w:pPr>
      <w:r>
        <w:rPr>
          <w:rFonts w:hint="eastAsia" w:ascii="宋体" w:hAnsi="宋体" w:cs="宋体"/>
          <w:b/>
          <w:szCs w:val="21"/>
        </w:rPr>
        <w:t>现文：8.2</w:t>
      </w:r>
      <w:r>
        <w:rPr>
          <w:rFonts w:hint="eastAsia" w:ascii="宋体" w:hAnsi="宋体" w:cs="宋体"/>
          <w:bCs/>
          <w:szCs w:val="21"/>
        </w:rPr>
        <w:t>招标答疑会会议纪要将在提交投标文件截止时间15日前在</w:t>
      </w:r>
      <w:r>
        <w:rPr>
          <w:rFonts w:hint="eastAsia" w:ascii="宋体" w:hAnsi="宋体" w:cs="宋体"/>
          <w:szCs w:val="21"/>
          <w:u w:val="single"/>
        </w:rPr>
        <w:t>广州交易集团有限公司（广州公共资源交易中心）</w:t>
      </w:r>
      <w:r>
        <w:rPr>
          <w:rFonts w:hint="eastAsia" w:ascii="宋体" w:hAnsi="宋体" w:cs="宋体"/>
          <w:bCs/>
          <w:szCs w:val="21"/>
        </w:rPr>
        <w:t>交易平台</w:t>
      </w:r>
      <w:r>
        <w:rPr>
          <w:rFonts w:hint="eastAsia" w:ascii="宋体" w:hAnsi="宋体" w:cs="宋体"/>
          <w:bCs/>
          <w:szCs w:val="21"/>
          <w:u w:val="single"/>
        </w:rPr>
        <w:t>“</w:t>
      </w:r>
      <w:bookmarkStart w:id="20" w:name="_Hlk62738754"/>
      <w:r>
        <w:rPr>
          <w:rFonts w:hint="eastAsia" w:ascii="宋体" w:hAnsi="宋体" w:cs="宋体"/>
          <w:bCs/>
          <w:szCs w:val="21"/>
          <w:u w:val="single"/>
        </w:rPr>
        <w:t>项目查询（日程安排、答疑纪要）</w:t>
      </w:r>
      <w:bookmarkEnd w:id="20"/>
      <w:r>
        <w:rPr>
          <w:rFonts w:hint="eastAsia" w:ascii="宋体" w:hAnsi="宋体" w:cs="宋体"/>
          <w:bCs/>
          <w:szCs w:val="21"/>
          <w:u w:val="single"/>
        </w:rPr>
        <w:t>”</w:t>
      </w:r>
      <w:r>
        <w:rPr>
          <w:rFonts w:hint="eastAsia" w:ascii="宋体" w:hAnsi="宋体" w:cs="宋体"/>
          <w:bCs/>
          <w:szCs w:val="21"/>
        </w:rPr>
        <w:t>专区公开发布。答疑纪要一经在</w:t>
      </w:r>
      <w:r>
        <w:rPr>
          <w:rFonts w:hint="eastAsia" w:ascii="宋体" w:hAnsi="宋体" w:cs="宋体"/>
          <w:szCs w:val="21"/>
          <w:u w:val="single"/>
        </w:rPr>
        <w:t>广州交易集团有限公司（广州公共资源交易中心）</w:t>
      </w:r>
      <w:r>
        <w:rPr>
          <w:rFonts w:hint="eastAsia" w:ascii="宋体" w:hAnsi="宋体" w:cs="宋体"/>
          <w:bCs/>
          <w:szCs w:val="21"/>
          <w:u w:val="single"/>
        </w:rPr>
        <w:t>网站</w:t>
      </w:r>
      <w:r>
        <w:rPr>
          <w:rFonts w:hint="eastAsia" w:ascii="宋体" w:hAnsi="宋体" w:cs="宋体"/>
          <w:bCs/>
          <w:szCs w:val="21"/>
        </w:rPr>
        <w:t>发布，视作已发放给所有投标人。</w:t>
      </w:r>
    </w:p>
    <w:p w14:paraId="1392431A">
      <w:pPr>
        <w:pStyle w:val="50"/>
        <w:spacing w:after="0" w:line="400" w:lineRule="exact"/>
        <w:ind w:firstLine="420" w:firstLineChars="200"/>
        <w:rPr>
          <w:rFonts w:hint="eastAsia" w:ascii="宋体" w:hAnsi="宋体" w:cs="宋体"/>
          <w:b/>
          <w:szCs w:val="21"/>
        </w:rPr>
      </w:pPr>
      <w:bookmarkStart w:id="21" w:name="_Hlk61366684"/>
      <w:r>
        <w:rPr>
          <w:rFonts w:hint="eastAsia" w:ascii="宋体" w:hAnsi="宋体" w:eastAsia="宋体" w:cs="宋体"/>
          <w:b/>
          <w:szCs w:val="21"/>
        </w:rPr>
        <w:t>条款号：8.</w:t>
      </w:r>
      <w:r>
        <w:rPr>
          <w:rFonts w:ascii="宋体" w:hAnsi="宋体" w:eastAsia="宋体" w:cs="宋体"/>
          <w:b/>
          <w:szCs w:val="21"/>
        </w:rPr>
        <w:t>3</w:t>
      </w:r>
      <w:r>
        <w:rPr>
          <w:rFonts w:hint="eastAsia" w:ascii="宋体" w:hAnsi="宋体" w:eastAsia="宋体" w:cs="宋体"/>
          <w:b/>
          <w:szCs w:val="21"/>
        </w:rPr>
        <w:t xml:space="preserve">              修改类型：修改</w:t>
      </w:r>
    </w:p>
    <w:p w14:paraId="6D24F850">
      <w:pPr>
        <w:pStyle w:val="50"/>
        <w:spacing w:after="0" w:line="400" w:lineRule="exact"/>
        <w:ind w:firstLine="420" w:firstLineChars="200"/>
        <w:rPr>
          <w:rFonts w:hint="eastAsia" w:ascii="宋体" w:hAnsi="宋体" w:eastAsia="宋体" w:cs="宋体"/>
          <w:bCs/>
          <w:szCs w:val="21"/>
        </w:rPr>
      </w:pPr>
      <w:r>
        <w:rPr>
          <w:rFonts w:hint="eastAsia" w:ascii="宋体" w:hAnsi="宋体" w:eastAsia="宋体" w:cs="宋体"/>
          <w:b/>
          <w:szCs w:val="21"/>
        </w:rPr>
        <w:t>原文</w:t>
      </w:r>
      <w:r>
        <w:rPr>
          <w:rFonts w:hint="eastAsia" w:ascii="宋体" w:hAnsi="宋体" w:eastAsia="宋体" w:cs="宋体"/>
          <w:bCs/>
          <w:szCs w:val="21"/>
        </w:rPr>
        <w:t>：</w:t>
      </w:r>
      <w:r>
        <w:rPr>
          <w:rFonts w:hint="eastAsia" w:ascii="宋体" w:hAnsi="宋体" w:eastAsia="宋体" w:cs="宋体"/>
          <w:b/>
          <w:szCs w:val="21"/>
        </w:rPr>
        <w:t>8.</w:t>
      </w:r>
      <w:r>
        <w:rPr>
          <w:rFonts w:ascii="宋体" w:hAnsi="宋体" w:eastAsia="宋体" w:cs="宋体"/>
          <w:b/>
          <w:szCs w:val="21"/>
        </w:rPr>
        <w:t>3</w:t>
      </w:r>
      <w:r>
        <w:rPr>
          <w:rFonts w:hint="eastAsia" w:ascii="宋体" w:hAnsi="宋体" w:eastAsia="宋体" w:cs="宋体"/>
          <w:bCs/>
          <w:szCs w:val="21"/>
        </w:rPr>
        <w:t>答疑会会议纪要为招标文件的一部分。</w:t>
      </w:r>
    </w:p>
    <w:p w14:paraId="3E56F3EC">
      <w:pPr>
        <w:pBdr>
          <w:bottom w:val="single" w:color="auto" w:sz="6" w:space="1"/>
        </w:pBdr>
        <w:spacing w:line="360" w:lineRule="auto"/>
        <w:ind w:firstLine="422" w:firstLineChars="201"/>
        <w:rPr>
          <w:szCs w:val="21"/>
        </w:rPr>
      </w:pPr>
      <w:r>
        <w:rPr>
          <w:rFonts w:hint="eastAsia" w:ascii="宋体" w:hAnsi="宋体" w:cs="宋体"/>
          <w:b/>
          <w:szCs w:val="21"/>
        </w:rPr>
        <w:t>现文：</w:t>
      </w:r>
      <w:r>
        <w:rPr>
          <w:rFonts w:hint="eastAsia" w:ascii="宋体" w:hAnsi="宋体" w:cs="宋体"/>
          <w:b/>
          <w:kern w:val="0"/>
          <w:szCs w:val="21"/>
        </w:rPr>
        <w:t>8.</w:t>
      </w:r>
      <w:r>
        <w:rPr>
          <w:rFonts w:ascii="宋体" w:hAnsi="宋体" w:cs="宋体"/>
          <w:b/>
          <w:kern w:val="0"/>
          <w:szCs w:val="21"/>
        </w:rPr>
        <w:t>3</w:t>
      </w:r>
      <w:r>
        <w:rPr>
          <w:rFonts w:hint="eastAsia" w:ascii="宋体" w:hAnsi="宋体" w:cs="宋体"/>
          <w:szCs w:val="21"/>
          <w:u w:val="single"/>
        </w:rPr>
        <w:t>招标答疑纪要</w:t>
      </w:r>
      <w:r>
        <w:rPr>
          <w:rFonts w:hint="eastAsia" w:ascii="宋体" w:hAnsi="宋体" w:cs="宋体"/>
          <w:szCs w:val="21"/>
        </w:rPr>
        <w:t>为招标文件的一部分。</w:t>
      </w:r>
    </w:p>
    <w:p w14:paraId="28D87D14">
      <w:pPr>
        <w:spacing w:line="360" w:lineRule="auto"/>
        <w:ind w:firstLine="470" w:firstLineChars="224"/>
        <w:rPr>
          <w:rFonts w:hint="eastAsia" w:ascii="宋体" w:hAnsi="宋体" w:cs="宋体"/>
          <w:b/>
          <w:szCs w:val="21"/>
        </w:rPr>
      </w:pPr>
      <w:r>
        <w:rPr>
          <w:rFonts w:hint="eastAsia" w:ascii="宋体" w:hAnsi="宋体" w:cs="宋体"/>
          <w:b/>
          <w:szCs w:val="21"/>
        </w:rPr>
        <w:t xml:space="preserve">条款号：8.4             </w:t>
      </w:r>
      <w:r>
        <w:rPr>
          <w:rFonts w:ascii="宋体" w:hAnsi="宋体" w:cs="宋体"/>
          <w:b/>
          <w:szCs w:val="21"/>
        </w:rPr>
        <w:t xml:space="preserve"> </w:t>
      </w:r>
      <w:r>
        <w:rPr>
          <w:rFonts w:hint="eastAsia" w:ascii="宋体" w:hAnsi="宋体" w:cs="宋体"/>
          <w:b/>
          <w:szCs w:val="21"/>
        </w:rPr>
        <w:t>修改类型：修改</w:t>
      </w:r>
      <w:bookmarkEnd w:id="21"/>
    </w:p>
    <w:p w14:paraId="144321AA">
      <w:pPr>
        <w:pStyle w:val="50"/>
        <w:spacing w:after="0" w:line="400" w:lineRule="exact"/>
        <w:ind w:firstLine="420" w:firstLineChars="200"/>
        <w:rPr>
          <w:rFonts w:hint="eastAsia" w:ascii="宋体" w:hAnsi="宋体" w:eastAsia="宋体" w:cs="宋体"/>
          <w:bCs/>
          <w:szCs w:val="21"/>
        </w:rPr>
      </w:pPr>
      <w:r>
        <w:rPr>
          <w:rFonts w:hint="eastAsia" w:ascii="宋体" w:hAnsi="宋体" w:eastAsia="宋体" w:cs="宋体"/>
          <w:b/>
          <w:szCs w:val="21"/>
        </w:rPr>
        <w:t>原文：8.4</w:t>
      </w:r>
      <w:r>
        <w:rPr>
          <w:rFonts w:hint="eastAsia" w:ascii="宋体" w:hAnsi="宋体" w:eastAsia="宋体" w:cs="宋体"/>
          <w:bCs/>
          <w:szCs w:val="21"/>
        </w:rPr>
        <w:t>若招标答疑会会议纪要与招标文件有矛盾，以答疑会议纪要最后发出的书面形式的文件为准。</w:t>
      </w:r>
    </w:p>
    <w:p w14:paraId="6E6F2F7A">
      <w:pPr>
        <w:pBdr>
          <w:bottom w:val="single" w:color="auto" w:sz="6" w:space="1"/>
        </w:pBdr>
        <w:spacing w:line="360" w:lineRule="auto"/>
        <w:ind w:firstLine="525" w:firstLineChars="250"/>
        <w:rPr>
          <w:u w:val="single"/>
        </w:rPr>
      </w:pPr>
      <w:r>
        <w:rPr>
          <w:rFonts w:hint="eastAsia" w:ascii="宋体" w:hAnsi="宋体" w:cs="宋体"/>
          <w:b/>
          <w:szCs w:val="21"/>
        </w:rPr>
        <w:t>现文：</w:t>
      </w:r>
      <w:r>
        <w:rPr>
          <w:rFonts w:hint="eastAsia" w:ascii="宋体" w:hAnsi="宋体" w:cs="宋体"/>
          <w:b/>
          <w:kern w:val="0"/>
          <w:szCs w:val="21"/>
        </w:rPr>
        <w:t>8.4</w:t>
      </w:r>
      <w:r>
        <w:rPr>
          <w:rFonts w:hint="eastAsia" w:ascii="宋体" w:hAnsi="宋体" w:cs="宋体"/>
          <w:szCs w:val="21"/>
        </w:rPr>
        <w:t>若</w:t>
      </w:r>
      <w:r>
        <w:rPr>
          <w:rFonts w:hint="eastAsia" w:ascii="宋体" w:hAnsi="宋体" w:cs="宋体"/>
          <w:szCs w:val="21"/>
          <w:u w:val="single"/>
        </w:rPr>
        <w:t>招标答疑纪要</w:t>
      </w:r>
      <w:r>
        <w:rPr>
          <w:rFonts w:hint="eastAsia" w:ascii="宋体" w:hAnsi="宋体" w:cs="宋体"/>
          <w:szCs w:val="21"/>
        </w:rPr>
        <w:t>与招标文件有矛盾时，以</w:t>
      </w:r>
      <w:r>
        <w:rPr>
          <w:rFonts w:hint="eastAsia" w:ascii="宋体" w:hAnsi="宋体" w:cs="宋体"/>
          <w:szCs w:val="21"/>
          <w:u w:val="single"/>
        </w:rPr>
        <w:t>广州交易集团有限公司（广州公共资源交易中心）交易平台最后发布的答疑纪要为准。</w:t>
      </w:r>
    </w:p>
    <w:p w14:paraId="3A7D486B">
      <w:pPr>
        <w:spacing w:line="360" w:lineRule="auto"/>
        <w:ind w:firstLine="470" w:firstLineChars="224"/>
        <w:rPr>
          <w:rFonts w:hint="eastAsia" w:ascii="宋体" w:hAnsi="宋体" w:cs="宋体"/>
          <w:b/>
          <w:szCs w:val="21"/>
        </w:rPr>
      </w:pPr>
      <w:r>
        <w:rPr>
          <w:rFonts w:hint="eastAsia" w:ascii="宋体" w:hAnsi="宋体" w:cs="宋体"/>
          <w:b/>
          <w:szCs w:val="21"/>
        </w:rPr>
        <w:t>条款号：9.2             修改类型：修改</w:t>
      </w:r>
    </w:p>
    <w:p w14:paraId="734FF654">
      <w:pPr>
        <w:pStyle w:val="50"/>
        <w:spacing w:after="0" w:line="360" w:lineRule="auto"/>
        <w:rPr>
          <w:rFonts w:hint="eastAsia" w:ascii="宋体" w:hAnsi="宋体" w:cs="宋体"/>
          <w:szCs w:val="21"/>
        </w:rPr>
      </w:pPr>
      <w:r>
        <w:rPr>
          <w:rFonts w:hint="eastAsia" w:ascii="宋体" w:hAnsi="宋体" w:eastAsia="宋体" w:cs="宋体"/>
          <w:b/>
          <w:szCs w:val="21"/>
        </w:rPr>
        <w:t>原文：</w:t>
      </w:r>
      <w:r>
        <w:rPr>
          <w:rFonts w:hint="eastAsia" w:ascii="宋体" w:hAnsi="宋体" w:cs="宋体"/>
          <w:b/>
          <w:bCs/>
          <w:szCs w:val="21"/>
        </w:rPr>
        <w:t>9.2</w:t>
      </w:r>
      <w:r>
        <w:rPr>
          <w:rFonts w:hint="eastAsia" w:ascii="宋体" w:hAnsi="宋体" w:eastAsia="宋体" w:cs="宋体"/>
          <w:bCs/>
          <w:szCs w:val="21"/>
        </w:rPr>
        <w:t>招标文件的澄清或修改将在</w:t>
      </w:r>
      <w:r>
        <w:rPr>
          <w:rFonts w:hint="eastAsia" w:ascii="宋体" w:hAnsi="宋体" w:cs="宋体"/>
          <w:szCs w:val="21"/>
          <w:u w:val="single"/>
        </w:rPr>
        <w:t xml:space="preserve">        </w:t>
      </w:r>
      <w:r>
        <w:rPr>
          <w:rFonts w:hint="eastAsia" w:ascii="宋体" w:hAnsi="宋体" w:eastAsia="宋体" w:cs="宋体"/>
          <w:bCs/>
          <w:szCs w:val="21"/>
        </w:rPr>
        <w:t>交易平台“项目答疑纪要”专区公开发布。答疑纪要一经在</w:t>
      </w:r>
      <w:r>
        <w:rPr>
          <w:rFonts w:hint="eastAsia" w:ascii="宋体" w:hAnsi="宋体" w:cs="宋体"/>
          <w:szCs w:val="21"/>
          <w:u w:val="single"/>
        </w:rPr>
        <w:t xml:space="preserve">        </w:t>
      </w:r>
      <w:r>
        <w:rPr>
          <w:rFonts w:hint="eastAsia" w:ascii="宋体" w:hAnsi="宋体" w:eastAsia="宋体" w:cs="宋体"/>
          <w:bCs/>
          <w:szCs w:val="21"/>
        </w:rPr>
        <w:t>交易平台发布，视作已发放给所有投标人，以</w:t>
      </w:r>
      <w:r>
        <w:rPr>
          <w:rFonts w:hint="eastAsia" w:ascii="宋体" w:hAnsi="宋体" w:cs="宋体"/>
          <w:szCs w:val="21"/>
          <w:u w:val="single"/>
        </w:rPr>
        <w:t xml:space="preserve">        </w:t>
      </w:r>
      <w:r>
        <w:rPr>
          <w:rFonts w:hint="eastAsia" w:ascii="宋体" w:hAnsi="宋体" w:eastAsia="宋体" w:cs="宋体"/>
          <w:bCs/>
          <w:szCs w:val="21"/>
        </w:rPr>
        <w:t>交易平台上网发布时间作为送达时间。</w:t>
      </w:r>
    </w:p>
    <w:p w14:paraId="5DA9DCF7">
      <w:pPr>
        <w:spacing w:line="360" w:lineRule="auto"/>
        <w:ind w:firstLine="210" w:firstLineChars="100"/>
      </w:pPr>
      <w:r>
        <w:rPr>
          <w:rFonts w:hint="eastAsia" w:ascii="宋体" w:hAnsi="宋体" w:cs="宋体"/>
          <w:b/>
          <w:szCs w:val="21"/>
        </w:rPr>
        <w:t>现文：</w:t>
      </w:r>
      <w:r>
        <w:rPr>
          <w:rFonts w:hint="eastAsia" w:ascii="宋体" w:hAnsi="宋体" w:cs="宋体"/>
          <w:b/>
          <w:bCs/>
          <w:szCs w:val="21"/>
        </w:rPr>
        <w:t>9.2</w:t>
      </w:r>
      <w:r>
        <w:rPr>
          <w:rFonts w:hint="eastAsia" w:ascii="宋体" w:hAnsi="宋体" w:cs="宋体"/>
          <w:szCs w:val="21"/>
        </w:rPr>
        <w:t>招标文件的澄清或修改将在</w:t>
      </w:r>
      <w:r>
        <w:rPr>
          <w:rFonts w:hint="eastAsia" w:ascii="宋体" w:hAnsi="宋体" w:cs="宋体"/>
          <w:szCs w:val="21"/>
          <w:u w:val="single"/>
        </w:rPr>
        <w:t>广州交易集团有限公司（广州公共资源交易中心）</w:t>
      </w:r>
      <w:r>
        <w:rPr>
          <w:rFonts w:hint="eastAsia" w:ascii="宋体" w:hAnsi="宋体" w:cs="宋体"/>
          <w:szCs w:val="21"/>
        </w:rPr>
        <w:t>交易平台“</w:t>
      </w:r>
      <w:r>
        <w:rPr>
          <w:rFonts w:hint="eastAsia" w:ascii="宋体" w:hAnsi="宋体" w:cs="宋体"/>
          <w:szCs w:val="21"/>
          <w:u w:val="single"/>
        </w:rPr>
        <w:t>项目查询（日程安排、答疑纪要</w:t>
      </w:r>
      <w:r>
        <w:rPr>
          <w:rFonts w:hint="eastAsia" w:ascii="宋体" w:hAnsi="宋体" w:cs="宋体"/>
          <w:szCs w:val="21"/>
        </w:rPr>
        <w:t>）”专区公开发布。答疑纪要一经在</w:t>
      </w:r>
      <w:r>
        <w:rPr>
          <w:rFonts w:hint="eastAsia" w:ascii="宋体" w:hAnsi="宋体" w:cs="宋体"/>
          <w:szCs w:val="21"/>
          <w:u w:val="single"/>
        </w:rPr>
        <w:t>广州交易集团有限公司（广州公共资源交易中心）</w:t>
      </w:r>
      <w:r>
        <w:rPr>
          <w:rFonts w:hint="eastAsia" w:ascii="宋体" w:hAnsi="宋体" w:cs="宋体"/>
          <w:szCs w:val="21"/>
        </w:rPr>
        <w:t>交易平台发布，视作已发放给所有投标人，以</w:t>
      </w:r>
      <w:r>
        <w:rPr>
          <w:rFonts w:hint="eastAsia" w:ascii="宋体" w:hAnsi="宋体" w:cs="宋体"/>
          <w:szCs w:val="21"/>
          <w:u w:val="single"/>
        </w:rPr>
        <w:t>广州交易集团有限公司（广州公共资源交易中心）</w:t>
      </w:r>
      <w:r>
        <w:rPr>
          <w:rFonts w:hint="eastAsia" w:ascii="宋体" w:hAnsi="宋体" w:cs="宋体"/>
          <w:szCs w:val="21"/>
        </w:rPr>
        <w:t>交易平台上网发布时间作为送达时间。</w:t>
      </w:r>
    </w:p>
    <w:p w14:paraId="588ED1A9">
      <w:pPr>
        <w:pBdr>
          <w:top w:val="single" w:color="auto" w:sz="4" w:space="1"/>
          <w:left w:val="none" w:color="auto" w:sz="0" w:space="4"/>
          <w:bottom w:val="none" w:color="auto" w:sz="0" w:space="1"/>
          <w:right w:val="none" w:color="auto" w:sz="0" w:space="4"/>
        </w:pBdr>
        <w:spacing w:line="480" w:lineRule="auto"/>
        <w:ind w:firstLine="470" w:firstLineChars="224"/>
        <w:rPr>
          <w:rFonts w:hint="eastAsia" w:ascii="宋体" w:hAnsi="宋体" w:cs="宋体"/>
          <w:b/>
          <w:szCs w:val="21"/>
        </w:rPr>
      </w:pPr>
      <w:r>
        <w:rPr>
          <w:rFonts w:hint="eastAsia" w:ascii="宋体" w:hAnsi="宋体" w:cs="宋体"/>
          <w:b/>
          <w:szCs w:val="21"/>
        </w:rPr>
        <w:t>条款号：</w:t>
      </w:r>
      <w:r>
        <w:rPr>
          <w:rFonts w:hint="eastAsia" w:ascii="宋体" w:hAnsi="宋体" w:cs="宋体"/>
          <w:b/>
          <w:bCs/>
          <w:szCs w:val="21"/>
        </w:rPr>
        <w:t xml:space="preserve">9.4 </w:t>
      </w:r>
      <w:r>
        <w:rPr>
          <w:rFonts w:hint="eastAsia" w:ascii="宋体" w:hAnsi="宋体" w:cs="宋体"/>
          <w:b/>
          <w:szCs w:val="21"/>
        </w:rPr>
        <w:t xml:space="preserve">            修改类型：修改</w:t>
      </w:r>
    </w:p>
    <w:p w14:paraId="7A0E29BE">
      <w:pPr>
        <w:pBdr>
          <w:bottom w:val="single" w:color="auto" w:sz="6" w:space="1"/>
        </w:pBdr>
        <w:spacing w:line="360" w:lineRule="auto"/>
        <w:ind w:firstLine="525" w:firstLineChars="250"/>
        <w:rPr>
          <w:rFonts w:hint="eastAsia" w:ascii="宋体" w:hAnsi="宋体" w:cs="宋体"/>
          <w:b/>
          <w:szCs w:val="21"/>
        </w:rPr>
      </w:pPr>
      <w:r>
        <w:rPr>
          <w:rFonts w:hint="eastAsia" w:ascii="宋体" w:hAnsi="宋体" w:cs="宋体"/>
          <w:b/>
          <w:szCs w:val="21"/>
        </w:rPr>
        <w:t>原文：</w:t>
      </w:r>
      <w:r>
        <w:rPr>
          <w:rFonts w:hint="eastAsia" w:ascii="宋体" w:hAnsi="宋体" w:cs="宋体"/>
          <w:b/>
          <w:bCs/>
          <w:szCs w:val="21"/>
        </w:rPr>
        <w:t>9.4</w:t>
      </w:r>
      <w:r>
        <w:rPr>
          <w:rFonts w:hint="eastAsia" w:ascii="宋体" w:hAnsi="宋体" w:cs="宋体"/>
          <w:szCs w:val="21"/>
        </w:rPr>
        <w:t>招标文件的澄清或修改均以书面形式明确的内容为准。当招标文件的澄清、修改、补充等在同一内容的表述不一致时，以最后发出的书面形式的文件为准。</w:t>
      </w:r>
    </w:p>
    <w:p w14:paraId="0C6446B4">
      <w:pPr>
        <w:pBdr>
          <w:bottom w:val="single" w:color="auto" w:sz="6" w:space="1"/>
        </w:pBdr>
        <w:spacing w:line="360" w:lineRule="auto"/>
        <w:ind w:firstLine="470" w:firstLineChars="224"/>
        <w:rPr>
          <w:rFonts w:hint="eastAsia" w:ascii="宋体" w:hAnsi="宋体" w:cs="宋体"/>
          <w:b/>
          <w:szCs w:val="21"/>
        </w:rPr>
      </w:pPr>
      <w:r>
        <w:rPr>
          <w:rFonts w:hint="eastAsia" w:ascii="宋体" w:hAnsi="宋体" w:cs="宋体"/>
          <w:b/>
          <w:szCs w:val="21"/>
        </w:rPr>
        <w:t>现文：</w:t>
      </w:r>
      <w:r>
        <w:rPr>
          <w:rFonts w:hint="eastAsia" w:ascii="宋体" w:hAnsi="宋体" w:cs="宋体"/>
          <w:b/>
          <w:bCs/>
          <w:szCs w:val="21"/>
        </w:rPr>
        <w:t>9.4</w:t>
      </w:r>
      <w:r>
        <w:rPr>
          <w:rFonts w:hint="eastAsia" w:ascii="宋体" w:hAnsi="宋体" w:cs="宋体"/>
          <w:szCs w:val="21"/>
        </w:rPr>
        <w:t>招标文件的澄清或修改</w:t>
      </w:r>
      <w:r>
        <w:rPr>
          <w:rFonts w:hint="eastAsia" w:ascii="宋体" w:hAnsi="宋体" w:cs="宋体"/>
          <w:szCs w:val="21"/>
          <w:u w:val="single"/>
        </w:rPr>
        <w:t>在广州交易集团有限公司（广州公共资源交易中心）网站</w:t>
      </w:r>
      <w:bookmarkStart w:id="22" w:name="_Hlk63072133"/>
      <w:r>
        <w:rPr>
          <w:rFonts w:hint="eastAsia" w:ascii="宋体" w:hAnsi="宋体" w:cs="宋体"/>
          <w:szCs w:val="21"/>
          <w:u w:val="single"/>
        </w:rPr>
        <w:t>“项目查询（日程安排、答疑纪要）”专区</w:t>
      </w:r>
      <w:bookmarkEnd w:id="22"/>
      <w:r>
        <w:rPr>
          <w:rFonts w:hint="eastAsia" w:ascii="宋体" w:hAnsi="宋体" w:cs="宋体"/>
          <w:szCs w:val="21"/>
          <w:u w:val="single"/>
        </w:rPr>
        <w:t>公开发布。</w:t>
      </w:r>
      <w:r>
        <w:rPr>
          <w:rFonts w:hint="eastAsia" w:ascii="宋体" w:hAnsi="宋体" w:cs="宋体"/>
          <w:szCs w:val="21"/>
        </w:rPr>
        <w:t>当招标文件的澄清、修改、补充等在同一内容的表述不一致时，以最后发出的文件为准。</w:t>
      </w:r>
    </w:p>
    <w:p w14:paraId="7DF9116C">
      <w:pPr>
        <w:spacing w:line="480" w:lineRule="auto"/>
        <w:ind w:firstLine="470" w:firstLineChars="224"/>
        <w:rPr>
          <w:rFonts w:hint="eastAsia" w:ascii="宋体" w:hAnsi="宋体" w:cs="宋体"/>
          <w:b/>
          <w:szCs w:val="21"/>
        </w:rPr>
      </w:pPr>
      <w:r>
        <w:rPr>
          <w:rFonts w:hint="eastAsia" w:ascii="宋体" w:hAnsi="宋体" w:cs="宋体"/>
          <w:b/>
          <w:szCs w:val="21"/>
        </w:rPr>
        <w:t>条款号：11.2           修改类型：修改</w:t>
      </w:r>
    </w:p>
    <w:p w14:paraId="571E589D">
      <w:pPr>
        <w:spacing w:line="360" w:lineRule="auto"/>
        <w:ind w:firstLine="470" w:firstLineChars="224"/>
        <w:rPr>
          <w:rFonts w:hint="eastAsia" w:ascii="宋体" w:hAnsi="宋体" w:cs="宋体"/>
          <w:bCs/>
          <w:szCs w:val="21"/>
        </w:rPr>
      </w:pPr>
      <w:r>
        <w:rPr>
          <w:rFonts w:hint="eastAsia" w:ascii="宋体" w:hAnsi="宋体" w:cs="宋体"/>
          <w:b/>
          <w:szCs w:val="21"/>
        </w:rPr>
        <w:t>原文：</w:t>
      </w:r>
      <w:r>
        <w:rPr>
          <w:rFonts w:hint="eastAsia" w:ascii="宋体" w:hAnsi="宋体" w:cs="宋体"/>
          <w:bCs/>
          <w:szCs w:val="21"/>
        </w:rPr>
        <w:t>11.2投标文件技术标部分主要包括下列内容:</w:t>
      </w:r>
    </w:p>
    <w:p w14:paraId="423A6CF5">
      <w:pPr>
        <w:spacing w:line="360" w:lineRule="auto"/>
        <w:ind w:firstLine="470" w:firstLineChars="224"/>
        <w:rPr>
          <w:rFonts w:hint="eastAsia" w:ascii="宋体" w:hAnsi="宋体" w:cs="宋体"/>
          <w:bCs/>
          <w:szCs w:val="21"/>
        </w:rPr>
      </w:pPr>
      <w:r>
        <w:rPr>
          <w:rFonts w:hint="eastAsia" w:ascii="宋体" w:hAnsi="宋体" w:cs="宋体"/>
          <w:bCs/>
          <w:szCs w:val="21"/>
        </w:rPr>
        <w:t>11.2.1 技术投标文件(按招标文件的要求填写)；</w:t>
      </w:r>
    </w:p>
    <w:p w14:paraId="5672B863">
      <w:pPr>
        <w:spacing w:line="360" w:lineRule="auto"/>
        <w:ind w:firstLine="470" w:firstLineChars="224"/>
        <w:rPr>
          <w:rFonts w:hint="eastAsia" w:ascii="宋体" w:hAnsi="宋体" w:cs="宋体"/>
          <w:bCs/>
          <w:szCs w:val="21"/>
        </w:rPr>
      </w:pPr>
      <w:r>
        <w:rPr>
          <w:rFonts w:hint="eastAsia" w:ascii="宋体" w:hAnsi="宋体" w:cs="宋体"/>
          <w:bCs/>
          <w:szCs w:val="21"/>
        </w:rPr>
        <w:t>11.2.2 资格审查文件：</w:t>
      </w:r>
    </w:p>
    <w:p w14:paraId="0A188F73">
      <w:pPr>
        <w:spacing w:line="360" w:lineRule="auto"/>
        <w:ind w:firstLine="470" w:firstLineChars="224"/>
        <w:rPr>
          <w:rFonts w:hint="eastAsia" w:ascii="宋体" w:hAnsi="宋体" w:cs="宋体"/>
          <w:bCs/>
          <w:szCs w:val="21"/>
        </w:rPr>
      </w:pPr>
      <w:r>
        <w:rPr>
          <w:rFonts w:hint="eastAsia" w:ascii="宋体" w:hAnsi="宋体" w:cs="宋体"/>
          <w:bCs/>
          <w:szCs w:val="21"/>
        </w:rPr>
        <w:t xml:space="preserve">（1）投标人声明； </w:t>
      </w:r>
    </w:p>
    <w:p w14:paraId="6B43EE50">
      <w:pPr>
        <w:spacing w:line="360" w:lineRule="auto"/>
        <w:ind w:firstLine="470" w:firstLineChars="224"/>
        <w:rPr>
          <w:rFonts w:hint="eastAsia" w:ascii="宋体" w:hAnsi="宋体" w:cs="宋体"/>
          <w:bCs/>
          <w:szCs w:val="21"/>
        </w:rPr>
      </w:pPr>
      <w:r>
        <w:rPr>
          <w:rFonts w:hint="eastAsia" w:ascii="宋体" w:hAnsi="宋体" w:cs="宋体"/>
          <w:bCs/>
          <w:szCs w:val="21"/>
        </w:rPr>
        <w:t>（2）法定代表人证明书、法定代表人签字或盖章的本投标文件授权委托证明书；</w:t>
      </w:r>
    </w:p>
    <w:p w14:paraId="281A7477">
      <w:pPr>
        <w:spacing w:line="360" w:lineRule="auto"/>
        <w:ind w:firstLine="470" w:firstLineChars="224"/>
        <w:rPr>
          <w:rFonts w:hint="eastAsia" w:ascii="宋体" w:hAnsi="宋体" w:cs="宋体"/>
          <w:bCs/>
          <w:szCs w:val="21"/>
        </w:rPr>
      </w:pPr>
      <w:r>
        <w:rPr>
          <w:rFonts w:hint="eastAsia" w:ascii="宋体" w:hAnsi="宋体" w:cs="宋体"/>
          <w:bCs/>
          <w:szCs w:val="21"/>
        </w:rPr>
        <w:t>（3）企业营业执照（取自平台内上传件）；</w:t>
      </w:r>
    </w:p>
    <w:p w14:paraId="19F2C762">
      <w:pPr>
        <w:spacing w:line="360" w:lineRule="auto"/>
        <w:ind w:firstLine="470" w:firstLineChars="224"/>
        <w:rPr>
          <w:rFonts w:hint="eastAsia" w:ascii="宋体" w:hAnsi="宋体" w:cs="宋体"/>
          <w:bCs/>
          <w:szCs w:val="21"/>
        </w:rPr>
      </w:pPr>
      <w:r>
        <w:rPr>
          <w:rFonts w:hint="eastAsia" w:ascii="宋体" w:hAnsi="宋体" w:cs="宋体"/>
          <w:bCs/>
          <w:szCs w:val="21"/>
        </w:rPr>
        <w:t>（4）企业资质证书（取自平台内上传件）；</w:t>
      </w:r>
    </w:p>
    <w:p w14:paraId="11D7BF64">
      <w:pPr>
        <w:spacing w:line="360" w:lineRule="auto"/>
        <w:ind w:firstLine="470" w:firstLineChars="224"/>
        <w:rPr>
          <w:rFonts w:hint="eastAsia" w:ascii="宋体" w:hAnsi="宋体" w:cs="宋体"/>
          <w:bCs/>
          <w:szCs w:val="21"/>
        </w:rPr>
      </w:pPr>
      <w:r>
        <w:rPr>
          <w:rFonts w:hint="eastAsia" w:ascii="宋体" w:hAnsi="宋体" w:cs="宋体"/>
          <w:bCs/>
          <w:szCs w:val="21"/>
        </w:rPr>
        <w:t>（5）建筑施工企业安全生产许可证（取自平台内上传件）；</w:t>
      </w:r>
    </w:p>
    <w:p w14:paraId="1CD60911">
      <w:pPr>
        <w:spacing w:line="360" w:lineRule="auto"/>
        <w:ind w:firstLine="470" w:firstLineChars="224"/>
        <w:rPr>
          <w:rFonts w:hint="eastAsia" w:ascii="宋体" w:hAnsi="宋体" w:cs="宋体"/>
          <w:bCs/>
          <w:szCs w:val="21"/>
        </w:rPr>
      </w:pPr>
      <w:r>
        <w:rPr>
          <w:rFonts w:hint="eastAsia" w:ascii="宋体" w:hAnsi="宋体" w:cs="宋体"/>
          <w:bCs/>
          <w:szCs w:val="21"/>
        </w:rPr>
        <w:t>（6）项目负责人（按网上投标登记时选择拟投标的项目负责人）；</w:t>
      </w:r>
    </w:p>
    <w:p w14:paraId="5A268B52">
      <w:pPr>
        <w:spacing w:line="360" w:lineRule="auto"/>
        <w:ind w:firstLine="470" w:firstLineChars="224"/>
        <w:rPr>
          <w:rFonts w:hint="eastAsia" w:ascii="宋体" w:hAnsi="宋体" w:cs="宋体"/>
          <w:bCs/>
          <w:szCs w:val="21"/>
        </w:rPr>
      </w:pPr>
      <w:r>
        <w:rPr>
          <w:rFonts w:hint="eastAsia" w:ascii="宋体" w:hAnsi="宋体" w:cs="宋体"/>
          <w:bCs/>
          <w:szCs w:val="21"/>
        </w:rPr>
        <w:t>（7）专职安全员（按网上投标登记时选择拟投标的专职安全员）；</w:t>
      </w:r>
    </w:p>
    <w:p w14:paraId="13BBA0D5">
      <w:pPr>
        <w:spacing w:line="360" w:lineRule="auto"/>
        <w:ind w:firstLine="470" w:firstLineChars="224"/>
        <w:rPr>
          <w:rFonts w:hint="eastAsia" w:ascii="宋体" w:hAnsi="宋体" w:cs="宋体"/>
          <w:bCs/>
          <w:szCs w:val="21"/>
        </w:rPr>
      </w:pPr>
      <w:r>
        <w:rPr>
          <w:rFonts w:hint="eastAsia" w:ascii="宋体" w:hAnsi="宋体" w:cs="宋体"/>
          <w:bCs/>
          <w:szCs w:val="21"/>
        </w:rPr>
        <w:t>（8）拟委托技术负责人的相关证书、资料（具体要求由招标人明确）；</w:t>
      </w:r>
    </w:p>
    <w:p w14:paraId="2015CF44">
      <w:pPr>
        <w:spacing w:line="360" w:lineRule="auto"/>
        <w:ind w:firstLine="470" w:firstLineChars="224"/>
        <w:rPr>
          <w:rFonts w:hint="eastAsia" w:ascii="宋体" w:hAnsi="宋体" w:cs="宋体"/>
          <w:bCs/>
          <w:szCs w:val="21"/>
        </w:rPr>
      </w:pPr>
      <w:r>
        <w:rPr>
          <w:rFonts w:hint="eastAsia" w:ascii="宋体" w:hAnsi="宋体" w:cs="宋体"/>
          <w:bCs/>
          <w:szCs w:val="21"/>
        </w:rPr>
        <w:t xml:space="preserve">（9）拟委派项目负责人的建造师注册证书（取自平台内上传件）； </w:t>
      </w:r>
    </w:p>
    <w:p w14:paraId="7FBD2CE8">
      <w:pPr>
        <w:spacing w:line="360" w:lineRule="auto"/>
        <w:ind w:firstLine="470" w:firstLineChars="224"/>
        <w:rPr>
          <w:rFonts w:hint="eastAsia" w:ascii="宋体" w:hAnsi="宋体" w:cs="宋体"/>
          <w:bCs/>
          <w:szCs w:val="21"/>
        </w:rPr>
      </w:pPr>
      <w:r>
        <w:rPr>
          <w:rFonts w:hint="eastAsia" w:ascii="宋体" w:hAnsi="宋体" w:cs="宋体"/>
          <w:bCs/>
          <w:szCs w:val="21"/>
        </w:rPr>
        <w:t>（10）项目负责人安全生产考核合格证明或在有效期内的安全</w:t>
      </w:r>
      <w:r>
        <w:rPr>
          <w:rFonts w:hint="eastAsia" w:ascii="宋体" w:hAnsi="宋体" w:cs="宋体"/>
          <w:b/>
          <w:szCs w:val="21"/>
        </w:rPr>
        <w:t>生产</w:t>
      </w:r>
      <w:r>
        <w:rPr>
          <w:rFonts w:hint="eastAsia" w:ascii="宋体" w:hAnsi="宋体" w:cs="宋体"/>
          <w:bCs/>
          <w:szCs w:val="21"/>
        </w:rPr>
        <w:t>考核合格证书（B类）或建筑施工企业项目负责人安全生产考核合格证书（取自平台内上传件）；</w:t>
      </w:r>
    </w:p>
    <w:p w14:paraId="1770ABE2">
      <w:pPr>
        <w:spacing w:line="360" w:lineRule="auto"/>
        <w:ind w:firstLine="470" w:firstLineChars="224"/>
        <w:rPr>
          <w:rFonts w:hint="eastAsia" w:ascii="宋体" w:hAnsi="宋体" w:cs="宋体"/>
          <w:bCs/>
          <w:szCs w:val="21"/>
        </w:rPr>
      </w:pPr>
      <w:r>
        <w:rPr>
          <w:rFonts w:hint="eastAsia" w:ascii="宋体" w:hAnsi="宋体" w:cs="宋体"/>
          <w:bCs/>
          <w:szCs w:val="21"/>
        </w:rPr>
        <w:t>（11）专职安全员须具有在有效期内的安全</w:t>
      </w:r>
      <w:r>
        <w:rPr>
          <w:rFonts w:hint="eastAsia" w:ascii="宋体" w:hAnsi="宋体" w:cs="宋体"/>
          <w:b/>
          <w:szCs w:val="21"/>
        </w:rPr>
        <w:t>生产</w:t>
      </w:r>
      <w:r>
        <w:rPr>
          <w:rFonts w:hint="eastAsia" w:ascii="宋体" w:hAnsi="宋体" w:cs="宋体"/>
          <w:bCs/>
          <w:szCs w:val="21"/>
        </w:rPr>
        <w:t>考核合格证书（C类）或建筑施工企业专职安全生产管理人员安全生产考核合格证（取自平台内上传件）；</w:t>
      </w:r>
    </w:p>
    <w:p w14:paraId="587EAA48">
      <w:pPr>
        <w:spacing w:line="360" w:lineRule="auto"/>
        <w:ind w:firstLine="470" w:firstLineChars="224"/>
        <w:rPr>
          <w:rFonts w:hint="eastAsia" w:ascii="宋体" w:hAnsi="宋体" w:cs="宋体"/>
          <w:bCs/>
          <w:szCs w:val="21"/>
        </w:rPr>
      </w:pPr>
      <w:r>
        <w:rPr>
          <w:rFonts w:hint="eastAsia" w:ascii="宋体" w:hAnsi="宋体" w:cs="宋体"/>
          <w:bCs/>
          <w:szCs w:val="21"/>
        </w:rPr>
        <w:t>（12）用于资格审查的业绩（设置业绩要求时选择此项，投标人须提供类似工程业绩的项目名称及项目编号，具体格式由招标人自定）；</w:t>
      </w:r>
    </w:p>
    <w:p w14:paraId="0E577A4E">
      <w:pPr>
        <w:spacing w:line="360" w:lineRule="auto"/>
        <w:ind w:firstLine="470" w:firstLineChars="224"/>
        <w:rPr>
          <w:rFonts w:hint="eastAsia" w:ascii="宋体" w:hAnsi="宋体" w:cs="宋体"/>
          <w:bCs/>
          <w:szCs w:val="21"/>
        </w:rPr>
      </w:pPr>
      <w:r>
        <w:rPr>
          <w:rFonts w:hint="eastAsia" w:ascii="宋体" w:hAnsi="宋体" w:cs="宋体"/>
          <w:bCs/>
          <w:szCs w:val="21"/>
        </w:rPr>
        <w:t>（13）资格审查前，投标人须在广州市住房和城乡建设局建立企业信用档案，拟担任本工程项目负责人、专职安全员须是本企业信用档案中的在册人员。</w:t>
      </w:r>
    </w:p>
    <w:p w14:paraId="4CFBB643">
      <w:pPr>
        <w:spacing w:line="360" w:lineRule="auto"/>
        <w:ind w:firstLine="470" w:firstLineChars="224"/>
        <w:rPr>
          <w:rFonts w:hint="eastAsia" w:ascii="宋体" w:hAnsi="宋体" w:cs="宋体"/>
          <w:bCs/>
          <w:szCs w:val="21"/>
        </w:rPr>
      </w:pPr>
      <w:r>
        <w:rPr>
          <w:rFonts w:hint="eastAsia" w:ascii="宋体" w:hAnsi="宋体" w:cs="宋体"/>
          <w:bCs/>
          <w:szCs w:val="21"/>
        </w:rPr>
        <w:t xml:space="preserve">（14）列明主办单位的联合体工作协议（采用联合体投标时需递交，投标人拟任本工程项目负责人应为联合体主办方信用档案中的在册人员，联合体工作协议应明确约定各方拟承担的工作和责任）； </w:t>
      </w:r>
    </w:p>
    <w:p w14:paraId="6F8BFD75">
      <w:pPr>
        <w:spacing w:line="360" w:lineRule="auto"/>
        <w:ind w:firstLine="470" w:firstLineChars="224"/>
        <w:rPr>
          <w:rFonts w:hint="eastAsia" w:ascii="宋体" w:hAnsi="宋体" w:cs="宋体"/>
          <w:bCs/>
          <w:szCs w:val="21"/>
        </w:rPr>
      </w:pPr>
      <w:r>
        <w:rPr>
          <w:rFonts w:hint="eastAsia" w:ascii="宋体" w:hAnsi="宋体" w:cs="宋体"/>
          <w:bCs/>
          <w:szCs w:val="21"/>
        </w:rPr>
        <w:t>（15）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14:paraId="68875887">
      <w:pPr>
        <w:spacing w:line="360" w:lineRule="auto"/>
        <w:ind w:firstLine="470" w:firstLineChars="224"/>
        <w:rPr>
          <w:rFonts w:hint="eastAsia" w:ascii="宋体" w:hAnsi="宋体" w:cs="宋体"/>
          <w:bCs/>
          <w:szCs w:val="21"/>
        </w:rPr>
      </w:pPr>
      <w:r>
        <w:rPr>
          <w:rFonts w:hint="eastAsia" w:ascii="宋体" w:hAnsi="宋体" w:cs="宋体"/>
          <w:bCs/>
          <w:szCs w:val="21"/>
        </w:rPr>
        <w:t>11.2.3项目管理机构配备。</w:t>
      </w:r>
    </w:p>
    <w:p w14:paraId="2B5C29F5">
      <w:pPr>
        <w:spacing w:line="360" w:lineRule="auto"/>
        <w:ind w:firstLine="470" w:firstLineChars="224"/>
        <w:rPr>
          <w:rFonts w:hint="eastAsia" w:ascii="宋体" w:hAnsi="宋体" w:cs="宋体"/>
          <w:bCs/>
          <w:szCs w:val="21"/>
        </w:rPr>
      </w:pPr>
      <w:r>
        <w:rPr>
          <w:rFonts w:hint="eastAsia" w:ascii="宋体" w:hAnsi="宋体" w:cs="宋体"/>
          <w:bCs/>
          <w:szCs w:val="21"/>
        </w:rPr>
        <w:t>（1）投标人应列出该项目工程的施工组织机构构成和画出机构框架图及其负责人；</w:t>
      </w:r>
    </w:p>
    <w:p w14:paraId="09C25999">
      <w:pPr>
        <w:spacing w:line="360" w:lineRule="auto"/>
        <w:ind w:firstLine="470" w:firstLineChars="224"/>
        <w:rPr>
          <w:rFonts w:hint="eastAsia" w:ascii="宋体" w:hAnsi="宋体" w:cs="宋体"/>
          <w:bCs/>
          <w:szCs w:val="21"/>
        </w:rPr>
      </w:pPr>
      <w:r>
        <w:rPr>
          <w:rFonts w:hint="eastAsia" w:ascii="宋体" w:hAnsi="宋体" w:cs="宋体"/>
          <w:bCs/>
          <w:szCs w:val="21"/>
        </w:rPr>
        <w:t>（2）投标人应详细列出该施工组织机构中主要成员的名单、简历资料、职务职称和在本项目中拟担任的职务等资料，并附上有关证明材料扫描件；</w:t>
      </w:r>
    </w:p>
    <w:p w14:paraId="7FF401E5">
      <w:pPr>
        <w:spacing w:line="360" w:lineRule="auto"/>
        <w:ind w:firstLine="470" w:firstLineChars="224"/>
        <w:rPr>
          <w:rFonts w:hint="eastAsia" w:ascii="宋体" w:hAnsi="宋体" w:cs="宋体"/>
          <w:bCs/>
          <w:szCs w:val="21"/>
        </w:rPr>
      </w:pPr>
      <w:r>
        <w:rPr>
          <w:rFonts w:hint="eastAsia" w:ascii="宋体" w:hAnsi="宋体" w:cs="宋体"/>
          <w:bCs/>
          <w:szCs w:val="21"/>
        </w:rPr>
        <w:t>（3）其他辅助说明资料。</w:t>
      </w:r>
    </w:p>
    <w:p w14:paraId="4EF99AB0">
      <w:pPr>
        <w:spacing w:line="360" w:lineRule="auto"/>
        <w:ind w:firstLine="470" w:firstLineChars="224"/>
        <w:rPr>
          <w:rFonts w:hint="eastAsia" w:ascii="宋体" w:hAnsi="宋体" w:cs="宋体"/>
          <w:bCs/>
          <w:szCs w:val="21"/>
        </w:rPr>
      </w:pPr>
      <w:r>
        <w:rPr>
          <w:rFonts w:hint="eastAsia" w:ascii="宋体" w:hAnsi="宋体" w:cs="宋体"/>
          <w:bCs/>
          <w:szCs w:val="21"/>
        </w:rPr>
        <w:t>11.2.4投标人在广州市可使用适合本工程的机械设备（附：机械设备为自有或租赁的说明；及承诺机械设备如属于租赁的，其租赁是不属于重复租赁）。</w:t>
      </w:r>
    </w:p>
    <w:p w14:paraId="58B02C60">
      <w:pPr>
        <w:spacing w:line="360" w:lineRule="auto"/>
        <w:ind w:firstLine="470" w:firstLineChars="224"/>
        <w:rPr>
          <w:rFonts w:hint="eastAsia" w:ascii="宋体" w:hAnsi="宋体" w:cs="宋体"/>
          <w:bCs/>
          <w:szCs w:val="21"/>
        </w:rPr>
      </w:pPr>
      <w:r>
        <w:rPr>
          <w:rFonts w:hint="eastAsia" w:ascii="宋体" w:hAnsi="宋体" w:cs="宋体"/>
          <w:bCs/>
          <w:szCs w:val="21"/>
        </w:rPr>
        <w:t>11.2.5施工组织设计或施工方案。</w:t>
      </w:r>
    </w:p>
    <w:p w14:paraId="79A341ED">
      <w:pPr>
        <w:spacing w:line="360" w:lineRule="auto"/>
        <w:ind w:firstLine="470" w:firstLineChars="224"/>
        <w:rPr>
          <w:rFonts w:hint="eastAsia" w:ascii="宋体" w:hAnsi="宋体" w:cs="宋体"/>
          <w:bCs/>
          <w:szCs w:val="21"/>
        </w:rPr>
      </w:pPr>
      <w:r>
        <w:rPr>
          <w:rFonts w:hint="eastAsia" w:ascii="宋体" w:hAnsi="宋体" w:cs="宋体"/>
          <w:bCs/>
          <w:szCs w:val="21"/>
        </w:rPr>
        <w:t>11.2.6按照招标文件要求填写的《参与编制技术标投标文件人员名单》。</w:t>
      </w:r>
    </w:p>
    <w:p w14:paraId="07252640">
      <w:pPr>
        <w:tabs>
          <w:tab w:val="left" w:pos="1125"/>
        </w:tabs>
        <w:spacing w:line="360" w:lineRule="auto"/>
        <w:ind w:firstLine="420" w:firstLineChars="200"/>
        <w:rPr>
          <w:rFonts w:hint="eastAsia" w:ascii="宋体" w:hAnsi="宋体" w:cs="宋体"/>
          <w:szCs w:val="21"/>
        </w:rPr>
      </w:pPr>
      <w:r>
        <w:rPr>
          <w:rFonts w:hint="eastAsia" w:ascii="宋体" w:hAnsi="宋体" w:cs="宋体"/>
          <w:b/>
          <w:szCs w:val="21"/>
        </w:rPr>
        <w:t>现文：</w:t>
      </w:r>
      <w:r>
        <w:rPr>
          <w:rFonts w:hint="eastAsia" w:ascii="宋体" w:hAnsi="宋体" w:cs="宋体"/>
          <w:szCs w:val="21"/>
        </w:rPr>
        <w:t>11.2投标文件技术标部分主要包括下列内容:</w:t>
      </w:r>
    </w:p>
    <w:p w14:paraId="3739102F">
      <w:pPr>
        <w:spacing w:line="360" w:lineRule="auto"/>
        <w:ind w:firstLine="420" w:firstLineChars="200"/>
        <w:rPr>
          <w:rFonts w:hint="eastAsia" w:ascii="宋体" w:hAnsi="宋体" w:cs="宋体"/>
          <w:szCs w:val="21"/>
        </w:rPr>
      </w:pPr>
      <w:r>
        <w:rPr>
          <w:rFonts w:hint="eastAsia" w:ascii="宋体" w:hAnsi="宋体" w:cs="宋体"/>
          <w:szCs w:val="21"/>
        </w:rPr>
        <w:t>11.2.1广州建设工程施工招标投标书</w:t>
      </w:r>
      <w:r>
        <w:rPr>
          <w:rFonts w:hint="eastAsia" w:ascii="宋体" w:hAnsi="宋体" w:cs="宋体"/>
          <w:bCs/>
          <w:szCs w:val="21"/>
        </w:rPr>
        <w:t>(按招标文件的要求填写)；</w:t>
      </w:r>
    </w:p>
    <w:p w14:paraId="232EB7FD">
      <w:pPr>
        <w:spacing w:line="360" w:lineRule="auto"/>
        <w:ind w:firstLine="420" w:firstLineChars="200"/>
        <w:rPr>
          <w:rFonts w:hint="eastAsia" w:ascii="宋体" w:hAnsi="宋体" w:cs="宋体"/>
          <w:szCs w:val="21"/>
        </w:rPr>
      </w:pPr>
      <w:r>
        <w:rPr>
          <w:rFonts w:hint="eastAsia" w:ascii="宋体" w:hAnsi="宋体" w:cs="宋体"/>
          <w:szCs w:val="21"/>
        </w:rPr>
        <w:t>11.2.2 资格审查文件：</w:t>
      </w:r>
    </w:p>
    <w:p w14:paraId="52552160">
      <w:pPr>
        <w:pBdr>
          <w:top w:val="none" w:color="auto" w:sz="0" w:space="1"/>
          <w:left w:val="none" w:color="auto" w:sz="0" w:space="4"/>
          <w:bottom w:val="none" w:color="auto" w:sz="0" w:space="1"/>
          <w:right w:val="none" w:color="auto" w:sz="0" w:space="4"/>
        </w:pBdr>
        <w:spacing w:line="360" w:lineRule="auto"/>
        <w:ind w:firstLine="420" w:firstLineChars="200"/>
        <w:rPr>
          <w:rFonts w:hint="eastAsia" w:ascii="宋体" w:hAnsi="宋体" w:cs="宋体"/>
          <w:kern w:val="0"/>
          <w:szCs w:val="21"/>
        </w:rPr>
      </w:pPr>
      <w:r>
        <w:rPr>
          <w:rFonts w:hint="eastAsia" w:ascii="宋体" w:hAnsi="宋体" w:cs="宋体"/>
          <w:kern w:val="0"/>
          <w:szCs w:val="21"/>
        </w:rPr>
        <w:t>（1）投标人声明</w:t>
      </w:r>
      <w:r>
        <w:rPr>
          <w:rFonts w:hint="eastAsia" w:ascii="宋体" w:hAnsi="宋体" w:cs="宋体"/>
          <w:b/>
          <w:bCs/>
          <w:kern w:val="0"/>
          <w:szCs w:val="21"/>
          <w:u w:val="single"/>
        </w:rPr>
        <w:t>（按招标公告附件一的格式及内容提交）</w:t>
      </w:r>
      <w:r>
        <w:rPr>
          <w:rFonts w:hint="eastAsia" w:ascii="宋体" w:hAnsi="宋体" w:cs="宋体"/>
          <w:kern w:val="0"/>
          <w:szCs w:val="21"/>
        </w:rPr>
        <w:t xml:space="preserve">； </w:t>
      </w:r>
    </w:p>
    <w:p w14:paraId="26EE501F">
      <w:pPr>
        <w:pBdr>
          <w:top w:val="none" w:color="auto" w:sz="0" w:space="1"/>
          <w:left w:val="none" w:color="auto" w:sz="0" w:space="4"/>
          <w:bottom w:val="none" w:color="auto" w:sz="0" w:space="1"/>
          <w:right w:val="none" w:color="auto" w:sz="0" w:space="4"/>
        </w:pBdr>
        <w:spacing w:line="360" w:lineRule="auto"/>
        <w:ind w:firstLine="420" w:firstLineChars="200"/>
        <w:rPr>
          <w:rFonts w:hint="eastAsia" w:ascii="宋体" w:hAnsi="宋体" w:cs="宋体"/>
          <w:kern w:val="0"/>
          <w:szCs w:val="21"/>
        </w:rPr>
      </w:pPr>
      <w:r>
        <w:rPr>
          <w:rFonts w:hint="eastAsia" w:ascii="宋体" w:hAnsi="宋体" w:cs="宋体"/>
          <w:kern w:val="0"/>
          <w:szCs w:val="21"/>
        </w:rPr>
        <w:t>（2）法定代表人证明书、法定代表人签字或盖章的本投标文件授权委托证明书；</w:t>
      </w:r>
    </w:p>
    <w:p w14:paraId="1F846C7C">
      <w:pPr>
        <w:pBdr>
          <w:top w:val="none" w:color="auto" w:sz="0" w:space="1"/>
          <w:left w:val="none" w:color="auto" w:sz="0" w:space="4"/>
          <w:bottom w:val="none" w:color="auto" w:sz="0" w:space="1"/>
          <w:right w:val="none" w:color="auto" w:sz="0" w:space="4"/>
        </w:pBdr>
        <w:spacing w:line="360" w:lineRule="auto"/>
        <w:ind w:firstLine="420" w:firstLineChars="200"/>
        <w:rPr>
          <w:rFonts w:hint="eastAsia" w:ascii="宋体" w:hAnsi="宋体" w:cs="宋体"/>
          <w:kern w:val="0"/>
          <w:szCs w:val="21"/>
        </w:rPr>
      </w:pPr>
      <w:r>
        <w:rPr>
          <w:rFonts w:hint="eastAsia" w:ascii="宋体" w:hAnsi="宋体" w:cs="宋体"/>
          <w:kern w:val="0"/>
          <w:szCs w:val="21"/>
        </w:rPr>
        <w:t>（3）企业营业执照扫描件或电子证照；</w:t>
      </w:r>
    </w:p>
    <w:p w14:paraId="3642A5DE">
      <w:pPr>
        <w:widowControl/>
        <w:pBdr>
          <w:top w:val="none" w:color="auto" w:sz="0" w:space="1"/>
          <w:left w:val="none" w:color="auto" w:sz="0" w:space="4"/>
          <w:bottom w:val="none" w:color="auto" w:sz="0" w:space="1"/>
          <w:right w:val="none" w:color="auto" w:sz="0" w:space="4"/>
        </w:pBdr>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（4）企业资质证书扫描件或电子证照；</w:t>
      </w:r>
    </w:p>
    <w:p w14:paraId="35E200CD">
      <w:pPr>
        <w:widowControl/>
        <w:pBdr>
          <w:top w:val="none" w:color="auto" w:sz="0" w:space="1"/>
          <w:left w:val="none" w:color="auto" w:sz="0" w:space="4"/>
          <w:bottom w:val="none" w:color="auto" w:sz="0" w:space="1"/>
          <w:right w:val="none" w:color="auto" w:sz="0" w:space="4"/>
        </w:pBdr>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（5）建筑施工企业安全生产许可证扫描件或电子证照；</w:t>
      </w:r>
    </w:p>
    <w:p w14:paraId="3A45996E">
      <w:pPr>
        <w:pBdr>
          <w:top w:val="none" w:color="auto" w:sz="0" w:space="1"/>
          <w:left w:val="none" w:color="auto" w:sz="0" w:space="4"/>
          <w:bottom w:val="none" w:color="auto" w:sz="0" w:space="1"/>
          <w:right w:val="none" w:color="auto" w:sz="0" w:space="4"/>
        </w:pBdr>
        <w:spacing w:line="360" w:lineRule="auto"/>
        <w:ind w:firstLine="420" w:firstLineChars="200"/>
        <w:rPr>
          <w:rFonts w:hint="eastAsia" w:ascii="宋体" w:hAnsi="宋体" w:cs="宋体"/>
          <w:kern w:val="0"/>
          <w:szCs w:val="21"/>
        </w:rPr>
      </w:pPr>
      <w:r>
        <w:rPr>
          <w:rFonts w:hint="eastAsia" w:ascii="宋体" w:hAnsi="宋体" w:cs="宋体"/>
          <w:kern w:val="0"/>
          <w:szCs w:val="21"/>
        </w:rPr>
        <w:t>（6）项目负责人（按网上投标登记时选择拟投入本项目的项目负责人）；</w:t>
      </w:r>
    </w:p>
    <w:p w14:paraId="1B1BEC73">
      <w:pPr>
        <w:pBdr>
          <w:top w:val="none" w:color="auto" w:sz="0" w:space="1"/>
          <w:left w:val="none" w:color="auto" w:sz="0" w:space="4"/>
          <w:bottom w:val="none" w:color="auto" w:sz="0" w:space="1"/>
          <w:right w:val="none" w:color="auto" w:sz="0" w:space="4"/>
        </w:pBdr>
        <w:spacing w:line="360" w:lineRule="auto"/>
        <w:ind w:firstLine="420" w:firstLineChars="200"/>
        <w:rPr>
          <w:rFonts w:hint="eastAsia" w:ascii="宋体" w:hAnsi="宋体" w:cs="宋体"/>
          <w:kern w:val="0"/>
          <w:szCs w:val="21"/>
        </w:rPr>
      </w:pPr>
      <w:r>
        <w:rPr>
          <w:rFonts w:hint="eastAsia" w:ascii="宋体" w:hAnsi="宋体" w:cs="宋体"/>
          <w:kern w:val="0"/>
          <w:szCs w:val="21"/>
        </w:rPr>
        <w:t>（7）专职安全员（按网上投标登记时选择拟投入本项目的专职安全员）；</w:t>
      </w:r>
    </w:p>
    <w:p w14:paraId="194AC94D">
      <w:pPr>
        <w:pBdr>
          <w:top w:val="none" w:color="auto" w:sz="0" w:space="1"/>
          <w:left w:val="none" w:color="auto" w:sz="0" w:space="4"/>
          <w:bottom w:val="none" w:color="auto" w:sz="0" w:space="1"/>
          <w:right w:val="none" w:color="auto" w:sz="0" w:space="4"/>
        </w:pBdr>
        <w:spacing w:line="360" w:lineRule="auto"/>
        <w:ind w:firstLine="420" w:firstLineChars="200"/>
        <w:rPr>
          <w:rFonts w:hint="eastAsia" w:ascii="宋体" w:hAnsi="宋体" w:cs="宋体"/>
          <w:kern w:val="0"/>
          <w:szCs w:val="21"/>
        </w:rPr>
      </w:pPr>
      <w:r>
        <w:rPr>
          <w:rFonts w:hint="eastAsia" w:ascii="宋体" w:hAnsi="宋体" w:cs="宋体"/>
          <w:kern w:val="0"/>
          <w:szCs w:val="21"/>
        </w:rPr>
        <w:t>（8）拟委托技术负责人的</w:t>
      </w:r>
      <w:r>
        <w:rPr>
          <w:rFonts w:hint="eastAsia" w:ascii="宋体" w:hAnsi="宋体" w:cs="宋体"/>
          <w:kern w:val="0"/>
          <w:szCs w:val="21"/>
          <w:u w:val="single"/>
        </w:rPr>
        <w:t>职称证书（提交扫描件）；</w:t>
      </w:r>
    </w:p>
    <w:p w14:paraId="65195A6C">
      <w:pPr>
        <w:pBdr>
          <w:top w:val="none" w:color="auto" w:sz="0" w:space="1"/>
          <w:left w:val="none" w:color="auto" w:sz="0" w:space="4"/>
          <w:bottom w:val="none" w:color="auto" w:sz="0" w:space="1"/>
          <w:right w:val="none" w:color="auto" w:sz="0" w:space="4"/>
        </w:pBdr>
        <w:spacing w:line="360" w:lineRule="auto"/>
        <w:ind w:firstLine="420" w:firstLineChars="200"/>
        <w:rPr>
          <w:rFonts w:hint="eastAsia" w:ascii="宋体" w:hAnsi="宋体" w:cs="宋体"/>
          <w:kern w:val="0"/>
          <w:szCs w:val="21"/>
        </w:rPr>
      </w:pPr>
      <w:r>
        <w:rPr>
          <w:rFonts w:hint="eastAsia" w:ascii="宋体" w:hAnsi="宋体" w:cs="宋体"/>
          <w:kern w:val="0"/>
          <w:szCs w:val="21"/>
        </w:rPr>
        <w:t>（9）</w:t>
      </w:r>
      <w:r>
        <w:rPr>
          <w:rFonts w:ascii="宋体" w:hAnsi="宋体" w:cs="宋体"/>
          <w:bCs/>
          <w:kern w:val="0"/>
          <w:szCs w:val="21"/>
        </w:rPr>
        <w:t>拟委派项目负责人</w:t>
      </w:r>
      <w:r>
        <w:rPr>
          <w:rFonts w:hint="eastAsia" w:ascii="宋体" w:hAnsi="宋体" w:cs="宋体"/>
          <w:bCs/>
          <w:kern w:val="0"/>
          <w:szCs w:val="21"/>
        </w:rPr>
        <w:t>的</w:t>
      </w:r>
      <w:r>
        <w:rPr>
          <w:rFonts w:ascii="宋体" w:hAnsi="宋体" w:cs="宋体"/>
          <w:bCs/>
          <w:kern w:val="0"/>
          <w:szCs w:val="21"/>
        </w:rPr>
        <w:t>建造师注册证书</w:t>
      </w:r>
      <w:r>
        <w:rPr>
          <w:rFonts w:hint="eastAsia" w:ascii="宋体" w:hAnsi="宋体" w:cs="宋体"/>
          <w:bCs/>
          <w:kern w:val="0"/>
          <w:szCs w:val="21"/>
        </w:rPr>
        <w:t>扫描件或电子证书</w:t>
      </w:r>
      <w:r>
        <w:rPr>
          <w:rFonts w:hint="eastAsia" w:ascii="宋体" w:hAnsi="宋体" w:cs="宋体"/>
          <w:kern w:val="0"/>
          <w:szCs w:val="21"/>
        </w:rPr>
        <w:t xml:space="preserve">； </w:t>
      </w:r>
    </w:p>
    <w:p w14:paraId="18AEDE11">
      <w:pPr>
        <w:pBdr>
          <w:top w:val="none" w:color="auto" w:sz="0" w:space="1"/>
          <w:left w:val="none" w:color="auto" w:sz="0" w:space="4"/>
          <w:bottom w:val="none" w:color="auto" w:sz="0" w:space="1"/>
          <w:right w:val="none" w:color="auto" w:sz="0" w:space="4"/>
        </w:pBdr>
        <w:spacing w:line="360" w:lineRule="auto"/>
        <w:ind w:firstLine="420" w:firstLineChars="200"/>
        <w:rPr>
          <w:rFonts w:hint="eastAsia" w:ascii="宋体" w:hAnsi="宋体" w:cs="宋体"/>
          <w:kern w:val="0"/>
          <w:szCs w:val="21"/>
        </w:rPr>
      </w:pPr>
      <w:r>
        <w:rPr>
          <w:rFonts w:hint="eastAsia" w:ascii="宋体" w:hAnsi="宋体" w:cs="宋体"/>
          <w:kern w:val="0"/>
          <w:szCs w:val="21"/>
        </w:rPr>
        <w:t>（10）</w:t>
      </w:r>
      <w:r>
        <w:rPr>
          <w:rFonts w:ascii="宋体" w:hAnsi="宋体" w:cs="宋体"/>
          <w:bCs/>
          <w:kern w:val="0"/>
          <w:szCs w:val="21"/>
        </w:rPr>
        <w:t>项目负责人安全培训考核合格证明或在有效期内的安全考核合格证书（B类）</w:t>
      </w:r>
      <w:r>
        <w:rPr>
          <w:rFonts w:hint="eastAsia" w:ascii="宋体" w:hAnsi="宋体" w:cs="宋体"/>
          <w:b/>
          <w:bCs/>
          <w:kern w:val="0"/>
          <w:szCs w:val="21"/>
        </w:rPr>
        <w:t>或建筑施工企业项目负责人安全生产考核合格证书</w:t>
      </w:r>
      <w:r>
        <w:rPr>
          <w:rFonts w:hint="eastAsia" w:ascii="宋体" w:hAnsi="宋体" w:cs="宋体"/>
          <w:bCs/>
          <w:kern w:val="0"/>
          <w:szCs w:val="21"/>
        </w:rPr>
        <w:t>扫描件或电子证书</w:t>
      </w:r>
      <w:r>
        <w:rPr>
          <w:rFonts w:hint="eastAsia" w:ascii="宋体" w:hAnsi="宋体" w:cs="宋体"/>
          <w:kern w:val="0"/>
          <w:szCs w:val="21"/>
        </w:rPr>
        <w:t>；</w:t>
      </w:r>
    </w:p>
    <w:p w14:paraId="0789FD2F">
      <w:pPr>
        <w:pBdr>
          <w:top w:val="none" w:color="auto" w:sz="0" w:space="1"/>
          <w:left w:val="none" w:color="auto" w:sz="0" w:space="4"/>
          <w:bottom w:val="none" w:color="auto" w:sz="0" w:space="1"/>
          <w:right w:val="none" w:color="auto" w:sz="0" w:space="4"/>
        </w:pBdr>
        <w:spacing w:line="360" w:lineRule="auto"/>
        <w:ind w:firstLine="420" w:firstLineChars="200"/>
        <w:rPr>
          <w:rFonts w:hint="eastAsia" w:ascii="宋体" w:hAnsi="宋体" w:cs="宋体"/>
          <w:kern w:val="0"/>
          <w:szCs w:val="21"/>
        </w:rPr>
      </w:pPr>
      <w:r>
        <w:rPr>
          <w:rFonts w:hint="eastAsia" w:ascii="宋体" w:hAnsi="宋体" w:cs="宋体"/>
          <w:kern w:val="0"/>
          <w:szCs w:val="21"/>
        </w:rPr>
        <w:t>（11）</w:t>
      </w:r>
      <w:r>
        <w:rPr>
          <w:rFonts w:hint="eastAsia" w:ascii="宋体" w:hAnsi="宋体"/>
          <w:kern w:val="0"/>
          <w:szCs w:val="21"/>
        </w:rPr>
        <w:t>专职安全员须具有安全生产考核合格证（C类）或</w:t>
      </w:r>
      <w:r>
        <w:rPr>
          <w:rFonts w:hint="eastAsia" w:ascii="宋体" w:hAnsi="宋体"/>
          <w:b/>
          <w:bCs/>
          <w:kern w:val="0"/>
          <w:szCs w:val="21"/>
        </w:rPr>
        <w:t>建筑施工企业专职安全生产管理人员安全生产考核合格证（C3类）</w:t>
      </w:r>
      <w:r>
        <w:rPr>
          <w:rFonts w:hint="eastAsia" w:ascii="宋体" w:hAnsi="宋体"/>
          <w:kern w:val="0"/>
          <w:szCs w:val="21"/>
        </w:rPr>
        <w:t>。</w:t>
      </w:r>
      <w:r>
        <w:rPr>
          <w:rFonts w:hint="eastAsia" w:ascii="宋体" w:hAnsi="宋体" w:cs="宋体"/>
          <w:b/>
          <w:bCs/>
          <w:kern w:val="0"/>
          <w:szCs w:val="21"/>
        </w:rPr>
        <w:t>扫描件或电子证书</w:t>
      </w:r>
      <w:r>
        <w:rPr>
          <w:rFonts w:hint="eastAsia" w:ascii="宋体" w:hAnsi="宋体" w:cs="宋体"/>
          <w:bCs/>
          <w:kern w:val="0"/>
          <w:szCs w:val="21"/>
        </w:rPr>
        <w:t>，</w:t>
      </w:r>
      <w:r>
        <w:rPr>
          <w:rFonts w:hint="eastAsia" w:ascii="宋体" w:hAnsi="宋体" w:cs="宋体"/>
          <w:b/>
          <w:bCs/>
          <w:kern w:val="0"/>
          <w:szCs w:val="21"/>
          <w:u w:val="single"/>
        </w:rPr>
        <w:t>项目负责人和安全员不为同一人</w:t>
      </w:r>
      <w:r>
        <w:rPr>
          <w:rFonts w:hint="eastAsia" w:ascii="宋体" w:hAnsi="宋体" w:cs="宋体"/>
          <w:kern w:val="0"/>
          <w:szCs w:val="21"/>
        </w:rPr>
        <w:t>；</w:t>
      </w:r>
    </w:p>
    <w:p w14:paraId="53C2A0BB">
      <w:pPr>
        <w:pBdr>
          <w:top w:val="none" w:color="auto" w:sz="0" w:space="1"/>
          <w:left w:val="none" w:color="auto" w:sz="0" w:space="4"/>
          <w:bottom w:val="none" w:color="auto" w:sz="0" w:space="1"/>
          <w:right w:val="none" w:color="auto" w:sz="0" w:space="4"/>
        </w:pBdr>
        <w:spacing w:line="360" w:lineRule="auto"/>
        <w:ind w:firstLine="420" w:firstLineChars="200"/>
        <w:rPr>
          <w:rFonts w:hint="eastAsia" w:ascii="宋体" w:hAnsi="宋体" w:cs="宋体"/>
          <w:kern w:val="0"/>
          <w:szCs w:val="21"/>
        </w:rPr>
      </w:pPr>
      <w:r>
        <w:rPr>
          <w:rFonts w:hint="eastAsia" w:ascii="宋体" w:hAnsi="宋体" w:cs="宋体"/>
          <w:kern w:val="0"/>
          <w:szCs w:val="21"/>
        </w:rPr>
        <w:t>（12）资格审查前，投标人须在</w:t>
      </w:r>
      <w:r>
        <w:rPr>
          <w:rFonts w:hint="eastAsia" w:ascii="宋体" w:hAnsi="宋体" w:cs="宋体"/>
          <w:b/>
          <w:kern w:val="0"/>
          <w:szCs w:val="21"/>
        </w:rPr>
        <w:t>广州市住房和城乡建设局建立企业信用档案</w:t>
      </w:r>
      <w:r>
        <w:rPr>
          <w:rFonts w:hint="eastAsia" w:ascii="宋体" w:hAnsi="宋体" w:cs="宋体"/>
          <w:kern w:val="0"/>
          <w:szCs w:val="21"/>
        </w:rPr>
        <w:t>，拟担任本工程项目负责人</w:t>
      </w:r>
      <w:r>
        <w:rPr>
          <w:rFonts w:hint="eastAsia" w:ascii="宋体" w:hAnsi="宋体" w:cs="宋体"/>
          <w:kern w:val="0"/>
          <w:szCs w:val="21"/>
          <w:u w:val="single"/>
        </w:rPr>
        <w:t>、专职安全员</w:t>
      </w:r>
      <w:r>
        <w:rPr>
          <w:rFonts w:hint="eastAsia" w:ascii="宋体" w:hAnsi="宋体" w:cs="宋体"/>
          <w:kern w:val="0"/>
          <w:szCs w:val="21"/>
        </w:rPr>
        <w:t>须是本企业</w:t>
      </w:r>
      <w:r>
        <w:rPr>
          <w:rFonts w:hint="eastAsia" w:ascii="宋体" w:hAnsi="宋体" w:cs="宋体"/>
          <w:b/>
          <w:kern w:val="0"/>
          <w:szCs w:val="21"/>
        </w:rPr>
        <w:t>信用档案</w:t>
      </w:r>
      <w:r>
        <w:rPr>
          <w:rFonts w:hint="eastAsia" w:ascii="宋体" w:hAnsi="宋体" w:cs="宋体"/>
          <w:kern w:val="0"/>
          <w:szCs w:val="21"/>
        </w:rPr>
        <w:t>中的在册人员。</w:t>
      </w:r>
    </w:p>
    <w:p w14:paraId="6C9D09A9">
      <w:pPr>
        <w:pStyle w:val="173"/>
        <w:spacing w:after="0" w:line="360" w:lineRule="auto"/>
        <w:ind w:firstLine="420" w:firstLineChars="200"/>
        <w:rPr>
          <w:rFonts w:hint="eastAsia" w:ascii="宋体" w:hAnsi="宋体"/>
          <w:sz w:val="21"/>
          <w:szCs w:val="21"/>
        </w:rPr>
      </w:pPr>
      <w:r>
        <w:rPr>
          <w:rFonts w:hint="eastAsia" w:ascii="宋体" w:hAnsi="宋体"/>
          <w:sz w:val="21"/>
          <w:szCs w:val="21"/>
        </w:rPr>
        <w:t>（13）投标人未出现以下情形：与其它投标人的单位负责人为同一人或者存在控股、管理关系的（按投标人提供的《投标人声明》第八条内容进行评审）。</w:t>
      </w:r>
    </w:p>
    <w:p w14:paraId="5F888F87">
      <w:pPr>
        <w:pStyle w:val="173"/>
        <w:spacing w:after="0" w:line="360" w:lineRule="auto"/>
        <w:ind w:firstLine="420" w:firstLineChars="200"/>
        <w:rPr>
          <w:rFonts w:hint="eastAsia" w:ascii="宋体" w:hAnsi="宋体"/>
          <w:sz w:val="21"/>
          <w:szCs w:val="21"/>
        </w:rPr>
      </w:pPr>
      <w:r>
        <w:rPr>
          <w:rFonts w:hint="eastAsia" w:ascii="宋体" w:hAnsi="宋体"/>
          <w:sz w:val="21"/>
          <w:szCs w:val="21"/>
        </w:rPr>
        <w:t>（14）未被列入拖欠农民工工资失信联合惩戒对象名单。（投标人无需提交资料，资格审查时，根据交易中心系统比对结果为准）</w:t>
      </w:r>
    </w:p>
    <w:p w14:paraId="14F7270E">
      <w:pPr>
        <w:pStyle w:val="173"/>
        <w:spacing w:after="0" w:line="360" w:lineRule="auto"/>
        <w:ind w:firstLine="420" w:firstLineChars="200"/>
        <w:rPr>
          <w:rFonts w:hint="eastAsia" w:ascii="宋体" w:hAnsi="宋体"/>
          <w:sz w:val="21"/>
          <w:szCs w:val="21"/>
        </w:rPr>
      </w:pPr>
      <w:r>
        <w:rPr>
          <w:rFonts w:hint="eastAsia" w:ascii="宋体" w:hAnsi="宋体"/>
          <w:sz w:val="21"/>
          <w:szCs w:val="21"/>
        </w:rPr>
        <w:t>（15）</w:t>
      </w:r>
      <w:r>
        <w:rPr>
          <w:rFonts w:hint="eastAsia" w:ascii="宋体" w:hAnsi="宋体" w:cs="宋体"/>
          <w:sz w:val="21"/>
          <w:szCs w:val="21"/>
        </w:rPr>
        <w:t>截至投标截止日，投标人未被“信用中国”网站(http://www.creditchina.gov.cn)列入失信被执行人、重大税收违法失信主体、记录名单。(需提供承诺函，承诺函格式自拟)</w:t>
      </w:r>
      <w:r>
        <w:rPr>
          <w:rFonts w:hint="eastAsia" w:ascii="宋体" w:hAnsi="宋体"/>
          <w:sz w:val="21"/>
          <w:szCs w:val="21"/>
        </w:rPr>
        <w:t>。</w:t>
      </w:r>
    </w:p>
    <w:p w14:paraId="68A204F9">
      <w:pPr>
        <w:pStyle w:val="173"/>
        <w:spacing w:after="0" w:line="360" w:lineRule="auto"/>
        <w:ind w:firstLine="420" w:firstLineChars="200"/>
        <w:rPr>
          <w:rFonts w:hint="eastAsia" w:ascii="宋体" w:hAnsi="宋体"/>
          <w:sz w:val="21"/>
          <w:szCs w:val="21"/>
        </w:rPr>
      </w:pPr>
      <w:r>
        <w:rPr>
          <w:rFonts w:hint="eastAsia" w:ascii="宋体" w:hAnsi="宋体"/>
          <w:sz w:val="21"/>
          <w:szCs w:val="21"/>
        </w:rPr>
        <w:t>（16）其他投标人认为应该提供的资料。</w:t>
      </w:r>
    </w:p>
    <w:p w14:paraId="2AA5A9D6">
      <w:pPr>
        <w:widowControl/>
        <w:spacing w:line="360" w:lineRule="exact"/>
        <w:jc w:val="left"/>
        <w:rPr>
          <w:rFonts w:hint="eastAsia" w:asciiTheme="minorEastAsia" w:hAnsiTheme="minorEastAsia" w:eastAsiaTheme="minorEastAsia" w:cstheme="minorEastAsia"/>
          <w:b/>
          <w:bCs/>
          <w:color w:val="000000"/>
          <w:kern w:val="0"/>
          <w:szCs w:val="21"/>
        </w:rPr>
      </w:pPr>
      <w:r>
        <w:rPr>
          <w:rFonts w:hint="eastAsia" w:asciiTheme="minorEastAsia" w:hAnsiTheme="minorEastAsia" w:eastAsiaTheme="minorEastAsia" w:cstheme="minorEastAsia"/>
          <w:b/>
          <w:bCs/>
          <w:color w:val="000000"/>
          <w:kern w:val="0"/>
          <w:szCs w:val="21"/>
        </w:rPr>
        <w:t>注：</w:t>
      </w:r>
      <w:r>
        <w:rPr>
          <w:rFonts w:asciiTheme="minorEastAsia" w:hAnsiTheme="minorEastAsia" w:eastAsiaTheme="minorEastAsia" w:cstheme="minorEastAsia"/>
          <w:b/>
          <w:bCs/>
          <w:color w:val="000000"/>
          <w:kern w:val="0"/>
          <w:szCs w:val="21"/>
        </w:rPr>
        <w:t>1.相关电子证书按规定需打印后手写本人签名的，应按照规定手写本人签名后再扫描提交。</w:t>
      </w:r>
    </w:p>
    <w:p w14:paraId="3071475E">
      <w:pPr>
        <w:widowControl/>
        <w:spacing w:line="360" w:lineRule="exact"/>
        <w:ind w:firstLine="420" w:firstLineChars="200"/>
        <w:jc w:val="left"/>
        <w:rPr>
          <w:rFonts w:hint="eastAsia" w:asciiTheme="minorEastAsia" w:hAnsiTheme="minorEastAsia" w:eastAsiaTheme="minorEastAsia" w:cstheme="minorEastAsia"/>
          <w:szCs w:val="21"/>
        </w:rPr>
      </w:pPr>
      <w:r>
        <w:rPr>
          <w:rFonts w:asciiTheme="minorEastAsia" w:hAnsiTheme="minorEastAsia" w:eastAsiaTheme="minorEastAsia" w:cstheme="minorEastAsia"/>
          <w:b/>
          <w:bCs/>
          <w:color w:val="000000"/>
          <w:szCs w:val="21"/>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04CBA5B6">
      <w:pPr>
        <w:pStyle w:val="173"/>
        <w:spacing w:after="0" w:line="360" w:lineRule="auto"/>
        <w:ind w:firstLine="420" w:firstLineChars="200"/>
        <w:rPr>
          <w:rFonts w:hint="eastAsia" w:ascii="宋体" w:hAnsi="宋体" w:cs="宋体"/>
          <w:kern w:val="2"/>
          <w:sz w:val="21"/>
          <w:szCs w:val="21"/>
        </w:rPr>
      </w:pPr>
      <w:r>
        <w:rPr>
          <w:rFonts w:ascii="宋体" w:hAnsi="宋体" w:cs="宋体"/>
          <w:kern w:val="2"/>
          <w:sz w:val="21"/>
          <w:szCs w:val="21"/>
        </w:rPr>
        <w:t>11.2.4施工项目管理团队人员信息表</w:t>
      </w:r>
      <w:r>
        <w:rPr>
          <w:rFonts w:hint="eastAsia" w:ascii="宋体" w:hAnsi="宋体" w:cs="宋体"/>
          <w:kern w:val="2"/>
          <w:sz w:val="21"/>
          <w:szCs w:val="21"/>
        </w:rPr>
        <w:t>。</w:t>
      </w:r>
    </w:p>
    <w:p w14:paraId="3147A661">
      <w:pPr>
        <w:pBdr>
          <w:bottom w:val="single" w:color="auto" w:sz="6" w:space="1"/>
        </w:pBd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rPr>
        <w:t>11.2.</w:t>
      </w:r>
      <w:r>
        <w:rPr>
          <w:rFonts w:hint="eastAsia" w:ascii="宋体" w:hAnsi="宋体" w:cs="宋体"/>
          <w:szCs w:val="21"/>
          <w:highlight w:val="none"/>
          <w:lang w:val="en-US" w:eastAsia="zh-CN"/>
        </w:rPr>
        <w:t>5</w:t>
      </w:r>
      <w:r>
        <w:rPr>
          <w:rFonts w:hint="eastAsia" w:ascii="宋体" w:hAnsi="宋体" w:cs="宋体"/>
          <w:szCs w:val="21"/>
          <w:highlight w:val="none"/>
        </w:rPr>
        <w:t>施工组织设计</w:t>
      </w:r>
      <w:r>
        <w:rPr>
          <w:rFonts w:hint="eastAsia" w:ascii="宋体" w:hAnsi="宋体" w:cs="宋体"/>
          <w:szCs w:val="21"/>
          <w:highlight w:val="none"/>
          <w:lang w:eastAsia="zh-CN"/>
        </w:rPr>
        <w:t>。</w:t>
      </w:r>
    </w:p>
    <w:p w14:paraId="0ADB190A">
      <w:pPr>
        <w:pBdr>
          <w:bottom w:val="single" w:color="auto" w:sz="6" w:space="1"/>
        </w:pBd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11.2.6</w:t>
      </w:r>
      <w:r>
        <w:rPr>
          <w:rFonts w:hint="eastAsia" w:ascii="宋体" w:hAnsi="宋体" w:cs="宋体"/>
          <w:szCs w:val="21"/>
          <w:highlight w:val="none"/>
        </w:rPr>
        <w:t>企业资信的证明材料（按附表四要求提交）。</w:t>
      </w:r>
    </w:p>
    <w:p w14:paraId="5E80532D">
      <w:pPr>
        <w:pBdr>
          <w:bottom w:val="single" w:color="auto" w:sz="6" w:space="1"/>
        </w:pBdr>
        <w:spacing w:line="360" w:lineRule="auto"/>
        <w:ind w:firstLine="420" w:firstLineChars="200"/>
        <w:rPr>
          <w:rFonts w:ascii="宋体" w:hAnsi="宋体" w:cs="宋体"/>
          <w:szCs w:val="21"/>
          <w:highlight w:val="none"/>
        </w:rPr>
      </w:pPr>
      <w:r>
        <w:rPr>
          <w:rFonts w:hint="eastAsia" w:ascii="宋体" w:hAnsi="宋体" w:cs="宋体"/>
          <w:szCs w:val="21"/>
          <w:highlight w:val="none"/>
        </w:rPr>
        <w:t>11.2.</w:t>
      </w:r>
      <w:r>
        <w:rPr>
          <w:rFonts w:hint="eastAsia" w:ascii="宋体" w:hAnsi="宋体" w:cs="宋体"/>
          <w:szCs w:val="21"/>
          <w:highlight w:val="none"/>
          <w:lang w:val="en-US" w:eastAsia="zh-CN"/>
        </w:rPr>
        <w:t>7</w:t>
      </w:r>
      <w:r>
        <w:rPr>
          <w:rFonts w:hint="eastAsia" w:ascii="宋体" w:hAnsi="宋体" w:cs="宋体"/>
          <w:szCs w:val="21"/>
          <w:highlight w:val="none"/>
        </w:rPr>
        <w:t>按照招标文件要求填写的《参与编制技术标投标文件人员名单》</w:t>
      </w:r>
    </w:p>
    <w:p w14:paraId="213CB3D1">
      <w:pPr>
        <w:pBdr>
          <w:bottom w:val="single" w:color="auto" w:sz="6" w:space="1"/>
        </w:pBdr>
        <w:spacing w:line="360" w:lineRule="auto"/>
        <w:ind w:firstLine="420" w:firstLineChars="200"/>
        <w:rPr>
          <w:rFonts w:ascii="宋体" w:hAnsi="宋体" w:cs="宋体"/>
          <w:szCs w:val="21"/>
          <w:highlight w:val="none"/>
        </w:rPr>
      </w:pPr>
      <w:r>
        <w:rPr>
          <w:rFonts w:hint="eastAsia" w:ascii="宋体" w:hAnsi="宋体" w:cs="宋体"/>
          <w:szCs w:val="21"/>
          <w:highlight w:val="none"/>
        </w:rPr>
        <w:t>11.2.</w:t>
      </w:r>
      <w:r>
        <w:rPr>
          <w:rFonts w:hint="eastAsia" w:ascii="宋体" w:hAnsi="宋体" w:cs="宋体"/>
          <w:szCs w:val="21"/>
          <w:highlight w:val="none"/>
          <w:lang w:val="en-US" w:eastAsia="zh-CN"/>
        </w:rPr>
        <w:t>8</w:t>
      </w:r>
      <w:r>
        <w:rPr>
          <w:rFonts w:hint="eastAsia" w:ascii="宋体" w:hAnsi="宋体" w:cs="宋体"/>
          <w:szCs w:val="21"/>
          <w:highlight w:val="none"/>
        </w:rPr>
        <w:t>按照招标文件要求填写的《危险性较大的分部分项工程清单及超过一定规模的危险性较大的分部分项工程清单》。</w:t>
      </w:r>
    </w:p>
    <w:p w14:paraId="62E49D0F">
      <w:pPr>
        <w:pBdr>
          <w:bottom w:val="single" w:color="auto" w:sz="6" w:space="1"/>
        </w:pBdr>
        <w:spacing w:line="360" w:lineRule="auto"/>
        <w:ind w:firstLine="420" w:firstLineChars="200"/>
        <w:rPr>
          <w:rFonts w:hint="eastAsia" w:ascii="宋体" w:hAnsi="宋体" w:cs="宋体"/>
          <w:szCs w:val="21"/>
          <w:u w:val="single"/>
        </w:rPr>
      </w:pPr>
      <w:r>
        <w:rPr>
          <w:rFonts w:hint="eastAsia" w:ascii="宋体" w:hAnsi="宋体" w:cs="宋体"/>
          <w:szCs w:val="21"/>
          <w:highlight w:val="none"/>
        </w:rPr>
        <w:t>11.2.</w:t>
      </w:r>
      <w:r>
        <w:rPr>
          <w:rFonts w:hint="eastAsia" w:ascii="宋体" w:hAnsi="宋体" w:cs="宋体"/>
          <w:szCs w:val="21"/>
          <w:highlight w:val="none"/>
          <w:lang w:val="en-US" w:eastAsia="zh-CN"/>
        </w:rPr>
        <w:t>9</w:t>
      </w:r>
      <w:r>
        <w:rPr>
          <w:rFonts w:hint="eastAsia" w:ascii="宋体" w:hAnsi="宋体" w:cs="宋体"/>
          <w:szCs w:val="21"/>
          <w:highlight w:val="none"/>
        </w:rPr>
        <w:t>其他投标人认为应该提供的资料。</w:t>
      </w:r>
    </w:p>
    <w:p w14:paraId="6ECDA3CC">
      <w:pPr>
        <w:spacing w:line="360" w:lineRule="auto"/>
        <w:ind w:firstLine="420" w:firstLineChars="200"/>
        <w:rPr>
          <w:b/>
          <w:szCs w:val="21"/>
        </w:rPr>
      </w:pPr>
      <w:r>
        <w:rPr>
          <w:rFonts w:hint="eastAsia"/>
          <w:b/>
          <w:szCs w:val="21"/>
        </w:rPr>
        <w:t>条款号：11.3</w:t>
      </w:r>
      <w:r>
        <w:rPr>
          <w:b/>
          <w:szCs w:val="21"/>
        </w:rPr>
        <w:t xml:space="preserve">                 </w:t>
      </w:r>
      <w:r>
        <w:rPr>
          <w:rFonts w:hint="eastAsia"/>
          <w:b/>
          <w:szCs w:val="21"/>
        </w:rPr>
        <w:t>修改类型：修改</w:t>
      </w:r>
    </w:p>
    <w:p w14:paraId="6211AF16">
      <w:pPr>
        <w:spacing w:line="360" w:lineRule="auto"/>
        <w:ind w:firstLine="420" w:firstLineChars="200"/>
        <w:rPr>
          <w:szCs w:val="21"/>
        </w:rPr>
      </w:pPr>
      <w:r>
        <w:rPr>
          <w:rFonts w:hint="eastAsia"/>
          <w:b/>
          <w:szCs w:val="21"/>
        </w:rPr>
        <w:t>原文：</w:t>
      </w:r>
      <w:r>
        <w:rPr>
          <w:rFonts w:hint="eastAsia"/>
          <w:szCs w:val="21"/>
        </w:rPr>
        <w:t>11.3 经济部分投标文件主要包括下列内容：</w:t>
      </w:r>
    </w:p>
    <w:p w14:paraId="5B76C112">
      <w:pPr>
        <w:spacing w:line="360" w:lineRule="auto"/>
        <w:ind w:firstLine="420" w:firstLineChars="200"/>
        <w:rPr>
          <w:szCs w:val="21"/>
        </w:rPr>
      </w:pPr>
      <w:r>
        <w:rPr>
          <w:rFonts w:hint="eastAsia"/>
          <w:szCs w:val="21"/>
        </w:rPr>
        <w:t>11.3.1 经济投标文件(按招标文件的要求填写)。</w:t>
      </w:r>
    </w:p>
    <w:p w14:paraId="75D9C6D2">
      <w:pPr>
        <w:spacing w:line="360" w:lineRule="auto"/>
        <w:ind w:firstLine="420" w:firstLineChars="200"/>
        <w:rPr>
          <w:szCs w:val="21"/>
        </w:rPr>
      </w:pPr>
      <w:r>
        <w:rPr>
          <w:rFonts w:hint="eastAsia"/>
          <w:szCs w:val="21"/>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14:paraId="3EAD6D16">
      <w:pPr>
        <w:spacing w:line="360" w:lineRule="auto"/>
        <w:ind w:firstLine="420" w:firstLineChars="200"/>
        <w:rPr>
          <w:szCs w:val="21"/>
        </w:rPr>
      </w:pPr>
      <w:r>
        <w:rPr>
          <w:rFonts w:hint="eastAsia"/>
          <w:szCs w:val="21"/>
        </w:rPr>
        <w:t>（1）投标总价封面、扉页；</w:t>
      </w:r>
    </w:p>
    <w:p w14:paraId="1E3EB624">
      <w:pPr>
        <w:spacing w:line="360" w:lineRule="auto"/>
        <w:ind w:firstLine="420" w:firstLineChars="200"/>
        <w:rPr>
          <w:szCs w:val="21"/>
        </w:rPr>
      </w:pPr>
      <w:r>
        <w:rPr>
          <w:rFonts w:hint="eastAsia"/>
          <w:szCs w:val="21"/>
        </w:rPr>
        <w:t>（2）总说明；</w:t>
      </w:r>
    </w:p>
    <w:p w14:paraId="66DE520D">
      <w:pPr>
        <w:spacing w:line="360" w:lineRule="auto"/>
        <w:ind w:firstLine="420" w:firstLineChars="200"/>
        <w:rPr>
          <w:szCs w:val="21"/>
        </w:rPr>
      </w:pPr>
      <w:r>
        <w:rPr>
          <w:rFonts w:hint="eastAsia"/>
          <w:szCs w:val="21"/>
        </w:rPr>
        <w:t>（3）工程项目投标报价汇总表；</w:t>
      </w:r>
    </w:p>
    <w:p w14:paraId="79FEA7CB">
      <w:pPr>
        <w:spacing w:line="360" w:lineRule="auto"/>
        <w:ind w:firstLine="420" w:firstLineChars="200"/>
        <w:rPr>
          <w:szCs w:val="21"/>
        </w:rPr>
      </w:pPr>
      <w:r>
        <w:rPr>
          <w:rFonts w:hint="eastAsia"/>
          <w:szCs w:val="21"/>
        </w:rPr>
        <w:t>（4）单项工程投标报价汇总表；</w:t>
      </w:r>
    </w:p>
    <w:p w14:paraId="3978063D">
      <w:pPr>
        <w:spacing w:line="360" w:lineRule="auto"/>
        <w:ind w:firstLine="420" w:firstLineChars="200"/>
        <w:rPr>
          <w:szCs w:val="21"/>
        </w:rPr>
      </w:pPr>
      <w:r>
        <w:rPr>
          <w:rFonts w:hint="eastAsia"/>
          <w:szCs w:val="21"/>
        </w:rPr>
        <w:t>（5）单位工程投标报价汇总表；</w:t>
      </w:r>
    </w:p>
    <w:p w14:paraId="4C9436CA">
      <w:pPr>
        <w:spacing w:line="360" w:lineRule="auto"/>
        <w:ind w:firstLine="420" w:firstLineChars="200"/>
        <w:rPr>
          <w:szCs w:val="21"/>
        </w:rPr>
      </w:pPr>
      <w:r>
        <w:rPr>
          <w:rFonts w:hint="eastAsia"/>
          <w:szCs w:val="21"/>
        </w:rPr>
        <w:t>（6）分部分项工程清单与计价表；</w:t>
      </w:r>
    </w:p>
    <w:p w14:paraId="6D06BB0C">
      <w:pPr>
        <w:spacing w:line="360" w:lineRule="auto"/>
        <w:ind w:firstLine="420" w:firstLineChars="200"/>
        <w:rPr>
          <w:szCs w:val="21"/>
        </w:rPr>
      </w:pPr>
      <w:r>
        <w:rPr>
          <w:rFonts w:hint="eastAsia"/>
          <w:szCs w:val="21"/>
        </w:rPr>
        <w:t>（7）单价措施项目清单与计价表；</w:t>
      </w:r>
    </w:p>
    <w:p w14:paraId="3642A921">
      <w:pPr>
        <w:spacing w:line="360" w:lineRule="auto"/>
        <w:ind w:firstLine="420" w:firstLineChars="200"/>
        <w:rPr>
          <w:szCs w:val="21"/>
        </w:rPr>
      </w:pPr>
      <w:r>
        <w:rPr>
          <w:rFonts w:hint="eastAsia"/>
          <w:szCs w:val="21"/>
        </w:rPr>
        <w:t>（8）总价措施项目清单与计价表；</w:t>
      </w:r>
    </w:p>
    <w:p w14:paraId="365F34E0">
      <w:pPr>
        <w:spacing w:line="360" w:lineRule="auto"/>
        <w:ind w:firstLine="420" w:firstLineChars="200"/>
        <w:rPr>
          <w:szCs w:val="21"/>
        </w:rPr>
      </w:pPr>
      <w:r>
        <w:rPr>
          <w:rFonts w:hint="eastAsia"/>
          <w:szCs w:val="21"/>
        </w:rPr>
        <w:t>（9）综合单价分析表；</w:t>
      </w:r>
    </w:p>
    <w:p w14:paraId="7D7C3FB3">
      <w:pPr>
        <w:spacing w:line="360" w:lineRule="auto"/>
        <w:ind w:firstLine="420" w:firstLineChars="200"/>
        <w:rPr>
          <w:szCs w:val="21"/>
        </w:rPr>
      </w:pPr>
      <w:r>
        <w:rPr>
          <w:rFonts w:hint="eastAsia"/>
          <w:szCs w:val="21"/>
        </w:rPr>
        <w:t>（10）其他项目清单与计价汇总表；</w:t>
      </w:r>
    </w:p>
    <w:p w14:paraId="22A4BD6D">
      <w:pPr>
        <w:spacing w:line="360" w:lineRule="auto"/>
        <w:ind w:firstLine="420" w:firstLineChars="200"/>
        <w:rPr>
          <w:szCs w:val="21"/>
        </w:rPr>
      </w:pPr>
      <w:r>
        <w:rPr>
          <w:rFonts w:hint="eastAsia"/>
          <w:szCs w:val="21"/>
        </w:rPr>
        <w:t>（11）暂列金额明细表；</w:t>
      </w:r>
    </w:p>
    <w:p w14:paraId="2503BAC4">
      <w:pPr>
        <w:spacing w:line="360" w:lineRule="auto"/>
        <w:ind w:firstLine="420" w:firstLineChars="200"/>
        <w:rPr>
          <w:szCs w:val="21"/>
        </w:rPr>
      </w:pPr>
      <w:r>
        <w:rPr>
          <w:rFonts w:hint="eastAsia"/>
          <w:szCs w:val="21"/>
        </w:rPr>
        <w:t>（12）材料（工程设备）暂估价明细表；</w:t>
      </w:r>
    </w:p>
    <w:p w14:paraId="1B20C593">
      <w:pPr>
        <w:spacing w:line="360" w:lineRule="auto"/>
        <w:ind w:firstLine="420" w:firstLineChars="200"/>
        <w:rPr>
          <w:szCs w:val="21"/>
        </w:rPr>
      </w:pPr>
      <w:r>
        <w:rPr>
          <w:rFonts w:hint="eastAsia"/>
          <w:szCs w:val="21"/>
        </w:rPr>
        <w:t>（13）专业工程暂估价明细表；</w:t>
      </w:r>
    </w:p>
    <w:p w14:paraId="5348601C">
      <w:pPr>
        <w:spacing w:line="360" w:lineRule="auto"/>
        <w:ind w:firstLine="420" w:firstLineChars="200"/>
        <w:rPr>
          <w:szCs w:val="21"/>
        </w:rPr>
      </w:pPr>
      <w:r>
        <w:rPr>
          <w:rFonts w:hint="eastAsia"/>
          <w:szCs w:val="21"/>
        </w:rPr>
        <w:t>（14）计日工表；</w:t>
      </w:r>
    </w:p>
    <w:p w14:paraId="1A9BE57F">
      <w:pPr>
        <w:spacing w:line="360" w:lineRule="auto"/>
        <w:ind w:firstLine="420" w:firstLineChars="200"/>
        <w:rPr>
          <w:szCs w:val="21"/>
        </w:rPr>
      </w:pPr>
      <w:r>
        <w:rPr>
          <w:rFonts w:hint="eastAsia"/>
          <w:szCs w:val="21"/>
        </w:rPr>
        <w:t>（15）总承包服务计价表；</w:t>
      </w:r>
    </w:p>
    <w:p w14:paraId="69BFEC03">
      <w:pPr>
        <w:spacing w:line="360" w:lineRule="auto"/>
        <w:ind w:firstLine="420" w:firstLineChars="200"/>
        <w:rPr>
          <w:szCs w:val="21"/>
        </w:rPr>
      </w:pPr>
      <w:r>
        <w:rPr>
          <w:rFonts w:hint="eastAsia"/>
          <w:szCs w:val="21"/>
        </w:rPr>
        <w:t>（16）规费和税金项目计价表；</w:t>
      </w:r>
    </w:p>
    <w:p w14:paraId="02CE15BF">
      <w:pPr>
        <w:spacing w:line="360" w:lineRule="auto"/>
        <w:ind w:firstLine="420" w:firstLineChars="200"/>
        <w:rPr>
          <w:szCs w:val="21"/>
        </w:rPr>
      </w:pPr>
      <w:r>
        <w:rPr>
          <w:rFonts w:hint="eastAsia"/>
          <w:szCs w:val="21"/>
        </w:rPr>
        <w:t>（17）人工、主要材料和设备一览表</w:t>
      </w:r>
    </w:p>
    <w:p w14:paraId="3724EE05">
      <w:pPr>
        <w:spacing w:line="360" w:lineRule="auto"/>
        <w:ind w:firstLine="420" w:firstLineChars="200"/>
        <w:rPr>
          <w:szCs w:val="21"/>
        </w:rPr>
      </w:pPr>
      <w:r>
        <w:rPr>
          <w:rFonts w:hint="eastAsia"/>
          <w:szCs w:val="21"/>
        </w:rPr>
        <w:t>11.3.3按照招标文件要求填写的《参与编制经济标投标文件人员名单》。</w:t>
      </w:r>
    </w:p>
    <w:p w14:paraId="1ECC010D">
      <w:pPr>
        <w:spacing w:line="360" w:lineRule="auto"/>
        <w:ind w:firstLine="420" w:firstLineChars="200"/>
        <w:rPr>
          <w:szCs w:val="21"/>
        </w:rPr>
      </w:pPr>
      <w:r>
        <w:rPr>
          <w:rFonts w:hint="eastAsia"/>
          <w:szCs w:val="21"/>
        </w:rPr>
        <w:t>11.3.4若投标人的投标报价低于工程成本警戒价的，投标人还须提供详细的施工组织设计、单价、措施性费用、单价分析表、主要材料价格表、投标人成本分析供评标委员会评审。</w:t>
      </w:r>
    </w:p>
    <w:p w14:paraId="135101ED">
      <w:pPr>
        <w:spacing w:line="360" w:lineRule="auto"/>
        <w:ind w:firstLine="420" w:firstLineChars="200"/>
        <w:rPr>
          <w:rFonts w:hint="eastAsia" w:ascii="宋体" w:hAnsi="宋体" w:cs="宋体"/>
          <w:szCs w:val="21"/>
        </w:rPr>
      </w:pPr>
      <w:r>
        <w:rPr>
          <w:rFonts w:hint="eastAsia"/>
          <w:b/>
          <w:szCs w:val="21"/>
        </w:rPr>
        <w:t>现文：</w:t>
      </w:r>
      <w:r>
        <w:rPr>
          <w:rFonts w:hint="eastAsia" w:ascii="宋体" w:hAnsi="宋体" w:cs="宋体"/>
          <w:szCs w:val="21"/>
          <w:u w:val="single"/>
        </w:rPr>
        <w:t>11.3 经济标投标文件主要包括下列内容：</w:t>
      </w:r>
    </w:p>
    <w:p w14:paraId="25C3AF66">
      <w:pPr>
        <w:pBdr>
          <w:bottom w:val="single" w:color="auto" w:sz="4" w:space="1"/>
        </w:pBdr>
        <w:spacing w:line="360" w:lineRule="auto"/>
        <w:ind w:firstLine="420" w:firstLineChars="200"/>
        <w:rPr>
          <w:szCs w:val="21"/>
          <w:u w:val="single"/>
        </w:rPr>
      </w:pPr>
      <w:r>
        <w:rPr>
          <w:rFonts w:hint="eastAsia" w:ascii="宋体" w:hAnsi="宋体" w:cs="宋体"/>
          <w:szCs w:val="21"/>
          <w:u w:val="single"/>
        </w:rPr>
        <w:t>11.3.1</w:t>
      </w:r>
      <w:r>
        <w:rPr>
          <w:rFonts w:hint="eastAsia"/>
          <w:szCs w:val="21"/>
          <w:u w:val="single"/>
        </w:rPr>
        <w:t xml:space="preserve"> </w:t>
      </w:r>
      <w:r>
        <w:rPr>
          <w:rFonts w:hint="eastAsia" w:ascii="宋体" w:hAnsi="宋体" w:cs="宋体"/>
          <w:bCs/>
          <w:szCs w:val="21"/>
          <w:u w:val="single"/>
        </w:rPr>
        <w:t>广州建设工程施工招标投标书</w:t>
      </w:r>
      <w:r>
        <w:rPr>
          <w:rFonts w:ascii="宋体" w:hAnsi="宋体" w:cs="宋体"/>
          <w:bCs/>
          <w:szCs w:val="21"/>
          <w:u w:val="single"/>
        </w:rPr>
        <w:t>(需按招标文件第四章要求的格式填写，具体格式以《广州建设工程施工招标投标书（</w:t>
      </w:r>
      <w:r>
        <w:rPr>
          <w:rFonts w:hint="eastAsia" w:ascii="宋体" w:hAnsi="宋体" w:cs="宋体"/>
          <w:bCs/>
          <w:szCs w:val="21"/>
          <w:u w:val="single"/>
        </w:rPr>
        <w:t>经济</w:t>
      </w:r>
      <w:r>
        <w:rPr>
          <w:rFonts w:ascii="宋体" w:hAnsi="宋体" w:cs="宋体"/>
          <w:bCs/>
          <w:szCs w:val="21"/>
          <w:u w:val="single"/>
        </w:rPr>
        <w:t>标）》为准；电子投标管理软件编制的“广州建设工程施工招标投标书”不作为否决投标的条件</w:t>
      </w:r>
      <w:r>
        <w:rPr>
          <w:rFonts w:hint="eastAsia"/>
          <w:szCs w:val="21"/>
          <w:u w:val="single"/>
        </w:rPr>
        <w:t>。</w:t>
      </w:r>
    </w:p>
    <w:p w14:paraId="5F2CAEC6">
      <w:pPr>
        <w:pBdr>
          <w:bottom w:val="single" w:color="auto" w:sz="4" w:space="1"/>
        </w:pBdr>
        <w:spacing w:line="360" w:lineRule="auto"/>
        <w:ind w:firstLine="420" w:firstLineChars="200"/>
        <w:rPr>
          <w:szCs w:val="21"/>
        </w:rPr>
      </w:pPr>
      <w:r>
        <w:rPr>
          <w:rFonts w:hint="eastAsia" w:ascii="宋体" w:hAnsi="宋体" w:cs="宋体"/>
          <w:szCs w:val="21"/>
        </w:rPr>
        <w:t>11.3.2投标总价。投标人必须按招标工程量清单填报价格，工程量清单的组成、格式、项目编</w:t>
      </w:r>
      <w:r>
        <w:rPr>
          <w:rFonts w:hint="eastAsia"/>
          <w:szCs w:val="21"/>
        </w:rPr>
        <w:t>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14:paraId="5039D026">
      <w:pPr>
        <w:pBdr>
          <w:bottom w:val="single" w:color="auto" w:sz="4" w:space="1"/>
        </w:pBdr>
        <w:spacing w:line="360" w:lineRule="auto"/>
        <w:ind w:firstLine="420" w:firstLineChars="200"/>
        <w:rPr>
          <w:szCs w:val="21"/>
        </w:rPr>
      </w:pPr>
      <w:r>
        <w:rPr>
          <w:rFonts w:hint="eastAsia"/>
          <w:szCs w:val="21"/>
        </w:rPr>
        <w:t>（1）投标总价封面、扉页；</w:t>
      </w:r>
    </w:p>
    <w:p w14:paraId="54F32310">
      <w:pPr>
        <w:pBdr>
          <w:bottom w:val="single" w:color="auto" w:sz="4" w:space="1"/>
        </w:pBdr>
        <w:spacing w:line="360" w:lineRule="auto"/>
        <w:ind w:firstLine="420" w:firstLineChars="200"/>
        <w:rPr>
          <w:szCs w:val="21"/>
        </w:rPr>
      </w:pPr>
      <w:r>
        <w:rPr>
          <w:rFonts w:hint="eastAsia"/>
          <w:szCs w:val="21"/>
        </w:rPr>
        <w:t>（2）总说明；</w:t>
      </w:r>
    </w:p>
    <w:p w14:paraId="0E94EDD0">
      <w:pPr>
        <w:pBdr>
          <w:bottom w:val="single" w:color="auto" w:sz="4" w:space="1"/>
        </w:pBdr>
        <w:spacing w:line="360" w:lineRule="auto"/>
        <w:ind w:firstLine="420" w:firstLineChars="200"/>
        <w:rPr>
          <w:szCs w:val="21"/>
          <w:u w:val="single"/>
        </w:rPr>
      </w:pPr>
      <w:r>
        <w:rPr>
          <w:rFonts w:hint="eastAsia"/>
          <w:szCs w:val="21"/>
          <w:u w:val="single"/>
        </w:rPr>
        <w:t>（3）工程量清单报价表及综合单价分析表（相关表格的内容及格式要求以招标人发出的最新版电子招标文件中的相应内容及格式为准）；</w:t>
      </w:r>
    </w:p>
    <w:p w14:paraId="0274059B">
      <w:pPr>
        <w:pBdr>
          <w:bottom w:val="single" w:color="auto" w:sz="4" w:space="1"/>
        </w:pBdr>
        <w:spacing w:line="360" w:lineRule="auto"/>
        <w:ind w:firstLine="420" w:firstLineChars="200"/>
        <w:rPr>
          <w:rFonts w:hint="eastAsia" w:ascii="宋体" w:hAnsi="宋体" w:cs="宋体"/>
          <w:szCs w:val="21"/>
          <w:u w:val="single"/>
        </w:rPr>
      </w:pPr>
      <w:r>
        <w:rPr>
          <w:rFonts w:hint="eastAsia"/>
          <w:szCs w:val="21"/>
          <w:u w:val="single"/>
        </w:rPr>
        <w:t>（4）其它辅助说明资料（包括但不限于招标文件要求填写的《对投标文件编制的承诺》（格式见第四章））。</w:t>
      </w:r>
    </w:p>
    <w:p w14:paraId="3807B1E6">
      <w:pPr>
        <w:pBdr>
          <w:bottom w:val="single" w:color="auto" w:sz="4" w:space="1"/>
        </w:pBdr>
        <w:spacing w:line="360" w:lineRule="auto"/>
        <w:ind w:firstLine="420" w:firstLineChars="200"/>
        <w:rPr>
          <w:szCs w:val="21"/>
        </w:rPr>
      </w:pPr>
      <w:r>
        <w:rPr>
          <w:rFonts w:hint="eastAsia" w:ascii="宋体" w:hAnsi="宋体" w:cs="宋体"/>
          <w:szCs w:val="21"/>
        </w:rPr>
        <w:t>11.3.3</w:t>
      </w:r>
      <w:r>
        <w:rPr>
          <w:rFonts w:hint="eastAsia"/>
          <w:szCs w:val="21"/>
        </w:rPr>
        <w:t>按照招标文件要求填写的《参与编制经济标投标文件人员名单》</w:t>
      </w:r>
      <w:r>
        <w:rPr>
          <w:rFonts w:hint="eastAsia" w:ascii="宋体" w:hAnsi="宋体" w:cs="宋体"/>
          <w:szCs w:val="21"/>
          <w:u w:val="single"/>
        </w:rPr>
        <w:t>（格式见第四章）</w:t>
      </w:r>
      <w:r>
        <w:rPr>
          <w:rFonts w:hint="eastAsia"/>
          <w:szCs w:val="21"/>
        </w:rPr>
        <w:t>。</w:t>
      </w:r>
    </w:p>
    <w:p w14:paraId="1A408CF1">
      <w:pPr>
        <w:pBdr>
          <w:bottom w:val="single" w:color="auto" w:sz="4" w:space="1"/>
        </w:pBdr>
        <w:spacing w:line="360" w:lineRule="auto"/>
        <w:ind w:firstLine="420" w:firstLineChars="200"/>
        <w:rPr>
          <w:rFonts w:hint="eastAsia" w:ascii="宋体" w:hAnsi="宋体" w:cs="宋体"/>
          <w:szCs w:val="21"/>
        </w:rPr>
      </w:pPr>
      <w:r>
        <w:rPr>
          <w:rFonts w:hint="eastAsia" w:ascii="宋体" w:hAnsi="宋体" w:cs="宋体"/>
          <w:szCs w:val="21"/>
        </w:rPr>
        <w:t>11.3.4若投标人的投标报价低于工程成本警戒价的，投标人还须提供详细的施工组织设计、单价、措施性费用、单价分析表、主要材料价格表、投标人成本分析供评标委员会评审。</w:t>
      </w:r>
    </w:p>
    <w:p w14:paraId="396BAF80">
      <w:pPr>
        <w:pBdr>
          <w:bottom w:val="single" w:color="auto" w:sz="4" w:space="1"/>
        </w:pBdr>
        <w:spacing w:line="360" w:lineRule="auto"/>
        <w:ind w:firstLine="420" w:firstLineChars="200"/>
        <w:rPr>
          <w:szCs w:val="21"/>
        </w:rPr>
      </w:pPr>
      <w:r>
        <w:rPr>
          <w:rFonts w:hint="eastAsia" w:ascii="宋体" w:hAnsi="宋体" w:cs="宋体"/>
          <w:szCs w:val="21"/>
          <w:u w:val="single"/>
        </w:rPr>
        <w:t>11.3.5投标人认为应提供的其他资料。</w:t>
      </w:r>
    </w:p>
    <w:p w14:paraId="733892F2">
      <w:pPr>
        <w:spacing w:line="360" w:lineRule="auto"/>
        <w:ind w:firstLine="470" w:firstLineChars="224"/>
        <w:rPr>
          <w:rFonts w:hint="eastAsia" w:ascii="宋体" w:hAnsi="宋体" w:cs="宋体"/>
          <w:b/>
          <w:szCs w:val="21"/>
        </w:rPr>
      </w:pPr>
      <w:r>
        <w:rPr>
          <w:rFonts w:hint="eastAsia" w:ascii="宋体" w:hAnsi="宋体" w:cs="宋体"/>
          <w:b/>
          <w:szCs w:val="21"/>
        </w:rPr>
        <w:t>条款号：12.2                     修改类型：修改</w:t>
      </w:r>
    </w:p>
    <w:p w14:paraId="5C6A38C3">
      <w:pPr>
        <w:spacing w:line="360" w:lineRule="auto"/>
        <w:ind w:firstLine="420" w:firstLineChars="200"/>
        <w:rPr>
          <w:rFonts w:hint="eastAsia" w:ascii="宋体" w:hAnsi="宋体" w:cs="宋体"/>
          <w:szCs w:val="21"/>
        </w:rPr>
      </w:pPr>
      <w:r>
        <w:rPr>
          <w:rFonts w:hint="eastAsia" w:ascii="宋体" w:hAnsi="宋体" w:cs="宋体"/>
          <w:b/>
          <w:szCs w:val="21"/>
        </w:rPr>
        <w:t>原文：</w:t>
      </w:r>
      <w:r>
        <w:rPr>
          <w:rFonts w:hint="eastAsia" w:ascii="宋体" w:hAnsi="宋体" w:cs="宋体"/>
          <w:szCs w:val="21"/>
        </w:rPr>
        <w:t>12.2 投标文件全部采用电子文档，投标文件所附证书证件均为原件扫描件，并采用单位数字证书，按招标文件要求在相应位置加盖电子印章。投标文件中需个人签字或盖章的，应手签后扫描上传。按照交易平台关于全流程电子化项目的相关指南进行操作。详见：</w:t>
      </w:r>
      <w:r>
        <w:rPr>
          <w:rFonts w:hint="eastAsia" w:ascii="宋体" w:hAnsi="宋体" w:cs="宋体"/>
          <w:szCs w:val="21"/>
          <w:u w:val="single"/>
        </w:rPr>
        <w:t xml:space="preserve">           </w:t>
      </w:r>
      <w:r>
        <w:rPr>
          <w:rFonts w:hint="eastAsia" w:ascii="宋体" w:hAnsi="宋体" w:cs="宋体"/>
          <w:szCs w:val="21"/>
        </w:rPr>
        <w:t>。</w:t>
      </w:r>
    </w:p>
    <w:p w14:paraId="72106B93">
      <w:pPr>
        <w:pBdr>
          <w:bottom w:val="single" w:color="auto" w:sz="6" w:space="1"/>
        </w:pBdr>
        <w:spacing w:line="360" w:lineRule="auto"/>
        <w:ind w:firstLine="420" w:firstLineChars="200"/>
        <w:rPr>
          <w:szCs w:val="21"/>
        </w:rPr>
      </w:pPr>
      <w:r>
        <w:rPr>
          <w:rFonts w:hint="eastAsia" w:ascii="宋体" w:hAnsi="宋体" w:cs="宋体"/>
          <w:b/>
          <w:szCs w:val="21"/>
        </w:rPr>
        <w:t>现文：</w:t>
      </w:r>
      <w:r>
        <w:rPr>
          <w:rFonts w:hint="eastAsia" w:ascii="宋体" w:hAnsi="宋体"/>
          <w:szCs w:val="21"/>
        </w:rPr>
        <w:t xml:space="preserve">12.2 </w:t>
      </w:r>
      <w:r>
        <w:rPr>
          <w:rFonts w:hint="eastAsia" w:ascii="宋体" w:hAnsi="宋体"/>
          <w:bCs/>
          <w:szCs w:val="21"/>
        </w:rPr>
        <w:t>投标文件全部采用电子文档，投标文件所附证书证件均为原件扫描件，并采用单位数字证书，按招标文件要求在相应位置加盖电子印章。投标文件中需个人签字或盖章的，</w:t>
      </w:r>
      <w:r>
        <w:rPr>
          <w:rFonts w:hint="eastAsia" w:ascii="宋体" w:hAnsi="宋体"/>
          <w:b/>
          <w:szCs w:val="21"/>
          <w:u w:val="single"/>
        </w:rPr>
        <w:t>应加盖个人电子印章或在线下完成后扫描上传（由广州投标文件管理软件系统生成的“工程量清单主表--工程量清单报价表”封面页和扉页可以仅采用单位数字证书加盖电子印章处理）。</w:t>
      </w:r>
      <w:r>
        <w:rPr>
          <w:rFonts w:hint="eastAsia" w:ascii="宋体" w:hAnsi="宋体"/>
          <w:bCs/>
          <w:szCs w:val="21"/>
        </w:rPr>
        <w:t>按照交易平台关于全流程电子化项目的相关指南进行操作。详见：</w:t>
      </w:r>
      <w:r>
        <w:rPr>
          <w:rFonts w:hint="eastAsia" w:ascii="宋体" w:hAnsi="宋体" w:cs="宋体"/>
          <w:szCs w:val="21"/>
          <w:u w:val="single"/>
        </w:rPr>
        <w:t>广州交易集团有限公司（广州公共资源交易中心）网站最新指引</w:t>
      </w:r>
      <w:r>
        <w:rPr>
          <w:rFonts w:hint="eastAsia"/>
          <w:szCs w:val="21"/>
        </w:rPr>
        <w:t>。</w:t>
      </w:r>
    </w:p>
    <w:p w14:paraId="7AFBE554">
      <w:pPr>
        <w:pBdr>
          <w:bottom w:val="single" w:color="auto" w:sz="6" w:space="1"/>
        </w:pBdr>
        <w:spacing w:line="360" w:lineRule="auto"/>
        <w:ind w:firstLine="420" w:firstLineChars="200"/>
        <w:rPr>
          <w:b/>
          <w:szCs w:val="21"/>
        </w:rPr>
      </w:pPr>
      <w:r>
        <w:rPr>
          <w:rFonts w:hint="eastAsia"/>
          <w:b/>
          <w:szCs w:val="21"/>
        </w:rPr>
        <w:t>注释：投标文件电子文档需要投标人单位盖章的材料，投标人加盖电子印章即可，不得将投标人未对电子文档加盖实物印章作为否决投标的情形。</w:t>
      </w:r>
    </w:p>
    <w:p w14:paraId="2C99BC55">
      <w:pPr>
        <w:spacing w:line="360" w:lineRule="auto"/>
        <w:ind w:firstLine="409" w:firstLineChars="195"/>
        <w:textAlignment w:val="baseline"/>
        <w:rPr>
          <w:rFonts w:hint="eastAsia" w:ascii="宋体" w:hAnsi="宋体" w:cs="宋体"/>
          <w:b/>
          <w:szCs w:val="21"/>
        </w:rPr>
      </w:pPr>
      <w:r>
        <w:rPr>
          <w:rFonts w:hint="eastAsia" w:ascii="宋体" w:hAnsi="宋体" w:cs="宋体"/>
          <w:b/>
          <w:szCs w:val="21"/>
        </w:rPr>
        <w:t>条款号：12.3                        修改类型：修改</w:t>
      </w:r>
    </w:p>
    <w:p w14:paraId="20DAC340">
      <w:pPr>
        <w:spacing w:line="360" w:lineRule="auto"/>
        <w:ind w:firstLine="409" w:firstLineChars="195"/>
        <w:textAlignment w:val="baseline"/>
        <w:rPr>
          <w:rFonts w:hint="eastAsia" w:ascii="宋体" w:hAnsi="宋体" w:cs="宋体"/>
          <w:szCs w:val="21"/>
        </w:rPr>
      </w:pPr>
      <w:r>
        <w:rPr>
          <w:rFonts w:hint="eastAsia" w:ascii="宋体" w:hAnsi="宋体" w:cs="宋体"/>
          <w:b/>
          <w:szCs w:val="21"/>
        </w:rPr>
        <w:t>原文：</w:t>
      </w:r>
      <w:r>
        <w:rPr>
          <w:rFonts w:hint="eastAsia" w:ascii="宋体" w:hAnsi="宋体" w:cs="宋体"/>
          <w:szCs w:val="21"/>
        </w:rPr>
        <w:t>12.3投标文件应按照交易平台关于全流程电子化项目的相关指南进行编制，详见：</w:t>
      </w:r>
      <w:r>
        <w:rPr>
          <w:rFonts w:hint="eastAsia" w:ascii="宋体" w:hAnsi="宋体" w:cs="宋体"/>
          <w:szCs w:val="21"/>
          <w:u w:val="single"/>
        </w:rPr>
        <w:t xml:space="preserve">            </w:t>
      </w:r>
      <w:r>
        <w:rPr>
          <w:rFonts w:hint="eastAsia" w:ascii="宋体" w:hAnsi="宋体" w:cs="宋体"/>
          <w:szCs w:val="21"/>
        </w:rPr>
        <w:t>。</w:t>
      </w:r>
    </w:p>
    <w:p w14:paraId="038134D6">
      <w:pPr>
        <w:spacing w:line="360" w:lineRule="auto"/>
        <w:ind w:firstLine="409" w:firstLineChars="195"/>
        <w:textAlignment w:val="baseline"/>
        <w:rPr>
          <w:rFonts w:hint="eastAsia" w:ascii="宋体" w:hAnsi="宋体" w:cs="宋体"/>
          <w:b/>
          <w:szCs w:val="21"/>
        </w:rPr>
      </w:pPr>
      <w:r>
        <w:rPr>
          <w:rFonts w:hint="eastAsia" w:ascii="宋体" w:hAnsi="宋体" w:cs="宋体"/>
          <w:bCs/>
          <w:szCs w:val="21"/>
        </w:rPr>
        <w:t>如不按上述要求编制引起系统无法检索、读取相关信息的，其后果由投标人承担。</w:t>
      </w:r>
    </w:p>
    <w:p w14:paraId="0ED4AD44">
      <w:pPr>
        <w:pBdr>
          <w:bottom w:val="single" w:color="auto" w:sz="6" w:space="1"/>
        </w:pBdr>
        <w:spacing w:line="360" w:lineRule="auto"/>
        <w:ind w:firstLine="409" w:firstLineChars="195"/>
        <w:textAlignment w:val="baseline"/>
        <w:rPr>
          <w:rFonts w:hint="eastAsia" w:ascii="宋体" w:hAnsi="宋体" w:cs="宋体"/>
          <w:szCs w:val="21"/>
        </w:rPr>
      </w:pPr>
      <w:r>
        <w:rPr>
          <w:rFonts w:hint="eastAsia" w:ascii="宋体" w:hAnsi="宋体" w:cs="宋体"/>
          <w:b/>
          <w:szCs w:val="21"/>
        </w:rPr>
        <w:t>现文：</w:t>
      </w:r>
      <w:r>
        <w:rPr>
          <w:rFonts w:hint="eastAsia" w:ascii="宋体" w:hAnsi="宋体" w:cs="宋体"/>
          <w:szCs w:val="21"/>
        </w:rPr>
        <w:t>12.3</w:t>
      </w:r>
      <w:r>
        <w:rPr>
          <w:rFonts w:hint="eastAsia" w:ascii="宋体" w:hAnsi="宋体" w:cs="宋体"/>
          <w:bCs/>
          <w:szCs w:val="21"/>
        </w:rPr>
        <w:t>投标文件应按</w:t>
      </w:r>
      <w:r>
        <w:rPr>
          <w:rFonts w:hint="eastAsia" w:ascii="宋体" w:hAnsi="宋体" w:cs="宋体"/>
          <w:szCs w:val="21"/>
        </w:rPr>
        <w:t>照</w:t>
      </w:r>
      <w:r>
        <w:rPr>
          <w:rFonts w:hint="eastAsia" w:ascii="宋体" w:hAnsi="宋体" w:cs="宋体"/>
          <w:szCs w:val="21"/>
          <w:u w:val="single"/>
        </w:rPr>
        <w:t>广州交易集团有限公司（广州公共资源交易中心）</w:t>
      </w:r>
      <w:r>
        <w:rPr>
          <w:rFonts w:hint="eastAsia" w:ascii="宋体" w:hAnsi="宋体" w:cs="宋体"/>
          <w:szCs w:val="21"/>
        </w:rPr>
        <w:t>交易平台关于全流程电子化项目的相关指南进行编制，详见：</w:t>
      </w:r>
      <w:r>
        <w:rPr>
          <w:rFonts w:hint="eastAsia" w:ascii="宋体" w:hAnsi="宋体" w:cs="宋体"/>
          <w:szCs w:val="21"/>
          <w:u w:val="single"/>
        </w:rPr>
        <w:t>广州交易集团有限公司（广州公共资源交易中心）网站最新指引</w:t>
      </w:r>
      <w:r>
        <w:rPr>
          <w:rFonts w:hint="eastAsia" w:ascii="宋体" w:hAnsi="宋体" w:cs="宋体"/>
          <w:szCs w:val="21"/>
        </w:rPr>
        <w:t>。</w:t>
      </w:r>
    </w:p>
    <w:p w14:paraId="1007D409">
      <w:pPr>
        <w:pBdr>
          <w:bottom w:val="single" w:color="auto" w:sz="6" w:space="1"/>
        </w:pBdr>
        <w:spacing w:line="360" w:lineRule="auto"/>
        <w:ind w:firstLine="409" w:firstLineChars="195"/>
        <w:textAlignment w:val="baseline"/>
        <w:rPr>
          <w:rFonts w:hint="eastAsia" w:ascii="宋体" w:hAnsi="宋体" w:cs="宋体"/>
          <w:b/>
          <w:szCs w:val="21"/>
        </w:rPr>
      </w:pPr>
      <w:r>
        <w:rPr>
          <w:rFonts w:hint="eastAsia" w:ascii="宋体" w:hAnsi="宋体" w:cs="宋体"/>
          <w:bCs/>
          <w:szCs w:val="21"/>
        </w:rPr>
        <w:t>如不按上述要求编制引起系统无法检索、读取相关信息的，其后果由投标人承担。</w:t>
      </w:r>
    </w:p>
    <w:p w14:paraId="175E17F1">
      <w:pPr>
        <w:spacing w:line="480" w:lineRule="auto"/>
        <w:ind w:firstLine="470" w:firstLineChars="224"/>
        <w:rPr>
          <w:rFonts w:hint="eastAsia" w:ascii="宋体" w:hAnsi="宋体" w:cs="宋体"/>
          <w:b/>
          <w:szCs w:val="21"/>
        </w:rPr>
      </w:pPr>
      <w:r>
        <w:rPr>
          <w:rFonts w:hint="eastAsia" w:ascii="宋体" w:hAnsi="宋体" w:cs="宋体"/>
          <w:b/>
          <w:szCs w:val="21"/>
        </w:rPr>
        <w:t>条款号：13.1             修改类型：修改</w:t>
      </w:r>
    </w:p>
    <w:p w14:paraId="0FC934A6">
      <w:pPr>
        <w:spacing w:line="360" w:lineRule="auto"/>
        <w:ind w:firstLine="470" w:firstLineChars="224"/>
        <w:rPr>
          <w:rFonts w:hint="eastAsia" w:ascii="宋体" w:hAnsi="宋体" w:cs="宋体"/>
          <w:b/>
          <w:szCs w:val="21"/>
        </w:rPr>
      </w:pPr>
      <w:r>
        <w:rPr>
          <w:rFonts w:hint="eastAsia" w:ascii="宋体" w:hAnsi="宋体" w:cs="宋体"/>
          <w:b/>
          <w:szCs w:val="21"/>
        </w:rPr>
        <w:t>原文：</w:t>
      </w:r>
      <w:r>
        <w:rPr>
          <w:rFonts w:hint="eastAsia" w:ascii="宋体" w:hAnsi="宋体" w:cs="宋体"/>
          <w:b/>
          <w:bCs/>
          <w:szCs w:val="21"/>
        </w:rPr>
        <w:t>13.1</w:t>
      </w:r>
      <w:r>
        <w:rPr>
          <w:rFonts w:hint="eastAsia" w:ascii="宋体" w:hAnsi="宋体" w:cs="宋体"/>
          <w:szCs w:val="21"/>
        </w:rPr>
        <w:t>本工程的投标报价采用投标须知前附表第12项所规定的方式。投标报价（含单价及总价）精确到“分”。</w:t>
      </w:r>
    </w:p>
    <w:p w14:paraId="34F56B58">
      <w:pPr>
        <w:pBdr>
          <w:bottom w:val="single" w:color="auto" w:sz="6" w:space="1"/>
        </w:pBdr>
        <w:spacing w:line="360" w:lineRule="auto"/>
        <w:ind w:firstLine="525" w:firstLineChars="250"/>
        <w:rPr>
          <w:rFonts w:hint="eastAsia" w:ascii="宋体" w:hAnsi="宋体" w:cs="宋体"/>
          <w:szCs w:val="21"/>
          <w:u w:val="single"/>
        </w:rPr>
      </w:pPr>
      <w:r>
        <w:rPr>
          <w:rFonts w:hint="eastAsia" w:ascii="宋体" w:hAnsi="宋体" w:cs="宋体"/>
          <w:b/>
          <w:szCs w:val="21"/>
        </w:rPr>
        <w:t>现文：</w:t>
      </w:r>
      <w:r>
        <w:rPr>
          <w:rFonts w:hint="eastAsia" w:ascii="宋体" w:hAnsi="宋体" w:cs="宋体"/>
          <w:b/>
          <w:bCs/>
          <w:szCs w:val="21"/>
        </w:rPr>
        <w:t>13.1</w:t>
      </w:r>
      <w:r>
        <w:rPr>
          <w:rFonts w:hint="eastAsia" w:ascii="宋体" w:hAnsi="宋体" w:cs="宋体"/>
          <w:szCs w:val="21"/>
        </w:rPr>
        <w:t>本工程的投标报价采用投标须知前附表第12项所规定的方式。</w:t>
      </w:r>
      <w:r>
        <w:rPr>
          <w:rFonts w:hint="eastAsia" w:ascii="宋体" w:hAnsi="宋体" w:cs="宋体"/>
          <w:szCs w:val="21"/>
          <w:u w:val="single"/>
        </w:rPr>
        <w:t>投标文件中的大写金额和小写金额不一致的，以大写金额为准，</w:t>
      </w:r>
      <w:r>
        <w:rPr>
          <w:rFonts w:hint="eastAsia" w:ascii="宋体" w:hAnsi="宋体" w:cs="宋体"/>
          <w:szCs w:val="21"/>
        </w:rPr>
        <w:t>投标报价（含单价及总价）精确到“分”。</w:t>
      </w:r>
      <w:r>
        <w:rPr>
          <w:rFonts w:hint="eastAsia" w:ascii="宋体" w:hAnsi="宋体" w:cs="宋体"/>
          <w:szCs w:val="21"/>
          <w:u w:val="single"/>
        </w:rPr>
        <w:t>投标人的投标总报价高于招标人公布的最高投标限价的投标文件将被拒绝。</w:t>
      </w:r>
    </w:p>
    <w:p w14:paraId="4623DACC">
      <w:pPr>
        <w:spacing w:line="360" w:lineRule="auto"/>
        <w:ind w:firstLine="409" w:firstLineChars="195"/>
        <w:rPr>
          <w:rFonts w:hint="eastAsia" w:ascii="宋体" w:hAnsi="宋体" w:cs="宋体"/>
          <w:b/>
          <w:szCs w:val="21"/>
        </w:rPr>
      </w:pPr>
      <w:r>
        <w:rPr>
          <w:rFonts w:hint="eastAsia" w:ascii="宋体" w:hAnsi="宋体" w:cs="宋体"/>
          <w:b/>
          <w:szCs w:val="21"/>
        </w:rPr>
        <w:t>条款号：13.3                        修改类型：修改</w:t>
      </w:r>
    </w:p>
    <w:p w14:paraId="688D970E">
      <w:pPr>
        <w:spacing w:line="360" w:lineRule="auto"/>
        <w:ind w:firstLine="409" w:firstLineChars="195"/>
        <w:rPr>
          <w:rFonts w:hint="eastAsia" w:ascii="宋体" w:hAnsi="宋体" w:cs="宋体"/>
          <w:b/>
          <w:szCs w:val="21"/>
        </w:rPr>
      </w:pPr>
      <w:r>
        <w:rPr>
          <w:rFonts w:hint="eastAsia" w:ascii="宋体" w:hAnsi="宋体" w:cs="宋体"/>
          <w:b/>
          <w:szCs w:val="21"/>
        </w:rPr>
        <w:t>原文：</w:t>
      </w:r>
      <w:r>
        <w:rPr>
          <w:rFonts w:hint="eastAsia" w:ascii="宋体" w:hAnsi="宋体" w:cs="宋体"/>
          <w:szCs w:val="21"/>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1AE8D0DA">
      <w:pPr>
        <w:pBdr>
          <w:bottom w:val="single" w:color="auto" w:sz="6" w:space="1"/>
        </w:pBdr>
        <w:spacing w:line="360" w:lineRule="auto"/>
        <w:ind w:firstLine="409" w:firstLineChars="195"/>
        <w:rPr>
          <w:rFonts w:hint="eastAsia" w:ascii="宋体" w:hAnsi="宋体" w:cs="宋体"/>
          <w:szCs w:val="21"/>
        </w:rPr>
      </w:pPr>
      <w:r>
        <w:rPr>
          <w:rFonts w:hint="eastAsia" w:ascii="宋体" w:hAnsi="宋体" w:cs="宋体"/>
          <w:b/>
          <w:szCs w:val="21"/>
        </w:rPr>
        <w:t>现文：</w:t>
      </w:r>
      <w:r>
        <w:rPr>
          <w:rFonts w:hint="eastAsia" w:ascii="宋体" w:hAnsi="宋体" w:cs="宋体"/>
          <w:szCs w:val="21"/>
        </w:rPr>
        <w:t>13.3投标人的投标报价，应是按照投标须知前附表第8项的工期要求，在投标须知前附表第3项的建设地点，完成投标须知前附表第7项的招标范围内已由招标人</w:t>
      </w:r>
      <w:r>
        <w:rPr>
          <w:rFonts w:hint="eastAsia" w:ascii="宋体" w:hAnsi="宋体" w:cs="宋体"/>
          <w:szCs w:val="21"/>
          <w:u w:val="single"/>
        </w:rPr>
        <w:t>提供的招标图纸（包括有关于本项目招标的相关资料）及</w:t>
      </w:r>
      <w:r>
        <w:rPr>
          <w:rFonts w:hint="eastAsia" w:ascii="宋体" w:hAnsi="宋体" w:cs="宋体"/>
          <w:szCs w:val="21"/>
        </w:rPr>
        <w:t>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70A0E9B9">
      <w:pPr>
        <w:spacing w:line="360" w:lineRule="auto"/>
        <w:ind w:firstLine="420" w:firstLineChars="200"/>
        <w:rPr>
          <w:rFonts w:hint="eastAsia" w:ascii="宋体" w:hAnsi="宋体" w:cs="宋体"/>
          <w:b/>
          <w:szCs w:val="21"/>
        </w:rPr>
      </w:pPr>
      <w:r>
        <w:rPr>
          <w:rFonts w:hint="eastAsia" w:ascii="宋体" w:hAnsi="宋体" w:cs="宋体"/>
          <w:b/>
          <w:szCs w:val="21"/>
        </w:rPr>
        <w:t>条款号：13.4</w:t>
      </w:r>
      <w:r>
        <w:rPr>
          <w:rFonts w:ascii="宋体" w:hAnsi="宋体" w:cs="宋体"/>
          <w:b/>
          <w:szCs w:val="21"/>
        </w:rPr>
        <w:t xml:space="preserve">             </w:t>
      </w:r>
      <w:r>
        <w:rPr>
          <w:rFonts w:hint="eastAsia" w:ascii="宋体" w:hAnsi="宋体" w:cs="宋体"/>
          <w:b/>
          <w:szCs w:val="21"/>
        </w:rPr>
        <w:t>修改类型：修改</w:t>
      </w:r>
    </w:p>
    <w:p w14:paraId="683356B1">
      <w:pPr>
        <w:spacing w:line="360" w:lineRule="auto"/>
        <w:ind w:firstLine="420" w:firstLineChars="200"/>
        <w:rPr>
          <w:rFonts w:hint="eastAsia" w:ascii="宋体" w:hAnsi="宋体" w:cs="宋体"/>
          <w:szCs w:val="21"/>
        </w:rPr>
      </w:pPr>
      <w:r>
        <w:rPr>
          <w:rFonts w:hint="eastAsia" w:ascii="宋体" w:hAnsi="宋体" w:cs="宋体"/>
          <w:b/>
          <w:szCs w:val="21"/>
        </w:rPr>
        <w:t>原文：13.4</w:t>
      </w:r>
      <w:r>
        <w:rPr>
          <w:rFonts w:hint="eastAsia" w:ascii="宋体" w:hAnsi="宋体" w:cs="宋体"/>
          <w:szCs w:val="21"/>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1491A124">
      <w:pPr>
        <w:pBdr>
          <w:bottom w:val="single" w:color="auto" w:sz="4" w:space="1"/>
        </w:pBdr>
        <w:spacing w:line="360" w:lineRule="auto"/>
        <w:ind w:firstLine="420" w:firstLineChars="200"/>
        <w:rPr>
          <w:rFonts w:hint="eastAsia" w:ascii="宋体" w:hAnsi="宋体" w:cs="宋体"/>
          <w:szCs w:val="21"/>
          <w:u w:val="single"/>
        </w:rPr>
      </w:pPr>
      <w:r>
        <w:rPr>
          <w:rFonts w:hint="eastAsia" w:ascii="宋体" w:hAnsi="宋体" w:cs="宋体"/>
          <w:b/>
          <w:szCs w:val="21"/>
        </w:rPr>
        <w:t>现文：</w:t>
      </w:r>
      <w:r>
        <w:rPr>
          <w:rFonts w:hint="eastAsia" w:ascii="宋体" w:hAnsi="宋体" w:cs="宋体"/>
          <w:bCs/>
          <w:szCs w:val="21"/>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w:t>
      </w:r>
      <w:r>
        <w:rPr>
          <w:rFonts w:hint="eastAsia" w:ascii="宋体" w:hAnsi="宋体" w:cs="宋体"/>
          <w:bCs/>
          <w:szCs w:val="21"/>
          <w:u w:val="single"/>
        </w:rPr>
        <w:t>按合同条款相关约定调整。</w:t>
      </w:r>
    </w:p>
    <w:p w14:paraId="31DF9794">
      <w:pPr>
        <w:spacing w:line="360" w:lineRule="auto"/>
        <w:ind w:firstLine="420" w:firstLineChars="200"/>
        <w:rPr>
          <w:rFonts w:hint="eastAsia" w:ascii="宋体" w:hAnsi="宋体" w:cs="宋体"/>
          <w:b/>
          <w:szCs w:val="21"/>
        </w:rPr>
      </w:pPr>
      <w:r>
        <w:rPr>
          <w:rFonts w:hint="eastAsia" w:ascii="宋体" w:hAnsi="宋体" w:cs="宋体"/>
          <w:b/>
          <w:szCs w:val="21"/>
        </w:rPr>
        <w:t>条款号：13.5  13.5.1  13.5.2  13.5.3  13.5.4          修改类型：修改</w:t>
      </w:r>
    </w:p>
    <w:p w14:paraId="69C6D6C4">
      <w:pPr>
        <w:pStyle w:val="50"/>
        <w:pBdr>
          <w:bottom w:val="single" w:color="auto" w:sz="6" w:space="1"/>
        </w:pBdr>
        <w:spacing w:after="0" w:line="360" w:lineRule="auto"/>
        <w:ind w:firstLine="420" w:firstLineChars="200"/>
        <w:rPr>
          <w:rFonts w:hint="eastAsia" w:ascii="宋体" w:hAnsi="宋体" w:cs="宋体"/>
          <w:szCs w:val="21"/>
        </w:rPr>
      </w:pPr>
      <w:r>
        <w:rPr>
          <w:rFonts w:hint="eastAsia" w:ascii="宋体" w:hAnsi="宋体" w:eastAsia="宋体" w:cs="宋体"/>
          <w:b/>
          <w:szCs w:val="21"/>
        </w:rPr>
        <w:t>原文：</w:t>
      </w:r>
      <w:r>
        <w:rPr>
          <w:rFonts w:hint="eastAsia" w:ascii="宋体" w:hAnsi="宋体" w:eastAsia="宋体" w:cs="宋体"/>
          <w:b/>
          <w:bCs/>
          <w:szCs w:val="21"/>
        </w:rPr>
        <w:t>13.5</w:t>
      </w:r>
      <w:r>
        <w:rPr>
          <w:rFonts w:hint="eastAsia" w:ascii="宋体" w:hAnsi="宋体" w:eastAsia="宋体" w:cs="宋体"/>
          <w:szCs w:val="21"/>
        </w:rPr>
        <w:t>工程项目实施期间……，中标后双方协商约定。</w:t>
      </w:r>
    </w:p>
    <w:p w14:paraId="0C29FA6B">
      <w:pPr>
        <w:pStyle w:val="50"/>
        <w:pBdr>
          <w:bottom w:val="single" w:color="auto" w:sz="6" w:space="1"/>
        </w:pBdr>
        <w:spacing w:after="0" w:line="360" w:lineRule="auto"/>
        <w:ind w:firstLine="420" w:firstLineChars="200"/>
        <w:rPr>
          <w:rFonts w:hint="eastAsia" w:ascii="宋体" w:hAnsi="宋体" w:cs="宋体"/>
          <w:szCs w:val="21"/>
          <w:u w:val="single"/>
        </w:rPr>
      </w:pPr>
      <w:r>
        <w:rPr>
          <w:rFonts w:hint="eastAsia" w:ascii="宋体" w:hAnsi="宋体" w:eastAsia="宋体" w:cs="宋体"/>
          <w:b/>
          <w:szCs w:val="21"/>
        </w:rPr>
        <w:t>现文：13.5</w:t>
      </w:r>
      <w:r>
        <w:rPr>
          <w:rFonts w:hint="eastAsia" w:ascii="宋体" w:hAnsi="宋体" w:eastAsia="宋体" w:cs="宋体"/>
          <w:szCs w:val="21"/>
          <w:u w:val="single"/>
        </w:rPr>
        <w:t>变更结算方式按招标文件及施工合同相关规定执行。</w:t>
      </w:r>
    </w:p>
    <w:p w14:paraId="41788CD9">
      <w:pPr>
        <w:spacing w:line="360" w:lineRule="auto"/>
        <w:ind w:firstLine="420" w:firstLineChars="200"/>
        <w:rPr>
          <w:rFonts w:hint="eastAsia" w:ascii="宋体" w:hAnsi="宋体" w:cs="宋体"/>
          <w:b/>
          <w:szCs w:val="21"/>
        </w:rPr>
      </w:pPr>
      <w:r>
        <w:rPr>
          <w:rFonts w:hint="eastAsia" w:ascii="宋体" w:hAnsi="宋体" w:cs="宋体"/>
          <w:b/>
          <w:szCs w:val="21"/>
        </w:rPr>
        <w:t>条款号：13.6.2         修改类型：修改</w:t>
      </w:r>
    </w:p>
    <w:p w14:paraId="48C04097">
      <w:pPr>
        <w:pStyle w:val="50"/>
        <w:pBdr>
          <w:bottom w:val="single" w:color="auto" w:sz="6" w:space="1"/>
        </w:pBdr>
        <w:spacing w:after="0" w:line="360" w:lineRule="auto"/>
        <w:ind w:firstLine="420" w:firstLineChars="200"/>
        <w:rPr>
          <w:rFonts w:hint="eastAsia" w:ascii="宋体" w:hAnsi="宋体" w:cs="宋体"/>
          <w:szCs w:val="21"/>
        </w:rPr>
      </w:pPr>
      <w:r>
        <w:rPr>
          <w:rFonts w:hint="eastAsia" w:ascii="宋体" w:hAnsi="宋体" w:eastAsia="宋体" w:cs="宋体"/>
          <w:b/>
          <w:szCs w:val="21"/>
        </w:rPr>
        <w:t>原文：</w:t>
      </w:r>
      <w:r>
        <w:rPr>
          <w:rFonts w:hint="eastAsia" w:ascii="宋体" w:hAnsi="宋体" w:eastAsia="宋体" w:cs="宋体"/>
          <w:b/>
          <w:bCs/>
          <w:szCs w:val="21"/>
        </w:rPr>
        <w:t>13.5</w:t>
      </w:r>
      <w:r>
        <w:rPr>
          <w:rFonts w:hint="eastAsia" w:ascii="宋体" w:hAnsi="宋体" w:eastAsia="宋体" w:cs="宋体"/>
          <w:bCs/>
          <w:szCs w:val="21"/>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127ABFF1">
      <w:pPr>
        <w:pStyle w:val="50"/>
        <w:pBdr>
          <w:bottom w:val="single" w:color="auto" w:sz="6" w:space="1"/>
        </w:pBdr>
        <w:spacing w:after="0" w:line="360" w:lineRule="auto"/>
        <w:ind w:firstLine="420" w:firstLineChars="200"/>
        <w:rPr>
          <w:rFonts w:hint="eastAsia" w:ascii="宋体" w:hAnsi="宋体" w:cs="宋体"/>
          <w:szCs w:val="21"/>
          <w:u w:val="single"/>
        </w:rPr>
      </w:pPr>
      <w:r>
        <w:rPr>
          <w:rFonts w:hint="eastAsia" w:ascii="宋体" w:hAnsi="宋体" w:eastAsia="宋体" w:cs="宋体"/>
          <w:b/>
          <w:szCs w:val="21"/>
        </w:rPr>
        <w:t>现文：13.5</w:t>
      </w:r>
      <w:r>
        <w:rPr>
          <w:rFonts w:hint="eastAsia" w:ascii="宋体" w:hAnsi="宋体" w:eastAsia="宋体" w:cs="宋体"/>
          <w:bCs/>
          <w:szCs w:val="21"/>
        </w:rPr>
        <w:t>在工程实施中，暂列金额、暂估价所包含的工作范围和图纸、标准深化固定后，按照工程专业、设备、材料类别等分类汇总的金额，达到法定招标范围标准的，</w:t>
      </w:r>
      <w:r>
        <w:rPr>
          <w:rFonts w:hint="eastAsia" w:ascii="宋体" w:hAnsi="宋体" w:eastAsia="宋体" w:cs="宋体"/>
          <w:szCs w:val="21"/>
          <w:u w:val="single"/>
        </w:rPr>
        <w:t>按施工合同相关规定执行。</w:t>
      </w:r>
    </w:p>
    <w:p w14:paraId="0A224749">
      <w:pPr>
        <w:spacing w:line="360" w:lineRule="auto"/>
        <w:ind w:firstLine="420" w:firstLineChars="200"/>
        <w:rPr>
          <w:rFonts w:hint="eastAsia" w:ascii="宋体" w:hAnsi="宋体" w:cs="宋体"/>
          <w:b/>
          <w:szCs w:val="21"/>
        </w:rPr>
      </w:pPr>
      <w:r>
        <w:rPr>
          <w:rFonts w:hint="eastAsia" w:ascii="宋体" w:hAnsi="宋体" w:cs="宋体"/>
          <w:b/>
          <w:szCs w:val="21"/>
        </w:rPr>
        <w:t>条款号：13.9             修改类型：修改</w:t>
      </w:r>
    </w:p>
    <w:p w14:paraId="601580FA">
      <w:pPr>
        <w:pBdr>
          <w:bottom w:val="single" w:color="auto" w:sz="6" w:space="1"/>
        </w:pBdr>
        <w:spacing w:line="360" w:lineRule="auto"/>
        <w:ind w:firstLine="420" w:firstLineChars="200"/>
        <w:rPr>
          <w:rFonts w:hint="eastAsia" w:ascii="宋体" w:hAnsi="宋体" w:cs="宋体"/>
          <w:b/>
          <w:szCs w:val="21"/>
        </w:rPr>
      </w:pPr>
      <w:r>
        <w:rPr>
          <w:rFonts w:hint="eastAsia" w:ascii="宋体" w:hAnsi="宋体" w:cs="宋体"/>
          <w:b/>
          <w:szCs w:val="21"/>
        </w:rPr>
        <w:t>原文：</w:t>
      </w:r>
      <w:r>
        <w:rPr>
          <w:rFonts w:hint="eastAsia" w:ascii="宋体" w:hAnsi="宋体" w:cs="宋体"/>
          <w:szCs w:val="21"/>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3401DF45">
      <w:pPr>
        <w:pBdr>
          <w:bottom w:val="single" w:color="auto" w:sz="6" w:space="1"/>
        </w:pBdr>
        <w:spacing w:line="360" w:lineRule="auto"/>
        <w:ind w:firstLine="420" w:firstLineChars="200"/>
        <w:rPr>
          <w:rFonts w:hint="eastAsia" w:ascii="宋体" w:hAnsi="宋体" w:cs="宋体"/>
          <w:szCs w:val="21"/>
        </w:rPr>
      </w:pPr>
      <w:r>
        <w:rPr>
          <w:rFonts w:hint="eastAsia" w:ascii="宋体" w:hAnsi="宋体" w:cs="宋体"/>
          <w:b/>
          <w:szCs w:val="21"/>
        </w:rPr>
        <w:t>现文：</w:t>
      </w:r>
      <w:r>
        <w:rPr>
          <w:rFonts w:hint="eastAsia" w:ascii="宋体" w:hAnsi="宋体" w:cs="宋体"/>
          <w:b/>
          <w:bCs/>
          <w:szCs w:val="21"/>
        </w:rPr>
        <w:t>13.9</w:t>
      </w:r>
      <w:r>
        <w:rPr>
          <w:rFonts w:hint="eastAsia" w:ascii="宋体" w:hAnsi="宋体" w:cs="宋体"/>
          <w:szCs w:val="21"/>
          <w:u w:val="single"/>
        </w:rPr>
        <w:t>主要材料的价格调整按照合同约定执行。</w:t>
      </w:r>
    </w:p>
    <w:p w14:paraId="46DF3BD9">
      <w:pPr>
        <w:spacing w:line="480" w:lineRule="auto"/>
        <w:ind w:firstLine="470" w:firstLineChars="224"/>
        <w:rPr>
          <w:rFonts w:hint="eastAsia" w:ascii="宋体" w:hAnsi="宋体" w:cs="宋体"/>
          <w:b/>
          <w:szCs w:val="21"/>
        </w:rPr>
      </w:pPr>
      <w:r>
        <w:rPr>
          <w:rFonts w:hint="eastAsia" w:ascii="宋体" w:hAnsi="宋体" w:cs="宋体"/>
          <w:b/>
          <w:szCs w:val="21"/>
        </w:rPr>
        <w:t>条款号：16.</w:t>
      </w:r>
      <w:r>
        <w:rPr>
          <w:rFonts w:ascii="宋体" w:hAnsi="宋体" w:cs="宋体"/>
          <w:b/>
          <w:szCs w:val="21"/>
        </w:rPr>
        <w:t>4</w:t>
      </w:r>
      <w:r>
        <w:rPr>
          <w:rFonts w:hint="eastAsia" w:ascii="宋体" w:hAnsi="宋体" w:cs="宋体"/>
          <w:b/>
          <w:szCs w:val="21"/>
        </w:rPr>
        <w:t xml:space="preserve">             修改类型：修改</w:t>
      </w:r>
    </w:p>
    <w:p w14:paraId="7D07CF3E">
      <w:pPr>
        <w:pBdr>
          <w:top w:val="none" w:color="auto" w:sz="0" w:space="1"/>
          <w:left w:val="none" w:color="auto" w:sz="0" w:space="4"/>
          <w:bottom w:val="none" w:color="auto" w:sz="0" w:space="1"/>
          <w:right w:val="none" w:color="auto" w:sz="0" w:space="4"/>
        </w:pBdr>
        <w:spacing w:line="360" w:lineRule="auto"/>
        <w:ind w:firstLine="420" w:firstLineChars="200"/>
        <w:rPr>
          <w:rFonts w:hint="eastAsia" w:ascii="宋体" w:hAnsi="宋体"/>
          <w:szCs w:val="21"/>
        </w:rPr>
      </w:pPr>
      <w:r>
        <w:rPr>
          <w:rFonts w:hint="eastAsia" w:ascii="宋体" w:hAnsi="宋体" w:cs="宋体"/>
          <w:b/>
          <w:szCs w:val="21"/>
        </w:rPr>
        <w:t>原文：16.4</w:t>
      </w:r>
      <w:r>
        <w:rPr>
          <w:rFonts w:hint="eastAsia" w:ascii="宋体" w:hAnsi="宋体"/>
          <w:szCs w:val="21"/>
        </w:rPr>
        <w:t>如有下列情况之一的，招标人可以不予退还投标保证金（是否退还投标保证金由招标人在招标文件中规定）：</w:t>
      </w:r>
    </w:p>
    <w:p w14:paraId="2FA66E71">
      <w:pPr>
        <w:pBdr>
          <w:bottom w:val="single" w:color="auto" w:sz="4" w:space="1"/>
        </w:pBdr>
        <w:spacing w:line="360" w:lineRule="auto"/>
        <w:ind w:firstLine="420" w:firstLineChars="200"/>
        <w:rPr>
          <w:rFonts w:hint="eastAsia" w:ascii="宋体" w:hAnsi="宋体" w:cs="宋体"/>
          <w:szCs w:val="21"/>
        </w:rPr>
      </w:pPr>
      <w:r>
        <w:rPr>
          <w:rFonts w:hint="eastAsia" w:ascii="宋体" w:hAnsi="宋体" w:cs="宋体"/>
          <w:szCs w:val="21"/>
        </w:rPr>
        <w:t>16.4.1因投标人原因造成投标文件未解密的；</w:t>
      </w:r>
    </w:p>
    <w:p w14:paraId="1EE7B4B4">
      <w:pPr>
        <w:pBdr>
          <w:bottom w:val="single" w:color="auto" w:sz="4" w:space="1"/>
        </w:pBdr>
        <w:spacing w:line="360" w:lineRule="auto"/>
        <w:ind w:firstLine="420" w:firstLineChars="200"/>
        <w:rPr>
          <w:rFonts w:hint="eastAsia" w:ascii="宋体" w:hAnsi="宋体" w:cs="宋体"/>
          <w:szCs w:val="21"/>
        </w:rPr>
      </w:pPr>
      <w:r>
        <w:rPr>
          <w:rFonts w:hint="eastAsia" w:ascii="宋体" w:hAnsi="宋体" w:cs="宋体"/>
          <w:szCs w:val="21"/>
        </w:rPr>
        <w:t>16.4.2投标人在投标有效期内撤销投标文件；</w:t>
      </w:r>
    </w:p>
    <w:p w14:paraId="3A0C1417">
      <w:pPr>
        <w:pBdr>
          <w:bottom w:val="single" w:color="auto" w:sz="4" w:space="1"/>
        </w:pBdr>
        <w:spacing w:line="360" w:lineRule="auto"/>
        <w:ind w:firstLine="420" w:firstLineChars="200"/>
        <w:rPr>
          <w:rFonts w:hint="eastAsia" w:ascii="宋体" w:hAnsi="宋体" w:cs="宋体"/>
          <w:szCs w:val="21"/>
        </w:rPr>
      </w:pPr>
      <w:r>
        <w:rPr>
          <w:rFonts w:hint="eastAsia" w:ascii="宋体" w:hAnsi="宋体" w:cs="宋体"/>
          <w:szCs w:val="21"/>
        </w:rPr>
        <w:t>16.4.3中标人未能在规定期限内按要求提交履约担保；</w:t>
      </w:r>
    </w:p>
    <w:p w14:paraId="7C6B80C2">
      <w:pPr>
        <w:pBdr>
          <w:bottom w:val="single" w:color="auto" w:sz="4" w:space="1"/>
        </w:pBdr>
        <w:spacing w:line="360" w:lineRule="auto"/>
        <w:ind w:firstLine="420" w:firstLineChars="200"/>
        <w:rPr>
          <w:rFonts w:hint="eastAsia" w:ascii="宋体" w:hAnsi="宋体" w:cs="宋体"/>
          <w:szCs w:val="21"/>
        </w:rPr>
      </w:pPr>
      <w:r>
        <w:rPr>
          <w:rFonts w:hint="eastAsia" w:ascii="宋体" w:hAnsi="宋体" w:cs="宋体"/>
          <w:szCs w:val="21"/>
        </w:rPr>
        <w:t>16.4.4中标人未能在规定期限内签署合同协议。</w:t>
      </w:r>
    </w:p>
    <w:p w14:paraId="43377A7A">
      <w:pPr>
        <w:pBdr>
          <w:bottom w:val="single" w:color="auto" w:sz="4" w:space="1"/>
        </w:pBdr>
        <w:spacing w:line="360" w:lineRule="auto"/>
        <w:ind w:firstLine="420" w:firstLineChars="200"/>
        <w:rPr>
          <w:rFonts w:hint="eastAsia" w:ascii="宋体" w:hAnsi="宋体"/>
          <w:szCs w:val="21"/>
          <w:u w:val="single"/>
        </w:rPr>
      </w:pPr>
      <w:r>
        <w:rPr>
          <w:rFonts w:hint="eastAsia" w:ascii="宋体" w:hAnsi="宋体" w:cs="宋体"/>
          <w:b/>
          <w:szCs w:val="21"/>
        </w:rPr>
        <w:t>现文：16.4</w:t>
      </w:r>
      <w:r>
        <w:rPr>
          <w:rFonts w:hint="eastAsia" w:ascii="宋体" w:hAnsi="宋体"/>
          <w:szCs w:val="21"/>
        </w:rPr>
        <w:t>如有下列情况之一的，</w:t>
      </w:r>
      <w:r>
        <w:rPr>
          <w:rFonts w:hint="eastAsia" w:ascii="宋体" w:hAnsi="宋体"/>
          <w:szCs w:val="21"/>
          <w:u w:val="single"/>
        </w:rPr>
        <w:t>招标人将不予退还投标保证金：</w:t>
      </w:r>
    </w:p>
    <w:p w14:paraId="426278A8">
      <w:pPr>
        <w:pBdr>
          <w:bottom w:val="single" w:color="auto" w:sz="4" w:space="1"/>
        </w:pBdr>
        <w:spacing w:line="360" w:lineRule="auto"/>
        <w:ind w:firstLine="420" w:firstLineChars="200"/>
        <w:rPr>
          <w:rFonts w:hint="eastAsia" w:ascii="宋体" w:hAnsi="宋体" w:cs="宋体"/>
          <w:szCs w:val="21"/>
        </w:rPr>
      </w:pPr>
      <w:r>
        <w:rPr>
          <w:rFonts w:hint="eastAsia" w:ascii="宋体" w:hAnsi="宋体" w:cs="宋体"/>
          <w:szCs w:val="21"/>
        </w:rPr>
        <w:t>16.4.1因投标人原因造成投标文件未解密的；</w:t>
      </w:r>
    </w:p>
    <w:p w14:paraId="56BB92CE">
      <w:pPr>
        <w:pBdr>
          <w:bottom w:val="single" w:color="auto" w:sz="4" w:space="1"/>
        </w:pBdr>
        <w:spacing w:line="360" w:lineRule="auto"/>
        <w:ind w:firstLine="420" w:firstLineChars="200"/>
        <w:rPr>
          <w:rFonts w:hint="eastAsia" w:ascii="宋体" w:hAnsi="宋体" w:cs="宋体"/>
          <w:szCs w:val="21"/>
        </w:rPr>
      </w:pPr>
      <w:r>
        <w:rPr>
          <w:rFonts w:hint="eastAsia" w:ascii="宋体" w:hAnsi="宋体" w:cs="宋体"/>
          <w:szCs w:val="21"/>
        </w:rPr>
        <w:t>16.4.2投标人在投标有效期内撤销投标文件；</w:t>
      </w:r>
    </w:p>
    <w:p w14:paraId="74FBD781">
      <w:pPr>
        <w:pBdr>
          <w:bottom w:val="single" w:color="auto" w:sz="4" w:space="1"/>
        </w:pBdr>
        <w:spacing w:line="360" w:lineRule="auto"/>
        <w:ind w:firstLine="420" w:firstLineChars="200"/>
        <w:rPr>
          <w:rFonts w:hint="eastAsia" w:ascii="宋体" w:hAnsi="宋体" w:cs="宋体"/>
          <w:szCs w:val="21"/>
        </w:rPr>
      </w:pPr>
      <w:r>
        <w:rPr>
          <w:rFonts w:hint="eastAsia" w:ascii="宋体" w:hAnsi="宋体" w:cs="宋体"/>
          <w:szCs w:val="21"/>
        </w:rPr>
        <w:t>16.4.3中标人未能在规定期限内按要求提交履约担保；</w:t>
      </w:r>
    </w:p>
    <w:p w14:paraId="7C875490">
      <w:pPr>
        <w:pBdr>
          <w:bottom w:val="single" w:color="auto" w:sz="4" w:space="1"/>
        </w:pBdr>
        <w:spacing w:line="360" w:lineRule="auto"/>
        <w:ind w:firstLine="420" w:firstLineChars="200"/>
        <w:rPr>
          <w:rFonts w:hint="eastAsia" w:ascii="宋体" w:hAnsi="宋体" w:cs="宋体"/>
          <w:szCs w:val="21"/>
        </w:rPr>
      </w:pPr>
      <w:r>
        <w:rPr>
          <w:rFonts w:hint="eastAsia" w:ascii="宋体" w:hAnsi="宋体" w:cs="宋体"/>
          <w:szCs w:val="21"/>
        </w:rPr>
        <w:t>16.4.4中标人未能在规定期限内签署合同协议。</w:t>
      </w:r>
    </w:p>
    <w:p w14:paraId="6EC41D4F">
      <w:pPr>
        <w:spacing w:line="480" w:lineRule="auto"/>
        <w:ind w:firstLine="470" w:firstLineChars="224"/>
        <w:rPr>
          <w:rFonts w:hint="eastAsia" w:ascii="宋体" w:hAnsi="宋体" w:cs="宋体"/>
          <w:b/>
          <w:szCs w:val="21"/>
        </w:rPr>
      </w:pPr>
      <w:r>
        <w:rPr>
          <w:rFonts w:hint="eastAsia" w:ascii="宋体" w:hAnsi="宋体" w:cs="宋体"/>
          <w:b/>
          <w:szCs w:val="21"/>
        </w:rPr>
        <w:t>条款号：16.</w:t>
      </w:r>
      <w:r>
        <w:rPr>
          <w:rFonts w:ascii="宋体" w:hAnsi="宋体" w:cs="宋体"/>
          <w:b/>
          <w:szCs w:val="21"/>
        </w:rPr>
        <w:t>5</w:t>
      </w:r>
      <w:r>
        <w:rPr>
          <w:rFonts w:hint="eastAsia" w:ascii="宋体" w:hAnsi="宋体" w:cs="宋体"/>
          <w:b/>
          <w:szCs w:val="21"/>
        </w:rPr>
        <w:t xml:space="preserve">             修改类型：修改</w:t>
      </w:r>
    </w:p>
    <w:p w14:paraId="74A5496C">
      <w:pPr>
        <w:spacing w:line="360" w:lineRule="auto"/>
        <w:ind w:firstLine="470" w:firstLineChars="224"/>
        <w:rPr>
          <w:rFonts w:hint="eastAsia" w:ascii="宋体" w:hAnsi="宋体" w:cs="宋体"/>
          <w:szCs w:val="21"/>
        </w:rPr>
      </w:pPr>
      <w:r>
        <w:rPr>
          <w:rFonts w:hint="eastAsia" w:ascii="宋体" w:hAnsi="宋体" w:cs="宋体"/>
          <w:b/>
          <w:szCs w:val="21"/>
        </w:rPr>
        <w:t>原文：</w:t>
      </w:r>
      <w:r>
        <w:rPr>
          <w:rFonts w:hint="eastAsia" w:ascii="宋体" w:hAnsi="宋体" w:cs="宋体"/>
          <w:szCs w:val="21"/>
        </w:rPr>
        <w:t>16.5投标人如存在下列情况之一的，将被拒绝在一定时期内参与招标人后续工程投标（拒绝时限需在招标文件中明确）：</w:t>
      </w:r>
    </w:p>
    <w:p w14:paraId="03FE9977">
      <w:pPr>
        <w:spacing w:line="360" w:lineRule="auto"/>
        <w:ind w:firstLine="470" w:firstLineChars="224"/>
        <w:rPr>
          <w:rFonts w:hint="eastAsia" w:ascii="宋体" w:hAnsi="宋体" w:cs="宋体"/>
          <w:szCs w:val="21"/>
        </w:rPr>
      </w:pPr>
      <w:r>
        <w:rPr>
          <w:rFonts w:hint="eastAsia" w:ascii="宋体" w:hAnsi="宋体" w:cs="宋体"/>
          <w:szCs w:val="21"/>
        </w:rPr>
        <w:t>16.5.1投标人存在16.4条款所列情形且投标人提交的保函、担保或保证保险无法兑付的；</w:t>
      </w:r>
    </w:p>
    <w:p w14:paraId="59522CFE">
      <w:pPr>
        <w:spacing w:line="360" w:lineRule="auto"/>
        <w:ind w:firstLine="470" w:firstLineChars="224"/>
        <w:rPr>
          <w:rFonts w:hint="eastAsia" w:ascii="宋体" w:hAnsi="宋体" w:cs="宋体"/>
          <w:szCs w:val="21"/>
        </w:rPr>
      </w:pPr>
      <w:r>
        <w:rPr>
          <w:rFonts w:hint="eastAsia" w:ascii="宋体" w:hAnsi="宋体" w:cs="宋体"/>
          <w:szCs w:val="21"/>
        </w:rPr>
        <w:t>16.5.2采用非电子形式提交投标保证金的投标人存在16.4条款所列情形，且未按招标人要求补交银行保函、专业工程担保公司担保或保证保险原件的；</w:t>
      </w:r>
    </w:p>
    <w:p w14:paraId="4094E00B">
      <w:pPr>
        <w:spacing w:line="360" w:lineRule="auto"/>
        <w:ind w:firstLine="470" w:firstLineChars="224"/>
        <w:rPr>
          <w:rFonts w:hint="eastAsia" w:ascii="宋体" w:hAnsi="宋体" w:cs="宋体"/>
          <w:szCs w:val="21"/>
        </w:rPr>
      </w:pPr>
      <w:r>
        <w:rPr>
          <w:rFonts w:hint="eastAsia" w:ascii="宋体" w:hAnsi="宋体" w:cs="宋体"/>
          <w:szCs w:val="21"/>
        </w:rPr>
        <w:t>16.5.3按招标文件要求免于提供投标保证金的投标人存在16.4条款所列情形，且未按招标人要求补交投标保证金的；</w:t>
      </w:r>
    </w:p>
    <w:p w14:paraId="2A63E2AF">
      <w:pPr>
        <w:spacing w:line="360" w:lineRule="auto"/>
        <w:ind w:firstLine="470" w:firstLineChars="224"/>
        <w:rPr>
          <w:rFonts w:hint="eastAsia" w:ascii="宋体" w:hAnsi="宋体" w:cs="宋体"/>
          <w:szCs w:val="21"/>
        </w:rPr>
      </w:pPr>
      <w:r>
        <w:rPr>
          <w:rFonts w:hint="eastAsia" w:ascii="宋体" w:hAnsi="宋体" w:cs="宋体"/>
          <w:szCs w:val="21"/>
        </w:rPr>
        <w:t>16.5.3按招标文件要求免于提供投标保证金的投标人存在16.4条款所列情形的。</w:t>
      </w:r>
    </w:p>
    <w:p w14:paraId="54FC2180">
      <w:pPr>
        <w:spacing w:line="360" w:lineRule="auto"/>
        <w:ind w:firstLine="470" w:firstLineChars="224"/>
        <w:rPr>
          <w:rFonts w:hint="eastAsia" w:ascii="宋体" w:hAnsi="宋体" w:cs="宋体"/>
          <w:bCs/>
          <w:szCs w:val="21"/>
        </w:rPr>
      </w:pPr>
      <w:r>
        <w:rPr>
          <w:rFonts w:hint="eastAsia" w:ascii="宋体" w:hAnsi="宋体" w:cs="宋体"/>
          <w:szCs w:val="21"/>
        </w:rPr>
        <w:t>注：16.5.3款由招标人二选一，需在招标文件中明确。</w:t>
      </w:r>
    </w:p>
    <w:p w14:paraId="679E01BE">
      <w:pPr>
        <w:pBdr>
          <w:bottom w:val="single" w:color="auto" w:sz="6" w:space="1"/>
        </w:pBdr>
        <w:spacing w:line="360" w:lineRule="auto"/>
        <w:ind w:firstLine="525" w:firstLineChars="250"/>
        <w:rPr>
          <w:rFonts w:hint="eastAsia" w:ascii="宋体" w:hAnsi="宋体" w:cs="宋体"/>
          <w:szCs w:val="21"/>
        </w:rPr>
      </w:pPr>
      <w:r>
        <w:rPr>
          <w:rFonts w:hint="eastAsia" w:ascii="宋体" w:hAnsi="宋体" w:cs="宋体"/>
          <w:b/>
          <w:szCs w:val="21"/>
        </w:rPr>
        <w:t>现文：16.5</w:t>
      </w:r>
      <w:r>
        <w:rPr>
          <w:rFonts w:hint="eastAsia" w:ascii="宋体" w:hAnsi="宋体" w:cs="宋体"/>
          <w:szCs w:val="21"/>
        </w:rPr>
        <w:t>投标人如存在下列情况之一的，将被拒绝</w:t>
      </w:r>
      <w:bookmarkStart w:id="221" w:name="_GoBack"/>
      <w:bookmarkEnd w:id="221"/>
      <w:r>
        <w:rPr>
          <w:rFonts w:hint="eastAsia" w:ascii="宋体" w:hAnsi="宋体" w:cs="宋体"/>
          <w:szCs w:val="21"/>
          <w:u w:val="single"/>
        </w:rPr>
        <w:t>一年内</w:t>
      </w:r>
      <w:r>
        <w:rPr>
          <w:rFonts w:hint="eastAsia" w:ascii="宋体" w:hAnsi="宋体" w:cs="宋体"/>
          <w:szCs w:val="21"/>
        </w:rPr>
        <w:t>参与招标人后续工程投标：</w:t>
      </w:r>
    </w:p>
    <w:p w14:paraId="33B5B27C">
      <w:pPr>
        <w:pBdr>
          <w:bottom w:val="single" w:color="auto" w:sz="6" w:space="1"/>
        </w:pBdr>
        <w:spacing w:line="360" w:lineRule="auto"/>
        <w:ind w:firstLine="525" w:firstLineChars="250"/>
        <w:rPr>
          <w:rFonts w:hint="eastAsia" w:ascii="宋体" w:hAnsi="宋体" w:cs="宋体"/>
          <w:szCs w:val="21"/>
        </w:rPr>
      </w:pPr>
      <w:r>
        <w:rPr>
          <w:rFonts w:hint="eastAsia" w:ascii="宋体" w:hAnsi="宋体" w:cs="宋体"/>
          <w:szCs w:val="21"/>
        </w:rPr>
        <w:t>16.5.1投标人存在16.4条款所列情形且投标人提交的保函、担保或保证保险无法兑付的；</w:t>
      </w:r>
    </w:p>
    <w:p w14:paraId="5C8D1E6E">
      <w:pPr>
        <w:pBdr>
          <w:bottom w:val="single" w:color="auto" w:sz="6" w:space="1"/>
        </w:pBdr>
        <w:spacing w:line="360" w:lineRule="auto"/>
        <w:ind w:firstLine="525" w:firstLineChars="250"/>
        <w:rPr>
          <w:rFonts w:hint="eastAsia" w:ascii="宋体" w:hAnsi="宋体" w:cs="宋体"/>
          <w:szCs w:val="21"/>
        </w:rPr>
      </w:pPr>
      <w:r>
        <w:rPr>
          <w:rFonts w:hint="eastAsia" w:ascii="宋体" w:hAnsi="宋体" w:cs="宋体"/>
          <w:szCs w:val="21"/>
        </w:rPr>
        <w:t>16.5.2采用非电子形式提交投标保证金的投标人存在16.4条款所列情形，且未按招标人要求补交银行保函、专业工程担保公司担保或保证保险原件的；</w:t>
      </w:r>
    </w:p>
    <w:p w14:paraId="2CD54491">
      <w:pPr>
        <w:pBdr>
          <w:bottom w:val="single" w:color="auto" w:sz="6" w:space="1"/>
        </w:pBdr>
        <w:spacing w:line="360" w:lineRule="auto"/>
        <w:ind w:firstLine="525" w:firstLineChars="250"/>
        <w:rPr>
          <w:rFonts w:hint="eastAsia" w:ascii="宋体" w:hAnsi="宋体" w:cs="宋体"/>
          <w:szCs w:val="21"/>
        </w:rPr>
      </w:pPr>
      <w:r>
        <w:rPr>
          <w:rFonts w:hint="eastAsia" w:ascii="宋体" w:hAnsi="宋体" w:cs="宋体"/>
          <w:szCs w:val="21"/>
        </w:rPr>
        <w:t>16.5.3按招标文件要求免于提供投标保证金的投标人存在16.4条款所列情形，且未按招标人要求补交投标保证金的；</w:t>
      </w:r>
    </w:p>
    <w:p w14:paraId="0CB44A04">
      <w:pPr>
        <w:spacing w:line="480" w:lineRule="auto"/>
        <w:ind w:firstLine="470" w:firstLineChars="224"/>
        <w:rPr>
          <w:rFonts w:hint="eastAsia" w:ascii="宋体" w:hAnsi="宋体" w:cs="宋体"/>
          <w:b/>
          <w:szCs w:val="21"/>
        </w:rPr>
      </w:pPr>
      <w:r>
        <w:rPr>
          <w:rFonts w:hint="eastAsia" w:ascii="宋体" w:hAnsi="宋体" w:cs="宋体"/>
          <w:b/>
          <w:szCs w:val="21"/>
        </w:rPr>
        <w:t>条款号：17.1             修改类型：修改</w:t>
      </w:r>
    </w:p>
    <w:p w14:paraId="7B883F09">
      <w:pPr>
        <w:spacing w:line="360" w:lineRule="auto"/>
        <w:ind w:firstLine="470" w:firstLineChars="224"/>
        <w:rPr>
          <w:rFonts w:hint="eastAsia" w:ascii="宋体" w:hAnsi="宋体" w:cs="宋体"/>
          <w:b/>
          <w:szCs w:val="21"/>
        </w:rPr>
      </w:pPr>
      <w:r>
        <w:rPr>
          <w:rFonts w:hint="eastAsia" w:ascii="宋体" w:hAnsi="宋体" w:cs="宋体"/>
          <w:b/>
          <w:szCs w:val="21"/>
        </w:rPr>
        <w:t>原文：17.1</w:t>
      </w:r>
      <w:r>
        <w:rPr>
          <w:rFonts w:hint="eastAsia" w:ascii="宋体" w:hAnsi="宋体" w:cs="宋体"/>
          <w:bCs/>
          <w:szCs w:val="21"/>
        </w:rPr>
        <w:t>投标人应采用单位数字证书，按招标文件要求在相应位置加盖电子印章。投标文件中需个人签字或盖章的，应手签后扫描上传。按照交易平台关于全流程电子化项目的相关指南进行操作。详见：</w:t>
      </w:r>
      <w:r>
        <w:rPr>
          <w:rFonts w:hint="eastAsia" w:ascii="宋体" w:hAnsi="宋体" w:cs="宋体"/>
          <w:bCs/>
          <w:szCs w:val="21"/>
          <w:u w:val="single"/>
        </w:rPr>
        <w:t xml:space="preserve">             </w:t>
      </w:r>
      <w:r>
        <w:rPr>
          <w:rFonts w:hint="eastAsia" w:ascii="宋体" w:hAnsi="宋体" w:cs="宋体"/>
          <w:bCs/>
          <w:szCs w:val="21"/>
        </w:rPr>
        <w:t>。</w:t>
      </w:r>
    </w:p>
    <w:p w14:paraId="34E73654">
      <w:pPr>
        <w:pBdr>
          <w:bottom w:val="single" w:color="auto" w:sz="6" w:space="1"/>
        </w:pBdr>
        <w:spacing w:line="360" w:lineRule="auto"/>
        <w:ind w:firstLine="525" w:firstLineChars="250"/>
        <w:rPr>
          <w:rFonts w:hint="eastAsia" w:ascii="宋体" w:hAnsi="宋体" w:cs="宋体"/>
          <w:szCs w:val="21"/>
        </w:rPr>
      </w:pPr>
      <w:r>
        <w:rPr>
          <w:rFonts w:hint="eastAsia" w:ascii="宋体" w:hAnsi="宋体" w:cs="宋体"/>
          <w:b/>
          <w:szCs w:val="21"/>
        </w:rPr>
        <w:t>现文：17.1</w:t>
      </w:r>
      <w:r>
        <w:rPr>
          <w:rFonts w:ascii="宋体" w:hAnsi="宋体"/>
          <w:bCs/>
          <w:szCs w:val="21"/>
        </w:rPr>
        <w:t>投标人应采用单位数字证书，按招标文件要求在相应位置加盖电子印章。投标文件中需个人签字或盖章的，</w:t>
      </w:r>
      <w:r>
        <w:rPr>
          <w:rFonts w:hint="eastAsia" w:ascii="宋体" w:hAnsi="宋体"/>
          <w:b/>
          <w:szCs w:val="21"/>
          <w:u w:val="single"/>
        </w:rPr>
        <w:t>应加盖个人电子印章或在线下完成后扫描上传（由广州投标文件管理软件系统生成的“工程量清单主表--工程量清单报价表”封面页和扉页可以仅采用单位数字证书加盖电子印章处理）。</w:t>
      </w:r>
      <w:r>
        <w:rPr>
          <w:rFonts w:hint="eastAsia" w:ascii="宋体" w:hAnsi="宋体"/>
          <w:bCs/>
          <w:szCs w:val="21"/>
        </w:rPr>
        <w:t>按照交易平台关于全流程电子化项目的相关指南进行操作。详见：</w:t>
      </w:r>
      <w:r>
        <w:rPr>
          <w:rFonts w:hint="eastAsia" w:ascii="宋体" w:hAnsi="宋体" w:cs="宋体"/>
          <w:szCs w:val="21"/>
          <w:u w:val="single"/>
        </w:rPr>
        <w:t>广州交易集团有限公司（广州公共资源交易中心）</w:t>
      </w:r>
      <w:r>
        <w:rPr>
          <w:rFonts w:hint="eastAsia" w:ascii="宋体" w:hAnsi="宋体"/>
          <w:szCs w:val="21"/>
          <w:u w:val="single"/>
        </w:rPr>
        <w:t>最新指引</w:t>
      </w:r>
      <w:r>
        <w:rPr>
          <w:rFonts w:hint="eastAsia" w:ascii="宋体" w:hAnsi="宋体"/>
          <w:szCs w:val="21"/>
        </w:rPr>
        <w:t>。</w:t>
      </w:r>
    </w:p>
    <w:p w14:paraId="251C0A4F">
      <w:pPr>
        <w:spacing w:line="480" w:lineRule="auto"/>
        <w:ind w:firstLine="470" w:firstLineChars="224"/>
        <w:rPr>
          <w:rFonts w:hint="eastAsia" w:ascii="宋体" w:hAnsi="宋体" w:cs="宋体"/>
          <w:b/>
          <w:szCs w:val="21"/>
        </w:rPr>
      </w:pPr>
      <w:r>
        <w:rPr>
          <w:rFonts w:hint="eastAsia" w:ascii="宋体" w:hAnsi="宋体" w:cs="宋体"/>
          <w:b/>
          <w:szCs w:val="21"/>
        </w:rPr>
        <w:t>条款号：18.1             修改类型：修改</w:t>
      </w:r>
    </w:p>
    <w:p w14:paraId="3FC451B7">
      <w:pPr>
        <w:spacing w:line="360" w:lineRule="auto"/>
        <w:ind w:firstLine="470" w:firstLineChars="224"/>
        <w:rPr>
          <w:rFonts w:hint="eastAsia" w:ascii="宋体" w:hAnsi="宋体" w:cs="宋体"/>
          <w:b/>
          <w:szCs w:val="21"/>
        </w:rPr>
      </w:pPr>
      <w:r>
        <w:rPr>
          <w:rFonts w:hint="eastAsia" w:ascii="宋体" w:hAnsi="宋体" w:cs="宋体"/>
          <w:b/>
          <w:szCs w:val="21"/>
        </w:rPr>
        <w:t>原文：18.1</w:t>
      </w:r>
      <w:r>
        <w:rPr>
          <w:rFonts w:hint="eastAsia" w:ascii="宋体" w:hAnsi="宋体" w:cs="宋体"/>
          <w:bCs/>
          <w:szCs w:val="21"/>
        </w:rPr>
        <w:t>递交的电子投标文件（不含备用光盘）必须进行加密。按照交易平台关于全流程电子化项目的相关指南进行操作。详见：</w:t>
      </w:r>
      <w:r>
        <w:rPr>
          <w:rFonts w:hint="eastAsia" w:ascii="宋体" w:hAnsi="宋体" w:cs="宋体"/>
          <w:bCs/>
          <w:szCs w:val="21"/>
          <w:u w:val="single"/>
        </w:rPr>
        <w:t xml:space="preserve">            </w:t>
      </w:r>
      <w:r>
        <w:rPr>
          <w:rFonts w:hint="eastAsia" w:ascii="宋体" w:hAnsi="宋体" w:cs="宋体"/>
          <w:bCs/>
          <w:szCs w:val="21"/>
        </w:rPr>
        <w:t>。</w:t>
      </w:r>
    </w:p>
    <w:p w14:paraId="697FAB3A">
      <w:pPr>
        <w:pBdr>
          <w:bottom w:val="single" w:color="auto" w:sz="6" w:space="1"/>
        </w:pBdr>
        <w:spacing w:line="360" w:lineRule="auto"/>
        <w:ind w:firstLine="420" w:firstLineChars="200"/>
        <w:jc w:val="left"/>
        <w:rPr>
          <w:rFonts w:hint="eastAsia" w:ascii="宋体" w:hAnsi="宋体" w:cs="宋体"/>
          <w:b/>
          <w:szCs w:val="21"/>
        </w:rPr>
      </w:pPr>
      <w:r>
        <w:rPr>
          <w:rFonts w:hint="eastAsia" w:ascii="宋体" w:hAnsi="宋体" w:cs="宋体"/>
          <w:b/>
          <w:szCs w:val="21"/>
        </w:rPr>
        <w:t>现文：18.1</w:t>
      </w:r>
      <w:r>
        <w:rPr>
          <w:rFonts w:hint="eastAsia" w:ascii="宋体" w:hAnsi="宋体" w:cs="宋体"/>
          <w:bCs/>
          <w:szCs w:val="21"/>
        </w:rPr>
        <w:t>递交的电子投标文件（不含备用光盘）必须进行加密。按照交易平台关于全流程电子化项目的相关指南进行操作。详见：</w:t>
      </w:r>
      <w:r>
        <w:rPr>
          <w:rFonts w:hint="eastAsia" w:ascii="宋体" w:hAnsi="宋体" w:cs="宋体"/>
          <w:szCs w:val="21"/>
          <w:u w:val="single"/>
        </w:rPr>
        <w:t>广州交易集团有限公司（广州公共资源交易中心）</w:t>
      </w:r>
      <w:r>
        <w:rPr>
          <w:rFonts w:hint="eastAsia" w:ascii="宋体" w:hAnsi="宋体"/>
          <w:szCs w:val="21"/>
          <w:u w:val="single"/>
        </w:rPr>
        <w:t>最新指引</w:t>
      </w:r>
      <w:r>
        <w:rPr>
          <w:rFonts w:hint="eastAsia" w:ascii="宋体" w:hAnsi="宋体" w:cs="宋体"/>
          <w:szCs w:val="21"/>
        </w:rPr>
        <w:t>。</w:t>
      </w:r>
    </w:p>
    <w:p w14:paraId="61D8B06D">
      <w:pPr>
        <w:spacing w:line="360" w:lineRule="auto"/>
        <w:ind w:firstLine="470" w:firstLineChars="224"/>
        <w:rPr>
          <w:rFonts w:hint="eastAsia" w:ascii="宋体" w:hAnsi="宋体" w:cs="宋体"/>
          <w:b/>
          <w:szCs w:val="21"/>
        </w:rPr>
      </w:pPr>
      <w:r>
        <w:rPr>
          <w:rFonts w:hint="eastAsia" w:ascii="宋体" w:hAnsi="宋体" w:cs="宋体"/>
          <w:b/>
          <w:szCs w:val="21"/>
        </w:rPr>
        <w:t xml:space="preserve">条款号：18.2          </w:t>
      </w:r>
      <w:r>
        <w:rPr>
          <w:rFonts w:ascii="宋体" w:hAnsi="宋体" w:cs="宋体"/>
          <w:b/>
          <w:szCs w:val="21"/>
        </w:rPr>
        <w:t xml:space="preserve">   </w:t>
      </w:r>
      <w:r>
        <w:rPr>
          <w:rFonts w:hint="eastAsia" w:ascii="宋体" w:hAnsi="宋体" w:cs="宋体"/>
          <w:b/>
          <w:szCs w:val="21"/>
        </w:rPr>
        <w:t>修改类型：修改</w:t>
      </w:r>
    </w:p>
    <w:p w14:paraId="50F53610">
      <w:pPr>
        <w:spacing w:line="360" w:lineRule="auto"/>
        <w:ind w:firstLine="420" w:firstLineChars="200"/>
        <w:rPr>
          <w:rFonts w:hint="eastAsia" w:ascii="宋体" w:hAnsi="宋体" w:cs="宋体"/>
          <w:bCs/>
          <w:szCs w:val="21"/>
        </w:rPr>
      </w:pPr>
      <w:r>
        <w:rPr>
          <w:rFonts w:hint="eastAsia" w:ascii="宋体" w:hAnsi="宋体" w:cs="宋体"/>
          <w:b/>
          <w:szCs w:val="21"/>
        </w:rPr>
        <w:t>原文：18.2</w:t>
      </w:r>
      <w:r>
        <w:rPr>
          <w:rFonts w:hint="eastAsia" w:ascii="宋体" w:hAnsi="宋体" w:cs="宋体"/>
          <w:bCs/>
          <w:szCs w:val="21"/>
        </w:rPr>
        <w:t xml:space="preserve"> 未按要求加密的投标文件，</w:t>
      </w:r>
      <w:r>
        <w:rPr>
          <w:rFonts w:hint="eastAsia" w:ascii="宋体" w:hAnsi="宋体" w:cs="宋体"/>
          <w:bCs/>
          <w:szCs w:val="21"/>
          <w:u w:val="single"/>
        </w:rPr>
        <w:t xml:space="preserve">        </w:t>
      </w:r>
      <w:r>
        <w:rPr>
          <w:rFonts w:hint="eastAsia" w:ascii="宋体" w:hAnsi="宋体" w:cs="宋体"/>
          <w:bCs/>
          <w:szCs w:val="21"/>
        </w:rPr>
        <w:t>交易平台将予以拒收。</w:t>
      </w:r>
    </w:p>
    <w:p w14:paraId="6A27F64D">
      <w:pPr>
        <w:pBdr>
          <w:bottom w:val="single" w:color="auto" w:sz="6" w:space="1"/>
        </w:pBdr>
        <w:spacing w:line="360" w:lineRule="auto"/>
        <w:ind w:firstLine="420" w:firstLineChars="200"/>
        <w:jc w:val="left"/>
        <w:rPr>
          <w:rFonts w:hint="eastAsia" w:ascii="宋体" w:hAnsi="宋体" w:cs="宋体"/>
          <w:szCs w:val="21"/>
        </w:rPr>
      </w:pPr>
      <w:r>
        <w:rPr>
          <w:rFonts w:hint="eastAsia" w:ascii="宋体" w:hAnsi="宋体" w:cs="宋体"/>
          <w:b/>
          <w:szCs w:val="21"/>
        </w:rPr>
        <w:t>现文：18.2</w:t>
      </w:r>
      <w:r>
        <w:rPr>
          <w:rFonts w:hint="eastAsia" w:ascii="宋体" w:hAnsi="宋体" w:cs="宋体"/>
          <w:bCs/>
          <w:szCs w:val="21"/>
        </w:rPr>
        <w:t xml:space="preserve"> 未按要求加密的投标文件，</w:t>
      </w:r>
      <w:r>
        <w:rPr>
          <w:rFonts w:hint="eastAsia" w:ascii="宋体" w:hAnsi="宋体" w:cs="宋体"/>
          <w:szCs w:val="21"/>
          <w:u w:val="single"/>
        </w:rPr>
        <w:t>广州交易集团有限公司（广州公共资源交易中心）</w:t>
      </w:r>
      <w:r>
        <w:rPr>
          <w:rFonts w:hint="eastAsia" w:ascii="宋体" w:hAnsi="宋体" w:cs="宋体"/>
          <w:bCs/>
          <w:szCs w:val="21"/>
        </w:rPr>
        <w:t>交易平台将予以拒收。</w:t>
      </w:r>
    </w:p>
    <w:p w14:paraId="1A20D6CB">
      <w:pPr>
        <w:spacing w:line="360" w:lineRule="auto"/>
        <w:ind w:firstLine="420" w:firstLineChars="200"/>
        <w:rPr>
          <w:rFonts w:hint="eastAsia" w:ascii="宋体" w:hAnsi="宋体" w:cs="宋体"/>
          <w:b/>
          <w:szCs w:val="21"/>
        </w:rPr>
      </w:pPr>
      <w:r>
        <w:rPr>
          <w:rFonts w:hint="eastAsia" w:ascii="宋体" w:hAnsi="宋体" w:cs="宋体"/>
          <w:b/>
          <w:szCs w:val="21"/>
        </w:rPr>
        <w:t>条款号：19               修改类型：修改</w:t>
      </w:r>
    </w:p>
    <w:p w14:paraId="78DCF605">
      <w:pPr>
        <w:spacing w:line="360" w:lineRule="auto"/>
        <w:ind w:firstLine="420" w:firstLineChars="200"/>
        <w:rPr>
          <w:rFonts w:hint="eastAsia" w:ascii="宋体" w:hAnsi="宋体" w:cs="宋体"/>
          <w:szCs w:val="21"/>
        </w:rPr>
      </w:pPr>
      <w:r>
        <w:rPr>
          <w:rFonts w:hint="eastAsia" w:ascii="宋体" w:hAnsi="宋体" w:cs="宋体"/>
          <w:b/>
          <w:szCs w:val="21"/>
        </w:rPr>
        <w:t>原文：</w:t>
      </w:r>
      <w:r>
        <w:rPr>
          <w:rFonts w:hint="eastAsia" w:ascii="宋体" w:hAnsi="宋体" w:cs="宋体"/>
          <w:szCs w:val="21"/>
        </w:rPr>
        <w:t>19．投标文件的递交和接收</w:t>
      </w:r>
    </w:p>
    <w:p w14:paraId="4FD71A92">
      <w:pPr>
        <w:spacing w:line="360" w:lineRule="auto"/>
        <w:ind w:firstLine="420" w:firstLineChars="200"/>
        <w:rPr>
          <w:rFonts w:hint="eastAsia" w:ascii="宋体" w:hAnsi="宋体" w:cs="宋体"/>
          <w:szCs w:val="21"/>
        </w:rPr>
      </w:pPr>
      <w:r>
        <w:rPr>
          <w:rFonts w:hint="eastAsia" w:ascii="宋体" w:hAnsi="宋体" w:cs="宋体"/>
          <w:szCs w:val="21"/>
        </w:rPr>
        <w:t>19.1投标人通过交易平台递交电子投标文件。</w:t>
      </w:r>
    </w:p>
    <w:p w14:paraId="0A233D84">
      <w:pPr>
        <w:spacing w:line="360" w:lineRule="auto"/>
        <w:ind w:firstLine="420" w:firstLineChars="200"/>
        <w:rPr>
          <w:rFonts w:hint="eastAsia" w:ascii="宋体" w:hAnsi="宋体" w:cs="宋体"/>
          <w:szCs w:val="21"/>
        </w:rPr>
      </w:pPr>
      <w:r>
        <w:rPr>
          <w:rFonts w:hint="eastAsia" w:ascii="宋体" w:hAnsi="宋体" w:cs="宋体"/>
          <w:szCs w:val="21"/>
        </w:rPr>
        <w:t>19.2投标人完成电子投标文件上传后，交易平台即时向投标人发出递交回执通知。递交时间以递交回执通知载明的传输完成时间为准。</w:t>
      </w:r>
    </w:p>
    <w:p w14:paraId="04FBA8B4">
      <w:pPr>
        <w:spacing w:line="360" w:lineRule="auto"/>
        <w:ind w:firstLine="420" w:firstLineChars="200"/>
        <w:rPr>
          <w:rFonts w:hint="eastAsia" w:ascii="宋体" w:hAnsi="宋体" w:cs="宋体"/>
          <w:szCs w:val="21"/>
        </w:rPr>
      </w:pPr>
      <w:r>
        <w:rPr>
          <w:rFonts w:hint="eastAsia" w:ascii="宋体" w:hAnsi="宋体" w:cs="宋体"/>
          <w:szCs w:val="21"/>
        </w:rPr>
        <w:t>19.3逾期送达的电子投标文件，交易平台将予以拒收。</w:t>
      </w:r>
    </w:p>
    <w:p w14:paraId="4583BA43">
      <w:pPr>
        <w:spacing w:line="360" w:lineRule="auto"/>
        <w:ind w:firstLine="420" w:firstLineChars="200"/>
        <w:rPr>
          <w:rFonts w:hint="eastAsia" w:ascii="宋体" w:hAnsi="宋体" w:cs="宋体"/>
          <w:szCs w:val="21"/>
        </w:rPr>
      </w:pPr>
      <w:r>
        <w:rPr>
          <w:rFonts w:hint="eastAsia" w:ascii="宋体" w:hAnsi="宋体" w:cs="宋体"/>
          <w:szCs w:val="21"/>
        </w:rPr>
        <w:t>19.4 投标截止前，招标人拒绝接收符合条件的投标文件，投标人可向招标投标监督机构投诉。</w:t>
      </w:r>
    </w:p>
    <w:p w14:paraId="698D7102">
      <w:pPr>
        <w:spacing w:line="360" w:lineRule="auto"/>
        <w:ind w:firstLine="420" w:firstLineChars="200"/>
        <w:rPr>
          <w:rFonts w:hint="eastAsia" w:ascii="宋体" w:hAnsi="宋体" w:cs="宋体"/>
          <w:szCs w:val="21"/>
        </w:rPr>
      </w:pPr>
      <w:r>
        <w:rPr>
          <w:rFonts w:hint="eastAsia" w:ascii="宋体" w:hAnsi="宋体" w:cs="宋体"/>
          <w:szCs w:val="21"/>
        </w:rPr>
        <w:t>19.5如技术标和经济标先后分别开启，交易平台将按招标文件规定的时间分别开启技术标和经济标。</w:t>
      </w:r>
    </w:p>
    <w:p w14:paraId="72353D4E">
      <w:pPr>
        <w:spacing w:line="360" w:lineRule="auto"/>
        <w:ind w:firstLine="420" w:firstLineChars="200"/>
        <w:rPr>
          <w:rFonts w:hint="eastAsia" w:ascii="宋体" w:hAnsi="宋体" w:cs="宋体"/>
          <w:szCs w:val="21"/>
        </w:rPr>
      </w:pPr>
      <w:r>
        <w:rPr>
          <w:rFonts w:hint="eastAsia" w:ascii="宋体" w:hAnsi="宋体" w:cs="宋体"/>
          <w:b/>
          <w:szCs w:val="21"/>
        </w:rPr>
        <w:t>现文：</w:t>
      </w:r>
      <w:r>
        <w:rPr>
          <w:rFonts w:hint="eastAsia" w:ascii="宋体" w:hAnsi="宋体" w:cs="宋体"/>
          <w:szCs w:val="21"/>
        </w:rPr>
        <w:t>19．投标文件的递交和接收</w:t>
      </w:r>
    </w:p>
    <w:p w14:paraId="7F7DC288">
      <w:pPr>
        <w:spacing w:line="360" w:lineRule="auto"/>
        <w:ind w:firstLine="420" w:firstLineChars="200"/>
        <w:rPr>
          <w:rFonts w:hint="eastAsia" w:ascii="宋体" w:hAnsi="宋体" w:cs="宋体"/>
          <w:szCs w:val="21"/>
        </w:rPr>
      </w:pPr>
      <w:r>
        <w:rPr>
          <w:rFonts w:hint="eastAsia" w:ascii="宋体" w:hAnsi="宋体" w:cs="宋体"/>
          <w:szCs w:val="21"/>
        </w:rPr>
        <w:t>19.1投标人通过</w:t>
      </w:r>
      <w:r>
        <w:rPr>
          <w:rFonts w:hint="eastAsia" w:ascii="宋体" w:hAnsi="宋体" w:cs="宋体"/>
          <w:szCs w:val="21"/>
          <w:u w:val="single"/>
        </w:rPr>
        <w:t>广州交易集团有限公司（广州公共资源交易中心）</w:t>
      </w:r>
      <w:r>
        <w:rPr>
          <w:rFonts w:hint="eastAsia" w:ascii="宋体" w:hAnsi="宋体" w:cs="宋体"/>
          <w:szCs w:val="21"/>
        </w:rPr>
        <w:t>交易平台递交电子投标文件。</w:t>
      </w:r>
    </w:p>
    <w:p w14:paraId="169CDC83">
      <w:pPr>
        <w:pBdr>
          <w:bottom w:val="single" w:color="auto" w:sz="6" w:space="1"/>
        </w:pBdr>
        <w:spacing w:line="360" w:lineRule="auto"/>
        <w:ind w:firstLine="420" w:firstLineChars="200"/>
        <w:rPr>
          <w:rFonts w:hint="eastAsia" w:ascii="宋体" w:hAnsi="宋体" w:cs="宋体"/>
          <w:szCs w:val="21"/>
        </w:rPr>
      </w:pPr>
      <w:r>
        <w:rPr>
          <w:rFonts w:hint="eastAsia" w:ascii="宋体" w:hAnsi="宋体" w:cs="宋体"/>
          <w:szCs w:val="21"/>
        </w:rPr>
        <w:t>19.2投标人完成电子投标文件上传后，</w:t>
      </w:r>
      <w:r>
        <w:rPr>
          <w:rFonts w:hint="eastAsia" w:ascii="宋体" w:hAnsi="宋体" w:cs="宋体"/>
          <w:szCs w:val="21"/>
          <w:u w:val="single"/>
        </w:rPr>
        <w:t>广州交易集团有限公司（广州公共资源交易中心）</w:t>
      </w:r>
      <w:r>
        <w:rPr>
          <w:rFonts w:hint="eastAsia" w:ascii="宋体" w:hAnsi="宋体" w:cs="宋体"/>
          <w:szCs w:val="21"/>
        </w:rPr>
        <w:t>交易平台即时向投标人发出递交回执通知。递交时间以递交回执通知载明的传输完成时间为准。</w:t>
      </w:r>
    </w:p>
    <w:p w14:paraId="1AC43FDF">
      <w:pPr>
        <w:pBdr>
          <w:bottom w:val="single" w:color="auto" w:sz="6" w:space="1"/>
        </w:pBdr>
        <w:spacing w:line="360" w:lineRule="auto"/>
        <w:ind w:firstLine="420" w:firstLineChars="200"/>
        <w:rPr>
          <w:rFonts w:hint="eastAsia" w:ascii="宋体" w:hAnsi="宋体" w:cs="宋体"/>
          <w:szCs w:val="21"/>
        </w:rPr>
      </w:pPr>
      <w:r>
        <w:rPr>
          <w:rFonts w:hint="eastAsia" w:ascii="宋体" w:hAnsi="宋体" w:cs="宋体"/>
          <w:szCs w:val="21"/>
        </w:rPr>
        <w:t>19.3逾期送达的电子投标文件，</w:t>
      </w:r>
      <w:r>
        <w:rPr>
          <w:rFonts w:hint="eastAsia" w:ascii="宋体" w:hAnsi="宋体" w:cs="宋体"/>
          <w:szCs w:val="21"/>
          <w:u w:val="single"/>
        </w:rPr>
        <w:t>广州交易集团有限公司（广州公共资源交易中心）</w:t>
      </w:r>
      <w:r>
        <w:rPr>
          <w:rFonts w:hint="eastAsia" w:ascii="宋体" w:hAnsi="宋体" w:cs="宋体"/>
          <w:szCs w:val="21"/>
        </w:rPr>
        <w:t>交易平台将予以拒收。</w:t>
      </w:r>
    </w:p>
    <w:p w14:paraId="75D2FCEA">
      <w:pPr>
        <w:pBdr>
          <w:bottom w:val="single" w:color="auto" w:sz="6" w:space="1"/>
        </w:pBdr>
        <w:spacing w:line="360" w:lineRule="auto"/>
        <w:ind w:firstLine="420" w:firstLineChars="200"/>
        <w:rPr>
          <w:rFonts w:hint="eastAsia" w:ascii="宋体" w:hAnsi="宋体" w:cs="宋体"/>
          <w:szCs w:val="21"/>
        </w:rPr>
      </w:pPr>
      <w:r>
        <w:rPr>
          <w:rFonts w:hint="eastAsia" w:ascii="宋体" w:hAnsi="宋体" w:cs="宋体"/>
          <w:szCs w:val="21"/>
        </w:rPr>
        <w:t>19.4 投标截止前，招标人拒绝接收符合条件的投标文件，投标人可向招标投标监督机构投诉。</w:t>
      </w:r>
    </w:p>
    <w:p w14:paraId="3A3D91F9">
      <w:pPr>
        <w:spacing w:line="360" w:lineRule="auto"/>
        <w:ind w:firstLine="420" w:firstLineChars="200"/>
        <w:rPr>
          <w:rFonts w:hint="eastAsia" w:ascii="宋体" w:hAnsi="宋体"/>
          <w:b/>
          <w:szCs w:val="21"/>
        </w:rPr>
      </w:pPr>
      <w:r>
        <w:rPr>
          <w:rFonts w:hint="eastAsia" w:ascii="宋体" w:hAnsi="宋体"/>
          <w:b/>
          <w:szCs w:val="21"/>
        </w:rPr>
        <w:t>条款号：21.1                       修改类型：修改</w:t>
      </w:r>
    </w:p>
    <w:p w14:paraId="6715C5C3">
      <w:pPr>
        <w:pBdr>
          <w:bottom w:val="single" w:color="auto" w:sz="6" w:space="1"/>
        </w:pBdr>
        <w:spacing w:line="360" w:lineRule="auto"/>
        <w:ind w:firstLine="420" w:firstLineChars="200"/>
        <w:rPr>
          <w:rFonts w:hint="eastAsia" w:ascii="宋体" w:hAnsi="宋体"/>
          <w:szCs w:val="21"/>
        </w:rPr>
      </w:pPr>
      <w:r>
        <w:rPr>
          <w:rFonts w:hint="eastAsia" w:ascii="宋体" w:hAnsi="宋体"/>
          <w:b/>
          <w:szCs w:val="21"/>
        </w:rPr>
        <w:t>原文：</w:t>
      </w:r>
      <w:r>
        <w:rPr>
          <w:rFonts w:hint="eastAsia" w:ascii="宋体" w:hAnsi="宋体"/>
          <w:szCs w:val="21"/>
        </w:rPr>
        <w:t>21.1 本须知前附表第17项规定的投标截止时间后送达的电子投标文件，交易平台将予以拒收。</w:t>
      </w:r>
    </w:p>
    <w:p w14:paraId="4950AE8B">
      <w:pPr>
        <w:pBdr>
          <w:bottom w:val="single" w:color="auto" w:sz="6" w:space="1"/>
        </w:pBdr>
        <w:spacing w:line="360" w:lineRule="auto"/>
        <w:ind w:firstLine="420" w:firstLineChars="200"/>
        <w:rPr>
          <w:rFonts w:hint="eastAsia" w:ascii="宋体" w:hAnsi="宋体"/>
          <w:szCs w:val="21"/>
        </w:rPr>
      </w:pPr>
      <w:r>
        <w:rPr>
          <w:rFonts w:hint="eastAsia" w:ascii="宋体" w:hAnsi="宋体"/>
          <w:b/>
          <w:szCs w:val="21"/>
        </w:rPr>
        <w:t>现文：</w:t>
      </w:r>
      <w:r>
        <w:rPr>
          <w:rFonts w:hint="eastAsia" w:ascii="宋体" w:hAnsi="宋体"/>
          <w:szCs w:val="21"/>
        </w:rPr>
        <w:t>21.1 本须知前附表第17项规定的投标截止时间后送达的电子投标文件，</w:t>
      </w:r>
      <w:r>
        <w:rPr>
          <w:rFonts w:hint="eastAsia" w:ascii="宋体" w:hAnsi="宋体" w:cs="宋体"/>
          <w:szCs w:val="21"/>
          <w:u w:val="single"/>
        </w:rPr>
        <w:t>广州交易集团有限公司（广州公共资源交易中心）</w:t>
      </w:r>
      <w:r>
        <w:rPr>
          <w:rFonts w:hint="eastAsia" w:ascii="宋体" w:hAnsi="宋体"/>
          <w:szCs w:val="21"/>
        </w:rPr>
        <w:t>交易平台将予以拒收。</w:t>
      </w:r>
    </w:p>
    <w:p w14:paraId="3744E922">
      <w:pPr>
        <w:spacing w:line="360" w:lineRule="auto"/>
        <w:ind w:firstLine="420" w:firstLineChars="200"/>
        <w:rPr>
          <w:rFonts w:hint="eastAsia" w:ascii="宋体" w:hAnsi="宋体"/>
          <w:b/>
          <w:szCs w:val="21"/>
        </w:rPr>
      </w:pPr>
    </w:p>
    <w:p w14:paraId="69B080A3">
      <w:pPr>
        <w:spacing w:line="360" w:lineRule="auto"/>
        <w:ind w:firstLine="420" w:firstLineChars="200"/>
        <w:rPr>
          <w:rFonts w:hint="eastAsia" w:ascii="宋体" w:hAnsi="宋体"/>
          <w:b/>
          <w:szCs w:val="21"/>
        </w:rPr>
      </w:pPr>
      <w:r>
        <w:rPr>
          <w:rFonts w:hint="eastAsia" w:ascii="宋体" w:hAnsi="宋体"/>
          <w:b/>
          <w:szCs w:val="21"/>
        </w:rPr>
        <w:t>条款号：27                         修改类型：修改</w:t>
      </w:r>
    </w:p>
    <w:p w14:paraId="3343CB67">
      <w:pPr>
        <w:pBdr>
          <w:bottom w:val="single" w:color="auto" w:sz="6" w:space="1"/>
        </w:pBdr>
        <w:spacing w:line="360" w:lineRule="auto"/>
        <w:ind w:firstLine="420" w:firstLineChars="200"/>
        <w:rPr>
          <w:rFonts w:hint="eastAsia" w:ascii="宋体" w:hAnsi="宋体"/>
          <w:szCs w:val="21"/>
        </w:rPr>
      </w:pPr>
      <w:r>
        <w:rPr>
          <w:rFonts w:hint="eastAsia" w:ascii="宋体" w:hAnsi="宋体"/>
          <w:b/>
          <w:szCs w:val="21"/>
        </w:rPr>
        <w:t>原文：</w:t>
      </w:r>
      <w:r>
        <w:rPr>
          <w:rFonts w:hint="eastAsia" w:ascii="宋体" w:hAnsi="宋体"/>
          <w:szCs w:val="21"/>
        </w:rPr>
        <w:t>27．中标通知书</w:t>
      </w:r>
    </w:p>
    <w:p w14:paraId="4ADEEE42">
      <w:pPr>
        <w:pBdr>
          <w:bottom w:val="single" w:color="auto" w:sz="6" w:space="1"/>
        </w:pBdr>
        <w:spacing w:line="360" w:lineRule="auto"/>
        <w:ind w:firstLine="420" w:firstLineChars="200"/>
        <w:rPr>
          <w:rFonts w:hint="eastAsia" w:ascii="宋体" w:hAnsi="宋体"/>
          <w:szCs w:val="21"/>
        </w:rPr>
      </w:pPr>
      <w:r>
        <w:rPr>
          <w:rFonts w:hint="eastAsia" w:ascii="宋体" w:hAnsi="宋体"/>
          <w:szCs w:val="21"/>
        </w:rPr>
        <w:t>27.1招标人将在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65672A86">
      <w:pPr>
        <w:pBdr>
          <w:bottom w:val="single" w:color="auto" w:sz="6" w:space="1"/>
        </w:pBdr>
        <w:spacing w:line="360" w:lineRule="auto"/>
        <w:ind w:firstLine="420" w:firstLineChars="200"/>
        <w:rPr>
          <w:rFonts w:hint="eastAsia" w:ascii="宋体" w:hAnsi="宋体"/>
          <w:szCs w:val="21"/>
        </w:rPr>
      </w:pPr>
      <w:r>
        <w:rPr>
          <w:rFonts w:hint="eastAsia" w:ascii="宋体" w:hAnsi="宋体"/>
          <w:szCs w:val="21"/>
        </w:rPr>
        <w:t>27.2招标人应当自确定中标人后，向招标投标监管机构提交招标投标情况的书面报告；经招投标监管机构备案后，方可发出中标通知书。</w:t>
      </w:r>
    </w:p>
    <w:p w14:paraId="41D73AA2">
      <w:pPr>
        <w:pBdr>
          <w:bottom w:val="single" w:color="auto" w:sz="6" w:space="1"/>
        </w:pBdr>
        <w:spacing w:line="360" w:lineRule="auto"/>
        <w:ind w:firstLine="420" w:firstLineChars="200"/>
        <w:rPr>
          <w:rFonts w:hint="eastAsia" w:ascii="宋体" w:hAnsi="宋体"/>
          <w:szCs w:val="21"/>
        </w:rPr>
      </w:pPr>
      <w:r>
        <w:rPr>
          <w:rFonts w:hint="eastAsia" w:ascii="宋体" w:hAnsi="宋体"/>
          <w:szCs w:val="21"/>
        </w:rPr>
        <w:t>27.3中标人必须在收到中标通知书后24小时之内以书面形式回复招标人，确认收到。</w:t>
      </w:r>
    </w:p>
    <w:p w14:paraId="78F13E87">
      <w:pPr>
        <w:pBdr>
          <w:bottom w:val="single" w:color="auto" w:sz="6" w:space="1"/>
        </w:pBdr>
        <w:spacing w:line="360" w:lineRule="auto"/>
        <w:ind w:firstLine="420" w:firstLineChars="200"/>
        <w:rPr>
          <w:rFonts w:hint="eastAsia" w:ascii="宋体" w:hAnsi="宋体"/>
          <w:szCs w:val="21"/>
        </w:rPr>
      </w:pPr>
      <w:r>
        <w:rPr>
          <w:rFonts w:hint="eastAsia" w:ascii="宋体" w:hAnsi="宋体"/>
          <w:szCs w:val="21"/>
        </w:rPr>
        <w:t>27.4在产生中标候选人后，招标人将中标候选人的投标文件商务部分文件的所有内容（包括报价清单、人员、业绩、奖项等资料）在交易平台和广东省招标投标监管网公开。</w:t>
      </w:r>
    </w:p>
    <w:p w14:paraId="59F8AD8A">
      <w:pPr>
        <w:pBdr>
          <w:bottom w:val="single" w:color="auto" w:sz="6" w:space="1"/>
        </w:pBdr>
        <w:spacing w:line="360" w:lineRule="auto"/>
        <w:ind w:firstLine="420" w:firstLineChars="200"/>
        <w:rPr>
          <w:rFonts w:hint="eastAsia" w:ascii="宋体" w:hAnsi="宋体"/>
          <w:szCs w:val="21"/>
        </w:rPr>
      </w:pPr>
      <w:r>
        <w:rPr>
          <w:rFonts w:hint="eastAsia" w:ascii="宋体" w:hAnsi="宋体"/>
          <w:b/>
          <w:szCs w:val="21"/>
        </w:rPr>
        <w:t>现文：</w:t>
      </w:r>
      <w:r>
        <w:rPr>
          <w:rFonts w:hint="eastAsia" w:ascii="宋体" w:hAnsi="宋体"/>
          <w:szCs w:val="21"/>
        </w:rPr>
        <w:t>27．中标通知书</w:t>
      </w:r>
    </w:p>
    <w:p w14:paraId="34266193">
      <w:pPr>
        <w:pBdr>
          <w:bottom w:val="single" w:color="auto" w:sz="6" w:space="1"/>
        </w:pBdr>
        <w:spacing w:line="360" w:lineRule="auto"/>
        <w:ind w:firstLine="420" w:firstLineChars="200"/>
        <w:rPr>
          <w:rFonts w:hint="eastAsia" w:ascii="宋体" w:hAnsi="宋体"/>
          <w:szCs w:val="21"/>
          <w:u w:val="single"/>
        </w:rPr>
      </w:pPr>
      <w:r>
        <w:rPr>
          <w:rFonts w:hint="eastAsia" w:ascii="宋体" w:hAnsi="宋体"/>
          <w:szCs w:val="21"/>
        </w:rPr>
        <w:t>27.1招标人将在</w:t>
      </w:r>
      <w:r>
        <w:rPr>
          <w:rFonts w:hint="eastAsia" w:ascii="宋体" w:hAnsi="宋体" w:cs="宋体"/>
          <w:szCs w:val="21"/>
          <w:u w:val="single"/>
        </w:rPr>
        <w:t>广州交易集团有限公司（广州公共资源交易中心）</w:t>
      </w:r>
      <w:r>
        <w:rPr>
          <w:rFonts w:hint="eastAsia" w:ascii="宋体" w:hAnsi="宋体"/>
          <w:szCs w:val="21"/>
        </w:rPr>
        <w:t>交易平台、广东省招标投标监管网和中国招标投标公共服务平台公示中标候选人，公示期为三天。</w:t>
      </w:r>
      <w:r>
        <w:rPr>
          <w:rFonts w:hint="eastAsia" w:ascii="宋体" w:hAnsi="宋体" w:cs="宋体"/>
          <w:bCs/>
          <w:szCs w:val="21"/>
          <w:u w:val="single"/>
        </w:rPr>
        <w:t>在公示前若发现第一中标候选人委派的项目负责人在其他在建项目中任职已被锁定的，其中标候选人资格将会被取消，招标人可以确定排名第二的中标候选人为中标人，以此类推；若全部中标候选人出现上述情形的，本次招标失败，招标人依法重新招标。</w:t>
      </w:r>
    </w:p>
    <w:p w14:paraId="3F7A0118">
      <w:pPr>
        <w:pBdr>
          <w:bottom w:val="single" w:color="auto" w:sz="6" w:space="1"/>
        </w:pBdr>
        <w:spacing w:line="360" w:lineRule="auto"/>
        <w:ind w:firstLine="420" w:firstLineChars="200"/>
        <w:rPr>
          <w:rFonts w:hint="eastAsia" w:ascii="宋体" w:hAnsi="宋体"/>
          <w:szCs w:val="21"/>
        </w:rPr>
      </w:pPr>
      <w:r>
        <w:rPr>
          <w:rFonts w:hint="eastAsia" w:ascii="宋体" w:hAnsi="宋体"/>
          <w:szCs w:val="21"/>
        </w:rPr>
        <w:t>27.2招标人应当自确定中标人后，向招标投标监管机构提交招标投标情况的书面报告；经招投标监管机构备案后，方可发出中标通知书。</w:t>
      </w:r>
    </w:p>
    <w:p w14:paraId="4688D481">
      <w:pPr>
        <w:pBdr>
          <w:bottom w:val="single" w:color="auto" w:sz="6" w:space="1"/>
        </w:pBdr>
        <w:spacing w:line="360" w:lineRule="auto"/>
        <w:ind w:firstLine="420" w:firstLineChars="200"/>
        <w:rPr>
          <w:rFonts w:hint="eastAsia" w:ascii="宋体" w:hAnsi="宋体"/>
          <w:szCs w:val="21"/>
        </w:rPr>
      </w:pPr>
      <w:r>
        <w:rPr>
          <w:rFonts w:hint="eastAsia" w:ascii="宋体" w:hAnsi="宋体"/>
          <w:szCs w:val="21"/>
        </w:rPr>
        <w:t>27.3中标人必须在收到中标通知书后24小时之内以书面形式回复招标人，确认收到。</w:t>
      </w:r>
    </w:p>
    <w:p w14:paraId="0A4D2A17">
      <w:pPr>
        <w:pBdr>
          <w:bottom w:val="single" w:color="auto" w:sz="6" w:space="1"/>
        </w:pBdr>
        <w:spacing w:line="360" w:lineRule="auto"/>
        <w:ind w:firstLine="420" w:firstLineChars="200"/>
        <w:rPr>
          <w:rFonts w:hint="eastAsia" w:ascii="宋体" w:hAnsi="宋体"/>
          <w:szCs w:val="21"/>
        </w:rPr>
      </w:pPr>
      <w:r>
        <w:rPr>
          <w:rFonts w:hint="eastAsia" w:ascii="宋体" w:hAnsi="宋体"/>
          <w:szCs w:val="21"/>
        </w:rPr>
        <w:t>27.4在产生中标候选人后，招标人将中标候选人的投标文件商务部分文件的所有内容（包括</w:t>
      </w:r>
      <w:r>
        <w:rPr>
          <w:rFonts w:hint="eastAsia" w:ascii="宋体" w:hAnsi="宋体"/>
          <w:szCs w:val="21"/>
          <w:u w:val="single"/>
        </w:rPr>
        <w:t>人员、业绩、奖项等资料）</w:t>
      </w:r>
      <w:r>
        <w:rPr>
          <w:rFonts w:hint="eastAsia" w:ascii="宋体" w:hAnsi="宋体"/>
          <w:szCs w:val="21"/>
        </w:rPr>
        <w:t>在</w:t>
      </w:r>
      <w:r>
        <w:rPr>
          <w:rFonts w:hint="eastAsia" w:ascii="宋体" w:hAnsi="宋体" w:cs="宋体"/>
          <w:szCs w:val="21"/>
          <w:u w:val="single"/>
        </w:rPr>
        <w:t>广州交易集团有限公司（广州公共资源交易中心）</w:t>
      </w:r>
      <w:r>
        <w:rPr>
          <w:rFonts w:hint="eastAsia" w:ascii="宋体" w:hAnsi="宋体"/>
          <w:szCs w:val="21"/>
        </w:rPr>
        <w:t>交易平台和广东省招标投标监管网公开。</w:t>
      </w:r>
    </w:p>
    <w:p w14:paraId="4D5463EF">
      <w:pPr>
        <w:spacing w:line="360" w:lineRule="auto"/>
        <w:ind w:firstLine="420" w:firstLineChars="200"/>
        <w:rPr>
          <w:rFonts w:hint="eastAsia" w:ascii="宋体" w:hAnsi="宋体" w:cs="宋体"/>
          <w:b/>
          <w:szCs w:val="21"/>
        </w:rPr>
      </w:pPr>
      <w:r>
        <w:rPr>
          <w:rFonts w:hint="eastAsia" w:ascii="宋体" w:hAnsi="宋体" w:cs="宋体"/>
          <w:b/>
          <w:szCs w:val="21"/>
        </w:rPr>
        <w:t>条款号：28.4                       修改类型：修改</w:t>
      </w:r>
    </w:p>
    <w:p w14:paraId="398AAEC7">
      <w:pPr>
        <w:spacing w:line="360" w:lineRule="auto"/>
        <w:ind w:firstLine="420" w:firstLineChars="200"/>
        <w:rPr>
          <w:rFonts w:hint="eastAsia" w:ascii="宋体" w:hAnsi="宋体" w:cs="宋体"/>
          <w:szCs w:val="21"/>
        </w:rPr>
      </w:pPr>
      <w:r>
        <w:rPr>
          <w:rFonts w:hint="eastAsia" w:ascii="宋体" w:hAnsi="宋体" w:cs="宋体"/>
          <w:b/>
          <w:szCs w:val="21"/>
        </w:rPr>
        <w:t>原文：</w:t>
      </w:r>
      <w:r>
        <w:rPr>
          <w:rFonts w:hint="eastAsia" w:ascii="宋体" w:hAnsi="宋体" w:cs="宋体"/>
          <w:szCs w:val="21"/>
        </w:rPr>
        <w:t>28.4招标人支付工程款时，中标人应提供工程所在地发票。</w:t>
      </w:r>
    </w:p>
    <w:p w14:paraId="185FD1CD">
      <w:pPr>
        <w:pBdr>
          <w:bottom w:val="single" w:color="auto" w:sz="6" w:space="1"/>
        </w:pBdr>
        <w:spacing w:line="360" w:lineRule="auto"/>
        <w:ind w:firstLine="420" w:firstLineChars="200"/>
        <w:rPr>
          <w:rFonts w:hint="eastAsia" w:ascii="宋体" w:hAnsi="宋体" w:cs="宋体"/>
          <w:bCs/>
          <w:strike/>
          <w:sz w:val="24"/>
          <w:szCs w:val="24"/>
          <w:u w:val="single"/>
        </w:rPr>
      </w:pPr>
      <w:r>
        <w:rPr>
          <w:rFonts w:hint="eastAsia" w:ascii="宋体" w:hAnsi="宋体" w:cs="宋体"/>
          <w:b/>
          <w:szCs w:val="21"/>
        </w:rPr>
        <w:t>现文：</w:t>
      </w:r>
      <w:r>
        <w:rPr>
          <w:rFonts w:hint="eastAsia" w:ascii="宋体" w:hAnsi="宋体" w:cs="宋体"/>
          <w:bCs/>
          <w:szCs w:val="21"/>
        </w:rPr>
        <w:t>28.4招标人支付工程款时，中标人应提供</w:t>
      </w:r>
      <w:r>
        <w:rPr>
          <w:rFonts w:hint="eastAsia" w:ascii="宋体" w:hAnsi="宋体" w:cs="宋体"/>
          <w:bCs/>
          <w:szCs w:val="21"/>
          <w:u w:val="single"/>
        </w:rPr>
        <w:t>符合国家税务相关部门要求的</w:t>
      </w:r>
      <w:r>
        <w:rPr>
          <w:rFonts w:hint="eastAsia" w:ascii="宋体" w:hAnsi="宋体" w:cs="宋体"/>
          <w:bCs/>
          <w:szCs w:val="21"/>
        </w:rPr>
        <w:t>发票。</w:t>
      </w:r>
    </w:p>
    <w:p w14:paraId="2F006038">
      <w:pPr>
        <w:adjustRightInd w:val="0"/>
        <w:spacing w:line="400" w:lineRule="exact"/>
        <w:ind w:firstLine="470" w:firstLineChars="224"/>
        <w:textAlignment w:val="baseline"/>
        <w:rPr>
          <w:rFonts w:hint="eastAsia" w:ascii="宋体" w:hAnsi="宋体" w:cs="宋体"/>
          <w:b/>
          <w:szCs w:val="21"/>
        </w:rPr>
      </w:pPr>
      <w:r>
        <w:rPr>
          <w:rFonts w:hint="eastAsia" w:ascii="宋体" w:hAnsi="宋体" w:cs="宋体"/>
          <w:b/>
          <w:szCs w:val="21"/>
        </w:rPr>
        <w:t xml:space="preserve">条款号：30.1             </w:t>
      </w:r>
      <w:r>
        <w:rPr>
          <w:rFonts w:ascii="宋体" w:hAnsi="宋体" w:cs="宋体"/>
          <w:b/>
          <w:szCs w:val="21"/>
        </w:rPr>
        <w:t xml:space="preserve">         </w:t>
      </w:r>
      <w:r>
        <w:rPr>
          <w:rFonts w:hint="eastAsia" w:ascii="宋体" w:hAnsi="宋体" w:cs="宋体"/>
          <w:b/>
          <w:szCs w:val="21"/>
        </w:rPr>
        <w:t>修改类型：修改</w:t>
      </w:r>
    </w:p>
    <w:p w14:paraId="3C780768">
      <w:pPr>
        <w:adjustRightInd w:val="0"/>
        <w:spacing w:line="400" w:lineRule="exact"/>
        <w:ind w:firstLine="470" w:firstLineChars="224"/>
        <w:textAlignment w:val="baseline"/>
        <w:rPr>
          <w:rFonts w:hint="eastAsia" w:ascii="宋体" w:hAnsi="宋体" w:cs="宋体"/>
          <w:b/>
          <w:szCs w:val="21"/>
        </w:rPr>
      </w:pPr>
      <w:r>
        <w:rPr>
          <w:rFonts w:hint="eastAsia" w:ascii="宋体" w:hAnsi="宋体" w:cs="宋体"/>
          <w:b/>
          <w:szCs w:val="21"/>
        </w:rPr>
        <w:t>原文：</w:t>
      </w:r>
      <w:r>
        <w:rPr>
          <w:rFonts w:hint="eastAsia" w:ascii="宋体" w:hAnsi="宋体" w:cs="宋体"/>
          <w:szCs w:val="21"/>
        </w:rPr>
        <w:t>30.1在合同双方全权代表在合同协议书上签字，并分别加盖双方单位的公章后，合同正式生效。</w:t>
      </w:r>
    </w:p>
    <w:p w14:paraId="63C0EA0F">
      <w:pPr>
        <w:pBdr>
          <w:bottom w:val="single" w:color="auto" w:sz="6" w:space="1"/>
        </w:pBdr>
        <w:adjustRightInd w:val="0"/>
        <w:spacing w:line="400" w:lineRule="exact"/>
        <w:ind w:firstLine="422" w:firstLineChars="201"/>
        <w:textAlignment w:val="baseline"/>
        <w:rPr>
          <w:rFonts w:hint="eastAsia" w:ascii="宋体" w:hAnsi="宋体" w:cs="宋体"/>
          <w:szCs w:val="21"/>
          <w:u w:val="single"/>
        </w:rPr>
      </w:pPr>
      <w:r>
        <w:rPr>
          <w:rFonts w:hint="eastAsia" w:ascii="宋体" w:hAnsi="宋体" w:cs="宋体"/>
          <w:b/>
          <w:szCs w:val="21"/>
        </w:rPr>
        <w:t>现文：</w:t>
      </w:r>
      <w:r>
        <w:rPr>
          <w:rFonts w:hint="eastAsia" w:ascii="宋体" w:hAnsi="宋体" w:cs="宋体"/>
          <w:szCs w:val="21"/>
        </w:rPr>
        <w:t>30.1在合同双方全权代表在合同协议书上签字，并分别加盖双方单位的公章</w:t>
      </w:r>
      <w:r>
        <w:rPr>
          <w:rFonts w:hint="eastAsia" w:ascii="宋体" w:hAnsi="宋体" w:cs="宋体"/>
          <w:szCs w:val="21"/>
          <w:u w:val="single"/>
        </w:rPr>
        <w:t>且承包人提交履约担保后，合同正式生效。</w:t>
      </w:r>
    </w:p>
    <w:p w14:paraId="7AE03403">
      <w:pPr>
        <w:spacing w:line="440" w:lineRule="exact"/>
        <w:ind w:firstLine="470" w:firstLineChars="224"/>
        <w:rPr>
          <w:rFonts w:hint="eastAsia" w:ascii="宋体" w:hAnsi="宋体" w:cs="宋体"/>
          <w:b/>
          <w:szCs w:val="21"/>
        </w:rPr>
      </w:pPr>
      <w:r>
        <w:rPr>
          <w:rFonts w:hint="eastAsia" w:ascii="宋体" w:hAnsi="宋体" w:cs="宋体"/>
          <w:b/>
          <w:szCs w:val="21"/>
        </w:rPr>
        <w:t>条款号：</w:t>
      </w:r>
      <w:r>
        <w:rPr>
          <w:rFonts w:ascii="宋体" w:hAnsi="宋体" w:cs="宋体"/>
          <w:b/>
          <w:szCs w:val="21"/>
        </w:rPr>
        <w:t xml:space="preserve">31.1                </w:t>
      </w:r>
      <w:r>
        <w:rPr>
          <w:rFonts w:hint="eastAsia" w:ascii="宋体" w:hAnsi="宋体" w:cs="宋体"/>
          <w:b/>
          <w:szCs w:val="21"/>
        </w:rPr>
        <w:t>修改类型：增加</w:t>
      </w:r>
    </w:p>
    <w:p w14:paraId="06384CE2">
      <w:pPr>
        <w:pBdr>
          <w:bottom w:val="single" w:color="auto" w:sz="6" w:space="1"/>
        </w:pBdr>
        <w:spacing w:line="440" w:lineRule="exact"/>
        <w:ind w:firstLine="470" w:firstLineChars="224"/>
        <w:rPr>
          <w:rFonts w:hint="eastAsia" w:ascii="宋体" w:hAnsi="宋体" w:cs="宋体"/>
          <w:szCs w:val="21"/>
          <w:u w:val="single"/>
        </w:rPr>
      </w:pPr>
      <w:r>
        <w:rPr>
          <w:rFonts w:hint="eastAsia" w:ascii="宋体" w:hAnsi="宋体" w:cs="宋体"/>
          <w:b/>
          <w:szCs w:val="21"/>
        </w:rPr>
        <w:t>现文：</w:t>
      </w:r>
      <w:r>
        <w:rPr>
          <w:rFonts w:hint="eastAsia" w:ascii="宋体" w:hAnsi="宋体" w:cs="宋体"/>
          <w:szCs w:val="21"/>
          <w:u w:val="single"/>
        </w:rPr>
        <w:t>广州交易集团有限公司（广州公共资源交易中心）交易服务费由</w:t>
      </w:r>
      <w:r>
        <w:rPr>
          <w:rFonts w:ascii="宋体" w:hAnsi="宋体" w:cs="宋体"/>
          <w:szCs w:val="21"/>
          <w:u w:val="single"/>
        </w:rPr>
        <w:t>中标人负责</w:t>
      </w:r>
      <w:r>
        <w:rPr>
          <w:rFonts w:hint="eastAsia" w:ascii="宋体" w:hAnsi="宋体" w:cs="宋体"/>
          <w:szCs w:val="21"/>
          <w:u w:val="single"/>
        </w:rPr>
        <w:t>，由广州交易集团有限公司（广州公共资源交易中心）向中标人开具增值税发票。</w:t>
      </w:r>
    </w:p>
    <w:p w14:paraId="38EA1BE5">
      <w:pPr>
        <w:pStyle w:val="74"/>
      </w:pPr>
    </w:p>
    <w:p w14:paraId="083CF6F6">
      <w:pPr>
        <w:spacing w:line="360" w:lineRule="auto"/>
        <w:ind w:firstLine="210" w:firstLineChars="100"/>
        <w:rPr>
          <w:b/>
          <w:szCs w:val="21"/>
        </w:rPr>
      </w:pPr>
      <w:r>
        <w:rPr>
          <w:rFonts w:hint="eastAsia"/>
          <w:b/>
          <w:szCs w:val="21"/>
        </w:rPr>
        <w:t>注：以上修改，仅限于本范本中有可供选择条款的情形。</w:t>
      </w:r>
    </w:p>
    <w:p w14:paraId="25DAFBE2">
      <w:pPr>
        <w:spacing w:line="360" w:lineRule="auto"/>
      </w:pPr>
      <w:r>
        <w:rPr>
          <w:rFonts w:hint="eastAsia"/>
          <w:b/>
          <w:szCs w:val="21"/>
        </w:rPr>
        <w:t>（以下无正文）</w:t>
      </w:r>
    </w:p>
    <w:p w14:paraId="5CFDCFA3">
      <w:r>
        <w:br w:type="page"/>
      </w:r>
    </w:p>
    <w:p w14:paraId="10138572">
      <w:pPr>
        <w:pStyle w:val="4"/>
        <w:rPr>
          <w:color w:val="auto"/>
        </w:rPr>
      </w:pPr>
      <w:bookmarkStart w:id="23" w:name="_Toc27479"/>
      <w:bookmarkStart w:id="24" w:name="_Toc4848"/>
      <w:bookmarkStart w:id="25" w:name="_Toc3072"/>
      <w:bookmarkStart w:id="26" w:name="_Toc6000"/>
      <w:bookmarkStart w:id="27" w:name="_Toc3861"/>
      <w:bookmarkStart w:id="28" w:name="_Toc6086"/>
      <w:r>
        <w:rPr>
          <w:rFonts w:hint="eastAsia"/>
          <w:color w:val="auto"/>
        </w:rPr>
        <w:t>三、投标须知通用条款</w:t>
      </w:r>
      <w:bookmarkEnd w:id="23"/>
      <w:bookmarkEnd w:id="24"/>
      <w:bookmarkEnd w:id="25"/>
      <w:bookmarkEnd w:id="26"/>
      <w:bookmarkEnd w:id="27"/>
      <w:bookmarkEnd w:id="28"/>
    </w:p>
    <w:p w14:paraId="57F32919">
      <w:pPr>
        <w:pStyle w:val="5"/>
        <w:spacing w:before="156" w:after="156"/>
        <w:rPr>
          <w:rFonts w:hint="eastAsia"/>
        </w:rPr>
      </w:pPr>
      <w:bookmarkStart w:id="29" w:name="_Toc7032"/>
      <w:bookmarkStart w:id="30" w:name="_Toc5753"/>
      <w:bookmarkStart w:id="31" w:name="_Toc29420"/>
      <w:bookmarkStart w:id="32" w:name="_Toc16966"/>
      <w:bookmarkStart w:id="33" w:name="_Toc17236"/>
      <w:bookmarkStart w:id="34" w:name="_Toc23986"/>
      <w:r>
        <w:rPr>
          <w:rFonts w:hint="eastAsia"/>
        </w:rPr>
        <w:t>（一）总则</w:t>
      </w:r>
      <w:bookmarkEnd w:id="29"/>
      <w:bookmarkEnd w:id="30"/>
      <w:bookmarkEnd w:id="31"/>
      <w:bookmarkEnd w:id="32"/>
      <w:bookmarkEnd w:id="33"/>
      <w:bookmarkEnd w:id="34"/>
    </w:p>
    <w:p w14:paraId="267C9740">
      <w:pPr>
        <w:pStyle w:val="50"/>
        <w:spacing w:after="0" w:line="360" w:lineRule="auto"/>
        <w:ind w:firstLine="480" w:firstLineChars="200"/>
        <w:rPr>
          <w:rFonts w:hint="eastAsia" w:ascii="宋体" w:hAnsi="宋体" w:eastAsia="宋体"/>
          <w:b/>
          <w:bCs/>
          <w:sz w:val="24"/>
        </w:rPr>
      </w:pPr>
      <w:r>
        <w:rPr>
          <w:rFonts w:ascii="宋体" w:hAnsi="宋体" w:eastAsia="宋体"/>
          <w:b/>
          <w:bCs/>
          <w:sz w:val="24"/>
        </w:rPr>
        <w:t>1</w:t>
      </w:r>
      <w:r>
        <w:rPr>
          <w:rFonts w:hint="eastAsia" w:ascii="宋体" w:hAnsi="宋体" w:eastAsia="宋体"/>
          <w:b/>
          <w:bCs/>
          <w:sz w:val="24"/>
        </w:rPr>
        <w:t>、定义</w:t>
      </w:r>
    </w:p>
    <w:p w14:paraId="14C32CB2">
      <w:pPr>
        <w:pStyle w:val="50"/>
        <w:spacing w:after="0" w:line="360" w:lineRule="auto"/>
        <w:ind w:firstLine="480" w:firstLineChars="200"/>
        <w:rPr>
          <w:rFonts w:hint="eastAsia" w:ascii="宋体" w:hAnsi="宋体" w:eastAsia="宋体"/>
          <w:b/>
          <w:bCs/>
          <w:sz w:val="24"/>
          <w:szCs w:val="24"/>
        </w:rPr>
      </w:pPr>
      <w:r>
        <w:rPr>
          <w:rFonts w:hint="eastAsia" w:ascii="宋体" w:hAnsi="宋体" w:eastAsia="宋体"/>
          <w:sz w:val="24"/>
        </w:rPr>
        <w:t>本招标文件</w:t>
      </w:r>
      <w:r>
        <w:rPr>
          <w:rFonts w:hint="eastAsia" w:ascii="宋体" w:hAnsi="宋体" w:eastAsia="宋体"/>
          <w:sz w:val="24"/>
          <w:szCs w:val="24"/>
        </w:rPr>
        <w:t>使用的下列词语具有如下规定的意义：</w:t>
      </w:r>
    </w:p>
    <w:p w14:paraId="1E967638">
      <w:pPr>
        <w:pStyle w:val="50"/>
        <w:spacing w:after="0" w:line="360" w:lineRule="auto"/>
        <w:ind w:firstLine="480" w:firstLineChars="200"/>
        <w:rPr>
          <w:rFonts w:hint="eastAsia" w:ascii="宋体" w:hAnsi="宋体" w:eastAsia="宋体"/>
          <w:b/>
          <w:bCs/>
          <w:sz w:val="24"/>
          <w:szCs w:val="24"/>
          <w:u w:val="single"/>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）“招标人”（即发包人）、“项目建设管理单位”（或称“项目代建单位”）、“招标代理”、“设计单位”、“监理单位”均已在投标须知前附表中列明。</w:t>
      </w:r>
    </w:p>
    <w:p w14:paraId="0D41F5BF">
      <w:pPr>
        <w:pStyle w:val="50"/>
        <w:spacing w:after="0" w:line="360" w:lineRule="auto"/>
        <w:ind w:firstLine="480" w:firstLineChars="200"/>
        <w:rPr>
          <w:rFonts w:hint="eastAsia" w:ascii="宋体" w:hAnsi="宋体" w:eastAsia="宋体"/>
          <w:sz w:val="24"/>
          <w:szCs w:val="24"/>
          <w:u w:val="single"/>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）“投标人”指向招标人提交投标文件的当事人。</w:t>
      </w:r>
      <w:r>
        <w:rPr>
          <w:rFonts w:ascii="宋体" w:hAnsi="宋体" w:eastAsia="宋体"/>
          <w:sz w:val="24"/>
          <w:szCs w:val="24"/>
        </w:rPr>
        <w:t xml:space="preserve">   </w:t>
      </w:r>
    </w:p>
    <w:p w14:paraId="367D6B17">
      <w:pPr>
        <w:pStyle w:val="50"/>
        <w:spacing w:after="0" w:line="360" w:lineRule="auto"/>
        <w:ind w:firstLine="480" w:firstLineChars="20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）“承包人”指其投标被招标人接受并与其签订承包合同的当事人。</w:t>
      </w:r>
    </w:p>
    <w:p w14:paraId="04822EDF">
      <w:pPr>
        <w:pStyle w:val="50"/>
        <w:spacing w:after="0" w:line="360" w:lineRule="auto"/>
        <w:ind w:firstLine="480" w:firstLineChars="200"/>
        <w:rPr>
          <w:rFonts w:hint="eastAsia" w:ascii="宋体" w:hAnsi="宋体" w:eastAsia="宋体"/>
          <w:sz w:val="24"/>
          <w:szCs w:val="24"/>
          <w:u w:val="single"/>
        </w:rPr>
      </w:pP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）“招标文件”指由招标代理发出的本文件（包括全部章节、附件）及招标答疑会会议纪要和</w:t>
      </w:r>
      <w:r>
        <w:rPr>
          <w:rFonts w:hint="eastAsia" w:ascii="宋体" w:hAnsi="宋体" w:eastAsia="宋体"/>
          <w:bCs/>
          <w:sz w:val="24"/>
          <w:szCs w:val="24"/>
        </w:rPr>
        <w:t>招标文件的澄清与修改</w:t>
      </w:r>
      <w:r>
        <w:rPr>
          <w:rFonts w:hint="eastAsia" w:ascii="宋体" w:hAnsi="宋体" w:eastAsia="宋体"/>
          <w:sz w:val="24"/>
          <w:szCs w:val="24"/>
        </w:rPr>
        <w:t>文件。</w:t>
      </w:r>
    </w:p>
    <w:p w14:paraId="114CC881">
      <w:pPr>
        <w:pStyle w:val="50"/>
        <w:spacing w:after="0" w:line="360" w:lineRule="auto"/>
        <w:ind w:firstLine="480" w:firstLineChars="20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5</w:t>
      </w:r>
      <w:r>
        <w:rPr>
          <w:rFonts w:hint="eastAsia" w:ascii="宋体" w:hAnsi="宋体" w:eastAsia="宋体"/>
          <w:sz w:val="24"/>
          <w:szCs w:val="24"/>
        </w:rPr>
        <w:t>）“投标文件”指投标人根据本项目招标文件向招标人提交的全部文件。</w:t>
      </w:r>
    </w:p>
    <w:p w14:paraId="49B4A5C6">
      <w:pPr>
        <w:pStyle w:val="50"/>
        <w:spacing w:after="0" w:line="360" w:lineRule="auto"/>
        <w:ind w:firstLine="480" w:firstLineChars="20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6</w:t>
      </w:r>
      <w:r>
        <w:rPr>
          <w:rFonts w:hint="eastAsia" w:ascii="宋体" w:hAnsi="宋体" w:eastAsia="宋体"/>
          <w:sz w:val="24"/>
          <w:szCs w:val="24"/>
        </w:rPr>
        <w:t>）“书面形式”指打字或印刷的文件和数据电文（包括电报、电传、传真、电子数据交换和电子邮件）。</w:t>
      </w:r>
    </w:p>
    <w:p w14:paraId="32487D83">
      <w:pPr>
        <w:spacing w:line="360" w:lineRule="auto"/>
        <w:ind w:firstLine="480" w:firstLineChars="200"/>
        <w:rPr>
          <w:rFonts w:ascii="宋体"/>
          <w:b/>
          <w:sz w:val="24"/>
          <w:szCs w:val="24"/>
        </w:rPr>
      </w:pPr>
      <w:r>
        <w:rPr>
          <w:rFonts w:ascii="宋体" w:hAnsi="宋体"/>
          <w:b/>
          <w:sz w:val="24"/>
          <w:szCs w:val="24"/>
        </w:rPr>
        <w:t>2</w:t>
      </w:r>
      <w:r>
        <w:rPr>
          <w:rFonts w:hint="eastAsia" w:ascii="宋体" w:hAnsi="宋体"/>
          <w:b/>
          <w:sz w:val="24"/>
          <w:szCs w:val="24"/>
        </w:rPr>
        <w:t>、招标说明</w:t>
      </w:r>
    </w:p>
    <w:p w14:paraId="2203E99A">
      <w:pPr>
        <w:spacing w:line="360" w:lineRule="auto"/>
        <w:ind w:firstLine="480" w:firstLineChars="200"/>
        <w:rPr>
          <w:rFonts w:ascii="宋体"/>
          <w:bCs/>
          <w:sz w:val="24"/>
          <w:szCs w:val="24"/>
        </w:rPr>
      </w:pPr>
      <w:r>
        <w:rPr>
          <w:rFonts w:ascii="宋体" w:hAnsi="宋体"/>
          <w:bCs/>
          <w:sz w:val="24"/>
          <w:szCs w:val="24"/>
        </w:rPr>
        <w:t>2.1</w:t>
      </w:r>
      <w:r>
        <w:rPr>
          <w:rFonts w:hint="eastAsia" w:ascii="宋体" w:hAnsi="宋体"/>
          <w:bCs/>
          <w:sz w:val="24"/>
          <w:szCs w:val="24"/>
        </w:rPr>
        <w:t>本招标工程项目按照《中华人民共和国招标投标法》等有关法律、行政法规、规章和规范性文件，通过招标方式选定承包人。</w:t>
      </w:r>
    </w:p>
    <w:p w14:paraId="0B2578B6">
      <w:pPr>
        <w:spacing w:line="360" w:lineRule="auto"/>
        <w:ind w:firstLine="480" w:firstLineChars="200"/>
        <w:rPr>
          <w:rFonts w:ascii="宋体"/>
          <w:bCs/>
          <w:sz w:val="24"/>
          <w:szCs w:val="24"/>
        </w:rPr>
      </w:pPr>
      <w:r>
        <w:rPr>
          <w:rFonts w:ascii="宋体" w:hAnsi="宋体"/>
          <w:bCs/>
          <w:sz w:val="24"/>
          <w:szCs w:val="24"/>
        </w:rPr>
        <w:t>2.2</w:t>
      </w:r>
      <w:r>
        <w:rPr>
          <w:rFonts w:hint="eastAsia" w:ascii="宋体" w:hAnsi="宋体"/>
          <w:bCs/>
          <w:sz w:val="24"/>
          <w:szCs w:val="24"/>
        </w:rPr>
        <w:t>工程名称、建设地点、建设规模、承包方式、质量标准、招标范围、工期要求等均在投标须知前附表中列明。</w:t>
      </w:r>
    </w:p>
    <w:p w14:paraId="3794A7B3">
      <w:pPr>
        <w:spacing w:line="360" w:lineRule="auto"/>
        <w:ind w:firstLine="480" w:firstLineChars="200"/>
        <w:rPr>
          <w:rFonts w:ascii="宋体"/>
          <w:bCs/>
          <w:sz w:val="24"/>
          <w:szCs w:val="24"/>
        </w:rPr>
      </w:pPr>
      <w:r>
        <w:rPr>
          <w:rFonts w:ascii="宋体" w:hAnsi="宋体"/>
          <w:bCs/>
          <w:sz w:val="24"/>
          <w:szCs w:val="24"/>
        </w:rPr>
        <w:t>2.3</w:t>
      </w:r>
      <w:r>
        <w:rPr>
          <w:rFonts w:hint="eastAsia" w:ascii="宋体" w:hAnsi="宋体"/>
          <w:bCs/>
          <w:sz w:val="24"/>
          <w:szCs w:val="24"/>
        </w:rPr>
        <w:t>设计说明：详见招标图纸。</w:t>
      </w:r>
    </w:p>
    <w:p w14:paraId="5CF23FBD">
      <w:pPr>
        <w:spacing w:line="360" w:lineRule="auto"/>
        <w:ind w:firstLine="480" w:firstLineChars="200"/>
        <w:rPr>
          <w:rFonts w:ascii="宋体"/>
          <w:bCs/>
          <w:sz w:val="24"/>
          <w:szCs w:val="24"/>
        </w:rPr>
      </w:pPr>
      <w:r>
        <w:rPr>
          <w:rFonts w:ascii="宋体" w:hAnsi="宋体"/>
          <w:bCs/>
          <w:sz w:val="24"/>
          <w:szCs w:val="24"/>
        </w:rPr>
        <w:t>2.4</w:t>
      </w:r>
      <w:r>
        <w:rPr>
          <w:rFonts w:hint="eastAsia" w:ascii="宋体" w:hAnsi="宋体"/>
          <w:bCs/>
          <w:sz w:val="24"/>
          <w:szCs w:val="24"/>
        </w:rPr>
        <w:t>工程施工特点：详见招标图纸。</w:t>
      </w:r>
    </w:p>
    <w:p w14:paraId="54841AF6">
      <w:pPr>
        <w:tabs>
          <w:tab w:val="left" w:pos="105"/>
        </w:tabs>
        <w:spacing w:line="360" w:lineRule="auto"/>
        <w:ind w:firstLine="480" w:firstLineChars="200"/>
        <w:rPr>
          <w:rFonts w:ascii="宋体"/>
          <w:b/>
          <w:sz w:val="24"/>
          <w:szCs w:val="24"/>
        </w:rPr>
      </w:pPr>
      <w:r>
        <w:rPr>
          <w:rFonts w:ascii="宋体" w:hAnsi="宋体"/>
          <w:b/>
          <w:sz w:val="24"/>
          <w:szCs w:val="24"/>
        </w:rPr>
        <w:t>3</w:t>
      </w:r>
      <w:r>
        <w:rPr>
          <w:rFonts w:hint="eastAsia" w:ascii="宋体" w:hAnsi="宋体"/>
          <w:b/>
          <w:sz w:val="24"/>
          <w:szCs w:val="24"/>
        </w:rPr>
        <w:t>．资金来源</w:t>
      </w:r>
    </w:p>
    <w:p w14:paraId="6B0B3F62">
      <w:pPr>
        <w:spacing w:line="360" w:lineRule="auto"/>
        <w:ind w:firstLine="480" w:firstLineChars="200"/>
        <w:rPr>
          <w:rFonts w:ascii="宋体"/>
          <w:bCs/>
          <w:sz w:val="24"/>
          <w:szCs w:val="24"/>
        </w:rPr>
      </w:pPr>
      <w:r>
        <w:rPr>
          <w:rFonts w:ascii="宋体" w:hAnsi="宋体"/>
          <w:bCs/>
          <w:sz w:val="24"/>
          <w:szCs w:val="24"/>
        </w:rPr>
        <w:t>3.1</w:t>
      </w:r>
      <w:r>
        <w:rPr>
          <w:rFonts w:hint="eastAsia" w:ascii="宋体" w:hAnsi="宋体"/>
          <w:bCs/>
          <w:sz w:val="24"/>
          <w:szCs w:val="24"/>
        </w:rPr>
        <w:t>本招标工程项目资金来源见投标须知前附表第</w:t>
      </w:r>
      <w:r>
        <w:rPr>
          <w:rFonts w:ascii="宋体" w:hAnsi="宋体"/>
          <w:bCs/>
          <w:sz w:val="24"/>
          <w:szCs w:val="24"/>
        </w:rPr>
        <w:t>9</w:t>
      </w:r>
      <w:r>
        <w:rPr>
          <w:rFonts w:hint="eastAsia" w:ascii="宋体" w:hAnsi="宋体"/>
          <w:bCs/>
          <w:sz w:val="24"/>
          <w:szCs w:val="24"/>
        </w:rPr>
        <w:t>项</w:t>
      </w:r>
    </w:p>
    <w:p w14:paraId="298B81A6">
      <w:pPr>
        <w:tabs>
          <w:tab w:val="left" w:pos="105"/>
        </w:tabs>
        <w:spacing w:line="360" w:lineRule="auto"/>
        <w:ind w:firstLine="480" w:firstLineChars="200"/>
        <w:rPr>
          <w:rFonts w:ascii="宋体"/>
          <w:b/>
          <w:sz w:val="24"/>
          <w:szCs w:val="24"/>
        </w:rPr>
      </w:pPr>
      <w:r>
        <w:rPr>
          <w:rFonts w:ascii="宋体" w:hAnsi="宋体"/>
          <w:b/>
          <w:sz w:val="24"/>
          <w:szCs w:val="24"/>
        </w:rPr>
        <w:t>4</w:t>
      </w:r>
      <w:r>
        <w:rPr>
          <w:rFonts w:hint="eastAsia" w:ascii="宋体" w:hAnsi="宋体"/>
          <w:b/>
          <w:sz w:val="24"/>
          <w:szCs w:val="24"/>
        </w:rPr>
        <w:t>．合格投标人的条件</w:t>
      </w:r>
    </w:p>
    <w:p w14:paraId="67F97845">
      <w:pPr>
        <w:spacing w:line="360" w:lineRule="auto"/>
        <w:ind w:firstLine="480" w:firstLineChars="200"/>
        <w:rPr>
          <w:rFonts w:ascii="宋体"/>
          <w:bCs/>
          <w:sz w:val="24"/>
          <w:szCs w:val="24"/>
        </w:rPr>
      </w:pPr>
      <w:r>
        <w:rPr>
          <w:rFonts w:ascii="宋体" w:hAnsi="宋体"/>
          <w:bCs/>
          <w:sz w:val="24"/>
          <w:szCs w:val="24"/>
        </w:rPr>
        <w:t>4.1</w:t>
      </w:r>
      <w:r>
        <w:rPr>
          <w:rFonts w:hint="eastAsia" w:ascii="宋体" w:hAnsi="宋体"/>
          <w:bCs/>
          <w:sz w:val="24"/>
          <w:szCs w:val="24"/>
        </w:rPr>
        <w:t>详见本项目招标公告</w:t>
      </w:r>
    </w:p>
    <w:p w14:paraId="6887ED65">
      <w:pPr>
        <w:tabs>
          <w:tab w:val="left" w:pos="105"/>
        </w:tabs>
        <w:spacing w:line="360" w:lineRule="auto"/>
        <w:ind w:firstLine="480" w:firstLineChars="200"/>
        <w:rPr>
          <w:rFonts w:ascii="宋体"/>
          <w:b/>
          <w:sz w:val="24"/>
          <w:szCs w:val="24"/>
        </w:rPr>
      </w:pPr>
      <w:r>
        <w:rPr>
          <w:rFonts w:ascii="宋体" w:hAnsi="宋体"/>
          <w:b/>
          <w:sz w:val="24"/>
          <w:szCs w:val="24"/>
        </w:rPr>
        <w:t>5</w:t>
      </w:r>
      <w:r>
        <w:rPr>
          <w:rFonts w:hint="eastAsia" w:ascii="宋体" w:hAnsi="宋体"/>
          <w:b/>
          <w:sz w:val="24"/>
          <w:szCs w:val="24"/>
        </w:rPr>
        <w:t>．踏勘现场</w:t>
      </w:r>
    </w:p>
    <w:p w14:paraId="41AB1EF9">
      <w:pPr>
        <w:spacing w:line="360" w:lineRule="auto"/>
        <w:ind w:firstLine="480" w:firstLineChars="200"/>
        <w:rPr>
          <w:rFonts w:ascii="宋体"/>
          <w:bCs/>
          <w:sz w:val="24"/>
          <w:szCs w:val="24"/>
          <w:u w:val="single"/>
        </w:rPr>
      </w:pPr>
      <w:r>
        <w:rPr>
          <w:rFonts w:ascii="宋体" w:hAnsi="宋体"/>
          <w:bCs/>
          <w:sz w:val="24"/>
          <w:szCs w:val="24"/>
        </w:rPr>
        <w:t xml:space="preserve">5.1 </w:t>
      </w:r>
      <w:r>
        <w:rPr>
          <w:rFonts w:hint="eastAsia" w:ascii="宋体" w:hAnsi="宋体"/>
          <w:bCs/>
          <w:sz w:val="24"/>
          <w:szCs w:val="24"/>
        </w:rPr>
        <w:t>投标人应按本投标须知前附表第</w:t>
      </w:r>
      <w:r>
        <w:rPr>
          <w:rFonts w:ascii="宋体" w:hAnsi="宋体"/>
          <w:bCs/>
          <w:sz w:val="24"/>
          <w:szCs w:val="24"/>
        </w:rPr>
        <w:t>15</w:t>
      </w:r>
      <w:r>
        <w:rPr>
          <w:rFonts w:hint="eastAsia" w:ascii="宋体" w:hAnsi="宋体"/>
          <w:bCs/>
          <w:sz w:val="24"/>
          <w:szCs w:val="24"/>
        </w:rPr>
        <w:t>项所述时间和要求对工程现场及周围环境进行踏勘，</w:t>
      </w:r>
      <w:r>
        <w:rPr>
          <w:rFonts w:hint="eastAsia" w:ascii="宋体" w:hAnsi="宋体"/>
          <w:sz w:val="24"/>
          <w:szCs w:val="24"/>
        </w:rPr>
        <w:t>投标人应充分重视和仔细地进行这种考察，</w:t>
      </w:r>
      <w:r>
        <w:rPr>
          <w:rFonts w:hint="eastAsia" w:ascii="宋体" w:hAnsi="宋体"/>
          <w:bCs/>
          <w:sz w:val="24"/>
          <w:szCs w:val="24"/>
        </w:rPr>
        <w:t>以便投标人获取</w:t>
      </w:r>
      <w:r>
        <w:rPr>
          <w:rFonts w:hint="eastAsia" w:ascii="宋体" w:hAnsi="宋体"/>
          <w:sz w:val="24"/>
          <w:szCs w:val="24"/>
        </w:rPr>
        <w:t>那些须投标人自己负责的</w:t>
      </w:r>
      <w:r>
        <w:rPr>
          <w:rFonts w:hint="eastAsia" w:ascii="宋体" w:hAnsi="宋体"/>
          <w:bCs/>
          <w:sz w:val="24"/>
          <w:szCs w:val="24"/>
        </w:rPr>
        <w:t>有关编制投标文件和签署合同所涉及现场所有的资料。</w:t>
      </w:r>
      <w:r>
        <w:rPr>
          <w:rFonts w:hint="eastAsia" w:ascii="宋体" w:hAnsi="宋体"/>
          <w:sz w:val="24"/>
          <w:szCs w:val="24"/>
          <w:u w:val="single"/>
        </w:rPr>
        <w:t>投标人不进行踏勘的，视为已孰知现场条件，自行承担相关风险。投标单位自行勘察并对工程量清单及图纸内容、准确性进行复核，如有误差必须在答疑中提出，否则视为已认可本项目的工程量清单及图纸所有内容。</w:t>
      </w:r>
      <w:r>
        <w:rPr>
          <w:rFonts w:hint="eastAsia" w:ascii="宋体" w:hAnsi="宋体"/>
          <w:sz w:val="24"/>
          <w:szCs w:val="24"/>
        </w:rPr>
        <w:t>一旦中标，这种考察即被认为其结果已在中标文件中得到充分反映。</w:t>
      </w:r>
      <w:r>
        <w:rPr>
          <w:rFonts w:hint="eastAsia" w:ascii="宋体" w:hAnsi="宋体"/>
          <w:sz w:val="24"/>
          <w:szCs w:val="24"/>
          <w:u w:val="single"/>
        </w:rPr>
        <w:t>招标人不受理因投标人缺乏对现场条件的了解或掌握而提出的任何索赔。</w:t>
      </w:r>
      <w:r>
        <w:rPr>
          <w:rFonts w:hint="eastAsia" w:ascii="宋体" w:hAnsi="宋体"/>
          <w:sz w:val="24"/>
          <w:szCs w:val="24"/>
        </w:rPr>
        <w:t>考察现场的费用由投标人自己承担。</w:t>
      </w:r>
    </w:p>
    <w:p w14:paraId="5CD003C8">
      <w:pPr>
        <w:tabs>
          <w:tab w:val="left" w:pos="105"/>
        </w:tabs>
        <w:spacing w:line="360" w:lineRule="auto"/>
        <w:ind w:firstLine="480" w:firstLineChars="200"/>
        <w:rPr>
          <w:rFonts w:ascii="宋体"/>
          <w:bCs/>
          <w:sz w:val="24"/>
          <w:szCs w:val="24"/>
        </w:rPr>
      </w:pPr>
      <w:r>
        <w:rPr>
          <w:rFonts w:ascii="宋体" w:hAnsi="宋体"/>
          <w:bCs/>
          <w:sz w:val="24"/>
          <w:szCs w:val="24"/>
        </w:rPr>
        <w:t xml:space="preserve">5.2 </w:t>
      </w:r>
      <w:r>
        <w:rPr>
          <w:rFonts w:hint="eastAsia" w:ascii="宋体" w:hAnsi="宋体"/>
          <w:bCs/>
          <w:sz w:val="24"/>
          <w:szCs w:val="24"/>
        </w:rPr>
        <w:t>招标人向投标人提供的有关现场的数据和资料，是招标人现有的能被投标人利用的资料，招标人对投标人做出的任何推论、理解和结论均不负责任。</w:t>
      </w:r>
    </w:p>
    <w:p w14:paraId="332DFAE1">
      <w:pPr>
        <w:spacing w:line="360" w:lineRule="auto"/>
        <w:ind w:firstLine="480" w:firstLineChars="200"/>
        <w:rPr>
          <w:rFonts w:ascii="宋体"/>
          <w:bCs/>
          <w:sz w:val="24"/>
          <w:szCs w:val="24"/>
        </w:rPr>
      </w:pPr>
      <w:r>
        <w:rPr>
          <w:rFonts w:ascii="宋体" w:hAnsi="宋体"/>
          <w:bCs/>
          <w:sz w:val="24"/>
          <w:szCs w:val="24"/>
        </w:rPr>
        <w:t xml:space="preserve">5.3 </w:t>
      </w:r>
      <w:r>
        <w:rPr>
          <w:rFonts w:hint="eastAsia" w:ascii="宋体" w:hAnsi="宋体"/>
          <w:bCs/>
          <w:sz w:val="24"/>
          <w:szCs w:val="24"/>
        </w:rPr>
        <w:t>经招标人允许，投标人可为踏勘目的进入招标人的项目现场。</w:t>
      </w:r>
      <w:r>
        <w:rPr>
          <w:rFonts w:hint="eastAsia" w:ascii="宋体" w:hAnsi="宋体"/>
          <w:sz w:val="24"/>
          <w:szCs w:val="24"/>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sz w:val="24"/>
          <w:szCs w:val="24"/>
        </w:rPr>
        <w:t>投标人不得因此使招标人承担有关的责任和蒙受损失。</w:t>
      </w:r>
    </w:p>
    <w:p w14:paraId="05FE60CF">
      <w:pPr>
        <w:tabs>
          <w:tab w:val="left" w:pos="105"/>
        </w:tabs>
        <w:spacing w:line="360" w:lineRule="auto"/>
        <w:ind w:firstLine="480" w:firstLineChars="200"/>
        <w:rPr>
          <w:rFonts w:ascii="宋体"/>
          <w:b/>
          <w:sz w:val="24"/>
          <w:szCs w:val="24"/>
        </w:rPr>
      </w:pPr>
      <w:r>
        <w:rPr>
          <w:rFonts w:ascii="宋体" w:hAnsi="宋体"/>
          <w:b/>
          <w:sz w:val="24"/>
          <w:szCs w:val="24"/>
        </w:rPr>
        <w:t>6</w:t>
      </w:r>
      <w:r>
        <w:rPr>
          <w:rFonts w:hint="eastAsia" w:ascii="宋体" w:hAnsi="宋体"/>
          <w:b/>
          <w:sz w:val="24"/>
          <w:szCs w:val="24"/>
        </w:rPr>
        <w:t>．投标费用</w:t>
      </w:r>
    </w:p>
    <w:p w14:paraId="0AD49B3A">
      <w:pPr>
        <w:tabs>
          <w:tab w:val="left" w:pos="105"/>
        </w:tabs>
        <w:spacing w:line="360" w:lineRule="auto"/>
        <w:ind w:firstLine="480" w:firstLineChars="200"/>
        <w:rPr>
          <w:rFonts w:ascii="宋体"/>
          <w:bCs/>
          <w:sz w:val="24"/>
          <w:szCs w:val="24"/>
        </w:rPr>
      </w:pPr>
      <w:r>
        <w:rPr>
          <w:rFonts w:ascii="宋体" w:hAnsi="宋体"/>
          <w:bCs/>
          <w:sz w:val="24"/>
          <w:szCs w:val="24"/>
        </w:rPr>
        <w:t>6.1</w:t>
      </w:r>
      <w:r>
        <w:rPr>
          <w:rFonts w:hint="eastAsia" w:ascii="宋体" w:hAnsi="宋体"/>
          <w:sz w:val="24"/>
          <w:szCs w:val="24"/>
        </w:rPr>
        <w:t>不论投标结果如何，投标人应承担</w:t>
      </w:r>
      <w:r>
        <w:rPr>
          <w:rFonts w:hint="eastAsia" w:ascii="宋体" w:hAnsi="宋体"/>
          <w:bCs/>
          <w:sz w:val="24"/>
          <w:szCs w:val="24"/>
        </w:rPr>
        <w:t>自身</w:t>
      </w:r>
      <w:r>
        <w:rPr>
          <w:rFonts w:hint="eastAsia" w:ascii="宋体" w:hAnsi="宋体"/>
          <w:sz w:val="24"/>
          <w:szCs w:val="24"/>
        </w:rPr>
        <w:t>因投标文件编制、递交及其他</w:t>
      </w:r>
      <w:r>
        <w:rPr>
          <w:rFonts w:hint="eastAsia" w:ascii="宋体" w:hAnsi="宋体"/>
          <w:bCs/>
          <w:sz w:val="24"/>
          <w:szCs w:val="24"/>
        </w:rPr>
        <w:t>参加本招标活动</w:t>
      </w:r>
      <w:r>
        <w:rPr>
          <w:rFonts w:hint="eastAsia" w:ascii="宋体" w:hAnsi="宋体"/>
          <w:sz w:val="24"/>
          <w:szCs w:val="24"/>
        </w:rPr>
        <w:t>所涉及的一切费用，招标人对上述费用不负任何责任。</w:t>
      </w:r>
    </w:p>
    <w:p w14:paraId="1953B220">
      <w:pPr>
        <w:pStyle w:val="5"/>
        <w:spacing w:before="156" w:after="156"/>
        <w:rPr>
          <w:rFonts w:hint="eastAsia"/>
          <w:sz w:val="24"/>
          <w:szCs w:val="24"/>
        </w:rPr>
      </w:pPr>
      <w:bookmarkStart w:id="35" w:name="_Toc24975"/>
      <w:bookmarkStart w:id="36" w:name="_Toc25070"/>
      <w:bookmarkStart w:id="37" w:name="_Toc15489"/>
      <w:bookmarkStart w:id="38" w:name="_Toc16535"/>
      <w:bookmarkStart w:id="39" w:name="_Toc17248"/>
      <w:bookmarkStart w:id="40" w:name="_Toc23484"/>
      <w:r>
        <w:rPr>
          <w:rFonts w:hint="eastAsia"/>
          <w:sz w:val="24"/>
          <w:szCs w:val="24"/>
        </w:rPr>
        <w:t>（二）招标文件</w:t>
      </w:r>
      <w:bookmarkEnd w:id="35"/>
      <w:bookmarkEnd w:id="36"/>
      <w:bookmarkEnd w:id="37"/>
      <w:bookmarkEnd w:id="38"/>
      <w:bookmarkEnd w:id="39"/>
      <w:bookmarkEnd w:id="40"/>
    </w:p>
    <w:p w14:paraId="3AE535FD">
      <w:pPr>
        <w:tabs>
          <w:tab w:val="left" w:pos="105"/>
        </w:tabs>
        <w:spacing w:line="360" w:lineRule="auto"/>
        <w:ind w:firstLine="480" w:firstLineChars="200"/>
        <w:rPr>
          <w:rFonts w:ascii="宋体"/>
          <w:b/>
          <w:sz w:val="24"/>
          <w:szCs w:val="24"/>
        </w:rPr>
      </w:pPr>
      <w:r>
        <w:rPr>
          <w:rFonts w:ascii="宋体" w:hAnsi="宋体"/>
          <w:b/>
          <w:sz w:val="24"/>
          <w:szCs w:val="24"/>
        </w:rPr>
        <w:t>7.</w:t>
      </w:r>
      <w:r>
        <w:rPr>
          <w:rFonts w:hint="eastAsia" w:ascii="宋体" w:hAnsi="宋体"/>
          <w:b/>
          <w:sz w:val="24"/>
          <w:szCs w:val="24"/>
        </w:rPr>
        <w:t>招标文件的组成</w:t>
      </w:r>
    </w:p>
    <w:p w14:paraId="065505E0">
      <w:pPr>
        <w:spacing w:line="360" w:lineRule="auto"/>
        <w:ind w:firstLine="480" w:firstLineChars="200"/>
        <w:rPr>
          <w:rFonts w:ascii="宋体"/>
          <w:sz w:val="24"/>
          <w:szCs w:val="24"/>
        </w:rPr>
      </w:pPr>
      <w:r>
        <w:rPr>
          <w:rFonts w:ascii="宋体" w:hAnsi="宋体"/>
          <w:bCs/>
          <w:sz w:val="24"/>
          <w:szCs w:val="24"/>
        </w:rPr>
        <w:t>7.1</w:t>
      </w:r>
      <w:r>
        <w:rPr>
          <w:rFonts w:hint="eastAsia" w:ascii="宋体" w:hAnsi="宋体"/>
          <w:sz w:val="24"/>
          <w:szCs w:val="24"/>
        </w:rPr>
        <w:t>本招标文件包括下列文件，以及所有按本须知第</w:t>
      </w:r>
      <w:r>
        <w:rPr>
          <w:rFonts w:ascii="宋体" w:hAnsi="宋体"/>
          <w:sz w:val="24"/>
          <w:szCs w:val="24"/>
        </w:rPr>
        <w:t>8</w:t>
      </w:r>
      <w:r>
        <w:rPr>
          <w:rFonts w:hint="eastAsia" w:ascii="宋体" w:hAnsi="宋体"/>
          <w:sz w:val="24"/>
          <w:szCs w:val="24"/>
        </w:rPr>
        <w:t>条发出的</w:t>
      </w:r>
      <w:r>
        <w:rPr>
          <w:rFonts w:hint="eastAsia" w:ascii="宋体" w:hAnsi="宋体"/>
          <w:sz w:val="24"/>
          <w:szCs w:val="24"/>
          <w:u w:val="single"/>
        </w:rPr>
        <w:t>招标答疑纪要</w:t>
      </w:r>
      <w:r>
        <w:rPr>
          <w:rFonts w:hint="eastAsia" w:ascii="宋体" w:hAnsi="宋体"/>
          <w:sz w:val="24"/>
          <w:szCs w:val="24"/>
        </w:rPr>
        <w:t>和按本须知第</w:t>
      </w:r>
      <w:r>
        <w:rPr>
          <w:rFonts w:ascii="宋体" w:hAnsi="宋体"/>
          <w:sz w:val="24"/>
          <w:szCs w:val="24"/>
        </w:rPr>
        <w:t>9</w:t>
      </w:r>
      <w:r>
        <w:rPr>
          <w:rFonts w:hint="eastAsia" w:ascii="宋体" w:hAnsi="宋体"/>
          <w:sz w:val="24"/>
          <w:szCs w:val="24"/>
        </w:rPr>
        <w:t>条发出的澄清或修改：</w:t>
      </w:r>
    </w:p>
    <w:p w14:paraId="06CF297C">
      <w:pPr>
        <w:pStyle w:val="50"/>
        <w:spacing w:after="0" w:line="360" w:lineRule="auto"/>
        <w:ind w:left="-2" w:firstLine="480" w:firstLineChars="200"/>
        <w:rPr>
          <w:rFonts w:hint="eastAsia" w:ascii="宋体" w:hAnsi="宋体" w:eastAsia="宋体"/>
          <w:sz w:val="24"/>
          <w:szCs w:val="24"/>
        </w:rPr>
      </w:pPr>
      <w:r>
        <w:rPr>
          <w:rFonts w:hint="eastAsia" w:ascii="宋体" w:hAnsi="宋体" w:eastAsia="宋体"/>
          <w:bCs/>
          <w:sz w:val="24"/>
          <w:szCs w:val="24"/>
        </w:rPr>
        <w:t>第一章</w:t>
      </w:r>
      <w:r>
        <w:rPr>
          <w:rFonts w:ascii="宋体" w:hAnsi="宋体" w:eastAsia="宋体"/>
          <w:bCs/>
          <w:sz w:val="24"/>
          <w:szCs w:val="24"/>
        </w:rPr>
        <w:t xml:space="preserve">  </w:t>
      </w:r>
      <w:r>
        <w:rPr>
          <w:rFonts w:hint="eastAsia" w:ascii="宋体" w:hAnsi="宋体" w:eastAsia="宋体"/>
          <w:sz w:val="24"/>
          <w:szCs w:val="24"/>
        </w:rPr>
        <w:t>投标须知</w:t>
      </w:r>
    </w:p>
    <w:p w14:paraId="54773BFC">
      <w:pPr>
        <w:pStyle w:val="50"/>
        <w:spacing w:after="0" w:line="360" w:lineRule="auto"/>
        <w:ind w:left="-2" w:firstLine="480" w:firstLineChars="200"/>
        <w:rPr>
          <w:rFonts w:hint="eastAsia" w:ascii="宋体" w:hAnsi="宋体" w:eastAsia="宋体"/>
          <w:sz w:val="24"/>
          <w:szCs w:val="24"/>
        </w:rPr>
      </w:pPr>
      <w:r>
        <w:rPr>
          <w:rFonts w:hint="eastAsia" w:ascii="宋体" w:hAnsi="宋体" w:eastAsia="宋体"/>
          <w:bCs/>
          <w:sz w:val="24"/>
          <w:szCs w:val="24"/>
        </w:rPr>
        <w:t>第二章</w:t>
      </w:r>
      <w:r>
        <w:rPr>
          <w:rFonts w:ascii="宋体" w:hAnsi="宋体" w:eastAsia="宋体"/>
          <w:bCs/>
          <w:sz w:val="24"/>
          <w:szCs w:val="24"/>
        </w:rPr>
        <w:t xml:space="preserve">  </w:t>
      </w:r>
      <w:r>
        <w:rPr>
          <w:rFonts w:hint="eastAsia" w:ascii="宋体" w:hAnsi="宋体" w:eastAsia="宋体"/>
          <w:sz w:val="24"/>
          <w:szCs w:val="24"/>
        </w:rPr>
        <w:t>开标、评标及定标办法</w:t>
      </w:r>
    </w:p>
    <w:p w14:paraId="7D450663">
      <w:pPr>
        <w:pStyle w:val="50"/>
        <w:spacing w:after="0" w:line="360" w:lineRule="auto"/>
        <w:ind w:firstLine="480" w:firstLineChars="200"/>
        <w:rPr>
          <w:rFonts w:hint="eastAsia" w:ascii="宋体" w:hAnsi="宋体" w:eastAsia="宋体"/>
          <w:sz w:val="24"/>
          <w:szCs w:val="24"/>
        </w:rPr>
      </w:pPr>
      <w:r>
        <w:rPr>
          <w:rFonts w:hint="eastAsia" w:ascii="宋体" w:hAnsi="宋体" w:eastAsia="宋体"/>
          <w:sz w:val="24"/>
          <w:szCs w:val="24"/>
        </w:rPr>
        <w:t>第三章</w:t>
      </w:r>
      <w:r>
        <w:rPr>
          <w:rFonts w:ascii="宋体" w:hAnsi="宋体" w:eastAsia="宋体"/>
          <w:sz w:val="24"/>
          <w:szCs w:val="24"/>
        </w:rPr>
        <w:t xml:space="preserve">  </w:t>
      </w:r>
      <w:r>
        <w:rPr>
          <w:rFonts w:hint="eastAsia" w:ascii="宋体" w:hAnsi="宋体" w:eastAsia="宋体"/>
          <w:sz w:val="24"/>
          <w:szCs w:val="24"/>
        </w:rPr>
        <w:t>合同条款</w:t>
      </w:r>
    </w:p>
    <w:p w14:paraId="5C130DFB">
      <w:pPr>
        <w:pStyle w:val="50"/>
        <w:spacing w:after="0" w:line="360" w:lineRule="auto"/>
        <w:ind w:firstLine="480" w:firstLineChars="200"/>
        <w:rPr>
          <w:rFonts w:hint="eastAsia" w:ascii="宋体" w:hAnsi="宋体" w:eastAsia="宋体"/>
          <w:sz w:val="24"/>
          <w:szCs w:val="24"/>
        </w:rPr>
      </w:pPr>
      <w:r>
        <w:rPr>
          <w:rFonts w:hint="eastAsia" w:ascii="宋体" w:hAnsi="宋体" w:eastAsia="宋体"/>
          <w:bCs/>
          <w:sz w:val="24"/>
          <w:szCs w:val="24"/>
        </w:rPr>
        <w:t>第四章</w:t>
      </w:r>
      <w:r>
        <w:rPr>
          <w:rFonts w:ascii="宋体" w:hAnsi="宋体" w:eastAsia="宋体"/>
          <w:bCs/>
          <w:sz w:val="24"/>
          <w:szCs w:val="24"/>
        </w:rPr>
        <w:t xml:space="preserve">  </w:t>
      </w:r>
      <w:r>
        <w:rPr>
          <w:rFonts w:hint="eastAsia" w:ascii="宋体" w:hAnsi="宋体" w:eastAsia="宋体"/>
          <w:sz w:val="24"/>
          <w:szCs w:val="24"/>
        </w:rPr>
        <w:t>投标文件格式</w:t>
      </w:r>
    </w:p>
    <w:p w14:paraId="620C4680">
      <w:pPr>
        <w:pStyle w:val="50"/>
        <w:spacing w:after="0" w:line="360" w:lineRule="auto"/>
        <w:ind w:left="-2" w:firstLine="480" w:firstLineChars="200"/>
        <w:rPr>
          <w:rFonts w:hint="eastAsia" w:ascii="宋体" w:hAnsi="宋体" w:eastAsia="宋体"/>
          <w:sz w:val="24"/>
          <w:szCs w:val="24"/>
        </w:rPr>
      </w:pPr>
      <w:r>
        <w:rPr>
          <w:rFonts w:hint="eastAsia" w:ascii="宋体" w:hAnsi="宋体" w:eastAsia="宋体"/>
          <w:bCs/>
          <w:sz w:val="24"/>
          <w:szCs w:val="24"/>
        </w:rPr>
        <w:t>第五章</w:t>
      </w:r>
      <w:r>
        <w:rPr>
          <w:rFonts w:ascii="宋体" w:hAnsi="宋体" w:eastAsia="宋体"/>
          <w:bCs/>
          <w:sz w:val="24"/>
          <w:szCs w:val="24"/>
        </w:rPr>
        <w:t xml:space="preserve">  </w:t>
      </w:r>
      <w:r>
        <w:rPr>
          <w:rFonts w:hint="eastAsia" w:ascii="宋体" w:hAnsi="宋体" w:eastAsia="宋体"/>
          <w:sz w:val="24"/>
          <w:szCs w:val="24"/>
        </w:rPr>
        <w:t>技术条件（工程建设标准）</w:t>
      </w:r>
    </w:p>
    <w:p w14:paraId="0BF9810F">
      <w:pPr>
        <w:pStyle w:val="50"/>
        <w:spacing w:after="0" w:line="360" w:lineRule="auto"/>
        <w:ind w:left="-2" w:firstLine="480" w:firstLineChars="200"/>
        <w:rPr>
          <w:rFonts w:hint="eastAsia" w:ascii="宋体" w:hAnsi="宋体" w:eastAsia="宋体"/>
          <w:sz w:val="24"/>
          <w:szCs w:val="24"/>
        </w:rPr>
      </w:pPr>
      <w:r>
        <w:rPr>
          <w:rFonts w:hint="eastAsia" w:ascii="宋体" w:hAnsi="宋体" w:eastAsia="宋体"/>
          <w:bCs/>
          <w:sz w:val="24"/>
          <w:szCs w:val="24"/>
        </w:rPr>
        <w:t>第六章</w:t>
      </w:r>
      <w:r>
        <w:rPr>
          <w:rFonts w:ascii="宋体" w:hAnsi="宋体" w:eastAsia="宋体"/>
          <w:bCs/>
          <w:sz w:val="24"/>
          <w:szCs w:val="24"/>
        </w:rPr>
        <w:t xml:space="preserve">  </w:t>
      </w:r>
      <w:r>
        <w:rPr>
          <w:rFonts w:hint="eastAsia" w:ascii="宋体" w:hAnsi="宋体" w:eastAsia="宋体"/>
          <w:sz w:val="24"/>
          <w:szCs w:val="24"/>
        </w:rPr>
        <w:t>图纸及勘察资料（另册）</w:t>
      </w:r>
    </w:p>
    <w:p w14:paraId="7DD8C6C8">
      <w:pPr>
        <w:pStyle w:val="50"/>
        <w:spacing w:after="0" w:line="360" w:lineRule="auto"/>
        <w:ind w:left="-2" w:firstLine="480" w:firstLineChars="200"/>
        <w:rPr>
          <w:rFonts w:hint="eastAsia" w:ascii="宋体" w:hAnsi="宋体" w:eastAsia="宋体"/>
          <w:sz w:val="24"/>
          <w:szCs w:val="24"/>
        </w:rPr>
      </w:pPr>
      <w:r>
        <w:rPr>
          <w:rFonts w:hint="eastAsia" w:ascii="宋体" w:hAnsi="宋体" w:eastAsia="宋体"/>
          <w:bCs/>
          <w:sz w:val="24"/>
          <w:szCs w:val="24"/>
        </w:rPr>
        <w:t>第七章</w:t>
      </w:r>
      <w:r>
        <w:rPr>
          <w:rFonts w:ascii="宋体" w:hAnsi="宋体" w:eastAsia="宋体"/>
          <w:bCs/>
          <w:sz w:val="24"/>
          <w:szCs w:val="24"/>
        </w:rPr>
        <w:t xml:space="preserve">  </w:t>
      </w:r>
      <w:r>
        <w:rPr>
          <w:rFonts w:hint="eastAsia" w:ascii="宋体" w:hAnsi="宋体" w:eastAsia="宋体"/>
          <w:bCs/>
          <w:sz w:val="24"/>
          <w:szCs w:val="24"/>
        </w:rPr>
        <w:t>招标</w:t>
      </w:r>
      <w:r>
        <w:rPr>
          <w:rFonts w:hint="eastAsia" w:ascii="宋体" w:hAnsi="宋体" w:eastAsia="宋体"/>
          <w:sz w:val="24"/>
          <w:szCs w:val="24"/>
        </w:rPr>
        <w:t>工程量清单（另册）</w:t>
      </w:r>
    </w:p>
    <w:p w14:paraId="004ED88D">
      <w:pPr>
        <w:spacing w:line="360" w:lineRule="auto"/>
        <w:ind w:firstLine="480" w:firstLineChars="200"/>
        <w:rPr>
          <w:rFonts w:hint="eastAsia" w:ascii="宋体" w:hAnsi="宋体"/>
          <w:sz w:val="24"/>
          <w:szCs w:val="24"/>
        </w:rPr>
      </w:pPr>
      <w:r>
        <w:rPr>
          <w:rFonts w:hint="eastAsia" w:ascii="宋体" w:hAnsi="宋体"/>
          <w:sz w:val="24"/>
          <w:szCs w:val="24"/>
        </w:rPr>
        <w:t>第八章</w:t>
      </w:r>
      <w:r>
        <w:rPr>
          <w:rFonts w:ascii="宋体" w:hAnsi="宋体"/>
          <w:sz w:val="24"/>
          <w:szCs w:val="24"/>
        </w:rPr>
        <w:t xml:space="preserve">  </w:t>
      </w:r>
      <w:r>
        <w:rPr>
          <w:rFonts w:hint="eastAsia" w:ascii="宋体" w:hAnsi="宋体"/>
          <w:sz w:val="24"/>
          <w:szCs w:val="24"/>
        </w:rPr>
        <w:t>最高投标限价</w:t>
      </w:r>
      <w:r>
        <w:rPr>
          <w:rFonts w:hint="eastAsia" w:ascii="宋体" w:hAnsi="宋体"/>
          <w:sz w:val="24"/>
          <w:szCs w:val="24"/>
          <w:u w:val="single"/>
        </w:rPr>
        <w:t>（另册</w:t>
      </w:r>
      <w:r>
        <w:rPr>
          <w:rFonts w:hint="eastAsia" w:ascii="宋体" w:hAnsi="宋体"/>
          <w:sz w:val="24"/>
          <w:szCs w:val="24"/>
        </w:rPr>
        <w:t>）</w:t>
      </w:r>
    </w:p>
    <w:p w14:paraId="6BD6504B">
      <w:pPr>
        <w:pStyle w:val="50"/>
        <w:spacing w:after="0" w:line="360" w:lineRule="auto"/>
        <w:ind w:left="-2" w:firstLine="480" w:firstLineChars="200"/>
        <w:rPr>
          <w:rFonts w:hint="eastAsia" w:ascii="宋体" w:hAnsi="宋体" w:eastAsia="宋体"/>
          <w:sz w:val="24"/>
          <w:szCs w:val="24"/>
        </w:rPr>
      </w:pPr>
      <w:r>
        <w:rPr>
          <w:rFonts w:hint="eastAsia" w:ascii="宋体" w:hAnsi="宋体" w:eastAsia="宋体"/>
          <w:sz w:val="24"/>
          <w:szCs w:val="24"/>
        </w:rPr>
        <w:t>注：招标人应在技术条件（工程建设标准）中明确施工现场建筑垃圾源头减量的具体要求和建筑垃圾综合利用产品的使用要求。</w:t>
      </w:r>
    </w:p>
    <w:p w14:paraId="17D33A7F">
      <w:pPr>
        <w:pStyle w:val="50"/>
        <w:spacing w:after="0" w:line="360" w:lineRule="auto"/>
        <w:ind w:firstLine="480" w:firstLineChars="200"/>
        <w:rPr>
          <w:rFonts w:hint="eastAsia" w:ascii="宋体" w:hAnsi="宋体" w:eastAsia="宋体"/>
          <w:sz w:val="24"/>
          <w:szCs w:val="24"/>
        </w:rPr>
      </w:pPr>
      <w:r>
        <w:rPr>
          <w:rFonts w:ascii="宋体" w:hAnsi="宋体" w:eastAsia="宋体"/>
          <w:sz w:val="24"/>
          <w:szCs w:val="24"/>
        </w:rPr>
        <w:t xml:space="preserve">7.2 </w:t>
      </w:r>
      <w:r>
        <w:rPr>
          <w:rFonts w:hint="eastAsia" w:ascii="宋体" w:hAnsi="宋体" w:eastAsia="宋体"/>
          <w:sz w:val="24"/>
          <w:szCs w:val="24"/>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1D77D58F">
      <w:pPr>
        <w:pStyle w:val="50"/>
        <w:spacing w:after="0" w:line="360" w:lineRule="auto"/>
        <w:ind w:firstLine="480" w:firstLineChars="200"/>
        <w:rPr>
          <w:rFonts w:hint="eastAsia" w:ascii="宋体" w:hAnsi="宋体" w:eastAsia="宋体"/>
          <w:sz w:val="24"/>
          <w:szCs w:val="24"/>
        </w:rPr>
      </w:pPr>
      <w:r>
        <w:rPr>
          <w:rFonts w:ascii="宋体" w:hAnsi="宋体" w:eastAsia="宋体"/>
          <w:sz w:val="24"/>
          <w:szCs w:val="24"/>
        </w:rPr>
        <w:t xml:space="preserve">7.3 </w:t>
      </w:r>
      <w:r>
        <w:rPr>
          <w:rFonts w:hint="eastAsia" w:ascii="宋体" w:hAnsi="宋体" w:eastAsia="宋体"/>
          <w:sz w:val="24"/>
          <w:szCs w:val="24"/>
        </w:rPr>
        <w:t>投标人一旦中标，招标文件的内容对招标人和中标人双方均有约束力。</w:t>
      </w:r>
    </w:p>
    <w:p w14:paraId="19488400">
      <w:pPr>
        <w:pStyle w:val="50"/>
        <w:spacing w:after="0" w:line="360" w:lineRule="auto"/>
        <w:ind w:firstLine="480" w:firstLineChars="200"/>
        <w:rPr>
          <w:rFonts w:hint="eastAsia" w:ascii="宋体" w:hAnsi="宋体" w:eastAsia="宋体"/>
          <w:b/>
          <w:bCs/>
          <w:sz w:val="24"/>
          <w:szCs w:val="24"/>
        </w:rPr>
      </w:pPr>
      <w:r>
        <w:rPr>
          <w:rFonts w:ascii="宋体" w:hAnsi="宋体" w:eastAsia="宋体"/>
          <w:b/>
          <w:bCs/>
          <w:sz w:val="24"/>
          <w:szCs w:val="24"/>
        </w:rPr>
        <w:t>8</w:t>
      </w:r>
      <w:r>
        <w:rPr>
          <w:rFonts w:hint="eastAsia" w:ascii="宋体" w:hAnsi="宋体" w:eastAsia="宋体"/>
          <w:b/>
          <w:bCs/>
          <w:sz w:val="24"/>
          <w:szCs w:val="24"/>
        </w:rPr>
        <w:t>．招标答疑</w:t>
      </w:r>
    </w:p>
    <w:p w14:paraId="0DFCBE8F">
      <w:pPr>
        <w:pStyle w:val="50"/>
        <w:spacing w:after="0" w:line="360" w:lineRule="auto"/>
        <w:ind w:firstLine="480" w:firstLineChars="200"/>
        <w:rPr>
          <w:rFonts w:hint="eastAsia" w:ascii="宋体" w:hAnsi="宋体" w:eastAsia="宋体"/>
          <w:sz w:val="24"/>
          <w:szCs w:val="24"/>
        </w:rPr>
      </w:pPr>
      <w:r>
        <w:rPr>
          <w:rFonts w:ascii="宋体" w:hAnsi="宋体" w:eastAsia="宋体"/>
          <w:sz w:val="24"/>
          <w:szCs w:val="24"/>
        </w:rPr>
        <w:t>8.1</w:t>
      </w:r>
      <w:r>
        <w:rPr>
          <w:rFonts w:ascii="宋体" w:hAnsi="宋体" w:eastAsia="宋体"/>
          <w:sz w:val="24"/>
          <w:szCs w:val="24"/>
          <w:u w:val="single"/>
        </w:rPr>
        <w:t xml:space="preserve"> 招标答疑采用网上答疑方式进行。投标人若对招标文件（包括招标图纸、清单、合同条款）有疑问的，可在规定的时间内通过</w:t>
      </w:r>
      <w:r>
        <w:rPr>
          <w:rFonts w:hint="eastAsia" w:ascii="宋体" w:hAnsi="宋体" w:eastAsia="宋体"/>
          <w:sz w:val="24"/>
          <w:szCs w:val="24"/>
          <w:u w:val="single"/>
        </w:rPr>
        <w:t>广州交易集团有限公司（广州公共资源交易中心）</w:t>
      </w:r>
      <w:r>
        <w:rPr>
          <w:rFonts w:ascii="宋体" w:hAnsi="宋体" w:eastAsia="宋体"/>
          <w:sz w:val="24"/>
          <w:szCs w:val="24"/>
          <w:u w:val="single"/>
        </w:rPr>
        <w:t>交易平台将问题提交给招标人或招标代理人，提交问题时一律不得署名。提交形式见本须知前附表第16项。</w:t>
      </w:r>
    </w:p>
    <w:p w14:paraId="34271D29">
      <w:pPr>
        <w:pStyle w:val="50"/>
        <w:spacing w:after="0" w:line="360" w:lineRule="auto"/>
        <w:ind w:firstLine="480" w:firstLineChars="200"/>
        <w:rPr>
          <w:rFonts w:hint="eastAsia" w:ascii="宋体" w:hAnsi="宋体" w:eastAsia="宋体"/>
          <w:sz w:val="24"/>
          <w:szCs w:val="24"/>
        </w:rPr>
      </w:pPr>
      <w:r>
        <w:rPr>
          <w:rFonts w:ascii="宋体" w:hAnsi="宋体" w:eastAsia="宋体"/>
          <w:sz w:val="24"/>
          <w:szCs w:val="24"/>
        </w:rPr>
        <w:t>8.2</w:t>
      </w:r>
      <w:r>
        <w:rPr>
          <w:rFonts w:hint="eastAsia" w:ascii="宋体" w:hAnsi="宋体" w:eastAsia="宋体"/>
          <w:sz w:val="24"/>
          <w:szCs w:val="24"/>
        </w:rPr>
        <w:t>招标答疑会会议纪要将在提交投标文件截止时间15日前在</w:t>
      </w:r>
      <w:r>
        <w:rPr>
          <w:rFonts w:hint="eastAsia" w:ascii="宋体" w:hAnsi="宋体" w:eastAsia="宋体"/>
          <w:sz w:val="24"/>
          <w:szCs w:val="24"/>
          <w:u w:val="single"/>
        </w:rPr>
        <w:t>广州交易集团有限公司（广州公共资源交易中心）</w:t>
      </w:r>
      <w:r>
        <w:rPr>
          <w:rFonts w:hint="eastAsia" w:ascii="宋体" w:hAnsi="宋体" w:eastAsia="宋体"/>
          <w:sz w:val="24"/>
          <w:szCs w:val="24"/>
        </w:rPr>
        <w:t>交易平台</w:t>
      </w:r>
      <w:r>
        <w:rPr>
          <w:rFonts w:ascii="宋体" w:hAnsi="宋体" w:eastAsia="宋体"/>
          <w:sz w:val="24"/>
          <w:szCs w:val="24"/>
          <w:u w:val="single"/>
        </w:rPr>
        <w:t xml:space="preserve"> “项目查询（日程安排、答疑纪要）”</w:t>
      </w:r>
      <w:r>
        <w:rPr>
          <w:rFonts w:ascii="宋体" w:hAnsi="宋体" w:eastAsia="宋体"/>
          <w:sz w:val="24"/>
          <w:szCs w:val="24"/>
        </w:rPr>
        <w:t>专</w:t>
      </w:r>
      <w:r>
        <w:rPr>
          <w:rFonts w:hint="eastAsia" w:ascii="宋体" w:hAnsi="宋体" w:eastAsia="宋体"/>
          <w:sz w:val="24"/>
          <w:szCs w:val="24"/>
        </w:rPr>
        <w:t>区公开发布。答疑纪要一经在</w:t>
      </w:r>
      <w:r>
        <w:rPr>
          <w:rFonts w:hint="eastAsia" w:ascii="宋体" w:hAnsi="宋体" w:eastAsia="宋体"/>
          <w:sz w:val="24"/>
          <w:szCs w:val="24"/>
          <w:u w:val="single"/>
        </w:rPr>
        <w:t>广州交易集团有限公司（广州公共资源交易中心）</w:t>
      </w:r>
      <w:r>
        <w:rPr>
          <w:rFonts w:hint="eastAsia" w:ascii="宋体" w:hAnsi="宋体" w:eastAsia="宋体"/>
          <w:sz w:val="24"/>
          <w:szCs w:val="24"/>
        </w:rPr>
        <w:t>发布，视作已发放给所有投标人。</w:t>
      </w:r>
    </w:p>
    <w:p w14:paraId="5B9683FC">
      <w:pPr>
        <w:pStyle w:val="50"/>
        <w:spacing w:after="0" w:line="360" w:lineRule="auto"/>
        <w:ind w:firstLine="480" w:firstLineChars="200"/>
        <w:rPr>
          <w:rFonts w:hint="eastAsia" w:ascii="宋体" w:hAnsi="宋体" w:eastAsia="宋体"/>
          <w:sz w:val="24"/>
          <w:szCs w:val="24"/>
        </w:rPr>
      </w:pPr>
      <w:r>
        <w:rPr>
          <w:rFonts w:ascii="宋体" w:hAnsi="宋体" w:eastAsia="宋体"/>
          <w:sz w:val="24"/>
          <w:szCs w:val="24"/>
        </w:rPr>
        <w:t>8.3</w:t>
      </w:r>
      <w:r>
        <w:rPr>
          <w:rFonts w:hint="eastAsia" w:ascii="宋体" w:hAnsi="宋体" w:eastAsia="宋体"/>
          <w:sz w:val="24"/>
          <w:szCs w:val="24"/>
          <w:u w:val="single"/>
        </w:rPr>
        <w:t>招标答疑纪要</w:t>
      </w:r>
      <w:r>
        <w:rPr>
          <w:rFonts w:hint="eastAsia" w:ascii="宋体" w:hAnsi="宋体" w:eastAsia="宋体"/>
          <w:sz w:val="24"/>
          <w:szCs w:val="24"/>
        </w:rPr>
        <w:t>为招标文件的一部分。</w:t>
      </w:r>
    </w:p>
    <w:p w14:paraId="38524F70">
      <w:pPr>
        <w:pStyle w:val="50"/>
        <w:spacing w:after="0" w:line="360" w:lineRule="auto"/>
        <w:ind w:firstLine="480" w:firstLineChars="200"/>
        <w:rPr>
          <w:rFonts w:hint="eastAsia" w:ascii="宋体" w:hAnsi="宋体" w:eastAsia="宋体"/>
          <w:sz w:val="24"/>
          <w:szCs w:val="24"/>
        </w:rPr>
      </w:pPr>
      <w:r>
        <w:rPr>
          <w:rFonts w:ascii="宋体" w:hAnsi="宋体" w:eastAsia="宋体"/>
          <w:sz w:val="24"/>
          <w:szCs w:val="24"/>
        </w:rPr>
        <w:t>8.4</w:t>
      </w:r>
      <w:r>
        <w:rPr>
          <w:rFonts w:hint="eastAsia" w:ascii="宋体" w:hAnsi="宋体" w:eastAsia="宋体"/>
          <w:sz w:val="24"/>
          <w:szCs w:val="24"/>
        </w:rPr>
        <w:t>若</w:t>
      </w:r>
      <w:r>
        <w:rPr>
          <w:rFonts w:hint="eastAsia" w:ascii="宋体" w:hAnsi="宋体" w:eastAsia="宋体"/>
          <w:sz w:val="24"/>
          <w:szCs w:val="24"/>
          <w:u w:val="single"/>
        </w:rPr>
        <w:t>招标答疑纪要</w:t>
      </w:r>
      <w:r>
        <w:rPr>
          <w:rFonts w:hint="eastAsia" w:ascii="宋体" w:hAnsi="宋体" w:eastAsia="宋体"/>
          <w:sz w:val="24"/>
          <w:szCs w:val="24"/>
        </w:rPr>
        <w:t>与招标文件有矛盾，以</w:t>
      </w:r>
      <w:r>
        <w:rPr>
          <w:rFonts w:hint="eastAsia" w:ascii="宋体" w:hAnsi="宋体" w:eastAsia="宋体"/>
          <w:sz w:val="24"/>
          <w:szCs w:val="24"/>
          <w:u w:val="single"/>
        </w:rPr>
        <w:t>广州交易集团有限公司（广州公共资源交易中心）交易平台最后发布的答疑纪要为准</w:t>
      </w:r>
      <w:r>
        <w:rPr>
          <w:rFonts w:hint="eastAsia" w:ascii="宋体" w:hAnsi="宋体" w:eastAsia="宋体"/>
          <w:sz w:val="24"/>
          <w:szCs w:val="24"/>
        </w:rPr>
        <w:t>。</w:t>
      </w:r>
    </w:p>
    <w:p w14:paraId="48BE3CF3">
      <w:pPr>
        <w:pStyle w:val="50"/>
        <w:spacing w:after="0" w:line="360" w:lineRule="auto"/>
        <w:ind w:firstLine="480" w:firstLineChars="200"/>
        <w:rPr>
          <w:rFonts w:hint="eastAsia" w:ascii="宋体" w:hAnsi="宋体" w:eastAsia="宋体"/>
          <w:b/>
          <w:bCs/>
          <w:sz w:val="24"/>
          <w:szCs w:val="24"/>
        </w:rPr>
      </w:pPr>
      <w:r>
        <w:rPr>
          <w:rFonts w:ascii="宋体" w:hAnsi="宋体" w:eastAsia="宋体"/>
          <w:b/>
          <w:bCs/>
          <w:sz w:val="24"/>
          <w:szCs w:val="24"/>
        </w:rPr>
        <w:t>9.</w:t>
      </w:r>
      <w:r>
        <w:rPr>
          <w:rFonts w:hint="eastAsia" w:ascii="宋体" w:hAnsi="宋体" w:eastAsia="宋体"/>
          <w:b/>
          <w:bCs/>
          <w:sz w:val="24"/>
          <w:szCs w:val="24"/>
        </w:rPr>
        <w:t>招标文件的澄清与修改</w:t>
      </w:r>
    </w:p>
    <w:p w14:paraId="45351822">
      <w:pPr>
        <w:pStyle w:val="50"/>
        <w:spacing w:after="0" w:line="360" w:lineRule="auto"/>
        <w:ind w:firstLine="480" w:firstLineChars="200"/>
        <w:rPr>
          <w:rFonts w:hint="eastAsia" w:ascii="宋体" w:hAnsi="宋体" w:eastAsia="宋体"/>
          <w:sz w:val="24"/>
          <w:szCs w:val="24"/>
        </w:rPr>
      </w:pPr>
      <w:r>
        <w:rPr>
          <w:rFonts w:ascii="宋体" w:hAnsi="宋体" w:eastAsia="宋体"/>
          <w:sz w:val="24"/>
          <w:szCs w:val="24"/>
        </w:rPr>
        <w:t>9.1</w:t>
      </w:r>
      <w:r>
        <w:rPr>
          <w:rFonts w:hint="eastAsia" w:ascii="宋体" w:hAnsi="宋体" w:eastAsia="宋体"/>
          <w:sz w:val="24"/>
          <w:szCs w:val="24"/>
        </w:rPr>
        <w:t>招标文件发出后</w:t>
      </w:r>
      <w:r>
        <w:rPr>
          <w:rFonts w:ascii="宋体" w:hAnsi="宋体" w:eastAsia="宋体"/>
          <w:sz w:val="24"/>
          <w:szCs w:val="24"/>
        </w:rPr>
        <w:t>,</w:t>
      </w:r>
      <w:r>
        <w:rPr>
          <w:rFonts w:hint="eastAsia" w:ascii="宋体" w:hAnsi="宋体" w:eastAsia="宋体"/>
          <w:sz w:val="24"/>
          <w:szCs w:val="24"/>
        </w:rPr>
        <w:t>在提交投标文件截止时间15日前，招标人可对招标文件进行必要的澄清或修改。</w:t>
      </w:r>
    </w:p>
    <w:p w14:paraId="20EBB2BC">
      <w:pPr>
        <w:pStyle w:val="50"/>
        <w:spacing w:after="0" w:line="360" w:lineRule="auto"/>
        <w:ind w:firstLine="480" w:firstLineChars="200"/>
        <w:rPr>
          <w:rFonts w:hint="eastAsia" w:ascii="宋体" w:hAnsi="宋体" w:eastAsia="宋体"/>
          <w:sz w:val="24"/>
          <w:szCs w:val="24"/>
        </w:rPr>
      </w:pPr>
      <w:r>
        <w:rPr>
          <w:rFonts w:ascii="宋体" w:hAnsi="宋体" w:eastAsia="宋体"/>
          <w:sz w:val="24"/>
          <w:szCs w:val="24"/>
        </w:rPr>
        <w:t>9.2</w:t>
      </w:r>
      <w:r>
        <w:rPr>
          <w:rFonts w:hint="eastAsia" w:ascii="宋体" w:hAnsi="宋体" w:eastAsia="宋体"/>
          <w:sz w:val="24"/>
          <w:szCs w:val="24"/>
        </w:rPr>
        <w:t>招标文件的澄清或修改将在</w:t>
      </w:r>
      <w:r>
        <w:rPr>
          <w:rFonts w:hint="eastAsia" w:ascii="宋体" w:hAnsi="宋体" w:eastAsia="宋体"/>
          <w:sz w:val="24"/>
          <w:szCs w:val="24"/>
          <w:u w:val="single"/>
        </w:rPr>
        <w:t>广州交易集团有限公司（广州公共资源交易中心）</w:t>
      </w:r>
      <w:r>
        <w:rPr>
          <w:rFonts w:hint="eastAsia" w:ascii="宋体" w:hAnsi="宋体" w:eastAsia="宋体"/>
          <w:sz w:val="24"/>
          <w:szCs w:val="24"/>
        </w:rPr>
        <w:t>交易平台“</w:t>
      </w:r>
      <w:r>
        <w:rPr>
          <w:rFonts w:ascii="宋体" w:hAnsi="宋体" w:eastAsia="宋体"/>
          <w:sz w:val="24"/>
          <w:szCs w:val="24"/>
          <w:u w:val="single"/>
        </w:rPr>
        <w:t>项目查询（日程安排、答疑纪要</w:t>
      </w:r>
      <w:r>
        <w:rPr>
          <w:rFonts w:hint="eastAsia" w:ascii="宋体" w:hAnsi="宋体" w:eastAsia="宋体"/>
          <w:sz w:val="24"/>
          <w:szCs w:val="24"/>
        </w:rPr>
        <w:t>”专区公开发布。答疑纪要一经在</w:t>
      </w:r>
      <w:r>
        <w:rPr>
          <w:rFonts w:hint="eastAsia" w:ascii="宋体" w:hAnsi="宋体" w:eastAsia="宋体"/>
          <w:sz w:val="24"/>
          <w:szCs w:val="24"/>
          <w:u w:val="single"/>
        </w:rPr>
        <w:t>广州交易集团有限公司（广州公共资源交易中心）</w:t>
      </w:r>
      <w:r>
        <w:rPr>
          <w:rFonts w:hint="eastAsia" w:ascii="宋体" w:hAnsi="宋体" w:eastAsia="宋体"/>
          <w:sz w:val="24"/>
          <w:szCs w:val="24"/>
        </w:rPr>
        <w:t>交易平台发布，视作已发放给所有投标人，以</w:t>
      </w:r>
      <w:r>
        <w:rPr>
          <w:rFonts w:hint="eastAsia" w:ascii="宋体" w:hAnsi="宋体" w:eastAsia="宋体"/>
          <w:sz w:val="24"/>
          <w:szCs w:val="24"/>
          <w:u w:val="single"/>
        </w:rPr>
        <w:t>广州交易集团有限公司（广州公共资源交易中心）</w:t>
      </w:r>
      <w:r>
        <w:rPr>
          <w:rFonts w:hint="eastAsia" w:ascii="宋体" w:hAnsi="宋体" w:eastAsia="宋体"/>
          <w:sz w:val="24"/>
          <w:szCs w:val="24"/>
        </w:rPr>
        <w:t>交易平台上网发布时间作为送达时间。</w:t>
      </w:r>
    </w:p>
    <w:p w14:paraId="0D349CBC">
      <w:pPr>
        <w:pStyle w:val="50"/>
        <w:spacing w:after="0" w:line="360" w:lineRule="auto"/>
        <w:ind w:firstLine="480" w:firstLineChars="200"/>
        <w:rPr>
          <w:rFonts w:hint="eastAsia" w:ascii="宋体" w:hAnsi="宋体" w:eastAsia="宋体"/>
          <w:sz w:val="24"/>
          <w:szCs w:val="24"/>
        </w:rPr>
      </w:pPr>
      <w:r>
        <w:rPr>
          <w:rFonts w:ascii="宋体" w:hAnsi="宋体" w:eastAsia="宋体"/>
          <w:sz w:val="24"/>
          <w:szCs w:val="24"/>
        </w:rPr>
        <w:t>9.3</w:t>
      </w:r>
      <w:r>
        <w:rPr>
          <w:rFonts w:hint="eastAsia" w:ascii="宋体" w:hAnsi="宋体" w:eastAsia="宋体"/>
          <w:sz w:val="24"/>
          <w:szCs w:val="24"/>
        </w:rPr>
        <w:t>招标文件的修改内容为招标文件的组成部分。</w:t>
      </w:r>
    </w:p>
    <w:p w14:paraId="366D81E2">
      <w:pPr>
        <w:pStyle w:val="50"/>
        <w:spacing w:after="0" w:line="360" w:lineRule="auto"/>
        <w:ind w:firstLine="480" w:firstLineChars="200"/>
        <w:rPr>
          <w:rFonts w:hint="eastAsia" w:ascii="宋体" w:hAnsi="宋体" w:eastAsia="宋体"/>
          <w:sz w:val="24"/>
          <w:szCs w:val="24"/>
        </w:rPr>
      </w:pPr>
      <w:r>
        <w:rPr>
          <w:rFonts w:ascii="宋体" w:hAnsi="宋体" w:eastAsia="宋体"/>
          <w:sz w:val="24"/>
          <w:szCs w:val="24"/>
        </w:rPr>
        <w:t>9.4</w:t>
      </w:r>
      <w:r>
        <w:rPr>
          <w:rFonts w:hint="eastAsia" w:ascii="宋体" w:hAnsi="宋体" w:eastAsia="宋体"/>
          <w:sz w:val="24"/>
          <w:szCs w:val="24"/>
        </w:rPr>
        <w:t>招标文件的澄清或修改</w:t>
      </w:r>
      <w:r>
        <w:rPr>
          <w:rFonts w:ascii="宋体" w:hAnsi="宋体" w:eastAsia="宋体"/>
          <w:sz w:val="24"/>
          <w:szCs w:val="24"/>
          <w:u w:val="single"/>
        </w:rPr>
        <w:t>在</w:t>
      </w:r>
      <w:r>
        <w:rPr>
          <w:rFonts w:hint="eastAsia" w:ascii="宋体" w:hAnsi="宋体" w:eastAsia="宋体"/>
          <w:sz w:val="24"/>
          <w:szCs w:val="24"/>
          <w:u w:val="single"/>
        </w:rPr>
        <w:t>广州交易集团有限公司（广州公共资源交易中心）</w:t>
      </w:r>
      <w:r>
        <w:rPr>
          <w:rFonts w:ascii="宋体" w:hAnsi="宋体" w:eastAsia="宋体"/>
          <w:sz w:val="24"/>
          <w:szCs w:val="24"/>
          <w:u w:val="single"/>
        </w:rPr>
        <w:t>网站“项目查询（日程安排、答疑纪要）”专区公开发布。</w:t>
      </w:r>
      <w:r>
        <w:rPr>
          <w:rFonts w:hint="eastAsia" w:ascii="宋体" w:hAnsi="宋体" w:eastAsia="宋体"/>
          <w:sz w:val="24"/>
          <w:szCs w:val="24"/>
        </w:rPr>
        <w:t>当招标文件的澄清、修改、补充等在同一内容的表述不一致时，以最后发出的书面形式的文件为准。</w:t>
      </w:r>
    </w:p>
    <w:p w14:paraId="221C8DAD">
      <w:pPr>
        <w:pStyle w:val="50"/>
        <w:spacing w:after="0" w:line="360" w:lineRule="auto"/>
        <w:ind w:firstLine="480" w:firstLineChars="200"/>
        <w:rPr>
          <w:rFonts w:hint="eastAsia" w:ascii="宋体" w:hAnsi="宋体" w:eastAsia="宋体"/>
          <w:sz w:val="24"/>
          <w:szCs w:val="24"/>
        </w:rPr>
      </w:pPr>
      <w:r>
        <w:rPr>
          <w:rFonts w:ascii="宋体" w:hAnsi="宋体" w:eastAsia="宋体"/>
          <w:sz w:val="24"/>
          <w:szCs w:val="24"/>
        </w:rPr>
        <w:t>9.5</w:t>
      </w:r>
      <w:r>
        <w:rPr>
          <w:rFonts w:hint="eastAsia" w:ascii="宋体" w:hAnsi="宋体" w:eastAsia="宋体"/>
          <w:sz w:val="24"/>
          <w:szCs w:val="24"/>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3C73DFC5">
      <w:pPr>
        <w:pStyle w:val="5"/>
        <w:spacing w:before="156" w:after="156"/>
        <w:rPr>
          <w:rFonts w:hint="eastAsia"/>
          <w:sz w:val="24"/>
          <w:szCs w:val="24"/>
        </w:rPr>
      </w:pPr>
      <w:bookmarkStart w:id="41" w:name="_Toc8772"/>
      <w:bookmarkStart w:id="42" w:name="_Toc30986"/>
      <w:bookmarkStart w:id="43" w:name="_Toc9481"/>
      <w:bookmarkStart w:id="44" w:name="_Toc26547"/>
      <w:bookmarkStart w:id="45" w:name="_Toc10528"/>
      <w:bookmarkStart w:id="46" w:name="_Toc13230"/>
      <w:r>
        <w:rPr>
          <w:rFonts w:hint="eastAsia"/>
          <w:sz w:val="24"/>
          <w:szCs w:val="24"/>
        </w:rPr>
        <w:t>（三）投标文件的编制</w:t>
      </w:r>
      <w:bookmarkEnd w:id="41"/>
      <w:bookmarkEnd w:id="42"/>
      <w:bookmarkEnd w:id="43"/>
      <w:bookmarkEnd w:id="44"/>
      <w:bookmarkEnd w:id="45"/>
      <w:bookmarkEnd w:id="46"/>
    </w:p>
    <w:p w14:paraId="445C4BB4">
      <w:pPr>
        <w:pStyle w:val="50"/>
        <w:spacing w:after="0" w:line="360" w:lineRule="auto"/>
        <w:ind w:firstLine="480" w:firstLineChars="200"/>
        <w:rPr>
          <w:rFonts w:hint="eastAsia" w:ascii="宋体" w:hAnsi="宋体" w:eastAsia="宋体"/>
          <w:b/>
          <w:bCs/>
          <w:sz w:val="24"/>
          <w:szCs w:val="24"/>
        </w:rPr>
      </w:pPr>
      <w:r>
        <w:rPr>
          <w:rFonts w:ascii="宋体" w:hAnsi="宋体" w:eastAsia="宋体"/>
          <w:b/>
          <w:bCs/>
          <w:sz w:val="24"/>
          <w:szCs w:val="24"/>
        </w:rPr>
        <w:t>10</w:t>
      </w:r>
      <w:r>
        <w:rPr>
          <w:rFonts w:hint="eastAsia" w:ascii="宋体" w:hAnsi="宋体" w:eastAsia="宋体"/>
          <w:b/>
          <w:bCs/>
          <w:sz w:val="24"/>
          <w:szCs w:val="24"/>
        </w:rPr>
        <w:t>．投标文件的语言及度量衡单位</w:t>
      </w:r>
    </w:p>
    <w:p w14:paraId="23D108A4">
      <w:pPr>
        <w:pStyle w:val="50"/>
        <w:spacing w:after="0" w:line="360" w:lineRule="auto"/>
        <w:ind w:firstLine="480" w:firstLineChars="200"/>
        <w:rPr>
          <w:rFonts w:hint="eastAsia" w:ascii="宋体" w:hAnsi="宋体" w:eastAsia="宋体"/>
          <w:sz w:val="24"/>
          <w:szCs w:val="24"/>
        </w:rPr>
      </w:pPr>
      <w:r>
        <w:rPr>
          <w:rFonts w:ascii="宋体" w:hAnsi="宋体" w:eastAsia="宋体"/>
          <w:sz w:val="24"/>
          <w:szCs w:val="24"/>
        </w:rPr>
        <w:t xml:space="preserve">10.1 </w:t>
      </w:r>
      <w:r>
        <w:rPr>
          <w:rFonts w:hint="eastAsia" w:ascii="宋体" w:hAnsi="宋体" w:eastAsia="宋体"/>
          <w:sz w:val="24"/>
          <w:szCs w:val="24"/>
        </w:rPr>
        <w:t>投标文件和与投标有关的所有文件均应使用中文。</w:t>
      </w:r>
    </w:p>
    <w:p w14:paraId="254543A9">
      <w:pPr>
        <w:pStyle w:val="50"/>
        <w:spacing w:after="0" w:line="360" w:lineRule="auto"/>
        <w:ind w:firstLine="480" w:firstLineChars="200"/>
        <w:rPr>
          <w:rFonts w:hint="eastAsia" w:ascii="宋体" w:hAnsi="宋体" w:eastAsia="宋体"/>
          <w:sz w:val="24"/>
          <w:szCs w:val="24"/>
        </w:rPr>
      </w:pPr>
      <w:r>
        <w:rPr>
          <w:rFonts w:ascii="宋体" w:hAnsi="宋体" w:eastAsia="宋体"/>
          <w:sz w:val="24"/>
          <w:szCs w:val="24"/>
        </w:rPr>
        <w:t xml:space="preserve">10.2 </w:t>
      </w:r>
      <w:r>
        <w:rPr>
          <w:rFonts w:hint="eastAsia" w:ascii="宋体" w:hAnsi="宋体" w:eastAsia="宋体"/>
          <w:sz w:val="24"/>
          <w:szCs w:val="24"/>
        </w:rPr>
        <w:t>除工程规范另有规定外，投标文件使用的度量衡单位，均采用中华人民共和国法定计量单位。</w:t>
      </w:r>
    </w:p>
    <w:p w14:paraId="6D417A31">
      <w:pPr>
        <w:pStyle w:val="50"/>
        <w:spacing w:after="0" w:line="360" w:lineRule="auto"/>
        <w:ind w:firstLine="480" w:firstLineChars="200"/>
        <w:rPr>
          <w:rFonts w:hint="eastAsia" w:ascii="宋体" w:hAnsi="宋体" w:eastAsia="宋体"/>
          <w:b/>
          <w:bCs/>
          <w:sz w:val="24"/>
          <w:szCs w:val="24"/>
        </w:rPr>
      </w:pPr>
      <w:r>
        <w:rPr>
          <w:rFonts w:ascii="宋体" w:hAnsi="宋体" w:eastAsia="宋体"/>
          <w:b/>
          <w:bCs/>
          <w:sz w:val="24"/>
          <w:szCs w:val="24"/>
        </w:rPr>
        <w:t>11</w:t>
      </w:r>
      <w:r>
        <w:rPr>
          <w:rFonts w:hint="eastAsia" w:ascii="宋体" w:hAnsi="宋体" w:eastAsia="宋体"/>
          <w:b/>
          <w:bCs/>
          <w:sz w:val="24"/>
          <w:szCs w:val="24"/>
        </w:rPr>
        <w:t>．投标文件的组成</w:t>
      </w:r>
    </w:p>
    <w:p w14:paraId="03F994CD">
      <w:pPr>
        <w:pStyle w:val="50"/>
        <w:spacing w:after="0" w:line="360" w:lineRule="auto"/>
        <w:ind w:firstLine="480" w:firstLineChars="200"/>
        <w:rPr>
          <w:rFonts w:hint="eastAsia" w:ascii="宋体" w:hAnsi="宋体" w:eastAsia="宋体"/>
          <w:b/>
          <w:sz w:val="24"/>
          <w:szCs w:val="24"/>
        </w:rPr>
      </w:pPr>
      <w:r>
        <w:rPr>
          <w:rFonts w:ascii="宋体" w:hAnsi="宋体" w:eastAsia="宋体"/>
          <w:sz w:val="24"/>
          <w:szCs w:val="24"/>
        </w:rPr>
        <w:t xml:space="preserve">11.1 </w:t>
      </w:r>
      <w:r>
        <w:rPr>
          <w:rFonts w:hint="eastAsia" w:ascii="宋体" w:hAnsi="宋体" w:eastAsia="宋体"/>
          <w:sz w:val="24"/>
          <w:szCs w:val="24"/>
        </w:rPr>
        <w:t>投标文件由技术部分（含资格审查文件）和经济部分二部分投标文件组成</w:t>
      </w:r>
      <w:r>
        <w:rPr>
          <w:rFonts w:hint="eastAsia" w:ascii="宋体" w:hAnsi="宋体" w:eastAsia="宋体"/>
          <w:b/>
          <w:sz w:val="24"/>
          <w:szCs w:val="24"/>
        </w:rPr>
        <w:t>。</w:t>
      </w:r>
    </w:p>
    <w:p w14:paraId="18CE3EA3">
      <w:pPr>
        <w:spacing w:line="360" w:lineRule="auto"/>
        <w:ind w:firstLine="480" w:firstLineChars="200"/>
        <w:rPr>
          <w:rFonts w:hint="eastAsia" w:ascii="宋体" w:hAnsi="宋体"/>
          <w:bCs/>
          <w:sz w:val="24"/>
          <w:szCs w:val="24"/>
        </w:rPr>
      </w:pPr>
      <w:r>
        <w:rPr>
          <w:rFonts w:hint="eastAsia" w:ascii="宋体" w:hAnsi="宋体"/>
          <w:bCs/>
          <w:sz w:val="24"/>
          <w:szCs w:val="24"/>
        </w:rPr>
        <w:t>11.2投标文件技术标部分主要包括下列内容:</w:t>
      </w:r>
    </w:p>
    <w:p w14:paraId="3B45B59A">
      <w:pPr>
        <w:spacing w:line="360" w:lineRule="auto"/>
        <w:ind w:firstLine="480" w:firstLineChars="200"/>
        <w:rPr>
          <w:rFonts w:hint="eastAsia" w:ascii="宋体" w:hAnsi="宋体"/>
          <w:bCs/>
          <w:sz w:val="24"/>
          <w:szCs w:val="24"/>
        </w:rPr>
      </w:pPr>
      <w:r>
        <w:rPr>
          <w:rFonts w:hint="eastAsia" w:ascii="宋体" w:hAnsi="宋体"/>
          <w:bCs/>
          <w:sz w:val="24"/>
          <w:szCs w:val="24"/>
        </w:rPr>
        <w:t>11.2.1广州建设工程施工招标投标书(按招标文件的要求填写)；</w:t>
      </w:r>
    </w:p>
    <w:p w14:paraId="7C54AC3C">
      <w:pPr>
        <w:spacing w:line="360" w:lineRule="auto"/>
        <w:ind w:firstLine="480" w:firstLineChars="200"/>
        <w:rPr>
          <w:rFonts w:hint="eastAsia" w:ascii="宋体" w:hAnsi="宋体"/>
          <w:bCs/>
          <w:sz w:val="24"/>
          <w:szCs w:val="24"/>
        </w:rPr>
      </w:pPr>
      <w:r>
        <w:rPr>
          <w:rFonts w:hint="eastAsia" w:ascii="宋体" w:hAnsi="宋体"/>
          <w:bCs/>
          <w:sz w:val="24"/>
          <w:szCs w:val="24"/>
        </w:rPr>
        <w:t>11.2.2 资格审查文件：</w:t>
      </w:r>
    </w:p>
    <w:p w14:paraId="57606B16">
      <w:pPr>
        <w:spacing w:line="360" w:lineRule="auto"/>
        <w:ind w:firstLine="480" w:firstLineChars="200"/>
        <w:rPr>
          <w:rFonts w:hint="eastAsia" w:ascii="宋体" w:hAnsi="宋体"/>
          <w:bCs/>
          <w:sz w:val="24"/>
          <w:szCs w:val="24"/>
        </w:rPr>
      </w:pPr>
      <w:r>
        <w:rPr>
          <w:rFonts w:hint="eastAsia" w:ascii="宋体" w:hAnsi="宋体"/>
          <w:bCs/>
          <w:sz w:val="24"/>
          <w:szCs w:val="24"/>
        </w:rPr>
        <w:t xml:space="preserve">（1）投标人声明（按招标公告附件一的格式及内容提交）； </w:t>
      </w:r>
    </w:p>
    <w:p w14:paraId="28F91D69">
      <w:pPr>
        <w:spacing w:line="360" w:lineRule="auto"/>
        <w:ind w:firstLine="480" w:firstLineChars="200"/>
        <w:rPr>
          <w:rFonts w:hint="eastAsia" w:ascii="宋体" w:hAnsi="宋体"/>
          <w:bCs/>
          <w:sz w:val="24"/>
          <w:szCs w:val="24"/>
        </w:rPr>
      </w:pPr>
      <w:r>
        <w:rPr>
          <w:rFonts w:hint="eastAsia" w:ascii="宋体" w:hAnsi="宋体"/>
          <w:bCs/>
          <w:sz w:val="24"/>
          <w:szCs w:val="24"/>
        </w:rPr>
        <w:t>（2）法定代表人证明书、法定代表人签字或盖章的本投标文件授权委托证明书；</w:t>
      </w:r>
    </w:p>
    <w:p w14:paraId="77EA06A1">
      <w:pPr>
        <w:spacing w:line="360" w:lineRule="auto"/>
        <w:ind w:firstLine="480" w:firstLineChars="200"/>
        <w:rPr>
          <w:rFonts w:hint="eastAsia" w:ascii="宋体" w:hAnsi="宋体"/>
          <w:bCs/>
          <w:sz w:val="24"/>
          <w:szCs w:val="24"/>
        </w:rPr>
      </w:pPr>
      <w:r>
        <w:rPr>
          <w:rFonts w:hint="eastAsia" w:ascii="宋体" w:hAnsi="宋体"/>
          <w:bCs/>
          <w:sz w:val="24"/>
          <w:szCs w:val="24"/>
        </w:rPr>
        <w:t>（3）企业营业执照扫描件或电子证照；</w:t>
      </w:r>
    </w:p>
    <w:p w14:paraId="680D453F">
      <w:pPr>
        <w:spacing w:line="360" w:lineRule="auto"/>
        <w:ind w:firstLine="480" w:firstLineChars="200"/>
        <w:rPr>
          <w:rFonts w:hint="eastAsia" w:ascii="宋体" w:hAnsi="宋体"/>
          <w:bCs/>
          <w:sz w:val="24"/>
          <w:szCs w:val="24"/>
        </w:rPr>
      </w:pPr>
      <w:r>
        <w:rPr>
          <w:rFonts w:hint="eastAsia" w:ascii="宋体" w:hAnsi="宋体"/>
          <w:bCs/>
          <w:sz w:val="24"/>
          <w:szCs w:val="24"/>
        </w:rPr>
        <w:t>（4）企业资质证书扫描件或电子证照；</w:t>
      </w:r>
    </w:p>
    <w:p w14:paraId="60267E57">
      <w:pPr>
        <w:spacing w:line="360" w:lineRule="auto"/>
        <w:ind w:firstLine="480" w:firstLineChars="200"/>
        <w:rPr>
          <w:rFonts w:hint="eastAsia" w:ascii="宋体" w:hAnsi="宋体"/>
          <w:bCs/>
          <w:sz w:val="24"/>
          <w:szCs w:val="24"/>
        </w:rPr>
      </w:pPr>
      <w:r>
        <w:rPr>
          <w:rFonts w:hint="eastAsia" w:ascii="宋体" w:hAnsi="宋体"/>
          <w:bCs/>
          <w:sz w:val="24"/>
          <w:szCs w:val="24"/>
        </w:rPr>
        <w:t>（5）建筑施工企业安全生产许可证扫描件或电子证照；</w:t>
      </w:r>
    </w:p>
    <w:p w14:paraId="3FC9C47E">
      <w:pPr>
        <w:spacing w:line="360" w:lineRule="auto"/>
        <w:ind w:firstLine="480" w:firstLineChars="200"/>
        <w:rPr>
          <w:rFonts w:hint="eastAsia" w:ascii="宋体" w:hAnsi="宋体"/>
          <w:bCs/>
          <w:sz w:val="24"/>
          <w:szCs w:val="24"/>
        </w:rPr>
      </w:pPr>
      <w:r>
        <w:rPr>
          <w:rFonts w:hint="eastAsia" w:ascii="宋体" w:hAnsi="宋体"/>
          <w:bCs/>
          <w:sz w:val="24"/>
          <w:szCs w:val="24"/>
        </w:rPr>
        <w:t>（6）项目负责人（按网上投标登记时选择拟投入本项目的项目负责人）；</w:t>
      </w:r>
    </w:p>
    <w:p w14:paraId="3A83FD66">
      <w:pPr>
        <w:spacing w:line="360" w:lineRule="auto"/>
        <w:ind w:firstLine="480" w:firstLineChars="200"/>
        <w:rPr>
          <w:rFonts w:hint="eastAsia" w:ascii="宋体" w:hAnsi="宋体"/>
          <w:bCs/>
          <w:sz w:val="24"/>
          <w:szCs w:val="24"/>
        </w:rPr>
      </w:pPr>
      <w:r>
        <w:rPr>
          <w:rFonts w:hint="eastAsia" w:ascii="宋体" w:hAnsi="宋体"/>
          <w:bCs/>
          <w:sz w:val="24"/>
          <w:szCs w:val="24"/>
        </w:rPr>
        <w:t>（7）专职安全员（按网上投标登记时选择拟投入本项目的专职安全员）；</w:t>
      </w:r>
    </w:p>
    <w:p w14:paraId="749D13E8">
      <w:pPr>
        <w:spacing w:line="360" w:lineRule="auto"/>
        <w:ind w:firstLine="480" w:firstLineChars="200"/>
        <w:rPr>
          <w:rFonts w:hint="eastAsia" w:ascii="宋体" w:hAnsi="宋体"/>
          <w:bCs/>
          <w:sz w:val="24"/>
          <w:szCs w:val="24"/>
        </w:rPr>
      </w:pPr>
      <w:r>
        <w:rPr>
          <w:rFonts w:hint="eastAsia" w:ascii="宋体" w:hAnsi="宋体"/>
          <w:bCs/>
          <w:sz w:val="24"/>
          <w:szCs w:val="24"/>
        </w:rPr>
        <w:t>（8）拟委托技术负责人的职称证书（提交扫描件）；</w:t>
      </w:r>
    </w:p>
    <w:p w14:paraId="4911B406">
      <w:pPr>
        <w:spacing w:line="360" w:lineRule="auto"/>
        <w:ind w:firstLine="480" w:firstLineChars="200"/>
        <w:rPr>
          <w:rFonts w:hint="eastAsia" w:ascii="宋体" w:hAnsi="宋体"/>
          <w:bCs/>
          <w:sz w:val="24"/>
          <w:szCs w:val="24"/>
        </w:rPr>
      </w:pPr>
      <w:r>
        <w:rPr>
          <w:rFonts w:hint="eastAsia" w:ascii="宋体" w:hAnsi="宋体"/>
          <w:bCs/>
          <w:sz w:val="24"/>
          <w:szCs w:val="24"/>
        </w:rPr>
        <w:t>（9）</w:t>
      </w:r>
      <w:r>
        <w:rPr>
          <w:rFonts w:ascii="宋体" w:hAnsi="宋体"/>
          <w:bCs/>
          <w:sz w:val="24"/>
          <w:szCs w:val="24"/>
        </w:rPr>
        <w:t>拟委派项目负责人</w:t>
      </w:r>
      <w:r>
        <w:rPr>
          <w:rFonts w:hint="eastAsia" w:ascii="宋体" w:hAnsi="宋体"/>
          <w:bCs/>
          <w:sz w:val="24"/>
          <w:szCs w:val="24"/>
        </w:rPr>
        <w:t>的</w:t>
      </w:r>
      <w:r>
        <w:rPr>
          <w:rFonts w:ascii="宋体" w:hAnsi="宋体"/>
          <w:bCs/>
          <w:sz w:val="24"/>
          <w:szCs w:val="24"/>
        </w:rPr>
        <w:t>建造师注册证书</w:t>
      </w:r>
      <w:r>
        <w:rPr>
          <w:rFonts w:hint="eastAsia" w:ascii="宋体" w:hAnsi="宋体"/>
          <w:bCs/>
          <w:sz w:val="24"/>
          <w:szCs w:val="24"/>
        </w:rPr>
        <w:t xml:space="preserve">扫描件或电子证书； </w:t>
      </w:r>
    </w:p>
    <w:p w14:paraId="4734370D">
      <w:pPr>
        <w:spacing w:line="360" w:lineRule="auto"/>
        <w:ind w:firstLine="480" w:firstLineChars="200"/>
        <w:rPr>
          <w:rFonts w:hint="eastAsia" w:ascii="宋体" w:hAnsi="宋体"/>
          <w:bCs/>
          <w:sz w:val="24"/>
          <w:szCs w:val="24"/>
        </w:rPr>
      </w:pPr>
      <w:r>
        <w:rPr>
          <w:rFonts w:hint="eastAsia" w:ascii="宋体" w:hAnsi="宋体"/>
          <w:bCs/>
          <w:sz w:val="24"/>
          <w:szCs w:val="24"/>
        </w:rPr>
        <w:t>（10）</w:t>
      </w:r>
      <w:r>
        <w:rPr>
          <w:rFonts w:ascii="宋体" w:hAnsi="宋体"/>
          <w:bCs/>
          <w:sz w:val="24"/>
          <w:szCs w:val="24"/>
        </w:rPr>
        <w:t>项目负责人安全培训考核合格证明或在有效期内的安全考核合格证书（B类）</w:t>
      </w:r>
      <w:r>
        <w:rPr>
          <w:rFonts w:hint="eastAsia" w:ascii="宋体" w:hAnsi="宋体"/>
          <w:bCs/>
          <w:sz w:val="24"/>
          <w:szCs w:val="24"/>
        </w:rPr>
        <w:t>或建筑施工企业项目负责人安全生产考核合格证书扫描件或电子证书；</w:t>
      </w:r>
    </w:p>
    <w:p w14:paraId="3930C4A4">
      <w:pPr>
        <w:spacing w:line="360" w:lineRule="auto"/>
        <w:ind w:firstLine="480" w:firstLineChars="200"/>
        <w:rPr>
          <w:rFonts w:hint="eastAsia" w:ascii="宋体" w:hAnsi="宋体"/>
          <w:bCs/>
          <w:sz w:val="24"/>
          <w:szCs w:val="24"/>
        </w:rPr>
      </w:pPr>
      <w:r>
        <w:rPr>
          <w:rFonts w:hint="eastAsia" w:ascii="宋体" w:hAnsi="宋体"/>
          <w:bCs/>
          <w:sz w:val="24"/>
          <w:szCs w:val="24"/>
        </w:rPr>
        <w:t>（11）专职安全员须具有安全生产考核合格证（C类）或建筑施工企业专职安全生产管理人员安全生产考核合格证（C3类）。扫描件或电子证书，项目负责人和安全员不为同一人；</w:t>
      </w:r>
    </w:p>
    <w:p w14:paraId="1EF49608">
      <w:pPr>
        <w:spacing w:line="360" w:lineRule="auto"/>
        <w:ind w:firstLine="480" w:firstLineChars="200"/>
        <w:rPr>
          <w:rFonts w:hint="eastAsia" w:ascii="宋体" w:hAnsi="宋体"/>
          <w:bCs/>
          <w:sz w:val="24"/>
          <w:szCs w:val="24"/>
        </w:rPr>
      </w:pPr>
      <w:r>
        <w:rPr>
          <w:rFonts w:hint="eastAsia" w:ascii="宋体" w:hAnsi="宋体"/>
          <w:bCs/>
          <w:sz w:val="24"/>
          <w:szCs w:val="24"/>
        </w:rPr>
        <w:t>（12）资格审查前，投标人须在广州市住房和城乡建设局建立企业信用档案，拟担任本工程项目负责人、专职安全员须是本企业信用档案中的在册人员。</w:t>
      </w:r>
    </w:p>
    <w:p w14:paraId="282C6B34">
      <w:pPr>
        <w:spacing w:line="360" w:lineRule="auto"/>
        <w:ind w:firstLine="480" w:firstLineChars="200"/>
        <w:rPr>
          <w:rFonts w:hint="eastAsia" w:ascii="宋体" w:hAnsi="宋体"/>
          <w:bCs/>
          <w:sz w:val="24"/>
          <w:szCs w:val="24"/>
        </w:rPr>
      </w:pPr>
      <w:r>
        <w:rPr>
          <w:rFonts w:hint="eastAsia" w:ascii="宋体" w:hAnsi="宋体"/>
          <w:bCs/>
          <w:sz w:val="24"/>
          <w:szCs w:val="24"/>
        </w:rPr>
        <w:t>（13）投标人未出现以下情形：与其它投标人的单位负责人为同一人或者存在控股、管理关系的（按投标人提供的《投标人声明》第八条内容进行评审）。</w:t>
      </w:r>
    </w:p>
    <w:p w14:paraId="4B196981">
      <w:pPr>
        <w:spacing w:line="360" w:lineRule="auto"/>
        <w:ind w:firstLine="480" w:firstLineChars="200"/>
        <w:rPr>
          <w:rFonts w:hint="eastAsia" w:ascii="宋体" w:hAnsi="宋体"/>
          <w:bCs/>
          <w:sz w:val="24"/>
          <w:szCs w:val="24"/>
        </w:rPr>
      </w:pPr>
      <w:r>
        <w:rPr>
          <w:rFonts w:hint="eastAsia" w:ascii="宋体" w:hAnsi="宋体"/>
          <w:bCs/>
          <w:sz w:val="24"/>
          <w:szCs w:val="24"/>
        </w:rPr>
        <w:t>（14）未被列入拖欠农民工工资失信联合惩戒对象名单。（投标人无需提交资料，资格审查时，根据交易中心系统比对结果为准）</w:t>
      </w:r>
    </w:p>
    <w:p w14:paraId="28F15BDF">
      <w:pPr>
        <w:spacing w:line="360" w:lineRule="auto"/>
        <w:ind w:firstLine="480" w:firstLineChars="200"/>
        <w:rPr>
          <w:rFonts w:hint="eastAsia" w:ascii="宋体" w:hAnsi="宋体"/>
          <w:bCs/>
          <w:sz w:val="24"/>
          <w:szCs w:val="24"/>
        </w:rPr>
      </w:pPr>
      <w:r>
        <w:rPr>
          <w:rFonts w:hint="eastAsia" w:ascii="宋体" w:hAnsi="宋体"/>
          <w:bCs/>
          <w:sz w:val="24"/>
          <w:szCs w:val="24"/>
        </w:rPr>
        <w:t>（15）截至投标截止日，投标人未被“信用中国”网站(http://www.creditchina.gov.cn)列入失信被执行人、重大税收违法失信主体、记录名单。(需提供承诺函，承诺函格式自拟)。</w:t>
      </w:r>
    </w:p>
    <w:p w14:paraId="4E5E43F7">
      <w:pPr>
        <w:spacing w:line="360" w:lineRule="auto"/>
        <w:ind w:firstLine="480" w:firstLineChars="200"/>
        <w:rPr>
          <w:rFonts w:hint="eastAsia" w:ascii="宋体" w:hAnsi="宋体"/>
          <w:bCs/>
          <w:sz w:val="24"/>
          <w:szCs w:val="24"/>
        </w:rPr>
      </w:pPr>
      <w:r>
        <w:rPr>
          <w:rFonts w:hint="eastAsia" w:ascii="宋体" w:hAnsi="宋体"/>
          <w:bCs/>
          <w:sz w:val="24"/>
          <w:szCs w:val="24"/>
        </w:rPr>
        <w:t>（16）其他投标人认为应该提供的资料。</w:t>
      </w:r>
    </w:p>
    <w:p w14:paraId="11623F4A">
      <w:pPr>
        <w:spacing w:line="360" w:lineRule="auto"/>
        <w:ind w:firstLine="480" w:firstLineChars="200"/>
        <w:rPr>
          <w:rFonts w:hint="eastAsia" w:ascii="宋体" w:hAnsi="宋体"/>
          <w:bCs/>
          <w:sz w:val="24"/>
          <w:szCs w:val="24"/>
        </w:rPr>
      </w:pPr>
      <w:r>
        <w:rPr>
          <w:rFonts w:hint="eastAsia" w:ascii="宋体" w:hAnsi="宋体"/>
          <w:bCs/>
          <w:sz w:val="24"/>
          <w:szCs w:val="24"/>
        </w:rPr>
        <w:t>注：</w:t>
      </w:r>
      <w:r>
        <w:rPr>
          <w:rFonts w:ascii="宋体" w:hAnsi="宋体"/>
          <w:bCs/>
          <w:sz w:val="24"/>
          <w:szCs w:val="24"/>
        </w:rPr>
        <w:t>1.相关电子证书按规定需打印后手写本人签名的，应按照规定手写本人签名后再扫描提交。</w:t>
      </w:r>
    </w:p>
    <w:p w14:paraId="0122A439">
      <w:pPr>
        <w:spacing w:line="360" w:lineRule="auto"/>
        <w:ind w:firstLine="480" w:firstLineChars="200"/>
        <w:rPr>
          <w:rFonts w:hint="eastAsia" w:ascii="宋体" w:hAnsi="宋体"/>
          <w:bCs/>
          <w:sz w:val="24"/>
          <w:szCs w:val="24"/>
        </w:rPr>
      </w:pPr>
      <w:r>
        <w:rPr>
          <w:rFonts w:ascii="宋体" w:hAnsi="宋体"/>
          <w:bCs/>
          <w:sz w:val="24"/>
          <w:szCs w:val="24"/>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2902C3E0">
      <w:pPr>
        <w:spacing w:line="360" w:lineRule="auto"/>
        <w:ind w:firstLine="480" w:firstLineChars="200"/>
        <w:rPr>
          <w:rFonts w:hint="eastAsia" w:ascii="宋体" w:hAnsi="宋体"/>
          <w:bCs/>
          <w:sz w:val="24"/>
          <w:szCs w:val="24"/>
        </w:rPr>
      </w:pPr>
      <w:r>
        <w:rPr>
          <w:rFonts w:ascii="宋体" w:hAnsi="宋体"/>
          <w:bCs/>
          <w:sz w:val="24"/>
          <w:szCs w:val="24"/>
        </w:rPr>
        <w:t>11.2.4施工项目管理团队人员信息表</w:t>
      </w:r>
      <w:r>
        <w:rPr>
          <w:rFonts w:hint="eastAsia" w:ascii="宋体" w:hAnsi="宋体"/>
          <w:bCs/>
          <w:sz w:val="24"/>
          <w:szCs w:val="24"/>
        </w:rPr>
        <w:t>。</w:t>
      </w:r>
    </w:p>
    <w:p w14:paraId="12E1EDCB">
      <w:pPr>
        <w:spacing w:line="360" w:lineRule="auto"/>
        <w:ind w:firstLine="480" w:firstLineChars="200"/>
        <w:rPr>
          <w:rFonts w:hint="eastAsia" w:ascii="宋体" w:hAnsi="宋体"/>
          <w:bCs/>
          <w:sz w:val="24"/>
          <w:szCs w:val="24"/>
          <w:lang w:val="en-US" w:eastAsia="zh-CN"/>
        </w:rPr>
      </w:pPr>
      <w:r>
        <w:rPr>
          <w:rFonts w:hint="eastAsia" w:ascii="宋体" w:hAnsi="宋体"/>
          <w:bCs/>
          <w:sz w:val="24"/>
          <w:szCs w:val="24"/>
        </w:rPr>
        <w:t>11.2.</w:t>
      </w:r>
      <w:r>
        <w:rPr>
          <w:rFonts w:hint="eastAsia" w:ascii="宋体" w:hAnsi="宋体"/>
          <w:bCs/>
          <w:sz w:val="24"/>
          <w:szCs w:val="24"/>
          <w:lang w:val="en-US" w:eastAsia="zh-CN"/>
        </w:rPr>
        <w:t>5</w:t>
      </w:r>
      <w:r>
        <w:rPr>
          <w:rFonts w:hint="eastAsia" w:ascii="宋体" w:hAnsi="宋体"/>
          <w:bCs/>
          <w:sz w:val="24"/>
          <w:szCs w:val="24"/>
        </w:rPr>
        <w:t>施工组织设计</w:t>
      </w:r>
      <w:r>
        <w:rPr>
          <w:rFonts w:hint="eastAsia" w:ascii="宋体" w:hAnsi="宋体"/>
          <w:bCs/>
          <w:sz w:val="24"/>
          <w:szCs w:val="24"/>
          <w:lang w:eastAsia="zh-CN"/>
        </w:rPr>
        <w:t>。</w:t>
      </w:r>
    </w:p>
    <w:p w14:paraId="21323C29">
      <w:pPr>
        <w:spacing w:line="360" w:lineRule="auto"/>
        <w:ind w:firstLine="480" w:firstLineChars="200"/>
        <w:rPr>
          <w:rFonts w:hint="eastAsia" w:ascii="宋体" w:hAnsi="宋体"/>
          <w:bCs/>
          <w:sz w:val="24"/>
          <w:szCs w:val="24"/>
          <w:lang w:val="en-US" w:eastAsia="zh-CN"/>
        </w:rPr>
      </w:pPr>
      <w:r>
        <w:rPr>
          <w:rFonts w:hint="eastAsia" w:ascii="宋体" w:hAnsi="宋体"/>
          <w:bCs/>
          <w:sz w:val="24"/>
          <w:szCs w:val="24"/>
          <w:lang w:val="en-US" w:eastAsia="zh-CN"/>
        </w:rPr>
        <w:t>11.2.6</w:t>
      </w:r>
      <w:r>
        <w:rPr>
          <w:rFonts w:hint="eastAsia" w:ascii="宋体" w:hAnsi="宋体"/>
          <w:bCs/>
          <w:sz w:val="24"/>
          <w:szCs w:val="24"/>
        </w:rPr>
        <w:t>企业资信的证明材料（按附表四要求提交）。</w:t>
      </w:r>
    </w:p>
    <w:p w14:paraId="2F665D7C">
      <w:pPr>
        <w:spacing w:line="360" w:lineRule="auto"/>
        <w:ind w:firstLine="480" w:firstLineChars="200"/>
        <w:rPr>
          <w:rFonts w:hint="eastAsia" w:ascii="宋体" w:hAnsi="宋体"/>
          <w:bCs/>
          <w:sz w:val="24"/>
          <w:szCs w:val="24"/>
        </w:rPr>
      </w:pPr>
      <w:r>
        <w:rPr>
          <w:rFonts w:hint="eastAsia" w:ascii="宋体" w:hAnsi="宋体"/>
          <w:bCs/>
          <w:sz w:val="24"/>
          <w:szCs w:val="24"/>
        </w:rPr>
        <w:t>11.2.</w:t>
      </w:r>
      <w:r>
        <w:rPr>
          <w:rFonts w:hint="eastAsia" w:ascii="宋体" w:hAnsi="宋体"/>
          <w:bCs/>
          <w:sz w:val="24"/>
          <w:szCs w:val="24"/>
          <w:lang w:val="en-US" w:eastAsia="zh-CN"/>
        </w:rPr>
        <w:t>7</w:t>
      </w:r>
      <w:r>
        <w:rPr>
          <w:rFonts w:hint="eastAsia" w:ascii="宋体" w:hAnsi="宋体"/>
          <w:bCs/>
          <w:sz w:val="24"/>
          <w:szCs w:val="24"/>
        </w:rPr>
        <w:t>按照招标文件要求填写的《参与编制技术标投标文件人员名单》</w:t>
      </w:r>
    </w:p>
    <w:p w14:paraId="5A530494">
      <w:pPr>
        <w:spacing w:line="360" w:lineRule="auto"/>
        <w:ind w:firstLine="480" w:firstLineChars="200"/>
        <w:rPr>
          <w:rFonts w:hint="eastAsia" w:ascii="宋体" w:hAnsi="宋体"/>
          <w:bCs/>
          <w:sz w:val="24"/>
          <w:szCs w:val="24"/>
        </w:rPr>
      </w:pPr>
      <w:r>
        <w:rPr>
          <w:rFonts w:hint="eastAsia" w:ascii="宋体" w:hAnsi="宋体"/>
          <w:bCs/>
          <w:sz w:val="24"/>
          <w:szCs w:val="24"/>
        </w:rPr>
        <w:t>11.2.</w:t>
      </w:r>
      <w:r>
        <w:rPr>
          <w:rFonts w:hint="eastAsia" w:ascii="宋体" w:hAnsi="宋体"/>
          <w:bCs/>
          <w:sz w:val="24"/>
          <w:szCs w:val="24"/>
          <w:lang w:val="en-US" w:eastAsia="zh-CN"/>
        </w:rPr>
        <w:t>8</w:t>
      </w:r>
      <w:r>
        <w:rPr>
          <w:rFonts w:hint="eastAsia" w:ascii="宋体" w:hAnsi="宋体"/>
          <w:bCs/>
          <w:sz w:val="24"/>
          <w:szCs w:val="24"/>
        </w:rPr>
        <w:t>按照招标文件要求填写的《危险性较大的分部分项工程清单及超过一定规模的危险性较大的分部分项工程清单》。</w:t>
      </w:r>
    </w:p>
    <w:p w14:paraId="05A37C0F">
      <w:pPr>
        <w:spacing w:line="360" w:lineRule="auto"/>
        <w:ind w:firstLine="480" w:firstLineChars="200"/>
        <w:rPr>
          <w:rFonts w:hint="eastAsia" w:ascii="宋体" w:hAnsi="宋体"/>
          <w:bCs/>
          <w:sz w:val="24"/>
          <w:szCs w:val="24"/>
        </w:rPr>
      </w:pPr>
      <w:r>
        <w:rPr>
          <w:rFonts w:hint="eastAsia" w:ascii="宋体" w:hAnsi="宋体"/>
          <w:bCs/>
          <w:sz w:val="24"/>
          <w:szCs w:val="24"/>
        </w:rPr>
        <w:t>11.2.</w:t>
      </w:r>
      <w:r>
        <w:rPr>
          <w:rFonts w:hint="eastAsia" w:ascii="宋体" w:hAnsi="宋体"/>
          <w:bCs/>
          <w:sz w:val="24"/>
          <w:szCs w:val="24"/>
          <w:lang w:val="en-US" w:eastAsia="zh-CN"/>
        </w:rPr>
        <w:t>9</w:t>
      </w:r>
      <w:r>
        <w:rPr>
          <w:rFonts w:hint="eastAsia" w:ascii="宋体" w:hAnsi="宋体"/>
          <w:bCs/>
          <w:sz w:val="24"/>
          <w:szCs w:val="24"/>
        </w:rPr>
        <w:t>其他投标人认为应该提供的资料。</w:t>
      </w:r>
    </w:p>
    <w:p w14:paraId="31180591">
      <w:pPr>
        <w:tabs>
          <w:tab w:val="left" w:pos="1125"/>
        </w:tabs>
        <w:spacing w:line="360" w:lineRule="auto"/>
        <w:ind w:firstLine="480" w:firstLineChars="200"/>
        <w:rPr>
          <w:rFonts w:hint="eastAsia" w:ascii="宋体" w:hAnsi="宋体"/>
          <w:bCs/>
          <w:sz w:val="24"/>
          <w:szCs w:val="24"/>
        </w:rPr>
      </w:pPr>
      <w:r>
        <w:rPr>
          <w:rFonts w:ascii="宋体" w:hAnsi="宋体"/>
          <w:bCs/>
          <w:sz w:val="24"/>
          <w:szCs w:val="24"/>
        </w:rPr>
        <w:t xml:space="preserve">11.3 </w:t>
      </w:r>
      <w:r>
        <w:rPr>
          <w:rFonts w:hint="eastAsia" w:ascii="宋体" w:hAnsi="宋体"/>
          <w:bCs/>
          <w:sz w:val="24"/>
          <w:szCs w:val="24"/>
        </w:rPr>
        <w:t>经济标投标文件主要包括下列内容：</w:t>
      </w:r>
    </w:p>
    <w:p w14:paraId="019A5C61">
      <w:pPr>
        <w:tabs>
          <w:tab w:val="left" w:pos="1125"/>
        </w:tabs>
        <w:spacing w:line="360" w:lineRule="auto"/>
        <w:ind w:firstLine="480" w:firstLineChars="200"/>
        <w:rPr>
          <w:rFonts w:hint="eastAsia" w:ascii="宋体" w:hAnsi="宋体"/>
          <w:bCs/>
          <w:sz w:val="24"/>
          <w:szCs w:val="24"/>
        </w:rPr>
      </w:pPr>
      <w:r>
        <w:rPr>
          <w:rFonts w:hint="eastAsia" w:ascii="宋体" w:hAnsi="宋体"/>
          <w:bCs/>
          <w:sz w:val="24"/>
          <w:szCs w:val="24"/>
        </w:rPr>
        <w:t>11.3.1 广州建设工程施工招标投标书</w:t>
      </w:r>
      <w:r>
        <w:rPr>
          <w:rFonts w:ascii="宋体" w:hAnsi="宋体"/>
          <w:bCs/>
          <w:sz w:val="24"/>
          <w:szCs w:val="24"/>
        </w:rPr>
        <w:t>(需按招标文件第四章要求的格式填写，具体格式以《广州建设工程施工招标投标书（</w:t>
      </w:r>
      <w:r>
        <w:rPr>
          <w:rFonts w:hint="eastAsia" w:ascii="宋体" w:hAnsi="宋体"/>
          <w:bCs/>
          <w:sz w:val="24"/>
          <w:szCs w:val="24"/>
        </w:rPr>
        <w:t>经济</w:t>
      </w:r>
      <w:r>
        <w:rPr>
          <w:rFonts w:ascii="宋体" w:hAnsi="宋体"/>
          <w:bCs/>
          <w:sz w:val="24"/>
          <w:szCs w:val="24"/>
        </w:rPr>
        <w:t>标）》为准；电子投标管理软件编制的“广州建设工程施工招标投标书”不作为否决投标的条件</w:t>
      </w:r>
      <w:r>
        <w:rPr>
          <w:rFonts w:hint="eastAsia" w:ascii="宋体" w:hAnsi="宋体"/>
          <w:bCs/>
          <w:sz w:val="24"/>
          <w:szCs w:val="24"/>
        </w:rPr>
        <w:t>。</w:t>
      </w:r>
    </w:p>
    <w:p w14:paraId="19D69A68">
      <w:pPr>
        <w:tabs>
          <w:tab w:val="left" w:pos="1125"/>
        </w:tabs>
        <w:spacing w:line="360" w:lineRule="auto"/>
        <w:ind w:firstLine="480" w:firstLineChars="200"/>
        <w:rPr>
          <w:rFonts w:hint="eastAsia" w:ascii="宋体" w:hAnsi="宋体"/>
          <w:bCs/>
          <w:sz w:val="24"/>
          <w:szCs w:val="24"/>
        </w:rPr>
      </w:pPr>
      <w:r>
        <w:rPr>
          <w:rFonts w:hint="eastAsia" w:ascii="宋体" w:hAnsi="宋体"/>
          <w:bCs/>
          <w:sz w:val="24"/>
          <w:szCs w:val="24"/>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14:paraId="58EE3EDB">
      <w:pPr>
        <w:tabs>
          <w:tab w:val="left" w:pos="1125"/>
        </w:tabs>
        <w:spacing w:line="360" w:lineRule="auto"/>
        <w:ind w:firstLine="480" w:firstLineChars="200"/>
        <w:rPr>
          <w:rFonts w:hint="eastAsia" w:ascii="宋体" w:hAnsi="宋体"/>
          <w:bCs/>
          <w:sz w:val="24"/>
          <w:szCs w:val="24"/>
        </w:rPr>
      </w:pPr>
      <w:r>
        <w:rPr>
          <w:rFonts w:hint="eastAsia" w:ascii="宋体" w:hAnsi="宋体"/>
          <w:bCs/>
          <w:sz w:val="24"/>
          <w:szCs w:val="24"/>
        </w:rPr>
        <w:t>（1）投标总价封面、扉页；</w:t>
      </w:r>
    </w:p>
    <w:p w14:paraId="46EE29F1">
      <w:pPr>
        <w:tabs>
          <w:tab w:val="left" w:pos="1125"/>
        </w:tabs>
        <w:spacing w:line="360" w:lineRule="auto"/>
        <w:ind w:firstLine="480" w:firstLineChars="200"/>
        <w:rPr>
          <w:rFonts w:hint="eastAsia" w:ascii="宋体" w:hAnsi="宋体"/>
          <w:bCs/>
          <w:sz w:val="24"/>
          <w:szCs w:val="24"/>
        </w:rPr>
      </w:pPr>
      <w:r>
        <w:rPr>
          <w:rFonts w:hint="eastAsia" w:ascii="宋体" w:hAnsi="宋体"/>
          <w:bCs/>
          <w:sz w:val="24"/>
          <w:szCs w:val="24"/>
        </w:rPr>
        <w:t>（2）总说明；</w:t>
      </w:r>
    </w:p>
    <w:p w14:paraId="39CBE48F">
      <w:pPr>
        <w:tabs>
          <w:tab w:val="left" w:pos="1125"/>
        </w:tabs>
        <w:spacing w:line="360" w:lineRule="auto"/>
        <w:ind w:firstLine="480" w:firstLineChars="200"/>
        <w:rPr>
          <w:rFonts w:hint="eastAsia" w:ascii="宋体" w:hAnsi="宋体"/>
          <w:bCs/>
          <w:sz w:val="24"/>
          <w:szCs w:val="24"/>
        </w:rPr>
      </w:pPr>
      <w:r>
        <w:rPr>
          <w:rFonts w:hint="eastAsia" w:ascii="宋体" w:hAnsi="宋体"/>
          <w:bCs/>
          <w:sz w:val="24"/>
          <w:szCs w:val="24"/>
        </w:rPr>
        <w:t>（3）工程量清单报价表及综合单价分析表（相关表格的内容及格式要求以招标人发出的最新版电子招标文件中的相应内容及格式为准）；</w:t>
      </w:r>
    </w:p>
    <w:p w14:paraId="5E0C0BE7">
      <w:pPr>
        <w:tabs>
          <w:tab w:val="left" w:pos="1125"/>
        </w:tabs>
        <w:spacing w:line="360" w:lineRule="auto"/>
        <w:ind w:firstLine="480" w:firstLineChars="200"/>
        <w:rPr>
          <w:rFonts w:hint="eastAsia" w:ascii="宋体" w:hAnsi="宋体"/>
          <w:bCs/>
          <w:sz w:val="24"/>
          <w:szCs w:val="24"/>
        </w:rPr>
      </w:pPr>
      <w:r>
        <w:rPr>
          <w:rFonts w:hint="eastAsia" w:ascii="宋体" w:hAnsi="宋体"/>
          <w:bCs/>
          <w:sz w:val="24"/>
          <w:szCs w:val="24"/>
        </w:rPr>
        <w:t>（4）其它辅助说明资料（包括但不限于招标文件要求填写的《对投标文件编制的承诺》（格式见第四章））。</w:t>
      </w:r>
    </w:p>
    <w:p w14:paraId="0F31817A">
      <w:pPr>
        <w:tabs>
          <w:tab w:val="left" w:pos="1125"/>
        </w:tabs>
        <w:spacing w:line="360" w:lineRule="auto"/>
        <w:ind w:firstLine="480" w:firstLineChars="200"/>
        <w:rPr>
          <w:rFonts w:hint="eastAsia" w:ascii="宋体" w:hAnsi="宋体"/>
          <w:bCs/>
          <w:sz w:val="24"/>
          <w:szCs w:val="24"/>
        </w:rPr>
      </w:pPr>
      <w:r>
        <w:rPr>
          <w:rFonts w:hint="eastAsia" w:ascii="宋体" w:hAnsi="宋体"/>
          <w:bCs/>
          <w:sz w:val="24"/>
          <w:szCs w:val="24"/>
        </w:rPr>
        <w:t>11.3.3按照招标文件要求填写的《参与编制经济标投标文件人员名单》（格式见第四章）。</w:t>
      </w:r>
    </w:p>
    <w:p w14:paraId="7940CFA7">
      <w:pPr>
        <w:tabs>
          <w:tab w:val="left" w:pos="1125"/>
        </w:tabs>
        <w:spacing w:line="360" w:lineRule="auto"/>
        <w:ind w:firstLine="480" w:firstLineChars="200"/>
        <w:rPr>
          <w:rFonts w:hint="eastAsia" w:ascii="宋体" w:hAnsi="宋体"/>
          <w:bCs/>
          <w:sz w:val="24"/>
          <w:szCs w:val="24"/>
        </w:rPr>
      </w:pPr>
      <w:r>
        <w:rPr>
          <w:rFonts w:hint="eastAsia" w:ascii="宋体" w:hAnsi="宋体"/>
          <w:bCs/>
          <w:sz w:val="24"/>
          <w:szCs w:val="24"/>
        </w:rPr>
        <w:t>11.3.4若投标人的投标报价低于工程成本警戒价的，投标人还须提供详细的施工组织设计、单价、措施性费用、单价分析表、主要材料价格表、投标人成本分析供评标委员会评审。</w:t>
      </w:r>
    </w:p>
    <w:p w14:paraId="466B2B8F">
      <w:pPr>
        <w:tabs>
          <w:tab w:val="left" w:pos="1125"/>
        </w:tabs>
        <w:spacing w:line="360" w:lineRule="auto"/>
        <w:ind w:firstLine="480" w:firstLineChars="200"/>
        <w:rPr>
          <w:rFonts w:hint="eastAsia" w:ascii="宋体" w:hAnsi="宋体"/>
          <w:sz w:val="24"/>
          <w:szCs w:val="24"/>
        </w:rPr>
      </w:pPr>
      <w:r>
        <w:rPr>
          <w:rFonts w:hint="eastAsia" w:ascii="宋体" w:hAnsi="宋体"/>
          <w:bCs/>
          <w:sz w:val="24"/>
          <w:szCs w:val="24"/>
        </w:rPr>
        <w:t>11.3.5投标人认为应提供的其他资料。</w:t>
      </w:r>
    </w:p>
    <w:p w14:paraId="1872EA63">
      <w:pPr>
        <w:pStyle w:val="50"/>
        <w:spacing w:after="0" w:line="360" w:lineRule="auto"/>
        <w:ind w:firstLine="480" w:firstLineChars="200"/>
        <w:rPr>
          <w:rFonts w:hint="eastAsia" w:ascii="宋体" w:hAnsi="宋体" w:eastAsia="宋体"/>
          <w:b/>
          <w:bCs/>
          <w:sz w:val="24"/>
          <w:szCs w:val="24"/>
        </w:rPr>
      </w:pPr>
      <w:r>
        <w:rPr>
          <w:rFonts w:ascii="宋体" w:hAnsi="宋体" w:eastAsia="宋体"/>
          <w:b/>
          <w:bCs/>
          <w:sz w:val="24"/>
          <w:szCs w:val="24"/>
        </w:rPr>
        <w:t>12</w:t>
      </w:r>
      <w:r>
        <w:rPr>
          <w:rFonts w:hint="eastAsia" w:ascii="宋体" w:hAnsi="宋体" w:eastAsia="宋体"/>
          <w:b/>
          <w:bCs/>
          <w:sz w:val="24"/>
          <w:szCs w:val="24"/>
        </w:rPr>
        <w:t>．投标文件格式</w:t>
      </w:r>
    </w:p>
    <w:p w14:paraId="0B969EDA">
      <w:pPr>
        <w:pStyle w:val="50"/>
        <w:spacing w:after="0" w:line="360" w:lineRule="auto"/>
        <w:ind w:firstLine="480" w:firstLineChars="200"/>
        <w:rPr>
          <w:rFonts w:hint="eastAsia" w:ascii="宋体" w:hAnsi="宋体" w:eastAsia="宋体" w:cs="Times New Roman"/>
          <w:bCs/>
          <w:sz w:val="24"/>
          <w:szCs w:val="24"/>
        </w:rPr>
      </w:pPr>
      <w:r>
        <w:rPr>
          <w:rFonts w:ascii="宋体" w:hAnsi="宋体" w:eastAsia="宋体" w:cs="Times New Roman"/>
          <w:bCs/>
          <w:sz w:val="24"/>
          <w:szCs w:val="24"/>
        </w:rPr>
        <w:t xml:space="preserve">12.1 </w:t>
      </w:r>
      <w:r>
        <w:rPr>
          <w:rFonts w:hint="eastAsia" w:ascii="宋体" w:hAnsi="宋体" w:eastAsia="宋体" w:cs="Times New Roman"/>
          <w:bCs/>
          <w:sz w:val="24"/>
          <w:szCs w:val="24"/>
        </w:rPr>
        <w:t>投标文件包括本须知第</w:t>
      </w:r>
      <w:r>
        <w:rPr>
          <w:rFonts w:ascii="宋体" w:hAnsi="宋体" w:eastAsia="宋体" w:cs="Times New Roman"/>
          <w:bCs/>
          <w:sz w:val="24"/>
          <w:szCs w:val="24"/>
        </w:rPr>
        <w:t>11</w:t>
      </w:r>
      <w:r>
        <w:rPr>
          <w:rFonts w:hint="eastAsia" w:ascii="宋体" w:hAnsi="宋体" w:eastAsia="宋体" w:cs="Times New Roman"/>
          <w:bCs/>
          <w:sz w:val="24"/>
          <w:szCs w:val="24"/>
        </w:rPr>
        <w:t>条中规定的内容，投标人提交的投标文件应当使用招标文件所提供的投标文件全部格式（表格可以按同样格式扩展）。</w:t>
      </w:r>
    </w:p>
    <w:p w14:paraId="2C58BE3B">
      <w:pPr>
        <w:pStyle w:val="50"/>
        <w:spacing w:after="0" w:line="360" w:lineRule="auto"/>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12.2 投标文件全部采用电子文档，投标文件所附证书证件均为原件扫描件，并采用单位数字证书，按招标文件要求在相应位置加盖电子印章。投标文件中需个人签字或盖章的，</w:t>
      </w:r>
      <w:r>
        <w:rPr>
          <w:rFonts w:hint="eastAsia" w:ascii="宋体" w:hAnsi="宋体" w:eastAsia="宋体" w:cs="Times New Roman"/>
          <w:b/>
          <w:sz w:val="24"/>
          <w:szCs w:val="24"/>
          <w:u w:val="single"/>
        </w:rPr>
        <w:t>应加盖个人电子印章或在线下完成后扫描上传（由广州投标文件管理软件系统生成的“工程量清单主表--工程量清单报价表”封面页和扉页可以仅采用单位数字证书加盖电子印章处理）</w:t>
      </w:r>
      <w:r>
        <w:rPr>
          <w:rFonts w:hint="eastAsia" w:ascii="宋体" w:hAnsi="宋体" w:eastAsia="宋体" w:cs="Times New Roman"/>
          <w:bCs/>
          <w:sz w:val="24"/>
          <w:szCs w:val="24"/>
        </w:rPr>
        <w:t>。按照交易平台关于全流程电子化项目的相关指南进行操作。详见：</w:t>
      </w:r>
      <w:r>
        <w:rPr>
          <w:rFonts w:hint="eastAsia" w:ascii="宋体" w:hAnsi="宋体" w:eastAsia="宋体"/>
          <w:sz w:val="24"/>
          <w:szCs w:val="24"/>
          <w:u w:val="single"/>
        </w:rPr>
        <w:t>广州交易集团有限公司（广州公共资源交易中心）</w:t>
      </w:r>
      <w:r>
        <w:rPr>
          <w:rFonts w:hint="eastAsia" w:ascii="宋体" w:hAnsi="宋体" w:eastAsia="宋体" w:cs="宋体"/>
          <w:sz w:val="24"/>
          <w:szCs w:val="24"/>
          <w:u w:val="single"/>
        </w:rPr>
        <w:t>网站最新指引。</w:t>
      </w:r>
    </w:p>
    <w:p w14:paraId="63869747">
      <w:pPr>
        <w:pStyle w:val="50"/>
        <w:spacing w:after="0" w:line="360" w:lineRule="auto"/>
        <w:ind w:firstLine="480" w:firstLineChars="200"/>
        <w:rPr>
          <w:rFonts w:hint="eastAsia" w:ascii="宋体" w:hAnsi="宋体" w:eastAsia="宋体" w:cs="宋体"/>
          <w:b/>
          <w:sz w:val="24"/>
          <w:szCs w:val="24"/>
        </w:rPr>
      </w:pPr>
      <w:r>
        <w:rPr>
          <w:rFonts w:hint="eastAsia" w:ascii="宋体" w:hAnsi="宋体" w:eastAsia="宋体" w:cs="Times New Roman"/>
          <w:b/>
          <w:sz w:val="24"/>
          <w:szCs w:val="24"/>
        </w:rPr>
        <w:t>注释：投标文件电子文档需要投标人单位盖章的材料，投标人加盖电子印章即可，不得将投标人未对电子文档加盖实物印章作为否决投标的情形。</w:t>
      </w:r>
    </w:p>
    <w:p w14:paraId="3D666153">
      <w:pPr>
        <w:pStyle w:val="50"/>
        <w:spacing w:after="0" w:line="360" w:lineRule="auto"/>
        <w:ind w:firstLine="480" w:firstLineChars="200"/>
        <w:rPr>
          <w:rFonts w:hint="eastAsia" w:ascii="宋体" w:hAnsi="宋体" w:eastAsia="宋体" w:cs="宋体"/>
          <w:sz w:val="24"/>
          <w:szCs w:val="24"/>
        </w:rPr>
      </w:pPr>
      <w:r>
        <w:rPr>
          <w:rFonts w:ascii="宋体" w:hAnsi="宋体" w:eastAsia="宋体" w:cs="宋体"/>
          <w:sz w:val="24"/>
          <w:szCs w:val="24"/>
        </w:rPr>
        <w:t xml:space="preserve">12.3 </w:t>
      </w:r>
      <w:r>
        <w:rPr>
          <w:rFonts w:hint="eastAsia" w:ascii="宋体" w:hAnsi="宋体" w:eastAsia="宋体" w:cs="宋体"/>
          <w:bCs/>
          <w:sz w:val="24"/>
          <w:szCs w:val="24"/>
        </w:rPr>
        <w:t>投标文件应按</w:t>
      </w:r>
      <w:r>
        <w:rPr>
          <w:rFonts w:hint="eastAsia" w:ascii="宋体" w:hAnsi="宋体" w:eastAsia="宋体" w:cs="宋体"/>
          <w:sz w:val="24"/>
          <w:szCs w:val="24"/>
        </w:rPr>
        <w:t>照</w:t>
      </w:r>
      <w:r>
        <w:rPr>
          <w:rFonts w:hint="eastAsia" w:ascii="宋体" w:hAnsi="宋体" w:eastAsia="宋体"/>
          <w:sz w:val="24"/>
          <w:szCs w:val="24"/>
          <w:u w:val="single"/>
        </w:rPr>
        <w:t>广州交易集团有限公司（广州公共资源交易中心）</w:t>
      </w:r>
      <w:r>
        <w:rPr>
          <w:rFonts w:hint="eastAsia" w:ascii="宋体" w:hAnsi="宋体" w:eastAsia="宋体" w:cs="宋体"/>
          <w:sz w:val="24"/>
          <w:szCs w:val="24"/>
        </w:rPr>
        <w:t>交易平台关于全流程电子化项目的相关指南进行编制，详见：</w:t>
      </w:r>
      <w:r>
        <w:rPr>
          <w:rFonts w:hint="eastAsia" w:ascii="宋体" w:hAnsi="宋体" w:eastAsia="宋体"/>
          <w:sz w:val="24"/>
          <w:szCs w:val="24"/>
          <w:u w:val="single"/>
        </w:rPr>
        <w:t>广州交易集团有限公司（广州公共资源交易中心）</w:t>
      </w:r>
      <w:r>
        <w:rPr>
          <w:rFonts w:hint="eastAsia" w:ascii="宋体" w:hAnsi="宋体" w:eastAsia="宋体" w:cs="宋体"/>
          <w:sz w:val="24"/>
          <w:szCs w:val="24"/>
          <w:u w:val="single"/>
        </w:rPr>
        <w:t>网站最新指引</w:t>
      </w:r>
      <w:r>
        <w:rPr>
          <w:rFonts w:hint="eastAsia" w:ascii="宋体" w:hAnsi="宋体" w:eastAsia="宋体" w:cs="宋体"/>
          <w:sz w:val="24"/>
          <w:szCs w:val="24"/>
        </w:rPr>
        <w:t>。</w:t>
      </w:r>
    </w:p>
    <w:p w14:paraId="1BB08186">
      <w:pPr>
        <w:pStyle w:val="50"/>
        <w:spacing w:after="0" w:line="360" w:lineRule="auto"/>
        <w:ind w:firstLine="0"/>
        <w:rPr>
          <w:rFonts w:hint="eastAsia" w:ascii="宋体" w:hAnsi="宋体" w:eastAsia="宋体" w:cs="宋体"/>
          <w:sz w:val="24"/>
          <w:szCs w:val="24"/>
        </w:rPr>
      </w:pPr>
      <w:r>
        <w:rPr>
          <w:rFonts w:hint="eastAsia" w:ascii="宋体" w:hAnsi="宋体" w:eastAsia="宋体" w:cs="宋体"/>
          <w:bCs/>
          <w:sz w:val="24"/>
          <w:szCs w:val="24"/>
        </w:rPr>
        <w:t>如不按上述要求编制引起系统无法检索、读取相关信息的，其后果由投标人承担。</w:t>
      </w:r>
    </w:p>
    <w:p w14:paraId="5D65B962">
      <w:pPr>
        <w:pStyle w:val="50"/>
        <w:spacing w:after="0" w:line="360" w:lineRule="auto"/>
        <w:ind w:firstLine="480" w:firstLineChars="200"/>
        <w:rPr>
          <w:rFonts w:hint="eastAsia" w:ascii="宋体" w:hAnsi="宋体" w:eastAsia="宋体" w:cs="宋体"/>
          <w:b/>
          <w:bCs/>
          <w:sz w:val="24"/>
          <w:szCs w:val="24"/>
        </w:rPr>
      </w:pPr>
      <w:r>
        <w:rPr>
          <w:rFonts w:ascii="宋体" w:hAnsi="宋体" w:eastAsia="宋体" w:cs="宋体"/>
          <w:b/>
          <w:bCs/>
          <w:sz w:val="24"/>
          <w:szCs w:val="24"/>
        </w:rPr>
        <w:t>13</w:t>
      </w:r>
      <w:r>
        <w:rPr>
          <w:rFonts w:hint="eastAsia" w:ascii="宋体" w:hAnsi="宋体" w:eastAsia="宋体" w:cs="宋体"/>
          <w:b/>
          <w:bCs/>
          <w:sz w:val="24"/>
          <w:szCs w:val="24"/>
        </w:rPr>
        <w:t>．投标报价及造价承包和变更结算方式</w:t>
      </w:r>
    </w:p>
    <w:p w14:paraId="2285DE4A">
      <w:pPr>
        <w:pStyle w:val="50"/>
        <w:spacing w:after="0" w:line="360" w:lineRule="auto"/>
        <w:ind w:firstLine="480" w:firstLineChars="200"/>
        <w:rPr>
          <w:rFonts w:hint="eastAsia" w:ascii="宋体" w:hAnsi="宋体" w:eastAsia="宋体" w:cs="宋体"/>
          <w:sz w:val="24"/>
          <w:szCs w:val="24"/>
          <w:u w:val="single"/>
        </w:rPr>
      </w:pPr>
      <w:r>
        <w:rPr>
          <w:rFonts w:ascii="宋体" w:hAnsi="宋体" w:eastAsia="宋体" w:cs="宋体"/>
          <w:sz w:val="24"/>
          <w:szCs w:val="24"/>
        </w:rPr>
        <w:t xml:space="preserve">13.1 </w:t>
      </w:r>
      <w:r>
        <w:rPr>
          <w:rFonts w:hint="eastAsia" w:ascii="宋体" w:hAnsi="宋体" w:eastAsia="宋体" w:cs="宋体"/>
          <w:sz w:val="24"/>
          <w:szCs w:val="24"/>
        </w:rPr>
        <w:t>本工程的投标报价采用投标须知前附表第</w:t>
      </w:r>
      <w:r>
        <w:rPr>
          <w:rFonts w:ascii="宋体" w:hAnsi="宋体" w:eastAsia="宋体" w:cs="宋体"/>
          <w:sz w:val="24"/>
          <w:szCs w:val="24"/>
        </w:rPr>
        <w:t>12</w:t>
      </w:r>
      <w:r>
        <w:rPr>
          <w:rFonts w:hint="eastAsia" w:ascii="宋体" w:hAnsi="宋体" w:eastAsia="宋体" w:cs="宋体"/>
          <w:sz w:val="24"/>
          <w:szCs w:val="24"/>
        </w:rPr>
        <w:t>项所规定的方式。</w:t>
      </w:r>
      <w:r>
        <w:rPr>
          <w:rFonts w:hint="eastAsia" w:ascii="宋体" w:hAnsi="宋体" w:eastAsia="宋体" w:cs="宋体"/>
          <w:sz w:val="24"/>
          <w:szCs w:val="24"/>
          <w:u w:val="single"/>
        </w:rPr>
        <w:t>投标文件中的大写金额和小写金额不一致的，以大写金额为准，</w:t>
      </w:r>
      <w:r>
        <w:rPr>
          <w:rFonts w:hint="eastAsia" w:ascii="宋体" w:hAnsi="宋体" w:eastAsia="宋体" w:cs="宋体"/>
          <w:sz w:val="24"/>
          <w:szCs w:val="24"/>
        </w:rPr>
        <w:t>投标报价（含单价及总价）精确到“分”。</w:t>
      </w:r>
      <w:r>
        <w:rPr>
          <w:rFonts w:hint="eastAsia" w:ascii="宋体" w:hAnsi="宋体" w:eastAsia="宋体" w:cs="宋体"/>
          <w:sz w:val="24"/>
          <w:szCs w:val="24"/>
          <w:u w:val="single"/>
        </w:rPr>
        <w:t>投标人的投标总报价高于招标人公布的最高投标限价的投标文件将被拒绝。</w:t>
      </w:r>
    </w:p>
    <w:p w14:paraId="04AD6FC3">
      <w:pPr>
        <w:pStyle w:val="50"/>
        <w:spacing w:after="0" w:line="360" w:lineRule="auto"/>
        <w:ind w:firstLine="480" w:firstLineChars="200"/>
        <w:rPr>
          <w:rFonts w:hint="eastAsia" w:ascii="宋体" w:hAnsi="宋体" w:eastAsia="宋体" w:cs="宋体"/>
          <w:sz w:val="24"/>
          <w:szCs w:val="24"/>
        </w:rPr>
      </w:pPr>
      <w:r>
        <w:rPr>
          <w:rFonts w:ascii="宋体" w:hAnsi="宋体" w:eastAsia="宋体" w:cs="宋体"/>
          <w:sz w:val="24"/>
          <w:szCs w:val="24"/>
        </w:rPr>
        <w:t>13.2</w:t>
      </w:r>
      <w:r>
        <w:rPr>
          <w:rFonts w:hint="eastAsia" w:ascii="宋体" w:hAnsi="宋体" w:eastAsia="宋体" w:cs="宋体"/>
          <w:sz w:val="24"/>
          <w:szCs w:val="24"/>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0CA54C22">
      <w:pPr>
        <w:pStyle w:val="50"/>
        <w:spacing w:after="0" w:line="360" w:lineRule="auto"/>
        <w:ind w:firstLine="480" w:firstLineChars="200"/>
        <w:rPr>
          <w:rFonts w:hint="eastAsia" w:ascii="宋体" w:hAnsi="宋体" w:eastAsia="宋体" w:cs="宋体"/>
          <w:sz w:val="24"/>
          <w:szCs w:val="24"/>
        </w:rPr>
      </w:pPr>
      <w:r>
        <w:rPr>
          <w:rFonts w:ascii="宋体" w:hAnsi="宋体" w:eastAsia="宋体" w:cs="宋体"/>
          <w:sz w:val="24"/>
          <w:szCs w:val="24"/>
        </w:rPr>
        <w:t>13.3</w:t>
      </w:r>
      <w:r>
        <w:rPr>
          <w:rFonts w:hint="eastAsia" w:ascii="宋体" w:hAnsi="宋体" w:eastAsia="宋体" w:cs="宋体"/>
          <w:sz w:val="24"/>
          <w:szCs w:val="24"/>
        </w:rPr>
        <w:t>投标人的投标报价，应是按照投标须知前附表第</w:t>
      </w:r>
      <w:r>
        <w:rPr>
          <w:rFonts w:ascii="宋体" w:hAnsi="宋体" w:eastAsia="宋体" w:cs="宋体"/>
          <w:sz w:val="24"/>
          <w:szCs w:val="24"/>
        </w:rPr>
        <w:t>8</w:t>
      </w:r>
      <w:r>
        <w:rPr>
          <w:rFonts w:hint="eastAsia" w:ascii="宋体" w:hAnsi="宋体" w:eastAsia="宋体" w:cs="宋体"/>
          <w:sz w:val="24"/>
          <w:szCs w:val="24"/>
        </w:rPr>
        <w:t>项的工期要求，在投标须知前附表第</w:t>
      </w:r>
      <w:r>
        <w:rPr>
          <w:rFonts w:ascii="宋体" w:hAnsi="宋体" w:eastAsia="宋体" w:cs="宋体"/>
          <w:sz w:val="24"/>
          <w:szCs w:val="24"/>
        </w:rPr>
        <w:t>3</w:t>
      </w:r>
      <w:r>
        <w:rPr>
          <w:rFonts w:hint="eastAsia" w:ascii="宋体" w:hAnsi="宋体" w:eastAsia="宋体" w:cs="宋体"/>
          <w:sz w:val="24"/>
          <w:szCs w:val="24"/>
        </w:rPr>
        <w:t>项的建设地点，完成投标须知前附表第</w:t>
      </w:r>
      <w:r>
        <w:rPr>
          <w:rFonts w:ascii="宋体" w:hAnsi="宋体" w:eastAsia="宋体" w:cs="宋体"/>
          <w:sz w:val="24"/>
          <w:szCs w:val="24"/>
        </w:rPr>
        <w:t>7</w:t>
      </w:r>
      <w:r>
        <w:rPr>
          <w:rFonts w:hint="eastAsia" w:ascii="宋体" w:hAnsi="宋体" w:eastAsia="宋体" w:cs="宋体"/>
          <w:sz w:val="24"/>
          <w:szCs w:val="24"/>
        </w:rPr>
        <w:t>项的招标范围内已由招标人</w:t>
      </w:r>
      <w:r>
        <w:rPr>
          <w:rFonts w:hint="eastAsia" w:ascii="宋体" w:hAnsi="宋体" w:eastAsia="宋体" w:cs="宋体"/>
          <w:sz w:val="24"/>
          <w:szCs w:val="24"/>
          <w:u w:val="single"/>
        </w:rPr>
        <w:t>提供的招标图纸（包括有关于本项目招标的相关资料）</w:t>
      </w:r>
      <w:r>
        <w:rPr>
          <w:rFonts w:hint="eastAsia" w:ascii="宋体" w:hAnsi="宋体" w:eastAsia="宋体" w:cs="宋体"/>
          <w:sz w:val="24"/>
          <w:szCs w:val="24"/>
        </w:rPr>
        <w:t>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3C6661FC">
      <w:pPr>
        <w:pStyle w:val="50"/>
        <w:spacing w:after="0" w:line="360" w:lineRule="auto"/>
        <w:ind w:firstLine="480" w:firstLineChars="200"/>
        <w:rPr>
          <w:rFonts w:hint="eastAsia" w:ascii="宋体" w:hAnsi="宋体" w:eastAsia="宋体" w:cs="宋体"/>
          <w:sz w:val="24"/>
          <w:szCs w:val="24"/>
        </w:rPr>
      </w:pPr>
      <w:r>
        <w:rPr>
          <w:rFonts w:ascii="宋体" w:hAnsi="宋体" w:eastAsia="宋体" w:cs="宋体"/>
          <w:sz w:val="24"/>
          <w:szCs w:val="24"/>
        </w:rPr>
        <w:t>13.4</w:t>
      </w:r>
      <w:r>
        <w:rPr>
          <w:rFonts w:hint="eastAsia" w:ascii="宋体" w:hAnsi="宋体" w:eastAsia="宋体" w:cs="宋体"/>
          <w:sz w:val="24"/>
          <w:szCs w:val="24"/>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w:t>
      </w:r>
      <w:r>
        <w:rPr>
          <w:rFonts w:hint="eastAsia" w:ascii="宋体" w:hAnsi="宋体" w:eastAsia="宋体" w:cs="宋体"/>
          <w:bCs/>
          <w:sz w:val="24"/>
          <w:szCs w:val="24"/>
          <w:u w:val="single"/>
        </w:rPr>
        <w:t>按合同条款相关约定调整</w:t>
      </w:r>
      <w:r>
        <w:rPr>
          <w:rFonts w:hint="eastAsia" w:ascii="宋体" w:hAnsi="宋体" w:eastAsia="宋体" w:cs="宋体"/>
          <w:sz w:val="24"/>
          <w:szCs w:val="24"/>
        </w:rPr>
        <w:t>。</w:t>
      </w:r>
    </w:p>
    <w:p w14:paraId="3EC9CBC6">
      <w:pPr>
        <w:pStyle w:val="50"/>
        <w:spacing w:after="0" w:line="360" w:lineRule="auto"/>
        <w:ind w:firstLine="480" w:firstLineChars="200"/>
        <w:rPr>
          <w:rFonts w:hint="eastAsia" w:ascii="宋体" w:hAnsi="宋体" w:eastAsia="宋体" w:cs="宋体"/>
          <w:sz w:val="24"/>
          <w:szCs w:val="24"/>
        </w:rPr>
      </w:pPr>
      <w:r>
        <w:rPr>
          <w:rFonts w:ascii="宋体" w:hAnsi="宋体" w:eastAsia="宋体" w:cs="宋体"/>
          <w:sz w:val="24"/>
          <w:szCs w:val="24"/>
        </w:rPr>
        <w:t>13.5</w:t>
      </w:r>
      <w:r>
        <w:rPr>
          <w:rFonts w:hint="eastAsia" w:ascii="宋体" w:hAnsi="宋体" w:eastAsia="宋体" w:cs="宋体"/>
          <w:sz w:val="24"/>
          <w:szCs w:val="24"/>
          <w:u w:val="single"/>
        </w:rPr>
        <w:t>变更结算方式按招标文件及施工合同相关规定执行</w:t>
      </w:r>
      <w:r>
        <w:rPr>
          <w:rFonts w:hint="eastAsia" w:ascii="宋体" w:hAnsi="宋体" w:eastAsia="宋体" w:cs="宋体"/>
          <w:sz w:val="24"/>
          <w:szCs w:val="24"/>
        </w:rPr>
        <w:t>。</w:t>
      </w:r>
    </w:p>
    <w:p w14:paraId="5E9B52DB">
      <w:pPr>
        <w:pStyle w:val="50"/>
        <w:spacing w:after="0" w:line="360" w:lineRule="auto"/>
        <w:ind w:firstLine="480" w:firstLineChars="200"/>
        <w:rPr>
          <w:rFonts w:hint="eastAsia" w:ascii="宋体" w:hAnsi="宋体" w:eastAsia="宋体" w:cs="宋体"/>
          <w:sz w:val="24"/>
          <w:szCs w:val="24"/>
        </w:rPr>
      </w:pPr>
      <w:r>
        <w:rPr>
          <w:rFonts w:ascii="宋体" w:hAnsi="宋体" w:eastAsia="宋体" w:cs="宋体"/>
          <w:sz w:val="24"/>
          <w:szCs w:val="24"/>
        </w:rPr>
        <w:t>13.6</w:t>
      </w:r>
      <w:r>
        <w:rPr>
          <w:rFonts w:hint="eastAsia" w:ascii="宋体" w:hAnsi="宋体" w:eastAsia="宋体" w:cs="宋体"/>
          <w:sz w:val="24"/>
          <w:szCs w:val="24"/>
        </w:rPr>
        <w:t>暂列金额、暂估价</w:t>
      </w:r>
    </w:p>
    <w:p w14:paraId="07C672EE">
      <w:pPr>
        <w:pStyle w:val="50"/>
        <w:spacing w:after="0" w:line="360" w:lineRule="auto"/>
        <w:ind w:firstLine="480" w:firstLineChars="200"/>
        <w:rPr>
          <w:rFonts w:hint="eastAsia" w:ascii="宋体" w:hAnsi="宋体" w:eastAsia="宋体" w:cs="宋体"/>
          <w:sz w:val="24"/>
          <w:szCs w:val="24"/>
        </w:rPr>
      </w:pPr>
      <w:r>
        <w:rPr>
          <w:rFonts w:ascii="宋体" w:hAnsi="宋体" w:eastAsia="宋体" w:cs="宋体"/>
          <w:sz w:val="24"/>
          <w:szCs w:val="24"/>
        </w:rPr>
        <w:t>13.6.1</w:t>
      </w:r>
      <w:r>
        <w:rPr>
          <w:rFonts w:hint="eastAsia" w:ascii="宋体" w:hAnsi="宋体" w:eastAsia="宋体" w:cs="宋体"/>
          <w:sz w:val="24"/>
          <w:szCs w:val="24"/>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6333BFFE">
      <w:pPr>
        <w:pStyle w:val="5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暂估价是指招标人在工程量清单中提供的用于支付必然发生但暂时不能确定价格的材料的单价以及专业工程的金额。</w:t>
      </w:r>
    </w:p>
    <w:p w14:paraId="53596191">
      <w:pPr>
        <w:pStyle w:val="50"/>
        <w:spacing w:after="0" w:line="360" w:lineRule="auto"/>
        <w:ind w:firstLine="480" w:firstLineChars="200"/>
        <w:rPr>
          <w:rFonts w:hint="eastAsia" w:ascii="宋体" w:hAnsi="宋体" w:eastAsia="宋体" w:cs="宋体"/>
          <w:sz w:val="24"/>
          <w:szCs w:val="24"/>
          <w:u w:val="single"/>
        </w:rPr>
      </w:pPr>
      <w:r>
        <w:rPr>
          <w:rFonts w:ascii="宋体" w:hAnsi="宋体" w:eastAsia="宋体" w:cs="宋体"/>
          <w:sz w:val="24"/>
          <w:szCs w:val="24"/>
        </w:rPr>
        <w:t>13.6.</w:t>
      </w:r>
      <w:r>
        <w:rPr>
          <w:rFonts w:hint="eastAsia" w:ascii="宋体" w:hAnsi="宋体" w:eastAsia="宋体" w:cs="宋体"/>
          <w:sz w:val="24"/>
          <w:szCs w:val="24"/>
        </w:rPr>
        <w:t>2在工程实施中，暂列金额、暂估价所包含的工作范围和图纸、标准深化固定后，按照工程专业、设备、材料类别等分类汇总的金额，达到法定招标范围标准的，</w:t>
      </w:r>
      <w:r>
        <w:rPr>
          <w:rFonts w:hint="eastAsia" w:ascii="宋体" w:hAnsi="宋体" w:eastAsia="宋体" w:cs="宋体"/>
          <w:sz w:val="24"/>
          <w:szCs w:val="24"/>
          <w:u w:val="single"/>
        </w:rPr>
        <w:t>按施工合同相关规定执行。</w:t>
      </w:r>
    </w:p>
    <w:p w14:paraId="2700DFE7">
      <w:pPr>
        <w:pStyle w:val="50"/>
        <w:spacing w:after="0" w:line="360" w:lineRule="auto"/>
        <w:ind w:firstLine="480" w:firstLineChars="200"/>
        <w:rPr>
          <w:rFonts w:hint="eastAsia" w:ascii="宋体" w:hAnsi="宋体" w:eastAsia="宋体" w:cs="宋体"/>
          <w:sz w:val="24"/>
          <w:szCs w:val="24"/>
        </w:rPr>
      </w:pPr>
      <w:r>
        <w:rPr>
          <w:rFonts w:ascii="宋体" w:hAnsi="宋体" w:eastAsia="宋体" w:cs="宋体"/>
          <w:sz w:val="24"/>
          <w:szCs w:val="24"/>
        </w:rPr>
        <w:t>13.6.</w:t>
      </w:r>
      <w:r>
        <w:rPr>
          <w:rFonts w:hint="eastAsia" w:ascii="宋体" w:hAnsi="宋体" w:eastAsia="宋体" w:cs="宋体"/>
          <w:sz w:val="24"/>
          <w:szCs w:val="24"/>
        </w:rPr>
        <w:t>3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eastAsia="宋体" w:cs="宋体"/>
          <w:sz w:val="24"/>
          <w:szCs w:val="24"/>
        </w:rPr>
        <w:t>13.5</w:t>
      </w:r>
      <w:r>
        <w:rPr>
          <w:rFonts w:hint="eastAsia" w:ascii="宋体" w:hAnsi="宋体" w:eastAsia="宋体" w:cs="宋体"/>
          <w:sz w:val="24"/>
          <w:szCs w:val="24"/>
        </w:rPr>
        <w:t>款规定确定。</w:t>
      </w:r>
    </w:p>
    <w:p w14:paraId="679A6DCB">
      <w:pPr>
        <w:pStyle w:val="50"/>
        <w:spacing w:after="0" w:line="360" w:lineRule="auto"/>
        <w:ind w:firstLine="480" w:firstLineChars="200"/>
        <w:rPr>
          <w:rFonts w:hint="eastAsia" w:ascii="宋体" w:hAnsi="宋体" w:eastAsia="宋体" w:cs="宋体"/>
          <w:sz w:val="24"/>
          <w:szCs w:val="24"/>
        </w:rPr>
      </w:pPr>
      <w:r>
        <w:rPr>
          <w:rFonts w:ascii="宋体" w:hAnsi="宋体" w:eastAsia="宋体" w:cs="宋体"/>
          <w:sz w:val="24"/>
          <w:szCs w:val="24"/>
        </w:rPr>
        <w:t>13.6.</w:t>
      </w:r>
      <w:r>
        <w:rPr>
          <w:rFonts w:hint="eastAsia" w:ascii="宋体" w:hAnsi="宋体" w:eastAsia="宋体" w:cs="宋体"/>
          <w:sz w:val="24"/>
          <w:szCs w:val="24"/>
        </w:rPr>
        <w:t>4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2A72EC86">
      <w:pPr>
        <w:pStyle w:val="50"/>
        <w:spacing w:after="0" w:line="360" w:lineRule="auto"/>
        <w:ind w:firstLine="480" w:firstLineChars="200"/>
        <w:rPr>
          <w:rFonts w:hint="eastAsia" w:ascii="宋体" w:hAnsi="宋体" w:eastAsia="宋体" w:cs="宋体"/>
          <w:sz w:val="24"/>
          <w:szCs w:val="24"/>
        </w:rPr>
      </w:pPr>
      <w:r>
        <w:rPr>
          <w:rFonts w:ascii="宋体" w:hAnsi="宋体" w:eastAsia="宋体" w:cs="宋体"/>
          <w:sz w:val="24"/>
          <w:szCs w:val="24"/>
        </w:rPr>
        <w:t>13.6.</w:t>
      </w:r>
      <w:r>
        <w:rPr>
          <w:rFonts w:hint="eastAsia" w:ascii="宋体" w:hAnsi="宋体" w:eastAsia="宋体" w:cs="宋体"/>
          <w:sz w:val="24"/>
          <w:szCs w:val="24"/>
        </w:rPr>
        <w:t>5</w:t>
      </w:r>
      <w:r>
        <w:rPr>
          <w:rFonts w:ascii="宋体" w:hAnsi="宋体" w:eastAsia="宋体" w:cs="宋体"/>
          <w:sz w:val="24"/>
          <w:szCs w:val="24"/>
        </w:rPr>
        <w:t xml:space="preserve"> </w:t>
      </w:r>
      <w:r>
        <w:rPr>
          <w:rFonts w:hint="eastAsia" w:ascii="宋体" w:hAnsi="宋体" w:eastAsia="宋体" w:cs="宋体"/>
          <w:sz w:val="24"/>
          <w:szCs w:val="24"/>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15E89A1D">
      <w:pPr>
        <w:pStyle w:val="50"/>
        <w:spacing w:after="0" w:line="360" w:lineRule="auto"/>
        <w:ind w:firstLine="480" w:firstLineChars="200"/>
        <w:rPr>
          <w:rFonts w:hint="eastAsia" w:ascii="宋体" w:hAnsi="宋体" w:eastAsia="宋体" w:cs="宋体"/>
          <w:sz w:val="24"/>
          <w:szCs w:val="24"/>
        </w:rPr>
      </w:pPr>
      <w:r>
        <w:rPr>
          <w:rFonts w:ascii="宋体" w:hAnsi="宋体" w:eastAsia="宋体" w:cs="宋体"/>
          <w:sz w:val="24"/>
          <w:szCs w:val="24"/>
        </w:rPr>
        <w:t>13.7</w:t>
      </w:r>
      <w:r>
        <w:rPr>
          <w:rFonts w:hint="eastAsia" w:ascii="宋体" w:hAnsi="宋体" w:eastAsia="宋体" w:cs="宋体"/>
          <w:sz w:val="24"/>
          <w:szCs w:val="24"/>
        </w:rPr>
        <w:t>投标人可先到工地踏勘以充分了解工地位置、情况、道路、储存空间、装卸限制及任何其他足以影响承包价的情况，任何因忽视或误解工地情况而导致的索赔或工期延长申请将不被批准。</w:t>
      </w:r>
    </w:p>
    <w:p w14:paraId="176CFE50">
      <w:pPr>
        <w:pStyle w:val="50"/>
        <w:spacing w:after="0" w:line="360" w:lineRule="auto"/>
        <w:ind w:firstLine="480" w:firstLineChars="200"/>
        <w:rPr>
          <w:rFonts w:hint="eastAsia" w:ascii="宋体" w:hAnsi="宋体" w:eastAsia="宋体" w:cs="宋体"/>
          <w:sz w:val="24"/>
          <w:szCs w:val="24"/>
        </w:rPr>
      </w:pPr>
      <w:r>
        <w:rPr>
          <w:rFonts w:ascii="宋体" w:hAnsi="宋体" w:eastAsia="宋体" w:cs="宋体"/>
          <w:sz w:val="24"/>
          <w:szCs w:val="24"/>
        </w:rPr>
        <w:t>13.8</w:t>
      </w:r>
      <w:r>
        <w:rPr>
          <w:rFonts w:hint="eastAsia" w:ascii="宋体" w:hAnsi="宋体" w:eastAsia="宋体" w:cs="宋体"/>
          <w:sz w:val="24"/>
          <w:szCs w:val="24"/>
        </w:rPr>
        <w:t>属于承包人自行采购的主要材料、设备，招标人应当在招标文件中提出材料、设备的技术标准或者质量要求，或者提出不少于</w:t>
      </w:r>
      <w:r>
        <w:rPr>
          <w:rFonts w:ascii="宋体" w:hAnsi="宋体" w:eastAsia="宋体" w:cs="宋体"/>
          <w:sz w:val="24"/>
          <w:szCs w:val="24"/>
        </w:rPr>
        <w:t>3</w:t>
      </w:r>
      <w:r>
        <w:rPr>
          <w:rFonts w:hint="eastAsia" w:ascii="宋体" w:hAnsi="宋体" w:eastAsia="宋体" w:cs="宋体"/>
          <w:sz w:val="24"/>
          <w:szCs w:val="24"/>
        </w:rPr>
        <w:t>个同等档次品牌或分包商供投标人报价时选择</w:t>
      </w:r>
      <w:r>
        <w:rPr>
          <w:rFonts w:ascii="宋体" w:hAnsi="宋体" w:eastAsia="宋体" w:cs="宋体"/>
          <w:sz w:val="24"/>
          <w:szCs w:val="24"/>
        </w:rPr>
        <w:t>,</w:t>
      </w:r>
      <w:r>
        <w:rPr>
          <w:rFonts w:hint="eastAsia" w:ascii="宋体" w:hAnsi="宋体" w:eastAsia="宋体" w:cs="宋体"/>
          <w:sz w:val="24"/>
          <w:szCs w:val="24"/>
        </w:rPr>
        <w:t>凡招标人在招标文件中提出参考品牌的，必须在参考品牌后面加上“或相当于”字样。投标人在投标文件中应明确所选用主要材料、设备的品牌、厂家以及质量等级，并且应当符合招标文件的要求。</w:t>
      </w:r>
    </w:p>
    <w:p w14:paraId="4B650A3E">
      <w:pPr>
        <w:pStyle w:val="50"/>
        <w:spacing w:after="0" w:line="360" w:lineRule="auto"/>
        <w:ind w:firstLine="480" w:firstLineChars="200"/>
        <w:rPr>
          <w:rFonts w:hint="eastAsia" w:ascii="宋体" w:hAnsi="宋体" w:eastAsia="宋体" w:cs="宋体"/>
          <w:sz w:val="24"/>
          <w:szCs w:val="24"/>
        </w:rPr>
      </w:pPr>
      <w:r>
        <w:rPr>
          <w:rFonts w:ascii="宋体" w:hAnsi="宋体" w:eastAsia="宋体" w:cs="宋体"/>
          <w:sz w:val="24"/>
          <w:szCs w:val="24"/>
        </w:rPr>
        <w:t>13.9</w:t>
      </w:r>
      <w:r>
        <w:rPr>
          <w:rFonts w:hint="eastAsia" w:ascii="宋体" w:hAnsi="宋体" w:eastAsia="宋体" w:cs="宋体"/>
          <w:sz w:val="24"/>
          <w:szCs w:val="24"/>
          <w:u w:val="single"/>
        </w:rPr>
        <w:t>主要材料的价格调整按照合同约定执行</w:t>
      </w:r>
      <w:r>
        <w:rPr>
          <w:rFonts w:hint="eastAsia" w:ascii="宋体" w:hAnsi="宋体" w:eastAsia="宋体" w:cs="宋体"/>
          <w:sz w:val="24"/>
          <w:szCs w:val="24"/>
        </w:rPr>
        <w:t>。</w:t>
      </w:r>
    </w:p>
    <w:p w14:paraId="7E46DBCA">
      <w:pPr>
        <w:pStyle w:val="50"/>
        <w:spacing w:after="0" w:line="360" w:lineRule="auto"/>
        <w:ind w:firstLine="480" w:firstLineChars="200"/>
        <w:rPr>
          <w:rFonts w:hint="eastAsia" w:ascii="宋体" w:hAnsi="宋体" w:eastAsia="宋体" w:cs="宋体"/>
          <w:b/>
          <w:bCs/>
          <w:sz w:val="24"/>
          <w:szCs w:val="24"/>
        </w:rPr>
      </w:pPr>
      <w:r>
        <w:rPr>
          <w:rFonts w:ascii="宋体" w:hAnsi="宋体" w:eastAsia="宋体" w:cs="宋体"/>
          <w:b/>
          <w:bCs/>
          <w:sz w:val="24"/>
          <w:szCs w:val="24"/>
        </w:rPr>
        <w:t>14</w:t>
      </w:r>
      <w:r>
        <w:rPr>
          <w:rFonts w:hint="eastAsia" w:ascii="宋体" w:hAnsi="宋体" w:eastAsia="宋体" w:cs="宋体"/>
          <w:b/>
          <w:bCs/>
          <w:sz w:val="24"/>
          <w:szCs w:val="24"/>
        </w:rPr>
        <w:t>．投标货币</w:t>
      </w:r>
    </w:p>
    <w:p w14:paraId="7F6ACA77">
      <w:pPr>
        <w:pStyle w:val="50"/>
        <w:spacing w:after="0" w:line="360" w:lineRule="auto"/>
        <w:ind w:firstLine="480" w:firstLineChars="200"/>
        <w:rPr>
          <w:rFonts w:hint="eastAsia" w:ascii="宋体" w:hAnsi="宋体" w:eastAsia="宋体" w:cs="宋体"/>
          <w:sz w:val="24"/>
          <w:szCs w:val="24"/>
        </w:rPr>
      </w:pPr>
      <w:r>
        <w:rPr>
          <w:rFonts w:ascii="宋体" w:hAnsi="宋体" w:eastAsia="宋体" w:cs="宋体"/>
          <w:sz w:val="24"/>
          <w:szCs w:val="24"/>
        </w:rPr>
        <w:t xml:space="preserve">14.1 </w:t>
      </w:r>
      <w:r>
        <w:rPr>
          <w:rFonts w:hint="eastAsia" w:ascii="宋体" w:hAnsi="宋体" w:eastAsia="宋体" w:cs="宋体"/>
          <w:sz w:val="24"/>
          <w:szCs w:val="24"/>
        </w:rPr>
        <w:t>本工程投标报价采用的币种为人民币。</w:t>
      </w:r>
    </w:p>
    <w:p w14:paraId="3EE641A0">
      <w:pPr>
        <w:pStyle w:val="50"/>
        <w:spacing w:after="0" w:line="360" w:lineRule="auto"/>
        <w:ind w:firstLine="480" w:firstLineChars="200"/>
        <w:rPr>
          <w:rFonts w:hint="eastAsia" w:ascii="宋体" w:hAnsi="宋体" w:eastAsia="宋体" w:cs="宋体"/>
          <w:sz w:val="24"/>
          <w:szCs w:val="24"/>
        </w:rPr>
      </w:pPr>
      <w:r>
        <w:rPr>
          <w:rFonts w:ascii="宋体" w:hAnsi="宋体" w:eastAsia="宋体" w:cs="宋体"/>
          <w:b/>
          <w:bCs/>
          <w:sz w:val="24"/>
          <w:szCs w:val="24"/>
        </w:rPr>
        <w:t>15</w:t>
      </w:r>
      <w:r>
        <w:rPr>
          <w:rFonts w:hint="eastAsia" w:ascii="宋体" w:hAnsi="宋体" w:eastAsia="宋体" w:cs="宋体"/>
          <w:b/>
          <w:bCs/>
          <w:sz w:val="24"/>
          <w:szCs w:val="24"/>
        </w:rPr>
        <w:t>．投标有效期</w:t>
      </w:r>
    </w:p>
    <w:p w14:paraId="22705D7C">
      <w:pPr>
        <w:pStyle w:val="50"/>
        <w:spacing w:after="0" w:line="360" w:lineRule="auto"/>
        <w:ind w:firstLine="480" w:firstLineChars="200"/>
        <w:rPr>
          <w:rFonts w:hint="eastAsia" w:ascii="宋体" w:hAnsi="宋体" w:eastAsia="宋体" w:cs="宋体"/>
          <w:sz w:val="24"/>
          <w:szCs w:val="24"/>
        </w:rPr>
      </w:pPr>
      <w:r>
        <w:rPr>
          <w:rFonts w:ascii="宋体" w:hAnsi="宋体" w:eastAsia="宋体" w:cs="宋体"/>
          <w:sz w:val="24"/>
          <w:szCs w:val="24"/>
        </w:rPr>
        <w:t xml:space="preserve">15.1 </w:t>
      </w:r>
      <w:r>
        <w:rPr>
          <w:rFonts w:hint="eastAsia" w:ascii="宋体" w:hAnsi="宋体" w:eastAsia="宋体" w:cs="宋体"/>
          <w:sz w:val="24"/>
          <w:szCs w:val="24"/>
        </w:rPr>
        <w:t>投标有效期见投标须知前附表第</w:t>
      </w:r>
      <w:r>
        <w:rPr>
          <w:rFonts w:ascii="宋体" w:hAnsi="宋体" w:eastAsia="宋体" w:cs="宋体"/>
          <w:sz w:val="24"/>
          <w:szCs w:val="24"/>
        </w:rPr>
        <w:t>13</w:t>
      </w:r>
      <w:r>
        <w:rPr>
          <w:rFonts w:hint="eastAsia" w:ascii="宋体" w:hAnsi="宋体" w:eastAsia="宋体" w:cs="宋体"/>
          <w:sz w:val="24"/>
          <w:szCs w:val="24"/>
        </w:rPr>
        <w:t>项所规定的期限，在此期限内，凡符合本招标文件要求的投标文件均保持有效。</w:t>
      </w:r>
    </w:p>
    <w:p w14:paraId="4BBF2707">
      <w:pPr>
        <w:pStyle w:val="50"/>
        <w:spacing w:after="0" w:line="360" w:lineRule="auto"/>
        <w:ind w:firstLine="480" w:firstLineChars="200"/>
        <w:rPr>
          <w:rFonts w:hint="eastAsia" w:ascii="宋体" w:hAnsi="宋体" w:eastAsia="宋体" w:cs="宋体"/>
          <w:sz w:val="24"/>
          <w:szCs w:val="24"/>
        </w:rPr>
      </w:pPr>
      <w:r>
        <w:rPr>
          <w:rFonts w:ascii="宋体" w:hAnsi="宋体" w:eastAsia="宋体" w:cs="宋体"/>
          <w:sz w:val="24"/>
          <w:szCs w:val="24"/>
        </w:rPr>
        <w:t xml:space="preserve">15.2 </w:t>
      </w:r>
      <w:r>
        <w:rPr>
          <w:rFonts w:hint="eastAsia" w:ascii="宋体" w:hAnsi="宋体" w:eastAsia="宋体" w:cs="宋体"/>
          <w:sz w:val="24"/>
          <w:szCs w:val="24"/>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eastAsia="宋体" w:cs="宋体"/>
          <w:sz w:val="24"/>
          <w:szCs w:val="24"/>
        </w:rPr>
        <w:t>16</w:t>
      </w:r>
      <w:r>
        <w:rPr>
          <w:rFonts w:hint="eastAsia" w:ascii="宋体" w:hAnsi="宋体" w:eastAsia="宋体" w:cs="宋体"/>
          <w:sz w:val="24"/>
          <w:szCs w:val="24"/>
        </w:rPr>
        <w:t>条关于投标保证金的退还与不予退还的规定仍然适用。</w:t>
      </w:r>
    </w:p>
    <w:p w14:paraId="7F490E3B">
      <w:pPr>
        <w:pStyle w:val="50"/>
        <w:spacing w:after="0" w:line="360" w:lineRule="auto"/>
        <w:ind w:firstLine="480" w:firstLineChars="200"/>
        <w:rPr>
          <w:rFonts w:hint="eastAsia" w:ascii="宋体" w:hAnsi="宋体" w:eastAsia="宋体" w:cs="宋体"/>
          <w:b/>
          <w:bCs/>
          <w:sz w:val="24"/>
          <w:szCs w:val="24"/>
        </w:rPr>
      </w:pPr>
      <w:r>
        <w:rPr>
          <w:rFonts w:ascii="宋体" w:hAnsi="宋体" w:eastAsia="宋体" w:cs="宋体"/>
          <w:b/>
          <w:bCs/>
          <w:sz w:val="24"/>
          <w:szCs w:val="24"/>
        </w:rPr>
        <w:t>16</w:t>
      </w:r>
      <w:r>
        <w:rPr>
          <w:rFonts w:hint="eastAsia" w:ascii="宋体" w:hAnsi="宋体" w:eastAsia="宋体" w:cs="宋体"/>
          <w:b/>
          <w:bCs/>
          <w:sz w:val="24"/>
          <w:szCs w:val="24"/>
        </w:rPr>
        <w:t>．投标保证金</w:t>
      </w:r>
    </w:p>
    <w:p w14:paraId="30B3F3B5">
      <w:pPr>
        <w:pStyle w:val="50"/>
        <w:spacing w:line="360" w:lineRule="auto"/>
        <w:ind w:firstLine="480" w:firstLineChars="200"/>
        <w:rPr>
          <w:rFonts w:hint="eastAsia" w:ascii="宋体" w:hAnsi="宋体" w:eastAsia="宋体" w:cs="宋体"/>
          <w:sz w:val="24"/>
          <w:szCs w:val="24"/>
        </w:rPr>
      </w:pPr>
      <w:r>
        <w:rPr>
          <w:rFonts w:ascii="宋体" w:hAnsi="宋体" w:eastAsia="宋体" w:cs="宋体"/>
          <w:sz w:val="24"/>
          <w:szCs w:val="24"/>
        </w:rPr>
        <w:t>16.1投标人应按投标须知前附表第14项所述金额和时间递交投标保证金。招标人应当允许投标人自主选择现金、银行保函、保证保险、专业工程担保公司担保等方式缴纳投标保证金。</w:t>
      </w:r>
    </w:p>
    <w:p w14:paraId="02992D6A">
      <w:pPr>
        <w:pStyle w:val="50"/>
        <w:spacing w:line="360" w:lineRule="auto"/>
        <w:ind w:firstLine="480" w:firstLineChars="200"/>
        <w:rPr>
          <w:rFonts w:hint="eastAsia" w:ascii="宋体" w:hAnsi="宋体" w:eastAsia="宋体" w:cs="宋体"/>
          <w:sz w:val="24"/>
          <w:szCs w:val="24"/>
        </w:rPr>
      </w:pPr>
      <w:r>
        <w:rPr>
          <w:rFonts w:ascii="宋体" w:hAnsi="宋体" w:eastAsia="宋体" w:cs="宋体"/>
          <w:sz w:val="24"/>
          <w:szCs w:val="24"/>
        </w:rPr>
        <w:t xml:space="preserve">16.1.1 </w:t>
      </w:r>
      <w:r>
        <w:rPr>
          <w:rFonts w:hint="eastAsia" w:ascii="宋体" w:hAnsi="宋体" w:eastAsia="宋体" w:cs="宋体"/>
          <w:sz w:val="24"/>
          <w:szCs w:val="24"/>
        </w:rPr>
        <w:t>采用现金或者支票形式提交的，投标保证金须从投标人的银行基本账户转出。</w:t>
      </w:r>
    </w:p>
    <w:p w14:paraId="496FF9FF">
      <w:pPr>
        <w:pStyle w:val="50"/>
        <w:spacing w:line="360" w:lineRule="auto"/>
        <w:ind w:firstLine="480" w:firstLineChars="200"/>
        <w:rPr>
          <w:rFonts w:hint="eastAsia" w:ascii="宋体" w:hAnsi="宋体" w:eastAsia="宋体" w:cs="宋体"/>
          <w:sz w:val="24"/>
          <w:szCs w:val="24"/>
        </w:rPr>
      </w:pPr>
      <w:r>
        <w:rPr>
          <w:rFonts w:ascii="宋体" w:hAnsi="宋体" w:eastAsia="宋体" w:cs="宋体"/>
          <w:sz w:val="24"/>
          <w:szCs w:val="24"/>
        </w:rPr>
        <w:t xml:space="preserve">16.1.2 </w:t>
      </w:r>
      <w:r>
        <w:rPr>
          <w:rFonts w:hint="eastAsia" w:ascii="宋体" w:hAnsi="宋体" w:eastAsia="宋体" w:cs="宋体"/>
          <w:sz w:val="24"/>
          <w:szCs w:val="24"/>
        </w:rPr>
        <w:t>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w:t>
      </w:r>
      <w:r>
        <w:rPr>
          <w:rFonts w:ascii="宋体" w:hAnsi="宋体" w:eastAsia="宋体" w:cs="宋体"/>
          <w:sz w:val="24"/>
          <w:szCs w:val="24"/>
        </w:rPr>
        <w:t>16.4条款所列情形的，应将纸质原件提交给招标人。</w:t>
      </w:r>
    </w:p>
    <w:p w14:paraId="67D69835">
      <w:pPr>
        <w:pStyle w:val="50"/>
        <w:spacing w:line="360" w:lineRule="auto"/>
        <w:ind w:firstLine="480" w:firstLineChars="200"/>
        <w:rPr>
          <w:rFonts w:hint="eastAsia" w:ascii="宋体" w:hAnsi="宋体" w:eastAsia="宋体" w:cs="宋体"/>
          <w:sz w:val="24"/>
          <w:szCs w:val="24"/>
        </w:rPr>
      </w:pPr>
      <w:r>
        <w:rPr>
          <w:rFonts w:ascii="宋体" w:hAnsi="宋体" w:eastAsia="宋体" w:cs="宋体"/>
          <w:sz w:val="24"/>
          <w:szCs w:val="24"/>
        </w:rPr>
        <w:t xml:space="preserve">16.1.3 </w:t>
      </w:r>
      <w:r>
        <w:rPr>
          <w:rFonts w:hint="eastAsia" w:ascii="宋体" w:hAnsi="宋体" w:eastAsia="宋体" w:cs="宋体"/>
          <w:sz w:val="24"/>
          <w:szCs w:val="24"/>
        </w:rPr>
        <w:t>采用电子形式的保函、担保或保证保险提交投标保证金的，应在招标文件中明确电子递交途径。</w:t>
      </w:r>
    </w:p>
    <w:p w14:paraId="2E9A21AA">
      <w:pPr>
        <w:pStyle w:val="50"/>
        <w:spacing w:line="360" w:lineRule="auto"/>
        <w:ind w:firstLine="480" w:firstLineChars="200"/>
        <w:rPr>
          <w:rFonts w:hint="eastAsia" w:ascii="宋体" w:hAnsi="宋体" w:eastAsia="宋体" w:cs="宋体"/>
          <w:sz w:val="24"/>
          <w:szCs w:val="24"/>
        </w:rPr>
      </w:pPr>
      <w:r>
        <w:rPr>
          <w:rFonts w:ascii="宋体" w:hAnsi="宋体" w:eastAsia="宋体" w:cs="宋体"/>
          <w:sz w:val="24"/>
          <w:szCs w:val="24"/>
        </w:rPr>
        <w:t>16.2开标时投标人没有按要求提供投标保证金的，其投标文件将被否决；未按招标文件要求提交符合免予提供投标保证金相关证明材料，且未提交投标保证金的投标人，视为未按要求提供投标保证金。</w:t>
      </w:r>
    </w:p>
    <w:p w14:paraId="6A0A4CA0">
      <w:pPr>
        <w:pStyle w:val="50"/>
        <w:spacing w:line="360" w:lineRule="auto"/>
        <w:ind w:firstLine="480" w:firstLineChars="200"/>
        <w:rPr>
          <w:rFonts w:hint="eastAsia" w:ascii="宋体" w:hAnsi="宋体" w:eastAsia="宋体" w:cs="宋体"/>
          <w:sz w:val="24"/>
          <w:szCs w:val="24"/>
        </w:rPr>
      </w:pPr>
      <w:r>
        <w:rPr>
          <w:rFonts w:ascii="宋体" w:hAnsi="宋体" w:eastAsia="宋体" w:cs="宋体"/>
          <w:sz w:val="24"/>
          <w:szCs w:val="24"/>
        </w:rPr>
        <w:t>16.3投标保证金应依据法律法规的相关规定退还。</w:t>
      </w:r>
    </w:p>
    <w:p w14:paraId="282A761C">
      <w:pPr>
        <w:pStyle w:val="50"/>
        <w:spacing w:line="360" w:lineRule="auto"/>
        <w:ind w:firstLine="480" w:firstLineChars="200"/>
        <w:rPr>
          <w:rFonts w:hint="eastAsia" w:ascii="宋体" w:hAnsi="宋体" w:eastAsia="宋体" w:cs="宋体"/>
          <w:sz w:val="24"/>
          <w:szCs w:val="24"/>
        </w:rPr>
      </w:pPr>
      <w:r>
        <w:rPr>
          <w:rFonts w:ascii="宋体" w:hAnsi="宋体" w:eastAsia="宋体" w:cs="宋体"/>
          <w:sz w:val="24"/>
          <w:szCs w:val="24"/>
        </w:rPr>
        <w:t>16.4如有下列情况之一的，</w:t>
      </w:r>
      <w:r>
        <w:rPr>
          <w:rFonts w:hint="eastAsia" w:ascii="宋体" w:hAnsi="宋体" w:eastAsia="宋体" w:cs="宋体"/>
          <w:sz w:val="24"/>
          <w:szCs w:val="24"/>
          <w:u w:val="single"/>
        </w:rPr>
        <w:t>招标人将不予退还投标保证金</w:t>
      </w:r>
      <w:r>
        <w:rPr>
          <w:rFonts w:hint="eastAsia" w:ascii="宋体" w:hAnsi="宋体" w:eastAsia="宋体" w:cs="宋体"/>
          <w:sz w:val="24"/>
          <w:szCs w:val="24"/>
        </w:rPr>
        <w:t>：</w:t>
      </w:r>
    </w:p>
    <w:p w14:paraId="0001DDCD">
      <w:pPr>
        <w:pStyle w:val="50"/>
        <w:spacing w:line="360" w:lineRule="auto"/>
        <w:ind w:firstLine="480" w:firstLineChars="200"/>
        <w:rPr>
          <w:rFonts w:hint="eastAsia" w:ascii="宋体" w:hAnsi="宋体" w:eastAsia="宋体" w:cs="宋体"/>
          <w:sz w:val="24"/>
          <w:szCs w:val="24"/>
        </w:rPr>
      </w:pPr>
      <w:r>
        <w:rPr>
          <w:rFonts w:ascii="宋体" w:hAnsi="宋体" w:eastAsia="宋体" w:cs="宋体"/>
          <w:sz w:val="24"/>
          <w:szCs w:val="24"/>
        </w:rPr>
        <w:t>16.4.1因投标人原因造成投标文件未解密的；</w:t>
      </w:r>
    </w:p>
    <w:p w14:paraId="62A6BBD7">
      <w:pPr>
        <w:pStyle w:val="50"/>
        <w:spacing w:line="360" w:lineRule="auto"/>
        <w:ind w:firstLine="480" w:firstLineChars="200"/>
        <w:rPr>
          <w:rFonts w:hint="eastAsia" w:ascii="宋体" w:hAnsi="宋体" w:eastAsia="宋体" w:cs="宋体"/>
          <w:sz w:val="24"/>
          <w:szCs w:val="24"/>
        </w:rPr>
      </w:pPr>
      <w:r>
        <w:rPr>
          <w:rFonts w:ascii="宋体" w:hAnsi="宋体" w:eastAsia="宋体" w:cs="宋体"/>
          <w:sz w:val="24"/>
          <w:szCs w:val="24"/>
        </w:rPr>
        <w:t>16.4.2投标人在投标有效期内撤销投标文件；</w:t>
      </w:r>
    </w:p>
    <w:p w14:paraId="3181140E">
      <w:pPr>
        <w:pStyle w:val="50"/>
        <w:spacing w:line="360" w:lineRule="auto"/>
        <w:ind w:firstLine="480" w:firstLineChars="200"/>
        <w:rPr>
          <w:rFonts w:hint="eastAsia" w:ascii="宋体" w:hAnsi="宋体" w:eastAsia="宋体" w:cs="宋体"/>
          <w:sz w:val="24"/>
          <w:szCs w:val="24"/>
        </w:rPr>
      </w:pPr>
      <w:r>
        <w:rPr>
          <w:rFonts w:ascii="宋体" w:hAnsi="宋体" w:eastAsia="宋体" w:cs="宋体"/>
          <w:sz w:val="24"/>
          <w:szCs w:val="24"/>
        </w:rPr>
        <w:t>16.4.3中标人未能在规定期限内按要求提交履约担保；</w:t>
      </w:r>
    </w:p>
    <w:p w14:paraId="3FEB2278">
      <w:pPr>
        <w:pStyle w:val="50"/>
        <w:spacing w:line="360" w:lineRule="auto"/>
        <w:ind w:firstLine="480" w:firstLineChars="200"/>
        <w:rPr>
          <w:rFonts w:hint="eastAsia" w:ascii="宋体" w:hAnsi="宋体" w:eastAsia="宋体" w:cs="宋体"/>
          <w:sz w:val="24"/>
          <w:szCs w:val="24"/>
        </w:rPr>
      </w:pPr>
      <w:r>
        <w:rPr>
          <w:rFonts w:ascii="宋体" w:hAnsi="宋体" w:eastAsia="宋体" w:cs="宋体"/>
          <w:sz w:val="24"/>
          <w:szCs w:val="24"/>
        </w:rPr>
        <w:t>16.4.4中标人未能在规定期限内签署合同协议。</w:t>
      </w:r>
    </w:p>
    <w:p w14:paraId="3A963713">
      <w:pPr>
        <w:pStyle w:val="50"/>
        <w:spacing w:line="360" w:lineRule="auto"/>
        <w:ind w:firstLine="480" w:firstLineChars="200"/>
        <w:rPr>
          <w:rFonts w:hint="eastAsia" w:ascii="宋体" w:hAnsi="宋体" w:eastAsia="宋体" w:cs="宋体"/>
          <w:sz w:val="24"/>
          <w:szCs w:val="24"/>
        </w:rPr>
      </w:pPr>
      <w:r>
        <w:rPr>
          <w:rFonts w:ascii="宋体" w:hAnsi="宋体" w:eastAsia="宋体" w:cs="宋体"/>
          <w:sz w:val="24"/>
          <w:szCs w:val="24"/>
        </w:rPr>
        <w:t>16.5投标人如存在下列情况之一的，将被拒绝在</w:t>
      </w:r>
      <w:r>
        <w:rPr>
          <w:rFonts w:hint="eastAsia" w:ascii="宋体" w:hAnsi="宋体" w:eastAsia="宋体" w:cs="宋体"/>
          <w:sz w:val="24"/>
          <w:szCs w:val="24"/>
          <w:u w:val="single"/>
        </w:rPr>
        <w:t>一年内</w:t>
      </w:r>
      <w:r>
        <w:rPr>
          <w:rFonts w:hint="eastAsia" w:ascii="宋体" w:hAnsi="宋体" w:eastAsia="宋体" w:cs="宋体"/>
          <w:sz w:val="24"/>
          <w:szCs w:val="24"/>
        </w:rPr>
        <w:t>参与招标人后续工程投标：</w:t>
      </w:r>
    </w:p>
    <w:p w14:paraId="2FCBB9CE">
      <w:pPr>
        <w:pStyle w:val="50"/>
        <w:spacing w:line="360" w:lineRule="auto"/>
        <w:ind w:firstLine="480" w:firstLineChars="200"/>
        <w:rPr>
          <w:rFonts w:hint="eastAsia" w:ascii="宋体" w:hAnsi="宋体" w:eastAsia="宋体" w:cs="宋体"/>
          <w:sz w:val="24"/>
          <w:szCs w:val="24"/>
        </w:rPr>
      </w:pPr>
      <w:r>
        <w:rPr>
          <w:rFonts w:ascii="宋体" w:hAnsi="宋体" w:eastAsia="宋体" w:cs="宋体"/>
          <w:sz w:val="24"/>
          <w:szCs w:val="24"/>
        </w:rPr>
        <w:t>16.5.1投标人存在16.4条款所列情形且投标人提交的保函、担保或保证保险无法兑付的；</w:t>
      </w:r>
    </w:p>
    <w:p w14:paraId="35A3EEE0">
      <w:pPr>
        <w:pStyle w:val="50"/>
        <w:spacing w:line="360" w:lineRule="auto"/>
        <w:ind w:firstLine="480" w:firstLineChars="200"/>
        <w:rPr>
          <w:rFonts w:hint="eastAsia" w:ascii="宋体" w:hAnsi="宋体" w:eastAsia="宋体" w:cs="宋体"/>
          <w:sz w:val="24"/>
          <w:szCs w:val="24"/>
        </w:rPr>
      </w:pPr>
      <w:r>
        <w:rPr>
          <w:rFonts w:ascii="宋体" w:hAnsi="宋体" w:eastAsia="宋体" w:cs="宋体"/>
          <w:sz w:val="24"/>
          <w:szCs w:val="24"/>
        </w:rPr>
        <w:t>16.5.2采用非电子形式提交投标保证金的投标人存在16.4条款所列情形，且未按招标人要求补交银行保函、专业工程担保公司担保或保证保险原件的；</w:t>
      </w:r>
    </w:p>
    <w:p w14:paraId="6D0FD573">
      <w:pPr>
        <w:pStyle w:val="50"/>
        <w:spacing w:line="360" w:lineRule="auto"/>
        <w:ind w:firstLine="480" w:firstLineChars="200"/>
        <w:rPr>
          <w:rFonts w:hint="eastAsia" w:ascii="宋体" w:hAnsi="宋体" w:eastAsia="宋体" w:cs="Times New Roman"/>
          <w:sz w:val="24"/>
          <w:szCs w:val="24"/>
        </w:rPr>
      </w:pPr>
      <w:r>
        <w:rPr>
          <w:rFonts w:ascii="宋体" w:hAnsi="宋体" w:eastAsia="宋体" w:cs="宋体"/>
          <w:sz w:val="24"/>
          <w:szCs w:val="24"/>
        </w:rPr>
        <w:t>16.5.3按招标文件要求免于提供投标保证金的投标人存在16.4条款所列情形，且未按招标人要求补交投</w:t>
      </w:r>
      <w:r>
        <w:rPr>
          <w:rFonts w:hint="eastAsia" w:ascii="宋体" w:hAnsi="宋体" w:eastAsia="宋体" w:cs="Times New Roman"/>
          <w:sz w:val="24"/>
          <w:szCs w:val="24"/>
        </w:rPr>
        <w:t>标保证金的；</w:t>
      </w:r>
    </w:p>
    <w:p w14:paraId="137C80F6">
      <w:pPr>
        <w:pStyle w:val="50"/>
        <w:spacing w:after="0" w:line="360" w:lineRule="auto"/>
        <w:ind w:firstLine="480" w:firstLineChars="200"/>
        <w:rPr>
          <w:rFonts w:hint="eastAsia" w:ascii="宋体" w:hAnsi="宋体" w:eastAsia="宋体"/>
          <w:b/>
          <w:bCs/>
          <w:sz w:val="24"/>
          <w:szCs w:val="24"/>
        </w:rPr>
      </w:pPr>
      <w:r>
        <w:rPr>
          <w:rFonts w:ascii="宋体" w:hAnsi="宋体" w:eastAsia="宋体"/>
          <w:b/>
          <w:bCs/>
          <w:sz w:val="24"/>
          <w:szCs w:val="24"/>
        </w:rPr>
        <w:t>17</w:t>
      </w:r>
      <w:r>
        <w:rPr>
          <w:rFonts w:hint="eastAsia" w:ascii="宋体" w:hAnsi="宋体" w:eastAsia="宋体"/>
          <w:b/>
          <w:bCs/>
          <w:sz w:val="24"/>
          <w:szCs w:val="24"/>
        </w:rPr>
        <w:t>．投标文件的签署</w:t>
      </w:r>
    </w:p>
    <w:p w14:paraId="2A6C0B4D">
      <w:pPr>
        <w:spacing w:line="360" w:lineRule="auto"/>
        <w:ind w:firstLine="480" w:firstLineChars="200"/>
        <w:rPr>
          <w:rFonts w:hint="eastAsia" w:ascii="宋体" w:hAnsi="宋体"/>
          <w:sz w:val="24"/>
          <w:szCs w:val="24"/>
        </w:rPr>
      </w:pPr>
      <w:r>
        <w:rPr>
          <w:rFonts w:ascii="宋体" w:hAnsi="宋体"/>
          <w:sz w:val="24"/>
          <w:szCs w:val="24"/>
        </w:rPr>
        <w:t>17.1投标人应采用单位数字证书，按招标文件要求在相应位置加盖电子印章。投标文件中需个人签字或盖章的，</w:t>
      </w:r>
      <w:r>
        <w:rPr>
          <w:rFonts w:hint="eastAsia" w:ascii="宋体" w:hAnsi="宋体"/>
          <w:b/>
          <w:bCs/>
          <w:sz w:val="24"/>
          <w:szCs w:val="24"/>
          <w:u w:val="single"/>
        </w:rPr>
        <w:t>应加盖个人电子印章或在线下完成后扫描上传（由广州投标文件管理软件系统生成的“工程量清单主表--工程量清单报价表”封面页和扉页可以仅采用单位数字证书加盖电子印章处理）</w:t>
      </w:r>
      <w:r>
        <w:rPr>
          <w:rFonts w:hint="eastAsia" w:ascii="宋体" w:hAnsi="宋体"/>
          <w:sz w:val="24"/>
          <w:szCs w:val="24"/>
        </w:rPr>
        <w:t>。按照交易平台关于全流程电子化项目的相关指南进行操作。详见：</w:t>
      </w:r>
      <w:r>
        <w:rPr>
          <w:rFonts w:hint="eastAsia" w:ascii="宋体" w:hAnsi="宋体"/>
          <w:sz w:val="24"/>
          <w:szCs w:val="24"/>
          <w:u w:val="single"/>
        </w:rPr>
        <w:t>广州交易集团有限公司（广州公共资源交易中心）</w:t>
      </w:r>
      <w:r>
        <w:rPr>
          <w:rFonts w:hint="eastAsia" w:ascii="宋体" w:hAnsi="宋体" w:cs="宋体"/>
          <w:sz w:val="24"/>
          <w:szCs w:val="24"/>
          <w:u w:val="single"/>
        </w:rPr>
        <w:t>网站最新指引</w:t>
      </w:r>
      <w:r>
        <w:rPr>
          <w:rFonts w:hint="eastAsia" w:ascii="宋体" w:hAnsi="宋体"/>
          <w:sz w:val="24"/>
          <w:szCs w:val="24"/>
          <w:u w:val="single"/>
        </w:rPr>
        <w:t>。</w:t>
      </w:r>
    </w:p>
    <w:p w14:paraId="0DFA49B7">
      <w:pPr>
        <w:pStyle w:val="5"/>
        <w:spacing w:before="156" w:after="156"/>
        <w:rPr>
          <w:rFonts w:hint="eastAsia"/>
          <w:sz w:val="24"/>
          <w:szCs w:val="24"/>
        </w:rPr>
      </w:pPr>
      <w:bookmarkStart w:id="47" w:name="_Toc18074"/>
      <w:bookmarkStart w:id="48" w:name="_Toc17412"/>
      <w:bookmarkStart w:id="49" w:name="_Toc16557"/>
      <w:bookmarkStart w:id="50" w:name="_Toc7919"/>
      <w:bookmarkStart w:id="51" w:name="_Toc16004"/>
      <w:bookmarkStart w:id="52" w:name="_Toc7559"/>
      <w:r>
        <w:rPr>
          <w:rFonts w:hint="eastAsia"/>
          <w:sz w:val="24"/>
          <w:szCs w:val="24"/>
        </w:rPr>
        <w:t>（四）投标文件的提交</w:t>
      </w:r>
      <w:bookmarkEnd w:id="47"/>
      <w:bookmarkEnd w:id="48"/>
      <w:bookmarkEnd w:id="49"/>
      <w:bookmarkEnd w:id="50"/>
      <w:bookmarkEnd w:id="51"/>
      <w:bookmarkEnd w:id="52"/>
    </w:p>
    <w:p w14:paraId="55EAA28F">
      <w:pPr>
        <w:pStyle w:val="50"/>
        <w:spacing w:after="0" w:line="360" w:lineRule="auto"/>
        <w:ind w:firstLine="480" w:firstLineChars="200"/>
        <w:rPr>
          <w:rFonts w:hint="eastAsia" w:ascii="宋体" w:hAnsi="宋体" w:eastAsia="宋体"/>
          <w:b/>
          <w:bCs/>
          <w:sz w:val="24"/>
          <w:szCs w:val="24"/>
        </w:rPr>
      </w:pPr>
      <w:r>
        <w:rPr>
          <w:rFonts w:ascii="宋体" w:hAnsi="宋体" w:eastAsia="宋体"/>
          <w:b/>
          <w:bCs/>
          <w:sz w:val="24"/>
          <w:szCs w:val="24"/>
        </w:rPr>
        <w:t>18</w:t>
      </w:r>
      <w:r>
        <w:rPr>
          <w:rFonts w:hint="eastAsia" w:ascii="宋体" w:hAnsi="宋体" w:eastAsia="宋体"/>
          <w:b/>
          <w:bCs/>
          <w:sz w:val="24"/>
          <w:szCs w:val="24"/>
        </w:rPr>
        <w:t>．</w:t>
      </w:r>
      <w:r>
        <w:rPr>
          <w:rFonts w:hint="eastAsia" w:ascii="宋体" w:hAnsi="宋体" w:eastAsia="宋体"/>
          <w:b/>
          <w:sz w:val="24"/>
          <w:szCs w:val="24"/>
        </w:rPr>
        <w:t>投标文件的密封和标记</w:t>
      </w:r>
    </w:p>
    <w:p w14:paraId="256B20D1">
      <w:pPr>
        <w:spacing w:line="360" w:lineRule="auto"/>
        <w:ind w:firstLine="480" w:firstLineChars="200"/>
        <w:rPr>
          <w:rFonts w:ascii="宋体"/>
          <w:bCs/>
          <w:sz w:val="24"/>
          <w:szCs w:val="24"/>
        </w:rPr>
      </w:pPr>
      <w:r>
        <w:rPr>
          <w:rFonts w:ascii="宋体" w:hAnsi="宋体"/>
          <w:bCs/>
          <w:sz w:val="24"/>
          <w:szCs w:val="24"/>
        </w:rPr>
        <w:t>1</w:t>
      </w:r>
      <w:r>
        <w:rPr>
          <w:rFonts w:hint="eastAsia" w:ascii="宋体" w:hAnsi="宋体"/>
          <w:bCs/>
          <w:sz w:val="24"/>
          <w:szCs w:val="24"/>
        </w:rPr>
        <w:t>8</w:t>
      </w:r>
      <w:r>
        <w:rPr>
          <w:rFonts w:ascii="宋体" w:hAnsi="宋体"/>
          <w:bCs/>
          <w:sz w:val="24"/>
          <w:szCs w:val="24"/>
        </w:rPr>
        <w:t>.1</w:t>
      </w:r>
      <w:r>
        <w:rPr>
          <w:rFonts w:hint="eastAsia" w:ascii="宋体" w:hAnsi="宋体"/>
          <w:bCs/>
          <w:sz w:val="24"/>
          <w:szCs w:val="24"/>
        </w:rPr>
        <w:t>递交的电子投标文件（不含备用光盘）必须进行加密。按照交易平台关于</w:t>
      </w:r>
      <w:r>
        <w:rPr>
          <w:rFonts w:hint="eastAsia"/>
          <w:sz w:val="24"/>
          <w:szCs w:val="24"/>
        </w:rPr>
        <w:t>全流程电子化项目的相关指南进行操作。详见：</w:t>
      </w:r>
      <w:r>
        <w:rPr>
          <w:rFonts w:hint="eastAsia" w:ascii="宋体" w:hAnsi="宋体"/>
          <w:sz w:val="24"/>
          <w:szCs w:val="24"/>
          <w:u w:val="single"/>
        </w:rPr>
        <w:t>广州交易集团有限公司（广州公共资源交易中心）</w:t>
      </w:r>
      <w:r>
        <w:rPr>
          <w:rFonts w:hint="eastAsia" w:ascii="宋体" w:hAnsi="宋体" w:cs="宋体"/>
          <w:sz w:val="24"/>
          <w:szCs w:val="24"/>
          <w:u w:val="single"/>
        </w:rPr>
        <w:t>网站最新指引</w:t>
      </w:r>
      <w:r>
        <w:rPr>
          <w:rFonts w:hint="eastAsia"/>
          <w:sz w:val="24"/>
          <w:szCs w:val="24"/>
        </w:rPr>
        <w:t>。</w:t>
      </w:r>
    </w:p>
    <w:p w14:paraId="19D6B5BD">
      <w:pPr>
        <w:spacing w:line="360" w:lineRule="auto"/>
        <w:ind w:firstLine="480" w:firstLineChars="200"/>
        <w:rPr>
          <w:rFonts w:ascii="宋体"/>
          <w:bCs/>
          <w:sz w:val="24"/>
          <w:szCs w:val="24"/>
        </w:rPr>
      </w:pPr>
      <w:r>
        <w:rPr>
          <w:rFonts w:ascii="宋体" w:hAnsi="宋体"/>
          <w:bCs/>
          <w:sz w:val="24"/>
          <w:szCs w:val="24"/>
        </w:rPr>
        <w:t>1</w:t>
      </w:r>
      <w:r>
        <w:rPr>
          <w:rFonts w:hint="eastAsia" w:ascii="宋体" w:hAnsi="宋体"/>
          <w:bCs/>
          <w:sz w:val="24"/>
          <w:szCs w:val="24"/>
        </w:rPr>
        <w:t>8</w:t>
      </w:r>
      <w:r>
        <w:rPr>
          <w:rFonts w:ascii="宋体" w:hAnsi="宋体"/>
          <w:bCs/>
          <w:sz w:val="24"/>
          <w:szCs w:val="24"/>
        </w:rPr>
        <w:t>.2</w:t>
      </w:r>
      <w:r>
        <w:rPr>
          <w:rFonts w:ascii="宋体"/>
          <w:bCs/>
          <w:sz w:val="24"/>
          <w:szCs w:val="24"/>
        </w:rPr>
        <w:t xml:space="preserve"> </w:t>
      </w:r>
      <w:r>
        <w:rPr>
          <w:rFonts w:hint="eastAsia" w:ascii="宋体"/>
          <w:bCs/>
          <w:sz w:val="24"/>
          <w:szCs w:val="24"/>
        </w:rPr>
        <w:t>未按要求加密的投标文件，</w:t>
      </w:r>
      <w:r>
        <w:rPr>
          <w:rFonts w:hint="eastAsia" w:ascii="宋体" w:hAnsi="宋体"/>
          <w:sz w:val="24"/>
          <w:szCs w:val="24"/>
          <w:u w:val="single"/>
        </w:rPr>
        <w:t>广州交易集团有限公司（广州公共资源交易中心）</w:t>
      </w:r>
      <w:r>
        <w:rPr>
          <w:rFonts w:hint="eastAsia" w:ascii="宋体" w:hAnsi="宋体"/>
          <w:sz w:val="24"/>
          <w:szCs w:val="24"/>
        </w:rPr>
        <w:t>交易平台</w:t>
      </w:r>
      <w:r>
        <w:rPr>
          <w:rFonts w:hint="eastAsia" w:ascii="宋体"/>
          <w:bCs/>
          <w:sz w:val="24"/>
          <w:szCs w:val="24"/>
        </w:rPr>
        <w:t>将予以拒收。</w:t>
      </w:r>
    </w:p>
    <w:p w14:paraId="5D06D5E5">
      <w:pPr>
        <w:spacing w:line="360" w:lineRule="auto"/>
        <w:ind w:firstLine="480" w:firstLineChars="200"/>
        <w:rPr>
          <w:rFonts w:ascii="宋体"/>
          <w:b/>
          <w:bCs/>
          <w:sz w:val="24"/>
          <w:szCs w:val="24"/>
        </w:rPr>
      </w:pPr>
      <w:r>
        <w:rPr>
          <w:rFonts w:ascii="宋体" w:hAnsi="宋体"/>
          <w:b/>
          <w:bCs/>
          <w:sz w:val="24"/>
          <w:szCs w:val="24"/>
        </w:rPr>
        <w:t>19</w:t>
      </w:r>
      <w:r>
        <w:rPr>
          <w:rFonts w:hint="eastAsia" w:ascii="宋体" w:hAnsi="宋体"/>
          <w:b/>
          <w:bCs/>
          <w:sz w:val="24"/>
          <w:szCs w:val="24"/>
        </w:rPr>
        <w:t>．投标文件的递交和接收</w:t>
      </w:r>
    </w:p>
    <w:p w14:paraId="6A48A1E8">
      <w:pPr>
        <w:spacing w:line="360" w:lineRule="auto"/>
        <w:ind w:firstLine="480" w:firstLineChars="200"/>
        <w:rPr>
          <w:rFonts w:ascii="宋体"/>
          <w:bCs/>
          <w:sz w:val="24"/>
          <w:szCs w:val="24"/>
        </w:rPr>
      </w:pPr>
      <w:r>
        <w:rPr>
          <w:rFonts w:ascii="宋体" w:hAnsi="宋体"/>
          <w:bCs/>
          <w:sz w:val="24"/>
          <w:szCs w:val="24"/>
        </w:rPr>
        <w:t>1</w:t>
      </w:r>
      <w:r>
        <w:rPr>
          <w:rFonts w:hint="eastAsia" w:ascii="宋体" w:hAnsi="宋体"/>
          <w:bCs/>
          <w:sz w:val="24"/>
          <w:szCs w:val="24"/>
        </w:rPr>
        <w:t>9</w:t>
      </w:r>
      <w:r>
        <w:rPr>
          <w:rFonts w:ascii="宋体" w:hAnsi="宋体"/>
          <w:bCs/>
          <w:sz w:val="24"/>
          <w:szCs w:val="24"/>
        </w:rPr>
        <w:t>.</w:t>
      </w:r>
      <w:r>
        <w:rPr>
          <w:rFonts w:hint="eastAsia" w:ascii="宋体" w:hAnsi="宋体"/>
          <w:bCs/>
          <w:sz w:val="24"/>
          <w:szCs w:val="24"/>
        </w:rPr>
        <w:t>1投标人通过</w:t>
      </w:r>
      <w:r>
        <w:rPr>
          <w:rFonts w:hint="eastAsia" w:ascii="宋体" w:hAnsi="宋体"/>
          <w:sz w:val="24"/>
          <w:szCs w:val="24"/>
          <w:u w:val="single"/>
        </w:rPr>
        <w:t>广州交易集团有限公司（广州公共资源交易中心）</w:t>
      </w:r>
      <w:r>
        <w:rPr>
          <w:rFonts w:hint="eastAsia" w:ascii="宋体" w:hAnsi="宋体"/>
          <w:sz w:val="24"/>
          <w:szCs w:val="24"/>
        </w:rPr>
        <w:t>交易平台递交电子投标文件。</w:t>
      </w:r>
    </w:p>
    <w:p w14:paraId="7F783AD0">
      <w:pPr>
        <w:spacing w:line="360" w:lineRule="auto"/>
        <w:ind w:firstLine="480" w:firstLineChars="200"/>
        <w:rPr>
          <w:rFonts w:ascii="宋体"/>
          <w:bCs/>
          <w:sz w:val="24"/>
          <w:szCs w:val="24"/>
        </w:rPr>
      </w:pPr>
      <w:r>
        <w:rPr>
          <w:rFonts w:ascii="宋体" w:hAnsi="宋体"/>
          <w:bCs/>
          <w:sz w:val="24"/>
          <w:szCs w:val="24"/>
        </w:rPr>
        <w:t>1</w:t>
      </w:r>
      <w:r>
        <w:rPr>
          <w:rFonts w:hint="eastAsia" w:ascii="宋体" w:hAnsi="宋体"/>
          <w:bCs/>
          <w:sz w:val="24"/>
          <w:szCs w:val="24"/>
        </w:rPr>
        <w:t>9</w:t>
      </w:r>
      <w:r>
        <w:rPr>
          <w:rFonts w:ascii="宋体" w:hAnsi="宋体"/>
          <w:bCs/>
          <w:sz w:val="24"/>
          <w:szCs w:val="24"/>
        </w:rPr>
        <w:t>.</w:t>
      </w:r>
      <w:r>
        <w:rPr>
          <w:rFonts w:hint="eastAsia" w:ascii="宋体" w:hAnsi="宋体"/>
          <w:bCs/>
          <w:sz w:val="24"/>
          <w:szCs w:val="24"/>
        </w:rPr>
        <w:t>2投标人完成电子</w:t>
      </w:r>
      <w:r>
        <w:rPr>
          <w:rFonts w:hint="eastAsia" w:ascii="宋体" w:hAnsi="宋体"/>
          <w:sz w:val="24"/>
          <w:szCs w:val="24"/>
        </w:rPr>
        <w:t>投标文件</w:t>
      </w:r>
      <w:r>
        <w:rPr>
          <w:rFonts w:hint="eastAsia" w:ascii="宋体" w:hAnsi="宋体"/>
          <w:bCs/>
          <w:sz w:val="24"/>
          <w:szCs w:val="24"/>
        </w:rPr>
        <w:t>上传后，</w:t>
      </w:r>
      <w:r>
        <w:rPr>
          <w:rFonts w:hint="eastAsia" w:ascii="宋体" w:hAnsi="宋体"/>
          <w:sz w:val="24"/>
          <w:szCs w:val="24"/>
          <w:u w:val="single"/>
        </w:rPr>
        <w:t>广州交易集团有限公司（广州公共资源交易中心）</w:t>
      </w:r>
      <w:r>
        <w:rPr>
          <w:rFonts w:hint="eastAsia" w:ascii="宋体" w:hAnsi="宋体"/>
          <w:sz w:val="24"/>
          <w:szCs w:val="24"/>
        </w:rPr>
        <w:t>交易平台即时向投标人发出递交回执通知。递交时间以递交回执通知载明的传输完成时间为准。</w:t>
      </w:r>
    </w:p>
    <w:p w14:paraId="42752F3B">
      <w:pPr>
        <w:spacing w:line="360" w:lineRule="auto"/>
        <w:ind w:firstLine="480" w:firstLineChars="200"/>
        <w:rPr>
          <w:rFonts w:hint="eastAsia" w:ascii="宋体" w:hAnsi="宋体"/>
          <w:sz w:val="24"/>
          <w:szCs w:val="24"/>
        </w:rPr>
      </w:pPr>
      <w:r>
        <w:rPr>
          <w:rFonts w:ascii="宋体" w:hAnsi="宋体"/>
          <w:bCs/>
          <w:sz w:val="24"/>
          <w:szCs w:val="24"/>
        </w:rPr>
        <w:t>1</w:t>
      </w:r>
      <w:r>
        <w:rPr>
          <w:rFonts w:hint="eastAsia" w:ascii="宋体" w:hAnsi="宋体"/>
          <w:bCs/>
          <w:sz w:val="24"/>
          <w:szCs w:val="24"/>
        </w:rPr>
        <w:t>9</w:t>
      </w:r>
      <w:r>
        <w:rPr>
          <w:rFonts w:ascii="宋体" w:hAnsi="宋体"/>
          <w:bCs/>
          <w:sz w:val="24"/>
          <w:szCs w:val="24"/>
        </w:rPr>
        <w:t>.</w:t>
      </w:r>
      <w:r>
        <w:rPr>
          <w:rFonts w:hint="eastAsia" w:ascii="宋体" w:hAnsi="宋体"/>
          <w:bCs/>
          <w:sz w:val="24"/>
          <w:szCs w:val="24"/>
        </w:rPr>
        <w:t>3</w:t>
      </w:r>
      <w:r>
        <w:rPr>
          <w:rFonts w:hint="eastAsia"/>
          <w:bCs/>
          <w:sz w:val="24"/>
          <w:szCs w:val="24"/>
        </w:rPr>
        <w:t>逾期送达的</w:t>
      </w:r>
      <w:r>
        <w:rPr>
          <w:rFonts w:hint="eastAsia" w:ascii="宋体" w:hAnsi="宋体"/>
          <w:bCs/>
          <w:sz w:val="24"/>
          <w:szCs w:val="24"/>
        </w:rPr>
        <w:t>电子投标文件，</w:t>
      </w:r>
      <w:r>
        <w:rPr>
          <w:rFonts w:hint="eastAsia" w:ascii="宋体" w:hAnsi="宋体"/>
          <w:sz w:val="24"/>
          <w:szCs w:val="24"/>
          <w:u w:val="single"/>
        </w:rPr>
        <w:t>广州交易集团有限公司（广州公共资源交易中心）</w:t>
      </w:r>
      <w:r>
        <w:rPr>
          <w:rFonts w:hint="eastAsia" w:ascii="宋体" w:hAnsi="宋体"/>
          <w:sz w:val="24"/>
          <w:szCs w:val="24"/>
        </w:rPr>
        <w:t>交易平台将予以拒收。</w:t>
      </w:r>
    </w:p>
    <w:p w14:paraId="24A1B30B">
      <w:pPr>
        <w:spacing w:line="360" w:lineRule="auto"/>
        <w:ind w:firstLine="480" w:firstLineChars="200"/>
        <w:rPr>
          <w:rFonts w:ascii="宋体"/>
          <w:sz w:val="24"/>
          <w:szCs w:val="24"/>
        </w:rPr>
      </w:pPr>
      <w:r>
        <w:rPr>
          <w:rFonts w:ascii="宋体" w:hAnsi="宋体"/>
          <w:sz w:val="24"/>
          <w:szCs w:val="24"/>
        </w:rPr>
        <w:t>19.</w:t>
      </w:r>
      <w:r>
        <w:rPr>
          <w:rFonts w:hint="eastAsia" w:ascii="宋体" w:hAnsi="宋体"/>
          <w:sz w:val="24"/>
          <w:szCs w:val="24"/>
        </w:rPr>
        <w:t>4</w:t>
      </w:r>
      <w:r>
        <w:rPr>
          <w:rFonts w:ascii="宋体" w:hAnsi="宋体"/>
          <w:sz w:val="24"/>
          <w:szCs w:val="24"/>
        </w:rPr>
        <w:t xml:space="preserve"> </w:t>
      </w:r>
      <w:r>
        <w:rPr>
          <w:rFonts w:hint="eastAsia" w:ascii="宋体" w:hAnsi="宋体"/>
          <w:sz w:val="24"/>
          <w:szCs w:val="24"/>
        </w:rPr>
        <w:t>投标截止前，</w:t>
      </w:r>
      <w:r>
        <w:rPr>
          <w:rFonts w:hint="eastAsia"/>
          <w:sz w:val="24"/>
          <w:szCs w:val="24"/>
        </w:rPr>
        <w:t>招标人拒绝接收符合条件的投标文件，投标人可向招标投标监督机构投诉。</w:t>
      </w:r>
    </w:p>
    <w:p w14:paraId="6A5E60D8">
      <w:pPr>
        <w:spacing w:line="360" w:lineRule="auto"/>
        <w:ind w:firstLine="480" w:firstLineChars="200"/>
        <w:rPr>
          <w:rFonts w:ascii="宋体"/>
          <w:b/>
          <w:bCs/>
          <w:sz w:val="24"/>
          <w:szCs w:val="24"/>
        </w:rPr>
      </w:pPr>
      <w:r>
        <w:rPr>
          <w:rFonts w:ascii="宋体" w:hAnsi="宋体"/>
          <w:b/>
          <w:bCs/>
          <w:sz w:val="24"/>
          <w:szCs w:val="24"/>
        </w:rPr>
        <w:t>20</w:t>
      </w:r>
      <w:r>
        <w:rPr>
          <w:rFonts w:hint="eastAsia" w:ascii="宋体" w:hAnsi="宋体"/>
          <w:b/>
          <w:bCs/>
          <w:sz w:val="24"/>
          <w:szCs w:val="24"/>
        </w:rPr>
        <w:t>．投标文件提交的截止时间</w:t>
      </w:r>
    </w:p>
    <w:p w14:paraId="41B632FC">
      <w:pPr>
        <w:spacing w:line="360" w:lineRule="auto"/>
        <w:ind w:firstLine="480" w:firstLineChars="200"/>
        <w:rPr>
          <w:rFonts w:ascii="宋体"/>
          <w:b/>
          <w:bCs/>
          <w:sz w:val="24"/>
          <w:szCs w:val="24"/>
        </w:rPr>
      </w:pPr>
      <w:r>
        <w:rPr>
          <w:rFonts w:ascii="宋体" w:hAnsi="宋体"/>
          <w:sz w:val="24"/>
          <w:szCs w:val="24"/>
        </w:rPr>
        <w:t>20.1</w:t>
      </w:r>
      <w:r>
        <w:rPr>
          <w:rFonts w:hint="eastAsia" w:ascii="宋体" w:hAnsi="宋体"/>
          <w:sz w:val="24"/>
          <w:szCs w:val="24"/>
        </w:rPr>
        <w:t>投标人应在投标须知前附表第17项所述的时间前提交投标文件。</w:t>
      </w:r>
    </w:p>
    <w:p w14:paraId="05CEB256">
      <w:pPr>
        <w:spacing w:line="360" w:lineRule="auto"/>
        <w:ind w:firstLine="480" w:firstLineChars="200"/>
        <w:rPr>
          <w:rFonts w:ascii="宋体"/>
          <w:sz w:val="24"/>
          <w:szCs w:val="24"/>
        </w:rPr>
      </w:pPr>
      <w:r>
        <w:rPr>
          <w:rFonts w:ascii="宋体" w:hAnsi="宋体"/>
          <w:sz w:val="24"/>
          <w:szCs w:val="24"/>
        </w:rPr>
        <w:t>20.2</w:t>
      </w:r>
      <w:r>
        <w:rPr>
          <w:rFonts w:hint="eastAsia" w:ascii="宋体" w:hAnsi="宋体"/>
          <w:sz w:val="24"/>
          <w:szCs w:val="24"/>
        </w:rPr>
        <w:t>招标人可按本须知第</w:t>
      </w:r>
      <w:r>
        <w:rPr>
          <w:rFonts w:ascii="宋体" w:hAnsi="宋体"/>
          <w:sz w:val="24"/>
          <w:szCs w:val="24"/>
        </w:rPr>
        <w:t>9</w:t>
      </w:r>
      <w:r>
        <w:rPr>
          <w:rFonts w:hint="eastAsia" w:ascii="宋体" w:hAnsi="宋体"/>
          <w:sz w:val="24"/>
          <w:szCs w:val="24"/>
        </w:rPr>
        <w:t>条规定以招标文件修改的方式，酌情延长提交投标文件的截止时间。在此情况下，投标人的所有权利和义务以及投标人受制约的截止时间，均以延长后新的投标截止时间为准。</w:t>
      </w:r>
    </w:p>
    <w:p w14:paraId="659C36FA">
      <w:pPr>
        <w:spacing w:line="360" w:lineRule="auto"/>
        <w:ind w:firstLine="480" w:firstLineChars="200"/>
        <w:rPr>
          <w:rFonts w:ascii="宋体"/>
          <w:sz w:val="24"/>
          <w:szCs w:val="24"/>
        </w:rPr>
      </w:pPr>
      <w:r>
        <w:rPr>
          <w:rFonts w:ascii="宋体" w:hAnsi="宋体"/>
          <w:sz w:val="24"/>
          <w:szCs w:val="24"/>
        </w:rPr>
        <w:t xml:space="preserve">20.3 </w:t>
      </w:r>
      <w:r>
        <w:rPr>
          <w:rFonts w:hint="eastAsia" w:ascii="宋体" w:hAnsi="宋体"/>
          <w:sz w:val="24"/>
          <w:szCs w:val="24"/>
        </w:rPr>
        <w:t>到投标截止时间止，招标人收到的投标文件少于3家的，招标人将重新组织招标（当</w:t>
      </w:r>
      <w:r>
        <w:rPr>
          <w:rFonts w:ascii="宋体" w:hAnsi="宋体"/>
          <w:sz w:val="24"/>
          <w:szCs w:val="24"/>
        </w:rPr>
        <w:t>N</w:t>
      </w:r>
      <w:r>
        <w:rPr>
          <w:rFonts w:hint="eastAsia" w:ascii="宋体" w:hAnsi="宋体"/>
          <w:sz w:val="24"/>
          <w:szCs w:val="24"/>
        </w:rPr>
        <w:t>个标段同时招标且不允许兼中时，若有效投标人不足</w:t>
      </w:r>
      <w:r>
        <w:rPr>
          <w:rFonts w:ascii="宋体" w:hAnsi="宋体"/>
          <w:sz w:val="24"/>
          <w:szCs w:val="24"/>
        </w:rPr>
        <w:t>N+</w:t>
      </w:r>
      <w:r>
        <w:rPr>
          <w:rFonts w:hint="eastAsia" w:ascii="宋体" w:hAnsi="宋体"/>
          <w:sz w:val="24"/>
          <w:szCs w:val="24"/>
        </w:rPr>
        <w:t>2家，则重新组织招标）。</w:t>
      </w:r>
    </w:p>
    <w:p w14:paraId="34F5F554">
      <w:pPr>
        <w:spacing w:line="360" w:lineRule="auto"/>
        <w:ind w:firstLine="480" w:firstLineChars="200"/>
        <w:rPr>
          <w:rFonts w:ascii="宋体"/>
          <w:b/>
          <w:bCs/>
          <w:sz w:val="24"/>
          <w:szCs w:val="24"/>
        </w:rPr>
      </w:pPr>
      <w:r>
        <w:rPr>
          <w:rFonts w:ascii="宋体" w:hAnsi="宋体"/>
          <w:b/>
          <w:bCs/>
          <w:sz w:val="24"/>
          <w:szCs w:val="24"/>
        </w:rPr>
        <w:t>21</w:t>
      </w:r>
      <w:r>
        <w:rPr>
          <w:rFonts w:hint="eastAsia" w:ascii="宋体" w:hAnsi="宋体"/>
          <w:b/>
          <w:bCs/>
          <w:sz w:val="24"/>
          <w:szCs w:val="24"/>
        </w:rPr>
        <w:t>．迟交的投标文件</w:t>
      </w:r>
    </w:p>
    <w:p w14:paraId="5AD16F8E">
      <w:pPr>
        <w:spacing w:line="360" w:lineRule="auto"/>
        <w:ind w:firstLine="480" w:firstLineChars="200"/>
        <w:rPr>
          <w:rFonts w:ascii="宋体"/>
          <w:sz w:val="24"/>
          <w:szCs w:val="24"/>
        </w:rPr>
      </w:pPr>
      <w:r>
        <w:rPr>
          <w:rFonts w:ascii="宋体" w:hAnsi="宋体"/>
          <w:sz w:val="24"/>
          <w:szCs w:val="24"/>
        </w:rPr>
        <w:t xml:space="preserve">21.1 </w:t>
      </w:r>
      <w:r>
        <w:rPr>
          <w:rFonts w:hint="eastAsia" w:ascii="宋体" w:hAnsi="宋体"/>
          <w:sz w:val="24"/>
          <w:szCs w:val="24"/>
        </w:rPr>
        <w:t>本须知前附表第</w:t>
      </w:r>
      <w:r>
        <w:rPr>
          <w:rFonts w:ascii="宋体" w:hAnsi="宋体"/>
          <w:sz w:val="24"/>
          <w:szCs w:val="24"/>
        </w:rPr>
        <w:t>1</w:t>
      </w:r>
      <w:r>
        <w:rPr>
          <w:rFonts w:hint="eastAsia" w:ascii="宋体" w:hAnsi="宋体"/>
          <w:sz w:val="24"/>
          <w:szCs w:val="24"/>
        </w:rPr>
        <w:t>7项规定的投标截止时间</w:t>
      </w:r>
      <w:r>
        <w:rPr>
          <w:rFonts w:hint="eastAsia"/>
          <w:bCs/>
          <w:sz w:val="24"/>
          <w:szCs w:val="24"/>
        </w:rPr>
        <w:t>后送达的</w:t>
      </w:r>
      <w:r>
        <w:rPr>
          <w:rFonts w:hint="eastAsia" w:ascii="宋体" w:hAnsi="宋体"/>
          <w:bCs/>
          <w:sz w:val="24"/>
          <w:szCs w:val="24"/>
        </w:rPr>
        <w:t>电子投标文件，</w:t>
      </w:r>
      <w:r>
        <w:rPr>
          <w:rFonts w:hint="eastAsia" w:ascii="宋体" w:hAnsi="宋体"/>
          <w:sz w:val="24"/>
          <w:szCs w:val="24"/>
          <w:u w:val="single"/>
        </w:rPr>
        <w:t>广州交易集团有限公司（广州公共资源交易中心）</w:t>
      </w:r>
      <w:r>
        <w:rPr>
          <w:rFonts w:hint="eastAsia" w:ascii="宋体" w:hAnsi="宋体"/>
          <w:sz w:val="24"/>
          <w:szCs w:val="24"/>
        </w:rPr>
        <w:t>交易平台将予以拒收。</w:t>
      </w:r>
    </w:p>
    <w:p w14:paraId="2FB184D6">
      <w:pPr>
        <w:spacing w:line="360" w:lineRule="auto"/>
        <w:ind w:firstLine="480" w:firstLineChars="200"/>
        <w:rPr>
          <w:rFonts w:ascii="宋体"/>
          <w:b/>
          <w:bCs/>
          <w:sz w:val="24"/>
          <w:szCs w:val="24"/>
        </w:rPr>
      </w:pPr>
      <w:r>
        <w:rPr>
          <w:rFonts w:ascii="宋体" w:hAnsi="宋体"/>
          <w:b/>
          <w:bCs/>
          <w:sz w:val="24"/>
          <w:szCs w:val="24"/>
        </w:rPr>
        <w:t>22</w:t>
      </w:r>
      <w:r>
        <w:rPr>
          <w:rFonts w:hint="eastAsia" w:ascii="宋体" w:hAnsi="宋体"/>
          <w:b/>
          <w:bCs/>
          <w:sz w:val="24"/>
          <w:szCs w:val="24"/>
        </w:rPr>
        <w:t>．投标文件的修改与撤回</w:t>
      </w:r>
    </w:p>
    <w:p w14:paraId="4841CEF2">
      <w:pPr>
        <w:spacing w:line="360" w:lineRule="auto"/>
        <w:ind w:firstLine="480" w:firstLineChars="200"/>
        <w:rPr>
          <w:rFonts w:ascii="宋体"/>
          <w:sz w:val="24"/>
          <w:szCs w:val="24"/>
        </w:rPr>
      </w:pPr>
      <w:r>
        <w:rPr>
          <w:rFonts w:ascii="宋体" w:hAnsi="宋体"/>
          <w:sz w:val="24"/>
          <w:szCs w:val="24"/>
        </w:rPr>
        <w:t>22.1</w:t>
      </w:r>
      <w:r>
        <w:rPr>
          <w:rFonts w:hint="eastAsia" w:ascii="宋体" w:hAnsi="宋体"/>
          <w:sz w:val="24"/>
          <w:szCs w:val="24"/>
        </w:rPr>
        <w:t>在规定的投标截止时间前，投标人可以修改或撤回已递交的投标文件，但应以书面形式通知招标人。</w:t>
      </w:r>
    </w:p>
    <w:p w14:paraId="1FAD0583">
      <w:pPr>
        <w:spacing w:line="360" w:lineRule="auto"/>
        <w:ind w:firstLine="480" w:firstLineChars="200"/>
        <w:rPr>
          <w:sz w:val="24"/>
          <w:szCs w:val="24"/>
        </w:rPr>
      </w:pPr>
      <w:r>
        <w:rPr>
          <w:rFonts w:ascii="宋体" w:hAnsi="宋体"/>
          <w:sz w:val="24"/>
          <w:szCs w:val="24"/>
        </w:rPr>
        <w:t>22.2</w:t>
      </w:r>
      <w:r>
        <w:rPr>
          <w:sz w:val="24"/>
          <w:szCs w:val="24"/>
        </w:rPr>
        <w:t>投标人修改或撤回已递交</w:t>
      </w:r>
      <w:r>
        <w:rPr>
          <w:rFonts w:hint="eastAsia"/>
          <w:sz w:val="24"/>
          <w:szCs w:val="24"/>
        </w:rPr>
        <w:t>的</w:t>
      </w:r>
      <w:r>
        <w:rPr>
          <w:sz w:val="24"/>
          <w:szCs w:val="24"/>
        </w:rPr>
        <w:t>投标文件</w:t>
      </w:r>
      <w:r>
        <w:rPr>
          <w:rFonts w:hint="eastAsia"/>
          <w:sz w:val="24"/>
          <w:szCs w:val="24"/>
        </w:rPr>
        <w:t>，需在</w:t>
      </w:r>
      <w:r>
        <w:rPr>
          <w:rFonts w:hint="eastAsia" w:ascii="宋体" w:hAnsi="宋体"/>
          <w:sz w:val="24"/>
          <w:szCs w:val="24"/>
        </w:rPr>
        <w:t>交易平台发出修改或撤回</w:t>
      </w:r>
      <w:r>
        <w:rPr>
          <w:sz w:val="24"/>
          <w:szCs w:val="24"/>
        </w:rPr>
        <w:t>通知，</w:t>
      </w:r>
      <w:r>
        <w:rPr>
          <w:rFonts w:hint="eastAsia"/>
          <w:sz w:val="24"/>
          <w:szCs w:val="24"/>
        </w:rPr>
        <w:t>并按</w:t>
      </w:r>
      <w:r>
        <w:rPr>
          <w:sz w:val="24"/>
          <w:szCs w:val="24"/>
        </w:rPr>
        <w:t>要求加盖电子印章。</w:t>
      </w:r>
      <w:r>
        <w:rPr>
          <w:bCs/>
          <w:iCs/>
          <w:sz w:val="24"/>
          <w:szCs w:val="24"/>
        </w:rPr>
        <w:t>电子招标投标交易平台收到通知后，</w:t>
      </w:r>
      <w:r>
        <w:rPr>
          <w:sz w:val="24"/>
          <w:szCs w:val="24"/>
        </w:rPr>
        <w:t>即时向投标人发出确认回执通知。</w:t>
      </w:r>
    </w:p>
    <w:p w14:paraId="4BB94622">
      <w:pPr>
        <w:spacing w:line="360" w:lineRule="auto"/>
        <w:ind w:firstLine="480" w:firstLineChars="200"/>
        <w:rPr>
          <w:sz w:val="24"/>
          <w:szCs w:val="24"/>
        </w:rPr>
      </w:pPr>
      <w:r>
        <w:rPr>
          <w:rFonts w:hint="eastAsia" w:ascii="宋体" w:hAnsi="宋体"/>
          <w:sz w:val="24"/>
          <w:szCs w:val="24"/>
        </w:rPr>
        <w:t>22.3</w:t>
      </w:r>
      <w:r>
        <w:rPr>
          <w:rFonts w:hint="eastAsia"/>
          <w:sz w:val="24"/>
          <w:szCs w:val="24"/>
        </w:rPr>
        <w:t>修改后再次递交的，按19点的规定执行。</w:t>
      </w:r>
    </w:p>
    <w:p w14:paraId="1DC47480">
      <w:pPr>
        <w:spacing w:line="360" w:lineRule="auto"/>
        <w:ind w:firstLine="480" w:firstLineChars="200"/>
        <w:rPr>
          <w:rFonts w:hint="eastAsia" w:ascii="宋体" w:hAnsi="宋体"/>
          <w:sz w:val="24"/>
          <w:szCs w:val="24"/>
        </w:rPr>
      </w:pPr>
      <w:r>
        <w:rPr>
          <w:rFonts w:ascii="宋体" w:hAnsi="宋体"/>
          <w:sz w:val="24"/>
          <w:szCs w:val="24"/>
        </w:rPr>
        <w:t>22.</w:t>
      </w:r>
      <w:r>
        <w:rPr>
          <w:rFonts w:hint="eastAsia" w:ascii="宋体" w:hAnsi="宋体"/>
          <w:sz w:val="24"/>
          <w:szCs w:val="24"/>
        </w:rPr>
        <w:t>4</w:t>
      </w:r>
      <w:r>
        <w:rPr>
          <w:rFonts w:ascii="宋体" w:hAnsi="宋体"/>
          <w:sz w:val="24"/>
          <w:szCs w:val="24"/>
        </w:rPr>
        <w:t xml:space="preserve"> </w:t>
      </w:r>
      <w:r>
        <w:rPr>
          <w:rFonts w:hint="eastAsia" w:ascii="宋体" w:hAnsi="宋体"/>
          <w:sz w:val="24"/>
          <w:szCs w:val="24"/>
        </w:rPr>
        <w:t>在投标截止时间之后，投标人不得补充、修改和更换投标文件。</w:t>
      </w:r>
    </w:p>
    <w:p w14:paraId="14B6066E">
      <w:pPr>
        <w:pStyle w:val="5"/>
        <w:spacing w:before="156" w:after="156"/>
        <w:rPr>
          <w:rFonts w:hint="eastAsia"/>
          <w:sz w:val="24"/>
          <w:szCs w:val="24"/>
        </w:rPr>
      </w:pPr>
      <w:bookmarkStart w:id="53" w:name="_Toc20714"/>
      <w:bookmarkStart w:id="54" w:name="_Toc20085"/>
      <w:bookmarkStart w:id="55" w:name="_Toc19790"/>
      <w:bookmarkStart w:id="56" w:name="_Toc19137"/>
      <w:bookmarkStart w:id="57" w:name="_Toc20152"/>
      <w:bookmarkStart w:id="58" w:name="_Toc19660"/>
      <w:r>
        <w:rPr>
          <w:rFonts w:hint="eastAsia"/>
          <w:sz w:val="24"/>
          <w:szCs w:val="24"/>
        </w:rPr>
        <w:t>（五）开标、评标、定标及合同签定</w:t>
      </w:r>
      <w:bookmarkEnd w:id="53"/>
      <w:bookmarkEnd w:id="54"/>
      <w:bookmarkEnd w:id="55"/>
      <w:bookmarkEnd w:id="56"/>
      <w:bookmarkEnd w:id="57"/>
      <w:bookmarkEnd w:id="58"/>
    </w:p>
    <w:p w14:paraId="262158B8">
      <w:pPr>
        <w:spacing w:line="360" w:lineRule="auto"/>
        <w:ind w:firstLine="480" w:firstLineChars="200"/>
        <w:rPr>
          <w:rFonts w:ascii="宋体"/>
          <w:b/>
          <w:bCs/>
          <w:sz w:val="24"/>
          <w:szCs w:val="24"/>
        </w:rPr>
      </w:pPr>
      <w:r>
        <w:rPr>
          <w:rFonts w:ascii="宋体" w:hAnsi="宋体"/>
          <w:b/>
          <w:bCs/>
          <w:sz w:val="24"/>
          <w:szCs w:val="24"/>
        </w:rPr>
        <w:t>23</w:t>
      </w:r>
      <w:r>
        <w:rPr>
          <w:rFonts w:hint="eastAsia" w:ascii="宋体" w:hAnsi="宋体"/>
          <w:b/>
          <w:bCs/>
          <w:sz w:val="24"/>
          <w:szCs w:val="24"/>
        </w:rPr>
        <w:t>、开标。</w:t>
      </w:r>
    </w:p>
    <w:p w14:paraId="68554B81">
      <w:pPr>
        <w:spacing w:line="360" w:lineRule="auto"/>
        <w:ind w:firstLine="480" w:firstLineChars="200"/>
        <w:rPr>
          <w:rFonts w:ascii="宋体"/>
          <w:sz w:val="24"/>
          <w:szCs w:val="24"/>
        </w:rPr>
      </w:pPr>
      <w:r>
        <w:rPr>
          <w:rFonts w:hint="eastAsia" w:ascii="宋体" w:hAnsi="宋体"/>
          <w:sz w:val="24"/>
          <w:szCs w:val="24"/>
        </w:rPr>
        <w:t>详见第二章开标、评标及定标办法</w:t>
      </w:r>
    </w:p>
    <w:p w14:paraId="2B3E8AB3">
      <w:pPr>
        <w:spacing w:line="360" w:lineRule="auto"/>
        <w:ind w:firstLine="480" w:firstLineChars="200"/>
        <w:rPr>
          <w:rFonts w:ascii="宋体"/>
          <w:b/>
          <w:bCs/>
          <w:sz w:val="24"/>
          <w:szCs w:val="24"/>
        </w:rPr>
      </w:pPr>
      <w:r>
        <w:rPr>
          <w:rFonts w:ascii="宋体" w:hAnsi="宋体"/>
          <w:b/>
          <w:bCs/>
          <w:sz w:val="24"/>
          <w:szCs w:val="24"/>
        </w:rPr>
        <w:t>24</w:t>
      </w:r>
      <w:r>
        <w:rPr>
          <w:rFonts w:hint="eastAsia" w:ascii="宋体" w:hAnsi="宋体"/>
          <w:b/>
          <w:bCs/>
          <w:sz w:val="24"/>
          <w:szCs w:val="24"/>
        </w:rPr>
        <w:t>．评标过程的保密</w:t>
      </w:r>
    </w:p>
    <w:p w14:paraId="195BD204">
      <w:pPr>
        <w:spacing w:line="360" w:lineRule="auto"/>
        <w:ind w:firstLine="480" w:firstLineChars="200"/>
        <w:rPr>
          <w:rFonts w:ascii="宋体"/>
          <w:sz w:val="24"/>
          <w:szCs w:val="24"/>
        </w:rPr>
      </w:pPr>
      <w:r>
        <w:rPr>
          <w:rFonts w:ascii="宋体" w:hAnsi="宋体"/>
          <w:sz w:val="24"/>
          <w:szCs w:val="24"/>
        </w:rPr>
        <w:t xml:space="preserve">24.1 </w:t>
      </w:r>
      <w:r>
        <w:rPr>
          <w:rFonts w:hint="eastAsia" w:ascii="宋体" w:hAnsi="宋体"/>
          <w:sz w:val="24"/>
          <w:szCs w:val="24"/>
        </w:rPr>
        <w:t>开标后，直至中标公示为止，凡属于对投标文件的审查、澄清、评价和比较有关的资料以及中标候选人的推荐情况，与评标有关的其他任何情况均严格保密。</w:t>
      </w:r>
    </w:p>
    <w:p w14:paraId="7294A6E3">
      <w:pPr>
        <w:spacing w:line="360" w:lineRule="auto"/>
        <w:ind w:firstLine="480" w:firstLineChars="200"/>
        <w:rPr>
          <w:rFonts w:ascii="宋体"/>
          <w:sz w:val="24"/>
          <w:szCs w:val="24"/>
        </w:rPr>
      </w:pPr>
      <w:r>
        <w:rPr>
          <w:rFonts w:ascii="宋体" w:hAnsi="宋体"/>
          <w:sz w:val="24"/>
          <w:szCs w:val="24"/>
        </w:rPr>
        <w:t xml:space="preserve">24.2 </w:t>
      </w:r>
      <w:r>
        <w:rPr>
          <w:rFonts w:hint="eastAsia" w:ascii="宋体" w:hAnsi="宋体"/>
          <w:sz w:val="24"/>
          <w:szCs w:val="24"/>
        </w:rPr>
        <w:t>在投标文件的评审和比较、中标候选人推荐以及授予合同的过程中，投标人向招标人和评标委员会施加不公正影响的任何行为，都将会导致其投标被拒绝。</w:t>
      </w:r>
    </w:p>
    <w:p w14:paraId="4BD33E96">
      <w:pPr>
        <w:spacing w:line="360" w:lineRule="auto"/>
        <w:ind w:firstLine="480" w:firstLineChars="200"/>
        <w:rPr>
          <w:rFonts w:ascii="宋体"/>
          <w:b/>
          <w:bCs/>
          <w:sz w:val="24"/>
          <w:szCs w:val="24"/>
        </w:rPr>
      </w:pPr>
      <w:r>
        <w:rPr>
          <w:rFonts w:ascii="宋体" w:hAnsi="宋体"/>
          <w:b/>
          <w:bCs/>
          <w:sz w:val="24"/>
          <w:szCs w:val="24"/>
        </w:rPr>
        <w:t>25</w:t>
      </w:r>
      <w:r>
        <w:rPr>
          <w:rFonts w:hint="eastAsia" w:ascii="宋体" w:hAnsi="宋体"/>
          <w:b/>
          <w:bCs/>
          <w:sz w:val="24"/>
          <w:szCs w:val="24"/>
        </w:rPr>
        <w:t>．投标文件的澄清，计算错误的修正</w:t>
      </w:r>
    </w:p>
    <w:p w14:paraId="0214DE88">
      <w:pPr>
        <w:spacing w:line="360" w:lineRule="auto"/>
        <w:ind w:firstLine="480" w:firstLineChars="200"/>
        <w:rPr>
          <w:rFonts w:ascii="宋体"/>
          <w:sz w:val="24"/>
          <w:szCs w:val="24"/>
        </w:rPr>
      </w:pPr>
      <w:r>
        <w:rPr>
          <w:rFonts w:hint="eastAsia" w:ascii="宋体" w:hAnsi="宋体"/>
          <w:sz w:val="24"/>
          <w:szCs w:val="24"/>
        </w:rPr>
        <w:t>详见招标文件第二章开标、评标及定标办法</w:t>
      </w:r>
    </w:p>
    <w:p w14:paraId="75A9B94E">
      <w:pPr>
        <w:spacing w:line="360" w:lineRule="auto"/>
        <w:ind w:firstLine="480" w:firstLineChars="200"/>
        <w:rPr>
          <w:rFonts w:ascii="宋体"/>
          <w:b/>
          <w:bCs/>
          <w:sz w:val="24"/>
          <w:szCs w:val="24"/>
        </w:rPr>
      </w:pPr>
      <w:r>
        <w:rPr>
          <w:rFonts w:ascii="宋体" w:hAnsi="宋体"/>
          <w:b/>
          <w:bCs/>
          <w:sz w:val="24"/>
          <w:szCs w:val="24"/>
        </w:rPr>
        <w:t>26</w:t>
      </w:r>
      <w:r>
        <w:rPr>
          <w:rFonts w:hint="eastAsia" w:ascii="宋体" w:hAnsi="宋体"/>
          <w:b/>
          <w:bCs/>
          <w:sz w:val="24"/>
          <w:szCs w:val="24"/>
        </w:rPr>
        <w:t>．投标文件的评审、比较和否决</w:t>
      </w:r>
    </w:p>
    <w:p w14:paraId="0B36E47F">
      <w:pPr>
        <w:spacing w:line="360" w:lineRule="auto"/>
        <w:ind w:firstLine="480" w:firstLineChars="200"/>
        <w:rPr>
          <w:rFonts w:ascii="宋体"/>
          <w:bCs/>
          <w:sz w:val="24"/>
          <w:szCs w:val="24"/>
        </w:rPr>
      </w:pPr>
      <w:r>
        <w:rPr>
          <w:rFonts w:hint="eastAsia" w:ascii="宋体" w:hAnsi="宋体"/>
          <w:sz w:val="24"/>
          <w:szCs w:val="24"/>
        </w:rPr>
        <w:t>详见招标文件第二章开标、评标及定标办法。</w:t>
      </w:r>
    </w:p>
    <w:p w14:paraId="53E8899E">
      <w:pPr>
        <w:spacing w:line="360" w:lineRule="auto"/>
        <w:ind w:firstLine="480" w:firstLineChars="200"/>
        <w:rPr>
          <w:rFonts w:ascii="宋体"/>
          <w:b/>
          <w:bCs/>
          <w:sz w:val="24"/>
          <w:szCs w:val="24"/>
        </w:rPr>
      </w:pPr>
      <w:r>
        <w:rPr>
          <w:rFonts w:ascii="宋体" w:hAnsi="宋体"/>
          <w:b/>
          <w:bCs/>
          <w:sz w:val="24"/>
          <w:szCs w:val="24"/>
        </w:rPr>
        <w:t>27</w:t>
      </w:r>
      <w:r>
        <w:rPr>
          <w:rFonts w:hint="eastAsia" w:ascii="宋体" w:hAnsi="宋体"/>
          <w:b/>
          <w:bCs/>
          <w:sz w:val="24"/>
          <w:szCs w:val="24"/>
        </w:rPr>
        <w:t>．中标通知书</w:t>
      </w:r>
    </w:p>
    <w:p w14:paraId="1AF4560E">
      <w:pPr>
        <w:spacing w:line="360" w:lineRule="auto"/>
        <w:ind w:firstLine="480" w:firstLineChars="200"/>
        <w:rPr>
          <w:rFonts w:ascii="宋体"/>
          <w:sz w:val="24"/>
          <w:szCs w:val="24"/>
        </w:rPr>
      </w:pPr>
      <w:r>
        <w:rPr>
          <w:rFonts w:ascii="宋体" w:hAnsi="宋体"/>
          <w:sz w:val="24"/>
          <w:szCs w:val="24"/>
        </w:rPr>
        <w:t>27.1</w:t>
      </w:r>
      <w:r>
        <w:rPr>
          <w:rFonts w:hint="eastAsia" w:ascii="宋体" w:hAnsi="宋体"/>
          <w:sz w:val="24"/>
          <w:szCs w:val="24"/>
        </w:rPr>
        <w:t>招标人将在</w:t>
      </w:r>
      <w:r>
        <w:rPr>
          <w:rFonts w:hint="eastAsia" w:ascii="宋体" w:hAnsi="宋体"/>
          <w:sz w:val="24"/>
          <w:szCs w:val="24"/>
          <w:u w:val="single"/>
        </w:rPr>
        <w:t>广州交易集团有限公司（广州公共资源交易中心）</w:t>
      </w:r>
      <w:r>
        <w:rPr>
          <w:rFonts w:hint="eastAsia" w:ascii="宋体" w:hAnsi="宋体"/>
          <w:sz w:val="24"/>
          <w:szCs w:val="24"/>
        </w:rPr>
        <w:t>交易平台、广东省招标投标监管网和中国招标投标公共服务平台公示中标候选人，公示期为三天。</w:t>
      </w:r>
    </w:p>
    <w:p w14:paraId="2A9620E4">
      <w:pPr>
        <w:spacing w:line="360" w:lineRule="auto"/>
        <w:ind w:firstLine="480" w:firstLineChars="200"/>
        <w:rPr>
          <w:rFonts w:hint="eastAsia" w:ascii="仿宋_GB2312" w:hAnsi="宋体" w:eastAsia="仿宋_GB2312"/>
          <w:sz w:val="24"/>
          <w:szCs w:val="24"/>
        </w:rPr>
      </w:pPr>
      <w:r>
        <w:rPr>
          <w:rFonts w:ascii="宋体" w:hAnsi="宋体"/>
          <w:sz w:val="24"/>
          <w:szCs w:val="24"/>
        </w:rPr>
        <w:t>27.2</w:t>
      </w:r>
      <w:r>
        <w:rPr>
          <w:rFonts w:hint="eastAsia" w:ascii="宋体" w:hAnsi="宋体"/>
          <w:sz w:val="24"/>
          <w:szCs w:val="24"/>
        </w:rPr>
        <w:t>招标人应当自确定中标人后，向招标投标监管机构提交招标投标情况的书面报告；经招投标监管机构备案后，方可发出中标通知书。</w:t>
      </w:r>
    </w:p>
    <w:p w14:paraId="5C78A172">
      <w:pPr>
        <w:spacing w:line="360" w:lineRule="auto"/>
        <w:ind w:firstLine="480" w:firstLineChars="200"/>
        <w:rPr>
          <w:rFonts w:hint="eastAsia" w:ascii="宋体" w:hAnsi="宋体"/>
          <w:sz w:val="24"/>
          <w:szCs w:val="24"/>
        </w:rPr>
      </w:pPr>
      <w:r>
        <w:rPr>
          <w:rFonts w:ascii="宋体" w:hAnsi="宋体"/>
          <w:sz w:val="24"/>
          <w:szCs w:val="24"/>
        </w:rPr>
        <w:t>27.3</w:t>
      </w:r>
      <w:r>
        <w:rPr>
          <w:rFonts w:hint="eastAsia" w:ascii="宋体" w:hAnsi="宋体"/>
          <w:sz w:val="24"/>
          <w:szCs w:val="24"/>
        </w:rPr>
        <w:t>中标人必须在收到中标通知书后</w:t>
      </w:r>
      <w:r>
        <w:rPr>
          <w:rFonts w:ascii="宋体" w:hAnsi="宋体"/>
          <w:sz w:val="24"/>
          <w:szCs w:val="24"/>
        </w:rPr>
        <w:t>24</w:t>
      </w:r>
      <w:r>
        <w:rPr>
          <w:rFonts w:hint="eastAsia" w:ascii="宋体" w:hAnsi="宋体"/>
          <w:sz w:val="24"/>
          <w:szCs w:val="24"/>
        </w:rPr>
        <w:t>小时之内以书面形式回复招标人，确认收到。</w:t>
      </w:r>
    </w:p>
    <w:p w14:paraId="1AD66B5B">
      <w:pPr>
        <w:spacing w:line="360" w:lineRule="auto"/>
        <w:ind w:firstLine="480" w:firstLineChars="200"/>
        <w:rPr>
          <w:rFonts w:hint="eastAsia" w:ascii="宋体" w:hAnsi="宋体"/>
          <w:sz w:val="24"/>
          <w:szCs w:val="24"/>
        </w:rPr>
      </w:pPr>
      <w:r>
        <w:rPr>
          <w:rFonts w:hint="eastAsia" w:ascii="宋体" w:hAnsi="宋体"/>
          <w:sz w:val="24"/>
          <w:szCs w:val="24"/>
        </w:rPr>
        <w:t>27.4在产生中标候选人后，招标人将中标候选人的投标文件商务部分文件的所有内容（包括人员、业绩、奖项等资料）在</w:t>
      </w:r>
      <w:r>
        <w:rPr>
          <w:rFonts w:hint="eastAsia" w:ascii="宋体" w:hAnsi="宋体"/>
          <w:sz w:val="24"/>
          <w:szCs w:val="24"/>
          <w:u w:val="single"/>
        </w:rPr>
        <w:t>广州交易集团有限公司（广州公共资源交易中心）</w:t>
      </w:r>
      <w:r>
        <w:rPr>
          <w:rFonts w:hint="eastAsia" w:ascii="宋体" w:hAnsi="宋体"/>
          <w:sz w:val="24"/>
          <w:szCs w:val="24"/>
        </w:rPr>
        <w:t>交易平台和广东省招标投标监管网公开。</w:t>
      </w:r>
    </w:p>
    <w:p w14:paraId="2EE14CD7">
      <w:pPr>
        <w:spacing w:line="360" w:lineRule="auto"/>
        <w:ind w:firstLine="480" w:firstLineChars="200"/>
        <w:rPr>
          <w:rFonts w:ascii="宋体"/>
          <w:b/>
          <w:bCs/>
          <w:sz w:val="24"/>
          <w:szCs w:val="24"/>
        </w:rPr>
      </w:pPr>
      <w:r>
        <w:rPr>
          <w:rFonts w:ascii="宋体" w:hAnsi="宋体"/>
          <w:b/>
          <w:bCs/>
          <w:sz w:val="24"/>
          <w:szCs w:val="24"/>
        </w:rPr>
        <w:t>28</w:t>
      </w:r>
      <w:r>
        <w:rPr>
          <w:rFonts w:hint="eastAsia" w:ascii="宋体" w:hAnsi="宋体"/>
          <w:b/>
          <w:bCs/>
          <w:sz w:val="24"/>
          <w:szCs w:val="24"/>
        </w:rPr>
        <w:t>．合同协议书的签订</w:t>
      </w:r>
    </w:p>
    <w:p w14:paraId="144D9239">
      <w:pPr>
        <w:spacing w:line="360" w:lineRule="auto"/>
        <w:ind w:firstLine="480" w:firstLineChars="200"/>
        <w:rPr>
          <w:rFonts w:ascii="宋体"/>
          <w:sz w:val="24"/>
          <w:szCs w:val="24"/>
        </w:rPr>
      </w:pPr>
      <w:r>
        <w:rPr>
          <w:rFonts w:ascii="宋体" w:hAnsi="宋体"/>
          <w:sz w:val="24"/>
          <w:szCs w:val="24"/>
        </w:rPr>
        <w:t xml:space="preserve">28.1 </w:t>
      </w:r>
      <w:r>
        <w:rPr>
          <w:rFonts w:hint="eastAsia" w:ascii="宋体" w:hAnsi="宋体"/>
          <w:sz w:val="24"/>
          <w:szCs w:val="24"/>
        </w:rPr>
        <w:t>招标人与中标人将于中标通知书发出之日起15日内，按照招标文件和中标人的投标文件商定和签订合同，招标人和中标人不得再行订立背离合同实质性内容的其他协议。</w:t>
      </w:r>
    </w:p>
    <w:p w14:paraId="7EEF5E6F">
      <w:pPr>
        <w:spacing w:line="360" w:lineRule="auto"/>
        <w:ind w:firstLine="480" w:firstLineChars="200"/>
        <w:rPr>
          <w:rFonts w:ascii="宋体"/>
          <w:sz w:val="24"/>
          <w:szCs w:val="24"/>
        </w:rPr>
      </w:pPr>
      <w:r>
        <w:rPr>
          <w:rFonts w:ascii="宋体" w:hAnsi="宋体"/>
          <w:sz w:val="24"/>
          <w:szCs w:val="24"/>
        </w:rPr>
        <w:t>28.2</w:t>
      </w:r>
      <w:r>
        <w:rPr>
          <w:rFonts w:hint="eastAsia" w:ascii="宋体" w:hAnsi="宋体"/>
          <w:sz w:val="24"/>
          <w:szCs w:val="24"/>
        </w:rPr>
        <w:t>中标通知书发出之日起15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4006BE56">
      <w:pPr>
        <w:spacing w:line="360" w:lineRule="auto"/>
        <w:ind w:firstLine="480" w:firstLineChars="200"/>
        <w:rPr>
          <w:rFonts w:ascii="宋体"/>
          <w:sz w:val="24"/>
          <w:szCs w:val="24"/>
        </w:rPr>
      </w:pPr>
      <w:r>
        <w:rPr>
          <w:rFonts w:ascii="宋体" w:hAnsi="宋体"/>
          <w:sz w:val="24"/>
          <w:szCs w:val="24"/>
        </w:rPr>
        <w:t>28.3</w:t>
      </w:r>
      <w:r>
        <w:rPr>
          <w:rFonts w:hint="eastAsia" w:ascii="宋体" w:hAnsi="宋体"/>
          <w:sz w:val="24"/>
          <w:szCs w:val="24"/>
        </w:rPr>
        <w:t>非经招标人同意，中标人在投标过程中使用的银行名称及帐号至完成竣工结算不得变更，否则招标人有权停止工程款项的拔付及至解除合同，由此造成的一切责任由中标人承担。</w:t>
      </w:r>
    </w:p>
    <w:p w14:paraId="5DC0C660">
      <w:pPr>
        <w:spacing w:line="360" w:lineRule="auto"/>
        <w:ind w:firstLine="480" w:firstLineChars="200"/>
        <w:rPr>
          <w:rFonts w:hint="eastAsia" w:ascii="宋体" w:hAnsi="宋体"/>
          <w:sz w:val="24"/>
          <w:szCs w:val="24"/>
        </w:rPr>
      </w:pPr>
      <w:r>
        <w:rPr>
          <w:rFonts w:ascii="宋体" w:hAnsi="宋体"/>
          <w:sz w:val="24"/>
          <w:szCs w:val="24"/>
        </w:rPr>
        <w:t>28.4</w:t>
      </w:r>
      <w:r>
        <w:rPr>
          <w:rFonts w:hint="eastAsia" w:ascii="宋体" w:hAnsi="宋体"/>
          <w:sz w:val="24"/>
          <w:szCs w:val="24"/>
        </w:rPr>
        <w:t>招标人支付工程款时，中标人应</w:t>
      </w:r>
      <w:r>
        <w:rPr>
          <w:rFonts w:hint="eastAsia" w:ascii="宋体" w:hAnsi="宋体" w:cs="宋体"/>
          <w:bCs/>
          <w:sz w:val="24"/>
          <w:szCs w:val="24"/>
        </w:rPr>
        <w:t>提供</w:t>
      </w:r>
      <w:r>
        <w:rPr>
          <w:rFonts w:hint="eastAsia" w:ascii="宋体" w:hAnsi="宋体" w:cs="宋体"/>
          <w:bCs/>
          <w:sz w:val="24"/>
          <w:szCs w:val="24"/>
          <w:u w:val="single"/>
        </w:rPr>
        <w:t>符合国家税务相关部门要求的</w:t>
      </w:r>
      <w:r>
        <w:rPr>
          <w:rFonts w:hint="eastAsia" w:ascii="宋体" w:hAnsi="宋体"/>
          <w:sz w:val="24"/>
          <w:szCs w:val="24"/>
        </w:rPr>
        <w:t>发票。</w:t>
      </w:r>
    </w:p>
    <w:p w14:paraId="4787489C">
      <w:pPr>
        <w:spacing w:line="360" w:lineRule="auto"/>
        <w:ind w:firstLine="480" w:firstLineChars="200"/>
        <w:rPr>
          <w:rFonts w:ascii="宋体"/>
          <w:b/>
          <w:bCs/>
          <w:sz w:val="24"/>
          <w:szCs w:val="24"/>
        </w:rPr>
      </w:pPr>
      <w:r>
        <w:rPr>
          <w:rFonts w:ascii="宋体" w:hAnsi="宋体"/>
          <w:b/>
          <w:bCs/>
          <w:sz w:val="24"/>
          <w:szCs w:val="24"/>
        </w:rPr>
        <w:t>29</w:t>
      </w:r>
      <w:r>
        <w:rPr>
          <w:rFonts w:hint="eastAsia" w:ascii="宋体" w:hAnsi="宋体"/>
          <w:b/>
          <w:bCs/>
          <w:sz w:val="24"/>
          <w:szCs w:val="24"/>
        </w:rPr>
        <w:t>．履约担保</w:t>
      </w:r>
    </w:p>
    <w:p w14:paraId="2BF96C8E">
      <w:pPr>
        <w:snapToGrid w:val="0"/>
        <w:spacing w:line="360" w:lineRule="auto"/>
        <w:ind w:firstLine="480" w:firstLineChars="200"/>
        <w:rPr>
          <w:rFonts w:ascii="宋体"/>
          <w:sz w:val="24"/>
          <w:szCs w:val="24"/>
        </w:rPr>
      </w:pPr>
      <w:r>
        <w:rPr>
          <w:rFonts w:ascii="宋体" w:hAnsi="宋体"/>
          <w:sz w:val="24"/>
          <w:szCs w:val="24"/>
        </w:rPr>
        <w:t xml:space="preserve">29.1 </w:t>
      </w:r>
      <w:r>
        <w:rPr>
          <w:rFonts w:hint="eastAsia" w:ascii="宋体" w:hAnsi="宋体"/>
          <w:sz w:val="24"/>
          <w:szCs w:val="24"/>
        </w:rPr>
        <w:t>在收到中标通知书后的</w:t>
      </w:r>
      <w:r>
        <w:rPr>
          <w:rFonts w:ascii="宋体" w:hAnsi="宋体"/>
          <w:b/>
          <w:sz w:val="24"/>
          <w:szCs w:val="24"/>
        </w:rPr>
        <w:t>1</w:t>
      </w:r>
      <w:r>
        <w:rPr>
          <w:rFonts w:hint="eastAsia" w:ascii="宋体" w:hAnsi="宋体"/>
          <w:b/>
          <w:sz w:val="24"/>
          <w:szCs w:val="24"/>
        </w:rPr>
        <w:t>0日</w:t>
      </w:r>
      <w:r>
        <w:rPr>
          <w:rFonts w:hint="eastAsia" w:ascii="宋体" w:hAnsi="宋体"/>
          <w:sz w:val="24"/>
          <w:szCs w:val="24"/>
        </w:rPr>
        <w:t>内，中标人应按本须知前附表第</w:t>
      </w:r>
      <w:r>
        <w:rPr>
          <w:rFonts w:ascii="宋体" w:hAnsi="宋体"/>
          <w:sz w:val="24"/>
          <w:szCs w:val="24"/>
        </w:rPr>
        <w:t>2</w:t>
      </w:r>
      <w:r>
        <w:rPr>
          <w:rFonts w:hint="eastAsia" w:ascii="宋体" w:hAnsi="宋体"/>
          <w:sz w:val="24"/>
          <w:szCs w:val="24"/>
        </w:rPr>
        <w:t>0项的规定向招标人提交履约担保。</w:t>
      </w:r>
    </w:p>
    <w:p w14:paraId="1AC63BEF">
      <w:pPr>
        <w:snapToGrid w:val="0"/>
        <w:spacing w:line="360" w:lineRule="auto"/>
        <w:ind w:firstLine="480" w:firstLineChars="200"/>
        <w:rPr>
          <w:rFonts w:ascii="宋体"/>
          <w:sz w:val="24"/>
          <w:szCs w:val="24"/>
        </w:rPr>
      </w:pPr>
      <w:r>
        <w:rPr>
          <w:rFonts w:ascii="宋体" w:hAnsi="宋体"/>
          <w:sz w:val="24"/>
          <w:szCs w:val="24"/>
        </w:rPr>
        <w:t>29.2</w:t>
      </w:r>
      <w:r>
        <w:rPr>
          <w:rFonts w:hint="eastAsia" w:ascii="宋体" w:hAnsi="宋体"/>
          <w:sz w:val="24"/>
          <w:szCs w:val="24"/>
        </w:rPr>
        <w:t>中标通知书发出之日起</w:t>
      </w:r>
      <w:r>
        <w:rPr>
          <w:rFonts w:ascii="宋体" w:hAnsi="宋体"/>
          <w:sz w:val="24"/>
          <w:szCs w:val="24"/>
        </w:rPr>
        <w:t>1</w:t>
      </w:r>
      <w:r>
        <w:rPr>
          <w:rFonts w:hint="eastAsia" w:ascii="宋体" w:hAnsi="宋体"/>
          <w:sz w:val="24"/>
          <w:szCs w:val="24"/>
        </w:rPr>
        <w:t>0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41F60A14">
      <w:pPr>
        <w:spacing w:line="360" w:lineRule="auto"/>
        <w:ind w:firstLine="480" w:firstLineChars="200"/>
        <w:rPr>
          <w:rFonts w:ascii="宋体"/>
          <w:b/>
          <w:bCs/>
          <w:sz w:val="24"/>
          <w:szCs w:val="24"/>
        </w:rPr>
      </w:pPr>
      <w:r>
        <w:rPr>
          <w:rFonts w:ascii="宋体" w:hAnsi="宋体"/>
          <w:b/>
          <w:bCs/>
          <w:sz w:val="24"/>
          <w:szCs w:val="24"/>
        </w:rPr>
        <w:t>30</w:t>
      </w:r>
      <w:r>
        <w:rPr>
          <w:rFonts w:hint="eastAsia" w:ascii="宋体" w:hAnsi="宋体"/>
          <w:b/>
          <w:bCs/>
          <w:sz w:val="24"/>
          <w:szCs w:val="24"/>
        </w:rPr>
        <w:t>．合同生效</w:t>
      </w:r>
    </w:p>
    <w:p w14:paraId="16ED7B55">
      <w:pPr>
        <w:spacing w:line="360" w:lineRule="auto"/>
        <w:ind w:firstLine="480" w:firstLineChars="200"/>
        <w:rPr>
          <w:rFonts w:ascii="宋体"/>
          <w:sz w:val="24"/>
          <w:szCs w:val="24"/>
        </w:rPr>
      </w:pPr>
      <w:r>
        <w:rPr>
          <w:rFonts w:ascii="宋体" w:hAnsi="宋体"/>
          <w:sz w:val="24"/>
          <w:szCs w:val="24"/>
        </w:rPr>
        <w:t>30.1</w:t>
      </w:r>
      <w:r>
        <w:rPr>
          <w:rFonts w:hint="eastAsia" w:ascii="宋体" w:hAnsi="宋体"/>
          <w:sz w:val="24"/>
          <w:szCs w:val="24"/>
        </w:rPr>
        <w:t>在合同双方全权代表在合同协议书上签字，并分别加盖双方单位的公章</w:t>
      </w:r>
      <w:r>
        <w:rPr>
          <w:rFonts w:hint="eastAsia" w:ascii="宋体" w:hAnsi="宋体" w:cs="宋体"/>
          <w:sz w:val="24"/>
          <w:szCs w:val="24"/>
          <w:u w:val="single"/>
        </w:rPr>
        <w:t>且承包人提交履约担保后，合同正式生效</w:t>
      </w:r>
      <w:r>
        <w:rPr>
          <w:rFonts w:hint="eastAsia" w:ascii="宋体" w:hAnsi="宋体"/>
          <w:sz w:val="24"/>
          <w:szCs w:val="24"/>
        </w:rPr>
        <w:t>。</w:t>
      </w:r>
    </w:p>
    <w:p w14:paraId="2FA12C18">
      <w:pPr>
        <w:numPr>
          <w:ilvl w:val="0"/>
          <w:numId w:val="10"/>
        </w:numPr>
        <w:spacing w:line="360" w:lineRule="auto"/>
        <w:ind w:firstLine="480" w:firstLineChars="200"/>
        <w:rPr>
          <w:rFonts w:hint="eastAsia" w:ascii="宋体" w:hAnsi="宋体"/>
          <w:b/>
          <w:bCs/>
          <w:sz w:val="24"/>
          <w:szCs w:val="24"/>
        </w:rPr>
      </w:pPr>
      <w:r>
        <w:rPr>
          <w:rFonts w:hint="eastAsia" w:ascii="宋体" w:hAnsi="宋体"/>
          <w:b/>
          <w:bCs/>
          <w:sz w:val="24"/>
          <w:szCs w:val="24"/>
        </w:rPr>
        <w:t>其它费用</w:t>
      </w:r>
    </w:p>
    <w:p w14:paraId="552561BE">
      <w:pPr>
        <w:pStyle w:val="30"/>
        <w:numPr>
          <w:ilvl w:val="255"/>
          <w:numId w:val="0"/>
        </w:numPr>
        <w:spacing w:line="360" w:lineRule="auto"/>
        <w:ind w:firstLine="480" w:firstLineChars="200"/>
      </w:pPr>
      <w:r>
        <w:rPr>
          <w:rFonts w:hint="eastAsia" w:hAnsi="宋体" w:cs="宋体"/>
          <w:sz w:val="24"/>
          <w:szCs w:val="24"/>
          <w:u w:val="single"/>
        </w:rPr>
        <w:t>31.1</w:t>
      </w:r>
      <w:r>
        <w:rPr>
          <w:rFonts w:hint="eastAsia" w:hAnsi="宋体"/>
          <w:sz w:val="24"/>
          <w:szCs w:val="24"/>
          <w:u w:val="single"/>
        </w:rPr>
        <w:t>广州交易集团有限公司（广州公共资源交易中心）</w:t>
      </w:r>
      <w:r>
        <w:rPr>
          <w:rFonts w:hint="eastAsia" w:hAnsi="宋体" w:cs="宋体"/>
          <w:sz w:val="24"/>
          <w:szCs w:val="24"/>
          <w:u w:val="single"/>
        </w:rPr>
        <w:t>交易服务费由</w:t>
      </w:r>
      <w:r>
        <w:rPr>
          <w:rFonts w:hAnsi="宋体" w:cs="宋体"/>
          <w:sz w:val="24"/>
          <w:szCs w:val="24"/>
          <w:u w:val="single"/>
        </w:rPr>
        <w:t>中标人负责</w:t>
      </w:r>
      <w:r>
        <w:rPr>
          <w:rFonts w:hint="eastAsia" w:hAnsi="宋体" w:cs="宋体"/>
          <w:sz w:val="24"/>
          <w:szCs w:val="24"/>
          <w:u w:val="single"/>
        </w:rPr>
        <w:t>，由</w:t>
      </w:r>
      <w:r>
        <w:rPr>
          <w:rFonts w:hint="eastAsia" w:hAnsi="宋体"/>
          <w:sz w:val="24"/>
          <w:szCs w:val="24"/>
          <w:u w:val="single"/>
        </w:rPr>
        <w:t>广州交易集团有限公司（广州公共资源交易中心）</w:t>
      </w:r>
      <w:r>
        <w:rPr>
          <w:rFonts w:hint="eastAsia" w:hAnsi="宋体" w:cs="宋体"/>
          <w:sz w:val="24"/>
          <w:szCs w:val="24"/>
          <w:u w:val="single"/>
        </w:rPr>
        <w:t>向中标人开具增值税发票。</w:t>
      </w:r>
    </w:p>
    <w:p w14:paraId="1623ABBD">
      <w:pPr>
        <w:pStyle w:val="50"/>
        <w:spacing w:after="0" w:line="360" w:lineRule="auto"/>
        <w:ind w:firstLine="480" w:firstLineChars="200"/>
        <w:rPr>
          <w:rFonts w:hint="eastAsia" w:ascii="宋体" w:hAnsi="宋体" w:eastAsia="宋体"/>
          <w:b/>
          <w:bCs/>
          <w:sz w:val="24"/>
        </w:rPr>
      </w:pPr>
      <w:r>
        <w:rPr>
          <w:rFonts w:ascii="宋体" w:hAnsi="宋体" w:eastAsia="宋体"/>
          <w:b/>
          <w:bCs/>
          <w:sz w:val="24"/>
        </w:rPr>
        <w:t>32</w:t>
      </w:r>
      <w:r>
        <w:rPr>
          <w:rFonts w:hint="eastAsia" w:ascii="宋体" w:hAnsi="宋体" w:eastAsia="宋体"/>
          <w:b/>
          <w:bCs/>
          <w:sz w:val="24"/>
        </w:rPr>
        <w:t>．腐败与欺诈行为</w:t>
      </w:r>
    </w:p>
    <w:p w14:paraId="718032D8">
      <w:pPr>
        <w:pStyle w:val="50"/>
        <w:spacing w:after="0" w:line="360" w:lineRule="auto"/>
        <w:ind w:firstLine="480" w:firstLineChars="200"/>
        <w:rPr>
          <w:rFonts w:hint="eastAsia" w:ascii="宋体" w:hAnsi="宋体" w:eastAsia="宋体"/>
          <w:sz w:val="24"/>
        </w:rPr>
      </w:pPr>
      <w:r>
        <w:rPr>
          <w:rFonts w:hint="eastAsia" w:ascii="宋体" w:hAnsi="宋体" w:eastAsia="宋体"/>
          <w:sz w:val="24"/>
        </w:rPr>
        <w:t>在招标和合同实施期间，招标人要求投标人和承包人遵守最高的道德标准。</w:t>
      </w:r>
    </w:p>
    <w:p w14:paraId="5E2B89B8">
      <w:pPr>
        <w:pStyle w:val="50"/>
        <w:spacing w:after="0" w:line="360" w:lineRule="auto"/>
        <w:ind w:firstLine="480" w:firstLineChars="200"/>
        <w:rPr>
          <w:rFonts w:hint="eastAsia" w:ascii="宋体" w:hAnsi="宋体" w:eastAsia="宋体"/>
          <w:sz w:val="24"/>
        </w:rPr>
      </w:pPr>
      <w:r>
        <w:rPr>
          <w:rFonts w:ascii="宋体" w:hAnsi="宋体" w:eastAsia="宋体"/>
          <w:sz w:val="24"/>
        </w:rPr>
        <w:t>32</w:t>
      </w:r>
      <w:r>
        <w:rPr>
          <w:rFonts w:hint="eastAsia" w:ascii="宋体" w:hAnsi="宋体" w:eastAsia="宋体"/>
          <w:sz w:val="24"/>
        </w:rPr>
        <w:t>．</w:t>
      </w:r>
      <w:r>
        <w:rPr>
          <w:rFonts w:ascii="宋体" w:hAnsi="宋体" w:eastAsia="宋体"/>
          <w:sz w:val="24"/>
        </w:rPr>
        <w:t>1</w:t>
      </w:r>
      <w:r>
        <w:rPr>
          <w:rFonts w:hint="eastAsia" w:ascii="宋体" w:hAnsi="宋体" w:eastAsia="宋体"/>
          <w:sz w:val="24"/>
        </w:rPr>
        <w:t>对本条款的规定，特定义如下词汇：</w:t>
      </w:r>
    </w:p>
    <w:p w14:paraId="474F3E6C">
      <w:pPr>
        <w:pStyle w:val="50"/>
        <w:spacing w:after="0" w:line="360" w:lineRule="auto"/>
        <w:ind w:firstLine="480" w:firstLineChars="200"/>
        <w:rPr>
          <w:rFonts w:hint="eastAsia" w:ascii="宋体" w:hAnsi="宋体" w:eastAsia="宋体"/>
          <w:sz w:val="24"/>
        </w:rPr>
      </w:pPr>
      <w:r>
        <w:rPr>
          <w:rFonts w:ascii="宋体" w:hAnsi="宋体" w:eastAsia="宋体"/>
          <w:sz w:val="24"/>
        </w:rPr>
        <w:t>1</w:t>
      </w:r>
      <w:r>
        <w:rPr>
          <w:rFonts w:hint="eastAsia" w:ascii="宋体" w:hAnsi="宋体" w:eastAsia="宋体"/>
          <w:sz w:val="24"/>
        </w:rPr>
        <w:t>）、“腐败行为”是指在招标或合同执行期间，通过提供、给予、接受或索要任何有价值的东西，从而影响招标人有关人员工作的行为；</w:t>
      </w:r>
    </w:p>
    <w:p w14:paraId="461A8243">
      <w:pPr>
        <w:pStyle w:val="50"/>
        <w:spacing w:after="0" w:line="360" w:lineRule="auto"/>
        <w:ind w:firstLine="480" w:firstLineChars="200"/>
        <w:rPr>
          <w:rFonts w:hint="eastAsia" w:ascii="宋体" w:hAnsi="宋体" w:eastAsia="宋体"/>
          <w:sz w:val="24"/>
        </w:rPr>
      </w:pPr>
      <w:r>
        <w:rPr>
          <w:rFonts w:ascii="宋体" w:hAnsi="宋体" w:eastAsia="宋体"/>
          <w:sz w:val="24"/>
        </w:rPr>
        <w:t>2</w:t>
      </w:r>
      <w:r>
        <w:rPr>
          <w:rFonts w:hint="eastAsia" w:ascii="宋体" w:hAnsi="宋体" w:eastAsia="宋体"/>
          <w:sz w:val="24"/>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020413B1">
      <w:pPr>
        <w:pStyle w:val="50"/>
        <w:spacing w:after="0" w:line="360" w:lineRule="auto"/>
        <w:ind w:firstLine="480" w:firstLineChars="200"/>
        <w:rPr>
          <w:rFonts w:hint="eastAsia" w:ascii="宋体" w:hAnsi="宋体" w:eastAsia="宋体"/>
          <w:sz w:val="24"/>
        </w:rPr>
      </w:pPr>
      <w:r>
        <w:rPr>
          <w:rFonts w:ascii="宋体" w:hAnsi="宋体" w:eastAsia="宋体"/>
          <w:sz w:val="24"/>
        </w:rPr>
        <w:t>32</w:t>
      </w:r>
      <w:r>
        <w:rPr>
          <w:rFonts w:hint="eastAsia" w:ascii="宋体" w:hAnsi="宋体" w:eastAsia="宋体"/>
          <w:sz w:val="24"/>
        </w:rPr>
        <w:t>．</w:t>
      </w:r>
      <w:r>
        <w:rPr>
          <w:rFonts w:ascii="宋体" w:hAnsi="宋体" w:eastAsia="宋体"/>
          <w:sz w:val="24"/>
        </w:rPr>
        <w:t>2</w:t>
      </w:r>
      <w:r>
        <w:rPr>
          <w:rFonts w:hint="eastAsia" w:ascii="宋体" w:hAnsi="宋体" w:eastAsia="宋体"/>
          <w:sz w:val="24"/>
        </w:rPr>
        <w:t>如果投标人被认定在本招标的竞争中有腐败或欺诈行为，则会被取消投标资格。</w:t>
      </w:r>
    </w:p>
    <w:p w14:paraId="71742E7C">
      <w:pPr>
        <w:pStyle w:val="50"/>
        <w:spacing w:after="0" w:line="360" w:lineRule="auto"/>
        <w:ind w:firstLine="480" w:firstLineChars="200"/>
        <w:rPr>
          <w:rFonts w:hint="eastAsia" w:ascii="宋体" w:hAnsi="宋体" w:eastAsia="宋体"/>
          <w:sz w:val="24"/>
        </w:rPr>
      </w:pPr>
      <w:r>
        <w:rPr>
          <w:rFonts w:hint="eastAsia" w:ascii="宋体" w:hAnsi="宋体" w:eastAsia="宋体"/>
          <w:sz w:val="24"/>
        </w:rPr>
        <w:t>32.3投标人如在本项目中存在串通投标、弄虚作假骗取中标、行贿情形的，中标无效，行政监督部门将对其违法行为进行政处罚。该投标人将被招标人列入黑名单并限制其参与招标人后续项目的投标。</w:t>
      </w:r>
    </w:p>
    <w:p w14:paraId="11284C4E">
      <w:pPr>
        <w:pStyle w:val="50"/>
        <w:spacing w:after="0" w:line="360" w:lineRule="auto"/>
        <w:ind w:firstLine="480" w:firstLineChars="200"/>
        <w:rPr>
          <w:rFonts w:hint="eastAsia" w:ascii="宋体" w:hAnsi="宋体" w:eastAsia="宋体"/>
          <w:sz w:val="24"/>
        </w:rPr>
      </w:pPr>
    </w:p>
    <w:p w14:paraId="5203FD1D">
      <w:pPr>
        <w:keepNext/>
        <w:keepLines/>
        <w:spacing w:before="120" w:after="120" w:line="360" w:lineRule="auto"/>
        <w:jc w:val="center"/>
        <w:outlineLvl w:val="0"/>
        <w:rPr>
          <w:rFonts w:hint="eastAsia" w:ascii="宋体" w:hAnsi="宋体" w:cs="宋体"/>
          <w:b/>
          <w:kern w:val="44"/>
          <w:sz w:val="28"/>
          <w:szCs w:val="28"/>
        </w:rPr>
      </w:pPr>
      <w:r>
        <w:rPr>
          <w:rFonts w:ascii="宋体" w:hAnsi="宋体"/>
          <w:sz w:val="24"/>
        </w:rPr>
        <w:br w:type="page"/>
      </w:r>
      <w:bookmarkStart w:id="59" w:name="_Toc745"/>
      <w:bookmarkStart w:id="60" w:name="_Toc17531"/>
      <w:bookmarkStart w:id="61" w:name="_Toc127515219"/>
      <w:bookmarkStart w:id="62" w:name="_Toc16448"/>
      <w:bookmarkStart w:id="63" w:name="_Toc18423"/>
      <w:bookmarkStart w:id="64" w:name="_Toc8186"/>
      <w:r>
        <w:rPr>
          <w:rFonts w:hint="eastAsia" w:ascii="宋体" w:hAnsi="宋体" w:cs="宋体"/>
          <w:b/>
          <w:kern w:val="44"/>
          <w:sz w:val="28"/>
          <w:szCs w:val="28"/>
        </w:rPr>
        <w:t>第二章  开标、评标及定标办法</w:t>
      </w:r>
      <w:bookmarkEnd w:id="59"/>
      <w:bookmarkEnd w:id="60"/>
      <w:bookmarkEnd w:id="61"/>
      <w:bookmarkEnd w:id="62"/>
      <w:bookmarkEnd w:id="63"/>
      <w:bookmarkEnd w:id="64"/>
    </w:p>
    <w:p w14:paraId="7E1224E3">
      <w:pPr>
        <w:keepNext/>
        <w:keepLines/>
        <w:tabs>
          <w:tab w:val="right" w:leader="dot" w:pos="9060"/>
        </w:tabs>
        <w:snapToGrid w:val="0"/>
        <w:spacing w:before="120" w:after="120" w:line="412" w:lineRule="auto"/>
        <w:ind w:left="420"/>
        <w:jc w:val="center"/>
        <w:outlineLvl w:val="1"/>
        <w:rPr>
          <w:rFonts w:hint="eastAsia" w:ascii="宋体" w:hAnsi="宋体" w:cs="宋体"/>
          <w:b/>
          <w:kern w:val="0"/>
          <w:sz w:val="24"/>
          <w:szCs w:val="24"/>
          <w:lang w:val="zh-CN"/>
        </w:rPr>
      </w:pPr>
      <w:bookmarkStart w:id="65" w:name="_Toc9449"/>
      <w:bookmarkStart w:id="66" w:name="_Toc26753"/>
      <w:bookmarkStart w:id="67" w:name="_Toc29172"/>
      <w:bookmarkStart w:id="68" w:name="_Toc127515220"/>
      <w:bookmarkStart w:id="69" w:name="_Toc2287"/>
      <w:bookmarkStart w:id="70" w:name="_Toc477"/>
      <w:r>
        <w:rPr>
          <w:rFonts w:hint="eastAsia" w:ascii="宋体" w:hAnsi="宋体" w:cs="宋体"/>
          <w:b/>
          <w:kern w:val="0"/>
          <w:sz w:val="28"/>
          <w:szCs w:val="28"/>
          <w:lang w:val="zh-CN"/>
        </w:rPr>
        <w:t>一、</w:t>
      </w:r>
      <w:r>
        <w:rPr>
          <w:rFonts w:hint="eastAsia" w:ascii="宋体" w:hAnsi="宋体" w:cs="宋体"/>
          <w:b/>
          <w:kern w:val="0"/>
          <w:sz w:val="24"/>
          <w:szCs w:val="24"/>
          <w:lang w:val="zh-CN"/>
        </w:rPr>
        <w:t>开标、评标及定标办法修改表</w:t>
      </w:r>
      <w:bookmarkEnd w:id="65"/>
      <w:bookmarkEnd w:id="66"/>
      <w:bookmarkEnd w:id="67"/>
      <w:bookmarkEnd w:id="68"/>
      <w:bookmarkEnd w:id="69"/>
      <w:bookmarkEnd w:id="70"/>
    </w:p>
    <w:p w14:paraId="191E1320">
      <w:pPr>
        <w:spacing w:line="360" w:lineRule="auto"/>
        <w:ind w:firstLine="420"/>
        <w:rPr>
          <w:rFonts w:hint="eastAsia" w:ascii="宋体" w:hAnsi="宋体" w:cs="宋体"/>
          <w:b/>
          <w:szCs w:val="21"/>
        </w:rPr>
      </w:pPr>
      <w:r>
        <w:rPr>
          <w:rFonts w:hint="eastAsia" w:ascii="宋体" w:hAnsi="宋体" w:cs="宋体"/>
          <w:b/>
          <w:szCs w:val="21"/>
        </w:rPr>
        <w:t>声明：本</w:t>
      </w:r>
      <w:r>
        <w:rPr>
          <w:rFonts w:hint="eastAsia" w:ascii="宋体" w:hAnsi="宋体" w:cs="宋体"/>
          <w:b/>
        </w:rPr>
        <w:t>开标、评标及定标办法使用GZZB2018-3招标文件范本</w:t>
      </w:r>
      <w:r>
        <w:rPr>
          <w:rFonts w:hint="eastAsia" w:ascii="宋体" w:hAnsi="宋体" w:cs="宋体"/>
          <w:b/>
          <w:u w:val="single"/>
        </w:rPr>
        <w:t>[含招标文件范本（GZZB2018-3）修改对照表]</w:t>
      </w:r>
      <w:r>
        <w:rPr>
          <w:rFonts w:hint="eastAsia" w:ascii="宋体" w:hAnsi="宋体" w:cs="宋体"/>
          <w:b/>
        </w:rPr>
        <w:t>的开标、评标及定标办法通用条款，与该通用条   款不同之处，均在本表中列明，并以现文为准，原</w:t>
      </w:r>
      <w:r>
        <w:rPr>
          <w:rFonts w:hint="eastAsia" w:ascii="宋体" w:hAnsi="宋体" w:cs="宋体"/>
          <w:b/>
          <w:szCs w:val="21"/>
        </w:rPr>
        <w:t>文不再有效。本招标文件中不再转录</w:t>
      </w:r>
      <w:r>
        <w:rPr>
          <w:rFonts w:hint="eastAsia" w:ascii="宋体" w:hAnsi="宋体" w:cs="宋体"/>
          <w:b/>
        </w:rPr>
        <w:t>开标、评标及定标办法</w:t>
      </w:r>
      <w:r>
        <w:rPr>
          <w:rFonts w:hint="eastAsia" w:ascii="宋体" w:hAnsi="宋体" w:cs="宋体"/>
          <w:b/>
          <w:szCs w:val="21"/>
        </w:rPr>
        <w:t>通用条款，请投标人自行到广州市住房和城乡建设局网站（网址：</w:t>
      </w:r>
      <w:r>
        <w:fldChar w:fldCharType="begin"/>
      </w:r>
      <w:r>
        <w:instrText xml:space="preserve"> HYPERLINK "http://www.gzcc.gov.cn/）下载GZZB2018-3" </w:instrText>
      </w:r>
      <w:r>
        <w:fldChar w:fldCharType="separate"/>
      </w:r>
      <w:r>
        <w:rPr>
          <w:rFonts w:hint="eastAsia" w:ascii="宋体" w:hAnsi="宋体" w:cs="宋体"/>
          <w:b/>
          <w:szCs w:val="21"/>
        </w:rPr>
        <w:t>http://zfcj.gz.gov.cn/）下载GZZB2018-3</w:t>
      </w:r>
      <w:r>
        <w:rPr>
          <w:rFonts w:hint="eastAsia" w:ascii="宋体" w:hAnsi="宋体" w:cs="宋体"/>
          <w:b/>
          <w:szCs w:val="21"/>
        </w:rPr>
        <w:fldChar w:fldCharType="end"/>
      </w:r>
      <w:r>
        <w:rPr>
          <w:rFonts w:hint="eastAsia" w:ascii="宋体" w:hAnsi="宋体" w:cs="宋体"/>
          <w:b/>
          <w:szCs w:val="21"/>
        </w:rPr>
        <w:t>范本查阅。</w:t>
      </w:r>
    </w:p>
    <w:p w14:paraId="31D07370">
      <w:pPr>
        <w:spacing w:line="360" w:lineRule="auto"/>
        <w:ind w:firstLine="470" w:firstLineChars="224"/>
        <w:rPr>
          <w:b/>
          <w:szCs w:val="24"/>
        </w:rPr>
      </w:pPr>
      <w:r>
        <w:rPr>
          <w:rFonts w:hint="eastAsia"/>
          <w:b/>
          <w:szCs w:val="24"/>
        </w:rPr>
        <w:t>条款号：</w:t>
      </w:r>
      <w:r>
        <w:rPr>
          <w:rFonts w:hint="eastAsia" w:ascii="宋体" w:hAnsi="宋体" w:cs="宋体"/>
          <w:b/>
          <w:bCs/>
          <w:szCs w:val="21"/>
        </w:rPr>
        <w:t xml:space="preserve">36.1 </w:t>
      </w:r>
      <w:r>
        <w:rPr>
          <w:rFonts w:hint="eastAsia" w:ascii="宋体" w:hAnsi="宋体" w:cs="宋体"/>
          <w:sz w:val="24"/>
          <w:szCs w:val="24"/>
        </w:rPr>
        <w:t xml:space="preserve">     </w:t>
      </w:r>
      <w:r>
        <w:rPr>
          <w:rFonts w:hint="eastAsia"/>
          <w:b/>
          <w:szCs w:val="24"/>
        </w:rPr>
        <w:t>修改类型：修改</w:t>
      </w:r>
    </w:p>
    <w:p w14:paraId="24E96E19">
      <w:pPr>
        <w:spacing w:line="360" w:lineRule="auto"/>
        <w:ind w:firstLine="470" w:firstLineChars="224"/>
        <w:rPr>
          <w:rFonts w:hint="eastAsia" w:ascii="宋体" w:hAnsi="宋体" w:cs="宋体"/>
          <w:b/>
          <w:szCs w:val="21"/>
        </w:rPr>
      </w:pPr>
      <w:r>
        <w:rPr>
          <w:rFonts w:hint="eastAsia"/>
          <w:b/>
          <w:szCs w:val="24"/>
        </w:rPr>
        <w:t>原文：</w:t>
      </w:r>
      <w:r>
        <w:rPr>
          <w:rFonts w:hint="eastAsia" w:ascii="宋体" w:hAnsi="宋体" w:cs="宋体"/>
          <w:szCs w:val="21"/>
        </w:rPr>
        <w:t>招标人按投标须知前附表第18项所规定的时间和地点公开开标，并邀请所有投标人参加。截标后，开标开始时间因故推迟的，相关评标信息仍以原定的开标开始时间的信息为准。</w:t>
      </w:r>
    </w:p>
    <w:p w14:paraId="2A3189D4">
      <w:pPr>
        <w:pBdr>
          <w:bottom w:val="single" w:color="auto" w:sz="6" w:space="1"/>
        </w:pBdr>
        <w:spacing w:line="360" w:lineRule="auto"/>
        <w:ind w:firstLine="470" w:firstLineChars="224"/>
        <w:rPr>
          <w:rFonts w:hint="eastAsia" w:ascii="宋体" w:hAnsi="宋体" w:cs="宋体"/>
          <w:szCs w:val="21"/>
          <w:u w:val="single"/>
        </w:rPr>
      </w:pPr>
      <w:r>
        <w:rPr>
          <w:rFonts w:hint="eastAsia" w:ascii="宋体" w:hAnsi="宋体" w:cs="宋体"/>
          <w:b/>
          <w:szCs w:val="21"/>
        </w:rPr>
        <w:t>现文：</w:t>
      </w:r>
      <w:r>
        <w:rPr>
          <w:rFonts w:hint="eastAsia" w:ascii="宋体" w:hAnsi="宋体" w:cs="宋体"/>
          <w:szCs w:val="21"/>
        </w:rPr>
        <w:t>36.1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szCs w:val="21"/>
          <w:u w:val="single"/>
        </w:rPr>
        <w:t>若投标人不参加开标会的，其投标文件在开标现场的投标人或招标人代表、招标代理机构代表及交易中心代表见证下公开开启、解密、公布，并视同该投标人认可开标结果。</w:t>
      </w:r>
    </w:p>
    <w:p w14:paraId="49814E33">
      <w:pPr>
        <w:spacing w:line="360" w:lineRule="auto"/>
        <w:ind w:firstLine="470" w:firstLineChars="224"/>
        <w:rPr>
          <w:b/>
          <w:szCs w:val="24"/>
        </w:rPr>
      </w:pPr>
      <w:r>
        <w:rPr>
          <w:rFonts w:hint="eastAsia"/>
          <w:b/>
          <w:szCs w:val="24"/>
        </w:rPr>
        <w:t>条款号：36.3</w:t>
      </w:r>
      <w:r>
        <w:rPr>
          <w:b/>
          <w:szCs w:val="24"/>
        </w:rPr>
        <w:t xml:space="preserve">             </w:t>
      </w:r>
      <w:r>
        <w:rPr>
          <w:rFonts w:hint="eastAsia"/>
          <w:b/>
          <w:szCs w:val="24"/>
        </w:rPr>
        <w:t>修改类型：删除</w:t>
      </w:r>
    </w:p>
    <w:p w14:paraId="00A1DF9C">
      <w:pPr>
        <w:pBdr>
          <w:bottom w:val="single" w:color="auto" w:sz="6" w:space="1"/>
        </w:pBdr>
        <w:spacing w:line="360" w:lineRule="auto"/>
        <w:ind w:firstLine="470" w:firstLineChars="224"/>
        <w:rPr>
          <w:b/>
          <w:szCs w:val="24"/>
        </w:rPr>
      </w:pPr>
      <w:r>
        <w:rPr>
          <w:rFonts w:hint="eastAsia"/>
          <w:b/>
          <w:szCs w:val="24"/>
        </w:rPr>
        <w:t>原文：</w:t>
      </w:r>
      <w:r>
        <w:rPr>
          <w:rFonts w:hint="eastAsia"/>
          <w:szCs w:val="24"/>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5D0C186C">
      <w:pPr>
        <w:spacing w:line="360" w:lineRule="auto"/>
        <w:ind w:firstLine="470" w:firstLineChars="224"/>
        <w:rPr>
          <w:b/>
          <w:szCs w:val="24"/>
        </w:rPr>
      </w:pPr>
      <w:r>
        <w:rPr>
          <w:rFonts w:hint="eastAsia"/>
          <w:b/>
          <w:szCs w:val="24"/>
        </w:rPr>
        <w:t>条款号：36.5.1</w:t>
      </w:r>
      <w:r>
        <w:rPr>
          <w:b/>
          <w:szCs w:val="24"/>
        </w:rPr>
        <w:t xml:space="preserve">             </w:t>
      </w:r>
      <w:r>
        <w:rPr>
          <w:rFonts w:hint="eastAsia"/>
          <w:b/>
          <w:szCs w:val="24"/>
        </w:rPr>
        <w:t>修改类型：修改</w:t>
      </w:r>
    </w:p>
    <w:p w14:paraId="3411BC48">
      <w:pPr>
        <w:spacing w:line="360" w:lineRule="auto"/>
        <w:ind w:firstLine="470" w:firstLineChars="224"/>
        <w:rPr>
          <w:b/>
          <w:szCs w:val="24"/>
        </w:rPr>
      </w:pPr>
      <w:r>
        <w:rPr>
          <w:rFonts w:hint="eastAsia"/>
          <w:b/>
          <w:szCs w:val="24"/>
        </w:rPr>
        <w:t>原文：</w:t>
      </w:r>
      <w:r>
        <w:rPr>
          <w:rFonts w:hint="eastAsia"/>
          <w:szCs w:val="24"/>
        </w:rPr>
        <w:t>36.5.1在投标截止时间后半小时内，投标人通过</w:t>
      </w:r>
      <w:r>
        <w:rPr>
          <w:szCs w:val="24"/>
          <w:u w:val="single"/>
        </w:rPr>
        <w:t xml:space="preserve">        </w:t>
      </w:r>
      <w:r>
        <w:rPr>
          <w:rFonts w:hint="eastAsia"/>
          <w:szCs w:val="24"/>
        </w:rPr>
        <w:t>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14:paraId="2770DB51">
      <w:pPr>
        <w:pBdr>
          <w:bottom w:val="single" w:color="auto" w:sz="6" w:space="1"/>
        </w:pBdr>
        <w:spacing w:line="360" w:lineRule="auto"/>
        <w:ind w:firstLine="525" w:firstLineChars="250"/>
        <w:rPr>
          <w:szCs w:val="24"/>
        </w:rPr>
      </w:pPr>
      <w:r>
        <w:rPr>
          <w:rFonts w:hint="eastAsia"/>
          <w:b/>
          <w:szCs w:val="24"/>
        </w:rPr>
        <w:t>现文：</w:t>
      </w:r>
      <w:r>
        <w:rPr>
          <w:rFonts w:hint="eastAsia"/>
          <w:szCs w:val="24"/>
        </w:rPr>
        <w:t>36.5.1在投标截止时间后半小时内，投标人通过</w:t>
      </w:r>
      <w:r>
        <w:rPr>
          <w:rFonts w:hint="eastAsia"/>
          <w:szCs w:val="24"/>
          <w:u w:val="single"/>
        </w:rPr>
        <w:t>广州交易集团有限公司（广州公共资源交易中心）</w:t>
      </w:r>
      <w:r>
        <w:rPr>
          <w:rFonts w:hint="eastAsia"/>
          <w:szCs w:val="24"/>
        </w:rPr>
        <w:t>交易平台对已递交的电子投标文件进行解密。投标人完成解密后，再由招标人</w:t>
      </w:r>
      <w:r>
        <w:rPr>
          <w:rFonts w:hint="eastAsia" w:ascii="宋体" w:hAnsi="宋体" w:cs="宋体"/>
          <w:szCs w:val="21"/>
          <w:u w:val="single"/>
        </w:rPr>
        <w:t>或招标代理</w:t>
      </w:r>
      <w:r>
        <w:rPr>
          <w:rFonts w:hint="eastAsia"/>
          <w:szCs w:val="24"/>
        </w:rPr>
        <w:t>进行解密。解密完成后，公布招标项目名称、投标人名称、投标保证金的递交情况、投标报价、工期及其他内容；</w:t>
      </w:r>
    </w:p>
    <w:p w14:paraId="2F9A7F01">
      <w:pPr>
        <w:spacing w:line="360" w:lineRule="auto"/>
        <w:ind w:firstLine="470" w:firstLineChars="224"/>
        <w:rPr>
          <w:b/>
          <w:szCs w:val="24"/>
        </w:rPr>
      </w:pPr>
      <w:r>
        <w:rPr>
          <w:rFonts w:hint="eastAsia"/>
          <w:b/>
          <w:szCs w:val="24"/>
        </w:rPr>
        <w:t>条款号：</w:t>
      </w:r>
      <w:r>
        <w:rPr>
          <w:b/>
          <w:szCs w:val="24"/>
        </w:rPr>
        <w:t xml:space="preserve">  </w:t>
      </w:r>
      <w:r>
        <w:rPr>
          <w:rFonts w:hint="eastAsia"/>
          <w:b/>
          <w:szCs w:val="24"/>
        </w:rPr>
        <w:t>36.5.3</w:t>
      </w:r>
      <w:r>
        <w:rPr>
          <w:b/>
          <w:szCs w:val="24"/>
        </w:rPr>
        <w:t xml:space="preserve">           </w:t>
      </w:r>
      <w:r>
        <w:rPr>
          <w:rFonts w:hint="eastAsia"/>
          <w:b/>
          <w:szCs w:val="24"/>
        </w:rPr>
        <w:t>修改类型：修改</w:t>
      </w:r>
    </w:p>
    <w:p w14:paraId="55071544">
      <w:pPr>
        <w:spacing w:line="360" w:lineRule="auto"/>
        <w:ind w:firstLine="420" w:firstLineChars="200"/>
        <w:rPr>
          <w:szCs w:val="24"/>
        </w:rPr>
      </w:pPr>
      <w:r>
        <w:rPr>
          <w:rFonts w:hint="eastAsia"/>
          <w:b/>
          <w:szCs w:val="24"/>
        </w:rPr>
        <w:t>原文：</w:t>
      </w:r>
      <w:r>
        <w:rPr>
          <w:rFonts w:hint="eastAsia"/>
          <w:szCs w:val="24"/>
        </w:rPr>
        <w:t>36.5.3投标人代表、招标人代表、监标人、记录人等有关人员在开标记录上签字确认；若有关人员不签字的，不影响开标程序；</w:t>
      </w:r>
    </w:p>
    <w:p w14:paraId="0BC7AB9F">
      <w:pPr>
        <w:pBdr>
          <w:bottom w:val="single" w:color="auto" w:sz="6" w:space="1"/>
        </w:pBdr>
        <w:spacing w:line="360" w:lineRule="auto"/>
        <w:ind w:firstLine="470" w:firstLineChars="224"/>
        <w:rPr>
          <w:b/>
          <w:szCs w:val="24"/>
        </w:rPr>
      </w:pPr>
      <w:r>
        <w:rPr>
          <w:b/>
          <w:szCs w:val="24"/>
        </w:rPr>
        <w:t>现文</w:t>
      </w:r>
      <w:r>
        <w:rPr>
          <w:rFonts w:hint="eastAsia"/>
          <w:b/>
          <w:szCs w:val="24"/>
        </w:rPr>
        <w:t>：</w:t>
      </w:r>
      <w:r>
        <w:rPr>
          <w:rFonts w:hint="eastAsia"/>
          <w:szCs w:val="24"/>
        </w:rPr>
        <w:t>36.5.3投标人代表、招标人代表、监标人、记录人等有关人员在开标记录上签字确认；若有关人员不签字的，不影响开标程序；</w:t>
      </w:r>
      <w:r>
        <w:rPr>
          <w:rFonts w:hint="eastAsia"/>
          <w:szCs w:val="24"/>
          <w:u w:val="single"/>
        </w:rPr>
        <w:t>若投标人不参加开标会的，或不签字确认的，视同该投标人认可开标结果。</w:t>
      </w:r>
    </w:p>
    <w:p w14:paraId="060FA50B">
      <w:pPr>
        <w:spacing w:line="360" w:lineRule="auto"/>
        <w:ind w:firstLine="470" w:firstLineChars="224"/>
        <w:rPr>
          <w:b/>
          <w:szCs w:val="24"/>
        </w:rPr>
      </w:pPr>
      <w:r>
        <w:rPr>
          <w:rFonts w:hint="eastAsia"/>
          <w:b/>
          <w:szCs w:val="24"/>
        </w:rPr>
        <w:t>条款号：</w:t>
      </w:r>
      <w:r>
        <w:rPr>
          <w:b/>
          <w:szCs w:val="24"/>
        </w:rPr>
        <w:t xml:space="preserve">38.1            </w:t>
      </w:r>
      <w:r>
        <w:rPr>
          <w:rFonts w:hint="eastAsia"/>
          <w:b/>
          <w:szCs w:val="24"/>
        </w:rPr>
        <w:t>修改类型：修改</w:t>
      </w:r>
    </w:p>
    <w:p w14:paraId="213B45E7">
      <w:pPr>
        <w:spacing w:line="360" w:lineRule="auto"/>
        <w:ind w:firstLine="470" w:firstLineChars="224"/>
        <w:rPr>
          <w:szCs w:val="24"/>
        </w:rPr>
      </w:pPr>
      <w:r>
        <w:rPr>
          <w:rFonts w:hint="eastAsia"/>
          <w:b/>
          <w:szCs w:val="24"/>
        </w:rPr>
        <w:t>原文：</w:t>
      </w:r>
      <w:r>
        <w:rPr>
          <w:rFonts w:hint="eastAsia"/>
          <w:szCs w:val="24"/>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79F57D84">
      <w:pPr>
        <w:pBdr>
          <w:bottom w:val="single" w:color="auto" w:sz="12" w:space="1"/>
        </w:pBdr>
        <w:spacing w:line="360" w:lineRule="auto"/>
        <w:ind w:firstLine="420"/>
        <w:rPr>
          <w:szCs w:val="24"/>
        </w:rPr>
      </w:pPr>
      <w:r>
        <w:rPr>
          <w:rFonts w:hint="eastAsia"/>
          <w:b/>
          <w:szCs w:val="24"/>
        </w:rPr>
        <w:t>现文：</w:t>
      </w:r>
      <w:r>
        <w:rPr>
          <w:rFonts w:hint="eastAsia"/>
          <w:szCs w:val="24"/>
        </w:rPr>
        <w:t>38.1为有助于投标文件的审查、评价和比较，评标期间，经评标委员会或评标委员会专业评审组中两人以上（含两人）</w:t>
      </w:r>
      <w:r>
        <w:rPr>
          <w:rFonts w:hint="eastAsia" w:ascii="宋体" w:hAnsi="宋体" w:cs="宋体"/>
          <w:szCs w:val="21"/>
          <w:u w:val="single"/>
        </w:rPr>
        <w:t>的成员</w:t>
      </w:r>
      <w:r>
        <w:rPr>
          <w:rFonts w:hint="eastAsia"/>
          <w:szCs w:val="24"/>
        </w:rPr>
        <w:t>以书面形式提出动议，评标委员会或评标委员会专业评审组应当书面发出澄清通知，</w:t>
      </w:r>
      <w:r>
        <w:rPr>
          <w:rFonts w:hint="eastAsia" w:ascii="宋体" w:hAnsi="宋体" w:cs="宋体"/>
          <w:szCs w:val="21"/>
        </w:rPr>
        <w:t>要求投标人对投标文件含义不明确</w:t>
      </w:r>
      <w:r>
        <w:rPr>
          <w:rFonts w:hint="eastAsia" w:ascii="宋体" w:hAnsi="宋体" w:cs="宋体"/>
          <w:szCs w:val="21"/>
          <w:u w:val="single"/>
        </w:rPr>
        <w:t>、对同类问题表述不一致、有明显文字和计算错误的内容以及细微偏差</w:t>
      </w:r>
      <w:r>
        <w:rPr>
          <w:rFonts w:hint="eastAsia" w:ascii="宋体" w:hAnsi="宋体" w:cs="宋体"/>
          <w:szCs w:val="21"/>
        </w:rPr>
        <w:t>的内容作出澄清。</w:t>
      </w:r>
    </w:p>
    <w:p w14:paraId="59DD1F8C">
      <w:pPr>
        <w:spacing w:line="360" w:lineRule="auto"/>
        <w:ind w:firstLine="422" w:firstLineChars="201"/>
        <w:rPr>
          <w:rFonts w:hint="eastAsia" w:ascii="宋体" w:hAnsi="宋体" w:cs="宋体"/>
          <w:sz w:val="24"/>
          <w:szCs w:val="24"/>
        </w:rPr>
      </w:pPr>
      <w:r>
        <w:rPr>
          <w:rFonts w:hint="eastAsia" w:ascii="宋体" w:hAnsi="宋体" w:cs="宋体"/>
          <w:b/>
          <w:szCs w:val="21"/>
        </w:rPr>
        <w:t>条款号：39.3                        修改类型：修改</w:t>
      </w:r>
    </w:p>
    <w:p w14:paraId="13101B99">
      <w:pPr>
        <w:spacing w:line="360" w:lineRule="auto"/>
        <w:ind w:firstLine="422" w:firstLineChars="201"/>
        <w:rPr>
          <w:rFonts w:hint="eastAsia" w:ascii="宋体" w:hAnsi="宋体" w:cs="宋体"/>
          <w:szCs w:val="21"/>
        </w:rPr>
      </w:pPr>
      <w:r>
        <w:rPr>
          <w:rFonts w:hint="eastAsia" w:ascii="宋体" w:hAnsi="宋体" w:cs="宋体"/>
          <w:b/>
          <w:bCs/>
          <w:szCs w:val="21"/>
        </w:rPr>
        <w:t>原文：</w:t>
      </w:r>
      <w:r>
        <w:rPr>
          <w:rFonts w:hint="eastAsia" w:ascii="宋体" w:hAnsi="宋体" w:cs="宋体"/>
          <w:szCs w:val="21"/>
        </w:rPr>
        <w:t>39.3排名第一的中标候选人放弃中标、或因不可抗力提出不能履行合同，或者招标文件规定应当提交履约担保而在规定的期限内未能提交的，招标人可以确定排名第二的中标候选人为中标人。</w:t>
      </w:r>
    </w:p>
    <w:p w14:paraId="6BFF78F9">
      <w:pPr>
        <w:pBdr>
          <w:bottom w:val="single" w:color="auto" w:sz="6" w:space="1"/>
        </w:pBdr>
        <w:spacing w:line="360" w:lineRule="auto"/>
        <w:ind w:firstLine="420" w:firstLineChars="200"/>
        <w:rPr>
          <w:rFonts w:cs="宋体"/>
          <w:szCs w:val="24"/>
          <w:u w:val="single"/>
        </w:rPr>
      </w:pPr>
      <w:r>
        <w:rPr>
          <w:rFonts w:hint="eastAsia" w:ascii="宋体" w:hAnsi="宋体" w:cs="宋体"/>
          <w:b/>
          <w:szCs w:val="21"/>
        </w:rPr>
        <w:t>现文：</w:t>
      </w:r>
      <w:r>
        <w:rPr>
          <w:rFonts w:hint="eastAsia" w:ascii="宋体" w:hAnsi="宋体" w:cs="宋体"/>
          <w:szCs w:val="21"/>
        </w:rPr>
        <w:t>39.3</w:t>
      </w:r>
      <w:r>
        <w:rPr>
          <w:rFonts w:hint="eastAsia" w:ascii="宋体" w:hAnsi="宋体" w:cs="宋体"/>
          <w:bCs/>
          <w:szCs w:val="21"/>
        </w:rPr>
        <w:t>排名第一的中标候选人放弃中标、</w:t>
      </w:r>
      <w:r>
        <w:rPr>
          <w:rFonts w:hint="eastAsia" w:ascii="宋体" w:hAnsi="宋体" w:cs="宋体"/>
          <w:bCs/>
          <w:szCs w:val="21"/>
          <w:u w:val="single"/>
        </w:rPr>
        <w:t>或因不可抗力不能履行合同，或不按照招标文件要求提交履约担保，或经核查发现委派的项目负责人已在其他在建项目中任职的，或者被查实存在影响中标结果的违法行为的，或其他不符合中标条件的情形，招标人可以确定排名第二的中标候选人为中标人。</w:t>
      </w:r>
    </w:p>
    <w:p w14:paraId="42D0D1BB">
      <w:pPr>
        <w:spacing w:line="360" w:lineRule="auto"/>
        <w:ind w:firstLine="537" w:firstLineChars="224"/>
        <w:rPr>
          <w:rFonts w:hint="eastAsia" w:ascii="宋体" w:hAnsi="宋体" w:cs="宋体"/>
          <w:b/>
          <w:sz w:val="24"/>
          <w:szCs w:val="24"/>
        </w:rPr>
      </w:pPr>
      <w:r>
        <w:rPr>
          <w:rFonts w:hint="eastAsia" w:ascii="宋体" w:hAnsi="宋体" w:cs="宋体"/>
          <w:b/>
          <w:sz w:val="24"/>
          <w:szCs w:val="24"/>
        </w:rPr>
        <w:t>条款号： 评标办法        修改类型：删除</w:t>
      </w:r>
    </w:p>
    <w:p w14:paraId="600AD4B7">
      <w:pPr>
        <w:pBdr>
          <w:bottom w:val="single" w:color="auto" w:sz="6" w:space="1"/>
        </w:pBdr>
        <w:spacing w:line="360" w:lineRule="auto"/>
        <w:ind w:firstLine="420" w:firstLineChars="200"/>
        <w:rPr>
          <w:szCs w:val="24"/>
        </w:rPr>
      </w:pPr>
      <w:r>
        <w:rPr>
          <w:rFonts w:hint="eastAsia" w:cs="宋体"/>
          <w:b/>
          <w:szCs w:val="24"/>
        </w:rPr>
        <w:t>原文：</w:t>
      </w:r>
      <w:r>
        <w:rPr>
          <w:rFonts w:hint="eastAsia"/>
        </w:rPr>
        <w:t>可选</w:t>
      </w:r>
      <w:r>
        <w:rPr>
          <w:rFonts w:hint="eastAsia" w:cs="宋体"/>
          <w:szCs w:val="24"/>
        </w:rPr>
        <w:t>办法</w:t>
      </w:r>
      <w:r>
        <w:rPr>
          <w:rFonts w:hint="eastAsia"/>
        </w:rPr>
        <w:t>一（适合综合评分法一，技术标与经济标先后分别开启）</w:t>
      </w:r>
    </w:p>
    <w:p w14:paraId="1A8F4BE5">
      <w:pPr>
        <w:pBdr>
          <w:bottom w:val="single" w:color="auto" w:sz="6" w:space="1"/>
        </w:pBdr>
        <w:spacing w:line="360" w:lineRule="auto"/>
        <w:ind w:firstLine="1155" w:firstLineChars="550"/>
      </w:pPr>
      <w:r>
        <w:rPr>
          <w:rFonts w:hint="eastAsia"/>
        </w:rPr>
        <w:t>可选</w:t>
      </w:r>
      <w:r>
        <w:rPr>
          <w:rFonts w:hint="eastAsia" w:cs="宋体"/>
          <w:szCs w:val="24"/>
        </w:rPr>
        <w:t>办法</w:t>
      </w:r>
      <w:r>
        <w:rPr>
          <w:rFonts w:hint="eastAsia"/>
        </w:rPr>
        <w:t>二（适合综合评分法一，技术标与经济标同时开启）</w:t>
      </w:r>
    </w:p>
    <w:p w14:paraId="065F5AC0">
      <w:pPr>
        <w:pBdr>
          <w:bottom w:val="single" w:color="auto" w:sz="6" w:space="1"/>
        </w:pBdr>
        <w:spacing w:line="360" w:lineRule="auto"/>
        <w:ind w:firstLine="1155" w:firstLineChars="550"/>
      </w:pPr>
      <w:r>
        <w:rPr>
          <w:rFonts w:hint="eastAsia"/>
        </w:rPr>
        <w:t>可选办法三（适合综合评分法二，技术标与经济标先后分别开启）</w:t>
      </w:r>
    </w:p>
    <w:p w14:paraId="132920F7">
      <w:pPr>
        <w:pBdr>
          <w:bottom w:val="single" w:color="auto" w:sz="6" w:space="1"/>
        </w:pBdr>
        <w:spacing w:line="360" w:lineRule="auto"/>
        <w:ind w:firstLine="1155" w:firstLineChars="550"/>
      </w:pPr>
      <w:r>
        <w:rPr>
          <w:rFonts w:hint="eastAsia"/>
        </w:rPr>
        <w:t>可选办法四（适合综合评分法二，技术标与经济标同时开启）</w:t>
      </w:r>
    </w:p>
    <w:p w14:paraId="2BE25376">
      <w:pPr>
        <w:pBdr>
          <w:bottom w:val="single" w:color="auto" w:sz="6" w:space="1"/>
        </w:pBdr>
        <w:spacing w:line="360" w:lineRule="auto"/>
        <w:ind w:firstLine="1155" w:firstLineChars="550"/>
      </w:pPr>
      <w:r>
        <w:rPr>
          <w:rFonts w:hint="eastAsia"/>
        </w:rPr>
        <w:t>可选办法五（适合综合评分法三，技术标与经济标先后分别开启）</w:t>
      </w:r>
    </w:p>
    <w:p w14:paraId="24A8A465">
      <w:pPr>
        <w:pBdr>
          <w:bottom w:val="single" w:color="auto" w:sz="6" w:space="1"/>
        </w:pBdr>
        <w:spacing w:line="360" w:lineRule="auto"/>
        <w:ind w:firstLine="1155" w:firstLineChars="550"/>
      </w:pPr>
      <w:r>
        <w:rPr>
          <w:rFonts w:hint="eastAsia"/>
        </w:rPr>
        <w:t>可选办法六（适合综合评分法三，技术标与经济标同时开启）</w:t>
      </w:r>
    </w:p>
    <w:p w14:paraId="74B777F3">
      <w:pPr>
        <w:pBdr>
          <w:bottom w:val="single" w:color="auto" w:sz="6" w:space="1"/>
        </w:pBdr>
        <w:spacing w:line="360" w:lineRule="auto"/>
        <w:ind w:firstLine="1155" w:firstLineChars="550"/>
        <w:rPr>
          <w:rFonts w:cs="宋体"/>
          <w:szCs w:val="24"/>
        </w:rPr>
      </w:pPr>
      <w:r>
        <w:rPr>
          <w:rFonts w:hint="eastAsia"/>
        </w:rPr>
        <w:t>可选办法八（适合经评审的最低投标价法，技术标与经济标同时开启）</w:t>
      </w:r>
    </w:p>
    <w:p w14:paraId="3D81AD7F">
      <w:pPr>
        <w:spacing w:line="360" w:lineRule="auto"/>
        <w:ind w:firstLine="422" w:firstLineChars="201"/>
        <w:rPr>
          <w:rFonts w:hint="eastAsia" w:ascii="宋体" w:hAnsi="宋体" w:cs="宋体"/>
          <w:b/>
          <w:szCs w:val="21"/>
        </w:rPr>
      </w:pPr>
      <w:r>
        <w:rPr>
          <w:rFonts w:hint="eastAsia" w:ascii="宋体" w:hAnsi="宋体" w:cs="宋体"/>
          <w:b/>
          <w:szCs w:val="21"/>
        </w:rPr>
        <w:t>条款号：39.6                 修改类型：新增</w:t>
      </w:r>
    </w:p>
    <w:p w14:paraId="32E9C3AB">
      <w:pPr>
        <w:pBdr>
          <w:bottom w:val="single" w:color="auto" w:sz="4" w:space="0"/>
        </w:pBdr>
        <w:spacing w:line="360" w:lineRule="auto"/>
        <w:ind w:firstLine="422" w:firstLineChars="201"/>
        <w:rPr>
          <w:rFonts w:hint="eastAsia" w:ascii="宋体" w:hAnsi="宋体" w:cs="宋体"/>
          <w:szCs w:val="21"/>
        </w:rPr>
      </w:pPr>
      <w:r>
        <w:rPr>
          <w:rFonts w:hint="eastAsia" w:ascii="宋体" w:hAnsi="宋体" w:cs="宋体"/>
          <w:szCs w:val="21"/>
        </w:rPr>
        <w:t>现文：39.6本项目不允许施工中标人与本项目监理中标人存在隶属关系或者其他利害关系，如经确认存在上述情况，在本项目的施工合同和监理合同签订前，允许监理中标人或施工中标人任一方可以自愿选择放弃本项目的中标权利，招标人依法选择第二中标候选人为中标人，排名第二的中标候选人出现上述所列的情形的，招标人依法确定排名第三的中标候选人为中标人。以此类推，如所有中标候选人均出现前款所列的情形，为招标失败，招标人依法重新招标。</w:t>
      </w:r>
    </w:p>
    <w:p w14:paraId="4D044B7D">
      <w:pPr>
        <w:spacing w:line="360" w:lineRule="auto"/>
        <w:ind w:firstLine="422" w:firstLineChars="201"/>
        <w:rPr>
          <w:rFonts w:hint="eastAsia" w:ascii="宋体" w:hAnsi="宋体" w:cs="宋体"/>
          <w:b/>
          <w:szCs w:val="21"/>
        </w:rPr>
      </w:pPr>
      <w:r>
        <w:rPr>
          <w:rFonts w:hint="eastAsia" w:ascii="宋体" w:hAnsi="宋体" w:cs="宋体"/>
          <w:b/>
          <w:szCs w:val="21"/>
        </w:rPr>
        <w:t>条款号：40                          修改类型：修改</w:t>
      </w:r>
    </w:p>
    <w:p w14:paraId="38D0E87B">
      <w:pPr>
        <w:spacing w:line="360" w:lineRule="auto"/>
        <w:ind w:firstLine="422" w:firstLineChars="201"/>
        <w:rPr>
          <w:rFonts w:hint="eastAsia" w:ascii="宋体" w:hAnsi="宋体" w:cs="宋体"/>
          <w:szCs w:val="21"/>
        </w:rPr>
      </w:pPr>
      <w:r>
        <w:rPr>
          <w:rFonts w:hint="eastAsia" w:ascii="宋体" w:hAnsi="宋体" w:cs="宋体"/>
          <w:b/>
          <w:szCs w:val="21"/>
        </w:rPr>
        <w:t>原文：</w:t>
      </w:r>
      <w:r>
        <w:rPr>
          <w:rFonts w:hint="eastAsia" w:ascii="宋体" w:hAnsi="宋体" w:cs="宋体"/>
          <w:szCs w:val="21"/>
        </w:rPr>
        <w:t>40．开标和评标程序</w:t>
      </w:r>
    </w:p>
    <w:p w14:paraId="41738A01">
      <w:pPr>
        <w:spacing w:line="360" w:lineRule="auto"/>
        <w:ind w:firstLine="422" w:firstLineChars="201"/>
        <w:rPr>
          <w:rFonts w:hint="eastAsia" w:ascii="宋体" w:hAnsi="宋体" w:cs="宋体"/>
          <w:szCs w:val="21"/>
        </w:rPr>
      </w:pPr>
      <w:r>
        <w:rPr>
          <w:rFonts w:hint="eastAsia" w:ascii="宋体" w:hAnsi="宋体" w:cs="宋体"/>
          <w:szCs w:val="21"/>
        </w:rPr>
        <w:t>40．开标和评标程序</w:t>
      </w:r>
    </w:p>
    <w:p w14:paraId="0882219B">
      <w:pPr>
        <w:spacing w:line="360" w:lineRule="auto"/>
        <w:ind w:firstLine="422" w:firstLineChars="201"/>
        <w:rPr>
          <w:rFonts w:hint="eastAsia" w:ascii="宋体" w:hAnsi="宋体" w:cs="宋体"/>
          <w:szCs w:val="21"/>
        </w:rPr>
      </w:pPr>
      <w:r>
        <w:rPr>
          <w:rFonts w:hint="eastAsia" w:ascii="宋体" w:hAnsi="宋体" w:cs="宋体"/>
          <w:szCs w:val="21"/>
        </w:rPr>
        <w:t>40.1技术标（含资格审查文件）与经济标投标文件同时公开开标；</w:t>
      </w:r>
    </w:p>
    <w:p w14:paraId="034FF79A">
      <w:pPr>
        <w:spacing w:line="360" w:lineRule="auto"/>
        <w:ind w:firstLine="422" w:firstLineChars="201"/>
        <w:rPr>
          <w:rFonts w:hint="eastAsia" w:ascii="宋体" w:hAnsi="宋体" w:cs="宋体"/>
          <w:szCs w:val="21"/>
        </w:rPr>
      </w:pPr>
      <w:r>
        <w:rPr>
          <w:rFonts w:hint="eastAsia" w:ascii="宋体" w:hAnsi="宋体" w:cs="宋体"/>
          <w:szCs w:val="21"/>
        </w:rPr>
        <w:t>40.2由评标委员会对所有已公开开标的投标人进行资格审查；</w:t>
      </w:r>
    </w:p>
    <w:p w14:paraId="2DDA7C94">
      <w:pPr>
        <w:spacing w:line="360" w:lineRule="auto"/>
        <w:ind w:firstLine="422" w:firstLineChars="201"/>
        <w:rPr>
          <w:rFonts w:hint="eastAsia" w:ascii="宋体" w:hAnsi="宋体" w:cs="宋体"/>
          <w:szCs w:val="21"/>
        </w:rPr>
      </w:pPr>
      <w:r>
        <w:rPr>
          <w:rFonts w:hint="eastAsia" w:ascii="宋体" w:hAnsi="宋体" w:cs="宋体"/>
          <w:szCs w:val="21"/>
        </w:rPr>
        <w:t>40.3技术标投标文件有效性审查；</w:t>
      </w:r>
    </w:p>
    <w:p w14:paraId="31EA04FF">
      <w:pPr>
        <w:spacing w:line="360" w:lineRule="auto"/>
        <w:ind w:firstLine="422" w:firstLineChars="201"/>
        <w:rPr>
          <w:rFonts w:hint="eastAsia" w:ascii="宋体" w:hAnsi="宋体" w:cs="宋体"/>
          <w:szCs w:val="21"/>
        </w:rPr>
      </w:pPr>
      <w:r>
        <w:rPr>
          <w:rFonts w:hint="eastAsia" w:ascii="宋体" w:hAnsi="宋体" w:cs="宋体"/>
          <w:szCs w:val="21"/>
        </w:rPr>
        <w:t>40.4技术标详细审查评分；</w:t>
      </w:r>
    </w:p>
    <w:p w14:paraId="79CE8333">
      <w:pPr>
        <w:spacing w:line="360" w:lineRule="auto"/>
        <w:ind w:firstLine="422" w:firstLineChars="201"/>
        <w:rPr>
          <w:rFonts w:hint="eastAsia" w:ascii="宋体" w:hAnsi="宋体" w:cs="宋体"/>
          <w:szCs w:val="21"/>
        </w:rPr>
      </w:pPr>
      <w:r>
        <w:rPr>
          <w:rFonts w:hint="eastAsia" w:ascii="宋体" w:hAnsi="宋体" w:cs="宋体"/>
          <w:szCs w:val="21"/>
        </w:rPr>
        <w:t xml:space="preserve">40.5经济标详细审查评分； </w:t>
      </w:r>
    </w:p>
    <w:p w14:paraId="028C3032">
      <w:pPr>
        <w:spacing w:line="360" w:lineRule="auto"/>
        <w:ind w:firstLine="422" w:firstLineChars="201"/>
        <w:rPr>
          <w:rFonts w:hint="eastAsia" w:ascii="宋体" w:hAnsi="宋体" w:cs="宋体"/>
          <w:szCs w:val="21"/>
        </w:rPr>
      </w:pPr>
      <w:r>
        <w:rPr>
          <w:rFonts w:hint="eastAsia" w:ascii="宋体" w:hAnsi="宋体" w:cs="宋体"/>
          <w:szCs w:val="21"/>
        </w:rPr>
        <w:t>40.6评标委员会按照投标人总得分由高至低排序；</w:t>
      </w:r>
    </w:p>
    <w:p w14:paraId="57219A98">
      <w:pPr>
        <w:spacing w:line="360" w:lineRule="auto"/>
        <w:ind w:firstLine="422" w:firstLineChars="201"/>
        <w:rPr>
          <w:rFonts w:hint="eastAsia" w:ascii="宋体" w:hAnsi="宋体" w:cs="宋体"/>
          <w:szCs w:val="21"/>
        </w:rPr>
      </w:pPr>
      <w:r>
        <w:rPr>
          <w:rFonts w:hint="eastAsia" w:ascii="宋体" w:hAnsi="宋体" w:cs="宋体"/>
          <w:szCs w:val="21"/>
        </w:rPr>
        <w:t>40.7经济标投标文件有效性审查；</w:t>
      </w:r>
    </w:p>
    <w:p w14:paraId="3F34AE69">
      <w:pPr>
        <w:spacing w:line="360" w:lineRule="auto"/>
        <w:ind w:firstLine="422" w:firstLineChars="201"/>
        <w:rPr>
          <w:rFonts w:hint="eastAsia" w:ascii="宋体" w:hAnsi="宋体" w:cs="宋体"/>
          <w:b/>
          <w:szCs w:val="21"/>
        </w:rPr>
      </w:pPr>
      <w:r>
        <w:rPr>
          <w:rFonts w:hint="eastAsia" w:ascii="宋体" w:hAnsi="宋体" w:cs="宋体"/>
          <w:szCs w:val="21"/>
        </w:rPr>
        <w:t>40.8评标委员会按排序向招标人推荐中标候选人名单，并递交资格审查报告及评标报告。</w:t>
      </w:r>
    </w:p>
    <w:p w14:paraId="6313BFEB">
      <w:pPr>
        <w:pBdr>
          <w:bottom w:val="single" w:color="auto" w:sz="6" w:space="1"/>
        </w:pBdr>
        <w:spacing w:line="360" w:lineRule="auto"/>
        <w:ind w:firstLine="422" w:firstLineChars="201"/>
        <w:rPr>
          <w:rFonts w:hint="eastAsia" w:ascii="宋体" w:hAnsi="宋体" w:cs="宋体"/>
          <w:szCs w:val="21"/>
        </w:rPr>
      </w:pPr>
      <w:r>
        <w:rPr>
          <w:rFonts w:hint="eastAsia" w:ascii="宋体" w:hAnsi="宋体" w:cs="宋体"/>
          <w:b/>
          <w:szCs w:val="21"/>
        </w:rPr>
        <w:t>现文：</w:t>
      </w:r>
      <w:r>
        <w:rPr>
          <w:rFonts w:hint="eastAsia" w:ascii="宋体" w:hAnsi="宋体" w:cs="宋体"/>
          <w:szCs w:val="21"/>
        </w:rPr>
        <w:t>40．开标和评标程序</w:t>
      </w:r>
    </w:p>
    <w:p w14:paraId="07B6890B">
      <w:pPr>
        <w:pBdr>
          <w:bottom w:val="single" w:color="auto" w:sz="6" w:space="1"/>
        </w:pBdr>
        <w:spacing w:line="360" w:lineRule="auto"/>
        <w:ind w:firstLine="422" w:firstLineChars="201"/>
        <w:rPr>
          <w:rFonts w:hint="eastAsia" w:ascii="宋体" w:hAnsi="宋体" w:cs="宋体"/>
          <w:szCs w:val="21"/>
        </w:rPr>
      </w:pPr>
      <w:r>
        <w:rPr>
          <w:rFonts w:hint="eastAsia" w:ascii="宋体" w:hAnsi="宋体" w:cs="宋体"/>
          <w:szCs w:val="21"/>
        </w:rPr>
        <w:t>40.1技术标（含资格审查文件）与经济标投标文件同时公开开标；</w:t>
      </w:r>
    </w:p>
    <w:p w14:paraId="00B42957">
      <w:pPr>
        <w:pBdr>
          <w:bottom w:val="single" w:color="auto" w:sz="6" w:space="1"/>
        </w:pBdr>
        <w:spacing w:line="360" w:lineRule="auto"/>
        <w:ind w:firstLine="422" w:firstLineChars="201"/>
        <w:rPr>
          <w:rFonts w:hint="eastAsia" w:ascii="宋体" w:hAnsi="宋体" w:cs="宋体"/>
          <w:szCs w:val="21"/>
        </w:rPr>
      </w:pPr>
      <w:r>
        <w:rPr>
          <w:rFonts w:hint="eastAsia" w:ascii="宋体" w:hAnsi="宋体" w:cs="宋体"/>
          <w:szCs w:val="21"/>
        </w:rPr>
        <w:t>40.2由评标委员会对所有已公开开标的投标人进行资格审查</w:t>
      </w:r>
      <w:r>
        <w:rPr>
          <w:rFonts w:hint="eastAsia" w:ascii="宋体" w:hAnsi="宋体"/>
          <w:szCs w:val="21"/>
          <w:u w:val="single"/>
        </w:rPr>
        <w:t>，并编写资格审查报告</w:t>
      </w:r>
      <w:r>
        <w:rPr>
          <w:rFonts w:hint="eastAsia" w:ascii="宋体" w:hAnsi="宋体" w:cs="宋体"/>
          <w:szCs w:val="21"/>
        </w:rPr>
        <w:t>；</w:t>
      </w:r>
    </w:p>
    <w:p w14:paraId="1AA2A6E1">
      <w:pPr>
        <w:pBdr>
          <w:bottom w:val="single" w:color="auto" w:sz="6" w:space="1"/>
        </w:pBdr>
        <w:spacing w:line="360" w:lineRule="auto"/>
        <w:ind w:firstLine="422" w:firstLineChars="201"/>
        <w:rPr>
          <w:rFonts w:hint="eastAsia" w:ascii="宋体" w:hAnsi="宋体" w:cs="宋体"/>
          <w:szCs w:val="21"/>
        </w:rPr>
      </w:pPr>
      <w:r>
        <w:rPr>
          <w:rFonts w:hint="eastAsia" w:ascii="宋体" w:hAnsi="宋体" w:cs="宋体"/>
          <w:szCs w:val="21"/>
        </w:rPr>
        <w:t>40.3技术标投标文件有效性审查；</w:t>
      </w:r>
    </w:p>
    <w:p w14:paraId="6CE8C906">
      <w:pPr>
        <w:pBdr>
          <w:bottom w:val="single" w:color="auto" w:sz="6" w:space="1"/>
        </w:pBdr>
        <w:spacing w:line="360" w:lineRule="auto"/>
        <w:ind w:firstLine="422" w:firstLineChars="201"/>
        <w:rPr>
          <w:rFonts w:hint="eastAsia" w:ascii="宋体" w:hAnsi="宋体" w:cs="宋体"/>
          <w:szCs w:val="21"/>
        </w:rPr>
      </w:pPr>
      <w:r>
        <w:rPr>
          <w:rFonts w:hint="eastAsia" w:ascii="宋体" w:hAnsi="宋体" w:cs="宋体"/>
          <w:szCs w:val="21"/>
        </w:rPr>
        <w:t>40.4技术标详细审查评分；</w:t>
      </w:r>
    </w:p>
    <w:p w14:paraId="3974D4DE">
      <w:pPr>
        <w:pBdr>
          <w:bottom w:val="single" w:color="auto" w:sz="6" w:space="1"/>
        </w:pBdr>
        <w:spacing w:line="360" w:lineRule="auto"/>
        <w:ind w:firstLine="422" w:firstLineChars="201"/>
        <w:rPr>
          <w:rFonts w:hint="eastAsia" w:ascii="宋体" w:hAnsi="宋体" w:cs="宋体"/>
          <w:szCs w:val="21"/>
        </w:rPr>
      </w:pPr>
      <w:r>
        <w:rPr>
          <w:rFonts w:hint="eastAsia" w:ascii="宋体" w:hAnsi="宋体" w:cs="宋体"/>
          <w:szCs w:val="21"/>
        </w:rPr>
        <w:t xml:space="preserve">40.5经济标详细审查评分； </w:t>
      </w:r>
    </w:p>
    <w:p w14:paraId="5217173F">
      <w:pPr>
        <w:pBdr>
          <w:bottom w:val="single" w:color="auto" w:sz="6" w:space="1"/>
        </w:pBdr>
        <w:spacing w:line="360" w:lineRule="auto"/>
        <w:ind w:firstLine="422" w:firstLineChars="201"/>
        <w:rPr>
          <w:rFonts w:hint="eastAsia" w:ascii="宋体" w:hAnsi="宋体" w:cs="宋体"/>
          <w:szCs w:val="21"/>
        </w:rPr>
      </w:pPr>
      <w:r>
        <w:rPr>
          <w:rFonts w:hint="eastAsia" w:ascii="宋体" w:hAnsi="宋体" w:cs="宋体"/>
          <w:szCs w:val="21"/>
        </w:rPr>
        <w:t>40.6评标委员会按照投标人总得分由高至低排序；</w:t>
      </w:r>
    </w:p>
    <w:p w14:paraId="5AE3BA7B">
      <w:pPr>
        <w:pBdr>
          <w:bottom w:val="single" w:color="auto" w:sz="6" w:space="1"/>
        </w:pBdr>
        <w:spacing w:line="360" w:lineRule="auto"/>
        <w:ind w:firstLine="422" w:firstLineChars="201"/>
        <w:rPr>
          <w:rFonts w:hint="eastAsia" w:ascii="宋体" w:hAnsi="宋体" w:cs="宋体"/>
          <w:szCs w:val="21"/>
        </w:rPr>
      </w:pPr>
      <w:r>
        <w:rPr>
          <w:rFonts w:hint="eastAsia" w:ascii="宋体" w:hAnsi="宋体" w:cs="宋体"/>
          <w:szCs w:val="21"/>
        </w:rPr>
        <w:t>40.7经济标投标文件有效性审查；</w:t>
      </w:r>
    </w:p>
    <w:p w14:paraId="6D75DE6B">
      <w:pPr>
        <w:pBdr>
          <w:bottom w:val="single" w:color="auto" w:sz="6" w:space="1"/>
        </w:pBdr>
        <w:spacing w:line="360" w:lineRule="auto"/>
        <w:ind w:firstLine="422" w:firstLineChars="201"/>
        <w:rPr>
          <w:rFonts w:hint="eastAsia" w:ascii="宋体" w:hAnsi="宋体"/>
          <w:szCs w:val="21"/>
          <w:u w:val="single"/>
        </w:rPr>
      </w:pPr>
      <w:r>
        <w:rPr>
          <w:rFonts w:hint="eastAsia" w:ascii="宋体" w:hAnsi="宋体" w:cs="宋体"/>
          <w:szCs w:val="21"/>
        </w:rPr>
        <w:t>40.8评标委员会按排序向招标人推荐中标候选人名单，并递交资格审查报告及评标报告。</w:t>
      </w:r>
    </w:p>
    <w:p w14:paraId="5DE291A0">
      <w:pPr>
        <w:spacing w:line="480" w:lineRule="auto"/>
        <w:ind w:firstLine="470" w:firstLineChars="224"/>
        <w:rPr>
          <w:b/>
          <w:szCs w:val="21"/>
        </w:rPr>
      </w:pPr>
      <w:r>
        <w:rPr>
          <w:rFonts w:hint="eastAsia"/>
          <w:b/>
          <w:szCs w:val="21"/>
        </w:rPr>
        <w:t>条款号：41.1</w:t>
      </w:r>
      <w:r>
        <w:rPr>
          <w:b/>
          <w:szCs w:val="21"/>
        </w:rPr>
        <w:t xml:space="preserve">             </w:t>
      </w:r>
      <w:r>
        <w:rPr>
          <w:rFonts w:hint="eastAsia"/>
          <w:b/>
          <w:szCs w:val="21"/>
        </w:rPr>
        <w:t>修改类型：修改</w:t>
      </w:r>
    </w:p>
    <w:p w14:paraId="57F9908C">
      <w:pPr>
        <w:pBdr>
          <w:bottom w:val="single" w:color="auto" w:sz="6" w:space="1"/>
        </w:pBdr>
        <w:spacing w:line="360" w:lineRule="auto"/>
        <w:ind w:firstLine="525" w:firstLineChars="250"/>
        <w:rPr>
          <w:szCs w:val="21"/>
        </w:rPr>
      </w:pPr>
      <w:r>
        <w:rPr>
          <w:rFonts w:hint="eastAsia"/>
          <w:b/>
          <w:szCs w:val="21"/>
        </w:rPr>
        <w:t>原文：</w:t>
      </w:r>
      <w:r>
        <w:rPr>
          <w:szCs w:val="21"/>
        </w:rPr>
        <w:t>41.1</w:t>
      </w:r>
      <w:r>
        <w:rPr>
          <w:rFonts w:hint="eastAsia"/>
          <w:szCs w:val="21"/>
        </w:rPr>
        <w:t>开标由招标人主持；</w:t>
      </w:r>
    </w:p>
    <w:p w14:paraId="1C2B3A81">
      <w:pPr>
        <w:pBdr>
          <w:bottom w:val="single" w:color="auto" w:sz="6" w:space="1"/>
        </w:pBdr>
        <w:spacing w:line="360" w:lineRule="auto"/>
        <w:ind w:firstLine="525" w:firstLineChars="250"/>
        <w:rPr>
          <w:szCs w:val="21"/>
          <w:u w:val="single"/>
        </w:rPr>
      </w:pPr>
      <w:r>
        <w:rPr>
          <w:rFonts w:hint="eastAsia"/>
          <w:b/>
          <w:szCs w:val="21"/>
        </w:rPr>
        <w:t>现文：</w:t>
      </w:r>
      <w:r>
        <w:rPr>
          <w:szCs w:val="21"/>
        </w:rPr>
        <w:t>41.1</w:t>
      </w:r>
      <w:r>
        <w:rPr>
          <w:rFonts w:hint="eastAsia"/>
          <w:szCs w:val="21"/>
        </w:rPr>
        <w:t>开标由招标人</w:t>
      </w:r>
      <w:r>
        <w:rPr>
          <w:rFonts w:hint="eastAsia"/>
          <w:szCs w:val="21"/>
          <w:u w:val="single"/>
        </w:rPr>
        <w:t>或招标代理</w:t>
      </w:r>
      <w:r>
        <w:rPr>
          <w:rFonts w:hint="eastAsia"/>
          <w:szCs w:val="21"/>
        </w:rPr>
        <w:t>主持；</w:t>
      </w:r>
    </w:p>
    <w:p w14:paraId="41703311">
      <w:pPr>
        <w:spacing w:line="480" w:lineRule="auto"/>
        <w:ind w:firstLine="470" w:firstLineChars="224"/>
        <w:rPr>
          <w:b/>
          <w:szCs w:val="21"/>
        </w:rPr>
      </w:pPr>
      <w:r>
        <w:rPr>
          <w:rFonts w:hint="eastAsia"/>
          <w:b/>
          <w:szCs w:val="21"/>
        </w:rPr>
        <w:t>条款号：41.2.1</w:t>
      </w:r>
      <w:r>
        <w:rPr>
          <w:b/>
          <w:szCs w:val="21"/>
        </w:rPr>
        <w:t xml:space="preserve">           </w:t>
      </w:r>
      <w:r>
        <w:rPr>
          <w:rFonts w:hint="eastAsia"/>
          <w:b/>
          <w:szCs w:val="21"/>
        </w:rPr>
        <w:t>修改类型：修改</w:t>
      </w:r>
    </w:p>
    <w:p w14:paraId="0863E29A">
      <w:pPr>
        <w:pBdr>
          <w:bottom w:val="single" w:color="auto" w:sz="6" w:space="1"/>
        </w:pBdr>
        <w:spacing w:line="360" w:lineRule="auto"/>
        <w:ind w:firstLine="525" w:firstLineChars="250"/>
        <w:rPr>
          <w:szCs w:val="21"/>
          <w:u w:val="single"/>
        </w:rPr>
      </w:pPr>
      <w:r>
        <w:rPr>
          <w:rFonts w:hint="eastAsia"/>
          <w:b/>
          <w:szCs w:val="21"/>
        </w:rPr>
        <w:t>原</w:t>
      </w:r>
      <w:r>
        <w:rPr>
          <w:rFonts w:hint="eastAsia" w:ascii="宋体" w:hAnsi="宋体" w:cs="宋体"/>
          <w:szCs w:val="21"/>
        </w:rPr>
        <w:t>文：41.2.1投</w:t>
      </w:r>
      <w:r>
        <w:rPr>
          <w:rFonts w:hint="eastAsia"/>
          <w:szCs w:val="21"/>
        </w:rPr>
        <w:t>标截止期前，各投标人递交投标文件（包括技术标投标文件、经济标投标文件）至</w:t>
      </w:r>
      <w:r>
        <w:rPr>
          <w:rFonts w:hint="eastAsia"/>
          <w:szCs w:val="21"/>
          <w:u w:val="single"/>
        </w:rPr>
        <w:t xml:space="preserve">       </w:t>
      </w:r>
      <w:r>
        <w:rPr>
          <w:rFonts w:hint="eastAsia"/>
          <w:szCs w:val="21"/>
        </w:rPr>
        <w:t>交易平台。有关投标文件提交的事项详见第一章投标须知。</w:t>
      </w:r>
    </w:p>
    <w:p w14:paraId="7AF8F619">
      <w:pPr>
        <w:pBdr>
          <w:bottom w:val="single" w:color="auto" w:sz="6" w:space="1"/>
        </w:pBdr>
        <w:spacing w:line="360" w:lineRule="auto"/>
        <w:ind w:firstLine="422" w:firstLineChars="201"/>
        <w:rPr>
          <w:szCs w:val="21"/>
        </w:rPr>
      </w:pPr>
      <w:r>
        <w:rPr>
          <w:rFonts w:hint="eastAsia"/>
          <w:b/>
          <w:szCs w:val="21"/>
        </w:rPr>
        <w:t>现文：</w:t>
      </w:r>
      <w:r>
        <w:rPr>
          <w:rFonts w:hint="eastAsia" w:ascii="宋体" w:hAnsi="宋体" w:cs="宋体"/>
          <w:szCs w:val="21"/>
        </w:rPr>
        <w:t>41.2.1投标截止期前，各投标人递交投标文件（包括</w:t>
      </w:r>
      <w:r>
        <w:rPr>
          <w:rFonts w:hint="eastAsia" w:ascii="宋体" w:hAnsi="宋体" w:cs="宋体"/>
          <w:szCs w:val="21"/>
          <w:u w:val="single"/>
        </w:rPr>
        <w:t>技术标投标文件（含资格审查文件）</w:t>
      </w:r>
      <w:r>
        <w:rPr>
          <w:rFonts w:hint="eastAsia" w:ascii="宋体" w:hAnsi="宋体" w:cs="宋体"/>
          <w:szCs w:val="21"/>
        </w:rPr>
        <w:t>、经济标投标文件）至</w:t>
      </w:r>
      <w:r>
        <w:rPr>
          <w:rFonts w:hint="eastAsia"/>
          <w:szCs w:val="24"/>
          <w:u w:val="single"/>
        </w:rPr>
        <w:t>广州交易集团有限公司（广州公共资源交易中心）</w:t>
      </w:r>
      <w:r>
        <w:rPr>
          <w:rFonts w:hint="eastAsia" w:ascii="宋体" w:hAnsi="宋体" w:cs="宋体"/>
          <w:szCs w:val="21"/>
        </w:rPr>
        <w:t>交易平台。有关投标文件提交的事项详见第一章投标须知。</w:t>
      </w:r>
    </w:p>
    <w:p w14:paraId="3C061A36">
      <w:pPr>
        <w:spacing w:line="360" w:lineRule="auto"/>
        <w:ind w:firstLine="422" w:firstLineChars="201"/>
        <w:rPr>
          <w:rFonts w:hint="eastAsia" w:ascii="宋体" w:hAnsi="宋体" w:cs="宋体"/>
          <w:b/>
          <w:szCs w:val="21"/>
        </w:rPr>
      </w:pPr>
      <w:r>
        <w:rPr>
          <w:rFonts w:hint="eastAsia" w:ascii="宋体" w:hAnsi="宋体" w:cs="宋体"/>
          <w:b/>
          <w:szCs w:val="21"/>
        </w:rPr>
        <w:t>条款号：41.2.</w:t>
      </w:r>
      <w:r>
        <w:rPr>
          <w:rFonts w:ascii="宋体" w:hAnsi="宋体" w:cs="宋体"/>
          <w:b/>
          <w:szCs w:val="21"/>
        </w:rPr>
        <w:t>2</w:t>
      </w:r>
      <w:r>
        <w:rPr>
          <w:rFonts w:hint="eastAsia" w:ascii="宋体" w:hAnsi="宋体" w:cs="宋体"/>
          <w:b/>
          <w:szCs w:val="21"/>
        </w:rPr>
        <w:t xml:space="preserve">                      修改类型：删除</w:t>
      </w:r>
    </w:p>
    <w:p w14:paraId="512870A5">
      <w:pPr>
        <w:pBdr>
          <w:bottom w:val="single" w:color="auto" w:sz="6" w:space="1"/>
        </w:pBdr>
        <w:spacing w:line="360" w:lineRule="auto"/>
        <w:ind w:firstLine="422" w:firstLineChars="201"/>
        <w:rPr>
          <w:rFonts w:hint="eastAsia" w:ascii="宋体" w:hAnsi="宋体" w:cs="宋体"/>
          <w:szCs w:val="21"/>
        </w:rPr>
      </w:pPr>
      <w:r>
        <w:rPr>
          <w:rFonts w:hint="eastAsia" w:ascii="宋体" w:hAnsi="宋体" w:cs="宋体"/>
          <w:b/>
          <w:szCs w:val="21"/>
        </w:rPr>
        <w:t>原文：</w:t>
      </w:r>
      <w:r>
        <w:rPr>
          <w:rFonts w:hint="eastAsia" w:ascii="宋体" w:hAnsi="宋体" w:cs="宋体"/>
          <w:szCs w:val="21"/>
        </w:rPr>
        <w:t>41.2.2开标前，首先由招标人随机抽取确定该工程计算评标参考价的等分点值X。</w:t>
      </w:r>
    </w:p>
    <w:p w14:paraId="17763A6B">
      <w:pPr>
        <w:spacing w:line="360" w:lineRule="auto"/>
        <w:ind w:firstLine="422" w:firstLineChars="201"/>
        <w:rPr>
          <w:rFonts w:hint="eastAsia" w:ascii="宋体" w:hAnsi="宋体" w:cs="宋体"/>
          <w:b/>
          <w:szCs w:val="21"/>
        </w:rPr>
      </w:pPr>
      <w:r>
        <w:rPr>
          <w:rFonts w:hint="eastAsia" w:ascii="宋体" w:hAnsi="宋体" w:cs="宋体"/>
          <w:b/>
          <w:szCs w:val="21"/>
        </w:rPr>
        <w:t>条款号：41.</w:t>
      </w:r>
      <w:r>
        <w:rPr>
          <w:rFonts w:ascii="宋体" w:hAnsi="宋体" w:cs="宋体"/>
          <w:b/>
          <w:szCs w:val="21"/>
        </w:rPr>
        <w:t xml:space="preserve">3 </w:t>
      </w:r>
      <w:r>
        <w:rPr>
          <w:rFonts w:hint="eastAsia" w:ascii="宋体" w:hAnsi="宋体" w:cs="宋体"/>
          <w:b/>
          <w:szCs w:val="21"/>
        </w:rPr>
        <w:t xml:space="preserve">                      修改类型：修改</w:t>
      </w:r>
    </w:p>
    <w:p w14:paraId="2DABD17F">
      <w:pPr>
        <w:pBdr>
          <w:bottom w:val="single" w:color="auto" w:sz="6" w:space="1"/>
        </w:pBdr>
        <w:spacing w:line="360" w:lineRule="auto"/>
        <w:ind w:firstLine="422" w:firstLineChars="201"/>
        <w:rPr>
          <w:rFonts w:hint="eastAsia" w:ascii="宋体" w:hAnsi="宋体" w:cs="宋体"/>
          <w:szCs w:val="21"/>
        </w:rPr>
      </w:pPr>
      <w:r>
        <w:rPr>
          <w:rFonts w:hint="eastAsia" w:ascii="宋体" w:hAnsi="宋体" w:cs="宋体"/>
          <w:b/>
          <w:szCs w:val="21"/>
        </w:rPr>
        <w:t>原文：</w:t>
      </w:r>
      <w:r>
        <w:rPr>
          <w:rFonts w:hint="eastAsia" w:ascii="宋体" w:hAnsi="宋体" w:cs="宋体"/>
          <w:szCs w:val="21"/>
        </w:rPr>
        <w:t>41.3招标人对开标过程进行记录，并存档备查，投标人在技术标开标记录上签字。</w:t>
      </w:r>
    </w:p>
    <w:p w14:paraId="3390B893">
      <w:pPr>
        <w:pBdr>
          <w:bottom w:val="single" w:color="auto" w:sz="6" w:space="1"/>
        </w:pBdr>
        <w:spacing w:line="360" w:lineRule="auto"/>
        <w:ind w:firstLine="422" w:firstLineChars="201"/>
        <w:rPr>
          <w:rFonts w:hint="eastAsia" w:ascii="宋体" w:hAnsi="宋体" w:cs="宋体"/>
          <w:b/>
          <w:szCs w:val="21"/>
        </w:rPr>
      </w:pPr>
      <w:r>
        <w:rPr>
          <w:rFonts w:hint="eastAsia" w:ascii="宋体" w:hAnsi="宋体" w:cs="宋体"/>
          <w:b/>
          <w:szCs w:val="21"/>
        </w:rPr>
        <w:t>现文：</w:t>
      </w:r>
      <w:r>
        <w:rPr>
          <w:rFonts w:hint="eastAsia" w:ascii="宋体" w:hAnsi="宋体" w:cs="宋体"/>
          <w:szCs w:val="21"/>
        </w:rPr>
        <w:t>41.3招标人</w:t>
      </w:r>
      <w:r>
        <w:rPr>
          <w:rFonts w:hint="eastAsia" w:ascii="宋体" w:hAnsi="宋体" w:cs="宋体"/>
          <w:szCs w:val="21"/>
          <w:u w:val="single"/>
        </w:rPr>
        <w:t>或招标代理机构</w:t>
      </w:r>
      <w:r>
        <w:rPr>
          <w:rFonts w:hint="eastAsia" w:ascii="宋体" w:hAnsi="宋体" w:cs="宋体"/>
          <w:szCs w:val="21"/>
        </w:rPr>
        <w:t>对开标过程进行记录，并存档备查，</w:t>
      </w:r>
      <w:r>
        <w:rPr>
          <w:rFonts w:hint="eastAsia" w:ascii="宋体" w:hAnsi="宋体" w:cs="宋体"/>
          <w:szCs w:val="21"/>
          <w:u w:val="single"/>
        </w:rPr>
        <w:t>参加开标会的</w:t>
      </w:r>
      <w:r>
        <w:rPr>
          <w:rFonts w:hint="eastAsia" w:ascii="宋体" w:hAnsi="宋体" w:cs="宋体"/>
          <w:szCs w:val="21"/>
        </w:rPr>
        <w:t>投标人在技术标开标记录上签字。</w:t>
      </w:r>
    </w:p>
    <w:p w14:paraId="5205A529">
      <w:pPr>
        <w:spacing w:line="360" w:lineRule="auto"/>
        <w:ind w:firstLine="422" w:firstLineChars="201"/>
        <w:rPr>
          <w:rFonts w:hint="eastAsia" w:ascii="宋体" w:hAnsi="宋体" w:cs="宋体"/>
          <w:b/>
          <w:szCs w:val="21"/>
        </w:rPr>
      </w:pPr>
      <w:r>
        <w:rPr>
          <w:rFonts w:hint="eastAsia" w:ascii="宋体" w:hAnsi="宋体" w:cs="宋体"/>
          <w:b/>
          <w:szCs w:val="21"/>
        </w:rPr>
        <w:t>条款号：42.</w:t>
      </w:r>
      <w:r>
        <w:rPr>
          <w:rFonts w:ascii="宋体" w:hAnsi="宋体" w:cs="宋体"/>
          <w:b/>
          <w:szCs w:val="21"/>
        </w:rPr>
        <w:t>2</w:t>
      </w:r>
      <w:r>
        <w:rPr>
          <w:rFonts w:hint="eastAsia" w:ascii="宋体" w:hAnsi="宋体" w:cs="宋体"/>
          <w:b/>
          <w:szCs w:val="21"/>
        </w:rPr>
        <w:t xml:space="preserve">                        修改类型：修改</w:t>
      </w:r>
    </w:p>
    <w:p w14:paraId="3D9DF3DB">
      <w:pPr>
        <w:spacing w:line="360" w:lineRule="auto"/>
        <w:ind w:firstLine="422" w:firstLineChars="201"/>
        <w:rPr>
          <w:rFonts w:hint="eastAsia" w:ascii="宋体" w:hAnsi="宋体" w:cs="宋体"/>
          <w:szCs w:val="21"/>
        </w:rPr>
      </w:pPr>
      <w:r>
        <w:rPr>
          <w:rFonts w:hint="eastAsia" w:ascii="宋体" w:hAnsi="宋体" w:cs="宋体"/>
          <w:b/>
          <w:szCs w:val="21"/>
        </w:rPr>
        <w:t>原文：</w:t>
      </w:r>
      <w:r>
        <w:rPr>
          <w:rFonts w:hint="eastAsia" w:ascii="宋体" w:hAnsi="宋体" w:cs="宋体"/>
          <w:szCs w:val="21"/>
        </w:rPr>
        <w:t>42.2评标委员会的组成：方式</w:t>
      </w:r>
      <w:r>
        <w:rPr>
          <w:rFonts w:hint="eastAsia" w:ascii="宋体" w:hAnsi="宋体" w:cs="宋体"/>
          <w:szCs w:val="21"/>
          <w:u w:val="single"/>
        </w:rPr>
        <w:t xml:space="preserve">   </w:t>
      </w:r>
      <w:r>
        <w:rPr>
          <w:rFonts w:hint="eastAsia" w:ascii="宋体" w:hAnsi="宋体" w:cs="宋体"/>
          <w:szCs w:val="21"/>
        </w:rPr>
        <w:t>。</w:t>
      </w:r>
    </w:p>
    <w:p w14:paraId="6FA0E9DA">
      <w:pPr>
        <w:spacing w:line="360" w:lineRule="auto"/>
        <w:ind w:firstLine="422" w:firstLineChars="201"/>
        <w:rPr>
          <w:rFonts w:hint="eastAsia" w:ascii="宋体" w:hAnsi="宋体" w:cs="宋体"/>
          <w:szCs w:val="21"/>
        </w:rPr>
      </w:pPr>
      <w:r>
        <w:rPr>
          <w:rFonts w:hint="eastAsia" w:ascii="宋体" w:hAnsi="宋体" w:cs="宋体"/>
          <w:szCs w:val="21"/>
        </w:rPr>
        <w:t>方式一：评标委员会为综合评标委员会，负责资格审查及评标工作。</w:t>
      </w:r>
    </w:p>
    <w:p w14:paraId="0B385379">
      <w:pPr>
        <w:spacing w:line="360" w:lineRule="auto"/>
        <w:ind w:firstLine="422" w:firstLineChars="201"/>
        <w:rPr>
          <w:rFonts w:hint="eastAsia" w:ascii="宋体" w:hAnsi="宋体" w:cs="宋体"/>
          <w:color w:val="000000" w:themeColor="text1"/>
          <w:szCs w:val="21"/>
          <w14:textFill>
            <w14:solidFill>
              <w14:schemeClr w14:val="tx1"/>
            </w14:solidFill>
          </w14:textFill>
        </w:rPr>
      </w:pPr>
      <w:r>
        <w:rPr>
          <w:rFonts w:hint="eastAsia" w:ascii="宋体" w:hAnsi="宋体" w:cs="宋体"/>
          <w:szCs w:val="21"/>
        </w:rPr>
        <w:t>方式二：评标委员会由技术评审组和经济评审组组成。其中：资格审查及技术评审由技术评标组负责，经济评审由经济</w:t>
      </w:r>
      <w:r>
        <w:rPr>
          <w:rFonts w:hint="eastAsia" w:ascii="宋体" w:hAnsi="宋体" w:cs="宋体"/>
          <w:color w:val="000000" w:themeColor="text1"/>
          <w:szCs w:val="21"/>
          <w14:textFill>
            <w14:solidFill>
              <w14:schemeClr w14:val="tx1"/>
            </w14:solidFill>
          </w14:textFill>
        </w:rPr>
        <w:t>评审组负责。</w:t>
      </w:r>
    </w:p>
    <w:p w14:paraId="0AE7056D">
      <w:pPr>
        <w:pBdr>
          <w:bottom w:val="single" w:color="auto" w:sz="6" w:space="1"/>
        </w:pBdr>
        <w:spacing w:line="360" w:lineRule="auto"/>
        <w:ind w:firstLine="422" w:firstLineChars="201"/>
        <w:rPr>
          <w:color w:val="000000" w:themeColor="text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现文：</w:t>
      </w:r>
      <w:r>
        <w:rPr>
          <w:rFonts w:hint="eastAsia" w:ascii="宋体" w:hAnsi="宋体" w:cs="宋体"/>
          <w:color w:val="000000" w:themeColor="text1"/>
          <w:szCs w:val="21"/>
          <w14:textFill>
            <w14:solidFill>
              <w14:schemeClr w14:val="tx1"/>
            </w14:solidFill>
          </w14:textFill>
        </w:rPr>
        <w:t>42.</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评标委员会的组成：</w:t>
      </w:r>
      <w:r>
        <w:rPr>
          <w:rFonts w:hint="eastAsia" w:ascii="宋体" w:hAnsi="宋体" w:cs="宋体"/>
          <w:color w:val="000000" w:themeColor="text1"/>
          <w:szCs w:val="21"/>
          <w:highlight w:val="none"/>
          <w:u w:val="single"/>
          <w14:textFill>
            <w14:solidFill>
              <w14:schemeClr w14:val="tx1"/>
            </w14:solidFill>
          </w14:textFill>
        </w:rPr>
        <w:t>方式一：评标委员会为综合评标委员会，</w:t>
      </w:r>
      <w:r>
        <w:rPr>
          <w:rFonts w:hint="eastAsia" w:ascii="宋体" w:hAnsi="宋体" w:cs="宋体"/>
          <w:color w:val="000000" w:themeColor="text1"/>
          <w:szCs w:val="21"/>
          <w:highlight w:val="none"/>
          <w:u w:val="single"/>
          <w:lang w:val="en-US" w:eastAsia="zh-CN"/>
          <w14:textFill>
            <w14:solidFill>
              <w14:schemeClr w14:val="tx1"/>
            </w14:solidFill>
          </w14:textFill>
        </w:rPr>
        <w:t>由招标人依法组建，</w:t>
      </w:r>
      <w:r>
        <w:rPr>
          <w:rFonts w:hint="eastAsia" w:ascii="宋体" w:hAnsi="宋体" w:cs="宋体"/>
          <w:color w:val="000000" w:themeColor="text1"/>
          <w:szCs w:val="21"/>
          <w:highlight w:val="none"/>
          <w:u w:val="single"/>
          <w14:textFill>
            <w14:solidFill>
              <w14:schemeClr w14:val="tx1"/>
            </w14:solidFill>
          </w14:textFill>
        </w:rPr>
        <w:t>负责资格审查及评标工作</w:t>
      </w:r>
      <w:r>
        <w:rPr>
          <w:rFonts w:hint="eastAsia" w:ascii="宋体" w:hAnsi="宋体"/>
          <w:color w:val="000000" w:themeColor="text1"/>
          <w:szCs w:val="21"/>
          <w:highlight w:val="none"/>
          <w:u w:val="single"/>
          <w14:textFill>
            <w14:solidFill>
              <w14:schemeClr w14:val="tx1"/>
            </w14:solidFill>
          </w14:textFill>
        </w:rPr>
        <w:t>。</w:t>
      </w:r>
    </w:p>
    <w:p w14:paraId="5BC7F07A">
      <w:pPr>
        <w:spacing w:line="360" w:lineRule="auto"/>
        <w:ind w:firstLine="420"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条款号：43.6            修改类型：修改</w:t>
      </w:r>
    </w:p>
    <w:p w14:paraId="206155E8">
      <w:pPr>
        <w:spacing w:line="360" w:lineRule="auto"/>
        <w:ind w:firstLine="420" w:firstLineChars="200"/>
        <w:rPr>
          <w:rFonts w:hint="eastAsia" w:ascii="宋体" w:hAnsi="宋体" w:cs="宋体"/>
          <w:b/>
          <w:szCs w:val="21"/>
        </w:rPr>
      </w:pPr>
      <w:r>
        <w:rPr>
          <w:rFonts w:hint="eastAsia" w:ascii="宋体" w:hAnsi="宋体" w:cs="宋体"/>
          <w:b/>
          <w:color w:val="000000" w:themeColor="text1"/>
          <w:szCs w:val="21"/>
          <w14:textFill>
            <w14:solidFill>
              <w14:schemeClr w14:val="tx1"/>
            </w14:solidFill>
          </w14:textFill>
        </w:rPr>
        <w:t>原文：</w:t>
      </w:r>
      <w:r>
        <w:rPr>
          <w:rFonts w:hint="eastAsia" w:ascii="宋体" w:hAnsi="宋体" w:cs="宋体"/>
          <w:color w:val="000000" w:themeColor="text1"/>
          <w:kern w:val="0"/>
          <w:szCs w:val="21"/>
          <w14:textFill>
            <w14:solidFill>
              <w14:schemeClr w14:val="tx1"/>
            </w14:solidFill>
          </w14:textFill>
        </w:rPr>
        <w:t>43.6</w:t>
      </w:r>
      <w:r>
        <w:rPr>
          <w:rFonts w:hint="eastAsia" w:ascii="宋体" w:hAnsi="宋体" w:cs="宋体"/>
          <w:bCs/>
          <w:color w:val="000000" w:themeColor="text1"/>
          <w:szCs w:val="21"/>
          <w14:textFill>
            <w14:solidFill>
              <w14:schemeClr w14:val="tx1"/>
            </w14:solidFill>
          </w14:textFill>
        </w:rPr>
        <w:t>资格审查合格的投标人少于3名的（当</w:t>
      </w:r>
      <w:r>
        <w:rPr>
          <w:rFonts w:hint="eastAsia" w:ascii="宋体" w:hAnsi="宋体" w:cs="宋体"/>
          <w:bCs/>
          <w:szCs w:val="21"/>
        </w:rPr>
        <w:t>N个标段同时招标且不允许兼中时，资格审查合格的投标人少于N+2名），则本项目招标失败。</w:t>
      </w:r>
    </w:p>
    <w:p w14:paraId="51297A19">
      <w:pPr>
        <w:pBdr>
          <w:bottom w:val="single" w:color="auto" w:sz="6" w:space="1"/>
        </w:pBdr>
        <w:spacing w:line="360" w:lineRule="auto"/>
        <w:ind w:firstLine="470" w:firstLineChars="224"/>
        <w:rPr>
          <w:rFonts w:hint="eastAsia" w:ascii="宋体" w:hAnsi="宋体" w:cs="宋体"/>
          <w:b/>
          <w:szCs w:val="21"/>
        </w:rPr>
      </w:pPr>
      <w:r>
        <w:rPr>
          <w:rFonts w:hint="eastAsia" w:ascii="宋体" w:hAnsi="宋体" w:cs="宋体"/>
          <w:b/>
          <w:szCs w:val="21"/>
        </w:rPr>
        <w:t>现文：</w:t>
      </w:r>
      <w:r>
        <w:rPr>
          <w:rFonts w:hint="eastAsia" w:ascii="宋体" w:hAnsi="宋体" w:cs="宋体"/>
          <w:kern w:val="0"/>
          <w:szCs w:val="21"/>
        </w:rPr>
        <w:t>43.6</w:t>
      </w:r>
      <w:r>
        <w:rPr>
          <w:rFonts w:hint="eastAsia" w:ascii="宋体" w:hAnsi="宋体" w:cs="宋体"/>
          <w:bCs/>
          <w:szCs w:val="21"/>
        </w:rPr>
        <w:t>资格审查合格的投标人少于3名的，则本项目招标失败。</w:t>
      </w:r>
    </w:p>
    <w:p w14:paraId="3F3E0299">
      <w:pPr>
        <w:spacing w:line="360" w:lineRule="auto"/>
        <w:ind w:firstLine="420" w:firstLineChars="200"/>
        <w:rPr>
          <w:rFonts w:hint="eastAsia" w:ascii="宋体" w:hAnsi="宋体" w:cs="宋体"/>
          <w:b/>
          <w:szCs w:val="21"/>
        </w:rPr>
      </w:pPr>
      <w:r>
        <w:rPr>
          <w:rFonts w:hint="eastAsia" w:ascii="宋体" w:hAnsi="宋体" w:cs="宋体"/>
          <w:b/>
          <w:szCs w:val="21"/>
        </w:rPr>
        <w:t>条款号：44.1            修改类型：修改</w:t>
      </w:r>
    </w:p>
    <w:p w14:paraId="48F6888A">
      <w:pPr>
        <w:pBdr>
          <w:bottom w:val="single" w:color="auto" w:sz="6" w:space="1"/>
        </w:pBdr>
        <w:spacing w:line="360" w:lineRule="auto"/>
        <w:ind w:firstLine="420" w:firstLineChars="200"/>
        <w:rPr>
          <w:rFonts w:hint="eastAsia" w:ascii="宋体" w:hAnsi="宋体" w:cs="宋体"/>
          <w:kern w:val="0"/>
          <w:szCs w:val="21"/>
        </w:rPr>
      </w:pPr>
      <w:r>
        <w:rPr>
          <w:rFonts w:hint="eastAsia" w:ascii="宋体" w:hAnsi="宋体" w:cs="宋体"/>
          <w:b/>
          <w:szCs w:val="21"/>
        </w:rPr>
        <w:t>原文：</w:t>
      </w:r>
      <w:r>
        <w:rPr>
          <w:rFonts w:hint="eastAsia" w:ascii="宋体" w:hAnsi="宋体" w:cs="宋体"/>
          <w:kern w:val="0"/>
          <w:szCs w:val="21"/>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34E0F19F">
      <w:pPr>
        <w:pBdr>
          <w:bottom w:val="single" w:color="auto" w:sz="6" w:space="1"/>
        </w:pBdr>
        <w:spacing w:line="360" w:lineRule="auto"/>
        <w:ind w:firstLine="420" w:firstLineChars="200"/>
        <w:rPr>
          <w:rFonts w:hint="eastAsia" w:ascii="宋体" w:hAnsi="宋体" w:cs="宋体"/>
          <w:bCs/>
          <w:szCs w:val="21"/>
        </w:rPr>
      </w:pPr>
      <w:r>
        <w:rPr>
          <w:rFonts w:hint="eastAsia" w:ascii="宋体" w:hAnsi="宋体" w:cs="宋体"/>
          <w:b/>
          <w:szCs w:val="21"/>
        </w:rPr>
        <w:t>现文：</w:t>
      </w:r>
      <w:r>
        <w:rPr>
          <w:rFonts w:hint="eastAsia" w:ascii="宋体" w:hAnsi="宋体" w:cs="宋体"/>
          <w:kern w:val="0"/>
          <w:szCs w:val="21"/>
        </w:rPr>
        <w:t>44.1</w:t>
      </w:r>
      <w:r>
        <w:rPr>
          <w:rFonts w:hint="eastAsia" w:ascii="宋体" w:hAnsi="宋体" w:cs="宋体"/>
          <w:bCs/>
          <w:szCs w:val="21"/>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评委发现投标文件中含义不明确、对同类问题表述不一致、有明显文字和计算错误的，应当要求投标人作必要的澄清、说明后再判定投标人是否通过有效性审查，不得直接否决投标。</w:t>
      </w:r>
    </w:p>
    <w:p w14:paraId="34A23249">
      <w:pPr>
        <w:spacing w:line="480" w:lineRule="auto"/>
        <w:ind w:firstLine="470" w:firstLineChars="224"/>
        <w:rPr>
          <w:b/>
          <w:szCs w:val="21"/>
        </w:rPr>
      </w:pPr>
      <w:r>
        <w:rPr>
          <w:rFonts w:hint="eastAsia"/>
          <w:b/>
          <w:szCs w:val="21"/>
        </w:rPr>
        <w:t>条款号：45.1</w:t>
      </w:r>
      <w:r>
        <w:rPr>
          <w:b/>
          <w:szCs w:val="21"/>
        </w:rPr>
        <w:t xml:space="preserve">            </w:t>
      </w:r>
      <w:r>
        <w:rPr>
          <w:rFonts w:hint="eastAsia"/>
          <w:b/>
          <w:szCs w:val="21"/>
        </w:rPr>
        <w:t>修改类型：修改</w:t>
      </w:r>
    </w:p>
    <w:p w14:paraId="4D6FE5F9">
      <w:pPr>
        <w:spacing w:line="360" w:lineRule="auto"/>
        <w:ind w:firstLine="420" w:firstLineChars="200"/>
        <w:rPr>
          <w:rFonts w:hint="eastAsia" w:ascii="宋体" w:hAnsi="宋体"/>
          <w:szCs w:val="21"/>
        </w:rPr>
      </w:pPr>
      <w:r>
        <w:rPr>
          <w:rFonts w:hint="eastAsia"/>
          <w:b/>
          <w:szCs w:val="21"/>
        </w:rPr>
        <w:t>原文：</w:t>
      </w:r>
      <w:r>
        <w:rPr>
          <w:rFonts w:hint="eastAsia" w:ascii="宋体" w:hAnsi="宋体"/>
          <w:szCs w:val="21"/>
        </w:rPr>
        <w:t>45.1若通过技术标有效性审查的投标人中所有投标报价均大于等于最高投标限价*D%（D的取值范围为[94,100],由招标人自主确定）的（具体金额为：</w:t>
      </w:r>
      <w:r>
        <w:rPr>
          <w:rFonts w:hint="eastAsia" w:ascii="宋体" w:hAnsi="宋体"/>
          <w:szCs w:val="21"/>
          <w:u w:val="single"/>
        </w:rPr>
        <w:t xml:space="preserve">      </w:t>
      </w:r>
      <w:r>
        <w:rPr>
          <w:rFonts w:hint="eastAsia" w:ascii="宋体" w:hAnsi="宋体"/>
          <w:szCs w:val="21"/>
        </w:rPr>
        <w:t>元），则本项目招标失败，由招标人依法重新招标。</w:t>
      </w:r>
    </w:p>
    <w:p w14:paraId="58D657EC">
      <w:pPr>
        <w:tabs>
          <w:tab w:val="left" w:pos="7380"/>
        </w:tabs>
        <w:snapToGrid w:val="0"/>
        <w:spacing w:line="360" w:lineRule="auto"/>
        <w:ind w:firstLine="420" w:firstLineChars="200"/>
      </w:pPr>
      <w:r>
        <w:rPr>
          <w:rFonts w:hint="eastAsia"/>
          <w:b/>
          <w:szCs w:val="21"/>
        </w:rPr>
        <w:t>现文：45.1若通过技术标有效性审查的投标人中所有投标报价均大于等于最高投标限价，则本项目招标失败，由招标人依法重新招标。</w:t>
      </w:r>
    </w:p>
    <w:p w14:paraId="31F7EA1A">
      <w:pPr>
        <w:pStyle w:val="30"/>
        <w:rPr>
          <w:u w:val="single"/>
        </w:rPr>
      </w:pPr>
      <w:r>
        <w:rPr>
          <w:rFonts w:hint="eastAsia"/>
          <w:u w:val="single"/>
        </w:rPr>
        <w:t xml:space="preserve">                                                                                         </w:t>
      </w:r>
    </w:p>
    <w:p w14:paraId="0EDCBA78">
      <w:pPr>
        <w:spacing w:line="480" w:lineRule="auto"/>
        <w:ind w:firstLine="470" w:firstLineChars="224"/>
        <w:rPr>
          <w:b/>
          <w:szCs w:val="21"/>
        </w:rPr>
      </w:pPr>
      <w:r>
        <w:rPr>
          <w:rFonts w:hint="eastAsia"/>
          <w:b/>
          <w:szCs w:val="21"/>
        </w:rPr>
        <w:t>条款号：45.2</w:t>
      </w:r>
      <w:r>
        <w:rPr>
          <w:b/>
          <w:szCs w:val="21"/>
        </w:rPr>
        <w:t xml:space="preserve">            </w:t>
      </w:r>
      <w:r>
        <w:rPr>
          <w:rFonts w:hint="eastAsia"/>
          <w:b/>
          <w:szCs w:val="21"/>
        </w:rPr>
        <w:t>修改类型：修改</w:t>
      </w:r>
    </w:p>
    <w:p w14:paraId="44EA4AF6">
      <w:pPr>
        <w:tabs>
          <w:tab w:val="left" w:pos="7380"/>
        </w:tabs>
        <w:snapToGrid w:val="0"/>
        <w:spacing w:line="360" w:lineRule="auto"/>
        <w:ind w:firstLine="420" w:firstLineChars="200"/>
        <w:rPr>
          <w:rFonts w:ascii="宋体"/>
          <w:szCs w:val="21"/>
        </w:rPr>
      </w:pPr>
      <w:r>
        <w:rPr>
          <w:rFonts w:hint="eastAsia"/>
          <w:b/>
          <w:szCs w:val="21"/>
        </w:rPr>
        <w:t>原文：</w:t>
      </w:r>
      <w:r>
        <w:rPr>
          <w:rFonts w:hint="eastAsia" w:ascii="宋体" w:hAnsi="宋体"/>
          <w:szCs w:val="21"/>
        </w:rPr>
        <w:t xml:space="preserve"> 45.2按方法</w:t>
      </w:r>
      <w:r>
        <w:rPr>
          <w:rFonts w:hint="eastAsia" w:ascii="宋体" w:hAnsi="宋体"/>
          <w:szCs w:val="21"/>
          <w:u w:val="single"/>
        </w:rPr>
        <w:t xml:space="preserve">    </w:t>
      </w:r>
      <w:r>
        <w:rPr>
          <w:rFonts w:hint="eastAsia" w:ascii="宋体" w:hAnsi="宋体"/>
          <w:szCs w:val="21"/>
        </w:rPr>
        <w:t>计算评标参考价：</w:t>
      </w:r>
    </w:p>
    <w:p w14:paraId="6B4A9023">
      <w:pPr>
        <w:widowControl/>
        <w:spacing w:line="360" w:lineRule="auto"/>
        <w:ind w:firstLine="420" w:firstLineChars="200"/>
        <w:rPr>
          <w:rFonts w:hint="eastAsia" w:ascii="宋体" w:hAnsi="宋体"/>
          <w:b/>
          <w:bCs/>
          <w:kern w:val="0"/>
          <w:szCs w:val="21"/>
        </w:rPr>
      </w:pPr>
      <w:r>
        <w:rPr>
          <w:rFonts w:hint="eastAsia" w:ascii="宋体" w:hAnsi="宋体" w:cs="仿宋"/>
          <w:b/>
          <w:bCs/>
          <w:kern w:val="0"/>
          <w:szCs w:val="21"/>
        </w:rPr>
        <w:t>方法一：加权平均法</w:t>
      </w:r>
    </w:p>
    <w:p w14:paraId="26888793">
      <w:pPr>
        <w:spacing w:line="360" w:lineRule="auto"/>
        <w:ind w:firstLine="420" w:firstLineChars="200"/>
        <w:rPr>
          <w:rFonts w:hint="eastAsia" w:ascii="宋体" w:hAnsi="宋体" w:cs="仿宋"/>
          <w:szCs w:val="21"/>
        </w:rPr>
      </w:pPr>
      <w:r>
        <w:rPr>
          <w:rFonts w:hint="eastAsia" w:ascii="宋体" w:hAnsi="宋体" w:cs="仿宋"/>
          <w:szCs w:val="21"/>
        </w:rPr>
        <w:t>技术标或技术标加诚信得分（具体由招标人自定）前</w:t>
      </w:r>
      <w:r>
        <w:rPr>
          <w:rFonts w:ascii="宋体" w:hAnsi="宋体" w:cs="仿宋"/>
          <w:szCs w:val="21"/>
        </w:rPr>
        <w:t>N</w:t>
      </w:r>
      <w:r>
        <w:rPr>
          <w:rFonts w:hint="eastAsia" w:ascii="宋体" w:hAnsi="宋体" w:cs="仿宋"/>
          <w:szCs w:val="21"/>
        </w:rPr>
        <w:t>名（N≥5，具体由招标人自定）的经济报价加权平均，计算评标参考价。公式如下：</w:t>
      </w:r>
    </w:p>
    <w:p w14:paraId="5EC5EBCA">
      <w:pPr>
        <w:spacing w:line="360" w:lineRule="auto"/>
        <w:ind w:firstLine="420" w:firstLineChars="200"/>
        <w:rPr>
          <w:rFonts w:hint="eastAsia" w:ascii="宋体" w:hAnsi="宋体" w:cs="仿宋"/>
          <w:szCs w:val="21"/>
        </w:rPr>
      </w:pPr>
      <w:r>
        <w:rPr>
          <w:rFonts w:hint="eastAsia" w:ascii="宋体" w:hAnsi="宋体" w:cs="仿宋"/>
          <w:szCs w:val="21"/>
        </w:rPr>
        <w:t>评标参考价</w:t>
      </w:r>
      <w:r>
        <w:rPr>
          <w:rFonts w:ascii="宋体" w:hAnsi="宋体" w:cs="仿宋"/>
          <w:szCs w:val="21"/>
        </w:rPr>
        <w:t>=</w:t>
      </w:r>
      <w:r>
        <w:rPr>
          <w:rFonts w:hint="eastAsia" w:ascii="宋体" w:hAnsi="宋体" w:cs="仿宋"/>
          <w:szCs w:val="21"/>
        </w:rPr>
        <w:t>Σ（投标人的投标报价</w:t>
      </w:r>
      <w:r>
        <w:rPr>
          <w:rFonts w:ascii="宋体" w:hAnsi="宋体" w:cs="仿宋"/>
          <w:szCs w:val="21"/>
        </w:rPr>
        <w:t>*</w:t>
      </w:r>
      <w:r>
        <w:rPr>
          <w:rFonts w:hint="eastAsia" w:ascii="宋体" w:hAnsi="宋体" w:cs="仿宋"/>
          <w:szCs w:val="21"/>
        </w:rPr>
        <w:t>报价权重）。</w:t>
      </w:r>
    </w:p>
    <w:p w14:paraId="69F398F8">
      <w:pPr>
        <w:spacing w:line="360" w:lineRule="auto"/>
        <w:ind w:firstLine="420" w:firstLineChars="200"/>
        <w:rPr>
          <w:rFonts w:hint="eastAsia" w:ascii="宋体" w:hAnsi="宋体" w:cs="仿宋"/>
          <w:szCs w:val="21"/>
        </w:rPr>
      </w:pPr>
      <w:r>
        <w:rPr>
          <w:rFonts w:hint="eastAsia" w:ascii="宋体" w:hAnsi="宋体" w:cs="仿宋"/>
          <w:szCs w:val="21"/>
        </w:rPr>
        <w:t>其中：报价权重的计算方法为：将</w:t>
      </w:r>
      <w:r>
        <w:rPr>
          <w:rFonts w:ascii="宋体" w:hAnsi="宋体" w:cs="仿宋"/>
          <w:szCs w:val="21"/>
        </w:rPr>
        <w:t>N</w:t>
      </w:r>
      <w:r>
        <w:rPr>
          <w:rFonts w:hint="eastAsia" w:ascii="宋体" w:hAnsi="宋体" w:cs="仿宋"/>
          <w:szCs w:val="21"/>
        </w:rPr>
        <w:t>名投标人按技术分由高至低进行排序，第一名投标人的权重为（</w:t>
      </w:r>
      <w:r>
        <w:rPr>
          <w:rFonts w:ascii="宋体" w:hAnsi="宋体" w:cs="仿宋"/>
          <w:szCs w:val="21"/>
        </w:rPr>
        <w:fldChar w:fldCharType="begin"/>
      </w:r>
      <w:r>
        <w:rPr>
          <w:rFonts w:ascii="宋体" w:hAnsi="宋体" w:cs="仿宋"/>
          <w:szCs w:val="21"/>
        </w:rPr>
        <w:instrText xml:space="preserve"> QUOTE </w:instrText>
      </w:r>
      <w:r>
        <w:rPr>
          <w:rFonts w:ascii="宋体" w:hAnsi="宋体"/>
          <w:szCs w:val="21"/>
        </w:rPr>
        <w:drawing>
          <wp:inline distT="0" distB="0" distL="114300" distR="114300">
            <wp:extent cx="381000" cy="447675"/>
            <wp:effectExtent l="0" t="0" r="0" b="9525"/>
            <wp:docPr id="1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1"/>
                    <pic:cNvPicPr>
                      <a:picLocks noChangeAspect="1"/>
                    </pic:cNvPicPr>
                  </pic:nvPicPr>
                  <pic:blipFill>
                    <a:blip r:embed="rId13" cstate="print"/>
                    <a:stretch>
                      <a:fillRect/>
                    </a:stretch>
                  </pic:blipFill>
                  <pic:spPr>
                    <a:xfrm>
                      <a:off x="0" y="0"/>
                      <a:ext cx="381000" cy="447675"/>
                    </a:xfrm>
                    <a:prstGeom prst="rect">
                      <a:avLst/>
                    </a:prstGeom>
                    <a:noFill/>
                    <a:ln>
                      <a:noFill/>
                    </a:ln>
                  </pic:spPr>
                </pic:pic>
              </a:graphicData>
            </a:graphic>
          </wp:inline>
        </w:drawing>
      </w:r>
      <w:r>
        <w:rPr>
          <w:rFonts w:ascii="宋体" w:hAnsi="宋体" w:cs="仿宋"/>
          <w:szCs w:val="21"/>
        </w:rPr>
        <w:fldChar w:fldCharType="separate"/>
      </w:r>
      <w:r>
        <w:rPr>
          <w:rFonts w:ascii="宋体" w:hAnsi="宋体"/>
          <w:szCs w:val="21"/>
        </w:rPr>
        <w:drawing>
          <wp:inline distT="0" distB="0" distL="114300" distR="114300">
            <wp:extent cx="381000" cy="447675"/>
            <wp:effectExtent l="0" t="0" r="0" b="9525"/>
            <wp:docPr id="14"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2"/>
                    <pic:cNvPicPr>
                      <a:picLocks noChangeAspect="1"/>
                    </pic:cNvPicPr>
                  </pic:nvPicPr>
                  <pic:blipFill>
                    <a:blip r:embed="rId13" cstate="print"/>
                    <a:stretch>
                      <a:fillRect/>
                    </a:stretch>
                  </pic:blipFill>
                  <pic:spPr>
                    <a:xfrm>
                      <a:off x="0" y="0"/>
                      <a:ext cx="381000" cy="447675"/>
                    </a:xfrm>
                    <a:prstGeom prst="rect">
                      <a:avLst/>
                    </a:prstGeom>
                    <a:noFill/>
                    <a:ln>
                      <a:noFill/>
                    </a:ln>
                  </pic:spPr>
                </pic:pic>
              </a:graphicData>
            </a:graphic>
          </wp:inline>
        </w:drawing>
      </w:r>
      <w:r>
        <w:rPr>
          <w:rFonts w:ascii="宋体" w:hAnsi="宋体" w:cs="仿宋"/>
          <w:szCs w:val="21"/>
        </w:rPr>
        <w:fldChar w:fldCharType="end"/>
      </w:r>
      <w:r>
        <w:rPr>
          <w:rFonts w:hint="eastAsia" w:ascii="宋体" w:hAnsi="宋体" w:cs="仿宋"/>
          <w:szCs w:val="21"/>
        </w:rPr>
        <w:t>），第二名投标人的权重为（</w:t>
      </w:r>
      <w:r>
        <w:rPr>
          <w:rFonts w:ascii="宋体" w:hAnsi="宋体"/>
          <w:position w:val="-23"/>
          <w:szCs w:val="21"/>
        </w:rPr>
        <w:drawing>
          <wp:inline distT="0" distB="0" distL="114300" distR="114300">
            <wp:extent cx="314325" cy="400050"/>
            <wp:effectExtent l="0" t="0" r="9525" b="0"/>
            <wp:docPr id="1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3"/>
                    <pic:cNvPicPr>
                      <a:picLocks noChangeAspect="1"/>
                    </pic:cNvPicPr>
                  </pic:nvPicPr>
                  <pic:blipFill>
                    <a:blip r:embed="rId14" cstate="print"/>
                    <a:stretch>
                      <a:fillRect/>
                    </a:stretch>
                  </pic:blipFill>
                  <pic:spPr>
                    <a:xfrm>
                      <a:off x="0" y="0"/>
                      <a:ext cx="314325" cy="400050"/>
                    </a:xfrm>
                    <a:prstGeom prst="rect">
                      <a:avLst/>
                    </a:prstGeom>
                    <a:noFill/>
                    <a:ln>
                      <a:noFill/>
                    </a:ln>
                  </pic:spPr>
                </pic:pic>
              </a:graphicData>
            </a:graphic>
          </wp:inline>
        </w:drawing>
      </w:r>
      <w:r>
        <w:rPr>
          <w:rFonts w:ascii="宋体" w:hAnsi="宋体" w:cs="仿宋"/>
          <w:szCs w:val="21"/>
        </w:rPr>
        <w:fldChar w:fldCharType="begin"/>
      </w:r>
      <w:r>
        <w:rPr>
          <w:rFonts w:ascii="宋体" w:hAnsi="宋体" w:cs="仿宋"/>
          <w:szCs w:val="21"/>
        </w:rPr>
        <w:instrText xml:space="preserve"> QUOTE </w:instrText>
      </w:r>
      <w:r>
        <w:rPr>
          <w:rFonts w:ascii="宋体" w:hAnsi="宋体"/>
          <w:position w:val="-23"/>
          <w:szCs w:val="21"/>
        </w:rPr>
        <w:drawing>
          <wp:inline distT="0" distB="0" distL="114300" distR="114300">
            <wp:extent cx="314325" cy="400050"/>
            <wp:effectExtent l="0" t="0" r="9525" b="0"/>
            <wp:docPr id="16"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4"/>
                    <pic:cNvPicPr>
                      <a:picLocks noChangeAspect="1"/>
                    </pic:cNvPicPr>
                  </pic:nvPicPr>
                  <pic:blipFill>
                    <a:blip r:embed="rId14" cstate="print"/>
                    <a:stretch>
                      <a:fillRect/>
                    </a:stretch>
                  </pic:blipFill>
                  <pic:spPr>
                    <a:xfrm>
                      <a:off x="0" y="0"/>
                      <a:ext cx="314325" cy="400050"/>
                    </a:xfrm>
                    <a:prstGeom prst="rect">
                      <a:avLst/>
                    </a:prstGeom>
                    <a:noFill/>
                    <a:ln>
                      <a:noFill/>
                    </a:ln>
                  </pic:spPr>
                </pic:pic>
              </a:graphicData>
            </a:graphic>
          </wp:inline>
        </w:drawing>
      </w:r>
      <w:r>
        <w:rPr>
          <w:rFonts w:ascii="宋体" w:hAnsi="宋体" w:cs="仿宋"/>
          <w:szCs w:val="21"/>
        </w:rPr>
        <w:fldChar w:fldCharType="end"/>
      </w:r>
      <w:r>
        <w:rPr>
          <w:rFonts w:hint="eastAsia" w:ascii="宋体" w:hAnsi="宋体" w:cs="仿宋"/>
          <w:szCs w:val="21"/>
        </w:rPr>
        <w:t>），以此类推，最后一名投标人的权重为（</w:t>
      </w:r>
      <w:r>
        <w:rPr>
          <w:rFonts w:ascii="宋体" w:hAnsi="宋体" w:cs="仿宋"/>
          <w:szCs w:val="21"/>
        </w:rPr>
        <w:fldChar w:fldCharType="begin"/>
      </w:r>
      <w:r>
        <w:rPr>
          <w:rFonts w:ascii="宋体" w:hAnsi="宋体" w:cs="仿宋"/>
          <w:szCs w:val="21"/>
        </w:rPr>
        <w:instrText xml:space="preserve"> QUOTE </w:instrText>
      </w:r>
      <w:r>
        <w:rPr>
          <w:rFonts w:ascii="宋体" w:hAnsi="宋体"/>
          <w:position w:val="-23"/>
          <w:szCs w:val="21"/>
        </w:rPr>
        <w:drawing>
          <wp:inline distT="0" distB="0" distL="114300" distR="114300">
            <wp:extent cx="314325" cy="400050"/>
            <wp:effectExtent l="0" t="0" r="9525" b="0"/>
            <wp:docPr id="17"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5"/>
                    <pic:cNvPicPr>
                      <a:picLocks noChangeAspect="1"/>
                    </pic:cNvPicPr>
                  </pic:nvPicPr>
                  <pic:blipFill>
                    <a:blip r:embed="rId15" cstate="print"/>
                    <a:stretch>
                      <a:fillRect/>
                    </a:stretch>
                  </pic:blipFill>
                  <pic:spPr>
                    <a:xfrm>
                      <a:off x="0" y="0"/>
                      <a:ext cx="314325" cy="400050"/>
                    </a:xfrm>
                    <a:prstGeom prst="rect">
                      <a:avLst/>
                    </a:prstGeom>
                    <a:noFill/>
                    <a:ln>
                      <a:noFill/>
                    </a:ln>
                  </pic:spPr>
                </pic:pic>
              </a:graphicData>
            </a:graphic>
          </wp:inline>
        </w:drawing>
      </w:r>
      <w:r>
        <w:rPr>
          <w:rFonts w:ascii="宋体" w:hAnsi="宋体" w:cs="仿宋"/>
          <w:szCs w:val="21"/>
        </w:rPr>
        <w:fldChar w:fldCharType="separate"/>
      </w:r>
      <w:r>
        <w:rPr>
          <w:rFonts w:ascii="宋体" w:hAnsi="宋体"/>
          <w:position w:val="-23"/>
          <w:szCs w:val="21"/>
        </w:rPr>
        <w:drawing>
          <wp:inline distT="0" distB="0" distL="114300" distR="114300">
            <wp:extent cx="314325" cy="400050"/>
            <wp:effectExtent l="0" t="0" r="9525" b="0"/>
            <wp:docPr id="18"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6"/>
                    <pic:cNvPicPr>
                      <a:picLocks noChangeAspect="1"/>
                    </pic:cNvPicPr>
                  </pic:nvPicPr>
                  <pic:blipFill>
                    <a:blip r:embed="rId15" cstate="print"/>
                    <a:stretch>
                      <a:fillRect/>
                    </a:stretch>
                  </pic:blipFill>
                  <pic:spPr>
                    <a:xfrm>
                      <a:off x="0" y="0"/>
                      <a:ext cx="314325" cy="400050"/>
                    </a:xfrm>
                    <a:prstGeom prst="rect">
                      <a:avLst/>
                    </a:prstGeom>
                    <a:noFill/>
                    <a:ln>
                      <a:noFill/>
                    </a:ln>
                  </pic:spPr>
                </pic:pic>
              </a:graphicData>
            </a:graphic>
          </wp:inline>
        </w:drawing>
      </w:r>
      <w:r>
        <w:rPr>
          <w:rFonts w:ascii="宋体" w:hAnsi="宋体" w:cs="仿宋"/>
          <w:szCs w:val="21"/>
        </w:rPr>
        <w:fldChar w:fldCharType="end"/>
      </w:r>
      <w:r>
        <w:rPr>
          <w:rFonts w:hint="eastAsia" w:ascii="宋体" w:hAnsi="宋体" w:cs="仿宋"/>
          <w:szCs w:val="21"/>
        </w:rPr>
        <w:t>）。</w:t>
      </w:r>
    </w:p>
    <w:p w14:paraId="41405436">
      <w:pPr>
        <w:widowControl/>
        <w:spacing w:line="360" w:lineRule="auto"/>
        <w:ind w:firstLine="420" w:firstLineChars="200"/>
        <w:rPr>
          <w:rFonts w:hint="eastAsia" w:ascii="宋体" w:hAnsi="宋体"/>
          <w:b/>
          <w:bCs/>
          <w:kern w:val="0"/>
          <w:szCs w:val="21"/>
        </w:rPr>
      </w:pPr>
      <w:r>
        <w:rPr>
          <w:rFonts w:hint="eastAsia" w:ascii="宋体" w:hAnsi="宋体" w:cs="仿宋"/>
          <w:b/>
          <w:bCs/>
          <w:kern w:val="0"/>
          <w:szCs w:val="21"/>
        </w:rPr>
        <w:t>方法二：区间抽取法</w:t>
      </w:r>
    </w:p>
    <w:p w14:paraId="5BEB6798">
      <w:pPr>
        <w:widowControl/>
        <w:snapToGrid w:val="0"/>
        <w:spacing w:line="360" w:lineRule="auto"/>
        <w:ind w:firstLine="420" w:firstLineChars="200"/>
        <w:rPr>
          <w:rFonts w:hint="eastAsia" w:ascii="宋体" w:hAnsi="宋体"/>
          <w:kern w:val="0"/>
          <w:szCs w:val="21"/>
        </w:rPr>
      </w:pPr>
      <w:r>
        <w:rPr>
          <w:rFonts w:hint="eastAsia" w:ascii="宋体" w:hAnsi="宋体" w:cs="仿宋"/>
          <w:szCs w:val="21"/>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70F21319">
      <w:pPr>
        <w:widowControl/>
        <w:snapToGrid w:val="0"/>
        <w:spacing w:line="360" w:lineRule="auto"/>
        <w:ind w:firstLine="420" w:firstLineChars="200"/>
        <w:rPr>
          <w:rFonts w:hint="eastAsia" w:ascii="宋体" w:hAnsi="宋体"/>
          <w:kern w:val="0"/>
          <w:szCs w:val="21"/>
          <w:vertAlign w:val="subscript"/>
        </w:rPr>
      </w:pPr>
      <w:r>
        <w:rPr>
          <w:rFonts w:hint="eastAsia" w:ascii="宋体" w:hAnsi="宋体" w:cs="仿宋"/>
          <w:kern w:val="0"/>
          <w:szCs w:val="21"/>
        </w:rPr>
        <w:t>评标参考价</w:t>
      </w:r>
      <w:r>
        <w:rPr>
          <w:rFonts w:ascii="宋体" w:hAnsi="宋体" w:cs="仿宋"/>
          <w:kern w:val="0"/>
          <w:szCs w:val="21"/>
        </w:rPr>
        <w:t>=</w:t>
      </w:r>
      <w:r>
        <w:rPr>
          <w:rFonts w:hint="eastAsia" w:ascii="宋体" w:hAnsi="宋体" w:cs="仿宋"/>
          <w:kern w:val="0"/>
          <w:szCs w:val="21"/>
        </w:rPr>
        <w:t>（</w:t>
      </w:r>
      <w:r>
        <w:rPr>
          <w:rFonts w:ascii="宋体" w:hAnsi="宋体" w:cs="仿宋"/>
          <w:kern w:val="0"/>
          <w:szCs w:val="21"/>
        </w:rPr>
        <w:t>Q</w:t>
      </w:r>
      <w:r>
        <w:rPr>
          <w:rFonts w:hint="eastAsia" w:ascii="宋体" w:hAnsi="宋体" w:cs="仿宋"/>
          <w:kern w:val="0"/>
          <w:szCs w:val="21"/>
          <w:vertAlign w:val="subscript"/>
        </w:rPr>
        <w:t>高</w:t>
      </w:r>
      <w:r>
        <w:rPr>
          <w:rFonts w:ascii="宋体" w:hAnsi="宋体" w:cs="仿宋"/>
          <w:kern w:val="0"/>
          <w:szCs w:val="21"/>
        </w:rPr>
        <w:t>-Q</w:t>
      </w:r>
      <w:r>
        <w:rPr>
          <w:rFonts w:hint="eastAsia" w:ascii="宋体" w:hAnsi="宋体" w:cs="仿宋"/>
          <w:kern w:val="0"/>
          <w:szCs w:val="21"/>
          <w:vertAlign w:val="subscript"/>
        </w:rPr>
        <w:t>低</w:t>
      </w:r>
      <w:r>
        <w:rPr>
          <w:rFonts w:hint="eastAsia" w:ascii="宋体" w:hAnsi="宋体" w:cs="仿宋"/>
          <w:kern w:val="0"/>
          <w:szCs w:val="21"/>
        </w:rPr>
        <w:t>）</w:t>
      </w:r>
      <w:r>
        <w:rPr>
          <w:rFonts w:ascii="宋体" w:hAnsi="宋体" w:cs="仿宋"/>
          <w:kern w:val="0"/>
          <w:szCs w:val="21"/>
        </w:rPr>
        <w:t>/100*</w:t>
      </w:r>
      <w:r>
        <w:rPr>
          <w:rFonts w:hint="eastAsia" w:ascii="宋体" w:hAnsi="宋体" w:cs="仿宋"/>
          <w:kern w:val="0"/>
          <w:szCs w:val="21"/>
        </w:rPr>
        <w:t>Ｘ</w:t>
      </w:r>
      <w:r>
        <w:rPr>
          <w:rFonts w:ascii="宋体" w:hAnsi="宋体" w:cs="仿宋"/>
          <w:kern w:val="0"/>
          <w:szCs w:val="21"/>
        </w:rPr>
        <w:t>+Q</w:t>
      </w:r>
      <w:r>
        <w:rPr>
          <w:rFonts w:hint="eastAsia" w:ascii="宋体" w:hAnsi="宋体" w:cs="仿宋"/>
          <w:kern w:val="0"/>
          <w:szCs w:val="21"/>
          <w:vertAlign w:val="subscript"/>
        </w:rPr>
        <w:t>低</w:t>
      </w:r>
    </w:p>
    <w:p w14:paraId="11D3A0F8">
      <w:pPr>
        <w:widowControl/>
        <w:snapToGrid w:val="0"/>
        <w:spacing w:line="360" w:lineRule="auto"/>
        <w:ind w:firstLine="420" w:firstLineChars="200"/>
        <w:rPr>
          <w:rFonts w:hint="eastAsia" w:ascii="宋体" w:hAnsi="宋体"/>
          <w:szCs w:val="21"/>
        </w:rPr>
      </w:pPr>
      <w:r>
        <w:rPr>
          <w:rFonts w:ascii="宋体" w:hAnsi="宋体" w:cs="仿宋"/>
          <w:szCs w:val="21"/>
        </w:rPr>
        <w:t>Q</w:t>
      </w:r>
      <w:r>
        <w:rPr>
          <w:rFonts w:hint="eastAsia" w:ascii="宋体" w:hAnsi="宋体" w:cs="仿宋"/>
          <w:szCs w:val="21"/>
          <w:vertAlign w:val="subscript"/>
        </w:rPr>
        <w:t>低</w:t>
      </w:r>
      <w:r>
        <w:rPr>
          <w:rFonts w:hint="eastAsia" w:ascii="宋体" w:hAnsi="宋体" w:cs="仿宋"/>
          <w:szCs w:val="21"/>
        </w:rPr>
        <w:t>：为达到或超过技术标及格分数线的投标人最低报价与工程成本警示价两者中的较高值；</w:t>
      </w:r>
    </w:p>
    <w:p w14:paraId="7ED2F95F">
      <w:pPr>
        <w:spacing w:line="360" w:lineRule="auto"/>
        <w:ind w:firstLine="420" w:firstLineChars="200"/>
        <w:rPr>
          <w:rFonts w:hint="eastAsia" w:ascii="宋体" w:hAnsi="宋体" w:cs="仿宋"/>
          <w:szCs w:val="21"/>
        </w:rPr>
      </w:pPr>
      <w:r>
        <w:rPr>
          <w:rFonts w:ascii="宋体" w:hAnsi="宋体" w:cs="仿宋"/>
          <w:kern w:val="0"/>
          <w:szCs w:val="21"/>
        </w:rPr>
        <w:t>Q</w:t>
      </w:r>
      <w:r>
        <w:rPr>
          <w:rFonts w:hint="eastAsia" w:ascii="宋体" w:hAnsi="宋体" w:cs="仿宋"/>
          <w:kern w:val="0"/>
          <w:szCs w:val="21"/>
          <w:vertAlign w:val="subscript"/>
        </w:rPr>
        <w:t>高</w:t>
      </w:r>
      <w:r>
        <w:rPr>
          <w:rFonts w:hint="eastAsia" w:ascii="宋体" w:hAnsi="宋体" w:cs="仿宋"/>
          <w:szCs w:val="21"/>
        </w:rPr>
        <w:t>：为（最高投标限价</w:t>
      </w:r>
      <w:r>
        <w:rPr>
          <w:rFonts w:ascii="宋体" w:hAnsi="宋体" w:cs="仿宋"/>
          <w:szCs w:val="21"/>
        </w:rPr>
        <w:t>*D%</w:t>
      </w:r>
      <w:r>
        <w:rPr>
          <w:rFonts w:hint="eastAsia" w:ascii="宋体" w:hAnsi="宋体" w:cs="仿宋"/>
          <w:szCs w:val="21"/>
        </w:rPr>
        <w:t>）（</w:t>
      </w:r>
      <w:r>
        <w:rPr>
          <w:rFonts w:ascii="宋体" w:hAnsi="宋体" w:cs="仿宋"/>
          <w:szCs w:val="21"/>
        </w:rPr>
        <w:t>D</w:t>
      </w:r>
      <w:r>
        <w:rPr>
          <w:rFonts w:hint="eastAsia" w:ascii="宋体" w:hAnsi="宋体" w:cs="仿宋"/>
          <w:szCs w:val="21"/>
        </w:rPr>
        <w:t>的取值范围为</w:t>
      </w:r>
      <w:r>
        <w:rPr>
          <w:rFonts w:ascii="宋体" w:hAnsi="宋体" w:cs="仿宋"/>
          <w:szCs w:val="21"/>
        </w:rPr>
        <w:t>[94,100],</w:t>
      </w:r>
      <w:r>
        <w:rPr>
          <w:rFonts w:hint="eastAsia" w:ascii="宋体" w:hAnsi="宋体" w:cs="仿宋"/>
          <w:szCs w:val="21"/>
        </w:rPr>
        <w:t>由招标人自定）</w:t>
      </w:r>
    </w:p>
    <w:p w14:paraId="7EB5A2F3">
      <w:pPr>
        <w:spacing w:line="360" w:lineRule="auto"/>
        <w:ind w:firstLine="420" w:firstLineChars="200"/>
        <w:rPr>
          <w:rFonts w:hint="eastAsia" w:ascii="宋体" w:hAnsi="宋体" w:cs="仿宋"/>
          <w:szCs w:val="21"/>
        </w:rPr>
      </w:pPr>
      <w:r>
        <w:rPr>
          <w:rFonts w:ascii="宋体" w:hAnsi="宋体" w:cs="仿宋"/>
          <w:szCs w:val="21"/>
        </w:rPr>
        <w:t>X:</w:t>
      </w:r>
      <w:r>
        <w:rPr>
          <w:rFonts w:hint="eastAsia" w:ascii="宋体" w:hAnsi="宋体" w:cs="仿宋"/>
          <w:szCs w:val="21"/>
        </w:rPr>
        <w:t>为等分点值，在开标前从</w:t>
      </w:r>
      <w:r>
        <w:rPr>
          <w:rFonts w:ascii="宋体" w:hAnsi="宋体" w:cs="仿宋"/>
          <w:szCs w:val="21"/>
        </w:rPr>
        <w:t>[0,100]</w:t>
      </w:r>
      <w:r>
        <w:rPr>
          <w:rFonts w:hint="eastAsia" w:ascii="宋体" w:hAnsi="宋体" w:cs="仿宋"/>
          <w:szCs w:val="21"/>
        </w:rPr>
        <w:t>整数中随机抽取</w:t>
      </w:r>
    </w:p>
    <w:p w14:paraId="193944C8">
      <w:pPr>
        <w:tabs>
          <w:tab w:val="left" w:pos="7380"/>
        </w:tabs>
        <w:snapToGrid w:val="0"/>
        <w:spacing w:line="360" w:lineRule="auto"/>
        <w:ind w:firstLine="420" w:firstLineChars="200"/>
        <w:rPr>
          <w:rFonts w:ascii="宋体"/>
          <w:kern w:val="0"/>
          <w:szCs w:val="21"/>
        </w:rPr>
      </w:pPr>
      <w:r>
        <w:rPr>
          <w:rFonts w:hint="eastAsia" w:ascii="宋体" w:hAnsi="宋体"/>
          <w:b/>
          <w:bCs/>
          <w:kern w:val="0"/>
          <w:szCs w:val="21"/>
        </w:rPr>
        <w:t>现文：</w:t>
      </w:r>
      <w:r>
        <w:rPr>
          <w:rFonts w:hint="eastAsia" w:ascii="宋体" w:hAnsi="宋体"/>
          <w:kern w:val="0"/>
          <w:szCs w:val="21"/>
        </w:rPr>
        <w:t xml:space="preserve"> 45.2按方法</w:t>
      </w:r>
      <w:r>
        <w:rPr>
          <w:rFonts w:hint="eastAsia" w:ascii="宋体" w:hAnsi="宋体"/>
          <w:kern w:val="0"/>
          <w:szCs w:val="21"/>
          <w:u w:val="single"/>
        </w:rPr>
        <w:t xml:space="preserve">  二  </w:t>
      </w:r>
      <w:r>
        <w:rPr>
          <w:rFonts w:hint="eastAsia" w:ascii="宋体" w:hAnsi="宋体"/>
          <w:kern w:val="0"/>
          <w:szCs w:val="21"/>
        </w:rPr>
        <w:t>计算评标参考价：</w:t>
      </w:r>
    </w:p>
    <w:p w14:paraId="451073EA">
      <w:pPr>
        <w:widowControl/>
        <w:spacing w:line="360" w:lineRule="auto"/>
        <w:ind w:firstLine="420" w:firstLineChars="200"/>
        <w:rPr>
          <w:rFonts w:hint="eastAsia" w:ascii="宋体" w:hAnsi="宋体"/>
          <w:b/>
          <w:bCs/>
          <w:kern w:val="0"/>
          <w:szCs w:val="21"/>
        </w:rPr>
      </w:pPr>
      <w:r>
        <w:rPr>
          <w:rFonts w:hint="eastAsia" w:ascii="宋体" w:hAnsi="宋体" w:cs="仿宋"/>
          <w:b/>
          <w:bCs/>
          <w:kern w:val="0"/>
          <w:szCs w:val="21"/>
        </w:rPr>
        <w:t>方法</w:t>
      </w:r>
      <w:r>
        <w:rPr>
          <w:rFonts w:hint="eastAsia" w:ascii="宋体" w:hAnsi="宋体" w:cs="仿宋"/>
          <w:b/>
          <w:bCs/>
          <w:kern w:val="0"/>
          <w:szCs w:val="21"/>
          <w:lang w:val="en-US" w:eastAsia="zh-CN"/>
        </w:rPr>
        <w:t>二</w:t>
      </w:r>
      <w:r>
        <w:rPr>
          <w:rFonts w:hint="eastAsia" w:ascii="宋体" w:hAnsi="宋体" w:cs="仿宋"/>
          <w:b/>
          <w:bCs/>
          <w:kern w:val="0"/>
          <w:szCs w:val="21"/>
        </w:rPr>
        <w:t>：</w:t>
      </w:r>
      <w:r>
        <w:rPr>
          <w:rFonts w:hint="eastAsia" w:ascii="宋体" w:hAnsi="宋体" w:cs="仿宋"/>
          <w:b/>
          <w:bCs/>
          <w:kern w:val="0"/>
          <w:szCs w:val="21"/>
          <w:lang w:val="en-US" w:eastAsia="zh-CN"/>
        </w:rPr>
        <w:t>区间抽取</w:t>
      </w:r>
      <w:r>
        <w:rPr>
          <w:rFonts w:hint="eastAsia" w:ascii="宋体" w:hAnsi="宋体" w:cs="仿宋"/>
          <w:b/>
          <w:bCs/>
          <w:kern w:val="0"/>
          <w:szCs w:val="21"/>
        </w:rPr>
        <w:t>法</w:t>
      </w:r>
    </w:p>
    <w:p w14:paraId="3BEE49B6">
      <w:pPr>
        <w:widowControl/>
        <w:snapToGrid w:val="0"/>
        <w:spacing w:line="360" w:lineRule="auto"/>
        <w:ind w:firstLine="420" w:firstLineChars="200"/>
        <w:rPr>
          <w:rFonts w:hint="eastAsia" w:ascii="宋体" w:hAnsi="宋体"/>
          <w:kern w:val="0"/>
          <w:szCs w:val="21"/>
        </w:rPr>
      </w:pPr>
      <w:r>
        <w:rPr>
          <w:rFonts w:hint="eastAsia" w:ascii="宋体" w:hAnsi="宋体" w:cs="仿宋"/>
          <w:szCs w:val="21"/>
        </w:rPr>
        <w:t>设立入围合格分数线（入围技术标合格分数线为≥28分（技术分满分为40分）），达到或超过及格线的投标人的报价方能参与评标参考价的计算。将达到或超过技术标及格分数线的投标报价由低至高进行排列，按以下公式计算评标参考价，计算公式如下：</w:t>
      </w:r>
    </w:p>
    <w:p w14:paraId="3F8EB18B">
      <w:pPr>
        <w:widowControl/>
        <w:snapToGrid w:val="0"/>
        <w:spacing w:line="360" w:lineRule="auto"/>
        <w:ind w:firstLine="420" w:firstLineChars="200"/>
        <w:rPr>
          <w:rFonts w:hint="eastAsia" w:ascii="宋体" w:hAnsi="宋体"/>
          <w:kern w:val="0"/>
          <w:szCs w:val="21"/>
          <w:vertAlign w:val="subscript"/>
        </w:rPr>
      </w:pPr>
      <w:r>
        <w:rPr>
          <w:rFonts w:hint="eastAsia" w:ascii="宋体" w:hAnsi="宋体" w:cs="仿宋"/>
          <w:kern w:val="0"/>
          <w:szCs w:val="21"/>
        </w:rPr>
        <w:t>评标参考价</w:t>
      </w:r>
      <w:r>
        <w:rPr>
          <w:rFonts w:ascii="宋体" w:hAnsi="宋体" w:cs="仿宋"/>
          <w:kern w:val="0"/>
          <w:szCs w:val="21"/>
        </w:rPr>
        <w:t>=</w:t>
      </w:r>
      <w:r>
        <w:rPr>
          <w:rFonts w:hint="eastAsia" w:ascii="宋体" w:hAnsi="宋体" w:cs="仿宋"/>
          <w:kern w:val="0"/>
          <w:szCs w:val="21"/>
        </w:rPr>
        <w:t>（</w:t>
      </w:r>
      <w:r>
        <w:rPr>
          <w:rFonts w:ascii="宋体" w:hAnsi="宋体" w:cs="仿宋"/>
          <w:kern w:val="0"/>
          <w:szCs w:val="21"/>
        </w:rPr>
        <w:t>Q</w:t>
      </w:r>
      <w:r>
        <w:rPr>
          <w:rFonts w:hint="eastAsia" w:ascii="宋体" w:hAnsi="宋体" w:cs="仿宋"/>
          <w:kern w:val="0"/>
          <w:szCs w:val="21"/>
          <w:vertAlign w:val="subscript"/>
        </w:rPr>
        <w:t>高</w:t>
      </w:r>
      <w:r>
        <w:rPr>
          <w:rFonts w:ascii="宋体" w:hAnsi="宋体" w:cs="仿宋"/>
          <w:kern w:val="0"/>
          <w:szCs w:val="21"/>
        </w:rPr>
        <w:t>-Q</w:t>
      </w:r>
      <w:r>
        <w:rPr>
          <w:rFonts w:hint="eastAsia" w:ascii="宋体" w:hAnsi="宋体" w:cs="仿宋"/>
          <w:kern w:val="0"/>
          <w:szCs w:val="21"/>
          <w:vertAlign w:val="subscript"/>
        </w:rPr>
        <w:t>低</w:t>
      </w:r>
      <w:r>
        <w:rPr>
          <w:rFonts w:hint="eastAsia" w:ascii="宋体" w:hAnsi="宋体" w:cs="仿宋"/>
          <w:kern w:val="0"/>
          <w:szCs w:val="21"/>
        </w:rPr>
        <w:t>）</w:t>
      </w:r>
      <w:r>
        <w:rPr>
          <w:rFonts w:ascii="宋体" w:hAnsi="宋体" w:cs="仿宋"/>
          <w:kern w:val="0"/>
          <w:szCs w:val="21"/>
        </w:rPr>
        <w:t>/100*</w:t>
      </w:r>
      <w:r>
        <w:rPr>
          <w:rFonts w:hint="eastAsia" w:ascii="宋体" w:hAnsi="宋体" w:cs="仿宋"/>
          <w:kern w:val="0"/>
          <w:szCs w:val="21"/>
        </w:rPr>
        <w:t>Ｘ</w:t>
      </w:r>
      <w:r>
        <w:rPr>
          <w:rFonts w:ascii="宋体" w:hAnsi="宋体" w:cs="仿宋"/>
          <w:kern w:val="0"/>
          <w:szCs w:val="21"/>
        </w:rPr>
        <w:t>+Q</w:t>
      </w:r>
      <w:r>
        <w:rPr>
          <w:rFonts w:hint="eastAsia" w:ascii="宋体" w:hAnsi="宋体" w:cs="仿宋"/>
          <w:kern w:val="0"/>
          <w:szCs w:val="21"/>
          <w:vertAlign w:val="subscript"/>
        </w:rPr>
        <w:t>低</w:t>
      </w:r>
    </w:p>
    <w:p w14:paraId="603E06F3">
      <w:pPr>
        <w:widowControl/>
        <w:snapToGrid w:val="0"/>
        <w:spacing w:line="360" w:lineRule="auto"/>
        <w:ind w:firstLine="420" w:firstLineChars="200"/>
        <w:rPr>
          <w:rFonts w:hint="eastAsia" w:ascii="宋体" w:hAnsi="宋体"/>
          <w:szCs w:val="21"/>
        </w:rPr>
      </w:pPr>
      <w:r>
        <w:rPr>
          <w:rFonts w:ascii="宋体" w:hAnsi="宋体" w:cs="仿宋"/>
          <w:szCs w:val="21"/>
        </w:rPr>
        <w:t>Q</w:t>
      </w:r>
      <w:r>
        <w:rPr>
          <w:rFonts w:hint="eastAsia" w:ascii="宋体" w:hAnsi="宋体" w:cs="仿宋"/>
          <w:szCs w:val="21"/>
          <w:vertAlign w:val="subscript"/>
        </w:rPr>
        <w:t>低</w:t>
      </w:r>
      <w:r>
        <w:rPr>
          <w:rFonts w:hint="eastAsia" w:ascii="宋体" w:hAnsi="宋体" w:cs="仿宋"/>
          <w:szCs w:val="21"/>
        </w:rPr>
        <w:t>：为达到或超过技术标及格分数线的投标人最低报价与工程成本警示价两者中的较高值；</w:t>
      </w:r>
    </w:p>
    <w:p w14:paraId="469D6FDE">
      <w:pPr>
        <w:spacing w:line="360" w:lineRule="auto"/>
        <w:ind w:firstLine="420" w:firstLineChars="200"/>
        <w:rPr>
          <w:rFonts w:hint="eastAsia" w:ascii="宋体" w:hAnsi="宋体" w:cs="仿宋"/>
          <w:szCs w:val="21"/>
        </w:rPr>
      </w:pPr>
      <w:r>
        <w:rPr>
          <w:rFonts w:ascii="宋体" w:hAnsi="宋体" w:cs="仿宋"/>
          <w:kern w:val="0"/>
          <w:szCs w:val="21"/>
        </w:rPr>
        <w:t>Q</w:t>
      </w:r>
      <w:r>
        <w:rPr>
          <w:rFonts w:hint="eastAsia" w:ascii="宋体" w:hAnsi="宋体" w:cs="仿宋"/>
          <w:kern w:val="0"/>
          <w:szCs w:val="21"/>
          <w:vertAlign w:val="subscript"/>
        </w:rPr>
        <w:t>高</w:t>
      </w:r>
      <w:r>
        <w:rPr>
          <w:rFonts w:hint="eastAsia" w:ascii="宋体" w:hAnsi="宋体" w:cs="仿宋"/>
          <w:szCs w:val="21"/>
        </w:rPr>
        <w:t>：为（最高投标限价</w:t>
      </w:r>
      <w:r>
        <w:rPr>
          <w:rFonts w:ascii="宋体" w:hAnsi="宋体" w:cs="仿宋"/>
          <w:szCs w:val="21"/>
        </w:rPr>
        <w:t>*</w:t>
      </w:r>
      <w:r>
        <w:rPr>
          <w:rFonts w:hint="eastAsia" w:ascii="宋体" w:hAnsi="宋体" w:cs="仿宋"/>
          <w:szCs w:val="21"/>
        </w:rPr>
        <w:t>99</w:t>
      </w:r>
      <w:r>
        <w:rPr>
          <w:rFonts w:ascii="宋体" w:hAnsi="宋体" w:cs="仿宋"/>
          <w:szCs w:val="21"/>
        </w:rPr>
        <w:t>%</w:t>
      </w:r>
      <w:r>
        <w:rPr>
          <w:rFonts w:hint="eastAsia" w:ascii="宋体" w:hAnsi="宋体" w:cs="仿宋"/>
          <w:szCs w:val="21"/>
        </w:rPr>
        <w:t>）</w:t>
      </w:r>
    </w:p>
    <w:p w14:paraId="347E91DF">
      <w:pPr>
        <w:spacing w:line="360" w:lineRule="auto"/>
        <w:ind w:firstLine="420" w:firstLineChars="200"/>
        <w:rPr>
          <w:rFonts w:hint="eastAsia" w:ascii="宋体" w:hAnsi="宋体" w:cs="仿宋"/>
          <w:szCs w:val="21"/>
        </w:rPr>
      </w:pPr>
      <w:r>
        <w:rPr>
          <w:rFonts w:ascii="宋体" w:hAnsi="宋体" w:cs="仿宋"/>
          <w:szCs w:val="21"/>
        </w:rPr>
        <w:t>X:</w:t>
      </w:r>
      <w:r>
        <w:rPr>
          <w:rFonts w:hint="eastAsia" w:ascii="宋体" w:hAnsi="宋体" w:cs="仿宋"/>
          <w:szCs w:val="21"/>
        </w:rPr>
        <w:t>为等分点值，在开标前从</w:t>
      </w:r>
      <w:r>
        <w:rPr>
          <w:rFonts w:ascii="宋体" w:hAnsi="宋体" w:cs="仿宋"/>
          <w:szCs w:val="21"/>
        </w:rPr>
        <w:t>[0,100]</w:t>
      </w:r>
      <w:r>
        <w:rPr>
          <w:rFonts w:hint="eastAsia" w:ascii="宋体" w:hAnsi="宋体" w:cs="仿宋"/>
          <w:szCs w:val="21"/>
        </w:rPr>
        <w:t>整数中随机抽取</w:t>
      </w:r>
    </w:p>
    <w:p w14:paraId="76AEEBC7">
      <w:pPr>
        <w:pStyle w:val="30"/>
        <w:rPr>
          <w:u w:val="single"/>
        </w:rPr>
      </w:pPr>
      <w:r>
        <w:rPr>
          <w:rFonts w:hint="eastAsia"/>
          <w:u w:val="single"/>
        </w:rPr>
        <w:t xml:space="preserve">                                                                                        </w:t>
      </w:r>
    </w:p>
    <w:p w14:paraId="2F983458">
      <w:pPr>
        <w:spacing w:line="360" w:lineRule="auto"/>
        <w:ind w:firstLine="420" w:firstLineChars="200"/>
        <w:rPr>
          <w:b/>
          <w:szCs w:val="21"/>
        </w:rPr>
      </w:pPr>
      <w:r>
        <w:rPr>
          <w:rFonts w:hint="eastAsia"/>
          <w:b/>
          <w:szCs w:val="21"/>
        </w:rPr>
        <w:t>条款号：45.3</w:t>
      </w:r>
      <w:r>
        <w:rPr>
          <w:b/>
          <w:szCs w:val="21"/>
        </w:rPr>
        <w:t xml:space="preserve">           </w:t>
      </w:r>
      <w:r>
        <w:rPr>
          <w:rFonts w:hint="eastAsia"/>
          <w:b/>
          <w:szCs w:val="21"/>
        </w:rPr>
        <w:t>修改类型：修改</w:t>
      </w:r>
    </w:p>
    <w:p w14:paraId="7D1CE1F7">
      <w:pPr>
        <w:spacing w:line="360" w:lineRule="auto"/>
        <w:ind w:firstLine="420" w:firstLineChars="200"/>
        <w:rPr>
          <w:rFonts w:hint="eastAsia" w:ascii="宋体" w:hAnsi="宋体"/>
          <w:szCs w:val="21"/>
        </w:rPr>
      </w:pPr>
      <w:r>
        <w:rPr>
          <w:rFonts w:hint="eastAsia" w:ascii="宋体" w:hAnsi="宋体" w:cs="宋体"/>
          <w:b/>
          <w:bCs/>
          <w:kern w:val="0"/>
          <w:szCs w:val="21"/>
        </w:rPr>
        <w:t>原文：</w:t>
      </w:r>
      <w:r>
        <w:rPr>
          <w:rFonts w:hint="eastAsia" w:ascii="宋体" w:hAnsi="宋体" w:cs="宋体"/>
          <w:kern w:val="0"/>
          <w:szCs w:val="21"/>
        </w:rPr>
        <w:t>45.3</w:t>
      </w:r>
      <w:r>
        <w:rPr>
          <w:rFonts w:hint="eastAsia" w:ascii="宋体" w:hAnsi="宋体"/>
          <w:szCs w:val="21"/>
        </w:rPr>
        <w:t>当标价等于评标参考价时得</w:t>
      </w:r>
      <w:r>
        <w:rPr>
          <w:rFonts w:ascii="宋体" w:hAnsi="宋体"/>
          <w:szCs w:val="21"/>
        </w:rPr>
        <w:t>100</w:t>
      </w:r>
      <w:r>
        <w:rPr>
          <w:rFonts w:hint="eastAsia" w:ascii="宋体" w:hAnsi="宋体"/>
          <w:szCs w:val="21"/>
        </w:rPr>
        <w:t>分，标价每高于评标参考价</w:t>
      </w:r>
      <w:r>
        <w:rPr>
          <w:rFonts w:ascii="宋体" w:hAnsi="宋体"/>
          <w:szCs w:val="21"/>
        </w:rPr>
        <w:t>1%</w:t>
      </w:r>
      <w:r>
        <w:rPr>
          <w:rFonts w:hint="eastAsia" w:ascii="宋体" w:hAnsi="宋体"/>
          <w:szCs w:val="21"/>
        </w:rPr>
        <w:t>，扣</w:t>
      </w:r>
      <w:r>
        <w:rPr>
          <w:rFonts w:ascii="宋体" w:hAnsi="宋体"/>
          <w:szCs w:val="21"/>
        </w:rPr>
        <w:t>1.5</w:t>
      </w:r>
      <w:r>
        <w:rPr>
          <w:rFonts w:hint="eastAsia" w:ascii="宋体" w:hAnsi="宋体"/>
          <w:szCs w:val="21"/>
        </w:rPr>
        <w:t>分，每低于评标参考价</w:t>
      </w:r>
      <w:r>
        <w:rPr>
          <w:rFonts w:ascii="宋体" w:hAnsi="宋体"/>
          <w:szCs w:val="21"/>
        </w:rPr>
        <w:t>1%</w:t>
      </w:r>
      <w:r>
        <w:rPr>
          <w:rFonts w:hint="eastAsia" w:ascii="宋体" w:hAnsi="宋体"/>
          <w:szCs w:val="21"/>
        </w:rPr>
        <w:t>，扣</w:t>
      </w:r>
      <w:r>
        <w:rPr>
          <w:rFonts w:ascii="宋体" w:hAnsi="宋体"/>
          <w:szCs w:val="21"/>
        </w:rPr>
        <w:t>1</w:t>
      </w:r>
      <w:r>
        <w:rPr>
          <w:rFonts w:hint="eastAsia" w:ascii="宋体" w:hAnsi="宋体"/>
          <w:szCs w:val="21"/>
        </w:rPr>
        <w:t>分，扣至</w:t>
      </w:r>
      <w:r>
        <w:rPr>
          <w:rFonts w:ascii="宋体" w:hAnsi="宋体"/>
          <w:szCs w:val="21"/>
        </w:rPr>
        <w:t>0</w:t>
      </w:r>
      <w:r>
        <w:rPr>
          <w:rFonts w:hint="eastAsia" w:ascii="宋体" w:hAnsi="宋体"/>
          <w:szCs w:val="21"/>
        </w:rPr>
        <w:t>分为止，得出经济分，精确到小数点后两位。</w:t>
      </w:r>
    </w:p>
    <w:p w14:paraId="5815C44E">
      <w:pPr>
        <w:spacing w:line="360" w:lineRule="auto"/>
        <w:ind w:firstLine="420" w:firstLineChars="200"/>
        <w:rPr>
          <w:rFonts w:hint="eastAsia" w:ascii="宋体" w:hAnsi="宋体"/>
          <w:szCs w:val="21"/>
        </w:rPr>
      </w:pPr>
      <w:r>
        <w:rPr>
          <w:rFonts w:hint="eastAsia" w:ascii="宋体" w:hAnsi="宋体" w:cs="宋体"/>
          <w:b/>
          <w:bCs/>
          <w:kern w:val="0"/>
          <w:szCs w:val="21"/>
        </w:rPr>
        <w:t>现文：</w:t>
      </w:r>
      <w:r>
        <w:rPr>
          <w:rFonts w:hint="eastAsia" w:ascii="宋体" w:hAnsi="宋体" w:cs="宋体"/>
          <w:kern w:val="0"/>
          <w:szCs w:val="21"/>
        </w:rPr>
        <w:t>45.3</w:t>
      </w:r>
      <w:r>
        <w:rPr>
          <w:rFonts w:hint="eastAsia" w:ascii="宋体" w:hAnsi="宋体"/>
          <w:szCs w:val="21"/>
        </w:rPr>
        <w:t>当标价等于评标参考价时得</w:t>
      </w:r>
      <w:r>
        <w:rPr>
          <w:rFonts w:ascii="宋体" w:hAnsi="宋体"/>
          <w:szCs w:val="21"/>
        </w:rPr>
        <w:t>100</w:t>
      </w:r>
      <w:r>
        <w:rPr>
          <w:rFonts w:hint="eastAsia" w:ascii="宋体" w:hAnsi="宋体"/>
          <w:szCs w:val="21"/>
        </w:rPr>
        <w:t>分，标价每高于评标参考价</w:t>
      </w:r>
      <w:r>
        <w:rPr>
          <w:rFonts w:ascii="宋体" w:hAnsi="宋体"/>
          <w:szCs w:val="21"/>
        </w:rPr>
        <w:t>1%</w:t>
      </w:r>
      <w:r>
        <w:rPr>
          <w:rFonts w:hint="eastAsia" w:ascii="宋体" w:hAnsi="宋体"/>
          <w:szCs w:val="21"/>
        </w:rPr>
        <w:t>，扣</w:t>
      </w:r>
      <w:r>
        <w:rPr>
          <w:rFonts w:hint="eastAsia" w:ascii="宋体" w:hAnsi="宋体"/>
          <w:szCs w:val="21"/>
          <w:u w:val="single"/>
        </w:rPr>
        <w:t>0.5</w:t>
      </w:r>
      <w:r>
        <w:rPr>
          <w:rFonts w:hint="eastAsia" w:ascii="宋体" w:hAnsi="宋体"/>
          <w:szCs w:val="21"/>
        </w:rPr>
        <w:t>分，每低于评标参考价</w:t>
      </w:r>
      <w:r>
        <w:rPr>
          <w:rFonts w:ascii="宋体" w:hAnsi="宋体"/>
          <w:szCs w:val="21"/>
        </w:rPr>
        <w:t>1%</w:t>
      </w:r>
      <w:r>
        <w:rPr>
          <w:rFonts w:hint="eastAsia" w:ascii="宋体" w:hAnsi="宋体"/>
          <w:szCs w:val="21"/>
        </w:rPr>
        <w:t>，扣</w:t>
      </w:r>
      <w:r>
        <w:rPr>
          <w:rFonts w:hint="eastAsia" w:ascii="宋体" w:hAnsi="宋体"/>
          <w:szCs w:val="21"/>
          <w:u w:val="single"/>
        </w:rPr>
        <w:t>0.4</w:t>
      </w:r>
      <w:r>
        <w:rPr>
          <w:rFonts w:hint="eastAsia" w:ascii="宋体" w:hAnsi="宋体"/>
          <w:szCs w:val="21"/>
        </w:rPr>
        <w:t>分，扣至</w:t>
      </w:r>
      <w:r>
        <w:rPr>
          <w:rFonts w:ascii="宋体" w:hAnsi="宋体"/>
          <w:szCs w:val="21"/>
        </w:rPr>
        <w:t>0</w:t>
      </w:r>
      <w:r>
        <w:rPr>
          <w:rFonts w:hint="eastAsia" w:ascii="宋体" w:hAnsi="宋体"/>
          <w:szCs w:val="21"/>
        </w:rPr>
        <w:t>分为止，得出经济分，精确到小数点后两位。</w:t>
      </w:r>
    </w:p>
    <w:p w14:paraId="5618BCAD">
      <w:pPr>
        <w:pStyle w:val="30"/>
        <w:rPr>
          <w:u w:val="single"/>
        </w:rPr>
      </w:pPr>
      <w:r>
        <w:rPr>
          <w:rFonts w:hint="eastAsia"/>
          <w:u w:val="single"/>
        </w:rPr>
        <w:t xml:space="preserve">                                                                                       </w:t>
      </w:r>
    </w:p>
    <w:p w14:paraId="0E0B189C">
      <w:pPr>
        <w:spacing w:line="360" w:lineRule="auto"/>
        <w:ind w:firstLine="420" w:firstLineChars="200"/>
        <w:rPr>
          <w:rFonts w:hint="eastAsia" w:ascii="宋体" w:hAnsi="宋体" w:cs="宋体"/>
          <w:kern w:val="0"/>
          <w:szCs w:val="21"/>
        </w:rPr>
      </w:pPr>
      <w:r>
        <w:rPr>
          <w:rFonts w:hint="eastAsia"/>
          <w:b/>
          <w:szCs w:val="21"/>
        </w:rPr>
        <w:t>条款号：45.4</w:t>
      </w:r>
      <w:r>
        <w:rPr>
          <w:b/>
          <w:szCs w:val="21"/>
        </w:rPr>
        <w:t xml:space="preserve">          </w:t>
      </w:r>
      <w:r>
        <w:rPr>
          <w:rFonts w:hint="eastAsia"/>
          <w:b/>
          <w:szCs w:val="21"/>
        </w:rPr>
        <w:t>修改类型：修改</w:t>
      </w:r>
    </w:p>
    <w:p w14:paraId="5ABBD164">
      <w:pPr>
        <w:spacing w:line="360" w:lineRule="auto"/>
        <w:ind w:firstLine="420" w:firstLineChars="200"/>
        <w:rPr>
          <w:rFonts w:hint="eastAsia" w:ascii="宋体" w:hAnsi="宋体" w:cs="宋体"/>
          <w:kern w:val="0"/>
          <w:szCs w:val="21"/>
        </w:rPr>
      </w:pPr>
      <w:r>
        <w:rPr>
          <w:rFonts w:hint="eastAsia" w:ascii="宋体" w:hAnsi="宋体" w:cs="宋体"/>
          <w:b/>
          <w:bCs/>
          <w:kern w:val="0"/>
          <w:szCs w:val="21"/>
        </w:rPr>
        <w:t>原文：</w:t>
      </w:r>
      <w:r>
        <w:rPr>
          <w:rFonts w:hint="eastAsia" w:ascii="宋体" w:hAnsi="宋体" w:cs="宋体"/>
          <w:kern w:val="0"/>
          <w:szCs w:val="21"/>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14:paraId="725CD66C">
      <w:pPr>
        <w:pStyle w:val="50"/>
        <w:pBdr>
          <w:bottom w:val="single" w:color="auto" w:sz="6" w:space="1"/>
        </w:pBdr>
        <w:spacing w:line="276" w:lineRule="auto"/>
        <w:ind w:firstLine="525" w:firstLineChars="250"/>
        <w:rPr>
          <w:rFonts w:hint="eastAsia" w:ascii="宋体" w:hAnsi="宋体" w:eastAsia="宋体" w:cs="宋体"/>
          <w:szCs w:val="21"/>
          <w:u w:val="single"/>
        </w:rPr>
      </w:pPr>
      <w:r>
        <w:rPr>
          <w:rFonts w:hint="eastAsia" w:ascii="宋体" w:hAnsi="宋体" w:cs="宋体"/>
          <w:b/>
          <w:bCs/>
          <w:kern w:val="0"/>
          <w:szCs w:val="21"/>
        </w:rPr>
        <w:t>现文：</w:t>
      </w:r>
      <w:r>
        <w:rPr>
          <w:rFonts w:ascii="宋体" w:hAnsi="宋体" w:eastAsia="宋体" w:cs="宋体"/>
          <w:szCs w:val="21"/>
        </w:rPr>
        <w:t>45.4</w:t>
      </w:r>
      <w:r>
        <w:rPr>
          <w:rFonts w:hint="eastAsia" w:ascii="宋体" w:hAnsi="宋体" w:eastAsia="宋体" w:cs="宋体"/>
          <w:szCs w:val="21"/>
          <w:u w:val="single"/>
        </w:rPr>
        <w:t>计算通过技术标有效性审查的投标人总得分。投标人总得分＝[技术得分（100分）×技术得分权重（40%）＋经济得分（100分）×经济得分权重（60%）]。总得分四舍五入保留两位小数。</w:t>
      </w:r>
    </w:p>
    <w:p w14:paraId="6E9AD90E">
      <w:pPr>
        <w:pStyle w:val="50"/>
        <w:keepNext w:val="0"/>
        <w:keepLines w:val="0"/>
        <w:pageBreakBefore w:val="0"/>
        <w:widowControl w:val="0"/>
        <w:pBdr>
          <w:bottom w:val="single" w:color="auto" w:sz="6" w:space="1"/>
        </w:pBdr>
        <w:kinsoku/>
        <w:wordWrap/>
        <w:overflowPunct/>
        <w:topLinePunct w:val="0"/>
        <w:autoSpaceDE/>
        <w:autoSpaceDN/>
        <w:bidi w:val="0"/>
        <w:adjustRightInd/>
        <w:snapToGrid/>
        <w:spacing w:line="276" w:lineRule="auto"/>
        <w:ind w:firstLine="525" w:firstLineChars="250"/>
        <w:textAlignment w:val="auto"/>
        <w:rPr>
          <w:rFonts w:hint="eastAsia" w:ascii="宋体" w:hAnsi="宋体"/>
          <w:szCs w:val="21"/>
          <w:u w:val="single"/>
        </w:rPr>
      </w:pPr>
      <w:r>
        <w:rPr>
          <w:rFonts w:hint="eastAsia" w:ascii="宋体" w:hAnsi="宋体" w:eastAsia="宋体" w:cs="宋体"/>
          <w:szCs w:val="21"/>
          <w:u w:val="single"/>
        </w:rPr>
        <w:t>总得分相同的投标文件，以技术得分较高的排前；总得分与技术得分均相同的投标人，投标报价低的排前；如仍存在相同情况，则对具有相同情况的投标人，由评标委员会采用投票方式，确定投标人的排序。注：记名投票方式确定排序的具体操作步骤为：由评标委员会对出现该情况的投标人采取记名投票的方式确定，按得票数高低进行排序。</w:t>
      </w:r>
    </w:p>
    <w:p w14:paraId="4585D69C">
      <w:pPr>
        <w:spacing w:line="360" w:lineRule="auto"/>
        <w:ind w:firstLine="470" w:firstLineChars="224"/>
        <w:rPr>
          <w:rFonts w:hint="eastAsia" w:ascii="宋体" w:hAnsi="宋体" w:cs="宋体"/>
          <w:b/>
          <w:szCs w:val="21"/>
        </w:rPr>
      </w:pPr>
      <w:r>
        <w:rPr>
          <w:rFonts w:hint="eastAsia" w:ascii="宋体" w:hAnsi="宋体" w:cs="宋体"/>
          <w:b/>
          <w:szCs w:val="21"/>
        </w:rPr>
        <w:t>条款号：49                        修改类型：修改</w:t>
      </w:r>
    </w:p>
    <w:p w14:paraId="3A87077F">
      <w:pPr>
        <w:pBdr>
          <w:bottom w:val="single" w:color="auto" w:sz="6" w:space="1"/>
        </w:pBdr>
        <w:spacing w:line="360" w:lineRule="auto"/>
        <w:ind w:firstLine="470" w:firstLineChars="224"/>
        <w:rPr>
          <w:rFonts w:hint="eastAsia" w:ascii="宋体" w:hAnsi="宋体" w:cs="宋体"/>
          <w:szCs w:val="21"/>
        </w:rPr>
      </w:pPr>
      <w:r>
        <w:rPr>
          <w:rFonts w:hint="eastAsia" w:ascii="宋体" w:hAnsi="宋体" w:cs="宋体"/>
          <w:b/>
          <w:szCs w:val="21"/>
        </w:rPr>
        <w:t>原文：</w:t>
      </w:r>
      <w:r>
        <w:rPr>
          <w:rFonts w:hint="eastAsia" w:ascii="宋体" w:hAnsi="宋体" w:cs="宋体"/>
          <w:bCs/>
          <w:szCs w:val="21"/>
        </w:rPr>
        <w:t>49</w:t>
      </w:r>
      <w:r>
        <w:rPr>
          <w:rFonts w:hint="eastAsia" w:ascii="宋体" w:hAnsi="宋体" w:cs="宋体"/>
          <w:szCs w:val="21"/>
        </w:rPr>
        <w:t>若通过经济标有效性审查的投标人不足三家，应当依法重新招标。（当N个标段同时招标且不允许兼中时，若有效投标人不足N+2家，应当依法重新招标）。</w:t>
      </w:r>
    </w:p>
    <w:p w14:paraId="69377165">
      <w:pPr>
        <w:pBdr>
          <w:bottom w:val="single" w:color="auto" w:sz="6" w:space="1"/>
        </w:pBdr>
        <w:spacing w:line="360" w:lineRule="auto"/>
        <w:ind w:firstLine="470" w:firstLineChars="224"/>
        <w:rPr>
          <w:rFonts w:hint="eastAsia" w:ascii="宋体" w:hAnsi="宋体" w:cs="宋体"/>
          <w:szCs w:val="21"/>
        </w:rPr>
      </w:pPr>
      <w:r>
        <w:rPr>
          <w:rFonts w:hint="eastAsia" w:ascii="宋体" w:hAnsi="宋体" w:cs="宋体"/>
          <w:b/>
          <w:szCs w:val="21"/>
        </w:rPr>
        <w:t>现文：</w:t>
      </w:r>
      <w:r>
        <w:rPr>
          <w:rFonts w:hint="eastAsia" w:ascii="宋体" w:hAnsi="宋体" w:cs="宋体"/>
          <w:bCs/>
          <w:szCs w:val="21"/>
        </w:rPr>
        <w:t>49</w:t>
      </w:r>
      <w:r>
        <w:rPr>
          <w:rFonts w:hint="eastAsia" w:ascii="宋体" w:hAnsi="宋体" w:cs="宋体"/>
          <w:szCs w:val="21"/>
        </w:rPr>
        <w:t>若通过经济标有效性审查的投标人不足三家，依法重新招标。</w:t>
      </w:r>
    </w:p>
    <w:p w14:paraId="0F061CDE">
      <w:pPr>
        <w:pBdr>
          <w:bottom w:val="none" w:color="auto" w:sz="0" w:space="1"/>
        </w:pBdr>
        <w:spacing w:line="360" w:lineRule="auto"/>
        <w:ind w:firstLine="420"/>
        <w:rPr>
          <w:rFonts w:hint="eastAsia" w:ascii="宋体" w:hAnsi="宋体" w:cs="宋体"/>
          <w:b/>
          <w:szCs w:val="21"/>
        </w:rPr>
      </w:pPr>
    </w:p>
    <w:p w14:paraId="788E16B5">
      <w:pPr>
        <w:pBdr>
          <w:bottom w:val="none" w:color="auto" w:sz="0" w:space="1"/>
        </w:pBdr>
        <w:spacing w:line="360" w:lineRule="auto"/>
        <w:ind w:firstLine="420"/>
        <w:rPr>
          <w:rFonts w:hint="eastAsia" w:ascii="宋体" w:hAnsi="宋体" w:cs="宋体"/>
          <w:b/>
          <w:szCs w:val="21"/>
        </w:rPr>
      </w:pPr>
      <w:r>
        <w:rPr>
          <w:rFonts w:hint="eastAsia" w:ascii="宋体" w:hAnsi="宋体" w:cs="宋体"/>
          <w:b/>
          <w:szCs w:val="21"/>
        </w:rPr>
        <w:t>条款号：附表一《资格审查表》                         修改类型：修改</w:t>
      </w:r>
    </w:p>
    <w:p w14:paraId="7E0A2871">
      <w:pPr>
        <w:pBdr>
          <w:bottom w:val="single" w:color="auto" w:sz="6" w:space="1"/>
        </w:pBdr>
        <w:spacing w:line="360" w:lineRule="auto"/>
        <w:ind w:firstLine="420"/>
        <w:rPr>
          <w:rFonts w:hint="eastAsia" w:ascii="宋体" w:hAnsi="宋体" w:cs="宋体"/>
          <w:bCs/>
          <w:szCs w:val="21"/>
        </w:rPr>
      </w:pPr>
      <w:r>
        <w:rPr>
          <w:rFonts w:hint="eastAsia" w:ascii="宋体" w:hAnsi="宋体" w:cs="宋体"/>
          <w:b/>
          <w:szCs w:val="21"/>
        </w:rPr>
        <w:t>原文：</w:t>
      </w:r>
      <w:r>
        <w:rPr>
          <w:rFonts w:hint="eastAsia" w:ascii="宋体" w:hAnsi="宋体" w:cs="宋体"/>
          <w:bCs/>
          <w:szCs w:val="21"/>
        </w:rPr>
        <w:t>详见《广州市建设工程施工公开招标项目招标文件范本GZZB2018-3》</w:t>
      </w:r>
    </w:p>
    <w:p w14:paraId="66BE7FA5">
      <w:pPr>
        <w:pBdr>
          <w:bottom w:val="single" w:color="auto" w:sz="6" w:space="1"/>
        </w:pBdr>
        <w:spacing w:line="360" w:lineRule="auto"/>
        <w:ind w:firstLine="525" w:firstLineChars="250"/>
        <w:rPr>
          <w:rFonts w:hint="eastAsia" w:ascii="宋体" w:hAnsi="宋体" w:cs="宋体"/>
          <w:szCs w:val="21"/>
        </w:rPr>
      </w:pPr>
      <w:r>
        <w:rPr>
          <w:rFonts w:hint="eastAsia" w:ascii="宋体" w:hAnsi="宋体" w:cs="宋体"/>
          <w:b/>
          <w:szCs w:val="21"/>
        </w:rPr>
        <w:t>现文：</w:t>
      </w:r>
      <w:r>
        <w:rPr>
          <w:rFonts w:hint="eastAsia" w:ascii="宋体" w:hAnsi="宋体" w:cs="宋体"/>
          <w:bCs/>
          <w:szCs w:val="21"/>
        </w:rPr>
        <w:t>详见附表一《资格审查表》</w:t>
      </w:r>
    </w:p>
    <w:p w14:paraId="3533BBE0">
      <w:pPr>
        <w:spacing w:line="360" w:lineRule="auto"/>
        <w:ind w:firstLine="470" w:firstLineChars="224"/>
        <w:rPr>
          <w:rFonts w:hint="eastAsia" w:ascii="宋体" w:hAnsi="宋体" w:cs="宋体"/>
          <w:b/>
          <w:szCs w:val="21"/>
        </w:rPr>
      </w:pPr>
      <w:r>
        <w:rPr>
          <w:rFonts w:hint="eastAsia" w:ascii="宋体" w:hAnsi="宋体" w:cs="宋体"/>
          <w:b/>
          <w:szCs w:val="21"/>
        </w:rPr>
        <w:t>条款号：附表二《技术标有效性审查表》                 修改类型：修改</w:t>
      </w:r>
    </w:p>
    <w:p w14:paraId="1CBB5F89">
      <w:pPr>
        <w:spacing w:line="360" w:lineRule="auto"/>
        <w:ind w:firstLine="470" w:firstLineChars="224"/>
        <w:rPr>
          <w:rFonts w:hint="eastAsia" w:ascii="宋体" w:hAnsi="宋体" w:cs="宋体"/>
          <w:bCs/>
          <w:szCs w:val="21"/>
        </w:rPr>
      </w:pPr>
      <w:r>
        <w:rPr>
          <w:rFonts w:hint="eastAsia" w:ascii="宋体" w:hAnsi="宋体" w:cs="宋体"/>
          <w:b/>
          <w:szCs w:val="21"/>
        </w:rPr>
        <w:t>原文：</w:t>
      </w:r>
      <w:r>
        <w:rPr>
          <w:rFonts w:hint="eastAsia" w:ascii="宋体" w:hAnsi="宋体" w:cs="宋体"/>
          <w:bCs/>
          <w:szCs w:val="21"/>
        </w:rPr>
        <w:t>详见《广州市建设工程施工公开招标项目招标文件范本GZZB2018-3》</w:t>
      </w:r>
    </w:p>
    <w:p w14:paraId="5B4CD878">
      <w:pPr>
        <w:pBdr>
          <w:bottom w:val="single" w:color="auto" w:sz="6" w:space="1"/>
        </w:pBdr>
        <w:spacing w:line="360" w:lineRule="auto"/>
        <w:ind w:firstLine="525" w:firstLineChars="250"/>
        <w:rPr>
          <w:rFonts w:hint="eastAsia" w:ascii="宋体" w:hAnsi="宋体" w:cs="宋体"/>
          <w:szCs w:val="21"/>
        </w:rPr>
      </w:pPr>
      <w:r>
        <w:rPr>
          <w:rFonts w:hint="eastAsia" w:ascii="宋体" w:hAnsi="宋体" w:cs="宋体"/>
          <w:b/>
          <w:szCs w:val="21"/>
        </w:rPr>
        <w:t>现文：</w:t>
      </w:r>
      <w:r>
        <w:rPr>
          <w:rFonts w:hint="eastAsia" w:ascii="宋体" w:hAnsi="宋体" w:cs="宋体"/>
          <w:bCs/>
          <w:szCs w:val="21"/>
        </w:rPr>
        <w:t>详见附表二《技术标有效性审查表》</w:t>
      </w:r>
    </w:p>
    <w:p w14:paraId="2E195B4C">
      <w:pPr>
        <w:spacing w:line="360" w:lineRule="auto"/>
        <w:ind w:firstLine="470" w:firstLineChars="224"/>
        <w:rPr>
          <w:rFonts w:hint="eastAsia" w:ascii="宋体" w:hAnsi="宋体" w:cs="宋体"/>
          <w:b/>
          <w:szCs w:val="21"/>
        </w:rPr>
      </w:pPr>
      <w:r>
        <w:rPr>
          <w:rFonts w:hint="eastAsia" w:ascii="宋体" w:hAnsi="宋体" w:cs="宋体"/>
          <w:b/>
          <w:szCs w:val="21"/>
        </w:rPr>
        <w:t>条款号：附表三《经济标有效性审查表》                 修改类型：修改</w:t>
      </w:r>
    </w:p>
    <w:p w14:paraId="1DD03513">
      <w:pPr>
        <w:spacing w:line="360" w:lineRule="auto"/>
        <w:ind w:firstLine="470" w:firstLineChars="224"/>
        <w:rPr>
          <w:rFonts w:hint="eastAsia" w:ascii="宋体" w:hAnsi="宋体" w:cs="宋体"/>
          <w:bCs/>
          <w:szCs w:val="21"/>
        </w:rPr>
      </w:pPr>
      <w:r>
        <w:rPr>
          <w:rFonts w:hint="eastAsia" w:ascii="宋体" w:hAnsi="宋体" w:cs="宋体"/>
          <w:b/>
          <w:szCs w:val="21"/>
        </w:rPr>
        <w:t>原文：</w:t>
      </w:r>
      <w:r>
        <w:rPr>
          <w:rFonts w:hint="eastAsia" w:ascii="宋体" w:hAnsi="宋体" w:cs="宋体"/>
          <w:bCs/>
          <w:szCs w:val="21"/>
        </w:rPr>
        <w:t>详见《广州市建设工程施工公开招标项目招标文件范本GZZB2018-3》</w:t>
      </w:r>
    </w:p>
    <w:p w14:paraId="5790D1CC">
      <w:pPr>
        <w:pBdr>
          <w:bottom w:val="single" w:color="auto" w:sz="6" w:space="1"/>
        </w:pBdr>
        <w:spacing w:line="360" w:lineRule="auto"/>
        <w:ind w:firstLine="525" w:firstLineChars="250"/>
        <w:rPr>
          <w:rFonts w:hint="eastAsia" w:ascii="宋体" w:hAnsi="宋体" w:cs="宋体"/>
          <w:szCs w:val="21"/>
        </w:rPr>
      </w:pPr>
      <w:r>
        <w:rPr>
          <w:rFonts w:hint="eastAsia" w:ascii="宋体" w:hAnsi="宋体" w:cs="宋体"/>
          <w:b/>
          <w:szCs w:val="21"/>
        </w:rPr>
        <w:t>现文：</w:t>
      </w:r>
      <w:r>
        <w:rPr>
          <w:rFonts w:hint="eastAsia" w:ascii="宋体" w:hAnsi="宋体" w:cs="宋体"/>
          <w:bCs/>
          <w:szCs w:val="21"/>
        </w:rPr>
        <w:t>详见附表三《经济标有效性审查表》</w:t>
      </w:r>
    </w:p>
    <w:p w14:paraId="69CD6C47">
      <w:pPr>
        <w:spacing w:line="360" w:lineRule="auto"/>
        <w:ind w:firstLine="470" w:firstLineChars="224"/>
        <w:rPr>
          <w:rFonts w:hint="eastAsia" w:ascii="宋体" w:hAnsi="宋体" w:cs="宋体"/>
          <w:b/>
          <w:szCs w:val="21"/>
        </w:rPr>
      </w:pPr>
      <w:r>
        <w:rPr>
          <w:rFonts w:hint="eastAsia" w:ascii="宋体" w:hAnsi="宋体" w:cs="宋体"/>
          <w:b/>
          <w:szCs w:val="21"/>
        </w:rPr>
        <w:t>条款号：附表四《技术标详细审查评分表》               修改类型：修改</w:t>
      </w:r>
    </w:p>
    <w:p w14:paraId="08BFD296">
      <w:pPr>
        <w:pBdr>
          <w:bottom w:val="single" w:color="auto" w:sz="6" w:space="1"/>
        </w:pBdr>
        <w:spacing w:line="360" w:lineRule="auto"/>
        <w:ind w:firstLine="525" w:firstLineChars="250"/>
        <w:rPr>
          <w:rFonts w:hint="eastAsia" w:ascii="宋体" w:hAnsi="宋体" w:cs="宋体"/>
          <w:szCs w:val="21"/>
        </w:rPr>
      </w:pPr>
      <w:r>
        <w:rPr>
          <w:rFonts w:hint="eastAsia" w:ascii="宋体" w:hAnsi="宋体" w:cs="宋体"/>
          <w:b/>
          <w:szCs w:val="21"/>
        </w:rPr>
        <w:t>现文：</w:t>
      </w:r>
      <w:r>
        <w:rPr>
          <w:rFonts w:hint="eastAsia" w:ascii="宋体" w:hAnsi="宋体" w:cs="宋体"/>
          <w:bCs/>
          <w:szCs w:val="21"/>
        </w:rPr>
        <w:t>详见附表四《技术标详细审查评分表》</w:t>
      </w:r>
    </w:p>
    <w:p w14:paraId="41FE8275">
      <w:pPr>
        <w:spacing w:line="360" w:lineRule="auto"/>
        <w:ind w:firstLine="470" w:firstLineChars="224"/>
        <w:rPr>
          <w:rFonts w:hint="eastAsia" w:ascii="宋体" w:hAnsi="宋体" w:cs="宋体"/>
          <w:b/>
          <w:szCs w:val="21"/>
        </w:rPr>
      </w:pPr>
      <w:r>
        <w:rPr>
          <w:rFonts w:hint="eastAsia" w:ascii="宋体" w:hAnsi="宋体" w:cs="宋体"/>
          <w:b/>
          <w:szCs w:val="21"/>
        </w:rPr>
        <w:t>条款号：附表五（适用于</w:t>
      </w:r>
      <w:r>
        <w:rPr>
          <w:rFonts w:hint="eastAsia" w:ascii="宋体" w:hAnsi="宋体" w:cs="宋体"/>
          <w:b/>
          <w:szCs w:val="21"/>
          <w:lang w:val="en-US" w:eastAsia="zh-CN"/>
        </w:rPr>
        <w:t>加权平均</w:t>
      </w:r>
      <w:r>
        <w:rPr>
          <w:rFonts w:hint="eastAsia" w:ascii="宋体" w:hAnsi="宋体" w:cs="宋体"/>
          <w:b/>
          <w:szCs w:val="21"/>
        </w:rPr>
        <w:t xml:space="preserve">法）经济标评分表   </w:t>
      </w:r>
      <w:r>
        <w:rPr>
          <w:rFonts w:ascii="宋体" w:hAnsi="宋体" w:cs="宋体"/>
          <w:b/>
          <w:szCs w:val="21"/>
        </w:rPr>
        <w:t xml:space="preserve">    </w:t>
      </w:r>
      <w:r>
        <w:rPr>
          <w:rFonts w:hint="eastAsia" w:ascii="宋体" w:hAnsi="宋体" w:cs="宋体"/>
          <w:b/>
          <w:szCs w:val="21"/>
        </w:rPr>
        <w:t>修改类型：删除</w:t>
      </w:r>
    </w:p>
    <w:p w14:paraId="5BDFA4A9">
      <w:pPr>
        <w:pBdr>
          <w:bottom w:val="single" w:color="auto" w:sz="6" w:space="1"/>
        </w:pBdr>
        <w:spacing w:line="360" w:lineRule="auto"/>
        <w:ind w:firstLine="525" w:firstLineChars="250"/>
        <w:rPr>
          <w:rFonts w:hint="eastAsia" w:ascii="宋体" w:hAnsi="宋体" w:cs="宋体"/>
          <w:szCs w:val="21"/>
        </w:rPr>
      </w:pPr>
      <w:r>
        <w:rPr>
          <w:rFonts w:hint="eastAsia" w:ascii="宋体" w:hAnsi="宋体" w:cs="宋体"/>
          <w:b/>
          <w:szCs w:val="21"/>
        </w:rPr>
        <w:t>原文：</w:t>
      </w:r>
      <w:r>
        <w:rPr>
          <w:rFonts w:hint="eastAsia" w:ascii="宋体" w:hAnsi="宋体" w:cs="宋体"/>
          <w:bCs/>
          <w:szCs w:val="21"/>
        </w:rPr>
        <w:t>详见《广州市建设工程施工公开招标项目招标文件范本GZZB2018-3》</w:t>
      </w:r>
    </w:p>
    <w:p w14:paraId="2DBCBF49">
      <w:pPr>
        <w:spacing w:line="360" w:lineRule="auto"/>
        <w:ind w:firstLine="210" w:firstLineChars="100"/>
        <w:rPr>
          <w:b/>
          <w:szCs w:val="21"/>
        </w:rPr>
      </w:pPr>
      <w:r>
        <w:rPr>
          <w:rFonts w:hint="eastAsia" w:ascii="宋体" w:hAnsi="宋体" w:cs="宋体"/>
          <w:b/>
          <w:szCs w:val="21"/>
        </w:rPr>
        <w:t>注：以上修改，仅限于本范本中有可供选择条款的情形。</w:t>
      </w:r>
    </w:p>
    <w:p w14:paraId="3D032FD5">
      <w:pPr>
        <w:spacing w:line="360" w:lineRule="auto"/>
      </w:pPr>
      <w:r>
        <w:rPr>
          <w:rFonts w:hint="eastAsia"/>
          <w:b/>
          <w:szCs w:val="21"/>
        </w:rPr>
        <w:t>（以下无正文）</w:t>
      </w:r>
      <w:r>
        <w:br w:type="page"/>
      </w:r>
    </w:p>
    <w:p w14:paraId="3E4ECFD4">
      <w:pPr>
        <w:pStyle w:val="4"/>
        <w:ind w:firstLine="525"/>
        <w:rPr>
          <w:color w:val="auto"/>
          <w:sz w:val="28"/>
          <w:szCs w:val="28"/>
        </w:rPr>
      </w:pPr>
      <w:bookmarkStart w:id="71" w:name="_Toc11295"/>
      <w:bookmarkStart w:id="72" w:name="_Toc25804"/>
      <w:bookmarkStart w:id="73" w:name="_Toc8094"/>
      <w:bookmarkStart w:id="74" w:name="_Toc21579"/>
      <w:bookmarkStart w:id="75" w:name="_Toc25828"/>
      <w:bookmarkStart w:id="76" w:name="_Toc25347"/>
      <w:r>
        <w:rPr>
          <w:rFonts w:hint="eastAsia"/>
          <w:color w:val="auto"/>
          <w:sz w:val="28"/>
          <w:szCs w:val="28"/>
        </w:rPr>
        <w:t>二、开标、评标及定标办法通用条款</w:t>
      </w:r>
      <w:bookmarkEnd w:id="71"/>
      <w:bookmarkEnd w:id="72"/>
      <w:bookmarkEnd w:id="73"/>
      <w:bookmarkEnd w:id="74"/>
      <w:bookmarkEnd w:id="75"/>
      <w:bookmarkEnd w:id="76"/>
    </w:p>
    <w:p w14:paraId="7087BC7F">
      <w:pPr>
        <w:pStyle w:val="5"/>
        <w:spacing w:before="156" w:after="156"/>
        <w:ind w:firstLine="540" w:firstLineChars="200"/>
        <w:rPr>
          <w:rFonts w:hint="eastAsia"/>
        </w:rPr>
      </w:pPr>
      <w:bookmarkStart w:id="77" w:name="_Toc28124"/>
      <w:bookmarkStart w:id="78" w:name="_Toc10762"/>
      <w:bookmarkStart w:id="79" w:name="_Toc1405"/>
      <w:bookmarkStart w:id="80" w:name="_Toc4312"/>
      <w:bookmarkStart w:id="81" w:name="_Toc1807"/>
      <w:bookmarkStart w:id="82" w:name="_Toc1766"/>
      <w:r>
        <w:rPr>
          <w:rFonts w:hint="eastAsia"/>
        </w:rPr>
        <w:t>（一）总则</w:t>
      </w:r>
      <w:bookmarkEnd w:id="77"/>
      <w:bookmarkEnd w:id="78"/>
      <w:bookmarkEnd w:id="79"/>
      <w:bookmarkEnd w:id="80"/>
      <w:bookmarkEnd w:id="81"/>
      <w:bookmarkEnd w:id="82"/>
    </w:p>
    <w:p w14:paraId="22575517">
      <w:pPr>
        <w:spacing w:line="360" w:lineRule="auto"/>
        <w:ind w:firstLine="480" w:firstLineChars="200"/>
        <w:rPr>
          <w:rFonts w:hint="eastAsia" w:ascii="宋体" w:hAnsi="宋体" w:cs="宋体"/>
          <w:b/>
          <w:sz w:val="24"/>
          <w:szCs w:val="24"/>
        </w:rPr>
      </w:pPr>
      <w:r>
        <w:rPr>
          <w:rFonts w:hint="eastAsia" w:ascii="宋体" w:hAnsi="宋体" w:cs="宋体"/>
          <w:sz w:val="24"/>
          <w:szCs w:val="24"/>
        </w:rPr>
        <w:t>35 开标、评标及定标所依据的规则</w:t>
      </w:r>
    </w:p>
    <w:p w14:paraId="0B681E10">
      <w:pPr>
        <w:spacing w:line="360" w:lineRule="auto"/>
        <w:ind w:firstLine="480" w:firstLineChars="200"/>
        <w:rPr>
          <w:rFonts w:hint="eastAsia" w:ascii="宋体" w:hAnsi="宋体" w:cs="宋体"/>
          <w:sz w:val="24"/>
          <w:szCs w:val="24"/>
        </w:rPr>
      </w:pPr>
      <w:r>
        <w:rPr>
          <w:rFonts w:hint="eastAsia" w:ascii="宋体" w:hAnsi="宋体" w:cs="宋体"/>
          <w:sz w:val="24"/>
          <w:szCs w:val="24"/>
        </w:rPr>
        <w:t>35.1《中华人民共和国招标投标法》；</w:t>
      </w:r>
    </w:p>
    <w:p w14:paraId="345602F6">
      <w:pPr>
        <w:spacing w:line="360" w:lineRule="auto"/>
        <w:ind w:firstLine="480" w:firstLineChars="200"/>
        <w:rPr>
          <w:rFonts w:hint="eastAsia" w:ascii="宋体" w:hAnsi="宋体" w:cs="宋体"/>
          <w:sz w:val="24"/>
          <w:szCs w:val="24"/>
        </w:rPr>
      </w:pPr>
      <w:r>
        <w:rPr>
          <w:rFonts w:hint="eastAsia" w:ascii="宋体" w:hAnsi="宋体" w:cs="宋体"/>
          <w:sz w:val="24"/>
          <w:szCs w:val="24"/>
        </w:rPr>
        <w:t>35.2《中华人民共和国招标投标法实施条例》；</w:t>
      </w:r>
    </w:p>
    <w:p w14:paraId="62BC6537">
      <w:pPr>
        <w:spacing w:line="360" w:lineRule="auto"/>
        <w:ind w:firstLine="480" w:firstLineChars="200"/>
        <w:rPr>
          <w:rFonts w:hint="eastAsia" w:ascii="宋体" w:hAnsi="宋体" w:cs="宋体"/>
          <w:sz w:val="24"/>
          <w:szCs w:val="24"/>
        </w:rPr>
      </w:pPr>
      <w:r>
        <w:rPr>
          <w:rFonts w:hint="eastAsia" w:ascii="宋体" w:hAnsi="宋体" w:cs="宋体"/>
          <w:sz w:val="24"/>
          <w:szCs w:val="24"/>
        </w:rPr>
        <w:t>35.3《评标委员会和评标方法暂行规定（2013修正）》（七部委第12号令）</w:t>
      </w:r>
    </w:p>
    <w:p w14:paraId="7083E49E">
      <w:pPr>
        <w:spacing w:line="360" w:lineRule="auto"/>
        <w:ind w:firstLine="480" w:firstLineChars="200"/>
        <w:rPr>
          <w:rFonts w:hint="eastAsia" w:ascii="宋体" w:hAnsi="宋体" w:cs="宋体"/>
          <w:sz w:val="24"/>
          <w:szCs w:val="24"/>
        </w:rPr>
      </w:pPr>
      <w:r>
        <w:rPr>
          <w:rFonts w:hint="eastAsia" w:ascii="宋体" w:hAnsi="宋体" w:cs="宋体"/>
          <w:sz w:val="24"/>
          <w:szCs w:val="24"/>
        </w:rPr>
        <w:t>35.4《工程建设项目施工招标投标办法（2013修正）》（七部委2003年第30号令）</w:t>
      </w:r>
    </w:p>
    <w:p w14:paraId="0EE661FC">
      <w:pPr>
        <w:spacing w:line="360" w:lineRule="auto"/>
        <w:ind w:firstLine="480" w:firstLineChars="200"/>
        <w:rPr>
          <w:rFonts w:hint="eastAsia" w:ascii="宋体" w:hAnsi="宋体" w:cs="宋体"/>
          <w:sz w:val="24"/>
          <w:szCs w:val="24"/>
        </w:rPr>
      </w:pPr>
      <w:r>
        <w:rPr>
          <w:rFonts w:hint="eastAsia" w:ascii="宋体" w:hAnsi="宋体" w:cs="宋体"/>
          <w:sz w:val="24"/>
          <w:szCs w:val="24"/>
        </w:rPr>
        <w:t>35.5《广东省实施〈中华人民共和国招标投标法〉办法》；</w:t>
      </w:r>
    </w:p>
    <w:p w14:paraId="3749B945">
      <w:pPr>
        <w:spacing w:line="360" w:lineRule="auto"/>
        <w:ind w:firstLine="480" w:firstLineChars="200"/>
        <w:rPr>
          <w:rFonts w:hint="eastAsia" w:ascii="宋体" w:hAnsi="宋体" w:cs="宋体"/>
          <w:sz w:val="24"/>
          <w:szCs w:val="24"/>
        </w:rPr>
      </w:pPr>
      <w:r>
        <w:rPr>
          <w:rFonts w:hint="eastAsia" w:ascii="宋体" w:hAnsi="宋体" w:cs="宋体"/>
          <w:sz w:val="24"/>
          <w:szCs w:val="24"/>
        </w:rPr>
        <w:t>35.6《房屋建筑和市政基础设施工程施工招标投标管理办法（2019年修正）》（建设部令第89号）</w:t>
      </w:r>
    </w:p>
    <w:p w14:paraId="225552CD">
      <w:pPr>
        <w:spacing w:line="360" w:lineRule="auto"/>
        <w:ind w:firstLine="480" w:firstLineChars="200"/>
        <w:rPr>
          <w:rFonts w:hint="eastAsia" w:ascii="宋体" w:hAnsi="宋体" w:cs="宋体"/>
          <w:sz w:val="24"/>
          <w:szCs w:val="24"/>
        </w:rPr>
      </w:pPr>
      <w:r>
        <w:rPr>
          <w:rFonts w:hint="eastAsia" w:ascii="宋体" w:hAnsi="宋体" w:cs="宋体"/>
          <w:sz w:val="24"/>
          <w:szCs w:val="24"/>
        </w:rPr>
        <w:t>35.7《广东省加强建设工程招标投标监督管理的若干规定》（粤发〔2004〕4号）；</w:t>
      </w:r>
    </w:p>
    <w:p w14:paraId="3E5647EE">
      <w:pPr>
        <w:spacing w:line="360" w:lineRule="auto"/>
        <w:ind w:firstLine="480" w:firstLineChars="200"/>
        <w:rPr>
          <w:rFonts w:hint="eastAsia" w:ascii="宋体" w:hAnsi="宋体" w:cs="宋体"/>
          <w:sz w:val="24"/>
          <w:szCs w:val="24"/>
        </w:rPr>
      </w:pPr>
      <w:r>
        <w:rPr>
          <w:rFonts w:hint="eastAsia" w:ascii="宋体" w:hAnsi="宋体" w:cs="宋体"/>
          <w:sz w:val="24"/>
          <w:szCs w:val="24"/>
        </w:rPr>
        <w:t>35.8《广州市工程建设项目招标投标管理办法》（穗建规字〔2023〕12号）。</w:t>
      </w:r>
    </w:p>
    <w:p w14:paraId="0F125DEA">
      <w:pPr>
        <w:spacing w:line="360" w:lineRule="auto"/>
        <w:ind w:firstLine="480" w:firstLineChars="200"/>
        <w:rPr>
          <w:rFonts w:hint="eastAsia" w:ascii="宋体" w:hAnsi="宋体" w:cs="宋体"/>
          <w:sz w:val="24"/>
          <w:szCs w:val="24"/>
        </w:rPr>
      </w:pPr>
      <w:r>
        <w:rPr>
          <w:rFonts w:hint="eastAsia" w:ascii="宋体" w:hAnsi="宋体" w:cs="宋体"/>
          <w:sz w:val="24"/>
          <w:szCs w:val="24"/>
        </w:rPr>
        <w:t>35.9本项目招标文件。</w:t>
      </w:r>
    </w:p>
    <w:p w14:paraId="4EA9956D">
      <w:pPr>
        <w:spacing w:line="360" w:lineRule="auto"/>
        <w:ind w:firstLine="480" w:firstLineChars="200"/>
        <w:rPr>
          <w:rFonts w:hint="eastAsia" w:ascii="宋体" w:hAnsi="宋体" w:cs="宋体"/>
          <w:sz w:val="24"/>
          <w:szCs w:val="24"/>
        </w:rPr>
      </w:pPr>
      <w:r>
        <w:rPr>
          <w:rFonts w:hint="eastAsia" w:ascii="宋体" w:hAnsi="宋体" w:cs="宋体"/>
          <w:sz w:val="24"/>
          <w:szCs w:val="24"/>
        </w:rPr>
        <w:t>36．开标</w:t>
      </w:r>
    </w:p>
    <w:p w14:paraId="5AD65202">
      <w:pPr>
        <w:spacing w:line="360" w:lineRule="auto"/>
        <w:ind w:firstLine="480" w:firstLineChars="200"/>
        <w:rPr>
          <w:rFonts w:hint="eastAsia" w:ascii="宋体" w:hAnsi="宋体" w:cs="宋体"/>
          <w:sz w:val="24"/>
          <w:szCs w:val="24"/>
        </w:rPr>
      </w:pPr>
      <w:r>
        <w:rPr>
          <w:rFonts w:hint="eastAsia" w:ascii="宋体" w:hAnsi="宋体" w:cs="宋体"/>
          <w:sz w:val="24"/>
          <w:szCs w:val="24"/>
        </w:rPr>
        <w:t>36.1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sz w:val="24"/>
          <w:szCs w:val="24"/>
          <w:u w:val="single"/>
        </w:rPr>
        <w:t>若投标人不参加开标会的，其投标文件在开标现场的投标人或招标人代表、招标代理机构代表及交易中心代表见证下公开开启、解密、公布，并视同该投标人认可开标结果。</w:t>
      </w:r>
    </w:p>
    <w:p w14:paraId="6B1507A4">
      <w:pPr>
        <w:spacing w:line="360" w:lineRule="auto"/>
        <w:ind w:firstLine="480" w:firstLineChars="200"/>
        <w:rPr>
          <w:rFonts w:hint="eastAsia" w:ascii="宋体" w:hAnsi="宋体" w:cs="宋体"/>
          <w:sz w:val="24"/>
          <w:szCs w:val="24"/>
        </w:rPr>
      </w:pPr>
      <w:r>
        <w:rPr>
          <w:rFonts w:hint="eastAsia" w:ascii="宋体" w:hAnsi="宋体" w:cs="宋体"/>
          <w:sz w:val="24"/>
          <w:szCs w:val="24"/>
        </w:rPr>
        <w:t>36.2 招标人在招标文件要求提交投标文件的截止时间前收到的投标文件，开标时都当众予以解密、公布。</w:t>
      </w:r>
    </w:p>
    <w:p w14:paraId="20D31484">
      <w:pPr>
        <w:spacing w:line="360" w:lineRule="auto"/>
        <w:ind w:firstLine="480" w:firstLineChars="200"/>
        <w:rPr>
          <w:rFonts w:hint="eastAsia" w:ascii="宋体" w:hAnsi="宋体" w:cs="宋体"/>
          <w:sz w:val="24"/>
          <w:szCs w:val="24"/>
        </w:rPr>
      </w:pPr>
      <w:r>
        <w:rPr>
          <w:rFonts w:hint="eastAsia" w:ascii="宋体" w:hAnsi="宋体" w:cs="宋体"/>
          <w:sz w:val="24"/>
          <w:szCs w:val="24"/>
        </w:rPr>
        <w:t>36.4若递交投标文件的投标人不足3家，则重新组织招标。（当N个标段同时招标且不允许兼中时，若有效投标人不足N+2家，则重新组织招标）</w:t>
      </w:r>
    </w:p>
    <w:p w14:paraId="5CC6E232">
      <w:pPr>
        <w:spacing w:line="360" w:lineRule="auto"/>
        <w:ind w:firstLine="480" w:firstLineChars="200"/>
        <w:rPr>
          <w:rFonts w:hint="eastAsia" w:ascii="宋体" w:hAnsi="宋体" w:cs="宋体"/>
          <w:sz w:val="24"/>
          <w:szCs w:val="24"/>
        </w:rPr>
      </w:pPr>
      <w:r>
        <w:rPr>
          <w:rFonts w:ascii="宋体" w:hAnsi="宋体" w:cs="宋体"/>
          <w:sz w:val="24"/>
          <w:szCs w:val="24"/>
        </w:rPr>
        <w:t>36.5按下列程序进行开标：</w:t>
      </w:r>
    </w:p>
    <w:p w14:paraId="54E074A0">
      <w:pPr>
        <w:spacing w:line="360" w:lineRule="auto"/>
        <w:ind w:firstLine="480" w:firstLineChars="200"/>
        <w:rPr>
          <w:rFonts w:hint="eastAsia" w:ascii="宋体" w:hAnsi="宋体" w:cs="宋体"/>
          <w:sz w:val="24"/>
          <w:szCs w:val="24"/>
        </w:rPr>
      </w:pPr>
      <w:r>
        <w:rPr>
          <w:rFonts w:ascii="宋体" w:hAnsi="宋体" w:cs="宋体"/>
          <w:sz w:val="24"/>
          <w:szCs w:val="24"/>
        </w:rPr>
        <w:t>36.5.1在投标截止时间后半小时内，投标人通过</w:t>
      </w:r>
      <w:r>
        <w:rPr>
          <w:rFonts w:hint="eastAsia" w:ascii="宋体" w:hAnsi="宋体" w:cs="宋体"/>
          <w:sz w:val="24"/>
          <w:szCs w:val="24"/>
          <w:u w:val="single"/>
        </w:rPr>
        <w:t>广州交易集团有限公司（广州公共资源交易中心）</w:t>
      </w:r>
      <w:r>
        <w:rPr>
          <w:rFonts w:hint="eastAsia" w:ascii="宋体" w:hAnsi="宋体" w:cs="宋体"/>
          <w:sz w:val="24"/>
          <w:szCs w:val="24"/>
        </w:rPr>
        <w:t>交易平台对已递交的电子投标文件进行解密。投标人完成解密后，再由招标人</w:t>
      </w:r>
      <w:r>
        <w:rPr>
          <w:rFonts w:hint="eastAsia" w:ascii="宋体" w:hAnsi="宋体" w:cs="宋体"/>
          <w:sz w:val="24"/>
          <w:szCs w:val="24"/>
          <w:u w:val="single"/>
        </w:rPr>
        <w:t>或招标代理</w:t>
      </w:r>
      <w:r>
        <w:rPr>
          <w:rFonts w:hint="eastAsia" w:ascii="宋体" w:hAnsi="宋体" w:cs="宋体"/>
          <w:sz w:val="24"/>
          <w:szCs w:val="24"/>
        </w:rPr>
        <w:t>进行解密。解密完成后，公布招标项目名称、投标人名称、投标保证金的递交情况、投标报价、工期及其他内容；</w:t>
      </w:r>
    </w:p>
    <w:p w14:paraId="41E6FD82">
      <w:pPr>
        <w:spacing w:line="360" w:lineRule="auto"/>
        <w:ind w:firstLine="480" w:firstLineChars="200"/>
        <w:rPr>
          <w:rFonts w:hint="eastAsia" w:ascii="宋体" w:hAnsi="宋体" w:cs="宋体"/>
          <w:sz w:val="24"/>
          <w:szCs w:val="24"/>
        </w:rPr>
      </w:pPr>
      <w:r>
        <w:rPr>
          <w:rFonts w:ascii="宋体" w:hAnsi="宋体" w:cs="宋体"/>
          <w:sz w:val="24"/>
          <w:szCs w:val="24"/>
        </w:rPr>
        <w:t>36.5.2备用光盘的读取按投标须知前附表第36项的规定执行；</w:t>
      </w:r>
    </w:p>
    <w:p w14:paraId="559846D5">
      <w:pPr>
        <w:spacing w:line="360" w:lineRule="auto"/>
        <w:ind w:firstLine="480" w:firstLineChars="200"/>
        <w:rPr>
          <w:rFonts w:hint="eastAsia" w:ascii="宋体" w:hAnsi="宋体" w:cs="宋体"/>
          <w:sz w:val="24"/>
          <w:szCs w:val="24"/>
        </w:rPr>
      </w:pPr>
      <w:r>
        <w:rPr>
          <w:rFonts w:ascii="宋体" w:hAnsi="宋体" w:cs="宋体"/>
          <w:sz w:val="24"/>
          <w:szCs w:val="24"/>
        </w:rPr>
        <w:t>36.5.3投标人代表、招标人代表、监标人、记录人等有关人员在开标记录上签字确认；若有关人员不签字的，不影响开标程序；</w:t>
      </w:r>
      <w:r>
        <w:rPr>
          <w:rFonts w:hint="eastAsia" w:ascii="宋体" w:hAnsi="宋体" w:cs="宋体"/>
          <w:sz w:val="24"/>
          <w:szCs w:val="24"/>
          <w:u w:val="single"/>
        </w:rPr>
        <w:t>若投标人不参加开标会的，或不签字确认的，视同该投标人认可开标结果。</w:t>
      </w:r>
    </w:p>
    <w:p w14:paraId="4DE234B7">
      <w:pPr>
        <w:spacing w:line="360" w:lineRule="auto"/>
        <w:ind w:firstLine="480" w:firstLineChars="200"/>
        <w:rPr>
          <w:rFonts w:hint="eastAsia" w:ascii="宋体" w:hAnsi="宋体" w:cs="宋体"/>
          <w:sz w:val="24"/>
          <w:szCs w:val="24"/>
        </w:rPr>
      </w:pPr>
      <w:r>
        <w:rPr>
          <w:rFonts w:ascii="宋体" w:hAnsi="宋体" w:cs="宋体"/>
          <w:sz w:val="24"/>
          <w:szCs w:val="24"/>
        </w:rPr>
        <w:t>36.5.4开标结束。</w:t>
      </w:r>
    </w:p>
    <w:p w14:paraId="7A0D3A6D">
      <w:pPr>
        <w:spacing w:line="360" w:lineRule="auto"/>
        <w:ind w:firstLine="480" w:firstLineChars="200"/>
        <w:rPr>
          <w:rFonts w:hint="eastAsia" w:ascii="宋体" w:hAnsi="宋体" w:cs="宋体"/>
          <w:sz w:val="24"/>
          <w:szCs w:val="24"/>
        </w:rPr>
      </w:pPr>
      <w:r>
        <w:rPr>
          <w:rFonts w:ascii="宋体" w:hAnsi="宋体" w:cs="宋体"/>
          <w:sz w:val="24"/>
          <w:szCs w:val="24"/>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688761A7">
      <w:pPr>
        <w:spacing w:line="360" w:lineRule="auto"/>
        <w:ind w:firstLine="480" w:firstLineChars="200"/>
        <w:rPr>
          <w:rFonts w:hint="eastAsia" w:ascii="宋体" w:hAnsi="宋体" w:cs="宋体"/>
          <w:sz w:val="24"/>
          <w:szCs w:val="24"/>
        </w:rPr>
      </w:pPr>
      <w:r>
        <w:rPr>
          <w:rFonts w:ascii="宋体" w:hAnsi="宋体" w:cs="宋体"/>
          <w:sz w:val="24"/>
          <w:szCs w:val="24"/>
        </w:rPr>
        <w:t>36.7开标时，两个（含两个）以上的投标人加密打包投标文件电脑机器特征码一致的，不参与下一程序，并由评标委员会否决其投标。</w:t>
      </w:r>
    </w:p>
    <w:p w14:paraId="2CBA3FD3">
      <w:pPr>
        <w:spacing w:line="360" w:lineRule="auto"/>
        <w:ind w:firstLine="480" w:firstLineChars="200"/>
        <w:rPr>
          <w:rFonts w:hint="eastAsia" w:ascii="宋体" w:hAnsi="宋体" w:cs="宋体"/>
          <w:sz w:val="24"/>
          <w:szCs w:val="24"/>
        </w:rPr>
      </w:pPr>
      <w:r>
        <w:rPr>
          <w:rFonts w:hint="eastAsia" w:ascii="宋体" w:hAnsi="宋体" w:cs="宋体"/>
          <w:sz w:val="24"/>
          <w:szCs w:val="24"/>
        </w:rPr>
        <w:t>37．评标</w:t>
      </w:r>
    </w:p>
    <w:p w14:paraId="002F5AAC">
      <w:pPr>
        <w:spacing w:line="360" w:lineRule="auto"/>
        <w:ind w:firstLine="480" w:firstLineChars="200"/>
        <w:rPr>
          <w:rFonts w:hint="eastAsia" w:ascii="宋体" w:hAnsi="宋体" w:cs="宋体"/>
          <w:sz w:val="24"/>
          <w:szCs w:val="24"/>
        </w:rPr>
      </w:pPr>
      <w:r>
        <w:rPr>
          <w:rFonts w:hint="eastAsia" w:ascii="宋体" w:hAnsi="宋体" w:cs="宋体"/>
          <w:sz w:val="24"/>
          <w:szCs w:val="24"/>
        </w:rPr>
        <w:t>37.1评标委员会由招标人依法组建。</w:t>
      </w:r>
    </w:p>
    <w:p w14:paraId="33B623DE">
      <w:pPr>
        <w:spacing w:line="360" w:lineRule="auto"/>
        <w:ind w:firstLine="480" w:firstLineChars="200"/>
        <w:rPr>
          <w:rFonts w:hint="eastAsia" w:ascii="宋体" w:hAnsi="宋体" w:cs="宋体"/>
          <w:sz w:val="24"/>
          <w:szCs w:val="24"/>
        </w:rPr>
      </w:pPr>
      <w:r>
        <w:rPr>
          <w:rFonts w:hint="eastAsia" w:ascii="宋体" w:hAnsi="宋体" w:cs="宋体"/>
          <w:sz w:val="24"/>
          <w:szCs w:val="24"/>
        </w:rPr>
        <w:t>37.2评标委员会的职责及守则：</w:t>
      </w:r>
    </w:p>
    <w:p w14:paraId="6D8ADC01">
      <w:pPr>
        <w:spacing w:line="360" w:lineRule="auto"/>
        <w:ind w:firstLine="480" w:firstLineChars="200"/>
        <w:rPr>
          <w:rFonts w:hint="eastAsia" w:ascii="宋体" w:hAnsi="宋体" w:cs="宋体"/>
          <w:sz w:val="24"/>
          <w:szCs w:val="24"/>
        </w:rPr>
      </w:pPr>
      <w:r>
        <w:rPr>
          <w:rFonts w:hint="eastAsia" w:ascii="宋体" w:hAnsi="宋体" w:cs="宋体"/>
          <w:sz w:val="24"/>
          <w:szCs w:val="24"/>
        </w:rPr>
        <w:t>37.2.1根据评标细则，对投标文件进行认真评审，完成评审报告；</w:t>
      </w:r>
    </w:p>
    <w:p w14:paraId="03271139">
      <w:pPr>
        <w:spacing w:line="360" w:lineRule="auto"/>
        <w:ind w:firstLine="480" w:firstLineChars="200"/>
        <w:rPr>
          <w:rFonts w:hint="eastAsia" w:ascii="宋体" w:hAnsi="宋体" w:cs="宋体"/>
          <w:sz w:val="24"/>
          <w:szCs w:val="24"/>
        </w:rPr>
      </w:pPr>
      <w:r>
        <w:rPr>
          <w:rFonts w:hint="eastAsia" w:ascii="宋体" w:hAnsi="宋体" w:cs="宋体"/>
          <w:sz w:val="24"/>
          <w:szCs w:val="24"/>
        </w:rPr>
        <w:t>37.2.2向招标人报告评审意见，推荐合格的中标候选人。</w:t>
      </w:r>
    </w:p>
    <w:p w14:paraId="0CCC58C1">
      <w:pPr>
        <w:spacing w:line="360" w:lineRule="auto"/>
        <w:ind w:firstLine="480" w:firstLineChars="200"/>
        <w:rPr>
          <w:rFonts w:hint="eastAsia" w:ascii="宋体" w:hAnsi="宋体" w:cs="宋体"/>
          <w:sz w:val="24"/>
          <w:szCs w:val="24"/>
        </w:rPr>
      </w:pPr>
      <w:r>
        <w:rPr>
          <w:rFonts w:hint="eastAsia" w:ascii="宋体" w:hAnsi="宋体" w:cs="宋体"/>
          <w:bCs/>
          <w:sz w:val="24"/>
          <w:szCs w:val="24"/>
        </w:rPr>
        <w:t>37.2.3</w:t>
      </w:r>
      <w:r>
        <w:rPr>
          <w:rFonts w:hint="eastAsia" w:ascii="宋体" w:hAnsi="宋体" w:cs="宋体"/>
          <w:b/>
          <w:bCs/>
          <w:sz w:val="24"/>
          <w:szCs w:val="24"/>
        </w:rPr>
        <w:t xml:space="preserve"> </w:t>
      </w:r>
      <w:r>
        <w:rPr>
          <w:rFonts w:hint="eastAsia" w:ascii="宋体" w:hAnsi="宋体" w:cs="宋体"/>
          <w:sz w:val="24"/>
          <w:szCs w:val="24"/>
        </w:rPr>
        <w:t>所有参加评标人员必须遵守国家、地方政府制定的有关工程招标投标的法则、规定，遵守有关工程招标投标的保密制度；如有违反者，给予行政处分；情节严重，构成犯罪的，由司法机关依法追究其刑事责任。</w:t>
      </w:r>
    </w:p>
    <w:p w14:paraId="16759B91">
      <w:pPr>
        <w:spacing w:line="360" w:lineRule="auto"/>
        <w:ind w:firstLine="480" w:firstLineChars="200"/>
        <w:rPr>
          <w:rFonts w:hint="eastAsia" w:ascii="宋体" w:hAnsi="宋体" w:cs="宋体"/>
          <w:sz w:val="24"/>
          <w:szCs w:val="24"/>
        </w:rPr>
      </w:pPr>
      <w:r>
        <w:rPr>
          <w:rFonts w:hint="eastAsia" w:ascii="宋体" w:hAnsi="宋体" w:cs="宋体"/>
          <w:sz w:val="24"/>
          <w:szCs w:val="24"/>
        </w:rPr>
        <w:t>37.2.4全体参与评标人员：</w:t>
      </w:r>
    </w:p>
    <w:p w14:paraId="38DDBDAB">
      <w:pPr>
        <w:spacing w:line="360" w:lineRule="auto"/>
        <w:ind w:firstLine="480" w:firstLineChars="200"/>
        <w:rPr>
          <w:rFonts w:hint="eastAsia" w:ascii="宋体" w:hAnsi="宋体" w:cs="宋体"/>
          <w:sz w:val="24"/>
          <w:szCs w:val="24"/>
        </w:rPr>
      </w:pPr>
      <w:r>
        <w:rPr>
          <w:rFonts w:hint="eastAsia" w:ascii="宋体" w:hAnsi="宋体" w:cs="宋体"/>
          <w:sz w:val="24"/>
          <w:szCs w:val="24"/>
        </w:rPr>
        <w:t>37.2.4.1 必须遵守评标纪律、不得泄密；</w:t>
      </w:r>
    </w:p>
    <w:p w14:paraId="2DC215F6">
      <w:pPr>
        <w:spacing w:line="360" w:lineRule="auto"/>
        <w:ind w:firstLine="480" w:firstLineChars="200"/>
        <w:rPr>
          <w:rFonts w:hint="eastAsia" w:ascii="宋体" w:hAnsi="宋体" w:cs="宋体"/>
          <w:sz w:val="24"/>
          <w:szCs w:val="24"/>
        </w:rPr>
      </w:pPr>
      <w:r>
        <w:rPr>
          <w:rFonts w:hint="eastAsia" w:ascii="宋体" w:hAnsi="宋体" w:cs="宋体"/>
          <w:sz w:val="24"/>
          <w:szCs w:val="24"/>
        </w:rPr>
        <w:t>37.2.4.2 必须公正、不得循私；</w:t>
      </w:r>
    </w:p>
    <w:p w14:paraId="09D14F71">
      <w:pPr>
        <w:spacing w:line="360" w:lineRule="auto"/>
        <w:ind w:firstLine="480" w:firstLineChars="200"/>
        <w:rPr>
          <w:rFonts w:hint="eastAsia" w:ascii="宋体" w:hAnsi="宋体" w:cs="宋体"/>
          <w:sz w:val="24"/>
          <w:szCs w:val="24"/>
        </w:rPr>
      </w:pPr>
      <w:r>
        <w:rPr>
          <w:rFonts w:hint="eastAsia" w:ascii="宋体" w:hAnsi="宋体" w:cs="宋体"/>
          <w:sz w:val="24"/>
          <w:szCs w:val="24"/>
        </w:rPr>
        <w:t>37.2.4.3 必须科学、不得草率；</w:t>
      </w:r>
    </w:p>
    <w:p w14:paraId="3DE16A0F">
      <w:pPr>
        <w:spacing w:line="360" w:lineRule="auto"/>
        <w:ind w:firstLine="480" w:firstLineChars="200"/>
        <w:rPr>
          <w:rFonts w:hint="eastAsia" w:ascii="宋体" w:hAnsi="宋体" w:cs="宋体"/>
          <w:sz w:val="24"/>
          <w:szCs w:val="24"/>
        </w:rPr>
      </w:pPr>
      <w:r>
        <w:rPr>
          <w:rFonts w:hint="eastAsia" w:ascii="宋体" w:hAnsi="宋体" w:cs="宋体"/>
          <w:sz w:val="24"/>
          <w:szCs w:val="24"/>
        </w:rPr>
        <w:t>37.2.4.4 必须客观、不得带有成见；</w:t>
      </w:r>
    </w:p>
    <w:p w14:paraId="0BAE8A48">
      <w:pPr>
        <w:spacing w:line="360" w:lineRule="auto"/>
        <w:ind w:firstLine="480" w:firstLineChars="200"/>
        <w:rPr>
          <w:rFonts w:hint="eastAsia" w:ascii="宋体" w:hAnsi="宋体" w:cs="宋体"/>
          <w:sz w:val="24"/>
          <w:szCs w:val="24"/>
        </w:rPr>
      </w:pPr>
      <w:r>
        <w:rPr>
          <w:rFonts w:hint="eastAsia" w:ascii="宋体" w:hAnsi="宋体" w:cs="宋体"/>
          <w:sz w:val="24"/>
          <w:szCs w:val="24"/>
        </w:rPr>
        <w:t>37.2.4.5 必须平等、不得强加于人；</w:t>
      </w:r>
    </w:p>
    <w:p w14:paraId="41FBB4E9">
      <w:pPr>
        <w:spacing w:line="360" w:lineRule="auto"/>
        <w:ind w:firstLine="480" w:firstLineChars="200"/>
        <w:rPr>
          <w:rFonts w:hint="eastAsia" w:ascii="宋体" w:hAnsi="宋体" w:cs="宋体"/>
          <w:sz w:val="24"/>
          <w:szCs w:val="24"/>
        </w:rPr>
      </w:pPr>
      <w:r>
        <w:rPr>
          <w:rFonts w:hint="eastAsia" w:ascii="宋体" w:hAnsi="宋体" w:cs="宋体"/>
          <w:sz w:val="24"/>
          <w:szCs w:val="24"/>
        </w:rPr>
        <w:t>37.2.4.6 必须严谨、不得随意马虎。</w:t>
      </w:r>
    </w:p>
    <w:p w14:paraId="705836CB">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37.3 评标结束后，评标委员会递交评标报告并依法推荐中标候选人。 </w:t>
      </w:r>
    </w:p>
    <w:p w14:paraId="033AF606">
      <w:pPr>
        <w:spacing w:line="360" w:lineRule="auto"/>
        <w:ind w:firstLine="480" w:firstLineChars="200"/>
        <w:rPr>
          <w:rFonts w:hint="eastAsia" w:ascii="宋体" w:hAnsi="宋体" w:cs="宋体"/>
          <w:sz w:val="24"/>
          <w:szCs w:val="24"/>
        </w:rPr>
      </w:pPr>
      <w:r>
        <w:rPr>
          <w:rFonts w:hint="eastAsia" w:ascii="宋体" w:hAnsi="宋体" w:cs="宋体"/>
          <w:sz w:val="24"/>
          <w:szCs w:val="24"/>
        </w:rPr>
        <w:t>38．投标文件的澄清</w:t>
      </w:r>
    </w:p>
    <w:p w14:paraId="07FCE36E">
      <w:pPr>
        <w:spacing w:line="360" w:lineRule="auto"/>
        <w:ind w:firstLine="480" w:firstLineChars="200"/>
        <w:rPr>
          <w:rFonts w:hint="eastAsia" w:ascii="宋体" w:hAnsi="宋体" w:cs="宋体"/>
          <w:sz w:val="24"/>
          <w:szCs w:val="24"/>
        </w:rPr>
      </w:pPr>
      <w:r>
        <w:rPr>
          <w:rFonts w:hint="eastAsia" w:ascii="宋体" w:hAnsi="宋体" w:cs="宋体"/>
          <w:sz w:val="24"/>
          <w:szCs w:val="24"/>
        </w:rPr>
        <w:t>38.1为有助于投标文件的审查、评价和比较，评标期间，经评标委员会或评标委员会专业评审组中两人以上（含两人）</w:t>
      </w:r>
      <w:r>
        <w:rPr>
          <w:rFonts w:hint="eastAsia" w:ascii="宋体" w:hAnsi="宋体" w:cs="宋体"/>
          <w:sz w:val="24"/>
          <w:szCs w:val="24"/>
          <w:u w:val="single"/>
        </w:rPr>
        <w:t>的成员</w:t>
      </w:r>
      <w:r>
        <w:rPr>
          <w:rFonts w:hint="eastAsia" w:ascii="宋体" w:hAnsi="宋体" w:cs="宋体"/>
          <w:sz w:val="24"/>
          <w:szCs w:val="24"/>
        </w:rPr>
        <w:t>以书面形式提出动议，评标委员会或评标委员会专业评审组应当书面发出澄清通知，要求投标人对投标文件含义不明确</w:t>
      </w:r>
      <w:r>
        <w:rPr>
          <w:rFonts w:hint="eastAsia" w:ascii="宋体" w:hAnsi="宋体" w:cs="宋体"/>
          <w:sz w:val="24"/>
          <w:szCs w:val="24"/>
          <w:u w:val="single"/>
        </w:rPr>
        <w:t>、对同类问题表述不一致、有明显文字和计算错误的内容以及细微偏差</w:t>
      </w:r>
      <w:r>
        <w:rPr>
          <w:rFonts w:hint="eastAsia" w:ascii="宋体" w:hAnsi="宋体" w:cs="宋体"/>
          <w:sz w:val="24"/>
          <w:szCs w:val="24"/>
        </w:rPr>
        <w:t>的内容作出澄清。</w:t>
      </w:r>
    </w:p>
    <w:p w14:paraId="0BAD9CA0">
      <w:pPr>
        <w:spacing w:line="360" w:lineRule="auto"/>
        <w:ind w:firstLine="480" w:firstLineChars="200"/>
        <w:rPr>
          <w:rFonts w:hint="eastAsia" w:ascii="宋体" w:hAnsi="宋体" w:cs="宋体"/>
          <w:sz w:val="24"/>
          <w:szCs w:val="24"/>
        </w:rPr>
      </w:pPr>
      <w:r>
        <w:rPr>
          <w:rFonts w:hint="eastAsia" w:ascii="宋体" w:hAnsi="宋体" w:cs="宋体"/>
          <w:sz w:val="24"/>
          <w:szCs w:val="24"/>
        </w:rPr>
        <w:t>38.2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1E5E704C">
      <w:pPr>
        <w:spacing w:line="360" w:lineRule="auto"/>
        <w:ind w:firstLine="480" w:firstLineChars="200"/>
        <w:rPr>
          <w:rFonts w:hint="eastAsia" w:ascii="宋体" w:hAnsi="宋体" w:cs="宋体"/>
          <w:sz w:val="24"/>
          <w:szCs w:val="24"/>
        </w:rPr>
      </w:pPr>
      <w:r>
        <w:rPr>
          <w:rFonts w:hint="eastAsia" w:ascii="宋体" w:hAnsi="宋体" w:cs="宋体"/>
          <w:sz w:val="24"/>
          <w:szCs w:val="24"/>
        </w:rPr>
        <w:t>38.3 评标委员会或评标委员会专业评审组成员均应当阅读投标人的澄清，但应独立参考澄清对投标文件进行评审。</w:t>
      </w:r>
    </w:p>
    <w:p w14:paraId="2806D773">
      <w:pPr>
        <w:spacing w:line="360" w:lineRule="auto"/>
        <w:ind w:firstLine="480" w:firstLineChars="200"/>
        <w:rPr>
          <w:rFonts w:hint="eastAsia" w:ascii="宋体" w:hAnsi="宋体" w:cs="宋体"/>
          <w:sz w:val="24"/>
          <w:szCs w:val="24"/>
        </w:rPr>
      </w:pPr>
      <w:r>
        <w:rPr>
          <w:rFonts w:hint="eastAsia" w:ascii="宋体" w:hAnsi="宋体" w:cs="宋体"/>
          <w:sz w:val="24"/>
          <w:szCs w:val="24"/>
        </w:rPr>
        <w:t>38.4如果投标文件实质上不响应招标文件的各项要求，评标委员会将按照符合性审查标准予以拒绝，不接受投标人通过修改或撤销其不符合要求的差异或保留，使之成为具有响应性的投标。</w:t>
      </w:r>
    </w:p>
    <w:p w14:paraId="2984206F">
      <w:pPr>
        <w:spacing w:line="360" w:lineRule="auto"/>
        <w:ind w:firstLine="480" w:firstLineChars="200"/>
        <w:rPr>
          <w:rFonts w:hint="eastAsia" w:ascii="宋体" w:hAnsi="宋体" w:cs="宋体"/>
          <w:sz w:val="24"/>
          <w:szCs w:val="24"/>
        </w:rPr>
      </w:pPr>
      <w:r>
        <w:rPr>
          <w:rFonts w:hint="eastAsia" w:ascii="宋体" w:hAnsi="宋体" w:cs="宋体"/>
          <w:sz w:val="24"/>
          <w:szCs w:val="24"/>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4CDD0B01">
      <w:pPr>
        <w:spacing w:line="360" w:lineRule="auto"/>
        <w:ind w:firstLine="480" w:firstLineChars="200"/>
        <w:rPr>
          <w:rFonts w:hint="eastAsia" w:ascii="宋体" w:hAnsi="宋体" w:cs="宋体"/>
          <w:sz w:val="24"/>
          <w:szCs w:val="24"/>
        </w:rPr>
      </w:pPr>
      <w:r>
        <w:rPr>
          <w:rFonts w:hint="eastAsia" w:ascii="宋体" w:hAnsi="宋体" w:cs="宋体"/>
          <w:sz w:val="24"/>
          <w:szCs w:val="24"/>
        </w:rPr>
        <w:t>39．定标</w:t>
      </w:r>
    </w:p>
    <w:p w14:paraId="56FC068B">
      <w:pPr>
        <w:spacing w:line="360" w:lineRule="auto"/>
        <w:ind w:firstLine="480" w:firstLineChars="200"/>
        <w:rPr>
          <w:rFonts w:hint="eastAsia" w:ascii="宋体" w:hAnsi="宋体" w:cs="宋体"/>
          <w:sz w:val="24"/>
          <w:szCs w:val="24"/>
        </w:rPr>
      </w:pPr>
      <w:r>
        <w:rPr>
          <w:rFonts w:hint="eastAsia" w:ascii="宋体" w:hAnsi="宋体" w:cs="宋体"/>
          <w:sz w:val="24"/>
          <w:szCs w:val="24"/>
        </w:rPr>
        <w:t>39.1 招标人根据评标委员会递交的评标报告，最终审定中标人。</w:t>
      </w:r>
    </w:p>
    <w:p w14:paraId="1D93F2E4">
      <w:pPr>
        <w:spacing w:line="360" w:lineRule="auto"/>
        <w:ind w:firstLine="480" w:firstLineChars="200"/>
        <w:rPr>
          <w:rFonts w:hint="eastAsia" w:ascii="宋体" w:hAnsi="宋体" w:cs="宋体"/>
          <w:sz w:val="24"/>
          <w:szCs w:val="24"/>
        </w:rPr>
      </w:pPr>
      <w:r>
        <w:rPr>
          <w:rFonts w:hint="eastAsia" w:ascii="宋体" w:hAnsi="宋体" w:cs="宋体"/>
          <w:sz w:val="24"/>
          <w:szCs w:val="24"/>
        </w:rPr>
        <w:t>39.2 依法必须进行公开招标的项目，招标人应当确定排名第一的中标候选人为中标人。</w:t>
      </w:r>
    </w:p>
    <w:p w14:paraId="4FD9D9FC">
      <w:pPr>
        <w:spacing w:line="360" w:lineRule="auto"/>
        <w:ind w:firstLine="480" w:firstLineChars="200"/>
        <w:rPr>
          <w:rFonts w:hint="eastAsia" w:ascii="宋体" w:hAnsi="宋体" w:cs="宋体"/>
          <w:sz w:val="24"/>
          <w:szCs w:val="24"/>
        </w:rPr>
      </w:pPr>
      <w:r>
        <w:rPr>
          <w:rFonts w:hint="eastAsia" w:ascii="宋体" w:hAnsi="宋体" w:cs="宋体"/>
          <w:sz w:val="24"/>
          <w:szCs w:val="24"/>
        </w:rPr>
        <w:t>39.3排名第一的中标候选人放弃中标、</w:t>
      </w:r>
      <w:r>
        <w:rPr>
          <w:rFonts w:hint="eastAsia" w:ascii="宋体" w:hAnsi="宋体" w:cs="宋体"/>
          <w:bCs/>
          <w:sz w:val="24"/>
          <w:szCs w:val="24"/>
          <w:u w:val="single"/>
        </w:rPr>
        <w:t>或因不可抗力不能履行合同，或不按照招标文件要求提交履约担保，或经核查发现委派的项目负责人已在其他在建项目中任职的，或者被查实存在影响中标结果的违法行为的，或其他不符合中标条件的情形，招标人可以确定排名第二的中标候选人为中标人</w:t>
      </w:r>
      <w:r>
        <w:rPr>
          <w:rFonts w:hint="eastAsia" w:ascii="宋体" w:hAnsi="宋体" w:cs="宋体"/>
          <w:sz w:val="24"/>
          <w:szCs w:val="24"/>
        </w:rPr>
        <w:t>。</w:t>
      </w:r>
    </w:p>
    <w:p w14:paraId="738C8B7C">
      <w:pPr>
        <w:spacing w:line="360" w:lineRule="auto"/>
        <w:ind w:firstLine="480" w:firstLineChars="200"/>
        <w:rPr>
          <w:rFonts w:hint="eastAsia" w:ascii="宋体" w:hAnsi="宋体" w:cs="宋体"/>
          <w:sz w:val="24"/>
          <w:szCs w:val="24"/>
        </w:rPr>
      </w:pPr>
      <w:r>
        <w:rPr>
          <w:rFonts w:hint="eastAsia" w:ascii="宋体" w:hAnsi="宋体" w:cs="宋体"/>
          <w:sz w:val="24"/>
          <w:szCs w:val="24"/>
        </w:rPr>
        <w:t>39.4排名第二的中标候选人出现前款所列的情形的，招标人可以确定排名第三的中标候选人为中标人。以此类推，如所有中标候选人均出现前款所列的情形，为招标失败，招标人依法重新招标。</w:t>
      </w:r>
    </w:p>
    <w:p w14:paraId="71D0064F">
      <w:pPr>
        <w:spacing w:line="360" w:lineRule="auto"/>
        <w:ind w:firstLine="482" w:firstLineChars="201"/>
        <w:rPr>
          <w:rFonts w:hint="eastAsia" w:ascii="宋体" w:hAnsi="宋体" w:cs="宋体"/>
          <w:sz w:val="24"/>
          <w:szCs w:val="24"/>
        </w:rPr>
      </w:pPr>
      <w:r>
        <w:rPr>
          <w:rFonts w:hint="eastAsia" w:ascii="宋体" w:hAnsi="宋体" w:cs="宋体"/>
          <w:sz w:val="24"/>
          <w:szCs w:val="24"/>
        </w:rPr>
        <w:t>39.5 重新评标的，评标信息（含业绩、奖项等）仍以投标截止时投标人的信息为准。因特殊原因需要延长投标有效期，投标人拒绝延长投标有效期的，仍参与评标，但不被推荐为中标候选人。</w:t>
      </w:r>
    </w:p>
    <w:p w14:paraId="548F050D">
      <w:pPr>
        <w:spacing w:line="360" w:lineRule="auto"/>
        <w:ind w:firstLine="482" w:firstLineChars="201"/>
        <w:rPr>
          <w:rFonts w:hint="eastAsia" w:ascii="宋体" w:hAnsi="宋体" w:cs="宋体"/>
          <w:sz w:val="24"/>
          <w:szCs w:val="24"/>
        </w:rPr>
      </w:pPr>
      <w:r>
        <w:rPr>
          <w:rFonts w:ascii="宋体" w:hAnsi="宋体" w:cs="宋体"/>
          <w:sz w:val="24"/>
          <w:szCs w:val="24"/>
        </w:rPr>
        <w:t>39.</w:t>
      </w:r>
      <w:r>
        <w:rPr>
          <w:rFonts w:hint="eastAsia" w:ascii="宋体" w:hAnsi="宋体" w:cs="宋体"/>
          <w:sz w:val="24"/>
          <w:szCs w:val="24"/>
        </w:rPr>
        <w:t>6</w:t>
      </w:r>
      <w:r>
        <w:rPr>
          <w:rFonts w:ascii="宋体" w:hAnsi="宋体" w:cs="宋体"/>
          <w:sz w:val="24"/>
          <w:szCs w:val="24"/>
        </w:rPr>
        <w:t>本项目不允许施工中标人与本项目监理中标人存在隶属关系或</w:t>
      </w:r>
      <w:r>
        <w:rPr>
          <w:rFonts w:hint="eastAsia" w:ascii="宋体" w:hAnsi="宋体" w:cs="宋体"/>
          <w:sz w:val="24"/>
          <w:szCs w:val="24"/>
        </w:rPr>
        <w:t>者其他</w:t>
      </w:r>
      <w:r>
        <w:rPr>
          <w:rFonts w:ascii="宋体" w:hAnsi="宋体" w:cs="宋体"/>
          <w:sz w:val="24"/>
          <w:szCs w:val="24"/>
        </w:rPr>
        <w:t>利害关系，如经确认存在上述情况，在本项目的施工合同和监理合同签订前，允许监理中标人或施工中标人任一方可以自愿选择放弃本项目的中标权利，招标人依法选择第二中标候选人为中标人，排名第二的中标候选人出现上述所列的情形的，招标人依法确定排名第三的中标候选人为中标人。以此类推，如所有中标候选人均出现前款所列的情形，为招标失败，招标人依法重新招标。</w:t>
      </w:r>
    </w:p>
    <w:p w14:paraId="0DC1A369">
      <w:pPr>
        <w:spacing w:line="360" w:lineRule="auto"/>
        <w:ind w:firstLine="480" w:firstLineChars="200"/>
        <w:rPr>
          <w:rFonts w:hint="eastAsia" w:ascii="宋体" w:hAnsi="宋体" w:cs="宋体"/>
          <w:sz w:val="24"/>
          <w:szCs w:val="24"/>
        </w:rPr>
      </w:pPr>
    </w:p>
    <w:p w14:paraId="58A6A4E5">
      <w:pPr>
        <w:pStyle w:val="5"/>
        <w:spacing w:before="156" w:after="156"/>
        <w:ind w:firstLine="480" w:firstLineChars="200"/>
        <w:rPr>
          <w:rFonts w:hint="eastAsia"/>
          <w:sz w:val="24"/>
          <w:szCs w:val="24"/>
        </w:rPr>
      </w:pPr>
      <w:bookmarkStart w:id="83" w:name="_Toc24515"/>
      <w:bookmarkStart w:id="84" w:name="_Toc28852"/>
      <w:bookmarkStart w:id="85" w:name="_Toc16664"/>
      <w:bookmarkStart w:id="86" w:name="_Toc32189"/>
      <w:bookmarkStart w:id="87" w:name="_Toc2266"/>
      <w:bookmarkStart w:id="88" w:name="_Toc14420"/>
      <w:r>
        <w:rPr>
          <w:rFonts w:hint="eastAsia"/>
          <w:sz w:val="24"/>
          <w:szCs w:val="24"/>
        </w:rPr>
        <w:t>（二）开标评标办法程序和细则</w:t>
      </w:r>
      <w:bookmarkEnd w:id="83"/>
      <w:bookmarkEnd w:id="84"/>
      <w:bookmarkEnd w:id="85"/>
      <w:bookmarkEnd w:id="86"/>
      <w:bookmarkEnd w:id="87"/>
      <w:bookmarkEnd w:id="88"/>
    </w:p>
    <w:p w14:paraId="0C10D669">
      <w:pPr>
        <w:spacing w:line="360" w:lineRule="auto"/>
        <w:ind w:firstLine="480" w:firstLineChars="200"/>
        <w:rPr>
          <w:rFonts w:hint="eastAsia" w:ascii="宋体" w:hAnsi="宋体" w:cs="宋体"/>
          <w:sz w:val="24"/>
          <w:szCs w:val="24"/>
        </w:rPr>
      </w:pPr>
      <w:r>
        <w:rPr>
          <w:rFonts w:hint="eastAsia" w:ascii="宋体" w:hAnsi="宋体" w:cs="宋体"/>
          <w:sz w:val="24"/>
          <w:szCs w:val="24"/>
        </w:rPr>
        <w:t>注：以下八种评标办法所述企业综合诚信评价分数即投标截止当日广州市工程招标代理行业协会网站上公布的企业综合诚信评价60日诚信分。</w:t>
      </w:r>
    </w:p>
    <w:p w14:paraId="7CFE3F3A">
      <w:pPr>
        <w:pStyle w:val="5"/>
        <w:spacing w:before="156" w:after="156"/>
        <w:ind w:firstLine="480" w:firstLineChars="200"/>
        <w:rPr>
          <w:rFonts w:hint="eastAsia"/>
          <w:sz w:val="24"/>
          <w:szCs w:val="24"/>
        </w:rPr>
      </w:pPr>
      <w:bookmarkStart w:id="89" w:name="_Toc20959"/>
      <w:bookmarkStart w:id="90" w:name="_Toc20553"/>
      <w:bookmarkStart w:id="91" w:name="_Toc16561"/>
      <w:bookmarkStart w:id="92" w:name="_Toc136"/>
      <w:bookmarkStart w:id="93" w:name="_Toc32064"/>
      <w:bookmarkStart w:id="94" w:name="_Toc16414"/>
      <w:r>
        <w:rPr>
          <w:rFonts w:hint="eastAsia"/>
          <w:sz w:val="24"/>
          <w:szCs w:val="24"/>
        </w:rPr>
        <w:t>可选办法七（适合综合评分法四，技术标与经济标同时开启）</w:t>
      </w:r>
      <w:bookmarkEnd w:id="89"/>
      <w:bookmarkEnd w:id="90"/>
      <w:bookmarkEnd w:id="91"/>
      <w:bookmarkEnd w:id="92"/>
      <w:bookmarkEnd w:id="93"/>
      <w:bookmarkEnd w:id="94"/>
    </w:p>
    <w:p w14:paraId="40CC800B">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40．开标和评标程序</w:t>
      </w:r>
    </w:p>
    <w:p w14:paraId="0058F619">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40.1技术标（含资格审查文件）与经济标投标文件同时公开开标；</w:t>
      </w:r>
    </w:p>
    <w:p w14:paraId="6FE5D739">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40.2由评标委员会对所有已公开开标的投标人进行资格审查</w:t>
      </w:r>
      <w:r>
        <w:rPr>
          <w:rFonts w:hint="eastAsia" w:ascii="宋体" w:hAnsi="宋体" w:cs="宋体"/>
          <w:sz w:val="24"/>
          <w:szCs w:val="24"/>
          <w:u w:val="single"/>
        </w:rPr>
        <w:t>，并编写资格审查报告</w:t>
      </w:r>
      <w:r>
        <w:rPr>
          <w:rFonts w:hint="eastAsia" w:ascii="宋体" w:hAnsi="宋体" w:cs="宋体"/>
          <w:sz w:val="24"/>
          <w:szCs w:val="24"/>
        </w:rPr>
        <w:t>；</w:t>
      </w:r>
    </w:p>
    <w:p w14:paraId="5F7EA41C">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40.3技术标投标文件有效性审查；</w:t>
      </w:r>
    </w:p>
    <w:p w14:paraId="186ABEE2">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40.4技术标详细审查评分；</w:t>
      </w:r>
    </w:p>
    <w:p w14:paraId="5229AF7B">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40.5经济标详细审查评分； </w:t>
      </w:r>
    </w:p>
    <w:p w14:paraId="243DD12F">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40.6评标委员会按照投标人总得分由高至低排序；</w:t>
      </w:r>
    </w:p>
    <w:p w14:paraId="728EC732">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40.7经济标投标文件有效性审查；</w:t>
      </w:r>
    </w:p>
    <w:p w14:paraId="6A7CC22C">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40.8评标委员会按排序向招标人推荐中标候选人名单，并递交资格审查报告及评标报告。</w:t>
      </w:r>
    </w:p>
    <w:p w14:paraId="4F31F94F">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41．开标细则</w:t>
      </w:r>
    </w:p>
    <w:p w14:paraId="4B36380C">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41.1开标由招标人</w:t>
      </w:r>
      <w:r>
        <w:rPr>
          <w:rFonts w:hint="eastAsia" w:ascii="宋体" w:hAnsi="宋体" w:cs="宋体"/>
          <w:sz w:val="24"/>
          <w:szCs w:val="24"/>
          <w:u w:val="single"/>
        </w:rPr>
        <w:t>或招标代理</w:t>
      </w:r>
      <w:r>
        <w:rPr>
          <w:rFonts w:hint="eastAsia" w:ascii="宋体" w:hAnsi="宋体" w:cs="宋体"/>
          <w:sz w:val="24"/>
          <w:szCs w:val="24"/>
        </w:rPr>
        <w:t>主持；</w:t>
      </w:r>
    </w:p>
    <w:p w14:paraId="7A10F0DC">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41.2 细则</w:t>
      </w:r>
    </w:p>
    <w:p w14:paraId="76F51337">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41.2.1投标截止期前，各投标人递交投标文件（包括</w:t>
      </w:r>
      <w:r>
        <w:rPr>
          <w:rFonts w:hint="eastAsia" w:ascii="宋体" w:hAnsi="宋体" w:cs="宋体"/>
          <w:sz w:val="24"/>
          <w:szCs w:val="24"/>
          <w:u w:val="single"/>
        </w:rPr>
        <w:t>技术标投标文件（含资格审查文件</w:t>
      </w:r>
      <w:r>
        <w:rPr>
          <w:rFonts w:ascii="宋体" w:hAnsi="宋体" w:cs="宋体"/>
          <w:sz w:val="24"/>
          <w:szCs w:val="24"/>
          <w:u w:val="single"/>
        </w:rPr>
        <w:t>)</w:t>
      </w:r>
      <w:r>
        <w:rPr>
          <w:rFonts w:hint="eastAsia" w:ascii="宋体" w:hAnsi="宋体" w:cs="宋体"/>
          <w:sz w:val="24"/>
          <w:szCs w:val="24"/>
        </w:rPr>
        <w:t>、经济标投标文件）至</w:t>
      </w:r>
      <w:r>
        <w:rPr>
          <w:rFonts w:hint="eastAsia" w:ascii="宋体" w:hAnsi="宋体" w:cs="宋体"/>
          <w:sz w:val="24"/>
          <w:szCs w:val="24"/>
          <w:u w:val="single"/>
        </w:rPr>
        <w:t>广州交易集团有限公司（广州公共资源交易中心）</w:t>
      </w:r>
      <w:r>
        <w:rPr>
          <w:rFonts w:hint="eastAsia" w:ascii="宋体" w:hAnsi="宋体" w:cs="宋体"/>
          <w:sz w:val="24"/>
          <w:szCs w:val="24"/>
        </w:rPr>
        <w:t xml:space="preserve">交易平台。有关投标文件提交的事项详见第一章投标须知。 </w:t>
      </w:r>
    </w:p>
    <w:p w14:paraId="32EF2961">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41.2.3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1C134695">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41.2.4按36.5.1的规定完成解密后，公布下列内容，并予以记录，记录提交评标委员会评审： </w:t>
      </w:r>
    </w:p>
    <w:p w14:paraId="2A877B87">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41.2.4.1开标时，公布：a、投标人名称；b、</w:t>
      </w:r>
      <w:r>
        <w:rPr>
          <w:rFonts w:hint="eastAsia" w:ascii="宋体" w:hAnsi="宋体" w:cs="宋体"/>
          <w:sz w:val="24"/>
        </w:rPr>
        <w:t>投标文件</w:t>
      </w:r>
      <w:r>
        <w:rPr>
          <w:rFonts w:hint="eastAsia" w:ascii="宋体" w:hAnsi="宋体" w:cs="宋体"/>
          <w:sz w:val="24"/>
          <w:szCs w:val="24"/>
        </w:rPr>
        <w:t>密封情况；c、投标报价；d、投标保证金；e、项目经理（负责人）名称；f、法定代表人证明及授权委托等主要内容及开标记录表中的其他必要内容。投标报价以数字和文字两种方式表述的，应公布文字表述的投标报价。</w:t>
      </w:r>
    </w:p>
    <w:p w14:paraId="2A9AA2C4">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41.3招标人</w:t>
      </w:r>
      <w:r>
        <w:rPr>
          <w:rFonts w:hint="eastAsia" w:ascii="宋体" w:hAnsi="宋体" w:cs="宋体"/>
          <w:sz w:val="24"/>
          <w:szCs w:val="24"/>
          <w:u w:val="single"/>
        </w:rPr>
        <w:t>或招标代理机构</w:t>
      </w:r>
      <w:r>
        <w:rPr>
          <w:rFonts w:hint="eastAsia" w:ascii="宋体" w:hAnsi="宋体" w:cs="宋体"/>
          <w:sz w:val="24"/>
          <w:szCs w:val="24"/>
        </w:rPr>
        <w:t>对开标过程进行记录，并存档备查，</w:t>
      </w:r>
      <w:r>
        <w:rPr>
          <w:rFonts w:hint="eastAsia" w:ascii="宋体" w:hAnsi="宋体" w:cs="宋体"/>
          <w:sz w:val="24"/>
          <w:szCs w:val="24"/>
          <w:u w:val="single"/>
        </w:rPr>
        <w:t>参加开标会的</w:t>
      </w:r>
      <w:r>
        <w:rPr>
          <w:rFonts w:hint="eastAsia" w:ascii="宋体" w:hAnsi="宋体" w:cs="宋体"/>
          <w:sz w:val="24"/>
          <w:szCs w:val="24"/>
        </w:rPr>
        <w:t>投标人在技术标开标记录上签字。</w:t>
      </w:r>
    </w:p>
    <w:p w14:paraId="0962FFF0">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41.4 招标人将上述符合要求的投标文件，送至评标委员会进行评审。</w:t>
      </w:r>
    </w:p>
    <w:p w14:paraId="36015FA6">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42. 资格审查及评标细则</w:t>
      </w:r>
    </w:p>
    <w:p w14:paraId="6DBF2564">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42.1资格审查及评标均由招标人依法组建的评标委员会负责。</w:t>
      </w:r>
    </w:p>
    <w:p w14:paraId="590A4F1C">
      <w:pPr>
        <w:pStyle w:val="50"/>
        <w:tabs>
          <w:tab w:val="left" w:pos="7380"/>
        </w:tabs>
        <w:snapToGrid w:val="0"/>
        <w:spacing w:after="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42.2评标委员会</w:t>
      </w:r>
      <w:r>
        <w:rPr>
          <w:rFonts w:hint="eastAsia" w:ascii="宋体" w:hAnsi="宋体" w:eastAsia="宋体" w:cs="宋体"/>
          <w:color w:val="000000" w:themeColor="text1"/>
          <w:sz w:val="24"/>
          <w:szCs w:val="24"/>
          <w14:textFill>
            <w14:solidFill>
              <w14:schemeClr w14:val="tx1"/>
            </w14:solidFill>
          </w14:textFill>
        </w:rPr>
        <w:t>的组成：</w:t>
      </w:r>
      <w:r>
        <w:rPr>
          <w:rFonts w:hint="eastAsia" w:ascii="宋体" w:hAnsi="宋体" w:eastAsia="宋体" w:cs="宋体"/>
          <w:color w:val="000000" w:themeColor="text1"/>
          <w:sz w:val="24"/>
          <w:szCs w:val="24"/>
          <w:u w:val="single"/>
          <w14:textFill>
            <w14:solidFill>
              <w14:schemeClr w14:val="tx1"/>
            </w14:solidFill>
          </w14:textFill>
        </w:rPr>
        <w:t>方式一：评标委员会为综合评标委员会，</w:t>
      </w:r>
      <w:r>
        <w:rPr>
          <w:rFonts w:hint="eastAsia" w:ascii="宋体" w:hAnsi="宋体" w:eastAsia="宋体" w:cs="宋体"/>
          <w:color w:val="000000" w:themeColor="text1"/>
          <w:sz w:val="24"/>
          <w:szCs w:val="24"/>
          <w:u w:val="single"/>
          <w:lang w:val="en-US" w:eastAsia="zh-CN"/>
          <w14:textFill>
            <w14:solidFill>
              <w14:schemeClr w14:val="tx1"/>
            </w14:solidFill>
          </w14:textFill>
        </w:rPr>
        <w:t>由招标人依法组建，</w:t>
      </w:r>
      <w:r>
        <w:rPr>
          <w:rFonts w:hint="eastAsia" w:ascii="宋体" w:hAnsi="宋体" w:eastAsia="宋体" w:cs="宋体"/>
          <w:color w:val="000000" w:themeColor="text1"/>
          <w:sz w:val="24"/>
          <w:szCs w:val="24"/>
          <w:u w:val="single"/>
          <w14:textFill>
            <w14:solidFill>
              <w14:schemeClr w14:val="tx1"/>
            </w14:solidFill>
          </w14:textFill>
        </w:rPr>
        <w:t>负责资格审查及评标工作。</w:t>
      </w:r>
    </w:p>
    <w:p w14:paraId="7B89C0A8">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43．投标人资格审查</w:t>
      </w:r>
    </w:p>
    <w:p w14:paraId="6EB0E4EA">
      <w:pPr>
        <w:snapToGrid w:val="0"/>
        <w:spacing w:line="360" w:lineRule="auto"/>
        <w:ind w:firstLine="480" w:firstLineChars="200"/>
        <w:rPr>
          <w:rFonts w:hint="eastAsia" w:ascii="宋体" w:hAnsi="宋体" w:cs="宋体"/>
          <w:sz w:val="24"/>
          <w:szCs w:val="24"/>
        </w:rPr>
      </w:pPr>
      <w:r>
        <w:rPr>
          <w:rFonts w:hint="eastAsia" w:ascii="宋体" w:hAnsi="宋体" w:cs="宋体"/>
          <w:color w:val="000000" w:themeColor="text1"/>
          <w:sz w:val="24"/>
          <w:szCs w:val="24"/>
          <w14:textFill>
            <w14:solidFill>
              <w14:schemeClr w14:val="tx1"/>
            </w14:solidFill>
          </w14:textFill>
        </w:rPr>
        <w:t>43.1资格审查文</w:t>
      </w:r>
      <w:r>
        <w:rPr>
          <w:rFonts w:hint="eastAsia" w:ascii="宋体" w:hAnsi="宋体" w:cs="宋体"/>
          <w:sz w:val="24"/>
          <w:szCs w:val="24"/>
        </w:rPr>
        <w:t>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134AD6D4">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43.2汇总资格审查情况，编写资格审查报告。</w:t>
      </w:r>
    </w:p>
    <w:p w14:paraId="39203332">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43.3资格审查不合格的投标文件不参加下一阶段的评标，不参与评标参考价的计算。</w:t>
      </w:r>
    </w:p>
    <w:p w14:paraId="2358D723">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2242289E">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43.5资审合格后，投标人的资格发生变化而不满足投标人合格条件，在发出中标通知书前，资格问题仍未解决的，招标人将取消其中标资格。</w:t>
      </w:r>
    </w:p>
    <w:p w14:paraId="5F1CF323">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43.6资格审查合格的投标人少于3名的，则本项目招标失败。</w:t>
      </w:r>
    </w:p>
    <w:p w14:paraId="74A87954">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44．技术标评审</w:t>
      </w:r>
    </w:p>
    <w:p w14:paraId="7E436FC4">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评委发现投标文件中含义不明确、对同类问题表述不一致、有明显文字和计算错误的，应当要求投标人作必要的澄清、说明后再判定投标人是否通过有效性审查，不得直接否决投标。</w:t>
      </w:r>
    </w:p>
    <w:p w14:paraId="7C23B3E7">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44.2技术标详细审查评分：评标委员会按照附表四《技术标详细审查评分表》的标准，对通过技术标有效性审查的投标文件技术标进行详细审查，评出技术分，得分四舍五入精确到小数点后两位。</w:t>
      </w:r>
    </w:p>
    <w:p w14:paraId="00B98EF2">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45．经济标评审和得分汇总</w:t>
      </w:r>
    </w:p>
    <w:p w14:paraId="69AD8E49">
      <w:pPr>
        <w:pStyle w:val="50"/>
        <w:tabs>
          <w:tab w:val="left" w:pos="7380"/>
        </w:tabs>
        <w:snapToGrid w:val="0"/>
        <w:spacing w:after="0"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45.1</w:t>
      </w:r>
      <w:r>
        <w:rPr>
          <w:rFonts w:hint="eastAsia" w:ascii="宋体" w:hAnsi="宋体" w:eastAsia="宋体" w:cs="宋体"/>
          <w:b/>
          <w:bCs/>
          <w:sz w:val="24"/>
          <w:szCs w:val="24"/>
        </w:rPr>
        <w:t>若通过技术标有效性审查的投标人中所有投标报价均大于等于最高投标限价，则本项目招标失败，由招标人依法重新招标。</w:t>
      </w:r>
    </w:p>
    <w:p w14:paraId="42388573">
      <w:pPr>
        <w:pStyle w:val="50"/>
        <w:tabs>
          <w:tab w:val="left" w:pos="7380"/>
        </w:tabs>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45.2按方法</w:t>
      </w:r>
      <w:r>
        <w:rPr>
          <w:rFonts w:hint="eastAsia" w:ascii="宋体" w:hAnsi="宋体"/>
          <w:kern w:val="0"/>
          <w:szCs w:val="21"/>
          <w:u w:val="single"/>
        </w:rPr>
        <w:t xml:space="preserve">  </w:t>
      </w:r>
      <w:r>
        <w:rPr>
          <w:rFonts w:hint="eastAsia" w:ascii="宋体" w:hAnsi="宋体"/>
          <w:kern w:val="0"/>
          <w:szCs w:val="21"/>
          <w:u w:val="single"/>
          <w:lang w:val="en-US" w:eastAsia="zh-CN"/>
        </w:rPr>
        <w:t>二</w:t>
      </w:r>
      <w:r>
        <w:rPr>
          <w:rFonts w:hint="eastAsia" w:ascii="宋体" w:hAnsi="宋体"/>
          <w:kern w:val="0"/>
          <w:szCs w:val="21"/>
          <w:u w:val="single"/>
        </w:rPr>
        <w:t xml:space="preserve">  </w:t>
      </w:r>
      <w:r>
        <w:rPr>
          <w:rFonts w:hint="eastAsia" w:ascii="宋体" w:hAnsi="宋体" w:eastAsia="宋体" w:cs="宋体"/>
          <w:sz w:val="24"/>
          <w:szCs w:val="24"/>
        </w:rPr>
        <w:t>计算评标参考价：</w:t>
      </w:r>
    </w:p>
    <w:p w14:paraId="0D64668B">
      <w:pPr>
        <w:widowControl/>
        <w:spacing w:line="360" w:lineRule="auto"/>
        <w:ind w:firstLine="480" w:firstLineChars="200"/>
        <w:rPr>
          <w:rFonts w:hint="default" w:ascii="宋体" w:hAnsi="宋体" w:eastAsia="宋体" w:cs="宋体"/>
          <w:b/>
          <w:bCs/>
          <w:kern w:val="0"/>
          <w:sz w:val="24"/>
          <w:szCs w:val="24"/>
          <w:lang w:val="en-US" w:eastAsia="zh-CN"/>
        </w:rPr>
      </w:pPr>
      <w:r>
        <w:rPr>
          <w:rFonts w:hint="eastAsia" w:ascii="宋体" w:hAnsi="宋体" w:cs="宋体"/>
          <w:b/>
          <w:bCs/>
          <w:kern w:val="0"/>
          <w:sz w:val="24"/>
          <w:szCs w:val="24"/>
        </w:rPr>
        <w:t>方法</w:t>
      </w:r>
      <w:r>
        <w:rPr>
          <w:rFonts w:hint="eastAsia" w:ascii="宋体" w:hAnsi="宋体" w:cs="宋体"/>
          <w:b/>
          <w:bCs/>
          <w:kern w:val="0"/>
          <w:sz w:val="24"/>
          <w:szCs w:val="24"/>
          <w:lang w:val="en-US" w:eastAsia="zh-CN"/>
        </w:rPr>
        <w:t>二</w:t>
      </w:r>
      <w:r>
        <w:rPr>
          <w:rFonts w:hint="eastAsia" w:ascii="宋体" w:hAnsi="宋体" w:cs="宋体"/>
          <w:b/>
          <w:bCs/>
          <w:kern w:val="0"/>
          <w:sz w:val="24"/>
          <w:szCs w:val="24"/>
        </w:rPr>
        <w:t>：</w:t>
      </w:r>
      <w:r>
        <w:rPr>
          <w:rFonts w:hint="eastAsia" w:ascii="宋体" w:hAnsi="宋体" w:cs="宋体"/>
          <w:b/>
          <w:bCs/>
          <w:kern w:val="0"/>
          <w:sz w:val="24"/>
          <w:szCs w:val="24"/>
          <w:lang w:val="en-US" w:eastAsia="zh-CN"/>
        </w:rPr>
        <w:t>区间抽取法</w:t>
      </w:r>
    </w:p>
    <w:p w14:paraId="01597018">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设立入围合格分数线（入围技术标合格分数线为≥28分（技术分满分为40分）），达到或超过及格线的投标人的报价方能参与评标参考价的计算。将达到或超过技术标及格分数线的投标报价由低至高进行排列，按以下公式计算评标参考价，计算公式如下：</w:t>
      </w:r>
    </w:p>
    <w:p w14:paraId="357511AB">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评标参考价</w:t>
      </w:r>
      <w:r>
        <w:rPr>
          <w:rFonts w:ascii="宋体" w:hAnsi="宋体" w:cs="宋体"/>
          <w:sz w:val="24"/>
          <w:szCs w:val="24"/>
          <w:highlight w:val="none"/>
        </w:rPr>
        <w:t>=</w:t>
      </w:r>
      <w:r>
        <w:rPr>
          <w:rFonts w:hint="eastAsia" w:ascii="宋体" w:hAnsi="宋体" w:cs="宋体"/>
          <w:sz w:val="24"/>
          <w:szCs w:val="24"/>
          <w:highlight w:val="none"/>
        </w:rPr>
        <w:t>（</w:t>
      </w:r>
      <w:r>
        <w:rPr>
          <w:rFonts w:ascii="宋体" w:hAnsi="宋体" w:cs="宋体"/>
          <w:sz w:val="24"/>
          <w:szCs w:val="24"/>
          <w:highlight w:val="none"/>
        </w:rPr>
        <w:t>Q</w:t>
      </w:r>
      <w:r>
        <w:rPr>
          <w:rFonts w:hint="eastAsia" w:ascii="宋体" w:hAnsi="宋体" w:cs="宋体"/>
          <w:sz w:val="24"/>
          <w:szCs w:val="24"/>
          <w:highlight w:val="none"/>
        </w:rPr>
        <w:t>高</w:t>
      </w:r>
      <w:r>
        <w:rPr>
          <w:rFonts w:ascii="宋体" w:hAnsi="宋体" w:cs="宋体"/>
          <w:sz w:val="24"/>
          <w:szCs w:val="24"/>
          <w:highlight w:val="none"/>
        </w:rPr>
        <w:t>-Q</w:t>
      </w:r>
      <w:r>
        <w:rPr>
          <w:rFonts w:hint="eastAsia" w:ascii="宋体" w:hAnsi="宋体" w:cs="宋体"/>
          <w:sz w:val="24"/>
          <w:szCs w:val="24"/>
          <w:highlight w:val="none"/>
        </w:rPr>
        <w:t>低）</w:t>
      </w:r>
      <w:r>
        <w:rPr>
          <w:rFonts w:ascii="宋体" w:hAnsi="宋体" w:cs="宋体"/>
          <w:sz w:val="24"/>
          <w:szCs w:val="24"/>
          <w:highlight w:val="none"/>
        </w:rPr>
        <w:t>/100*</w:t>
      </w:r>
      <w:r>
        <w:rPr>
          <w:rFonts w:hint="eastAsia" w:ascii="宋体" w:hAnsi="宋体" w:cs="宋体"/>
          <w:sz w:val="24"/>
          <w:szCs w:val="24"/>
          <w:highlight w:val="none"/>
        </w:rPr>
        <w:t>Ｘ</w:t>
      </w:r>
      <w:r>
        <w:rPr>
          <w:rFonts w:ascii="宋体" w:hAnsi="宋体" w:cs="宋体"/>
          <w:sz w:val="24"/>
          <w:szCs w:val="24"/>
          <w:highlight w:val="none"/>
        </w:rPr>
        <w:t>+Q</w:t>
      </w:r>
      <w:r>
        <w:rPr>
          <w:rFonts w:hint="eastAsia" w:ascii="宋体" w:hAnsi="宋体" w:cs="宋体"/>
          <w:sz w:val="24"/>
          <w:szCs w:val="24"/>
          <w:highlight w:val="none"/>
        </w:rPr>
        <w:t>低</w:t>
      </w:r>
    </w:p>
    <w:p w14:paraId="7C786814">
      <w:pPr>
        <w:spacing w:line="360" w:lineRule="auto"/>
        <w:ind w:firstLine="480" w:firstLineChars="200"/>
        <w:rPr>
          <w:rFonts w:hint="eastAsia" w:ascii="宋体" w:hAnsi="宋体" w:cs="宋体"/>
          <w:sz w:val="24"/>
          <w:szCs w:val="24"/>
          <w:highlight w:val="none"/>
        </w:rPr>
      </w:pPr>
      <w:r>
        <w:rPr>
          <w:rFonts w:ascii="宋体" w:hAnsi="宋体" w:cs="宋体"/>
          <w:sz w:val="24"/>
          <w:szCs w:val="24"/>
          <w:highlight w:val="none"/>
        </w:rPr>
        <w:t>Q</w:t>
      </w:r>
      <w:r>
        <w:rPr>
          <w:rFonts w:hint="eastAsia" w:ascii="宋体" w:hAnsi="宋体" w:cs="宋体"/>
          <w:sz w:val="24"/>
          <w:szCs w:val="24"/>
          <w:highlight w:val="none"/>
        </w:rPr>
        <w:t>低：为达到或超过技术标及格分数线的投标人最低报价与工程成本警示价两者中的较高值；</w:t>
      </w:r>
    </w:p>
    <w:p w14:paraId="29C7B1ED">
      <w:pPr>
        <w:spacing w:line="360" w:lineRule="auto"/>
        <w:ind w:firstLine="480" w:firstLineChars="200"/>
        <w:rPr>
          <w:rFonts w:hint="eastAsia" w:ascii="宋体" w:hAnsi="宋体" w:cs="宋体"/>
          <w:sz w:val="24"/>
          <w:szCs w:val="24"/>
          <w:highlight w:val="none"/>
        </w:rPr>
      </w:pPr>
      <w:r>
        <w:rPr>
          <w:rFonts w:ascii="宋体" w:hAnsi="宋体" w:cs="宋体"/>
          <w:sz w:val="24"/>
          <w:szCs w:val="24"/>
          <w:highlight w:val="none"/>
        </w:rPr>
        <w:t>Q</w:t>
      </w:r>
      <w:r>
        <w:rPr>
          <w:rFonts w:hint="eastAsia" w:ascii="宋体" w:hAnsi="宋体" w:cs="宋体"/>
          <w:sz w:val="24"/>
          <w:szCs w:val="24"/>
          <w:highlight w:val="none"/>
        </w:rPr>
        <w:t>高：为（最高投标限价</w:t>
      </w:r>
      <w:r>
        <w:rPr>
          <w:rFonts w:ascii="宋体" w:hAnsi="宋体" w:cs="宋体"/>
          <w:sz w:val="24"/>
          <w:szCs w:val="24"/>
          <w:highlight w:val="none"/>
        </w:rPr>
        <w:t>*</w:t>
      </w:r>
      <w:r>
        <w:rPr>
          <w:rFonts w:hint="eastAsia" w:ascii="宋体" w:hAnsi="宋体" w:cs="宋体"/>
          <w:sz w:val="24"/>
          <w:szCs w:val="24"/>
          <w:highlight w:val="none"/>
        </w:rPr>
        <w:t>99</w:t>
      </w:r>
      <w:r>
        <w:rPr>
          <w:rFonts w:ascii="宋体" w:hAnsi="宋体" w:cs="宋体"/>
          <w:sz w:val="24"/>
          <w:szCs w:val="24"/>
          <w:highlight w:val="none"/>
        </w:rPr>
        <w:t>%</w:t>
      </w:r>
      <w:r>
        <w:rPr>
          <w:rFonts w:hint="eastAsia" w:ascii="宋体" w:hAnsi="宋体" w:cs="宋体"/>
          <w:sz w:val="24"/>
          <w:szCs w:val="24"/>
          <w:highlight w:val="none"/>
        </w:rPr>
        <w:t>）</w:t>
      </w:r>
    </w:p>
    <w:p w14:paraId="00D74DE4">
      <w:pPr>
        <w:spacing w:line="360" w:lineRule="auto"/>
        <w:ind w:firstLine="480" w:firstLineChars="200"/>
        <w:rPr>
          <w:rFonts w:hint="eastAsia" w:ascii="宋体" w:hAnsi="宋体" w:cs="宋体"/>
          <w:sz w:val="24"/>
          <w:szCs w:val="24"/>
        </w:rPr>
      </w:pPr>
      <w:r>
        <w:rPr>
          <w:rFonts w:ascii="宋体" w:hAnsi="宋体" w:cs="宋体"/>
          <w:sz w:val="24"/>
          <w:szCs w:val="24"/>
          <w:highlight w:val="none"/>
        </w:rPr>
        <w:t>X:</w:t>
      </w:r>
      <w:r>
        <w:rPr>
          <w:rFonts w:hint="eastAsia" w:ascii="宋体" w:hAnsi="宋体" w:cs="宋体"/>
          <w:sz w:val="24"/>
          <w:szCs w:val="24"/>
          <w:highlight w:val="none"/>
        </w:rPr>
        <w:t>为等分点值，在开标前从</w:t>
      </w:r>
      <w:r>
        <w:rPr>
          <w:rFonts w:ascii="宋体" w:hAnsi="宋体" w:cs="宋体"/>
          <w:sz w:val="24"/>
          <w:szCs w:val="24"/>
          <w:highlight w:val="none"/>
        </w:rPr>
        <w:t>[0,100]</w:t>
      </w:r>
      <w:r>
        <w:rPr>
          <w:rFonts w:hint="eastAsia" w:ascii="宋体" w:hAnsi="宋体" w:cs="宋体"/>
          <w:sz w:val="24"/>
          <w:szCs w:val="24"/>
          <w:highlight w:val="none"/>
        </w:rPr>
        <w:t>整数中随机抽取</w:t>
      </w:r>
    </w:p>
    <w:p w14:paraId="13A8BA61">
      <w:pPr>
        <w:spacing w:line="360" w:lineRule="auto"/>
        <w:ind w:firstLine="480" w:firstLineChars="200"/>
        <w:rPr>
          <w:rFonts w:hint="eastAsia" w:ascii="宋体" w:hAnsi="宋体" w:cs="宋体"/>
          <w:sz w:val="24"/>
          <w:szCs w:val="24"/>
        </w:rPr>
      </w:pPr>
      <w:r>
        <w:rPr>
          <w:rFonts w:hint="eastAsia" w:ascii="宋体" w:hAnsi="宋体" w:cs="宋体"/>
          <w:kern w:val="0"/>
          <w:sz w:val="24"/>
          <w:szCs w:val="24"/>
        </w:rPr>
        <w:t>45.3</w:t>
      </w:r>
      <w:r>
        <w:rPr>
          <w:rFonts w:hint="eastAsia" w:ascii="宋体" w:hAnsi="宋体" w:cs="宋体"/>
          <w:sz w:val="24"/>
          <w:szCs w:val="24"/>
        </w:rPr>
        <w:t>当标价等于评标参考价时得100分，标价每高于评标参考价1%，扣</w:t>
      </w:r>
      <w:r>
        <w:rPr>
          <w:rFonts w:hint="eastAsia" w:ascii="宋体" w:hAnsi="宋体" w:cs="宋体"/>
          <w:sz w:val="24"/>
          <w:szCs w:val="24"/>
          <w:u w:val="single"/>
        </w:rPr>
        <w:t>0.5</w:t>
      </w:r>
      <w:r>
        <w:rPr>
          <w:rFonts w:hint="eastAsia" w:ascii="宋体" w:hAnsi="宋体" w:cs="宋体"/>
          <w:sz w:val="24"/>
          <w:szCs w:val="24"/>
        </w:rPr>
        <w:t>分，每低于评标参考价1%，扣</w:t>
      </w:r>
      <w:r>
        <w:rPr>
          <w:rFonts w:hint="eastAsia" w:ascii="宋体" w:hAnsi="宋体" w:cs="宋体"/>
          <w:sz w:val="24"/>
          <w:szCs w:val="24"/>
          <w:u w:val="single"/>
        </w:rPr>
        <w:t>0.4</w:t>
      </w:r>
      <w:r>
        <w:rPr>
          <w:rFonts w:hint="eastAsia" w:ascii="宋体" w:hAnsi="宋体" w:cs="宋体"/>
          <w:sz w:val="24"/>
          <w:szCs w:val="24"/>
        </w:rPr>
        <w:t>分，扣至0分为止，得出经济分，精确到小数点后两位。</w:t>
      </w:r>
    </w:p>
    <w:p w14:paraId="4B02C486">
      <w:pPr>
        <w:spacing w:line="360" w:lineRule="auto"/>
        <w:ind w:firstLine="480" w:firstLineChars="200"/>
        <w:rPr>
          <w:rFonts w:hint="eastAsia" w:ascii="宋体" w:hAnsi="宋体" w:cs="宋体"/>
          <w:sz w:val="24"/>
          <w:szCs w:val="24"/>
          <w:u w:val="single"/>
        </w:rPr>
      </w:pPr>
      <w:r>
        <w:rPr>
          <w:rFonts w:hint="eastAsia" w:ascii="宋体" w:hAnsi="宋体" w:cs="宋体"/>
          <w:sz w:val="24"/>
          <w:szCs w:val="24"/>
        </w:rPr>
        <w:t>4</w:t>
      </w:r>
      <w:r>
        <w:rPr>
          <w:rFonts w:ascii="宋体" w:hAnsi="宋体" w:cs="宋体"/>
          <w:sz w:val="24"/>
          <w:szCs w:val="24"/>
        </w:rPr>
        <w:t>5.4</w:t>
      </w:r>
      <w:r>
        <w:rPr>
          <w:rFonts w:hint="eastAsia" w:ascii="宋体" w:hAnsi="宋体" w:cs="宋体"/>
          <w:sz w:val="24"/>
          <w:szCs w:val="24"/>
          <w:u w:val="single"/>
        </w:rPr>
        <w:t>计算通过技术标有效性审查的投标人总得分。投标人总得分＝[技术得分（100分）×技术得分权重（40%）＋经济得分（100分）×经济得分权重（60%）]。总得分四舍五入保留两位小数。</w:t>
      </w:r>
    </w:p>
    <w:p w14:paraId="443A25BE">
      <w:pPr>
        <w:spacing w:line="360" w:lineRule="auto"/>
        <w:ind w:firstLine="480" w:firstLineChars="200"/>
        <w:rPr>
          <w:rFonts w:hint="eastAsia" w:ascii="宋体" w:hAnsi="宋体" w:cs="宋体"/>
          <w:sz w:val="24"/>
          <w:szCs w:val="24"/>
        </w:rPr>
      </w:pPr>
      <w:r>
        <w:rPr>
          <w:rFonts w:hint="eastAsia" w:ascii="宋体" w:hAnsi="宋体" w:cs="宋体"/>
          <w:sz w:val="24"/>
          <w:szCs w:val="24"/>
          <w:u w:val="single"/>
        </w:rPr>
        <w:t>总得分相同的投标文件，以技术得分较高的排前；总得分与技术得分均相同的投标人，投标报价低的排前；如仍存在相同情况，则对具有相同情况的投标人，由评标委员会采用投票方式，确定投标人的排序。注：记名投票方式确定排序的具体操作步骤为：由评标委员会对出现该情况的投标人采取记名投票的方式确定，按得票数高低进行排序。</w:t>
      </w:r>
    </w:p>
    <w:p w14:paraId="05C6B46E">
      <w:pPr>
        <w:spacing w:line="360" w:lineRule="auto"/>
        <w:ind w:firstLine="480" w:firstLineChars="200"/>
        <w:rPr>
          <w:rFonts w:hint="eastAsia" w:ascii="宋体" w:hAnsi="宋体" w:cs="宋体"/>
          <w:sz w:val="24"/>
          <w:szCs w:val="24"/>
        </w:rPr>
      </w:pPr>
      <w:r>
        <w:rPr>
          <w:rFonts w:hint="eastAsia" w:ascii="宋体" w:hAnsi="宋体" w:cs="宋体"/>
          <w:sz w:val="24"/>
          <w:szCs w:val="24"/>
        </w:rPr>
        <w:t>46.经济标的有效性审查</w:t>
      </w:r>
    </w:p>
    <w:p w14:paraId="3304A199">
      <w:pPr>
        <w:spacing w:line="360" w:lineRule="auto"/>
        <w:ind w:firstLine="480" w:firstLineChars="200"/>
        <w:rPr>
          <w:rFonts w:hint="eastAsia" w:ascii="宋体" w:hAnsi="宋体" w:cs="宋体"/>
          <w:sz w:val="24"/>
          <w:szCs w:val="24"/>
        </w:rPr>
      </w:pPr>
      <w:r>
        <w:rPr>
          <w:rFonts w:hint="eastAsia" w:ascii="宋体" w:hAnsi="宋体" w:cs="宋体"/>
          <w:sz w:val="24"/>
          <w:szCs w:val="24"/>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53B848EA">
      <w:pPr>
        <w:spacing w:line="360" w:lineRule="auto"/>
        <w:ind w:firstLine="480" w:firstLineChars="200"/>
        <w:rPr>
          <w:rFonts w:hint="eastAsia" w:ascii="宋体" w:hAnsi="宋体" w:cs="宋体"/>
          <w:sz w:val="24"/>
          <w:szCs w:val="24"/>
        </w:rPr>
      </w:pPr>
      <w:r>
        <w:rPr>
          <w:rFonts w:hint="eastAsia" w:ascii="宋体" w:hAnsi="宋体" w:cs="宋体"/>
          <w:sz w:val="24"/>
          <w:szCs w:val="24"/>
        </w:rPr>
        <w:t>46.2经济标的算术校核。评标委员会对进行经济标有效性审查的投标文件投标报价按照就低不就高的原则进行算术校核，具体标准如下：</w:t>
      </w:r>
    </w:p>
    <w:p w14:paraId="5FD22D25">
      <w:pPr>
        <w:spacing w:line="360" w:lineRule="auto"/>
        <w:ind w:firstLine="480" w:firstLineChars="200"/>
        <w:rPr>
          <w:rFonts w:hint="eastAsia" w:ascii="宋体" w:hAnsi="宋体" w:cs="宋体"/>
          <w:sz w:val="24"/>
          <w:szCs w:val="24"/>
        </w:rPr>
      </w:pPr>
      <w:r>
        <w:rPr>
          <w:rFonts w:hint="eastAsia" w:ascii="宋体" w:hAnsi="宋体" w:cs="宋体"/>
          <w:sz w:val="24"/>
          <w:szCs w:val="24"/>
        </w:rPr>
        <w:t>46.2.1如果数字表示的金额和用文字表示的金额不一致时，应以文字表示的金额为准；</w:t>
      </w:r>
    </w:p>
    <w:p w14:paraId="1D1AD31D">
      <w:pPr>
        <w:spacing w:line="360" w:lineRule="auto"/>
        <w:ind w:firstLine="480" w:firstLineChars="200"/>
        <w:rPr>
          <w:rFonts w:hint="eastAsia" w:ascii="宋体" w:hAnsi="宋体" w:cs="宋体"/>
          <w:sz w:val="24"/>
          <w:szCs w:val="24"/>
        </w:rPr>
      </w:pPr>
      <w:r>
        <w:rPr>
          <w:rFonts w:hint="eastAsia" w:ascii="宋体" w:hAnsi="宋体" w:cs="宋体"/>
          <w:sz w:val="24"/>
          <w:szCs w:val="24"/>
        </w:rPr>
        <w:t>46.2.2经算术复核的投标人报价与其投标报价不一致时，按就低不就高原则确定其最终报价；</w:t>
      </w:r>
    </w:p>
    <w:p w14:paraId="2921BDE1">
      <w:pPr>
        <w:spacing w:line="360" w:lineRule="auto"/>
        <w:ind w:firstLine="480" w:firstLineChars="200"/>
        <w:rPr>
          <w:rFonts w:hint="eastAsia" w:ascii="宋体" w:hAnsi="宋体" w:cs="宋体"/>
          <w:sz w:val="24"/>
          <w:szCs w:val="24"/>
        </w:rPr>
      </w:pPr>
      <w:r>
        <w:rPr>
          <w:rFonts w:hint="eastAsia" w:ascii="宋体" w:hAnsi="宋体" w:cs="宋体"/>
          <w:sz w:val="24"/>
          <w:szCs w:val="24"/>
        </w:rPr>
        <w:t>46.2.3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0E7E1903">
      <w:pPr>
        <w:spacing w:line="360" w:lineRule="auto"/>
        <w:ind w:firstLine="480" w:firstLineChars="200"/>
        <w:rPr>
          <w:rFonts w:hint="eastAsia" w:ascii="宋体" w:hAnsi="宋体" w:cs="宋体"/>
          <w:sz w:val="24"/>
          <w:szCs w:val="24"/>
        </w:rPr>
      </w:pPr>
      <w:r>
        <w:rPr>
          <w:rFonts w:hint="eastAsia" w:ascii="宋体" w:hAnsi="宋体" w:cs="宋体"/>
          <w:sz w:val="24"/>
          <w:szCs w:val="24"/>
        </w:rPr>
        <w:t>46.2.4当合价、金额累加错误时，按就低不就高原则，如果累加修正值小于原累加值，则按累加修正值；如果累加修正值大于原累加值，则按原累加值；</w:t>
      </w:r>
    </w:p>
    <w:p w14:paraId="16924B61">
      <w:pPr>
        <w:spacing w:line="360" w:lineRule="auto"/>
        <w:ind w:firstLine="480" w:firstLineChars="200"/>
        <w:rPr>
          <w:rFonts w:hint="eastAsia" w:ascii="宋体" w:hAnsi="宋体" w:cs="宋体"/>
          <w:sz w:val="24"/>
          <w:szCs w:val="24"/>
        </w:rPr>
      </w:pPr>
      <w:r>
        <w:rPr>
          <w:rFonts w:hint="eastAsia" w:ascii="宋体" w:hAnsi="宋体" w:cs="宋体"/>
          <w:sz w:val="24"/>
          <w:szCs w:val="24"/>
        </w:rPr>
        <w:t>46.2.5如果投标人的有关规费、暂列金额、暂估价、绿色施工安全防护措施费等未按招标文件规定的金额填写的，由评标委员会按照招标文件规定的金额进行修正；</w:t>
      </w:r>
    </w:p>
    <w:p w14:paraId="05628010">
      <w:pPr>
        <w:spacing w:line="360" w:lineRule="auto"/>
        <w:ind w:firstLine="480" w:firstLineChars="200"/>
        <w:rPr>
          <w:rFonts w:hint="eastAsia" w:ascii="宋体" w:hAnsi="宋体" w:cs="宋体"/>
          <w:sz w:val="24"/>
          <w:szCs w:val="24"/>
        </w:rPr>
      </w:pPr>
      <w:r>
        <w:rPr>
          <w:rFonts w:hint="eastAsia" w:ascii="宋体" w:hAnsi="宋体" w:cs="宋体"/>
          <w:sz w:val="24"/>
          <w:szCs w:val="24"/>
        </w:rPr>
        <w:t>46.2.6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2ED7A5A7">
      <w:pPr>
        <w:spacing w:line="360" w:lineRule="auto"/>
        <w:ind w:firstLine="480" w:firstLineChars="200"/>
        <w:rPr>
          <w:rFonts w:hint="eastAsia" w:ascii="宋体" w:hAnsi="宋体" w:cs="宋体"/>
          <w:sz w:val="24"/>
          <w:szCs w:val="24"/>
        </w:rPr>
      </w:pPr>
      <w:r>
        <w:rPr>
          <w:rFonts w:hint="eastAsia" w:ascii="宋体" w:hAnsi="宋体" w:cs="宋体"/>
          <w:sz w:val="24"/>
          <w:szCs w:val="24"/>
        </w:rPr>
        <w:t>46.2.7按就低不就高原则，当修正后报价小于原报价，总价按修正后报价；当修正后报价大于原报价，总价按原报价，并在签订合同时载明在结算价中扣除修正报价与原报价的差额。</w:t>
      </w:r>
    </w:p>
    <w:p w14:paraId="21FAC838">
      <w:pPr>
        <w:spacing w:line="360" w:lineRule="auto"/>
        <w:ind w:firstLine="480" w:firstLineChars="200"/>
        <w:rPr>
          <w:rFonts w:hint="eastAsia" w:ascii="宋体" w:hAnsi="宋体" w:cs="宋体"/>
          <w:sz w:val="24"/>
          <w:szCs w:val="24"/>
        </w:rPr>
      </w:pPr>
      <w:r>
        <w:rPr>
          <w:rFonts w:hint="eastAsia" w:ascii="宋体" w:hAnsi="宋体" w:cs="宋体"/>
          <w:sz w:val="24"/>
          <w:szCs w:val="24"/>
        </w:rPr>
        <w:t>46.2.8按上述修正错误的原则及方法调整或修正投标文件的投标报价，调整后的投标报价对投标人起约束作用。如果投标人不接受修正后的报价，则取消其投标资格，并且其投标保证金也将不予退还。</w:t>
      </w:r>
    </w:p>
    <w:p w14:paraId="2CDFC9F0">
      <w:pPr>
        <w:spacing w:line="360" w:lineRule="auto"/>
        <w:ind w:firstLine="480" w:firstLineChars="200"/>
        <w:rPr>
          <w:rFonts w:hint="eastAsia" w:ascii="宋体" w:hAnsi="宋体" w:cs="宋体"/>
          <w:sz w:val="24"/>
          <w:szCs w:val="24"/>
        </w:rPr>
      </w:pPr>
      <w:r>
        <w:rPr>
          <w:rFonts w:hint="eastAsia" w:ascii="宋体" w:hAnsi="宋体" w:cs="宋体"/>
          <w:sz w:val="24"/>
          <w:szCs w:val="24"/>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2052BB81">
      <w:pPr>
        <w:spacing w:line="360" w:lineRule="auto"/>
        <w:ind w:firstLine="480" w:firstLineChars="200"/>
        <w:rPr>
          <w:rFonts w:hint="eastAsia" w:ascii="宋体" w:hAnsi="宋体" w:cs="宋体"/>
          <w:sz w:val="24"/>
          <w:szCs w:val="24"/>
        </w:rPr>
      </w:pPr>
      <w:r>
        <w:rPr>
          <w:rFonts w:hint="eastAsia" w:ascii="宋体" w:hAnsi="宋体" w:cs="宋体"/>
          <w:sz w:val="24"/>
          <w:szCs w:val="24"/>
        </w:rPr>
        <w:t>48.评标委员会应在通过投标文件经济标有效性审查的投标人中，按步骤45.4确定的投标人第二阶段排序，推荐前3名依次为第一中标候选人至第三中标候选人,并编制评标报告。</w:t>
      </w:r>
    </w:p>
    <w:p w14:paraId="20F00A00">
      <w:pPr>
        <w:widowControl/>
        <w:spacing w:line="360" w:lineRule="auto"/>
        <w:ind w:firstLine="420"/>
        <w:jc w:val="left"/>
        <w:rPr>
          <w:rFonts w:hint="eastAsia" w:ascii="宋体" w:hAnsi="宋体" w:cs="宋体"/>
          <w:sz w:val="24"/>
          <w:szCs w:val="24"/>
        </w:rPr>
      </w:pPr>
      <w:r>
        <w:rPr>
          <w:rFonts w:hint="eastAsia" w:ascii="宋体" w:hAnsi="宋体" w:cs="宋体"/>
          <w:sz w:val="24"/>
          <w:szCs w:val="24"/>
        </w:rPr>
        <w:t>49.若通过经济标有效性审查的投标人不足三家，依法重新招标。</w:t>
      </w:r>
    </w:p>
    <w:p w14:paraId="33BC5614">
      <w:pPr>
        <w:widowControl/>
        <w:spacing w:line="360" w:lineRule="auto"/>
        <w:jc w:val="left"/>
        <w:rPr>
          <w:rFonts w:hint="eastAsia" w:ascii="宋体" w:hAnsi="宋体"/>
          <w:sz w:val="24"/>
          <w:szCs w:val="24"/>
        </w:rPr>
      </w:pPr>
      <w:r>
        <w:rPr>
          <w:rFonts w:ascii="宋体" w:hAnsi="宋体"/>
          <w:sz w:val="24"/>
          <w:szCs w:val="24"/>
        </w:rPr>
        <w:br w:type="page"/>
      </w:r>
    </w:p>
    <w:p w14:paraId="5B3EF9F5">
      <w:pPr>
        <w:widowControl/>
        <w:snapToGrid w:val="0"/>
        <w:spacing w:line="360" w:lineRule="auto"/>
        <w:ind w:right="102"/>
        <w:jc w:val="left"/>
        <w:rPr>
          <w:rFonts w:ascii="宋体"/>
          <w:szCs w:val="21"/>
        </w:rPr>
      </w:pPr>
      <w:r>
        <w:rPr>
          <w:rFonts w:hint="eastAsia" w:ascii="宋体" w:hAnsi="宋体"/>
          <w:szCs w:val="21"/>
        </w:rPr>
        <w:t>附表一：</w:t>
      </w:r>
    </w:p>
    <w:p w14:paraId="1A080ACA">
      <w:pPr>
        <w:jc w:val="center"/>
        <w:rPr>
          <w:b/>
          <w:sz w:val="32"/>
          <w:szCs w:val="32"/>
        </w:rPr>
      </w:pPr>
      <w:r>
        <w:rPr>
          <w:rFonts w:hint="eastAsia"/>
          <w:b/>
          <w:sz w:val="32"/>
          <w:szCs w:val="32"/>
        </w:rPr>
        <w:t>资格审查表</w:t>
      </w:r>
    </w:p>
    <w:p w14:paraId="4192B89B">
      <w:pPr>
        <w:spacing w:line="480" w:lineRule="auto"/>
        <w:rPr>
          <w:sz w:val="24"/>
          <w:szCs w:val="24"/>
        </w:rPr>
      </w:pPr>
      <w:r>
        <w:rPr>
          <w:rFonts w:hint="eastAsia"/>
          <w:sz w:val="24"/>
          <w:szCs w:val="24"/>
        </w:rPr>
        <w:t>工程名称：</w:t>
      </w:r>
    </w:p>
    <w:p w14:paraId="34C0E841">
      <w:pPr>
        <w:spacing w:line="480" w:lineRule="auto"/>
        <w:rPr>
          <w:sz w:val="24"/>
          <w:szCs w:val="24"/>
        </w:rPr>
      </w:pPr>
      <w:r>
        <w:rPr>
          <w:rFonts w:hint="eastAsia"/>
          <w:sz w:val="24"/>
          <w:szCs w:val="24"/>
        </w:rPr>
        <w:t>投标人名称：</w:t>
      </w:r>
    </w:p>
    <w:tbl>
      <w:tblPr>
        <w:tblStyle w:val="52"/>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960"/>
        <w:gridCol w:w="4041"/>
        <w:gridCol w:w="720"/>
      </w:tblGrid>
      <w:tr w14:paraId="5470E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14:paraId="679AC633">
            <w:pPr>
              <w:spacing w:before="120" w:after="60"/>
              <w:jc w:val="center"/>
              <w:rPr>
                <w:rFonts w:hint="eastAsia" w:ascii="宋体" w:hAnsi="宋体"/>
                <w:b/>
                <w:szCs w:val="21"/>
              </w:rPr>
            </w:pPr>
            <w:r>
              <w:rPr>
                <w:rFonts w:hint="eastAsia" w:ascii="宋体" w:hAnsi="宋体"/>
                <w:b/>
                <w:szCs w:val="21"/>
              </w:rPr>
              <w:t>序号</w:t>
            </w:r>
          </w:p>
        </w:tc>
        <w:tc>
          <w:tcPr>
            <w:tcW w:w="3960" w:type="dxa"/>
            <w:tcBorders>
              <w:top w:val="single" w:color="auto" w:sz="4" w:space="0"/>
              <w:left w:val="single" w:color="auto" w:sz="4" w:space="0"/>
              <w:bottom w:val="single" w:color="auto" w:sz="4" w:space="0"/>
              <w:right w:val="single" w:color="auto" w:sz="4" w:space="0"/>
            </w:tcBorders>
            <w:vAlign w:val="center"/>
          </w:tcPr>
          <w:p w14:paraId="37B28265">
            <w:pPr>
              <w:spacing w:before="120" w:after="60"/>
              <w:jc w:val="center"/>
              <w:rPr>
                <w:rFonts w:hint="eastAsia" w:ascii="宋体" w:hAnsi="宋体"/>
                <w:b/>
                <w:szCs w:val="21"/>
              </w:rPr>
            </w:pPr>
            <w:r>
              <w:rPr>
                <w:rFonts w:hint="eastAsia" w:ascii="宋体" w:hAnsi="宋体"/>
                <w:b/>
                <w:szCs w:val="21"/>
              </w:rPr>
              <w:t>审查项目</w:t>
            </w:r>
          </w:p>
        </w:tc>
        <w:tc>
          <w:tcPr>
            <w:tcW w:w="4041" w:type="dxa"/>
            <w:tcBorders>
              <w:top w:val="single" w:color="auto" w:sz="4" w:space="0"/>
              <w:left w:val="single" w:color="auto" w:sz="4" w:space="0"/>
              <w:bottom w:val="single" w:color="auto" w:sz="4" w:space="0"/>
              <w:right w:val="single" w:color="auto" w:sz="4" w:space="0"/>
            </w:tcBorders>
            <w:vAlign w:val="center"/>
          </w:tcPr>
          <w:p w14:paraId="56413DCC">
            <w:pPr>
              <w:spacing w:before="120" w:after="60"/>
              <w:jc w:val="center"/>
              <w:rPr>
                <w:rFonts w:hint="eastAsia" w:ascii="宋体" w:hAnsi="宋体"/>
                <w:b/>
                <w:szCs w:val="21"/>
              </w:rPr>
            </w:pPr>
            <w:r>
              <w:rPr>
                <w:rFonts w:hint="eastAsia" w:ascii="宋体" w:hAnsi="宋体"/>
                <w:b/>
                <w:szCs w:val="21"/>
              </w:rPr>
              <w:t>须审查的资料</w:t>
            </w:r>
          </w:p>
        </w:tc>
        <w:tc>
          <w:tcPr>
            <w:tcW w:w="720" w:type="dxa"/>
            <w:tcBorders>
              <w:top w:val="single" w:color="auto" w:sz="4" w:space="0"/>
              <w:left w:val="single" w:color="auto" w:sz="4" w:space="0"/>
              <w:bottom w:val="single" w:color="auto" w:sz="4" w:space="0"/>
              <w:right w:val="single" w:color="auto" w:sz="4" w:space="0"/>
            </w:tcBorders>
            <w:vAlign w:val="center"/>
          </w:tcPr>
          <w:p w14:paraId="1FECA489">
            <w:pPr>
              <w:spacing w:before="120" w:after="60"/>
              <w:jc w:val="center"/>
              <w:rPr>
                <w:rFonts w:hint="eastAsia" w:ascii="宋体" w:hAnsi="宋体"/>
                <w:b/>
                <w:szCs w:val="21"/>
              </w:rPr>
            </w:pPr>
            <w:r>
              <w:rPr>
                <w:rFonts w:hint="eastAsia" w:ascii="宋体" w:hAnsi="宋体"/>
                <w:b/>
                <w:szCs w:val="21"/>
              </w:rPr>
              <w:t>审查结果</w:t>
            </w:r>
          </w:p>
        </w:tc>
      </w:tr>
      <w:tr w14:paraId="0A0E2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14:paraId="0A0FEFEE">
            <w:pPr>
              <w:spacing w:before="120" w:after="60"/>
              <w:jc w:val="center"/>
              <w:rPr>
                <w:rFonts w:hint="eastAsia" w:ascii="宋体" w:hAnsi="宋体"/>
                <w:szCs w:val="21"/>
              </w:rPr>
            </w:pPr>
            <w:r>
              <w:rPr>
                <w:rFonts w:ascii="宋体" w:hAnsi="宋体"/>
                <w:szCs w:val="21"/>
              </w:rPr>
              <w:t>1</w:t>
            </w:r>
          </w:p>
        </w:tc>
        <w:tc>
          <w:tcPr>
            <w:tcW w:w="3960" w:type="dxa"/>
            <w:tcBorders>
              <w:top w:val="single" w:color="auto" w:sz="4" w:space="0"/>
              <w:left w:val="single" w:color="auto" w:sz="4" w:space="0"/>
              <w:bottom w:val="single" w:color="auto" w:sz="4" w:space="0"/>
              <w:right w:val="single" w:color="auto" w:sz="4" w:space="0"/>
            </w:tcBorders>
            <w:vAlign w:val="center"/>
          </w:tcPr>
          <w:p w14:paraId="20742686">
            <w:pPr>
              <w:spacing w:before="120" w:after="60"/>
              <w:jc w:val="left"/>
              <w:rPr>
                <w:rFonts w:hint="eastAsia" w:ascii="宋体" w:hAnsi="宋体"/>
                <w:szCs w:val="21"/>
              </w:rPr>
            </w:pPr>
            <w:r>
              <w:rPr>
                <w:rFonts w:hint="eastAsia" w:ascii="宋体" w:hAnsi="宋体"/>
                <w:szCs w:val="21"/>
              </w:rPr>
              <w:t>投标人参加投标的意思表达清楚，投标人代表被授权有效。</w:t>
            </w:r>
          </w:p>
        </w:tc>
        <w:tc>
          <w:tcPr>
            <w:tcW w:w="4041" w:type="dxa"/>
            <w:tcBorders>
              <w:top w:val="single" w:color="auto" w:sz="4" w:space="0"/>
              <w:left w:val="single" w:color="auto" w:sz="4" w:space="0"/>
              <w:bottom w:val="single" w:color="auto" w:sz="4" w:space="0"/>
              <w:right w:val="single" w:color="auto" w:sz="4" w:space="0"/>
            </w:tcBorders>
            <w:vAlign w:val="center"/>
          </w:tcPr>
          <w:p w14:paraId="22F6AAD6">
            <w:pPr>
              <w:spacing w:before="120" w:after="60"/>
              <w:jc w:val="center"/>
              <w:rPr>
                <w:rFonts w:hint="eastAsia" w:ascii="宋体" w:hAnsi="宋体" w:cs="宋体"/>
                <w:szCs w:val="21"/>
              </w:rPr>
            </w:pPr>
            <w:r>
              <w:rPr>
                <w:rFonts w:hint="eastAsia" w:ascii="宋体" w:hAnsi="宋体" w:cs="宋体"/>
                <w:szCs w:val="21"/>
              </w:rPr>
              <w:t>投标人声明、法定代表人证明书；委托投标的还应提供法人授权委托证明书</w:t>
            </w:r>
          </w:p>
        </w:tc>
        <w:tc>
          <w:tcPr>
            <w:tcW w:w="720" w:type="dxa"/>
            <w:tcBorders>
              <w:top w:val="single" w:color="auto" w:sz="4" w:space="0"/>
              <w:left w:val="single" w:color="auto" w:sz="4" w:space="0"/>
              <w:bottom w:val="single" w:color="auto" w:sz="4" w:space="0"/>
              <w:right w:val="single" w:color="auto" w:sz="4" w:space="0"/>
            </w:tcBorders>
            <w:vAlign w:val="center"/>
          </w:tcPr>
          <w:p w14:paraId="6C04AA82">
            <w:pPr>
              <w:spacing w:before="120" w:after="60"/>
              <w:jc w:val="center"/>
              <w:rPr>
                <w:rFonts w:hint="eastAsia" w:ascii="宋体" w:hAnsi="宋体"/>
                <w:szCs w:val="21"/>
              </w:rPr>
            </w:pPr>
          </w:p>
        </w:tc>
      </w:tr>
      <w:tr w14:paraId="40081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14:paraId="5B8BE26B">
            <w:pPr>
              <w:spacing w:before="120" w:after="60"/>
              <w:jc w:val="center"/>
              <w:rPr>
                <w:rFonts w:hint="eastAsia" w:ascii="宋体" w:hAnsi="宋体"/>
                <w:szCs w:val="21"/>
              </w:rPr>
            </w:pPr>
            <w:r>
              <w:rPr>
                <w:rFonts w:ascii="宋体" w:hAnsi="宋体"/>
                <w:szCs w:val="21"/>
              </w:rPr>
              <w:t>2</w:t>
            </w:r>
          </w:p>
        </w:tc>
        <w:tc>
          <w:tcPr>
            <w:tcW w:w="3960" w:type="dxa"/>
            <w:tcBorders>
              <w:top w:val="single" w:color="auto" w:sz="4" w:space="0"/>
              <w:left w:val="single" w:color="auto" w:sz="4" w:space="0"/>
              <w:bottom w:val="single" w:color="auto" w:sz="4" w:space="0"/>
              <w:right w:val="single" w:color="auto" w:sz="4" w:space="0"/>
            </w:tcBorders>
            <w:vAlign w:val="center"/>
          </w:tcPr>
          <w:p w14:paraId="207A0F12">
            <w:pPr>
              <w:spacing w:before="120" w:after="60"/>
              <w:jc w:val="left"/>
              <w:rPr>
                <w:rFonts w:hint="eastAsia" w:ascii="宋体" w:hAnsi="宋体"/>
                <w:szCs w:val="21"/>
              </w:rPr>
            </w:pPr>
            <w:r>
              <w:rPr>
                <w:rFonts w:hint="eastAsia" w:ascii="宋体" w:hAnsi="宋体"/>
                <w:szCs w:val="21"/>
              </w:rPr>
              <w:t>投标人均具有独立法人资格，按国家法律经营。</w:t>
            </w:r>
          </w:p>
        </w:tc>
        <w:tc>
          <w:tcPr>
            <w:tcW w:w="4041" w:type="dxa"/>
            <w:tcBorders>
              <w:top w:val="single" w:color="auto" w:sz="4" w:space="0"/>
              <w:left w:val="single" w:color="auto" w:sz="4" w:space="0"/>
              <w:bottom w:val="single" w:color="auto" w:sz="4" w:space="0"/>
              <w:right w:val="single" w:color="auto" w:sz="4" w:space="0"/>
            </w:tcBorders>
            <w:vAlign w:val="center"/>
          </w:tcPr>
          <w:p w14:paraId="05A0E41C">
            <w:pPr>
              <w:spacing w:before="120" w:after="60"/>
              <w:jc w:val="center"/>
              <w:rPr>
                <w:rFonts w:hint="eastAsia" w:ascii="宋体" w:hAnsi="宋体" w:cs="宋体"/>
                <w:szCs w:val="21"/>
              </w:rPr>
            </w:pPr>
            <w:r>
              <w:rPr>
                <w:rFonts w:hint="eastAsia" w:ascii="宋体" w:hAnsi="宋体" w:cs="宋体"/>
                <w:b/>
                <w:bCs/>
                <w:color w:val="000000"/>
                <w:kern w:val="0"/>
                <w:sz w:val="22"/>
              </w:rPr>
              <w:t>营业执照扫描件或电子证照</w:t>
            </w:r>
          </w:p>
        </w:tc>
        <w:tc>
          <w:tcPr>
            <w:tcW w:w="720" w:type="dxa"/>
            <w:tcBorders>
              <w:top w:val="single" w:color="auto" w:sz="4" w:space="0"/>
              <w:left w:val="single" w:color="auto" w:sz="4" w:space="0"/>
              <w:bottom w:val="single" w:color="auto" w:sz="4" w:space="0"/>
              <w:right w:val="single" w:color="auto" w:sz="4" w:space="0"/>
            </w:tcBorders>
            <w:vAlign w:val="center"/>
          </w:tcPr>
          <w:p w14:paraId="085BACFD">
            <w:pPr>
              <w:spacing w:before="120" w:after="60"/>
              <w:jc w:val="center"/>
              <w:rPr>
                <w:rFonts w:hint="eastAsia" w:ascii="宋体" w:hAnsi="宋体"/>
                <w:szCs w:val="21"/>
              </w:rPr>
            </w:pPr>
          </w:p>
        </w:tc>
      </w:tr>
      <w:tr w14:paraId="7E2A2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14:paraId="1246F6B1">
            <w:pPr>
              <w:spacing w:before="120" w:after="60"/>
              <w:jc w:val="center"/>
              <w:rPr>
                <w:rFonts w:hint="eastAsia" w:ascii="宋体" w:hAnsi="宋体"/>
                <w:szCs w:val="21"/>
              </w:rPr>
            </w:pPr>
            <w:r>
              <w:rPr>
                <w:rFonts w:ascii="宋体" w:hAnsi="宋体"/>
                <w:szCs w:val="21"/>
              </w:rPr>
              <w:t>3</w:t>
            </w:r>
          </w:p>
        </w:tc>
        <w:tc>
          <w:tcPr>
            <w:tcW w:w="3960" w:type="dxa"/>
            <w:tcBorders>
              <w:top w:val="single" w:color="auto" w:sz="4" w:space="0"/>
              <w:left w:val="single" w:color="auto" w:sz="4" w:space="0"/>
              <w:bottom w:val="single" w:color="auto" w:sz="4" w:space="0"/>
              <w:right w:val="single" w:color="auto" w:sz="4" w:space="0"/>
            </w:tcBorders>
            <w:vAlign w:val="center"/>
          </w:tcPr>
          <w:p w14:paraId="47729993">
            <w:pPr>
              <w:spacing w:before="120" w:after="60"/>
              <w:jc w:val="left"/>
              <w:rPr>
                <w:rFonts w:hint="eastAsia" w:ascii="宋体" w:hAnsi="宋体"/>
                <w:szCs w:val="21"/>
              </w:rPr>
            </w:pPr>
            <w:r>
              <w:rPr>
                <w:rFonts w:hint="eastAsia" w:ascii="宋体" w:hAnsi="宋体"/>
                <w:szCs w:val="21"/>
              </w:rPr>
              <w:t>投标人均持有建设行政主管部门颁发的企业资质证书及安全生产许可证；投标人资质符合公告要求。</w:t>
            </w:r>
          </w:p>
        </w:tc>
        <w:tc>
          <w:tcPr>
            <w:tcW w:w="4041" w:type="dxa"/>
            <w:tcBorders>
              <w:top w:val="single" w:color="auto" w:sz="4" w:space="0"/>
              <w:left w:val="single" w:color="auto" w:sz="4" w:space="0"/>
              <w:bottom w:val="single" w:color="auto" w:sz="4" w:space="0"/>
              <w:right w:val="single" w:color="auto" w:sz="4" w:space="0"/>
            </w:tcBorders>
            <w:vAlign w:val="center"/>
          </w:tcPr>
          <w:p w14:paraId="127A7BDD">
            <w:pPr>
              <w:spacing w:before="120" w:after="60"/>
              <w:jc w:val="center"/>
              <w:rPr>
                <w:rFonts w:hint="eastAsia" w:ascii="宋体" w:hAnsi="宋体" w:cs="宋体"/>
                <w:szCs w:val="21"/>
              </w:rPr>
            </w:pPr>
            <w:r>
              <w:rPr>
                <w:rFonts w:hint="eastAsia" w:ascii="宋体" w:hAnsi="宋体" w:cs="宋体"/>
                <w:b/>
                <w:bCs/>
                <w:color w:val="000000"/>
                <w:kern w:val="0"/>
                <w:sz w:val="22"/>
              </w:rPr>
              <w:t>资质证书扫描件或电子证照、安全生产许可证扫描件或电子证照</w:t>
            </w:r>
          </w:p>
        </w:tc>
        <w:tc>
          <w:tcPr>
            <w:tcW w:w="720" w:type="dxa"/>
            <w:tcBorders>
              <w:top w:val="single" w:color="auto" w:sz="4" w:space="0"/>
              <w:left w:val="single" w:color="auto" w:sz="4" w:space="0"/>
              <w:bottom w:val="single" w:color="auto" w:sz="4" w:space="0"/>
              <w:right w:val="single" w:color="auto" w:sz="4" w:space="0"/>
            </w:tcBorders>
            <w:vAlign w:val="center"/>
          </w:tcPr>
          <w:p w14:paraId="7FEE907E">
            <w:pPr>
              <w:spacing w:before="120" w:after="60"/>
              <w:jc w:val="center"/>
              <w:rPr>
                <w:rFonts w:hint="eastAsia" w:ascii="宋体" w:hAnsi="宋体"/>
                <w:szCs w:val="21"/>
              </w:rPr>
            </w:pPr>
          </w:p>
        </w:tc>
      </w:tr>
      <w:tr w14:paraId="365CF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14:paraId="33677A05">
            <w:pPr>
              <w:spacing w:before="120" w:after="60"/>
              <w:jc w:val="center"/>
              <w:rPr>
                <w:rFonts w:hint="eastAsia" w:ascii="宋体" w:hAnsi="宋体"/>
                <w:szCs w:val="21"/>
              </w:rPr>
            </w:pPr>
            <w:r>
              <w:rPr>
                <w:rFonts w:ascii="宋体" w:hAnsi="宋体"/>
                <w:szCs w:val="21"/>
              </w:rPr>
              <w:t>4</w:t>
            </w:r>
          </w:p>
        </w:tc>
        <w:tc>
          <w:tcPr>
            <w:tcW w:w="3960" w:type="dxa"/>
            <w:tcBorders>
              <w:top w:val="single" w:color="auto" w:sz="4" w:space="0"/>
              <w:left w:val="single" w:color="auto" w:sz="4" w:space="0"/>
              <w:bottom w:val="single" w:color="auto" w:sz="4" w:space="0"/>
              <w:right w:val="single" w:color="auto" w:sz="4" w:space="0"/>
            </w:tcBorders>
            <w:vAlign w:val="center"/>
          </w:tcPr>
          <w:p w14:paraId="23C0E211">
            <w:pPr>
              <w:spacing w:before="120" w:after="60"/>
              <w:jc w:val="left"/>
              <w:rPr>
                <w:rFonts w:hint="eastAsia" w:ascii="宋体" w:hAnsi="宋体"/>
                <w:szCs w:val="21"/>
              </w:rPr>
            </w:pPr>
            <w:r>
              <w:rPr>
                <w:rFonts w:hint="eastAsia" w:ascii="宋体" w:hAnsi="宋体"/>
                <w:szCs w:val="21"/>
              </w:rPr>
              <w:t>投标人拟担任本工程的项目负责人符合公告要求</w:t>
            </w:r>
          </w:p>
        </w:tc>
        <w:tc>
          <w:tcPr>
            <w:tcW w:w="4041" w:type="dxa"/>
            <w:tcBorders>
              <w:top w:val="single" w:color="auto" w:sz="4" w:space="0"/>
              <w:left w:val="single" w:color="auto" w:sz="4" w:space="0"/>
              <w:bottom w:val="single" w:color="auto" w:sz="4" w:space="0"/>
              <w:right w:val="single" w:color="auto" w:sz="4" w:space="0"/>
            </w:tcBorders>
            <w:vAlign w:val="center"/>
          </w:tcPr>
          <w:p w14:paraId="39AD6E42">
            <w:pPr>
              <w:spacing w:before="120" w:after="60"/>
              <w:jc w:val="center"/>
              <w:rPr>
                <w:rFonts w:hint="eastAsia" w:ascii="宋体" w:hAnsi="宋体" w:cs="宋体"/>
                <w:szCs w:val="21"/>
              </w:rPr>
            </w:pPr>
            <w:r>
              <w:rPr>
                <w:rFonts w:hint="eastAsia" w:ascii="宋体" w:hAnsi="宋体" w:cs="宋体"/>
                <w:color w:val="000000"/>
                <w:kern w:val="0"/>
                <w:sz w:val="22"/>
              </w:rPr>
              <w:t>有效期内的建造师注册证书扫描件或电子证书（注：打印建造师电子证书后，在个人签名处手写本人签名再扫描提交。）</w:t>
            </w:r>
          </w:p>
        </w:tc>
        <w:tc>
          <w:tcPr>
            <w:tcW w:w="720" w:type="dxa"/>
            <w:tcBorders>
              <w:top w:val="single" w:color="auto" w:sz="4" w:space="0"/>
              <w:left w:val="single" w:color="auto" w:sz="4" w:space="0"/>
              <w:bottom w:val="single" w:color="auto" w:sz="4" w:space="0"/>
              <w:right w:val="single" w:color="auto" w:sz="4" w:space="0"/>
            </w:tcBorders>
            <w:vAlign w:val="center"/>
          </w:tcPr>
          <w:p w14:paraId="4D6BA9C6">
            <w:pPr>
              <w:spacing w:before="120" w:after="60"/>
              <w:jc w:val="center"/>
              <w:rPr>
                <w:rFonts w:hint="eastAsia" w:ascii="宋体" w:hAnsi="宋体"/>
                <w:szCs w:val="21"/>
              </w:rPr>
            </w:pPr>
          </w:p>
        </w:tc>
      </w:tr>
      <w:tr w14:paraId="4829D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14:paraId="28399BA0">
            <w:pPr>
              <w:spacing w:before="120" w:after="60"/>
              <w:jc w:val="center"/>
              <w:rPr>
                <w:rFonts w:hint="eastAsia" w:ascii="宋体" w:hAnsi="宋体"/>
                <w:szCs w:val="21"/>
              </w:rPr>
            </w:pPr>
            <w:r>
              <w:rPr>
                <w:rFonts w:ascii="宋体" w:hAnsi="宋体"/>
                <w:szCs w:val="21"/>
              </w:rPr>
              <w:t>5</w:t>
            </w:r>
          </w:p>
        </w:tc>
        <w:tc>
          <w:tcPr>
            <w:tcW w:w="3960" w:type="dxa"/>
            <w:tcBorders>
              <w:top w:val="single" w:color="auto" w:sz="4" w:space="0"/>
              <w:left w:val="single" w:color="auto" w:sz="4" w:space="0"/>
              <w:bottom w:val="single" w:color="auto" w:sz="4" w:space="0"/>
              <w:right w:val="single" w:color="auto" w:sz="4" w:space="0"/>
            </w:tcBorders>
            <w:vAlign w:val="center"/>
          </w:tcPr>
          <w:p w14:paraId="45140B83">
            <w:pPr>
              <w:spacing w:before="120" w:after="60"/>
              <w:jc w:val="left"/>
              <w:rPr>
                <w:rFonts w:hint="eastAsia" w:ascii="宋体" w:hAnsi="宋体"/>
                <w:szCs w:val="21"/>
              </w:rPr>
            </w:pPr>
            <w:r>
              <w:rPr>
                <w:rFonts w:hint="eastAsia" w:ascii="宋体" w:hAnsi="宋体"/>
                <w:bCs/>
                <w:szCs w:val="21"/>
              </w:rPr>
              <w:t>持有项目负责人安全培训考核合格证（</w:t>
            </w:r>
            <w:r>
              <w:rPr>
                <w:rFonts w:ascii="宋体" w:hAnsi="宋体"/>
                <w:bCs/>
                <w:szCs w:val="21"/>
              </w:rPr>
              <w:t>B类）或</w:t>
            </w:r>
            <w:r>
              <w:rPr>
                <w:rFonts w:hint="eastAsia" w:ascii="宋体" w:hAnsi="宋体"/>
                <w:b/>
                <w:szCs w:val="21"/>
              </w:rPr>
              <w:t>建筑施工企业项目负责人安全生产考核合格证</w:t>
            </w:r>
          </w:p>
        </w:tc>
        <w:tc>
          <w:tcPr>
            <w:tcW w:w="4041" w:type="dxa"/>
            <w:tcBorders>
              <w:top w:val="single" w:color="auto" w:sz="4" w:space="0"/>
              <w:left w:val="single" w:color="auto" w:sz="4" w:space="0"/>
              <w:bottom w:val="single" w:color="auto" w:sz="4" w:space="0"/>
              <w:right w:val="single" w:color="auto" w:sz="4" w:space="0"/>
            </w:tcBorders>
            <w:vAlign w:val="center"/>
          </w:tcPr>
          <w:p w14:paraId="2D0A77E2">
            <w:pPr>
              <w:spacing w:before="120" w:after="60"/>
              <w:jc w:val="center"/>
              <w:rPr>
                <w:rFonts w:hint="eastAsia" w:ascii="宋体" w:hAnsi="宋体" w:cs="宋体"/>
                <w:szCs w:val="21"/>
              </w:rPr>
            </w:pPr>
            <w:r>
              <w:rPr>
                <w:rFonts w:hint="eastAsia" w:ascii="宋体" w:hAnsi="宋体" w:cs="宋体"/>
                <w:color w:val="000000"/>
                <w:kern w:val="0"/>
                <w:sz w:val="22"/>
              </w:rPr>
              <w:t>项目负责人安全生产考核合格证（B类）或建筑施工企业项目负责人安全生产考核合格证证书</w:t>
            </w:r>
            <w:r>
              <w:rPr>
                <w:rFonts w:hint="eastAsia" w:ascii="宋体" w:hAnsi="宋体" w:cs="宋体"/>
                <w:b/>
                <w:bCs/>
                <w:color w:val="000000"/>
                <w:kern w:val="0"/>
                <w:sz w:val="22"/>
              </w:rPr>
              <w:t>扫描件或电子证书</w:t>
            </w:r>
          </w:p>
        </w:tc>
        <w:tc>
          <w:tcPr>
            <w:tcW w:w="720" w:type="dxa"/>
            <w:tcBorders>
              <w:top w:val="single" w:color="auto" w:sz="4" w:space="0"/>
              <w:left w:val="single" w:color="auto" w:sz="4" w:space="0"/>
              <w:bottom w:val="single" w:color="auto" w:sz="4" w:space="0"/>
              <w:right w:val="single" w:color="auto" w:sz="4" w:space="0"/>
            </w:tcBorders>
            <w:vAlign w:val="center"/>
          </w:tcPr>
          <w:p w14:paraId="05A5E409">
            <w:pPr>
              <w:spacing w:before="120" w:after="60"/>
              <w:jc w:val="center"/>
              <w:rPr>
                <w:rFonts w:hint="eastAsia" w:ascii="宋体" w:hAnsi="宋体"/>
                <w:szCs w:val="21"/>
              </w:rPr>
            </w:pPr>
          </w:p>
        </w:tc>
      </w:tr>
      <w:tr w14:paraId="247F3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14:paraId="078EE8DC">
            <w:pPr>
              <w:spacing w:before="120" w:after="60"/>
              <w:jc w:val="center"/>
              <w:rPr>
                <w:rFonts w:hint="eastAsia" w:ascii="宋体" w:hAnsi="宋体"/>
                <w:szCs w:val="21"/>
              </w:rPr>
            </w:pPr>
            <w:r>
              <w:rPr>
                <w:rFonts w:hint="eastAsia" w:ascii="宋体" w:hAnsi="宋体"/>
                <w:szCs w:val="21"/>
              </w:rPr>
              <w:t>6</w:t>
            </w:r>
          </w:p>
        </w:tc>
        <w:tc>
          <w:tcPr>
            <w:tcW w:w="3960" w:type="dxa"/>
            <w:tcBorders>
              <w:top w:val="single" w:color="auto" w:sz="4" w:space="0"/>
              <w:left w:val="single" w:color="auto" w:sz="4" w:space="0"/>
              <w:bottom w:val="single" w:color="auto" w:sz="4" w:space="0"/>
              <w:right w:val="single" w:color="auto" w:sz="4" w:space="0"/>
            </w:tcBorders>
            <w:vAlign w:val="center"/>
          </w:tcPr>
          <w:p w14:paraId="1087E9F6">
            <w:pPr>
              <w:spacing w:before="120" w:after="60"/>
              <w:jc w:val="left"/>
              <w:rPr>
                <w:rFonts w:hint="eastAsia" w:ascii="宋体" w:hAnsi="宋体"/>
                <w:szCs w:val="21"/>
              </w:rPr>
            </w:pPr>
            <w:r>
              <w:rPr>
                <w:rFonts w:hint="eastAsia" w:ascii="宋体" w:hAnsi="宋体"/>
                <w:szCs w:val="21"/>
              </w:rPr>
              <w:t>投标人拟担任本工程技术负责人符合公告要求</w:t>
            </w:r>
          </w:p>
        </w:tc>
        <w:tc>
          <w:tcPr>
            <w:tcW w:w="4041" w:type="dxa"/>
            <w:tcBorders>
              <w:top w:val="single" w:color="auto" w:sz="4" w:space="0"/>
              <w:left w:val="single" w:color="auto" w:sz="4" w:space="0"/>
              <w:bottom w:val="single" w:color="auto" w:sz="4" w:space="0"/>
              <w:right w:val="single" w:color="auto" w:sz="4" w:space="0"/>
            </w:tcBorders>
            <w:vAlign w:val="center"/>
          </w:tcPr>
          <w:p w14:paraId="49273205">
            <w:pPr>
              <w:spacing w:before="120" w:after="60"/>
              <w:jc w:val="center"/>
              <w:rPr>
                <w:rFonts w:hint="eastAsia" w:ascii="宋体" w:hAnsi="宋体" w:cs="宋体"/>
                <w:szCs w:val="21"/>
              </w:rPr>
            </w:pPr>
            <w:r>
              <w:rPr>
                <w:rFonts w:hint="eastAsia" w:ascii="宋体" w:hAnsi="宋体" w:cs="宋体"/>
                <w:szCs w:val="21"/>
              </w:rPr>
              <w:t>拟委派技术负责人的职称证</w:t>
            </w:r>
          </w:p>
        </w:tc>
        <w:tc>
          <w:tcPr>
            <w:tcW w:w="720" w:type="dxa"/>
            <w:tcBorders>
              <w:top w:val="single" w:color="auto" w:sz="4" w:space="0"/>
              <w:left w:val="single" w:color="auto" w:sz="4" w:space="0"/>
              <w:bottom w:val="single" w:color="auto" w:sz="4" w:space="0"/>
              <w:right w:val="single" w:color="auto" w:sz="4" w:space="0"/>
            </w:tcBorders>
            <w:vAlign w:val="center"/>
          </w:tcPr>
          <w:p w14:paraId="7FB6D7BC">
            <w:pPr>
              <w:spacing w:before="120" w:after="60"/>
              <w:jc w:val="center"/>
              <w:rPr>
                <w:rFonts w:hint="eastAsia" w:ascii="宋体" w:hAnsi="宋体"/>
                <w:szCs w:val="21"/>
              </w:rPr>
            </w:pPr>
          </w:p>
        </w:tc>
      </w:tr>
      <w:tr w14:paraId="10E77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14:paraId="3ED60EA1">
            <w:pPr>
              <w:spacing w:before="120" w:after="60"/>
              <w:jc w:val="center"/>
              <w:rPr>
                <w:rFonts w:hint="eastAsia" w:ascii="宋体" w:hAnsi="宋体"/>
                <w:szCs w:val="21"/>
              </w:rPr>
            </w:pPr>
            <w:r>
              <w:rPr>
                <w:rFonts w:hint="eastAsia" w:ascii="宋体" w:hAnsi="宋体"/>
                <w:szCs w:val="21"/>
              </w:rPr>
              <w:t>7</w:t>
            </w:r>
          </w:p>
        </w:tc>
        <w:tc>
          <w:tcPr>
            <w:tcW w:w="3960" w:type="dxa"/>
            <w:tcBorders>
              <w:top w:val="single" w:color="auto" w:sz="4" w:space="0"/>
              <w:left w:val="single" w:color="auto" w:sz="4" w:space="0"/>
              <w:bottom w:val="single" w:color="auto" w:sz="4" w:space="0"/>
              <w:right w:val="single" w:color="auto" w:sz="4" w:space="0"/>
            </w:tcBorders>
            <w:vAlign w:val="center"/>
          </w:tcPr>
          <w:p w14:paraId="34FC03F7">
            <w:pPr>
              <w:spacing w:before="120" w:after="60"/>
              <w:jc w:val="left"/>
              <w:rPr>
                <w:rFonts w:hint="eastAsia" w:ascii="宋体" w:hAnsi="宋体"/>
                <w:szCs w:val="21"/>
              </w:rPr>
            </w:pPr>
            <w:r>
              <w:rPr>
                <w:rFonts w:hint="eastAsia" w:ascii="宋体" w:hAnsi="宋体"/>
                <w:kern w:val="0"/>
                <w:szCs w:val="21"/>
              </w:rPr>
              <w:t>专职安全员须具有安全生产考核合格证（C类）或</w:t>
            </w:r>
            <w:r>
              <w:rPr>
                <w:rFonts w:hint="eastAsia" w:ascii="宋体" w:hAnsi="宋体"/>
                <w:b/>
                <w:bCs/>
                <w:kern w:val="0"/>
                <w:szCs w:val="21"/>
              </w:rPr>
              <w:t>建筑施工企业专职安全生产管理人员安全生产考核合格证（C3类）</w:t>
            </w:r>
          </w:p>
        </w:tc>
        <w:tc>
          <w:tcPr>
            <w:tcW w:w="4041" w:type="dxa"/>
            <w:tcBorders>
              <w:top w:val="single" w:color="auto" w:sz="4" w:space="0"/>
              <w:left w:val="single" w:color="auto" w:sz="4" w:space="0"/>
              <w:bottom w:val="single" w:color="auto" w:sz="4" w:space="0"/>
              <w:right w:val="single" w:color="auto" w:sz="4" w:space="0"/>
            </w:tcBorders>
            <w:vAlign w:val="center"/>
          </w:tcPr>
          <w:p w14:paraId="4330ED87">
            <w:pPr>
              <w:spacing w:before="120" w:after="60"/>
              <w:jc w:val="center"/>
              <w:rPr>
                <w:rFonts w:hint="eastAsia" w:ascii="宋体" w:hAnsi="宋体" w:cs="宋体"/>
                <w:szCs w:val="21"/>
              </w:rPr>
            </w:pPr>
            <w:r>
              <w:rPr>
                <w:rFonts w:hint="eastAsia" w:ascii="宋体" w:hAnsi="宋体" w:cs="宋体"/>
                <w:color w:val="000000"/>
                <w:kern w:val="0"/>
                <w:sz w:val="22"/>
              </w:rPr>
              <w:t>专职安全员的安全生产考核合格证（C类）或建筑施工企业专职安全生产管理人员安全生产考核合格证证书</w:t>
            </w:r>
            <w:r>
              <w:rPr>
                <w:rFonts w:hint="eastAsia" w:ascii="宋体" w:hAnsi="宋体" w:cs="宋体"/>
                <w:b/>
                <w:bCs/>
                <w:color w:val="000000"/>
                <w:kern w:val="0"/>
                <w:sz w:val="22"/>
              </w:rPr>
              <w:t>扫描件或电子证书</w:t>
            </w:r>
          </w:p>
        </w:tc>
        <w:tc>
          <w:tcPr>
            <w:tcW w:w="720" w:type="dxa"/>
            <w:tcBorders>
              <w:top w:val="single" w:color="auto" w:sz="4" w:space="0"/>
              <w:left w:val="single" w:color="auto" w:sz="4" w:space="0"/>
              <w:bottom w:val="single" w:color="auto" w:sz="4" w:space="0"/>
              <w:right w:val="single" w:color="auto" w:sz="4" w:space="0"/>
            </w:tcBorders>
            <w:vAlign w:val="center"/>
          </w:tcPr>
          <w:p w14:paraId="471522DE">
            <w:pPr>
              <w:spacing w:before="120" w:after="60"/>
              <w:jc w:val="center"/>
              <w:rPr>
                <w:rFonts w:hint="eastAsia" w:ascii="宋体" w:hAnsi="宋体"/>
                <w:szCs w:val="21"/>
              </w:rPr>
            </w:pPr>
          </w:p>
        </w:tc>
      </w:tr>
      <w:tr w14:paraId="13ABC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14:paraId="1B849F65">
            <w:pPr>
              <w:spacing w:before="120" w:after="60"/>
              <w:jc w:val="center"/>
              <w:rPr>
                <w:rFonts w:hint="eastAsia" w:ascii="宋体" w:hAnsi="宋体"/>
                <w:szCs w:val="21"/>
              </w:rPr>
            </w:pPr>
            <w:r>
              <w:rPr>
                <w:rFonts w:hint="eastAsia" w:ascii="宋体" w:hAnsi="宋体"/>
                <w:szCs w:val="21"/>
              </w:rPr>
              <w:t>8</w:t>
            </w:r>
          </w:p>
        </w:tc>
        <w:tc>
          <w:tcPr>
            <w:tcW w:w="3960" w:type="dxa"/>
            <w:tcBorders>
              <w:top w:val="single" w:color="auto" w:sz="4" w:space="0"/>
              <w:left w:val="single" w:color="auto" w:sz="4" w:space="0"/>
              <w:bottom w:val="single" w:color="auto" w:sz="4" w:space="0"/>
              <w:right w:val="single" w:color="auto" w:sz="4" w:space="0"/>
            </w:tcBorders>
            <w:vAlign w:val="center"/>
          </w:tcPr>
          <w:p w14:paraId="49E3A335">
            <w:pPr>
              <w:spacing w:before="120" w:after="60"/>
              <w:jc w:val="left"/>
              <w:rPr>
                <w:rFonts w:hint="eastAsia" w:ascii="宋体" w:hAnsi="宋体"/>
                <w:szCs w:val="21"/>
              </w:rPr>
            </w:pPr>
            <w:r>
              <w:rPr>
                <w:rFonts w:hint="eastAsia" w:ascii="宋体" w:hAnsi="宋体"/>
                <w:szCs w:val="21"/>
              </w:rPr>
              <w:t>投标人提供的投标人声明符合公告要求</w:t>
            </w:r>
          </w:p>
        </w:tc>
        <w:tc>
          <w:tcPr>
            <w:tcW w:w="4041" w:type="dxa"/>
            <w:tcBorders>
              <w:top w:val="single" w:color="auto" w:sz="4" w:space="0"/>
              <w:left w:val="single" w:color="auto" w:sz="4" w:space="0"/>
              <w:bottom w:val="single" w:color="auto" w:sz="4" w:space="0"/>
              <w:right w:val="single" w:color="auto" w:sz="4" w:space="0"/>
            </w:tcBorders>
            <w:vAlign w:val="center"/>
          </w:tcPr>
          <w:p w14:paraId="3CF906F7">
            <w:pPr>
              <w:spacing w:before="120" w:after="60"/>
              <w:jc w:val="center"/>
              <w:rPr>
                <w:rFonts w:hint="eastAsia" w:ascii="宋体" w:hAnsi="宋体" w:cs="宋体"/>
                <w:szCs w:val="21"/>
              </w:rPr>
            </w:pPr>
            <w:r>
              <w:rPr>
                <w:rFonts w:hint="eastAsia" w:ascii="宋体" w:hAnsi="宋体" w:cs="宋体"/>
                <w:szCs w:val="21"/>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388CFBFC">
            <w:pPr>
              <w:spacing w:before="120" w:after="60"/>
              <w:jc w:val="center"/>
              <w:rPr>
                <w:rFonts w:hint="eastAsia" w:ascii="宋体" w:hAnsi="宋体"/>
                <w:szCs w:val="21"/>
              </w:rPr>
            </w:pPr>
          </w:p>
        </w:tc>
      </w:tr>
      <w:tr w14:paraId="24FDA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14:paraId="40D56340">
            <w:pPr>
              <w:spacing w:before="120" w:after="60"/>
              <w:jc w:val="center"/>
              <w:rPr>
                <w:rFonts w:hint="eastAsia" w:ascii="宋体" w:hAnsi="宋体"/>
                <w:szCs w:val="21"/>
              </w:rPr>
            </w:pPr>
            <w:r>
              <w:rPr>
                <w:rFonts w:hint="eastAsia" w:ascii="宋体" w:hAnsi="宋体"/>
                <w:szCs w:val="21"/>
              </w:rPr>
              <w:t>9</w:t>
            </w:r>
          </w:p>
        </w:tc>
        <w:tc>
          <w:tcPr>
            <w:tcW w:w="3960" w:type="dxa"/>
            <w:tcBorders>
              <w:top w:val="single" w:color="auto" w:sz="4" w:space="0"/>
              <w:left w:val="single" w:color="auto" w:sz="4" w:space="0"/>
              <w:bottom w:val="single" w:color="auto" w:sz="4" w:space="0"/>
              <w:right w:val="single" w:color="auto" w:sz="4" w:space="0"/>
            </w:tcBorders>
            <w:vAlign w:val="center"/>
          </w:tcPr>
          <w:p w14:paraId="554D5B46">
            <w:pPr>
              <w:spacing w:before="120" w:after="60"/>
              <w:jc w:val="left"/>
              <w:rPr>
                <w:rFonts w:hint="eastAsia" w:ascii="宋体" w:hAnsi="宋体"/>
                <w:szCs w:val="21"/>
              </w:rPr>
            </w:pPr>
            <w:r>
              <w:rPr>
                <w:rFonts w:hint="eastAsia" w:ascii="宋体" w:hAnsi="宋体"/>
                <w:szCs w:val="21"/>
              </w:rPr>
              <w:t>投标人声明中签字的项目负责人和技术负责人与本项目拟派的项目负责人和技术负责人一致</w:t>
            </w:r>
          </w:p>
        </w:tc>
        <w:tc>
          <w:tcPr>
            <w:tcW w:w="4041" w:type="dxa"/>
            <w:tcBorders>
              <w:top w:val="single" w:color="auto" w:sz="4" w:space="0"/>
              <w:left w:val="single" w:color="auto" w:sz="4" w:space="0"/>
              <w:bottom w:val="single" w:color="auto" w:sz="4" w:space="0"/>
              <w:right w:val="single" w:color="auto" w:sz="4" w:space="0"/>
            </w:tcBorders>
            <w:vAlign w:val="center"/>
          </w:tcPr>
          <w:p w14:paraId="13B38225">
            <w:pPr>
              <w:spacing w:before="120" w:after="60"/>
              <w:jc w:val="center"/>
              <w:rPr>
                <w:rFonts w:hint="eastAsia" w:ascii="宋体" w:hAnsi="宋体" w:cs="宋体"/>
                <w:szCs w:val="21"/>
              </w:rPr>
            </w:pPr>
            <w:r>
              <w:rPr>
                <w:rFonts w:hint="eastAsia" w:ascii="宋体" w:hAnsi="宋体" w:cs="宋体"/>
                <w:szCs w:val="21"/>
              </w:rPr>
              <w:t>网上</w:t>
            </w:r>
            <w:r>
              <w:rPr>
                <w:rFonts w:hint="eastAsia" w:ascii="宋体" w:hAnsi="宋体" w:cs="宋体"/>
                <w:b/>
                <w:bCs/>
                <w:szCs w:val="21"/>
              </w:rPr>
              <w:t>投标</w:t>
            </w:r>
            <w:r>
              <w:rPr>
                <w:rFonts w:hint="eastAsia" w:ascii="宋体" w:hAnsi="宋体" w:cs="宋体"/>
                <w:szCs w:val="21"/>
              </w:rPr>
              <w:t>时选择拟投标的项目负责人、资格审查文件中拟委派的技术负责人及投标人声明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689486A0">
            <w:pPr>
              <w:spacing w:before="120" w:after="60"/>
              <w:jc w:val="center"/>
              <w:rPr>
                <w:rFonts w:hint="eastAsia" w:ascii="宋体" w:hAnsi="宋体"/>
                <w:szCs w:val="21"/>
              </w:rPr>
            </w:pPr>
          </w:p>
        </w:tc>
      </w:tr>
      <w:tr w14:paraId="167E2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14:paraId="3257AE61">
            <w:pPr>
              <w:spacing w:before="120" w:after="60"/>
              <w:jc w:val="center"/>
              <w:rPr>
                <w:rFonts w:hint="eastAsia" w:ascii="宋体" w:hAnsi="宋体"/>
                <w:szCs w:val="21"/>
              </w:rPr>
            </w:pPr>
            <w:r>
              <w:rPr>
                <w:rFonts w:ascii="宋体" w:hAnsi="宋体"/>
                <w:szCs w:val="21"/>
                <w:highlight w:val="none"/>
              </w:rPr>
              <w:t>1</w:t>
            </w:r>
            <w:r>
              <w:rPr>
                <w:rFonts w:hint="eastAsia" w:ascii="宋体" w:hAnsi="宋体"/>
                <w:szCs w:val="21"/>
                <w:highlight w:val="none"/>
              </w:rPr>
              <w:t>0</w:t>
            </w:r>
          </w:p>
        </w:tc>
        <w:tc>
          <w:tcPr>
            <w:tcW w:w="3960" w:type="dxa"/>
            <w:tcBorders>
              <w:top w:val="single" w:color="auto" w:sz="4" w:space="0"/>
              <w:left w:val="single" w:color="auto" w:sz="4" w:space="0"/>
              <w:bottom w:val="single" w:color="auto" w:sz="4" w:space="0"/>
              <w:right w:val="single" w:color="auto" w:sz="4" w:space="0"/>
            </w:tcBorders>
            <w:vAlign w:val="center"/>
          </w:tcPr>
          <w:p w14:paraId="68C9854B">
            <w:pPr>
              <w:spacing w:before="120" w:after="60"/>
              <w:jc w:val="left"/>
              <w:rPr>
                <w:rFonts w:hint="eastAsia" w:ascii="宋体" w:hAnsi="宋体"/>
                <w:szCs w:val="21"/>
              </w:rPr>
            </w:pPr>
            <w:r>
              <w:rPr>
                <w:rFonts w:hint="eastAsia" w:ascii="宋体" w:hAnsi="宋体" w:cs="宋体"/>
                <w:szCs w:val="21"/>
                <w:highlight w:val="none"/>
                <w:lang w:val="en-US" w:eastAsia="zh-CN"/>
              </w:rPr>
              <w:t>关于联合体投标</w:t>
            </w:r>
          </w:p>
        </w:tc>
        <w:tc>
          <w:tcPr>
            <w:tcW w:w="4041" w:type="dxa"/>
            <w:tcBorders>
              <w:top w:val="single" w:color="auto" w:sz="4" w:space="0"/>
              <w:left w:val="single" w:color="auto" w:sz="4" w:space="0"/>
              <w:bottom w:val="single" w:color="auto" w:sz="4" w:space="0"/>
              <w:right w:val="single" w:color="auto" w:sz="4" w:space="0"/>
            </w:tcBorders>
            <w:vAlign w:val="center"/>
          </w:tcPr>
          <w:p w14:paraId="160B8815">
            <w:pPr>
              <w:spacing w:before="120" w:after="60"/>
              <w:jc w:val="center"/>
              <w:rPr>
                <w:rFonts w:hint="eastAsia" w:ascii="宋体" w:hAnsi="宋体" w:cs="宋体"/>
                <w:szCs w:val="21"/>
              </w:rPr>
            </w:pPr>
            <w:r>
              <w:rPr>
                <w:rFonts w:hint="eastAsia" w:ascii="宋体" w:hAnsi="宋体" w:eastAsia="宋体" w:cs="宋体"/>
                <w:szCs w:val="21"/>
                <w:highlight w:val="none"/>
              </w:rPr>
              <w:t>不接受联合体投标</w:t>
            </w:r>
          </w:p>
        </w:tc>
        <w:tc>
          <w:tcPr>
            <w:tcW w:w="720" w:type="dxa"/>
            <w:tcBorders>
              <w:top w:val="single" w:color="auto" w:sz="4" w:space="0"/>
              <w:left w:val="single" w:color="auto" w:sz="4" w:space="0"/>
              <w:bottom w:val="single" w:color="auto" w:sz="4" w:space="0"/>
              <w:right w:val="single" w:color="auto" w:sz="4" w:space="0"/>
            </w:tcBorders>
            <w:vAlign w:val="center"/>
          </w:tcPr>
          <w:p w14:paraId="53704E71">
            <w:pPr>
              <w:spacing w:before="120" w:after="60"/>
              <w:jc w:val="center"/>
              <w:rPr>
                <w:rFonts w:hint="eastAsia" w:ascii="宋体" w:hAnsi="宋体"/>
                <w:szCs w:val="21"/>
              </w:rPr>
            </w:pPr>
          </w:p>
        </w:tc>
      </w:tr>
      <w:tr w14:paraId="744BD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14:paraId="00233A9E">
            <w:pPr>
              <w:spacing w:before="120" w:after="60"/>
              <w:jc w:val="center"/>
              <w:rPr>
                <w:rFonts w:hint="eastAsia" w:ascii="宋体" w:hAnsi="宋体"/>
                <w:szCs w:val="21"/>
              </w:rPr>
            </w:pPr>
            <w:r>
              <w:rPr>
                <w:rFonts w:hint="eastAsia" w:ascii="宋体" w:hAnsi="宋体"/>
                <w:szCs w:val="21"/>
              </w:rPr>
              <w:t>11</w:t>
            </w:r>
          </w:p>
        </w:tc>
        <w:tc>
          <w:tcPr>
            <w:tcW w:w="3960" w:type="dxa"/>
            <w:tcBorders>
              <w:top w:val="single" w:color="auto" w:sz="4" w:space="0"/>
              <w:left w:val="single" w:color="auto" w:sz="4" w:space="0"/>
              <w:bottom w:val="single" w:color="auto" w:sz="4" w:space="0"/>
              <w:right w:val="single" w:color="auto" w:sz="4" w:space="0"/>
            </w:tcBorders>
            <w:vAlign w:val="center"/>
          </w:tcPr>
          <w:p w14:paraId="628C5D38">
            <w:pPr>
              <w:spacing w:before="120" w:after="60"/>
              <w:jc w:val="left"/>
              <w:rPr>
                <w:rFonts w:hint="eastAsia" w:ascii="宋体" w:hAnsi="宋体"/>
                <w:szCs w:val="21"/>
              </w:rPr>
            </w:pPr>
            <w:r>
              <w:rPr>
                <w:rFonts w:hint="eastAsia" w:ascii="宋体" w:hAnsi="宋体"/>
                <w:bCs/>
                <w:szCs w:val="21"/>
              </w:rPr>
              <w:t>资格审查前，投标人须在</w:t>
            </w:r>
            <w:r>
              <w:rPr>
                <w:rFonts w:hint="eastAsia" w:ascii="宋体" w:hAnsi="宋体"/>
                <w:b/>
                <w:szCs w:val="21"/>
              </w:rPr>
              <w:t>广州市住房和城乡建设局建立企业信用档案</w:t>
            </w:r>
            <w:r>
              <w:rPr>
                <w:rFonts w:hint="eastAsia" w:ascii="宋体" w:hAnsi="宋体"/>
                <w:bCs/>
                <w:szCs w:val="21"/>
              </w:rPr>
              <w:t>及拟担任本工程项目负责人、专职安全员须是本企业中的在册人员</w:t>
            </w:r>
          </w:p>
        </w:tc>
        <w:tc>
          <w:tcPr>
            <w:tcW w:w="4041" w:type="dxa"/>
            <w:tcBorders>
              <w:top w:val="single" w:color="auto" w:sz="4" w:space="0"/>
              <w:left w:val="single" w:color="auto" w:sz="4" w:space="0"/>
              <w:bottom w:val="single" w:color="auto" w:sz="4" w:space="0"/>
              <w:right w:val="single" w:color="auto" w:sz="4" w:space="0"/>
            </w:tcBorders>
            <w:vAlign w:val="center"/>
          </w:tcPr>
          <w:p w14:paraId="3DE1126D">
            <w:pPr>
              <w:spacing w:before="120" w:after="60"/>
              <w:jc w:val="center"/>
              <w:rPr>
                <w:rFonts w:hint="eastAsia" w:ascii="宋体" w:hAnsi="宋体" w:cs="宋体"/>
                <w:szCs w:val="21"/>
              </w:rPr>
            </w:pPr>
            <w:r>
              <w:rPr>
                <w:rFonts w:hint="eastAsia" w:ascii="宋体" w:hAnsi="宋体" w:cs="宋体"/>
                <w:bCs/>
                <w:szCs w:val="21"/>
              </w:rPr>
              <w:t>投标人在</w:t>
            </w:r>
            <w:r>
              <w:rPr>
                <w:rFonts w:hint="eastAsia" w:ascii="宋体" w:hAnsi="宋体" w:cs="宋体"/>
                <w:b/>
                <w:szCs w:val="21"/>
              </w:rPr>
              <w:t>广州市住建行业信用管理平台</w:t>
            </w:r>
            <w:r>
              <w:rPr>
                <w:rFonts w:hint="eastAsia" w:ascii="宋体" w:hAnsi="宋体" w:cs="宋体"/>
                <w:bCs/>
                <w:szCs w:val="21"/>
              </w:rPr>
              <w:t>内</w:t>
            </w:r>
            <w:r>
              <w:rPr>
                <w:rFonts w:hint="eastAsia" w:ascii="宋体" w:hAnsi="宋体" w:cs="宋体"/>
                <w:b/>
                <w:szCs w:val="21"/>
              </w:rPr>
              <w:t>企业信用档案</w:t>
            </w:r>
            <w:r>
              <w:rPr>
                <w:rFonts w:hint="eastAsia" w:ascii="宋体" w:hAnsi="宋体" w:cs="宋体"/>
                <w:bCs/>
                <w:szCs w:val="21"/>
              </w:rPr>
              <w:t>的企业和人员信息</w:t>
            </w:r>
          </w:p>
        </w:tc>
        <w:tc>
          <w:tcPr>
            <w:tcW w:w="720" w:type="dxa"/>
            <w:tcBorders>
              <w:top w:val="single" w:color="auto" w:sz="4" w:space="0"/>
              <w:left w:val="single" w:color="auto" w:sz="4" w:space="0"/>
              <w:bottom w:val="single" w:color="auto" w:sz="4" w:space="0"/>
              <w:right w:val="single" w:color="auto" w:sz="4" w:space="0"/>
            </w:tcBorders>
            <w:vAlign w:val="center"/>
          </w:tcPr>
          <w:p w14:paraId="7E8CA2BB">
            <w:pPr>
              <w:spacing w:before="120" w:after="60"/>
              <w:jc w:val="center"/>
              <w:rPr>
                <w:rFonts w:hint="eastAsia" w:ascii="宋体" w:hAnsi="宋体"/>
                <w:szCs w:val="21"/>
              </w:rPr>
            </w:pPr>
          </w:p>
        </w:tc>
      </w:tr>
      <w:tr w14:paraId="51CF9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14:paraId="1C728105">
            <w:pPr>
              <w:spacing w:before="120" w:after="60"/>
              <w:jc w:val="center"/>
              <w:rPr>
                <w:rFonts w:hint="eastAsia" w:ascii="宋体" w:hAnsi="宋体"/>
                <w:szCs w:val="21"/>
              </w:rPr>
            </w:pPr>
            <w:r>
              <w:rPr>
                <w:rFonts w:hint="eastAsia" w:ascii="宋体" w:hAnsi="宋体"/>
                <w:szCs w:val="21"/>
              </w:rPr>
              <w:t>12</w:t>
            </w:r>
          </w:p>
        </w:tc>
        <w:tc>
          <w:tcPr>
            <w:tcW w:w="3960" w:type="dxa"/>
            <w:tcBorders>
              <w:top w:val="single" w:color="auto" w:sz="4" w:space="0"/>
              <w:left w:val="single" w:color="auto" w:sz="4" w:space="0"/>
              <w:bottom w:val="single" w:color="auto" w:sz="4" w:space="0"/>
              <w:right w:val="single" w:color="auto" w:sz="4" w:space="0"/>
            </w:tcBorders>
            <w:vAlign w:val="center"/>
          </w:tcPr>
          <w:p w14:paraId="6FCC4D4B">
            <w:pPr>
              <w:spacing w:before="120" w:after="60"/>
              <w:jc w:val="left"/>
              <w:rPr>
                <w:rFonts w:hint="eastAsia" w:ascii="宋体" w:hAnsi="宋体"/>
                <w:bCs/>
                <w:szCs w:val="21"/>
              </w:rPr>
            </w:pPr>
            <w:r>
              <w:rPr>
                <w:rFonts w:hint="eastAsia" w:ascii="宋体" w:hAnsi="宋体"/>
                <w:bCs/>
                <w:szCs w:val="21"/>
              </w:rPr>
              <w:t>投标人未出现以下情形：与其它投标人的单位负责人为同一人或者存在控股、管理关系的（按投标人提供的《投标人声明》第</w:t>
            </w:r>
            <w:r>
              <w:rPr>
                <w:rFonts w:hint="eastAsia" w:ascii="宋体" w:hAnsi="宋体"/>
                <w:b/>
                <w:bCs/>
                <w:szCs w:val="21"/>
              </w:rPr>
              <w:t>八</w:t>
            </w:r>
            <w:r>
              <w:rPr>
                <w:rFonts w:hint="eastAsia" w:ascii="宋体" w:hAnsi="宋体"/>
                <w:bCs/>
                <w:szCs w:val="21"/>
              </w:rPr>
              <w:t>条内容进行评审）。</w:t>
            </w:r>
          </w:p>
        </w:tc>
        <w:tc>
          <w:tcPr>
            <w:tcW w:w="4041" w:type="dxa"/>
            <w:tcBorders>
              <w:top w:val="single" w:color="auto" w:sz="4" w:space="0"/>
              <w:left w:val="single" w:color="auto" w:sz="4" w:space="0"/>
              <w:bottom w:val="single" w:color="auto" w:sz="4" w:space="0"/>
              <w:right w:val="single" w:color="auto" w:sz="4" w:space="0"/>
            </w:tcBorders>
            <w:vAlign w:val="center"/>
          </w:tcPr>
          <w:p w14:paraId="0BBE2418">
            <w:pPr>
              <w:spacing w:before="120" w:after="60"/>
              <w:jc w:val="center"/>
              <w:rPr>
                <w:rFonts w:hint="eastAsia" w:ascii="宋体" w:hAnsi="宋体" w:cs="宋体"/>
                <w:szCs w:val="21"/>
              </w:rPr>
            </w:pPr>
            <w:r>
              <w:rPr>
                <w:rFonts w:hint="eastAsia" w:ascii="宋体" w:hAnsi="宋体" w:cs="宋体"/>
                <w:szCs w:val="21"/>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187B6B49">
            <w:pPr>
              <w:spacing w:before="120" w:after="60"/>
              <w:jc w:val="center"/>
              <w:rPr>
                <w:rFonts w:hint="eastAsia" w:ascii="宋体" w:hAnsi="宋体"/>
                <w:szCs w:val="21"/>
              </w:rPr>
            </w:pPr>
          </w:p>
        </w:tc>
      </w:tr>
      <w:tr w14:paraId="48012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14:paraId="24BB35F4">
            <w:pPr>
              <w:spacing w:before="120" w:after="60"/>
              <w:jc w:val="center"/>
              <w:rPr>
                <w:rFonts w:hint="eastAsia" w:ascii="宋体" w:hAnsi="宋体"/>
                <w:szCs w:val="21"/>
              </w:rPr>
            </w:pPr>
            <w:r>
              <w:rPr>
                <w:rFonts w:hint="eastAsia" w:ascii="宋体" w:hAnsi="宋体"/>
                <w:szCs w:val="21"/>
              </w:rPr>
              <w:t>13</w:t>
            </w:r>
          </w:p>
        </w:tc>
        <w:tc>
          <w:tcPr>
            <w:tcW w:w="3960" w:type="dxa"/>
            <w:tcBorders>
              <w:top w:val="single" w:color="auto" w:sz="4" w:space="0"/>
              <w:left w:val="single" w:color="auto" w:sz="4" w:space="0"/>
              <w:bottom w:val="single" w:color="auto" w:sz="4" w:space="0"/>
              <w:right w:val="single" w:color="auto" w:sz="4" w:space="0"/>
            </w:tcBorders>
            <w:vAlign w:val="center"/>
          </w:tcPr>
          <w:p w14:paraId="3D118A96">
            <w:pPr>
              <w:spacing w:before="120" w:after="60"/>
              <w:jc w:val="left"/>
              <w:rPr>
                <w:rFonts w:hint="eastAsia" w:ascii="宋体" w:hAnsi="宋体"/>
                <w:bCs/>
                <w:szCs w:val="21"/>
              </w:rPr>
            </w:pPr>
            <w:r>
              <w:rPr>
                <w:rFonts w:hint="eastAsia" w:ascii="宋体" w:hAnsi="宋体"/>
                <w:bCs/>
                <w:szCs w:val="21"/>
              </w:rPr>
              <w:t>未被列入拖欠农民工工资失信联合惩戒对象名单</w:t>
            </w:r>
          </w:p>
        </w:tc>
        <w:tc>
          <w:tcPr>
            <w:tcW w:w="4041" w:type="dxa"/>
            <w:tcBorders>
              <w:top w:val="single" w:color="auto" w:sz="4" w:space="0"/>
              <w:left w:val="single" w:color="auto" w:sz="4" w:space="0"/>
              <w:bottom w:val="single" w:color="auto" w:sz="4" w:space="0"/>
              <w:right w:val="single" w:color="auto" w:sz="4" w:space="0"/>
            </w:tcBorders>
            <w:vAlign w:val="center"/>
          </w:tcPr>
          <w:p w14:paraId="64FE7821">
            <w:pPr>
              <w:spacing w:before="120" w:after="60"/>
              <w:jc w:val="center"/>
              <w:rPr>
                <w:rFonts w:hint="eastAsia" w:ascii="宋体" w:hAnsi="宋体" w:cs="宋体"/>
                <w:szCs w:val="21"/>
              </w:rPr>
            </w:pPr>
            <w:r>
              <w:rPr>
                <w:rFonts w:hint="eastAsia" w:ascii="宋体" w:hAnsi="宋体" w:cs="宋体"/>
                <w:b/>
                <w:bCs/>
                <w:szCs w:val="21"/>
              </w:rPr>
              <w:t>投标人无需提供资料，按交易系统比对的结果进行评审</w:t>
            </w:r>
          </w:p>
        </w:tc>
        <w:tc>
          <w:tcPr>
            <w:tcW w:w="720" w:type="dxa"/>
            <w:tcBorders>
              <w:top w:val="single" w:color="auto" w:sz="4" w:space="0"/>
              <w:left w:val="single" w:color="auto" w:sz="4" w:space="0"/>
              <w:bottom w:val="single" w:color="auto" w:sz="4" w:space="0"/>
              <w:right w:val="single" w:color="auto" w:sz="4" w:space="0"/>
            </w:tcBorders>
            <w:vAlign w:val="center"/>
          </w:tcPr>
          <w:p w14:paraId="11536973">
            <w:pPr>
              <w:spacing w:before="120" w:after="60"/>
              <w:jc w:val="center"/>
              <w:rPr>
                <w:rFonts w:hint="eastAsia" w:ascii="宋体" w:hAnsi="宋体"/>
                <w:szCs w:val="21"/>
              </w:rPr>
            </w:pPr>
          </w:p>
        </w:tc>
      </w:tr>
      <w:tr w14:paraId="6892D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14:paraId="6ECE7820">
            <w:pPr>
              <w:spacing w:before="120" w:after="60"/>
              <w:jc w:val="center"/>
              <w:rPr>
                <w:rFonts w:hint="eastAsia" w:ascii="宋体" w:hAnsi="宋体"/>
                <w:szCs w:val="21"/>
              </w:rPr>
            </w:pPr>
            <w:r>
              <w:rPr>
                <w:rFonts w:hint="eastAsia" w:ascii="宋体" w:hAnsi="宋体"/>
                <w:szCs w:val="21"/>
              </w:rPr>
              <w:t>14</w:t>
            </w:r>
          </w:p>
        </w:tc>
        <w:tc>
          <w:tcPr>
            <w:tcW w:w="3960" w:type="dxa"/>
            <w:tcBorders>
              <w:top w:val="single" w:color="auto" w:sz="4" w:space="0"/>
              <w:left w:val="single" w:color="auto" w:sz="4" w:space="0"/>
              <w:bottom w:val="single" w:color="auto" w:sz="4" w:space="0"/>
              <w:right w:val="single" w:color="auto" w:sz="4" w:space="0"/>
            </w:tcBorders>
            <w:vAlign w:val="center"/>
          </w:tcPr>
          <w:p w14:paraId="01E34DF4">
            <w:pPr>
              <w:spacing w:before="120" w:after="60"/>
              <w:jc w:val="left"/>
              <w:rPr>
                <w:rFonts w:hint="eastAsia" w:ascii="宋体" w:hAnsi="宋体"/>
                <w:bCs/>
                <w:szCs w:val="21"/>
              </w:rPr>
            </w:pPr>
            <w:r>
              <w:rPr>
                <w:rFonts w:hint="eastAsia" w:ascii="宋体" w:hAnsi="宋体" w:cs="宋体"/>
                <w:szCs w:val="21"/>
              </w:rPr>
              <w:t>截至投标截止日，投标人未被“信用中国”网站(http://www.creditchina.gov.cn)列入失信被执行人、重大税收违法失信主体记录名单；(需提供承诺函，承诺函格式自拟)</w:t>
            </w:r>
          </w:p>
        </w:tc>
        <w:tc>
          <w:tcPr>
            <w:tcW w:w="4041" w:type="dxa"/>
            <w:tcBorders>
              <w:top w:val="single" w:color="auto" w:sz="4" w:space="0"/>
              <w:left w:val="single" w:color="auto" w:sz="4" w:space="0"/>
              <w:bottom w:val="single" w:color="auto" w:sz="4" w:space="0"/>
              <w:right w:val="single" w:color="auto" w:sz="4" w:space="0"/>
            </w:tcBorders>
            <w:vAlign w:val="center"/>
          </w:tcPr>
          <w:p w14:paraId="08323387">
            <w:pPr>
              <w:spacing w:before="120" w:after="60"/>
              <w:jc w:val="center"/>
              <w:rPr>
                <w:rFonts w:hint="eastAsia" w:ascii="宋体" w:hAnsi="宋体" w:cs="宋体"/>
                <w:bCs/>
                <w:szCs w:val="21"/>
              </w:rPr>
            </w:pPr>
            <w:r>
              <w:rPr>
                <w:rFonts w:hint="eastAsia" w:ascii="宋体" w:hAnsi="宋体" w:cs="宋体"/>
                <w:b/>
                <w:szCs w:val="21"/>
              </w:rPr>
              <w:t>需提供承诺函，承诺函格式自拟</w:t>
            </w:r>
          </w:p>
        </w:tc>
        <w:tc>
          <w:tcPr>
            <w:tcW w:w="720" w:type="dxa"/>
            <w:tcBorders>
              <w:top w:val="single" w:color="auto" w:sz="4" w:space="0"/>
              <w:left w:val="single" w:color="auto" w:sz="4" w:space="0"/>
              <w:bottom w:val="single" w:color="auto" w:sz="4" w:space="0"/>
              <w:right w:val="single" w:color="auto" w:sz="4" w:space="0"/>
            </w:tcBorders>
            <w:vAlign w:val="center"/>
          </w:tcPr>
          <w:p w14:paraId="08EF8A21">
            <w:pPr>
              <w:spacing w:before="120" w:after="60"/>
              <w:jc w:val="center"/>
              <w:rPr>
                <w:rFonts w:hint="eastAsia" w:ascii="宋体" w:hAnsi="宋体"/>
                <w:szCs w:val="21"/>
              </w:rPr>
            </w:pPr>
          </w:p>
        </w:tc>
      </w:tr>
    </w:tbl>
    <w:p w14:paraId="63EBDF8B">
      <w:pPr>
        <w:spacing w:line="480" w:lineRule="auto"/>
        <w:ind w:firstLine="470" w:firstLineChars="224"/>
        <w:rPr>
          <w:rFonts w:ascii="宋体"/>
          <w:szCs w:val="21"/>
        </w:rPr>
      </w:pPr>
      <w:r>
        <w:rPr>
          <w:rFonts w:hint="eastAsia" w:ascii="宋体" w:hAnsi="宋体"/>
          <w:szCs w:val="21"/>
        </w:rPr>
        <w:t>备注：</w:t>
      </w:r>
    </w:p>
    <w:p w14:paraId="6AEBC62A">
      <w:pPr>
        <w:spacing w:line="480" w:lineRule="auto"/>
        <w:ind w:firstLine="470" w:firstLineChars="224"/>
        <w:rPr>
          <w:rFonts w:ascii="宋体"/>
          <w:szCs w:val="21"/>
        </w:rPr>
      </w:pPr>
      <w:r>
        <w:rPr>
          <w:rFonts w:ascii="宋体" w:hAnsi="宋体"/>
          <w:szCs w:val="21"/>
        </w:rPr>
        <w:t>1</w:t>
      </w:r>
      <w:r>
        <w:rPr>
          <w:rFonts w:hint="eastAsia" w:ascii="宋体" w:hAnsi="宋体"/>
          <w:szCs w:val="21"/>
        </w:rPr>
        <w:t>、每一项目符合的打“○”，不符合的打“×”；</w:t>
      </w:r>
      <w:r>
        <w:rPr>
          <w:rFonts w:ascii="宋体" w:hAnsi="宋体"/>
          <w:szCs w:val="21"/>
        </w:rPr>
        <w:t xml:space="preserve"> </w:t>
      </w:r>
    </w:p>
    <w:p w14:paraId="721E1DF5">
      <w:pPr>
        <w:spacing w:line="480" w:lineRule="auto"/>
        <w:ind w:firstLine="470" w:firstLineChars="224"/>
        <w:rPr>
          <w:rFonts w:hint="eastAsia" w:ascii="宋体" w:hAnsi="宋体"/>
          <w:szCs w:val="21"/>
        </w:rPr>
      </w:pPr>
      <w:r>
        <w:rPr>
          <w:rFonts w:ascii="宋体" w:hAnsi="宋体"/>
          <w:szCs w:val="21"/>
        </w:rPr>
        <w:t>2</w:t>
      </w:r>
      <w:r>
        <w:rPr>
          <w:rFonts w:hint="eastAsia" w:ascii="宋体" w:hAnsi="宋体"/>
          <w:szCs w:val="21"/>
        </w:rPr>
        <w:t>、若评委意见不一致时，则按少数服从多数的原则，作出评审结论。汇总后，出现一个“×”的结论为“不通过”。</w:t>
      </w:r>
    </w:p>
    <w:p w14:paraId="08704501">
      <w:pPr>
        <w:spacing w:line="480" w:lineRule="auto"/>
        <w:ind w:firstLine="470" w:firstLineChars="224"/>
        <w:rPr>
          <w:rFonts w:hint="eastAsia" w:ascii="宋体" w:hAnsi="宋体"/>
          <w:szCs w:val="21"/>
        </w:rPr>
        <w:sectPr>
          <w:footerReference r:id="rId3" w:type="default"/>
          <w:footerReference r:id="rId4" w:type="even"/>
          <w:endnotePr>
            <w:numFmt w:val="decimal"/>
          </w:endnotePr>
          <w:pgSz w:w="11906" w:h="16838"/>
          <w:pgMar w:top="1440" w:right="1080" w:bottom="1440" w:left="1080" w:header="851" w:footer="907" w:gutter="0"/>
          <w:pgNumType w:start="0"/>
          <w:cols w:space="720" w:num="1"/>
          <w:titlePg/>
          <w:docGrid w:type="linesAndChars" w:linePitch="312" w:charSpace="0"/>
        </w:sectPr>
      </w:pPr>
      <w:r>
        <w:rPr>
          <w:rFonts w:hint="eastAsia" w:ascii="宋体" w:hAnsi="宋体"/>
          <w:szCs w:val="21"/>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5613FAB9">
      <w:pPr>
        <w:rPr>
          <w:szCs w:val="21"/>
        </w:rPr>
      </w:pPr>
      <w:r>
        <w:rPr>
          <w:rFonts w:hint="eastAsia"/>
          <w:szCs w:val="21"/>
        </w:rPr>
        <w:t>附表二</w:t>
      </w:r>
    </w:p>
    <w:p w14:paraId="5786705C">
      <w:pPr>
        <w:jc w:val="center"/>
        <w:rPr>
          <w:b/>
          <w:sz w:val="36"/>
          <w:szCs w:val="36"/>
        </w:rPr>
      </w:pPr>
      <w:r>
        <w:rPr>
          <w:rFonts w:hint="eastAsia"/>
          <w:b/>
          <w:sz w:val="36"/>
          <w:szCs w:val="36"/>
        </w:rPr>
        <w:t>技术标有效性审查表</w:t>
      </w:r>
    </w:p>
    <w:p w14:paraId="5B915B80">
      <w:pPr>
        <w:rPr>
          <w:szCs w:val="21"/>
        </w:rPr>
      </w:pPr>
      <w:r>
        <w:rPr>
          <w:rFonts w:hint="eastAsia"/>
          <w:szCs w:val="21"/>
        </w:rPr>
        <w:t>工程名称：</w:t>
      </w:r>
    </w:p>
    <w:tbl>
      <w:tblPr>
        <w:tblStyle w:val="52"/>
        <w:tblW w:w="14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7089"/>
        <w:gridCol w:w="1395"/>
        <w:gridCol w:w="1305"/>
        <w:gridCol w:w="1320"/>
        <w:gridCol w:w="1320"/>
        <w:gridCol w:w="1289"/>
      </w:tblGrid>
      <w:tr w14:paraId="03E32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488" w:type="dxa"/>
            <w:tcBorders>
              <w:top w:val="single" w:color="auto" w:sz="4" w:space="0"/>
              <w:left w:val="single" w:color="auto" w:sz="4" w:space="0"/>
              <w:bottom w:val="single" w:color="auto" w:sz="4" w:space="0"/>
              <w:right w:val="single" w:color="auto" w:sz="4" w:space="0"/>
            </w:tcBorders>
            <w:vAlign w:val="center"/>
          </w:tcPr>
          <w:p w14:paraId="727034C8">
            <w:pPr>
              <w:adjustRightInd w:val="0"/>
              <w:rPr>
                <w:rFonts w:hint="eastAsia" w:ascii="宋体" w:hAnsi="宋体"/>
                <w:szCs w:val="21"/>
              </w:rPr>
            </w:pPr>
            <w:r>
              <w:rPr>
                <w:rFonts w:hint="eastAsia" w:ascii="宋体" w:hAnsi="宋体"/>
                <w:szCs w:val="21"/>
              </w:rPr>
              <w:t>序号</w:t>
            </w:r>
          </w:p>
        </w:tc>
        <w:tc>
          <w:tcPr>
            <w:tcW w:w="7089" w:type="dxa"/>
            <w:tcBorders>
              <w:top w:val="single" w:color="auto" w:sz="4" w:space="0"/>
              <w:left w:val="single" w:color="auto" w:sz="4" w:space="0"/>
              <w:bottom w:val="single" w:color="auto" w:sz="4" w:space="0"/>
              <w:right w:val="single" w:color="auto" w:sz="4" w:space="0"/>
              <w:tl2br w:val="single" w:color="auto" w:sz="4" w:space="0"/>
            </w:tcBorders>
          </w:tcPr>
          <w:p w14:paraId="55A5E374">
            <w:pPr>
              <w:adjustRightInd w:val="0"/>
              <w:rPr>
                <w:rFonts w:hint="eastAsia" w:ascii="宋体" w:hAnsi="宋体"/>
                <w:szCs w:val="21"/>
              </w:rPr>
            </w:pPr>
            <w:r>
              <w:rPr>
                <w:rFonts w:ascii="宋体" w:hAnsi="宋体"/>
                <w:szCs w:val="21"/>
              </w:rPr>
              <w:t xml:space="preserve">               </w:t>
            </w:r>
            <w:r>
              <w:rPr>
                <w:rFonts w:hint="eastAsia" w:ascii="宋体" w:hAnsi="宋体"/>
                <w:szCs w:val="21"/>
              </w:rPr>
              <w:t xml:space="preserve">                             投标人</w:t>
            </w:r>
          </w:p>
          <w:p w14:paraId="5813AA49">
            <w:pPr>
              <w:adjustRightInd w:val="0"/>
              <w:rPr>
                <w:rFonts w:hint="eastAsia" w:ascii="宋体" w:hAnsi="宋体"/>
                <w:szCs w:val="21"/>
              </w:rPr>
            </w:pPr>
            <w:r>
              <w:rPr>
                <w:rFonts w:hint="eastAsia" w:ascii="宋体" w:hAnsi="宋体"/>
                <w:szCs w:val="21"/>
              </w:rPr>
              <w:t>评审内容</w:t>
            </w:r>
          </w:p>
        </w:tc>
        <w:tc>
          <w:tcPr>
            <w:tcW w:w="1395" w:type="dxa"/>
            <w:tcBorders>
              <w:top w:val="single" w:color="auto" w:sz="4" w:space="0"/>
              <w:left w:val="single" w:color="auto" w:sz="4" w:space="0"/>
              <w:bottom w:val="single" w:color="auto" w:sz="4" w:space="0"/>
              <w:right w:val="single" w:color="auto" w:sz="4" w:space="0"/>
            </w:tcBorders>
          </w:tcPr>
          <w:p w14:paraId="0578A7DC">
            <w:pPr>
              <w:adjustRightInd w:val="0"/>
              <w:rPr>
                <w:rFonts w:hint="eastAsia" w:ascii="宋体" w:hAnsi="宋体"/>
                <w:szCs w:val="21"/>
              </w:rPr>
            </w:pPr>
          </w:p>
        </w:tc>
        <w:tc>
          <w:tcPr>
            <w:tcW w:w="1305" w:type="dxa"/>
            <w:tcBorders>
              <w:top w:val="single" w:color="auto" w:sz="4" w:space="0"/>
              <w:left w:val="single" w:color="auto" w:sz="4" w:space="0"/>
              <w:bottom w:val="single" w:color="auto" w:sz="4" w:space="0"/>
              <w:right w:val="single" w:color="auto" w:sz="4" w:space="0"/>
            </w:tcBorders>
          </w:tcPr>
          <w:p w14:paraId="00CC67A3">
            <w:pPr>
              <w:adjustRightInd w:val="0"/>
              <w:rPr>
                <w:rFonts w:hint="eastAsia" w:ascii="宋体" w:hAnsi="宋体"/>
                <w:szCs w:val="21"/>
              </w:rPr>
            </w:pPr>
          </w:p>
        </w:tc>
        <w:tc>
          <w:tcPr>
            <w:tcW w:w="1320" w:type="dxa"/>
            <w:tcBorders>
              <w:top w:val="single" w:color="auto" w:sz="4" w:space="0"/>
              <w:left w:val="single" w:color="auto" w:sz="4" w:space="0"/>
              <w:bottom w:val="single" w:color="auto" w:sz="4" w:space="0"/>
              <w:right w:val="single" w:color="auto" w:sz="4" w:space="0"/>
            </w:tcBorders>
          </w:tcPr>
          <w:p w14:paraId="3CB07AFB">
            <w:pPr>
              <w:adjustRightInd w:val="0"/>
              <w:rPr>
                <w:rFonts w:hint="eastAsia" w:ascii="宋体" w:hAnsi="宋体"/>
                <w:szCs w:val="21"/>
              </w:rPr>
            </w:pPr>
          </w:p>
        </w:tc>
        <w:tc>
          <w:tcPr>
            <w:tcW w:w="1320" w:type="dxa"/>
            <w:tcBorders>
              <w:top w:val="single" w:color="auto" w:sz="4" w:space="0"/>
              <w:left w:val="single" w:color="auto" w:sz="4" w:space="0"/>
              <w:bottom w:val="single" w:color="auto" w:sz="4" w:space="0"/>
              <w:right w:val="single" w:color="auto" w:sz="4" w:space="0"/>
            </w:tcBorders>
          </w:tcPr>
          <w:p w14:paraId="596AD3D0">
            <w:pPr>
              <w:adjustRightInd w:val="0"/>
              <w:rPr>
                <w:rFonts w:hint="eastAsia" w:ascii="宋体" w:hAnsi="宋体"/>
                <w:szCs w:val="21"/>
              </w:rPr>
            </w:pPr>
          </w:p>
        </w:tc>
        <w:tc>
          <w:tcPr>
            <w:tcW w:w="1289" w:type="dxa"/>
            <w:tcBorders>
              <w:top w:val="single" w:color="auto" w:sz="4" w:space="0"/>
              <w:left w:val="single" w:color="auto" w:sz="4" w:space="0"/>
              <w:bottom w:val="single" w:color="auto" w:sz="4" w:space="0"/>
              <w:right w:val="single" w:color="auto" w:sz="4" w:space="0"/>
            </w:tcBorders>
          </w:tcPr>
          <w:p w14:paraId="724CB5B1">
            <w:pPr>
              <w:adjustRightInd w:val="0"/>
              <w:rPr>
                <w:rFonts w:hint="eastAsia" w:ascii="宋体" w:hAnsi="宋体"/>
                <w:szCs w:val="21"/>
              </w:rPr>
            </w:pPr>
          </w:p>
        </w:tc>
      </w:tr>
      <w:tr w14:paraId="23D2C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8" w:type="dxa"/>
            <w:tcBorders>
              <w:top w:val="single" w:color="auto" w:sz="4" w:space="0"/>
              <w:left w:val="single" w:color="auto" w:sz="4" w:space="0"/>
              <w:bottom w:val="single" w:color="auto" w:sz="4" w:space="0"/>
              <w:right w:val="single" w:color="auto" w:sz="4" w:space="0"/>
            </w:tcBorders>
            <w:vAlign w:val="center"/>
          </w:tcPr>
          <w:p w14:paraId="3D443F56">
            <w:pPr>
              <w:adjustRightInd w:val="0"/>
              <w:rPr>
                <w:rFonts w:hint="eastAsia" w:ascii="宋体" w:hAnsi="宋体"/>
                <w:szCs w:val="21"/>
              </w:rPr>
            </w:pPr>
            <w:r>
              <w:rPr>
                <w:rFonts w:hint="eastAsia" w:ascii="宋体" w:hAnsi="宋体"/>
                <w:szCs w:val="21"/>
              </w:rPr>
              <w:t>1</w:t>
            </w:r>
          </w:p>
        </w:tc>
        <w:tc>
          <w:tcPr>
            <w:tcW w:w="7089" w:type="dxa"/>
            <w:tcBorders>
              <w:top w:val="single" w:color="auto" w:sz="4" w:space="0"/>
              <w:left w:val="single" w:color="auto" w:sz="4" w:space="0"/>
              <w:bottom w:val="single" w:color="auto" w:sz="4" w:space="0"/>
              <w:right w:val="single" w:color="auto" w:sz="4" w:space="0"/>
            </w:tcBorders>
            <w:vAlign w:val="center"/>
          </w:tcPr>
          <w:p w14:paraId="7E3EAA7E">
            <w:pPr>
              <w:adjustRightInd w:val="0"/>
              <w:rPr>
                <w:rFonts w:hint="eastAsia" w:ascii="宋体" w:hAnsi="宋体"/>
                <w:szCs w:val="21"/>
              </w:rPr>
            </w:pPr>
            <w:r>
              <w:rPr>
                <w:rFonts w:hint="eastAsia" w:ascii="宋体" w:hAnsi="宋体"/>
                <w:szCs w:val="21"/>
              </w:rPr>
              <w:t>不能满足完成投标项目工期的；</w:t>
            </w:r>
          </w:p>
        </w:tc>
        <w:tc>
          <w:tcPr>
            <w:tcW w:w="1395" w:type="dxa"/>
            <w:tcBorders>
              <w:top w:val="single" w:color="auto" w:sz="4" w:space="0"/>
              <w:left w:val="single" w:color="auto" w:sz="4" w:space="0"/>
              <w:bottom w:val="single" w:color="auto" w:sz="4" w:space="0"/>
              <w:right w:val="single" w:color="auto" w:sz="4" w:space="0"/>
            </w:tcBorders>
          </w:tcPr>
          <w:p w14:paraId="451FA553">
            <w:pPr>
              <w:adjustRightInd w:val="0"/>
              <w:rPr>
                <w:rFonts w:hint="eastAsia" w:ascii="宋体" w:hAnsi="宋体"/>
                <w:szCs w:val="21"/>
              </w:rPr>
            </w:pPr>
          </w:p>
        </w:tc>
        <w:tc>
          <w:tcPr>
            <w:tcW w:w="1305" w:type="dxa"/>
            <w:tcBorders>
              <w:top w:val="single" w:color="auto" w:sz="4" w:space="0"/>
              <w:left w:val="single" w:color="auto" w:sz="4" w:space="0"/>
              <w:bottom w:val="single" w:color="auto" w:sz="4" w:space="0"/>
              <w:right w:val="single" w:color="auto" w:sz="4" w:space="0"/>
            </w:tcBorders>
          </w:tcPr>
          <w:p w14:paraId="6A163D3D">
            <w:pPr>
              <w:adjustRightInd w:val="0"/>
              <w:rPr>
                <w:rFonts w:hint="eastAsia" w:ascii="宋体" w:hAnsi="宋体"/>
                <w:szCs w:val="21"/>
              </w:rPr>
            </w:pPr>
          </w:p>
        </w:tc>
        <w:tc>
          <w:tcPr>
            <w:tcW w:w="1320" w:type="dxa"/>
            <w:tcBorders>
              <w:top w:val="single" w:color="auto" w:sz="4" w:space="0"/>
              <w:left w:val="single" w:color="auto" w:sz="4" w:space="0"/>
              <w:bottom w:val="single" w:color="auto" w:sz="4" w:space="0"/>
              <w:right w:val="single" w:color="auto" w:sz="4" w:space="0"/>
            </w:tcBorders>
          </w:tcPr>
          <w:p w14:paraId="72383010">
            <w:pPr>
              <w:adjustRightInd w:val="0"/>
              <w:rPr>
                <w:rFonts w:hint="eastAsia" w:ascii="宋体" w:hAnsi="宋体"/>
                <w:szCs w:val="21"/>
              </w:rPr>
            </w:pPr>
          </w:p>
        </w:tc>
        <w:tc>
          <w:tcPr>
            <w:tcW w:w="1320" w:type="dxa"/>
            <w:tcBorders>
              <w:top w:val="single" w:color="auto" w:sz="4" w:space="0"/>
              <w:left w:val="single" w:color="auto" w:sz="4" w:space="0"/>
              <w:bottom w:val="single" w:color="auto" w:sz="4" w:space="0"/>
              <w:right w:val="single" w:color="auto" w:sz="4" w:space="0"/>
            </w:tcBorders>
          </w:tcPr>
          <w:p w14:paraId="7098CD05">
            <w:pPr>
              <w:adjustRightInd w:val="0"/>
              <w:rPr>
                <w:rFonts w:hint="eastAsia" w:ascii="宋体" w:hAnsi="宋体"/>
                <w:szCs w:val="21"/>
              </w:rPr>
            </w:pPr>
          </w:p>
        </w:tc>
        <w:tc>
          <w:tcPr>
            <w:tcW w:w="1289" w:type="dxa"/>
            <w:tcBorders>
              <w:top w:val="single" w:color="auto" w:sz="4" w:space="0"/>
              <w:left w:val="single" w:color="auto" w:sz="4" w:space="0"/>
              <w:bottom w:val="single" w:color="auto" w:sz="4" w:space="0"/>
              <w:right w:val="single" w:color="auto" w:sz="4" w:space="0"/>
            </w:tcBorders>
          </w:tcPr>
          <w:p w14:paraId="30FE38B8">
            <w:pPr>
              <w:adjustRightInd w:val="0"/>
              <w:rPr>
                <w:rFonts w:hint="eastAsia" w:ascii="宋体" w:hAnsi="宋体"/>
                <w:szCs w:val="21"/>
              </w:rPr>
            </w:pPr>
          </w:p>
        </w:tc>
      </w:tr>
      <w:tr w14:paraId="6C51E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8" w:type="dxa"/>
            <w:tcBorders>
              <w:top w:val="single" w:color="auto" w:sz="4" w:space="0"/>
              <w:left w:val="single" w:color="auto" w:sz="4" w:space="0"/>
              <w:bottom w:val="single" w:color="auto" w:sz="4" w:space="0"/>
              <w:right w:val="single" w:color="auto" w:sz="4" w:space="0"/>
            </w:tcBorders>
            <w:vAlign w:val="center"/>
          </w:tcPr>
          <w:p w14:paraId="682C3B1B">
            <w:pPr>
              <w:adjustRightInd w:val="0"/>
              <w:rPr>
                <w:rFonts w:hint="eastAsia" w:ascii="宋体" w:hAnsi="宋体"/>
                <w:szCs w:val="21"/>
              </w:rPr>
            </w:pPr>
            <w:r>
              <w:rPr>
                <w:rFonts w:hint="eastAsia" w:ascii="宋体" w:hAnsi="宋体"/>
                <w:szCs w:val="21"/>
              </w:rPr>
              <w:t>2</w:t>
            </w:r>
          </w:p>
        </w:tc>
        <w:tc>
          <w:tcPr>
            <w:tcW w:w="7089" w:type="dxa"/>
            <w:tcBorders>
              <w:top w:val="single" w:color="auto" w:sz="4" w:space="0"/>
              <w:left w:val="single" w:color="auto" w:sz="4" w:space="0"/>
              <w:bottom w:val="single" w:color="auto" w:sz="4" w:space="0"/>
              <w:right w:val="single" w:color="auto" w:sz="4" w:space="0"/>
            </w:tcBorders>
            <w:vAlign w:val="center"/>
          </w:tcPr>
          <w:p w14:paraId="03E469C8">
            <w:pPr>
              <w:adjustRightInd w:val="0"/>
              <w:rPr>
                <w:rFonts w:hint="eastAsia" w:ascii="宋体" w:hAnsi="宋体"/>
                <w:szCs w:val="21"/>
              </w:rPr>
            </w:pPr>
            <w:r>
              <w:rPr>
                <w:rFonts w:hint="eastAsia" w:ascii="宋体" w:hAnsi="宋体"/>
                <w:szCs w:val="21"/>
                <w:u w:val="single"/>
              </w:rPr>
              <w:t>不符合招标文件及有关技术规格、质量要求、检验标准和方法的；</w:t>
            </w:r>
          </w:p>
        </w:tc>
        <w:tc>
          <w:tcPr>
            <w:tcW w:w="1395" w:type="dxa"/>
            <w:tcBorders>
              <w:top w:val="single" w:color="auto" w:sz="4" w:space="0"/>
              <w:left w:val="single" w:color="auto" w:sz="4" w:space="0"/>
              <w:bottom w:val="single" w:color="auto" w:sz="4" w:space="0"/>
              <w:right w:val="single" w:color="auto" w:sz="4" w:space="0"/>
            </w:tcBorders>
          </w:tcPr>
          <w:p w14:paraId="6CBAD181">
            <w:pPr>
              <w:adjustRightInd w:val="0"/>
              <w:rPr>
                <w:rFonts w:hint="eastAsia" w:ascii="宋体" w:hAnsi="宋体"/>
                <w:szCs w:val="21"/>
              </w:rPr>
            </w:pPr>
          </w:p>
        </w:tc>
        <w:tc>
          <w:tcPr>
            <w:tcW w:w="1305" w:type="dxa"/>
            <w:tcBorders>
              <w:top w:val="single" w:color="auto" w:sz="4" w:space="0"/>
              <w:left w:val="single" w:color="auto" w:sz="4" w:space="0"/>
              <w:bottom w:val="single" w:color="auto" w:sz="4" w:space="0"/>
              <w:right w:val="single" w:color="auto" w:sz="4" w:space="0"/>
            </w:tcBorders>
          </w:tcPr>
          <w:p w14:paraId="56043660">
            <w:pPr>
              <w:adjustRightInd w:val="0"/>
              <w:rPr>
                <w:rFonts w:hint="eastAsia" w:ascii="宋体" w:hAnsi="宋体"/>
                <w:szCs w:val="21"/>
              </w:rPr>
            </w:pPr>
          </w:p>
        </w:tc>
        <w:tc>
          <w:tcPr>
            <w:tcW w:w="1320" w:type="dxa"/>
            <w:tcBorders>
              <w:top w:val="single" w:color="auto" w:sz="4" w:space="0"/>
              <w:left w:val="single" w:color="auto" w:sz="4" w:space="0"/>
              <w:bottom w:val="single" w:color="auto" w:sz="4" w:space="0"/>
              <w:right w:val="single" w:color="auto" w:sz="4" w:space="0"/>
            </w:tcBorders>
          </w:tcPr>
          <w:p w14:paraId="7AA6EC18">
            <w:pPr>
              <w:adjustRightInd w:val="0"/>
              <w:rPr>
                <w:rFonts w:hint="eastAsia" w:ascii="宋体" w:hAnsi="宋体"/>
                <w:szCs w:val="21"/>
              </w:rPr>
            </w:pPr>
          </w:p>
        </w:tc>
        <w:tc>
          <w:tcPr>
            <w:tcW w:w="1320" w:type="dxa"/>
            <w:tcBorders>
              <w:top w:val="single" w:color="auto" w:sz="4" w:space="0"/>
              <w:left w:val="single" w:color="auto" w:sz="4" w:space="0"/>
              <w:bottom w:val="single" w:color="auto" w:sz="4" w:space="0"/>
              <w:right w:val="single" w:color="auto" w:sz="4" w:space="0"/>
            </w:tcBorders>
          </w:tcPr>
          <w:p w14:paraId="70BC5225">
            <w:pPr>
              <w:adjustRightInd w:val="0"/>
              <w:rPr>
                <w:rFonts w:hint="eastAsia" w:ascii="宋体" w:hAnsi="宋体"/>
                <w:szCs w:val="21"/>
              </w:rPr>
            </w:pPr>
          </w:p>
        </w:tc>
        <w:tc>
          <w:tcPr>
            <w:tcW w:w="1289" w:type="dxa"/>
            <w:tcBorders>
              <w:top w:val="single" w:color="auto" w:sz="4" w:space="0"/>
              <w:left w:val="single" w:color="auto" w:sz="4" w:space="0"/>
              <w:bottom w:val="single" w:color="auto" w:sz="4" w:space="0"/>
              <w:right w:val="single" w:color="auto" w:sz="4" w:space="0"/>
            </w:tcBorders>
          </w:tcPr>
          <w:p w14:paraId="03A85858">
            <w:pPr>
              <w:adjustRightInd w:val="0"/>
              <w:rPr>
                <w:rFonts w:hint="eastAsia" w:ascii="宋体" w:hAnsi="宋体"/>
                <w:szCs w:val="21"/>
              </w:rPr>
            </w:pPr>
          </w:p>
        </w:tc>
      </w:tr>
      <w:tr w14:paraId="2A704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8" w:type="dxa"/>
            <w:tcBorders>
              <w:top w:val="single" w:color="auto" w:sz="4" w:space="0"/>
              <w:left w:val="single" w:color="auto" w:sz="4" w:space="0"/>
              <w:bottom w:val="single" w:color="auto" w:sz="4" w:space="0"/>
              <w:right w:val="single" w:color="auto" w:sz="4" w:space="0"/>
            </w:tcBorders>
            <w:vAlign w:val="center"/>
          </w:tcPr>
          <w:p w14:paraId="1D3F605D">
            <w:pPr>
              <w:adjustRightInd w:val="0"/>
              <w:rPr>
                <w:rFonts w:hint="eastAsia" w:ascii="宋体" w:hAnsi="宋体"/>
                <w:szCs w:val="21"/>
              </w:rPr>
            </w:pPr>
            <w:r>
              <w:rPr>
                <w:rFonts w:ascii="宋体" w:hAnsi="宋体"/>
                <w:szCs w:val="21"/>
              </w:rPr>
              <w:t>3</w:t>
            </w:r>
          </w:p>
        </w:tc>
        <w:tc>
          <w:tcPr>
            <w:tcW w:w="7089" w:type="dxa"/>
            <w:tcBorders>
              <w:top w:val="single" w:color="auto" w:sz="4" w:space="0"/>
              <w:left w:val="single" w:color="auto" w:sz="4" w:space="0"/>
              <w:bottom w:val="single" w:color="auto" w:sz="4" w:space="0"/>
              <w:right w:val="single" w:color="auto" w:sz="4" w:space="0"/>
            </w:tcBorders>
            <w:vAlign w:val="center"/>
          </w:tcPr>
          <w:p w14:paraId="2360812A">
            <w:pPr>
              <w:adjustRightInd w:val="0"/>
              <w:rPr>
                <w:rFonts w:hint="eastAsia" w:ascii="宋体" w:hAnsi="宋体"/>
                <w:szCs w:val="21"/>
              </w:rPr>
            </w:pPr>
            <w:r>
              <w:rPr>
                <w:rFonts w:hint="eastAsia" w:ascii="宋体" w:hAnsi="宋体"/>
                <w:szCs w:val="21"/>
              </w:rPr>
              <w:t>投标文件中没有有效的法定代表人证明书，或由委托代理人签署的投标文件中没有法定代表人授权书；</w:t>
            </w:r>
          </w:p>
        </w:tc>
        <w:tc>
          <w:tcPr>
            <w:tcW w:w="1395" w:type="dxa"/>
            <w:tcBorders>
              <w:top w:val="single" w:color="auto" w:sz="4" w:space="0"/>
              <w:left w:val="single" w:color="auto" w:sz="4" w:space="0"/>
              <w:bottom w:val="single" w:color="auto" w:sz="4" w:space="0"/>
              <w:right w:val="single" w:color="auto" w:sz="4" w:space="0"/>
            </w:tcBorders>
          </w:tcPr>
          <w:p w14:paraId="4847F6A2">
            <w:pPr>
              <w:adjustRightInd w:val="0"/>
              <w:rPr>
                <w:rFonts w:hint="eastAsia" w:ascii="宋体" w:hAnsi="宋体"/>
                <w:szCs w:val="21"/>
              </w:rPr>
            </w:pPr>
          </w:p>
        </w:tc>
        <w:tc>
          <w:tcPr>
            <w:tcW w:w="1305" w:type="dxa"/>
            <w:tcBorders>
              <w:top w:val="single" w:color="auto" w:sz="4" w:space="0"/>
              <w:left w:val="single" w:color="auto" w:sz="4" w:space="0"/>
              <w:bottom w:val="single" w:color="auto" w:sz="4" w:space="0"/>
              <w:right w:val="single" w:color="auto" w:sz="4" w:space="0"/>
            </w:tcBorders>
          </w:tcPr>
          <w:p w14:paraId="0BCD7E8B">
            <w:pPr>
              <w:adjustRightInd w:val="0"/>
              <w:rPr>
                <w:rFonts w:hint="eastAsia" w:ascii="宋体" w:hAnsi="宋体"/>
                <w:szCs w:val="21"/>
              </w:rPr>
            </w:pPr>
          </w:p>
        </w:tc>
        <w:tc>
          <w:tcPr>
            <w:tcW w:w="1320" w:type="dxa"/>
            <w:tcBorders>
              <w:top w:val="single" w:color="auto" w:sz="4" w:space="0"/>
              <w:left w:val="single" w:color="auto" w:sz="4" w:space="0"/>
              <w:bottom w:val="single" w:color="auto" w:sz="4" w:space="0"/>
              <w:right w:val="single" w:color="auto" w:sz="4" w:space="0"/>
            </w:tcBorders>
          </w:tcPr>
          <w:p w14:paraId="657C5E3B">
            <w:pPr>
              <w:adjustRightInd w:val="0"/>
              <w:rPr>
                <w:rFonts w:hint="eastAsia" w:ascii="宋体" w:hAnsi="宋体"/>
                <w:szCs w:val="21"/>
              </w:rPr>
            </w:pPr>
          </w:p>
        </w:tc>
        <w:tc>
          <w:tcPr>
            <w:tcW w:w="1320" w:type="dxa"/>
            <w:tcBorders>
              <w:top w:val="single" w:color="auto" w:sz="4" w:space="0"/>
              <w:left w:val="single" w:color="auto" w:sz="4" w:space="0"/>
              <w:bottom w:val="single" w:color="auto" w:sz="4" w:space="0"/>
              <w:right w:val="single" w:color="auto" w:sz="4" w:space="0"/>
            </w:tcBorders>
          </w:tcPr>
          <w:p w14:paraId="6F37DF10">
            <w:pPr>
              <w:adjustRightInd w:val="0"/>
              <w:rPr>
                <w:rFonts w:hint="eastAsia" w:ascii="宋体" w:hAnsi="宋体"/>
                <w:szCs w:val="21"/>
              </w:rPr>
            </w:pPr>
          </w:p>
        </w:tc>
        <w:tc>
          <w:tcPr>
            <w:tcW w:w="1289" w:type="dxa"/>
            <w:tcBorders>
              <w:top w:val="single" w:color="auto" w:sz="4" w:space="0"/>
              <w:left w:val="single" w:color="auto" w:sz="4" w:space="0"/>
              <w:bottom w:val="single" w:color="auto" w:sz="4" w:space="0"/>
              <w:right w:val="single" w:color="auto" w:sz="4" w:space="0"/>
            </w:tcBorders>
          </w:tcPr>
          <w:p w14:paraId="4D755CA7">
            <w:pPr>
              <w:adjustRightInd w:val="0"/>
              <w:rPr>
                <w:rFonts w:hint="eastAsia" w:ascii="宋体" w:hAnsi="宋体"/>
                <w:szCs w:val="21"/>
              </w:rPr>
            </w:pPr>
          </w:p>
        </w:tc>
      </w:tr>
      <w:tr w14:paraId="7507F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8" w:type="dxa"/>
            <w:tcBorders>
              <w:top w:val="single" w:color="auto" w:sz="4" w:space="0"/>
              <w:left w:val="single" w:color="auto" w:sz="4" w:space="0"/>
              <w:bottom w:val="single" w:color="auto" w:sz="4" w:space="0"/>
              <w:right w:val="single" w:color="auto" w:sz="4" w:space="0"/>
            </w:tcBorders>
            <w:vAlign w:val="center"/>
          </w:tcPr>
          <w:p w14:paraId="302B74CC">
            <w:pPr>
              <w:adjustRightInd w:val="0"/>
              <w:rPr>
                <w:rFonts w:hint="eastAsia" w:ascii="宋体" w:hAnsi="宋体"/>
                <w:szCs w:val="21"/>
              </w:rPr>
            </w:pPr>
            <w:r>
              <w:rPr>
                <w:rFonts w:ascii="宋体" w:hAnsi="宋体"/>
                <w:szCs w:val="21"/>
              </w:rPr>
              <w:t>4</w:t>
            </w:r>
          </w:p>
        </w:tc>
        <w:tc>
          <w:tcPr>
            <w:tcW w:w="7089" w:type="dxa"/>
            <w:tcBorders>
              <w:top w:val="single" w:color="auto" w:sz="4" w:space="0"/>
              <w:left w:val="single" w:color="auto" w:sz="4" w:space="0"/>
              <w:bottom w:val="single" w:color="auto" w:sz="4" w:space="0"/>
              <w:right w:val="single" w:color="auto" w:sz="4" w:space="0"/>
            </w:tcBorders>
            <w:vAlign w:val="center"/>
          </w:tcPr>
          <w:p w14:paraId="0E2C8B02">
            <w:pPr>
              <w:adjustRightInd w:val="0"/>
              <w:rPr>
                <w:rFonts w:hint="eastAsia" w:ascii="宋体" w:hAnsi="宋体"/>
                <w:szCs w:val="21"/>
              </w:rPr>
            </w:pPr>
            <w:r>
              <w:rPr>
                <w:rFonts w:hint="eastAsia" w:ascii="宋体" w:hAnsi="宋体"/>
                <w:szCs w:val="21"/>
              </w:rPr>
              <w:t>投标文件未按规定的格式</w:t>
            </w:r>
            <w:r>
              <w:rPr>
                <w:rFonts w:hint="eastAsia" w:ascii="宋体" w:hAnsi="宋体" w:cs="宋体"/>
                <w:szCs w:val="21"/>
                <w:u w:val="single"/>
              </w:rPr>
              <w:t>（招标文件第四章投标文件格式一、投标文件技术标部分格式</w:t>
            </w:r>
            <w:r>
              <w:rPr>
                <w:rFonts w:ascii="宋体" w:hAnsi="宋体" w:cs="宋体"/>
                <w:szCs w:val="21"/>
                <w:u w:val="single"/>
              </w:rPr>
              <w:t>）</w:t>
            </w:r>
            <w:r>
              <w:rPr>
                <w:rFonts w:hint="eastAsia" w:ascii="宋体" w:hAnsi="宋体"/>
                <w:szCs w:val="21"/>
              </w:rPr>
              <w:t>填写，或主要内容不全，或关键字迹模糊、无法辨认的；</w:t>
            </w:r>
          </w:p>
        </w:tc>
        <w:tc>
          <w:tcPr>
            <w:tcW w:w="1395" w:type="dxa"/>
            <w:tcBorders>
              <w:top w:val="single" w:color="auto" w:sz="4" w:space="0"/>
              <w:left w:val="single" w:color="auto" w:sz="4" w:space="0"/>
              <w:bottom w:val="single" w:color="auto" w:sz="4" w:space="0"/>
              <w:right w:val="single" w:color="auto" w:sz="4" w:space="0"/>
            </w:tcBorders>
          </w:tcPr>
          <w:p w14:paraId="5DDD777C">
            <w:pPr>
              <w:adjustRightInd w:val="0"/>
              <w:rPr>
                <w:rFonts w:hint="eastAsia" w:ascii="宋体" w:hAnsi="宋体"/>
                <w:szCs w:val="21"/>
              </w:rPr>
            </w:pPr>
          </w:p>
        </w:tc>
        <w:tc>
          <w:tcPr>
            <w:tcW w:w="1305" w:type="dxa"/>
            <w:tcBorders>
              <w:top w:val="single" w:color="auto" w:sz="4" w:space="0"/>
              <w:left w:val="single" w:color="auto" w:sz="4" w:space="0"/>
              <w:bottom w:val="single" w:color="auto" w:sz="4" w:space="0"/>
              <w:right w:val="single" w:color="auto" w:sz="4" w:space="0"/>
            </w:tcBorders>
          </w:tcPr>
          <w:p w14:paraId="143DACE3">
            <w:pPr>
              <w:adjustRightInd w:val="0"/>
              <w:rPr>
                <w:rFonts w:hint="eastAsia" w:ascii="宋体" w:hAnsi="宋体"/>
                <w:szCs w:val="21"/>
              </w:rPr>
            </w:pPr>
          </w:p>
        </w:tc>
        <w:tc>
          <w:tcPr>
            <w:tcW w:w="1320" w:type="dxa"/>
            <w:tcBorders>
              <w:top w:val="single" w:color="auto" w:sz="4" w:space="0"/>
              <w:left w:val="single" w:color="auto" w:sz="4" w:space="0"/>
              <w:bottom w:val="single" w:color="auto" w:sz="4" w:space="0"/>
              <w:right w:val="single" w:color="auto" w:sz="4" w:space="0"/>
            </w:tcBorders>
          </w:tcPr>
          <w:p w14:paraId="1D1E35F7">
            <w:pPr>
              <w:adjustRightInd w:val="0"/>
              <w:rPr>
                <w:rFonts w:hint="eastAsia" w:ascii="宋体" w:hAnsi="宋体"/>
                <w:szCs w:val="21"/>
              </w:rPr>
            </w:pPr>
          </w:p>
        </w:tc>
        <w:tc>
          <w:tcPr>
            <w:tcW w:w="1320" w:type="dxa"/>
            <w:tcBorders>
              <w:top w:val="single" w:color="auto" w:sz="4" w:space="0"/>
              <w:left w:val="single" w:color="auto" w:sz="4" w:space="0"/>
              <w:bottom w:val="single" w:color="auto" w:sz="4" w:space="0"/>
              <w:right w:val="single" w:color="auto" w:sz="4" w:space="0"/>
            </w:tcBorders>
          </w:tcPr>
          <w:p w14:paraId="2B0912BC">
            <w:pPr>
              <w:adjustRightInd w:val="0"/>
              <w:rPr>
                <w:rFonts w:hint="eastAsia" w:ascii="宋体" w:hAnsi="宋体"/>
                <w:szCs w:val="21"/>
              </w:rPr>
            </w:pPr>
          </w:p>
        </w:tc>
        <w:tc>
          <w:tcPr>
            <w:tcW w:w="1289" w:type="dxa"/>
            <w:tcBorders>
              <w:top w:val="single" w:color="auto" w:sz="4" w:space="0"/>
              <w:left w:val="single" w:color="auto" w:sz="4" w:space="0"/>
              <w:bottom w:val="single" w:color="auto" w:sz="4" w:space="0"/>
              <w:right w:val="single" w:color="auto" w:sz="4" w:space="0"/>
            </w:tcBorders>
          </w:tcPr>
          <w:p w14:paraId="16206D26">
            <w:pPr>
              <w:adjustRightInd w:val="0"/>
              <w:rPr>
                <w:rFonts w:hint="eastAsia" w:ascii="宋体" w:hAnsi="宋体"/>
                <w:szCs w:val="21"/>
              </w:rPr>
            </w:pPr>
          </w:p>
        </w:tc>
      </w:tr>
      <w:tr w14:paraId="748DF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8" w:type="dxa"/>
            <w:tcBorders>
              <w:top w:val="single" w:color="auto" w:sz="4" w:space="0"/>
              <w:left w:val="single" w:color="auto" w:sz="4" w:space="0"/>
              <w:bottom w:val="single" w:color="auto" w:sz="4" w:space="0"/>
              <w:right w:val="single" w:color="auto" w:sz="4" w:space="0"/>
            </w:tcBorders>
            <w:vAlign w:val="center"/>
          </w:tcPr>
          <w:p w14:paraId="4E79646A">
            <w:pPr>
              <w:adjustRightInd w:val="0"/>
              <w:rPr>
                <w:rFonts w:hint="eastAsia" w:ascii="宋体" w:hAnsi="宋体"/>
                <w:szCs w:val="21"/>
              </w:rPr>
            </w:pPr>
            <w:r>
              <w:rPr>
                <w:rFonts w:ascii="宋体" w:hAnsi="宋体"/>
                <w:szCs w:val="21"/>
              </w:rPr>
              <w:t>5</w:t>
            </w:r>
          </w:p>
        </w:tc>
        <w:tc>
          <w:tcPr>
            <w:tcW w:w="7089" w:type="dxa"/>
            <w:tcBorders>
              <w:top w:val="single" w:color="auto" w:sz="4" w:space="0"/>
              <w:left w:val="single" w:color="auto" w:sz="4" w:space="0"/>
              <w:bottom w:val="single" w:color="auto" w:sz="4" w:space="0"/>
              <w:right w:val="single" w:color="auto" w:sz="4" w:space="0"/>
            </w:tcBorders>
            <w:vAlign w:val="center"/>
          </w:tcPr>
          <w:p w14:paraId="220E15BE">
            <w:pPr>
              <w:adjustRightInd w:val="0"/>
              <w:rPr>
                <w:rFonts w:hint="eastAsia" w:ascii="宋体" w:hAnsi="宋体"/>
                <w:szCs w:val="21"/>
              </w:rPr>
            </w:pPr>
            <w:r>
              <w:rPr>
                <w:rFonts w:hint="eastAsia" w:ascii="宋体" w:hAnsi="宋体"/>
                <w:szCs w:val="21"/>
              </w:rPr>
              <w:t>投标人之间存在《广东省实施&lt;中华人民共和国招标投标法&gt;》第十六条所禁止的情形的；</w:t>
            </w:r>
          </w:p>
        </w:tc>
        <w:tc>
          <w:tcPr>
            <w:tcW w:w="1395" w:type="dxa"/>
            <w:tcBorders>
              <w:top w:val="single" w:color="auto" w:sz="4" w:space="0"/>
              <w:left w:val="single" w:color="auto" w:sz="4" w:space="0"/>
              <w:bottom w:val="single" w:color="auto" w:sz="4" w:space="0"/>
              <w:right w:val="single" w:color="auto" w:sz="4" w:space="0"/>
            </w:tcBorders>
          </w:tcPr>
          <w:p w14:paraId="1164EEB2">
            <w:pPr>
              <w:adjustRightInd w:val="0"/>
              <w:rPr>
                <w:rFonts w:hint="eastAsia" w:ascii="宋体" w:hAnsi="宋体"/>
                <w:szCs w:val="21"/>
              </w:rPr>
            </w:pPr>
          </w:p>
        </w:tc>
        <w:tc>
          <w:tcPr>
            <w:tcW w:w="1305" w:type="dxa"/>
            <w:tcBorders>
              <w:top w:val="single" w:color="auto" w:sz="4" w:space="0"/>
              <w:left w:val="single" w:color="auto" w:sz="4" w:space="0"/>
              <w:bottom w:val="single" w:color="auto" w:sz="4" w:space="0"/>
              <w:right w:val="single" w:color="auto" w:sz="4" w:space="0"/>
            </w:tcBorders>
          </w:tcPr>
          <w:p w14:paraId="6825DFE1">
            <w:pPr>
              <w:adjustRightInd w:val="0"/>
              <w:rPr>
                <w:rFonts w:hint="eastAsia" w:ascii="宋体" w:hAnsi="宋体"/>
                <w:szCs w:val="21"/>
              </w:rPr>
            </w:pPr>
          </w:p>
        </w:tc>
        <w:tc>
          <w:tcPr>
            <w:tcW w:w="1320" w:type="dxa"/>
            <w:tcBorders>
              <w:top w:val="single" w:color="auto" w:sz="4" w:space="0"/>
              <w:left w:val="single" w:color="auto" w:sz="4" w:space="0"/>
              <w:bottom w:val="single" w:color="auto" w:sz="4" w:space="0"/>
              <w:right w:val="single" w:color="auto" w:sz="4" w:space="0"/>
            </w:tcBorders>
          </w:tcPr>
          <w:p w14:paraId="100AA3F1">
            <w:pPr>
              <w:adjustRightInd w:val="0"/>
              <w:rPr>
                <w:rFonts w:hint="eastAsia" w:ascii="宋体" w:hAnsi="宋体"/>
                <w:szCs w:val="21"/>
              </w:rPr>
            </w:pPr>
          </w:p>
        </w:tc>
        <w:tc>
          <w:tcPr>
            <w:tcW w:w="1320" w:type="dxa"/>
            <w:tcBorders>
              <w:top w:val="single" w:color="auto" w:sz="4" w:space="0"/>
              <w:left w:val="single" w:color="auto" w:sz="4" w:space="0"/>
              <w:bottom w:val="single" w:color="auto" w:sz="4" w:space="0"/>
              <w:right w:val="single" w:color="auto" w:sz="4" w:space="0"/>
            </w:tcBorders>
          </w:tcPr>
          <w:p w14:paraId="034008EE">
            <w:pPr>
              <w:adjustRightInd w:val="0"/>
              <w:rPr>
                <w:rFonts w:hint="eastAsia" w:ascii="宋体" w:hAnsi="宋体"/>
                <w:szCs w:val="21"/>
              </w:rPr>
            </w:pPr>
          </w:p>
        </w:tc>
        <w:tc>
          <w:tcPr>
            <w:tcW w:w="1289" w:type="dxa"/>
            <w:tcBorders>
              <w:top w:val="single" w:color="auto" w:sz="4" w:space="0"/>
              <w:left w:val="single" w:color="auto" w:sz="4" w:space="0"/>
              <w:bottom w:val="single" w:color="auto" w:sz="4" w:space="0"/>
              <w:right w:val="single" w:color="auto" w:sz="4" w:space="0"/>
            </w:tcBorders>
          </w:tcPr>
          <w:p w14:paraId="4AA344AA">
            <w:pPr>
              <w:adjustRightInd w:val="0"/>
              <w:rPr>
                <w:rFonts w:hint="eastAsia" w:ascii="宋体" w:hAnsi="宋体"/>
                <w:szCs w:val="21"/>
              </w:rPr>
            </w:pPr>
          </w:p>
        </w:tc>
      </w:tr>
      <w:tr w14:paraId="13F96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8" w:type="dxa"/>
            <w:tcBorders>
              <w:top w:val="single" w:color="auto" w:sz="4" w:space="0"/>
              <w:left w:val="single" w:color="auto" w:sz="4" w:space="0"/>
              <w:bottom w:val="single" w:color="auto" w:sz="4" w:space="0"/>
              <w:right w:val="single" w:color="auto" w:sz="4" w:space="0"/>
            </w:tcBorders>
            <w:vAlign w:val="center"/>
          </w:tcPr>
          <w:p w14:paraId="060BB52D">
            <w:pPr>
              <w:adjustRightInd w:val="0"/>
              <w:rPr>
                <w:rFonts w:hint="eastAsia" w:ascii="宋体" w:hAnsi="宋体"/>
                <w:szCs w:val="21"/>
              </w:rPr>
            </w:pPr>
            <w:r>
              <w:rPr>
                <w:rFonts w:ascii="宋体" w:hAnsi="宋体"/>
                <w:szCs w:val="21"/>
              </w:rPr>
              <w:t>6</w:t>
            </w:r>
          </w:p>
        </w:tc>
        <w:tc>
          <w:tcPr>
            <w:tcW w:w="7089" w:type="dxa"/>
            <w:tcBorders>
              <w:top w:val="single" w:color="auto" w:sz="4" w:space="0"/>
              <w:left w:val="single" w:color="auto" w:sz="4" w:space="0"/>
              <w:bottom w:val="single" w:color="auto" w:sz="4" w:space="0"/>
              <w:right w:val="single" w:color="auto" w:sz="4" w:space="0"/>
            </w:tcBorders>
            <w:vAlign w:val="center"/>
          </w:tcPr>
          <w:p w14:paraId="0A323E37">
            <w:pPr>
              <w:adjustRightInd w:val="0"/>
              <w:rPr>
                <w:rFonts w:hint="eastAsia" w:ascii="宋体" w:hAnsi="宋体"/>
                <w:szCs w:val="21"/>
              </w:rPr>
            </w:pPr>
            <w:r>
              <w:rPr>
                <w:rFonts w:hint="eastAsia" w:ascii="宋体" w:hAnsi="宋体"/>
                <w:szCs w:val="21"/>
              </w:rPr>
              <w:t>无《参与编制技术标投标文件人员名单》的；</w:t>
            </w:r>
          </w:p>
        </w:tc>
        <w:tc>
          <w:tcPr>
            <w:tcW w:w="1395" w:type="dxa"/>
            <w:tcBorders>
              <w:top w:val="single" w:color="auto" w:sz="4" w:space="0"/>
              <w:left w:val="single" w:color="auto" w:sz="4" w:space="0"/>
              <w:bottom w:val="single" w:color="auto" w:sz="4" w:space="0"/>
              <w:right w:val="single" w:color="auto" w:sz="4" w:space="0"/>
            </w:tcBorders>
          </w:tcPr>
          <w:p w14:paraId="448986AB">
            <w:pPr>
              <w:adjustRightInd w:val="0"/>
              <w:rPr>
                <w:rFonts w:hint="eastAsia" w:ascii="宋体" w:hAnsi="宋体"/>
                <w:szCs w:val="21"/>
              </w:rPr>
            </w:pPr>
          </w:p>
        </w:tc>
        <w:tc>
          <w:tcPr>
            <w:tcW w:w="1305" w:type="dxa"/>
            <w:tcBorders>
              <w:top w:val="single" w:color="auto" w:sz="4" w:space="0"/>
              <w:left w:val="single" w:color="auto" w:sz="4" w:space="0"/>
              <w:bottom w:val="single" w:color="auto" w:sz="4" w:space="0"/>
              <w:right w:val="single" w:color="auto" w:sz="4" w:space="0"/>
            </w:tcBorders>
          </w:tcPr>
          <w:p w14:paraId="6B001AEC">
            <w:pPr>
              <w:adjustRightInd w:val="0"/>
              <w:rPr>
                <w:rFonts w:hint="eastAsia" w:ascii="宋体" w:hAnsi="宋体"/>
                <w:szCs w:val="21"/>
              </w:rPr>
            </w:pPr>
          </w:p>
        </w:tc>
        <w:tc>
          <w:tcPr>
            <w:tcW w:w="1320" w:type="dxa"/>
            <w:tcBorders>
              <w:top w:val="single" w:color="auto" w:sz="4" w:space="0"/>
              <w:left w:val="single" w:color="auto" w:sz="4" w:space="0"/>
              <w:bottom w:val="single" w:color="auto" w:sz="4" w:space="0"/>
              <w:right w:val="single" w:color="auto" w:sz="4" w:space="0"/>
            </w:tcBorders>
          </w:tcPr>
          <w:p w14:paraId="7E15B08A">
            <w:pPr>
              <w:adjustRightInd w:val="0"/>
              <w:rPr>
                <w:rFonts w:hint="eastAsia" w:ascii="宋体" w:hAnsi="宋体"/>
                <w:szCs w:val="21"/>
              </w:rPr>
            </w:pPr>
          </w:p>
        </w:tc>
        <w:tc>
          <w:tcPr>
            <w:tcW w:w="1320" w:type="dxa"/>
            <w:tcBorders>
              <w:top w:val="single" w:color="auto" w:sz="4" w:space="0"/>
              <w:left w:val="single" w:color="auto" w:sz="4" w:space="0"/>
              <w:bottom w:val="single" w:color="auto" w:sz="4" w:space="0"/>
              <w:right w:val="single" w:color="auto" w:sz="4" w:space="0"/>
            </w:tcBorders>
          </w:tcPr>
          <w:p w14:paraId="2122920D">
            <w:pPr>
              <w:adjustRightInd w:val="0"/>
              <w:rPr>
                <w:rFonts w:hint="eastAsia" w:ascii="宋体" w:hAnsi="宋体"/>
                <w:szCs w:val="21"/>
              </w:rPr>
            </w:pPr>
          </w:p>
        </w:tc>
        <w:tc>
          <w:tcPr>
            <w:tcW w:w="1289" w:type="dxa"/>
            <w:tcBorders>
              <w:top w:val="single" w:color="auto" w:sz="4" w:space="0"/>
              <w:left w:val="single" w:color="auto" w:sz="4" w:space="0"/>
              <w:bottom w:val="single" w:color="auto" w:sz="4" w:space="0"/>
              <w:right w:val="single" w:color="auto" w:sz="4" w:space="0"/>
            </w:tcBorders>
          </w:tcPr>
          <w:p w14:paraId="4649B033">
            <w:pPr>
              <w:adjustRightInd w:val="0"/>
              <w:rPr>
                <w:rFonts w:hint="eastAsia" w:ascii="宋体" w:hAnsi="宋体"/>
                <w:szCs w:val="21"/>
              </w:rPr>
            </w:pPr>
          </w:p>
        </w:tc>
      </w:tr>
      <w:tr w14:paraId="5428A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8" w:type="dxa"/>
            <w:tcBorders>
              <w:top w:val="single" w:color="auto" w:sz="4" w:space="0"/>
              <w:left w:val="single" w:color="auto" w:sz="4" w:space="0"/>
              <w:bottom w:val="single" w:color="auto" w:sz="4" w:space="0"/>
              <w:right w:val="single" w:color="auto" w:sz="4" w:space="0"/>
            </w:tcBorders>
            <w:vAlign w:val="center"/>
          </w:tcPr>
          <w:p w14:paraId="61D28BEA">
            <w:pPr>
              <w:adjustRightInd w:val="0"/>
              <w:rPr>
                <w:rFonts w:hint="eastAsia" w:ascii="宋体" w:hAnsi="宋体"/>
                <w:szCs w:val="21"/>
              </w:rPr>
            </w:pPr>
            <w:r>
              <w:rPr>
                <w:rFonts w:hint="eastAsia" w:ascii="宋体" w:hAnsi="宋体"/>
                <w:szCs w:val="21"/>
              </w:rPr>
              <w:t>7</w:t>
            </w:r>
          </w:p>
        </w:tc>
        <w:tc>
          <w:tcPr>
            <w:tcW w:w="7089" w:type="dxa"/>
            <w:tcBorders>
              <w:top w:val="single" w:color="auto" w:sz="4" w:space="0"/>
              <w:left w:val="single" w:color="auto" w:sz="4" w:space="0"/>
              <w:bottom w:val="single" w:color="auto" w:sz="4" w:space="0"/>
              <w:right w:val="single" w:color="auto" w:sz="4" w:space="0"/>
            </w:tcBorders>
            <w:vAlign w:val="center"/>
          </w:tcPr>
          <w:p w14:paraId="654E8498">
            <w:pPr>
              <w:adjustRightInd w:val="0"/>
              <w:rPr>
                <w:rFonts w:hint="eastAsia" w:ascii="宋体" w:hAnsi="宋体"/>
                <w:szCs w:val="21"/>
                <w:u w:val="single"/>
              </w:rPr>
            </w:pPr>
            <w:r>
              <w:rPr>
                <w:rFonts w:hint="eastAsia" w:ascii="宋体" w:hAnsi="宋体"/>
                <w:szCs w:val="21"/>
                <w:u w:val="single"/>
              </w:rPr>
              <w:t>无《危险性较大的分部分项工程安全管理措施》的</w:t>
            </w:r>
            <w:r>
              <w:rPr>
                <w:rFonts w:hint="eastAsia" w:ascii="宋体" w:hAnsi="宋体"/>
                <w:szCs w:val="21"/>
              </w:rPr>
              <w:t>；</w:t>
            </w:r>
          </w:p>
        </w:tc>
        <w:tc>
          <w:tcPr>
            <w:tcW w:w="1395" w:type="dxa"/>
            <w:tcBorders>
              <w:top w:val="single" w:color="auto" w:sz="4" w:space="0"/>
              <w:left w:val="single" w:color="auto" w:sz="4" w:space="0"/>
              <w:bottom w:val="single" w:color="auto" w:sz="4" w:space="0"/>
              <w:right w:val="single" w:color="auto" w:sz="4" w:space="0"/>
            </w:tcBorders>
          </w:tcPr>
          <w:p w14:paraId="1041AD56">
            <w:pPr>
              <w:adjustRightInd w:val="0"/>
              <w:rPr>
                <w:rFonts w:hint="eastAsia" w:ascii="宋体" w:hAnsi="宋体"/>
                <w:szCs w:val="21"/>
              </w:rPr>
            </w:pPr>
          </w:p>
        </w:tc>
        <w:tc>
          <w:tcPr>
            <w:tcW w:w="1305" w:type="dxa"/>
            <w:tcBorders>
              <w:top w:val="single" w:color="auto" w:sz="4" w:space="0"/>
              <w:left w:val="single" w:color="auto" w:sz="4" w:space="0"/>
              <w:bottom w:val="single" w:color="auto" w:sz="4" w:space="0"/>
              <w:right w:val="single" w:color="auto" w:sz="4" w:space="0"/>
            </w:tcBorders>
          </w:tcPr>
          <w:p w14:paraId="42A38838">
            <w:pPr>
              <w:adjustRightInd w:val="0"/>
              <w:rPr>
                <w:rFonts w:hint="eastAsia" w:ascii="宋体" w:hAnsi="宋体"/>
                <w:szCs w:val="21"/>
              </w:rPr>
            </w:pPr>
          </w:p>
        </w:tc>
        <w:tc>
          <w:tcPr>
            <w:tcW w:w="1320" w:type="dxa"/>
            <w:tcBorders>
              <w:top w:val="single" w:color="auto" w:sz="4" w:space="0"/>
              <w:left w:val="single" w:color="auto" w:sz="4" w:space="0"/>
              <w:bottom w:val="single" w:color="auto" w:sz="4" w:space="0"/>
              <w:right w:val="single" w:color="auto" w:sz="4" w:space="0"/>
            </w:tcBorders>
          </w:tcPr>
          <w:p w14:paraId="16ADAD3B">
            <w:pPr>
              <w:adjustRightInd w:val="0"/>
              <w:rPr>
                <w:rFonts w:hint="eastAsia" w:ascii="宋体" w:hAnsi="宋体"/>
                <w:szCs w:val="21"/>
              </w:rPr>
            </w:pPr>
          </w:p>
        </w:tc>
        <w:tc>
          <w:tcPr>
            <w:tcW w:w="1320" w:type="dxa"/>
            <w:tcBorders>
              <w:top w:val="single" w:color="auto" w:sz="4" w:space="0"/>
              <w:left w:val="single" w:color="auto" w:sz="4" w:space="0"/>
              <w:bottom w:val="single" w:color="auto" w:sz="4" w:space="0"/>
              <w:right w:val="single" w:color="auto" w:sz="4" w:space="0"/>
            </w:tcBorders>
          </w:tcPr>
          <w:p w14:paraId="1FDB5E97">
            <w:pPr>
              <w:adjustRightInd w:val="0"/>
              <w:rPr>
                <w:rFonts w:hint="eastAsia" w:ascii="宋体" w:hAnsi="宋体"/>
                <w:szCs w:val="21"/>
              </w:rPr>
            </w:pPr>
          </w:p>
        </w:tc>
        <w:tc>
          <w:tcPr>
            <w:tcW w:w="1289" w:type="dxa"/>
            <w:tcBorders>
              <w:top w:val="single" w:color="auto" w:sz="4" w:space="0"/>
              <w:left w:val="single" w:color="auto" w:sz="4" w:space="0"/>
              <w:bottom w:val="single" w:color="auto" w:sz="4" w:space="0"/>
              <w:right w:val="single" w:color="auto" w:sz="4" w:space="0"/>
            </w:tcBorders>
          </w:tcPr>
          <w:p w14:paraId="3DC89C80">
            <w:pPr>
              <w:adjustRightInd w:val="0"/>
              <w:rPr>
                <w:rFonts w:hint="eastAsia" w:ascii="宋体" w:hAnsi="宋体"/>
                <w:szCs w:val="21"/>
              </w:rPr>
            </w:pPr>
          </w:p>
        </w:tc>
      </w:tr>
      <w:tr w14:paraId="246EC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8" w:type="dxa"/>
            <w:tcBorders>
              <w:top w:val="single" w:color="auto" w:sz="4" w:space="0"/>
              <w:left w:val="single" w:color="auto" w:sz="4" w:space="0"/>
              <w:bottom w:val="single" w:color="auto" w:sz="4" w:space="0"/>
              <w:right w:val="single" w:color="auto" w:sz="4" w:space="0"/>
            </w:tcBorders>
            <w:vAlign w:val="center"/>
          </w:tcPr>
          <w:p w14:paraId="3664F8C1">
            <w:pPr>
              <w:adjustRightInd w:val="0"/>
              <w:rPr>
                <w:rFonts w:hint="eastAsia" w:ascii="宋体" w:hAnsi="宋体"/>
                <w:szCs w:val="21"/>
              </w:rPr>
            </w:pPr>
            <w:r>
              <w:rPr>
                <w:rFonts w:hint="eastAsia" w:ascii="宋体" w:hAnsi="宋体"/>
                <w:szCs w:val="21"/>
              </w:rPr>
              <w:t>8</w:t>
            </w:r>
          </w:p>
        </w:tc>
        <w:tc>
          <w:tcPr>
            <w:tcW w:w="7089" w:type="dxa"/>
            <w:tcBorders>
              <w:top w:val="single" w:color="auto" w:sz="4" w:space="0"/>
              <w:left w:val="single" w:color="auto" w:sz="4" w:space="0"/>
              <w:bottom w:val="single" w:color="auto" w:sz="4" w:space="0"/>
              <w:right w:val="single" w:color="auto" w:sz="4" w:space="0"/>
            </w:tcBorders>
            <w:vAlign w:val="center"/>
          </w:tcPr>
          <w:p w14:paraId="5AA7E3B8">
            <w:pPr>
              <w:adjustRightInd w:val="0"/>
              <w:rPr>
                <w:rFonts w:hint="eastAsia" w:ascii="宋体" w:hAnsi="宋体"/>
                <w:szCs w:val="21"/>
                <w:u w:val="single"/>
              </w:rPr>
            </w:pPr>
            <w:r>
              <w:rPr>
                <w:rFonts w:hint="eastAsia" w:ascii="宋体" w:hAnsi="宋体"/>
                <w:szCs w:val="21"/>
              </w:rPr>
              <w:t>投标人未按要求提交投标保证金的；</w:t>
            </w:r>
          </w:p>
        </w:tc>
        <w:tc>
          <w:tcPr>
            <w:tcW w:w="1395" w:type="dxa"/>
            <w:tcBorders>
              <w:top w:val="single" w:color="auto" w:sz="4" w:space="0"/>
              <w:left w:val="single" w:color="auto" w:sz="4" w:space="0"/>
              <w:bottom w:val="single" w:color="auto" w:sz="4" w:space="0"/>
              <w:right w:val="single" w:color="auto" w:sz="4" w:space="0"/>
            </w:tcBorders>
          </w:tcPr>
          <w:p w14:paraId="75D8015A">
            <w:pPr>
              <w:adjustRightInd w:val="0"/>
              <w:rPr>
                <w:rFonts w:hint="eastAsia" w:ascii="宋体" w:hAnsi="宋体"/>
                <w:szCs w:val="21"/>
              </w:rPr>
            </w:pPr>
          </w:p>
        </w:tc>
        <w:tc>
          <w:tcPr>
            <w:tcW w:w="1305" w:type="dxa"/>
            <w:tcBorders>
              <w:top w:val="single" w:color="auto" w:sz="4" w:space="0"/>
              <w:left w:val="single" w:color="auto" w:sz="4" w:space="0"/>
              <w:bottom w:val="single" w:color="auto" w:sz="4" w:space="0"/>
              <w:right w:val="single" w:color="auto" w:sz="4" w:space="0"/>
            </w:tcBorders>
          </w:tcPr>
          <w:p w14:paraId="7AB8CF08">
            <w:pPr>
              <w:adjustRightInd w:val="0"/>
              <w:rPr>
                <w:rFonts w:hint="eastAsia" w:ascii="宋体" w:hAnsi="宋体"/>
                <w:szCs w:val="21"/>
              </w:rPr>
            </w:pPr>
          </w:p>
        </w:tc>
        <w:tc>
          <w:tcPr>
            <w:tcW w:w="1320" w:type="dxa"/>
            <w:tcBorders>
              <w:top w:val="single" w:color="auto" w:sz="4" w:space="0"/>
              <w:left w:val="single" w:color="auto" w:sz="4" w:space="0"/>
              <w:bottom w:val="single" w:color="auto" w:sz="4" w:space="0"/>
              <w:right w:val="single" w:color="auto" w:sz="4" w:space="0"/>
            </w:tcBorders>
          </w:tcPr>
          <w:p w14:paraId="1EEB5122">
            <w:pPr>
              <w:adjustRightInd w:val="0"/>
              <w:rPr>
                <w:rFonts w:hint="eastAsia" w:ascii="宋体" w:hAnsi="宋体"/>
                <w:szCs w:val="21"/>
              </w:rPr>
            </w:pPr>
          </w:p>
        </w:tc>
        <w:tc>
          <w:tcPr>
            <w:tcW w:w="1320" w:type="dxa"/>
            <w:tcBorders>
              <w:top w:val="single" w:color="auto" w:sz="4" w:space="0"/>
              <w:left w:val="single" w:color="auto" w:sz="4" w:space="0"/>
              <w:bottom w:val="single" w:color="auto" w:sz="4" w:space="0"/>
              <w:right w:val="single" w:color="auto" w:sz="4" w:space="0"/>
            </w:tcBorders>
          </w:tcPr>
          <w:p w14:paraId="44943621">
            <w:pPr>
              <w:adjustRightInd w:val="0"/>
              <w:rPr>
                <w:rFonts w:hint="eastAsia" w:ascii="宋体" w:hAnsi="宋体"/>
                <w:szCs w:val="21"/>
              </w:rPr>
            </w:pPr>
          </w:p>
        </w:tc>
        <w:tc>
          <w:tcPr>
            <w:tcW w:w="1289" w:type="dxa"/>
            <w:tcBorders>
              <w:top w:val="single" w:color="auto" w:sz="4" w:space="0"/>
              <w:left w:val="single" w:color="auto" w:sz="4" w:space="0"/>
              <w:bottom w:val="single" w:color="auto" w:sz="4" w:space="0"/>
              <w:right w:val="single" w:color="auto" w:sz="4" w:space="0"/>
            </w:tcBorders>
          </w:tcPr>
          <w:p w14:paraId="04ED7359">
            <w:pPr>
              <w:adjustRightInd w:val="0"/>
              <w:rPr>
                <w:rFonts w:hint="eastAsia" w:ascii="宋体" w:hAnsi="宋体"/>
                <w:szCs w:val="21"/>
              </w:rPr>
            </w:pPr>
          </w:p>
        </w:tc>
      </w:tr>
      <w:tr w14:paraId="679A0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8" w:type="dxa"/>
            <w:tcBorders>
              <w:top w:val="single" w:color="auto" w:sz="4" w:space="0"/>
              <w:left w:val="single" w:color="auto" w:sz="4" w:space="0"/>
              <w:bottom w:val="single" w:color="auto" w:sz="4" w:space="0"/>
              <w:right w:val="single" w:color="auto" w:sz="4" w:space="0"/>
            </w:tcBorders>
            <w:vAlign w:val="center"/>
          </w:tcPr>
          <w:p w14:paraId="4978B071">
            <w:pPr>
              <w:adjustRightInd w:val="0"/>
              <w:rPr>
                <w:rFonts w:hint="eastAsia" w:ascii="宋体" w:hAnsi="宋体"/>
                <w:szCs w:val="21"/>
              </w:rPr>
            </w:pPr>
            <w:r>
              <w:rPr>
                <w:rFonts w:hint="eastAsia" w:ascii="宋体" w:hAnsi="宋体"/>
                <w:szCs w:val="21"/>
              </w:rPr>
              <w:t>9</w:t>
            </w:r>
          </w:p>
        </w:tc>
        <w:tc>
          <w:tcPr>
            <w:tcW w:w="7089" w:type="dxa"/>
            <w:tcBorders>
              <w:top w:val="single" w:color="auto" w:sz="4" w:space="0"/>
              <w:left w:val="single" w:color="auto" w:sz="4" w:space="0"/>
              <w:bottom w:val="single" w:color="auto" w:sz="4" w:space="0"/>
              <w:right w:val="single" w:color="auto" w:sz="4" w:space="0"/>
            </w:tcBorders>
            <w:vAlign w:val="center"/>
          </w:tcPr>
          <w:p w14:paraId="3615B67E">
            <w:pPr>
              <w:adjustRightInd w:val="0"/>
              <w:rPr>
                <w:rFonts w:hint="eastAsia" w:ascii="宋体" w:hAnsi="宋体"/>
                <w:szCs w:val="21"/>
              </w:rPr>
            </w:pPr>
            <w:r>
              <w:rPr>
                <w:rFonts w:hint="eastAsia" w:ascii="宋体" w:hAnsi="宋体"/>
                <w:szCs w:val="21"/>
              </w:rPr>
              <w:t>投标人与本项目其他投标人加密打包投标文件电脑机器特征码一致的(以</w:t>
            </w:r>
            <w:r>
              <w:rPr>
                <w:rFonts w:hint="eastAsia" w:ascii="宋体" w:hAnsi="宋体"/>
                <w:szCs w:val="21"/>
                <w:u w:val="single"/>
              </w:rPr>
              <w:t>广州交易集团有限公司（广州公共资源交易中心）</w:t>
            </w:r>
            <w:r>
              <w:rPr>
                <w:rFonts w:hint="eastAsia" w:ascii="宋体" w:hAnsi="宋体"/>
                <w:szCs w:val="21"/>
              </w:rPr>
              <w:t>交易平台评标系统的检索信息为准)。</w:t>
            </w:r>
          </w:p>
        </w:tc>
        <w:tc>
          <w:tcPr>
            <w:tcW w:w="1395" w:type="dxa"/>
            <w:tcBorders>
              <w:top w:val="single" w:color="auto" w:sz="4" w:space="0"/>
              <w:left w:val="single" w:color="auto" w:sz="4" w:space="0"/>
              <w:bottom w:val="single" w:color="auto" w:sz="4" w:space="0"/>
              <w:right w:val="single" w:color="auto" w:sz="4" w:space="0"/>
            </w:tcBorders>
          </w:tcPr>
          <w:p w14:paraId="7A06D8A3">
            <w:pPr>
              <w:adjustRightInd w:val="0"/>
              <w:rPr>
                <w:rFonts w:hint="eastAsia" w:ascii="宋体" w:hAnsi="宋体"/>
                <w:szCs w:val="21"/>
              </w:rPr>
            </w:pPr>
          </w:p>
        </w:tc>
        <w:tc>
          <w:tcPr>
            <w:tcW w:w="1305" w:type="dxa"/>
            <w:tcBorders>
              <w:top w:val="single" w:color="auto" w:sz="4" w:space="0"/>
              <w:left w:val="single" w:color="auto" w:sz="4" w:space="0"/>
              <w:bottom w:val="single" w:color="auto" w:sz="4" w:space="0"/>
              <w:right w:val="single" w:color="auto" w:sz="4" w:space="0"/>
            </w:tcBorders>
          </w:tcPr>
          <w:p w14:paraId="73B1CF63">
            <w:pPr>
              <w:adjustRightInd w:val="0"/>
              <w:rPr>
                <w:rFonts w:hint="eastAsia" w:ascii="宋体" w:hAnsi="宋体"/>
                <w:szCs w:val="21"/>
              </w:rPr>
            </w:pPr>
          </w:p>
        </w:tc>
        <w:tc>
          <w:tcPr>
            <w:tcW w:w="1320" w:type="dxa"/>
            <w:tcBorders>
              <w:top w:val="single" w:color="auto" w:sz="4" w:space="0"/>
              <w:left w:val="single" w:color="auto" w:sz="4" w:space="0"/>
              <w:bottom w:val="single" w:color="auto" w:sz="4" w:space="0"/>
              <w:right w:val="single" w:color="auto" w:sz="4" w:space="0"/>
            </w:tcBorders>
          </w:tcPr>
          <w:p w14:paraId="076DF1A5">
            <w:pPr>
              <w:adjustRightInd w:val="0"/>
              <w:rPr>
                <w:rFonts w:hint="eastAsia" w:ascii="宋体" w:hAnsi="宋体"/>
                <w:szCs w:val="21"/>
              </w:rPr>
            </w:pPr>
          </w:p>
        </w:tc>
        <w:tc>
          <w:tcPr>
            <w:tcW w:w="1320" w:type="dxa"/>
            <w:tcBorders>
              <w:top w:val="single" w:color="auto" w:sz="4" w:space="0"/>
              <w:left w:val="single" w:color="auto" w:sz="4" w:space="0"/>
              <w:bottom w:val="single" w:color="auto" w:sz="4" w:space="0"/>
              <w:right w:val="single" w:color="auto" w:sz="4" w:space="0"/>
            </w:tcBorders>
          </w:tcPr>
          <w:p w14:paraId="1FDBF0FA">
            <w:pPr>
              <w:adjustRightInd w:val="0"/>
              <w:rPr>
                <w:rFonts w:hint="eastAsia" w:ascii="宋体" w:hAnsi="宋体"/>
                <w:szCs w:val="21"/>
              </w:rPr>
            </w:pPr>
          </w:p>
        </w:tc>
        <w:tc>
          <w:tcPr>
            <w:tcW w:w="1289" w:type="dxa"/>
            <w:tcBorders>
              <w:top w:val="single" w:color="auto" w:sz="4" w:space="0"/>
              <w:left w:val="single" w:color="auto" w:sz="4" w:space="0"/>
              <w:bottom w:val="single" w:color="auto" w:sz="4" w:space="0"/>
              <w:right w:val="single" w:color="auto" w:sz="4" w:space="0"/>
            </w:tcBorders>
          </w:tcPr>
          <w:p w14:paraId="53B87CD6">
            <w:pPr>
              <w:adjustRightInd w:val="0"/>
              <w:rPr>
                <w:rFonts w:hint="eastAsia" w:ascii="宋体" w:hAnsi="宋体"/>
                <w:szCs w:val="21"/>
              </w:rPr>
            </w:pPr>
          </w:p>
        </w:tc>
      </w:tr>
    </w:tbl>
    <w:p w14:paraId="1BBE3E25">
      <w:pPr>
        <w:rPr>
          <w:rFonts w:hint="eastAsia"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本表使用GZZB2018-3招标文件范本，与范本内容不同之处均以下划线标明。技术标评审中，响应性、承诺性内容不应作为评分因素，可在该表中对上述内容进行符合性审查。审查标准须具备可操作性。</w:t>
      </w:r>
    </w:p>
    <w:p w14:paraId="6C62CC8F">
      <w:pPr>
        <w:rPr>
          <w:rFonts w:hint="eastAsia" w:ascii="宋体" w:hAnsi="宋体"/>
          <w:szCs w:val="21"/>
        </w:rPr>
      </w:pPr>
      <w:r>
        <w:rPr>
          <w:rFonts w:hint="eastAsia" w:ascii="宋体" w:hAnsi="宋体"/>
          <w:szCs w:val="21"/>
        </w:rPr>
        <w:t xml:space="preserve">    2</w:t>
      </w:r>
      <w:r>
        <w:rPr>
          <w:rFonts w:ascii="宋体" w:hAnsi="宋体"/>
          <w:szCs w:val="21"/>
        </w:rPr>
        <w:t>.</w:t>
      </w:r>
      <w:r>
        <w:rPr>
          <w:rFonts w:hint="eastAsia" w:ascii="宋体" w:hAnsi="宋体"/>
          <w:szCs w:val="21"/>
        </w:rPr>
        <w:t>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254E6FDB">
      <w:pPr>
        <w:rPr>
          <w:rFonts w:hint="eastAsia" w:ascii="宋体" w:hAnsi="宋体"/>
          <w:szCs w:val="21"/>
        </w:rPr>
      </w:pPr>
      <w:r>
        <w:rPr>
          <w:rFonts w:hint="eastAsia" w:ascii="宋体" w:hAnsi="宋体"/>
          <w:szCs w:val="21"/>
        </w:rPr>
        <w:t xml:space="preserve">    3</w:t>
      </w:r>
      <w:r>
        <w:rPr>
          <w:rFonts w:ascii="宋体" w:hAnsi="宋体"/>
          <w:szCs w:val="21"/>
        </w:rPr>
        <w:t>.</w:t>
      </w:r>
      <w:r>
        <w:rPr>
          <w:rFonts w:hint="eastAsia" w:ascii="宋体" w:hAnsi="宋体"/>
          <w:szCs w:val="21"/>
        </w:rPr>
        <w:t>凡出现以上任何一项情形，结论均为无效，否则就为有效。</w:t>
      </w:r>
    </w:p>
    <w:p w14:paraId="4D25D93C">
      <w:pPr>
        <w:ind w:firstLine="420" w:firstLineChars="200"/>
        <w:rPr>
          <w:rFonts w:hint="eastAsia" w:ascii="宋体" w:hAnsi="宋体"/>
          <w:szCs w:val="21"/>
        </w:rPr>
      </w:pPr>
      <w:r>
        <w:rPr>
          <w:rFonts w:hint="eastAsia" w:ascii="宋体" w:hAnsi="宋体"/>
          <w:szCs w:val="21"/>
        </w:rPr>
        <w:t>4</w:t>
      </w:r>
      <w:r>
        <w:rPr>
          <w:rFonts w:ascii="宋体" w:hAnsi="宋体"/>
          <w:szCs w:val="21"/>
        </w:rPr>
        <w:t>.</w:t>
      </w:r>
      <w:r>
        <w:rPr>
          <w:rFonts w:hint="eastAsia" w:ascii="宋体" w:hAnsi="宋体"/>
          <w:szCs w:val="21"/>
        </w:rPr>
        <w:t>如对本表中某种情形的评审意见不一致时，以评标委员会过半数成员的意见作为评标委员会对该情形的认定结论。</w:t>
      </w:r>
    </w:p>
    <w:p w14:paraId="400BA0DF">
      <w:pPr>
        <w:rPr>
          <w:rFonts w:hint="eastAsia" w:ascii="宋体" w:hAnsi="宋体"/>
          <w:szCs w:val="21"/>
        </w:rPr>
      </w:pPr>
      <w:r>
        <w:rPr>
          <w:rFonts w:hint="eastAsia" w:ascii="宋体" w:hAnsi="宋体"/>
          <w:szCs w:val="21"/>
        </w:rPr>
        <w:t>评委签名：</w:t>
      </w:r>
    </w:p>
    <w:p w14:paraId="19276F32">
      <w:pPr>
        <w:rPr>
          <w:szCs w:val="21"/>
        </w:rPr>
      </w:pPr>
      <w:r>
        <w:br w:type="page"/>
      </w:r>
      <w:r>
        <w:rPr>
          <w:rFonts w:hint="eastAsia"/>
          <w:szCs w:val="21"/>
        </w:rPr>
        <w:t>附表三</w:t>
      </w:r>
    </w:p>
    <w:p w14:paraId="18E17F06">
      <w:pPr>
        <w:jc w:val="center"/>
        <w:rPr>
          <w:b/>
          <w:sz w:val="36"/>
          <w:szCs w:val="36"/>
        </w:rPr>
      </w:pPr>
      <w:r>
        <w:rPr>
          <w:rFonts w:hint="eastAsia"/>
          <w:b/>
          <w:sz w:val="36"/>
          <w:szCs w:val="36"/>
        </w:rPr>
        <w:t>经济标有效性审查表</w:t>
      </w:r>
    </w:p>
    <w:p w14:paraId="1DD2C2F4">
      <w:pPr>
        <w:rPr>
          <w:szCs w:val="21"/>
        </w:rPr>
      </w:pPr>
      <w:r>
        <w:rPr>
          <w:rFonts w:hint="eastAsia"/>
          <w:szCs w:val="21"/>
        </w:rPr>
        <w:t>工程名称：</w:t>
      </w:r>
    </w:p>
    <w:tbl>
      <w:tblPr>
        <w:tblStyle w:val="52"/>
        <w:tblW w:w="14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8347"/>
        <w:gridCol w:w="1050"/>
        <w:gridCol w:w="1009"/>
        <w:gridCol w:w="1105"/>
        <w:gridCol w:w="1050"/>
        <w:gridCol w:w="1039"/>
      </w:tblGrid>
      <w:tr w14:paraId="0CA19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14:paraId="398DBFD7">
            <w:pPr>
              <w:rPr>
                <w:rFonts w:hint="eastAsia" w:ascii="宋体" w:hAnsi="宋体"/>
                <w:szCs w:val="21"/>
              </w:rPr>
            </w:pPr>
            <w:r>
              <w:rPr>
                <w:rFonts w:hint="eastAsia" w:ascii="宋体" w:hAnsi="宋体"/>
                <w:szCs w:val="21"/>
              </w:rPr>
              <w:t>序号</w:t>
            </w:r>
          </w:p>
        </w:tc>
        <w:tc>
          <w:tcPr>
            <w:tcW w:w="8347" w:type="dxa"/>
            <w:tcBorders>
              <w:top w:val="single" w:color="auto" w:sz="4" w:space="0"/>
              <w:left w:val="single" w:color="auto" w:sz="4" w:space="0"/>
              <w:bottom w:val="single" w:color="auto" w:sz="4" w:space="0"/>
              <w:right w:val="single" w:color="auto" w:sz="4" w:space="0"/>
              <w:tl2br w:val="single" w:color="auto" w:sz="4" w:space="0"/>
            </w:tcBorders>
          </w:tcPr>
          <w:p w14:paraId="0E057399">
            <w:pPr>
              <w:ind w:firstLine="2520" w:firstLineChars="1200"/>
              <w:rPr>
                <w:rFonts w:hint="eastAsia" w:ascii="宋体" w:hAnsi="宋体"/>
                <w:szCs w:val="21"/>
              </w:rPr>
            </w:pPr>
            <w:r>
              <w:rPr>
                <w:rFonts w:hint="eastAsia" w:ascii="宋体" w:hAnsi="宋体"/>
                <w:szCs w:val="21"/>
              </w:rPr>
              <w:t>投标人</w:t>
            </w:r>
          </w:p>
          <w:p w14:paraId="02307BEB">
            <w:pPr>
              <w:rPr>
                <w:rFonts w:hint="eastAsia" w:ascii="宋体" w:hAnsi="宋体"/>
                <w:szCs w:val="21"/>
              </w:rPr>
            </w:pPr>
          </w:p>
          <w:p w14:paraId="190E96DA">
            <w:pPr>
              <w:rPr>
                <w:rFonts w:hint="eastAsia" w:ascii="宋体" w:hAnsi="宋体"/>
                <w:szCs w:val="21"/>
              </w:rPr>
            </w:pPr>
            <w:r>
              <w:rPr>
                <w:rFonts w:hint="eastAsia" w:ascii="宋体" w:hAnsi="宋体"/>
                <w:szCs w:val="21"/>
              </w:rPr>
              <w:t>评审内容</w:t>
            </w:r>
          </w:p>
        </w:tc>
        <w:tc>
          <w:tcPr>
            <w:tcW w:w="1050" w:type="dxa"/>
            <w:tcBorders>
              <w:top w:val="single" w:color="auto" w:sz="4" w:space="0"/>
              <w:left w:val="single" w:color="auto" w:sz="4" w:space="0"/>
              <w:bottom w:val="single" w:color="auto" w:sz="4" w:space="0"/>
              <w:right w:val="single" w:color="auto" w:sz="4" w:space="0"/>
            </w:tcBorders>
          </w:tcPr>
          <w:p w14:paraId="5FBDF0AD">
            <w:pPr>
              <w:rPr>
                <w:rFonts w:hint="eastAsia" w:ascii="宋体" w:hAnsi="宋体"/>
                <w:szCs w:val="21"/>
              </w:rPr>
            </w:pPr>
          </w:p>
        </w:tc>
        <w:tc>
          <w:tcPr>
            <w:tcW w:w="1009" w:type="dxa"/>
            <w:tcBorders>
              <w:top w:val="single" w:color="auto" w:sz="4" w:space="0"/>
              <w:left w:val="single" w:color="auto" w:sz="4" w:space="0"/>
              <w:bottom w:val="single" w:color="auto" w:sz="4" w:space="0"/>
              <w:right w:val="single" w:color="auto" w:sz="4" w:space="0"/>
            </w:tcBorders>
          </w:tcPr>
          <w:p w14:paraId="14C718A2">
            <w:pPr>
              <w:rPr>
                <w:rFonts w:hint="eastAsia" w:ascii="宋体" w:hAnsi="宋体"/>
                <w:szCs w:val="21"/>
              </w:rPr>
            </w:pPr>
          </w:p>
        </w:tc>
        <w:tc>
          <w:tcPr>
            <w:tcW w:w="1105" w:type="dxa"/>
            <w:tcBorders>
              <w:top w:val="single" w:color="auto" w:sz="4" w:space="0"/>
              <w:left w:val="single" w:color="auto" w:sz="4" w:space="0"/>
              <w:bottom w:val="single" w:color="auto" w:sz="4" w:space="0"/>
              <w:right w:val="single" w:color="auto" w:sz="4" w:space="0"/>
            </w:tcBorders>
          </w:tcPr>
          <w:p w14:paraId="3508B507">
            <w:pPr>
              <w:rPr>
                <w:rFonts w:hint="eastAsia" w:ascii="宋体" w:hAnsi="宋体"/>
                <w:szCs w:val="21"/>
              </w:rPr>
            </w:pPr>
          </w:p>
        </w:tc>
        <w:tc>
          <w:tcPr>
            <w:tcW w:w="1050" w:type="dxa"/>
            <w:tcBorders>
              <w:top w:val="single" w:color="auto" w:sz="4" w:space="0"/>
              <w:left w:val="single" w:color="auto" w:sz="4" w:space="0"/>
              <w:bottom w:val="single" w:color="auto" w:sz="4" w:space="0"/>
              <w:right w:val="single" w:color="auto" w:sz="4" w:space="0"/>
            </w:tcBorders>
          </w:tcPr>
          <w:p w14:paraId="2A158D89">
            <w:pPr>
              <w:rPr>
                <w:rFonts w:hint="eastAsia" w:ascii="宋体" w:hAnsi="宋体"/>
                <w:szCs w:val="21"/>
              </w:rPr>
            </w:pPr>
          </w:p>
        </w:tc>
        <w:tc>
          <w:tcPr>
            <w:tcW w:w="1039" w:type="dxa"/>
            <w:tcBorders>
              <w:top w:val="single" w:color="auto" w:sz="4" w:space="0"/>
              <w:left w:val="single" w:color="auto" w:sz="4" w:space="0"/>
              <w:bottom w:val="single" w:color="auto" w:sz="4" w:space="0"/>
              <w:right w:val="single" w:color="auto" w:sz="4" w:space="0"/>
            </w:tcBorders>
          </w:tcPr>
          <w:p w14:paraId="17E378E5">
            <w:pPr>
              <w:rPr>
                <w:rFonts w:hint="eastAsia" w:ascii="宋体" w:hAnsi="宋体"/>
                <w:szCs w:val="21"/>
              </w:rPr>
            </w:pPr>
          </w:p>
        </w:tc>
      </w:tr>
      <w:tr w14:paraId="49640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14:paraId="2F4BFA90">
            <w:pPr>
              <w:rPr>
                <w:rFonts w:hint="eastAsia" w:ascii="宋体" w:hAnsi="宋体"/>
                <w:szCs w:val="21"/>
              </w:rPr>
            </w:pPr>
            <w:r>
              <w:rPr>
                <w:rFonts w:hint="eastAsia" w:ascii="宋体" w:hAnsi="宋体"/>
                <w:szCs w:val="21"/>
              </w:rPr>
              <w:t>1</w:t>
            </w:r>
          </w:p>
        </w:tc>
        <w:tc>
          <w:tcPr>
            <w:tcW w:w="8347" w:type="dxa"/>
            <w:tcBorders>
              <w:top w:val="single" w:color="auto" w:sz="4" w:space="0"/>
              <w:left w:val="single" w:color="auto" w:sz="4" w:space="0"/>
              <w:bottom w:val="single" w:color="auto" w:sz="4" w:space="0"/>
              <w:right w:val="single" w:color="auto" w:sz="4" w:space="0"/>
            </w:tcBorders>
            <w:vAlign w:val="center"/>
          </w:tcPr>
          <w:p w14:paraId="10D82568">
            <w:pPr>
              <w:rPr>
                <w:rFonts w:hint="eastAsia" w:ascii="宋体" w:hAnsi="宋体"/>
                <w:szCs w:val="21"/>
              </w:rPr>
            </w:pPr>
            <w:r>
              <w:rPr>
                <w:rFonts w:hint="eastAsia" w:ascii="宋体" w:hAnsi="宋体"/>
                <w:szCs w:val="21"/>
              </w:rPr>
              <w:t>对同一招标项目出现两个或以上的投标报价，且没有申明哪个有效；</w:t>
            </w:r>
          </w:p>
        </w:tc>
        <w:tc>
          <w:tcPr>
            <w:tcW w:w="1050" w:type="dxa"/>
            <w:tcBorders>
              <w:top w:val="single" w:color="auto" w:sz="4" w:space="0"/>
              <w:left w:val="single" w:color="auto" w:sz="4" w:space="0"/>
              <w:bottom w:val="single" w:color="auto" w:sz="4" w:space="0"/>
              <w:right w:val="single" w:color="auto" w:sz="4" w:space="0"/>
            </w:tcBorders>
          </w:tcPr>
          <w:p w14:paraId="4F1FB802">
            <w:pPr>
              <w:rPr>
                <w:rFonts w:hint="eastAsia" w:ascii="宋体" w:hAnsi="宋体"/>
                <w:szCs w:val="21"/>
              </w:rPr>
            </w:pPr>
          </w:p>
        </w:tc>
        <w:tc>
          <w:tcPr>
            <w:tcW w:w="1009" w:type="dxa"/>
            <w:tcBorders>
              <w:top w:val="single" w:color="auto" w:sz="4" w:space="0"/>
              <w:left w:val="single" w:color="auto" w:sz="4" w:space="0"/>
              <w:bottom w:val="single" w:color="auto" w:sz="4" w:space="0"/>
              <w:right w:val="single" w:color="auto" w:sz="4" w:space="0"/>
            </w:tcBorders>
          </w:tcPr>
          <w:p w14:paraId="0EE30B88">
            <w:pPr>
              <w:rPr>
                <w:rFonts w:hint="eastAsia" w:ascii="宋体" w:hAnsi="宋体"/>
                <w:szCs w:val="21"/>
              </w:rPr>
            </w:pPr>
          </w:p>
        </w:tc>
        <w:tc>
          <w:tcPr>
            <w:tcW w:w="1105" w:type="dxa"/>
            <w:tcBorders>
              <w:top w:val="single" w:color="auto" w:sz="4" w:space="0"/>
              <w:left w:val="single" w:color="auto" w:sz="4" w:space="0"/>
              <w:bottom w:val="single" w:color="auto" w:sz="4" w:space="0"/>
              <w:right w:val="single" w:color="auto" w:sz="4" w:space="0"/>
            </w:tcBorders>
          </w:tcPr>
          <w:p w14:paraId="373E1BFA">
            <w:pPr>
              <w:rPr>
                <w:rFonts w:hint="eastAsia" w:ascii="宋体" w:hAnsi="宋体"/>
                <w:szCs w:val="21"/>
              </w:rPr>
            </w:pPr>
          </w:p>
        </w:tc>
        <w:tc>
          <w:tcPr>
            <w:tcW w:w="1050" w:type="dxa"/>
            <w:tcBorders>
              <w:top w:val="single" w:color="auto" w:sz="4" w:space="0"/>
              <w:left w:val="single" w:color="auto" w:sz="4" w:space="0"/>
              <w:bottom w:val="single" w:color="auto" w:sz="4" w:space="0"/>
              <w:right w:val="single" w:color="auto" w:sz="4" w:space="0"/>
            </w:tcBorders>
          </w:tcPr>
          <w:p w14:paraId="64C408CE">
            <w:pPr>
              <w:rPr>
                <w:rFonts w:hint="eastAsia" w:ascii="宋体" w:hAnsi="宋体"/>
                <w:szCs w:val="21"/>
              </w:rPr>
            </w:pPr>
          </w:p>
        </w:tc>
        <w:tc>
          <w:tcPr>
            <w:tcW w:w="1039" w:type="dxa"/>
            <w:tcBorders>
              <w:top w:val="single" w:color="auto" w:sz="4" w:space="0"/>
              <w:left w:val="single" w:color="auto" w:sz="4" w:space="0"/>
              <w:bottom w:val="single" w:color="auto" w:sz="4" w:space="0"/>
              <w:right w:val="single" w:color="auto" w:sz="4" w:space="0"/>
            </w:tcBorders>
          </w:tcPr>
          <w:p w14:paraId="4F92AF83">
            <w:pPr>
              <w:rPr>
                <w:rFonts w:hint="eastAsia" w:ascii="宋体" w:hAnsi="宋体"/>
                <w:szCs w:val="21"/>
              </w:rPr>
            </w:pPr>
          </w:p>
        </w:tc>
      </w:tr>
      <w:tr w14:paraId="424CA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14:paraId="1D1D540F">
            <w:pPr>
              <w:rPr>
                <w:rFonts w:hint="eastAsia" w:ascii="宋体" w:hAnsi="宋体"/>
                <w:szCs w:val="21"/>
              </w:rPr>
            </w:pPr>
            <w:r>
              <w:rPr>
                <w:rFonts w:hint="eastAsia" w:ascii="宋体" w:hAnsi="宋体"/>
                <w:szCs w:val="21"/>
              </w:rPr>
              <w:t>2</w:t>
            </w:r>
          </w:p>
        </w:tc>
        <w:tc>
          <w:tcPr>
            <w:tcW w:w="8347" w:type="dxa"/>
            <w:tcBorders>
              <w:top w:val="single" w:color="auto" w:sz="4" w:space="0"/>
              <w:left w:val="single" w:color="auto" w:sz="4" w:space="0"/>
              <w:bottom w:val="single" w:color="auto" w:sz="4" w:space="0"/>
              <w:right w:val="single" w:color="auto" w:sz="4" w:space="0"/>
            </w:tcBorders>
            <w:vAlign w:val="center"/>
          </w:tcPr>
          <w:p w14:paraId="092E8F21">
            <w:pPr>
              <w:rPr>
                <w:rFonts w:hint="eastAsia" w:ascii="宋体" w:hAnsi="宋体"/>
                <w:szCs w:val="21"/>
              </w:rPr>
            </w:pPr>
            <w:r>
              <w:rPr>
                <w:rFonts w:hint="eastAsia" w:ascii="宋体" w:hAnsi="宋体" w:cs="宋体"/>
                <w:bCs/>
                <w:szCs w:val="21"/>
                <w:u w:val="single"/>
              </w:rPr>
              <w:t>投标报价高于最高投标限价的；</w:t>
            </w:r>
          </w:p>
        </w:tc>
        <w:tc>
          <w:tcPr>
            <w:tcW w:w="1050" w:type="dxa"/>
            <w:tcBorders>
              <w:top w:val="single" w:color="auto" w:sz="4" w:space="0"/>
              <w:left w:val="single" w:color="auto" w:sz="4" w:space="0"/>
              <w:bottom w:val="single" w:color="auto" w:sz="4" w:space="0"/>
              <w:right w:val="single" w:color="auto" w:sz="4" w:space="0"/>
            </w:tcBorders>
          </w:tcPr>
          <w:p w14:paraId="5A35A9FF">
            <w:pPr>
              <w:rPr>
                <w:rFonts w:hint="eastAsia" w:ascii="宋体" w:hAnsi="宋体"/>
                <w:szCs w:val="21"/>
              </w:rPr>
            </w:pPr>
          </w:p>
        </w:tc>
        <w:tc>
          <w:tcPr>
            <w:tcW w:w="1009" w:type="dxa"/>
            <w:tcBorders>
              <w:top w:val="single" w:color="auto" w:sz="4" w:space="0"/>
              <w:left w:val="single" w:color="auto" w:sz="4" w:space="0"/>
              <w:bottom w:val="single" w:color="auto" w:sz="4" w:space="0"/>
              <w:right w:val="single" w:color="auto" w:sz="4" w:space="0"/>
            </w:tcBorders>
          </w:tcPr>
          <w:p w14:paraId="57C780A4">
            <w:pPr>
              <w:rPr>
                <w:rFonts w:hint="eastAsia" w:ascii="宋体" w:hAnsi="宋体"/>
                <w:szCs w:val="21"/>
              </w:rPr>
            </w:pPr>
          </w:p>
        </w:tc>
        <w:tc>
          <w:tcPr>
            <w:tcW w:w="1105" w:type="dxa"/>
            <w:tcBorders>
              <w:top w:val="single" w:color="auto" w:sz="4" w:space="0"/>
              <w:left w:val="single" w:color="auto" w:sz="4" w:space="0"/>
              <w:bottom w:val="single" w:color="auto" w:sz="4" w:space="0"/>
              <w:right w:val="single" w:color="auto" w:sz="4" w:space="0"/>
            </w:tcBorders>
          </w:tcPr>
          <w:p w14:paraId="1B9EE7BA">
            <w:pPr>
              <w:rPr>
                <w:rFonts w:hint="eastAsia" w:ascii="宋体" w:hAnsi="宋体"/>
                <w:szCs w:val="21"/>
              </w:rPr>
            </w:pPr>
          </w:p>
        </w:tc>
        <w:tc>
          <w:tcPr>
            <w:tcW w:w="1050" w:type="dxa"/>
            <w:tcBorders>
              <w:top w:val="single" w:color="auto" w:sz="4" w:space="0"/>
              <w:left w:val="single" w:color="auto" w:sz="4" w:space="0"/>
              <w:bottom w:val="single" w:color="auto" w:sz="4" w:space="0"/>
              <w:right w:val="single" w:color="auto" w:sz="4" w:space="0"/>
            </w:tcBorders>
          </w:tcPr>
          <w:p w14:paraId="3A2C7D5F">
            <w:pPr>
              <w:rPr>
                <w:rFonts w:hint="eastAsia" w:ascii="宋体" w:hAnsi="宋体"/>
                <w:szCs w:val="21"/>
              </w:rPr>
            </w:pPr>
          </w:p>
        </w:tc>
        <w:tc>
          <w:tcPr>
            <w:tcW w:w="1039" w:type="dxa"/>
            <w:tcBorders>
              <w:top w:val="single" w:color="auto" w:sz="4" w:space="0"/>
              <w:left w:val="single" w:color="auto" w:sz="4" w:space="0"/>
              <w:bottom w:val="single" w:color="auto" w:sz="4" w:space="0"/>
              <w:right w:val="single" w:color="auto" w:sz="4" w:space="0"/>
            </w:tcBorders>
          </w:tcPr>
          <w:p w14:paraId="57D28532">
            <w:pPr>
              <w:rPr>
                <w:rFonts w:hint="eastAsia" w:ascii="宋体" w:hAnsi="宋体"/>
                <w:szCs w:val="21"/>
              </w:rPr>
            </w:pPr>
          </w:p>
        </w:tc>
      </w:tr>
      <w:tr w14:paraId="7EDA4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14:paraId="11BA4003">
            <w:pPr>
              <w:rPr>
                <w:rFonts w:hint="eastAsia" w:ascii="宋体" w:hAnsi="宋体"/>
                <w:szCs w:val="21"/>
              </w:rPr>
            </w:pPr>
            <w:r>
              <w:rPr>
                <w:rFonts w:hint="eastAsia" w:ascii="宋体" w:hAnsi="宋体"/>
                <w:szCs w:val="21"/>
              </w:rPr>
              <w:t>3</w:t>
            </w:r>
          </w:p>
        </w:tc>
        <w:tc>
          <w:tcPr>
            <w:tcW w:w="8347" w:type="dxa"/>
            <w:tcBorders>
              <w:top w:val="single" w:color="auto" w:sz="4" w:space="0"/>
              <w:left w:val="single" w:color="auto" w:sz="4" w:space="0"/>
              <w:bottom w:val="single" w:color="auto" w:sz="4" w:space="0"/>
              <w:right w:val="single" w:color="auto" w:sz="4" w:space="0"/>
            </w:tcBorders>
            <w:vAlign w:val="center"/>
          </w:tcPr>
          <w:p w14:paraId="3136782D">
            <w:pPr>
              <w:autoSpaceDE w:val="0"/>
              <w:autoSpaceDN w:val="0"/>
              <w:adjustRightInd w:val="0"/>
              <w:ind w:left="-2" w:leftChars="-1"/>
              <w:jc w:val="left"/>
              <w:rPr>
                <w:rFonts w:hint="eastAsia" w:ascii="宋体" w:hAnsi="宋体"/>
                <w:szCs w:val="21"/>
              </w:rPr>
            </w:pPr>
            <w:r>
              <w:rPr>
                <w:rFonts w:hint="eastAsia" w:ascii="宋体" w:hAnsi="宋体" w:cs="宋体"/>
                <w:szCs w:val="21"/>
              </w:rPr>
              <w:t>投标报价低于成本的</w:t>
            </w:r>
            <w:r>
              <w:rPr>
                <w:rFonts w:hint="eastAsia" w:ascii="宋体" w:hAnsi="宋体" w:cs="宋体"/>
                <w:szCs w:val="21"/>
                <w:u w:val="single"/>
              </w:rPr>
              <w:t>（投标人的报价明显低于其他投标报价或者低于成本警戒价，使得其投标报价可能低于其个别成本，并且投标人不能合理说明或者不能提供相关证明材料的，由评标委员会认定该投标人以低于成本报价竞标）；</w:t>
            </w:r>
          </w:p>
        </w:tc>
        <w:tc>
          <w:tcPr>
            <w:tcW w:w="1050" w:type="dxa"/>
            <w:tcBorders>
              <w:top w:val="single" w:color="auto" w:sz="4" w:space="0"/>
              <w:left w:val="single" w:color="auto" w:sz="4" w:space="0"/>
              <w:bottom w:val="single" w:color="auto" w:sz="4" w:space="0"/>
              <w:right w:val="single" w:color="auto" w:sz="4" w:space="0"/>
            </w:tcBorders>
          </w:tcPr>
          <w:p w14:paraId="11AD1BF6">
            <w:pPr>
              <w:rPr>
                <w:rFonts w:hint="eastAsia" w:ascii="宋体" w:hAnsi="宋体"/>
                <w:szCs w:val="21"/>
              </w:rPr>
            </w:pPr>
          </w:p>
        </w:tc>
        <w:tc>
          <w:tcPr>
            <w:tcW w:w="1009" w:type="dxa"/>
            <w:tcBorders>
              <w:top w:val="single" w:color="auto" w:sz="4" w:space="0"/>
              <w:left w:val="single" w:color="auto" w:sz="4" w:space="0"/>
              <w:bottom w:val="single" w:color="auto" w:sz="4" w:space="0"/>
              <w:right w:val="single" w:color="auto" w:sz="4" w:space="0"/>
            </w:tcBorders>
          </w:tcPr>
          <w:p w14:paraId="39165607">
            <w:pPr>
              <w:rPr>
                <w:rFonts w:hint="eastAsia" w:ascii="宋体" w:hAnsi="宋体"/>
                <w:szCs w:val="21"/>
              </w:rPr>
            </w:pPr>
          </w:p>
        </w:tc>
        <w:tc>
          <w:tcPr>
            <w:tcW w:w="1105" w:type="dxa"/>
            <w:tcBorders>
              <w:top w:val="single" w:color="auto" w:sz="4" w:space="0"/>
              <w:left w:val="single" w:color="auto" w:sz="4" w:space="0"/>
              <w:bottom w:val="single" w:color="auto" w:sz="4" w:space="0"/>
              <w:right w:val="single" w:color="auto" w:sz="4" w:space="0"/>
            </w:tcBorders>
          </w:tcPr>
          <w:p w14:paraId="28EF2416">
            <w:pPr>
              <w:rPr>
                <w:rFonts w:hint="eastAsia" w:ascii="宋体" w:hAnsi="宋体"/>
                <w:szCs w:val="21"/>
              </w:rPr>
            </w:pPr>
          </w:p>
        </w:tc>
        <w:tc>
          <w:tcPr>
            <w:tcW w:w="1050" w:type="dxa"/>
            <w:tcBorders>
              <w:top w:val="single" w:color="auto" w:sz="4" w:space="0"/>
              <w:left w:val="single" w:color="auto" w:sz="4" w:space="0"/>
              <w:bottom w:val="single" w:color="auto" w:sz="4" w:space="0"/>
              <w:right w:val="single" w:color="auto" w:sz="4" w:space="0"/>
            </w:tcBorders>
          </w:tcPr>
          <w:p w14:paraId="794815CA">
            <w:pPr>
              <w:rPr>
                <w:rFonts w:hint="eastAsia" w:ascii="宋体" w:hAnsi="宋体"/>
                <w:szCs w:val="21"/>
              </w:rPr>
            </w:pPr>
          </w:p>
        </w:tc>
        <w:tc>
          <w:tcPr>
            <w:tcW w:w="1039" w:type="dxa"/>
            <w:tcBorders>
              <w:top w:val="single" w:color="auto" w:sz="4" w:space="0"/>
              <w:left w:val="single" w:color="auto" w:sz="4" w:space="0"/>
              <w:bottom w:val="single" w:color="auto" w:sz="4" w:space="0"/>
              <w:right w:val="single" w:color="auto" w:sz="4" w:space="0"/>
            </w:tcBorders>
          </w:tcPr>
          <w:p w14:paraId="5D78D041">
            <w:pPr>
              <w:rPr>
                <w:rFonts w:hint="eastAsia" w:ascii="宋体" w:hAnsi="宋体"/>
                <w:szCs w:val="21"/>
              </w:rPr>
            </w:pPr>
          </w:p>
        </w:tc>
      </w:tr>
      <w:tr w14:paraId="3482D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14:paraId="15F3F31A">
            <w:pPr>
              <w:rPr>
                <w:rFonts w:hint="eastAsia" w:ascii="宋体" w:hAnsi="宋体"/>
                <w:szCs w:val="21"/>
              </w:rPr>
            </w:pPr>
            <w:r>
              <w:rPr>
                <w:rFonts w:hint="eastAsia" w:ascii="宋体" w:hAnsi="宋体"/>
                <w:szCs w:val="21"/>
              </w:rPr>
              <w:t>4</w:t>
            </w:r>
          </w:p>
        </w:tc>
        <w:tc>
          <w:tcPr>
            <w:tcW w:w="8347" w:type="dxa"/>
            <w:tcBorders>
              <w:top w:val="single" w:color="auto" w:sz="4" w:space="0"/>
              <w:left w:val="single" w:color="auto" w:sz="4" w:space="0"/>
              <w:bottom w:val="single" w:color="auto" w:sz="4" w:space="0"/>
              <w:right w:val="single" w:color="auto" w:sz="4" w:space="0"/>
            </w:tcBorders>
            <w:vAlign w:val="center"/>
          </w:tcPr>
          <w:p w14:paraId="4AC1F9FF">
            <w:pPr>
              <w:rPr>
                <w:rFonts w:hint="eastAsia" w:ascii="宋体" w:hAnsi="宋体"/>
                <w:szCs w:val="21"/>
              </w:rPr>
            </w:pPr>
            <w:r>
              <w:rPr>
                <w:rFonts w:hint="eastAsia" w:ascii="宋体" w:hAnsi="宋体"/>
                <w:bCs/>
                <w:szCs w:val="21"/>
              </w:rPr>
              <w:t>投标文件未按规定的格式</w:t>
            </w:r>
            <w:r>
              <w:rPr>
                <w:rFonts w:hint="eastAsia" w:ascii="宋体" w:hAnsi="宋体" w:cs="宋体"/>
                <w:szCs w:val="21"/>
                <w:u w:val="single"/>
              </w:rPr>
              <w:t>（招标文件第四章投标文件格式九、经济标投标文件格式</w:t>
            </w:r>
            <w:r>
              <w:rPr>
                <w:rFonts w:ascii="宋体" w:hAnsi="宋体" w:cs="宋体"/>
                <w:szCs w:val="21"/>
                <w:u w:val="single"/>
              </w:rPr>
              <w:t>）</w:t>
            </w:r>
            <w:r>
              <w:rPr>
                <w:rFonts w:hint="eastAsia" w:ascii="宋体" w:hAnsi="宋体"/>
                <w:bCs/>
                <w:szCs w:val="21"/>
              </w:rPr>
              <w:t>填写，或主要内容</w:t>
            </w:r>
            <w:r>
              <w:rPr>
                <w:rFonts w:hint="eastAsia" w:ascii="宋体" w:hAnsi="宋体"/>
                <w:bCs/>
                <w:szCs w:val="21"/>
                <w:u w:val="single"/>
              </w:rPr>
              <w:t>（</w:t>
            </w:r>
            <w:r>
              <w:rPr>
                <w:rFonts w:hint="eastAsia" w:ascii="宋体" w:hAnsi="宋体" w:cs="宋体"/>
                <w:szCs w:val="21"/>
                <w:u w:val="single"/>
              </w:rPr>
              <w:t>指投标文件组成内容</w:t>
            </w:r>
            <w:r>
              <w:rPr>
                <w:rFonts w:hint="eastAsia" w:ascii="宋体" w:hAnsi="宋体"/>
                <w:bCs/>
                <w:szCs w:val="21"/>
                <w:u w:val="single"/>
              </w:rPr>
              <w:t>）</w:t>
            </w:r>
            <w:r>
              <w:rPr>
                <w:rFonts w:hint="eastAsia" w:ascii="宋体" w:hAnsi="宋体"/>
                <w:bCs/>
                <w:szCs w:val="21"/>
              </w:rPr>
              <w:t>不全填写，或关键字迹模糊、无法辨认；</w:t>
            </w:r>
          </w:p>
        </w:tc>
        <w:tc>
          <w:tcPr>
            <w:tcW w:w="1050" w:type="dxa"/>
            <w:tcBorders>
              <w:top w:val="single" w:color="auto" w:sz="4" w:space="0"/>
              <w:left w:val="single" w:color="auto" w:sz="4" w:space="0"/>
              <w:bottom w:val="single" w:color="auto" w:sz="4" w:space="0"/>
              <w:right w:val="single" w:color="auto" w:sz="4" w:space="0"/>
            </w:tcBorders>
          </w:tcPr>
          <w:p w14:paraId="0EA08567">
            <w:pPr>
              <w:rPr>
                <w:rFonts w:hint="eastAsia" w:ascii="宋体" w:hAnsi="宋体"/>
                <w:szCs w:val="21"/>
              </w:rPr>
            </w:pPr>
          </w:p>
        </w:tc>
        <w:tc>
          <w:tcPr>
            <w:tcW w:w="1009" w:type="dxa"/>
            <w:tcBorders>
              <w:top w:val="single" w:color="auto" w:sz="4" w:space="0"/>
              <w:left w:val="single" w:color="auto" w:sz="4" w:space="0"/>
              <w:bottom w:val="single" w:color="auto" w:sz="4" w:space="0"/>
              <w:right w:val="single" w:color="auto" w:sz="4" w:space="0"/>
            </w:tcBorders>
          </w:tcPr>
          <w:p w14:paraId="3F2A8B1F">
            <w:pPr>
              <w:rPr>
                <w:rFonts w:hint="eastAsia" w:ascii="宋体" w:hAnsi="宋体"/>
                <w:szCs w:val="21"/>
              </w:rPr>
            </w:pPr>
          </w:p>
        </w:tc>
        <w:tc>
          <w:tcPr>
            <w:tcW w:w="1105" w:type="dxa"/>
            <w:tcBorders>
              <w:top w:val="single" w:color="auto" w:sz="4" w:space="0"/>
              <w:left w:val="single" w:color="auto" w:sz="4" w:space="0"/>
              <w:bottom w:val="single" w:color="auto" w:sz="4" w:space="0"/>
              <w:right w:val="single" w:color="auto" w:sz="4" w:space="0"/>
            </w:tcBorders>
          </w:tcPr>
          <w:p w14:paraId="5E2801C5">
            <w:pPr>
              <w:rPr>
                <w:rFonts w:hint="eastAsia" w:ascii="宋体" w:hAnsi="宋体"/>
                <w:szCs w:val="21"/>
              </w:rPr>
            </w:pPr>
          </w:p>
        </w:tc>
        <w:tc>
          <w:tcPr>
            <w:tcW w:w="1050" w:type="dxa"/>
            <w:tcBorders>
              <w:top w:val="single" w:color="auto" w:sz="4" w:space="0"/>
              <w:left w:val="single" w:color="auto" w:sz="4" w:space="0"/>
              <w:bottom w:val="single" w:color="auto" w:sz="4" w:space="0"/>
              <w:right w:val="single" w:color="auto" w:sz="4" w:space="0"/>
            </w:tcBorders>
          </w:tcPr>
          <w:p w14:paraId="3FD8D6C8">
            <w:pPr>
              <w:rPr>
                <w:rFonts w:hint="eastAsia" w:ascii="宋体" w:hAnsi="宋体"/>
                <w:szCs w:val="21"/>
              </w:rPr>
            </w:pPr>
          </w:p>
        </w:tc>
        <w:tc>
          <w:tcPr>
            <w:tcW w:w="1039" w:type="dxa"/>
            <w:tcBorders>
              <w:top w:val="single" w:color="auto" w:sz="4" w:space="0"/>
              <w:left w:val="single" w:color="auto" w:sz="4" w:space="0"/>
              <w:bottom w:val="single" w:color="auto" w:sz="4" w:space="0"/>
              <w:right w:val="single" w:color="auto" w:sz="4" w:space="0"/>
            </w:tcBorders>
          </w:tcPr>
          <w:p w14:paraId="7CB485ED">
            <w:pPr>
              <w:rPr>
                <w:rFonts w:hint="eastAsia" w:ascii="宋体" w:hAnsi="宋体"/>
                <w:szCs w:val="21"/>
              </w:rPr>
            </w:pPr>
          </w:p>
        </w:tc>
      </w:tr>
      <w:tr w14:paraId="323BD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14:paraId="1B407115">
            <w:pPr>
              <w:rPr>
                <w:rFonts w:hint="eastAsia" w:ascii="宋体" w:hAnsi="宋体"/>
                <w:szCs w:val="21"/>
              </w:rPr>
            </w:pPr>
            <w:r>
              <w:rPr>
                <w:rFonts w:hint="eastAsia" w:ascii="宋体" w:hAnsi="宋体"/>
                <w:szCs w:val="21"/>
              </w:rPr>
              <w:t>5</w:t>
            </w:r>
          </w:p>
        </w:tc>
        <w:tc>
          <w:tcPr>
            <w:tcW w:w="8347" w:type="dxa"/>
            <w:tcBorders>
              <w:top w:val="single" w:color="auto" w:sz="4" w:space="0"/>
              <w:left w:val="single" w:color="auto" w:sz="4" w:space="0"/>
              <w:bottom w:val="single" w:color="auto" w:sz="4" w:space="0"/>
              <w:right w:val="single" w:color="auto" w:sz="4" w:space="0"/>
            </w:tcBorders>
            <w:vAlign w:val="center"/>
          </w:tcPr>
          <w:p w14:paraId="123EF95D">
            <w:pPr>
              <w:rPr>
                <w:rFonts w:hint="eastAsia" w:ascii="宋体" w:hAnsi="宋体"/>
                <w:szCs w:val="21"/>
              </w:rPr>
            </w:pPr>
            <w:r>
              <w:rPr>
                <w:rFonts w:hint="eastAsia" w:ascii="宋体" w:hAnsi="宋体"/>
                <w:szCs w:val="21"/>
              </w:rPr>
              <w:t>不同投标人的投标报价中分部分项工程量清单综合单价相似度达到80%及以上的(以</w:t>
            </w:r>
            <w:r>
              <w:rPr>
                <w:rFonts w:hint="eastAsia" w:ascii="宋体" w:hAnsi="宋体"/>
                <w:szCs w:val="21"/>
                <w:u w:val="single"/>
              </w:rPr>
              <w:t>广州交易集团有限公司（广州公共资源交易中心）</w:t>
            </w:r>
            <w:r>
              <w:rPr>
                <w:rFonts w:hint="eastAsia" w:ascii="宋体" w:hAnsi="宋体"/>
                <w:szCs w:val="21"/>
              </w:rPr>
              <w:t>交易平台评标系统的检索信息为准)；</w:t>
            </w:r>
          </w:p>
        </w:tc>
        <w:tc>
          <w:tcPr>
            <w:tcW w:w="1050" w:type="dxa"/>
            <w:tcBorders>
              <w:top w:val="single" w:color="auto" w:sz="4" w:space="0"/>
              <w:left w:val="single" w:color="auto" w:sz="4" w:space="0"/>
              <w:bottom w:val="single" w:color="auto" w:sz="4" w:space="0"/>
              <w:right w:val="single" w:color="auto" w:sz="4" w:space="0"/>
            </w:tcBorders>
          </w:tcPr>
          <w:p w14:paraId="14F12A3F">
            <w:pPr>
              <w:rPr>
                <w:rFonts w:hint="eastAsia" w:ascii="宋体" w:hAnsi="宋体"/>
                <w:szCs w:val="21"/>
              </w:rPr>
            </w:pPr>
          </w:p>
        </w:tc>
        <w:tc>
          <w:tcPr>
            <w:tcW w:w="1009" w:type="dxa"/>
            <w:tcBorders>
              <w:top w:val="single" w:color="auto" w:sz="4" w:space="0"/>
              <w:left w:val="single" w:color="auto" w:sz="4" w:space="0"/>
              <w:bottom w:val="single" w:color="auto" w:sz="4" w:space="0"/>
              <w:right w:val="single" w:color="auto" w:sz="4" w:space="0"/>
            </w:tcBorders>
          </w:tcPr>
          <w:p w14:paraId="02EE74FA">
            <w:pPr>
              <w:rPr>
                <w:rFonts w:hint="eastAsia" w:ascii="宋体" w:hAnsi="宋体"/>
                <w:szCs w:val="21"/>
              </w:rPr>
            </w:pPr>
          </w:p>
        </w:tc>
        <w:tc>
          <w:tcPr>
            <w:tcW w:w="1105" w:type="dxa"/>
            <w:tcBorders>
              <w:top w:val="single" w:color="auto" w:sz="4" w:space="0"/>
              <w:left w:val="single" w:color="auto" w:sz="4" w:space="0"/>
              <w:bottom w:val="single" w:color="auto" w:sz="4" w:space="0"/>
              <w:right w:val="single" w:color="auto" w:sz="4" w:space="0"/>
            </w:tcBorders>
          </w:tcPr>
          <w:p w14:paraId="110A563E">
            <w:pPr>
              <w:rPr>
                <w:rFonts w:hint="eastAsia" w:ascii="宋体" w:hAnsi="宋体"/>
                <w:szCs w:val="21"/>
              </w:rPr>
            </w:pPr>
          </w:p>
        </w:tc>
        <w:tc>
          <w:tcPr>
            <w:tcW w:w="1050" w:type="dxa"/>
            <w:tcBorders>
              <w:top w:val="single" w:color="auto" w:sz="4" w:space="0"/>
              <w:left w:val="single" w:color="auto" w:sz="4" w:space="0"/>
              <w:bottom w:val="single" w:color="auto" w:sz="4" w:space="0"/>
              <w:right w:val="single" w:color="auto" w:sz="4" w:space="0"/>
            </w:tcBorders>
          </w:tcPr>
          <w:p w14:paraId="549B3D93">
            <w:pPr>
              <w:rPr>
                <w:rFonts w:hint="eastAsia" w:ascii="宋体" w:hAnsi="宋体"/>
                <w:szCs w:val="21"/>
              </w:rPr>
            </w:pPr>
          </w:p>
        </w:tc>
        <w:tc>
          <w:tcPr>
            <w:tcW w:w="1039" w:type="dxa"/>
            <w:tcBorders>
              <w:top w:val="single" w:color="auto" w:sz="4" w:space="0"/>
              <w:left w:val="single" w:color="auto" w:sz="4" w:space="0"/>
              <w:bottom w:val="single" w:color="auto" w:sz="4" w:space="0"/>
              <w:right w:val="single" w:color="auto" w:sz="4" w:space="0"/>
            </w:tcBorders>
          </w:tcPr>
          <w:p w14:paraId="629611F5">
            <w:pPr>
              <w:rPr>
                <w:rFonts w:hint="eastAsia" w:ascii="宋体" w:hAnsi="宋体"/>
                <w:szCs w:val="21"/>
              </w:rPr>
            </w:pPr>
          </w:p>
        </w:tc>
      </w:tr>
      <w:tr w14:paraId="42124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14:paraId="3BC8F84B">
            <w:pPr>
              <w:rPr>
                <w:rFonts w:hint="eastAsia" w:ascii="宋体" w:hAnsi="宋体"/>
                <w:szCs w:val="21"/>
              </w:rPr>
            </w:pPr>
            <w:r>
              <w:rPr>
                <w:rFonts w:hint="eastAsia" w:ascii="宋体" w:hAnsi="宋体"/>
                <w:szCs w:val="21"/>
              </w:rPr>
              <w:t>6</w:t>
            </w:r>
          </w:p>
        </w:tc>
        <w:tc>
          <w:tcPr>
            <w:tcW w:w="8347" w:type="dxa"/>
            <w:tcBorders>
              <w:top w:val="single" w:color="auto" w:sz="4" w:space="0"/>
              <w:left w:val="single" w:color="auto" w:sz="4" w:space="0"/>
              <w:bottom w:val="single" w:color="auto" w:sz="4" w:space="0"/>
              <w:right w:val="single" w:color="auto" w:sz="4" w:space="0"/>
            </w:tcBorders>
            <w:vAlign w:val="center"/>
          </w:tcPr>
          <w:p w14:paraId="27EA23B3">
            <w:pPr>
              <w:rPr>
                <w:rFonts w:hint="eastAsia" w:ascii="宋体" w:hAnsi="宋体"/>
                <w:szCs w:val="21"/>
              </w:rPr>
            </w:pPr>
            <w:r>
              <w:rPr>
                <w:rFonts w:hint="eastAsia" w:ascii="宋体" w:hAnsi="宋体"/>
                <w:szCs w:val="21"/>
              </w:rPr>
              <w:t>投标人之间存在《广东省实施&lt;中华人民共和国招标投标法&gt;》第十六条所禁止的情形的；</w:t>
            </w:r>
          </w:p>
        </w:tc>
        <w:tc>
          <w:tcPr>
            <w:tcW w:w="1050" w:type="dxa"/>
            <w:tcBorders>
              <w:top w:val="single" w:color="auto" w:sz="4" w:space="0"/>
              <w:left w:val="single" w:color="auto" w:sz="4" w:space="0"/>
              <w:bottom w:val="single" w:color="auto" w:sz="4" w:space="0"/>
              <w:right w:val="single" w:color="auto" w:sz="4" w:space="0"/>
            </w:tcBorders>
          </w:tcPr>
          <w:p w14:paraId="5C684452">
            <w:pPr>
              <w:rPr>
                <w:rFonts w:hint="eastAsia" w:ascii="宋体" w:hAnsi="宋体"/>
                <w:szCs w:val="21"/>
              </w:rPr>
            </w:pPr>
          </w:p>
        </w:tc>
        <w:tc>
          <w:tcPr>
            <w:tcW w:w="1009" w:type="dxa"/>
            <w:tcBorders>
              <w:top w:val="single" w:color="auto" w:sz="4" w:space="0"/>
              <w:left w:val="single" w:color="auto" w:sz="4" w:space="0"/>
              <w:bottom w:val="single" w:color="auto" w:sz="4" w:space="0"/>
              <w:right w:val="single" w:color="auto" w:sz="4" w:space="0"/>
            </w:tcBorders>
          </w:tcPr>
          <w:p w14:paraId="2711E3C5">
            <w:pPr>
              <w:rPr>
                <w:rFonts w:hint="eastAsia" w:ascii="宋体" w:hAnsi="宋体"/>
                <w:szCs w:val="21"/>
              </w:rPr>
            </w:pPr>
          </w:p>
        </w:tc>
        <w:tc>
          <w:tcPr>
            <w:tcW w:w="1105" w:type="dxa"/>
            <w:tcBorders>
              <w:top w:val="single" w:color="auto" w:sz="4" w:space="0"/>
              <w:left w:val="single" w:color="auto" w:sz="4" w:space="0"/>
              <w:bottom w:val="single" w:color="auto" w:sz="4" w:space="0"/>
              <w:right w:val="single" w:color="auto" w:sz="4" w:space="0"/>
            </w:tcBorders>
          </w:tcPr>
          <w:p w14:paraId="745BB835">
            <w:pPr>
              <w:rPr>
                <w:rFonts w:hint="eastAsia" w:ascii="宋体" w:hAnsi="宋体"/>
                <w:szCs w:val="21"/>
              </w:rPr>
            </w:pPr>
          </w:p>
        </w:tc>
        <w:tc>
          <w:tcPr>
            <w:tcW w:w="1050" w:type="dxa"/>
            <w:tcBorders>
              <w:top w:val="single" w:color="auto" w:sz="4" w:space="0"/>
              <w:left w:val="single" w:color="auto" w:sz="4" w:space="0"/>
              <w:bottom w:val="single" w:color="auto" w:sz="4" w:space="0"/>
              <w:right w:val="single" w:color="auto" w:sz="4" w:space="0"/>
            </w:tcBorders>
          </w:tcPr>
          <w:p w14:paraId="7DB6B991">
            <w:pPr>
              <w:rPr>
                <w:rFonts w:hint="eastAsia" w:ascii="宋体" w:hAnsi="宋体"/>
                <w:szCs w:val="21"/>
              </w:rPr>
            </w:pPr>
          </w:p>
        </w:tc>
        <w:tc>
          <w:tcPr>
            <w:tcW w:w="1039" w:type="dxa"/>
            <w:tcBorders>
              <w:top w:val="single" w:color="auto" w:sz="4" w:space="0"/>
              <w:left w:val="single" w:color="auto" w:sz="4" w:space="0"/>
              <w:bottom w:val="single" w:color="auto" w:sz="4" w:space="0"/>
              <w:right w:val="single" w:color="auto" w:sz="4" w:space="0"/>
            </w:tcBorders>
          </w:tcPr>
          <w:p w14:paraId="65F9FAAA">
            <w:pPr>
              <w:rPr>
                <w:rFonts w:hint="eastAsia" w:ascii="宋体" w:hAnsi="宋体"/>
                <w:szCs w:val="21"/>
              </w:rPr>
            </w:pPr>
          </w:p>
        </w:tc>
      </w:tr>
      <w:tr w14:paraId="7400F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14:paraId="52A871A9">
            <w:pPr>
              <w:rPr>
                <w:rFonts w:hint="eastAsia" w:ascii="宋体" w:hAnsi="宋体"/>
                <w:szCs w:val="21"/>
              </w:rPr>
            </w:pPr>
            <w:r>
              <w:rPr>
                <w:rFonts w:hint="eastAsia" w:ascii="宋体" w:hAnsi="宋体"/>
                <w:szCs w:val="21"/>
              </w:rPr>
              <w:t>7</w:t>
            </w:r>
          </w:p>
        </w:tc>
        <w:tc>
          <w:tcPr>
            <w:tcW w:w="8347" w:type="dxa"/>
            <w:tcBorders>
              <w:top w:val="single" w:color="auto" w:sz="4" w:space="0"/>
              <w:left w:val="single" w:color="auto" w:sz="4" w:space="0"/>
              <w:bottom w:val="single" w:color="auto" w:sz="4" w:space="0"/>
              <w:right w:val="single" w:color="auto" w:sz="4" w:space="0"/>
            </w:tcBorders>
            <w:vAlign w:val="center"/>
          </w:tcPr>
          <w:p w14:paraId="231D3A16">
            <w:pPr>
              <w:rPr>
                <w:rFonts w:hint="eastAsia" w:ascii="宋体" w:hAnsi="宋体"/>
                <w:szCs w:val="21"/>
              </w:rPr>
            </w:pPr>
            <w:r>
              <w:rPr>
                <w:rFonts w:hint="eastAsia" w:ascii="宋体" w:hAnsi="宋体"/>
                <w:szCs w:val="21"/>
              </w:rPr>
              <w:t>无《参与编制经济标投标文件人员名单》的；</w:t>
            </w:r>
          </w:p>
        </w:tc>
        <w:tc>
          <w:tcPr>
            <w:tcW w:w="1050" w:type="dxa"/>
            <w:tcBorders>
              <w:top w:val="single" w:color="auto" w:sz="4" w:space="0"/>
              <w:left w:val="single" w:color="auto" w:sz="4" w:space="0"/>
              <w:bottom w:val="single" w:color="auto" w:sz="4" w:space="0"/>
              <w:right w:val="single" w:color="auto" w:sz="4" w:space="0"/>
            </w:tcBorders>
          </w:tcPr>
          <w:p w14:paraId="334A21BA">
            <w:pPr>
              <w:rPr>
                <w:rFonts w:hint="eastAsia" w:ascii="宋体" w:hAnsi="宋体"/>
                <w:szCs w:val="21"/>
              </w:rPr>
            </w:pPr>
          </w:p>
        </w:tc>
        <w:tc>
          <w:tcPr>
            <w:tcW w:w="1009" w:type="dxa"/>
            <w:tcBorders>
              <w:top w:val="single" w:color="auto" w:sz="4" w:space="0"/>
              <w:left w:val="single" w:color="auto" w:sz="4" w:space="0"/>
              <w:bottom w:val="single" w:color="auto" w:sz="4" w:space="0"/>
              <w:right w:val="single" w:color="auto" w:sz="4" w:space="0"/>
            </w:tcBorders>
          </w:tcPr>
          <w:p w14:paraId="3DFCBE34">
            <w:pPr>
              <w:rPr>
                <w:rFonts w:hint="eastAsia" w:ascii="宋体" w:hAnsi="宋体"/>
                <w:szCs w:val="21"/>
              </w:rPr>
            </w:pPr>
          </w:p>
        </w:tc>
        <w:tc>
          <w:tcPr>
            <w:tcW w:w="1105" w:type="dxa"/>
            <w:tcBorders>
              <w:top w:val="single" w:color="auto" w:sz="4" w:space="0"/>
              <w:left w:val="single" w:color="auto" w:sz="4" w:space="0"/>
              <w:bottom w:val="single" w:color="auto" w:sz="4" w:space="0"/>
              <w:right w:val="single" w:color="auto" w:sz="4" w:space="0"/>
            </w:tcBorders>
          </w:tcPr>
          <w:p w14:paraId="24199E5E">
            <w:pPr>
              <w:rPr>
                <w:rFonts w:hint="eastAsia" w:ascii="宋体" w:hAnsi="宋体"/>
                <w:szCs w:val="21"/>
              </w:rPr>
            </w:pPr>
          </w:p>
        </w:tc>
        <w:tc>
          <w:tcPr>
            <w:tcW w:w="1050" w:type="dxa"/>
            <w:tcBorders>
              <w:top w:val="single" w:color="auto" w:sz="4" w:space="0"/>
              <w:left w:val="single" w:color="auto" w:sz="4" w:space="0"/>
              <w:bottom w:val="single" w:color="auto" w:sz="4" w:space="0"/>
              <w:right w:val="single" w:color="auto" w:sz="4" w:space="0"/>
            </w:tcBorders>
          </w:tcPr>
          <w:p w14:paraId="05DD4EF3">
            <w:pPr>
              <w:rPr>
                <w:rFonts w:hint="eastAsia" w:ascii="宋体" w:hAnsi="宋体"/>
                <w:szCs w:val="21"/>
              </w:rPr>
            </w:pPr>
          </w:p>
        </w:tc>
        <w:tc>
          <w:tcPr>
            <w:tcW w:w="1039" w:type="dxa"/>
            <w:tcBorders>
              <w:top w:val="single" w:color="auto" w:sz="4" w:space="0"/>
              <w:left w:val="single" w:color="auto" w:sz="4" w:space="0"/>
              <w:bottom w:val="single" w:color="auto" w:sz="4" w:space="0"/>
              <w:right w:val="single" w:color="auto" w:sz="4" w:space="0"/>
            </w:tcBorders>
          </w:tcPr>
          <w:p w14:paraId="162A68BE">
            <w:pPr>
              <w:rPr>
                <w:rFonts w:hint="eastAsia" w:ascii="宋体" w:hAnsi="宋体"/>
                <w:szCs w:val="21"/>
              </w:rPr>
            </w:pPr>
          </w:p>
        </w:tc>
      </w:tr>
      <w:tr w14:paraId="681F8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14:paraId="642F1E7B">
            <w:pPr>
              <w:rPr>
                <w:rFonts w:hint="eastAsia" w:ascii="宋体" w:hAnsi="宋体"/>
                <w:szCs w:val="21"/>
              </w:rPr>
            </w:pPr>
            <w:r>
              <w:rPr>
                <w:rFonts w:hint="eastAsia" w:ascii="宋体" w:hAnsi="宋体"/>
                <w:szCs w:val="21"/>
              </w:rPr>
              <w:t>8</w:t>
            </w:r>
          </w:p>
        </w:tc>
        <w:tc>
          <w:tcPr>
            <w:tcW w:w="8347" w:type="dxa"/>
            <w:tcBorders>
              <w:top w:val="single" w:color="auto" w:sz="4" w:space="0"/>
              <w:left w:val="single" w:color="auto" w:sz="4" w:space="0"/>
              <w:bottom w:val="single" w:color="auto" w:sz="4" w:space="0"/>
              <w:right w:val="single" w:color="auto" w:sz="4" w:space="0"/>
            </w:tcBorders>
            <w:vAlign w:val="center"/>
          </w:tcPr>
          <w:p w14:paraId="7EB138B6">
            <w:pPr>
              <w:rPr>
                <w:rFonts w:hint="eastAsia" w:ascii="宋体" w:hAnsi="宋体"/>
                <w:szCs w:val="21"/>
              </w:rPr>
            </w:pPr>
            <w:r>
              <w:rPr>
                <w:rFonts w:hint="eastAsia" w:ascii="宋体" w:hAnsi="宋体"/>
                <w:szCs w:val="21"/>
              </w:rPr>
              <w:t>无《对投标文件编制的承诺》；</w:t>
            </w:r>
          </w:p>
        </w:tc>
        <w:tc>
          <w:tcPr>
            <w:tcW w:w="1050" w:type="dxa"/>
            <w:tcBorders>
              <w:top w:val="single" w:color="auto" w:sz="4" w:space="0"/>
              <w:left w:val="single" w:color="auto" w:sz="4" w:space="0"/>
              <w:bottom w:val="single" w:color="auto" w:sz="4" w:space="0"/>
              <w:right w:val="single" w:color="auto" w:sz="4" w:space="0"/>
            </w:tcBorders>
          </w:tcPr>
          <w:p w14:paraId="6FD98AC3">
            <w:pPr>
              <w:rPr>
                <w:rFonts w:hint="eastAsia" w:ascii="宋体" w:hAnsi="宋体"/>
                <w:szCs w:val="21"/>
              </w:rPr>
            </w:pPr>
          </w:p>
        </w:tc>
        <w:tc>
          <w:tcPr>
            <w:tcW w:w="1009" w:type="dxa"/>
            <w:tcBorders>
              <w:top w:val="single" w:color="auto" w:sz="4" w:space="0"/>
              <w:left w:val="single" w:color="auto" w:sz="4" w:space="0"/>
              <w:bottom w:val="single" w:color="auto" w:sz="4" w:space="0"/>
              <w:right w:val="single" w:color="auto" w:sz="4" w:space="0"/>
            </w:tcBorders>
          </w:tcPr>
          <w:p w14:paraId="07AD435E">
            <w:pPr>
              <w:rPr>
                <w:rFonts w:hint="eastAsia" w:ascii="宋体" w:hAnsi="宋体"/>
                <w:szCs w:val="21"/>
              </w:rPr>
            </w:pPr>
          </w:p>
        </w:tc>
        <w:tc>
          <w:tcPr>
            <w:tcW w:w="1105" w:type="dxa"/>
            <w:tcBorders>
              <w:top w:val="single" w:color="auto" w:sz="4" w:space="0"/>
              <w:left w:val="single" w:color="auto" w:sz="4" w:space="0"/>
              <w:bottom w:val="single" w:color="auto" w:sz="4" w:space="0"/>
              <w:right w:val="single" w:color="auto" w:sz="4" w:space="0"/>
            </w:tcBorders>
          </w:tcPr>
          <w:p w14:paraId="1CFE2F9D">
            <w:pPr>
              <w:rPr>
                <w:rFonts w:hint="eastAsia" w:ascii="宋体" w:hAnsi="宋体"/>
                <w:szCs w:val="21"/>
              </w:rPr>
            </w:pPr>
          </w:p>
        </w:tc>
        <w:tc>
          <w:tcPr>
            <w:tcW w:w="1050" w:type="dxa"/>
            <w:tcBorders>
              <w:top w:val="single" w:color="auto" w:sz="4" w:space="0"/>
              <w:left w:val="single" w:color="auto" w:sz="4" w:space="0"/>
              <w:bottom w:val="single" w:color="auto" w:sz="4" w:space="0"/>
              <w:right w:val="single" w:color="auto" w:sz="4" w:space="0"/>
            </w:tcBorders>
          </w:tcPr>
          <w:p w14:paraId="5E7551EE">
            <w:pPr>
              <w:rPr>
                <w:rFonts w:hint="eastAsia" w:ascii="宋体" w:hAnsi="宋体"/>
                <w:szCs w:val="21"/>
              </w:rPr>
            </w:pPr>
          </w:p>
        </w:tc>
        <w:tc>
          <w:tcPr>
            <w:tcW w:w="1039" w:type="dxa"/>
            <w:tcBorders>
              <w:top w:val="single" w:color="auto" w:sz="4" w:space="0"/>
              <w:left w:val="single" w:color="auto" w:sz="4" w:space="0"/>
              <w:bottom w:val="single" w:color="auto" w:sz="4" w:space="0"/>
              <w:right w:val="single" w:color="auto" w:sz="4" w:space="0"/>
            </w:tcBorders>
          </w:tcPr>
          <w:p w14:paraId="55D504A1">
            <w:pPr>
              <w:rPr>
                <w:rFonts w:hint="eastAsia" w:ascii="宋体" w:hAnsi="宋体"/>
                <w:szCs w:val="21"/>
              </w:rPr>
            </w:pPr>
          </w:p>
        </w:tc>
      </w:tr>
      <w:tr w14:paraId="26F0F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14:paraId="1C959320">
            <w:pPr>
              <w:rPr>
                <w:rFonts w:hint="eastAsia" w:ascii="宋体" w:hAnsi="宋体"/>
                <w:szCs w:val="21"/>
              </w:rPr>
            </w:pPr>
            <w:r>
              <w:rPr>
                <w:rFonts w:hint="eastAsia" w:ascii="宋体" w:hAnsi="宋体"/>
                <w:szCs w:val="21"/>
              </w:rPr>
              <w:t>9</w:t>
            </w:r>
          </w:p>
        </w:tc>
        <w:tc>
          <w:tcPr>
            <w:tcW w:w="8347" w:type="dxa"/>
            <w:tcBorders>
              <w:top w:val="single" w:color="auto" w:sz="4" w:space="0"/>
              <w:left w:val="single" w:color="auto" w:sz="4" w:space="0"/>
              <w:bottom w:val="single" w:color="auto" w:sz="4" w:space="0"/>
              <w:right w:val="single" w:color="auto" w:sz="4" w:space="0"/>
            </w:tcBorders>
            <w:vAlign w:val="center"/>
          </w:tcPr>
          <w:p w14:paraId="3139EE6B">
            <w:pPr>
              <w:rPr>
                <w:rFonts w:hint="eastAsia" w:ascii="宋体" w:hAnsi="宋体"/>
                <w:szCs w:val="21"/>
              </w:rPr>
            </w:pPr>
            <w:r>
              <w:rPr>
                <w:rFonts w:hint="eastAsia" w:ascii="宋体" w:hAnsi="宋体"/>
                <w:szCs w:val="21"/>
                <w:u w:val="single"/>
              </w:rPr>
              <w:t>投标人与本项目其他投标人的投标文件工程量清单编制机器硬件信息一致的（以广州交易集团有限公司（广州公共资源交易中心）交易平台评标系统的检索信息为准）。</w:t>
            </w:r>
          </w:p>
        </w:tc>
        <w:tc>
          <w:tcPr>
            <w:tcW w:w="1050" w:type="dxa"/>
            <w:tcBorders>
              <w:top w:val="single" w:color="auto" w:sz="4" w:space="0"/>
              <w:left w:val="single" w:color="auto" w:sz="4" w:space="0"/>
              <w:bottom w:val="single" w:color="auto" w:sz="4" w:space="0"/>
              <w:right w:val="single" w:color="auto" w:sz="4" w:space="0"/>
            </w:tcBorders>
          </w:tcPr>
          <w:p w14:paraId="167C56C4">
            <w:pPr>
              <w:rPr>
                <w:rFonts w:hint="eastAsia" w:ascii="宋体" w:hAnsi="宋体"/>
                <w:szCs w:val="21"/>
              </w:rPr>
            </w:pPr>
          </w:p>
        </w:tc>
        <w:tc>
          <w:tcPr>
            <w:tcW w:w="1009" w:type="dxa"/>
            <w:tcBorders>
              <w:top w:val="single" w:color="auto" w:sz="4" w:space="0"/>
              <w:left w:val="single" w:color="auto" w:sz="4" w:space="0"/>
              <w:bottom w:val="single" w:color="auto" w:sz="4" w:space="0"/>
              <w:right w:val="single" w:color="auto" w:sz="4" w:space="0"/>
            </w:tcBorders>
          </w:tcPr>
          <w:p w14:paraId="3B195327">
            <w:pPr>
              <w:rPr>
                <w:rFonts w:hint="eastAsia" w:ascii="宋体" w:hAnsi="宋体"/>
                <w:szCs w:val="21"/>
              </w:rPr>
            </w:pPr>
          </w:p>
        </w:tc>
        <w:tc>
          <w:tcPr>
            <w:tcW w:w="1105" w:type="dxa"/>
            <w:tcBorders>
              <w:top w:val="single" w:color="auto" w:sz="4" w:space="0"/>
              <w:left w:val="single" w:color="auto" w:sz="4" w:space="0"/>
              <w:bottom w:val="single" w:color="auto" w:sz="4" w:space="0"/>
              <w:right w:val="single" w:color="auto" w:sz="4" w:space="0"/>
            </w:tcBorders>
          </w:tcPr>
          <w:p w14:paraId="5597D09D">
            <w:pPr>
              <w:rPr>
                <w:rFonts w:hint="eastAsia" w:ascii="宋体" w:hAnsi="宋体"/>
                <w:szCs w:val="21"/>
              </w:rPr>
            </w:pPr>
          </w:p>
        </w:tc>
        <w:tc>
          <w:tcPr>
            <w:tcW w:w="1050" w:type="dxa"/>
            <w:tcBorders>
              <w:top w:val="single" w:color="auto" w:sz="4" w:space="0"/>
              <w:left w:val="single" w:color="auto" w:sz="4" w:space="0"/>
              <w:bottom w:val="single" w:color="auto" w:sz="4" w:space="0"/>
              <w:right w:val="single" w:color="auto" w:sz="4" w:space="0"/>
            </w:tcBorders>
          </w:tcPr>
          <w:p w14:paraId="3C2B01E2">
            <w:pPr>
              <w:rPr>
                <w:rFonts w:hint="eastAsia" w:ascii="宋体" w:hAnsi="宋体"/>
                <w:szCs w:val="21"/>
              </w:rPr>
            </w:pPr>
          </w:p>
        </w:tc>
        <w:tc>
          <w:tcPr>
            <w:tcW w:w="1039" w:type="dxa"/>
            <w:tcBorders>
              <w:top w:val="single" w:color="auto" w:sz="4" w:space="0"/>
              <w:left w:val="single" w:color="auto" w:sz="4" w:space="0"/>
              <w:bottom w:val="single" w:color="auto" w:sz="4" w:space="0"/>
              <w:right w:val="single" w:color="auto" w:sz="4" w:space="0"/>
            </w:tcBorders>
          </w:tcPr>
          <w:p w14:paraId="58F415B0">
            <w:pPr>
              <w:rPr>
                <w:rFonts w:hint="eastAsia" w:ascii="宋体" w:hAnsi="宋体"/>
                <w:szCs w:val="21"/>
              </w:rPr>
            </w:pPr>
          </w:p>
        </w:tc>
      </w:tr>
    </w:tbl>
    <w:p w14:paraId="047E0E02">
      <w:pPr>
        <w:ind w:firstLine="458"/>
        <w:rPr>
          <w:rFonts w:hint="eastAsia"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本表使用GZZB2018-3招标文件范本，与范本内容不同之处均以下划线标明。</w:t>
      </w:r>
    </w:p>
    <w:p w14:paraId="72EC0E55">
      <w:pPr>
        <w:ind w:firstLine="458"/>
        <w:rPr>
          <w:rFonts w:hint="eastAsia" w:ascii="宋体" w:hAnsi="宋体"/>
          <w:szCs w:val="21"/>
        </w:rPr>
      </w:pPr>
      <w:r>
        <w:rPr>
          <w:rFonts w:ascii="宋体" w:hAnsi="宋体"/>
          <w:szCs w:val="21"/>
        </w:rPr>
        <w:t>2.</w:t>
      </w:r>
      <w:r>
        <w:rPr>
          <w:rFonts w:hint="eastAsia" w:ascii="宋体" w:hAnsi="宋体"/>
          <w:szCs w:val="21"/>
        </w:rPr>
        <w:t>凡出现以上任何一项情形，结论均为无效，否则就为有效。</w:t>
      </w:r>
    </w:p>
    <w:p w14:paraId="64EEC824">
      <w:pPr>
        <w:ind w:firstLine="458"/>
        <w:rPr>
          <w:rFonts w:hint="eastAsia" w:ascii="宋体" w:hAnsi="宋体"/>
          <w:szCs w:val="21"/>
        </w:rPr>
      </w:pPr>
      <w:r>
        <w:rPr>
          <w:rFonts w:hint="eastAsia" w:ascii="宋体" w:hAnsi="宋体"/>
          <w:szCs w:val="21"/>
        </w:rPr>
        <w:t>3</w:t>
      </w:r>
      <w:r>
        <w:rPr>
          <w:rFonts w:ascii="宋体" w:hAnsi="宋体"/>
          <w:szCs w:val="21"/>
        </w:rPr>
        <w:t>.</w:t>
      </w:r>
      <w:r>
        <w:rPr>
          <w:rFonts w:hint="eastAsia" w:ascii="宋体" w:hAnsi="宋体"/>
          <w:szCs w:val="21"/>
        </w:rPr>
        <w:t>如对本表中某种情形的评审意见不一致时，以评标委员会过半数成员的意见作为评标委员会对该情形的认定结论。</w:t>
      </w:r>
    </w:p>
    <w:p w14:paraId="3780F142">
      <w:pPr>
        <w:ind w:firstLine="458"/>
        <w:rPr>
          <w:rFonts w:hint="eastAsia" w:ascii="宋体" w:hAnsi="宋体"/>
          <w:szCs w:val="21"/>
        </w:rPr>
      </w:pPr>
      <w:r>
        <w:rPr>
          <w:rFonts w:hint="eastAsia" w:ascii="宋体" w:hAnsi="宋体"/>
          <w:szCs w:val="21"/>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68B44532">
      <w:pPr>
        <w:pStyle w:val="50"/>
        <w:ind w:firstLine="458"/>
        <w:rPr>
          <w:rFonts w:hint="eastAsia" w:ascii="宋体" w:hAnsi="宋体" w:eastAsia="宋体" w:cs="Times New Roman"/>
          <w:szCs w:val="21"/>
        </w:rPr>
        <w:sectPr>
          <w:endnotePr>
            <w:numFmt w:val="decimal"/>
          </w:endnotePr>
          <w:pgSz w:w="16838" w:h="11906" w:orient="landscape"/>
          <w:pgMar w:top="1440" w:right="1080" w:bottom="1440" w:left="1080" w:header="851" w:footer="907" w:gutter="0"/>
          <w:cols w:space="720" w:num="1"/>
          <w:titlePg/>
          <w:docGrid w:type="linesAndChars" w:linePitch="312" w:charSpace="0"/>
        </w:sectPr>
      </w:pPr>
      <w:r>
        <w:rPr>
          <w:rFonts w:hint="eastAsia" w:ascii="宋体" w:hAnsi="宋体" w:eastAsia="宋体" w:cs="Times New Roman"/>
          <w:szCs w:val="21"/>
        </w:rPr>
        <w:t>评委签名：</w:t>
      </w:r>
    </w:p>
    <w:p w14:paraId="66CF6F4C">
      <w:pPr>
        <w:rPr>
          <w:szCs w:val="21"/>
        </w:rPr>
      </w:pPr>
      <w:bookmarkStart w:id="95" w:name="_Hlk61882643"/>
      <w:r>
        <w:rPr>
          <w:rFonts w:hint="eastAsia"/>
          <w:szCs w:val="21"/>
        </w:rPr>
        <w:t>附表四</w:t>
      </w:r>
    </w:p>
    <w:bookmarkEnd w:id="95"/>
    <w:p w14:paraId="3EED922C">
      <w:pPr>
        <w:pStyle w:val="5"/>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eastAsia"/>
          <w:b/>
          <w:bCs/>
          <w:sz w:val="36"/>
          <w:szCs w:val="36"/>
        </w:rPr>
      </w:pPr>
      <w:bookmarkStart w:id="96" w:name="_Toc27112"/>
      <w:r>
        <w:rPr>
          <w:rFonts w:hint="eastAsia"/>
          <w:b/>
          <w:bCs/>
          <w:sz w:val="36"/>
          <w:szCs w:val="36"/>
          <w:highlight w:val="none"/>
        </w:rPr>
        <w:t>技术标详细审查评分表</w:t>
      </w:r>
      <w:bookmarkEnd w:id="96"/>
    </w:p>
    <w:p w14:paraId="3B0D7A7A">
      <w:pPr>
        <w:rPr>
          <w:rFonts w:hint="eastAsia" w:ascii="宋体" w:hAnsi="宋体" w:cs="宋体"/>
          <w:szCs w:val="21"/>
        </w:rPr>
      </w:pPr>
      <w:r>
        <w:rPr>
          <w:rFonts w:hint="eastAsia" w:ascii="宋体" w:hAnsi="宋体" w:cs="宋体"/>
          <w:szCs w:val="21"/>
        </w:rPr>
        <w:t>工程名称：</w:t>
      </w:r>
    </w:p>
    <w:tbl>
      <w:tblPr>
        <w:tblStyle w:val="52"/>
        <w:tblW w:w="14865" w:type="dxa"/>
        <w:jc w:val="center"/>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832"/>
        <w:gridCol w:w="644"/>
        <w:gridCol w:w="11345"/>
      </w:tblGrid>
      <w:tr w14:paraId="017D182F">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PrEx>
        <w:trPr>
          <w:trHeight w:val="87" w:hRule="atLeast"/>
          <w:jc w:val="center"/>
        </w:trPr>
        <w:tc>
          <w:tcPr>
            <w:tcW w:w="1044" w:type="dxa"/>
            <w:tcBorders>
              <w:top w:val="single" w:color="auto" w:sz="8" w:space="0"/>
              <w:left w:val="single" w:color="auto" w:sz="8" w:space="0"/>
              <w:bottom w:val="single" w:color="auto" w:sz="4" w:space="0"/>
              <w:right w:val="single" w:color="auto" w:sz="4" w:space="0"/>
            </w:tcBorders>
            <w:vAlign w:val="center"/>
          </w:tcPr>
          <w:p w14:paraId="0696DE1F">
            <w:pPr>
              <w:jc w:val="center"/>
              <w:rPr>
                <w:rFonts w:hint="eastAsia" w:ascii="宋体" w:hAnsi="宋体"/>
                <w:b/>
                <w:bCs/>
              </w:rPr>
            </w:pPr>
            <w:r>
              <w:rPr>
                <w:rFonts w:hint="eastAsia" w:ascii="宋体" w:hAnsi="宋体"/>
                <w:b/>
                <w:bCs/>
              </w:rPr>
              <w:t>评分</w:t>
            </w:r>
          </w:p>
          <w:p w14:paraId="64D3ECE7">
            <w:pPr>
              <w:jc w:val="center"/>
              <w:rPr>
                <w:rFonts w:hint="eastAsia" w:ascii="宋体" w:hAnsi="宋体"/>
                <w:b/>
                <w:bCs/>
              </w:rPr>
            </w:pPr>
            <w:r>
              <w:rPr>
                <w:rFonts w:hint="eastAsia" w:ascii="宋体" w:hAnsi="宋体"/>
                <w:b/>
                <w:bCs/>
              </w:rPr>
              <w:t>项目</w:t>
            </w:r>
          </w:p>
        </w:tc>
        <w:tc>
          <w:tcPr>
            <w:tcW w:w="1832" w:type="dxa"/>
            <w:tcBorders>
              <w:top w:val="single" w:color="auto" w:sz="8" w:space="0"/>
              <w:left w:val="nil"/>
              <w:bottom w:val="single" w:color="auto" w:sz="4" w:space="0"/>
              <w:right w:val="single" w:color="auto" w:sz="4" w:space="0"/>
            </w:tcBorders>
            <w:vAlign w:val="center"/>
          </w:tcPr>
          <w:p w14:paraId="3134491D">
            <w:pPr>
              <w:jc w:val="center"/>
              <w:rPr>
                <w:rFonts w:hint="eastAsia" w:ascii="宋体" w:hAnsi="宋体"/>
                <w:b/>
                <w:bCs/>
              </w:rPr>
            </w:pPr>
            <w:r>
              <w:rPr>
                <w:rFonts w:hint="eastAsia" w:ascii="宋体" w:hAnsi="宋体"/>
                <w:b/>
                <w:bCs/>
              </w:rPr>
              <w:t>评分内容</w:t>
            </w:r>
          </w:p>
        </w:tc>
        <w:tc>
          <w:tcPr>
            <w:tcW w:w="644" w:type="dxa"/>
            <w:tcBorders>
              <w:top w:val="single" w:color="auto" w:sz="8" w:space="0"/>
              <w:left w:val="nil"/>
              <w:bottom w:val="single" w:color="auto" w:sz="4" w:space="0"/>
              <w:right w:val="single" w:color="auto" w:sz="4" w:space="0"/>
            </w:tcBorders>
            <w:vAlign w:val="center"/>
          </w:tcPr>
          <w:p w14:paraId="3DE5A64A">
            <w:pPr>
              <w:jc w:val="center"/>
              <w:rPr>
                <w:rFonts w:hint="eastAsia" w:ascii="宋体" w:hAnsi="宋体"/>
                <w:b/>
                <w:bCs/>
              </w:rPr>
            </w:pPr>
            <w:r>
              <w:rPr>
                <w:rFonts w:hint="eastAsia" w:ascii="宋体" w:hAnsi="宋体"/>
                <w:b/>
                <w:bCs/>
              </w:rPr>
              <w:t>分值</w:t>
            </w:r>
          </w:p>
        </w:tc>
        <w:tc>
          <w:tcPr>
            <w:tcW w:w="11345" w:type="dxa"/>
            <w:tcBorders>
              <w:top w:val="single" w:color="auto" w:sz="8" w:space="0"/>
              <w:left w:val="nil"/>
              <w:bottom w:val="single" w:color="auto" w:sz="4" w:space="0"/>
              <w:right w:val="single" w:color="auto" w:sz="4" w:space="0"/>
            </w:tcBorders>
            <w:vAlign w:val="center"/>
          </w:tcPr>
          <w:p w14:paraId="2E294D09">
            <w:pPr>
              <w:jc w:val="center"/>
              <w:rPr>
                <w:rFonts w:hint="eastAsia" w:ascii="宋体" w:hAnsi="宋体"/>
                <w:b/>
                <w:bCs/>
              </w:rPr>
            </w:pPr>
            <w:r>
              <w:rPr>
                <w:rFonts w:hint="eastAsia" w:ascii="宋体" w:hAnsi="宋体"/>
                <w:b/>
                <w:bCs/>
              </w:rPr>
              <w:t>评审标准</w:t>
            </w:r>
          </w:p>
        </w:tc>
      </w:tr>
      <w:tr w14:paraId="1BA8799E">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044" w:type="dxa"/>
            <w:vMerge w:val="restart"/>
            <w:tcBorders>
              <w:top w:val="nil"/>
              <w:left w:val="single" w:color="auto" w:sz="8" w:space="0"/>
              <w:bottom w:val="single" w:color="auto" w:sz="4" w:space="0"/>
              <w:right w:val="single" w:color="auto" w:sz="4" w:space="0"/>
            </w:tcBorders>
            <w:vAlign w:val="center"/>
          </w:tcPr>
          <w:p w14:paraId="3715623F">
            <w:pPr>
              <w:rPr>
                <w:rFonts w:hint="eastAsia" w:ascii="宋体" w:hAnsi="宋体"/>
              </w:rPr>
            </w:pPr>
            <w:r>
              <w:rPr>
                <w:rFonts w:hint="eastAsia" w:ascii="宋体" w:hAnsi="宋体"/>
              </w:rPr>
              <w:t>一、企业业绩、信誉</w:t>
            </w:r>
          </w:p>
          <w:p w14:paraId="4A66D3F1">
            <w:pPr>
              <w:rPr>
                <w:rFonts w:hint="eastAsia" w:ascii="宋体" w:hAnsi="宋体"/>
              </w:rPr>
            </w:pPr>
            <w:r>
              <w:rPr>
                <w:rFonts w:hint="eastAsia" w:ascii="宋体" w:hAnsi="宋体"/>
              </w:rPr>
              <w:t>（16分）</w:t>
            </w:r>
          </w:p>
        </w:tc>
        <w:tc>
          <w:tcPr>
            <w:tcW w:w="1832" w:type="dxa"/>
            <w:tcBorders>
              <w:top w:val="single" w:color="auto" w:sz="4" w:space="0"/>
              <w:left w:val="nil"/>
              <w:bottom w:val="single" w:color="auto" w:sz="4" w:space="0"/>
              <w:right w:val="single" w:color="auto" w:sz="4" w:space="0"/>
            </w:tcBorders>
            <w:vAlign w:val="center"/>
          </w:tcPr>
          <w:p w14:paraId="65DDADAC">
            <w:pPr>
              <w:rPr>
                <w:rFonts w:hint="eastAsia" w:ascii="宋体" w:hAnsi="宋体"/>
              </w:rPr>
            </w:pPr>
            <w:r>
              <w:rPr>
                <w:rFonts w:hint="eastAsia" w:ascii="宋体" w:hAnsi="宋体"/>
              </w:rPr>
              <w:t>企业类似工程业绩</w:t>
            </w:r>
          </w:p>
        </w:tc>
        <w:tc>
          <w:tcPr>
            <w:tcW w:w="644" w:type="dxa"/>
            <w:tcBorders>
              <w:top w:val="single" w:color="auto" w:sz="4" w:space="0"/>
              <w:left w:val="nil"/>
              <w:bottom w:val="single" w:color="auto" w:sz="4" w:space="0"/>
              <w:right w:val="single" w:color="auto" w:sz="4" w:space="0"/>
            </w:tcBorders>
            <w:vAlign w:val="center"/>
          </w:tcPr>
          <w:p w14:paraId="045C999F">
            <w:pPr>
              <w:jc w:val="center"/>
              <w:rPr>
                <w:rFonts w:hint="eastAsia" w:ascii="宋体" w:hAnsi="宋体"/>
              </w:rPr>
            </w:pPr>
            <w:r>
              <w:rPr>
                <w:rFonts w:hint="eastAsia" w:ascii="宋体" w:hAnsi="宋体"/>
              </w:rPr>
              <w:t>6</w:t>
            </w:r>
          </w:p>
        </w:tc>
        <w:tc>
          <w:tcPr>
            <w:tcW w:w="11345" w:type="dxa"/>
            <w:tcBorders>
              <w:top w:val="single" w:color="auto" w:sz="4" w:space="0"/>
              <w:left w:val="nil"/>
              <w:bottom w:val="single" w:color="auto" w:sz="4" w:space="0"/>
              <w:right w:val="single" w:color="auto" w:sz="4" w:space="0"/>
            </w:tcBorders>
            <w:vAlign w:val="center"/>
          </w:tcPr>
          <w:p w14:paraId="6F7E1F15">
            <w:pPr>
              <w:rPr>
                <w:rFonts w:hint="eastAsia" w:ascii="宋体" w:hAnsi="宋体"/>
                <w:b w:val="0"/>
                <w:bCs w:val="0"/>
              </w:rPr>
            </w:pPr>
            <w:r>
              <w:rPr>
                <w:rFonts w:hint="eastAsia" w:ascii="宋体" w:hAnsi="宋体"/>
                <w:b w:val="0"/>
                <w:bCs w:val="0"/>
              </w:rPr>
              <w:t>投标人自2022年1月1日至承接过中标金额</w:t>
            </w:r>
            <w:r>
              <w:rPr>
                <w:rFonts w:hint="eastAsia" w:ascii="宋体" w:hAnsi="宋体"/>
                <w:b w:val="0"/>
                <w:bCs w:val="0"/>
                <w:u w:val="single"/>
              </w:rPr>
              <w:t>1000万元</w:t>
            </w:r>
            <w:r>
              <w:rPr>
                <w:rFonts w:hint="eastAsia" w:ascii="宋体" w:hAnsi="宋体"/>
                <w:b w:val="0"/>
                <w:bCs w:val="0"/>
              </w:rPr>
              <w:t>（或以上）的</w:t>
            </w:r>
            <w:r>
              <w:rPr>
                <w:rFonts w:hint="eastAsia" w:ascii="宋体" w:hAnsi="宋体"/>
                <w:b w:val="0"/>
                <w:bCs w:val="0"/>
                <w:u w:val="single"/>
              </w:rPr>
              <w:t>建筑工程类</w:t>
            </w:r>
            <w:r>
              <w:rPr>
                <w:rFonts w:hint="eastAsia" w:ascii="宋体" w:hAnsi="宋体"/>
                <w:b w:val="0"/>
                <w:bCs w:val="0"/>
              </w:rPr>
              <w:t>业绩。</w:t>
            </w:r>
          </w:p>
          <w:p w14:paraId="547B5CEB">
            <w:pPr>
              <w:rPr>
                <w:rFonts w:hint="eastAsia" w:ascii="宋体" w:hAnsi="宋体"/>
                <w:b w:val="0"/>
                <w:bCs w:val="0"/>
              </w:rPr>
            </w:pPr>
            <w:r>
              <w:rPr>
                <w:rFonts w:hint="eastAsia" w:ascii="宋体" w:hAnsi="宋体"/>
                <w:b w:val="0"/>
                <w:bCs w:val="0"/>
              </w:rPr>
              <w:t>提供一个业绩得2分，本项最高得6分。</w:t>
            </w:r>
          </w:p>
        </w:tc>
      </w:tr>
      <w:tr w14:paraId="3E9D9B1D">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 w:hRule="atLeast"/>
          <w:jc w:val="center"/>
        </w:trPr>
        <w:tc>
          <w:tcPr>
            <w:tcW w:w="1044" w:type="dxa"/>
            <w:vMerge w:val="continue"/>
            <w:tcBorders>
              <w:top w:val="nil"/>
              <w:left w:val="single" w:color="auto" w:sz="8" w:space="0"/>
              <w:bottom w:val="single" w:color="auto" w:sz="4" w:space="0"/>
              <w:right w:val="single" w:color="auto" w:sz="4" w:space="0"/>
            </w:tcBorders>
            <w:vAlign w:val="center"/>
          </w:tcPr>
          <w:p w14:paraId="294E5880">
            <w:pPr>
              <w:rPr>
                <w:rFonts w:hint="eastAsia" w:ascii="宋体" w:hAnsi="宋体"/>
              </w:rPr>
            </w:pPr>
          </w:p>
        </w:tc>
        <w:tc>
          <w:tcPr>
            <w:tcW w:w="1832" w:type="dxa"/>
            <w:tcBorders>
              <w:top w:val="single" w:color="auto" w:sz="4" w:space="0"/>
              <w:left w:val="nil"/>
              <w:bottom w:val="single" w:color="auto" w:sz="4" w:space="0"/>
              <w:right w:val="single" w:color="auto" w:sz="4" w:space="0"/>
            </w:tcBorders>
            <w:vAlign w:val="center"/>
          </w:tcPr>
          <w:p w14:paraId="3DA5DF85">
            <w:pPr>
              <w:jc w:val="center"/>
              <w:rPr>
                <w:rFonts w:hint="eastAsia" w:ascii="宋体" w:hAnsi="宋体"/>
              </w:rPr>
            </w:pPr>
            <w:r>
              <w:rPr>
                <w:rFonts w:hint="eastAsia" w:ascii="宋体" w:hAnsi="宋体"/>
              </w:rPr>
              <w:t>第三方评价</w:t>
            </w:r>
          </w:p>
        </w:tc>
        <w:tc>
          <w:tcPr>
            <w:tcW w:w="644" w:type="dxa"/>
            <w:tcBorders>
              <w:top w:val="single" w:color="auto" w:sz="4" w:space="0"/>
              <w:left w:val="nil"/>
              <w:bottom w:val="single" w:color="auto" w:sz="4" w:space="0"/>
              <w:right w:val="single" w:color="auto" w:sz="4" w:space="0"/>
            </w:tcBorders>
            <w:vAlign w:val="center"/>
          </w:tcPr>
          <w:p w14:paraId="1F7CD3ED">
            <w:pPr>
              <w:jc w:val="center"/>
              <w:rPr>
                <w:rFonts w:hint="eastAsia" w:ascii="宋体" w:hAnsi="宋体"/>
              </w:rPr>
            </w:pPr>
            <w:r>
              <w:rPr>
                <w:rFonts w:hint="eastAsia" w:ascii="宋体" w:hAnsi="宋体"/>
              </w:rPr>
              <w:t>4</w:t>
            </w:r>
          </w:p>
        </w:tc>
        <w:tc>
          <w:tcPr>
            <w:tcW w:w="11345" w:type="dxa"/>
            <w:tcBorders>
              <w:top w:val="single" w:color="auto" w:sz="4" w:space="0"/>
              <w:left w:val="nil"/>
              <w:bottom w:val="single" w:color="auto" w:sz="4" w:space="0"/>
              <w:right w:val="single" w:color="auto" w:sz="4" w:space="0"/>
            </w:tcBorders>
            <w:vAlign w:val="center"/>
          </w:tcPr>
          <w:p w14:paraId="12DAE013">
            <w:pPr>
              <w:numPr>
                <w:ilvl w:val="0"/>
                <w:numId w:val="0"/>
              </w:numPr>
              <w:ind w:left="0" w:leftChars="0" w:firstLine="0" w:firstLineChars="0"/>
              <w:rPr>
                <w:rFonts w:hint="eastAsia" w:ascii="宋体" w:hAnsi="宋体"/>
              </w:rPr>
            </w:pPr>
            <w:r>
              <w:rPr>
                <w:rFonts w:hint="eastAsia" w:ascii="宋体" w:hAnsi="宋体" w:eastAsia="宋体" w:cs="Times New Roman"/>
                <w:kern w:val="2"/>
                <w:sz w:val="21"/>
                <w:szCs w:val="22"/>
                <w:lang w:val="en-US" w:eastAsia="zh-CN" w:bidi="ar-SA"/>
              </w:rPr>
              <w:t>1、</w:t>
            </w:r>
            <w:r>
              <w:rPr>
                <w:rFonts w:hint="eastAsia" w:ascii="宋体" w:hAnsi="宋体"/>
              </w:rPr>
              <w:t>投标人企业获得在有效期内且年检合格的质量管理体系认证</w:t>
            </w:r>
            <w:r>
              <w:rPr>
                <w:rFonts w:hint="eastAsia" w:ascii="宋体" w:hAnsi="宋体"/>
                <w:lang w:val="zh-TW"/>
              </w:rPr>
              <w:t>、</w:t>
            </w:r>
            <w:r>
              <w:rPr>
                <w:rFonts w:hint="eastAsia" w:ascii="宋体" w:hAnsi="宋体"/>
              </w:rPr>
              <w:t>职业健康安全管理体系认证</w:t>
            </w:r>
            <w:r>
              <w:rPr>
                <w:rFonts w:hint="eastAsia" w:ascii="宋体" w:hAnsi="宋体"/>
                <w:lang w:val="zh-TW"/>
              </w:rPr>
              <w:t>、</w:t>
            </w:r>
            <w:r>
              <w:rPr>
                <w:rFonts w:hint="eastAsia" w:ascii="宋体" w:hAnsi="宋体"/>
              </w:rPr>
              <w:t>知识产权管理体系认证</w:t>
            </w:r>
            <w:r>
              <w:rPr>
                <w:rFonts w:hint="eastAsia" w:ascii="宋体" w:hAnsi="宋体"/>
                <w:lang w:val="zh-TW"/>
              </w:rPr>
              <w:t>、</w:t>
            </w:r>
            <w:r>
              <w:rPr>
                <w:rFonts w:hint="eastAsia" w:ascii="宋体" w:hAnsi="宋体"/>
              </w:rPr>
              <w:t>环境管理体系认证，每项得0.5分；最多得2分。</w:t>
            </w:r>
          </w:p>
          <w:p w14:paraId="71D2FC7C">
            <w:pPr>
              <w:numPr>
                <w:ilvl w:val="0"/>
                <w:numId w:val="0"/>
              </w:numPr>
              <w:ind w:left="0" w:leftChars="0" w:firstLine="0" w:firstLineChars="0"/>
              <w:rPr>
                <w:rFonts w:hint="eastAsia" w:ascii="宋体" w:hAnsi="宋体"/>
                <w:lang w:val="zh-TW"/>
              </w:rPr>
            </w:pPr>
            <w:bookmarkStart w:id="97" w:name="_Hlk194322901"/>
            <w:r>
              <w:rPr>
                <w:rFonts w:hint="eastAsia" w:ascii="宋体" w:hAnsi="宋体" w:eastAsia="宋体" w:cs="Times New Roman"/>
                <w:kern w:val="2"/>
                <w:sz w:val="21"/>
                <w:szCs w:val="22"/>
                <w:lang w:val="zh-TW" w:eastAsia="zh-CN" w:bidi="ar-SA"/>
              </w:rPr>
              <w:t>2、</w:t>
            </w:r>
            <w:r>
              <w:rPr>
                <w:rFonts w:hint="eastAsia" w:ascii="宋体" w:hAnsi="宋体"/>
                <w:lang w:val="zh-TW"/>
              </w:rPr>
              <w:t>投标人在近三年连续被评为“A级纳税人”称号：</w:t>
            </w:r>
          </w:p>
          <w:p w14:paraId="462D1B1B">
            <w:pPr>
              <w:rPr>
                <w:rFonts w:hint="eastAsia" w:ascii="宋体" w:hAnsi="宋体"/>
                <w:lang w:val="zh-TW"/>
              </w:rPr>
            </w:pPr>
            <w:r>
              <w:rPr>
                <w:rFonts w:hint="eastAsia" w:ascii="宋体" w:hAnsi="宋体"/>
              </w:rPr>
              <w:t>（1）</w:t>
            </w:r>
            <w:r>
              <w:rPr>
                <w:rFonts w:hint="eastAsia" w:ascii="宋体" w:hAnsi="宋体"/>
                <w:lang w:val="zh-TW"/>
              </w:rPr>
              <w:t>连续三年被评为“A级纳税人”称号得2分</w:t>
            </w:r>
          </w:p>
          <w:p w14:paraId="4B75B09A">
            <w:pPr>
              <w:rPr>
                <w:rFonts w:hint="eastAsia" w:ascii="宋体" w:hAnsi="宋体"/>
                <w:lang w:val="zh-TW"/>
              </w:rPr>
            </w:pPr>
            <w:r>
              <w:rPr>
                <w:rFonts w:hint="eastAsia" w:ascii="宋体" w:hAnsi="宋体"/>
                <w:lang w:val="zh-TW"/>
              </w:rPr>
              <w:t>（</w:t>
            </w:r>
            <w:r>
              <w:rPr>
                <w:rFonts w:hint="eastAsia" w:ascii="宋体" w:hAnsi="宋体"/>
              </w:rPr>
              <w:t>2</w:t>
            </w:r>
            <w:r>
              <w:rPr>
                <w:rFonts w:hint="eastAsia" w:ascii="宋体" w:hAnsi="宋体"/>
                <w:lang w:val="zh-TW"/>
              </w:rPr>
              <w:t>）连续二年被评为“A级纳税人”称号得1分；</w:t>
            </w:r>
          </w:p>
          <w:p w14:paraId="7D04DCF5">
            <w:pPr>
              <w:rPr>
                <w:rFonts w:hint="eastAsia" w:ascii="宋体" w:hAnsi="宋体"/>
                <w:lang w:val="zh-TW"/>
              </w:rPr>
            </w:pPr>
            <w:r>
              <w:rPr>
                <w:rFonts w:hint="eastAsia" w:ascii="宋体" w:hAnsi="宋体"/>
                <w:lang w:val="zh-TW"/>
              </w:rPr>
              <w:t>（</w:t>
            </w:r>
            <w:r>
              <w:rPr>
                <w:rFonts w:hint="eastAsia" w:ascii="宋体" w:hAnsi="宋体"/>
              </w:rPr>
              <w:t>3</w:t>
            </w:r>
            <w:r>
              <w:rPr>
                <w:rFonts w:hint="eastAsia" w:ascii="宋体" w:hAnsi="宋体"/>
                <w:lang w:val="zh-TW"/>
              </w:rPr>
              <w:t>）有一年被评为“A级纳税人”称号得0.5分。</w:t>
            </w:r>
            <w:bookmarkEnd w:id="97"/>
          </w:p>
        </w:tc>
      </w:tr>
      <w:tr w14:paraId="40013AA6">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044" w:type="dxa"/>
            <w:vMerge w:val="continue"/>
            <w:tcBorders>
              <w:top w:val="nil"/>
              <w:left w:val="single" w:color="auto" w:sz="8" w:space="0"/>
              <w:bottom w:val="single" w:color="auto" w:sz="4" w:space="0"/>
              <w:right w:val="single" w:color="auto" w:sz="4" w:space="0"/>
            </w:tcBorders>
            <w:vAlign w:val="center"/>
          </w:tcPr>
          <w:p w14:paraId="3F5487F8">
            <w:pPr>
              <w:rPr>
                <w:rFonts w:hint="eastAsia" w:ascii="宋体" w:hAnsi="宋体"/>
              </w:rPr>
            </w:pPr>
          </w:p>
        </w:tc>
        <w:tc>
          <w:tcPr>
            <w:tcW w:w="1832" w:type="dxa"/>
            <w:tcBorders>
              <w:top w:val="single" w:color="auto" w:sz="4" w:space="0"/>
              <w:left w:val="nil"/>
              <w:bottom w:val="single" w:color="auto" w:sz="4" w:space="0"/>
              <w:right w:val="single" w:color="auto" w:sz="4" w:space="0"/>
            </w:tcBorders>
            <w:vAlign w:val="center"/>
          </w:tcPr>
          <w:p w14:paraId="28F1062B">
            <w:pPr>
              <w:rPr>
                <w:rFonts w:hint="eastAsia" w:ascii="宋体" w:hAnsi="宋体"/>
              </w:rPr>
            </w:pPr>
            <w:r>
              <w:rPr>
                <w:rFonts w:hint="eastAsia" w:ascii="宋体" w:hAnsi="宋体"/>
              </w:rPr>
              <w:t>工程研发能力</w:t>
            </w:r>
          </w:p>
        </w:tc>
        <w:tc>
          <w:tcPr>
            <w:tcW w:w="644" w:type="dxa"/>
            <w:tcBorders>
              <w:top w:val="single" w:color="auto" w:sz="4" w:space="0"/>
              <w:left w:val="nil"/>
              <w:bottom w:val="single" w:color="auto" w:sz="4" w:space="0"/>
              <w:right w:val="single" w:color="auto" w:sz="4" w:space="0"/>
            </w:tcBorders>
            <w:vAlign w:val="center"/>
          </w:tcPr>
          <w:p w14:paraId="418667A1">
            <w:pPr>
              <w:jc w:val="center"/>
              <w:rPr>
                <w:rFonts w:hint="eastAsia" w:ascii="宋体" w:hAnsi="宋体"/>
              </w:rPr>
            </w:pPr>
            <w:r>
              <w:rPr>
                <w:rFonts w:hint="eastAsia" w:ascii="宋体" w:hAnsi="宋体"/>
              </w:rPr>
              <w:t>6</w:t>
            </w:r>
          </w:p>
        </w:tc>
        <w:tc>
          <w:tcPr>
            <w:tcW w:w="11345" w:type="dxa"/>
            <w:tcBorders>
              <w:top w:val="single" w:color="auto" w:sz="4" w:space="0"/>
              <w:left w:val="nil"/>
              <w:bottom w:val="single" w:color="auto" w:sz="4" w:space="0"/>
              <w:right w:val="single" w:color="auto" w:sz="4" w:space="0"/>
            </w:tcBorders>
            <w:vAlign w:val="center"/>
          </w:tcPr>
          <w:p w14:paraId="5C425451">
            <w:pPr>
              <w:rPr>
                <w:rFonts w:hint="eastAsia" w:ascii="宋体" w:hAnsi="宋体"/>
              </w:rPr>
            </w:pPr>
            <w:r>
              <w:rPr>
                <w:rFonts w:hint="eastAsia" w:ascii="宋体" w:hAnsi="宋体"/>
              </w:rPr>
              <w:t>1、投标人具有有效的“高新技术企业证书”的，得3分</w:t>
            </w:r>
          </w:p>
          <w:p w14:paraId="1874A574">
            <w:pPr>
              <w:rPr>
                <w:rFonts w:hint="eastAsia" w:ascii="宋体" w:hAnsi="宋体"/>
              </w:rPr>
            </w:pPr>
            <w:r>
              <w:rPr>
                <w:rFonts w:hint="eastAsia" w:ascii="宋体" w:hAnsi="宋体"/>
              </w:rPr>
              <w:t>2、投标人自2022年1月1日至今（以证书颁发时间为准）：</w:t>
            </w:r>
          </w:p>
          <w:p w14:paraId="576248FC">
            <w:pPr>
              <w:rPr>
                <w:rFonts w:hint="eastAsia" w:ascii="宋体" w:hAnsi="宋体"/>
              </w:rPr>
            </w:pPr>
            <w:r>
              <w:rPr>
                <w:rFonts w:hint="eastAsia" w:ascii="宋体" w:hAnsi="宋体"/>
              </w:rPr>
              <w:t>（1）获得市级类建筑工程类工法证书的，得1.5分；</w:t>
            </w:r>
          </w:p>
          <w:p w14:paraId="500C331C">
            <w:pPr>
              <w:rPr>
                <w:rFonts w:hint="eastAsia" w:ascii="宋体" w:hAnsi="宋体"/>
              </w:rPr>
            </w:pPr>
            <w:r>
              <w:rPr>
                <w:rFonts w:hint="eastAsia" w:ascii="宋体" w:hAnsi="宋体"/>
              </w:rPr>
              <w:t>（2）获得省级或以上级别的建筑工程类工法证书的，得3分。</w:t>
            </w:r>
          </w:p>
          <w:p w14:paraId="77A9968B">
            <w:pPr>
              <w:rPr>
                <w:rFonts w:hint="eastAsia" w:ascii="宋体" w:hAnsi="宋体"/>
              </w:rPr>
            </w:pPr>
            <w:r>
              <w:rPr>
                <w:rFonts w:hint="eastAsia" w:ascii="宋体" w:hAnsi="宋体"/>
              </w:rPr>
              <w:t>注:本项1+2最多得6分</w:t>
            </w:r>
          </w:p>
        </w:tc>
      </w:tr>
      <w:tr w14:paraId="443289D9">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1044" w:type="dxa"/>
            <w:vMerge w:val="restart"/>
            <w:tcBorders>
              <w:top w:val="single" w:color="auto" w:sz="4" w:space="0"/>
              <w:left w:val="single" w:color="auto" w:sz="4" w:space="0"/>
              <w:bottom w:val="single" w:color="auto" w:sz="4" w:space="0"/>
              <w:right w:val="single" w:color="auto" w:sz="4" w:space="0"/>
            </w:tcBorders>
            <w:vAlign w:val="center"/>
          </w:tcPr>
          <w:p w14:paraId="7D349B40">
            <w:pPr>
              <w:rPr>
                <w:rFonts w:hint="eastAsia" w:ascii="宋体" w:hAnsi="宋体"/>
              </w:rPr>
            </w:pPr>
            <w:r>
              <w:rPr>
                <w:rFonts w:hint="eastAsia" w:ascii="宋体" w:hAnsi="宋体"/>
              </w:rPr>
              <w:t>二、项目管理机构能力（4分）</w:t>
            </w:r>
          </w:p>
        </w:tc>
        <w:tc>
          <w:tcPr>
            <w:tcW w:w="1832" w:type="dxa"/>
            <w:tcBorders>
              <w:top w:val="single" w:color="auto" w:sz="4" w:space="0"/>
              <w:left w:val="nil"/>
              <w:bottom w:val="single" w:color="auto" w:sz="4" w:space="0"/>
              <w:right w:val="single" w:color="auto" w:sz="4" w:space="0"/>
            </w:tcBorders>
            <w:vAlign w:val="center"/>
          </w:tcPr>
          <w:p w14:paraId="6634F3CA">
            <w:pPr>
              <w:rPr>
                <w:rFonts w:hint="eastAsia" w:ascii="宋体" w:hAnsi="宋体"/>
              </w:rPr>
            </w:pPr>
            <w:r>
              <w:rPr>
                <w:rFonts w:hint="eastAsia" w:ascii="宋体" w:hAnsi="宋体"/>
              </w:rPr>
              <w:t>项目负责人情况</w:t>
            </w:r>
          </w:p>
        </w:tc>
        <w:tc>
          <w:tcPr>
            <w:tcW w:w="644" w:type="dxa"/>
            <w:tcBorders>
              <w:top w:val="single" w:color="auto" w:sz="4" w:space="0"/>
              <w:left w:val="nil"/>
              <w:bottom w:val="single" w:color="auto" w:sz="4" w:space="0"/>
              <w:right w:val="single" w:color="auto" w:sz="4" w:space="0"/>
            </w:tcBorders>
            <w:vAlign w:val="center"/>
          </w:tcPr>
          <w:p w14:paraId="18796ADF">
            <w:pPr>
              <w:jc w:val="center"/>
              <w:rPr>
                <w:rFonts w:hint="eastAsia" w:ascii="宋体" w:hAnsi="宋体"/>
              </w:rPr>
            </w:pPr>
            <w:r>
              <w:rPr>
                <w:rFonts w:hint="eastAsia" w:ascii="宋体" w:hAnsi="宋体"/>
              </w:rPr>
              <w:t>2</w:t>
            </w:r>
          </w:p>
        </w:tc>
        <w:tc>
          <w:tcPr>
            <w:tcW w:w="11345" w:type="dxa"/>
            <w:tcBorders>
              <w:top w:val="single" w:color="auto" w:sz="4" w:space="0"/>
              <w:left w:val="nil"/>
              <w:bottom w:val="single" w:color="auto" w:sz="4" w:space="0"/>
              <w:right w:val="single" w:color="auto" w:sz="4" w:space="0"/>
            </w:tcBorders>
            <w:vAlign w:val="center"/>
          </w:tcPr>
          <w:p w14:paraId="0505A25D">
            <w:pPr>
              <w:rPr>
                <w:rFonts w:hint="eastAsia" w:ascii="宋体" w:hAnsi="宋体"/>
              </w:rPr>
            </w:pPr>
            <w:r>
              <w:rPr>
                <w:rFonts w:hint="eastAsia" w:ascii="宋体" w:hAnsi="宋体"/>
              </w:rPr>
              <w:t>项目负责人为</w:t>
            </w:r>
            <w:r>
              <w:rPr>
                <w:rFonts w:hint="eastAsia" w:ascii="宋体" w:hAnsi="宋体"/>
                <w:u w:val="single"/>
              </w:rPr>
              <w:t>建筑工程类相关</w:t>
            </w:r>
            <w:r>
              <w:rPr>
                <w:rFonts w:hint="eastAsia" w:ascii="宋体" w:hAnsi="宋体"/>
              </w:rPr>
              <w:t>专业的中级工程师或以上职称，得2分；其他不得分。</w:t>
            </w:r>
          </w:p>
        </w:tc>
      </w:tr>
      <w:tr w14:paraId="3DBD0851">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1044" w:type="dxa"/>
            <w:vMerge w:val="continue"/>
            <w:tcBorders>
              <w:top w:val="single" w:color="auto" w:sz="4" w:space="0"/>
              <w:left w:val="single" w:color="auto" w:sz="4" w:space="0"/>
              <w:bottom w:val="single" w:color="auto" w:sz="4" w:space="0"/>
              <w:right w:val="single" w:color="auto" w:sz="4" w:space="0"/>
            </w:tcBorders>
            <w:vAlign w:val="center"/>
          </w:tcPr>
          <w:p w14:paraId="61DF2F48">
            <w:pPr>
              <w:rPr>
                <w:rFonts w:hint="eastAsia" w:ascii="宋体" w:hAnsi="宋体"/>
              </w:rPr>
            </w:pPr>
          </w:p>
        </w:tc>
        <w:tc>
          <w:tcPr>
            <w:tcW w:w="1832" w:type="dxa"/>
            <w:tcBorders>
              <w:top w:val="single" w:color="auto" w:sz="4" w:space="0"/>
              <w:left w:val="nil"/>
              <w:bottom w:val="single" w:color="auto" w:sz="4" w:space="0"/>
              <w:right w:val="single" w:color="auto" w:sz="4" w:space="0"/>
            </w:tcBorders>
            <w:vAlign w:val="center"/>
          </w:tcPr>
          <w:p w14:paraId="4A25DB1C">
            <w:pPr>
              <w:rPr>
                <w:rFonts w:hint="eastAsia" w:ascii="宋体" w:hAnsi="宋体"/>
              </w:rPr>
            </w:pPr>
            <w:r>
              <w:rPr>
                <w:rFonts w:hint="eastAsia" w:ascii="宋体" w:hAnsi="宋体"/>
              </w:rPr>
              <w:t>技术负责人情况</w:t>
            </w:r>
          </w:p>
        </w:tc>
        <w:tc>
          <w:tcPr>
            <w:tcW w:w="644" w:type="dxa"/>
            <w:tcBorders>
              <w:top w:val="single" w:color="auto" w:sz="4" w:space="0"/>
              <w:left w:val="nil"/>
              <w:bottom w:val="single" w:color="auto" w:sz="4" w:space="0"/>
              <w:right w:val="single" w:color="auto" w:sz="4" w:space="0"/>
            </w:tcBorders>
            <w:vAlign w:val="center"/>
          </w:tcPr>
          <w:p w14:paraId="2953A7FA">
            <w:pPr>
              <w:jc w:val="center"/>
              <w:rPr>
                <w:rFonts w:hint="eastAsia" w:ascii="宋体" w:hAnsi="宋体"/>
              </w:rPr>
            </w:pPr>
            <w:r>
              <w:rPr>
                <w:rFonts w:hint="eastAsia" w:ascii="宋体" w:hAnsi="宋体"/>
              </w:rPr>
              <w:t>2</w:t>
            </w:r>
          </w:p>
        </w:tc>
        <w:tc>
          <w:tcPr>
            <w:tcW w:w="11345" w:type="dxa"/>
            <w:tcBorders>
              <w:top w:val="single" w:color="auto" w:sz="4" w:space="0"/>
              <w:left w:val="nil"/>
              <w:bottom w:val="single" w:color="auto" w:sz="4" w:space="0"/>
              <w:right w:val="single" w:color="auto" w:sz="4" w:space="0"/>
            </w:tcBorders>
            <w:vAlign w:val="center"/>
          </w:tcPr>
          <w:p w14:paraId="095FDD64">
            <w:pPr>
              <w:rPr>
                <w:rFonts w:hint="eastAsia" w:ascii="宋体" w:hAnsi="宋体"/>
                <w:bCs/>
              </w:rPr>
            </w:pPr>
            <w:r>
              <w:rPr>
                <w:rFonts w:hint="eastAsia" w:ascii="宋体" w:hAnsi="宋体"/>
                <w:bCs/>
              </w:rPr>
              <w:t>技术负责人取得建筑工程相关专业高级工程师（或以上）职称的年限≥5年的得2分；技术负责人取得建筑工程相关专业高级工程师（或以上）职称的年限[3，5)年的得1分；技术负责人取得建筑工程相关专业高级工程师（或以上）职称的年限[1，3)年的得0.5分，其余不得分。本项最高得2分。</w:t>
            </w:r>
          </w:p>
        </w:tc>
      </w:tr>
      <w:tr w14:paraId="588CDE21">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044" w:type="dxa"/>
            <w:vMerge w:val="restart"/>
            <w:tcBorders>
              <w:top w:val="single" w:color="auto" w:sz="4" w:space="0"/>
              <w:left w:val="single" w:color="auto" w:sz="4" w:space="0"/>
              <w:bottom w:val="single" w:color="auto" w:sz="4" w:space="0"/>
              <w:right w:val="single" w:color="auto" w:sz="4" w:space="0"/>
            </w:tcBorders>
            <w:vAlign w:val="center"/>
          </w:tcPr>
          <w:p w14:paraId="17F4CDBD">
            <w:pPr>
              <w:rPr>
                <w:rFonts w:hint="eastAsia" w:ascii="宋体" w:hAnsi="宋体"/>
              </w:rPr>
            </w:pPr>
            <w:r>
              <w:rPr>
                <w:rFonts w:hint="eastAsia" w:ascii="宋体" w:hAnsi="宋体"/>
              </w:rPr>
              <w:t>三、施工组织设计（80分）</w:t>
            </w:r>
          </w:p>
        </w:tc>
        <w:tc>
          <w:tcPr>
            <w:tcW w:w="1832" w:type="dxa"/>
            <w:tcBorders>
              <w:top w:val="single" w:color="auto" w:sz="4" w:space="0"/>
              <w:left w:val="nil"/>
              <w:bottom w:val="single" w:color="auto" w:sz="4" w:space="0"/>
              <w:right w:val="single" w:color="auto" w:sz="4" w:space="0"/>
            </w:tcBorders>
            <w:vAlign w:val="center"/>
          </w:tcPr>
          <w:p w14:paraId="25859BFC">
            <w:pPr>
              <w:rPr>
                <w:rFonts w:hint="eastAsia" w:ascii="宋体" w:hAnsi="宋体"/>
              </w:rPr>
            </w:pPr>
            <w:r>
              <w:rPr>
                <w:rFonts w:hint="eastAsia" w:ascii="宋体" w:hAnsi="宋体"/>
              </w:rPr>
              <w:t>针对本项目重点难点措施</w:t>
            </w:r>
          </w:p>
        </w:tc>
        <w:tc>
          <w:tcPr>
            <w:tcW w:w="644" w:type="dxa"/>
            <w:tcBorders>
              <w:top w:val="single" w:color="auto" w:sz="4" w:space="0"/>
              <w:left w:val="nil"/>
              <w:bottom w:val="single" w:color="auto" w:sz="4" w:space="0"/>
              <w:right w:val="single" w:color="auto" w:sz="4" w:space="0"/>
            </w:tcBorders>
            <w:vAlign w:val="center"/>
          </w:tcPr>
          <w:p w14:paraId="11BDE199">
            <w:pPr>
              <w:jc w:val="center"/>
              <w:rPr>
                <w:rFonts w:hint="eastAsia" w:ascii="宋体" w:hAnsi="宋体"/>
              </w:rPr>
            </w:pPr>
            <w:r>
              <w:rPr>
                <w:rFonts w:hint="eastAsia" w:ascii="宋体" w:hAnsi="宋体"/>
              </w:rPr>
              <w:t>20</w:t>
            </w:r>
          </w:p>
        </w:tc>
        <w:tc>
          <w:tcPr>
            <w:tcW w:w="11345" w:type="dxa"/>
            <w:tcBorders>
              <w:top w:val="single" w:color="auto" w:sz="4" w:space="0"/>
              <w:left w:val="nil"/>
              <w:bottom w:val="single" w:color="auto" w:sz="4" w:space="0"/>
              <w:right w:val="single" w:color="auto" w:sz="4" w:space="0"/>
            </w:tcBorders>
            <w:vAlign w:val="center"/>
          </w:tcPr>
          <w:p w14:paraId="3C847643">
            <w:pPr>
              <w:rPr>
                <w:rFonts w:hint="eastAsia" w:ascii="宋体" w:hAnsi="宋体"/>
              </w:rPr>
            </w:pPr>
            <w:r>
              <w:rPr>
                <w:rFonts w:hint="eastAsia" w:ascii="宋体" w:hAnsi="宋体"/>
              </w:rPr>
              <w:t>针对本工程制定了重点难点措施，措施具体、合理可行、针对性强：</w:t>
            </w:r>
          </w:p>
          <w:p w14:paraId="40B9AD59">
            <w:pPr>
              <w:pStyle w:val="144"/>
              <w:numPr>
                <w:ilvl w:val="0"/>
                <w:numId w:val="0"/>
              </w:numPr>
              <w:ind w:left="360" w:leftChars="0" w:hanging="360" w:firstLineChars="0"/>
              <w:contextualSpacing/>
              <w:rPr>
                <w:rFonts w:hint="eastAsia" w:ascii="宋体" w:hAnsi="宋体"/>
              </w:rPr>
            </w:pPr>
            <w:r>
              <w:rPr>
                <w:rFonts w:hint="default" w:ascii="宋体" w:hAnsi="宋体" w:eastAsia="宋体" w:cs="Times New Roman"/>
                <w:kern w:val="2"/>
                <w:sz w:val="21"/>
                <w:szCs w:val="22"/>
                <w:lang w:val="en-US" w:eastAsia="zh-CN" w:bidi="ar-SA"/>
              </w:rPr>
              <w:t>1、</w:t>
            </w:r>
            <w:r>
              <w:rPr>
                <w:rFonts w:hint="eastAsia" w:ascii="宋体" w:hAnsi="宋体"/>
              </w:rPr>
              <w:t>重点难点措施优，得</w:t>
            </w:r>
            <w:r>
              <w:rPr>
                <w:rFonts w:hint="eastAsia" w:ascii="宋体" w:hAnsi="宋体"/>
                <w:lang w:eastAsia="zh-CN"/>
              </w:rPr>
              <w:t>（</w:t>
            </w:r>
            <w:r>
              <w:rPr>
                <w:rFonts w:hint="eastAsia" w:ascii="宋体" w:hAnsi="宋体"/>
              </w:rPr>
              <w:t>11</w:t>
            </w:r>
            <w:r>
              <w:rPr>
                <w:rFonts w:hint="eastAsia" w:ascii="宋体" w:hAnsi="宋体"/>
                <w:lang w:val="en-US" w:eastAsia="zh-CN"/>
              </w:rPr>
              <w:t>，</w:t>
            </w:r>
            <w:r>
              <w:rPr>
                <w:rFonts w:hint="eastAsia" w:ascii="宋体" w:hAnsi="宋体"/>
              </w:rPr>
              <w:t>20</w:t>
            </w:r>
            <w:r>
              <w:rPr>
                <w:rFonts w:hint="eastAsia" w:ascii="宋体" w:hAnsi="宋体"/>
                <w:lang w:val="en-US" w:eastAsia="zh-CN"/>
              </w:rPr>
              <w:t>]</w:t>
            </w:r>
            <w:r>
              <w:rPr>
                <w:rFonts w:hint="eastAsia" w:ascii="宋体" w:hAnsi="宋体"/>
              </w:rPr>
              <w:t>分；</w:t>
            </w:r>
          </w:p>
          <w:p w14:paraId="2E3C1456">
            <w:pPr>
              <w:pStyle w:val="144"/>
              <w:numPr>
                <w:ilvl w:val="0"/>
                <w:numId w:val="0"/>
              </w:numPr>
              <w:ind w:left="360" w:leftChars="0" w:hanging="360" w:firstLineChars="0"/>
              <w:contextualSpacing/>
              <w:rPr>
                <w:rFonts w:hint="eastAsia" w:ascii="宋体" w:hAnsi="宋体"/>
              </w:rPr>
            </w:pPr>
            <w:r>
              <w:rPr>
                <w:rFonts w:hint="default" w:ascii="宋体" w:hAnsi="宋体" w:eastAsia="宋体" w:cs="Times New Roman"/>
                <w:kern w:val="2"/>
                <w:sz w:val="21"/>
                <w:szCs w:val="22"/>
                <w:lang w:val="en-US" w:eastAsia="zh-CN" w:bidi="ar-SA"/>
              </w:rPr>
              <w:t>2、</w:t>
            </w:r>
            <w:r>
              <w:rPr>
                <w:rFonts w:hint="eastAsia" w:ascii="宋体" w:hAnsi="宋体"/>
              </w:rPr>
              <w:t>重点难点措施良，得</w:t>
            </w:r>
            <w:r>
              <w:rPr>
                <w:rFonts w:hint="eastAsia" w:ascii="宋体" w:hAnsi="宋体"/>
                <w:lang w:eastAsia="zh-CN"/>
              </w:rPr>
              <w:t>（</w:t>
            </w:r>
            <w:r>
              <w:rPr>
                <w:rFonts w:hint="eastAsia" w:ascii="宋体" w:hAnsi="宋体"/>
              </w:rPr>
              <w:t>6</w:t>
            </w:r>
            <w:r>
              <w:rPr>
                <w:rFonts w:hint="eastAsia" w:ascii="宋体" w:hAnsi="宋体"/>
                <w:lang w:val="en-US" w:eastAsia="zh-CN"/>
              </w:rPr>
              <w:t>，</w:t>
            </w:r>
            <w:r>
              <w:rPr>
                <w:rFonts w:hint="eastAsia" w:ascii="宋体" w:hAnsi="宋体"/>
              </w:rPr>
              <w:t>1</w:t>
            </w:r>
            <w:r>
              <w:rPr>
                <w:rFonts w:hint="eastAsia" w:ascii="宋体" w:hAnsi="宋体"/>
                <w:lang w:val="en-US" w:eastAsia="zh-CN"/>
              </w:rPr>
              <w:t>1]</w:t>
            </w:r>
            <w:r>
              <w:rPr>
                <w:rFonts w:hint="eastAsia" w:ascii="宋体" w:hAnsi="宋体"/>
              </w:rPr>
              <w:t>分；</w:t>
            </w:r>
          </w:p>
          <w:p w14:paraId="51E4FB63">
            <w:pPr>
              <w:pStyle w:val="144"/>
              <w:numPr>
                <w:ilvl w:val="0"/>
                <w:numId w:val="0"/>
              </w:numPr>
              <w:ind w:left="360" w:leftChars="0" w:hanging="360" w:firstLineChars="0"/>
              <w:contextualSpacing/>
              <w:rPr>
                <w:rFonts w:hint="eastAsia" w:ascii="宋体" w:hAnsi="宋体" w:eastAsia="宋体"/>
                <w:lang w:eastAsia="zh-CN"/>
              </w:rPr>
            </w:pPr>
            <w:r>
              <w:rPr>
                <w:rFonts w:hint="eastAsia" w:ascii="宋体" w:hAnsi="宋体" w:cs="Times New Roman"/>
                <w:kern w:val="2"/>
                <w:sz w:val="21"/>
                <w:szCs w:val="22"/>
                <w:lang w:val="en-US" w:eastAsia="zh-CN" w:bidi="ar-SA"/>
              </w:rPr>
              <w:t>3</w:t>
            </w:r>
            <w:r>
              <w:rPr>
                <w:rFonts w:hint="default" w:ascii="宋体" w:hAnsi="宋体" w:eastAsia="宋体" w:cs="Times New Roman"/>
                <w:kern w:val="2"/>
                <w:sz w:val="21"/>
                <w:szCs w:val="22"/>
                <w:lang w:val="en-US" w:eastAsia="zh-CN" w:bidi="ar-SA"/>
              </w:rPr>
              <w:t>、</w:t>
            </w:r>
            <w:r>
              <w:rPr>
                <w:rFonts w:hint="eastAsia" w:ascii="宋体" w:hAnsi="宋体"/>
              </w:rPr>
              <w:t>重点难点措施一般，得</w:t>
            </w:r>
            <w:r>
              <w:rPr>
                <w:rFonts w:hint="eastAsia" w:ascii="宋体" w:hAnsi="宋体"/>
                <w:lang w:eastAsia="zh-CN"/>
              </w:rPr>
              <w:t>（</w:t>
            </w:r>
            <w:r>
              <w:rPr>
                <w:rFonts w:hint="eastAsia" w:ascii="宋体" w:hAnsi="宋体"/>
              </w:rPr>
              <w:t>3</w:t>
            </w:r>
            <w:r>
              <w:rPr>
                <w:rFonts w:hint="eastAsia" w:ascii="宋体" w:hAnsi="宋体"/>
                <w:lang w:val="en-US" w:eastAsia="zh-CN"/>
              </w:rPr>
              <w:t>，6]</w:t>
            </w:r>
            <w:r>
              <w:rPr>
                <w:rFonts w:hint="eastAsia" w:ascii="宋体" w:hAnsi="宋体"/>
              </w:rPr>
              <w:t>分</w:t>
            </w:r>
            <w:r>
              <w:rPr>
                <w:rFonts w:hint="eastAsia" w:ascii="宋体" w:hAnsi="宋体"/>
                <w:lang w:eastAsia="zh-CN"/>
              </w:rPr>
              <w:t>；</w:t>
            </w:r>
          </w:p>
          <w:p w14:paraId="4A033635">
            <w:pPr>
              <w:pStyle w:val="144"/>
              <w:numPr>
                <w:ilvl w:val="0"/>
                <w:numId w:val="0"/>
              </w:numPr>
              <w:ind w:left="360" w:leftChars="0" w:hanging="360" w:firstLineChars="0"/>
              <w:contextualSpacing/>
              <w:rPr>
                <w:rFonts w:hint="default" w:ascii="宋体" w:hAnsi="宋体" w:eastAsia="宋体"/>
                <w:lang w:val="en-US" w:eastAsia="zh-CN"/>
              </w:rPr>
            </w:pPr>
            <w:r>
              <w:rPr>
                <w:rFonts w:hint="eastAsia" w:ascii="宋体" w:hAnsi="宋体"/>
                <w:lang w:val="en-US" w:eastAsia="zh-CN"/>
              </w:rPr>
              <w:t>未提供不得分。</w:t>
            </w:r>
          </w:p>
        </w:tc>
      </w:tr>
      <w:tr w14:paraId="7543E98F">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044" w:type="dxa"/>
            <w:vMerge w:val="continue"/>
            <w:tcBorders>
              <w:top w:val="single" w:color="auto" w:sz="4" w:space="0"/>
              <w:left w:val="single" w:color="auto" w:sz="4" w:space="0"/>
              <w:bottom w:val="single" w:color="auto" w:sz="4" w:space="0"/>
              <w:right w:val="single" w:color="auto" w:sz="4" w:space="0"/>
            </w:tcBorders>
            <w:vAlign w:val="center"/>
          </w:tcPr>
          <w:p w14:paraId="2F3277AC">
            <w:pPr>
              <w:rPr>
                <w:rFonts w:hint="eastAsia" w:ascii="宋体" w:hAnsi="宋体"/>
              </w:rPr>
            </w:pPr>
          </w:p>
        </w:tc>
        <w:tc>
          <w:tcPr>
            <w:tcW w:w="1832" w:type="dxa"/>
            <w:tcBorders>
              <w:top w:val="single" w:color="auto" w:sz="4" w:space="0"/>
              <w:left w:val="nil"/>
              <w:bottom w:val="single" w:color="auto" w:sz="4" w:space="0"/>
              <w:right w:val="single" w:color="auto" w:sz="4" w:space="0"/>
            </w:tcBorders>
            <w:vAlign w:val="center"/>
          </w:tcPr>
          <w:p w14:paraId="3E25D99A">
            <w:pPr>
              <w:rPr>
                <w:rFonts w:hint="eastAsia" w:ascii="宋体" w:hAnsi="宋体"/>
              </w:rPr>
            </w:pPr>
            <w:r>
              <w:rPr>
                <w:rFonts w:hint="eastAsia" w:ascii="宋体" w:hAnsi="宋体"/>
              </w:rPr>
              <w:t>施工方案与技术措施</w:t>
            </w:r>
          </w:p>
        </w:tc>
        <w:tc>
          <w:tcPr>
            <w:tcW w:w="644" w:type="dxa"/>
            <w:tcBorders>
              <w:top w:val="single" w:color="auto" w:sz="4" w:space="0"/>
              <w:left w:val="nil"/>
              <w:bottom w:val="single" w:color="auto" w:sz="4" w:space="0"/>
              <w:right w:val="single" w:color="auto" w:sz="4" w:space="0"/>
            </w:tcBorders>
            <w:vAlign w:val="center"/>
          </w:tcPr>
          <w:p w14:paraId="4D19B3CC">
            <w:pPr>
              <w:jc w:val="center"/>
              <w:rPr>
                <w:rFonts w:hint="eastAsia" w:ascii="宋体" w:hAnsi="宋体"/>
              </w:rPr>
            </w:pPr>
            <w:r>
              <w:rPr>
                <w:rFonts w:hint="eastAsia" w:ascii="宋体" w:hAnsi="宋体"/>
              </w:rPr>
              <w:t>20</w:t>
            </w:r>
          </w:p>
        </w:tc>
        <w:tc>
          <w:tcPr>
            <w:tcW w:w="11345" w:type="dxa"/>
            <w:tcBorders>
              <w:top w:val="single" w:color="auto" w:sz="4" w:space="0"/>
              <w:left w:val="nil"/>
              <w:bottom w:val="single" w:color="auto" w:sz="4" w:space="0"/>
              <w:right w:val="single" w:color="auto" w:sz="4" w:space="0"/>
            </w:tcBorders>
            <w:vAlign w:val="center"/>
          </w:tcPr>
          <w:p w14:paraId="6E13848E">
            <w:pPr>
              <w:rPr>
                <w:rFonts w:hint="eastAsia" w:ascii="宋体" w:hAnsi="宋体"/>
              </w:rPr>
            </w:pPr>
            <w:r>
              <w:rPr>
                <w:rFonts w:hint="eastAsia" w:ascii="宋体" w:hAnsi="宋体"/>
              </w:rPr>
              <w:t>结合本项目具体实际情况，施工组织方案及施工方法先进，施工关键技术工艺把握及应用准确，技术措施可以充分保障工程质量、施工安全生产，并能综合考虑现场环境，提供涉及与本项目在建地铁项目的保护针对性施工工艺、措施及突发情况应对策略。</w:t>
            </w:r>
          </w:p>
          <w:p w14:paraId="7DD1278E">
            <w:pPr>
              <w:rPr>
                <w:rFonts w:hint="eastAsia" w:ascii="宋体" w:hAnsi="宋体"/>
              </w:rPr>
            </w:pPr>
            <w:r>
              <w:rPr>
                <w:rFonts w:hint="eastAsia" w:ascii="宋体" w:hAnsi="宋体"/>
              </w:rPr>
              <w:t>1、方案与技术措施优，得</w:t>
            </w:r>
            <w:r>
              <w:rPr>
                <w:rFonts w:hint="eastAsia" w:ascii="宋体" w:hAnsi="宋体"/>
                <w:lang w:eastAsia="zh-CN"/>
              </w:rPr>
              <w:t>（</w:t>
            </w:r>
            <w:r>
              <w:rPr>
                <w:rFonts w:hint="eastAsia" w:ascii="宋体" w:hAnsi="宋体"/>
              </w:rPr>
              <w:t>11</w:t>
            </w:r>
            <w:r>
              <w:rPr>
                <w:rFonts w:hint="eastAsia" w:ascii="宋体" w:hAnsi="宋体"/>
                <w:lang w:eastAsia="zh-CN"/>
              </w:rPr>
              <w:t>，</w:t>
            </w:r>
            <w:r>
              <w:rPr>
                <w:rFonts w:hint="eastAsia" w:ascii="宋体" w:hAnsi="宋体"/>
              </w:rPr>
              <w:t>20</w:t>
            </w:r>
            <w:r>
              <w:rPr>
                <w:rFonts w:hint="eastAsia" w:ascii="宋体" w:hAnsi="宋体"/>
                <w:lang w:val="en-US" w:eastAsia="zh-CN"/>
              </w:rPr>
              <w:t>]</w:t>
            </w:r>
            <w:r>
              <w:rPr>
                <w:rFonts w:hint="eastAsia" w:ascii="宋体" w:hAnsi="宋体"/>
              </w:rPr>
              <w:t>分；</w:t>
            </w:r>
          </w:p>
          <w:p w14:paraId="5BE7690C">
            <w:pPr>
              <w:rPr>
                <w:rFonts w:hint="eastAsia" w:ascii="宋体" w:hAnsi="宋体"/>
              </w:rPr>
            </w:pPr>
            <w:r>
              <w:rPr>
                <w:rFonts w:hint="eastAsia" w:ascii="宋体" w:hAnsi="宋体"/>
              </w:rPr>
              <w:t>2、方案与技术措施良，得</w:t>
            </w:r>
            <w:r>
              <w:rPr>
                <w:rFonts w:hint="eastAsia" w:ascii="宋体" w:hAnsi="宋体"/>
                <w:lang w:eastAsia="zh-CN"/>
              </w:rPr>
              <w:t>（</w:t>
            </w:r>
            <w:r>
              <w:rPr>
                <w:rFonts w:hint="eastAsia" w:ascii="宋体" w:hAnsi="宋体"/>
              </w:rPr>
              <w:t>6</w:t>
            </w:r>
            <w:r>
              <w:rPr>
                <w:rFonts w:hint="eastAsia" w:ascii="宋体" w:hAnsi="宋体"/>
                <w:lang w:eastAsia="zh-CN"/>
              </w:rPr>
              <w:t>，</w:t>
            </w:r>
            <w:r>
              <w:rPr>
                <w:rFonts w:hint="eastAsia" w:ascii="宋体" w:hAnsi="宋体"/>
              </w:rPr>
              <w:t>10分</w:t>
            </w:r>
            <w:r>
              <w:rPr>
                <w:rFonts w:hint="eastAsia" w:ascii="宋体" w:hAnsi="宋体"/>
                <w:lang w:val="en-US" w:eastAsia="zh-CN"/>
              </w:rPr>
              <w:t>]</w:t>
            </w:r>
            <w:r>
              <w:rPr>
                <w:rFonts w:hint="eastAsia" w:ascii="宋体" w:hAnsi="宋体"/>
              </w:rPr>
              <w:t>；</w:t>
            </w:r>
          </w:p>
          <w:p w14:paraId="57B5D1F1">
            <w:pPr>
              <w:rPr>
                <w:rFonts w:hint="eastAsia" w:ascii="宋体" w:hAnsi="宋体"/>
                <w:lang w:eastAsia="zh-CN"/>
              </w:rPr>
            </w:pPr>
            <w:r>
              <w:rPr>
                <w:rFonts w:hint="eastAsia" w:ascii="宋体" w:hAnsi="宋体"/>
              </w:rPr>
              <w:t>3、方案与技术措施</w:t>
            </w:r>
            <w:r>
              <w:rPr>
                <w:rFonts w:hint="eastAsia" w:ascii="宋体" w:hAnsi="宋体"/>
                <w:lang w:val="en-US" w:eastAsia="zh-CN"/>
              </w:rPr>
              <w:t>一般</w:t>
            </w:r>
            <w:r>
              <w:rPr>
                <w:rFonts w:hint="eastAsia" w:ascii="宋体" w:hAnsi="宋体"/>
              </w:rPr>
              <w:t>，得</w:t>
            </w:r>
            <w:r>
              <w:rPr>
                <w:rFonts w:hint="eastAsia" w:ascii="宋体" w:hAnsi="宋体"/>
                <w:lang w:eastAsia="zh-CN"/>
              </w:rPr>
              <w:t>（</w:t>
            </w:r>
            <w:r>
              <w:rPr>
                <w:rFonts w:hint="eastAsia" w:ascii="宋体" w:hAnsi="宋体"/>
              </w:rPr>
              <w:t>3</w:t>
            </w:r>
            <w:r>
              <w:rPr>
                <w:rFonts w:hint="eastAsia" w:ascii="宋体" w:hAnsi="宋体"/>
                <w:lang w:eastAsia="zh-CN"/>
              </w:rPr>
              <w:t>，</w:t>
            </w:r>
            <w:r>
              <w:rPr>
                <w:rFonts w:hint="eastAsia" w:ascii="宋体" w:hAnsi="宋体"/>
              </w:rPr>
              <w:t>5</w:t>
            </w:r>
            <w:r>
              <w:rPr>
                <w:rFonts w:hint="eastAsia" w:ascii="宋体" w:hAnsi="宋体"/>
                <w:lang w:val="en-US" w:eastAsia="zh-CN"/>
              </w:rPr>
              <w:t>]</w:t>
            </w:r>
            <w:r>
              <w:rPr>
                <w:rFonts w:hint="eastAsia" w:ascii="宋体" w:hAnsi="宋体"/>
              </w:rPr>
              <w:t>分</w:t>
            </w:r>
            <w:r>
              <w:rPr>
                <w:rFonts w:hint="eastAsia" w:ascii="宋体" w:hAnsi="宋体"/>
                <w:lang w:eastAsia="zh-CN"/>
              </w:rPr>
              <w:t>；</w:t>
            </w:r>
          </w:p>
          <w:p w14:paraId="68E5CA64">
            <w:pPr>
              <w:rPr>
                <w:rFonts w:hint="eastAsia" w:ascii="宋体" w:hAnsi="宋体"/>
                <w:lang w:eastAsia="zh-CN"/>
              </w:rPr>
            </w:pPr>
            <w:r>
              <w:rPr>
                <w:rFonts w:hint="eastAsia" w:ascii="宋体" w:hAnsi="宋体"/>
                <w:lang w:val="en-US" w:eastAsia="zh-CN"/>
              </w:rPr>
              <w:t>未提供不得分。</w:t>
            </w:r>
          </w:p>
        </w:tc>
      </w:tr>
      <w:tr w14:paraId="08A0C7BA">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044" w:type="dxa"/>
            <w:vMerge w:val="continue"/>
            <w:tcBorders>
              <w:top w:val="single" w:color="auto" w:sz="4" w:space="0"/>
              <w:left w:val="single" w:color="auto" w:sz="4" w:space="0"/>
              <w:bottom w:val="single" w:color="auto" w:sz="4" w:space="0"/>
              <w:right w:val="single" w:color="auto" w:sz="4" w:space="0"/>
            </w:tcBorders>
            <w:vAlign w:val="center"/>
          </w:tcPr>
          <w:p w14:paraId="4963F914">
            <w:pPr>
              <w:rPr>
                <w:rFonts w:hint="eastAsia" w:ascii="宋体" w:hAnsi="宋体"/>
              </w:rPr>
            </w:pPr>
          </w:p>
        </w:tc>
        <w:tc>
          <w:tcPr>
            <w:tcW w:w="1832" w:type="dxa"/>
            <w:tcBorders>
              <w:top w:val="single" w:color="auto" w:sz="4" w:space="0"/>
              <w:left w:val="nil"/>
              <w:bottom w:val="single" w:color="auto" w:sz="4" w:space="0"/>
              <w:right w:val="single" w:color="auto" w:sz="4" w:space="0"/>
            </w:tcBorders>
            <w:vAlign w:val="center"/>
          </w:tcPr>
          <w:p w14:paraId="1B573DEC">
            <w:pPr>
              <w:rPr>
                <w:rFonts w:hint="eastAsia" w:ascii="宋体" w:hAnsi="宋体"/>
              </w:rPr>
            </w:pPr>
            <w:r>
              <w:rPr>
                <w:rFonts w:hint="eastAsia" w:ascii="宋体" w:hAnsi="宋体"/>
              </w:rPr>
              <w:t>施工进度计划</w:t>
            </w:r>
          </w:p>
        </w:tc>
        <w:tc>
          <w:tcPr>
            <w:tcW w:w="644" w:type="dxa"/>
            <w:tcBorders>
              <w:top w:val="single" w:color="auto" w:sz="4" w:space="0"/>
              <w:left w:val="nil"/>
              <w:bottom w:val="single" w:color="auto" w:sz="4" w:space="0"/>
              <w:right w:val="single" w:color="auto" w:sz="4" w:space="0"/>
            </w:tcBorders>
            <w:vAlign w:val="center"/>
          </w:tcPr>
          <w:p w14:paraId="7CEF4F69">
            <w:pPr>
              <w:jc w:val="center"/>
              <w:rPr>
                <w:rFonts w:hint="eastAsia" w:ascii="宋体" w:hAnsi="宋体"/>
              </w:rPr>
            </w:pPr>
            <w:r>
              <w:rPr>
                <w:rFonts w:hint="eastAsia" w:ascii="宋体" w:hAnsi="宋体"/>
              </w:rPr>
              <w:t>20</w:t>
            </w:r>
          </w:p>
        </w:tc>
        <w:tc>
          <w:tcPr>
            <w:tcW w:w="11345" w:type="dxa"/>
            <w:tcBorders>
              <w:top w:val="single" w:color="auto" w:sz="4" w:space="0"/>
              <w:left w:val="nil"/>
              <w:bottom w:val="single" w:color="auto" w:sz="4" w:space="0"/>
              <w:right w:val="single" w:color="auto" w:sz="4" w:space="0"/>
            </w:tcBorders>
            <w:vAlign w:val="center"/>
          </w:tcPr>
          <w:p w14:paraId="03C676B2">
            <w:pPr>
              <w:rPr>
                <w:rFonts w:hint="eastAsia" w:ascii="宋体" w:hAnsi="宋体"/>
                <w:b w:val="0"/>
                <w:bCs w:val="0"/>
              </w:rPr>
            </w:pPr>
            <w:r>
              <w:rPr>
                <w:rFonts w:hint="eastAsia" w:ascii="宋体" w:hAnsi="宋体"/>
                <w:b w:val="0"/>
                <w:bCs w:val="0"/>
              </w:rPr>
              <w:t>投标人能科学分析本项目，</w:t>
            </w:r>
            <w:r>
              <w:rPr>
                <w:rFonts w:hint="eastAsia" w:ascii="宋体" w:hAnsi="宋体"/>
                <w:b w:val="0"/>
                <w:bCs w:val="0"/>
                <w:highlight w:val="none"/>
              </w:rPr>
              <w:t>结合在建地铁项目施工工期计划关键节点，能充分考虑</w:t>
            </w:r>
            <w:r>
              <w:rPr>
                <w:rFonts w:hint="eastAsia" w:ascii="宋体" w:hAnsi="宋体"/>
                <w:b w:val="0"/>
                <w:bCs w:val="0"/>
              </w:rPr>
              <w:t>项目现场综合环境，并提供有效可行的进度计划网络图和横道图。</w:t>
            </w:r>
          </w:p>
          <w:p w14:paraId="6FC42E67">
            <w:pPr>
              <w:rPr>
                <w:rFonts w:hint="eastAsia" w:ascii="宋体" w:hAnsi="宋体"/>
                <w:b w:val="0"/>
                <w:bCs w:val="0"/>
              </w:rPr>
            </w:pPr>
            <w:r>
              <w:rPr>
                <w:rFonts w:hint="eastAsia" w:ascii="宋体" w:hAnsi="宋体"/>
                <w:b w:val="0"/>
                <w:bCs w:val="0"/>
              </w:rPr>
              <w:t>1、施工进度计划优，得</w:t>
            </w:r>
            <w:r>
              <w:rPr>
                <w:rFonts w:hint="eastAsia" w:ascii="宋体" w:hAnsi="宋体"/>
                <w:b w:val="0"/>
                <w:bCs w:val="0"/>
                <w:lang w:eastAsia="zh-CN"/>
              </w:rPr>
              <w:t>（</w:t>
            </w:r>
            <w:r>
              <w:rPr>
                <w:rFonts w:hint="eastAsia" w:ascii="宋体" w:hAnsi="宋体"/>
                <w:b w:val="0"/>
                <w:bCs w:val="0"/>
              </w:rPr>
              <w:t>11</w:t>
            </w:r>
            <w:r>
              <w:rPr>
                <w:rFonts w:hint="eastAsia" w:ascii="宋体" w:hAnsi="宋体"/>
                <w:b w:val="0"/>
                <w:bCs w:val="0"/>
                <w:lang w:eastAsia="zh-CN"/>
              </w:rPr>
              <w:t>，</w:t>
            </w:r>
            <w:r>
              <w:rPr>
                <w:rFonts w:hint="eastAsia" w:ascii="宋体" w:hAnsi="宋体"/>
                <w:b w:val="0"/>
                <w:bCs w:val="0"/>
              </w:rPr>
              <w:t>20</w:t>
            </w:r>
            <w:r>
              <w:rPr>
                <w:rFonts w:hint="eastAsia" w:ascii="宋体" w:hAnsi="宋体"/>
                <w:b w:val="0"/>
                <w:bCs w:val="0"/>
                <w:lang w:val="en-US" w:eastAsia="zh-CN"/>
              </w:rPr>
              <w:t>]</w:t>
            </w:r>
            <w:r>
              <w:rPr>
                <w:rFonts w:hint="eastAsia" w:ascii="宋体" w:hAnsi="宋体"/>
                <w:b w:val="0"/>
                <w:bCs w:val="0"/>
              </w:rPr>
              <w:t>分；</w:t>
            </w:r>
          </w:p>
          <w:p w14:paraId="543517E8">
            <w:pPr>
              <w:pStyle w:val="144"/>
              <w:numPr>
                <w:ilvl w:val="0"/>
                <w:numId w:val="0"/>
              </w:numPr>
              <w:ind w:left="0" w:leftChars="0" w:firstLine="0" w:firstLineChars="0"/>
              <w:contextualSpacing/>
              <w:rPr>
                <w:rFonts w:hint="eastAsia" w:ascii="宋体" w:hAnsi="宋体"/>
                <w:b w:val="0"/>
                <w:bCs w:val="0"/>
              </w:rPr>
            </w:pPr>
            <w:r>
              <w:rPr>
                <w:rFonts w:hint="eastAsia" w:ascii="宋体" w:hAnsi="宋体" w:eastAsia="宋体" w:cs="Times New Roman"/>
                <w:b w:val="0"/>
                <w:bCs w:val="0"/>
                <w:kern w:val="2"/>
                <w:sz w:val="21"/>
                <w:szCs w:val="22"/>
                <w:lang w:val="en-US" w:eastAsia="zh-CN" w:bidi="ar-SA"/>
              </w:rPr>
              <w:t>2、</w:t>
            </w:r>
            <w:r>
              <w:rPr>
                <w:rFonts w:hint="eastAsia" w:ascii="宋体" w:hAnsi="宋体"/>
                <w:b w:val="0"/>
                <w:bCs w:val="0"/>
              </w:rPr>
              <w:t>施工进度计划良，得</w:t>
            </w:r>
            <w:r>
              <w:rPr>
                <w:rFonts w:hint="eastAsia" w:ascii="宋体" w:hAnsi="宋体"/>
                <w:b w:val="0"/>
                <w:bCs w:val="0"/>
                <w:lang w:eastAsia="zh-CN"/>
              </w:rPr>
              <w:t>（</w:t>
            </w:r>
            <w:r>
              <w:rPr>
                <w:rFonts w:hint="eastAsia" w:ascii="宋体" w:hAnsi="宋体"/>
                <w:b w:val="0"/>
                <w:bCs w:val="0"/>
              </w:rPr>
              <w:t>6</w:t>
            </w:r>
            <w:r>
              <w:rPr>
                <w:rFonts w:hint="eastAsia" w:ascii="宋体" w:hAnsi="宋体"/>
                <w:b w:val="0"/>
                <w:bCs w:val="0"/>
                <w:lang w:eastAsia="zh-CN"/>
              </w:rPr>
              <w:t>，</w:t>
            </w:r>
            <w:r>
              <w:rPr>
                <w:rFonts w:hint="eastAsia" w:ascii="宋体" w:hAnsi="宋体"/>
                <w:b w:val="0"/>
                <w:bCs w:val="0"/>
              </w:rPr>
              <w:t>10</w:t>
            </w:r>
            <w:r>
              <w:rPr>
                <w:rFonts w:hint="eastAsia" w:ascii="宋体" w:hAnsi="宋体"/>
                <w:b w:val="0"/>
                <w:bCs w:val="0"/>
                <w:lang w:val="en-US" w:eastAsia="zh-CN"/>
              </w:rPr>
              <w:t>]</w:t>
            </w:r>
            <w:r>
              <w:rPr>
                <w:rFonts w:hint="eastAsia" w:ascii="宋体" w:hAnsi="宋体"/>
                <w:b w:val="0"/>
                <w:bCs w:val="0"/>
              </w:rPr>
              <w:t>分；</w:t>
            </w:r>
          </w:p>
          <w:p w14:paraId="13E30E1A">
            <w:pPr>
              <w:pStyle w:val="144"/>
              <w:numPr>
                <w:ilvl w:val="0"/>
                <w:numId w:val="0"/>
              </w:numPr>
              <w:ind w:left="0" w:leftChars="0" w:firstLine="0" w:firstLineChars="0"/>
              <w:contextualSpacing/>
              <w:rPr>
                <w:rFonts w:hint="eastAsia" w:ascii="宋体" w:hAnsi="宋体"/>
                <w:b w:val="0"/>
                <w:bCs w:val="0"/>
                <w:lang w:eastAsia="zh-CN"/>
              </w:rPr>
            </w:pPr>
            <w:r>
              <w:rPr>
                <w:rFonts w:hint="eastAsia" w:ascii="宋体" w:hAnsi="宋体" w:eastAsia="宋体" w:cs="Times New Roman"/>
                <w:b w:val="0"/>
                <w:bCs w:val="0"/>
                <w:kern w:val="2"/>
                <w:sz w:val="21"/>
                <w:szCs w:val="22"/>
                <w:lang w:val="en-US" w:eastAsia="zh-CN" w:bidi="ar-SA"/>
              </w:rPr>
              <w:t>3、</w:t>
            </w:r>
            <w:r>
              <w:rPr>
                <w:rFonts w:hint="eastAsia" w:ascii="宋体" w:hAnsi="宋体"/>
                <w:b w:val="0"/>
                <w:bCs w:val="0"/>
              </w:rPr>
              <w:t>施工进度计划一般，得</w:t>
            </w:r>
            <w:r>
              <w:rPr>
                <w:rFonts w:hint="eastAsia" w:ascii="宋体" w:hAnsi="宋体"/>
                <w:b w:val="0"/>
                <w:bCs w:val="0"/>
                <w:lang w:eastAsia="zh-CN"/>
              </w:rPr>
              <w:t>（</w:t>
            </w:r>
            <w:r>
              <w:rPr>
                <w:rFonts w:hint="eastAsia" w:ascii="宋体" w:hAnsi="宋体"/>
                <w:b w:val="0"/>
                <w:bCs w:val="0"/>
              </w:rPr>
              <w:t>3</w:t>
            </w:r>
            <w:r>
              <w:rPr>
                <w:rFonts w:hint="eastAsia" w:ascii="宋体" w:hAnsi="宋体"/>
                <w:b w:val="0"/>
                <w:bCs w:val="0"/>
                <w:lang w:eastAsia="zh-CN"/>
              </w:rPr>
              <w:t>，</w:t>
            </w:r>
            <w:r>
              <w:rPr>
                <w:rFonts w:hint="eastAsia" w:ascii="宋体" w:hAnsi="宋体"/>
                <w:b w:val="0"/>
                <w:bCs w:val="0"/>
              </w:rPr>
              <w:t>5</w:t>
            </w:r>
            <w:r>
              <w:rPr>
                <w:rFonts w:hint="eastAsia" w:ascii="宋体" w:hAnsi="宋体"/>
                <w:b w:val="0"/>
                <w:bCs w:val="0"/>
                <w:lang w:val="en-US" w:eastAsia="zh-CN"/>
              </w:rPr>
              <w:t>]</w:t>
            </w:r>
            <w:r>
              <w:rPr>
                <w:rFonts w:hint="eastAsia" w:ascii="宋体" w:hAnsi="宋体"/>
                <w:b w:val="0"/>
                <w:bCs w:val="0"/>
              </w:rPr>
              <w:t>分</w:t>
            </w:r>
            <w:r>
              <w:rPr>
                <w:rFonts w:hint="eastAsia" w:ascii="宋体" w:hAnsi="宋体"/>
                <w:b w:val="0"/>
                <w:bCs w:val="0"/>
                <w:lang w:eastAsia="zh-CN"/>
              </w:rPr>
              <w:t>；</w:t>
            </w:r>
          </w:p>
          <w:p w14:paraId="7F849604">
            <w:pPr>
              <w:pStyle w:val="144"/>
              <w:numPr>
                <w:ilvl w:val="0"/>
                <w:numId w:val="0"/>
              </w:numPr>
              <w:ind w:left="0" w:leftChars="0" w:firstLine="0" w:firstLineChars="0"/>
              <w:contextualSpacing/>
              <w:rPr>
                <w:rFonts w:hint="eastAsia" w:ascii="宋体" w:hAnsi="宋体"/>
                <w:b w:val="0"/>
                <w:bCs w:val="0"/>
                <w:lang w:eastAsia="zh-CN"/>
              </w:rPr>
            </w:pPr>
            <w:r>
              <w:rPr>
                <w:rFonts w:hint="eastAsia" w:ascii="宋体" w:hAnsi="宋体"/>
                <w:b w:val="0"/>
                <w:bCs w:val="0"/>
                <w:lang w:val="en-US" w:eastAsia="zh-CN"/>
              </w:rPr>
              <w:t>未提供不得分。</w:t>
            </w:r>
          </w:p>
        </w:tc>
      </w:tr>
      <w:tr w14:paraId="77AA4083">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044" w:type="dxa"/>
            <w:vMerge w:val="continue"/>
            <w:tcBorders>
              <w:top w:val="single" w:color="auto" w:sz="4" w:space="0"/>
              <w:left w:val="single" w:color="auto" w:sz="4" w:space="0"/>
              <w:bottom w:val="single" w:color="auto" w:sz="4" w:space="0"/>
              <w:right w:val="single" w:color="auto" w:sz="4" w:space="0"/>
            </w:tcBorders>
            <w:vAlign w:val="center"/>
          </w:tcPr>
          <w:p w14:paraId="1B1ADA9A">
            <w:pPr>
              <w:rPr>
                <w:rFonts w:hint="eastAsia" w:ascii="宋体" w:hAnsi="宋体"/>
              </w:rPr>
            </w:pPr>
          </w:p>
        </w:tc>
        <w:tc>
          <w:tcPr>
            <w:tcW w:w="1832" w:type="dxa"/>
            <w:tcBorders>
              <w:top w:val="single" w:color="auto" w:sz="4" w:space="0"/>
              <w:left w:val="nil"/>
              <w:bottom w:val="single" w:color="auto" w:sz="4" w:space="0"/>
              <w:right w:val="single" w:color="auto" w:sz="4" w:space="0"/>
            </w:tcBorders>
            <w:vAlign w:val="center"/>
          </w:tcPr>
          <w:p w14:paraId="704109FA">
            <w:pPr>
              <w:rPr>
                <w:rFonts w:hint="eastAsia" w:ascii="宋体" w:hAnsi="宋体"/>
              </w:rPr>
            </w:pPr>
            <w:r>
              <w:rPr>
                <w:rFonts w:hint="eastAsia" w:ascii="宋体" w:hAnsi="宋体"/>
              </w:rPr>
              <w:t>配合行政主管部门开展监督检查及加快项目推进的工作预案</w:t>
            </w:r>
          </w:p>
        </w:tc>
        <w:tc>
          <w:tcPr>
            <w:tcW w:w="644" w:type="dxa"/>
            <w:tcBorders>
              <w:top w:val="single" w:color="auto" w:sz="4" w:space="0"/>
              <w:left w:val="nil"/>
              <w:bottom w:val="single" w:color="auto" w:sz="4" w:space="0"/>
              <w:right w:val="single" w:color="auto" w:sz="4" w:space="0"/>
            </w:tcBorders>
            <w:vAlign w:val="center"/>
          </w:tcPr>
          <w:p w14:paraId="0A28B954">
            <w:pPr>
              <w:jc w:val="center"/>
              <w:rPr>
                <w:rFonts w:hint="eastAsia" w:ascii="宋体" w:hAnsi="宋体"/>
              </w:rPr>
            </w:pPr>
            <w:r>
              <w:rPr>
                <w:rFonts w:hint="eastAsia" w:ascii="宋体" w:hAnsi="宋体"/>
              </w:rPr>
              <w:t>20</w:t>
            </w:r>
          </w:p>
        </w:tc>
        <w:tc>
          <w:tcPr>
            <w:tcW w:w="11345" w:type="dxa"/>
            <w:tcBorders>
              <w:top w:val="single" w:color="auto" w:sz="4" w:space="0"/>
              <w:left w:val="nil"/>
              <w:bottom w:val="single" w:color="auto" w:sz="4" w:space="0"/>
              <w:right w:val="single" w:color="auto" w:sz="4" w:space="0"/>
            </w:tcBorders>
            <w:vAlign w:val="center"/>
          </w:tcPr>
          <w:p w14:paraId="575A8895">
            <w:pPr>
              <w:rPr>
                <w:rFonts w:hint="eastAsia" w:ascii="宋体" w:hAnsi="宋体"/>
                <w:b w:val="0"/>
                <w:bCs w:val="0"/>
              </w:rPr>
            </w:pPr>
            <w:r>
              <w:rPr>
                <w:rFonts w:hint="eastAsia" w:ascii="宋体" w:hAnsi="宋体"/>
                <w:b w:val="0"/>
                <w:bCs w:val="0"/>
              </w:rPr>
              <w:t>针对本项目编制了加快项目推进的工作预案，有得5分，无得0分。</w:t>
            </w:r>
          </w:p>
          <w:p w14:paraId="47369764">
            <w:pPr>
              <w:rPr>
                <w:rFonts w:hint="eastAsia" w:ascii="宋体" w:hAnsi="宋体"/>
                <w:b w:val="0"/>
                <w:bCs w:val="0"/>
              </w:rPr>
            </w:pPr>
            <w:r>
              <w:rPr>
                <w:rFonts w:hint="eastAsia" w:ascii="宋体" w:hAnsi="宋体"/>
                <w:b w:val="0"/>
                <w:bCs w:val="0"/>
              </w:rPr>
              <w:t>结合投标人以往配合政府部门加快项目推进的经历（可列举如配合政府、防疫防控、救急抢修工作经验，或编制各类政府工程的应急处理方案，或完成各级政府的攻坚达标任务等相关经历），提供相关经历案例工程建安费</w:t>
            </w:r>
            <w:r>
              <w:rPr>
                <w:rFonts w:hint="eastAsia" w:ascii="宋体" w:hAnsi="宋体"/>
                <w:b w:val="0"/>
                <w:bCs w:val="0"/>
                <w:u w:val="single"/>
              </w:rPr>
              <w:t>1000万</w:t>
            </w:r>
            <w:r>
              <w:rPr>
                <w:rFonts w:hint="eastAsia" w:ascii="宋体" w:hAnsi="宋体"/>
                <w:b w:val="0"/>
                <w:bCs w:val="0"/>
              </w:rPr>
              <w:t>元（或以上）的</w:t>
            </w:r>
            <w:r>
              <w:rPr>
                <w:rFonts w:hint="eastAsia" w:ascii="宋体" w:hAnsi="宋体"/>
                <w:b w:val="0"/>
                <w:bCs w:val="0"/>
                <w:u w:val="single"/>
              </w:rPr>
              <w:t>施工总承包项目</w:t>
            </w:r>
            <w:r>
              <w:rPr>
                <w:rFonts w:hint="eastAsia" w:ascii="宋体" w:hAnsi="宋体"/>
                <w:b w:val="0"/>
                <w:bCs w:val="0"/>
              </w:rPr>
              <w:t>，得15分；提供相关经历案例工程建安费</w:t>
            </w:r>
            <w:r>
              <w:rPr>
                <w:rFonts w:hint="eastAsia" w:ascii="宋体" w:hAnsi="宋体"/>
                <w:b w:val="0"/>
                <w:bCs w:val="0"/>
                <w:u w:val="single"/>
              </w:rPr>
              <w:t>500万</w:t>
            </w:r>
            <w:r>
              <w:rPr>
                <w:rFonts w:hint="eastAsia" w:ascii="宋体" w:hAnsi="宋体"/>
                <w:b w:val="0"/>
                <w:bCs w:val="0"/>
              </w:rPr>
              <w:t>元（含本数）至</w:t>
            </w:r>
            <w:r>
              <w:rPr>
                <w:rFonts w:hint="eastAsia" w:ascii="宋体" w:hAnsi="宋体"/>
                <w:b w:val="0"/>
                <w:bCs w:val="0"/>
                <w:u w:val="single"/>
              </w:rPr>
              <w:t>1000万</w:t>
            </w:r>
            <w:r>
              <w:rPr>
                <w:rFonts w:hint="eastAsia" w:ascii="宋体" w:hAnsi="宋体"/>
                <w:b w:val="0"/>
                <w:bCs w:val="0"/>
              </w:rPr>
              <w:t>元（不含本数）的</w:t>
            </w:r>
            <w:r>
              <w:rPr>
                <w:rFonts w:hint="eastAsia" w:ascii="宋体" w:hAnsi="宋体"/>
                <w:b w:val="0"/>
                <w:bCs w:val="0"/>
                <w:u w:val="single"/>
              </w:rPr>
              <w:t>施工总承包项目</w:t>
            </w:r>
            <w:r>
              <w:rPr>
                <w:rFonts w:hint="eastAsia" w:ascii="宋体" w:hAnsi="宋体"/>
                <w:b w:val="0"/>
                <w:bCs w:val="0"/>
              </w:rPr>
              <w:t>，得7分；提供相关经历案例工程建安费</w:t>
            </w:r>
            <w:r>
              <w:rPr>
                <w:rFonts w:hint="eastAsia" w:ascii="宋体" w:hAnsi="宋体"/>
                <w:b w:val="0"/>
                <w:bCs w:val="0"/>
                <w:u w:val="single"/>
              </w:rPr>
              <w:t>300万</w:t>
            </w:r>
            <w:r>
              <w:rPr>
                <w:rFonts w:hint="eastAsia" w:ascii="宋体" w:hAnsi="宋体"/>
                <w:b w:val="0"/>
                <w:bCs w:val="0"/>
              </w:rPr>
              <w:t>元（含本数）至</w:t>
            </w:r>
            <w:r>
              <w:rPr>
                <w:rFonts w:hint="eastAsia" w:ascii="宋体" w:hAnsi="宋体"/>
                <w:b w:val="0"/>
                <w:bCs w:val="0"/>
                <w:u w:val="single"/>
              </w:rPr>
              <w:t>500万</w:t>
            </w:r>
            <w:r>
              <w:rPr>
                <w:rFonts w:hint="eastAsia" w:ascii="宋体" w:hAnsi="宋体"/>
                <w:b w:val="0"/>
                <w:bCs w:val="0"/>
              </w:rPr>
              <w:t>元（不含本数）的</w:t>
            </w:r>
            <w:r>
              <w:rPr>
                <w:rFonts w:hint="eastAsia" w:ascii="宋体" w:hAnsi="宋体"/>
                <w:b w:val="0"/>
                <w:bCs w:val="0"/>
                <w:u w:val="single"/>
              </w:rPr>
              <w:t>施工总承包项目</w:t>
            </w:r>
            <w:r>
              <w:rPr>
                <w:rFonts w:hint="eastAsia" w:ascii="宋体" w:hAnsi="宋体"/>
                <w:b w:val="0"/>
                <w:bCs w:val="0"/>
              </w:rPr>
              <w:t>，得3分。不满足前述要求者，得0分。</w:t>
            </w:r>
          </w:p>
          <w:p w14:paraId="145ABA50">
            <w:pPr>
              <w:rPr>
                <w:rFonts w:hint="eastAsia" w:ascii="宋体" w:hAnsi="宋体"/>
                <w:b w:val="0"/>
                <w:bCs w:val="0"/>
              </w:rPr>
            </w:pPr>
            <w:r>
              <w:rPr>
                <w:rFonts w:hint="eastAsia" w:ascii="宋体" w:hAnsi="宋体"/>
                <w:b w:val="0"/>
                <w:bCs w:val="0"/>
              </w:rPr>
              <w:t>注：须提供案例项目的中标通知书或施工合同（反映合同金额的协议书部分）的扫描件，提供中标通知书或施工合同时间为2022年1月1日至今，相关经历案例工程项目建安费金额是按单个项目计算得分。</w:t>
            </w:r>
          </w:p>
        </w:tc>
      </w:tr>
      <w:tr w14:paraId="14A9DA4B">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2876" w:type="dxa"/>
            <w:gridSpan w:val="2"/>
            <w:tcBorders>
              <w:top w:val="single" w:color="auto" w:sz="4" w:space="0"/>
              <w:left w:val="single" w:color="auto" w:sz="4" w:space="0"/>
              <w:bottom w:val="single" w:color="auto" w:sz="4" w:space="0"/>
              <w:right w:val="single" w:color="auto" w:sz="4" w:space="0"/>
            </w:tcBorders>
            <w:vAlign w:val="center"/>
          </w:tcPr>
          <w:p w14:paraId="5979DD4C">
            <w:pPr>
              <w:rPr>
                <w:rFonts w:hint="eastAsia" w:ascii="宋体" w:hAnsi="宋体"/>
              </w:rPr>
            </w:pPr>
            <w:r>
              <w:rPr>
                <w:rFonts w:hint="eastAsia" w:ascii="宋体" w:hAnsi="宋体"/>
              </w:rPr>
              <w:t>合计（一+二+三）</w:t>
            </w:r>
          </w:p>
        </w:tc>
        <w:tc>
          <w:tcPr>
            <w:tcW w:w="644" w:type="dxa"/>
            <w:tcBorders>
              <w:top w:val="single" w:color="auto" w:sz="4" w:space="0"/>
              <w:left w:val="nil"/>
              <w:bottom w:val="single" w:color="auto" w:sz="4" w:space="0"/>
              <w:right w:val="single" w:color="auto" w:sz="4" w:space="0"/>
            </w:tcBorders>
            <w:vAlign w:val="center"/>
          </w:tcPr>
          <w:p w14:paraId="332B8241">
            <w:pPr>
              <w:rPr>
                <w:rFonts w:hint="eastAsia" w:ascii="宋体" w:hAnsi="宋体"/>
              </w:rPr>
            </w:pPr>
            <w:r>
              <w:rPr>
                <w:rFonts w:hint="eastAsia" w:ascii="宋体" w:hAnsi="宋体"/>
              </w:rPr>
              <w:t>100</w:t>
            </w:r>
          </w:p>
        </w:tc>
        <w:tc>
          <w:tcPr>
            <w:tcW w:w="11345" w:type="dxa"/>
            <w:tcBorders>
              <w:top w:val="single" w:color="auto" w:sz="4" w:space="0"/>
              <w:left w:val="nil"/>
              <w:bottom w:val="single" w:color="auto" w:sz="4" w:space="0"/>
              <w:right w:val="single" w:color="auto" w:sz="4" w:space="0"/>
            </w:tcBorders>
            <w:vAlign w:val="center"/>
          </w:tcPr>
          <w:p w14:paraId="2730C2B1">
            <w:pPr>
              <w:rPr>
                <w:rFonts w:hint="eastAsia" w:ascii="宋体" w:hAnsi="宋体"/>
              </w:rPr>
            </w:pPr>
          </w:p>
        </w:tc>
      </w:tr>
    </w:tbl>
    <w:p w14:paraId="13FD5BA8">
      <w:pPr>
        <w:rPr>
          <w:rFonts w:hint="eastAsia" w:ascii="宋体" w:hAnsi="宋体" w:cs="宋体"/>
          <w:szCs w:val="21"/>
        </w:rPr>
      </w:pPr>
    </w:p>
    <w:p w14:paraId="04048F2E">
      <w:pPr>
        <w:rPr>
          <w:rFonts w:hint="eastAsia" w:ascii="宋体" w:hAnsi="宋体" w:cs="宋体"/>
          <w:kern w:val="0"/>
          <w:szCs w:val="21"/>
          <w:shd w:val="clear" w:color="auto" w:fill="FFFFFF"/>
          <w:lang w:bidi="ar"/>
        </w:rPr>
      </w:pPr>
      <w:bookmarkStart w:id="98" w:name="_Hlk143268378"/>
    </w:p>
    <w:p w14:paraId="3DF58891">
      <w:pPr>
        <w:shd w:val="clear" w:color="auto" w:fill="FFFFFF"/>
        <w:jc w:val="left"/>
        <w:rPr>
          <w:rFonts w:hint="eastAsia" w:ascii="微软雅黑" w:hAnsi="微软雅黑" w:eastAsia="微软雅黑" w:cs="宋体"/>
          <w:kern w:val="0"/>
          <w:szCs w:val="21"/>
          <w:shd w:val="clear" w:color="auto" w:fill="FFFFFF"/>
        </w:rPr>
      </w:pPr>
      <w:r>
        <w:rPr>
          <w:rFonts w:hint="eastAsia" w:ascii="宋体" w:hAnsi="宋体" w:cs="宋体"/>
          <w:b/>
          <w:bCs/>
          <w:kern w:val="0"/>
          <w:szCs w:val="21"/>
          <w:shd w:val="clear" w:color="auto" w:fill="FFFFFF"/>
          <w:lang w:bidi="ar"/>
        </w:rPr>
        <w:t>备注：</w:t>
      </w:r>
    </w:p>
    <w:bookmarkEnd w:id="98"/>
    <w:p w14:paraId="45D108BF">
      <w:pPr>
        <w:rPr>
          <w:rFonts w:hint="eastAsia" w:ascii="宋体" w:hAnsi="宋体"/>
        </w:rPr>
      </w:pPr>
      <w:r>
        <w:rPr>
          <w:rFonts w:hint="eastAsia" w:ascii="宋体" w:hAnsi="宋体"/>
        </w:rPr>
        <w:t>注: 1、类似工程业绩是指：投标人自2022年1月1日至投标截止时间止，承接过中标金额</w:t>
      </w:r>
      <w:r>
        <w:rPr>
          <w:rFonts w:hint="eastAsia" w:ascii="宋体" w:hAnsi="宋体"/>
          <w:u w:val="single"/>
        </w:rPr>
        <w:t>1000</w:t>
      </w:r>
      <w:r>
        <w:rPr>
          <w:rFonts w:hint="eastAsia" w:ascii="宋体" w:hAnsi="宋体"/>
        </w:rPr>
        <w:t>万元（或以上）的</w:t>
      </w:r>
      <w:r>
        <w:rPr>
          <w:rFonts w:hint="eastAsia" w:ascii="宋体" w:hAnsi="宋体"/>
          <w:u w:val="single"/>
        </w:rPr>
        <w:t>建筑工程</w:t>
      </w:r>
      <w:r>
        <w:rPr>
          <w:rFonts w:hint="eastAsia" w:ascii="宋体" w:hAnsi="宋体"/>
        </w:rPr>
        <w:t>业绩，中标金额以中标通知书为准或合同签订时间为准，投标人需提供下列证明文件：①中标通知书（如为免招标项目无须提供中标通知书，但须提供相应的免招标证明文件）②合同关键面证明材料（协议书部分）。</w:t>
      </w:r>
    </w:p>
    <w:p w14:paraId="7F49650B">
      <w:pPr>
        <w:pStyle w:val="144"/>
        <w:numPr>
          <w:ilvl w:val="0"/>
          <w:numId w:val="0"/>
        </w:numPr>
        <w:ind w:left="360" w:leftChars="0" w:hanging="360" w:firstLineChars="0"/>
        <w:contextualSpacing/>
        <w:rPr>
          <w:rFonts w:hint="eastAsia" w:ascii="宋体" w:hAnsi="宋体"/>
        </w:rPr>
      </w:pPr>
      <w:r>
        <w:rPr>
          <w:rFonts w:hint="default" w:ascii="宋体" w:hAnsi="宋体" w:eastAsia="宋体" w:cs="Times New Roman"/>
          <w:kern w:val="2"/>
          <w:sz w:val="21"/>
          <w:szCs w:val="22"/>
          <w:lang w:val="en-US" w:eastAsia="zh-CN" w:bidi="ar-SA"/>
        </w:rPr>
        <w:t>3、</w:t>
      </w:r>
      <w:r>
        <w:rPr>
          <w:rFonts w:hint="eastAsia" w:ascii="宋体" w:hAnsi="宋体"/>
        </w:rPr>
        <w:t>第三方评价：</w:t>
      </w:r>
    </w:p>
    <w:p w14:paraId="3DB65926">
      <w:pPr>
        <w:ind w:firstLine="283" w:firstLineChars="135"/>
        <w:rPr>
          <w:rFonts w:hint="eastAsia" w:ascii="宋体" w:hAnsi="宋体"/>
        </w:rPr>
      </w:pPr>
      <w:r>
        <w:rPr>
          <w:rFonts w:hint="eastAsia" w:ascii="宋体" w:hAnsi="宋体"/>
        </w:rPr>
        <w:t>“体系认证”：须提供上述荣誉获奖证书和及在全国认证认可信息公共服务平台（http://cx.cnca.cn/CertECloud/index/index/page）的查询网页截图并加盖投标人电子公章，未提供上述资料或不满足要求的不计分。</w:t>
      </w:r>
    </w:p>
    <w:p w14:paraId="1786CDEA">
      <w:pPr>
        <w:pStyle w:val="144"/>
        <w:ind w:firstLine="283" w:firstLineChars="135"/>
        <w:rPr>
          <w:rFonts w:hint="eastAsia" w:ascii="宋体" w:hAnsi="宋体"/>
        </w:rPr>
      </w:pPr>
      <w:r>
        <w:rPr>
          <w:rFonts w:hint="eastAsia" w:ascii="宋体" w:hAnsi="宋体"/>
          <w:lang w:eastAsia="zh-TW"/>
        </w:rPr>
        <w:t>“纳税信用A级纳税人”：须提供国家税务总局官网（http://www.chinatax.gov.cn/）“纳税信用A级纳税人名单公布栏”查询结果网页截图或其省级（含直辖市）税务局官网“纳税信用A级纳税人名单公布栏”查询结果网页截图并加盖投标人电子公章。</w:t>
      </w:r>
      <w:r>
        <w:rPr>
          <w:rFonts w:hint="eastAsia" w:ascii="宋体" w:hAnsi="宋体"/>
        </w:rPr>
        <w:t>时间以国家税务总局或其省级（含直辖市）税务局网站纳税信用信息查询结果的网页截图公布的评价年度为准，上述资料显示的企业全称须与投标单位名称一致，否则不得分。不满足上述要求或无提交上述资料不得分。</w:t>
      </w:r>
    </w:p>
    <w:p w14:paraId="29964BF2">
      <w:pPr>
        <w:rPr>
          <w:rFonts w:hint="eastAsia" w:ascii="宋体" w:hAnsi="宋体"/>
        </w:rPr>
      </w:pPr>
      <w:r>
        <w:rPr>
          <w:rFonts w:hint="eastAsia" w:ascii="宋体" w:hAnsi="宋体"/>
        </w:rPr>
        <w:t>3、</w:t>
      </w:r>
      <w:r>
        <w:rPr>
          <w:rFonts w:hint="eastAsia" w:ascii="宋体" w:hAnsi="宋体"/>
          <w:b/>
          <w:bCs/>
        </w:rPr>
        <w:t>工程研发能力</w:t>
      </w:r>
      <w:r>
        <w:rPr>
          <w:rFonts w:hint="eastAsia" w:ascii="宋体" w:hAnsi="宋体"/>
        </w:rPr>
        <w:t>：</w:t>
      </w:r>
    </w:p>
    <w:p w14:paraId="05EC56C3">
      <w:pPr>
        <w:rPr>
          <w:rFonts w:hint="eastAsia" w:ascii="宋体" w:hAnsi="宋体"/>
        </w:rPr>
      </w:pPr>
      <w:r>
        <w:rPr>
          <w:rFonts w:hint="eastAsia" w:ascii="宋体" w:hAnsi="宋体"/>
        </w:rPr>
        <w:t>3.1高新技术企业证书需提供由政府部门颁发的并在有效期的证书清晰扫描件并加盖电子签章。</w:t>
      </w:r>
    </w:p>
    <w:p w14:paraId="56C93421">
      <w:pPr>
        <w:rPr>
          <w:rFonts w:hint="eastAsia" w:ascii="宋体" w:hAnsi="宋体"/>
        </w:rPr>
      </w:pPr>
      <w:r>
        <w:rPr>
          <w:rFonts w:hint="eastAsia" w:ascii="宋体" w:hAnsi="宋体"/>
        </w:rPr>
        <w:t>3.2建筑工程类省级或以上工法证书，需提供经建设行政主管部门认定的获奖证书清晰扫描件。证书上应可反映其为建筑工程工法，若无法反映，需提供建设职能部门（或其主管的行业协会）出具的科学技术成果鉴定证书扫描件，并且在科学技术成果鉴定证书中需能反映该工法的研究背景项目为建筑工程项目，无法证明该工法为建筑工程项目获得的工法不得分。相同工法按最高级别奖项只计一次得分。获奖时间以发证时间为准。如颁奖单位为协会的，还须提供其在“全国社会组织信用信息公示平台（试运行）”网站（https://xxgs.chinanpo.mca.gov.cn/gsxt/newList）（注：由于全国社会组织信用信息公示平台（试运行）属于试运行，平台名称及网址若有更新，以最新发布的为准。）“全国社会组织信用信息公示平台”栏查询结果截图，同时须提供其在查询结果“状态”栏必须为“正常”，证明其有登记备案，否则不得分。</w:t>
      </w:r>
    </w:p>
    <w:p w14:paraId="7FE1C627">
      <w:pPr>
        <w:rPr>
          <w:rFonts w:hint="eastAsia" w:ascii="宋体" w:hAnsi="宋体"/>
          <w:color w:val="auto"/>
          <w:highlight w:val="none"/>
        </w:rPr>
      </w:pPr>
      <w:r>
        <w:rPr>
          <w:rFonts w:hint="eastAsia" w:ascii="宋体" w:hAnsi="宋体"/>
        </w:rPr>
        <w:t>4、“项目负责人情况”和“技术负责人情况”所涉及的负责人资格证明无效或相关</w:t>
      </w:r>
      <w:r>
        <w:rPr>
          <w:rFonts w:hint="eastAsia" w:ascii="宋体" w:hAnsi="宋体"/>
          <w:color w:val="auto"/>
          <w:highlight w:val="none"/>
        </w:rPr>
        <w:t>人员年龄超过65周岁</w:t>
      </w:r>
      <w:r>
        <w:rPr>
          <w:rFonts w:hint="eastAsia" w:ascii="宋体" w:hAnsi="宋体" w:eastAsia="宋体" w:cs="宋体"/>
          <w:color w:val="auto"/>
          <w:kern w:val="0"/>
          <w:szCs w:val="21"/>
          <w:highlight w:val="none"/>
          <w:shd w:val="clear" w:color="auto" w:fill="FFFFFF"/>
        </w:rPr>
        <w:t>(</w:t>
      </w:r>
      <w:r>
        <w:rPr>
          <w:rFonts w:hint="eastAsia" w:ascii="宋体" w:hAnsi="宋体" w:eastAsia="宋体" w:cs="宋体"/>
          <w:color w:val="auto"/>
          <w:kern w:val="0"/>
          <w:szCs w:val="21"/>
          <w:highlight w:val="none"/>
          <w:shd w:val="clear" w:color="auto" w:fill="FFFFFF"/>
          <w:lang w:eastAsia="zh-CN"/>
        </w:rPr>
        <w:t>至</w:t>
      </w:r>
      <w:r>
        <w:rPr>
          <w:rFonts w:hint="eastAsia" w:ascii="宋体" w:hAnsi="宋体" w:eastAsia="宋体" w:cs="宋体"/>
          <w:color w:val="auto"/>
          <w:kern w:val="0"/>
          <w:szCs w:val="21"/>
          <w:highlight w:val="none"/>
          <w:shd w:val="clear" w:color="auto" w:fill="FFFFFF"/>
          <w:lang w:val="en-US" w:eastAsia="zh-CN"/>
        </w:rPr>
        <w:t>投标截止之日</w:t>
      </w:r>
      <w:r>
        <w:rPr>
          <w:rFonts w:hint="eastAsia" w:ascii="宋体" w:hAnsi="宋体" w:eastAsia="宋体" w:cs="宋体"/>
          <w:color w:val="auto"/>
          <w:kern w:val="0"/>
          <w:szCs w:val="21"/>
          <w:highlight w:val="none"/>
          <w:shd w:val="clear" w:color="auto" w:fill="FFFFFF"/>
        </w:rPr>
        <w:t>)</w:t>
      </w:r>
      <w:r>
        <w:rPr>
          <w:rFonts w:hint="eastAsia" w:ascii="宋体" w:hAnsi="宋体"/>
          <w:color w:val="auto"/>
          <w:highlight w:val="none"/>
        </w:rPr>
        <w:t>，该项均不得分。“项目管理机构能力”中的“项目负责人情况”、“其他管理人员情况”配备人数，须满足招标文件第四章《施工项目管理团队人员信息表》配备最低人数要求，提供各人员须与《施工项目管理团队人员信息表》中相应岗位的人员信息一致并已按《施工项目管理团队人员信息表》要求提供相关证书扫描件、近一个月（2025年</w:t>
      </w:r>
      <w:r>
        <w:rPr>
          <w:rFonts w:hint="eastAsia" w:ascii="宋体" w:hAnsi="宋体"/>
          <w:color w:val="auto"/>
          <w:highlight w:val="none"/>
          <w:lang w:val="en-US" w:eastAsia="zh-CN"/>
        </w:rPr>
        <w:t>3</w:t>
      </w:r>
      <w:r>
        <w:rPr>
          <w:rFonts w:hint="eastAsia" w:ascii="宋体" w:hAnsi="宋体"/>
          <w:color w:val="auto"/>
          <w:highlight w:val="none"/>
        </w:rPr>
        <w:t>月）的社保缴纳证明材料</w:t>
      </w:r>
      <w:r>
        <w:rPr>
          <w:rFonts w:hint="eastAsia" w:ascii="宋体" w:hAnsi="宋体"/>
          <w:bCs/>
          <w:color w:val="auto"/>
          <w:highlight w:val="none"/>
        </w:rPr>
        <w:t>扫描件并</w:t>
      </w:r>
      <w:r>
        <w:rPr>
          <w:rFonts w:hint="eastAsia" w:ascii="宋体" w:hAnsi="宋体"/>
          <w:color w:val="auto"/>
          <w:highlight w:val="none"/>
        </w:rPr>
        <w:t>加盖投标人电子公章，</w:t>
      </w:r>
      <w:r>
        <w:rPr>
          <w:rFonts w:hint="eastAsia" w:ascii="宋体" w:hAnsi="宋体" w:cs="宋体"/>
          <w:color w:val="auto"/>
          <w:kern w:val="0"/>
          <w:szCs w:val="21"/>
          <w:highlight w:val="none"/>
          <w:shd w:val="clear" w:color="auto" w:fill="FFFFFF"/>
          <w:lang w:val="en-US" w:eastAsia="zh-CN"/>
        </w:rPr>
        <w:t>若退休人员无法提供社保，则提供退休证明、劳动合同、返聘证明</w:t>
      </w:r>
      <w:r>
        <w:rPr>
          <w:rFonts w:hint="eastAsia" w:ascii="宋体" w:hAnsi="宋体"/>
          <w:bCs/>
          <w:color w:val="auto"/>
          <w:highlight w:val="none"/>
        </w:rPr>
        <w:t>扫描件并</w:t>
      </w:r>
      <w:r>
        <w:rPr>
          <w:rFonts w:hint="eastAsia" w:ascii="宋体" w:hAnsi="宋体"/>
          <w:color w:val="auto"/>
          <w:highlight w:val="none"/>
        </w:rPr>
        <w:t>加盖投标人电子公章</w:t>
      </w:r>
      <w:r>
        <w:rPr>
          <w:rFonts w:hint="eastAsia" w:ascii="宋体" w:hAnsi="宋体"/>
          <w:color w:val="auto"/>
          <w:highlight w:val="none"/>
          <w:lang w:eastAsia="zh-CN"/>
        </w:rPr>
        <w:t>，</w:t>
      </w:r>
      <w:r>
        <w:rPr>
          <w:rFonts w:hint="eastAsia" w:ascii="宋体" w:hAnsi="宋体"/>
          <w:color w:val="auto"/>
          <w:highlight w:val="none"/>
        </w:rPr>
        <w:t>工作经验年限以专科或以上毕业证发证时间起算等资料,否则不得分。</w:t>
      </w:r>
    </w:p>
    <w:p w14:paraId="137BC327">
      <w:pPr>
        <w:rPr>
          <w:rFonts w:hint="eastAsia" w:ascii="宋体" w:hAnsi="宋体"/>
        </w:rPr>
      </w:pPr>
      <w:r>
        <w:rPr>
          <w:rFonts w:hint="eastAsia" w:ascii="宋体" w:hAnsi="宋体"/>
        </w:rPr>
        <w:t>5、投标人拟配备人员若为香港专业人士，并已在广东省住房和城乡建设主管部门备案，且备案的业务范围符合本项目对应要求的亦给予认可。香港专业人士的备案业务范围依据《广东省住房和城乡建设厅关于印发香港工程建设咨询企业和专业人士在粤港澳大湾区内地城市开业执业试点管理暂行办法的通知》（粤建规范〔2020〕1号）确定。</w:t>
      </w:r>
    </w:p>
    <w:p w14:paraId="0DFA61BF">
      <w:pPr>
        <w:rPr>
          <w:rFonts w:hint="eastAsia" w:ascii="宋体" w:hAnsi="宋体"/>
        </w:rPr>
      </w:pPr>
      <w:r>
        <w:rPr>
          <w:rFonts w:hint="eastAsia" w:ascii="宋体" w:hAnsi="宋体"/>
        </w:rPr>
        <w:t>6、本表按百分制评分，所有评委每个分项的分数汇总后去掉一个最高分和一个最低分的算术平均值为投标人的最终得分。分数出现小数点，保留小数点后二位小数，第三位小数四舍五入。</w:t>
      </w:r>
    </w:p>
    <w:p w14:paraId="5984A72A">
      <w:pPr>
        <w:rPr>
          <w:rFonts w:hint="eastAsia" w:ascii="宋体" w:hAnsi="宋体"/>
        </w:rPr>
      </w:pPr>
      <w:r>
        <w:rPr>
          <w:rFonts w:hint="eastAsia" w:ascii="宋体" w:hAnsi="宋体"/>
        </w:rPr>
        <w:t>7、[a，b)为包含a，不包含b；（a，b]为包含b,不包含a。</w:t>
      </w:r>
    </w:p>
    <w:p w14:paraId="2EB0D717">
      <w:pPr>
        <w:spacing w:line="360" w:lineRule="auto"/>
        <w:rPr>
          <w:rFonts w:hint="eastAsia" w:ascii="宋体" w:hAnsi="宋体" w:cs="宋体"/>
          <w:szCs w:val="21"/>
        </w:rPr>
      </w:pPr>
    </w:p>
    <w:p w14:paraId="51385835">
      <w:pPr>
        <w:rPr>
          <w:szCs w:val="21"/>
        </w:rPr>
      </w:pPr>
      <w:r>
        <w:rPr>
          <w:rFonts w:ascii="宋体" w:hAnsi="Courier New" w:cs="Courier New"/>
        </w:rPr>
        <w:br w:type="page"/>
      </w:r>
    </w:p>
    <w:p w14:paraId="2A4AA5C4">
      <w:pPr>
        <w:rPr>
          <w:color w:val="auto"/>
          <w:sz w:val="24"/>
          <w:szCs w:val="24"/>
          <w:highlight w:val="none"/>
        </w:rPr>
      </w:pPr>
      <w:r>
        <w:rPr>
          <w:rFonts w:hint="eastAsia"/>
          <w:color w:val="auto"/>
          <w:szCs w:val="21"/>
          <w:highlight w:val="none"/>
        </w:rPr>
        <w:t>附表五（适用于区间抽取法）</w:t>
      </w:r>
    </w:p>
    <w:p w14:paraId="15B479DB">
      <w:pPr>
        <w:jc w:val="center"/>
        <w:rPr>
          <w:b/>
          <w:color w:val="auto"/>
          <w:sz w:val="36"/>
          <w:szCs w:val="36"/>
          <w:highlight w:val="none"/>
        </w:rPr>
      </w:pPr>
      <w:r>
        <w:rPr>
          <w:rFonts w:hint="eastAsia"/>
          <w:b/>
          <w:color w:val="auto"/>
          <w:sz w:val="36"/>
          <w:szCs w:val="36"/>
          <w:highlight w:val="none"/>
        </w:rPr>
        <w:t>经济标评分表</w:t>
      </w:r>
    </w:p>
    <w:p w14:paraId="5647B0E9">
      <w:pPr>
        <w:rPr>
          <w:color w:val="auto"/>
          <w:szCs w:val="21"/>
          <w:highlight w:val="none"/>
        </w:rPr>
      </w:pPr>
      <w:r>
        <w:rPr>
          <w:rFonts w:hint="eastAsia"/>
          <w:color w:val="auto"/>
          <w:szCs w:val="21"/>
          <w:highlight w:val="none"/>
        </w:rPr>
        <w:t>工程名称：</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1031"/>
        <w:gridCol w:w="1031"/>
        <w:gridCol w:w="1031"/>
        <w:gridCol w:w="1031"/>
        <w:gridCol w:w="1031"/>
        <w:gridCol w:w="1031"/>
        <w:gridCol w:w="1031"/>
        <w:gridCol w:w="1031"/>
        <w:gridCol w:w="1031"/>
        <w:gridCol w:w="1031"/>
        <w:gridCol w:w="1031"/>
        <w:gridCol w:w="1032"/>
      </w:tblGrid>
      <w:tr w14:paraId="3B724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74" w:type="dxa"/>
            <w:tcBorders>
              <w:top w:val="single" w:color="auto" w:sz="4" w:space="0"/>
              <w:left w:val="single" w:color="auto" w:sz="4" w:space="0"/>
              <w:bottom w:val="single" w:color="auto" w:sz="4" w:space="0"/>
              <w:right w:val="single" w:color="auto" w:sz="4" w:space="0"/>
            </w:tcBorders>
            <w:noWrap w:val="0"/>
            <w:vAlign w:val="center"/>
          </w:tcPr>
          <w:p w14:paraId="553989D1">
            <w:pPr>
              <w:rPr>
                <w:rFonts w:ascii="宋体" w:hAnsi="宋体"/>
                <w:color w:val="auto"/>
                <w:szCs w:val="21"/>
                <w:highlight w:val="none"/>
              </w:rPr>
            </w:pPr>
            <w:r>
              <w:rPr>
                <w:rFonts w:hint="eastAsia" w:ascii="宋体" w:hAnsi="宋体"/>
                <w:color w:val="auto"/>
                <w:szCs w:val="21"/>
                <w:highlight w:val="none"/>
              </w:rPr>
              <w:t>投标人名称</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5CC2185C">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388E4440">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540A925B">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126791ED">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351D9BD9">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7863AFED">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5CDC512F">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9C9D7E7">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B5C1960">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3C25B431">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749AD00D">
            <w:pPr>
              <w:rPr>
                <w:rFonts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14:paraId="4CD6BB71">
            <w:pPr>
              <w:rPr>
                <w:rFonts w:ascii="宋体" w:hAnsi="宋体"/>
                <w:color w:val="auto"/>
                <w:szCs w:val="21"/>
                <w:highlight w:val="none"/>
              </w:rPr>
            </w:pPr>
          </w:p>
        </w:tc>
      </w:tr>
      <w:tr w14:paraId="4C6B8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4" w:type="dxa"/>
            <w:tcBorders>
              <w:top w:val="single" w:color="auto" w:sz="4" w:space="0"/>
              <w:left w:val="single" w:color="auto" w:sz="4" w:space="0"/>
              <w:bottom w:val="single" w:color="auto" w:sz="4" w:space="0"/>
              <w:right w:val="single" w:color="auto" w:sz="4" w:space="0"/>
            </w:tcBorders>
            <w:noWrap w:val="0"/>
            <w:vAlign w:val="center"/>
          </w:tcPr>
          <w:p w14:paraId="59F8EF40">
            <w:pPr>
              <w:rPr>
                <w:rFonts w:ascii="宋体" w:hAnsi="宋体"/>
                <w:color w:val="auto"/>
                <w:szCs w:val="21"/>
                <w:highlight w:val="none"/>
              </w:rPr>
            </w:pPr>
            <w:r>
              <w:rPr>
                <w:rFonts w:hint="eastAsia" w:ascii="宋体" w:hAnsi="宋体"/>
                <w:color w:val="auto"/>
                <w:szCs w:val="21"/>
                <w:highlight w:val="none"/>
              </w:rPr>
              <w:t>投标报价</w:t>
            </w:r>
            <w:r>
              <w:rPr>
                <w:rFonts w:ascii="宋体" w:hAnsi="宋体"/>
                <w:color w:val="auto"/>
                <w:szCs w:val="21"/>
                <w:highlight w:val="none"/>
              </w:rPr>
              <w:t>PT</w:t>
            </w:r>
            <w:r>
              <w:rPr>
                <w:rFonts w:hint="eastAsia" w:ascii="宋体" w:hAnsi="宋体"/>
                <w:color w:val="auto"/>
                <w:szCs w:val="21"/>
                <w:highlight w:val="none"/>
              </w:rPr>
              <w:t>（元）</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13783DA2">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FD71258">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4EB6FEF5">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11B15EE0">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5628A3D1">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43AE40F6">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1BB18DFA">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BDF7C33">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52CBE884">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377B7B10">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4CFBB96C">
            <w:pPr>
              <w:rPr>
                <w:rFonts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14:paraId="2DDB0C18">
            <w:pPr>
              <w:rPr>
                <w:rFonts w:ascii="宋体" w:hAnsi="宋体"/>
                <w:color w:val="auto"/>
                <w:szCs w:val="21"/>
                <w:highlight w:val="none"/>
              </w:rPr>
            </w:pPr>
          </w:p>
        </w:tc>
      </w:tr>
      <w:tr w14:paraId="67CFC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noWrap w:val="0"/>
            <w:vAlign w:val="center"/>
          </w:tcPr>
          <w:p w14:paraId="15C4B8A0">
            <w:pPr>
              <w:rPr>
                <w:rFonts w:ascii="宋体" w:hAnsi="宋体"/>
                <w:color w:val="auto"/>
                <w:szCs w:val="21"/>
                <w:highlight w:val="none"/>
              </w:rPr>
            </w:pPr>
            <w:r>
              <w:rPr>
                <w:rFonts w:hint="eastAsia" w:ascii="宋体" w:hAnsi="宋体"/>
                <w:color w:val="auto"/>
                <w:szCs w:val="21"/>
                <w:highlight w:val="none"/>
              </w:rPr>
              <w:t>计算评标参考价的等分点值X</w:t>
            </w:r>
          </w:p>
        </w:tc>
        <w:tc>
          <w:tcPr>
            <w:tcW w:w="12373" w:type="dxa"/>
            <w:gridSpan w:val="12"/>
            <w:tcBorders>
              <w:top w:val="single" w:color="auto" w:sz="4" w:space="0"/>
              <w:left w:val="single" w:color="auto" w:sz="4" w:space="0"/>
              <w:bottom w:val="single" w:color="auto" w:sz="4" w:space="0"/>
              <w:right w:val="single" w:color="auto" w:sz="4" w:space="0"/>
            </w:tcBorders>
            <w:noWrap w:val="0"/>
            <w:vAlign w:val="center"/>
          </w:tcPr>
          <w:p w14:paraId="57FBD36C">
            <w:pPr>
              <w:rPr>
                <w:rFonts w:ascii="宋体" w:hAnsi="宋体"/>
                <w:color w:val="auto"/>
                <w:szCs w:val="21"/>
                <w:highlight w:val="none"/>
              </w:rPr>
            </w:pPr>
          </w:p>
        </w:tc>
      </w:tr>
      <w:tr w14:paraId="3BF31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noWrap w:val="0"/>
            <w:vAlign w:val="center"/>
          </w:tcPr>
          <w:p w14:paraId="14E48271">
            <w:pPr>
              <w:rPr>
                <w:rFonts w:ascii="宋体" w:hAnsi="宋体"/>
                <w:color w:val="auto"/>
                <w:szCs w:val="21"/>
                <w:highlight w:val="none"/>
              </w:rPr>
            </w:pPr>
            <w:r>
              <w:rPr>
                <w:rFonts w:hint="eastAsia" w:ascii="宋体" w:hAnsi="宋体"/>
                <w:color w:val="auto"/>
                <w:szCs w:val="21"/>
                <w:highlight w:val="none"/>
              </w:rPr>
              <w:t>评标参考价PC（元）</w:t>
            </w:r>
          </w:p>
        </w:tc>
        <w:tc>
          <w:tcPr>
            <w:tcW w:w="12373" w:type="dxa"/>
            <w:gridSpan w:val="12"/>
            <w:tcBorders>
              <w:top w:val="single" w:color="auto" w:sz="4" w:space="0"/>
              <w:left w:val="single" w:color="auto" w:sz="4" w:space="0"/>
              <w:bottom w:val="single" w:color="auto" w:sz="4" w:space="0"/>
              <w:right w:val="single" w:color="auto" w:sz="4" w:space="0"/>
            </w:tcBorders>
            <w:noWrap w:val="0"/>
            <w:vAlign w:val="center"/>
          </w:tcPr>
          <w:p w14:paraId="317B195D">
            <w:pPr>
              <w:rPr>
                <w:rFonts w:ascii="宋体" w:hAnsi="宋体"/>
                <w:color w:val="auto"/>
                <w:szCs w:val="21"/>
                <w:highlight w:val="none"/>
              </w:rPr>
            </w:pPr>
          </w:p>
        </w:tc>
      </w:tr>
      <w:tr w14:paraId="295A6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noWrap w:val="0"/>
            <w:vAlign w:val="center"/>
          </w:tcPr>
          <w:p w14:paraId="54DF19BA">
            <w:pPr>
              <w:rPr>
                <w:rFonts w:ascii="宋体" w:hAnsi="宋体"/>
                <w:color w:val="auto"/>
                <w:szCs w:val="21"/>
                <w:highlight w:val="none"/>
              </w:rPr>
            </w:pPr>
            <w:r>
              <w:rPr>
                <w:rFonts w:hint="eastAsia" w:ascii="宋体" w:hAnsi="宋体"/>
                <w:color w:val="auto"/>
                <w:szCs w:val="21"/>
                <w:highlight w:val="none"/>
              </w:rPr>
              <w:t>偏差（（</w:t>
            </w:r>
            <w:r>
              <w:rPr>
                <w:rFonts w:ascii="宋体" w:hAnsi="宋体"/>
                <w:color w:val="auto"/>
                <w:szCs w:val="21"/>
                <w:highlight w:val="none"/>
              </w:rPr>
              <w:t>PT-PC</w:t>
            </w:r>
            <w:r>
              <w:rPr>
                <w:rFonts w:hint="eastAsia" w:ascii="宋体" w:hAnsi="宋体"/>
                <w:color w:val="auto"/>
                <w:szCs w:val="21"/>
                <w:highlight w:val="none"/>
              </w:rPr>
              <w:t>）</w:t>
            </w:r>
            <w:r>
              <w:rPr>
                <w:rFonts w:ascii="宋体" w:hAnsi="宋体"/>
                <w:color w:val="auto"/>
                <w:szCs w:val="21"/>
                <w:highlight w:val="none"/>
              </w:rPr>
              <w:t>/PC</w:t>
            </w:r>
            <w:r>
              <w:rPr>
                <w:rFonts w:hint="eastAsia" w:ascii="宋体" w:hAnsi="宋体"/>
                <w:color w:val="auto"/>
                <w:szCs w:val="21"/>
                <w:highlight w:val="none"/>
              </w:rPr>
              <w:t>）（</w:t>
            </w:r>
            <w:r>
              <w:rPr>
                <w:rFonts w:ascii="宋体" w:hAnsi="宋体"/>
                <w:color w:val="auto"/>
                <w:szCs w:val="21"/>
                <w:highlight w:val="none"/>
              </w:rPr>
              <w:t>%</w:t>
            </w:r>
            <w:r>
              <w:rPr>
                <w:rFonts w:hint="eastAsia" w:ascii="宋体" w:hAnsi="宋体"/>
                <w:color w:val="auto"/>
                <w:szCs w:val="21"/>
                <w:highlight w:val="none"/>
              </w:rPr>
              <w:t>）</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7A211ED6">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2069BD56">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C6602AE">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4AC8BB05">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0D76CCF5">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14065DBE">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487004F9">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7D7161B5">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CC7E612">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55D66F80">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1D8642C1">
            <w:pPr>
              <w:rPr>
                <w:rFonts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14:paraId="37B36566">
            <w:pPr>
              <w:rPr>
                <w:rFonts w:ascii="宋体" w:hAnsi="宋体"/>
                <w:color w:val="auto"/>
                <w:szCs w:val="21"/>
                <w:highlight w:val="none"/>
              </w:rPr>
            </w:pPr>
          </w:p>
        </w:tc>
      </w:tr>
      <w:tr w14:paraId="325B0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4" w:type="dxa"/>
            <w:tcBorders>
              <w:top w:val="single" w:color="auto" w:sz="4" w:space="0"/>
              <w:left w:val="single" w:color="auto" w:sz="4" w:space="0"/>
              <w:bottom w:val="single" w:color="auto" w:sz="4" w:space="0"/>
              <w:right w:val="single" w:color="auto" w:sz="4" w:space="0"/>
            </w:tcBorders>
            <w:noWrap w:val="0"/>
            <w:vAlign w:val="center"/>
          </w:tcPr>
          <w:p w14:paraId="1759F98D">
            <w:pPr>
              <w:rPr>
                <w:rFonts w:ascii="宋体" w:hAnsi="宋体"/>
                <w:color w:val="auto"/>
                <w:szCs w:val="21"/>
                <w:highlight w:val="none"/>
              </w:rPr>
            </w:pPr>
            <w:r>
              <w:rPr>
                <w:rFonts w:hint="eastAsia" w:ascii="宋体" w:hAnsi="宋体"/>
                <w:color w:val="auto"/>
                <w:szCs w:val="21"/>
                <w:highlight w:val="none"/>
              </w:rPr>
              <w:t>减分（</w:t>
            </w:r>
            <w:r>
              <w:rPr>
                <w:rFonts w:ascii="宋体" w:hAnsi="宋体"/>
                <w:color w:val="auto"/>
                <w:szCs w:val="21"/>
                <w:highlight w:val="none"/>
              </w:rPr>
              <w:t>A</w:t>
            </w:r>
            <w:r>
              <w:rPr>
                <w:rFonts w:hint="eastAsia" w:ascii="宋体" w:hAnsi="宋体"/>
                <w:color w:val="auto"/>
                <w:szCs w:val="21"/>
                <w:highlight w:val="none"/>
              </w:rPr>
              <w:t>）</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36B0EAD0">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23391DD6">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50E1D8C">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21666E2F">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597282F4">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D691B5F">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04C3878A">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59E1778A">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1212A65">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C81CE00">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5AF1A7CD">
            <w:pPr>
              <w:rPr>
                <w:rFonts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14:paraId="2F9D3708">
            <w:pPr>
              <w:rPr>
                <w:rFonts w:ascii="宋体" w:hAnsi="宋体"/>
                <w:color w:val="auto"/>
                <w:szCs w:val="21"/>
                <w:highlight w:val="none"/>
              </w:rPr>
            </w:pPr>
          </w:p>
        </w:tc>
      </w:tr>
      <w:tr w14:paraId="731B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noWrap w:val="0"/>
            <w:vAlign w:val="center"/>
          </w:tcPr>
          <w:p w14:paraId="20B8277C">
            <w:pPr>
              <w:rPr>
                <w:rFonts w:ascii="宋体" w:hAnsi="宋体"/>
                <w:color w:val="auto"/>
                <w:szCs w:val="21"/>
                <w:highlight w:val="none"/>
              </w:rPr>
            </w:pPr>
            <w:r>
              <w:rPr>
                <w:rFonts w:hint="eastAsia" w:ascii="宋体" w:hAnsi="宋体"/>
                <w:color w:val="auto"/>
                <w:szCs w:val="21"/>
                <w:highlight w:val="none"/>
              </w:rPr>
              <w:t>得分</w:t>
            </w:r>
            <w:r>
              <w:rPr>
                <w:rFonts w:ascii="宋体" w:hAnsi="宋体"/>
                <w:color w:val="auto"/>
                <w:szCs w:val="21"/>
                <w:highlight w:val="none"/>
              </w:rPr>
              <w:t>(I=100-A)</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50F57817">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7A2EB7AA">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45AD82B5">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297ABAEA">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4E38BB4">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2512648B">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0438D09F">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5DB8D473">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1E850CC7">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57FF291D">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378DEE22">
            <w:pPr>
              <w:rPr>
                <w:rFonts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14:paraId="7BDBFB02">
            <w:pPr>
              <w:rPr>
                <w:rFonts w:ascii="宋体" w:hAnsi="宋体"/>
                <w:color w:val="auto"/>
                <w:szCs w:val="21"/>
                <w:highlight w:val="none"/>
              </w:rPr>
            </w:pPr>
          </w:p>
        </w:tc>
      </w:tr>
      <w:tr w14:paraId="5D14F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noWrap w:val="0"/>
            <w:vAlign w:val="center"/>
          </w:tcPr>
          <w:p w14:paraId="26390228">
            <w:pPr>
              <w:rPr>
                <w:rFonts w:ascii="宋体" w:hAnsi="宋体"/>
                <w:color w:val="auto"/>
                <w:szCs w:val="21"/>
                <w:highlight w:val="none"/>
              </w:rPr>
            </w:pPr>
            <w:r>
              <w:rPr>
                <w:rFonts w:hint="eastAsia" w:ascii="宋体" w:hAnsi="宋体"/>
                <w:color w:val="auto"/>
                <w:szCs w:val="21"/>
                <w:highlight w:val="none"/>
              </w:rPr>
              <w:t>得分排名次序</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14C3912C">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560B92E8">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7FDC84F3">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2FAE3C4D">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5AA06590">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1B131BF6">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0A460BEA">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2CE64C2E">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0E6FE16">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1B335349">
            <w:pPr>
              <w:rPr>
                <w:rFonts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D0F4C1B">
            <w:pPr>
              <w:rPr>
                <w:rFonts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14:paraId="601A5E6E">
            <w:pPr>
              <w:rPr>
                <w:rFonts w:ascii="宋体" w:hAnsi="宋体"/>
                <w:color w:val="auto"/>
                <w:szCs w:val="21"/>
                <w:highlight w:val="none"/>
              </w:rPr>
            </w:pPr>
          </w:p>
        </w:tc>
      </w:tr>
    </w:tbl>
    <w:p w14:paraId="62928D47">
      <w:pPr>
        <w:rPr>
          <w:color w:val="auto"/>
          <w:szCs w:val="21"/>
          <w:highlight w:val="none"/>
        </w:rPr>
      </w:pPr>
      <w:r>
        <w:rPr>
          <w:rFonts w:hint="eastAsia"/>
          <w:color w:val="auto"/>
          <w:szCs w:val="21"/>
          <w:highlight w:val="none"/>
        </w:rPr>
        <w:t>评委签名：</w:t>
      </w:r>
    </w:p>
    <w:p w14:paraId="6C17EB1F">
      <w:pPr>
        <w:rPr>
          <w:b/>
          <w:szCs w:val="21"/>
        </w:rPr>
      </w:pPr>
      <w:r>
        <w:rPr>
          <w:b/>
          <w:sz w:val="36"/>
          <w:szCs w:val="36"/>
        </w:rPr>
        <w:br w:type="page"/>
      </w:r>
      <w:r>
        <w:rPr>
          <w:rFonts w:hint="eastAsia"/>
          <w:szCs w:val="21"/>
        </w:rPr>
        <w:t>附表六</w:t>
      </w:r>
    </w:p>
    <w:p w14:paraId="6CA404C3">
      <w:pPr>
        <w:jc w:val="center"/>
        <w:rPr>
          <w:b/>
          <w:sz w:val="36"/>
          <w:szCs w:val="36"/>
        </w:rPr>
      </w:pPr>
      <w:r>
        <w:rPr>
          <w:rFonts w:hint="eastAsia"/>
          <w:b/>
          <w:sz w:val="36"/>
          <w:szCs w:val="36"/>
        </w:rPr>
        <w:t>算术复核表</w:t>
      </w:r>
    </w:p>
    <w:p w14:paraId="6B579A75">
      <w:pPr>
        <w:ind w:firstLine="210" w:firstLineChars="100"/>
        <w:rPr>
          <w:rFonts w:hint="eastAsia" w:ascii="宋体" w:hAnsi="宋体"/>
          <w:kern w:val="0"/>
          <w:szCs w:val="21"/>
        </w:rPr>
      </w:pPr>
      <w:r>
        <w:rPr>
          <w:rFonts w:hint="eastAsia"/>
          <w:kern w:val="0"/>
          <w:szCs w:val="21"/>
        </w:rPr>
        <w:t>工程名称：</w:t>
      </w:r>
      <w:r>
        <w:rPr>
          <w:kern w:val="0"/>
          <w:szCs w:val="21"/>
        </w:rPr>
        <w:t xml:space="preserve">                                          </w:t>
      </w:r>
      <w:r>
        <w:rPr>
          <w:rFonts w:ascii="宋体" w:hAnsi="宋体"/>
          <w:kern w:val="0"/>
          <w:szCs w:val="21"/>
        </w:rPr>
        <w:t xml:space="preserve"> </w:t>
      </w:r>
      <w:r>
        <w:rPr>
          <w:rFonts w:hint="eastAsia" w:ascii="宋体" w:hAnsi="宋体"/>
          <w:kern w:val="0"/>
          <w:szCs w:val="21"/>
        </w:rPr>
        <w:t>投标人</w:t>
      </w:r>
      <w:r>
        <w:rPr>
          <w:rFonts w:ascii="宋体" w:hAnsi="宋体"/>
          <w:kern w:val="0"/>
          <w:szCs w:val="21"/>
        </w:rPr>
        <w:t xml:space="preserve">:                                                  </w:t>
      </w:r>
      <w:r>
        <w:rPr>
          <w:rFonts w:hint="eastAsia" w:ascii="宋体" w:hAnsi="宋体"/>
          <w:kern w:val="0"/>
          <w:szCs w:val="21"/>
        </w:rPr>
        <w:t>单位：元</w:t>
      </w:r>
    </w:p>
    <w:tbl>
      <w:tblPr>
        <w:tblStyle w:val="52"/>
        <w:tblW w:w="14439" w:type="dxa"/>
        <w:jc w:val="center"/>
        <w:tblLayout w:type="fixed"/>
        <w:tblCellMar>
          <w:top w:w="0" w:type="dxa"/>
          <w:left w:w="108" w:type="dxa"/>
          <w:bottom w:w="0" w:type="dxa"/>
          <w:right w:w="108" w:type="dxa"/>
        </w:tblCellMar>
      </w:tblPr>
      <w:tblGrid>
        <w:gridCol w:w="822"/>
        <w:gridCol w:w="3650"/>
        <w:gridCol w:w="1867"/>
        <w:gridCol w:w="1550"/>
        <w:gridCol w:w="1883"/>
        <w:gridCol w:w="1400"/>
        <w:gridCol w:w="3267"/>
      </w:tblGrid>
      <w:tr w14:paraId="7E297E4C">
        <w:tblPrEx>
          <w:tblCellMar>
            <w:top w:w="0" w:type="dxa"/>
            <w:left w:w="108" w:type="dxa"/>
            <w:bottom w:w="0" w:type="dxa"/>
            <w:right w:w="108" w:type="dxa"/>
          </w:tblCellMar>
        </w:tblPrEx>
        <w:trPr>
          <w:trHeight w:val="705"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14:paraId="1ACD70D1">
            <w:pPr>
              <w:rPr>
                <w:rFonts w:hint="eastAsia" w:ascii="宋体" w:hAnsi="宋体"/>
                <w:kern w:val="0"/>
                <w:szCs w:val="21"/>
              </w:rPr>
            </w:pPr>
            <w:r>
              <w:rPr>
                <w:rFonts w:hint="eastAsia" w:ascii="宋体" w:hAnsi="宋体"/>
                <w:kern w:val="0"/>
                <w:szCs w:val="21"/>
              </w:rPr>
              <w:t>编号</w:t>
            </w:r>
          </w:p>
        </w:tc>
        <w:tc>
          <w:tcPr>
            <w:tcW w:w="3650" w:type="dxa"/>
            <w:tcBorders>
              <w:top w:val="single" w:color="auto" w:sz="4" w:space="0"/>
              <w:left w:val="nil"/>
              <w:bottom w:val="single" w:color="auto" w:sz="4" w:space="0"/>
              <w:right w:val="single" w:color="auto" w:sz="4" w:space="0"/>
            </w:tcBorders>
            <w:vAlign w:val="center"/>
          </w:tcPr>
          <w:p w14:paraId="566DD492">
            <w:pPr>
              <w:rPr>
                <w:rFonts w:hint="eastAsia" w:ascii="宋体" w:hAnsi="宋体"/>
                <w:kern w:val="0"/>
                <w:szCs w:val="21"/>
              </w:rPr>
            </w:pPr>
            <w:r>
              <w:rPr>
                <w:rFonts w:hint="eastAsia" w:ascii="宋体" w:hAnsi="宋体"/>
                <w:kern w:val="0"/>
                <w:szCs w:val="21"/>
              </w:rPr>
              <w:t>算术校核项目</w:t>
            </w:r>
          </w:p>
        </w:tc>
        <w:tc>
          <w:tcPr>
            <w:tcW w:w="1867" w:type="dxa"/>
            <w:tcBorders>
              <w:top w:val="single" w:color="auto" w:sz="4" w:space="0"/>
              <w:left w:val="nil"/>
              <w:bottom w:val="single" w:color="auto" w:sz="4" w:space="0"/>
              <w:right w:val="single" w:color="auto" w:sz="4" w:space="0"/>
            </w:tcBorders>
            <w:vAlign w:val="center"/>
          </w:tcPr>
          <w:p w14:paraId="4E80CC4A">
            <w:pPr>
              <w:rPr>
                <w:rFonts w:hint="eastAsia" w:ascii="宋体" w:hAnsi="宋体"/>
                <w:kern w:val="0"/>
                <w:szCs w:val="21"/>
              </w:rPr>
            </w:pPr>
            <w:r>
              <w:rPr>
                <w:rFonts w:hint="eastAsia" w:ascii="宋体" w:hAnsi="宋体"/>
                <w:kern w:val="0"/>
                <w:szCs w:val="21"/>
              </w:rPr>
              <w:t>修正前投标</w:t>
            </w:r>
          </w:p>
          <w:p w14:paraId="3E2A1843">
            <w:pPr>
              <w:rPr>
                <w:rFonts w:hint="eastAsia" w:ascii="宋体" w:hAnsi="宋体"/>
                <w:kern w:val="0"/>
                <w:szCs w:val="21"/>
              </w:rPr>
            </w:pPr>
            <w:r>
              <w:rPr>
                <w:rFonts w:hint="eastAsia" w:ascii="宋体" w:hAnsi="宋体"/>
                <w:kern w:val="0"/>
                <w:szCs w:val="21"/>
              </w:rPr>
              <w:t>报价</w:t>
            </w:r>
            <w:r>
              <w:rPr>
                <w:rFonts w:ascii="宋体" w:hAnsi="宋体"/>
                <w:kern w:val="0"/>
                <w:szCs w:val="21"/>
              </w:rPr>
              <w:t>A</w:t>
            </w:r>
          </w:p>
        </w:tc>
        <w:tc>
          <w:tcPr>
            <w:tcW w:w="1550" w:type="dxa"/>
            <w:tcBorders>
              <w:top w:val="single" w:color="auto" w:sz="4" w:space="0"/>
              <w:left w:val="nil"/>
              <w:bottom w:val="single" w:color="auto" w:sz="4" w:space="0"/>
              <w:right w:val="single" w:color="auto" w:sz="4" w:space="0"/>
            </w:tcBorders>
            <w:vAlign w:val="center"/>
          </w:tcPr>
          <w:p w14:paraId="6FF192F6">
            <w:pPr>
              <w:rPr>
                <w:rFonts w:hint="eastAsia" w:ascii="宋体" w:hAnsi="宋体"/>
                <w:kern w:val="0"/>
                <w:szCs w:val="21"/>
              </w:rPr>
            </w:pPr>
            <w:r>
              <w:rPr>
                <w:rFonts w:hint="eastAsia" w:ascii="宋体" w:hAnsi="宋体"/>
                <w:kern w:val="0"/>
                <w:szCs w:val="21"/>
              </w:rPr>
              <w:t>修正后投标</w:t>
            </w:r>
          </w:p>
          <w:p w14:paraId="219FD24B">
            <w:pPr>
              <w:rPr>
                <w:rFonts w:hint="eastAsia" w:ascii="宋体" w:hAnsi="宋体"/>
                <w:kern w:val="0"/>
                <w:szCs w:val="21"/>
              </w:rPr>
            </w:pPr>
            <w:r>
              <w:rPr>
                <w:rFonts w:hint="eastAsia" w:ascii="宋体" w:hAnsi="宋体"/>
                <w:kern w:val="0"/>
                <w:szCs w:val="21"/>
              </w:rPr>
              <w:t>报价</w:t>
            </w:r>
            <w:r>
              <w:rPr>
                <w:rFonts w:ascii="宋体" w:hAnsi="宋体"/>
                <w:kern w:val="0"/>
                <w:szCs w:val="21"/>
              </w:rPr>
              <w:t>B</w:t>
            </w:r>
          </w:p>
        </w:tc>
        <w:tc>
          <w:tcPr>
            <w:tcW w:w="1883" w:type="dxa"/>
            <w:tcBorders>
              <w:top w:val="single" w:color="auto" w:sz="4" w:space="0"/>
              <w:left w:val="nil"/>
              <w:bottom w:val="single" w:color="auto" w:sz="4" w:space="0"/>
              <w:right w:val="single" w:color="auto" w:sz="4" w:space="0"/>
            </w:tcBorders>
            <w:vAlign w:val="center"/>
          </w:tcPr>
          <w:p w14:paraId="0B534285">
            <w:pPr>
              <w:rPr>
                <w:rFonts w:hint="eastAsia" w:ascii="宋体" w:hAnsi="宋体"/>
                <w:kern w:val="0"/>
                <w:szCs w:val="21"/>
              </w:rPr>
            </w:pPr>
            <w:r>
              <w:rPr>
                <w:rFonts w:hint="eastAsia" w:ascii="宋体" w:hAnsi="宋体"/>
                <w:kern w:val="0"/>
                <w:szCs w:val="21"/>
              </w:rPr>
              <w:t>修正率</w:t>
            </w:r>
            <w:r>
              <w:rPr>
                <w:rFonts w:ascii="宋体" w:hAnsi="宋体"/>
                <w:kern w:val="0"/>
                <w:szCs w:val="21"/>
              </w:rPr>
              <w:br w:type="textWrapping"/>
            </w:r>
            <w:r>
              <w:rPr>
                <w:rFonts w:ascii="宋体" w:hAnsi="宋体"/>
                <w:kern w:val="0"/>
                <w:szCs w:val="21"/>
              </w:rPr>
              <w:t>r=|A-B|/A*100%</w:t>
            </w:r>
          </w:p>
        </w:tc>
        <w:tc>
          <w:tcPr>
            <w:tcW w:w="1400" w:type="dxa"/>
            <w:tcBorders>
              <w:top w:val="single" w:color="auto" w:sz="4" w:space="0"/>
              <w:left w:val="nil"/>
              <w:bottom w:val="single" w:color="auto" w:sz="4" w:space="0"/>
              <w:right w:val="single" w:color="auto" w:sz="4" w:space="0"/>
            </w:tcBorders>
            <w:vAlign w:val="center"/>
          </w:tcPr>
          <w:p w14:paraId="142B8F6F">
            <w:pPr>
              <w:rPr>
                <w:rFonts w:hint="eastAsia" w:ascii="宋体" w:hAnsi="宋体"/>
                <w:kern w:val="0"/>
                <w:szCs w:val="21"/>
              </w:rPr>
            </w:pPr>
            <w:r>
              <w:rPr>
                <w:rFonts w:hint="eastAsia" w:ascii="宋体" w:hAnsi="宋体"/>
                <w:kern w:val="0"/>
                <w:szCs w:val="21"/>
              </w:rPr>
              <w:t>经评审的最终投标报价</w:t>
            </w:r>
          </w:p>
        </w:tc>
        <w:tc>
          <w:tcPr>
            <w:tcW w:w="3267" w:type="dxa"/>
            <w:tcBorders>
              <w:top w:val="single" w:color="auto" w:sz="4" w:space="0"/>
              <w:left w:val="nil"/>
              <w:bottom w:val="single" w:color="auto" w:sz="4" w:space="0"/>
              <w:right w:val="single" w:color="auto" w:sz="4" w:space="0"/>
            </w:tcBorders>
            <w:vAlign w:val="center"/>
          </w:tcPr>
          <w:p w14:paraId="662A41C1">
            <w:pPr>
              <w:rPr>
                <w:rFonts w:hint="eastAsia" w:ascii="宋体" w:hAnsi="宋体"/>
                <w:kern w:val="0"/>
                <w:szCs w:val="21"/>
              </w:rPr>
            </w:pPr>
            <w:r>
              <w:rPr>
                <w:rFonts w:hint="eastAsia" w:ascii="宋体" w:hAnsi="宋体"/>
                <w:kern w:val="0"/>
                <w:szCs w:val="21"/>
              </w:rPr>
              <w:t>当</w:t>
            </w:r>
            <w:r>
              <w:rPr>
                <w:rFonts w:ascii="宋体" w:hAnsi="宋体"/>
                <w:kern w:val="0"/>
                <w:szCs w:val="21"/>
              </w:rPr>
              <w:t>B&gt;A</w:t>
            </w:r>
            <w:r>
              <w:rPr>
                <w:rFonts w:hint="eastAsia" w:ascii="宋体" w:hAnsi="宋体"/>
                <w:kern w:val="0"/>
                <w:szCs w:val="21"/>
              </w:rPr>
              <w:t>时，修正后报价与原报价的差额；当</w:t>
            </w:r>
            <w:r>
              <w:rPr>
                <w:rFonts w:ascii="宋体" w:hAnsi="宋体"/>
                <w:kern w:val="0"/>
                <w:szCs w:val="21"/>
              </w:rPr>
              <w:t>B</w:t>
            </w:r>
            <w:r>
              <w:rPr>
                <w:rFonts w:hint="eastAsia" w:ascii="宋体" w:hAnsi="宋体"/>
                <w:kern w:val="0"/>
                <w:szCs w:val="21"/>
              </w:rPr>
              <w:t>≤</w:t>
            </w:r>
            <w:r>
              <w:rPr>
                <w:rFonts w:ascii="宋体" w:hAnsi="宋体"/>
                <w:kern w:val="0"/>
                <w:szCs w:val="21"/>
              </w:rPr>
              <w:t>A</w:t>
            </w:r>
            <w:r>
              <w:rPr>
                <w:rFonts w:hint="eastAsia" w:ascii="宋体" w:hAnsi="宋体"/>
                <w:kern w:val="0"/>
                <w:szCs w:val="21"/>
              </w:rPr>
              <w:t>时</w:t>
            </w:r>
            <w:r>
              <w:rPr>
                <w:rFonts w:ascii="宋体" w:hAnsi="宋体"/>
                <w:kern w:val="0"/>
                <w:szCs w:val="21"/>
              </w:rPr>
              <w:t>,R=0</w:t>
            </w:r>
          </w:p>
        </w:tc>
      </w:tr>
      <w:tr w14:paraId="5BEC4FC7">
        <w:tblPrEx>
          <w:tblCellMar>
            <w:top w:w="0" w:type="dxa"/>
            <w:left w:w="108" w:type="dxa"/>
            <w:bottom w:w="0" w:type="dxa"/>
            <w:right w:w="108" w:type="dxa"/>
          </w:tblCellMar>
        </w:tblPrEx>
        <w:trPr>
          <w:trHeight w:val="600" w:hRule="atLeast"/>
          <w:jc w:val="center"/>
        </w:trPr>
        <w:tc>
          <w:tcPr>
            <w:tcW w:w="822" w:type="dxa"/>
            <w:tcBorders>
              <w:top w:val="nil"/>
              <w:left w:val="single" w:color="auto" w:sz="4" w:space="0"/>
              <w:bottom w:val="single" w:color="auto" w:sz="4" w:space="0"/>
              <w:right w:val="single" w:color="auto" w:sz="4" w:space="0"/>
            </w:tcBorders>
            <w:vAlign w:val="center"/>
          </w:tcPr>
          <w:p w14:paraId="18DF2D1C">
            <w:pPr>
              <w:rPr>
                <w:rFonts w:hint="eastAsia" w:ascii="宋体" w:hAnsi="宋体"/>
                <w:kern w:val="0"/>
                <w:szCs w:val="21"/>
              </w:rPr>
            </w:pPr>
            <w:r>
              <w:rPr>
                <w:rFonts w:ascii="宋体" w:hAnsi="宋体"/>
                <w:kern w:val="0"/>
                <w:szCs w:val="21"/>
              </w:rPr>
              <w:t>1</w:t>
            </w:r>
          </w:p>
        </w:tc>
        <w:tc>
          <w:tcPr>
            <w:tcW w:w="3650" w:type="dxa"/>
            <w:tcBorders>
              <w:top w:val="nil"/>
              <w:left w:val="nil"/>
              <w:bottom w:val="single" w:color="auto" w:sz="4" w:space="0"/>
              <w:right w:val="single" w:color="auto" w:sz="4" w:space="0"/>
            </w:tcBorders>
            <w:vAlign w:val="center"/>
          </w:tcPr>
          <w:p w14:paraId="44D25C9E">
            <w:pPr>
              <w:rPr>
                <w:rFonts w:hint="eastAsia" w:ascii="宋体" w:hAnsi="宋体"/>
                <w:kern w:val="0"/>
                <w:szCs w:val="21"/>
              </w:rPr>
            </w:pPr>
            <w:r>
              <w:rPr>
                <w:rFonts w:ascii="宋体" w:hAnsi="宋体"/>
                <w:kern w:val="0"/>
                <w:szCs w:val="21"/>
              </w:rPr>
              <w:t>[</w:t>
            </w:r>
            <w:r>
              <w:rPr>
                <w:rFonts w:hint="eastAsia" w:ascii="宋体" w:hAnsi="宋体"/>
                <w:kern w:val="0"/>
                <w:szCs w:val="21"/>
              </w:rPr>
              <w:t>单位工程</w:t>
            </w:r>
            <w:r>
              <w:rPr>
                <w:rFonts w:ascii="宋体" w:hAnsi="宋体"/>
                <w:kern w:val="0"/>
                <w:szCs w:val="21"/>
              </w:rPr>
              <w:t>1]</w:t>
            </w:r>
          </w:p>
        </w:tc>
        <w:tc>
          <w:tcPr>
            <w:tcW w:w="1867" w:type="dxa"/>
            <w:tcBorders>
              <w:top w:val="nil"/>
              <w:left w:val="nil"/>
              <w:bottom w:val="single" w:color="auto" w:sz="4" w:space="0"/>
              <w:right w:val="single" w:color="auto" w:sz="4" w:space="0"/>
            </w:tcBorders>
            <w:vAlign w:val="center"/>
          </w:tcPr>
          <w:p w14:paraId="5538043F">
            <w:pPr>
              <w:rPr>
                <w:rFonts w:hint="eastAsia" w:ascii="宋体" w:hAnsi="宋体"/>
                <w:kern w:val="0"/>
                <w:szCs w:val="21"/>
              </w:rPr>
            </w:pPr>
            <w:r>
              <w:rPr>
                <w:rFonts w:hint="eastAsia" w:ascii="宋体" w:hAnsi="宋体"/>
                <w:kern w:val="0"/>
                <w:szCs w:val="21"/>
              </w:rPr>
              <w:t>　</w:t>
            </w:r>
          </w:p>
        </w:tc>
        <w:tc>
          <w:tcPr>
            <w:tcW w:w="1550" w:type="dxa"/>
            <w:tcBorders>
              <w:top w:val="nil"/>
              <w:left w:val="nil"/>
              <w:bottom w:val="single" w:color="auto" w:sz="4" w:space="0"/>
              <w:right w:val="single" w:color="auto" w:sz="4" w:space="0"/>
            </w:tcBorders>
            <w:vAlign w:val="center"/>
          </w:tcPr>
          <w:p w14:paraId="6107BF79">
            <w:pPr>
              <w:rPr>
                <w:rFonts w:hint="eastAsia" w:ascii="宋体" w:hAnsi="宋体"/>
                <w:kern w:val="0"/>
                <w:szCs w:val="21"/>
              </w:rPr>
            </w:pPr>
            <w:r>
              <w:rPr>
                <w:rFonts w:hint="eastAsia" w:ascii="宋体" w:hAnsi="宋体"/>
                <w:kern w:val="0"/>
                <w:szCs w:val="21"/>
              </w:rPr>
              <w:t>　</w:t>
            </w:r>
          </w:p>
        </w:tc>
        <w:tc>
          <w:tcPr>
            <w:tcW w:w="1883" w:type="dxa"/>
            <w:tcBorders>
              <w:top w:val="nil"/>
              <w:left w:val="nil"/>
              <w:bottom w:val="single" w:color="auto" w:sz="4" w:space="0"/>
              <w:right w:val="single" w:color="auto" w:sz="4" w:space="0"/>
            </w:tcBorders>
            <w:vAlign w:val="center"/>
          </w:tcPr>
          <w:p w14:paraId="014975F4">
            <w:pPr>
              <w:rPr>
                <w:rFonts w:hint="eastAsia" w:ascii="宋体" w:hAnsi="宋体"/>
                <w:kern w:val="0"/>
                <w:szCs w:val="21"/>
              </w:rPr>
            </w:pPr>
            <w:r>
              <w:rPr>
                <w:rFonts w:hint="eastAsia" w:ascii="宋体" w:hAnsi="宋体"/>
                <w:kern w:val="0"/>
                <w:szCs w:val="21"/>
              </w:rPr>
              <w:t>　</w:t>
            </w:r>
          </w:p>
        </w:tc>
        <w:tc>
          <w:tcPr>
            <w:tcW w:w="1400" w:type="dxa"/>
            <w:tcBorders>
              <w:top w:val="nil"/>
              <w:left w:val="nil"/>
              <w:bottom w:val="single" w:color="auto" w:sz="4" w:space="0"/>
              <w:right w:val="single" w:color="auto" w:sz="4" w:space="0"/>
            </w:tcBorders>
            <w:vAlign w:val="center"/>
          </w:tcPr>
          <w:p w14:paraId="7A3EC1D1">
            <w:pPr>
              <w:rPr>
                <w:rFonts w:hint="eastAsia" w:ascii="宋体" w:hAnsi="宋体"/>
                <w:kern w:val="0"/>
                <w:szCs w:val="21"/>
              </w:rPr>
            </w:pPr>
            <w:r>
              <w:rPr>
                <w:rFonts w:hint="eastAsia" w:ascii="宋体" w:hAnsi="宋体"/>
                <w:kern w:val="0"/>
                <w:szCs w:val="21"/>
              </w:rPr>
              <w:t>　</w:t>
            </w:r>
          </w:p>
        </w:tc>
        <w:tc>
          <w:tcPr>
            <w:tcW w:w="3267" w:type="dxa"/>
            <w:tcBorders>
              <w:top w:val="single" w:color="auto" w:sz="4" w:space="0"/>
              <w:left w:val="nil"/>
              <w:bottom w:val="single" w:color="auto" w:sz="4" w:space="0"/>
              <w:right w:val="single" w:color="auto" w:sz="4" w:space="0"/>
            </w:tcBorders>
            <w:vAlign w:val="center"/>
          </w:tcPr>
          <w:p w14:paraId="549E6743">
            <w:pPr>
              <w:rPr>
                <w:rFonts w:hint="eastAsia" w:ascii="宋体" w:hAnsi="宋体"/>
                <w:kern w:val="0"/>
                <w:szCs w:val="21"/>
              </w:rPr>
            </w:pPr>
          </w:p>
        </w:tc>
      </w:tr>
      <w:tr w14:paraId="7C5C8EBC">
        <w:tblPrEx>
          <w:tblCellMar>
            <w:top w:w="0" w:type="dxa"/>
            <w:left w:w="108" w:type="dxa"/>
            <w:bottom w:w="0" w:type="dxa"/>
            <w:right w:w="108" w:type="dxa"/>
          </w:tblCellMar>
        </w:tblPrEx>
        <w:trPr>
          <w:trHeight w:val="600" w:hRule="atLeast"/>
          <w:jc w:val="center"/>
        </w:trPr>
        <w:tc>
          <w:tcPr>
            <w:tcW w:w="822" w:type="dxa"/>
            <w:tcBorders>
              <w:top w:val="nil"/>
              <w:left w:val="single" w:color="auto" w:sz="4" w:space="0"/>
              <w:bottom w:val="single" w:color="auto" w:sz="4" w:space="0"/>
              <w:right w:val="single" w:color="auto" w:sz="4" w:space="0"/>
            </w:tcBorders>
            <w:vAlign w:val="center"/>
          </w:tcPr>
          <w:p w14:paraId="13BD685A">
            <w:pPr>
              <w:rPr>
                <w:rFonts w:hint="eastAsia" w:ascii="宋体" w:hAnsi="宋体"/>
                <w:kern w:val="0"/>
                <w:szCs w:val="21"/>
              </w:rPr>
            </w:pPr>
            <w:r>
              <w:rPr>
                <w:rFonts w:ascii="宋体" w:hAnsi="宋体"/>
                <w:kern w:val="0"/>
                <w:szCs w:val="21"/>
              </w:rPr>
              <w:t>2</w:t>
            </w:r>
          </w:p>
        </w:tc>
        <w:tc>
          <w:tcPr>
            <w:tcW w:w="3650" w:type="dxa"/>
            <w:tcBorders>
              <w:top w:val="nil"/>
              <w:left w:val="nil"/>
              <w:bottom w:val="single" w:color="auto" w:sz="4" w:space="0"/>
              <w:right w:val="single" w:color="auto" w:sz="4" w:space="0"/>
            </w:tcBorders>
            <w:vAlign w:val="center"/>
          </w:tcPr>
          <w:p w14:paraId="6458FD1D">
            <w:pPr>
              <w:rPr>
                <w:rFonts w:hint="eastAsia" w:ascii="宋体" w:hAnsi="宋体"/>
                <w:kern w:val="0"/>
                <w:szCs w:val="21"/>
              </w:rPr>
            </w:pPr>
            <w:r>
              <w:rPr>
                <w:rFonts w:ascii="宋体" w:hAnsi="宋体"/>
                <w:kern w:val="0"/>
                <w:szCs w:val="21"/>
              </w:rPr>
              <w:t>[</w:t>
            </w:r>
            <w:r>
              <w:rPr>
                <w:rFonts w:hint="eastAsia" w:ascii="宋体" w:hAnsi="宋体"/>
                <w:kern w:val="0"/>
                <w:szCs w:val="21"/>
              </w:rPr>
              <w:t>单位工程</w:t>
            </w:r>
            <w:r>
              <w:rPr>
                <w:rFonts w:ascii="宋体" w:hAnsi="宋体"/>
                <w:kern w:val="0"/>
                <w:szCs w:val="21"/>
              </w:rPr>
              <w:t>2]</w:t>
            </w:r>
          </w:p>
        </w:tc>
        <w:tc>
          <w:tcPr>
            <w:tcW w:w="1867" w:type="dxa"/>
            <w:tcBorders>
              <w:top w:val="nil"/>
              <w:left w:val="nil"/>
              <w:bottom w:val="single" w:color="auto" w:sz="4" w:space="0"/>
              <w:right w:val="single" w:color="auto" w:sz="4" w:space="0"/>
            </w:tcBorders>
            <w:vAlign w:val="center"/>
          </w:tcPr>
          <w:p w14:paraId="44F3391F">
            <w:pPr>
              <w:rPr>
                <w:rFonts w:hint="eastAsia" w:ascii="宋体" w:hAnsi="宋体"/>
                <w:kern w:val="0"/>
                <w:szCs w:val="21"/>
              </w:rPr>
            </w:pPr>
            <w:r>
              <w:rPr>
                <w:rFonts w:hint="eastAsia" w:ascii="宋体" w:hAnsi="宋体"/>
                <w:kern w:val="0"/>
                <w:szCs w:val="21"/>
              </w:rPr>
              <w:t>　</w:t>
            </w:r>
          </w:p>
        </w:tc>
        <w:tc>
          <w:tcPr>
            <w:tcW w:w="1550" w:type="dxa"/>
            <w:tcBorders>
              <w:top w:val="nil"/>
              <w:left w:val="nil"/>
              <w:bottom w:val="single" w:color="auto" w:sz="4" w:space="0"/>
              <w:right w:val="single" w:color="auto" w:sz="4" w:space="0"/>
            </w:tcBorders>
            <w:vAlign w:val="center"/>
          </w:tcPr>
          <w:p w14:paraId="41E33034">
            <w:pPr>
              <w:rPr>
                <w:rFonts w:hint="eastAsia" w:ascii="宋体" w:hAnsi="宋体"/>
                <w:kern w:val="0"/>
                <w:szCs w:val="21"/>
              </w:rPr>
            </w:pPr>
            <w:r>
              <w:rPr>
                <w:rFonts w:hint="eastAsia" w:ascii="宋体" w:hAnsi="宋体"/>
                <w:kern w:val="0"/>
                <w:szCs w:val="21"/>
              </w:rPr>
              <w:t>　</w:t>
            </w:r>
          </w:p>
        </w:tc>
        <w:tc>
          <w:tcPr>
            <w:tcW w:w="1883" w:type="dxa"/>
            <w:tcBorders>
              <w:top w:val="nil"/>
              <w:left w:val="nil"/>
              <w:bottom w:val="single" w:color="auto" w:sz="4" w:space="0"/>
              <w:right w:val="single" w:color="auto" w:sz="4" w:space="0"/>
            </w:tcBorders>
            <w:vAlign w:val="center"/>
          </w:tcPr>
          <w:p w14:paraId="43BD21D8">
            <w:pPr>
              <w:rPr>
                <w:rFonts w:hint="eastAsia" w:ascii="宋体" w:hAnsi="宋体"/>
                <w:kern w:val="0"/>
                <w:szCs w:val="21"/>
              </w:rPr>
            </w:pPr>
            <w:r>
              <w:rPr>
                <w:rFonts w:hint="eastAsia" w:ascii="宋体" w:hAnsi="宋体"/>
                <w:kern w:val="0"/>
                <w:szCs w:val="21"/>
              </w:rPr>
              <w:t>　</w:t>
            </w:r>
          </w:p>
        </w:tc>
        <w:tc>
          <w:tcPr>
            <w:tcW w:w="1400" w:type="dxa"/>
            <w:tcBorders>
              <w:top w:val="nil"/>
              <w:left w:val="nil"/>
              <w:bottom w:val="single" w:color="auto" w:sz="4" w:space="0"/>
              <w:right w:val="single" w:color="auto" w:sz="4" w:space="0"/>
            </w:tcBorders>
            <w:vAlign w:val="center"/>
          </w:tcPr>
          <w:p w14:paraId="49C824F9">
            <w:pPr>
              <w:rPr>
                <w:rFonts w:hint="eastAsia" w:ascii="宋体" w:hAnsi="宋体"/>
                <w:kern w:val="0"/>
                <w:szCs w:val="21"/>
              </w:rPr>
            </w:pPr>
            <w:r>
              <w:rPr>
                <w:rFonts w:hint="eastAsia" w:ascii="宋体" w:hAnsi="宋体"/>
                <w:kern w:val="0"/>
                <w:szCs w:val="21"/>
              </w:rPr>
              <w:t>　</w:t>
            </w:r>
          </w:p>
        </w:tc>
        <w:tc>
          <w:tcPr>
            <w:tcW w:w="3267" w:type="dxa"/>
            <w:tcBorders>
              <w:top w:val="single" w:color="auto" w:sz="4" w:space="0"/>
              <w:left w:val="nil"/>
              <w:bottom w:val="single" w:color="auto" w:sz="4" w:space="0"/>
              <w:right w:val="single" w:color="auto" w:sz="4" w:space="0"/>
            </w:tcBorders>
            <w:vAlign w:val="center"/>
          </w:tcPr>
          <w:p w14:paraId="1E3F4591">
            <w:pPr>
              <w:rPr>
                <w:rFonts w:hint="eastAsia" w:ascii="宋体" w:hAnsi="宋体"/>
                <w:kern w:val="0"/>
                <w:szCs w:val="21"/>
              </w:rPr>
            </w:pPr>
          </w:p>
        </w:tc>
      </w:tr>
      <w:tr w14:paraId="6BF488F2">
        <w:tblPrEx>
          <w:tblCellMar>
            <w:top w:w="0" w:type="dxa"/>
            <w:left w:w="108" w:type="dxa"/>
            <w:bottom w:w="0" w:type="dxa"/>
            <w:right w:w="108" w:type="dxa"/>
          </w:tblCellMar>
        </w:tblPrEx>
        <w:trPr>
          <w:trHeight w:val="600" w:hRule="atLeast"/>
          <w:jc w:val="center"/>
        </w:trPr>
        <w:tc>
          <w:tcPr>
            <w:tcW w:w="822" w:type="dxa"/>
            <w:tcBorders>
              <w:top w:val="nil"/>
              <w:left w:val="single" w:color="auto" w:sz="4" w:space="0"/>
              <w:bottom w:val="single" w:color="auto" w:sz="4" w:space="0"/>
              <w:right w:val="single" w:color="auto" w:sz="4" w:space="0"/>
            </w:tcBorders>
            <w:vAlign w:val="center"/>
          </w:tcPr>
          <w:p w14:paraId="05DCB1F2">
            <w:pPr>
              <w:rPr>
                <w:rFonts w:hint="eastAsia" w:ascii="宋体" w:hAnsi="宋体"/>
                <w:kern w:val="0"/>
                <w:szCs w:val="21"/>
              </w:rPr>
            </w:pPr>
            <w:r>
              <w:rPr>
                <w:rFonts w:hint="eastAsia" w:ascii="宋体" w:hAnsi="宋体"/>
                <w:kern w:val="0"/>
                <w:szCs w:val="21"/>
              </w:rPr>
              <w:t>…</w:t>
            </w:r>
          </w:p>
        </w:tc>
        <w:tc>
          <w:tcPr>
            <w:tcW w:w="3650" w:type="dxa"/>
            <w:tcBorders>
              <w:top w:val="nil"/>
              <w:left w:val="nil"/>
              <w:bottom w:val="single" w:color="auto" w:sz="4" w:space="0"/>
              <w:right w:val="single" w:color="auto" w:sz="4" w:space="0"/>
            </w:tcBorders>
            <w:vAlign w:val="center"/>
          </w:tcPr>
          <w:p w14:paraId="7EA336E6">
            <w:pPr>
              <w:rPr>
                <w:rFonts w:hint="eastAsia" w:ascii="宋体" w:hAnsi="宋体"/>
                <w:kern w:val="0"/>
                <w:szCs w:val="21"/>
              </w:rPr>
            </w:pPr>
            <w:r>
              <w:rPr>
                <w:rFonts w:hint="eastAsia" w:ascii="宋体" w:hAnsi="宋体"/>
                <w:kern w:val="0"/>
                <w:szCs w:val="21"/>
              </w:rPr>
              <w:t>…</w:t>
            </w:r>
          </w:p>
        </w:tc>
        <w:tc>
          <w:tcPr>
            <w:tcW w:w="1867" w:type="dxa"/>
            <w:tcBorders>
              <w:top w:val="nil"/>
              <w:left w:val="nil"/>
              <w:bottom w:val="single" w:color="auto" w:sz="4" w:space="0"/>
              <w:right w:val="single" w:color="auto" w:sz="4" w:space="0"/>
            </w:tcBorders>
            <w:vAlign w:val="center"/>
          </w:tcPr>
          <w:p w14:paraId="567E1947">
            <w:pPr>
              <w:rPr>
                <w:rFonts w:hint="eastAsia" w:ascii="宋体" w:hAnsi="宋体"/>
                <w:kern w:val="0"/>
                <w:szCs w:val="21"/>
              </w:rPr>
            </w:pPr>
            <w:r>
              <w:rPr>
                <w:rFonts w:hint="eastAsia" w:ascii="宋体" w:hAnsi="宋体"/>
                <w:kern w:val="0"/>
                <w:szCs w:val="21"/>
              </w:rPr>
              <w:t>　</w:t>
            </w:r>
          </w:p>
        </w:tc>
        <w:tc>
          <w:tcPr>
            <w:tcW w:w="1550" w:type="dxa"/>
            <w:tcBorders>
              <w:top w:val="nil"/>
              <w:left w:val="nil"/>
              <w:bottom w:val="single" w:color="auto" w:sz="4" w:space="0"/>
              <w:right w:val="single" w:color="auto" w:sz="4" w:space="0"/>
            </w:tcBorders>
            <w:vAlign w:val="center"/>
          </w:tcPr>
          <w:p w14:paraId="3E9C9F38">
            <w:pPr>
              <w:rPr>
                <w:rFonts w:hint="eastAsia" w:ascii="宋体" w:hAnsi="宋体"/>
                <w:kern w:val="0"/>
                <w:szCs w:val="21"/>
              </w:rPr>
            </w:pPr>
            <w:r>
              <w:rPr>
                <w:rFonts w:hint="eastAsia" w:ascii="宋体" w:hAnsi="宋体"/>
                <w:kern w:val="0"/>
                <w:szCs w:val="21"/>
              </w:rPr>
              <w:t>　</w:t>
            </w:r>
          </w:p>
        </w:tc>
        <w:tc>
          <w:tcPr>
            <w:tcW w:w="1883" w:type="dxa"/>
            <w:tcBorders>
              <w:top w:val="nil"/>
              <w:left w:val="nil"/>
              <w:bottom w:val="single" w:color="auto" w:sz="4" w:space="0"/>
              <w:right w:val="single" w:color="auto" w:sz="4" w:space="0"/>
            </w:tcBorders>
            <w:vAlign w:val="center"/>
          </w:tcPr>
          <w:p w14:paraId="19950CCD">
            <w:pPr>
              <w:rPr>
                <w:rFonts w:hint="eastAsia" w:ascii="宋体" w:hAnsi="宋体"/>
                <w:kern w:val="0"/>
                <w:szCs w:val="21"/>
              </w:rPr>
            </w:pPr>
            <w:r>
              <w:rPr>
                <w:rFonts w:hint="eastAsia" w:ascii="宋体" w:hAnsi="宋体"/>
                <w:kern w:val="0"/>
                <w:szCs w:val="21"/>
              </w:rPr>
              <w:t>　</w:t>
            </w:r>
          </w:p>
        </w:tc>
        <w:tc>
          <w:tcPr>
            <w:tcW w:w="1400" w:type="dxa"/>
            <w:tcBorders>
              <w:top w:val="nil"/>
              <w:left w:val="nil"/>
              <w:bottom w:val="single" w:color="auto" w:sz="4" w:space="0"/>
              <w:right w:val="single" w:color="auto" w:sz="4" w:space="0"/>
            </w:tcBorders>
            <w:vAlign w:val="center"/>
          </w:tcPr>
          <w:p w14:paraId="0618C5B4">
            <w:pPr>
              <w:rPr>
                <w:rFonts w:hint="eastAsia" w:ascii="宋体" w:hAnsi="宋体"/>
                <w:kern w:val="0"/>
                <w:szCs w:val="21"/>
              </w:rPr>
            </w:pPr>
            <w:r>
              <w:rPr>
                <w:rFonts w:hint="eastAsia" w:ascii="宋体" w:hAnsi="宋体"/>
                <w:kern w:val="0"/>
                <w:szCs w:val="21"/>
              </w:rPr>
              <w:t>　</w:t>
            </w:r>
          </w:p>
        </w:tc>
        <w:tc>
          <w:tcPr>
            <w:tcW w:w="3267" w:type="dxa"/>
            <w:tcBorders>
              <w:top w:val="single" w:color="auto" w:sz="4" w:space="0"/>
              <w:left w:val="nil"/>
              <w:bottom w:val="single" w:color="auto" w:sz="4" w:space="0"/>
              <w:right w:val="single" w:color="auto" w:sz="4" w:space="0"/>
            </w:tcBorders>
            <w:vAlign w:val="center"/>
          </w:tcPr>
          <w:p w14:paraId="7F654AD3">
            <w:pPr>
              <w:rPr>
                <w:rFonts w:hint="eastAsia" w:ascii="宋体" w:hAnsi="宋体"/>
                <w:kern w:val="0"/>
                <w:szCs w:val="21"/>
              </w:rPr>
            </w:pPr>
          </w:p>
        </w:tc>
      </w:tr>
      <w:tr w14:paraId="7E00F565">
        <w:tblPrEx>
          <w:tblCellMar>
            <w:top w:w="0" w:type="dxa"/>
            <w:left w:w="108" w:type="dxa"/>
            <w:bottom w:w="0" w:type="dxa"/>
            <w:right w:w="108" w:type="dxa"/>
          </w:tblCellMar>
        </w:tblPrEx>
        <w:trPr>
          <w:trHeight w:val="600" w:hRule="atLeast"/>
          <w:jc w:val="center"/>
        </w:trPr>
        <w:tc>
          <w:tcPr>
            <w:tcW w:w="822" w:type="dxa"/>
            <w:tcBorders>
              <w:top w:val="nil"/>
              <w:left w:val="single" w:color="auto" w:sz="4" w:space="0"/>
              <w:bottom w:val="single" w:color="auto" w:sz="4" w:space="0"/>
              <w:right w:val="single" w:color="auto" w:sz="4" w:space="0"/>
            </w:tcBorders>
            <w:vAlign w:val="center"/>
          </w:tcPr>
          <w:p w14:paraId="1F369557">
            <w:pPr>
              <w:rPr>
                <w:rFonts w:hint="eastAsia" w:ascii="宋体" w:hAnsi="宋体"/>
                <w:kern w:val="0"/>
                <w:szCs w:val="21"/>
              </w:rPr>
            </w:pPr>
            <w:r>
              <w:rPr>
                <w:rFonts w:hint="eastAsia" w:ascii="宋体" w:hAnsi="宋体"/>
                <w:kern w:val="0"/>
                <w:szCs w:val="21"/>
              </w:rPr>
              <w:t>…</w:t>
            </w:r>
          </w:p>
        </w:tc>
        <w:tc>
          <w:tcPr>
            <w:tcW w:w="3650" w:type="dxa"/>
            <w:tcBorders>
              <w:top w:val="nil"/>
              <w:left w:val="nil"/>
              <w:bottom w:val="single" w:color="auto" w:sz="4" w:space="0"/>
              <w:right w:val="single" w:color="auto" w:sz="4" w:space="0"/>
            </w:tcBorders>
            <w:vAlign w:val="center"/>
          </w:tcPr>
          <w:p w14:paraId="0C0BF3F7">
            <w:pPr>
              <w:rPr>
                <w:rFonts w:hint="eastAsia" w:ascii="宋体" w:hAnsi="宋体"/>
                <w:kern w:val="0"/>
                <w:szCs w:val="21"/>
              </w:rPr>
            </w:pPr>
            <w:r>
              <w:rPr>
                <w:rFonts w:hint="eastAsia" w:ascii="宋体" w:hAnsi="宋体"/>
                <w:kern w:val="0"/>
                <w:szCs w:val="21"/>
              </w:rPr>
              <w:t>…</w:t>
            </w:r>
          </w:p>
        </w:tc>
        <w:tc>
          <w:tcPr>
            <w:tcW w:w="1867" w:type="dxa"/>
            <w:tcBorders>
              <w:top w:val="nil"/>
              <w:left w:val="nil"/>
              <w:bottom w:val="single" w:color="auto" w:sz="4" w:space="0"/>
              <w:right w:val="single" w:color="auto" w:sz="4" w:space="0"/>
            </w:tcBorders>
            <w:vAlign w:val="center"/>
          </w:tcPr>
          <w:p w14:paraId="419AF78A">
            <w:pPr>
              <w:rPr>
                <w:rFonts w:hint="eastAsia" w:ascii="宋体" w:hAnsi="宋体"/>
                <w:kern w:val="0"/>
                <w:szCs w:val="21"/>
              </w:rPr>
            </w:pPr>
            <w:r>
              <w:rPr>
                <w:rFonts w:hint="eastAsia" w:ascii="宋体" w:hAnsi="宋体"/>
                <w:kern w:val="0"/>
                <w:szCs w:val="21"/>
              </w:rPr>
              <w:t>　</w:t>
            </w:r>
          </w:p>
        </w:tc>
        <w:tc>
          <w:tcPr>
            <w:tcW w:w="1550" w:type="dxa"/>
            <w:tcBorders>
              <w:top w:val="nil"/>
              <w:left w:val="nil"/>
              <w:bottom w:val="single" w:color="auto" w:sz="4" w:space="0"/>
              <w:right w:val="single" w:color="auto" w:sz="4" w:space="0"/>
            </w:tcBorders>
            <w:vAlign w:val="center"/>
          </w:tcPr>
          <w:p w14:paraId="7117346F">
            <w:pPr>
              <w:rPr>
                <w:rFonts w:hint="eastAsia" w:ascii="宋体" w:hAnsi="宋体"/>
                <w:kern w:val="0"/>
                <w:szCs w:val="21"/>
              </w:rPr>
            </w:pPr>
            <w:r>
              <w:rPr>
                <w:rFonts w:hint="eastAsia" w:ascii="宋体" w:hAnsi="宋体"/>
                <w:kern w:val="0"/>
                <w:szCs w:val="21"/>
              </w:rPr>
              <w:t>　</w:t>
            </w:r>
          </w:p>
        </w:tc>
        <w:tc>
          <w:tcPr>
            <w:tcW w:w="1883" w:type="dxa"/>
            <w:tcBorders>
              <w:top w:val="nil"/>
              <w:left w:val="nil"/>
              <w:bottom w:val="single" w:color="auto" w:sz="4" w:space="0"/>
              <w:right w:val="single" w:color="auto" w:sz="4" w:space="0"/>
            </w:tcBorders>
            <w:vAlign w:val="center"/>
          </w:tcPr>
          <w:p w14:paraId="22437538">
            <w:pPr>
              <w:rPr>
                <w:rFonts w:hint="eastAsia" w:ascii="宋体" w:hAnsi="宋体"/>
                <w:kern w:val="0"/>
                <w:szCs w:val="21"/>
              </w:rPr>
            </w:pPr>
            <w:r>
              <w:rPr>
                <w:rFonts w:hint="eastAsia" w:ascii="宋体" w:hAnsi="宋体"/>
                <w:kern w:val="0"/>
                <w:szCs w:val="21"/>
              </w:rPr>
              <w:t>　</w:t>
            </w:r>
          </w:p>
        </w:tc>
        <w:tc>
          <w:tcPr>
            <w:tcW w:w="1400" w:type="dxa"/>
            <w:tcBorders>
              <w:top w:val="nil"/>
              <w:left w:val="nil"/>
              <w:bottom w:val="single" w:color="auto" w:sz="4" w:space="0"/>
              <w:right w:val="single" w:color="auto" w:sz="4" w:space="0"/>
            </w:tcBorders>
            <w:vAlign w:val="center"/>
          </w:tcPr>
          <w:p w14:paraId="10F4B898">
            <w:pPr>
              <w:rPr>
                <w:rFonts w:hint="eastAsia" w:ascii="宋体" w:hAnsi="宋体"/>
                <w:kern w:val="0"/>
                <w:szCs w:val="21"/>
              </w:rPr>
            </w:pPr>
            <w:r>
              <w:rPr>
                <w:rFonts w:hint="eastAsia" w:ascii="宋体" w:hAnsi="宋体"/>
                <w:kern w:val="0"/>
                <w:szCs w:val="21"/>
              </w:rPr>
              <w:t>　</w:t>
            </w:r>
          </w:p>
        </w:tc>
        <w:tc>
          <w:tcPr>
            <w:tcW w:w="3267" w:type="dxa"/>
            <w:tcBorders>
              <w:top w:val="single" w:color="auto" w:sz="4" w:space="0"/>
              <w:left w:val="nil"/>
              <w:bottom w:val="single" w:color="auto" w:sz="4" w:space="0"/>
              <w:right w:val="single" w:color="auto" w:sz="4" w:space="0"/>
            </w:tcBorders>
            <w:vAlign w:val="center"/>
          </w:tcPr>
          <w:p w14:paraId="175A4B21">
            <w:pPr>
              <w:rPr>
                <w:rFonts w:hint="eastAsia" w:ascii="宋体" w:hAnsi="宋体"/>
                <w:kern w:val="0"/>
                <w:szCs w:val="21"/>
              </w:rPr>
            </w:pPr>
          </w:p>
        </w:tc>
      </w:tr>
      <w:tr w14:paraId="45C0B993">
        <w:tblPrEx>
          <w:tblCellMar>
            <w:top w:w="0" w:type="dxa"/>
            <w:left w:w="108" w:type="dxa"/>
            <w:bottom w:w="0" w:type="dxa"/>
            <w:right w:w="108" w:type="dxa"/>
          </w:tblCellMar>
        </w:tblPrEx>
        <w:trPr>
          <w:trHeight w:val="600" w:hRule="atLeast"/>
          <w:jc w:val="center"/>
        </w:trPr>
        <w:tc>
          <w:tcPr>
            <w:tcW w:w="822" w:type="dxa"/>
            <w:tcBorders>
              <w:top w:val="nil"/>
              <w:left w:val="single" w:color="auto" w:sz="4" w:space="0"/>
              <w:bottom w:val="single" w:color="auto" w:sz="4" w:space="0"/>
              <w:right w:val="single" w:color="auto" w:sz="4" w:space="0"/>
            </w:tcBorders>
            <w:vAlign w:val="center"/>
          </w:tcPr>
          <w:p w14:paraId="05D31DAE">
            <w:pPr>
              <w:rPr>
                <w:rFonts w:hint="eastAsia" w:ascii="宋体" w:hAnsi="宋体"/>
                <w:kern w:val="0"/>
                <w:szCs w:val="21"/>
              </w:rPr>
            </w:pPr>
            <w:r>
              <w:rPr>
                <w:rFonts w:hint="eastAsia" w:ascii="宋体" w:hAnsi="宋体"/>
                <w:kern w:val="0"/>
                <w:szCs w:val="21"/>
              </w:rPr>
              <w:t>…</w:t>
            </w:r>
          </w:p>
        </w:tc>
        <w:tc>
          <w:tcPr>
            <w:tcW w:w="3650" w:type="dxa"/>
            <w:tcBorders>
              <w:top w:val="nil"/>
              <w:left w:val="nil"/>
              <w:bottom w:val="single" w:color="auto" w:sz="4" w:space="0"/>
              <w:right w:val="single" w:color="auto" w:sz="4" w:space="0"/>
            </w:tcBorders>
            <w:vAlign w:val="center"/>
          </w:tcPr>
          <w:p w14:paraId="0F26449A">
            <w:pPr>
              <w:rPr>
                <w:rFonts w:hint="eastAsia" w:ascii="宋体" w:hAnsi="宋体"/>
                <w:kern w:val="0"/>
                <w:szCs w:val="21"/>
              </w:rPr>
            </w:pPr>
            <w:r>
              <w:rPr>
                <w:rFonts w:hint="eastAsia" w:ascii="宋体" w:hAnsi="宋体"/>
                <w:kern w:val="0"/>
                <w:szCs w:val="21"/>
              </w:rPr>
              <w:t>…</w:t>
            </w:r>
          </w:p>
        </w:tc>
        <w:tc>
          <w:tcPr>
            <w:tcW w:w="1867" w:type="dxa"/>
            <w:tcBorders>
              <w:top w:val="nil"/>
              <w:left w:val="nil"/>
              <w:bottom w:val="single" w:color="auto" w:sz="4" w:space="0"/>
              <w:right w:val="single" w:color="auto" w:sz="4" w:space="0"/>
            </w:tcBorders>
            <w:vAlign w:val="center"/>
          </w:tcPr>
          <w:p w14:paraId="4A2277C0">
            <w:pPr>
              <w:rPr>
                <w:rFonts w:hint="eastAsia" w:ascii="宋体" w:hAnsi="宋体"/>
                <w:kern w:val="0"/>
                <w:szCs w:val="21"/>
              </w:rPr>
            </w:pPr>
            <w:r>
              <w:rPr>
                <w:rFonts w:hint="eastAsia" w:ascii="宋体" w:hAnsi="宋体"/>
                <w:kern w:val="0"/>
                <w:szCs w:val="21"/>
              </w:rPr>
              <w:t>　</w:t>
            </w:r>
          </w:p>
        </w:tc>
        <w:tc>
          <w:tcPr>
            <w:tcW w:w="1550" w:type="dxa"/>
            <w:tcBorders>
              <w:top w:val="nil"/>
              <w:left w:val="nil"/>
              <w:bottom w:val="single" w:color="auto" w:sz="4" w:space="0"/>
              <w:right w:val="single" w:color="auto" w:sz="4" w:space="0"/>
            </w:tcBorders>
            <w:vAlign w:val="center"/>
          </w:tcPr>
          <w:p w14:paraId="2758D63F">
            <w:pPr>
              <w:rPr>
                <w:rFonts w:hint="eastAsia" w:ascii="宋体" w:hAnsi="宋体"/>
                <w:kern w:val="0"/>
                <w:szCs w:val="21"/>
              </w:rPr>
            </w:pPr>
            <w:r>
              <w:rPr>
                <w:rFonts w:hint="eastAsia" w:ascii="宋体" w:hAnsi="宋体"/>
                <w:kern w:val="0"/>
                <w:szCs w:val="21"/>
              </w:rPr>
              <w:t>　</w:t>
            </w:r>
          </w:p>
        </w:tc>
        <w:tc>
          <w:tcPr>
            <w:tcW w:w="1883" w:type="dxa"/>
            <w:tcBorders>
              <w:top w:val="nil"/>
              <w:left w:val="nil"/>
              <w:bottom w:val="single" w:color="auto" w:sz="4" w:space="0"/>
              <w:right w:val="single" w:color="auto" w:sz="4" w:space="0"/>
            </w:tcBorders>
            <w:vAlign w:val="center"/>
          </w:tcPr>
          <w:p w14:paraId="161FEC08">
            <w:pPr>
              <w:rPr>
                <w:rFonts w:hint="eastAsia" w:ascii="宋体" w:hAnsi="宋体"/>
                <w:kern w:val="0"/>
                <w:szCs w:val="21"/>
              </w:rPr>
            </w:pPr>
            <w:r>
              <w:rPr>
                <w:rFonts w:hint="eastAsia" w:ascii="宋体" w:hAnsi="宋体"/>
                <w:kern w:val="0"/>
                <w:szCs w:val="21"/>
              </w:rPr>
              <w:t>　</w:t>
            </w:r>
          </w:p>
        </w:tc>
        <w:tc>
          <w:tcPr>
            <w:tcW w:w="1400" w:type="dxa"/>
            <w:tcBorders>
              <w:top w:val="nil"/>
              <w:left w:val="nil"/>
              <w:bottom w:val="single" w:color="auto" w:sz="4" w:space="0"/>
              <w:right w:val="single" w:color="auto" w:sz="4" w:space="0"/>
            </w:tcBorders>
            <w:vAlign w:val="center"/>
          </w:tcPr>
          <w:p w14:paraId="61AEAAC6">
            <w:pPr>
              <w:rPr>
                <w:rFonts w:hint="eastAsia" w:ascii="宋体" w:hAnsi="宋体"/>
                <w:kern w:val="0"/>
                <w:szCs w:val="21"/>
              </w:rPr>
            </w:pPr>
            <w:r>
              <w:rPr>
                <w:rFonts w:hint="eastAsia" w:ascii="宋体" w:hAnsi="宋体"/>
                <w:kern w:val="0"/>
                <w:szCs w:val="21"/>
              </w:rPr>
              <w:t>　</w:t>
            </w:r>
          </w:p>
        </w:tc>
        <w:tc>
          <w:tcPr>
            <w:tcW w:w="3267" w:type="dxa"/>
            <w:tcBorders>
              <w:top w:val="single" w:color="auto" w:sz="4" w:space="0"/>
              <w:left w:val="nil"/>
              <w:bottom w:val="single" w:color="auto" w:sz="4" w:space="0"/>
              <w:right w:val="single" w:color="auto" w:sz="4" w:space="0"/>
            </w:tcBorders>
            <w:vAlign w:val="center"/>
          </w:tcPr>
          <w:p w14:paraId="04DA4CCB">
            <w:pPr>
              <w:rPr>
                <w:rFonts w:hint="eastAsia" w:ascii="宋体" w:hAnsi="宋体"/>
                <w:kern w:val="0"/>
                <w:szCs w:val="21"/>
              </w:rPr>
            </w:pPr>
          </w:p>
        </w:tc>
      </w:tr>
      <w:tr w14:paraId="535A2BEC">
        <w:tblPrEx>
          <w:tblCellMar>
            <w:top w:w="0" w:type="dxa"/>
            <w:left w:w="108" w:type="dxa"/>
            <w:bottom w:w="0" w:type="dxa"/>
            <w:right w:w="108" w:type="dxa"/>
          </w:tblCellMar>
        </w:tblPrEx>
        <w:trPr>
          <w:trHeight w:val="600" w:hRule="atLeast"/>
          <w:jc w:val="center"/>
        </w:trPr>
        <w:tc>
          <w:tcPr>
            <w:tcW w:w="822" w:type="dxa"/>
            <w:tcBorders>
              <w:top w:val="nil"/>
              <w:left w:val="single" w:color="auto" w:sz="4" w:space="0"/>
              <w:bottom w:val="single" w:color="auto" w:sz="4" w:space="0"/>
              <w:right w:val="single" w:color="auto" w:sz="4" w:space="0"/>
            </w:tcBorders>
            <w:vAlign w:val="center"/>
          </w:tcPr>
          <w:p w14:paraId="0D9C0E3A">
            <w:pPr>
              <w:rPr>
                <w:rFonts w:hint="eastAsia" w:ascii="宋体" w:hAnsi="宋体"/>
                <w:kern w:val="0"/>
                <w:szCs w:val="21"/>
              </w:rPr>
            </w:pPr>
            <w:r>
              <w:rPr>
                <w:rFonts w:ascii="宋体" w:hAnsi="宋体"/>
                <w:kern w:val="0"/>
                <w:szCs w:val="21"/>
              </w:rPr>
              <w:t>n</w:t>
            </w:r>
          </w:p>
        </w:tc>
        <w:tc>
          <w:tcPr>
            <w:tcW w:w="3650" w:type="dxa"/>
            <w:tcBorders>
              <w:top w:val="nil"/>
              <w:left w:val="nil"/>
              <w:bottom w:val="single" w:color="auto" w:sz="4" w:space="0"/>
              <w:right w:val="single" w:color="auto" w:sz="4" w:space="0"/>
            </w:tcBorders>
            <w:vAlign w:val="center"/>
          </w:tcPr>
          <w:p w14:paraId="36DA8809">
            <w:pPr>
              <w:rPr>
                <w:rFonts w:hint="eastAsia" w:ascii="宋体" w:hAnsi="宋体"/>
                <w:kern w:val="0"/>
                <w:szCs w:val="21"/>
              </w:rPr>
            </w:pPr>
            <w:r>
              <w:rPr>
                <w:rFonts w:ascii="宋体" w:hAnsi="宋体"/>
                <w:kern w:val="0"/>
                <w:szCs w:val="21"/>
              </w:rPr>
              <w:t>[</w:t>
            </w:r>
            <w:r>
              <w:rPr>
                <w:rFonts w:hint="eastAsia" w:ascii="宋体" w:hAnsi="宋体"/>
                <w:kern w:val="0"/>
                <w:szCs w:val="21"/>
              </w:rPr>
              <w:t>单位工程</w:t>
            </w:r>
            <w:r>
              <w:rPr>
                <w:rFonts w:ascii="宋体" w:hAnsi="宋体"/>
                <w:kern w:val="0"/>
                <w:szCs w:val="21"/>
              </w:rPr>
              <w:t>n]</w:t>
            </w:r>
          </w:p>
        </w:tc>
        <w:tc>
          <w:tcPr>
            <w:tcW w:w="1867" w:type="dxa"/>
            <w:tcBorders>
              <w:top w:val="nil"/>
              <w:left w:val="nil"/>
              <w:bottom w:val="single" w:color="auto" w:sz="4" w:space="0"/>
              <w:right w:val="single" w:color="auto" w:sz="4" w:space="0"/>
            </w:tcBorders>
            <w:vAlign w:val="center"/>
          </w:tcPr>
          <w:p w14:paraId="78A18740">
            <w:pPr>
              <w:rPr>
                <w:rFonts w:hint="eastAsia" w:ascii="宋体" w:hAnsi="宋体"/>
                <w:kern w:val="0"/>
                <w:szCs w:val="21"/>
              </w:rPr>
            </w:pPr>
            <w:r>
              <w:rPr>
                <w:rFonts w:hint="eastAsia" w:ascii="宋体" w:hAnsi="宋体"/>
                <w:kern w:val="0"/>
                <w:szCs w:val="21"/>
              </w:rPr>
              <w:t>　</w:t>
            </w:r>
          </w:p>
        </w:tc>
        <w:tc>
          <w:tcPr>
            <w:tcW w:w="1550" w:type="dxa"/>
            <w:tcBorders>
              <w:top w:val="nil"/>
              <w:left w:val="nil"/>
              <w:bottom w:val="single" w:color="auto" w:sz="4" w:space="0"/>
              <w:right w:val="single" w:color="auto" w:sz="4" w:space="0"/>
            </w:tcBorders>
            <w:vAlign w:val="center"/>
          </w:tcPr>
          <w:p w14:paraId="67CE951D">
            <w:pPr>
              <w:rPr>
                <w:rFonts w:hint="eastAsia" w:ascii="宋体" w:hAnsi="宋体"/>
                <w:kern w:val="0"/>
                <w:szCs w:val="21"/>
              </w:rPr>
            </w:pPr>
            <w:r>
              <w:rPr>
                <w:rFonts w:hint="eastAsia" w:ascii="宋体" w:hAnsi="宋体"/>
                <w:kern w:val="0"/>
                <w:szCs w:val="21"/>
              </w:rPr>
              <w:t>　</w:t>
            </w:r>
          </w:p>
        </w:tc>
        <w:tc>
          <w:tcPr>
            <w:tcW w:w="1883" w:type="dxa"/>
            <w:tcBorders>
              <w:top w:val="nil"/>
              <w:left w:val="nil"/>
              <w:bottom w:val="single" w:color="auto" w:sz="4" w:space="0"/>
              <w:right w:val="single" w:color="auto" w:sz="4" w:space="0"/>
            </w:tcBorders>
            <w:vAlign w:val="center"/>
          </w:tcPr>
          <w:p w14:paraId="7B3B64E7">
            <w:pPr>
              <w:rPr>
                <w:rFonts w:hint="eastAsia" w:ascii="宋体" w:hAnsi="宋体"/>
                <w:kern w:val="0"/>
                <w:szCs w:val="21"/>
              </w:rPr>
            </w:pPr>
            <w:r>
              <w:rPr>
                <w:rFonts w:hint="eastAsia" w:ascii="宋体" w:hAnsi="宋体"/>
                <w:kern w:val="0"/>
                <w:szCs w:val="21"/>
              </w:rPr>
              <w:t>　</w:t>
            </w:r>
          </w:p>
        </w:tc>
        <w:tc>
          <w:tcPr>
            <w:tcW w:w="1400" w:type="dxa"/>
            <w:tcBorders>
              <w:top w:val="nil"/>
              <w:left w:val="nil"/>
              <w:bottom w:val="single" w:color="auto" w:sz="4" w:space="0"/>
              <w:right w:val="single" w:color="auto" w:sz="4" w:space="0"/>
            </w:tcBorders>
            <w:vAlign w:val="center"/>
          </w:tcPr>
          <w:p w14:paraId="309AFD49">
            <w:pPr>
              <w:rPr>
                <w:rFonts w:hint="eastAsia" w:ascii="宋体" w:hAnsi="宋体"/>
                <w:kern w:val="0"/>
                <w:szCs w:val="21"/>
              </w:rPr>
            </w:pPr>
            <w:r>
              <w:rPr>
                <w:rFonts w:hint="eastAsia" w:ascii="宋体" w:hAnsi="宋体"/>
                <w:kern w:val="0"/>
                <w:szCs w:val="21"/>
              </w:rPr>
              <w:t>　</w:t>
            </w:r>
          </w:p>
        </w:tc>
        <w:tc>
          <w:tcPr>
            <w:tcW w:w="3267" w:type="dxa"/>
            <w:tcBorders>
              <w:top w:val="single" w:color="auto" w:sz="4" w:space="0"/>
              <w:left w:val="nil"/>
              <w:bottom w:val="single" w:color="auto" w:sz="4" w:space="0"/>
              <w:right w:val="single" w:color="auto" w:sz="4" w:space="0"/>
            </w:tcBorders>
            <w:vAlign w:val="center"/>
          </w:tcPr>
          <w:p w14:paraId="44F3ADAA">
            <w:pPr>
              <w:rPr>
                <w:rFonts w:hint="eastAsia" w:ascii="宋体" w:hAnsi="宋体"/>
                <w:kern w:val="0"/>
                <w:szCs w:val="21"/>
              </w:rPr>
            </w:pPr>
          </w:p>
        </w:tc>
      </w:tr>
      <w:tr w14:paraId="0A953E5C">
        <w:tblPrEx>
          <w:tblCellMar>
            <w:top w:w="0" w:type="dxa"/>
            <w:left w:w="108" w:type="dxa"/>
            <w:bottom w:w="0" w:type="dxa"/>
            <w:right w:w="108" w:type="dxa"/>
          </w:tblCellMar>
        </w:tblPrEx>
        <w:trPr>
          <w:trHeight w:val="600" w:hRule="atLeast"/>
          <w:jc w:val="center"/>
        </w:trPr>
        <w:tc>
          <w:tcPr>
            <w:tcW w:w="822" w:type="dxa"/>
            <w:tcBorders>
              <w:top w:val="nil"/>
              <w:left w:val="single" w:color="auto" w:sz="4" w:space="0"/>
              <w:bottom w:val="single" w:color="auto" w:sz="4" w:space="0"/>
              <w:right w:val="single" w:color="auto" w:sz="4" w:space="0"/>
            </w:tcBorders>
            <w:vAlign w:val="center"/>
          </w:tcPr>
          <w:p w14:paraId="4553DC6B">
            <w:pPr>
              <w:rPr>
                <w:rFonts w:hint="eastAsia" w:ascii="宋体" w:hAnsi="宋体"/>
                <w:kern w:val="0"/>
                <w:szCs w:val="21"/>
              </w:rPr>
            </w:pPr>
            <w:r>
              <w:rPr>
                <w:rFonts w:hint="eastAsia" w:ascii="宋体" w:hAnsi="宋体"/>
                <w:kern w:val="0"/>
                <w:szCs w:val="21"/>
              </w:rPr>
              <w:t>∑</w:t>
            </w:r>
          </w:p>
        </w:tc>
        <w:tc>
          <w:tcPr>
            <w:tcW w:w="3650" w:type="dxa"/>
            <w:tcBorders>
              <w:top w:val="nil"/>
              <w:left w:val="nil"/>
              <w:bottom w:val="single" w:color="auto" w:sz="4" w:space="0"/>
              <w:right w:val="single" w:color="auto" w:sz="4" w:space="0"/>
            </w:tcBorders>
            <w:vAlign w:val="center"/>
          </w:tcPr>
          <w:p w14:paraId="3D3BCCFD">
            <w:pPr>
              <w:rPr>
                <w:rFonts w:hint="eastAsia" w:ascii="宋体" w:hAnsi="宋体"/>
                <w:kern w:val="0"/>
                <w:szCs w:val="21"/>
              </w:rPr>
            </w:pPr>
            <w:r>
              <w:rPr>
                <w:rFonts w:hint="eastAsia" w:ascii="宋体" w:hAnsi="宋体"/>
                <w:kern w:val="0"/>
                <w:szCs w:val="21"/>
              </w:rPr>
              <w:t>投标总报价</w:t>
            </w:r>
          </w:p>
        </w:tc>
        <w:tc>
          <w:tcPr>
            <w:tcW w:w="1867" w:type="dxa"/>
            <w:tcBorders>
              <w:top w:val="nil"/>
              <w:left w:val="nil"/>
              <w:bottom w:val="single" w:color="auto" w:sz="4" w:space="0"/>
              <w:right w:val="single" w:color="auto" w:sz="4" w:space="0"/>
            </w:tcBorders>
            <w:vAlign w:val="center"/>
          </w:tcPr>
          <w:p w14:paraId="3A33D0C4">
            <w:pPr>
              <w:rPr>
                <w:rFonts w:hint="eastAsia" w:ascii="宋体" w:hAnsi="宋体"/>
                <w:kern w:val="0"/>
                <w:szCs w:val="21"/>
              </w:rPr>
            </w:pPr>
            <w:r>
              <w:rPr>
                <w:rFonts w:hint="eastAsia" w:ascii="宋体" w:hAnsi="宋体"/>
                <w:kern w:val="0"/>
                <w:szCs w:val="21"/>
              </w:rPr>
              <w:t>　</w:t>
            </w:r>
          </w:p>
        </w:tc>
        <w:tc>
          <w:tcPr>
            <w:tcW w:w="1550" w:type="dxa"/>
            <w:tcBorders>
              <w:top w:val="nil"/>
              <w:left w:val="nil"/>
              <w:bottom w:val="single" w:color="auto" w:sz="4" w:space="0"/>
              <w:right w:val="single" w:color="auto" w:sz="4" w:space="0"/>
            </w:tcBorders>
            <w:vAlign w:val="center"/>
          </w:tcPr>
          <w:p w14:paraId="70DCB449">
            <w:pPr>
              <w:rPr>
                <w:rFonts w:hint="eastAsia" w:ascii="宋体" w:hAnsi="宋体"/>
                <w:kern w:val="0"/>
                <w:szCs w:val="21"/>
              </w:rPr>
            </w:pPr>
            <w:r>
              <w:rPr>
                <w:rFonts w:hint="eastAsia" w:ascii="宋体" w:hAnsi="宋体"/>
                <w:kern w:val="0"/>
                <w:szCs w:val="21"/>
              </w:rPr>
              <w:t>　</w:t>
            </w:r>
          </w:p>
        </w:tc>
        <w:tc>
          <w:tcPr>
            <w:tcW w:w="1883" w:type="dxa"/>
            <w:tcBorders>
              <w:top w:val="single" w:color="auto" w:sz="4" w:space="0"/>
              <w:left w:val="single" w:color="auto" w:sz="4" w:space="0"/>
              <w:bottom w:val="single" w:color="auto" w:sz="4" w:space="0"/>
              <w:right w:val="single" w:color="auto" w:sz="4" w:space="0"/>
            </w:tcBorders>
            <w:vAlign w:val="center"/>
          </w:tcPr>
          <w:p w14:paraId="5DFD407D">
            <w:pPr>
              <w:rPr>
                <w:rFonts w:hint="eastAsia" w:ascii="宋体" w:hAnsi="宋体"/>
                <w:kern w:val="0"/>
                <w:szCs w:val="21"/>
              </w:rPr>
            </w:pPr>
            <w:r>
              <w:rPr>
                <w:rFonts w:hint="eastAsia" w:ascii="宋体" w:hAnsi="宋体"/>
                <w:kern w:val="0"/>
                <w:szCs w:val="21"/>
              </w:rPr>
              <w:t>　</w:t>
            </w:r>
          </w:p>
        </w:tc>
        <w:tc>
          <w:tcPr>
            <w:tcW w:w="1400" w:type="dxa"/>
            <w:tcBorders>
              <w:top w:val="nil"/>
              <w:left w:val="single" w:color="auto" w:sz="4" w:space="0"/>
              <w:bottom w:val="single" w:color="auto" w:sz="4" w:space="0"/>
              <w:right w:val="single" w:color="auto" w:sz="4" w:space="0"/>
            </w:tcBorders>
            <w:vAlign w:val="center"/>
          </w:tcPr>
          <w:p w14:paraId="579FF1DF">
            <w:pPr>
              <w:rPr>
                <w:rFonts w:hint="eastAsia" w:ascii="宋体" w:hAnsi="宋体"/>
                <w:kern w:val="0"/>
                <w:szCs w:val="21"/>
              </w:rPr>
            </w:pPr>
            <w:r>
              <w:rPr>
                <w:rFonts w:hint="eastAsia" w:ascii="宋体" w:hAnsi="宋体"/>
                <w:kern w:val="0"/>
                <w:szCs w:val="21"/>
              </w:rPr>
              <w:t>　</w:t>
            </w:r>
          </w:p>
        </w:tc>
        <w:tc>
          <w:tcPr>
            <w:tcW w:w="3267" w:type="dxa"/>
            <w:tcBorders>
              <w:top w:val="single" w:color="auto" w:sz="4" w:space="0"/>
              <w:left w:val="nil"/>
              <w:bottom w:val="single" w:color="auto" w:sz="4" w:space="0"/>
              <w:right w:val="single" w:color="auto" w:sz="4" w:space="0"/>
            </w:tcBorders>
            <w:vAlign w:val="center"/>
          </w:tcPr>
          <w:p w14:paraId="2E0ED885">
            <w:pPr>
              <w:rPr>
                <w:rFonts w:hint="eastAsia" w:ascii="宋体" w:hAnsi="宋体"/>
                <w:kern w:val="0"/>
                <w:szCs w:val="21"/>
              </w:rPr>
            </w:pPr>
            <w:r>
              <w:rPr>
                <w:rFonts w:hint="eastAsia" w:ascii="宋体" w:hAnsi="宋体"/>
                <w:kern w:val="0"/>
                <w:szCs w:val="21"/>
              </w:rPr>
              <w:t>∑</w:t>
            </w:r>
            <w:r>
              <w:rPr>
                <w:rFonts w:ascii="宋体" w:hAnsi="宋体"/>
                <w:kern w:val="0"/>
                <w:szCs w:val="21"/>
              </w:rPr>
              <w:t>A=A</w:t>
            </w:r>
            <w:r>
              <w:rPr>
                <w:rFonts w:ascii="宋体" w:hAnsi="宋体"/>
                <w:kern w:val="0"/>
                <w:szCs w:val="21"/>
                <w:vertAlign w:val="subscript"/>
              </w:rPr>
              <w:t>1</w:t>
            </w:r>
            <w:r>
              <w:rPr>
                <w:rFonts w:ascii="宋体" w:hAnsi="宋体"/>
                <w:kern w:val="0"/>
                <w:szCs w:val="21"/>
              </w:rPr>
              <w:t>+A</w:t>
            </w:r>
            <w:r>
              <w:rPr>
                <w:rFonts w:ascii="宋体" w:hAnsi="宋体"/>
                <w:kern w:val="0"/>
                <w:szCs w:val="21"/>
                <w:vertAlign w:val="subscript"/>
              </w:rPr>
              <w:t>2</w:t>
            </w:r>
            <w:r>
              <w:rPr>
                <w:rFonts w:ascii="宋体" w:hAnsi="宋体"/>
                <w:kern w:val="0"/>
                <w:szCs w:val="21"/>
              </w:rPr>
              <w:t>+</w:t>
            </w:r>
            <w:r>
              <w:rPr>
                <w:rFonts w:hint="eastAsia" w:ascii="宋体" w:hAnsi="宋体"/>
                <w:kern w:val="0"/>
                <w:szCs w:val="21"/>
              </w:rPr>
              <w:t>…</w:t>
            </w:r>
            <w:r>
              <w:rPr>
                <w:rFonts w:ascii="宋体" w:hAnsi="宋体"/>
                <w:kern w:val="0"/>
                <w:szCs w:val="21"/>
              </w:rPr>
              <w:t>An</w:t>
            </w:r>
            <w:r>
              <w:rPr>
                <w:rFonts w:hint="eastAsia" w:ascii="宋体" w:hAnsi="宋体"/>
                <w:kern w:val="0"/>
                <w:szCs w:val="21"/>
              </w:rPr>
              <w:t>；∑</w:t>
            </w:r>
            <w:r>
              <w:rPr>
                <w:rFonts w:ascii="宋体" w:hAnsi="宋体"/>
                <w:kern w:val="0"/>
                <w:szCs w:val="21"/>
              </w:rPr>
              <w:t>B=B</w:t>
            </w:r>
            <w:r>
              <w:rPr>
                <w:rFonts w:ascii="宋体" w:hAnsi="宋体"/>
                <w:kern w:val="0"/>
                <w:szCs w:val="21"/>
                <w:vertAlign w:val="subscript"/>
              </w:rPr>
              <w:t>1</w:t>
            </w:r>
            <w:r>
              <w:rPr>
                <w:rFonts w:ascii="宋体" w:hAnsi="宋体"/>
                <w:kern w:val="0"/>
                <w:szCs w:val="21"/>
              </w:rPr>
              <w:t>+B</w:t>
            </w:r>
            <w:r>
              <w:rPr>
                <w:rFonts w:ascii="宋体" w:hAnsi="宋体"/>
                <w:kern w:val="0"/>
                <w:szCs w:val="21"/>
                <w:vertAlign w:val="subscript"/>
              </w:rPr>
              <w:t>2</w:t>
            </w:r>
            <w:r>
              <w:rPr>
                <w:rFonts w:ascii="宋体" w:hAnsi="宋体"/>
                <w:kern w:val="0"/>
                <w:szCs w:val="21"/>
              </w:rPr>
              <w:t>+</w:t>
            </w:r>
            <w:r>
              <w:rPr>
                <w:rFonts w:hint="eastAsia" w:ascii="宋体" w:hAnsi="宋体"/>
                <w:kern w:val="0"/>
                <w:szCs w:val="21"/>
              </w:rPr>
              <w:t>…</w:t>
            </w:r>
            <w:r>
              <w:rPr>
                <w:rFonts w:ascii="宋体" w:hAnsi="宋体"/>
                <w:kern w:val="0"/>
                <w:szCs w:val="21"/>
              </w:rPr>
              <w:t>Bn</w:t>
            </w:r>
          </w:p>
        </w:tc>
      </w:tr>
    </w:tbl>
    <w:p w14:paraId="1A86134F">
      <w:pPr>
        <w:rPr>
          <w:rFonts w:cs="宋体"/>
          <w:kern w:val="0"/>
          <w:szCs w:val="21"/>
        </w:rPr>
      </w:pPr>
      <w:r>
        <w:rPr>
          <w:rFonts w:hint="eastAsia" w:cs="宋体"/>
          <w:kern w:val="0"/>
          <w:szCs w:val="21"/>
        </w:rPr>
        <w:t>修正原则：</w:t>
      </w:r>
      <w:r>
        <w:rPr>
          <w:rFonts w:hint="eastAsia"/>
          <w:szCs w:val="21"/>
        </w:rPr>
        <w:t>按就低不就高原则，当修正后报价小于原报价，总价按修正后报价；当修正后报价大于原报价，总价按原报价，并在签订合同时载明在结算价中扣除修正报价与原报价的差额。</w:t>
      </w:r>
      <w:r>
        <w:rPr>
          <w:rFonts w:cs="宋体"/>
          <w:kern w:val="0"/>
          <w:szCs w:val="21"/>
        </w:rPr>
        <w:tab/>
      </w:r>
    </w:p>
    <w:p w14:paraId="249F86E8">
      <w:pPr>
        <w:rPr>
          <w:kern w:val="0"/>
          <w:szCs w:val="21"/>
        </w:rPr>
      </w:pPr>
      <w:r>
        <w:rPr>
          <w:rFonts w:hint="eastAsia"/>
          <w:kern w:val="0"/>
          <w:szCs w:val="21"/>
        </w:rPr>
        <w:t>评委签名：</w:t>
      </w:r>
      <w:r>
        <w:rPr>
          <w:kern w:val="0"/>
          <w:szCs w:val="21"/>
        </w:rPr>
        <w:tab/>
      </w:r>
      <w:r>
        <w:rPr>
          <w:kern w:val="0"/>
          <w:szCs w:val="21"/>
        </w:rPr>
        <w:tab/>
      </w:r>
      <w:r>
        <w:rPr>
          <w:kern w:val="0"/>
          <w:szCs w:val="21"/>
        </w:rPr>
        <w:tab/>
      </w:r>
      <w:r>
        <w:rPr>
          <w:kern w:val="0"/>
          <w:szCs w:val="21"/>
        </w:rPr>
        <w:tab/>
      </w:r>
      <w:r>
        <w:rPr>
          <w:kern w:val="0"/>
          <w:szCs w:val="21"/>
        </w:rPr>
        <w:tab/>
      </w:r>
      <w:r>
        <w:rPr>
          <w:rFonts w:hint="eastAsia"/>
          <w:kern w:val="0"/>
          <w:szCs w:val="21"/>
        </w:rPr>
        <w:t>日期：</w:t>
      </w:r>
    </w:p>
    <w:p w14:paraId="17073785"/>
    <w:p w14:paraId="0AE99680">
      <w:r>
        <w:br w:type="page"/>
      </w:r>
    </w:p>
    <w:p w14:paraId="3E3F7448">
      <w:pPr>
        <w:jc w:val="center"/>
        <w:rPr>
          <w:b/>
          <w:sz w:val="36"/>
          <w:szCs w:val="36"/>
        </w:rPr>
      </w:pPr>
      <w:r>
        <w:rPr>
          <w:rFonts w:hint="eastAsia"/>
          <w:b/>
          <w:sz w:val="36"/>
          <w:szCs w:val="36"/>
        </w:rPr>
        <w:t>算术复核表</w:t>
      </w:r>
    </w:p>
    <w:p w14:paraId="235CC872">
      <w:pPr>
        <w:rPr>
          <w:szCs w:val="21"/>
        </w:rPr>
      </w:pPr>
      <w:r>
        <w:rPr>
          <w:rFonts w:hint="eastAsia"/>
          <w:szCs w:val="21"/>
        </w:rPr>
        <w:t>工程名称：</w:t>
      </w:r>
    </w:p>
    <w:tbl>
      <w:tblPr>
        <w:tblStyle w:val="52"/>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3942"/>
        <w:gridCol w:w="2340"/>
        <w:gridCol w:w="3446"/>
        <w:gridCol w:w="3423"/>
      </w:tblGrid>
      <w:tr w14:paraId="00594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tcBorders>
              <w:top w:val="single" w:color="auto" w:sz="4" w:space="0"/>
              <w:left w:val="single" w:color="auto" w:sz="4" w:space="0"/>
              <w:bottom w:val="single" w:color="auto" w:sz="4" w:space="0"/>
              <w:right w:val="single" w:color="auto" w:sz="4" w:space="0"/>
            </w:tcBorders>
          </w:tcPr>
          <w:p w14:paraId="39829289">
            <w:pPr>
              <w:rPr>
                <w:b/>
                <w:sz w:val="28"/>
                <w:szCs w:val="28"/>
              </w:rPr>
            </w:pPr>
            <w:r>
              <w:rPr>
                <w:rFonts w:hint="eastAsia"/>
                <w:b/>
                <w:sz w:val="28"/>
                <w:szCs w:val="28"/>
              </w:rPr>
              <w:t>编号</w:t>
            </w:r>
          </w:p>
        </w:tc>
        <w:tc>
          <w:tcPr>
            <w:tcW w:w="3942" w:type="dxa"/>
            <w:tcBorders>
              <w:top w:val="single" w:color="auto" w:sz="4" w:space="0"/>
              <w:left w:val="single" w:color="auto" w:sz="4" w:space="0"/>
              <w:bottom w:val="single" w:color="auto" w:sz="4" w:space="0"/>
              <w:right w:val="single" w:color="auto" w:sz="4" w:space="0"/>
            </w:tcBorders>
          </w:tcPr>
          <w:p w14:paraId="613C526E">
            <w:pPr>
              <w:rPr>
                <w:b/>
                <w:sz w:val="28"/>
                <w:szCs w:val="28"/>
              </w:rPr>
            </w:pPr>
            <w:r>
              <w:rPr>
                <w:rFonts w:hint="eastAsia"/>
                <w:b/>
                <w:sz w:val="28"/>
                <w:szCs w:val="28"/>
              </w:rPr>
              <w:t>投标人名称</w:t>
            </w:r>
          </w:p>
        </w:tc>
        <w:tc>
          <w:tcPr>
            <w:tcW w:w="2340" w:type="dxa"/>
            <w:tcBorders>
              <w:top w:val="single" w:color="auto" w:sz="4" w:space="0"/>
              <w:left w:val="single" w:color="auto" w:sz="4" w:space="0"/>
              <w:bottom w:val="single" w:color="auto" w:sz="4" w:space="0"/>
              <w:right w:val="single" w:color="auto" w:sz="4" w:space="0"/>
            </w:tcBorders>
          </w:tcPr>
          <w:p w14:paraId="62333CCC">
            <w:pPr>
              <w:rPr>
                <w:b/>
                <w:sz w:val="28"/>
                <w:szCs w:val="28"/>
              </w:rPr>
            </w:pPr>
            <w:r>
              <w:rPr>
                <w:rFonts w:hint="eastAsia"/>
                <w:b/>
                <w:sz w:val="28"/>
                <w:szCs w:val="28"/>
              </w:rPr>
              <w:t>原投标报价（</w:t>
            </w:r>
            <w:r>
              <w:rPr>
                <w:b/>
                <w:sz w:val="28"/>
                <w:szCs w:val="28"/>
              </w:rPr>
              <w:t>A</w:t>
            </w:r>
            <w:r>
              <w:rPr>
                <w:rFonts w:hint="eastAsia"/>
                <w:b/>
                <w:sz w:val="28"/>
                <w:szCs w:val="28"/>
              </w:rPr>
              <w:t>）</w:t>
            </w:r>
          </w:p>
        </w:tc>
        <w:tc>
          <w:tcPr>
            <w:tcW w:w="3446" w:type="dxa"/>
            <w:tcBorders>
              <w:top w:val="single" w:color="auto" w:sz="4" w:space="0"/>
              <w:left w:val="single" w:color="auto" w:sz="4" w:space="0"/>
              <w:bottom w:val="single" w:color="auto" w:sz="4" w:space="0"/>
              <w:right w:val="single" w:color="auto" w:sz="4" w:space="0"/>
            </w:tcBorders>
          </w:tcPr>
          <w:p w14:paraId="62B03B18">
            <w:pPr>
              <w:rPr>
                <w:b/>
                <w:sz w:val="28"/>
                <w:szCs w:val="28"/>
              </w:rPr>
            </w:pPr>
            <w:r>
              <w:rPr>
                <w:rFonts w:hint="eastAsia"/>
                <w:b/>
                <w:sz w:val="28"/>
                <w:szCs w:val="28"/>
              </w:rPr>
              <w:t>算数复核后投标报价（</w:t>
            </w:r>
            <w:r>
              <w:rPr>
                <w:b/>
                <w:sz w:val="28"/>
                <w:szCs w:val="28"/>
              </w:rPr>
              <w:t>B</w:t>
            </w:r>
            <w:r>
              <w:rPr>
                <w:rFonts w:hint="eastAsia"/>
                <w:b/>
                <w:sz w:val="28"/>
                <w:szCs w:val="28"/>
              </w:rPr>
              <w:t>）</w:t>
            </w:r>
          </w:p>
        </w:tc>
        <w:tc>
          <w:tcPr>
            <w:tcW w:w="3423" w:type="dxa"/>
            <w:tcBorders>
              <w:top w:val="single" w:color="auto" w:sz="4" w:space="0"/>
              <w:left w:val="single" w:color="auto" w:sz="4" w:space="0"/>
              <w:bottom w:val="single" w:color="auto" w:sz="4" w:space="0"/>
              <w:right w:val="single" w:color="auto" w:sz="4" w:space="0"/>
            </w:tcBorders>
          </w:tcPr>
          <w:p w14:paraId="1DD7F185">
            <w:pPr>
              <w:rPr>
                <w:b/>
                <w:sz w:val="28"/>
                <w:szCs w:val="28"/>
              </w:rPr>
            </w:pPr>
            <w:r>
              <w:rPr>
                <w:rFonts w:hint="eastAsia"/>
                <w:b/>
                <w:sz w:val="28"/>
                <w:szCs w:val="28"/>
              </w:rPr>
              <w:t>误差率（</w:t>
            </w:r>
            <w:r>
              <w:rPr>
                <w:b/>
                <w:sz w:val="28"/>
                <w:szCs w:val="28"/>
              </w:rPr>
              <w:t>r=|A-B|/A*100%</w:t>
            </w:r>
            <w:r>
              <w:rPr>
                <w:rFonts w:hint="eastAsia"/>
                <w:b/>
                <w:sz w:val="28"/>
                <w:szCs w:val="28"/>
              </w:rPr>
              <w:t>）</w:t>
            </w:r>
          </w:p>
        </w:tc>
      </w:tr>
      <w:tr w14:paraId="789A9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tcBorders>
              <w:top w:val="single" w:color="auto" w:sz="4" w:space="0"/>
              <w:left w:val="single" w:color="auto" w:sz="4" w:space="0"/>
              <w:bottom w:val="single" w:color="auto" w:sz="4" w:space="0"/>
              <w:right w:val="single" w:color="auto" w:sz="4" w:space="0"/>
            </w:tcBorders>
          </w:tcPr>
          <w:p w14:paraId="7B2253DC">
            <w:pPr>
              <w:rPr>
                <w:sz w:val="36"/>
                <w:szCs w:val="36"/>
              </w:rPr>
            </w:pPr>
          </w:p>
        </w:tc>
        <w:tc>
          <w:tcPr>
            <w:tcW w:w="3942" w:type="dxa"/>
            <w:tcBorders>
              <w:top w:val="single" w:color="auto" w:sz="4" w:space="0"/>
              <w:left w:val="single" w:color="auto" w:sz="4" w:space="0"/>
              <w:bottom w:val="single" w:color="auto" w:sz="4" w:space="0"/>
              <w:right w:val="single" w:color="auto" w:sz="4" w:space="0"/>
            </w:tcBorders>
          </w:tcPr>
          <w:p w14:paraId="6EF81695">
            <w:pPr>
              <w:rPr>
                <w:sz w:val="36"/>
                <w:szCs w:val="36"/>
              </w:rPr>
            </w:pPr>
          </w:p>
        </w:tc>
        <w:tc>
          <w:tcPr>
            <w:tcW w:w="2340" w:type="dxa"/>
            <w:tcBorders>
              <w:top w:val="single" w:color="auto" w:sz="4" w:space="0"/>
              <w:left w:val="single" w:color="auto" w:sz="4" w:space="0"/>
              <w:bottom w:val="single" w:color="auto" w:sz="4" w:space="0"/>
              <w:right w:val="single" w:color="auto" w:sz="4" w:space="0"/>
            </w:tcBorders>
          </w:tcPr>
          <w:p w14:paraId="3E873D80">
            <w:pPr>
              <w:rPr>
                <w:sz w:val="36"/>
                <w:szCs w:val="36"/>
              </w:rPr>
            </w:pPr>
          </w:p>
        </w:tc>
        <w:tc>
          <w:tcPr>
            <w:tcW w:w="3446" w:type="dxa"/>
            <w:tcBorders>
              <w:top w:val="single" w:color="auto" w:sz="4" w:space="0"/>
              <w:left w:val="single" w:color="auto" w:sz="4" w:space="0"/>
              <w:bottom w:val="single" w:color="auto" w:sz="4" w:space="0"/>
              <w:right w:val="single" w:color="auto" w:sz="4" w:space="0"/>
            </w:tcBorders>
          </w:tcPr>
          <w:p w14:paraId="654F3C94">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2BD3D4E1">
            <w:pPr>
              <w:rPr>
                <w:sz w:val="36"/>
                <w:szCs w:val="36"/>
              </w:rPr>
            </w:pPr>
          </w:p>
        </w:tc>
      </w:tr>
      <w:tr w14:paraId="7A698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tcBorders>
              <w:top w:val="single" w:color="auto" w:sz="4" w:space="0"/>
              <w:left w:val="single" w:color="auto" w:sz="4" w:space="0"/>
              <w:bottom w:val="single" w:color="auto" w:sz="4" w:space="0"/>
              <w:right w:val="single" w:color="auto" w:sz="4" w:space="0"/>
            </w:tcBorders>
          </w:tcPr>
          <w:p w14:paraId="5CB128B7">
            <w:pPr>
              <w:rPr>
                <w:sz w:val="36"/>
                <w:szCs w:val="36"/>
              </w:rPr>
            </w:pPr>
          </w:p>
        </w:tc>
        <w:tc>
          <w:tcPr>
            <w:tcW w:w="3942" w:type="dxa"/>
            <w:tcBorders>
              <w:top w:val="single" w:color="auto" w:sz="4" w:space="0"/>
              <w:left w:val="single" w:color="auto" w:sz="4" w:space="0"/>
              <w:bottom w:val="single" w:color="auto" w:sz="4" w:space="0"/>
              <w:right w:val="single" w:color="auto" w:sz="4" w:space="0"/>
            </w:tcBorders>
          </w:tcPr>
          <w:p w14:paraId="1373C93A">
            <w:pPr>
              <w:rPr>
                <w:sz w:val="36"/>
                <w:szCs w:val="36"/>
              </w:rPr>
            </w:pPr>
          </w:p>
        </w:tc>
        <w:tc>
          <w:tcPr>
            <w:tcW w:w="2340" w:type="dxa"/>
            <w:tcBorders>
              <w:top w:val="single" w:color="auto" w:sz="4" w:space="0"/>
              <w:left w:val="single" w:color="auto" w:sz="4" w:space="0"/>
              <w:bottom w:val="single" w:color="auto" w:sz="4" w:space="0"/>
              <w:right w:val="single" w:color="auto" w:sz="4" w:space="0"/>
            </w:tcBorders>
          </w:tcPr>
          <w:p w14:paraId="5BFB7A41">
            <w:pPr>
              <w:rPr>
                <w:sz w:val="36"/>
                <w:szCs w:val="36"/>
              </w:rPr>
            </w:pPr>
          </w:p>
        </w:tc>
        <w:tc>
          <w:tcPr>
            <w:tcW w:w="3446" w:type="dxa"/>
            <w:tcBorders>
              <w:top w:val="single" w:color="auto" w:sz="4" w:space="0"/>
              <w:left w:val="single" w:color="auto" w:sz="4" w:space="0"/>
              <w:bottom w:val="single" w:color="auto" w:sz="4" w:space="0"/>
              <w:right w:val="single" w:color="auto" w:sz="4" w:space="0"/>
            </w:tcBorders>
          </w:tcPr>
          <w:p w14:paraId="598DF4B1">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35F1056A">
            <w:pPr>
              <w:rPr>
                <w:sz w:val="36"/>
                <w:szCs w:val="36"/>
              </w:rPr>
            </w:pPr>
          </w:p>
        </w:tc>
      </w:tr>
      <w:tr w14:paraId="08020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tcBorders>
              <w:top w:val="single" w:color="auto" w:sz="4" w:space="0"/>
              <w:left w:val="single" w:color="auto" w:sz="4" w:space="0"/>
              <w:bottom w:val="single" w:color="auto" w:sz="4" w:space="0"/>
              <w:right w:val="single" w:color="auto" w:sz="4" w:space="0"/>
            </w:tcBorders>
          </w:tcPr>
          <w:p w14:paraId="3DA86948">
            <w:pPr>
              <w:rPr>
                <w:sz w:val="36"/>
                <w:szCs w:val="36"/>
              </w:rPr>
            </w:pPr>
          </w:p>
        </w:tc>
        <w:tc>
          <w:tcPr>
            <w:tcW w:w="3942" w:type="dxa"/>
            <w:tcBorders>
              <w:top w:val="single" w:color="auto" w:sz="4" w:space="0"/>
              <w:left w:val="single" w:color="auto" w:sz="4" w:space="0"/>
              <w:bottom w:val="single" w:color="auto" w:sz="4" w:space="0"/>
              <w:right w:val="single" w:color="auto" w:sz="4" w:space="0"/>
            </w:tcBorders>
          </w:tcPr>
          <w:p w14:paraId="00DBC3E8">
            <w:pPr>
              <w:rPr>
                <w:sz w:val="36"/>
                <w:szCs w:val="36"/>
              </w:rPr>
            </w:pPr>
          </w:p>
        </w:tc>
        <w:tc>
          <w:tcPr>
            <w:tcW w:w="2340" w:type="dxa"/>
            <w:tcBorders>
              <w:top w:val="single" w:color="auto" w:sz="4" w:space="0"/>
              <w:left w:val="single" w:color="auto" w:sz="4" w:space="0"/>
              <w:bottom w:val="single" w:color="auto" w:sz="4" w:space="0"/>
              <w:right w:val="single" w:color="auto" w:sz="4" w:space="0"/>
            </w:tcBorders>
          </w:tcPr>
          <w:p w14:paraId="09F7391B">
            <w:pPr>
              <w:rPr>
                <w:sz w:val="36"/>
                <w:szCs w:val="36"/>
              </w:rPr>
            </w:pPr>
          </w:p>
        </w:tc>
        <w:tc>
          <w:tcPr>
            <w:tcW w:w="3446" w:type="dxa"/>
            <w:tcBorders>
              <w:top w:val="single" w:color="auto" w:sz="4" w:space="0"/>
              <w:left w:val="single" w:color="auto" w:sz="4" w:space="0"/>
              <w:bottom w:val="single" w:color="auto" w:sz="4" w:space="0"/>
              <w:right w:val="single" w:color="auto" w:sz="4" w:space="0"/>
            </w:tcBorders>
          </w:tcPr>
          <w:p w14:paraId="6C567F86">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4D671E4B">
            <w:pPr>
              <w:rPr>
                <w:sz w:val="36"/>
                <w:szCs w:val="36"/>
              </w:rPr>
            </w:pPr>
          </w:p>
        </w:tc>
      </w:tr>
      <w:tr w14:paraId="0CC7B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tcBorders>
              <w:top w:val="single" w:color="auto" w:sz="4" w:space="0"/>
              <w:left w:val="single" w:color="auto" w:sz="4" w:space="0"/>
              <w:bottom w:val="single" w:color="auto" w:sz="4" w:space="0"/>
              <w:right w:val="single" w:color="auto" w:sz="4" w:space="0"/>
            </w:tcBorders>
          </w:tcPr>
          <w:p w14:paraId="50D27598">
            <w:pPr>
              <w:rPr>
                <w:sz w:val="36"/>
                <w:szCs w:val="36"/>
              </w:rPr>
            </w:pPr>
          </w:p>
        </w:tc>
        <w:tc>
          <w:tcPr>
            <w:tcW w:w="3942" w:type="dxa"/>
            <w:tcBorders>
              <w:top w:val="single" w:color="auto" w:sz="4" w:space="0"/>
              <w:left w:val="single" w:color="auto" w:sz="4" w:space="0"/>
              <w:bottom w:val="single" w:color="auto" w:sz="4" w:space="0"/>
              <w:right w:val="single" w:color="auto" w:sz="4" w:space="0"/>
            </w:tcBorders>
          </w:tcPr>
          <w:p w14:paraId="34F61AB7">
            <w:pPr>
              <w:rPr>
                <w:sz w:val="36"/>
                <w:szCs w:val="36"/>
              </w:rPr>
            </w:pPr>
          </w:p>
        </w:tc>
        <w:tc>
          <w:tcPr>
            <w:tcW w:w="2340" w:type="dxa"/>
            <w:tcBorders>
              <w:top w:val="single" w:color="auto" w:sz="4" w:space="0"/>
              <w:left w:val="single" w:color="auto" w:sz="4" w:space="0"/>
              <w:bottom w:val="single" w:color="auto" w:sz="4" w:space="0"/>
              <w:right w:val="single" w:color="auto" w:sz="4" w:space="0"/>
            </w:tcBorders>
          </w:tcPr>
          <w:p w14:paraId="606BB7CB">
            <w:pPr>
              <w:rPr>
                <w:sz w:val="36"/>
                <w:szCs w:val="36"/>
              </w:rPr>
            </w:pPr>
          </w:p>
        </w:tc>
        <w:tc>
          <w:tcPr>
            <w:tcW w:w="3446" w:type="dxa"/>
            <w:tcBorders>
              <w:top w:val="single" w:color="auto" w:sz="4" w:space="0"/>
              <w:left w:val="single" w:color="auto" w:sz="4" w:space="0"/>
              <w:bottom w:val="single" w:color="auto" w:sz="4" w:space="0"/>
              <w:right w:val="single" w:color="auto" w:sz="4" w:space="0"/>
            </w:tcBorders>
          </w:tcPr>
          <w:p w14:paraId="1F76D45E">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2CBDEA06">
            <w:pPr>
              <w:rPr>
                <w:sz w:val="36"/>
                <w:szCs w:val="36"/>
              </w:rPr>
            </w:pPr>
          </w:p>
        </w:tc>
      </w:tr>
      <w:tr w14:paraId="282B6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tcBorders>
              <w:top w:val="single" w:color="auto" w:sz="4" w:space="0"/>
              <w:left w:val="single" w:color="auto" w:sz="4" w:space="0"/>
              <w:bottom w:val="single" w:color="auto" w:sz="4" w:space="0"/>
              <w:right w:val="single" w:color="auto" w:sz="4" w:space="0"/>
            </w:tcBorders>
          </w:tcPr>
          <w:p w14:paraId="6448E40F">
            <w:pPr>
              <w:rPr>
                <w:sz w:val="36"/>
                <w:szCs w:val="36"/>
              </w:rPr>
            </w:pPr>
          </w:p>
        </w:tc>
        <w:tc>
          <w:tcPr>
            <w:tcW w:w="3942" w:type="dxa"/>
            <w:tcBorders>
              <w:top w:val="single" w:color="auto" w:sz="4" w:space="0"/>
              <w:left w:val="single" w:color="auto" w:sz="4" w:space="0"/>
              <w:bottom w:val="single" w:color="auto" w:sz="4" w:space="0"/>
              <w:right w:val="single" w:color="auto" w:sz="4" w:space="0"/>
            </w:tcBorders>
          </w:tcPr>
          <w:p w14:paraId="5B61FC92">
            <w:pPr>
              <w:rPr>
                <w:sz w:val="36"/>
                <w:szCs w:val="36"/>
              </w:rPr>
            </w:pPr>
          </w:p>
        </w:tc>
        <w:tc>
          <w:tcPr>
            <w:tcW w:w="2340" w:type="dxa"/>
            <w:tcBorders>
              <w:top w:val="single" w:color="auto" w:sz="4" w:space="0"/>
              <w:left w:val="single" w:color="auto" w:sz="4" w:space="0"/>
              <w:bottom w:val="single" w:color="auto" w:sz="4" w:space="0"/>
              <w:right w:val="single" w:color="auto" w:sz="4" w:space="0"/>
            </w:tcBorders>
          </w:tcPr>
          <w:p w14:paraId="5923672C">
            <w:pPr>
              <w:rPr>
                <w:sz w:val="36"/>
                <w:szCs w:val="36"/>
              </w:rPr>
            </w:pPr>
          </w:p>
        </w:tc>
        <w:tc>
          <w:tcPr>
            <w:tcW w:w="3446" w:type="dxa"/>
            <w:tcBorders>
              <w:top w:val="single" w:color="auto" w:sz="4" w:space="0"/>
              <w:left w:val="single" w:color="auto" w:sz="4" w:space="0"/>
              <w:bottom w:val="single" w:color="auto" w:sz="4" w:space="0"/>
              <w:right w:val="single" w:color="auto" w:sz="4" w:space="0"/>
            </w:tcBorders>
          </w:tcPr>
          <w:p w14:paraId="3E39DFAC">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4D469769">
            <w:pPr>
              <w:rPr>
                <w:sz w:val="36"/>
                <w:szCs w:val="36"/>
              </w:rPr>
            </w:pPr>
          </w:p>
        </w:tc>
      </w:tr>
      <w:tr w14:paraId="52E5C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tcBorders>
              <w:top w:val="single" w:color="auto" w:sz="4" w:space="0"/>
              <w:left w:val="single" w:color="auto" w:sz="4" w:space="0"/>
              <w:bottom w:val="single" w:color="auto" w:sz="4" w:space="0"/>
              <w:right w:val="single" w:color="auto" w:sz="4" w:space="0"/>
            </w:tcBorders>
          </w:tcPr>
          <w:p w14:paraId="25104B6E">
            <w:pPr>
              <w:rPr>
                <w:sz w:val="36"/>
                <w:szCs w:val="36"/>
              </w:rPr>
            </w:pPr>
          </w:p>
        </w:tc>
        <w:tc>
          <w:tcPr>
            <w:tcW w:w="3942" w:type="dxa"/>
            <w:tcBorders>
              <w:top w:val="single" w:color="auto" w:sz="4" w:space="0"/>
              <w:left w:val="single" w:color="auto" w:sz="4" w:space="0"/>
              <w:bottom w:val="single" w:color="auto" w:sz="4" w:space="0"/>
              <w:right w:val="single" w:color="auto" w:sz="4" w:space="0"/>
            </w:tcBorders>
          </w:tcPr>
          <w:p w14:paraId="7D2A73FA">
            <w:pPr>
              <w:rPr>
                <w:sz w:val="36"/>
                <w:szCs w:val="36"/>
              </w:rPr>
            </w:pPr>
          </w:p>
        </w:tc>
        <w:tc>
          <w:tcPr>
            <w:tcW w:w="2340" w:type="dxa"/>
            <w:tcBorders>
              <w:top w:val="single" w:color="auto" w:sz="4" w:space="0"/>
              <w:left w:val="single" w:color="auto" w:sz="4" w:space="0"/>
              <w:bottom w:val="single" w:color="auto" w:sz="4" w:space="0"/>
              <w:right w:val="single" w:color="auto" w:sz="4" w:space="0"/>
            </w:tcBorders>
          </w:tcPr>
          <w:p w14:paraId="60B046CA">
            <w:pPr>
              <w:rPr>
                <w:sz w:val="36"/>
                <w:szCs w:val="36"/>
              </w:rPr>
            </w:pPr>
          </w:p>
        </w:tc>
        <w:tc>
          <w:tcPr>
            <w:tcW w:w="3446" w:type="dxa"/>
            <w:tcBorders>
              <w:top w:val="single" w:color="auto" w:sz="4" w:space="0"/>
              <w:left w:val="single" w:color="auto" w:sz="4" w:space="0"/>
              <w:bottom w:val="single" w:color="auto" w:sz="4" w:space="0"/>
              <w:right w:val="single" w:color="auto" w:sz="4" w:space="0"/>
            </w:tcBorders>
          </w:tcPr>
          <w:p w14:paraId="65988EB8">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28A812CB">
            <w:pPr>
              <w:rPr>
                <w:sz w:val="36"/>
                <w:szCs w:val="36"/>
              </w:rPr>
            </w:pPr>
          </w:p>
        </w:tc>
      </w:tr>
      <w:tr w14:paraId="7136A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tcBorders>
              <w:top w:val="single" w:color="auto" w:sz="4" w:space="0"/>
              <w:left w:val="single" w:color="auto" w:sz="4" w:space="0"/>
              <w:bottom w:val="single" w:color="auto" w:sz="4" w:space="0"/>
              <w:right w:val="single" w:color="auto" w:sz="4" w:space="0"/>
            </w:tcBorders>
          </w:tcPr>
          <w:p w14:paraId="546DC9C5">
            <w:pPr>
              <w:rPr>
                <w:sz w:val="36"/>
                <w:szCs w:val="36"/>
              </w:rPr>
            </w:pPr>
          </w:p>
        </w:tc>
        <w:tc>
          <w:tcPr>
            <w:tcW w:w="3942" w:type="dxa"/>
            <w:tcBorders>
              <w:top w:val="single" w:color="auto" w:sz="4" w:space="0"/>
              <w:left w:val="single" w:color="auto" w:sz="4" w:space="0"/>
              <w:bottom w:val="single" w:color="auto" w:sz="4" w:space="0"/>
              <w:right w:val="single" w:color="auto" w:sz="4" w:space="0"/>
            </w:tcBorders>
          </w:tcPr>
          <w:p w14:paraId="12E25C9E">
            <w:pPr>
              <w:rPr>
                <w:sz w:val="36"/>
                <w:szCs w:val="36"/>
              </w:rPr>
            </w:pPr>
          </w:p>
        </w:tc>
        <w:tc>
          <w:tcPr>
            <w:tcW w:w="2340" w:type="dxa"/>
            <w:tcBorders>
              <w:top w:val="single" w:color="auto" w:sz="4" w:space="0"/>
              <w:left w:val="single" w:color="auto" w:sz="4" w:space="0"/>
              <w:bottom w:val="single" w:color="auto" w:sz="4" w:space="0"/>
              <w:right w:val="single" w:color="auto" w:sz="4" w:space="0"/>
            </w:tcBorders>
          </w:tcPr>
          <w:p w14:paraId="1107C8E8">
            <w:pPr>
              <w:rPr>
                <w:sz w:val="36"/>
                <w:szCs w:val="36"/>
              </w:rPr>
            </w:pPr>
          </w:p>
        </w:tc>
        <w:tc>
          <w:tcPr>
            <w:tcW w:w="3446" w:type="dxa"/>
            <w:tcBorders>
              <w:top w:val="single" w:color="auto" w:sz="4" w:space="0"/>
              <w:left w:val="single" w:color="auto" w:sz="4" w:space="0"/>
              <w:bottom w:val="single" w:color="auto" w:sz="4" w:space="0"/>
              <w:right w:val="single" w:color="auto" w:sz="4" w:space="0"/>
            </w:tcBorders>
          </w:tcPr>
          <w:p w14:paraId="72B325E6">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5DC1DC8B">
            <w:pPr>
              <w:rPr>
                <w:sz w:val="36"/>
                <w:szCs w:val="36"/>
              </w:rPr>
            </w:pPr>
          </w:p>
        </w:tc>
      </w:tr>
      <w:tr w14:paraId="737F8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tcBorders>
              <w:top w:val="single" w:color="auto" w:sz="4" w:space="0"/>
              <w:left w:val="single" w:color="auto" w:sz="4" w:space="0"/>
              <w:bottom w:val="single" w:color="auto" w:sz="4" w:space="0"/>
              <w:right w:val="single" w:color="auto" w:sz="4" w:space="0"/>
            </w:tcBorders>
          </w:tcPr>
          <w:p w14:paraId="57D41B04">
            <w:pPr>
              <w:rPr>
                <w:sz w:val="36"/>
                <w:szCs w:val="36"/>
              </w:rPr>
            </w:pPr>
          </w:p>
        </w:tc>
        <w:tc>
          <w:tcPr>
            <w:tcW w:w="3942" w:type="dxa"/>
            <w:tcBorders>
              <w:top w:val="single" w:color="auto" w:sz="4" w:space="0"/>
              <w:left w:val="single" w:color="auto" w:sz="4" w:space="0"/>
              <w:bottom w:val="single" w:color="auto" w:sz="4" w:space="0"/>
              <w:right w:val="single" w:color="auto" w:sz="4" w:space="0"/>
            </w:tcBorders>
          </w:tcPr>
          <w:p w14:paraId="7F1D467C">
            <w:pPr>
              <w:rPr>
                <w:sz w:val="36"/>
                <w:szCs w:val="36"/>
              </w:rPr>
            </w:pPr>
          </w:p>
        </w:tc>
        <w:tc>
          <w:tcPr>
            <w:tcW w:w="2340" w:type="dxa"/>
            <w:tcBorders>
              <w:top w:val="single" w:color="auto" w:sz="4" w:space="0"/>
              <w:left w:val="single" w:color="auto" w:sz="4" w:space="0"/>
              <w:bottom w:val="single" w:color="auto" w:sz="4" w:space="0"/>
              <w:right w:val="single" w:color="auto" w:sz="4" w:space="0"/>
            </w:tcBorders>
          </w:tcPr>
          <w:p w14:paraId="212601AE">
            <w:pPr>
              <w:rPr>
                <w:sz w:val="36"/>
                <w:szCs w:val="36"/>
              </w:rPr>
            </w:pPr>
          </w:p>
        </w:tc>
        <w:tc>
          <w:tcPr>
            <w:tcW w:w="3446" w:type="dxa"/>
            <w:tcBorders>
              <w:top w:val="single" w:color="auto" w:sz="4" w:space="0"/>
              <w:left w:val="single" w:color="auto" w:sz="4" w:space="0"/>
              <w:bottom w:val="single" w:color="auto" w:sz="4" w:space="0"/>
              <w:right w:val="single" w:color="auto" w:sz="4" w:space="0"/>
            </w:tcBorders>
          </w:tcPr>
          <w:p w14:paraId="4A1B22CA">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0E126A2A">
            <w:pPr>
              <w:rPr>
                <w:sz w:val="36"/>
                <w:szCs w:val="36"/>
              </w:rPr>
            </w:pPr>
          </w:p>
        </w:tc>
      </w:tr>
    </w:tbl>
    <w:p w14:paraId="7F12AB9A">
      <w:pPr>
        <w:rPr>
          <w:szCs w:val="21"/>
        </w:rPr>
      </w:pPr>
      <w:r>
        <w:rPr>
          <w:rFonts w:hint="eastAsia"/>
          <w:szCs w:val="21"/>
        </w:rPr>
        <w:t>评委签名：</w:t>
      </w:r>
    </w:p>
    <w:p w14:paraId="0A4E28F6">
      <w:pPr>
        <w:spacing w:line="360" w:lineRule="auto"/>
        <w:jc w:val="center"/>
        <w:rPr>
          <w:rFonts w:hint="eastAsia" w:ascii="仿宋_GB2312" w:hAnsi="宋体" w:eastAsia="仿宋_GB2312"/>
          <w:szCs w:val="21"/>
        </w:rPr>
        <w:sectPr>
          <w:headerReference r:id="rId7" w:type="first"/>
          <w:footerReference r:id="rId10" w:type="first"/>
          <w:headerReference r:id="rId5" w:type="default"/>
          <w:footerReference r:id="rId8" w:type="default"/>
          <w:headerReference r:id="rId6" w:type="even"/>
          <w:footerReference r:id="rId9" w:type="even"/>
          <w:endnotePr>
            <w:numFmt w:val="decimal"/>
          </w:endnotePr>
          <w:pgSz w:w="16838" w:h="11906" w:orient="landscape"/>
          <w:pgMar w:top="1440" w:right="1080" w:bottom="1440" w:left="1080" w:header="851" w:footer="907" w:gutter="0"/>
          <w:cols w:space="720" w:num="1"/>
          <w:titlePg/>
          <w:docGrid w:type="linesAndChars" w:linePitch="312" w:charSpace="0"/>
        </w:sectPr>
      </w:pPr>
    </w:p>
    <w:p w14:paraId="73861C23">
      <w:pPr>
        <w:pStyle w:val="3"/>
        <w:jc w:val="center"/>
        <w:rPr>
          <w:b/>
          <w:bCs/>
        </w:rPr>
      </w:pPr>
      <w:bookmarkStart w:id="99" w:name="_Toc11780"/>
      <w:bookmarkStart w:id="100" w:name="_Toc26082"/>
      <w:bookmarkStart w:id="101" w:name="_Toc12866"/>
      <w:bookmarkStart w:id="102" w:name="_Toc9719"/>
      <w:bookmarkStart w:id="103" w:name="_Toc17348"/>
      <w:bookmarkStart w:id="104" w:name="_Toc18505"/>
      <w:r>
        <w:rPr>
          <w:rFonts w:hint="eastAsia"/>
          <w:b/>
          <w:bCs/>
        </w:rPr>
        <w:t>第三章</w:t>
      </w:r>
      <w:r>
        <w:rPr>
          <w:b/>
          <w:bCs/>
        </w:rPr>
        <w:t xml:space="preserve">  </w:t>
      </w:r>
      <w:r>
        <w:rPr>
          <w:rFonts w:hint="eastAsia"/>
          <w:b/>
          <w:bCs/>
        </w:rPr>
        <w:t>合同条款</w:t>
      </w:r>
      <w:bookmarkEnd w:id="99"/>
      <w:bookmarkEnd w:id="100"/>
      <w:bookmarkEnd w:id="101"/>
      <w:bookmarkEnd w:id="102"/>
      <w:bookmarkEnd w:id="103"/>
      <w:bookmarkEnd w:id="104"/>
    </w:p>
    <w:p w14:paraId="7AF26272">
      <w:pPr>
        <w:jc w:val="center"/>
        <w:rPr>
          <w:rFonts w:hint="eastAsia" w:ascii="宋体" w:hAnsi="宋体" w:cs="宋体"/>
          <w:b/>
          <w:sz w:val="24"/>
          <w:szCs w:val="24"/>
        </w:rPr>
      </w:pPr>
      <w:r>
        <w:rPr>
          <w:rFonts w:hint="eastAsia" w:ascii="宋体" w:hAnsi="宋体" w:cs="宋体"/>
          <w:sz w:val="24"/>
          <w:szCs w:val="24"/>
        </w:rPr>
        <w:t>注：另册。</w:t>
      </w:r>
    </w:p>
    <w:p w14:paraId="3FB7B9CF">
      <w:pPr>
        <w:spacing w:line="360" w:lineRule="auto"/>
        <w:jc w:val="left"/>
        <w:rPr>
          <w:rFonts w:ascii="Times New Roman" w:hAnsi="Times New Roman" w:eastAsia="仿宋_GB2312"/>
          <w:sz w:val="30"/>
          <w:szCs w:val="32"/>
        </w:rPr>
      </w:pPr>
      <w:r>
        <w:rPr>
          <w:rFonts w:ascii="Times New Roman" w:hAnsi="Times New Roman" w:eastAsia="仿宋_GB2312"/>
          <w:sz w:val="30"/>
          <w:szCs w:val="32"/>
        </w:rPr>
        <w:br w:type="page"/>
      </w:r>
    </w:p>
    <w:p w14:paraId="06600090">
      <w:pPr>
        <w:spacing w:line="360" w:lineRule="auto"/>
        <w:jc w:val="left"/>
        <w:rPr>
          <w:rFonts w:ascii="Times New Roman" w:hAnsi="Times New Roman" w:eastAsia="仿宋_GB2312"/>
          <w:sz w:val="30"/>
          <w:szCs w:val="32"/>
        </w:rPr>
      </w:pPr>
    </w:p>
    <w:p w14:paraId="2C0236EE">
      <w:pPr>
        <w:pStyle w:val="3"/>
        <w:jc w:val="center"/>
        <w:rPr>
          <w:b/>
          <w:bCs/>
        </w:rPr>
      </w:pPr>
      <w:bookmarkStart w:id="105" w:name="_Toc4673"/>
      <w:bookmarkStart w:id="106" w:name="_Toc22476"/>
      <w:bookmarkStart w:id="107" w:name="_Toc20075"/>
      <w:bookmarkStart w:id="108" w:name="_Toc11146"/>
      <w:bookmarkStart w:id="109" w:name="_Toc13036"/>
      <w:bookmarkStart w:id="110" w:name="_Toc11503"/>
      <w:r>
        <w:rPr>
          <w:rFonts w:hint="eastAsia"/>
          <w:b/>
          <w:bCs/>
        </w:rPr>
        <w:t>第四章</w:t>
      </w:r>
      <w:r>
        <w:rPr>
          <w:b/>
          <w:bCs/>
        </w:rPr>
        <w:t xml:space="preserve">  </w:t>
      </w:r>
      <w:r>
        <w:rPr>
          <w:rFonts w:hint="eastAsia"/>
          <w:b/>
          <w:bCs/>
        </w:rPr>
        <w:t>投标文件格式</w:t>
      </w:r>
      <w:bookmarkEnd w:id="105"/>
      <w:bookmarkEnd w:id="106"/>
      <w:bookmarkEnd w:id="107"/>
      <w:bookmarkEnd w:id="108"/>
      <w:bookmarkEnd w:id="109"/>
      <w:bookmarkEnd w:id="110"/>
    </w:p>
    <w:p w14:paraId="6C021F27">
      <w:pPr>
        <w:pStyle w:val="4"/>
        <w:spacing w:before="0" w:after="0" w:line="240" w:lineRule="auto"/>
        <w:ind w:left="0"/>
        <w:rPr>
          <w:color w:val="auto"/>
        </w:rPr>
      </w:pPr>
      <w:bookmarkStart w:id="111" w:name="_Toc25232"/>
      <w:bookmarkStart w:id="112" w:name="_Toc7863"/>
      <w:bookmarkStart w:id="113" w:name="_Toc11286"/>
      <w:bookmarkStart w:id="114" w:name="_Toc100130490"/>
      <w:bookmarkStart w:id="115" w:name="_Toc30200"/>
      <w:bookmarkStart w:id="116" w:name="_Toc7443"/>
      <w:bookmarkStart w:id="117" w:name="_Toc7033"/>
      <w:r>
        <w:rPr>
          <w:color w:val="auto"/>
        </w:rPr>
        <w:t>一、投标文件</w:t>
      </w:r>
      <w:r>
        <w:rPr>
          <w:rFonts w:hint="eastAsia"/>
          <w:color w:val="auto"/>
        </w:rPr>
        <w:t>技术标部分</w:t>
      </w:r>
      <w:r>
        <w:rPr>
          <w:color w:val="auto"/>
        </w:rPr>
        <w:t>格式</w:t>
      </w:r>
      <w:bookmarkEnd w:id="111"/>
      <w:bookmarkEnd w:id="112"/>
      <w:bookmarkEnd w:id="113"/>
      <w:bookmarkEnd w:id="114"/>
      <w:bookmarkEnd w:id="115"/>
      <w:bookmarkEnd w:id="116"/>
      <w:bookmarkEnd w:id="117"/>
    </w:p>
    <w:p w14:paraId="2871FB14">
      <w:bookmarkStart w:id="118" w:name="_Toc26204"/>
      <w:bookmarkStart w:id="119" w:name="_Toc29246"/>
      <w:bookmarkStart w:id="120" w:name="_Toc14077"/>
      <w:bookmarkStart w:id="121" w:name="_Toc60070621"/>
      <w:bookmarkStart w:id="122" w:name="_Toc100130491"/>
      <w:bookmarkStart w:id="123" w:name="_Toc31519"/>
      <w:bookmarkStart w:id="124" w:name="_Toc8759"/>
      <w:bookmarkStart w:id="125" w:name="_Toc8067"/>
      <w:r>
        <w:rPr>
          <w:rFonts w:hint="eastAsia"/>
        </w:rPr>
        <w:br w:type="page"/>
      </w:r>
    </w:p>
    <w:p w14:paraId="37B9F4ED">
      <w:pPr>
        <w:pStyle w:val="5"/>
        <w:rPr>
          <w:rFonts w:hint="eastAsia"/>
        </w:rPr>
      </w:pPr>
      <w:r>
        <w:rPr>
          <w:rFonts w:hint="eastAsia"/>
        </w:rPr>
        <w:t>格式一：</w:t>
      </w:r>
      <w:bookmarkEnd w:id="118"/>
      <w:bookmarkEnd w:id="119"/>
      <w:bookmarkEnd w:id="120"/>
      <w:bookmarkEnd w:id="121"/>
      <w:bookmarkEnd w:id="122"/>
      <w:bookmarkEnd w:id="123"/>
      <w:bookmarkEnd w:id="124"/>
      <w:bookmarkEnd w:id="125"/>
    </w:p>
    <w:p w14:paraId="73F5E696">
      <w:pPr>
        <w:jc w:val="center"/>
        <w:rPr>
          <w:rFonts w:hint="eastAsia" w:ascii="宋体" w:hAnsi="宋体" w:cs="宋体"/>
          <w:b/>
          <w:sz w:val="36"/>
          <w:szCs w:val="36"/>
        </w:rPr>
      </w:pPr>
      <w:bookmarkStart w:id="126" w:name="_Toc58838587"/>
      <w:r>
        <w:rPr>
          <w:rFonts w:hint="eastAsia" w:ascii="宋体" w:hAnsi="宋体" w:cs="宋体"/>
          <w:b/>
          <w:sz w:val="36"/>
          <w:szCs w:val="36"/>
        </w:rPr>
        <w:t>广州建设工程施工招标投标书（技术标）</w:t>
      </w:r>
      <w:bookmarkEnd w:id="126"/>
    </w:p>
    <w:tbl>
      <w:tblPr>
        <w:tblStyle w:val="52"/>
        <w:tblpPr w:leftFromText="181" w:rightFromText="181" w:vertAnchor="text" w:horzAnchor="margin" w:tblpXSpec="center" w:tblpY="27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2211"/>
        <w:gridCol w:w="3834"/>
      </w:tblGrid>
      <w:tr w14:paraId="70834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3334" w:type="dxa"/>
            <w:tcBorders>
              <w:top w:val="single" w:color="auto" w:sz="4" w:space="0"/>
              <w:left w:val="single" w:color="auto" w:sz="4" w:space="0"/>
              <w:bottom w:val="single" w:color="auto" w:sz="4" w:space="0"/>
              <w:right w:val="single" w:color="auto" w:sz="4" w:space="0"/>
            </w:tcBorders>
            <w:vAlign w:val="center"/>
          </w:tcPr>
          <w:p w14:paraId="3B9BF510">
            <w:pPr>
              <w:autoSpaceDE w:val="0"/>
              <w:autoSpaceDN w:val="0"/>
              <w:adjustRightInd w:val="0"/>
              <w:jc w:val="center"/>
              <w:rPr>
                <w:rFonts w:hint="eastAsia" w:ascii="宋体" w:hAnsi="宋体" w:cs="宋体"/>
                <w:bCs/>
                <w:sz w:val="24"/>
                <w:szCs w:val="24"/>
                <w:lang w:val="zh-CN"/>
              </w:rPr>
            </w:pPr>
            <w:r>
              <w:rPr>
                <w:rFonts w:hint="eastAsia" w:ascii="宋体" w:hAnsi="宋体" w:cs="宋体"/>
                <w:sz w:val="24"/>
                <w:szCs w:val="24"/>
                <w:lang w:val="zh-CN"/>
              </w:rPr>
              <w:t>工程名称</w:t>
            </w:r>
          </w:p>
        </w:tc>
        <w:tc>
          <w:tcPr>
            <w:tcW w:w="6045" w:type="dxa"/>
            <w:gridSpan w:val="2"/>
            <w:tcBorders>
              <w:top w:val="single" w:color="auto" w:sz="4" w:space="0"/>
              <w:left w:val="single" w:color="auto" w:sz="4" w:space="0"/>
              <w:bottom w:val="single" w:color="auto" w:sz="4" w:space="0"/>
              <w:right w:val="single" w:color="auto" w:sz="4" w:space="0"/>
            </w:tcBorders>
          </w:tcPr>
          <w:p w14:paraId="6915484B">
            <w:pPr>
              <w:autoSpaceDE w:val="0"/>
              <w:autoSpaceDN w:val="0"/>
              <w:adjustRightInd w:val="0"/>
              <w:rPr>
                <w:rFonts w:hint="eastAsia" w:ascii="宋体" w:hAnsi="宋体" w:cs="宋体"/>
                <w:bCs/>
                <w:sz w:val="24"/>
                <w:szCs w:val="24"/>
                <w:lang w:val="zh-CN"/>
              </w:rPr>
            </w:pPr>
          </w:p>
        </w:tc>
      </w:tr>
      <w:tr w14:paraId="2C29F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3334" w:type="dxa"/>
            <w:tcBorders>
              <w:top w:val="single" w:color="auto" w:sz="4" w:space="0"/>
              <w:left w:val="single" w:color="auto" w:sz="4" w:space="0"/>
              <w:bottom w:val="single" w:color="auto" w:sz="4" w:space="0"/>
              <w:right w:val="single" w:color="auto" w:sz="4" w:space="0"/>
            </w:tcBorders>
            <w:vAlign w:val="center"/>
          </w:tcPr>
          <w:p w14:paraId="77E6CBD7">
            <w:pPr>
              <w:jc w:val="center"/>
              <w:rPr>
                <w:rFonts w:hint="eastAsia" w:ascii="宋体" w:hAnsi="宋体" w:cs="宋体"/>
                <w:sz w:val="24"/>
                <w:szCs w:val="24"/>
                <w:lang w:val="zh-CN"/>
              </w:rPr>
            </w:pPr>
            <w:r>
              <w:rPr>
                <w:rFonts w:hint="eastAsia" w:ascii="宋体" w:hAnsi="宋体" w:cs="宋体"/>
                <w:sz w:val="24"/>
                <w:szCs w:val="24"/>
                <w:lang w:val="zh-CN"/>
              </w:rPr>
              <w:t>投标总工期</w:t>
            </w:r>
          </w:p>
        </w:tc>
        <w:tc>
          <w:tcPr>
            <w:tcW w:w="6045" w:type="dxa"/>
            <w:gridSpan w:val="2"/>
            <w:tcBorders>
              <w:top w:val="single" w:color="auto" w:sz="4" w:space="0"/>
              <w:left w:val="single" w:color="auto" w:sz="4" w:space="0"/>
              <w:bottom w:val="single" w:color="auto" w:sz="4" w:space="0"/>
              <w:right w:val="single" w:color="auto" w:sz="4" w:space="0"/>
            </w:tcBorders>
          </w:tcPr>
          <w:p w14:paraId="6C26EB9E">
            <w:pPr>
              <w:autoSpaceDE w:val="0"/>
              <w:autoSpaceDN w:val="0"/>
              <w:adjustRightInd w:val="0"/>
              <w:rPr>
                <w:rFonts w:hint="eastAsia" w:ascii="宋体" w:hAnsi="宋体" w:cs="宋体"/>
                <w:bCs/>
                <w:sz w:val="24"/>
                <w:szCs w:val="24"/>
                <w:lang w:val="zh-CN"/>
              </w:rPr>
            </w:pPr>
          </w:p>
        </w:tc>
      </w:tr>
      <w:tr w14:paraId="7A947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334" w:type="dxa"/>
            <w:tcBorders>
              <w:top w:val="single" w:color="auto" w:sz="4" w:space="0"/>
              <w:left w:val="single" w:color="auto" w:sz="4" w:space="0"/>
              <w:bottom w:val="single" w:color="auto" w:sz="4" w:space="0"/>
              <w:right w:val="single" w:color="auto" w:sz="4" w:space="0"/>
            </w:tcBorders>
            <w:vAlign w:val="center"/>
          </w:tcPr>
          <w:p w14:paraId="610D65E7">
            <w:pPr>
              <w:jc w:val="center"/>
              <w:rPr>
                <w:rFonts w:hint="eastAsia" w:ascii="宋体" w:hAnsi="宋体"/>
                <w:sz w:val="24"/>
                <w:szCs w:val="24"/>
              </w:rPr>
            </w:pPr>
            <w:r>
              <w:rPr>
                <w:rFonts w:hint="eastAsia" w:ascii="宋体" w:hAnsi="宋体" w:cs="宋体"/>
                <w:sz w:val="24"/>
                <w:szCs w:val="24"/>
                <w:lang w:val="zh-CN"/>
              </w:rPr>
              <w:t>工程质量标准</w:t>
            </w:r>
          </w:p>
        </w:tc>
        <w:tc>
          <w:tcPr>
            <w:tcW w:w="6045" w:type="dxa"/>
            <w:gridSpan w:val="2"/>
            <w:tcBorders>
              <w:top w:val="single" w:color="auto" w:sz="4" w:space="0"/>
              <w:left w:val="single" w:color="auto" w:sz="4" w:space="0"/>
              <w:bottom w:val="single" w:color="auto" w:sz="4" w:space="0"/>
              <w:right w:val="single" w:color="auto" w:sz="4" w:space="0"/>
            </w:tcBorders>
          </w:tcPr>
          <w:p w14:paraId="5A0B3246">
            <w:pPr>
              <w:autoSpaceDE w:val="0"/>
              <w:autoSpaceDN w:val="0"/>
              <w:adjustRightInd w:val="0"/>
              <w:rPr>
                <w:rFonts w:hint="eastAsia" w:ascii="宋体" w:hAnsi="宋体" w:cs="宋体"/>
                <w:bCs/>
                <w:sz w:val="24"/>
                <w:szCs w:val="24"/>
                <w:lang w:val="zh-CN"/>
              </w:rPr>
            </w:pPr>
          </w:p>
        </w:tc>
      </w:tr>
      <w:tr w14:paraId="13E17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3334" w:type="dxa"/>
            <w:tcBorders>
              <w:top w:val="single" w:color="auto" w:sz="4" w:space="0"/>
              <w:left w:val="single" w:color="auto" w:sz="4" w:space="0"/>
              <w:bottom w:val="single" w:color="auto" w:sz="4" w:space="0"/>
              <w:right w:val="single" w:color="auto" w:sz="4" w:space="0"/>
            </w:tcBorders>
            <w:vAlign w:val="center"/>
          </w:tcPr>
          <w:p w14:paraId="2D5B4F4F">
            <w:pPr>
              <w:autoSpaceDE w:val="0"/>
              <w:autoSpaceDN w:val="0"/>
              <w:adjustRightInd w:val="0"/>
              <w:jc w:val="center"/>
              <w:rPr>
                <w:rFonts w:hint="eastAsia" w:ascii="宋体" w:hAnsi="宋体" w:cs="宋体"/>
                <w:bCs/>
                <w:sz w:val="24"/>
                <w:szCs w:val="24"/>
                <w:lang w:val="zh-CN"/>
              </w:rPr>
            </w:pPr>
            <w:r>
              <w:rPr>
                <w:rFonts w:hint="eastAsia" w:ascii="宋体" w:hAnsi="宋体" w:cs="宋体"/>
                <w:sz w:val="24"/>
                <w:szCs w:val="24"/>
                <w:lang w:val="zh-CN"/>
              </w:rPr>
              <w:t>保修期限</w:t>
            </w:r>
          </w:p>
        </w:tc>
        <w:tc>
          <w:tcPr>
            <w:tcW w:w="6045" w:type="dxa"/>
            <w:gridSpan w:val="2"/>
            <w:tcBorders>
              <w:top w:val="single" w:color="auto" w:sz="4" w:space="0"/>
              <w:left w:val="single" w:color="auto" w:sz="4" w:space="0"/>
              <w:bottom w:val="single" w:color="auto" w:sz="4" w:space="0"/>
              <w:right w:val="single" w:color="auto" w:sz="4" w:space="0"/>
            </w:tcBorders>
          </w:tcPr>
          <w:p w14:paraId="22FE6125">
            <w:pPr>
              <w:autoSpaceDE w:val="0"/>
              <w:autoSpaceDN w:val="0"/>
              <w:adjustRightInd w:val="0"/>
              <w:rPr>
                <w:rFonts w:hint="eastAsia" w:ascii="宋体" w:hAnsi="宋体" w:cs="宋体"/>
                <w:bCs/>
                <w:sz w:val="24"/>
                <w:szCs w:val="24"/>
                <w:lang w:val="zh-CN"/>
              </w:rPr>
            </w:pPr>
          </w:p>
        </w:tc>
      </w:tr>
      <w:tr w14:paraId="38FB1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3334" w:type="dxa"/>
            <w:tcBorders>
              <w:top w:val="single" w:color="auto" w:sz="4" w:space="0"/>
              <w:left w:val="single" w:color="auto" w:sz="4" w:space="0"/>
              <w:right w:val="single" w:color="auto" w:sz="4" w:space="0"/>
            </w:tcBorders>
            <w:vAlign w:val="center"/>
          </w:tcPr>
          <w:p w14:paraId="4C3659B9">
            <w:pPr>
              <w:autoSpaceDE w:val="0"/>
              <w:autoSpaceDN w:val="0"/>
              <w:adjustRightInd w:val="0"/>
              <w:jc w:val="center"/>
              <w:rPr>
                <w:rFonts w:hint="eastAsia" w:ascii="宋体" w:hAnsi="宋体" w:cs="宋体"/>
                <w:bCs/>
                <w:sz w:val="24"/>
                <w:szCs w:val="24"/>
                <w:lang w:val="zh-CN"/>
              </w:rPr>
            </w:pPr>
            <w:r>
              <w:rPr>
                <w:rFonts w:hint="eastAsia" w:ascii="宋体" w:hAnsi="宋体" w:cs="宋体"/>
                <w:sz w:val="24"/>
                <w:szCs w:val="24"/>
                <w:lang w:val="zh-CN"/>
              </w:rPr>
              <w:t>委派的项目负责人</w:t>
            </w:r>
          </w:p>
        </w:tc>
        <w:tc>
          <w:tcPr>
            <w:tcW w:w="2211" w:type="dxa"/>
            <w:tcBorders>
              <w:top w:val="single" w:color="auto" w:sz="4" w:space="0"/>
              <w:left w:val="single" w:color="auto" w:sz="4" w:space="0"/>
              <w:bottom w:val="single" w:color="auto" w:sz="4" w:space="0"/>
              <w:right w:val="single" w:color="auto" w:sz="4" w:space="0"/>
            </w:tcBorders>
            <w:vAlign w:val="center"/>
          </w:tcPr>
          <w:p w14:paraId="5C1CF6CE">
            <w:pPr>
              <w:jc w:val="center"/>
              <w:rPr>
                <w:rFonts w:hint="eastAsia" w:ascii="宋体" w:hAnsi="宋体"/>
                <w:sz w:val="24"/>
                <w:szCs w:val="24"/>
              </w:rPr>
            </w:pPr>
            <w:r>
              <w:rPr>
                <w:rFonts w:hint="eastAsia" w:ascii="宋体" w:hAnsi="宋体"/>
                <w:sz w:val="24"/>
                <w:szCs w:val="24"/>
              </w:rPr>
              <w:t>姓   名</w:t>
            </w:r>
          </w:p>
        </w:tc>
        <w:tc>
          <w:tcPr>
            <w:tcW w:w="3834" w:type="dxa"/>
            <w:tcBorders>
              <w:top w:val="single" w:color="auto" w:sz="4" w:space="0"/>
              <w:left w:val="single" w:color="auto" w:sz="4" w:space="0"/>
              <w:bottom w:val="single" w:color="auto" w:sz="4" w:space="0"/>
              <w:right w:val="single" w:color="auto" w:sz="4" w:space="0"/>
            </w:tcBorders>
          </w:tcPr>
          <w:p w14:paraId="5E352C8D">
            <w:pPr>
              <w:autoSpaceDE w:val="0"/>
              <w:autoSpaceDN w:val="0"/>
              <w:adjustRightInd w:val="0"/>
              <w:rPr>
                <w:rFonts w:hint="eastAsia" w:ascii="宋体" w:hAnsi="宋体" w:cs="宋体"/>
                <w:bCs/>
                <w:sz w:val="24"/>
                <w:szCs w:val="24"/>
                <w:lang w:val="zh-CN"/>
              </w:rPr>
            </w:pPr>
          </w:p>
        </w:tc>
      </w:tr>
      <w:tr w14:paraId="7C634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3334" w:type="dxa"/>
            <w:tcBorders>
              <w:top w:val="single" w:color="auto" w:sz="4" w:space="0"/>
              <w:left w:val="single" w:color="auto" w:sz="4" w:space="0"/>
              <w:right w:val="single" w:color="auto" w:sz="4" w:space="0"/>
            </w:tcBorders>
            <w:vAlign w:val="center"/>
          </w:tcPr>
          <w:p w14:paraId="13A4DBC8">
            <w:pPr>
              <w:autoSpaceDE w:val="0"/>
              <w:autoSpaceDN w:val="0"/>
              <w:adjustRightInd w:val="0"/>
              <w:jc w:val="center"/>
              <w:rPr>
                <w:rFonts w:hint="eastAsia" w:ascii="宋体" w:hAnsi="宋体" w:cs="宋体"/>
                <w:bCs/>
                <w:sz w:val="24"/>
                <w:szCs w:val="24"/>
                <w:lang w:val="zh-CN"/>
              </w:rPr>
            </w:pPr>
            <w:r>
              <w:rPr>
                <w:rFonts w:hint="eastAsia" w:ascii="宋体" w:hAnsi="宋体" w:cs="宋体"/>
                <w:bCs/>
                <w:sz w:val="24"/>
                <w:szCs w:val="24"/>
                <w:lang w:val="zh-CN"/>
              </w:rPr>
              <w:t>委派的专职安全员</w:t>
            </w:r>
          </w:p>
        </w:tc>
        <w:tc>
          <w:tcPr>
            <w:tcW w:w="2211" w:type="dxa"/>
            <w:tcBorders>
              <w:top w:val="single" w:color="auto" w:sz="4" w:space="0"/>
              <w:left w:val="single" w:color="auto" w:sz="4" w:space="0"/>
              <w:bottom w:val="single" w:color="auto" w:sz="4" w:space="0"/>
              <w:right w:val="single" w:color="auto" w:sz="4" w:space="0"/>
            </w:tcBorders>
            <w:vAlign w:val="center"/>
          </w:tcPr>
          <w:p w14:paraId="36905030">
            <w:pPr>
              <w:autoSpaceDE w:val="0"/>
              <w:autoSpaceDN w:val="0"/>
              <w:adjustRightInd w:val="0"/>
              <w:jc w:val="center"/>
              <w:rPr>
                <w:rFonts w:hint="eastAsia" w:ascii="宋体" w:hAnsi="宋体" w:cs="宋体"/>
                <w:bCs/>
                <w:sz w:val="24"/>
                <w:szCs w:val="24"/>
                <w:lang w:val="zh-CN"/>
              </w:rPr>
            </w:pPr>
            <w:r>
              <w:rPr>
                <w:rFonts w:hint="eastAsia" w:ascii="宋体" w:hAnsi="宋体" w:cs="宋体"/>
                <w:bCs/>
                <w:sz w:val="24"/>
                <w:szCs w:val="24"/>
                <w:lang w:val="zh-CN"/>
              </w:rPr>
              <w:t>姓   名</w:t>
            </w:r>
          </w:p>
        </w:tc>
        <w:tc>
          <w:tcPr>
            <w:tcW w:w="3834" w:type="dxa"/>
            <w:tcBorders>
              <w:top w:val="single" w:color="auto" w:sz="4" w:space="0"/>
              <w:left w:val="single" w:color="auto" w:sz="4" w:space="0"/>
              <w:bottom w:val="single" w:color="auto" w:sz="4" w:space="0"/>
              <w:right w:val="single" w:color="auto" w:sz="4" w:space="0"/>
            </w:tcBorders>
          </w:tcPr>
          <w:p w14:paraId="596114AE">
            <w:pPr>
              <w:autoSpaceDE w:val="0"/>
              <w:autoSpaceDN w:val="0"/>
              <w:adjustRightInd w:val="0"/>
              <w:rPr>
                <w:rFonts w:hint="eastAsia" w:ascii="宋体" w:hAnsi="宋体" w:cs="宋体"/>
                <w:bCs/>
                <w:sz w:val="24"/>
                <w:szCs w:val="24"/>
                <w:lang w:val="zh-CN"/>
              </w:rPr>
            </w:pPr>
          </w:p>
        </w:tc>
      </w:tr>
    </w:tbl>
    <w:p w14:paraId="08FAFC3F">
      <w:pPr>
        <w:autoSpaceDE w:val="0"/>
        <w:autoSpaceDN w:val="0"/>
        <w:adjustRightInd w:val="0"/>
        <w:spacing w:line="360" w:lineRule="auto"/>
        <w:rPr>
          <w:rFonts w:hint="eastAsia" w:ascii="宋体" w:hAnsi="宋体" w:cs="宋体"/>
          <w:sz w:val="24"/>
          <w:szCs w:val="24"/>
        </w:rPr>
      </w:pPr>
    </w:p>
    <w:p w14:paraId="1FABAA38">
      <w:bookmarkStart w:id="127" w:name="_Toc60070631"/>
      <w:bookmarkStart w:id="128" w:name="_Toc24470"/>
      <w:bookmarkStart w:id="129" w:name="_Toc100130492"/>
      <w:bookmarkStart w:id="130" w:name="_Toc8801"/>
      <w:bookmarkStart w:id="131" w:name="_Toc1024"/>
      <w:bookmarkStart w:id="132" w:name="_Toc58838603"/>
      <w:bookmarkStart w:id="133" w:name="_Toc9557"/>
      <w:bookmarkStart w:id="134" w:name="_Toc15617"/>
      <w:bookmarkStart w:id="135" w:name="_Toc13426"/>
      <w:bookmarkStart w:id="136" w:name="_Toc60070622"/>
      <w:r>
        <w:rPr>
          <w:rFonts w:hint="eastAsia"/>
        </w:rPr>
        <w:br w:type="page"/>
      </w:r>
    </w:p>
    <w:p w14:paraId="17ADFC11">
      <w:pPr>
        <w:pStyle w:val="5"/>
        <w:rPr>
          <w:rFonts w:hint="eastAsia"/>
        </w:rPr>
      </w:pPr>
      <w:r>
        <w:rPr>
          <w:rFonts w:hint="eastAsia"/>
        </w:rPr>
        <w:t>格式二：</w:t>
      </w:r>
      <w:bookmarkEnd w:id="127"/>
      <w:bookmarkEnd w:id="128"/>
      <w:bookmarkEnd w:id="129"/>
      <w:bookmarkEnd w:id="130"/>
      <w:bookmarkEnd w:id="131"/>
      <w:bookmarkEnd w:id="132"/>
      <w:bookmarkEnd w:id="133"/>
      <w:bookmarkEnd w:id="134"/>
      <w:bookmarkEnd w:id="135"/>
    </w:p>
    <w:p w14:paraId="08ABC3DD">
      <w:pPr>
        <w:jc w:val="center"/>
        <w:rPr>
          <w:rFonts w:hint="eastAsia" w:ascii="宋体" w:hAnsi="宋体"/>
          <w:b/>
          <w:sz w:val="36"/>
          <w:szCs w:val="36"/>
        </w:rPr>
      </w:pPr>
      <w:r>
        <w:rPr>
          <w:rFonts w:hint="eastAsia" w:ascii="宋体" w:hAnsi="宋体"/>
          <w:b/>
          <w:sz w:val="36"/>
          <w:szCs w:val="36"/>
        </w:rPr>
        <w:t>参与编制技术标投标文件人员名单</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470"/>
        <w:gridCol w:w="2520"/>
        <w:gridCol w:w="2822"/>
        <w:gridCol w:w="1740"/>
      </w:tblGrid>
      <w:tr w14:paraId="620FB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690" w:type="dxa"/>
            <w:gridSpan w:val="5"/>
            <w:tcBorders>
              <w:top w:val="single" w:color="auto" w:sz="4" w:space="0"/>
              <w:left w:val="single" w:color="auto" w:sz="4" w:space="0"/>
              <w:bottom w:val="single" w:color="auto" w:sz="4" w:space="0"/>
              <w:right w:val="single" w:color="auto" w:sz="4" w:space="0"/>
            </w:tcBorders>
            <w:vAlign w:val="center"/>
          </w:tcPr>
          <w:p w14:paraId="4085A4CA">
            <w:pPr>
              <w:tabs>
                <w:tab w:val="left" w:pos="720"/>
              </w:tabs>
              <w:snapToGrid w:val="0"/>
              <w:jc w:val="center"/>
              <w:rPr>
                <w:rFonts w:hint="eastAsia" w:ascii="宋体" w:hAnsi="宋体" w:cs="宋体"/>
                <w:szCs w:val="21"/>
              </w:rPr>
            </w:pPr>
            <w:r>
              <w:rPr>
                <w:rFonts w:hint="eastAsia" w:ascii="宋体" w:hAnsi="宋体" w:cs="宋体"/>
                <w:szCs w:val="21"/>
              </w:rPr>
              <w:t>投标单位名称</w:t>
            </w:r>
          </w:p>
        </w:tc>
      </w:tr>
      <w:tr w14:paraId="763F4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14:paraId="104718C7">
            <w:pPr>
              <w:tabs>
                <w:tab w:val="left" w:pos="720"/>
              </w:tabs>
              <w:snapToGrid w:val="0"/>
              <w:jc w:val="center"/>
              <w:rPr>
                <w:rFonts w:hint="eastAsia" w:ascii="宋体" w:hAnsi="宋体" w:cs="宋体"/>
                <w:szCs w:val="21"/>
              </w:rPr>
            </w:pPr>
            <w:r>
              <w:rPr>
                <w:rFonts w:hint="eastAsia" w:ascii="宋体" w:hAnsi="宋体" w:cs="宋体"/>
                <w:szCs w:val="21"/>
              </w:rPr>
              <w:t>姓名</w:t>
            </w:r>
          </w:p>
        </w:tc>
        <w:tc>
          <w:tcPr>
            <w:tcW w:w="1470" w:type="dxa"/>
            <w:tcBorders>
              <w:top w:val="single" w:color="auto" w:sz="4" w:space="0"/>
              <w:left w:val="single" w:color="auto" w:sz="4" w:space="0"/>
              <w:bottom w:val="single" w:color="auto" w:sz="4" w:space="0"/>
              <w:right w:val="single" w:color="auto" w:sz="4" w:space="0"/>
            </w:tcBorders>
            <w:vAlign w:val="center"/>
          </w:tcPr>
          <w:p w14:paraId="128E44AA">
            <w:pPr>
              <w:tabs>
                <w:tab w:val="left" w:pos="720"/>
              </w:tabs>
              <w:snapToGrid w:val="0"/>
              <w:jc w:val="center"/>
              <w:rPr>
                <w:rFonts w:hint="eastAsia" w:ascii="宋体" w:hAnsi="宋体" w:cs="宋体"/>
                <w:szCs w:val="21"/>
              </w:rPr>
            </w:pPr>
            <w:r>
              <w:rPr>
                <w:rFonts w:hint="eastAsia" w:ascii="宋体" w:hAnsi="宋体" w:cs="宋体"/>
                <w:szCs w:val="21"/>
              </w:rPr>
              <w:t>职务</w:t>
            </w:r>
          </w:p>
        </w:tc>
        <w:tc>
          <w:tcPr>
            <w:tcW w:w="2520" w:type="dxa"/>
            <w:tcBorders>
              <w:top w:val="single" w:color="auto" w:sz="4" w:space="0"/>
              <w:left w:val="single" w:color="auto" w:sz="4" w:space="0"/>
              <w:bottom w:val="single" w:color="auto" w:sz="4" w:space="0"/>
              <w:right w:val="single" w:color="auto" w:sz="4" w:space="0"/>
            </w:tcBorders>
            <w:vAlign w:val="center"/>
          </w:tcPr>
          <w:p w14:paraId="76ECF456">
            <w:pPr>
              <w:tabs>
                <w:tab w:val="left" w:pos="720"/>
              </w:tabs>
              <w:snapToGrid w:val="0"/>
              <w:jc w:val="center"/>
              <w:rPr>
                <w:rFonts w:hint="eastAsia" w:ascii="宋体" w:hAnsi="宋体" w:cs="宋体"/>
                <w:szCs w:val="21"/>
              </w:rPr>
            </w:pPr>
            <w:r>
              <w:rPr>
                <w:rFonts w:hint="eastAsia" w:ascii="宋体" w:hAnsi="宋体" w:cs="宋体"/>
                <w:szCs w:val="21"/>
              </w:rPr>
              <w:t>所承担工作</w:t>
            </w:r>
          </w:p>
        </w:tc>
        <w:tc>
          <w:tcPr>
            <w:tcW w:w="2822" w:type="dxa"/>
            <w:tcBorders>
              <w:top w:val="single" w:color="auto" w:sz="4" w:space="0"/>
              <w:left w:val="single" w:color="auto" w:sz="4" w:space="0"/>
              <w:bottom w:val="single" w:color="auto" w:sz="4" w:space="0"/>
              <w:right w:val="single" w:color="auto" w:sz="4" w:space="0"/>
            </w:tcBorders>
            <w:vAlign w:val="center"/>
          </w:tcPr>
          <w:p w14:paraId="7B668B7D">
            <w:pPr>
              <w:tabs>
                <w:tab w:val="left" w:pos="720"/>
              </w:tabs>
              <w:snapToGrid w:val="0"/>
              <w:jc w:val="center"/>
              <w:rPr>
                <w:rFonts w:hint="eastAsia" w:ascii="宋体" w:hAnsi="宋体" w:cs="宋体"/>
                <w:szCs w:val="21"/>
              </w:rPr>
            </w:pPr>
            <w:r>
              <w:rPr>
                <w:rFonts w:hint="eastAsia" w:ascii="宋体" w:hAnsi="宋体" w:cs="宋体"/>
                <w:szCs w:val="21"/>
              </w:rPr>
              <w:t>身份证号码</w:t>
            </w:r>
          </w:p>
        </w:tc>
        <w:tc>
          <w:tcPr>
            <w:tcW w:w="1740" w:type="dxa"/>
            <w:tcBorders>
              <w:top w:val="single" w:color="auto" w:sz="4" w:space="0"/>
              <w:left w:val="single" w:color="auto" w:sz="4" w:space="0"/>
              <w:bottom w:val="single" w:color="auto" w:sz="4" w:space="0"/>
              <w:right w:val="single" w:color="auto" w:sz="4" w:space="0"/>
            </w:tcBorders>
            <w:vAlign w:val="center"/>
          </w:tcPr>
          <w:p w14:paraId="28022B2E">
            <w:pPr>
              <w:tabs>
                <w:tab w:val="left" w:pos="720"/>
              </w:tabs>
              <w:snapToGrid w:val="0"/>
              <w:jc w:val="center"/>
              <w:rPr>
                <w:rFonts w:hint="eastAsia" w:ascii="宋体" w:hAnsi="宋体" w:cs="宋体"/>
                <w:szCs w:val="21"/>
              </w:rPr>
            </w:pPr>
            <w:r>
              <w:rPr>
                <w:rFonts w:hint="eastAsia" w:ascii="宋体" w:hAnsi="宋体" w:cs="宋体"/>
                <w:szCs w:val="21"/>
              </w:rPr>
              <w:t>本人签名栏</w:t>
            </w:r>
          </w:p>
        </w:tc>
      </w:tr>
      <w:tr w14:paraId="5D795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14:paraId="74572589">
            <w:pPr>
              <w:tabs>
                <w:tab w:val="left" w:pos="720"/>
              </w:tabs>
              <w:snapToGrid w:val="0"/>
              <w:jc w:val="center"/>
              <w:rPr>
                <w:rFonts w:hint="eastAsia" w:ascii="宋体" w:hAnsi="宋体" w:cs="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4E47E8C9">
            <w:pPr>
              <w:tabs>
                <w:tab w:val="left" w:pos="720"/>
              </w:tabs>
              <w:snapToGrid w:val="0"/>
              <w:jc w:val="center"/>
              <w:rPr>
                <w:rFonts w:hint="eastAsia" w:ascii="宋体" w:hAnsi="宋体" w:cs="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37BA5624">
            <w:pPr>
              <w:tabs>
                <w:tab w:val="left" w:pos="720"/>
              </w:tabs>
              <w:snapToGrid w:val="0"/>
              <w:jc w:val="center"/>
              <w:rPr>
                <w:rFonts w:hint="eastAsia" w:ascii="宋体" w:hAnsi="宋体" w:cs="宋体"/>
                <w:szCs w:val="21"/>
              </w:rPr>
            </w:pPr>
          </w:p>
        </w:tc>
        <w:tc>
          <w:tcPr>
            <w:tcW w:w="2822" w:type="dxa"/>
            <w:tcBorders>
              <w:top w:val="single" w:color="auto" w:sz="4" w:space="0"/>
              <w:left w:val="single" w:color="auto" w:sz="4" w:space="0"/>
              <w:bottom w:val="single" w:color="auto" w:sz="4" w:space="0"/>
              <w:right w:val="single" w:color="auto" w:sz="4" w:space="0"/>
            </w:tcBorders>
            <w:vAlign w:val="center"/>
          </w:tcPr>
          <w:p w14:paraId="028764DF">
            <w:pPr>
              <w:tabs>
                <w:tab w:val="left" w:pos="720"/>
              </w:tabs>
              <w:snapToGrid w:val="0"/>
              <w:jc w:val="center"/>
              <w:rPr>
                <w:rFonts w:hint="eastAsia" w:ascii="宋体" w:hAnsi="宋体" w:cs="宋体"/>
                <w:szCs w:val="21"/>
              </w:rPr>
            </w:pPr>
          </w:p>
        </w:tc>
        <w:tc>
          <w:tcPr>
            <w:tcW w:w="1740" w:type="dxa"/>
            <w:tcBorders>
              <w:top w:val="single" w:color="auto" w:sz="4" w:space="0"/>
              <w:left w:val="single" w:color="auto" w:sz="4" w:space="0"/>
              <w:bottom w:val="single" w:color="auto" w:sz="4" w:space="0"/>
              <w:right w:val="single" w:color="auto" w:sz="4" w:space="0"/>
            </w:tcBorders>
            <w:vAlign w:val="center"/>
          </w:tcPr>
          <w:p w14:paraId="1F355E8F">
            <w:pPr>
              <w:tabs>
                <w:tab w:val="left" w:pos="720"/>
              </w:tabs>
              <w:snapToGrid w:val="0"/>
              <w:jc w:val="center"/>
              <w:rPr>
                <w:rFonts w:hint="eastAsia" w:ascii="宋体" w:hAnsi="宋体" w:cs="宋体"/>
                <w:szCs w:val="21"/>
              </w:rPr>
            </w:pPr>
          </w:p>
        </w:tc>
      </w:tr>
      <w:tr w14:paraId="02F22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14:paraId="136ACA1C">
            <w:pPr>
              <w:tabs>
                <w:tab w:val="left" w:pos="720"/>
              </w:tabs>
              <w:snapToGrid w:val="0"/>
              <w:jc w:val="center"/>
              <w:rPr>
                <w:rFonts w:hint="eastAsia" w:ascii="宋体" w:hAnsi="宋体" w:cs="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02D84268">
            <w:pPr>
              <w:tabs>
                <w:tab w:val="left" w:pos="720"/>
              </w:tabs>
              <w:snapToGrid w:val="0"/>
              <w:jc w:val="center"/>
              <w:rPr>
                <w:rFonts w:hint="eastAsia" w:ascii="宋体" w:hAnsi="宋体" w:cs="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3D784608">
            <w:pPr>
              <w:tabs>
                <w:tab w:val="left" w:pos="720"/>
              </w:tabs>
              <w:snapToGrid w:val="0"/>
              <w:jc w:val="center"/>
              <w:rPr>
                <w:rFonts w:hint="eastAsia" w:ascii="宋体" w:hAnsi="宋体" w:cs="宋体"/>
                <w:szCs w:val="21"/>
              </w:rPr>
            </w:pPr>
          </w:p>
        </w:tc>
        <w:tc>
          <w:tcPr>
            <w:tcW w:w="2822" w:type="dxa"/>
            <w:tcBorders>
              <w:top w:val="single" w:color="auto" w:sz="4" w:space="0"/>
              <w:left w:val="single" w:color="auto" w:sz="4" w:space="0"/>
              <w:bottom w:val="single" w:color="auto" w:sz="4" w:space="0"/>
              <w:right w:val="single" w:color="auto" w:sz="4" w:space="0"/>
            </w:tcBorders>
            <w:vAlign w:val="center"/>
          </w:tcPr>
          <w:p w14:paraId="4A2367DE">
            <w:pPr>
              <w:tabs>
                <w:tab w:val="left" w:pos="720"/>
              </w:tabs>
              <w:snapToGrid w:val="0"/>
              <w:jc w:val="center"/>
              <w:rPr>
                <w:rFonts w:hint="eastAsia" w:ascii="宋体" w:hAnsi="宋体" w:cs="宋体"/>
                <w:szCs w:val="21"/>
              </w:rPr>
            </w:pPr>
          </w:p>
        </w:tc>
        <w:tc>
          <w:tcPr>
            <w:tcW w:w="1740" w:type="dxa"/>
            <w:tcBorders>
              <w:top w:val="single" w:color="auto" w:sz="4" w:space="0"/>
              <w:left w:val="single" w:color="auto" w:sz="4" w:space="0"/>
              <w:bottom w:val="single" w:color="auto" w:sz="4" w:space="0"/>
              <w:right w:val="single" w:color="auto" w:sz="4" w:space="0"/>
            </w:tcBorders>
            <w:vAlign w:val="center"/>
          </w:tcPr>
          <w:p w14:paraId="4B547AA7">
            <w:pPr>
              <w:tabs>
                <w:tab w:val="left" w:pos="720"/>
              </w:tabs>
              <w:snapToGrid w:val="0"/>
              <w:jc w:val="center"/>
              <w:rPr>
                <w:rFonts w:hint="eastAsia" w:ascii="宋体" w:hAnsi="宋体" w:cs="宋体"/>
                <w:szCs w:val="21"/>
              </w:rPr>
            </w:pPr>
          </w:p>
        </w:tc>
      </w:tr>
      <w:tr w14:paraId="48317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14:paraId="1F82E2AB">
            <w:pPr>
              <w:tabs>
                <w:tab w:val="left" w:pos="720"/>
              </w:tabs>
              <w:snapToGrid w:val="0"/>
              <w:jc w:val="center"/>
              <w:rPr>
                <w:rFonts w:hint="eastAsia" w:ascii="宋体" w:hAnsi="宋体" w:cs="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7B3E8AE5">
            <w:pPr>
              <w:tabs>
                <w:tab w:val="left" w:pos="720"/>
              </w:tabs>
              <w:snapToGrid w:val="0"/>
              <w:jc w:val="center"/>
              <w:rPr>
                <w:rFonts w:hint="eastAsia" w:ascii="宋体" w:hAnsi="宋体" w:cs="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29635CB1">
            <w:pPr>
              <w:tabs>
                <w:tab w:val="left" w:pos="720"/>
              </w:tabs>
              <w:snapToGrid w:val="0"/>
              <w:jc w:val="center"/>
              <w:rPr>
                <w:rFonts w:hint="eastAsia" w:ascii="宋体" w:hAnsi="宋体" w:cs="宋体"/>
                <w:szCs w:val="21"/>
              </w:rPr>
            </w:pPr>
          </w:p>
        </w:tc>
        <w:tc>
          <w:tcPr>
            <w:tcW w:w="2822" w:type="dxa"/>
            <w:tcBorders>
              <w:top w:val="single" w:color="auto" w:sz="4" w:space="0"/>
              <w:left w:val="single" w:color="auto" w:sz="4" w:space="0"/>
              <w:bottom w:val="single" w:color="auto" w:sz="4" w:space="0"/>
              <w:right w:val="single" w:color="auto" w:sz="4" w:space="0"/>
            </w:tcBorders>
            <w:vAlign w:val="center"/>
          </w:tcPr>
          <w:p w14:paraId="63E7C28C">
            <w:pPr>
              <w:tabs>
                <w:tab w:val="left" w:pos="720"/>
              </w:tabs>
              <w:snapToGrid w:val="0"/>
              <w:jc w:val="center"/>
              <w:rPr>
                <w:rFonts w:hint="eastAsia" w:ascii="宋体" w:hAnsi="宋体" w:cs="宋体"/>
                <w:szCs w:val="21"/>
              </w:rPr>
            </w:pPr>
          </w:p>
        </w:tc>
        <w:tc>
          <w:tcPr>
            <w:tcW w:w="1740" w:type="dxa"/>
            <w:tcBorders>
              <w:top w:val="single" w:color="auto" w:sz="4" w:space="0"/>
              <w:left w:val="single" w:color="auto" w:sz="4" w:space="0"/>
              <w:bottom w:val="single" w:color="auto" w:sz="4" w:space="0"/>
              <w:right w:val="single" w:color="auto" w:sz="4" w:space="0"/>
            </w:tcBorders>
            <w:vAlign w:val="center"/>
          </w:tcPr>
          <w:p w14:paraId="4D1F634E">
            <w:pPr>
              <w:tabs>
                <w:tab w:val="left" w:pos="720"/>
              </w:tabs>
              <w:snapToGrid w:val="0"/>
              <w:jc w:val="center"/>
              <w:rPr>
                <w:rFonts w:hint="eastAsia" w:ascii="宋体" w:hAnsi="宋体" w:cs="宋体"/>
                <w:szCs w:val="21"/>
              </w:rPr>
            </w:pPr>
          </w:p>
        </w:tc>
      </w:tr>
      <w:tr w14:paraId="7D21A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14:paraId="2CB43E5A">
            <w:pPr>
              <w:tabs>
                <w:tab w:val="left" w:pos="720"/>
              </w:tabs>
              <w:snapToGrid w:val="0"/>
              <w:jc w:val="center"/>
              <w:rPr>
                <w:rFonts w:hint="eastAsia" w:ascii="宋体" w:hAnsi="宋体" w:cs="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19C8C4DC">
            <w:pPr>
              <w:tabs>
                <w:tab w:val="left" w:pos="720"/>
              </w:tabs>
              <w:snapToGrid w:val="0"/>
              <w:jc w:val="center"/>
              <w:rPr>
                <w:rFonts w:hint="eastAsia" w:ascii="宋体" w:hAnsi="宋体" w:cs="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4634EE4F">
            <w:pPr>
              <w:tabs>
                <w:tab w:val="left" w:pos="720"/>
              </w:tabs>
              <w:snapToGrid w:val="0"/>
              <w:jc w:val="center"/>
              <w:rPr>
                <w:rFonts w:hint="eastAsia" w:ascii="宋体" w:hAnsi="宋体" w:cs="宋体"/>
                <w:szCs w:val="21"/>
              </w:rPr>
            </w:pPr>
          </w:p>
        </w:tc>
        <w:tc>
          <w:tcPr>
            <w:tcW w:w="2822" w:type="dxa"/>
            <w:tcBorders>
              <w:top w:val="single" w:color="auto" w:sz="4" w:space="0"/>
              <w:left w:val="single" w:color="auto" w:sz="4" w:space="0"/>
              <w:bottom w:val="single" w:color="auto" w:sz="4" w:space="0"/>
              <w:right w:val="single" w:color="auto" w:sz="4" w:space="0"/>
            </w:tcBorders>
            <w:vAlign w:val="center"/>
          </w:tcPr>
          <w:p w14:paraId="77A723FD">
            <w:pPr>
              <w:tabs>
                <w:tab w:val="left" w:pos="720"/>
              </w:tabs>
              <w:snapToGrid w:val="0"/>
              <w:jc w:val="center"/>
              <w:rPr>
                <w:rFonts w:hint="eastAsia" w:ascii="宋体" w:hAnsi="宋体" w:cs="宋体"/>
                <w:szCs w:val="21"/>
              </w:rPr>
            </w:pPr>
          </w:p>
        </w:tc>
        <w:tc>
          <w:tcPr>
            <w:tcW w:w="1740" w:type="dxa"/>
            <w:tcBorders>
              <w:top w:val="single" w:color="auto" w:sz="4" w:space="0"/>
              <w:left w:val="single" w:color="auto" w:sz="4" w:space="0"/>
              <w:bottom w:val="single" w:color="auto" w:sz="4" w:space="0"/>
              <w:right w:val="single" w:color="auto" w:sz="4" w:space="0"/>
            </w:tcBorders>
            <w:vAlign w:val="center"/>
          </w:tcPr>
          <w:p w14:paraId="621C9233">
            <w:pPr>
              <w:tabs>
                <w:tab w:val="left" w:pos="720"/>
              </w:tabs>
              <w:snapToGrid w:val="0"/>
              <w:jc w:val="center"/>
              <w:rPr>
                <w:rFonts w:hint="eastAsia" w:ascii="宋体" w:hAnsi="宋体" w:cs="宋体"/>
                <w:szCs w:val="21"/>
              </w:rPr>
            </w:pPr>
          </w:p>
        </w:tc>
      </w:tr>
      <w:tr w14:paraId="2393A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14:paraId="0E282568">
            <w:pPr>
              <w:tabs>
                <w:tab w:val="left" w:pos="720"/>
              </w:tabs>
              <w:snapToGrid w:val="0"/>
              <w:jc w:val="center"/>
              <w:rPr>
                <w:rFonts w:hint="eastAsia" w:ascii="宋体" w:hAnsi="宋体" w:cs="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352FB0F8">
            <w:pPr>
              <w:tabs>
                <w:tab w:val="left" w:pos="720"/>
              </w:tabs>
              <w:snapToGrid w:val="0"/>
              <w:jc w:val="center"/>
              <w:rPr>
                <w:rFonts w:hint="eastAsia" w:ascii="宋体" w:hAnsi="宋体" w:cs="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01A4D7B0">
            <w:pPr>
              <w:tabs>
                <w:tab w:val="left" w:pos="720"/>
              </w:tabs>
              <w:snapToGrid w:val="0"/>
              <w:jc w:val="center"/>
              <w:rPr>
                <w:rFonts w:hint="eastAsia" w:ascii="宋体" w:hAnsi="宋体" w:cs="宋体"/>
                <w:szCs w:val="21"/>
              </w:rPr>
            </w:pPr>
          </w:p>
        </w:tc>
        <w:tc>
          <w:tcPr>
            <w:tcW w:w="2822" w:type="dxa"/>
            <w:tcBorders>
              <w:top w:val="single" w:color="auto" w:sz="4" w:space="0"/>
              <w:left w:val="single" w:color="auto" w:sz="4" w:space="0"/>
              <w:bottom w:val="single" w:color="auto" w:sz="4" w:space="0"/>
              <w:right w:val="single" w:color="auto" w:sz="4" w:space="0"/>
            </w:tcBorders>
            <w:vAlign w:val="center"/>
          </w:tcPr>
          <w:p w14:paraId="2BF33A41">
            <w:pPr>
              <w:tabs>
                <w:tab w:val="left" w:pos="720"/>
              </w:tabs>
              <w:snapToGrid w:val="0"/>
              <w:jc w:val="center"/>
              <w:rPr>
                <w:rFonts w:hint="eastAsia" w:ascii="宋体" w:hAnsi="宋体" w:cs="宋体"/>
                <w:szCs w:val="21"/>
              </w:rPr>
            </w:pPr>
          </w:p>
        </w:tc>
        <w:tc>
          <w:tcPr>
            <w:tcW w:w="1740" w:type="dxa"/>
            <w:tcBorders>
              <w:top w:val="single" w:color="auto" w:sz="4" w:space="0"/>
              <w:left w:val="single" w:color="auto" w:sz="4" w:space="0"/>
              <w:bottom w:val="single" w:color="auto" w:sz="4" w:space="0"/>
              <w:right w:val="single" w:color="auto" w:sz="4" w:space="0"/>
            </w:tcBorders>
            <w:vAlign w:val="center"/>
          </w:tcPr>
          <w:p w14:paraId="2D0E95C0">
            <w:pPr>
              <w:tabs>
                <w:tab w:val="left" w:pos="720"/>
              </w:tabs>
              <w:snapToGrid w:val="0"/>
              <w:jc w:val="center"/>
              <w:rPr>
                <w:rFonts w:hint="eastAsia" w:ascii="宋体" w:hAnsi="宋体" w:cs="宋体"/>
                <w:szCs w:val="21"/>
              </w:rPr>
            </w:pPr>
          </w:p>
        </w:tc>
      </w:tr>
      <w:tr w14:paraId="58AA3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14:paraId="7260AFDA">
            <w:pPr>
              <w:tabs>
                <w:tab w:val="left" w:pos="720"/>
              </w:tabs>
              <w:snapToGrid w:val="0"/>
              <w:jc w:val="center"/>
              <w:rPr>
                <w:rFonts w:hint="eastAsia" w:ascii="宋体" w:hAnsi="宋体" w:cs="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024743C2">
            <w:pPr>
              <w:tabs>
                <w:tab w:val="left" w:pos="720"/>
              </w:tabs>
              <w:snapToGrid w:val="0"/>
              <w:jc w:val="center"/>
              <w:rPr>
                <w:rFonts w:hint="eastAsia" w:ascii="宋体" w:hAnsi="宋体" w:cs="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02FF2799">
            <w:pPr>
              <w:tabs>
                <w:tab w:val="left" w:pos="720"/>
              </w:tabs>
              <w:snapToGrid w:val="0"/>
              <w:jc w:val="center"/>
              <w:rPr>
                <w:rFonts w:hint="eastAsia" w:ascii="宋体" w:hAnsi="宋体" w:cs="宋体"/>
                <w:szCs w:val="21"/>
              </w:rPr>
            </w:pPr>
          </w:p>
        </w:tc>
        <w:tc>
          <w:tcPr>
            <w:tcW w:w="2822" w:type="dxa"/>
            <w:tcBorders>
              <w:top w:val="single" w:color="auto" w:sz="4" w:space="0"/>
              <w:left w:val="single" w:color="auto" w:sz="4" w:space="0"/>
              <w:bottom w:val="single" w:color="auto" w:sz="4" w:space="0"/>
              <w:right w:val="single" w:color="auto" w:sz="4" w:space="0"/>
            </w:tcBorders>
            <w:vAlign w:val="center"/>
          </w:tcPr>
          <w:p w14:paraId="119EBBF4">
            <w:pPr>
              <w:tabs>
                <w:tab w:val="left" w:pos="720"/>
              </w:tabs>
              <w:snapToGrid w:val="0"/>
              <w:jc w:val="center"/>
              <w:rPr>
                <w:rFonts w:hint="eastAsia" w:ascii="宋体" w:hAnsi="宋体" w:cs="宋体"/>
                <w:szCs w:val="21"/>
              </w:rPr>
            </w:pPr>
          </w:p>
        </w:tc>
        <w:tc>
          <w:tcPr>
            <w:tcW w:w="1740" w:type="dxa"/>
            <w:tcBorders>
              <w:top w:val="single" w:color="auto" w:sz="4" w:space="0"/>
              <w:left w:val="single" w:color="auto" w:sz="4" w:space="0"/>
              <w:bottom w:val="single" w:color="auto" w:sz="4" w:space="0"/>
              <w:right w:val="single" w:color="auto" w:sz="4" w:space="0"/>
            </w:tcBorders>
            <w:vAlign w:val="center"/>
          </w:tcPr>
          <w:p w14:paraId="119D3FED">
            <w:pPr>
              <w:tabs>
                <w:tab w:val="left" w:pos="720"/>
              </w:tabs>
              <w:snapToGrid w:val="0"/>
              <w:jc w:val="center"/>
              <w:rPr>
                <w:rFonts w:hint="eastAsia" w:ascii="宋体" w:hAnsi="宋体" w:cs="宋体"/>
                <w:szCs w:val="21"/>
              </w:rPr>
            </w:pPr>
          </w:p>
        </w:tc>
      </w:tr>
      <w:tr w14:paraId="786C3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14:paraId="1485581C">
            <w:pPr>
              <w:tabs>
                <w:tab w:val="left" w:pos="720"/>
              </w:tabs>
              <w:snapToGrid w:val="0"/>
              <w:jc w:val="center"/>
              <w:rPr>
                <w:rFonts w:hint="eastAsia" w:ascii="宋体" w:hAnsi="宋体" w:cs="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5A91DF72">
            <w:pPr>
              <w:tabs>
                <w:tab w:val="left" w:pos="720"/>
              </w:tabs>
              <w:snapToGrid w:val="0"/>
              <w:jc w:val="center"/>
              <w:rPr>
                <w:rFonts w:hint="eastAsia" w:ascii="宋体" w:hAnsi="宋体" w:cs="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2935F7E0">
            <w:pPr>
              <w:tabs>
                <w:tab w:val="left" w:pos="720"/>
              </w:tabs>
              <w:snapToGrid w:val="0"/>
              <w:jc w:val="center"/>
              <w:rPr>
                <w:rFonts w:hint="eastAsia" w:ascii="宋体" w:hAnsi="宋体" w:cs="宋体"/>
                <w:szCs w:val="21"/>
              </w:rPr>
            </w:pPr>
          </w:p>
        </w:tc>
        <w:tc>
          <w:tcPr>
            <w:tcW w:w="2822" w:type="dxa"/>
            <w:tcBorders>
              <w:top w:val="single" w:color="auto" w:sz="4" w:space="0"/>
              <w:left w:val="single" w:color="auto" w:sz="4" w:space="0"/>
              <w:bottom w:val="single" w:color="auto" w:sz="4" w:space="0"/>
              <w:right w:val="single" w:color="auto" w:sz="4" w:space="0"/>
            </w:tcBorders>
            <w:vAlign w:val="center"/>
          </w:tcPr>
          <w:p w14:paraId="16730F97">
            <w:pPr>
              <w:tabs>
                <w:tab w:val="left" w:pos="720"/>
              </w:tabs>
              <w:snapToGrid w:val="0"/>
              <w:jc w:val="center"/>
              <w:rPr>
                <w:rFonts w:hint="eastAsia" w:ascii="宋体" w:hAnsi="宋体" w:cs="宋体"/>
                <w:szCs w:val="21"/>
              </w:rPr>
            </w:pPr>
          </w:p>
        </w:tc>
        <w:tc>
          <w:tcPr>
            <w:tcW w:w="1740" w:type="dxa"/>
            <w:tcBorders>
              <w:top w:val="single" w:color="auto" w:sz="4" w:space="0"/>
              <w:left w:val="single" w:color="auto" w:sz="4" w:space="0"/>
              <w:bottom w:val="single" w:color="auto" w:sz="4" w:space="0"/>
              <w:right w:val="single" w:color="auto" w:sz="4" w:space="0"/>
            </w:tcBorders>
            <w:vAlign w:val="center"/>
          </w:tcPr>
          <w:p w14:paraId="5729C4B5">
            <w:pPr>
              <w:tabs>
                <w:tab w:val="left" w:pos="720"/>
              </w:tabs>
              <w:snapToGrid w:val="0"/>
              <w:jc w:val="center"/>
              <w:rPr>
                <w:rFonts w:hint="eastAsia" w:ascii="宋体" w:hAnsi="宋体" w:cs="宋体"/>
                <w:szCs w:val="21"/>
              </w:rPr>
            </w:pPr>
          </w:p>
        </w:tc>
      </w:tr>
      <w:tr w14:paraId="7B81E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14:paraId="6B965570">
            <w:pPr>
              <w:tabs>
                <w:tab w:val="left" w:pos="720"/>
              </w:tabs>
              <w:snapToGrid w:val="0"/>
              <w:jc w:val="center"/>
              <w:rPr>
                <w:rFonts w:hint="eastAsia" w:ascii="宋体" w:hAnsi="宋体" w:cs="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01589151">
            <w:pPr>
              <w:tabs>
                <w:tab w:val="left" w:pos="720"/>
              </w:tabs>
              <w:snapToGrid w:val="0"/>
              <w:jc w:val="center"/>
              <w:rPr>
                <w:rFonts w:hint="eastAsia" w:ascii="宋体" w:hAnsi="宋体" w:cs="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3DCB8BFF">
            <w:pPr>
              <w:tabs>
                <w:tab w:val="left" w:pos="720"/>
              </w:tabs>
              <w:snapToGrid w:val="0"/>
              <w:jc w:val="center"/>
              <w:rPr>
                <w:rFonts w:hint="eastAsia" w:ascii="宋体" w:hAnsi="宋体" w:cs="宋体"/>
                <w:szCs w:val="21"/>
              </w:rPr>
            </w:pPr>
          </w:p>
        </w:tc>
        <w:tc>
          <w:tcPr>
            <w:tcW w:w="2822" w:type="dxa"/>
            <w:tcBorders>
              <w:top w:val="single" w:color="auto" w:sz="4" w:space="0"/>
              <w:left w:val="single" w:color="auto" w:sz="4" w:space="0"/>
              <w:bottom w:val="single" w:color="auto" w:sz="4" w:space="0"/>
              <w:right w:val="single" w:color="auto" w:sz="4" w:space="0"/>
            </w:tcBorders>
            <w:vAlign w:val="center"/>
          </w:tcPr>
          <w:p w14:paraId="44C678A0">
            <w:pPr>
              <w:tabs>
                <w:tab w:val="left" w:pos="720"/>
              </w:tabs>
              <w:snapToGrid w:val="0"/>
              <w:jc w:val="center"/>
              <w:rPr>
                <w:rFonts w:hint="eastAsia" w:ascii="宋体" w:hAnsi="宋体" w:cs="宋体"/>
                <w:szCs w:val="21"/>
              </w:rPr>
            </w:pPr>
          </w:p>
        </w:tc>
        <w:tc>
          <w:tcPr>
            <w:tcW w:w="1740" w:type="dxa"/>
            <w:tcBorders>
              <w:top w:val="single" w:color="auto" w:sz="4" w:space="0"/>
              <w:left w:val="single" w:color="auto" w:sz="4" w:space="0"/>
              <w:bottom w:val="single" w:color="auto" w:sz="4" w:space="0"/>
              <w:right w:val="single" w:color="auto" w:sz="4" w:space="0"/>
            </w:tcBorders>
            <w:vAlign w:val="center"/>
          </w:tcPr>
          <w:p w14:paraId="0D0E5FE7">
            <w:pPr>
              <w:tabs>
                <w:tab w:val="left" w:pos="720"/>
              </w:tabs>
              <w:snapToGrid w:val="0"/>
              <w:jc w:val="center"/>
              <w:rPr>
                <w:rFonts w:hint="eastAsia" w:ascii="宋体" w:hAnsi="宋体" w:cs="宋体"/>
                <w:szCs w:val="21"/>
              </w:rPr>
            </w:pPr>
          </w:p>
        </w:tc>
      </w:tr>
    </w:tbl>
    <w:p w14:paraId="41DD1469">
      <w:pPr>
        <w:autoSpaceDE w:val="0"/>
        <w:autoSpaceDN w:val="0"/>
        <w:adjustRightInd w:val="0"/>
        <w:spacing w:line="360" w:lineRule="auto"/>
        <w:rPr>
          <w:rFonts w:hint="eastAsia" w:ascii="宋体" w:hAnsi="宋体" w:cs="宋体"/>
          <w:bCs/>
          <w:sz w:val="24"/>
          <w:szCs w:val="24"/>
        </w:rPr>
      </w:pPr>
      <w:r>
        <w:rPr>
          <w:rFonts w:hint="eastAsia" w:ascii="宋体" w:hAnsi="宋体" w:cs="宋体"/>
          <w:sz w:val="24"/>
          <w:szCs w:val="24"/>
        </w:rPr>
        <w:t>注：参与编制技术标书所有人员名单应包括如编制技术投标方案、负责清样校对、负责打印及复印等所有人员在内的人员名单。</w:t>
      </w:r>
    </w:p>
    <w:p w14:paraId="5964DEC7">
      <w:pPr>
        <w:rPr>
          <w:rFonts w:hint="eastAsia" w:ascii="宋体" w:hAnsi="宋体"/>
        </w:rPr>
      </w:pPr>
    </w:p>
    <w:p w14:paraId="0DC361F2">
      <w:pPr>
        <w:widowControl/>
        <w:jc w:val="left"/>
        <w:rPr>
          <w:rFonts w:hint="eastAsia" w:ascii="宋体" w:hAnsi="宋体"/>
        </w:rPr>
      </w:pPr>
      <w:r>
        <w:rPr>
          <w:rFonts w:ascii="宋体" w:hAnsi="宋体"/>
        </w:rPr>
        <w:br w:type="page"/>
      </w:r>
    </w:p>
    <w:bookmarkEnd w:id="136"/>
    <w:p w14:paraId="1B9138BD">
      <w:pPr>
        <w:pStyle w:val="5"/>
        <w:rPr>
          <w:rFonts w:hint="eastAsia"/>
        </w:rPr>
      </w:pPr>
      <w:bookmarkStart w:id="137" w:name="_Toc25131"/>
      <w:bookmarkStart w:id="138" w:name="_Toc53"/>
      <w:bookmarkStart w:id="139" w:name="_Toc60070630"/>
      <w:bookmarkStart w:id="140" w:name="_Toc100130494"/>
      <w:bookmarkStart w:id="141" w:name="_Toc17564"/>
      <w:bookmarkStart w:id="142" w:name="_Toc24853"/>
      <w:bookmarkStart w:id="143" w:name="_Toc30940"/>
      <w:bookmarkStart w:id="144" w:name="_Toc21894"/>
      <w:bookmarkStart w:id="145" w:name="_Toc58838602"/>
      <w:bookmarkStart w:id="146" w:name="_Toc60070625"/>
      <w:r>
        <w:rPr>
          <w:rFonts w:hint="eastAsia"/>
        </w:rPr>
        <w:t>格式四：</w:t>
      </w:r>
      <w:bookmarkEnd w:id="137"/>
      <w:bookmarkEnd w:id="138"/>
      <w:bookmarkEnd w:id="139"/>
      <w:bookmarkEnd w:id="140"/>
      <w:bookmarkEnd w:id="141"/>
      <w:bookmarkEnd w:id="142"/>
      <w:bookmarkEnd w:id="143"/>
      <w:bookmarkEnd w:id="144"/>
    </w:p>
    <w:bookmarkEnd w:id="145"/>
    <w:p w14:paraId="2D3A6A80">
      <w:pPr>
        <w:jc w:val="center"/>
        <w:rPr>
          <w:rFonts w:hint="eastAsia" w:ascii="宋体" w:hAnsi="宋体"/>
          <w:b/>
          <w:sz w:val="36"/>
          <w:szCs w:val="36"/>
        </w:rPr>
      </w:pPr>
      <w:r>
        <w:rPr>
          <w:rFonts w:hint="eastAsia" w:ascii="宋体" w:hAnsi="宋体"/>
          <w:b/>
          <w:sz w:val="36"/>
          <w:szCs w:val="36"/>
        </w:rPr>
        <w:t>危险性较大的分部分项工程安全管理措施</w:t>
      </w:r>
    </w:p>
    <w:p w14:paraId="3514810D">
      <w:pPr>
        <w:pStyle w:val="144"/>
        <w:autoSpaceDE w:val="0"/>
        <w:autoSpaceDN w:val="0"/>
        <w:adjustRightInd w:val="0"/>
        <w:spacing w:line="440" w:lineRule="exact"/>
        <w:ind w:firstLine="480"/>
        <w:jc w:val="left"/>
        <w:rPr>
          <w:rFonts w:hint="eastAsia" w:ascii="宋体" w:hAnsi="宋体" w:cs="宋体"/>
          <w:sz w:val="24"/>
          <w:szCs w:val="24"/>
        </w:rPr>
      </w:pPr>
      <w:r>
        <w:rPr>
          <w:rFonts w:hint="eastAsia" w:ascii="宋体" w:hAnsi="宋体" w:cs="宋体"/>
          <w:sz w:val="24"/>
          <w:szCs w:val="24"/>
        </w:rPr>
        <w:t>1、根据中华人民共和国住房和城乡建设部令第37号《危险性较大的分部分项工程安全管理规定》（以下简称“37号文”），投标人在投标时须补充完善危大工程清单并结合本工程的类型和特点，科学、合理地设置本项目的危险性较大的分部分项工程安全管理措施，危险性较大的分部分项工程安全管理措施由投标人结合招标人对本工程的具体要求自行设定。</w:t>
      </w:r>
    </w:p>
    <w:p w14:paraId="6EA78D50">
      <w:pPr>
        <w:pStyle w:val="144"/>
        <w:autoSpaceDE w:val="0"/>
        <w:autoSpaceDN w:val="0"/>
        <w:adjustRightInd w:val="0"/>
        <w:spacing w:line="440" w:lineRule="exact"/>
        <w:ind w:firstLine="480"/>
        <w:jc w:val="left"/>
        <w:rPr>
          <w:rFonts w:hint="eastAsia" w:ascii="宋体" w:hAnsi="宋体" w:cs="宋体"/>
          <w:sz w:val="24"/>
          <w:szCs w:val="24"/>
        </w:rPr>
      </w:pPr>
      <w:r>
        <w:rPr>
          <w:rFonts w:hint="eastAsia" w:ascii="宋体" w:hAnsi="宋体" w:cs="宋体"/>
          <w:sz w:val="24"/>
          <w:szCs w:val="24"/>
        </w:rPr>
        <w:t>2、招标人根据设计文件的要求及37号文的规定列出“危险性较大的分部分项工程清单及超过一定规模的危险性较大的分部分项工程清单”中与本招标项目相关的清单项，具体详见第5点“打√”标识。</w:t>
      </w:r>
    </w:p>
    <w:p w14:paraId="2CE51BBE">
      <w:pPr>
        <w:pStyle w:val="144"/>
        <w:autoSpaceDE w:val="0"/>
        <w:autoSpaceDN w:val="0"/>
        <w:adjustRightInd w:val="0"/>
        <w:spacing w:line="440" w:lineRule="exact"/>
        <w:ind w:firstLine="480"/>
        <w:jc w:val="left"/>
        <w:rPr>
          <w:rFonts w:hint="eastAsia" w:ascii="宋体" w:hAnsi="宋体" w:cs="宋体"/>
          <w:sz w:val="24"/>
          <w:szCs w:val="24"/>
        </w:rPr>
      </w:pPr>
      <w:r>
        <w:rPr>
          <w:rFonts w:hint="eastAsia" w:ascii="宋体" w:hAnsi="宋体" w:cs="宋体"/>
          <w:sz w:val="24"/>
          <w:szCs w:val="24"/>
        </w:rPr>
        <w:t>（1）投标单位同意建设单位在清单中标识的该项请在对应项打“√”标识。</w:t>
      </w:r>
    </w:p>
    <w:p w14:paraId="6C660E3B">
      <w:pPr>
        <w:pStyle w:val="144"/>
        <w:autoSpaceDE w:val="0"/>
        <w:autoSpaceDN w:val="0"/>
        <w:adjustRightInd w:val="0"/>
        <w:spacing w:line="440" w:lineRule="exact"/>
        <w:ind w:firstLine="480"/>
        <w:jc w:val="left"/>
        <w:rPr>
          <w:rFonts w:hint="eastAsia" w:ascii="宋体" w:hAnsi="宋体" w:cs="宋体"/>
          <w:sz w:val="24"/>
          <w:szCs w:val="24"/>
        </w:rPr>
      </w:pPr>
      <w:r>
        <w:rPr>
          <w:rFonts w:hint="eastAsia" w:ascii="宋体" w:hAnsi="宋体" w:cs="宋体"/>
          <w:sz w:val="24"/>
          <w:szCs w:val="24"/>
        </w:rPr>
        <w:t>（2）投标单位对清单中认为需要补充的该项请在对应项打“√”标识。</w:t>
      </w:r>
    </w:p>
    <w:p w14:paraId="223CCED8">
      <w:pPr>
        <w:pStyle w:val="144"/>
        <w:autoSpaceDE w:val="0"/>
        <w:autoSpaceDN w:val="0"/>
        <w:adjustRightInd w:val="0"/>
        <w:spacing w:line="440" w:lineRule="exact"/>
        <w:ind w:firstLine="480"/>
        <w:jc w:val="left"/>
        <w:rPr>
          <w:rFonts w:hint="eastAsia" w:ascii="宋体" w:hAnsi="宋体" w:cs="宋体"/>
          <w:sz w:val="24"/>
          <w:szCs w:val="24"/>
        </w:rPr>
      </w:pPr>
      <w:r>
        <w:rPr>
          <w:rFonts w:hint="eastAsia" w:ascii="宋体" w:hAnsi="宋体" w:cs="宋体"/>
          <w:sz w:val="24"/>
          <w:szCs w:val="24"/>
        </w:rPr>
        <w:t>（3）投标单位不同意建设单位在清单中标识的该项请在对应项打“×”标识，并在备注栏填上相关说明。</w:t>
      </w:r>
    </w:p>
    <w:p w14:paraId="11D7ED0B">
      <w:pPr>
        <w:pStyle w:val="144"/>
        <w:autoSpaceDE w:val="0"/>
        <w:autoSpaceDN w:val="0"/>
        <w:adjustRightInd w:val="0"/>
        <w:spacing w:line="440" w:lineRule="exact"/>
        <w:ind w:firstLine="480"/>
        <w:jc w:val="left"/>
        <w:rPr>
          <w:rFonts w:hint="eastAsia" w:ascii="宋体" w:hAnsi="宋体" w:cs="宋体"/>
          <w:sz w:val="24"/>
          <w:szCs w:val="24"/>
        </w:rPr>
      </w:pPr>
      <w:r>
        <w:rPr>
          <w:rFonts w:hint="eastAsia" w:ascii="宋体" w:hAnsi="宋体" w:cs="宋体"/>
          <w:sz w:val="24"/>
          <w:szCs w:val="24"/>
        </w:rPr>
        <w:t>3、中标后应当根据招标人提供的下述第5点清单，编制专项施工方案。</w:t>
      </w:r>
    </w:p>
    <w:p w14:paraId="23AD77CB">
      <w:pPr>
        <w:pStyle w:val="144"/>
        <w:autoSpaceDE w:val="0"/>
        <w:autoSpaceDN w:val="0"/>
        <w:adjustRightInd w:val="0"/>
        <w:spacing w:line="440" w:lineRule="exact"/>
        <w:ind w:firstLine="480"/>
        <w:jc w:val="left"/>
        <w:rPr>
          <w:rFonts w:hint="eastAsia" w:ascii="宋体" w:hAnsi="宋体" w:cs="宋体"/>
          <w:sz w:val="24"/>
          <w:szCs w:val="24"/>
        </w:rPr>
      </w:pPr>
      <w:r>
        <w:rPr>
          <w:rFonts w:hint="eastAsia" w:ascii="宋体" w:hAnsi="宋体" w:cs="宋体"/>
          <w:sz w:val="24"/>
          <w:szCs w:val="24"/>
        </w:rPr>
        <w:t>4、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50D97472">
      <w:pPr>
        <w:pStyle w:val="144"/>
        <w:autoSpaceDE w:val="0"/>
        <w:autoSpaceDN w:val="0"/>
        <w:adjustRightInd w:val="0"/>
        <w:spacing w:line="440" w:lineRule="exact"/>
        <w:ind w:firstLine="480"/>
        <w:jc w:val="left"/>
        <w:rPr>
          <w:rFonts w:hint="eastAsia" w:ascii="宋体" w:hAnsi="宋体" w:cs="宋体"/>
          <w:sz w:val="24"/>
          <w:szCs w:val="24"/>
        </w:rPr>
      </w:pPr>
      <w:r>
        <w:rPr>
          <w:rFonts w:hint="eastAsia" w:ascii="宋体" w:hAnsi="宋体" w:cs="宋体"/>
          <w:sz w:val="24"/>
          <w:szCs w:val="24"/>
        </w:rPr>
        <w:t>5、危险性较大的分部分项工程清单及超过一定规模的危险性较大的分部分项工程清单：</w:t>
      </w:r>
    </w:p>
    <w:tbl>
      <w:tblPr>
        <w:tblStyle w:val="52"/>
        <w:tblW w:w="972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1"/>
        <w:gridCol w:w="1845"/>
        <w:gridCol w:w="1680"/>
        <w:gridCol w:w="1020"/>
      </w:tblGrid>
      <w:tr w14:paraId="1C699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181" w:type="dxa"/>
            <w:tcBorders>
              <w:top w:val="single" w:color="auto" w:sz="4" w:space="0"/>
              <w:left w:val="single" w:color="auto" w:sz="4" w:space="0"/>
              <w:bottom w:val="single" w:color="auto" w:sz="4" w:space="0"/>
              <w:right w:val="single" w:color="auto" w:sz="4" w:space="0"/>
            </w:tcBorders>
            <w:vAlign w:val="center"/>
          </w:tcPr>
          <w:p w14:paraId="4155211D">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一、危险性较大的分部分项工程清单</w:t>
            </w:r>
          </w:p>
        </w:tc>
        <w:tc>
          <w:tcPr>
            <w:tcW w:w="1845" w:type="dxa"/>
            <w:tcBorders>
              <w:top w:val="single" w:color="auto" w:sz="4" w:space="0"/>
              <w:left w:val="single" w:color="auto" w:sz="4" w:space="0"/>
              <w:bottom w:val="single" w:color="auto" w:sz="4" w:space="0"/>
              <w:right w:val="single" w:color="auto" w:sz="4" w:space="0"/>
            </w:tcBorders>
            <w:vAlign w:val="center"/>
          </w:tcPr>
          <w:p w14:paraId="79E43E5B">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招标人</w:t>
            </w:r>
          </w:p>
        </w:tc>
        <w:tc>
          <w:tcPr>
            <w:tcW w:w="1680" w:type="dxa"/>
            <w:tcBorders>
              <w:top w:val="single" w:color="auto" w:sz="4" w:space="0"/>
              <w:left w:val="single" w:color="auto" w:sz="4" w:space="0"/>
              <w:bottom w:val="single" w:color="auto" w:sz="4" w:space="0"/>
              <w:right w:val="single" w:color="auto" w:sz="4" w:space="0"/>
            </w:tcBorders>
            <w:vAlign w:val="center"/>
          </w:tcPr>
          <w:p w14:paraId="44392DAF">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投标单位</w:t>
            </w:r>
          </w:p>
        </w:tc>
        <w:tc>
          <w:tcPr>
            <w:tcW w:w="1020" w:type="dxa"/>
            <w:tcBorders>
              <w:top w:val="single" w:color="auto" w:sz="4" w:space="0"/>
              <w:left w:val="single" w:color="auto" w:sz="4" w:space="0"/>
              <w:bottom w:val="single" w:color="auto" w:sz="4" w:space="0"/>
              <w:right w:val="single" w:color="auto" w:sz="4" w:space="0"/>
            </w:tcBorders>
            <w:vAlign w:val="center"/>
          </w:tcPr>
          <w:p w14:paraId="609A5988">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备注</w:t>
            </w:r>
          </w:p>
        </w:tc>
      </w:tr>
      <w:tr w14:paraId="72233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726" w:type="dxa"/>
            <w:gridSpan w:val="4"/>
            <w:tcBorders>
              <w:top w:val="single" w:color="auto" w:sz="4" w:space="0"/>
              <w:left w:val="single" w:color="auto" w:sz="4" w:space="0"/>
              <w:bottom w:val="single" w:color="auto" w:sz="4" w:space="0"/>
              <w:right w:val="single" w:color="auto" w:sz="4" w:space="0"/>
            </w:tcBorders>
            <w:vAlign w:val="center"/>
          </w:tcPr>
          <w:p w14:paraId="18E3B1A8">
            <w:pPr>
              <w:snapToGrid w:val="0"/>
              <w:spacing w:before="46" w:beforeLines="15" w:after="46" w:afterLines="15"/>
              <w:ind w:left="-42" w:leftChars="-20" w:right="-48" w:rightChars="-23"/>
              <w:rPr>
                <w:rFonts w:hint="eastAsia" w:ascii="宋体" w:hAnsi="宋体" w:cs="宋体"/>
                <w:sz w:val="24"/>
                <w:szCs w:val="24"/>
              </w:rPr>
            </w:pPr>
            <w:r>
              <w:rPr>
                <w:rFonts w:hint="eastAsia" w:ascii="宋体" w:hAnsi="宋体" w:cs="宋体"/>
                <w:sz w:val="24"/>
                <w:szCs w:val="24"/>
              </w:rPr>
              <w:t>一、基坑支护</w:t>
            </w:r>
          </w:p>
        </w:tc>
      </w:tr>
      <w:tr w14:paraId="09567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181" w:type="dxa"/>
            <w:tcBorders>
              <w:top w:val="single" w:color="auto" w:sz="4" w:space="0"/>
              <w:left w:val="single" w:color="auto" w:sz="4" w:space="0"/>
              <w:bottom w:val="single" w:color="auto" w:sz="4" w:space="0"/>
              <w:right w:val="single" w:color="auto" w:sz="4" w:space="0"/>
            </w:tcBorders>
            <w:vAlign w:val="center"/>
          </w:tcPr>
          <w:p w14:paraId="4BF17640">
            <w:pPr>
              <w:snapToGrid w:val="0"/>
              <w:spacing w:before="46" w:beforeLines="15" w:after="46" w:afterLines="15"/>
              <w:ind w:left="-42" w:leftChars="-20" w:right="-48" w:rightChars="-23"/>
              <w:rPr>
                <w:rFonts w:hint="eastAsia" w:ascii="宋体" w:hAnsi="宋体" w:cs="宋体"/>
                <w:sz w:val="24"/>
                <w:szCs w:val="24"/>
              </w:rPr>
            </w:pPr>
            <w:r>
              <w:rPr>
                <w:rFonts w:hint="eastAsia" w:ascii="宋体" w:hAnsi="宋体" w:cs="宋体"/>
                <w:sz w:val="24"/>
                <w:szCs w:val="24"/>
              </w:rPr>
              <w:t>（一）开挖深度超过3m（含3m）的基坑（槽）的土方开挖、支护、降水工程。</w:t>
            </w:r>
          </w:p>
        </w:tc>
        <w:tc>
          <w:tcPr>
            <w:tcW w:w="1845" w:type="dxa"/>
            <w:tcBorders>
              <w:top w:val="single" w:color="auto" w:sz="4" w:space="0"/>
              <w:left w:val="single" w:color="auto" w:sz="4" w:space="0"/>
              <w:bottom w:val="single" w:color="auto" w:sz="4" w:space="0"/>
              <w:right w:val="single" w:color="auto" w:sz="4" w:space="0"/>
            </w:tcBorders>
            <w:vAlign w:val="center"/>
          </w:tcPr>
          <w:p w14:paraId="09524ECB">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 )</w:t>
            </w:r>
          </w:p>
        </w:tc>
        <w:tc>
          <w:tcPr>
            <w:tcW w:w="1680" w:type="dxa"/>
            <w:tcBorders>
              <w:top w:val="single" w:color="auto" w:sz="4" w:space="0"/>
              <w:left w:val="single" w:color="auto" w:sz="4" w:space="0"/>
              <w:bottom w:val="single" w:color="auto" w:sz="4" w:space="0"/>
              <w:right w:val="single" w:color="auto" w:sz="4" w:space="0"/>
            </w:tcBorders>
            <w:vAlign w:val="center"/>
          </w:tcPr>
          <w:p w14:paraId="35A5778C">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020" w:type="dxa"/>
            <w:tcBorders>
              <w:top w:val="single" w:color="auto" w:sz="4" w:space="0"/>
              <w:left w:val="single" w:color="auto" w:sz="4" w:space="0"/>
              <w:bottom w:val="single" w:color="auto" w:sz="4" w:space="0"/>
              <w:right w:val="single" w:color="auto" w:sz="4" w:space="0"/>
            </w:tcBorders>
            <w:vAlign w:val="center"/>
          </w:tcPr>
          <w:p w14:paraId="27E7F95F">
            <w:pPr>
              <w:snapToGrid w:val="0"/>
              <w:spacing w:before="46" w:beforeLines="15" w:after="46" w:afterLines="15"/>
              <w:ind w:left="-42" w:leftChars="-20" w:right="-48" w:rightChars="-23"/>
              <w:rPr>
                <w:rFonts w:hint="eastAsia" w:ascii="宋体" w:hAnsi="宋体" w:cs="宋体"/>
                <w:sz w:val="24"/>
                <w:szCs w:val="24"/>
              </w:rPr>
            </w:pPr>
          </w:p>
        </w:tc>
      </w:tr>
      <w:tr w14:paraId="24155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181" w:type="dxa"/>
            <w:tcBorders>
              <w:top w:val="single" w:color="auto" w:sz="4" w:space="0"/>
              <w:left w:val="single" w:color="auto" w:sz="4" w:space="0"/>
              <w:bottom w:val="single" w:color="auto" w:sz="4" w:space="0"/>
              <w:right w:val="single" w:color="auto" w:sz="4" w:space="0"/>
            </w:tcBorders>
            <w:vAlign w:val="center"/>
          </w:tcPr>
          <w:p w14:paraId="5635C400">
            <w:pPr>
              <w:snapToGrid w:val="0"/>
              <w:spacing w:before="46" w:beforeLines="15" w:after="46" w:afterLines="15"/>
              <w:ind w:left="-42" w:leftChars="-20" w:right="-48" w:rightChars="-23"/>
              <w:rPr>
                <w:rFonts w:hint="eastAsia" w:ascii="宋体" w:hAnsi="宋体" w:cs="宋体"/>
                <w:sz w:val="24"/>
                <w:szCs w:val="24"/>
              </w:rPr>
            </w:pPr>
            <w:r>
              <w:rPr>
                <w:rFonts w:hint="eastAsia" w:ascii="宋体" w:hAnsi="宋体" w:cs="宋体"/>
                <w:sz w:val="24"/>
                <w:szCs w:val="24"/>
              </w:rPr>
              <w:t>（二）开挖深度虽未超过3m，但地质条件、周围环境和地下管线复杂，或影响毗邻建、构筑物安全的基坑（槽）的土方开挖、支护、降水工程。</w:t>
            </w:r>
          </w:p>
        </w:tc>
        <w:tc>
          <w:tcPr>
            <w:tcW w:w="1845" w:type="dxa"/>
            <w:tcBorders>
              <w:top w:val="single" w:color="auto" w:sz="4" w:space="0"/>
              <w:left w:val="single" w:color="auto" w:sz="4" w:space="0"/>
              <w:bottom w:val="single" w:color="auto" w:sz="4" w:space="0"/>
              <w:right w:val="single" w:color="auto" w:sz="4" w:space="0"/>
            </w:tcBorders>
            <w:vAlign w:val="center"/>
          </w:tcPr>
          <w:p w14:paraId="67AD05AB">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680" w:type="dxa"/>
            <w:tcBorders>
              <w:top w:val="single" w:color="auto" w:sz="4" w:space="0"/>
              <w:left w:val="single" w:color="auto" w:sz="4" w:space="0"/>
              <w:bottom w:val="single" w:color="auto" w:sz="4" w:space="0"/>
              <w:right w:val="single" w:color="auto" w:sz="4" w:space="0"/>
            </w:tcBorders>
            <w:vAlign w:val="center"/>
          </w:tcPr>
          <w:p w14:paraId="73BF70DF">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020" w:type="dxa"/>
            <w:tcBorders>
              <w:top w:val="single" w:color="auto" w:sz="4" w:space="0"/>
              <w:left w:val="single" w:color="auto" w:sz="4" w:space="0"/>
              <w:bottom w:val="single" w:color="auto" w:sz="4" w:space="0"/>
              <w:right w:val="single" w:color="auto" w:sz="4" w:space="0"/>
            </w:tcBorders>
            <w:vAlign w:val="center"/>
          </w:tcPr>
          <w:p w14:paraId="125A0F9A">
            <w:pPr>
              <w:snapToGrid w:val="0"/>
              <w:spacing w:before="46" w:beforeLines="15" w:after="46" w:afterLines="15"/>
              <w:ind w:left="-42" w:leftChars="-20" w:right="-48" w:rightChars="-23"/>
              <w:rPr>
                <w:rFonts w:hint="eastAsia" w:ascii="宋体" w:hAnsi="宋体" w:cs="宋体"/>
                <w:sz w:val="24"/>
                <w:szCs w:val="24"/>
              </w:rPr>
            </w:pPr>
          </w:p>
        </w:tc>
      </w:tr>
      <w:tr w14:paraId="1A532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726" w:type="dxa"/>
            <w:gridSpan w:val="4"/>
            <w:tcBorders>
              <w:top w:val="single" w:color="auto" w:sz="4" w:space="0"/>
              <w:left w:val="single" w:color="auto" w:sz="4" w:space="0"/>
              <w:bottom w:val="single" w:color="auto" w:sz="4" w:space="0"/>
              <w:right w:val="single" w:color="auto" w:sz="4" w:space="0"/>
            </w:tcBorders>
            <w:vAlign w:val="center"/>
          </w:tcPr>
          <w:p w14:paraId="61126901">
            <w:pPr>
              <w:snapToGrid w:val="0"/>
              <w:spacing w:before="46" w:beforeLines="15" w:after="46" w:afterLines="15"/>
              <w:ind w:left="-42" w:leftChars="-20" w:right="-48" w:rightChars="-23"/>
              <w:rPr>
                <w:rFonts w:hint="eastAsia" w:ascii="宋体" w:hAnsi="宋体" w:cs="宋体"/>
                <w:sz w:val="24"/>
                <w:szCs w:val="24"/>
              </w:rPr>
            </w:pPr>
            <w:r>
              <w:rPr>
                <w:rFonts w:hint="eastAsia" w:ascii="宋体" w:hAnsi="宋体" w:cs="宋体"/>
                <w:sz w:val="24"/>
                <w:szCs w:val="24"/>
              </w:rPr>
              <w:t>二、模板工程及支撑体系</w:t>
            </w:r>
          </w:p>
        </w:tc>
      </w:tr>
      <w:tr w14:paraId="5E8C2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181" w:type="dxa"/>
            <w:tcBorders>
              <w:top w:val="single" w:color="auto" w:sz="4" w:space="0"/>
              <w:left w:val="single" w:color="auto" w:sz="4" w:space="0"/>
              <w:bottom w:val="single" w:color="auto" w:sz="4" w:space="0"/>
              <w:right w:val="single" w:color="auto" w:sz="4" w:space="0"/>
            </w:tcBorders>
            <w:vAlign w:val="center"/>
          </w:tcPr>
          <w:p w14:paraId="03D54169">
            <w:pPr>
              <w:snapToGrid w:val="0"/>
              <w:spacing w:before="46" w:beforeLines="15" w:after="46" w:afterLines="15"/>
              <w:ind w:left="-42" w:leftChars="-20" w:right="-48" w:rightChars="-23"/>
              <w:rPr>
                <w:rFonts w:hint="eastAsia" w:ascii="宋体" w:hAnsi="宋体" w:cs="宋体"/>
                <w:sz w:val="24"/>
                <w:szCs w:val="24"/>
              </w:rPr>
            </w:pPr>
            <w:r>
              <w:rPr>
                <w:rFonts w:hint="eastAsia" w:ascii="宋体" w:hAnsi="宋体" w:cs="宋体"/>
                <w:sz w:val="24"/>
                <w:szCs w:val="24"/>
              </w:rPr>
              <w:t>（一）各类工具式模板工程：包括滑模、爬模、飞模、隧道模等工程。</w:t>
            </w:r>
          </w:p>
        </w:tc>
        <w:tc>
          <w:tcPr>
            <w:tcW w:w="1845" w:type="dxa"/>
            <w:tcBorders>
              <w:top w:val="single" w:color="auto" w:sz="4" w:space="0"/>
              <w:left w:val="single" w:color="auto" w:sz="4" w:space="0"/>
              <w:bottom w:val="single" w:color="auto" w:sz="4" w:space="0"/>
              <w:right w:val="single" w:color="auto" w:sz="4" w:space="0"/>
            </w:tcBorders>
            <w:vAlign w:val="center"/>
          </w:tcPr>
          <w:p w14:paraId="273B086D">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680" w:type="dxa"/>
            <w:tcBorders>
              <w:top w:val="single" w:color="auto" w:sz="4" w:space="0"/>
              <w:left w:val="single" w:color="auto" w:sz="4" w:space="0"/>
              <w:bottom w:val="single" w:color="auto" w:sz="4" w:space="0"/>
              <w:right w:val="single" w:color="auto" w:sz="4" w:space="0"/>
            </w:tcBorders>
            <w:vAlign w:val="center"/>
          </w:tcPr>
          <w:p w14:paraId="1EBF08AE">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020" w:type="dxa"/>
            <w:tcBorders>
              <w:top w:val="single" w:color="auto" w:sz="4" w:space="0"/>
              <w:left w:val="single" w:color="auto" w:sz="4" w:space="0"/>
              <w:bottom w:val="single" w:color="auto" w:sz="4" w:space="0"/>
              <w:right w:val="single" w:color="auto" w:sz="4" w:space="0"/>
            </w:tcBorders>
            <w:vAlign w:val="center"/>
          </w:tcPr>
          <w:p w14:paraId="21BCAED7">
            <w:pPr>
              <w:snapToGrid w:val="0"/>
              <w:spacing w:before="46" w:beforeLines="15" w:after="46" w:afterLines="15"/>
              <w:ind w:left="-42" w:leftChars="-20" w:right="-48" w:rightChars="-23"/>
              <w:rPr>
                <w:rFonts w:hint="eastAsia" w:ascii="宋体" w:hAnsi="宋体" w:cs="宋体"/>
                <w:sz w:val="24"/>
                <w:szCs w:val="24"/>
              </w:rPr>
            </w:pPr>
          </w:p>
        </w:tc>
      </w:tr>
      <w:tr w14:paraId="3CC89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181" w:type="dxa"/>
            <w:tcBorders>
              <w:top w:val="single" w:color="auto" w:sz="4" w:space="0"/>
              <w:left w:val="single" w:color="auto" w:sz="4" w:space="0"/>
              <w:bottom w:val="single" w:color="auto" w:sz="4" w:space="0"/>
              <w:right w:val="single" w:color="auto" w:sz="4" w:space="0"/>
            </w:tcBorders>
            <w:vAlign w:val="center"/>
          </w:tcPr>
          <w:p w14:paraId="41CE78D8">
            <w:pPr>
              <w:snapToGrid w:val="0"/>
              <w:spacing w:before="46" w:beforeLines="15" w:after="46" w:afterLines="15"/>
              <w:ind w:left="-42" w:leftChars="-20" w:right="-48" w:rightChars="-23"/>
              <w:rPr>
                <w:rFonts w:hint="eastAsia" w:ascii="宋体" w:hAnsi="宋体" w:cs="宋体"/>
                <w:sz w:val="24"/>
                <w:szCs w:val="24"/>
              </w:rPr>
            </w:pPr>
            <w:r>
              <w:rPr>
                <w:rFonts w:hint="eastAsia" w:ascii="宋体" w:hAnsi="宋体" w:cs="宋体"/>
                <w:sz w:val="24"/>
                <w:szCs w:val="24"/>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845" w:type="dxa"/>
            <w:tcBorders>
              <w:top w:val="single" w:color="auto" w:sz="4" w:space="0"/>
              <w:left w:val="single" w:color="auto" w:sz="4" w:space="0"/>
              <w:bottom w:val="single" w:color="auto" w:sz="4" w:space="0"/>
              <w:right w:val="single" w:color="auto" w:sz="4" w:space="0"/>
            </w:tcBorders>
            <w:vAlign w:val="center"/>
          </w:tcPr>
          <w:p w14:paraId="28FEC572">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680" w:type="dxa"/>
            <w:tcBorders>
              <w:top w:val="single" w:color="auto" w:sz="4" w:space="0"/>
              <w:left w:val="single" w:color="auto" w:sz="4" w:space="0"/>
              <w:bottom w:val="single" w:color="auto" w:sz="4" w:space="0"/>
              <w:right w:val="single" w:color="auto" w:sz="4" w:space="0"/>
            </w:tcBorders>
            <w:vAlign w:val="center"/>
          </w:tcPr>
          <w:p w14:paraId="50E96B1F">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020" w:type="dxa"/>
            <w:tcBorders>
              <w:top w:val="single" w:color="auto" w:sz="4" w:space="0"/>
              <w:left w:val="single" w:color="auto" w:sz="4" w:space="0"/>
              <w:bottom w:val="single" w:color="auto" w:sz="4" w:space="0"/>
              <w:right w:val="single" w:color="auto" w:sz="4" w:space="0"/>
            </w:tcBorders>
            <w:vAlign w:val="center"/>
          </w:tcPr>
          <w:p w14:paraId="25BF73C2">
            <w:pPr>
              <w:snapToGrid w:val="0"/>
              <w:spacing w:before="46" w:beforeLines="15" w:after="46" w:afterLines="15"/>
              <w:ind w:left="-42" w:leftChars="-20" w:right="-48" w:rightChars="-23"/>
              <w:rPr>
                <w:rFonts w:hint="eastAsia" w:ascii="宋体" w:hAnsi="宋体" w:cs="宋体"/>
                <w:sz w:val="24"/>
                <w:szCs w:val="24"/>
              </w:rPr>
            </w:pPr>
          </w:p>
        </w:tc>
      </w:tr>
      <w:tr w14:paraId="1502E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726" w:type="dxa"/>
            <w:gridSpan w:val="4"/>
            <w:tcBorders>
              <w:top w:val="single" w:color="auto" w:sz="4" w:space="0"/>
              <w:left w:val="single" w:color="auto" w:sz="4" w:space="0"/>
              <w:bottom w:val="single" w:color="auto" w:sz="4" w:space="0"/>
              <w:right w:val="single" w:color="auto" w:sz="4" w:space="0"/>
            </w:tcBorders>
            <w:vAlign w:val="center"/>
          </w:tcPr>
          <w:p w14:paraId="76722BB0">
            <w:pPr>
              <w:snapToGrid w:val="0"/>
              <w:spacing w:before="46" w:beforeLines="15" w:after="46" w:afterLines="15"/>
              <w:ind w:left="-42" w:leftChars="-20" w:right="-48" w:rightChars="-23"/>
              <w:rPr>
                <w:rFonts w:hint="eastAsia" w:ascii="宋体" w:hAnsi="宋体" w:cs="宋体"/>
                <w:sz w:val="24"/>
                <w:szCs w:val="24"/>
              </w:rPr>
            </w:pPr>
            <w:r>
              <w:rPr>
                <w:rFonts w:hint="eastAsia" w:ascii="宋体" w:hAnsi="宋体" w:cs="宋体"/>
                <w:sz w:val="24"/>
                <w:szCs w:val="24"/>
              </w:rPr>
              <w:t>（三）承重支撑体系：用于钢结构安装等满堂支撑体系。</w:t>
            </w:r>
          </w:p>
        </w:tc>
      </w:tr>
      <w:tr w14:paraId="23C19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726" w:type="dxa"/>
            <w:gridSpan w:val="4"/>
            <w:tcBorders>
              <w:top w:val="single" w:color="auto" w:sz="4" w:space="0"/>
              <w:left w:val="single" w:color="auto" w:sz="4" w:space="0"/>
              <w:bottom w:val="single" w:color="auto" w:sz="4" w:space="0"/>
              <w:right w:val="single" w:color="auto" w:sz="4" w:space="0"/>
            </w:tcBorders>
            <w:vAlign w:val="center"/>
          </w:tcPr>
          <w:p w14:paraId="2C3FB9A4">
            <w:pPr>
              <w:snapToGrid w:val="0"/>
              <w:spacing w:before="46" w:beforeLines="15" w:after="46" w:afterLines="15"/>
              <w:ind w:left="-42" w:leftChars="-20" w:right="-48" w:rightChars="-23"/>
              <w:rPr>
                <w:rFonts w:hint="eastAsia" w:ascii="宋体" w:hAnsi="宋体" w:cs="宋体"/>
                <w:sz w:val="24"/>
                <w:szCs w:val="24"/>
              </w:rPr>
            </w:pPr>
            <w:r>
              <w:rPr>
                <w:rFonts w:hint="eastAsia" w:ascii="宋体" w:hAnsi="宋体" w:cs="宋体"/>
                <w:sz w:val="24"/>
                <w:szCs w:val="24"/>
              </w:rPr>
              <w:t>三、起重吊装及起重机械安装拆卸工程(由施工单位自行判断</w:t>
            </w:r>
            <w:r>
              <w:rPr>
                <w:rFonts w:ascii="宋体" w:hAnsi="宋体" w:cs="宋体"/>
                <w:sz w:val="24"/>
                <w:szCs w:val="24"/>
              </w:rPr>
              <w:t>)</w:t>
            </w:r>
          </w:p>
        </w:tc>
      </w:tr>
      <w:tr w14:paraId="2FF2A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181" w:type="dxa"/>
            <w:tcBorders>
              <w:top w:val="single" w:color="auto" w:sz="4" w:space="0"/>
              <w:left w:val="single" w:color="auto" w:sz="4" w:space="0"/>
              <w:bottom w:val="single" w:color="auto" w:sz="4" w:space="0"/>
              <w:right w:val="single" w:color="auto" w:sz="4" w:space="0"/>
            </w:tcBorders>
            <w:vAlign w:val="center"/>
          </w:tcPr>
          <w:p w14:paraId="542DAF50">
            <w:pPr>
              <w:widowControl/>
              <w:snapToGrid w:val="0"/>
              <w:spacing w:before="46" w:beforeLines="15" w:after="46" w:afterLines="15"/>
              <w:ind w:left="-42" w:leftChars="-20" w:right="-48" w:rightChars="-23"/>
              <w:rPr>
                <w:rFonts w:hint="eastAsia" w:ascii="宋体" w:hAnsi="宋体" w:cs="宋体"/>
                <w:sz w:val="24"/>
                <w:szCs w:val="24"/>
              </w:rPr>
            </w:pPr>
            <w:r>
              <w:rPr>
                <w:rFonts w:hint="eastAsia" w:ascii="宋体" w:hAnsi="宋体" w:cs="宋体"/>
                <w:sz w:val="24"/>
                <w:szCs w:val="24"/>
              </w:rPr>
              <w:t>（一）采用非常规起重设备、方法，且单件起吊重量在10kN及以上的起重吊装工程。</w:t>
            </w:r>
          </w:p>
        </w:tc>
        <w:tc>
          <w:tcPr>
            <w:tcW w:w="1845" w:type="dxa"/>
            <w:tcBorders>
              <w:top w:val="single" w:color="auto" w:sz="4" w:space="0"/>
              <w:left w:val="single" w:color="auto" w:sz="4" w:space="0"/>
              <w:bottom w:val="single" w:color="auto" w:sz="4" w:space="0"/>
              <w:right w:val="single" w:color="auto" w:sz="4" w:space="0"/>
            </w:tcBorders>
            <w:vAlign w:val="center"/>
          </w:tcPr>
          <w:p w14:paraId="77AB7284">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680" w:type="dxa"/>
            <w:tcBorders>
              <w:top w:val="single" w:color="auto" w:sz="4" w:space="0"/>
              <w:left w:val="single" w:color="auto" w:sz="4" w:space="0"/>
              <w:bottom w:val="single" w:color="auto" w:sz="4" w:space="0"/>
              <w:right w:val="single" w:color="auto" w:sz="4" w:space="0"/>
            </w:tcBorders>
            <w:vAlign w:val="center"/>
          </w:tcPr>
          <w:p w14:paraId="075525B9">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020" w:type="dxa"/>
            <w:tcBorders>
              <w:top w:val="single" w:color="auto" w:sz="4" w:space="0"/>
              <w:left w:val="single" w:color="auto" w:sz="4" w:space="0"/>
              <w:bottom w:val="single" w:color="auto" w:sz="4" w:space="0"/>
              <w:right w:val="single" w:color="auto" w:sz="4" w:space="0"/>
            </w:tcBorders>
            <w:vAlign w:val="center"/>
          </w:tcPr>
          <w:p w14:paraId="6894CFBE">
            <w:pPr>
              <w:snapToGrid w:val="0"/>
              <w:spacing w:before="46" w:beforeLines="15" w:after="46" w:afterLines="15"/>
              <w:ind w:left="-42" w:leftChars="-20" w:right="-48" w:rightChars="-23"/>
              <w:rPr>
                <w:rFonts w:hint="eastAsia" w:ascii="宋体" w:hAnsi="宋体" w:cs="宋体"/>
                <w:sz w:val="24"/>
                <w:szCs w:val="24"/>
              </w:rPr>
            </w:pPr>
          </w:p>
        </w:tc>
      </w:tr>
      <w:tr w14:paraId="09524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181" w:type="dxa"/>
            <w:tcBorders>
              <w:top w:val="single" w:color="auto" w:sz="4" w:space="0"/>
              <w:left w:val="single" w:color="auto" w:sz="4" w:space="0"/>
              <w:bottom w:val="single" w:color="auto" w:sz="4" w:space="0"/>
              <w:right w:val="single" w:color="auto" w:sz="4" w:space="0"/>
            </w:tcBorders>
            <w:vAlign w:val="center"/>
          </w:tcPr>
          <w:p w14:paraId="0BC8DE9E">
            <w:pPr>
              <w:snapToGrid w:val="0"/>
              <w:spacing w:before="46" w:beforeLines="15" w:after="46" w:afterLines="15"/>
              <w:ind w:left="-42" w:leftChars="-20" w:right="-48" w:rightChars="-23"/>
              <w:rPr>
                <w:rFonts w:hint="eastAsia" w:ascii="宋体" w:hAnsi="宋体" w:cs="宋体"/>
                <w:sz w:val="24"/>
                <w:szCs w:val="24"/>
              </w:rPr>
            </w:pPr>
            <w:r>
              <w:rPr>
                <w:rFonts w:hint="eastAsia" w:ascii="宋体" w:hAnsi="宋体" w:cs="宋体"/>
                <w:sz w:val="24"/>
                <w:szCs w:val="24"/>
              </w:rPr>
              <w:t>（二）采用起重机械进行安装的工程。</w:t>
            </w:r>
          </w:p>
        </w:tc>
        <w:tc>
          <w:tcPr>
            <w:tcW w:w="1845" w:type="dxa"/>
            <w:tcBorders>
              <w:top w:val="single" w:color="auto" w:sz="4" w:space="0"/>
              <w:left w:val="single" w:color="auto" w:sz="4" w:space="0"/>
              <w:bottom w:val="single" w:color="auto" w:sz="4" w:space="0"/>
              <w:right w:val="single" w:color="auto" w:sz="4" w:space="0"/>
            </w:tcBorders>
            <w:vAlign w:val="center"/>
          </w:tcPr>
          <w:p w14:paraId="3411024E">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680" w:type="dxa"/>
            <w:tcBorders>
              <w:top w:val="single" w:color="auto" w:sz="4" w:space="0"/>
              <w:left w:val="single" w:color="auto" w:sz="4" w:space="0"/>
              <w:bottom w:val="single" w:color="auto" w:sz="4" w:space="0"/>
              <w:right w:val="single" w:color="auto" w:sz="4" w:space="0"/>
            </w:tcBorders>
            <w:vAlign w:val="center"/>
          </w:tcPr>
          <w:p w14:paraId="0B9238F0">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020" w:type="dxa"/>
            <w:tcBorders>
              <w:top w:val="single" w:color="auto" w:sz="4" w:space="0"/>
              <w:left w:val="single" w:color="auto" w:sz="4" w:space="0"/>
              <w:bottom w:val="single" w:color="auto" w:sz="4" w:space="0"/>
              <w:right w:val="single" w:color="auto" w:sz="4" w:space="0"/>
            </w:tcBorders>
            <w:vAlign w:val="center"/>
          </w:tcPr>
          <w:p w14:paraId="039F176C">
            <w:pPr>
              <w:snapToGrid w:val="0"/>
              <w:spacing w:before="46" w:beforeLines="15" w:after="46" w:afterLines="15"/>
              <w:ind w:left="-42" w:leftChars="-20" w:right="-48" w:rightChars="-23"/>
              <w:rPr>
                <w:rFonts w:hint="eastAsia" w:ascii="宋体" w:hAnsi="宋体" w:cs="宋体"/>
                <w:sz w:val="24"/>
                <w:szCs w:val="24"/>
              </w:rPr>
            </w:pPr>
          </w:p>
        </w:tc>
      </w:tr>
      <w:tr w14:paraId="404A5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181" w:type="dxa"/>
            <w:tcBorders>
              <w:top w:val="single" w:color="auto" w:sz="4" w:space="0"/>
              <w:left w:val="single" w:color="auto" w:sz="4" w:space="0"/>
              <w:bottom w:val="single" w:color="auto" w:sz="4" w:space="0"/>
              <w:right w:val="single" w:color="auto" w:sz="4" w:space="0"/>
            </w:tcBorders>
            <w:vAlign w:val="center"/>
          </w:tcPr>
          <w:p w14:paraId="33ABBA11">
            <w:pPr>
              <w:snapToGrid w:val="0"/>
              <w:spacing w:before="46" w:beforeLines="15" w:after="46" w:afterLines="15"/>
              <w:ind w:left="-42" w:leftChars="-20" w:right="-48" w:rightChars="-23"/>
              <w:rPr>
                <w:rFonts w:hint="eastAsia" w:ascii="宋体" w:hAnsi="宋体" w:cs="宋体"/>
                <w:sz w:val="24"/>
                <w:szCs w:val="24"/>
              </w:rPr>
            </w:pPr>
            <w:r>
              <w:rPr>
                <w:rFonts w:hint="eastAsia" w:ascii="宋体" w:hAnsi="宋体" w:cs="宋体"/>
                <w:sz w:val="24"/>
                <w:szCs w:val="24"/>
              </w:rPr>
              <w:t>（三）起重机械安装和拆卸工程。</w:t>
            </w:r>
          </w:p>
        </w:tc>
        <w:tc>
          <w:tcPr>
            <w:tcW w:w="1845" w:type="dxa"/>
            <w:tcBorders>
              <w:top w:val="single" w:color="auto" w:sz="4" w:space="0"/>
              <w:left w:val="single" w:color="auto" w:sz="4" w:space="0"/>
              <w:bottom w:val="single" w:color="auto" w:sz="4" w:space="0"/>
              <w:right w:val="single" w:color="auto" w:sz="4" w:space="0"/>
            </w:tcBorders>
            <w:vAlign w:val="center"/>
          </w:tcPr>
          <w:p w14:paraId="5E0DE116">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680" w:type="dxa"/>
            <w:tcBorders>
              <w:top w:val="single" w:color="auto" w:sz="4" w:space="0"/>
              <w:left w:val="single" w:color="auto" w:sz="4" w:space="0"/>
              <w:bottom w:val="single" w:color="auto" w:sz="4" w:space="0"/>
              <w:right w:val="single" w:color="auto" w:sz="4" w:space="0"/>
            </w:tcBorders>
            <w:vAlign w:val="center"/>
          </w:tcPr>
          <w:p w14:paraId="5580EAB3">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020" w:type="dxa"/>
            <w:tcBorders>
              <w:top w:val="single" w:color="auto" w:sz="4" w:space="0"/>
              <w:left w:val="single" w:color="auto" w:sz="4" w:space="0"/>
              <w:bottom w:val="single" w:color="auto" w:sz="4" w:space="0"/>
              <w:right w:val="single" w:color="auto" w:sz="4" w:space="0"/>
            </w:tcBorders>
            <w:vAlign w:val="center"/>
          </w:tcPr>
          <w:p w14:paraId="4DB8A979">
            <w:pPr>
              <w:snapToGrid w:val="0"/>
              <w:spacing w:before="46" w:beforeLines="15" w:after="46" w:afterLines="15"/>
              <w:ind w:left="-42" w:leftChars="-20" w:right="-48" w:rightChars="-23"/>
              <w:rPr>
                <w:rFonts w:hint="eastAsia" w:ascii="宋体" w:hAnsi="宋体" w:cs="宋体"/>
                <w:sz w:val="24"/>
                <w:szCs w:val="24"/>
              </w:rPr>
            </w:pPr>
          </w:p>
        </w:tc>
      </w:tr>
      <w:tr w14:paraId="3EE98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726" w:type="dxa"/>
            <w:gridSpan w:val="4"/>
            <w:tcBorders>
              <w:top w:val="single" w:color="auto" w:sz="4" w:space="0"/>
              <w:left w:val="single" w:color="auto" w:sz="4" w:space="0"/>
              <w:bottom w:val="single" w:color="auto" w:sz="4" w:space="0"/>
              <w:right w:val="single" w:color="auto" w:sz="4" w:space="0"/>
            </w:tcBorders>
            <w:vAlign w:val="center"/>
          </w:tcPr>
          <w:p w14:paraId="7EC3F70C">
            <w:pPr>
              <w:snapToGrid w:val="0"/>
              <w:spacing w:before="46" w:beforeLines="15" w:after="46" w:afterLines="15"/>
              <w:ind w:left="-42" w:leftChars="-20" w:right="-48" w:rightChars="-23"/>
              <w:rPr>
                <w:rFonts w:hint="eastAsia" w:ascii="宋体" w:hAnsi="宋体" w:cs="宋体"/>
                <w:sz w:val="24"/>
                <w:szCs w:val="24"/>
              </w:rPr>
            </w:pPr>
            <w:r>
              <w:rPr>
                <w:rFonts w:hint="eastAsia" w:ascii="宋体" w:hAnsi="宋体" w:cs="宋体"/>
                <w:sz w:val="24"/>
                <w:szCs w:val="24"/>
              </w:rPr>
              <w:t>四、脚手架工程</w:t>
            </w:r>
          </w:p>
        </w:tc>
      </w:tr>
      <w:tr w14:paraId="75C96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181" w:type="dxa"/>
            <w:tcBorders>
              <w:top w:val="single" w:color="auto" w:sz="4" w:space="0"/>
              <w:left w:val="single" w:color="auto" w:sz="4" w:space="0"/>
              <w:bottom w:val="single" w:color="auto" w:sz="4" w:space="0"/>
              <w:right w:val="single" w:color="auto" w:sz="4" w:space="0"/>
            </w:tcBorders>
            <w:vAlign w:val="center"/>
          </w:tcPr>
          <w:p w14:paraId="1FF9D160">
            <w:pPr>
              <w:snapToGrid w:val="0"/>
              <w:spacing w:before="46" w:beforeLines="15" w:after="46" w:afterLines="15"/>
              <w:ind w:left="-42" w:leftChars="-20" w:right="-48" w:rightChars="-23"/>
              <w:rPr>
                <w:rFonts w:hint="eastAsia" w:ascii="宋体" w:hAnsi="宋体" w:cs="宋体"/>
                <w:sz w:val="24"/>
                <w:szCs w:val="24"/>
              </w:rPr>
            </w:pPr>
            <w:r>
              <w:rPr>
                <w:rFonts w:hint="eastAsia" w:ascii="宋体" w:hAnsi="宋体" w:cs="宋体"/>
                <w:sz w:val="24"/>
                <w:szCs w:val="24"/>
              </w:rPr>
              <w:t>（一）搭设高度24m及以上的落地式钢管脚手架工程（包括采光井、电梯井脚手架）。</w:t>
            </w:r>
          </w:p>
        </w:tc>
        <w:tc>
          <w:tcPr>
            <w:tcW w:w="1845" w:type="dxa"/>
            <w:tcBorders>
              <w:top w:val="single" w:color="auto" w:sz="4" w:space="0"/>
              <w:left w:val="single" w:color="auto" w:sz="4" w:space="0"/>
              <w:bottom w:val="single" w:color="auto" w:sz="4" w:space="0"/>
              <w:right w:val="single" w:color="auto" w:sz="4" w:space="0"/>
            </w:tcBorders>
            <w:vAlign w:val="center"/>
          </w:tcPr>
          <w:p w14:paraId="4DE20F44">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680" w:type="dxa"/>
            <w:tcBorders>
              <w:top w:val="single" w:color="auto" w:sz="4" w:space="0"/>
              <w:left w:val="single" w:color="auto" w:sz="4" w:space="0"/>
              <w:bottom w:val="single" w:color="auto" w:sz="4" w:space="0"/>
              <w:right w:val="single" w:color="auto" w:sz="4" w:space="0"/>
            </w:tcBorders>
            <w:vAlign w:val="center"/>
          </w:tcPr>
          <w:p w14:paraId="747070CD">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020" w:type="dxa"/>
            <w:tcBorders>
              <w:top w:val="single" w:color="auto" w:sz="4" w:space="0"/>
              <w:left w:val="single" w:color="auto" w:sz="4" w:space="0"/>
              <w:bottom w:val="single" w:color="auto" w:sz="4" w:space="0"/>
              <w:right w:val="single" w:color="auto" w:sz="4" w:space="0"/>
            </w:tcBorders>
            <w:vAlign w:val="center"/>
          </w:tcPr>
          <w:p w14:paraId="18A46528">
            <w:pPr>
              <w:snapToGrid w:val="0"/>
              <w:spacing w:before="46" w:beforeLines="15" w:after="46" w:afterLines="15"/>
              <w:ind w:left="-42" w:leftChars="-20" w:right="-48" w:rightChars="-23"/>
              <w:rPr>
                <w:rFonts w:hint="eastAsia" w:ascii="宋体" w:hAnsi="宋体" w:cs="宋体"/>
                <w:sz w:val="24"/>
                <w:szCs w:val="24"/>
              </w:rPr>
            </w:pPr>
          </w:p>
        </w:tc>
      </w:tr>
      <w:tr w14:paraId="54982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181" w:type="dxa"/>
            <w:tcBorders>
              <w:top w:val="single" w:color="auto" w:sz="4" w:space="0"/>
              <w:left w:val="single" w:color="auto" w:sz="4" w:space="0"/>
              <w:bottom w:val="single" w:color="auto" w:sz="4" w:space="0"/>
              <w:right w:val="single" w:color="auto" w:sz="4" w:space="0"/>
            </w:tcBorders>
            <w:vAlign w:val="center"/>
          </w:tcPr>
          <w:p w14:paraId="4B5804D8">
            <w:pPr>
              <w:snapToGrid w:val="0"/>
              <w:spacing w:before="46" w:beforeLines="15" w:after="46" w:afterLines="15"/>
              <w:ind w:left="-42" w:leftChars="-20" w:right="-48" w:rightChars="-23"/>
              <w:rPr>
                <w:rFonts w:hint="eastAsia" w:ascii="宋体" w:hAnsi="宋体" w:cs="宋体"/>
                <w:sz w:val="24"/>
                <w:szCs w:val="24"/>
              </w:rPr>
            </w:pPr>
            <w:r>
              <w:rPr>
                <w:rFonts w:hint="eastAsia" w:ascii="宋体" w:hAnsi="宋体" w:cs="宋体"/>
                <w:sz w:val="24"/>
                <w:szCs w:val="24"/>
              </w:rPr>
              <w:t>（二）附着式升降脚手架工程。</w:t>
            </w:r>
          </w:p>
        </w:tc>
        <w:tc>
          <w:tcPr>
            <w:tcW w:w="1845" w:type="dxa"/>
            <w:tcBorders>
              <w:top w:val="single" w:color="auto" w:sz="4" w:space="0"/>
              <w:left w:val="single" w:color="auto" w:sz="4" w:space="0"/>
              <w:bottom w:val="single" w:color="auto" w:sz="4" w:space="0"/>
              <w:right w:val="single" w:color="auto" w:sz="4" w:space="0"/>
            </w:tcBorders>
            <w:vAlign w:val="center"/>
          </w:tcPr>
          <w:p w14:paraId="0ABEB59A">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680" w:type="dxa"/>
            <w:tcBorders>
              <w:top w:val="single" w:color="auto" w:sz="4" w:space="0"/>
              <w:left w:val="single" w:color="auto" w:sz="4" w:space="0"/>
              <w:bottom w:val="single" w:color="auto" w:sz="4" w:space="0"/>
              <w:right w:val="single" w:color="auto" w:sz="4" w:space="0"/>
            </w:tcBorders>
            <w:vAlign w:val="center"/>
          </w:tcPr>
          <w:p w14:paraId="51499455">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020" w:type="dxa"/>
            <w:tcBorders>
              <w:top w:val="single" w:color="auto" w:sz="4" w:space="0"/>
              <w:left w:val="single" w:color="auto" w:sz="4" w:space="0"/>
              <w:bottom w:val="single" w:color="auto" w:sz="4" w:space="0"/>
              <w:right w:val="single" w:color="auto" w:sz="4" w:space="0"/>
            </w:tcBorders>
            <w:vAlign w:val="center"/>
          </w:tcPr>
          <w:p w14:paraId="0ECC7459">
            <w:pPr>
              <w:snapToGrid w:val="0"/>
              <w:spacing w:before="46" w:beforeLines="15" w:after="46" w:afterLines="15"/>
              <w:ind w:left="-42" w:leftChars="-20" w:right="-48" w:rightChars="-23"/>
              <w:rPr>
                <w:rFonts w:hint="eastAsia" w:ascii="宋体" w:hAnsi="宋体" w:cs="宋体"/>
                <w:sz w:val="24"/>
                <w:szCs w:val="24"/>
              </w:rPr>
            </w:pPr>
          </w:p>
        </w:tc>
      </w:tr>
      <w:tr w14:paraId="335AE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181" w:type="dxa"/>
            <w:tcBorders>
              <w:top w:val="single" w:color="auto" w:sz="4" w:space="0"/>
              <w:left w:val="single" w:color="auto" w:sz="4" w:space="0"/>
              <w:bottom w:val="single" w:color="auto" w:sz="4" w:space="0"/>
              <w:right w:val="single" w:color="auto" w:sz="4" w:space="0"/>
            </w:tcBorders>
            <w:vAlign w:val="center"/>
          </w:tcPr>
          <w:p w14:paraId="6C9B15F2">
            <w:pPr>
              <w:snapToGrid w:val="0"/>
              <w:spacing w:before="46" w:beforeLines="15" w:after="46" w:afterLines="15"/>
              <w:ind w:left="-42" w:leftChars="-20" w:right="-48" w:rightChars="-23"/>
              <w:rPr>
                <w:rFonts w:hint="eastAsia" w:ascii="宋体" w:hAnsi="宋体" w:cs="宋体"/>
                <w:sz w:val="24"/>
                <w:szCs w:val="24"/>
              </w:rPr>
            </w:pPr>
            <w:r>
              <w:rPr>
                <w:rFonts w:hint="eastAsia" w:ascii="宋体" w:hAnsi="宋体" w:cs="宋体"/>
                <w:sz w:val="24"/>
                <w:szCs w:val="24"/>
              </w:rPr>
              <w:t>（三）悬挑式脚手架工程。</w:t>
            </w:r>
          </w:p>
        </w:tc>
        <w:tc>
          <w:tcPr>
            <w:tcW w:w="1845" w:type="dxa"/>
            <w:tcBorders>
              <w:top w:val="single" w:color="auto" w:sz="4" w:space="0"/>
              <w:left w:val="single" w:color="auto" w:sz="4" w:space="0"/>
              <w:bottom w:val="single" w:color="auto" w:sz="4" w:space="0"/>
              <w:right w:val="single" w:color="auto" w:sz="4" w:space="0"/>
            </w:tcBorders>
            <w:vAlign w:val="center"/>
          </w:tcPr>
          <w:p w14:paraId="14A5E68B">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680" w:type="dxa"/>
            <w:tcBorders>
              <w:top w:val="single" w:color="auto" w:sz="4" w:space="0"/>
              <w:left w:val="single" w:color="auto" w:sz="4" w:space="0"/>
              <w:bottom w:val="single" w:color="auto" w:sz="4" w:space="0"/>
              <w:right w:val="single" w:color="auto" w:sz="4" w:space="0"/>
            </w:tcBorders>
            <w:vAlign w:val="center"/>
          </w:tcPr>
          <w:p w14:paraId="3B8A1F43">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020" w:type="dxa"/>
            <w:tcBorders>
              <w:top w:val="single" w:color="auto" w:sz="4" w:space="0"/>
              <w:left w:val="single" w:color="auto" w:sz="4" w:space="0"/>
              <w:bottom w:val="single" w:color="auto" w:sz="4" w:space="0"/>
              <w:right w:val="single" w:color="auto" w:sz="4" w:space="0"/>
            </w:tcBorders>
            <w:vAlign w:val="center"/>
          </w:tcPr>
          <w:p w14:paraId="3CDE3318">
            <w:pPr>
              <w:snapToGrid w:val="0"/>
              <w:spacing w:before="46" w:beforeLines="15" w:after="46" w:afterLines="15"/>
              <w:ind w:left="-42" w:leftChars="-20" w:right="-48" w:rightChars="-23"/>
              <w:rPr>
                <w:rFonts w:hint="eastAsia" w:ascii="宋体" w:hAnsi="宋体" w:cs="宋体"/>
                <w:sz w:val="24"/>
                <w:szCs w:val="24"/>
              </w:rPr>
            </w:pPr>
          </w:p>
        </w:tc>
      </w:tr>
      <w:tr w14:paraId="12239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181" w:type="dxa"/>
            <w:tcBorders>
              <w:top w:val="single" w:color="auto" w:sz="4" w:space="0"/>
              <w:left w:val="single" w:color="auto" w:sz="4" w:space="0"/>
              <w:bottom w:val="single" w:color="auto" w:sz="4" w:space="0"/>
              <w:right w:val="single" w:color="auto" w:sz="4" w:space="0"/>
            </w:tcBorders>
            <w:vAlign w:val="center"/>
          </w:tcPr>
          <w:p w14:paraId="423C0A9B">
            <w:pPr>
              <w:snapToGrid w:val="0"/>
              <w:spacing w:before="46" w:beforeLines="15" w:after="46" w:afterLines="15"/>
              <w:ind w:left="-42" w:leftChars="-20" w:right="-48" w:rightChars="-23"/>
              <w:rPr>
                <w:rFonts w:hint="eastAsia" w:ascii="宋体" w:hAnsi="宋体" w:cs="宋体"/>
                <w:sz w:val="24"/>
                <w:szCs w:val="24"/>
              </w:rPr>
            </w:pPr>
            <w:r>
              <w:rPr>
                <w:rFonts w:hint="eastAsia" w:ascii="宋体" w:hAnsi="宋体" w:cs="宋体"/>
                <w:sz w:val="24"/>
                <w:szCs w:val="24"/>
              </w:rPr>
              <w:t>（四）高处作业吊篮。</w:t>
            </w:r>
          </w:p>
        </w:tc>
        <w:tc>
          <w:tcPr>
            <w:tcW w:w="1845" w:type="dxa"/>
            <w:tcBorders>
              <w:top w:val="single" w:color="auto" w:sz="4" w:space="0"/>
              <w:left w:val="single" w:color="auto" w:sz="4" w:space="0"/>
              <w:bottom w:val="single" w:color="auto" w:sz="4" w:space="0"/>
              <w:right w:val="single" w:color="auto" w:sz="4" w:space="0"/>
            </w:tcBorders>
            <w:vAlign w:val="center"/>
          </w:tcPr>
          <w:p w14:paraId="146FBFBE">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680" w:type="dxa"/>
            <w:tcBorders>
              <w:top w:val="single" w:color="auto" w:sz="4" w:space="0"/>
              <w:left w:val="single" w:color="auto" w:sz="4" w:space="0"/>
              <w:bottom w:val="single" w:color="auto" w:sz="4" w:space="0"/>
              <w:right w:val="single" w:color="auto" w:sz="4" w:space="0"/>
            </w:tcBorders>
            <w:vAlign w:val="center"/>
          </w:tcPr>
          <w:p w14:paraId="1E1B90ED">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020" w:type="dxa"/>
            <w:tcBorders>
              <w:top w:val="single" w:color="auto" w:sz="4" w:space="0"/>
              <w:left w:val="single" w:color="auto" w:sz="4" w:space="0"/>
              <w:bottom w:val="single" w:color="auto" w:sz="4" w:space="0"/>
              <w:right w:val="single" w:color="auto" w:sz="4" w:space="0"/>
            </w:tcBorders>
            <w:vAlign w:val="center"/>
          </w:tcPr>
          <w:p w14:paraId="229390B7">
            <w:pPr>
              <w:snapToGrid w:val="0"/>
              <w:spacing w:before="46" w:beforeLines="15" w:after="46" w:afterLines="15"/>
              <w:ind w:left="-42" w:leftChars="-20" w:right="-48" w:rightChars="-23"/>
              <w:rPr>
                <w:rFonts w:hint="eastAsia" w:ascii="宋体" w:hAnsi="宋体" w:cs="宋体"/>
                <w:sz w:val="24"/>
                <w:szCs w:val="24"/>
              </w:rPr>
            </w:pPr>
          </w:p>
        </w:tc>
      </w:tr>
      <w:tr w14:paraId="0234F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181" w:type="dxa"/>
            <w:tcBorders>
              <w:top w:val="single" w:color="auto" w:sz="4" w:space="0"/>
              <w:left w:val="single" w:color="auto" w:sz="4" w:space="0"/>
              <w:bottom w:val="single" w:color="auto" w:sz="4" w:space="0"/>
              <w:right w:val="single" w:color="auto" w:sz="4" w:space="0"/>
            </w:tcBorders>
            <w:vAlign w:val="center"/>
          </w:tcPr>
          <w:p w14:paraId="79FCFCF3">
            <w:pPr>
              <w:snapToGrid w:val="0"/>
              <w:spacing w:before="46" w:beforeLines="15" w:after="46" w:afterLines="15"/>
              <w:ind w:left="-42" w:leftChars="-20" w:right="-48" w:rightChars="-23"/>
              <w:rPr>
                <w:rFonts w:hint="eastAsia" w:ascii="宋体" w:hAnsi="宋体" w:cs="宋体"/>
                <w:sz w:val="24"/>
                <w:szCs w:val="24"/>
              </w:rPr>
            </w:pPr>
            <w:r>
              <w:rPr>
                <w:rFonts w:hint="eastAsia" w:ascii="宋体" w:hAnsi="宋体" w:cs="宋体"/>
                <w:sz w:val="24"/>
                <w:szCs w:val="24"/>
              </w:rPr>
              <w:t>（五）卸料平台、操作平台工程。</w:t>
            </w:r>
          </w:p>
        </w:tc>
        <w:tc>
          <w:tcPr>
            <w:tcW w:w="1845" w:type="dxa"/>
            <w:tcBorders>
              <w:top w:val="single" w:color="auto" w:sz="4" w:space="0"/>
              <w:left w:val="single" w:color="auto" w:sz="4" w:space="0"/>
              <w:bottom w:val="single" w:color="auto" w:sz="4" w:space="0"/>
              <w:right w:val="single" w:color="auto" w:sz="4" w:space="0"/>
            </w:tcBorders>
            <w:vAlign w:val="center"/>
          </w:tcPr>
          <w:p w14:paraId="7980F235">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680" w:type="dxa"/>
            <w:tcBorders>
              <w:top w:val="single" w:color="auto" w:sz="4" w:space="0"/>
              <w:left w:val="single" w:color="auto" w:sz="4" w:space="0"/>
              <w:bottom w:val="single" w:color="auto" w:sz="4" w:space="0"/>
              <w:right w:val="single" w:color="auto" w:sz="4" w:space="0"/>
            </w:tcBorders>
            <w:vAlign w:val="center"/>
          </w:tcPr>
          <w:p w14:paraId="62D8C5E0">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020" w:type="dxa"/>
            <w:tcBorders>
              <w:top w:val="single" w:color="auto" w:sz="4" w:space="0"/>
              <w:left w:val="single" w:color="auto" w:sz="4" w:space="0"/>
              <w:bottom w:val="single" w:color="auto" w:sz="4" w:space="0"/>
              <w:right w:val="single" w:color="auto" w:sz="4" w:space="0"/>
            </w:tcBorders>
            <w:vAlign w:val="center"/>
          </w:tcPr>
          <w:p w14:paraId="312C0E7F">
            <w:pPr>
              <w:snapToGrid w:val="0"/>
              <w:spacing w:before="46" w:beforeLines="15" w:after="46" w:afterLines="15"/>
              <w:ind w:left="-42" w:leftChars="-20" w:right="-48" w:rightChars="-23"/>
              <w:rPr>
                <w:rFonts w:hint="eastAsia" w:ascii="宋体" w:hAnsi="宋体" w:cs="宋体"/>
                <w:sz w:val="24"/>
                <w:szCs w:val="24"/>
              </w:rPr>
            </w:pPr>
          </w:p>
        </w:tc>
      </w:tr>
      <w:tr w14:paraId="20D67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181" w:type="dxa"/>
            <w:tcBorders>
              <w:top w:val="single" w:color="auto" w:sz="4" w:space="0"/>
              <w:left w:val="single" w:color="auto" w:sz="4" w:space="0"/>
              <w:bottom w:val="single" w:color="auto" w:sz="4" w:space="0"/>
              <w:right w:val="single" w:color="auto" w:sz="4" w:space="0"/>
            </w:tcBorders>
            <w:vAlign w:val="center"/>
          </w:tcPr>
          <w:p w14:paraId="45B81C61">
            <w:pPr>
              <w:snapToGrid w:val="0"/>
              <w:spacing w:before="46" w:beforeLines="15" w:after="46" w:afterLines="15"/>
              <w:ind w:left="-42" w:leftChars="-20" w:right="-48" w:rightChars="-23"/>
              <w:rPr>
                <w:rFonts w:hint="eastAsia" w:ascii="宋体" w:hAnsi="宋体" w:cs="宋体"/>
                <w:sz w:val="24"/>
                <w:szCs w:val="24"/>
              </w:rPr>
            </w:pPr>
            <w:r>
              <w:rPr>
                <w:rFonts w:hint="eastAsia" w:ascii="宋体" w:hAnsi="宋体" w:cs="宋体"/>
                <w:sz w:val="24"/>
                <w:szCs w:val="24"/>
              </w:rPr>
              <w:t>（六）异型脚手架工程。</w:t>
            </w:r>
          </w:p>
        </w:tc>
        <w:tc>
          <w:tcPr>
            <w:tcW w:w="1845" w:type="dxa"/>
            <w:tcBorders>
              <w:top w:val="single" w:color="auto" w:sz="4" w:space="0"/>
              <w:left w:val="single" w:color="auto" w:sz="4" w:space="0"/>
              <w:bottom w:val="single" w:color="auto" w:sz="4" w:space="0"/>
              <w:right w:val="single" w:color="auto" w:sz="4" w:space="0"/>
            </w:tcBorders>
            <w:vAlign w:val="center"/>
          </w:tcPr>
          <w:p w14:paraId="43259227">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680" w:type="dxa"/>
            <w:tcBorders>
              <w:top w:val="single" w:color="auto" w:sz="4" w:space="0"/>
              <w:left w:val="single" w:color="auto" w:sz="4" w:space="0"/>
              <w:bottom w:val="single" w:color="auto" w:sz="4" w:space="0"/>
              <w:right w:val="single" w:color="auto" w:sz="4" w:space="0"/>
            </w:tcBorders>
            <w:vAlign w:val="center"/>
          </w:tcPr>
          <w:p w14:paraId="1364B5A4">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020" w:type="dxa"/>
            <w:tcBorders>
              <w:top w:val="single" w:color="auto" w:sz="4" w:space="0"/>
              <w:left w:val="single" w:color="auto" w:sz="4" w:space="0"/>
              <w:bottom w:val="single" w:color="auto" w:sz="4" w:space="0"/>
              <w:right w:val="single" w:color="auto" w:sz="4" w:space="0"/>
            </w:tcBorders>
            <w:vAlign w:val="center"/>
          </w:tcPr>
          <w:p w14:paraId="19991565">
            <w:pPr>
              <w:snapToGrid w:val="0"/>
              <w:spacing w:before="46" w:beforeLines="15" w:after="46" w:afterLines="15"/>
              <w:ind w:left="-42" w:leftChars="-20" w:right="-48" w:rightChars="-23"/>
              <w:rPr>
                <w:rFonts w:hint="eastAsia" w:ascii="宋体" w:hAnsi="宋体" w:cs="宋体"/>
                <w:sz w:val="24"/>
                <w:szCs w:val="24"/>
              </w:rPr>
            </w:pPr>
          </w:p>
        </w:tc>
      </w:tr>
      <w:tr w14:paraId="7B0F1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726" w:type="dxa"/>
            <w:gridSpan w:val="4"/>
            <w:tcBorders>
              <w:top w:val="single" w:color="auto" w:sz="4" w:space="0"/>
              <w:left w:val="single" w:color="auto" w:sz="4" w:space="0"/>
              <w:bottom w:val="single" w:color="auto" w:sz="4" w:space="0"/>
              <w:right w:val="single" w:color="auto" w:sz="4" w:space="0"/>
            </w:tcBorders>
            <w:vAlign w:val="center"/>
          </w:tcPr>
          <w:p w14:paraId="5F55D667">
            <w:pPr>
              <w:snapToGrid w:val="0"/>
              <w:spacing w:before="46" w:beforeLines="15" w:after="46" w:afterLines="15"/>
              <w:ind w:left="-42" w:leftChars="-20" w:right="-48" w:rightChars="-23"/>
              <w:rPr>
                <w:rFonts w:hint="eastAsia" w:ascii="宋体" w:hAnsi="宋体" w:cs="宋体"/>
                <w:sz w:val="24"/>
                <w:szCs w:val="24"/>
              </w:rPr>
            </w:pPr>
            <w:r>
              <w:rPr>
                <w:rFonts w:hint="eastAsia" w:ascii="宋体" w:hAnsi="宋体" w:cs="宋体"/>
                <w:sz w:val="24"/>
                <w:szCs w:val="24"/>
              </w:rPr>
              <w:t>五、拆除工程</w:t>
            </w:r>
          </w:p>
        </w:tc>
      </w:tr>
      <w:tr w14:paraId="18D6B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181" w:type="dxa"/>
            <w:tcBorders>
              <w:top w:val="single" w:color="auto" w:sz="4" w:space="0"/>
              <w:left w:val="single" w:color="auto" w:sz="4" w:space="0"/>
              <w:bottom w:val="single" w:color="auto" w:sz="4" w:space="0"/>
              <w:right w:val="single" w:color="auto" w:sz="4" w:space="0"/>
            </w:tcBorders>
            <w:vAlign w:val="center"/>
          </w:tcPr>
          <w:p w14:paraId="0D1743D0">
            <w:pPr>
              <w:snapToGrid w:val="0"/>
              <w:spacing w:before="46" w:beforeLines="15" w:after="46" w:afterLines="15"/>
              <w:ind w:left="-42" w:leftChars="-20" w:right="-48" w:rightChars="-23"/>
              <w:rPr>
                <w:rFonts w:hint="eastAsia" w:ascii="宋体" w:hAnsi="宋体" w:cs="宋体"/>
                <w:sz w:val="24"/>
                <w:szCs w:val="24"/>
              </w:rPr>
            </w:pPr>
            <w:r>
              <w:rPr>
                <w:rFonts w:hint="eastAsia" w:ascii="宋体" w:hAnsi="宋体" w:cs="宋体"/>
                <w:sz w:val="24"/>
                <w:szCs w:val="24"/>
              </w:rPr>
              <w:t>可能影响行人、交通、电力设施、通讯设施或其它建、构筑物安全的拆除工程。</w:t>
            </w:r>
          </w:p>
        </w:tc>
        <w:tc>
          <w:tcPr>
            <w:tcW w:w="1845" w:type="dxa"/>
            <w:tcBorders>
              <w:top w:val="single" w:color="auto" w:sz="4" w:space="0"/>
              <w:left w:val="single" w:color="auto" w:sz="4" w:space="0"/>
              <w:bottom w:val="single" w:color="auto" w:sz="4" w:space="0"/>
              <w:right w:val="single" w:color="auto" w:sz="4" w:space="0"/>
            </w:tcBorders>
            <w:vAlign w:val="center"/>
          </w:tcPr>
          <w:p w14:paraId="50913763">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680" w:type="dxa"/>
            <w:tcBorders>
              <w:top w:val="single" w:color="auto" w:sz="4" w:space="0"/>
              <w:left w:val="single" w:color="auto" w:sz="4" w:space="0"/>
              <w:bottom w:val="single" w:color="auto" w:sz="4" w:space="0"/>
              <w:right w:val="single" w:color="auto" w:sz="4" w:space="0"/>
            </w:tcBorders>
            <w:vAlign w:val="center"/>
          </w:tcPr>
          <w:p w14:paraId="6E06ACF9">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020" w:type="dxa"/>
            <w:tcBorders>
              <w:top w:val="single" w:color="auto" w:sz="4" w:space="0"/>
              <w:left w:val="single" w:color="auto" w:sz="4" w:space="0"/>
              <w:bottom w:val="single" w:color="auto" w:sz="4" w:space="0"/>
              <w:right w:val="single" w:color="auto" w:sz="4" w:space="0"/>
            </w:tcBorders>
            <w:vAlign w:val="center"/>
          </w:tcPr>
          <w:p w14:paraId="1126CEC3">
            <w:pPr>
              <w:snapToGrid w:val="0"/>
              <w:spacing w:before="46" w:beforeLines="15" w:after="46" w:afterLines="15"/>
              <w:ind w:left="-42" w:leftChars="-20" w:right="-48" w:rightChars="-23"/>
              <w:rPr>
                <w:rFonts w:hint="eastAsia" w:ascii="宋体" w:hAnsi="宋体" w:cs="宋体"/>
                <w:sz w:val="24"/>
                <w:szCs w:val="24"/>
              </w:rPr>
            </w:pPr>
          </w:p>
        </w:tc>
      </w:tr>
      <w:tr w14:paraId="61BD7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726" w:type="dxa"/>
            <w:gridSpan w:val="4"/>
            <w:tcBorders>
              <w:top w:val="single" w:color="auto" w:sz="4" w:space="0"/>
              <w:left w:val="single" w:color="auto" w:sz="4" w:space="0"/>
              <w:bottom w:val="single" w:color="auto" w:sz="4" w:space="0"/>
              <w:right w:val="single" w:color="auto" w:sz="4" w:space="0"/>
            </w:tcBorders>
            <w:vAlign w:val="center"/>
          </w:tcPr>
          <w:p w14:paraId="01317761">
            <w:pPr>
              <w:snapToGrid w:val="0"/>
              <w:spacing w:before="46" w:beforeLines="15" w:after="46" w:afterLines="15"/>
              <w:ind w:left="-42" w:leftChars="-20" w:right="-48" w:rightChars="-23"/>
              <w:rPr>
                <w:rFonts w:hint="eastAsia" w:ascii="宋体" w:hAnsi="宋体" w:cs="宋体"/>
                <w:sz w:val="24"/>
                <w:szCs w:val="24"/>
              </w:rPr>
            </w:pPr>
            <w:r>
              <w:rPr>
                <w:rFonts w:hint="eastAsia" w:ascii="宋体" w:hAnsi="宋体" w:cs="宋体"/>
                <w:sz w:val="24"/>
                <w:szCs w:val="24"/>
              </w:rPr>
              <w:t>六、暗挖工程</w:t>
            </w:r>
          </w:p>
        </w:tc>
      </w:tr>
      <w:tr w14:paraId="7FB5D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181" w:type="dxa"/>
            <w:tcBorders>
              <w:top w:val="single" w:color="auto" w:sz="4" w:space="0"/>
              <w:left w:val="single" w:color="auto" w:sz="4" w:space="0"/>
              <w:bottom w:val="single" w:color="auto" w:sz="4" w:space="0"/>
              <w:right w:val="single" w:color="auto" w:sz="4" w:space="0"/>
            </w:tcBorders>
            <w:vAlign w:val="center"/>
          </w:tcPr>
          <w:p w14:paraId="3BDD4235">
            <w:pPr>
              <w:snapToGrid w:val="0"/>
              <w:spacing w:before="46" w:beforeLines="15" w:after="46" w:afterLines="15"/>
              <w:ind w:left="-42" w:leftChars="-20" w:right="-48" w:rightChars="-23"/>
              <w:rPr>
                <w:rFonts w:hint="eastAsia" w:ascii="宋体" w:hAnsi="宋体" w:cs="宋体"/>
                <w:sz w:val="24"/>
                <w:szCs w:val="24"/>
              </w:rPr>
            </w:pPr>
            <w:r>
              <w:rPr>
                <w:rFonts w:hint="eastAsia" w:ascii="宋体" w:hAnsi="宋体" w:cs="宋体"/>
                <w:sz w:val="24"/>
                <w:szCs w:val="24"/>
              </w:rPr>
              <w:t>采用矿山法、盾构法、顶管法施工的隧道、洞室工程。</w:t>
            </w:r>
          </w:p>
        </w:tc>
        <w:tc>
          <w:tcPr>
            <w:tcW w:w="1845" w:type="dxa"/>
            <w:tcBorders>
              <w:top w:val="single" w:color="auto" w:sz="4" w:space="0"/>
              <w:left w:val="single" w:color="auto" w:sz="4" w:space="0"/>
              <w:bottom w:val="single" w:color="auto" w:sz="4" w:space="0"/>
              <w:right w:val="single" w:color="auto" w:sz="4" w:space="0"/>
            </w:tcBorders>
            <w:vAlign w:val="center"/>
          </w:tcPr>
          <w:p w14:paraId="3241BDAD">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680" w:type="dxa"/>
            <w:tcBorders>
              <w:top w:val="single" w:color="auto" w:sz="4" w:space="0"/>
              <w:left w:val="single" w:color="auto" w:sz="4" w:space="0"/>
              <w:bottom w:val="single" w:color="auto" w:sz="4" w:space="0"/>
              <w:right w:val="single" w:color="auto" w:sz="4" w:space="0"/>
            </w:tcBorders>
            <w:vAlign w:val="center"/>
          </w:tcPr>
          <w:p w14:paraId="1F166832">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020" w:type="dxa"/>
            <w:tcBorders>
              <w:top w:val="single" w:color="auto" w:sz="4" w:space="0"/>
              <w:left w:val="single" w:color="auto" w:sz="4" w:space="0"/>
              <w:bottom w:val="single" w:color="auto" w:sz="4" w:space="0"/>
              <w:right w:val="single" w:color="auto" w:sz="4" w:space="0"/>
            </w:tcBorders>
            <w:vAlign w:val="center"/>
          </w:tcPr>
          <w:p w14:paraId="39A8118B">
            <w:pPr>
              <w:snapToGrid w:val="0"/>
              <w:spacing w:before="46" w:beforeLines="15" w:after="46" w:afterLines="15"/>
              <w:ind w:left="-42" w:leftChars="-20" w:right="-48" w:rightChars="-23"/>
              <w:rPr>
                <w:rFonts w:hint="eastAsia" w:ascii="宋体" w:hAnsi="宋体" w:cs="宋体"/>
                <w:sz w:val="24"/>
                <w:szCs w:val="24"/>
              </w:rPr>
            </w:pPr>
          </w:p>
        </w:tc>
      </w:tr>
      <w:tr w14:paraId="3FC12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726" w:type="dxa"/>
            <w:gridSpan w:val="4"/>
            <w:tcBorders>
              <w:top w:val="single" w:color="auto" w:sz="4" w:space="0"/>
              <w:left w:val="single" w:color="auto" w:sz="4" w:space="0"/>
              <w:bottom w:val="single" w:color="auto" w:sz="4" w:space="0"/>
              <w:right w:val="single" w:color="auto" w:sz="4" w:space="0"/>
            </w:tcBorders>
            <w:vAlign w:val="center"/>
          </w:tcPr>
          <w:p w14:paraId="7D1F95C2">
            <w:pPr>
              <w:snapToGrid w:val="0"/>
              <w:spacing w:before="46" w:beforeLines="15" w:after="46" w:afterLines="15"/>
              <w:ind w:left="-42" w:leftChars="-20" w:right="-48" w:rightChars="-23"/>
              <w:rPr>
                <w:rFonts w:hint="eastAsia" w:ascii="宋体" w:hAnsi="宋体" w:cs="宋体"/>
                <w:sz w:val="24"/>
                <w:szCs w:val="24"/>
              </w:rPr>
            </w:pPr>
            <w:r>
              <w:rPr>
                <w:rFonts w:hint="eastAsia" w:ascii="宋体" w:hAnsi="宋体" w:cs="宋体"/>
                <w:sz w:val="24"/>
                <w:szCs w:val="24"/>
              </w:rPr>
              <w:t>七、其它</w:t>
            </w:r>
          </w:p>
        </w:tc>
      </w:tr>
      <w:tr w14:paraId="50452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181" w:type="dxa"/>
            <w:tcBorders>
              <w:top w:val="single" w:color="auto" w:sz="4" w:space="0"/>
              <w:left w:val="single" w:color="auto" w:sz="4" w:space="0"/>
              <w:bottom w:val="single" w:color="auto" w:sz="4" w:space="0"/>
              <w:right w:val="single" w:color="auto" w:sz="4" w:space="0"/>
            </w:tcBorders>
            <w:vAlign w:val="center"/>
          </w:tcPr>
          <w:p w14:paraId="70D4785F">
            <w:pPr>
              <w:snapToGrid w:val="0"/>
              <w:spacing w:before="46" w:beforeLines="15" w:after="46" w:afterLines="15"/>
              <w:ind w:left="-42" w:leftChars="-20" w:right="-48" w:rightChars="-23"/>
              <w:rPr>
                <w:rFonts w:hint="eastAsia" w:ascii="宋体" w:hAnsi="宋体" w:cs="宋体"/>
                <w:sz w:val="24"/>
                <w:szCs w:val="24"/>
              </w:rPr>
            </w:pPr>
            <w:r>
              <w:rPr>
                <w:rFonts w:hint="eastAsia" w:ascii="宋体" w:hAnsi="宋体" w:cs="宋体"/>
                <w:sz w:val="24"/>
                <w:szCs w:val="24"/>
              </w:rPr>
              <w:t>（一）建筑幕墙安装工程。</w:t>
            </w:r>
          </w:p>
        </w:tc>
        <w:tc>
          <w:tcPr>
            <w:tcW w:w="1845" w:type="dxa"/>
            <w:tcBorders>
              <w:top w:val="single" w:color="auto" w:sz="4" w:space="0"/>
              <w:left w:val="single" w:color="auto" w:sz="4" w:space="0"/>
              <w:bottom w:val="single" w:color="auto" w:sz="4" w:space="0"/>
              <w:right w:val="single" w:color="auto" w:sz="4" w:space="0"/>
            </w:tcBorders>
            <w:vAlign w:val="center"/>
          </w:tcPr>
          <w:p w14:paraId="221AC0DC">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680" w:type="dxa"/>
            <w:tcBorders>
              <w:top w:val="single" w:color="auto" w:sz="4" w:space="0"/>
              <w:left w:val="single" w:color="auto" w:sz="4" w:space="0"/>
              <w:bottom w:val="single" w:color="auto" w:sz="4" w:space="0"/>
              <w:right w:val="single" w:color="auto" w:sz="4" w:space="0"/>
            </w:tcBorders>
            <w:vAlign w:val="center"/>
          </w:tcPr>
          <w:p w14:paraId="77658492">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020" w:type="dxa"/>
            <w:tcBorders>
              <w:top w:val="single" w:color="auto" w:sz="4" w:space="0"/>
              <w:left w:val="single" w:color="auto" w:sz="4" w:space="0"/>
              <w:bottom w:val="single" w:color="auto" w:sz="4" w:space="0"/>
              <w:right w:val="single" w:color="auto" w:sz="4" w:space="0"/>
            </w:tcBorders>
            <w:vAlign w:val="center"/>
          </w:tcPr>
          <w:p w14:paraId="0C9BCE47">
            <w:pPr>
              <w:snapToGrid w:val="0"/>
              <w:spacing w:before="46" w:beforeLines="15" w:after="46" w:afterLines="15"/>
              <w:ind w:left="-42" w:leftChars="-20" w:right="-48" w:rightChars="-23"/>
              <w:rPr>
                <w:rFonts w:hint="eastAsia" w:ascii="宋体" w:hAnsi="宋体" w:cs="宋体"/>
                <w:sz w:val="24"/>
                <w:szCs w:val="24"/>
              </w:rPr>
            </w:pPr>
          </w:p>
        </w:tc>
      </w:tr>
      <w:tr w14:paraId="0FC5F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181" w:type="dxa"/>
            <w:tcBorders>
              <w:top w:val="single" w:color="auto" w:sz="4" w:space="0"/>
              <w:left w:val="single" w:color="auto" w:sz="4" w:space="0"/>
              <w:bottom w:val="single" w:color="auto" w:sz="4" w:space="0"/>
              <w:right w:val="single" w:color="auto" w:sz="4" w:space="0"/>
            </w:tcBorders>
            <w:vAlign w:val="center"/>
          </w:tcPr>
          <w:p w14:paraId="08510878">
            <w:pPr>
              <w:snapToGrid w:val="0"/>
              <w:spacing w:before="46" w:beforeLines="15" w:after="46" w:afterLines="15"/>
              <w:ind w:left="-42" w:leftChars="-20" w:right="-48" w:rightChars="-23"/>
              <w:rPr>
                <w:rFonts w:hint="eastAsia" w:ascii="宋体" w:hAnsi="宋体" w:cs="宋体"/>
                <w:sz w:val="24"/>
                <w:szCs w:val="24"/>
              </w:rPr>
            </w:pPr>
            <w:r>
              <w:rPr>
                <w:rFonts w:hint="eastAsia" w:ascii="宋体" w:hAnsi="宋体" w:cs="宋体"/>
                <w:sz w:val="24"/>
                <w:szCs w:val="24"/>
              </w:rPr>
              <w:t>（二）钢结构、网架和索膜结构安装工程。</w:t>
            </w:r>
          </w:p>
        </w:tc>
        <w:tc>
          <w:tcPr>
            <w:tcW w:w="1845" w:type="dxa"/>
            <w:tcBorders>
              <w:top w:val="single" w:color="auto" w:sz="4" w:space="0"/>
              <w:left w:val="single" w:color="auto" w:sz="4" w:space="0"/>
              <w:bottom w:val="single" w:color="auto" w:sz="4" w:space="0"/>
              <w:right w:val="single" w:color="auto" w:sz="4" w:space="0"/>
            </w:tcBorders>
            <w:vAlign w:val="center"/>
          </w:tcPr>
          <w:p w14:paraId="27BE86BD">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680" w:type="dxa"/>
            <w:tcBorders>
              <w:top w:val="single" w:color="auto" w:sz="4" w:space="0"/>
              <w:left w:val="single" w:color="auto" w:sz="4" w:space="0"/>
              <w:bottom w:val="single" w:color="auto" w:sz="4" w:space="0"/>
              <w:right w:val="single" w:color="auto" w:sz="4" w:space="0"/>
            </w:tcBorders>
            <w:vAlign w:val="center"/>
          </w:tcPr>
          <w:p w14:paraId="5343BB67">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020" w:type="dxa"/>
            <w:tcBorders>
              <w:top w:val="single" w:color="auto" w:sz="4" w:space="0"/>
              <w:left w:val="single" w:color="auto" w:sz="4" w:space="0"/>
              <w:bottom w:val="single" w:color="auto" w:sz="4" w:space="0"/>
              <w:right w:val="single" w:color="auto" w:sz="4" w:space="0"/>
            </w:tcBorders>
            <w:vAlign w:val="center"/>
          </w:tcPr>
          <w:p w14:paraId="687947D7">
            <w:pPr>
              <w:snapToGrid w:val="0"/>
              <w:spacing w:before="46" w:beforeLines="15" w:after="46" w:afterLines="15"/>
              <w:ind w:left="-42" w:leftChars="-20" w:right="-48" w:rightChars="-23"/>
              <w:rPr>
                <w:rFonts w:hint="eastAsia" w:ascii="宋体" w:hAnsi="宋体" w:cs="宋体"/>
                <w:sz w:val="24"/>
                <w:szCs w:val="24"/>
              </w:rPr>
            </w:pPr>
          </w:p>
        </w:tc>
      </w:tr>
      <w:tr w14:paraId="30854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181" w:type="dxa"/>
            <w:tcBorders>
              <w:top w:val="single" w:color="auto" w:sz="4" w:space="0"/>
              <w:left w:val="single" w:color="auto" w:sz="4" w:space="0"/>
              <w:bottom w:val="single" w:color="auto" w:sz="4" w:space="0"/>
              <w:right w:val="single" w:color="auto" w:sz="4" w:space="0"/>
            </w:tcBorders>
            <w:vAlign w:val="center"/>
          </w:tcPr>
          <w:p w14:paraId="37FE7BF4">
            <w:pPr>
              <w:snapToGrid w:val="0"/>
              <w:spacing w:before="46" w:beforeLines="15" w:after="46" w:afterLines="15"/>
              <w:ind w:left="-42" w:leftChars="-20" w:right="-48" w:rightChars="-23"/>
              <w:rPr>
                <w:rFonts w:hint="eastAsia" w:ascii="宋体" w:hAnsi="宋体" w:cs="宋体"/>
                <w:sz w:val="24"/>
                <w:szCs w:val="24"/>
              </w:rPr>
            </w:pPr>
            <w:r>
              <w:rPr>
                <w:rFonts w:hint="eastAsia" w:ascii="宋体" w:hAnsi="宋体" w:cs="宋体"/>
                <w:sz w:val="24"/>
                <w:szCs w:val="24"/>
              </w:rPr>
              <w:t>（三）人工挖孔桩工程。</w:t>
            </w:r>
          </w:p>
        </w:tc>
        <w:tc>
          <w:tcPr>
            <w:tcW w:w="1845" w:type="dxa"/>
            <w:tcBorders>
              <w:top w:val="single" w:color="auto" w:sz="4" w:space="0"/>
              <w:left w:val="single" w:color="auto" w:sz="4" w:space="0"/>
              <w:bottom w:val="single" w:color="auto" w:sz="4" w:space="0"/>
              <w:right w:val="single" w:color="auto" w:sz="4" w:space="0"/>
            </w:tcBorders>
            <w:vAlign w:val="center"/>
          </w:tcPr>
          <w:p w14:paraId="38E60F11">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680" w:type="dxa"/>
            <w:tcBorders>
              <w:top w:val="single" w:color="auto" w:sz="4" w:space="0"/>
              <w:left w:val="single" w:color="auto" w:sz="4" w:space="0"/>
              <w:bottom w:val="single" w:color="auto" w:sz="4" w:space="0"/>
              <w:right w:val="single" w:color="auto" w:sz="4" w:space="0"/>
            </w:tcBorders>
            <w:vAlign w:val="center"/>
          </w:tcPr>
          <w:p w14:paraId="6CDCC754">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020" w:type="dxa"/>
            <w:tcBorders>
              <w:top w:val="single" w:color="auto" w:sz="4" w:space="0"/>
              <w:left w:val="single" w:color="auto" w:sz="4" w:space="0"/>
              <w:bottom w:val="single" w:color="auto" w:sz="4" w:space="0"/>
              <w:right w:val="single" w:color="auto" w:sz="4" w:space="0"/>
            </w:tcBorders>
            <w:vAlign w:val="center"/>
          </w:tcPr>
          <w:p w14:paraId="6CD7DEA5">
            <w:pPr>
              <w:snapToGrid w:val="0"/>
              <w:spacing w:before="46" w:beforeLines="15" w:after="46" w:afterLines="15"/>
              <w:ind w:left="-42" w:leftChars="-20" w:right="-48" w:rightChars="-23"/>
              <w:rPr>
                <w:rFonts w:hint="eastAsia" w:ascii="宋体" w:hAnsi="宋体" w:cs="宋体"/>
                <w:sz w:val="24"/>
                <w:szCs w:val="24"/>
              </w:rPr>
            </w:pPr>
          </w:p>
        </w:tc>
      </w:tr>
      <w:tr w14:paraId="7A002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181" w:type="dxa"/>
            <w:tcBorders>
              <w:top w:val="single" w:color="auto" w:sz="4" w:space="0"/>
              <w:left w:val="single" w:color="auto" w:sz="4" w:space="0"/>
              <w:bottom w:val="single" w:color="auto" w:sz="4" w:space="0"/>
              <w:right w:val="single" w:color="auto" w:sz="4" w:space="0"/>
            </w:tcBorders>
            <w:vAlign w:val="center"/>
          </w:tcPr>
          <w:p w14:paraId="040068A5">
            <w:pPr>
              <w:snapToGrid w:val="0"/>
              <w:spacing w:before="46" w:beforeLines="15" w:after="46" w:afterLines="15"/>
              <w:ind w:left="-42" w:leftChars="-20" w:right="-48" w:rightChars="-23"/>
              <w:rPr>
                <w:rFonts w:hint="eastAsia" w:ascii="宋体" w:hAnsi="宋体" w:cs="宋体"/>
                <w:sz w:val="24"/>
                <w:szCs w:val="24"/>
              </w:rPr>
            </w:pPr>
            <w:r>
              <w:rPr>
                <w:rFonts w:hint="eastAsia" w:ascii="宋体" w:hAnsi="宋体" w:cs="宋体"/>
                <w:sz w:val="24"/>
                <w:szCs w:val="24"/>
              </w:rPr>
              <w:t>（四）水下作业工程。</w:t>
            </w:r>
          </w:p>
        </w:tc>
        <w:tc>
          <w:tcPr>
            <w:tcW w:w="1845" w:type="dxa"/>
            <w:tcBorders>
              <w:top w:val="single" w:color="auto" w:sz="4" w:space="0"/>
              <w:left w:val="single" w:color="auto" w:sz="4" w:space="0"/>
              <w:bottom w:val="single" w:color="auto" w:sz="4" w:space="0"/>
              <w:right w:val="single" w:color="auto" w:sz="4" w:space="0"/>
            </w:tcBorders>
            <w:vAlign w:val="center"/>
          </w:tcPr>
          <w:p w14:paraId="1EBB3F89">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680" w:type="dxa"/>
            <w:tcBorders>
              <w:top w:val="single" w:color="auto" w:sz="4" w:space="0"/>
              <w:left w:val="single" w:color="auto" w:sz="4" w:space="0"/>
              <w:bottom w:val="single" w:color="auto" w:sz="4" w:space="0"/>
              <w:right w:val="single" w:color="auto" w:sz="4" w:space="0"/>
            </w:tcBorders>
            <w:vAlign w:val="center"/>
          </w:tcPr>
          <w:p w14:paraId="10812A16">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020" w:type="dxa"/>
            <w:tcBorders>
              <w:top w:val="single" w:color="auto" w:sz="4" w:space="0"/>
              <w:left w:val="single" w:color="auto" w:sz="4" w:space="0"/>
              <w:bottom w:val="single" w:color="auto" w:sz="4" w:space="0"/>
              <w:right w:val="single" w:color="auto" w:sz="4" w:space="0"/>
            </w:tcBorders>
            <w:vAlign w:val="center"/>
          </w:tcPr>
          <w:p w14:paraId="46385420">
            <w:pPr>
              <w:snapToGrid w:val="0"/>
              <w:spacing w:before="46" w:beforeLines="15" w:after="46" w:afterLines="15"/>
              <w:ind w:left="-42" w:leftChars="-20" w:right="-48" w:rightChars="-23"/>
              <w:rPr>
                <w:rFonts w:hint="eastAsia" w:ascii="宋体" w:hAnsi="宋体" w:cs="宋体"/>
                <w:sz w:val="24"/>
                <w:szCs w:val="24"/>
              </w:rPr>
            </w:pPr>
          </w:p>
        </w:tc>
      </w:tr>
      <w:tr w14:paraId="0BEBB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181" w:type="dxa"/>
            <w:tcBorders>
              <w:top w:val="single" w:color="auto" w:sz="4" w:space="0"/>
              <w:left w:val="single" w:color="auto" w:sz="4" w:space="0"/>
              <w:bottom w:val="single" w:color="auto" w:sz="4" w:space="0"/>
              <w:right w:val="single" w:color="auto" w:sz="4" w:space="0"/>
            </w:tcBorders>
            <w:vAlign w:val="center"/>
          </w:tcPr>
          <w:p w14:paraId="735A8ADD">
            <w:pPr>
              <w:snapToGrid w:val="0"/>
              <w:spacing w:before="46" w:beforeLines="15" w:after="46" w:afterLines="15"/>
              <w:ind w:left="-42" w:leftChars="-20" w:right="-48" w:rightChars="-23"/>
              <w:rPr>
                <w:rFonts w:hint="eastAsia" w:ascii="宋体" w:hAnsi="宋体" w:cs="宋体"/>
                <w:sz w:val="24"/>
                <w:szCs w:val="24"/>
              </w:rPr>
            </w:pPr>
            <w:r>
              <w:rPr>
                <w:rFonts w:hint="eastAsia" w:ascii="宋体" w:hAnsi="宋体" w:cs="宋体"/>
                <w:sz w:val="24"/>
                <w:szCs w:val="24"/>
              </w:rPr>
              <w:t>（五）装配式建筑混凝土预制构件安装工程。</w:t>
            </w:r>
          </w:p>
        </w:tc>
        <w:tc>
          <w:tcPr>
            <w:tcW w:w="1845" w:type="dxa"/>
            <w:tcBorders>
              <w:top w:val="single" w:color="auto" w:sz="4" w:space="0"/>
              <w:left w:val="single" w:color="auto" w:sz="4" w:space="0"/>
              <w:bottom w:val="single" w:color="auto" w:sz="4" w:space="0"/>
              <w:right w:val="single" w:color="auto" w:sz="4" w:space="0"/>
            </w:tcBorders>
            <w:vAlign w:val="center"/>
          </w:tcPr>
          <w:p w14:paraId="738E4594">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680" w:type="dxa"/>
            <w:tcBorders>
              <w:top w:val="single" w:color="auto" w:sz="4" w:space="0"/>
              <w:left w:val="single" w:color="auto" w:sz="4" w:space="0"/>
              <w:bottom w:val="single" w:color="auto" w:sz="4" w:space="0"/>
              <w:right w:val="single" w:color="auto" w:sz="4" w:space="0"/>
            </w:tcBorders>
            <w:vAlign w:val="center"/>
          </w:tcPr>
          <w:p w14:paraId="3410445D">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020" w:type="dxa"/>
            <w:tcBorders>
              <w:top w:val="single" w:color="auto" w:sz="4" w:space="0"/>
              <w:left w:val="single" w:color="auto" w:sz="4" w:space="0"/>
              <w:bottom w:val="single" w:color="auto" w:sz="4" w:space="0"/>
              <w:right w:val="single" w:color="auto" w:sz="4" w:space="0"/>
            </w:tcBorders>
            <w:vAlign w:val="center"/>
          </w:tcPr>
          <w:p w14:paraId="6F1B7887">
            <w:pPr>
              <w:snapToGrid w:val="0"/>
              <w:spacing w:before="46" w:beforeLines="15" w:after="46" w:afterLines="15"/>
              <w:ind w:left="-42" w:leftChars="-20" w:right="-48" w:rightChars="-23"/>
              <w:rPr>
                <w:rFonts w:hint="eastAsia" w:ascii="宋体" w:hAnsi="宋体" w:cs="宋体"/>
                <w:sz w:val="24"/>
                <w:szCs w:val="24"/>
              </w:rPr>
            </w:pPr>
          </w:p>
        </w:tc>
      </w:tr>
      <w:tr w14:paraId="57FFC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181" w:type="dxa"/>
            <w:tcBorders>
              <w:top w:val="single" w:color="auto" w:sz="4" w:space="0"/>
              <w:left w:val="single" w:color="auto" w:sz="4" w:space="0"/>
              <w:bottom w:val="single" w:color="auto" w:sz="4" w:space="0"/>
              <w:right w:val="single" w:color="auto" w:sz="4" w:space="0"/>
            </w:tcBorders>
            <w:vAlign w:val="center"/>
          </w:tcPr>
          <w:p w14:paraId="6DD52F15">
            <w:pPr>
              <w:snapToGrid w:val="0"/>
              <w:spacing w:before="46" w:beforeLines="15" w:after="46" w:afterLines="15"/>
              <w:ind w:left="-42" w:leftChars="-20" w:right="-48" w:rightChars="-23"/>
              <w:rPr>
                <w:rFonts w:hint="eastAsia" w:ascii="宋体" w:hAnsi="宋体" w:cs="宋体"/>
                <w:sz w:val="24"/>
                <w:szCs w:val="24"/>
              </w:rPr>
            </w:pPr>
            <w:r>
              <w:rPr>
                <w:rFonts w:hint="eastAsia" w:ascii="宋体" w:hAnsi="宋体" w:cs="宋体"/>
                <w:sz w:val="24"/>
                <w:szCs w:val="24"/>
              </w:rPr>
              <w:t>（六）采用新技术、新工艺、新材料、新设备可能影响工程施工安全，尚无国家、行业及地方技术标准的分部分项工程。</w:t>
            </w:r>
          </w:p>
        </w:tc>
        <w:tc>
          <w:tcPr>
            <w:tcW w:w="1845" w:type="dxa"/>
            <w:tcBorders>
              <w:top w:val="single" w:color="auto" w:sz="4" w:space="0"/>
              <w:left w:val="single" w:color="auto" w:sz="4" w:space="0"/>
              <w:bottom w:val="single" w:color="auto" w:sz="4" w:space="0"/>
              <w:right w:val="single" w:color="auto" w:sz="4" w:space="0"/>
            </w:tcBorders>
            <w:vAlign w:val="center"/>
          </w:tcPr>
          <w:p w14:paraId="267C21AE">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680" w:type="dxa"/>
            <w:tcBorders>
              <w:top w:val="single" w:color="auto" w:sz="4" w:space="0"/>
              <w:left w:val="single" w:color="auto" w:sz="4" w:space="0"/>
              <w:bottom w:val="single" w:color="auto" w:sz="4" w:space="0"/>
              <w:right w:val="single" w:color="auto" w:sz="4" w:space="0"/>
            </w:tcBorders>
            <w:vAlign w:val="center"/>
          </w:tcPr>
          <w:p w14:paraId="0324DD2B">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020" w:type="dxa"/>
            <w:tcBorders>
              <w:top w:val="single" w:color="auto" w:sz="4" w:space="0"/>
              <w:left w:val="single" w:color="auto" w:sz="4" w:space="0"/>
              <w:bottom w:val="single" w:color="auto" w:sz="4" w:space="0"/>
              <w:right w:val="single" w:color="auto" w:sz="4" w:space="0"/>
            </w:tcBorders>
            <w:vAlign w:val="center"/>
          </w:tcPr>
          <w:p w14:paraId="38455CA4">
            <w:pPr>
              <w:snapToGrid w:val="0"/>
              <w:spacing w:before="46" w:beforeLines="15" w:after="46" w:afterLines="15"/>
              <w:ind w:left="-42" w:leftChars="-20" w:right="-48" w:rightChars="-23"/>
              <w:rPr>
                <w:rFonts w:hint="eastAsia" w:ascii="宋体" w:hAnsi="宋体" w:cs="宋体"/>
                <w:sz w:val="24"/>
                <w:szCs w:val="24"/>
              </w:rPr>
            </w:pPr>
          </w:p>
        </w:tc>
      </w:tr>
      <w:tr w14:paraId="200B7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181" w:type="dxa"/>
            <w:tcBorders>
              <w:top w:val="single" w:color="auto" w:sz="4" w:space="0"/>
              <w:left w:val="single" w:color="auto" w:sz="4" w:space="0"/>
              <w:bottom w:val="single" w:color="auto" w:sz="4" w:space="0"/>
              <w:right w:val="single" w:color="auto" w:sz="4" w:space="0"/>
            </w:tcBorders>
            <w:vAlign w:val="center"/>
          </w:tcPr>
          <w:p w14:paraId="0A3129FC">
            <w:pPr>
              <w:widowControl/>
              <w:snapToGrid w:val="0"/>
              <w:spacing w:before="46" w:beforeLines="15" w:after="46" w:afterLines="15"/>
              <w:ind w:left="-42" w:leftChars="-20" w:right="-48" w:rightChars="-23"/>
              <w:jc w:val="center"/>
              <w:rPr>
                <w:rFonts w:hint="eastAsia" w:ascii="宋体" w:hAnsi="宋体" w:cs="宋体"/>
                <w:b/>
                <w:sz w:val="24"/>
                <w:szCs w:val="24"/>
              </w:rPr>
            </w:pPr>
            <w:r>
              <w:rPr>
                <w:rFonts w:hint="eastAsia" w:ascii="宋体" w:hAnsi="宋体" w:cs="宋体"/>
                <w:b/>
                <w:bCs/>
                <w:sz w:val="24"/>
                <w:szCs w:val="24"/>
              </w:rPr>
              <w:t>二、超过一定规模的危险性较大的分部分项工程清单</w:t>
            </w:r>
          </w:p>
        </w:tc>
        <w:tc>
          <w:tcPr>
            <w:tcW w:w="1845" w:type="dxa"/>
            <w:tcBorders>
              <w:top w:val="single" w:color="auto" w:sz="4" w:space="0"/>
              <w:left w:val="single" w:color="auto" w:sz="4" w:space="0"/>
              <w:bottom w:val="single" w:color="auto" w:sz="4" w:space="0"/>
              <w:right w:val="single" w:color="auto" w:sz="4" w:space="0"/>
            </w:tcBorders>
            <w:vAlign w:val="center"/>
          </w:tcPr>
          <w:p w14:paraId="1B246325">
            <w:pPr>
              <w:spacing w:line="276" w:lineRule="auto"/>
              <w:jc w:val="center"/>
              <w:rPr>
                <w:rFonts w:hint="eastAsia" w:ascii="宋体" w:hAnsi="宋体" w:cs="宋体"/>
                <w:sz w:val="24"/>
                <w:szCs w:val="24"/>
              </w:rPr>
            </w:pPr>
            <w:r>
              <w:rPr>
                <w:rFonts w:hint="eastAsia" w:ascii="宋体" w:hAnsi="宋体"/>
                <w:b/>
              </w:rPr>
              <w:t>招标人</w:t>
            </w:r>
          </w:p>
        </w:tc>
        <w:tc>
          <w:tcPr>
            <w:tcW w:w="1680" w:type="dxa"/>
            <w:tcBorders>
              <w:top w:val="single" w:color="auto" w:sz="4" w:space="0"/>
              <w:left w:val="single" w:color="auto" w:sz="4" w:space="0"/>
              <w:bottom w:val="single" w:color="auto" w:sz="4" w:space="0"/>
              <w:right w:val="single" w:color="auto" w:sz="4" w:space="0"/>
            </w:tcBorders>
            <w:vAlign w:val="center"/>
          </w:tcPr>
          <w:p w14:paraId="5DFC3790">
            <w:pPr>
              <w:spacing w:line="276" w:lineRule="auto"/>
              <w:jc w:val="center"/>
              <w:rPr>
                <w:rFonts w:hint="eastAsia" w:ascii="宋体" w:hAnsi="宋体" w:cs="宋体"/>
                <w:sz w:val="24"/>
                <w:szCs w:val="24"/>
              </w:rPr>
            </w:pPr>
            <w:r>
              <w:rPr>
                <w:rFonts w:hint="eastAsia" w:ascii="宋体" w:hAnsi="宋体"/>
                <w:b/>
              </w:rPr>
              <w:t>投标单位</w:t>
            </w:r>
          </w:p>
        </w:tc>
        <w:tc>
          <w:tcPr>
            <w:tcW w:w="1020" w:type="dxa"/>
            <w:tcBorders>
              <w:top w:val="single" w:color="auto" w:sz="4" w:space="0"/>
              <w:left w:val="single" w:color="auto" w:sz="4" w:space="0"/>
              <w:bottom w:val="single" w:color="auto" w:sz="4" w:space="0"/>
              <w:right w:val="single" w:color="auto" w:sz="4" w:space="0"/>
            </w:tcBorders>
            <w:vAlign w:val="center"/>
          </w:tcPr>
          <w:p w14:paraId="2FEC8733">
            <w:pPr>
              <w:spacing w:line="276" w:lineRule="auto"/>
              <w:jc w:val="center"/>
              <w:rPr>
                <w:rFonts w:hint="eastAsia" w:ascii="宋体" w:hAnsi="宋体" w:cs="宋体"/>
                <w:sz w:val="24"/>
                <w:szCs w:val="24"/>
              </w:rPr>
            </w:pPr>
            <w:r>
              <w:rPr>
                <w:rFonts w:hint="eastAsia" w:ascii="宋体" w:hAnsi="宋体"/>
                <w:b/>
              </w:rPr>
              <w:t>备注</w:t>
            </w:r>
          </w:p>
        </w:tc>
      </w:tr>
      <w:tr w14:paraId="21A06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726" w:type="dxa"/>
            <w:gridSpan w:val="4"/>
            <w:tcBorders>
              <w:top w:val="single" w:color="auto" w:sz="4" w:space="0"/>
              <w:left w:val="single" w:color="auto" w:sz="4" w:space="0"/>
              <w:bottom w:val="single" w:color="auto" w:sz="4" w:space="0"/>
              <w:right w:val="single" w:color="auto" w:sz="4" w:space="0"/>
            </w:tcBorders>
            <w:vAlign w:val="center"/>
          </w:tcPr>
          <w:p w14:paraId="7379C5A6">
            <w:pPr>
              <w:snapToGrid w:val="0"/>
              <w:spacing w:before="46" w:beforeLines="15" w:after="46" w:afterLines="15"/>
              <w:ind w:left="-42" w:leftChars="-20" w:right="-48" w:rightChars="-23"/>
              <w:rPr>
                <w:rFonts w:hint="eastAsia" w:ascii="宋体" w:hAnsi="宋体" w:cs="宋体"/>
                <w:sz w:val="24"/>
                <w:szCs w:val="24"/>
              </w:rPr>
            </w:pPr>
            <w:r>
              <w:rPr>
                <w:rFonts w:hint="eastAsia" w:ascii="宋体" w:hAnsi="宋体" w:cs="宋体"/>
                <w:sz w:val="24"/>
                <w:szCs w:val="24"/>
              </w:rPr>
              <w:t>一、深基坑工程</w:t>
            </w:r>
          </w:p>
        </w:tc>
      </w:tr>
      <w:tr w14:paraId="02259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181" w:type="dxa"/>
            <w:tcBorders>
              <w:top w:val="single" w:color="auto" w:sz="4" w:space="0"/>
              <w:left w:val="single" w:color="auto" w:sz="4" w:space="0"/>
              <w:bottom w:val="single" w:color="auto" w:sz="4" w:space="0"/>
              <w:right w:val="single" w:color="auto" w:sz="4" w:space="0"/>
            </w:tcBorders>
            <w:vAlign w:val="center"/>
          </w:tcPr>
          <w:p w14:paraId="20F63395">
            <w:pPr>
              <w:snapToGrid w:val="0"/>
              <w:spacing w:before="46" w:beforeLines="15" w:after="46" w:afterLines="15"/>
              <w:ind w:left="-42" w:leftChars="-20" w:right="-48" w:rightChars="-23"/>
              <w:rPr>
                <w:rFonts w:hint="eastAsia" w:ascii="宋体" w:hAnsi="宋体" w:cs="宋体"/>
                <w:sz w:val="24"/>
                <w:szCs w:val="24"/>
              </w:rPr>
            </w:pPr>
            <w:r>
              <w:rPr>
                <w:rFonts w:hint="eastAsia" w:ascii="宋体" w:hAnsi="宋体" w:cs="宋体"/>
                <w:sz w:val="24"/>
                <w:szCs w:val="24"/>
              </w:rPr>
              <w:t>开挖深度超过5m（含5m）的基坑（槽）的土方开挖、支护、降水工程。</w:t>
            </w:r>
          </w:p>
        </w:tc>
        <w:tc>
          <w:tcPr>
            <w:tcW w:w="1845" w:type="dxa"/>
            <w:tcBorders>
              <w:top w:val="single" w:color="auto" w:sz="4" w:space="0"/>
              <w:left w:val="single" w:color="auto" w:sz="4" w:space="0"/>
              <w:bottom w:val="single" w:color="auto" w:sz="4" w:space="0"/>
              <w:right w:val="single" w:color="auto" w:sz="4" w:space="0"/>
            </w:tcBorders>
            <w:vAlign w:val="center"/>
          </w:tcPr>
          <w:p w14:paraId="20259F77">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 )</w:t>
            </w:r>
          </w:p>
        </w:tc>
        <w:tc>
          <w:tcPr>
            <w:tcW w:w="1680" w:type="dxa"/>
            <w:tcBorders>
              <w:top w:val="single" w:color="auto" w:sz="4" w:space="0"/>
              <w:left w:val="single" w:color="auto" w:sz="4" w:space="0"/>
              <w:bottom w:val="single" w:color="auto" w:sz="4" w:space="0"/>
              <w:right w:val="single" w:color="auto" w:sz="4" w:space="0"/>
            </w:tcBorders>
            <w:vAlign w:val="center"/>
          </w:tcPr>
          <w:p w14:paraId="5E6364E1">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020" w:type="dxa"/>
            <w:tcBorders>
              <w:top w:val="single" w:color="auto" w:sz="4" w:space="0"/>
              <w:left w:val="single" w:color="auto" w:sz="4" w:space="0"/>
              <w:bottom w:val="single" w:color="auto" w:sz="4" w:space="0"/>
              <w:right w:val="single" w:color="auto" w:sz="4" w:space="0"/>
            </w:tcBorders>
            <w:vAlign w:val="center"/>
          </w:tcPr>
          <w:p w14:paraId="262204F9">
            <w:pPr>
              <w:snapToGrid w:val="0"/>
              <w:spacing w:before="46" w:beforeLines="15" w:after="46" w:afterLines="15"/>
              <w:ind w:left="-42" w:leftChars="-20" w:right="-48" w:rightChars="-23"/>
              <w:rPr>
                <w:rFonts w:hint="eastAsia" w:ascii="宋体" w:hAnsi="宋体" w:cs="宋体"/>
                <w:sz w:val="24"/>
                <w:szCs w:val="24"/>
              </w:rPr>
            </w:pPr>
          </w:p>
        </w:tc>
      </w:tr>
      <w:tr w14:paraId="1F159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726" w:type="dxa"/>
            <w:gridSpan w:val="4"/>
            <w:tcBorders>
              <w:top w:val="single" w:color="auto" w:sz="4" w:space="0"/>
              <w:left w:val="single" w:color="auto" w:sz="4" w:space="0"/>
              <w:bottom w:val="single" w:color="auto" w:sz="4" w:space="0"/>
              <w:right w:val="single" w:color="auto" w:sz="4" w:space="0"/>
            </w:tcBorders>
            <w:vAlign w:val="center"/>
          </w:tcPr>
          <w:p w14:paraId="779B6243">
            <w:pPr>
              <w:snapToGrid w:val="0"/>
              <w:spacing w:before="46" w:beforeLines="15" w:after="46" w:afterLines="15"/>
              <w:ind w:left="-42" w:leftChars="-20" w:right="-48" w:rightChars="-23"/>
              <w:rPr>
                <w:rFonts w:hint="eastAsia" w:ascii="宋体" w:hAnsi="宋体" w:cs="宋体"/>
                <w:sz w:val="24"/>
                <w:szCs w:val="24"/>
              </w:rPr>
            </w:pPr>
            <w:r>
              <w:rPr>
                <w:rFonts w:hint="eastAsia" w:ascii="宋体" w:hAnsi="宋体" w:cs="宋体"/>
                <w:sz w:val="24"/>
                <w:szCs w:val="24"/>
              </w:rPr>
              <w:t>二、模板工程及支撑体系</w:t>
            </w:r>
          </w:p>
        </w:tc>
      </w:tr>
      <w:tr w14:paraId="12736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181" w:type="dxa"/>
            <w:tcBorders>
              <w:top w:val="single" w:color="auto" w:sz="4" w:space="0"/>
              <w:left w:val="single" w:color="auto" w:sz="4" w:space="0"/>
              <w:bottom w:val="single" w:color="auto" w:sz="4" w:space="0"/>
              <w:right w:val="single" w:color="auto" w:sz="4" w:space="0"/>
            </w:tcBorders>
            <w:vAlign w:val="center"/>
          </w:tcPr>
          <w:p w14:paraId="1B1FDF24">
            <w:pPr>
              <w:snapToGrid w:val="0"/>
              <w:spacing w:before="46" w:beforeLines="15" w:after="46" w:afterLines="15"/>
              <w:ind w:left="-42" w:leftChars="-20" w:right="-48" w:rightChars="-23"/>
              <w:rPr>
                <w:rFonts w:hint="eastAsia" w:ascii="宋体" w:hAnsi="宋体" w:cs="宋体"/>
                <w:sz w:val="24"/>
                <w:szCs w:val="24"/>
              </w:rPr>
            </w:pPr>
            <w:r>
              <w:rPr>
                <w:rFonts w:hint="eastAsia" w:ascii="宋体" w:hAnsi="宋体" w:cs="宋体"/>
                <w:sz w:val="24"/>
                <w:szCs w:val="24"/>
              </w:rPr>
              <w:t>（一）各类工具式模板工程：包括滑模、爬模、飞模、隧道模等工程。</w:t>
            </w:r>
          </w:p>
        </w:tc>
        <w:tc>
          <w:tcPr>
            <w:tcW w:w="1845" w:type="dxa"/>
            <w:tcBorders>
              <w:top w:val="single" w:color="auto" w:sz="4" w:space="0"/>
              <w:left w:val="single" w:color="auto" w:sz="4" w:space="0"/>
              <w:bottom w:val="single" w:color="auto" w:sz="4" w:space="0"/>
              <w:right w:val="single" w:color="auto" w:sz="4" w:space="0"/>
            </w:tcBorders>
            <w:vAlign w:val="center"/>
          </w:tcPr>
          <w:p w14:paraId="30C0291E">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680" w:type="dxa"/>
            <w:tcBorders>
              <w:top w:val="single" w:color="auto" w:sz="4" w:space="0"/>
              <w:left w:val="single" w:color="auto" w:sz="4" w:space="0"/>
              <w:bottom w:val="single" w:color="auto" w:sz="4" w:space="0"/>
              <w:right w:val="single" w:color="auto" w:sz="4" w:space="0"/>
            </w:tcBorders>
            <w:vAlign w:val="center"/>
          </w:tcPr>
          <w:p w14:paraId="56F630D9">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020" w:type="dxa"/>
            <w:tcBorders>
              <w:top w:val="single" w:color="auto" w:sz="4" w:space="0"/>
              <w:left w:val="single" w:color="auto" w:sz="4" w:space="0"/>
              <w:bottom w:val="single" w:color="auto" w:sz="4" w:space="0"/>
              <w:right w:val="single" w:color="auto" w:sz="4" w:space="0"/>
            </w:tcBorders>
            <w:vAlign w:val="center"/>
          </w:tcPr>
          <w:p w14:paraId="3DBCE394">
            <w:pPr>
              <w:snapToGrid w:val="0"/>
              <w:spacing w:before="46" w:beforeLines="15" w:after="46" w:afterLines="15"/>
              <w:ind w:left="-42" w:leftChars="-20" w:right="-48" w:rightChars="-23"/>
              <w:rPr>
                <w:rFonts w:hint="eastAsia" w:ascii="宋体" w:hAnsi="宋体" w:cs="宋体"/>
                <w:sz w:val="24"/>
                <w:szCs w:val="24"/>
              </w:rPr>
            </w:pPr>
          </w:p>
        </w:tc>
      </w:tr>
      <w:tr w14:paraId="1C6EC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181" w:type="dxa"/>
            <w:tcBorders>
              <w:top w:val="single" w:color="auto" w:sz="4" w:space="0"/>
              <w:left w:val="single" w:color="auto" w:sz="4" w:space="0"/>
              <w:bottom w:val="single" w:color="auto" w:sz="4" w:space="0"/>
              <w:right w:val="single" w:color="auto" w:sz="4" w:space="0"/>
            </w:tcBorders>
            <w:vAlign w:val="center"/>
          </w:tcPr>
          <w:p w14:paraId="70B9356A">
            <w:pPr>
              <w:snapToGrid w:val="0"/>
              <w:spacing w:before="46" w:beforeLines="15" w:after="46" w:afterLines="15"/>
              <w:ind w:left="-42" w:leftChars="-20" w:right="-48" w:rightChars="-23"/>
              <w:rPr>
                <w:rFonts w:hint="eastAsia" w:ascii="宋体" w:hAnsi="宋体" w:cs="宋体"/>
                <w:sz w:val="24"/>
                <w:szCs w:val="24"/>
              </w:rPr>
            </w:pPr>
            <w:r>
              <w:rPr>
                <w:rFonts w:hint="eastAsia" w:ascii="宋体" w:hAnsi="宋体" w:cs="宋体"/>
                <w:sz w:val="24"/>
                <w:szCs w:val="24"/>
              </w:rPr>
              <w:t>（二）混凝土模板支撑工程：搭设高度8m及以上，或搭设跨度18m及以上，或施工总荷载（设计值）15kN/m2及以上，或集中线荷载（设计值）20kN/m及以上。</w:t>
            </w:r>
          </w:p>
        </w:tc>
        <w:tc>
          <w:tcPr>
            <w:tcW w:w="1845" w:type="dxa"/>
            <w:tcBorders>
              <w:top w:val="single" w:color="auto" w:sz="4" w:space="0"/>
              <w:left w:val="single" w:color="auto" w:sz="4" w:space="0"/>
              <w:bottom w:val="single" w:color="auto" w:sz="4" w:space="0"/>
              <w:right w:val="single" w:color="auto" w:sz="4" w:space="0"/>
            </w:tcBorders>
            <w:vAlign w:val="center"/>
          </w:tcPr>
          <w:p w14:paraId="0C430D89">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680" w:type="dxa"/>
            <w:tcBorders>
              <w:top w:val="single" w:color="auto" w:sz="4" w:space="0"/>
              <w:left w:val="single" w:color="auto" w:sz="4" w:space="0"/>
              <w:bottom w:val="single" w:color="auto" w:sz="4" w:space="0"/>
              <w:right w:val="single" w:color="auto" w:sz="4" w:space="0"/>
            </w:tcBorders>
            <w:vAlign w:val="center"/>
          </w:tcPr>
          <w:p w14:paraId="036AF526">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020" w:type="dxa"/>
            <w:tcBorders>
              <w:top w:val="single" w:color="auto" w:sz="4" w:space="0"/>
              <w:left w:val="single" w:color="auto" w:sz="4" w:space="0"/>
              <w:bottom w:val="single" w:color="auto" w:sz="4" w:space="0"/>
              <w:right w:val="single" w:color="auto" w:sz="4" w:space="0"/>
            </w:tcBorders>
            <w:vAlign w:val="center"/>
          </w:tcPr>
          <w:p w14:paraId="394B6502">
            <w:pPr>
              <w:snapToGrid w:val="0"/>
              <w:spacing w:before="46" w:beforeLines="15" w:after="46" w:afterLines="15"/>
              <w:ind w:left="-42" w:leftChars="-20" w:right="-48" w:rightChars="-23"/>
              <w:rPr>
                <w:rFonts w:hint="eastAsia" w:ascii="宋体" w:hAnsi="宋体" w:cs="宋体"/>
                <w:sz w:val="24"/>
                <w:szCs w:val="24"/>
              </w:rPr>
            </w:pPr>
          </w:p>
        </w:tc>
      </w:tr>
      <w:tr w14:paraId="5E51C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181" w:type="dxa"/>
            <w:tcBorders>
              <w:top w:val="single" w:color="auto" w:sz="4" w:space="0"/>
              <w:left w:val="single" w:color="auto" w:sz="4" w:space="0"/>
              <w:bottom w:val="single" w:color="auto" w:sz="4" w:space="0"/>
              <w:right w:val="single" w:color="auto" w:sz="4" w:space="0"/>
            </w:tcBorders>
            <w:vAlign w:val="center"/>
          </w:tcPr>
          <w:p w14:paraId="6195FB43">
            <w:pPr>
              <w:snapToGrid w:val="0"/>
              <w:spacing w:before="46" w:beforeLines="15" w:after="46" w:afterLines="15"/>
              <w:ind w:left="-42" w:leftChars="-20" w:right="-48" w:rightChars="-23"/>
              <w:rPr>
                <w:rFonts w:hint="eastAsia" w:ascii="宋体" w:hAnsi="宋体" w:cs="宋体"/>
                <w:sz w:val="24"/>
                <w:szCs w:val="24"/>
              </w:rPr>
            </w:pPr>
            <w:r>
              <w:rPr>
                <w:rFonts w:hint="eastAsia" w:ascii="宋体" w:hAnsi="宋体" w:cs="宋体"/>
                <w:sz w:val="24"/>
                <w:szCs w:val="24"/>
              </w:rPr>
              <w:t>（三）承重支撑体系：用于钢结构安装等满堂支撑体系，承受单点集中荷载7kN及以上。</w:t>
            </w:r>
          </w:p>
        </w:tc>
        <w:tc>
          <w:tcPr>
            <w:tcW w:w="1845" w:type="dxa"/>
            <w:tcBorders>
              <w:top w:val="single" w:color="auto" w:sz="4" w:space="0"/>
              <w:left w:val="single" w:color="auto" w:sz="4" w:space="0"/>
              <w:bottom w:val="single" w:color="auto" w:sz="4" w:space="0"/>
              <w:right w:val="single" w:color="auto" w:sz="4" w:space="0"/>
            </w:tcBorders>
            <w:vAlign w:val="center"/>
          </w:tcPr>
          <w:p w14:paraId="51D5278F">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680" w:type="dxa"/>
            <w:tcBorders>
              <w:top w:val="single" w:color="auto" w:sz="4" w:space="0"/>
              <w:left w:val="single" w:color="auto" w:sz="4" w:space="0"/>
              <w:bottom w:val="single" w:color="auto" w:sz="4" w:space="0"/>
              <w:right w:val="single" w:color="auto" w:sz="4" w:space="0"/>
            </w:tcBorders>
            <w:vAlign w:val="center"/>
          </w:tcPr>
          <w:p w14:paraId="795B7A34">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020" w:type="dxa"/>
            <w:tcBorders>
              <w:top w:val="single" w:color="auto" w:sz="4" w:space="0"/>
              <w:left w:val="single" w:color="auto" w:sz="4" w:space="0"/>
              <w:bottom w:val="single" w:color="auto" w:sz="4" w:space="0"/>
              <w:right w:val="single" w:color="auto" w:sz="4" w:space="0"/>
            </w:tcBorders>
            <w:vAlign w:val="center"/>
          </w:tcPr>
          <w:p w14:paraId="456C1440">
            <w:pPr>
              <w:snapToGrid w:val="0"/>
              <w:spacing w:before="46" w:beforeLines="15" w:after="46" w:afterLines="15"/>
              <w:ind w:left="-42" w:leftChars="-20" w:right="-48" w:rightChars="-23"/>
              <w:rPr>
                <w:rFonts w:hint="eastAsia" w:ascii="宋体" w:hAnsi="宋体" w:cs="宋体"/>
                <w:sz w:val="24"/>
                <w:szCs w:val="24"/>
              </w:rPr>
            </w:pPr>
          </w:p>
        </w:tc>
      </w:tr>
      <w:tr w14:paraId="2BE5F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726" w:type="dxa"/>
            <w:gridSpan w:val="4"/>
            <w:tcBorders>
              <w:top w:val="single" w:color="auto" w:sz="4" w:space="0"/>
              <w:left w:val="single" w:color="auto" w:sz="4" w:space="0"/>
              <w:bottom w:val="single" w:color="auto" w:sz="4" w:space="0"/>
              <w:right w:val="single" w:color="auto" w:sz="4" w:space="0"/>
            </w:tcBorders>
            <w:vAlign w:val="center"/>
          </w:tcPr>
          <w:p w14:paraId="01A82D7E">
            <w:pPr>
              <w:snapToGrid w:val="0"/>
              <w:spacing w:before="46" w:beforeLines="15" w:after="46" w:afterLines="15"/>
              <w:ind w:left="-42" w:leftChars="-20" w:right="-48" w:rightChars="-23"/>
              <w:rPr>
                <w:rFonts w:hint="eastAsia" w:ascii="宋体" w:hAnsi="宋体" w:cs="宋体"/>
                <w:b/>
                <w:sz w:val="24"/>
                <w:szCs w:val="24"/>
              </w:rPr>
            </w:pPr>
            <w:r>
              <w:rPr>
                <w:rFonts w:hint="eastAsia" w:ascii="宋体" w:hAnsi="宋体" w:cs="宋体"/>
                <w:sz w:val="24"/>
                <w:szCs w:val="24"/>
              </w:rPr>
              <w:t>三、起重吊装及起重机械安装拆卸工程</w:t>
            </w:r>
          </w:p>
        </w:tc>
      </w:tr>
      <w:tr w14:paraId="1F6D2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181" w:type="dxa"/>
            <w:tcBorders>
              <w:top w:val="single" w:color="auto" w:sz="4" w:space="0"/>
              <w:left w:val="single" w:color="auto" w:sz="4" w:space="0"/>
              <w:bottom w:val="single" w:color="auto" w:sz="4" w:space="0"/>
              <w:right w:val="single" w:color="auto" w:sz="4" w:space="0"/>
            </w:tcBorders>
            <w:vAlign w:val="center"/>
          </w:tcPr>
          <w:p w14:paraId="3175C1F5">
            <w:pPr>
              <w:snapToGrid w:val="0"/>
              <w:spacing w:before="46" w:beforeLines="15" w:after="46" w:afterLines="15"/>
              <w:ind w:left="-42" w:leftChars="-20" w:right="-48" w:rightChars="-23"/>
              <w:rPr>
                <w:rFonts w:hint="eastAsia" w:ascii="宋体" w:hAnsi="宋体" w:cs="宋体"/>
                <w:sz w:val="24"/>
                <w:szCs w:val="24"/>
              </w:rPr>
            </w:pPr>
            <w:r>
              <w:rPr>
                <w:rFonts w:hint="eastAsia" w:ascii="宋体" w:hAnsi="宋体" w:cs="宋体"/>
                <w:sz w:val="24"/>
                <w:szCs w:val="24"/>
              </w:rPr>
              <w:t>（一）采用非常规起重设备、方法，且单件起吊重量在100kN及以上的起重吊装工程。</w:t>
            </w:r>
          </w:p>
        </w:tc>
        <w:tc>
          <w:tcPr>
            <w:tcW w:w="1845" w:type="dxa"/>
            <w:tcBorders>
              <w:top w:val="single" w:color="auto" w:sz="4" w:space="0"/>
              <w:left w:val="single" w:color="auto" w:sz="4" w:space="0"/>
              <w:bottom w:val="single" w:color="auto" w:sz="4" w:space="0"/>
              <w:right w:val="single" w:color="auto" w:sz="4" w:space="0"/>
            </w:tcBorders>
            <w:vAlign w:val="center"/>
          </w:tcPr>
          <w:p w14:paraId="0D9E9023">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680" w:type="dxa"/>
            <w:tcBorders>
              <w:top w:val="single" w:color="auto" w:sz="4" w:space="0"/>
              <w:left w:val="single" w:color="auto" w:sz="4" w:space="0"/>
              <w:bottom w:val="single" w:color="auto" w:sz="4" w:space="0"/>
              <w:right w:val="single" w:color="auto" w:sz="4" w:space="0"/>
            </w:tcBorders>
            <w:vAlign w:val="center"/>
          </w:tcPr>
          <w:p w14:paraId="170C4C6C">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020" w:type="dxa"/>
            <w:tcBorders>
              <w:top w:val="single" w:color="auto" w:sz="4" w:space="0"/>
              <w:left w:val="single" w:color="auto" w:sz="4" w:space="0"/>
              <w:bottom w:val="single" w:color="auto" w:sz="4" w:space="0"/>
              <w:right w:val="single" w:color="auto" w:sz="4" w:space="0"/>
            </w:tcBorders>
            <w:vAlign w:val="center"/>
          </w:tcPr>
          <w:p w14:paraId="4DDC81D2">
            <w:pPr>
              <w:snapToGrid w:val="0"/>
              <w:spacing w:before="46" w:beforeLines="15" w:after="46" w:afterLines="15"/>
              <w:ind w:left="-42" w:leftChars="-20" w:right="-48" w:rightChars="-23"/>
              <w:rPr>
                <w:rFonts w:hint="eastAsia" w:ascii="宋体" w:hAnsi="宋体" w:cs="宋体"/>
                <w:sz w:val="24"/>
                <w:szCs w:val="24"/>
              </w:rPr>
            </w:pPr>
          </w:p>
        </w:tc>
      </w:tr>
      <w:tr w14:paraId="3A6A0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181" w:type="dxa"/>
            <w:tcBorders>
              <w:top w:val="single" w:color="auto" w:sz="4" w:space="0"/>
              <w:left w:val="single" w:color="auto" w:sz="4" w:space="0"/>
              <w:bottom w:val="single" w:color="auto" w:sz="4" w:space="0"/>
              <w:right w:val="single" w:color="auto" w:sz="4" w:space="0"/>
            </w:tcBorders>
            <w:vAlign w:val="center"/>
          </w:tcPr>
          <w:p w14:paraId="39B49233">
            <w:pPr>
              <w:snapToGrid w:val="0"/>
              <w:spacing w:before="46" w:beforeLines="15" w:after="46" w:afterLines="15"/>
              <w:ind w:left="-42" w:leftChars="-20" w:right="-48" w:rightChars="-23"/>
              <w:rPr>
                <w:rFonts w:hint="eastAsia" w:ascii="宋体" w:hAnsi="宋体" w:cs="宋体"/>
                <w:sz w:val="24"/>
                <w:szCs w:val="24"/>
              </w:rPr>
            </w:pPr>
            <w:r>
              <w:rPr>
                <w:rFonts w:hint="eastAsia" w:ascii="宋体" w:hAnsi="宋体" w:cs="宋体"/>
                <w:sz w:val="24"/>
                <w:szCs w:val="24"/>
              </w:rPr>
              <w:t>（二）起重量300kN及以上，或搭设总高度200m及以上，或搭设基础标高在200m及以上的起重机械安装和拆卸工程。</w:t>
            </w:r>
          </w:p>
        </w:tc>
        <w:tc>
          <w:tcPr>
            <w:tcW w:w="1845" w:type="dxa"/>
            <w:tcBorders>
              <w:top w:val="single" w:color="auto" w:sz="4" w:space="0"/>
              <w:left w:val="single" w:color="auto" w:sz="4" w:space="0"/>
              <w:bottom w:val="single" w:color="auto" w:sz="4" w:space="0"/>
              <w:right w:val="single" w:color="auto" w:sz="4" w:space="0"/>
            </w:tcBorders>
            <w:vAlign w:val="center"/>
          </w:tcPr>
          <w:p w14:paraId="5F5975A2">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680" w:type="dxa"/>
            <w:tcBorders>
              <w:top w:val="single" w:color="auto" w:sz="4" w:space="0"/>
              <w:left w:val="single" w:color="auto" w:sz="4" w:space="0"/>
              <w:bottom w:val="single" w:color="auto" w:sz="4" w:space="0"/>
              <w:right w:val="single" w:color="auto" w:sz="4" w:space="0"/>
            </w:tcBorders>
            <w:vAlign w:val="center"/>
          </w:tcPr>
          <w:p w14:paraId="0602B028">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020" w:type="dxa"/>
            <w:tcBorders>
              <w:top w:val="single" w:color="auto" w:sz="4" w:space="0"/>
              <w:left w:val="single" w:color="auto" w:sz="4" w:space="0"/>
              <w:bottom w:val="single" w:color="auto" w:sz="4" w:space="0"/>
              <w:right w:val="single" w:color="auto" w:sz="4" w:space="0"/>
            </w:tcBorders>
            <w:vAlign w:val="center"/>
          </w:tcPr>
          <w:p w14:paraId="302C9C04">
            <w:pPr>
              <w:snapToGrid w:val="0"/>
              <w:spacing w:before="46" w:beforeLines="15" w:after="46" w:afterLines="15"/>
              <w:ind w:left="-42" w:leftChars="-20" w:right="-48" w:rightChars="-23"/>
              <w:rPr>
                <w:rFonts w:hint="eastAsia" w:ascii="宋体" w:hAnsi="宋体" w:cs="宋体"/>
                <w:sz w:val="24"/>
                <w:szCs w:val="24"/>
              </w:rPr>
            </w:pPr>
          </w:p>
        </w:tc>
      </w:tr>
      <w:tr w14:paraId="3D6AE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726" w:type="dxa"/>
            <w:gridSpan w:val="4"/>
            <w:tcBorders>
              <w:top w:val="single" w:color="auto" w:sz="4" w:space="0"/>
              <w:left w:val="single" w:color="auto" w:sz="4" w:space="0"/>
              <w:bottom w:val="single" w:color="auto" w:sz="4" w:space="0"/>
              <w:right w:val="single" w:color="auto" w:sz="4" w:space="0"/>
            </w:tcBorders>
            <w:vAlign w:val="center"/>
          </w:tcPr>
          <w:p w14:paraId="0FF82332">
            <w:pPr>
              <w:snapToGrid w:val="0"/>
              <w:spacing w:before="46" w:beforeLines="15" w:after="46" w:afterLines="15"/>
              <w:ind w:left="-42" w:leftChars="-20" w:right="-48" w:rightChars="-23"/>
              <w:rPr>
                <w:rFonts w:hint="eastAsia" w:ascii="宋体" w:hAnsi="宋体" w:cs="宋体"/>
                <w:b/>
                <w:sz w:val="24"/>
                <w:szCs w:val="24"/>
              </w:rPr>
            </w:pPr>
            <w:r>
              <w:rPr>
                <w:rFonts w:hint="eastAsia" w:ascii="宋体" w:hAnsi="宋体" w:cs="宋体"/>
                <w:sz w:val="24"/>
                <w:szCs w:val="24"/>
              </w:rPr>
              <w:t>四、脚手架工程</w:t>
            </w:r>
          </w:p>
        </w:tc>
      </w:tr>
      <w:tr w14:paraId="56788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181" w:type="dxa"/>
            <w:tcBorders>
              <w:top w:val="single" w:color="auto" w:sz="4" w:space="0"/>
              <w:left w:val="single" w:color="auto" w:sz="4" w:space="0"/>
              <w:bottom w:val="single" w:color="auto" w:sz="4" w:space="0"/>
              <w:right w:val="single" w:color="auto" w:sz="4" w:space="0"/>
            </w:tcBorders>
            <w:vAlign w:val="center"/>
          </w:tcPr>
          <w:p w14:paraId="48F012D0">
            <w:pPr>
              <w:snapToGrid w:val="0"/>
              <w:spacing w:before="46" w:beforeLines="15" w:after="46" w:afterLines="15"/>
              <w:ind w:left="-42" w:leftChars="-20" w:right="-48" w:rightChars="-23"/>
              <w:rPr>
                <w:rFonts w:hint="eastAsia" w:ascii="宋体" w:hAnsi="宋体" w:cs="宋体"/>
                <w:sz w:val="24"/>
                <w:szCs w:val="24"/>
              </w:rPr>
            </w:pPr>
            <w:r>
              <w:rPr>
                <w:rFonts w:hint="eastAsia" w:ascii="宋体" w:hAnsi="宋体" w:cs="宋体"/>
                <w:sz w:val="24"/>
                <w:szCs w:val="24"/>
              </w:rPr>
              <w:t>（一）搭设高度50m及以上的落地式钢管脚手架工程。</w:t>
            </w:r>
          </w:p>
        </w:tc>
        <w:tc>
          <w:tcPr>
            <w:tcW w:w="1845" w:type="dxa"/>
            <w:tcBorders>
              <w:top w:val="single" w:color="auto" w:sz="4" w:space="0"/>
              <w:left w:val="single" w:color="auto" w:sz="4" w:space="0"/>
              <w:bottom w:val="single" w:color="auto" w:sz="4" w:space="0"/>
              <w:right w:val="single" w:color="auto" w:sz="4" w:space="0"/>
            </w:tcBorders>
            <w:vAlign w:val="center"/>
          </w:tcPr>
          <w:p w14:paraId="3D0E8057">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680" w:type="dxa"/>
            <w:tcBorders>
              <w:top w:val="single" w:color="auto" w:sz="4" w:space="0"/>
              <w:left w:val="single" w:color="auto" w:sz="4" w:space="0"/>
              <w:bottom w:val="single" w:color="auto" w:sz="4" w:space="0"/>
              <w:right w:val="single" w:color="auto" w:sz="4" w:space="0"/>
            </w:tcBorders>
            <w:vAlign w:val="center"/>
          </w:tcPr>
          <w:p w14:paraId="705E6E15">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020" w:type="dxa"/>
            <w:tcBorders>
              <w:top w:val="single" w:color="auto" w:sz="4" w:space="0"/>
              <w:left w:val="single" w:color="auto" w:sz="4" w:space="0"/>
              <w:bottom w:val="single" w:color="auto" w:sz="4" w:space="0"/>
              <w:right w:val="single" w:color="auto" w:sz="4" w:space="0"/>
            </w:tcBorders>
            <w:vAlign w:val="center"/>
          </w:tcPr>
          <w:p w14:paraId="71B20BB8">
            <w:pPr>
              <w:snapToGrid w:val="0"/>
              <w:spacing w:before="46" w:beforeLines="15" w:after="46" w:afterLines="15"/>
              <w:ind w:left="-42" w:leftChars="-20" w:right="-48" w:rightChars="-23"/>
              <w:rPr>
                <w:rFonts w:hint="eastAsia" w:ascii="宋体" w:hAnsi="宋体" w:cs="宋体"/>
                <w:sz w:val="24"/>
                <w:szCs w:val="24"/>
              </w:rPr>
            </w:pPr>
          </w:p>
        </w:tc>
      </w:tr>
      <w:tr w14:paraId="56B1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181" w:type="dxa"/>
            <w:tcBorders>
              <w:top w:val="single" w:color="auto" w:sz="4" w:space="0"/>
              <w:left w:val="single" w:color="auto" w:sz="4" w:space="0"/>
              <w:bottom w:val="single" w:color="auto" w:sz="4" w:space="0"/>
              <w:right w:val="single" w:color="auto" w:sz="4" w:space="0"/>
            </w:tcBorders>
            <w:vAlign w:val="center"/>
          </w:tcPr>
          <w:p w14:paraId="6900B9B1">
            <w:pPr>
              <w:snapToGrid w:val="0"/>
              <w:spacing w:before="46" w:beforeLines="15" w:after="46" w:afterLines="15"/>
              <w:ind w:left="-42" w:leftChars="-20" w:right="-48" w:rightChars="-23"/>
              <w:rPr>
                <w:rFonts w:hint="eastAsia" w:ascii="宋体" w:hAnsi="宋体" w:cs="宋体"/>
                <w:sz w:val="24"/>
                <w:szCs w:val="24"/>
              </w:rPr>
            </w:pPr>
            <w:r>
              <w:rPr>
                <w:rFonts w:hint="eastAsia" w:ascii="宋体" w:hAnsi="宋体" w:cs="宋体"/>
                <w:sz w:val="24"/>
                <w:szCs w:val="24"/>
              </w:rPr>
              <w:t>（二）提升高度在150m及以上的附着式升降脚手架工程或附着式升降操作平台工程。</w:t>
            </w:r>
          </w:p>
        </w:tc>
        <w:tc>
          <w:tcPr>
            <w:tcW w:w="1845" w:type="dxa"/>
            <w:tcBorders>
              <w:top w:val="single" w:color="auto" w:sz="4" w:space="0"/>
              <w:left w:val="single" w:color="auto" w:sz="4" w:space="0"/>
              <w:bottom w:val="single" w:color="auto" w:sz="4" w:space="0"/>
              <w:right w:val="single" w:color="auto" w:sz="4" w:space="0"/>
            </w:tcBorders>
            <w:vAlign w:val="center"/>
          </w:tcPr>
          <w:p w14:paraId="5BE0B309">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680" w:type="dxa"/>
            <w:tcBorders>
              <w:top w:val="single" w:color="auto" w:sz="4" w:space="0"/>
              <w:left w:val="single" w:color="auto" w:sz="4" w:space="0"/>
              <w:bottom w:val="single" w:color="auto" w:sz="4" w:space="0"/>
              <w:right w:val="single" w:color="auto" w:sz="4" w:space="0"/>
            </w:tcBorders>
            <w:vAlign w:val="center"/>
          </w:tcPr>
          <w:p w14:paraId="56414426">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020" w:type="dxa"/>
            <w:tcBorders>
              <w:top w:val="single" w:color="auto" w:sz="4" w:space="0"/>
              <w:left w:val="single" w:color="auto" w:sz="4" w:space="0"/>
              <w:bottom w:val="single" w:color="auto" w:sz="4" w:space="0"/>
              <w:right w:val="single" w:color="auto" w:sz="4" w:space="0"/>
            </w:tcBorders>
            <w:vAlign w:val="center"/>
          </w:tcPr>
          <w:p w14:paraId="20E04484">
            <w:pPr>
              <w:snapToGrid w:val="0"/>
              <w:spacing w:before="46" w:beforeLines="15" w:after="46" w:afterLines="15"/>
              <w:ind w:left="-42" w:leftChars="-20" w:right="-48" w:rightChars="-23"/>
              <w:rPr>
                <w:rFonts w:hint="eastAsia" w:ascii="宋体" w:hAnsi="宋体" w:cs="宋体"/>
                <w:sz w:val="24"/>
                <w:szCs w:val="24"/>
              </w:rPr>
            </w:pPr>
          </w:p>
        </w:tc>
      </w:tr>
      <w:tr w14:paraId="626D1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181" w:type="dxa"/>
            <w:tcBorders>
              <w:top w:val="single" w:color="auto" w:sz="4" w:space="0"/>
              <w:left w:val="single" w:color="auto" w:sz="4" w:space="0"/>
              <w:bottom w:val="single" w:color="auto" w:sz="4" w:space="0"/>
              <w:right w:val="single" w:color="auto" w:sz="4" w:space="0"/>
            </w:tcBorders>
            <w:vAlign w:val="center"/>
          </w:tcPr>
          <w:p w14:paraId="69DF3951">
            <w:pPr>
              <w:snapToGrid w:val="0"/>
              <w:spacing w:before="46" w:beforeLines="15" w:after="46" w:afterLines="15"/>
              <w:ind w:left="-42" w:leftChars="-20" w:right="-48" w:rightChars="-23"/>
              <w:rPr>
                <w:rFonts w:hint="eastAsia" w:ascii="宋体" w:hAnsi="宋体" w:cs="宋体"/>
                <w:sz w:val="24"/>
                <w:szCs w:val="24"/>
              </w:rPr>
            </w:pPr>
            <w:r>
              <w:rPr>
                <w:rFonts w:hint="eastAsia" w:ascii="宋体" w:hAnsi="宋体" w:cs="宋体"/>
                <w:sz w:val="24"/>
                <w:szCs w:val="24"/>
              </w:rPr>
              <w:t>（三）分段架体搭设高度20m及以上的悬挑式脚手架工程。</w:t>
            </w:r>
          </w:p>
        </w:tc>
        <w:tc>
          <w:tcPr>
            <w:tcW w:w="1845" w:type="dxa"/>
            <w:tcBorders>
              <w:top w:val="single" w:color="auto" w:sz="4" w:space="0"/>
              <w:left w:val="single" w:color="auto" w:sz="4" w:space="0"/>
              <w:bottom w:val="single" w:color="auto" w:sz="4" w:space="0"/>
              <w:right w:val="single" w:color="auto" w:sz="4" w:space="0"/>
            </w:tcBorders>
            <w:vAlign w:val="center"/>
          </w:tcPr>
          <w:p w14:paraId="33A6BF01">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680" w:type="dxa"/>
            <w:tcBorders>
              <w:top w:val="single" w:color="auto" w:sz="4" w:space="0"/>
              <w:left w:val="single" w:color="auto" w:sz="4" w:space="0"/>
              <w:bottom w:val="single" w:color="auto" w:sz="4" w:space="0"/>
              <w:right w:val="single" w:color="auto" w:sz="4" w:space="0"/>
            </w:tcBorders>
            <w:vAlign w:val="center"/>
          </w:tcPr>
          <w:p w14:paraId="1EFA5664">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020" w:type="dxa"/>
            <w:tcBorders>
              <w:top w:val="single" w:color="auto" w:sz="4" w:space="0"/>
              <w:left w:val="single" w:color="auto" w:sz="4" w:space="0"/>
              <w:bottom w:val="single" w:color="auto" w:sz="4" w:space="0"/>
              <w:right w:val="single" w:color="auto" w:sz="4" w:space="0"/>
            </w:tcBorders>
            <w:vAlign w:val="center"/>
          </w:tcPr>
          <w:p w14:paraId="04D109AE">
            <w:pPr>
              <w:snapToGrid w:val="0"/>
              <w:spacing w:before="46" w:beforeLines="15" w:after="46" w:afterLines="15"/>
              <w:ind w:left="-42" w:leftChars="-20" w:right="-48" w:rightChars="-23"/>
              <w:rPr>
                <w:rFonts w:hint="eastAsia" w:ascii="宋体" w:hAnsi="宋体" w:cs="宋体"/>
                <w:sz w:val="24"/>
                <w:szCs w:val="24"/>
              </w:rPr>
            </w:pPr>
          </w:p>
        </w:tc>
      </w:tr>
      <w:tr w14:paraId="1BB95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726" w:type="dxa"/>
            <w:gridSpan w:val="4"/>
            <w:tcBorders>
              <w:top w:val="single" w:color="auto" w:sz="4" w:space="0"/>
              <w:left w:val="single" w:color="auto" w:sz="4" w:space="0"/>
              <w:bottom w:val="single" w:color="auto" w:sz="4" w:space="0"/>
              <w:right w:val="single" w:color="auto" w:sz="4" w:space="0"/>
            </w:tcBorders>
            <w:vAlign w:val="center"/>
          </w:tcPr>
          <w:p w14:paraId="0E7438F2">
            <w:pPr>
              <w:snapToGrid w:val="0"/>
              <w:spacing w:before="46" w:beforeLines="15" w:after="46" w:afterLines="15"/>
              <w:ind w:left="-42" w:leftChars="-20" w:right="-48" w:rightChars="-23"/>
              <w:rPr>
                <w:rFonts w:hint="eastAsia" w:ascii="宋体" w:hAnsi="宋体" w:cs="宋体"/>
                <w:b/>
                <w:sz w:val="24"/>
                <w:szCs w:val="24"/>
              </w:rPr>
            </w:pPr>
            <w:r>
              <w:rPr>
                <w:rFonts w:hint="eastAsia" w:ascii="宋体" w:hAnsi="宋体" w:cs="宋体"/>
                <w:sz w:val="24"/>
                <w:szCs w:val="24"/>
              </w:rPr>
              <w:t>五、拆除工程</w:t>
            </w:r>
          </w:p>
        </w:tc>
      </w:tr>
      <w:tr w14:paraId="43B20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181" w:type="dxa"/>
            <w:tcBorders>
              <w:top w:val="single" w:color="auto" w:sz="4" w:space="0"/>
              <w:left w:val="single" w:color="auto" w:sz="4" w:space="0"/>
              <w:bottom w:val="single" w:color="auto" w:sz="4" w:space="0"/>
              <w:right w:val="single" w:color="auto" w:sz="4" w:space="0"/>
            </w:tcBorders>
            <w:vAlign w:val="center"/>
          </w:tcPr>
          <w:p w14:paraId="310D4B25">
            <w:pPr>
              <w:snapToGrid w:val="0"/>
              <w:spacing w:before="46" w:beforeLines="15" w:after="46" w:afterLines="15"/>
              <w:ind w:left="-42" w:leftChars="-20" w:right="-48" w:rightChars="-23"/>
              <w:rPr>
                <w:rFonts w:hint="eastAsia" w:ascii="宋体" w:hAnsi="宋体" w:cs="宋体"/>
                <w:sz w:val="24"/>
                <w:szCs w:val="24"/>
              </w:rPr>
            </w:pPr>
            <w:r>
              <w:rPr>
                <w:rFonts w:hint="eastAsia" w:ascii="宋体" w:hAnsi="宋体" w:cs="宋体"/>
                <w:sz w:val="24"/>
                <w:szCs w:val="24"/>
              </w:rPr>
              <w:t>（一）码头、桥梁、高架、烟囱、水塔或拆除中容易引起有毒有害气（液）体或粉尘扩散、易燃易爆事故发生的特殊建、构筑物的拆除工程。</w:t>
            </w:r>
          </w:p>
        </w:tc>
        <w:tc>
          <w:tcPr>
            <w:tcW w:w="1845" w:type="dxa"/>
            <w:tcBorders>
              <w:top w:val="single" w:color="auto" w:sz="4" w:space="0"/>
              <w:left w:val="single" w:color="auto" w:sz="4" w:space="0"/>
              <w:bottom w:val="single" w:color="auto" w:sz="4" w:space="0"/>
              <w:right w:val="single" w:color="auto" w:sz="4" w:space="0"/>
            </w:tcBorders>
            <w:vAlign w:val="center"/>
          </w:tcPr>
          <w:p w14:paraId="66089DE9">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680" w:type="dxa"/>
            <w:tcBorders>
              <w:top w:val="single" w:color="auto" w:sz="4" w:space="0"/>
              <w:left w:val="single" w:color="auto" w:sz="4" w:space="0"/>
              <w:bottom w:val="single" w:color="auto" w:sz="4" w:space="0"/>
              <w:right w:val="single" w:color="auto" w:sz="4" w:space="0"/>
            </w:tcBorders>
            <w:vAlign w:val="center"/>
          </w:tcPr>
          <w:p w14:paraId="739EDAD1">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020" w:type="dxa"/>
            <w:tcBorders>
              <w:top w:val="single" w:color="auto" w:sz="4" w:space="0"/>
              <w:left w:val="single" w:color="auto" w:sz="4" w:space="0"/>
              <w:bottom w:val="single" w:color="auto" w:sz="4" w:space="0"/>
              <w:right w:val="single" w:color="auto" w:sz="4" w:space="0"/>
            </w:tcBorders>
            <w:vAlign w:val="center"/>
          </w:tcPr>
          <w:p w14:paraId="303D88B3">
            <w:pPr>
              <w:snapToGrid w:val="0"/>
              <w:spacing w:before="46" w:beforeLines="15" w:after="46" w:afterLines="15"/>
              <w:ind w:left="-42" w:leftChars="-20" w:right="-48" w:rightChars="-23"/>
              <w:rPr>
                <w:rFonts w:hint="eastAsia" w:ascii="宋体" w:hAnsi="宋体" w:cs="宋体"/>
                <w:sz w:val="24"/>
                <w:szCs w:val="24"/>
              </w:rPr>
            </w:pPr>
          </w:p>
        </w:tc>
      </w:tr>
      <w:tr w14:paraId="22468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181" w:type="dxa"/>
            <w:tcBorders>
              <w:top w:val="single" w:color="auto" w:sz="4" w:space="0"/>
              <w:left w:val="single" w:color="auto" w:sz="4" w:space="0"/>
              <w:bottom w:val="single" w:color="auto" w:sz="4" w:space="0"/>
              <w:right w:val="single" w:color="auto" w:sz="4" w:space="0"/>
            </w:tcBorders>
            <w:vAlign w:val="center"/>
          </w:tcPr>
          <w:p w14:paraId="2113E31E">
            <w:pPr>
              <w:snapToGrid w:val="0"/>
              <w:spacing w:before="46" w:beforeLines="15" w:after="46" w:afterLines="15"/>
              <w:ind w:left="-42" w:leftChars="-20" w:right="-48" w:rightChars="-23"/>
              <w:rPr>
                <w:rFonts w:hint="eastAsia" w:ascii="宋体" w:hAnsi="宋体" w:cs="宋体"/>
                <w:sz w:val="24"/>
                <w:szCs w:val="24"/>
              </w:rPr>
            </w:pPr>
            <w:r>
              <w:rPr>
                <w:rFonts w:hint="eastAsia" w:ascii="宋体" w:hAnsi="宋体" w:cs="宋体"/>
                <w:sz w:val="24"/>
                <w:szCs w:val="24"/>
              </w:rPr>
              <w:t>（二）文物保护建筑、优秀历史建筑或历史文化风貌区影响范围内的拆除工程。</w:t>
            </w:r>
          </w:p>
        </w:tc>
        <w:tc>
          <w:tcPr>
            <w:tcW w:w="1845" w:type="dxa"/>
            <w:tcBorders>
              <w:top w:val="single" w:color="auto" w:sz="4" w:space="0"/>
              <w:left w:val="single" w:color="auto" w:sz="4" w:space="0"/>
              <w:bottom w:val="single" w:color="auto" w:sz="4" w:space="0"/>
              <w:right w:val="single" w:color="auto" w:sz="4" w:space="0"/>
            </w:tcBorders>
            <w:vAlign w:val="center"/>
          </w:tcPr>
          <w:p w14:paraId="12FCB49E">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680" w:type="dxa"/>
            <w:tcBorders>
              <w:top w:val="single" w:color="auto" w:sz="4" w:space="0"/>
              <w:left w:val="single" w:color="auto" w:sz="4" w:space="0"/>
              <w:bottom w:val="single" w:color="auto" w:sz="4" w:space="0"/>
              <w:right w:val="single" w:color="auto" w:sz="4" w:space="0"/>
            </w:tcBorders>
            <w:vAlign w:val="center"/>
          </w:tcPr>
          <w:p w14:paraId="03A9C627">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020" w:type="dxa"/>
            <w:tcBorders>
              <w:top w:val="single" w:color="auto" w:sz="4" w:space="0"/>
              <w:left w:val="single" w:color="auto" w:sz="4" w:space="0"/>
              <w:bottom w:val="single" w:color="auto" w:sz="4" w:space="0"/>
              <w:right w:val="single" w:color="auto" w:sz="4" w:space="0"/>
            </w:tcBorders>
            <w:vAlign w:val="center"/>
          </w:tcPr>
          <w:p w14:paraId="232374DA">
            <w:pPr>
              <w:snapToGrid w:val="0"/>
              <w:spacing w:before="46" w:beforeLines="15" w:after="46" w:afterLines="15"/>
              <w:ind w:left="-42" w:leftChars="-20" w:right="-48" w:rightChars="-23"/>
              <w:rPr>
                <w:rFonts w:hint="eastAsia" w:ascii="宋体" w:hAnsi="宋体" w:cs="宋体"/>
                <w:sz w:val="24"/>
                <w:szCs w:val="24"/>
              </w:rPr>
            </w:pPr>
          </w:p>
        </w:tc>
      </w:tr>
      <w:tr w14:paraId="68D2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726" w:type="dxa"/>
            <w:gridSpan w:val="4"/>
            <w:tcBorders>
              <w:top w:val="single" w:color="auto" w:sz="4" w:space="0"/>
              <w:left w:val="single" w:color="auto" w:sz="4" w:space="0"/>
              <w:bottom w:val="single" w:color="auto" w:sz="4" w:space="0"/>
              <w:right w:val="single" w:color="auto" w:sz="4" w:space="0"/>
            </w:tcBorders>
            <w:vAlign w:val="center"/>
          </w:tcPr>
          <w:p w14:paraId="06FE676D">
            <w:pPr>
              <w:snapToGrid w:val="0"/>
              <w:spacing w:before="46" w:beforeLines="15" w:after="46" w:afterLines="15"/>
              <w:ind w:left="-42" w:leftChars="-20" w:right="-48" w:rightChars="-23"/>
              <w:rPr>
                <w:rFonts w:hint="eastAsia" w:ascii="宋体" w:hAnsi="宋体" w:cs="宋体"/>
                <w:b/>
                <w:sz w:val="24"/>
                <w:szCs w:val="24"/>
              </w:rPr>
            </w:pPr>
            <w:r>
              <w:rPr>
                <w:rFonts w:hint="eastAsia" w:ascii="宋体" w:hAnsi="宋体" w:cs="宋体"/>
                <w:sz w:val="24"/>
                <w:szCs w:val="24"/>
              </w:rPr>
              <w:t>六、暗挖工程</w:t>
            </w:r>
          </w:p>
        </w:tc>
      </w:tr>
      <w:tr w14:paraId="00B0B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181" w:type="dxa"/>
            <w:tcBorders>
              <w:top w:val="single" w:color="auto" w:sz="4" w:space="0"/>
              <w:left w:val="single" w:color="auto" w:sz="4" w:space="0"/>
              <w:bottom w:val="single" w:color="auto" w:sz="4" w:space="0"/>
              <w:right w:val="single" w:color="auto" w:sz="4" w:space="0"/>
            </w:tcBorders>
            <w:vAlign w:val="center"/>
          </w:tcPr>
          <w:p w14:paraId="6D2629C9">
            <w:pPr>
              <w:snapToGrid w:val="0"/>
              <w:spacing w:before="46" w:beforeLines="15" w:after="46" w:afterLines="15"/>
              <w:ind w:left="-42" w:leftChars="-20" w:right="-48" w:rightChars="-23"/>
              <w:rPr>
                <w:rFonts w:hint="eastAsia" w:ascii="宋体" w:hAnsi="宋体" w:cs="宋体"/>
                <w:sz w:val="24"/>
                <w:szCs w:val="24"/>
              </w:rPr>
            </w:pPr>
            <w:r>
              <w:rPr>
                <w:rFonts w:hint="eastAsia" w:ascii="宋体" w:hAnsi="宋体" w:cs="宋体"/>
                <w:sz w:val="24"/>
                <w:szCs w:val="24"/>
              </w:rPr>
              <w:t>采用矿山法、盾构法、顶管法施工的隧道、洞室工程。</w:t>
            </w:r>
          </w:p>
        </w:tc>
        <w:tc>
          <w:tcPr>
            <w:tcW w:w="1845" w:type="dxa"/>
            <w:tcBorders>
              <w:top w:val="single" w:color="auto" w:sz="4" w:space="0"/>
              <w:left w:val="single" w:color="auto" w:sz="4" w:space="0"/>
              <w:bottom w:val="single" w:color="auto" w:sz="4" w:space="0"/>
              <w:right w:val="single" w:color="auto" w:sz="4" w:space="0"/>
            </w:tcBorders>
            <w:vAlign w:val="center"/>
          </w:tcPr>
          <w:p w14:paraId="6C1E04BE">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680" w:type="dxa"/>
            <w:tcBorders>
              <w:top w:val="single" w:color="auto" w:sz="4" w:space="0"/>
              <w:left w:val="single" w:color="auto" w:sz="4" w:space="0"/>
              <w:bottom w:val="single" w:color="auto" w:sz="4" w:space="0"/>
              <w:right w:val="single" w:color="auto" w:sz="4" w:space="0"/>
            </w:tcBorders>
            <w:vAlign w:val="center"/>
          </w:tcPr>
          <w:p w14:paraId="56A8EF9F">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020" w:type="dxa"/>
            <w:tcBorders>
              <w:top w:val="single" w:color="auto" w:sz="4" w:space="0"/>
              <w:left w:val="single" w:color="auto" w:sz="4" w:space="0"/>
              <w:bottom w:val="single" w:color="auto" w:sz="4" w:space="0"/>
              <w:right w:val="single" w:color="auto" w:sz="4" w:space="0"/>
            </w:tcBorders>
            <w:vAlign w:val="center"/>
          </w:tcPr>
          <w:p w14:paraId="29FD97AE">
            <w:pPr>
              <w:snapToGrid w:val="0"/>
              <w:spacing w:before="46" w:beforeLines="15" w:after="46" w:afterLines="15"/>
              <w:ind w:left="-42" w:leftChars="-20" w:right="-48" w:rightChars="-23"/>
              <w:rPr>
                <w:rFonts w:hint="eastAsia" w:ascii="宋体" w:hAnsi="宋体" w:cs="宋体"/>
                <w:sz w:val="24"/>
                <w:szCs w:val="24"/>
              </w:rPr>
            </w:pPr>
          </w:p>
        </w:tc>
      </w:tr>
      <w:tr w14:paraId="63578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726" w:type="dxa"/>
            <w:gridSpan w:val="4"/>
            <w:tcBorders>
              <w:top w:val="single" w:color="auto" w:sz="4" w:space="0"/>
              <w:left w:val="single" w:color="auto" w:sz="4" w:space="0"/>
              <w:bottom w:val="single" w:color="auto" w:sz="4" w:space="0"/>
              <w:right w:val="single" w:color="auto" w:sz="4" w:space="0"/>
            </w:tcBorders>
            <w:vAlign w:val="center"/>
          </w:tcPr>
          <w:p w14:paraId="176D9E1D">
            <w:pPr>
              <w:snapToGrid w:val="0"/>
              <w:spacing w:before="46" w:beforeLines="15" w:after="46" w:afterLines="15"/>
              <w:ind w:left="-42" w:leftChars="-20" w:right="-48" w:rightChars="-23"/>
              <w:jc w:val="left"/>
              <w:rPr>
                <w:rFonts w:hint="eastAsia" w:ascii="宋体" w:hAnsi="宋体" w:cs="宋体"/>
                <w:b/>
                <w:sz w:val="24"/>
                <w:szCs w:val="24"/>
              </w:rPr>
            </w:pPr>
            <w:r>
              <w:rPr>
                <w:rFonts w:hint="eastAsia" w:ascii="宋体" w:hAnsi="宋体" w:cs="宋体"/>
                <w:sz w:val="24"/>
                <w:szCs w:val="24"/>
              </w:rPr>
              <w:t>七、其它</w:t>
            </w:r>
          </w:p>
        </w:tc>
      </w:tr>
      <w:tr w14:paraId="21605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181" w:type="dxa"/>
            <w:tcBorders>
              <w:top w:val="single" w:color="auto" w:sz="4" w:space="0"/>
              <w:left w:val="single" w:color="auto" w:sz="4" w:space="0"/>
              <w:bottom w:val="single" w:color="auto" w:sz="4" w:space="0"/>
              <w:right w:val="single" w:color="auto" w:sz="4" w:space="0"/>
            </w:tcBorders>
            <w:vAlign w:val="center"/>
          </w:tcPr>
          <w:p w14:paraId="30CB6B94">
            <w:pPr>
              <w:snapToGrid w:val="0"/>
              <w:spacing w:before="46" w:beforeLines="15" w:after="46" w:afterLines="15"/>
              <w:ind w:left="-42" w:leftChars="-20" w:right="-48" w:rightChars="-23"/>
              <w:rPr>
                <w:rFonts w:hint="eastAsia" w:ascii="宋体" w:hAnsi="宋体" w:cs="宋体"/>
                <w:sz w:val="24"/>
                <w:szCs w:val="24"/>
              </w:rPr>
            </w:pPr>
            <w:r>
              <w:rPr>
                <w:rFonts w:hint="eastAsia" w:ascii="宋体" w:hAnsi="宋体" w:cs="宋体"/>
                <w:sz w:val="24"/>
                <w:szCs w:val="24"/>
              </w:rPr>
              <w:t>（一）施工高度50m及以上的建筑幕墙安装工程。</w:t>
            </w:r>
          </w:p>
        </w:tc>
        <w:tc>
          <w:tcPr>
            <w:tcW w:w="1845" w:type="dxa"/>
            <w:tcBorders>
              <w:top w:val="single" w:color="auto" w:sz="4" w:space="0"/>
              <w:left w:val="single" w:color="auto" w:sz="4" w:space="0"/>
              <w:bottom w:val="single" w:color="auto" w:sz="4" w:space="0"/>
              <w:right w:val="single" w:color="auto" w:sz="4" w:space="0"/>
            </w:tcBorders>
            <w:vAlign w:val="center"/>
          </w:tcPr>
          <w:p w14:paraId="06EAD6F3">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680" w:type="dxa"/>
            <w:tcBorders>
              <w:top w:val="single" w:color="auto" w:sz="4" w:space="0"/>
              <w:left w:val="single" w:color="auto" w:sz="4" w:space="0"/>
              <w:bottom w:val="single" w:color="auto" w:sz="4" w:space="0"/>
              <w:right w:val="single" w:color="auto" w:sz="4" w:space="0"/>
            </w:tcBorders>
            <w:vAlign w:val="center"/>
          </w:tcPr>
          <w:p w14:paraId="7A44D502">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020" w:type="dxa"/>
            <w:tcBorders>
              <w:top w:val="single" w:color="auto" w:sz="4" w:space="0"/>
              <w:left w:val="single" w:color="auto" w:sz="4" w:space="0"/>
              <w:bottom w:val="single" w:color="auto" w:sz="4" w:space="0"/>
              <w:right w:val="single" w:color="auto" w:sz="4" w:space="0"/>
            </w:tcBorders>
            <w:vAlign w:val="center"/>
          </w:tcPr>
          <w:p w14:paraId="3DAC986D">
            <w:pPr>
              <w:snapToGrid w:val="0"/>
              <w:spacing w:before="46" w:beforeLines="15" w:after="46" w:afterLines="15"/>
              <w:ind w:left="-42" w:leftChars="-20" w:right="-48" w:rightChars="-23"/>
              <w:rPr>
                <w:rFonts w:hint="eastAsia" w:ascii="宋体" w:hAnsi="宋体" w:cs="宋体"/>
                <w:sz w:val="24"/>
                <w:szCs w:val="24"/>
              </w:rPr>
            </w:pPr>
          </w:p>
        </w:tc>
      </w:tr>
      <w:tr w14:paraId="0763F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181" w:type="dxa"/>
            <w:tcBorders>
              <w:top w:val="single" w:color="auto" w:sz="4" w:space="0"/>
              <w:left w:val="single" w:color="auto" w:sz="4" w:space="0"/>
              <w:bottom w:val="single" w:color="auto" w:sz="4" w:space="0"/>
              <w:right w:val="single" w:color="auto" w:sz="4" w:space="0"/>
            </w:tcBorders>
            <w:vAlign w:val="center"/>
          </w:tcPr>
          <w:p w14:paraId="08731C20">
            <w:pPr>
              <w:snapToGrid w:val="0"/>
              <w:spacing w:before="46" w:beforeLines="15" w:after="46" w:afterLines="15"/>
              <w:ind w:left="-42" w:leftChars="-20" w:right="-48" w:rightChars="-23"/>
              <w:rPr>
                <w:rFonts w:hint="eastAsia" w:ascii="宋体" w:hAnsi="宋体" w:cs="宋体"/>
                <w:sz w:val="24"/>
                <w:szCs w:val="24"/>
              </w:rPr>
            </w:pPr>
            <w:r>
              <w:rPr>
                <w:rFonts w:hint="eastAsia" w:ascii="宋体" w:hAnsi="宋体" w:cs="宋体"/>
                <w:sz w:val="24"/>
                <w:szCs w:val="24"/>
              </w:rPr>
              <w:t>（二）跨度36m及以上的钢结构安装工程，或跨度60m及以上的网架和索膜结构安装工程。</w:t>
            </w:r>
          </w:p>
        </w:tc>
        <w:tc>
          <w:tcPr>
            <w:tcW w:w="1845" w:type="dxa"/>
            <w:tcBorders>
              <w:top w:val="single" w:color="auto" w:sz="4" w:space="0"/>
              <w:left w:val="single" w:color="auto" w:sz="4" w:space="0"/>
              <w:bottom w:val="single" w:color="auto" w:sz="4" w:space="0"/>
              <w:right w:val="single" w:color="auto" w:sz="4" w:space="0"/>
            </w:tcBorders>
            <w:vAlign w:val="center"/>
          </w:tcPr>
          <w:p w14:paraId="430AA70E">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680" w:type="dxa"/>
            <w:tcBorders>
              <w:top w:val="single" w:color="auto" w:sz="4" w:space="0"/>
              <w:left w:val="single" w:color="auto" w:sz="4" w:space="0"/>
              <w:bottom w:val="single" w:color="auto" w:sz="4" w:space="0"/>
              <w:right w:val="single" w:color="auto" w:sz="4" w:space="0"/>
            </w:tcBorders>
            <w:vAlign w:val="center"/>
          </w:tcPr>
          <w:p w14:paraId="0AB79D1B">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020" w:type="dxa"/>
            <w:tcBorders>
              <w:top w:val="single" w:color="auto" w:sz="4" w:space="0"/>
              <w:left w:val="single" w:color="auto" w:sz="4" w:space="0"/>
              <w:bottom w:val="single" w:color="auto" w:sz="4" w:space="0"/>
              <w:right w:val="single" w:color="auto" w:sz="4" w:space="0"/>
            </w:tcBorders>
            <w:vAlign w:val="center"/>
          </w:tcPr>
          <w:p w14:paraId="4112C031">
            <w:pPr>
              <w:snapToGrid w:val="0"/>
              <w:spacing w:before="46" w:beforeLines="15" w:after="46" w:afterLines="15"/>
              <w:ind w:left="-42" w:leftChars="-20" w:right="-48" w:rightChars="-23"/>
              <w:rPr>
                <w:rFonts w:hint="eastAsia" w:ascii="宋体" w:hAnsi="宋体" w:cs="宋体"/>
                <w:sz w:val="24"/>
                <w:szCs w:val="24"/>
              </w:rPr>
            </w:pPr>
          </w:p>
        </w:tc>
      </w:tr>
      <w:tr w14:paraId="168FD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181" w:type="dxa"/>
            <w:tcBorders>
              <w:top w:val="single" w:color="auto" w:sz="4" w:space="0"/>
              <w:left w:val="single" w:color="auto" w:sz="4" w:space="0"/>
              <w:bottom w:val="single" w:color="auto" w:sz="4" w:space="0"/>
              <w:right w:val="single" w:color="auto" w:sz="4" w:space="0"/>
            </w:tcBorders>
            <w:vAlign w:val="center"/>
          </w:tcPr>
          <w:p w14:paraId="21340700">
            <w:pPr>
              <w:snapToGrid w:val="0"/>
              <w:spacing w:before="46" w:beforeLines="15" w:after="46" w:afterLines="15"/>
              <w:ind w:left="-42" w:leftChars="-20" w:right="-48" w:rightChars="-23"/>
              <w:rPr>
                <w:rFonts w:hint="eastAsia" w:ascii="宋体" w:hAnsi="宋体" w:cs="宋体"/>
                <w:sz w:val="24"/>
                <w:szCs w:val="24"/>
              </w:rPr>
            </w:pPr>
            <w:r>
              <w:rPr>
                <w:rFonts w:hint="eastAsia" w:ascii="宋体" w:hAnsi="宋体" w:cs="宋体"/>
                <w:sz w:val="24"/>
                <w:szCs w:val="24"/>
              </w:rPr>
              <w:t>（三）开挖深度16m及以上的人工挖孔桩工程。</w:t>
            </w:r>
          </w:p>
        </w:tc>
        <w:tc>
          <w:tcPr>
            <w:tcW w:w="1845" w:type="dxa"/>
            <w:tcBorders>
              <w:top w:val="single" w:color="auto" w:sz="4" w:space="0"/>
              <w:left w:val="single" w:color="auto" w:sz="4" w:space="0"/>
              <w:bottom w:val="single" w:color="auto" w:sz="4" w:space="0"/>
              <w:right w:val="single" w:color="auto" w:sz="4" w:space="0"/>
            </w:tcBorders>
            <w:vAlign w:val="center"/>
          </w:tcPr>
          <w:p w14:paraId="63FD5720">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680" w:type="dxa"/>
            <w:tcBorders>
              <w:top w:val="single" w:color="auto" w:sz="4" w:space="0"/>
              <w:left w:val="single" w:color="auto" w:sz="4" w:space="0"/>
              <w:bottom w:val="single" w:color="auto" w:sz="4" w:space="0"/>
              <w:right w:val="single" w:color="auto" w:sz="4" w:space="0"/>
            </w:tcBorders>
            <w:vAlign w:val="center"/>
          </w:tcPr>
          <w:p w14:paraId="09045573">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020" w:type="dxa"/>
            <w:tcBorders>
              <w:top w:val="single" w:color="auto" w:sz="4" w:space="0"/>
              <w:left w:val="single" w:color="auto" w:sz="4" w:space="0"/>
              <w:bottom w:val="single" w:color="auto" w:sz="4" w:space="0"/>
              <w:right w:val="single" w:color="auto" w:sz="4" w:space="0"/>
            </w:tcBorders>
            <w:vAlign w:val="center"/>
          </w:tcPr>
          <w:p w14:paraId="064EC2B2">
            <w:pPr>
              <w:snapToGrid w:val="0"/>
              <w:spacing w:before="46" w:beforeLines="15" w:after="46" w:afterLines="15"/>
              <w:ind w:left="-42" w:leftChars="-20" w:right="-48" w:rightChars="-23"/>
              <w:rPr>
                <w:rFonts w:hint="eastAsia" w:ascii="宋体" w:hAnsi="宋体" w:cs="宋体"/>
                <w:sz w:val="24"/>
                <w:szCs w:val="24"/>
              </w:rPr>
            </w:pPr>
          </w:p>
        </w:tc>
      </w:tr>
      <w:tr w14:paraId="4AD35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181" w:type="dxa"/>
            <w:tcBorders>
              <w:top w:val="single" w:color="auto" w:sz="4" w:space="0"/>
              <w:left w:val="single" w:color="auto" w:sz="4" w:space="0"/>
              <w:bottom w:val="single" w:color="auto" w:sz="4" w:space="0"/>
              <w:right w:val="single" w:color="auto" w:sz="4" w:space="0"/>
            </w:tcBorders>
            <w:vAlign w:val="center"/>
          </w:tcPr>
          <w:p w14:paraId="272C2EB3">
            <w:pPr>
              <w:snapToGrid w:val="0"/>
              <w:spacing w:before="46" w:beforeLines="15" w:after="46" w:afterLines="15"/>
              <w:ind w:left="-42" w:leftChars="-20" w:right="-48" w:rightChars="-23"/>
              <w:rPr>
                <w:rFonts w:hint="eastAsia" w:ascii="宋体" w:hAnsi="宋体" w:cs="宋体"/>
                <w:sz w:val="24"/>
                <w:szCs w:val="24"/>
              </w:rPr>
            </w:pPr>
            <w:r>
              <w:rPr>
                <w:rFonts w:hint="eastAsia" w:ascii="宋体" w:hAnsi="宋体" w:cs="宋体"/>
                <w:sz w:val="24"/>
                <w:szCs w:val="24"/>
              </w:rPr>
              <w:t>（四）水下作业工程。</w:t>
            </w:r>
          </w:p>
        </w:tc>
        <w:tc>
          <w:tcPr>
            <w:tcW w:w="1845" w:type="dxa"/>
            <w:tcBorders>
              <w:top w:val="single" w:color="auto" w:sz="4" w:space="0"/>
              <w:left w:val="single" w:color="auto" w:sz="4" w:space="0"/>
              <w:bottom w:val="single" w:color="auto" w:sz="4" w:space="0"/>
              <w:right w:val="single" w:color="auto" w:sz="4" w:space="0"/>
            </w:tcBorders>
            <w:vAlign w:val="center"/>
          </w:tcPr>
          <w:p w14:paraId="6508602B">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680" w:type="dxa"/>
            <w:tcBorders>
              <w:top w:val="single" w:color="auto" w:sz="4" w:space="0"/>
              <w:left w:val="single" w:color="auto" w:sz="4" w:space="0"/>
              <w:bottom w:val="single" w:color="auto" w:sz="4" w:space="0"/>
              <w:right w:val="single" w:color="auto" w:sz="4" w:space="0"/>
            </w:tcBorders>
            <w:vAlign w:val="center"/>
          </w:tcPr>
          <w:p w14:paraId="0D5E34FB">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020" w:type="dxa"/>
            <w:tcBorders>
              <w:top w:val="single" w:color="auto" w:sz="4" w:space="0"/>
              <w:left w:val="single" w:color="auto" w:sz="4" w:space="0"/>
              <w:bottom w:val="single" w:color="auto" w:sz="4" w:space="0"/>
              <w:right w:val="single" w:color="auto" w:sz="4" w:space="0"/>
            </w:tcBorders>
            <w:vAlign w:val="center"/>
          </w:tcPr>
          <w:p w14:paraId="72232F1D">
            <w:pPr>
              <w:snapToGrid w:val="0"/>
              <w:spacing w:before="46" w:beforeLines="15" w:after="46" w:afterLines="15"/>
              <w:ind w:left="-42" w:leftChars="-20" w:right="-48" w:rightChars="-23"/>
              <w:rPr>
                <w:rFonts w:hint="eastAsia" w:ascii="宋体" w:hAnsi="宋体" w:cs="宋体"/>
                <w:sz w:val="24"/>
                <w:szCs w:val="24"/>
              </w:rPr>
            </w:pPr>
          </w:p>
        </w:tc>
      </w:tr>
      <w:tr w14:paraId="5FDCD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181" w:type="dxa"/>
            <w:tcBorders>
              <w:top w:val="single" w:color="auto" w:sz="4" w:space="0"/>
              <w:left w:val="single" w:color="auto" w:sz="4" w:space="0"/>
              <w:bottom w:val="single" w:color="auto" w:sz="4" w:space="0"/>
              <w:right w:val="single" w:color="auto" w:sz="4" w:space="0"/>
            </w:tcBorders>
            <w:vAlign w:val="center"/>
          </w:tcPr>
          <w:p w14:paraId="28160EA8">
            <w:pPr>
              <w:snapToGrid w:val="0"/>
              <w:spacing w:before="46" w:beforeLines="15" w:after="46" w:afterLines="15"/>
              <w:ind w:left="-42" w:leftChars="-20" w:right="-48" w:rightChars="-23"/>
              <w:rPr>
                <w:rFonts w:hint="eastAsia" w:ascii="宋体" w:hAnsi="宋体" w:cs="宋体"/>
                <w:sz w:val="24"/>
                <w:szCs w:val="24"/>
              </w:rPr>
            </w:pPr>
            <w:r>
              <w:rPr>
                <w:rFonts w:hint="eastAsia" w:ascii="宋体" w:hAnsi="宋体" w:cs="宋体"/>
                <w:sz w:val="24"/>
                <w:szCs w:val="24"/>
              </w:rPr>
              <w:t>（五）重量1000kN及以上的大型结构整体顶升、平移、转体等施工工艺。</w:t>
            </w:r>
          </w:p>
        </w:tc>
        <w:tc>
          <w:tcPr>
            <w:tcW w:w="1845" w:type="dxa"/>
            <w:tcBorders>
              <w:top w:val="single" w:color="auto" w:sz="4" w:space="0"/>
              <w:left w:val="single" w:color="auto" w:sz="4" w:space="0"/>
              <w:bottom w:val="single" w:color="auto" w:sz="4" w:space="0"/>
              <w:right w:val="single" w:color="auto" w:sz="4" w:space="0"/>
            </w:tcBorders>
            <w:vAlign w:val="center"/>
          </w:tcPr>
          <w:p w14:paraId="713D1BE5">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680" w:type="dxa"/>
            <w:tcBorders>
              <w:top w:val="single" w:color="auto" w:sz="4" w:space="0"/>
              <w:left w:val="single" w:color="auto" w:sz="4" w:space="0"/>
              <w:bottom w:val="single" w:color="auto" w:sz="4" w:space="0"/>
              <w:right w:val="single" w:color="auto" w:sz="4" w:space="0"/>
            </w:tcBorders>
            <w:vAlign w:val="center"/>
          </w:tcPr>
          <w:p w14:paraId="50640A5D">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020" w:type="dxa"/>
            <w:tcBorders>
              <w:top w:val="single" w:color="auto" w:sz="4" w:space="0"/>
              <w:left w:val="single" w:color="auto" w:sz="4" w:space="0"/>
              <w:bottom w:val="single" w:color="auto" w:sz="4" w:space="0"/>
              <w:right w:val="single" w:color="auto" w:sz="4" w:space="0"/>
            </w:tcBorders>
            <w:vAlign w:val="center"/>
          </w:tcPr>
          <w:p w14:paraId="28EE7A76">
            <w:pPr>
              <w:snapToGrid w:val="0"/>
              <w:spacing w:before="46" w:beforeLines="15" w:after="46" w:afterLines="15"/>
              <w:ind w:left="-42" w:leftChars="-20" w:right="-48" w:rightChars="-23"/>
              <w:rPr>
                <w:rFonts w:hint="eastAsia" w:ascii="宋体" w:hAnsi="宋体" w:cs="宋体"/>
                <w:sz w:val="24"/>
                <w:szCs w:val="24"/>
              </w:rPr>
            </w:pPr>
          </w:p>
        </w:tc>
      </w:tr>
      <w:tr w14:paraId="7EBA2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8" w:hRule="atLeast"/>
        </w:trPr>
        <w:tc>
          <w:tcPr>
            <w:tcW w:w="5181" w:type="dxa"/>
            <w:tcBorders>
              <w:top w:val="single" w:color="auto" w:sz="4" w:space="0"/>
              <w:left w:val="single" w:color="auto" w:sz="4" w:space="0"/>
              <w:bottom w:val="single" w:color="auto" w:sz="4" w:space="0"/>
              <w:right w:val="single" w:color="auto" w:sz="4" w:space="0"/>
            </w:tcBorders>
            <w:vAlign w:val="center"/>
          </w:tcPr>
          <w:p w14:paraId="355213DA">
            <w:pPr>
              <w:snapToGrid w:val="0"/>
              <w:spacing w:before="46" w:beforeLines="15" w:after="46" w:afterLines="15"/>
              <w:ind w:left="-42" w:leftChars="-20" w:right="-48" w:rightChars="-23"/>
              <w:rPr>
                <w:rFonts w:hint="eastAsia" w:ascii="宋体" w:hAnsi="宋体" w:cs="宋体"/>
                <w:sz w:val="24"/>
                <w:szCs w:val="24"/>
              </w:rPr>
            </w:pPr>
            <w:r>
              <w:rPr>
                <w:rFonts w:hint="eastAsia" w:ascii="宋体" w:hAnsi="宋体" w:cs="宋体"/>
                <w:sz w:val="24"/>
                <w:szCs w:val="24"/>
              </w:rPr>
              <w:t>（六）采用新技术、新工艺、新材料、新设备可能影响工程施工安全，尚无国家、行业及地方技术标准的分部分项工程。</w:t>
            </w:r>
          </w:p>
        </w:tc>
        <w:tc>
          <w:tcPr>
            <w:tcW w:w="1845" w:type="dxa"/>
            <w:tcBorders>
              <w:top w:val="single" w:color="auto" w:sz="4" w:space="0"/>
              <w:left w:val="single" w:color="auto" w:sz="4" w:space="0"/>
              <w:bottom w:val="single" w:color="auto" w:sz="4" w:space="0"/>
              <w:right w:val="single" w:color="auto" w:sz="4" w:space="0"/>
            </w:tcBorders>
            <w:vAlign w:val="center"/>
          </w:tcPr>
          <w:p w14:paraId="28D05DE0">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680" w:type="dxa"/>
            <w:tcBorders>
              <w:top w:val="single" w:color="auto" w:sz="4" w:space="0"/>
              <w:left w:val="single" w:color="auto" w:sz="4" w:space="0"/>
              <w:bottom w:val="single" w:color="auto" w:sz="4" w:space="0"/>
              <w:right w:val="single" w:color="auto" w:sz="4" w:space="0"/>
            </w:tcBorders>
            <w:vAlign w:val="center"/>
          </w:tcPr>
          <w:p w14:paraId="5CAE1F62">
            <w:pPr>
              <w:snapToGrid w:val="0"/>
              <w:spacing w:before="46" w:beforeLines="15" w:after="46" w:afterLines="15"/>
              <w:ind w:left="-42" w:leftChars="-20" w:right="-48" w:rightChars="-23"/>
              <w:jc w:val="center"/>
              <w:rPr>
                <w:rFonts w:hint="eastAsia" w:ascii="宋体" w:hAnsi="宋体" w:cs="宋体"/>
                <w:sz w:val="24"/>
                <w:szCs w:val="24"/>
              </w:rPr>
            </w:pPr>
            <w:r>
              <w:rPr>
                <w:rFonts w:hint="eastAsia" w:ascii="宋体" w:hAnsi="宋体" w:cs="宋体"/>
                <w:sz w:val="24"/>
                <w:szCs w:val="24"/>
              </w:rPr>
              <w:t>(   )</w:t>
            </w:r>
          </w:p>
        </w:tc>
        <w:tc>
          <w:tcPr>
            <w:tcW w:w="1020" w:type="dxa"/>
            <w:tcBorders>
              <w:top w:val="single" w:color="auto" w:sz="4" w:space="0"/>
              <w:left w:val="single" w:color="auto" w:sz="4" w:space="0"/>
              <w:bottom w:val="single" w:color="auto" w:sz="4" w:space="0"/>
              <w:right w:val="single" w:color="auto" w:sz="4" w:space="0"/>
            </w:tcBorders>
            <w:vAlign w:val="center"/>
          </w:tcPr>
          <w:p w14:paraId="1EF6D79B">
            <w:pPr>
              <w:snapToGrid w:val="0"/>
              <w:spacing w:before="46" w:beforeLines="15" w:after="46" w:afterLines="15"/>
              <w:ind w:left="-42" w:leftChars="-20" w:right="-48" w:rightChars="-23"/>
              <w:rPr>
                <w:rFonts w:hint="eastAsia" w:ascii="宋体" w:hAnsi="宋体" w:cs="宋体"/>
                <w:sz w:val="24"/>
                <w:szCs w:val="24"/>
              </w:rPr>
            </w:pPr>
          </w:p>
        </w:tc>
      </w:tr>
    </w:tbl>
    <w:p w14:paraId="46D5204E">
      <w:pPr>
        <w:spacing w:line="360" w:lineRule="auto"/>
        <w:rPr>
          <w:rFonts w:hint="eastAsia" w:ascii="宋体" w:hAnsi="宋体" w:cs="宋体"/>
          <w:sz w:val="24"/>
          <w:szCs w:val="24"/>
        </w:rPr>
      </w:pPr>
    </w:p>
    <w:p w14:paraId="7945302B">
      <w:pPr>
        <w:spacing w:line="360" w:lineRule="auto"/>
        <w:ind w:firstLine="3000" w:firstLineChars="1250"/>
        <w:rPr>
          <w:rFonts w:hint="eastAsia" w:ascii="宋体" w:hAnsi="宋体" w:cs="宋体"/>
          <w:sz w:val="24"/>
          <w:szCs w:val="24"/>
        </w:rPr>
      </w:pPr>
    </w:p>
    <w:p w14:paraId="6E55C7AC">
      <w:pPr>
        <w:spacing w:line="360" w:lineRule="auto"/>
        <w:ind w:firstLine="4048" w:firstLineChars="1687"/>
        <w:rPr>
          <w:rFonts w:hint="eastAsia" w:ascii="宋体" w:hAnsi="宋体" w:cs="宋体"/>
          <w:sz w:val="24"/>
          <w:szCs w:val="24"/>
          <w:u w:val="single"/>
        </w:rPr>
      </w:pPr>
      <w:r>
        <w:rPr>
          <w:rFonts w:hint="eastAsia" w:ascii="宋体" w:hAnsi="宋体" w:cs="宋体"/>
          <w:sz w:val="24"/>
          <w:szCs w:val="24"/>
        </w:rPr>
        <w:t>投标人（盖章）：</w:t>
      </w:r>
    </w:p>
    <w:p w14:paraId="6BD9FA9B">
      <w:pPr>
        <w:spacing w:line="360" w:lineRule="auto"/>
        <w:ind w:firstLine="4048" w:firstLineChars="1687"/>
        <w:rPr>
          <w:rFonts w:hint="eastAsia" w:ascii="宋体" w:hAnsi="宋体" w:cs="宋体"/>
          <w:sz w:val="24"/>
          <w:szCs w:val="24"/>
          <w:u w:val="single"/>
        </w:rPr>
      </w:pPr>
      <w:r>
        <w:rPr>
          <w:rFonts w:hint="eastAsia" w:ascii="宋体" w:hAnsi="宋体" w:cs="宋体"/>
          <w:sz w:val="24"/>
          <w:szCs w:val="24"/>
        </w:rPr>
        <w:t>法定代表人或授权代理人（签名或盖章）：</w:t>
      </w:r>
    </w:p>
    <w:p w14:paraId="24700685">
      <w:pPr>
        <w:widowControl/>
        <w:ind w:firstLine="4080" w:firstLineChars="1700"/>
        <w:jc w:val="left"/>
        <w:rPr>
          <w:rFonts w:hint="eastAsia" w:ascii="宋体" w:hAnsi="宋体" w:cs="宋体"/>
          <w:sz w:val="24"/>
          <w:szCs w:val="24"/>
        </w:rPr>
      </w:pPr>
      <w:r>
        <w:rPr>
          <w:rFonts w:hint="eastAsia" w:ascii="宋体" w:hAnsi="宋体" w:cs="宋体"/>
          <w:sz w:val="24"/>
          <w:szCs w:val="24"/>
        </w:rPr>
        <w:t>日  期：   年  月  日</w:t>
      </w:r>
    </w:p>
    <w:p w14:paraId="78B6D9AE">
      <w:bookmarkStart w:id="147" w:name="_Toc31182"/>
      <w:bookmarkStart w:id="148" w:name="_Toc100130495"/>
      <w:bookmarkStart w:id="149" w:name="_Toc27755"/>
      <w:bookmarkStart w:id="150" w:name="_Toc6463"/>
      <w:bookmarkStart w:id="151" w:name="_Toc22344"/>
      <w:bookmarkStart w:id="152" w:name="_Toc17168"/>
      <w:bookmarkStart w:id="153" w:name="_Toc21951"/>
      <w:r>
        <w:rPr>
          <w:rFonts w:hint="eastAsia"/>
        </w:rPr>
        <w:br w:type="page"/>
      </w:r>
    </w:p>
    <w:p w14:paraId="19C9DF59">
      <w:pPr>
        <w:pStyle w:val="5"/>
        <w:spacing w:line="216" w:lineRule="auto"/>
        <w:rPr>
          <w:rFonts w:hint="eastAsia"/>
        </w:rPr>
      </w:pPr>
      <w:r>
        <w:rPr>
          <w:rFonts w:hint="eastAsia"/>
        </w:rPr>
        <w:t>格式五：</w:t>
      </w:r>
      <w:bookmarkEnd w:id="146"/>
      <w:bookmarkEnd w:id="147"/>
      <w:bookmarkEnd w:id="148"/>
      <w:bookmarkEnd w:id="149"/>
      <w:bookmarkEnd w:id="150"/>
      <w:bookmarkEnd w:id="151"/>
      <w:bookmarkEnd w:id="152"/>
      <w:bookmarkEnd w:id="153"/>
    </w:p>
    <w:p w14:paraId="708A2BFA">
      <w:pPr>
        <w:spacing w:line="216" w:lineRule="auto"/>
        <w:jc w:val="center"/>
        <w:rPr>
          <w:rFonts w:hint="eastAsia" w:ascii="宋体" w:hAnsi="宋体" w:cs="宋体"/>
          <w:b/>
          <w:sz w:val="36"/>
          <w:szCs w:val="36"/>
          <w:highlight w:val="none"/>
        </w:rPr>
      </w:pPr>
      <w:r>
        <w:rPr>
          <w:rFonts w:hint="eastAsia" w:ascii="宋体" w:hAnsi="宋体" w:cs="宋体"/>
          <w:b/>
          <w:sz w:val="36"/>
          <w:szCs w:val="36"/>
          <w:highlight w:val="none"/>
        </w:rPr>
        <w:t>施工项目管理团队人员信息表</w:t>
      </w:r>
    </w:p>
    <w:tbl>
      <w:tblPr>
        <w:tblStyle w:val="52"/>
        <w:tblW w:w="9180" w:type="dxa"/>
        <w:jc w:val="center"/>
        <w:tblLayout w:type="fixed"/>
        <w:tblCellMar>
          <w:top w:w="0" w:type="dxa"/>
          <w:left w:w="108" w:type="dxa"/>
          <w:bottom w:w="0" w:type="dxa"/>
          <w:right w:w="108" w:type="dxa"/>
        </w:tblCellMar>
      </w:tblPr>
      <w:tblGrid>
        <w:gridCol w:w="1242"/>
        <w:gridCol w:w="1360"/>
        <w:gridCol w:w="2081"/>
        <w:gridCol w:w="1269"/>
        <w:gridCol w:w="3228"/>
      </w:tblGrid>
      <w:tr w14:paraId="0187C329">
        <w:tblPrEx>
          <w:tblCellMar>
            <w:top w:w="0" w:type="dxa"/>
            <w:left w:w="108" w:type="dxa"/>
            <w:bottom w:w="0" w:type="dxa"/>
            <w:right w:w="108" w:type="dxa"/>
          </w:tblCellMar>
        </w:tblPrEx>
        <w:trPr>
          <w:trHeight w:val="975" w:hRule="atLeast"/>
          <w:jc w:val="center"/>
        </w:trPr>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14:paraId="7FC5FD11">
            <w:pPr>
              <w:widowControl/>
              <w:jc w:val="center"/>
              <w:rPr>
                <w:rFonts w:hint="eastAsia" w:ascii="宋体" w:hAnsi="宋体" w:cs="宋体"/>
                <w:b/>
                <w:bCs/>
                <w:kern w:val="0"/>
                <w:szCs w:val="21"/>
              </w:rPr>
            </w:pPr>
            <w:r>
              <w:rPr>
                <w:rFonts w:hint="eastAsia" w:ascii="宋体" w:hAnsi="宋体" w:cs="宋体"/>
                <w:b/>
                <w:bCs/>
                <w:kern w:val="0"/>
                <w:szCs w:val="21"/>
              </w:rPr>
              <w:t>序号</w:t>
            </w:r>
          </w:p>
        </w:tc>
        <w:tc>
          <w:tcPr>
            <w:tcW w:w="1360" w:type="dxa"/>
            <w:tcBorders>
              <w:top w:val="single" w:color="auto" w:sz="4" w:space="0"/>
              <w:left w:val="nil"/>
              <w:bottom w:val="single" w:color="auto" w:sz="4" w:space="0"/>
              <w:right w:val="single" w:color="auto" w:sz="4" w:space="0"/>
            </w:tcBorders>
            <w:shd w:val="clear" w:color="auto" w:fill="auto"/>
            <w:vAlign w:val="center"/>
          </w:tcPr>
          <w:p w14:paraId="698A8111">
            <w:pPr>
              <w:widowControl/>
              <w:jc w:val="center"/>
              <w:rPr>
                <w:rFonts w:hint="eastAsia" w:ascii="宋体" w:hAnsi="宋体" w:cs="宋体"/>
                <w:b/>
                <w:bCs/>
                <w:kern w:val="0"/>
                <w:szCs w:val="21"/>
              </w:rPr>
            </w:pPr>
            <w:r>
              <w:rPr>
                <w:rFonts w:hint="eastAsia" w:ascii="宋体" w:hAnsi="宋体" w:cs="宋体"/>
                <w:b/>
                <w:bCs/>
                <w:kern w:val="0"/>
                <w:szCs w:val="21"/>
              </w:rPr>
              <w:t>姓名</w:t>
            </w:r>
          </w:p>
        </w:tc>
        <w:tc>
          <w:tcPr>
            <w:tcW w:w="2081" w:type="dxa"/>
            <w:tcBorders>
              <w:top w:val="single" w:color="auto" w:sz="4" w:space="0"/>
              <w:left w:val="nil"/>
              <w:bottom w:val="single" w:color="auto" w:sz="4" w:space="0"/>
              <w:right w:val="single" w:color="auto" w:sz="4" w:space="0"/>
            </w:tcBorders>
            <w:shd w:val="clear" w:color="auto" w:fill="auto"/>
            <w:vAlign w:val="center"/>
          </w:tcPr>
          <w:p w14:paraId="018647D0">
            <w:pPr>
              <w:widowControl/>
              <w:jc w:val="center"/>
              <w:rPr>
                <w:rFonts w:hint="eastAsia" w:ascii="宋体" w:hAnsi="宋体" w:cs="宋体"/>
                <w:b/>
                <w:bCs/>
                <w:kern w:val="0"/>
                <w:szCs w:val="21"/>
              </w:rPr>
            </w:pPr>
            <w:r>
              <w:rPr>
                <w:rFonts w:hint="eastAsia" w:ascii="宋体" w:hAnsi="宋体" w:cs="宋体"/>
                <w:b/>
                <w:bCs/>
                <w:kern w:val="0"/>
                <w:szCs w:val="21"/>
              </w:rPr>
              <w:t>岗位</w:t>
            </w:r>
          </w:p>
        </w:tc>
        <w:tc>
          <w:tcPr>
            <w:tcW w:w="1269" w:type="dxa"/>
            <w:tcBorders>
              <w:top w:val="single" w:color="auto" w:sz="4" w:space="0"/>
              <w:left w:val="nil"/>
              <w:bottom w:val="single" w:color="auto" w:sz="4" w:space="0"/>
              <w:right w:val="single" w:color="auto" w:sz="4" w:space="0"/>
            </w:tcBorders>
            <w:shd w:val="clear" w:color="auto" w:fill="auto"/>
            <w:vAlign w:val="center"/>
          </w:tcPr>
          <w:p w14:paraId="177DB9DA">
            <w:pPr>
              <w:widowControl/>
              <w:jc w:val="center"/>
              <w:rPr>
                <w:rFonts w:hint="eastAsia" w:ascii="宋体" w:hAnsi="宋体" w:cs="宋体"/>
                <w:b/>
                <w:bCs/>
                <w:kern w:val="0"/>
                <w:szCs w:val="21"/>
              </w:rPr>
            </w:pPr>
            <w:r>
              <w:rPr>
                <w:rFonts w:hint="eastAsia" w:ascii="宋体" w:hAnsi="宋体" w:cs="宋体"/>
                <w:b/>
                <w:bCs/>
                <w:kern w:val="0"/>
                <w:szCs w:val="21"/>
              </w:rPr>
              <w:t>职称</w:t>
            </w:r>
          </w:p>
        </w:tc>
        <w:tc>
          <w:tcPr>
            <w:tcW w:w="3228" w:type="dxa"/>
            <w:tcBorders>
              <w:top w:val="single" w:color="auto" w:sz="4" w:space="0"/>
              <w:left w:val="nil"/>
              <w:bottom w:val="single" w:color="auto" w:sz="4" w:space="0"/>
              <w:right w:val="single" w:color="auto" w:sz="4" w:space="0"/>
            </w:tcBorders>
            <w:shd w:val="clear" w:color="auto" w:fill="auto"/>
            <w:vAlign w:val="center"/>
          </w:tcPr>
          <w:p w14:paraId="4D4F9805">
            <w:pPr>
              <w:widowControl/>
              <w:jc w:val="center"/>
              <w:rPr>
                <w:rFonts w:hint="eastAsia" w:ascii="宋体" w:hAnsi="宋体" w:cs="宋体"/>
                <w:b/>
                <w:bCs/>
                <w:kern w:val="0"/>
                <w:szCs w:val="21"/>
              </w:rPr>
            </w:pPr>
            <w:r>
              <w:rPr>
                <w:rFonts w:hint="eastAsia" w:ascii="宋体" w:hAnsi="宋体" w:cs="宋体"/>
                <w:b/>
                <w:bCs/>
                <w:kern w:val="0"/>
                <w:szCs w:val="21"/>
              </w:rPr>
              <w:t>职称证书或资格证书编号</w:t>
            </w:r>
          </w:p>
        </w:tc>
      </w:tr>
      <w:tr w14:paraId="44F09156">
        <w:tblPrEx>
          <w:tblCellMar>
            <w:top w:w="0" w:type="dxa"/>
            <w:left w:w="108" w:type="dxa"/>
            <w:bottom w:w="0" w:type="dxa"/>
            <w:right w:w="108" w:type="dxa"/>
          </w:tblCellMar>
        </w:tblPrEx>
        <w:trPr>
          <w:trHeight w:val="454" w:hRule="atLeast"/>
          <w:jc w:val="center"/>
        </w:trPr>
        <w:tc>
          <w:tcPr>
            <w:tcW w:w="1242" w:type="dxa"/>
            <w:tcBorders>
              <w:top w:val="nil"/>
              <w:left w:val="single" w:color="auto" w:sz="4" w:space="0"/>
              <w:bottom w:val="single" w:color="auto" w:sz="4" w:space="0"/>
              <w:right w:val="single" w:color="auto" w:sz="4" w:space="0"/>
            </w:tcBorders>
            <w:shd w:val="clear" w:color="auto" w:fill="auto"/>
            <w:noWrap/>
            <w:vAlign w:val="center"/>
          </w:tcPr>
          <w:p w14:paraId="5056B4B1">
            <w:pPr>
              <w:widowControl/>
              <w:jc w:val="center"/>
              <w:rPr>
                <w:rFonts w:hint="eastAsia" w:ascii="宋体" w:hAnsi="宋体" w:cs="宋体"/>
                <w:kern w:val="0"/>
                <w:szCs w:val="21"/>
              </w:rPr>
            </w:pPr>
            <w:r>
              <w:rPr>
                <w:rFonts w:ascii="宋体" w:hAnsi="宋体" w:cs="宋体"/>
                <w:kern w:val="0"/>
                <w:szCs w:val="21"/>
              </w:rPr>
              <w:t>1</w:t>
            </w:r>
          </w:p>
        </w:tc>
        <w:tc>
          <w:tcPr>
            <w:tcW w:w="1360" w:type="dxa"/>
            <w:tcBorders>
              <w:top w:val="nil"/>
              <w:left w:val="nil"/>
              <w:bottom w:val="single" w:color="auto" w:sz="4" w:space="0"/>
              <w:right w:val="single" w:color="auto" w:sz="4" w:space="0"/>
            </w:tcBorders>
            <w:shd w:val="clear" w:color="auto" w:fill="auto"/>
            <w:noWrap/>
            <w:vAlign w:val="center"/>
          </w:tcPr>
          <w:p w14:paraId="295EB801">
            <w:pPr>
              <w:widowControl/>
              <w:jc w:val="center"/>
              <w:rPr>
                <w:rFonts w:hint="eastAsia" w:ascii="宋体" w:hAnsi="宋体" w:cs="宋体"/>
                <w:kern w:val="0"/>
                <w:szCs w:val="21"/>
              </w:rPr>
            </w:pPr>
            <w:r>
              <w:rPr>
                <w:rFonts w:hint="eastAsia" w:ascii="宋体" w:hAnsi="宋体" w:cs="宋体"/>
                <w:kern w:val="0"/>
                <w:szCs w:val="21"/>
              </w:rPr>
              <w:t>　</w:t>
            </w:r>
          </w:p>
        </w:tc>
        <w:tc>
          <w:tcPr>
            <w:tcW w:w="2081" w:type="dxa"/>
            <w:tcBorders>
              <w:top w:val="nil"/>
              <w:left w:val="nil"/>
              <w:bottom w:val="single" w:color="auto" w:sz="4" w:space="0"/>
              <w:right w:val="single" w:color="auto" w:sz="4" w:space="0"/>
            </w:tcBorders>
            <w:shd w:val="clear" w:color="auto" w:fill="auto"/>
            <w:noWrap/>
            <w:vAlign w:val="center"/>
          </w:tcPr>
          <w:p w14:paraId="31C5CB2A">
            <w:pPr>
              <w:snapToGrid w:val="0"/>
              <w:spacing w:line="240" w:lineRule="atLeast"/>
              <w:ind w:left="42" w:leftChars="20" w:right="42" w:rightChars="20"/>
              <w:jc w:val="center"/>
              <w:rPr>
                <w:rFonts w:hint="eastAsia" w:ascii="宋体" w:hAnsi="宋体" w:cs="宋体"/>
                <w:kern w:val="0"/>
                <w:szCs w:val="21"/>
              </w:rPr>
            </w:pPr>
            <w:r>
              <w:rPr>
                <w:rFonts w:hint="eastAsia" w:ascii="宋体" w:hAnsi="宋体" w:cs="宋体"/>
                <w:bCs/>
                <w:szCs w:val="21"/>
                <w:lang w:val="zh-TW"/>
              </w:rPr>
              <w:t>技术负责人</w:t>
            </w:r>
          </w:p>
        </w:tc>
        <w:tc>
          <w:tcPr>
            <w:tcW w:w="1269" w:type="dxa"/>
            <w:tcBorders>
              <w:top w:val="nil"/>
              <w:left w:val="nil"/>
              <w:bottom w:val="single" w:color="auto" w:sz="4" w:space="0"/>
              <w:right w:val="single" w:color="auto" w:sz="4" w:space="0"/>
            </w:tcBorders>
            <w:shd w:val="clear" w:color="auto" w:fill="auto"/>
            <w:noWrap/>
            <w:vAlign w:val="center"/>
          </w:tcPr>
          <w:p w14:paraId="0C0FEB12">
            <w:pPr>
              <w:widowControl/>
              <w:jc w:val="center"/>
              <w:rPr>
                <w:rFonts w:hint="eastAsia" w:ascii="宋体" w:hAnsi="宋体" w:cs="宋体"/>
                <w:kern w:val="0"/>
                <w:szCs w:val="21"/>
              </w:rPr>
            </w:pPr>
            <w:r>
              <w:rPr>
                <w:rFonts w:hint="eastAsia" w:ascii="宋体" w:hAnsi="宋体" w:cs="宋体"/>
                <w:kern w:val="0"/>
                <w:szCs w:val="21"/>
              </w:rPr>
              <w:t>　</w:t>
            </w:r>
          </w:p>
        </w:tc>
        <w:tc>
          <w:tcPr>
            <w:tcW w:w="3228" w:type="dxa"/>
            <w:tcBorders>
              <w:top w:val="nil"/>
              <w:left w:val="nil"/>
              <w:bottom w:val="single" w:color="auto" w:sz="4" w:space="0"/>
              <w:right w:val="single" w:color="auto" w:sz="4" w:space="0"/>
            </w:tcBorders>
            <w:shd w:val="clear" w:color="auto" w:fill="auto"/>
            <w:noWrap/>
            <w:vAlign w:val="center"/>
          </w:tcPr>
          <w:p w14:paraId="59B9B8BA">
            <w:pPr>
              <w:widowControl/>
              <w:jc w:val="center"/>
              <w:rPr>
                <w:rFonts w:hint="eastAsia" w:ascii="宋体" w:hAnsi="宋体" w:cs="宋体"/>
                <w:kern w:val="0"/>
                <w:szCs w:val="21"/>
              </w:rPr>
            </w:pPr>
            <w:r>
              <w:rPr>
                <w:rFonts w:hint="eastAsia" w:ascii="宋体" w:hAnsi="宋体" w:cs="宋体"/>
                <w:kern w:val="0"/>
                <w:szCs w:val="21"/>
              </w:rPr>
              <w:t>　</w:t>
            </w:r>
          </w:p>
        </w:tc>
      </w:tr>
      <w:tr w14:paraId="19EECB59">
        <w:tblPrEx>
          <w:tblCellMar>
            <w:top w:w="0" w:type="dxa"/>
            <w:left w:w="108" w:type="dxa"/>
            <w:bottom w:w="0" w:type="dxa"/>
            <w:right w:w="108" w:type="dxa"/>
          </w:tblCellMar>
        </w:tblPrEx>
        <w:trPr>
          <w:trHeight w:val="454" w:hRule="atLeast"/>
          <w:jc w:val="center"/>
        </w:trPr>
        <w:tc>
          <w:tcPr>
            <w:tcW w:w="1242" w:type="dxa"/>
            <w:tcBorders>
              <w:top w:val="nil"/>
              <w:left w:val="single" w:color="auto" w:sz="4" w:space="0"/>
              <w:bottom w:val="single" w:color="auto" w:sz="4" w:space="0"/>
              <w:right w:val="single" w:color="auto" w:sz="4" w:space="0"/>
            </w:tcBorders>
            <w:shd w:val="clear" w:color="auto" w:fill="auto"/>
            <w:noWrap/>
            <w:vAlign w:val="center"/>
          </w:tcPr>
          <w:p w14:paraId="5C045AF2">
            <w:pPr>
              <w:widowControl/>
              <w:jc w:val="center"/>
              <w:rPr>
                <w:rFonts w:hint="eastAsia" w:ascii="宋体" w:hAnsi="宋体" w:cs="宋体"/>
                <w:kern w:val="0"/>
                <w:szCs w:val="21"/>
              </w:rPr>
            </w:pPr>
            <w:r>
              <w:rPr>
                <w:rFonts w:ascii="宋体" w:hAnsi="宋体" w:cs="宋体"/>
                <w:kern w:val="0"/>
                <w:szCs w:val="21"/>
              </w:rPr>
              <w:t>2</w:t>
            </w:r>
          </w:p>
        </w:tc>
        <w:tc>
          <w:tcPr>
            <w:tcW w:w="1360" w:type="dxa"/>
            <w:tcBorders>
              <w:top w:val="nil"/>
              <w:left w:val="nil"/>
              <w:bottom w:val="single" w:color="auto" w:sz="4" w:space="0"/>
              <w:right w:val="single" w:color="auto" w:sz="4" w:space="0"/>
            </w:tcBorders>
            <w:shd w:val="clear" w:color="auto" w:fill="auto"/>
            <w:noWrap/>
            <w:vAlign w:val="center"/>
          </w:tcPr>
          <w:p w14:paraId="2E21D36D">
            <w:pPr>
              <w:widowControl/>
              <w:jc w:val="center"/>
              <w:rPr>
                <w:rFonts w:hint="eastAsia" w:ascii="宋体" w:hAnsi="宋体" w:cs="宋体"/>
                <w:kern w:val="0"/>
                <w:szCs w:val="21"/>
              </w:rPr>
            </w:pPr>
            <w:r>
              <w:rPr>
                <w:rFonts w:hint="eastAsia" w:ascii="宋体" w:hAnsi="宋体" w:cs="宋体"/>
                <w:kern w:val="0"/>
                <w:szCs w:val="21"/>
              </w:rPr>
              <w:t>　</w:t>
            </w:r>
          </w:p>
        </w:tc>
        <w:tc>
          <w:tcPr>
            <w:tcW w:w="2081" w:type="dxa"/>
            <w:tcBorders>
              <w:top w:val="nil"/>
              <w:left w:val="nil"/>
              <w:bottom w:val="single" w:color="auto" w:sz="4" w:space="0"/>
              <w:right w:val="single" w:color="auto" w:sz="4" w:space="0"/>
            </w:tcBorders>
            <w:shd w:val="clear" w:color="auto" w:fill="auto"/>
            <w:noWrap/>
            <w:vAlign w:val="center"/>
          </w:tcPr>
          <w:p w14:paraId="62B8CA72">
            <w:pPr>
              <w:snapToGrid w:val="0"/>
              <w:spacing w:line="240" w:lineRule="atLeast"/>
              <w:ind w:left="42" w:leftChars="20" w:right="42" w:rightChars="20"/>
              <w:jc w:val="center"/>
              <w:rPr>
                <w:rFonts w:hint="eastAsia" w:ascii="宋体" w:hAnsi="宋体" w:cs="宋体"/>
                <w:kern w:val="0"/>
                <w:szCs w:val="21"/>
              </w:rPr>
            </w:pPr>
            <w:r>
              <w:rPr>
                <w:rFonts w:hint="eastAsia" w:ascii="宋体" w:hAnsi="宋体" w:cs="宋体"/>
                <w:bCs/>
                <w:szCs w:val="21"/>
                <w:lang w:val="zh-TW"/>
              </w:rPr>
              <w:t>质量负责人</w:t>
            </w:r>
          </w:p>
        </w:tc>
        <w:tc>
          <w:tcPr>
            <w:tcW w:w="1269" w:type="dxa"/>
            <w:tcBorders>
              <w:top w:val="nil"/>
              <w:left w:val="nil"/>
              <w:bottom w:val="single" w:color="auto" w:sz="4" w:space="0"/>
              <w:right w:val="single" w:color="auto" w:sz="4" w:space="0"/>
            </w:tcBorders>
            <w:shd w:val="clear" w:color="auto" w:fill="auto"/>
            <w:noWrap/>
            <w:vAlign w:val="center"/>
          </w:tcPr>
          <w:p w14:paraId="663B6D0D">
            <w:pPr>
              <w:widowControl/>
              <w:jc w:val="center"/>
              <w:rPr>
                <w:rFonts w:hint="eastAsia" w:ascii="宋体" w:hAnsi="宋体" w:cs="宋体"/>
                <w:kern w:val="0"/>
                <w:szCs w:val="21"/>
              </w:rPr>
            </w:pPr>
            <w:r>
              <w:rPr>
                <w:rFonts w:hint="eastAsia" w:ascii="宋体" w:hAnsi="宋体" w:cs="宋体"/>
                <w:kern w:val="0"/>
                <w:szCs w:val="21"/>
              </w:rPr>
              <w:t>　</w:t>
            </w:r>
          </w:p>
        </w:tc>
        <w:tc>
          <w:tcPr>
            <w:tcW w:w="3228" w:type="dxa"/>
            <w:tcBorders>
              <w:top w:val="nil"/>
              <w:left w:val="nil"/>
              <w:bottom w:val="single" w:color="auto" w:sz="4" w:space="0"/>
              <w:right w:val="single" w:color="auto" w:sz="4" w:space="0"/>
            </w:tcBorders>
            <w:shd w:val="clear" w:color="auto" w:fill="auto"/>
            <w:noWrap/>
            <w:vAlign w:val="center"/>
          </w:tcPr>
          <w:p w14:paraId="10D36C4F">
            <w:pPr>
              <w:widowControl/>
              <w:jc w:val="center"/>
              <w:rPr>
                <w:rFonts w:hint="eastAsia" w:ascii="宋体" w:hAnsi="宋体" w:cs="宋体"/>
                <w:kern w:val="0"/>
                <w:szCs w:val="21"/>
              </w:rPr>
            </w:pPr>
            <w:r>
              <w:rPr>
                <w:rFonts w:hint="eastAsia" w:ascii="宋体" w:hAnsi="宋体" w:cs="宋体"/>
                <w:kern w:val="0"/>
                <w:szCs w:val="21"/>
              </w:rPr>
              <w:t>　</w:t>
            </w:r>
          </w:p>
        </w:tc>
      </w:tr>
      <w:tr w14:paraId="2800C798">
        <w:tblPrEx>
          <w:tblCellMar>
            <w:top w:w="0" w:type="dxa"/>
            <w:left w:w="108" w:type="dxa"/>
            <w:bottom w:w="0" w:type="dxa"/>
            <w:right w:w="108" w:type="dxa"/>
          </w:tblCellMar>
        </w:tblPrEx>
        <w:trPr>
          <w:trHeight w:val="454" w:hRule="atLeast"/>
          <w:jc w:val="center"/>
        </w:trPr>
        <w:tc>
          <w:tcPr>
            <w:tcW w:w="1242" w:type="dxa"/>
            <w:tcBorders>
              <w:top w:val="nil"/>
              <w:left w:val="single" w:color="auto" w:sz="4" w:space="0"/>
              <w:bottom w:val="single" w:color="auto" w:sz="4" w:space="0"/>
              <w:right w:val="single" w:color="auto" w:sz="4" w:space="0"/>
            </w:tcBorders>
            <w:shd w:val="clear" w:color="auto" w:fill="auto"/>
            <w:noWrap/>
            <w:vAlign w:val="center"/>
          </w:tcPr>
          <w:p w14:paraId="78FBD518">
            <w:pPr>
              <w:widowControl/>
              <w:jc w:val="center"/>
              <w:rPr>
                <w:rFonts w:hint="eastAsia" w:ascii="宋体" w:hAnsi="宋体" w:cs="宋体"/>
                <w:kern w:val="0"/>
                <w:szCs w:val="21"/>
              </w:rPr>
            </w:pPr>
            <w:r>
              <w:rPr>
                <w:rFonts w:ascii="宋体" w:hAnsi="宋体" w:cs="宋体"/>
                <w:kern w:val="0"/>
                <w:szCs w:val="21"/>
              </w:rPr>
              <w:t>3</w:t>
            </w:r>
          </w:p>
        </w:tc>
        <w:tc>
          <w:tcPr>
            <w:tcW w:w="1360" w:type="dxa"/>
            <w:tcBorders>
              <w:top w:val="nil"/>
              <w:left w:val="nil"/>
              <w:bottom w:val="single" w:color="auto" w:sz="4" w:space="0"/>
              <w:right w:val="single" w:color="auto" w:sz="4" w:space="0"/>
            </w:tcBorders>
            <w:shd w:val="clear" w:color="auto" w:fill="auto"/>
            <w:noWrap/>
            <w:vAlign w:val="center"/>
          </w:tcPr>
          <w:p w14:paraId="702AE9A9">
            <w:pPr>
              <w:widowControl/>
              <w:jc w:val="center"/>
              <w:rPr>
                <w:rFonts w:hint="eastAsia" w:ascii="宋体" w:hAnsi="宋体" w:cs="宋体"/>
                <w:kern w:val="0"/>
                <w:szCs w:val="21"/>
              </w:rPr>
            </w:pPr>
            <w:r>
              <w:rPr>
                <w:rFonts w:hint="eastAsia" w:ascii="宋体" w:hAnsi="宋体" w:cs="宋体"/>
                <w:kern w:val="0"/>
                <w:szCs w:val="21"/>
              </w:rPr>
              <w:t>　</w:t>
            </w:r>
          </w:p>
        </w:tc>
        <w:tc>
          <w:tcPr>
            <w:tcW w:w="2081" w:type="dxa"/>
            <w:tcBorders>
              <w:top w:val="nil"/>
              <w:left w:val="nil"/>
              <w:bottom w:val="single" w:color="auto" w:sz="4" w:space="0"/>
              <w:right w:val="single" w:color="auto" w:sz="4" w:space="0"/>
            </w:tcBorders>
            <w:shd w:val="clear" w:color="auto" w:fill="auto"/>
            <w:noWrap/>
            <w:vAlign w:val="center"/>
          </w:tcPr>
          <w:p w14:paraId="3952E09F">
            <w:pPr>
              <w:snapToGrid w:val="0"/>
              <w:spacing w:line="240" w:lineRule="atLeast"/>
              <w:ind w:left="42" w:leftChars="20" w:right="42" w:rightChars="20"/>
              <w:jc w:val="center"/>
              <w:rPr>
                <w:rFonts w:hint="eastAsia" w:ascii="宋体" w:hAnsi="宋体" w:cs="宋体"/>
                <w:kern w:val="0"/>
                <w:szCs w:val="21"/>
              </w:rPr>
            </w:pPr>
            <w:r>
              <w:rPr>
                <w:rFonts w:hint="eastAsia" w:ascii="宋体" w:hAnsi="宋体" w:cs="宋体"/>
                <w:szCs w:val="21"/>
              </w:rPr>
              <w:t>造价负责人</w:t>
            </w:r>
          </w:p>
        </w:tc>
        <w:tc>
          <w:tcPr>
            <w:tcW w:w="1269" w:type="dxa"/>
            <w:tcBorders>
              <w:top w:val="nil"/>
              <w:left w:val="nil"/>
              <w:bottom w:val="single" w:color="auto" w:sz="4" w:space="0"/>
              <w:right w:val="single" w:color="auto" w:sz="4" w:space="0"/>
            </w:tcBorders>
            <w:shd w:val="clear" w:color="auto" w:fill="auto"/>
            <w:noWrap/>
            <w:vAlign w:val="center"/>
          </w:tcPr>
          <w:p w14:paraId="3B8000B7">
            <w:pPr>
              <w:widowControl/>
              <w:jc w:val="center"/>
              <w:rPr>
                <w:rFonts w:hint="eastAsia" w:ascii="宋体" w:hAnsi="宋体" w:cs="宋体"/>
                <w:kern w:val="0"/>
                <w:szCs w:val="21"/>
              </w:rPr>
            </w:pPr>
            <w:r>
              <w:rPr>
                <w:rFonts w:hint="eastAsia" w:ascii="宋体" w:hAnsi="宋体" w:cs="宋体"/>
                <w:kern w:val="0"/>
                <w:szCs w:val="21"/>
              </w:rPr>
              <w:t>　</w:t>
            </w:r>
          </w:p>
        </w:tc>
        <w:tc>
          <w:tcPr>
            <w:tcW w:w="3228" w:type="dxa"/>
            <w:tcBorders>
              <w:top w:val="nil"/>
              <w:left w:val="nil"/>
              <w:bottom w:val="single" w:color="auto" w:sz="4" w:space="0"/>
              <w:right w:val="single" w:color="auto" w:sz="4" w:space="0"/>
            </w:tcBorders>
            <w:shd w:val="clear" w:color="auto" w:fill="auto"/>
            <w:noWrap/>
            <w:vAlign w:val="center"/>
          </w:tcPr>
          <w:p w14:paraId="38A834DD">
            <w:pPr>
              <w:widowControl/>
              <w:jc w:val="center"/>
              <w:rPr>
                <w:rFonts w:hint="eastAsia" w:ascii="宋体" w:hAnsi="宋体" w:cs="宋体"/>
                <w:kern w:val="0"/>
                <w:szCs w:val="21"/>
              </w:rPr>
            </w:pPr>
            <w:r>
              <w:rPr>
                <w:rFonts w:hint="eastAsia" w:ascii="宋体" w:hAnsi="宋体" w:cs="宋体"/>
                <w:kern w:val="0"/>
                <w:szCs w:val="21"/>
              </w:rPr>
              <w:t>　</w:t>
            </w:r>
          </w:p>
        </w:tc>
      </w:tr>
      <w:tr w14:paraId="59CD5017">
        <w:tblPrEx>
          <w:tblCellMar>
            <w:top w:w="0" w:type="dxa"/>
            <w:left w:w="108" w:type="dxa"/>
            <w:bottom w:w="0" w:type="dxa"/>
            <w:right w:w="108" w:type="dxa"/>
          </w:tblCellMar>
        </w:tblPrEx>
        <w:trPr>
          <w:trHeight w:val="454" w:hRule="atLeast"/>
          <w:jc w:val="center"/>
        </w:trPr>
        <w:tc>
          <w:tcPr>
            <w:tcW w:w="1242" w:type="dxa"/>
            <w:tcBorders>
              <w:top w:val="nil"/>
              <w:left w:val="single" w:color="auto" w:sz="4" w:space="0"/>
              <w:bottom w:val="single" w:color="auto" w:sz="4" w:space="0"/>
              <w:right w:val="single" w:color="auto" w:sz="4" w:space="0"/>
            </w:tcBorders>
            <w:shd w:val="clear" w:color="auto" w:fill="auto"/>
            <w:noWrap/>
            <w:vAlign w:val="center"/>
          </w:tcPr>
          <w:p w14:paraId="15A0C341">
            <w:pPr>
              <w:widowControl/>
              <w:jc w:val="center"/>
              <w:rPr>
                <w:rFonts w:hint="eastAsia" w:ascii="宋体" w:hAnsi="宋体" w:cs="宋体"/>
                <w:kern w:val="0"/>
                <w:szCs w:val="21"/>
              </w:rPr>
            </w:pPr>
          </w:p>
        </w:tc>
        <w:tc>
          <w:tcPr>
            <w:tcW w:w="1360" w:type="dxa"/>
            <w:tcBorders>
              <w:top w:val="nil"/>
              <w:left w:val="nil"/>
              <w:bottom w:val="single" w:color="auto" w:sz="4" w:space="0"/>
              <w:right w:val="single" w:color="auto" w:sz="4" w:space="0"/>
            </w:tcBorders>
            <w:shd w:val="clear" w:color="auto" w:fill="auto"/>
            <w:noWrap/>
            <w:vAlign w:val="center"/>
          </w:tcPr>
          <w:p w14:paraId="536F610A">
            <w:pPr>
              <w:widowControl/>
              <w:jc w:val="center"/>
              <w:rPr>
                <w:rFonts w:hint="eastAsia" w:ascii="宋体" w:hAnsi="宋体" w:cs="宋体"/>
                <w:kern w:val="0"/>
                <w:szCs w:val="21"/>
              </w:rPr>
            </w:pPr>
          </w:p>
        </w:tc>
        <w:tc>
          <w:tcPr>
            <w:tcW w:w="2081" w:type="dxa"/>
            <w:tcBorders>
              <w:top w:val="nil"/>
              <w:left w:val="nil"/>
              <w:bottom w:val="single" w:color="auto" w:sz="4" w:space="0"/>
              <w:right w:val="single" w:color="auto" w:sz="4" w:space="0"/>
            </w:tcBorders>
            <w:shd w:val="clear" w:color="auto" w:fill="auto"/>
            <w:noWrap/>
            <w:vAlign w:val="center"/>
          </w:tcPr>
          <w:p w14:paraId="72EAA0F6">
            <w:pPr>
              <w:snapToGrid w:val="0"/>
              <w:spacing w:line="240" w:lineRule="atLeast"/>
              <w:ind w:left="42" w:leftChars="20" w:right="42" w:rightChars="20"/>
              <w:jc w:val="center"/>
              <w:rPr>
                <w:rFonts w:hint="eastAsia" w:hAnsi="宋体" w:cs="宋体"/>
                <w:szCs w:val="21"/>
              </w:rPr>
            </w:pPr>
            <w:r>
              <w:rPr>
                <w:rFonts w:hint="eastAsia" w:ascii="宋体" w:hAnsi="宋体" w:cs="宋体"/>
                <w:szCs w:val="21"/>
              </w:rPr>
              <w:t>……</w:t>
            </w:r>
          </w:p>
        </w:tc>
        <w:tc>
          <w:tcPr>
            <w:tcW w:w="1269" w:type="dxa"/>
            <w:tcBorders>
              <w:top w:val="nil"/>
              <w:left w:val="nil"/>
              <w:bottom w:val="single" w:color="auto" w:sz="4" w:space="0"/>
              <w:right w:val="single" w:color="auto" w:sz="4" w:space="0"/>
            </w:tcBorders>
            <w:shd w:val="clear" w:color="auto" w:fill="auto"/>
            <w:noWrap/>
            <w:vAlign w:val="center"/>
          </w:tcPr>
          <w:p w14:paraId="2E2DDF86">
            <w:pPr>
              <w:widowControl/>
              <w:jc w:val="center"/>
              <w:rPr>
                <w:rFonts w:hint="eastAsia" w:ascii="宋体" w:hAnsi="宋体" w:cs="宋体"/>
                <w:kern w:val="0"/>
                <w:szCs w:val="21"/>
              </w:rPr>
            </w:pPr>
          </w:p>
        </w:tc>
        <w:tc>
          <w:tcPr>
            <w:tcW w:w="3228" w:type="dxa"/>
            <w:tcBorders>
              <w:top w:val="nil"/>
              <w:left w:val="nil"/>
              <w:bottom w:val="single" w:color="auto" w:sz="4" w:space="0"/>
              <w:right w:val="single" w:color="auto" w:sz="4" w:space="0"/>
            </w:tcBorders>
            <w:shd w:val="clear" w:color="auto" w:fill="auto"/>
            <w:noWrap/>
            <w:vAlign w:val="center"/>
          </w:tcPr>
          <w:p w14:paraId="30E4EFB9">
            <w:pPr>
              <w:widowControl/>
              <w:jc w:val="center"/>
              <w:rPr>
                <w:rFonts w:hint="eastAsia" w:ascii="宋体" w:hAnsi="宋体" w:cs="宋体"/>
                <w:kern w:val="0"/>
                <w:szCs w:val="21"/>
              </w:rPr>
            </w:pPr>
          </w:p>
        </w:tc>
      </w:tr>
      <w:tr w14:paraId="667CF361">
        <w:tblPrEx>
          <w:tblCellMar>
            <w:top w:w="0" w:type="dxa"/>
            <w:left w:w="108" w:type="dxa"/>
            <w:bottom w:w="0" w:type="dxa"/>
            <w:right w:w="108" w:type="dxa"/>
          </w:tblCellMar>
        </w:tblPrEx>
        <w:trPr>
          <w:trHeight w:val="3787" w:hRule="atLeast"/>
          <w:jc w:val="center"/>
        </w:trPr>
        <w:tc>
          <w:tcPr>
            <w:tcW w:w="918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48671ED">
            <w:pPr>
              <w:widowControl/>
              <w:jc w:val="left"/>
              <w:rPr>
                <w:rFonts w:hint="eastAsia" w:ascii="宋体" w:hAnsi="宋体" w:cs="宋体"/>
                <w:b/>
                <w:szCs w:val="21"/>
                <w:u w:val="single"/>
              </w:rPr>
            </w:pPr>
            <w:r>
              <w:rPr>
                <w:rFonts w:hint="eastAsia" w:ascii="宋体" w:hAnsi="宋体" w:cs="宋体"/>
                <w:kern w:val="0"/>
                <w:szCs w:val="21"/>
              </w:rPr>
              <w:t>备注：</w:t>
            </w:r>
            <w:r>
              <w:rPr>
                <w:rFonts w:ascii="宋体" w:hAnsi="宋体" w:cs="宋体"/>
                <w:kern w:val="0"/>
                <w:szCs w:val="21"/>
              </w:rPr>
              <w:br w:type="textWrapping"/>
            </w:r>
            <w:r>
              <w:rPr>
                <w:rFonts w:ascii="宋体" w:hAnsi="宋体" w:cs="宋体"/>
                <w:kern w:val="0"/>
                <w:szCs w:val="21"/>
              </w:rPr>
              <w:t>1、“岗位”要求</w:t>
            </w:r>
            <w:r>
              <w:rPr>
                <w:rFonts w:hint="eastAsia" w:ascii="宋体" w:hAnsi="宋体" w:cs="宋体"/>
                <w:b/>
                <w:bCs/>
                <w:kern w:val="0"/>
                <w:szCs w:val="21"/>
              </w:rPr>
              <w:t>（除项目负责人和专职安全员外）</w:t>
            </w:r>
            <w:r>
              <w:rPr>
                <w:rFonts w:hint="eastAsia" w:ascii="宋体" w:hAnsi="宋体" w:cs="宋体"/>
                <w:kern w:val="0"/>
                <w:szCs w:val="21"/>
              </w:rPr>
              <w:t>由招标人根据项目管理需要在本表备注中明确提出，如：</w:t>
            </w:r>
            <w:r>
              <w:rPr>
                <w:rFonts w:hint="eastAsia" w:ascii="宋体" w:hAnsi="宋体" w:cs="宋体"/>
                <w:szCs w:val="21"/>
              </w:rPr>
              <w:t>技术负责人、质量负责人、造价负责人等</w:t>
            </w:r>
            <w:r>
              <w:rPr>
                <w:rFonts w:hint="eastAsia" w:ascii="宋体" w:hAnsi="宋体" w:cs="宋体"/>
                <w:kern w:val="0"/>
                <w:szCs w:val="21"/>
              </w:rPr>
              <w:t>。</w:t>
            </w:r>
            <w:r>
              <w:rPr>
                <w:rFonts w:hint="eastAsia" w:ascii="宋体" w:hAnsi="宋体" w:cs="宋体"/>
                <w:b/>
                <w:szCs w:val="21"/>
                <w:u w:val="single"/>
              </w:rPr>
              <w:t>投标人在投标登记时，应按《施工项目管理团队人员信息表》人员要求在交易系统中填写，表中的项目管理团队人员信息作为投标文件的一部分，将由交易系统提取后供各相关单位在中标人履约时进行比对、查核。</w:t>
            </w:r>
          </w:p>
          <w:p w14:paraId="24CD5655">
            <w:pPr>
              <w:widowControl/>
              <w:jc w:val="left"/>
              <w:rPr>
                <w:rFonts w:hint="eastAsia" w:ascii="宋体" w:hAnsi="宋体" w:cs="宋体"/>
                <w:kern w:val="0"/>
                <w:szCs w:val="21"/>
              </w:rPr>
            </w:pPr>
            <w:r>
              <w:rPr>
                <w:rFonts w:ascii="宋体" w:hAnsi="宋体" w:cs="宋体"/>
                <w:kern w:val="0"/>
                <w:szCs w:val="21"/>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7475CE6C">
            <w:pPr>
              <w:widowControl/>
              <w:jc w:val="left"/>
              <w:rPr>
                <w:rFonts w:hint="eastAsia" w:ascii="宋体" w:hAnsi="宋体" w:cs="宋体"/>
                <w:kern w:val="0"/>
                <w:szCs w:val="21"/>
              </w:rPr>
            </w:pPr>
            <w:r>
              <w:rPr>
                <w:rFonts w:ascii="宋体" w:hAnsi="宋体" w:cs="宋体"/>
                <w:kern w:val="0"/>
                <w:szCs w:val="21"/>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6291AAAD">
      <w:pPr>
        <w:pStyle w:val="167"/>
        <w:spacing w:line="240" w:lineRule="auto"/>
        <w:ind w:firstLine="496"/>
        <w:rPr>
          <w:rFonts w:hint="eastAsia"/>
        </w:rPr>
      </w:pPr>
      <w:r>
        <w:rPr>
          <w:rFonts w:hint="eastAsia"/>
        </w:rPr>
        <w:t>注：附相关的证明材料。</w:t>
      </w:r>
    </w:p>
    <w:p w14:paraId="094D91E8">
      <w:pPr>
        <w:topLinePunct/>
        <w:adjustRightInd w:val="0"/>
        <w:snapToGrid w:val="0"/>
        <w:rPr>
          <w:rFonts w:hint="eastAsia" w:ascii="宋体" w:hAnsi="宋体" w:cs="宋体"/>
          <w:spacing w:val="4"/>
          <w:kern w:val="0"/>
          <w:szCs w:val="21"/>
        </w:rPr>
      </w:pPr>
    </w:p>
    <w:p w14:paraId="7FE329B3">
      <w:pPr>
        <w:topLinePunct/>
        <w:adjustRightInd w:val="0"/>
        <w:snapToGrid w:val="0"/>
        <w:spacing w:line="276" w:lineRule="auto"/>
        <w:ind w:firstLine="3306" w:firstLineChars="1450"/>
        <w:jc w:val="left"/>
        <w:rPr>
          <w:rFonts w:hint="eastAsia" w:ascii="宋体" w:hAnsi="宋体" w:cs="宋体"/>
          <w:spacing w:val="4"/>
          <w:kern w:val="0"/>
          <w:sz w:val="22"/>
        </w:rPr>
      </w:pPr>
      <w:r>
        <w:rPr>
          <w:rFonts w:hint="eastAsia" w:ascii="宋体" w:hAnsi="宋体" w:cs="宋体"/>
          <w:spacing w:val="4"/>
          <w:kern w:val="0"/>
          <w:sz w:val="22"/>
        </w:rPr>
        <w:t>投标人：　　（盖章）</w:t>
      </w:r>
    </w:p>
    <w:p w14:paraId="48C3AF9D">
      <w:pPr>
        <w:topLinePunct/>
        <w:adjustRightInd w:val="0"/>
        <w:snapToGrid w:val="0"/>
        <w:spacing w:line="276" w:lineRule="auto"/>
        <w:ind w:firstLine="3306" w:firstLineChars="1450"/>
        <w:jc w:val="left"/>
        <w:rPr>
          <w:rFonts w:hint="eastAsia" w:ascii="宋体" w:hAnsi="宋体" w:cs="宋体"/>
          <w:spacing w:val="4"/>
          <w:kern w:val="0"/>
          <w:sz w:val="22"/>
        </w:rPr>
      </w:pPr>
      <w:r>
        <w:rPr>
          <w:rFonts w:hint="eastAsia" w:ascii="宋体" w:hAnsi="宋体" w:cs="宋体"/>
          <w:spacing w:val="4"/>
          <w:kern w:val="0"/>
          <w:sz w:val="22"/>
        </w:rPr>
        <w:t>法定代表人或授权代理人(签字或盖章)：</w:t>
      </w:r>
    </w:p>
    <w:p w14:paraId="1634EFFB">
      <w:pPr>
        <w:autoSpaceDE w:val="0"/>
        <w:autoSpaceDN w:val="0"/>
        <w:adjustRightInd w:val="0"/>
        <w:spacing w:line="276" w:lineRule="auto"/>
        <w:ind w:firstLine="3306" w:firstLineChars="1450"/>
        <w:jc w:val="left"/>
        <w:rPr>
          <w:rFonts w:hint="eastAsia" w:ascii="宋体" w:hAnsi="宋体" w:cs="宋体"/>
          <w:spacing w:val="4"/>
          <w:kern w:val="0"/>
          <w:sz w:val="22"/>
        </w:rPr>
      </w:pPr>
      <w:r>
        <w:rPr>
          <w:rFonts w:hint="eastAsia" w:ascii="宋体" w:hAnsi="宋体" w:cs="宋体"/>
          <w:spacing w:val="4"/>
          <w:kern w:val="0"/>
          <w:sz w:val="22"/>
        </w:rPr>
        <w:t>日   期：    年    月    日</w:t>
      </w:r>
    </w:p>
    <w:p w14:paraId="07E730C7">
      <w:pPr>
        <w:pStyle w:val="30"/>
        <w:rPr>
          <w:rFonts w:hint="eastAsia" w:hAnsi="宋体" w:cs="宋体"/>
          <w:spacing w:val="4"/>
          <w:kern w:val="0"/>
          <w:sz w:val="22"/>
        </w:rPr>
      </w:pPr>
    </w:p>
    <w:p w14:paraId="4B46E56F">
      <w:bookmarkStart w:id="154" w:name="_Toc5783"/>
      <w:bookmarkStart w:id="155" w:name="_Toc2584"/>
      <w:bookmarkStart w:id="156" w:name="_Toc12358"/>
      <w:bookmarkStart w:id="157" w:name="_Toc100130496"/>
      <w:bookmarkStart w:id="158" w:name="_Toc9866"/>
      <w:bookmarkStart w:id="159" w:name="_Toc26001"/>
      <w:bookmarkStart w:id="160" w:name="_Toc60070626"/>
      <w:bookmarkStart w:id="161" w:name="_Toc4657"/>
      <w:r>
        <w:rPr>
          <w:rFonts w:hint="eastAsia"/>
        </w:rPr>
        <w:br w:type="page"/>
      </w:r>
    </w:p>
    <w:p w14:paraId="79DCB46E">
      <w:pPr>
        <w:pStyle w:val="5"/>
        <w:rPr>
          <w:rFonts w:hint="eastAsia"/>
        </w:rPr>
      </w:pPr>
      <w:r>
        <w:rPr>
          <w:rFonts w:hint="eastAsia"/>
        </w:rPr>
        <w:t>格式六：</w:t>
      </w:r>
      <w:bookmarkEnd w:id="154"/>
      <w:bookmarkEnd w:id="155"/>
      <w:bookmarkEnd w:id="156"/>
      <w:bookmarkEnd w:id="157"/>
      <w:bookmarkEnd w:id="158"/>
      <w:bookmarkEnd w:id="159"/>
      <w:bookmarkEnd w:id="160"/>
      <w:bookmarkEnd w:id="161"/>
    </w:p>
    <w:p w14:paraId="2302C963">
      <w:pPr>
        <w:jc w:val="center"/>
        <w:rPr>
          <w:rFonts w:hint="eastAsia" w:ascii="宋体" w:hAnsi="宋体" w:cs="宋体"/>
          <w:b/>
          <w:sz w:val="36"/>
          <w:szCs w:val="36"/>
        </w:rPr>
      </w:pPr>
      <w:r>
        <w:rPr>
          <w:rFonts w:hint="eastAsia" w:ascii="宋体" w:hAnsi="宋体" w:cs="宋体"/>
          <w:b/>
          <w:sz w:val="36"/>
          <w:szCs w:val="36"/>
        </w:rPr>
        <w:t>企业业绩信息表</w:t>
      </w:r>
    </w:p>
    <w:tbl>
      <w:tblPr>
        <w:tblStyle w:val="53"/>
        <w:tblW w:w="49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7"/>
        <w:gridCol w:w="2487"/>
        <w:gridCol w:w="2491"/>
        <w:gridCol w:w="2409"/>
      </w:tblGrid>
      <w:tr w14:paraId="7761B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259" w:type="pct"/>
            <w:vMerge w:val="restart"/>
            <w:vAlign w:val="center"/>
          </w:tcPr>
          <w:p w14:paraId="3CF4A452">
            <w:pPr>
              <w:pStyle w:val="30"/>
              <w:jc w:val="center"/>
            </w:pPr>
            <w:r>
              <w:rPr>
                <w:rFonts w:hint="eastAsia" w:hAnsi="宋体" w:cs="宋体"/>
                <w:bCs/>
                <w:sz w:val="24"/>
                <w:szCs w:val="24"/>
                <w:lang w:val="zh-CN"/>
              </w:rPr>
              <w:t>类似工程业绩</w:t>
            </w:r>
          </w:p>
        </w:tc>
        <w:tc>
          <w:tcPr>
            <w:tcW w:w="1259" w:type="pct"/>
            <w:vAlign w:val="center"/>
          </w:tcPr>
          <w:p w14:paraId="1050B0F6">
            <w:pPr>
              <w:autoSpaceDE w:val="0"/>
              <w:autoSpaceDN w:val="0"/>
              <w:adjustRightInd w:val="0"/>
              <w:jc w:val="center"/>
              <w:rPr>
                <w:rFonts w:hint="eastAsia" w:ascii="宋体" w:hAnsi="宋体"/>
                <w:sz w:val="24"/>
                <w:szCs w:val="24"/>
              </w:rPr>
            </w:pPr>
            <w:r>
              <w:rPr>
                <w:rFonts w:hint="eastAsia" w:ascii="宋体" w:hAnsi="宋体"/>
                <w:sz w:val="24"/>
                <w:szCs w:val="24"/>
              </w:rPr>
              <w:t>工程名称</w:t>
            </w:r>
          </w:p>
        </w:tc>
        <w:tc>
          <w:tcPr>
            <w:tcW w:w="1261" w:type="pct"/>
            <w:vAlign w:val="center"/>
          </w:tcPr>
          <w:p w14:paraId="02A198AD">
            <w:pPr>
              <w:autoSpaceDE w:val="0"/>
              <w:autoSpaceDN w:val="0"/>
              <w:adjustRightInd w:val="0"/>
              <w:jc w:val="center"/>
              <w:rPr>
                <w:rFonts w:hint="eastAsia" w:ascii="宋体" w:hAnsi="宋体" w:cs="宋体"/>
                <w:bCs/>
                <w:sz w:val="24"/>
                <w:szCs w:val="24"/>
                <w:lang w:val="zh-CN"/>
              </w:rPr>
            </w:pPr>
            <w:r>
              <w:rPr>
                <w:rFonts w:hint="eastAsia" w:ascii="宋体" w:hAnsi="宋体" w:cs="宋体"/>
                <w:bCs/>
                <w:sz w:val="24"/>
                <w:szCs w:val="24"/>
                <w:lang w:val="zh-CN"/>
              </w:rPr>
              <w:t xml:space="preserve"> 金额</w:t>
            </w:r>
          </w:p>
        </w:tc>
        <w:tc>
          <w:tcPr>
            <w:tcW w:w="1219" w:type="pct"/>
            <w:vAlign w:val="center"/>
          </w:tcPr>
          <w:p w14:paraId="0C6AC705">
            <w:pPr>
              <w:autoSpaceDE w:val="0"/>
              <w:autoSpaceDN w:val="0"/>
              <w:adjustRightInd w:val="0"/>
              <w:jc w:val="center"/>
              <w:rPr>
                <w:rFonts w:hint="eastAsia" w:ascii="宋体" w:hAnsi="宋体" w:cs="宋体"/>
                <w:bCs/>
                <w:sz w:val="24"/>
                <w:szCs w:val="24"/>
                <w:lang w:val="zh-CN"/>
              </w:rPr>
            </w:pPr>
            <w:r>
              <w:rPr>
                <w:rFonts w:hint="eastAsia" w:ascii="宋体" w:hAnsi="宋体" w:cs="宋体"/>
                <w:bCs/>
                <w:sz w:val="24"/>
                <w:szCs w:val="24"/>
                <w:lang w:val="zh-CN"/>
              </w:rPr>
              <w:t>项目编号</w:t>
            </w:r>
          </w:p>
        </w:tc>
      </w:tr>
      <w:tr w14:paraId="3BCF7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259" w:type="pct"/>
            <w:vMerge w:val="continue"/>
            <w:vAlign w:val="center"/>
          </w:tcPr>
          <w:p w14:paraId="7AD1374A">
            <w:pPr>
              <w:pStyle w:val="30"/>
              <w:jc w:val="center"/>
            </w:pPr>
          </w:p>
        </w:tc>
        <w:tc>
          <w:tcPr>
            <w:tcW w:w="1259" w:type="pct"/>
            <w:vAlign w:val="center"/>
          </w:tcPr>
          <w:p w14:paraId="47430ABE">
            <w:pPr>
              <w:autoSpaceDE w:val="0"/>
              <w:autoSpaceDN w:val="0"/>
              <w:adjustRightInd w:val="0"/>
              <w:jc w:val="center"/>
              <w:rPr>
                <w:rFonts w:hint="eastAsia" w:ascii="宋体" w:hAnsi="宋体" w:cs="宋体"/>
                <w:bCs/>
                <w:sz w:val="24"/>
                <w:szCs w:val="24"/>
                <w:lang w:val="zh-CN"/>
              </w:rPr>
            </w:pPr>
          </w:p>
        </w:tc>
        <w:tc>
          <w:tcPr>
            <w:tcW w:w="1261" w:type="pct"/>
            <w:vAlign w:val="center"/>
          </w:tcPr>
          <w:p w14:paraId="71FFF469">
            <w:pPr>
              <w:autoSpaceDE w:val="0"/>
              <w:autoSpaceDN w:val="0"/>
              <w:adjustRightInd w:val="0"/>
              <w:jc w:val="center"/>
              <w:rPr>
                <w:rFonts w:hint="eastAsia" w:ascii="宋体" w:hAnsi="宋体" w:cs="宋体"/>
                <w:bCs/>
                <w:sz w:val="24"/>
                <w:szCs w:val="24"/>
                <w:lang w:val="zh-CN"/>
              </w:rPr>
            </w:pPr>
          </w:p>
        </w:tc>
        <w:tc>
          <w:tcPr>
            <w:tcW w:w="1219" w:type="pct"/>
            <w:vAlign w:val="center"/>
          </w:tcPr>
          <w:p w14:paraId="035054BD">
            <w:pPr>
              <w:autoSpaceDE w:val="0"/>
              <w:autoSpaceDN w:val="0"/>
              <w:adjustRightInd w:val="0"/>
              <w:jc w:val="center"/>
              <w:rPr>
                <w:rFonts w:hint="eastAsia" w:ascii="宋体" w:hAnsi="宋体" w:cs="宋体"/>
                <w:bCs/>
                <w:sz w:val="24"/>
                <w:szCs w:val="24"/>
                <w:lang w:val="zh-CN"/>
              </w:rPr>
            </w:pPr>
          </w:p>
        </w:tc>
      </w:tr>
      <w:tr w14:paraId="36259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259" w:type="pct"/>
            <w:vMerge w:val="continue"/>
            <w:vAlign w:val="center"/>
          </w:tcPr>
          <w:p w14:paraId="21D6CAB4">
            <w:pPr>
              <w:pStyle w:val="30"/>
              <w:jc w:val="center"/>
            </w:pPr>
          </w:p>
        </w:tc>
        <w:tc>
          <w:tcPr>
            <w:tcW w:w="1259" w:type="pct"/>
            <w:vAlign w:val="center"/>
          </w:tcPr>
          <w:p w14:paraId="482B2CEA">
            <w:pPr>
              <w:autoSpaceDE w:val="0"/>
              <w:autoSpaceDN w:val="0"/>
              <w:adjustRightInd w:val="0"/>
              <w:jc w:val="center"/>
              <w:rPr>
                <w:rFonts w:hint="eastAsia" w:ascii="宋体" w:hAnsi="宋体" w:cs="宋体"/>
                <w:bCs/>
                <w:sz w:val="24"/>
                <w:szCs w:val="24"/>
                <w:lang w:val="zh-CN"/>
              </w:rPr>
            </w:pPr>
          </w:p>
        </w:tc>
        <w:tc>
          <w:tcPr>
            <w:tcW w:w="1261" w:type="pct"/>
            <w:vAlign w:val="center"/>
          </w:tcPr>
          <w:p w14:paraId="3B66D876">
            <w:pPr>
              <w:autoSpaceDE w:val="0"/>
              <w:autoSpaceDN w:val="0"/>
              <w:adjustRightInd w:val="0"/>
              <w:jc w:val="center"/>
              <w:rPr>
                <w:rFonts w:hint="eastAsia" w:ascii="宋体" w:hAnsi="宋体" w:cs="宋体"/>
                <w:bCs/>
                <w:sz w:val="24"/>
                <w:szCs w:val="24"/>
                <w:lang w:val="zh-CN"/>
              </w:rPr>
            </w:pPr>
          </w:p>
        </w:tc>
        <w:tc>
          <w:tcPr>
            <w:tcW w:w="1219" w:type="pct"/>
            <w:vAlign w:val="center"/>
          </w:tcPr>
          <w:p w14:paraId="738AFD55">
            <w:pPr>
              <w:autoSpaceDE w:val="0"/>
              <w:autoSpaceDN w:val="0"/>
              <w:adjustRightInd w:val="0"/>
              <w:jc w:val="center"/>
              <w:rPr>
                <w:rFonts w:hint="eastAsia" w:ascii="宋体" w:hAnsi="宋体" w:cs="宋体"/>
                <w:bCs/>
                <w:sz w:val="24"/>
                <w:szCs w:val="24"/>
                <w:lang w:val="zh-CN"/>
              </w:rPr>
            </w:pPr>
          </w:p>
        </w:tc>
      </w:tr>
      <w:tr w14:paraId="62FD3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259" w:type="pct"/>
            <w:vMerge w:val="restart"/>
            <w:vAlign w:val="center"/>
          </w:tcPr>
          <w:p w14:paraId="5B281EFB">
            <w:pPr>
              <w:pStyle w:val="30"/>
              <w:jc w:val="center"/>
            </w:pPr>
            <w:r>
              <w:rPr>
                <w:rFonts w:hint="eastAsia" w:hAnsi="宋体" w:cs="宋体"/>
                <w:bCs/>
                <w:sz w:val="24"/>
                <w:szCs w:val="24"/>
                <w:lang w:val="zh-CN"/>
              </w:rPr>
              <w:t>获奖情况</w:t>
            </w:r>
          </w:p>
        </w:tc>
        <w:tc>
          <w:tcPr>
            <w:tcW w:w="1259" w:type="pct"/>
            <w:vAlign w:val="center"/>
          </w:tcPr>
          <w:p w14:paraId="2D396DE2">
            <w:pPr>
              <w:autoSpaceDE w:val="0"/>
              <w:autoSpaceDN w:val="0"/>
              <w:adjustRightInd w:val="0"/>
              <w:jc w:val="center"/>
              <w:rPr>
                <w:rFonts w:hint="eastAsia" w:ascii="宋体" w:hAnsi="宋体"/>
                <w:sz w:val="24"/>
                <w:szCs w:val="24"/>
              </w:rPr>
            </w:pPr>
            <w:r>
              <w:rPr>
                <w:rFonts w:hint="eastAsia" w:ascii="宋体" w:hAnsi="宋体"/>
                <w:sz w:val="24"/>
                <w:szCs w:val="24"/>
              </w:rPr>
              <w:t>工程名称</w:t>
            </w:r>
          </w:p>
        </w:tc>
        <w:tc>
          <w:tcPr>
            <w:tcW w:w="1261" w:type="pct"/>
            <w:vAlign w:val="center"/>
          </w:tcPr>
          <w:p w14:paraId="0F3943C2">
            <w:pPr>
              <w:autoSpaceDE w:val="0"/>
              <w:autoSpaceDN w:val="0"/>
              <w:adjustRightInd w:val="0"/>
              <w:jc w:val="center"/>
              <w:rPr>
                <w:rFonts w:hint="eastAsia" w:ascii="宋体" w:hAnsi="宋体" w:cs="宋体"/>
                <w:bCs/>
                <w:sz w:val="24"/>
                <w:szCs w:val="24"/>
                <w:lang w:val="zh-CN"/>
              </w:rPr>
            </w:pPr>
            <w:r>
              <w:rPr>
                <w:rFonts w:hint="eastAsia" w:ascii="宋体" w:hAnsi="宋体" w:cs="宋体"/>
                <w:bCs/>
                <w:sz w:val="24"/>
                <w:szCs w:val="24"/>
                <w:lang w:val="zh-CN"/>
              </w:rPr>
              <w:t>所获奖项</w:t>
            </w:r>
          </w:p>
        </w:tc>
        <w:tc>
          <w:tcPr>
            <w:tcW w:w="1219" w:type="pct"/>
            <w:vAlign w:val="center"/>
          </w:tcPr>
          <w:p w14:paraId="22E915FC">
            <w:pPr>
              <w:autoSpaceDE w:val="0"/>
              <w:autoSpaceDN w:val="0"/>
              <w:adjustRightInd w:val="0"/>
              <w:jc w:val="center"/>
              <w:rPr>
                <w:rFonts w:hint="eastAsia" w:ascii="宋体" w:hAnsi="宋体" w:cs="宋体"/>
                <w:bCs/>
                <w:sz w:val="24"/>
                <w:szCs w:val="24"/>
                <w:lang w:val="zh-CN"/>
              </w:rPr>
            </w:pPr>
            <w:r>
              <w:rPr>
                <w:rFonts w:hint="eastAsia" w:ascii="宋体" w:hAnsi="宋体" w:cs="宋体"/>
                <w:bCs/>
                <w:sz w:val="24"/>
                <w:szCs w:val="24"/>
                <w:lang w:val="zh-CN"/>
              </w:rPr>
              <w:t>项目编号</w:t>
            </w:r>
          </w:p>
        </w:tc>
      </w:tr>
      <w:tr w14:paraId="40574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259" w:type="pct"/>
            <w:vMerge w:val="continue"/>
          </w:tcPr>
          <w:p w14:paraId="27B3F49F">
            <w:pPr>
              <w:pStyle w:val="30"/>
            </w:pPr>
          </w:p>
        </w:tc>
        <w:tc>
          <w:tcPr>
            <w:tcW w:w="1259" w:type="pct"/>
          </w:tcPr>
          <w:p w14:paraId="3DBC4982">
            <w:pPr>
              <w:pStyle w:val="30"/>
            </w:pPr>
          </w:p>
        </w:tc>
        <w:tc>
          <w:tcPr>
            <w:tcW w:w="1261" w:type="pct"/>
          </w:tcPr>
          <w:p w14:paraId="7B5CE095">
            <w:pPr>
              <w:pStyle w:val="30"/>
            </w:pPr>
          </w:p>
        </w:tc>
        <w:tc>
          <w:tcPr>
            <w:tcW w:w="1219" w:type="pct"/>
          </w:tcPr>
          <w:p w14:paraId="3520A499">
            <w:pPr>
              <w:pStyle w:val="30"/>
            </w:pPr>
          </w:p>
        </w:tc>
      </w:tr>
      <w:tr w14:paraId="1A59C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1259" w:type="pct"/>
            <w:vMerge w:val="continue"/>
          </w:tcPr>
          <w:p w14:paraId="704FE771">
            <w:pPr>
              <w:pStyle w:val="30"/>
            </w:pPr>
          </w:p>
        </w:tc>
        <w:tc>
          <w:tcPr>
            <w:tcW w:w="1259" w:type="pct"/>
          </w:tcPr>
          <w:p w14:paraId="446EC892">
            <w:pPr>
              <w:pStyle w:val="30"/>
            </w:pPr>
          </w:p>
        </w:tc>
        <w:tc>
          <w:tcPr>
            <w:tcW w:w="1261" w:type="pct"/>
          </w:tcPr>
          <w:p w14:paraId="69115FE1">
            <w:pPr>
              <w:pStyle w:val="30"/>
            </w:pPr>
          </w:p>
        </w:tc>
        <w:tc>
          <w:tcPr>
            <w:tcW w:w="1219" w:type="pct"/>
          </w:tcPr>
          <w:p w14:paraId="5A982895">
            <w:pPr>
              <w:pStyle w:val="30"/>
            </w:pPr>
          </w:p>
        </w:tc>
      </w:tr>
    </w:tbl>
    <w:p w14:paraId="004A69E3">
      <w:pPr>
        <w:pStyle w:val="30"/>
      </w:pPr>
    </w:p>
    <w:p w14:paraId="41CCE8A1"/>
    <w:p w14:paraId="6D05470C">
      <w:pPr>
        <w:pStyle w:val="50"/>
        <w:ind w:firstLine="0"/>
        <w:jc w:val="left"/>
        <w:rPr>
          <w:rFonts w:hint="eastAsia" w:ascii="宋体" w:hAnsi="宋体" w:eastAsia="宋体" w:cs="宋体"/>
          <w:bCs/>
          <w:sz w:val="22"/>
        </w:rPr>
      </w:pPr>
      <w:r>
        <w:rPr>
          <w:rFonts w:hint="eastAsia" w:ascii="宋体" w:hAnsi="宋体" w:eastAsia="宋体" w:cs="宋体"/>
          <w:bCs/>
          <w:sz w:val="22"/>
        </w:rPr>
        <w:t>备注:如投标人具有多项业绩的，表格可根据投标人的需要进行扩展，投标人应准确填写有关信息。</w:t>
      </w:r>
    </w:p>
    <w:p w14:paraId="7E83886C">
      <w:pPr>
        <w:spacing w:line="26" w:lineRule="atLeast"/>
        <w:jc w:val="center"/>
        <w:rPr>
          <w:rFonts w:hint="eastAsia" w:hAnsi="宋体" w:cs="宋体"/>
          <w:b/>
          <w:bCs/>
          <w:kern w:val="0"/>
          <w:sz w:val="30"/>
          <w:szCs w:val="30"/>
          <w:lang w:val="zh-CN"/>
        </w:rPr>
      </w:pPr>
      <w:r>
        <w:rPr>
          <w:rFonts w:hint="eastAsia" w:hAnsi="宋体" w:cs="宋体"/>
          <w:b/>
          <w:bCs/>
          <w:kern w:val="0"/>
          <w:sz w:val="30"/>
          <w:szCs w:val="30"/>
          <w:lang w:val="zh-CN"/>
        </w:rPr>
        <w:br w:type="page"/>
      </w:r>
    </w:p>
    <w:p w14:paraId="17159B30">
      <w:pPr>
        <w:pStyle w:val="4"/>
        <w:rPr>
          <w:bCs/>
          <w:color w:val="auto"/>
        </w:rPr>
      </w:pPr>
      <w:bookmarkStart w:id="162" w:name="_Toc100130497"/>
      <w:bookmarkStart w:id="163" w:name="_Toc7040"/>
      <w:bookmarkStart w:id="164" w:name="_Toc26632"/>
      <w:bookmarkStart w:id="165" w:name="_Toc24462"/>
      <w:bookmarkStart w:id="166" w:name="_Toc22772"/>
      <w:bookmarkStart w:id="167" w:name="_Toc58838604"/>
      <w:bookmarkStart w:id="168" w:name="_Toc31485"/>
      <w:bookmarkStart w:id="169" w:name="_Toc19040"/>
      <w:r>
        <w:rPr>
          <w:rFonts w:hint="eastAsia"/>
          <w:color w:val="auto"/>
        </w:rPr>
        <w:t>二、经济标投标文件格式</w:t>
      </w:r>
      <w:bookmarkEnd w:id="162"/>
      <w:bookmarkEnd w:id="163"/>
      <w:bookmarkEnd w:id="164"/>
      <w:bookmarkEnd w:id="165"/>
      <w:bookmarkEnd w:id="166"/>
      <w:bookmarkEnd w:id="167"/>
      <w:bookmarkEnd w:id="168"/>
      <w:bookmarkEnd w:id="169"/>
    </w:p>
    <w:p w14:paraId="32EF2EF8">
      <w:pPr>
        <w:pStyle w:val="5"/>
        <w:rPr>
          <w:rFonts w:hint="eastAsia"/>
          <w:lang w:val="zh-CN"/>
        </w:rPr>
      </w:pPr>
      <w:bookmarkStart w:id="170" w:name="_Toc6493862"/>
      <w:bookmarkStart w:id="171" w:name="_Toc58838605"/>
      <w:bookmarkStart w:id="172" w:name="_Toc9057"/>
      <w:bookmarkStart w:id="173" w:name="_Toc100130498"/>
      <w:bookmarkStart w:id="174" w:name="_Toc3419"/>
      <w:bookmarkStart w:id="175" w:name="_Toc1203"/>
      <w:bookmarkStart w:id="176" w:name="_Toc60070633"/>
      <w:bookmarkStart w:id="177" w:name="_Toc12749"/>
      <w:bookmarkStart w:id="178" w:name="_Toc17200"/>
      <w:bookmarkStart w:id="179" w:name="_Toc31077"/>
      <w:r>
        <w:rPr>
          <w:rFonts w:hint="eastAsia"/>
        </w:rPr>
        <w:t>格式</w:t>
      </w:r>
      <w:bookmarkEnd w:id="170"/>
      <w:bookmarkEnd w:id="171"/>
      <w:r>
        <w:rPr>
          <w:rFonts w:hint="eastAsia"/>
        </w:rPr>
        <w:t>九：</w:t>
      </w:r>
      <w:bookmarkEnd w:id="172"/>
      <w:bookmarkEnd w:id="173"/>
      <w:bookmarkEnd w:id="174"/>
      <w:bookmarkEnd w:id="175"/>
      <w:bookmarkEnd w:id="176"/>
      <w:bookmarkEnd w:id="177"/>
      <w:bookmarkEnd w:id="178"/>
      <w:bookmarkEnd w:id="179"/>
    </w:p>
    <w:p w14:paraId="1CE9B238">
      <w:pPr>
        <w:jc w:val="center"/>
        <w:rPr>
          <w:rFonts w:hint="eastAsia" w:ascii="宋体" w:hAnsi="宋体"/>
          <w:b/>
          <w:sz w:val="36"/>
          <w:szCs w:val="36"/>
        </w:rPr>
      </w:pPr>
      <w:bookmarkStart w:id="180" w:name="_Toc58838606"/>
      <w:r>
        <w:rPr>
          <w:rFonts w:hint="eastAsia" w:ascii="宋体" w:hAnsi="宋体"/>
          <w:b/>
          <w:sz w:val="36"/>
          <w:szCs w:val="36"/>
        </w:rPr>
        <w:t>广州建设工程施工招标投标书（经济标）</w:t>
      </w:r>
      <w:bookmarkEnd w:id="180"/>
    </w:p>
    <w:tbl>
      <w:tblPr>
        <w:tblStyle w:val="52"/>
        <w:tblpPr w:leftFromText="181" w:rightFromText="181" w:vertAnchor="text" w:horzAnchor="margin" w:tblpXSpec="center" w:tblpY="273"/>
        <w:tblOverlap w:val="never"/>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2"/>
        <w:gridCol w:w="5127"/>
      </w:tblGrid>
      <w:tr w14:paraId="20495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252" w:type="dxa"/>
            <w:tcBorders>
              <w:top w:val="single" w:color="auto" w:sz="4" w:space="0"/>
              <w:left w:val="single" w:color="auto" w:sz="4" w:space="0"/>
              <w:bottom w:val="single" w:color="auto" w:sz="4" w:space="0"/>
              <w:right w:val="single" w:color="auto" w:sz="4" w:space="0"/>
            </w:tcBorders>
            <w:vAlign w:val="center"/>
          </w:tcPr>
          <w:p w14:paraId="4C66C4D1">
            <w:pPr>
              <w:autoSpaceDE w:val="0"/>
              <w:autoSpaceDN w:val="0"/>
              <w:adjustRightInd w:val="0"/>
              <w:jc w:val="center"/>
              <w:rPr>
                <w:rFonts w:hint="eastAsia" w:ascii="宋体" w:hAnsi="宋体" w:cs="宋体"/>
                <w:bCs/>
                <w:sz w:val="24"/>
                <w:szCs w:val="24"/>
                <w:lang w:val="zh-CN"/>
              </w:rPr>
            </w:pPr>
            <w:r>
              <w:rPr>
                <w:rFonts w:hint="eastAsia" w:ascii="宋体" w:hAnsi="宋体" w:cs="宋体"/>
                <w:sz w:val="24"/>
                <w:szCs w:val="24"/>
                <w:lang w:val="zh-CN"/>
              </w:rPr>
              <w:t>工程名称</w:t>
            </w:r>
          </w:p>
        </w:tc>
        <w:tc>
          <w:tcPr>
            <w:tcW w:w="5127" w:type="dxa"/>
            <w:tcBorders>
              <w:top w:val="single" w:color="auto" w:sz="4" w:space="0"/>
              <w:left w:val="single" w:color="auto" w:sz="4" w:space="0"/>
              <w:bottom w:val="single" w:color="auto" w:sz="4" w:space="0"/>
              <w:right w:val="single" w:color="auto" w:sz="4" w:space="0"/>
            </w:tcBorders>
          </w:tcPr>
          <w:p w14:paraId="1D9961CA">
            <w:pPr>
              <w:autoSpaceDE w:val="0"/>
              <w:autoSpaceDN w:val="0"/>
              <w:adjustRightInd w:val="0"/>
              <w:rPr>
                <w:rFonts w:hint="eastAsia" w:ascii="宋体" w:hAnsi="宋体" w:cs="宋体"/>
                <w:bCs/>
                <w:sz w:val="24"/>
                <w:szCs w:val="24"/>
                <w:lang w:val="zh-CN"/>
              </w:rPr>
            </w:pPr>
          </w:p>
        </w:tc>
      </w:tr>
      <w:tr w14:paraId="6D8A1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252" w:type="dxa"/>
            <w:vMerge w:val="restart"/>
            <w:tcBorders>
              <w:top w:val="single" w:color="auto" w:sz="4" w:space="0"/>
              <w:left w:val="single" w:color="auto" w:sz="4" w:space="0"/>
              <w:bottom w:val="single" w:color="auto" w:sz="4" w:space="0"/>
              <w:right w:val="single" w:color="auto" w:sz="4" w:space="0"/>
            </w:tcBorders>
            <w:vAlign w:val="center"/>
          </w:tcPr>
          <w:p w14:paraId="379D9CD0">
            <w:pPr>
              <w:autoSpaceDE w:val="0"/>
              <w:autoSpaceDN w:val="0"/>
              <w:adjustRightInd w:val="0"/>
              <w:jc w:val="center"/>
              <w:rPr>
                <w:rFonts w:hint="eastAsia" w:ascii="宋体" w:hAnsi="宋体" w:cs="宋体"/>
                <w:bCs/>
                <w:sz w:val="24"/>
                <w:szCs w:val="24"/>
                <w:lang w:val="zh-CN"/>
              </w:rPr>
            </w:pPr>
            <w:r>
              <w:rPr>
                <w:rFonts w:hint="eastAsia" w:ascii="宋体" w:hAnsi="宋体" w:cs="宋体"/>
                <w:sz w:val="24"/>
                <w:szCs w:val="24"/>
                <w:lang w:val="zh-CN"/>
              </w:rPr>
              <w:t>投标总报价（元）</w:t>
            </w:r>
          </w:p>
        </w:tc>
        <w:tc>
          <w:tcPr>
            <w:tcW w:w="5127" w:type="dxa"/>
            <w:tcBorders>
              <w:top w:val="single" w:color="auto" w:sz="4" w:space="0"/>
              <w:left w:val="single" w:color="auto" w:sz="4" w:space="0"/>
              <w:bottom w:val="single" w:color="auto" w:sz="4" w:space="0"/>
              <w:right w:val="single" w:color="auto" w:sz="4" w:space="0"/>
            </w:tcBorders>
            <w:vAlign w:val="center"/>
          </w:tcPr>
          <w:p w14:paraId="3495AFE7">
            <w:pPr>
              <w:autoSpaceDE w:val="0"/>
              <w:autoSpaceDN w:val="0"/>
              <w:adjustRightInd w:val="0"/>
              <w:rPr>
                <w:rFonts w:hint="eastAsia" w:ascii="宋体" w:hAnsi="宋体" w:cs="宋体"/>
                <w:bCs/>
                <w:sz w:val="24"/>
                <w:szCs w:val="24"/>
                <w:lang w:val="zh-CN"/>
              </w:rPr>
            </w:pPr>
            <w:r>
              <w:rPr>
                <w:rFonts w:hint="eastAsia" w:ascii="宋体" w:hAnsi="宋体"/>
                <w:sz w:val="24"/>
                <w:szCs w:val="24"/>
              </w:rPr>
              <w:t>大写：</w:t>
            </w:r>
            <w:r>
              <w:rPr>
                <w:rFonts w:ascii="宋体" w:hAnsi="宋体" w:cs="宋体"/>
                <w:bCs/>
                <w:sz w:val="24"/>
                <w:szCs w:val="24"/>
                <w:lang w:val="zh-CN"/>
              </w:rPr>
              <w:t xml:space="preserve"> </w:t>
            </w:r>
          </w:p>
        </w:tc>
      </w:tr>
      <w:tr w14:paraId="4CBCA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252" w:type="dxa"/>
            <w:vMerge w:val="continue"/>
            <w:tcBorders>
              <w:top w:val="single" w:color="auto" w:sz="4" w:space="0"/>
              <w:left w:val="single" w:color="auto" w:sz="4" w:space="0"/>
              <w:bottom w:val="single" w:color="auto" w:sz="4" w:space="0"/>
              <w:right w:val="single" w:color="auto" w:sz="4" w:space="0"/>
            </w:tcBorders>
            <w:vAlign w:val="center"/>
          </w:tcPr>
          <w:p w14:paraId="64AE9BEE">
            <w:pPr>
              <w:widowControl/>
              <w:jc w:val="center"/>
              <w:rPr>
                <w:rFonts w:hint="eastAsia" w:ascii="宋体" w:hAnsi="宋体" w:cs="宋体"/>
                <w:bCs/>
                <w:sz w:val="24"/>
                <w:szCs w:val="24"/>
                <w:lang w:val="zh-CN"/>
              </w:rPr>
            </w:pPr>
          </w:p>
        </w:tc>
        <w:tc>
          <w:tcPr>
            <w:tcW w:w="5127" w:type="dxa"/>
            <w:tcBorders>
              <w:top w:val="single" w:color="auto" w:sz="4" w:space="0"/>
              <w:left w:val="single" w:color="auto" w:sz="4" w:space="0"/>
              <w:bottom w:val="single" w:color="auto" w:sz="4" w:space="0"/>
              <w:right w:val="single" w:color="auto" w:sz="4" w:space="0"/>
            </w:tcBorders>
            <w:vAlign w:val="center"/>
          </w:tcPr>
          <w:p w14:paraId="19A0E6A2">
            <w:pPr>
              <w:autoSpaceDE w:val="0"/>
              <w:autoSpaceDN w:val="0"/>
              <w:adjustRightInd w:val="0"/>
              <w:rPr>
                <w:rFonts w:hint="eastAsia" w:ascii="宋体" w:hAnsi="宋体" w:cs="宋体"/>
                <w:bCs/>
                <w:sz w:val="24"/>
                <w:szCs w:val="24"/>
                <w:lang w:val="zh-CN"/>
              </w:rPr>
            </w:pPr>
            <w:r>
              <w:rPr>
                <w:rFonts w:hint="eastAsia" w:ascii="宋体" w:hAnsi="宋体"/>
                <w:sz w:val="24"/>
                <w:szCs w:val="24"/>
              </w:rPr>
              <w:t>小写：</w:t>
            </w:r>
            <w:r>
              <w:rPr>
                <w:rFonts w:ascii="宋体" w:hAnsi="宋体" w:cs="宋体"/>
                <w:bCs/>
                <w:sz w:val="24"/>
                <w:szCs w:val="24"/>
                <w:lang w:val="zh-CN"/>
              </w:rPr>
              <w:t xml:space="preserve"> </w:t>
            </w:r>
          </w:p>
        </w:tc>
      </w:tr>
      <w:tr w14:paraId="37DDD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252" w:type="dxa"/>
            <w:vMerge w:val="restart"/>
            <w:tcBorders>
              <w:top w:val="single" w:color="auto" w:sz="4" w:space="0"/>
              <w:left w:val="single" w:color="auto" w:sz="4" w:space="0"/>
              <w:bottom w:val="single" w:color="auto" w:sz="4" w:space="0"/>
              <w:right w:val="single" w:color="auto" w:sz="4" w:space="0"/>
            </w:tcBorders>
            <w:vAlign w:val="center"/>
          </w:tcPr>
          <w:p w14:paraId="7B84051E">
            <w:pPr>
              <w:autoSpaceDE w:val="0"/>
              <w:autoSpaceDN w:val="0"/>
              <w:adjustRightInd w:val="0"/>
              <w:jc w:val="center"/>
              <w:rPr>
                <w:rFonts w:hint="eastAsia" w:ascii="宋体" w:hAnsi="宋体" w:cs="宋体"/>
                <w:bCs/>
                <w:sz w:val="24"/>
                <w:szCs w:val="24"/>
                <w:lang w:val="zh-CN"/>
              </w:rPr>
            </w:pPr>
            <w:r>
              <w:rPr>
                <w:rFonts w:hint="eastAsia" w:ascii="宋体" w:hAnsi="宋体" w:cs="宋体"/>
                <w:sz w:val="24"/>
                <w:szCs w:val="24"/>
                <w:lang w:val="zh-CN"/>
              </w:rPr>
              <w:t>其中：</w:t>
            </w:r>
            <w:r>
              <w:rPr>
                <w:rFonts w:hint="eastAsia" w:ascii="宋体" w:hAnsi="宋体" w:cs="宋体"/>
                <w:bCs/>
                <w:sz w:val="24"/>
                <w:szCs w:val="24"/>
                <w:lang w:val="zh-CN"/>
              </w:rPr>
              <w:t>人工费</w:t>
            </w:r>
            <w:r>
              <w:rPr>
                <w:rFonts w:hint="eastAsia" w:ascii="宋体" w:hAnsi="宋体" w:cs="宋体"/>
                <w:sz w:val="24"/>
                <w:szCs w:val="24"/>
                <w:lang w:val="zh-CN"/>
              </w:rPr>
              <w:t>（元）</w:t>
            </w:r>
          </w:p>
        </w:tc>
        <w:tc>
          <w:tcPr>
            <w:tcW w:w="5127" w:type="dxa"/>
            <w:tcBorders>
              <w:top w:val="single" w:color="auto" w:sz="4" w:space="0"/>
              <w:left w:val="single" w:color="auto" w:sz="4" w:space="0"/>
              <w:bottom w:val="single" w:color="auto" w:sz="4" w:space="0"/>
              <w:right w:val="single" w:color="auto" w:sz="4" w:space="0"/>
            </w:tcBorders>
            <w:vAlign w:val="center"/>
          </w:tcPr>
          <w:p w14:paraId="12C5586C">
            <w:pPr>
              <w:autoSpaceDE w:val="0"/>
              <w:autoSpaceDN w:val="0"/>
              <w:adjustRightInd w:val="0"/>
              <w:rPr>
                <w:rFonts w:hint="eastAsia" w:ascii="宋体" w:hAnsi="宋体" w:cs="宋体"/>
                <w:bCs/>
                <w:sz w:val="24"/>
                <w:szCs w:val="24"/>
                <w:lang w:val="zh-CN"/>
              </w:rPr>
            </w:pPr>
            <w:r>
              <w:rPr>
                <w:rFonts w:hint="eastAsia" w:ascii="宋体" w:hAnsi="宋体"/>
                <w:sz w:val="24"/>
                <w:szCs w:val="24"/>
              </w:rPr>
              <w:t>大写：</w:t>
            </w:r>
            <w:r>
              <w:rPr>
                <w:rFonts w:ascii="宋体" w:hAnsi="宋体" w:cs="宋体"/>
                <w:bCs/>
                <w:sz w:val="24"/>
                <w:szCs w:val="24"/>
                <w:lang w:val="zh-CN"/>
              </w:rPr>
              <w:t xml:space="preserve"> </w:t>
            </w:r>
          </w:p>
        </w:tc>
      </w:tr>
      <w:tr w14:paraId="3D3B2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252" w:type="dxa"/>
            <w:vMerge w:val="continue"/>
            <w:tcBorders>
              <w:top w:val="single" w:color="auto" w:sz="4" w:space="0"/>
              <w:left w:val="single" w:color="auto" w:sz="4" w:space="0"/>
              <w:bottom w:val="single" w:color="auto" w:sz="4" w:space="0"/>
              <w:right w:val="single" w:color="auto" w:sz="4" w:space="0"/>
            </w:tcBorders>
            <w:vAlign w:val="center"/>
          </w:tcPr>
          <w:p w14:paraId="54D74CE4">
            <w:pPr>
              <w:widowControl/>
              <w:jc w:val="center"/>
              <w:rPr>
                <w:rFonts w:hint="eastAsia" w:ascii="宋体" w:hAnsi="宋体" w:cs="宋体"/>
                <w:bCs/>
                <w:sz w:val="24"/>
                <w:szCs w:val="24"/>
                <w:lang w:val="zh-CN"/>
              </w:rPr>
            </w:pPr>
          </w:p>
        </w:tc>
        <w:tc>
          <w:tcPr>
            <w:tcW w:w="5127" w:type="dxa"/>
            <w:tcBorders>
              <w:top w:val="single" w:color="auto" w:sz="4" w:space="0"/>
              <w:left w:val="single" w:color="auto" w:sz="4" w:space="0"/>
              <w:bottom w:val="single" w:color="auto" w:sz="4" w:space="0"/>
              <w:right w:val="single" w:color="auto" w:sz="4" w:space="0"/>
            </w:tcBorders>
            <w:vAlign w:val="center"/>
          </w:tcPr>
          <w:p w14:paraId="62ADB665">
            <w:pPr>
              <w:autoSpaceDE w:val="0"/>
              <w:autoSpaceDN w:val="0"/>
              <w:adjustRightInd w:val="0"/>
              <w:rPr>
                <w:rFonts w:hint="eastAsia" w:ascii="宋体" w:hAnsi="宋体" w:cs="宋体"/>
                <w:bCs/>
                <w:sz w:val="24"/>
                <w:szCs w:val="24"/>
                <w:lang w:val="zh-CN"/>
              </w:rPr>
            </w:pPr>
            <w:r>
              <w:rPr>
                <w:rFonts w:hint="eastAsia" w:ascii="宋体" w:hAnsi="宋体"/>
                <w:sz w:val="24"/>
                <w:szCs w:val="24"/>
              </w:rPr>
              <w:t>小写：</w:t>
            </w:r>
            <w:r>
              <w:rPr>
                <w:rFonts w:ascii="宋体" w:hAnsi="宋体" w:cs="宋体"/>
                <w:bCs/>
                <w:sz w:val="24"/>
                <w:szCs w:val="24"/>
                <w:lang w:val="zh-CN"/>
              </w:rPr>
              <w:t xml:space="preserve"> </w:t>
            </w:r>
          </w:p>
        </w:tc>
      </w:tr>
      <w:tr w14:paraId="00CD4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252" w:type="dxa"/>
            <w:vMerge w:val="restart"/>
            <w:tcBorders>
              <w:top w:val="single" w:color="auto" w:sz="4" w:space="0"/>
              <w:left w:val="single" w:color="auto" w:sz="4" w:space="0"/>
              <w:right w:val="single" w:color="auto" w:sz="4" w:space="0"/>
            </w:tcBorders>
            <w:vAlign w:val="center"/>
          </w:tcPr>
          <w:p w14:paraId="221EE66E">
            <w:pPr>
              <w:widowControl/>
              <w:jc w:val="center"/>
              <w:rPr>
                <w:rFonts w:hint="eastAsia" w:ascii="宋体" w:hAnsi="宋体" w:cs="宋体"/>
                <w:b/>
                <w:sz w:val="24"/>
                <w:szCs w:val="24"/>
                <w:lang w:val="zh-CN"/>
              </w:rPr>
            </w:pPr>
            <w:r>
              <w:rPr>
                <w:rFonts w:hint="eastAsia" w:ascii="宋体" w:hAnsi="宋体" w:cs="宋体"/>
                <w:bCs/>
                <w:sz w:val="24"/>
                <w:szCs w:val="24"/>
                <w:lang w:val="zh-CN"/>
              </w:rPr>
              <w:t>其中：</w:t>
            </w:r>
            <w:r>
              <w:rPr>
                <w:rFonts w:hint="eastAsia" w:ascii="宋体" w:hAnsi="宋体" w:cs="宋体"/>
                <w:sz w:val="24"/>
                <w:szCs w:val="24"/>
                <w:lang w:val="zh-CN"/>
              </w:rPr>
              <w:t>绿色施工安全防护措施费（元）</w:t>
            </w:r>
          </w:p>
        </w:tc>
        <w:tc>
          <w:tcPr>
            <w:tcW w:w="5127" w:type="dxa"/>
            <w:tcBorders>
              <w:top w:val="single" w:color="auto" w:sz="4" w:space="0"/>
              <w:left w:val="single" w:color="auto" w:sz="4" w:space="0"/>
              <w:bottom w:val="single" w:color="auto" w:sz="4" w:space="0"/>
              <w:right w:val="single" w:color="auto" w:sz="4" w:space="0"/>
            </w:tcBorders>
            <w:vAlign w:val="center"/>
          </w:tcPr>
          <w:p w14:paraId="167AD1BF">
            <w:pPr>
              <w:autoSpaceDE w:val="0"/>
              <w:autoSpaceDN w:val="0"/>
              <w:adjustRightInd w:val="0"/>
              <w:rPr>
                <w:rFonts w:hint="eastAsia" w:ascii="宋体" w:hAnsi="宋体" w:cs="宋体"/>
                <w:bCs/>
                <w:sz w:val="24"/>
                <w:szCs w:val="24"/>
                <w:lang w:val="zh-CN"/>
              </w:rPr>
            </w:pPr>
            <w:r>
              <w:rPr>
                <w:rFonts w:hint="eastAsia" w:ascii="宋体" w:hAnsi="宋体"/>
                <w:sz w:val="24"/>
                <w:szCs w:val="24"/>
              </w:rPr>
              <w:t>大写：</w:t>
            </w:r>
            <w:r>
              <w:rPr>
                <w:rFonts w:ascii="宋体" w:hAnsi="宋体" w:cs="宋体"/>
                <w:bCs/>
                <w:sz w:val="24"/>
                <w:szCs w:val="24"/>
                <w:lang w:val="zh-CN"/>
              </w:rPr>
              <w:t xml:space="preserve"> </w:t>
            </w:r>
          </w:p>
        </w:tc>
      </w:tr>
      <w:tr w14:paraId="47050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252" w:type="dxa"/>
            <w:vMerge w:val="continue"/>
            <w:tcBorders>
              <w:left w:val="single" w:color="auto" w:sz="4" w:space="0"/>
              <w:right w:val="single" w:color="auto" w:sz="4" w:space="0"/>
            </w:tcBorders>
            <w:vAlign w:val="center"/>
          </w:tcPr>
          <w:p w14:paraId="5D29122E">
            <w:pPr>
              <w:widowControl/>
              <w:jc w:val="center"/>
              <w:rPr>
                <w:rFonts w:hint="eastAsia" w:ascii="宋体" w:hAnsi="宋体" w:cs="宋体"/>
                <w:bCs/>
                <w:sz w:val="24"/>
                <w:szCs w:val="24"/>
                <w:lang w:val="zh-CN"/>
              </w:rPr>
            </w:pPr>
          </w:p>
        </w:tc>
        <w:tc>
          <w:tcPr>
            <w:tcW w:w="5127" w:type="dxa"/>
            <w:tcBorders>
              <w:top w:val="single" w:color="auto" w:sz="4" w:space="0"/>
              <w:left w:val="single" w:color="auto" w:sz="4" w:space="0"/>
              <w:bottom w:val="single" w:color="auto" w:sz="4" w:space="0"/>
              <w:right w:val="single" w:color="auto" w:sz="4" w:space="0"/>
            </w:tcBorders>
            <w:vAlign w:val="center"/>
          </w:tcPr>
          <w:p w14:paraId="0BAB55BE">
            <w:pPr>
              <w:autoSpaceDE w:val="0"/>
              <w:autoSpaceDN w:val="0"/>
              <w:adjustRightInd w:val="0"/>
              <w:rPr>
                <w:rFonts w:hint="eastAsia" w:ascii="宋体" w:hAnsi="宋体" w:cs="宋体"/>
                <w:bCs/>
                <w:sz w:val="24"/>
                <w:szCs w:val="24"/>
                <w:lang w:val="zh-CN"/>
              </w:rPr>
            </w:pPr>
            <w:r>
              <w:rPr>
                <w:rFonts w:hint="eastAsia" w:ascii="宋体" w:hAnsi="宋体"/>
                <w:sz w:val="24"/>
                <w:szCs w:val="24"/>
              </w:rPr>
              <w:t>小写：</w:t>
            </w:r>
            <w:r>
              <w:rPr>
                <w:rFonts w:ascii="宋体" w:hAnsi="宋体" w:cs="宋体"/>
                <w:bCs/>
                <w:sz w:val="24"/>
                <w:szCs w:val="24"/>
                <w:lang w:val="zh-CN"/>
              </w:rPr>
              <w:t xml:space="preserve"> </w:t>
            </w:r>
          </w:p>
        </w:tc>
      </w:tr>
      <w:tr w14:paraId="28AB4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252" w:type="dxa"/>
            <w:vMerge w:val="restart"/>
            <w:tcBorders>
              <w:left w:val="single" w:color="auto" w:sz="4" w:space="0"/>
              <w:right w:val="single" w:color="auto" w:sz="4" w:space="0"/>
            </w:tcBorders>
            <w:vAlign w:val="center"/>
          </w:tcPr>
          <w:p w14:paraId="2834358D">
            <w:pPr>
              <w:widowControl/>
              <w:jc w:val="center"/>
              <w:rPr>
                <w:rFonts w:hint="eastAsia" w:ascii="宋体" w:hAnsi="宋体" w:cs="宋体"/>
                <w:bCs/>
                <w:sz w:val="24"/>
                <w:szCs w:val="24"/>
                <w:lang w:val="zh-CN"/>
              </w:rPr>
            </w:pPr>
            <w:r>
              <w:rPr>
                <w:rFonts w:hint="eastAsia" w:ascii="宋体" w:hAnsi="宋体" w:cs="宋体"/>
                <w:bCs/>
                <w:sz w:val="24"/>
                <w:szCs w:val="24"/>
                <w:lang w:val="zh-CN"/>
              </w:rPr>
              <w:t>其中：暂列金额</w:t>
            </w:r>
            <w:r>
              <w:rPr>
                <w:rFonts w:hint="eastAsia" w:ascii="宋体" w:hAnsi="宋体" w:cs="宋体"/>
                <w:sz w:val="24"/>
                <w:szCs w:val="24"/>
                <w:lang w:val="zh-CN"/>
              </w:rPr>
              <w:t>（元）</w:t>
            </w:r>
          </w:p>
        </w:tc>
        <w:tc>
          <w:tcPr>
            <w:tcW w:w="5127" w:type="dxa"/>
            <w:tcBorders>
              <w:top w:val="single" w:color="auto" w:sz="4" w:space="0"/>
              <w:left w:val="single" w:color="auto" w:sz="4" w:space="0"/>
              <w:bottom w:val="single" w:color="auto" w:sz="4" w:space="0"/>
              <w:right w:val="single" w:color="auto" w:sz="4" w:space="0"/>
            </w:tcBorders>
            <w:vAlign w:val="center"/>
          </w:tcPr>
          <w:p w14:paraId="75F73B4F">
            <w:pPr>
              <w:autoSpaceDE w:val="0"/>
              <w:autoSpaceDN w:val="0"/>
              <w:adjustRightInd w:val="0"/>
              <w:rPr>
                <w:rFonts w:hint="eastAsia" w:ascii="宋体" w:hAnsi="宋体" w:cs="宋体"/>
                <w:bCs/>
                <w:sz w:val="24"/>
                <w:szCs w:val="24"/>
                <w:lang w:val="zh-CN"/>
              </w:rPr>
            </w:pPr>
            <w:r>
              <w:rPr>
                <w:rFonts w:hint="eastAsia" w:ascii="宋体" w:hAnsi="宋体"/>
                <w:sz w:val="24"/>
                <w:szCs w:val="24"/>
              </w:rPr>
              <w:t>大写：</w:t>
            </w:r>
            <w:r>
              <w:rPr>
                <w:rFonts w:ascii="宋体" w:hAnsi="宋体" w:cs="宋体"/>
                <w:bCs/>
                <w:sz w:val="24"/>
                <w:szCs w:val="24"/>
                <w:lang w:val="zh-CN"/>
              </w:rPr>
              <w:t xml:space="preserve"> </w:t>
            </w:r>
          </w:p>
        </w:tc>
      </w:tr>
      <w:tr w14:paraId="300E5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252" w:type="dxa"/>
            <w:vMerge w:val="continue"/>
            <w:tcBorders>
              <w:left w:val="single" w:color="auto" w:sz="4" w:space="0"/>
              <w:bottom w:val="single" w:color="auto" w:sz="4" w:space="0"/>
              <w:right w:val="single" w:color="auto" w:sz="4" w:space="0"/>
            </w:tcBorders>
            <w:vAlign w:val="center"/>
          </w:tcPr>
          <w:p w14:paraId="4D7A6287">
            <w:pPr>
              <w:widowControl/>
              <w:jc w:val="left"/>
              <w:rPr>
                <w:rFonts w:hint="eastAsia" w:ascii="宋体" w:hAnsi="宋体" w:cs="宋体"/>
                <w:bCs/>
                <w:sz w:val="24"/>
                <w:szCs w:val="24"/>
                <w:lang w:val="zh-CN"/>
              </w:rPr>
            </w:pPr>
          </w:p>
        </w:tc>
        <w:tc>
          <w:tcPr>
            <w:tcW w:w="5127" w:type="dxa"/>
            <w:tcBorders>
              <w:top w:val="single" w:color="auto" w:sz="4" w:space="0"/>
              <w:left w:val="single" w:color="auto" w:sz="4" w:space="0"/>
              <w:bottom w:val="single" w:color="auto" w:sz="4" w:space="0"/>
              <w:right w:val="single" w:color="auto" w:sz="4" w:space="0"/>
            </w:tcBorders>
            <w:vAlign w:val="center"/>
          </w:tcPr>
          <w:p w14:paraId="6B22C5E2">
            <w:pPr>
              <w:autoSpaceDE w:val="0"/>
              <w:autoSpaceDN w:val="0"/>
              <w:adjustRightInd w:val="0"/>
              <w:rPr>
                <w:rFonts w:hint="eastAsia" w:ascii="宋体" w:hAnsi="宋体" w:cs="宋体"/>
                <w:bCs/>
                <w:sz w:val="24"/>
                <w:szCs w:val="24"/>
                <w:lang w:val="zh-CN"/>
              </w:rPr>
            </w:pPr>
            <w:r>
              <w:rPr>
                <w:rFonts w:hint="eastAsia" w:ascii="宋体" w:hAnsi="宋体"/>
                <w:sz w:val="24"/>
                <w:szCs w:val="24"/>
              </w:rPr>
              <w:t>小写：</w:t>
            </w:r>
            <w:r>
              <w:rPr>
                <w:rFonts w:ascii="宋体" w:hAnsi="宋体" w:cs="宋体"/>
                <w:bCs/>
                <w:sz w:val="24"/>
                <w:szCs w:val="24"/>
                <w:lang w:val="zh-CN"/>
              </w:rPr>
              <w:t xml:space="preserve"> </w:t>
            </w:r>
          </w:p>
        </w:tc>
      </w:tr>
    </w:tbl>
    <w:p w14:paraId="323BB2D4">
      <w:bookmarkStart w:id="181" w:name="_Toc8080"/>
      <w:bookmarkStart w:id="182" w:name="_Toc5265"/>
      <w:bookmarkStart w:id="183" w:name="_Toc22913"/>
      <w:bookmarkStart w:id="184" w:name="_Toc32190"/>
      <w:bookmarkStart w:id="185" w:name="_Toc60070635"/>
      <w:bookmarkStart w:id="186" w:name="_Toc18260"/>
      <w:bookmarkStart w:id="187" w:name="_Toc15908"/>
      <w:bookmarkStart w:id="188" w:name="_Toc100130499"/>
      <w:bookmarkStart w:id="189" w:name="_Toc58838607"/>
      <w:bookmarkStart w:id="190" w:name="_Toc6493863"/>
      <w:bookmarkStart w:id="191" w:name="_Toc60070634"/>
    </w:p>
    <w:p w14:paraId="37484423">
      <w:r>
        <w:rPr>
          <w:rFonts w:hint="eastAsia"/>
        </w:rPr>
        <w:br w:type="page"/>
      </w:r>
    </w:p>
    <w:p w14:paraId="6A6AB360">
      <w:pPr>
        <w:pStyle w:val="5"/>
        <w:rPr>
          <w:rFonts w:hint="eastAsia"/>
        </w:rPr>
      </w:pPr>
      <w:r>
        <w:rPr>
          <w:rFonts w:hint="eastAsia"/>
        </w:rPr>
        <w:t>格式十</w:t>
      </w:r>
      <w:r>
        <w:rPr>
          <w:rFonts w:hint="eastAsia"/>
          <w:kern w:val="2"/>
        </w:rPr>
        <w:t>：</w:t>
      </w:r>
      <w:bookmarkEnd w:id="181"/>
      <w:bookmarkEnd w:id="182"/>
      <w:bookmarkEnd w:id="183"/>
      <w:bookmarkEnd w:id="184"/>
      <w:bookmarkEnd w:id="185"/>
      <w:bookmarkEnd w:id="186"/>
      <w:bookmarkEnd w:id="187"/>
      <w:bookmarkEnd w:id="188"/>
    </w:p>
    <w:p w14:paraId="1A7060B7">
      <w:pPr>
        <w:pStyle w:val="50"/>
        <w:spacing w:after="0" w:line="360" w:lineRule="auto"/>
        <w:ind w:firstLine="0"/>
        <w:jc w:val="center"/>
        <w:rPr>
          <w:rFonts w:hint="eastAsia" w:ascii="宋体" w:hAnsi="宋体" w:eastAsia="宋体" w:cs="宋体"/>
          <w:sz w:val="36"/>
          <w:szCs w:val="36"/>
        </w:rPr>
      </w:pPr>
      <w:r>
        <w:rPr>
          <w:rFonts w:hint="eastAsia" w:ascii="宋体" w:hAnsi="宋体" w:eastAsia="宋体" w:cs="宋体"/>
          <w:b/>
          <w:sz w:val="36"/>
          <w:szCs w:val="36"/>
        </w:rPr>
        <w:t>对投标文件编制的承诺</w:t>
      </w:r>
    </w:p>
    <w:p w14:paraId="643B031A">
      <w:pPr>
        <w:pStyle w:val="50"/>
        <w:spacing w:after="0" w:line="360" w:lineRule="auto"/>
        <w:ind w:left="-2" w:leftChars="-1" w:firstLine="540" w:firstLineChars="225"/>
        <w:rPr>
          <w:rFonts w:hint="eastAsia" w:ascii="宋体" w:hAnsi="宋体" w:eastAsia="宋体" w:cs="宋体"/>
          <w:sz w:val="24"/>
          <w:szCs w:val="24"/>
        </w:rPr>
      </w:pPr>
      <w:r>
        <w:rPr>
          <w:rFonts w:hint="eastAsia" w:ascii="宋体" w:hAnsi="宋体" w:eastAsia="宋体" w:cs="宋体"/>
          <w:sz w:val="24"/>
          <w:szCs w:val="24"/>
        </w:rPr>
        <w:t>本公司授权</w:t>
      </w:r>
      <w:r>
        <w:rPr>
          <w:rFonts w:hint="eastAsia" w:ascii="宋体" w:hAnsi="宋体" w:eastAsia="宋体" w:cs="宋体"/>
          <w:sz w:val="24"/>
          <w:szCs w:val="24"/>
          <w:u w:val="single"/>
        </w:rPr>
        <w:t xml:space="preserve">         （身份证号：               ）</w:t>
      </w:r>
      <w:r>
        <w:rPr>
          <w:rFonts w:hint="eastAsia" w:ascii="宋体" w:hAnsi="宋体" w:eastAsia="宋体" w:cs="宋体"/>
          <w:sz w:val="24"/>
          <w:szCs w:val="24"/>
        </w:rPr>
        <w:t>负责对投标文件的编制及内容进行解释、说明，并承诺以下事项：</w:t>
      </w:r>
    </w:p>
    <w:p w14:paraId="46F2E63E">
      <w:pPr>
        <w:pStyle w:val="50"/>
        <w:spacing w:after="0" w:line="360" w:lineRule="auto"/>
        <w:ind w:left="-2" w:leftChars="-1" w:firstLine="540" w:firstLineChars="225"/>
        <w:rPr>
          <w:rFonts w:hint="eastAsia" w:ascii="宋体" w:hAnsi="宋体" w:eastAsia="宋体" w:cs="宋体"/>
          <w:sz w:val="24"/>
          <w:szCs w:val="24"/>
        </w:rPr>
      </w:pPr>
      <w:r>
        <w:rPr>
          <w:rFonts w:hint="eastAsia" w:ascii="宋体" w:hAnsi="宋体" w:eastAsia="宋体" w:cs="宋体"/>
          <w:sz w:val="24"/>
          <w:szCs w:val="24"/>
        </w:rPr>
        <w:t>1.被授权人清楚投标文件编制的具体情况，包括</w:t>
      </w:r>
      <w:r>
        <w:rPr>
          <w:rFonts w:hint="eastAsia" w:ascii="宋体" w:hAnsi="宋体" w:eastAsia="宋体"/>
          <w:sz w:val="24"/>
          <w:szCs w:val="24"/>
        </w:rPr>
        <w:t>技术方案文件、</w:t>
      </w:r>
      <w:r>
        <w:rPr>
          <w:rFonts w:hint="eastAsia" w:ascii="宋体" w:hAnsi="宋体" w:eastAsia="宋体" w:cs="宋体"/>
          <w:sz w:val="24"/>
          <w:szCs w:val="24"/>
        </w:rPr>
        <w:t>工程量清单、以及投标文件的加密打包的理解；</w:t>
      </w:r>
    </w:p>
    <w:p w14:paraId="6F77C4A4">
      <w:pPr>
        <w:pStyle w:val="50"/>
        <w:spacing w:after="0" w:line="360" w:lineRule="auto"/>
        <w:ind w:left="-2" w:leftChars="-1" w:firstLine="540" w:firstLineChars="225"/>
        <w:rPr>
          <w:rFonts w:hint="eastAsia" w:ascii="宋体" w:hAnsi="宋体" w:eastAsia="宋体" w:cs="宋体"/>
          <w:sz w:val="24"/>
          <w:szCs w:val="24"/>
        </w:rPr>
      </w:pPr>
      <w:r>
        <w:rPr>
          <w:rFonts w:hint="eastAsia" w:ascii="宋体" w:hAnsi="宋体" w:eastAsia="宋体" w:cs="宋体"/>
          <w:sz w:val="24"/>
          <w:szCs w:val="24"/>
        </w:rPr>
        <w:t>2.在本项目开标至评标结束前，努力确保被授权人在项目评标所在地附近；</w:t>
      </w:r>
    </w:p>
    <w:p w14:paraId="60BFCBE6">
      <w:pPr>
        <w:pStyle w:val="50"/>
        <w:spacing w:after="0" w:line="360" w:lineRule="auto"/>
        <w:ind w:left="-2" w:leftChars="-1" w:firstLine="540" w:firstLineChars="225"/>
        <w:rPr>
          <w:rFonts w:hint="eastAsia" w:ascii="宋体" w:hAnsi="宋体" w:eastAsia="宋体" w:cs="宋体"/>
          <w:sz w:val="24"/>
          <w:szCs w:val="24"/>
        </w:rPr>
      </w:pPr>
      <w:r>
        <w:rPr>
          <w:rFonts w:hint="eastAsia" w:ascii="宋体" w:hAnsi="宋体" w:eastAsia="宋体" w:cs="宋体"/>
          <w:sz w:val="24"/>
          <w:szCs w:val="24"/>
        </w:rPr>
        <w:t>3.从评标委员会要求澄清起二小时内，被授权人应如实地书面澄清。</w:t>
      </w:r>
    </w:p>
    <w:p w14:paraId="38FE2E5E">
      <w:pPr>
        <w:pStyle w:val="50"/>
        <w:spacing w:after="0" w:line="360" w:lineRule="auto"/>
        <w:ind w:left="-2" w:leftChars="-1" w:firstLine="540" w:firstLineChars="225"/>
        <w:rPr>
          <w:rFonts w:hint="eastAsia" w:ascii="宋体" w:hAnsi="宋体" w:eastAsia="宋体" w:cs="宋体"/>
          <w:sz w:val="24"/>
          <w:szCs w:val="24"/>
        </w:rPr>
      </w:pPr>
      <w:r>
        <w:rPr>
          <w:rFonts w:hint="eastAsia" w:ascii="宋体" w:hAnsi="宋体" w:eastAsia="宋体" w:cs="宋体"/>
          <w:sz w:val="24"/>
          <w:szCs w:val="24"/>
        </w:rPr>
        <w:t xml:space="preserve">如由于未遵守上述承诺内容之一导致无法进行澄清的，我公司认可和接受评标委员会作出的评审结论。                                 </w:t>
      </w:r>
    </w:p>
    <w:p w14:paraId="0A4590A3">
      <w:pPr>
        <w:pStyle w:val="50"/>
        <w:spacing w:after="0" w:line="360" w:lineRule="auto"/>
        <w:ind w:firstLine="360" w:firstLineChars="150"/>
        <w:rPr>
          <w:rFonts w:hint="eastAsia" w:ascii="宋体" w:hAnsi="宋体" w:eastAsia="宋体" w:cs="宋体"/>
          <w:sz w:val="24"/>
          <w:szCs w:val="24"/>
        </w:rPr>
      </w:pPr>
    </w:p>
    <w:p w14:paraId="29CA7171">
      <w:pPr>
        <w:pStyle w:val="5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附件：《投标文件编制情况》</w:t>
      </w:r>
    </w:p>
    <w:p w14:paraId="566EC6AE">
      <w:pPr>
        <w:spacing w:line="360" w:lineRule="auto"/>
        <w:ind w:right="90" w:firstLine="3240" w:firstLineChars="1350"/>
        <w:rPr>
          <w:rFonts w:hint="eastAsia" w:ascii="宋体" w:hAnsi="宋体" w:cs="宋体"/>
          <w:sz w:val="24"/>
          <w:szCs w:val="24"/>
        </w:rPr>
      </w:pPr>
      <w:r>
        <w:rPr>
          <w:rFonts w:hint="eastAsia" w:ascii="宋体" w:hAnsi="宋体" w:cs="宋体"/>
          <w:sz w:val="24"/>
          <w:szCs w:val="24"/>
        </w:rPr>
        <w:t>投 标 人：    （盖章）</w:t>
      </w:r>
    </w:p>
    <w:p w14:paraId="72C8D7C0">
      <w:pPr>
        <w:spacing w:line="360" w:lineRule="auto"/>
        <w:ind w:right="90" w:firstLine="3240" w:firstLineChars="1350"/>
        <w:rPr>
          <w:rFonts w:hint="eastAsia" w:ascii="宋体" w:hAnsi="宋体" w:cs="宋体"/>
          <w:sz w:val="24"/>
          <w:szCs w:val="24"/>
        </w:rPr>
      </w:pPr>
      <w:r>
        <w:rPr>
          <w:rFonts w:hint="eastAsia" w:ascii="宋体" w:hAnsi="宋体" w:cs="宋体"/>
          <w:sz w:val="24"/>
          <w:szCs w:val="24"/>
        </w:rPr>
        <w:t>法定代表人或授权代理人（签字或盖章）：</w:t>
      </w:r>
    </w:p>
    <w:p w14:paraId="1E09D916">
      <w:pPr>
        <w:spacing w:line="360" w:lineRule="auto"/>
        <w:ind w:right="90" w:firstLine="3240" w:firstLineChars="1350"/>
        <w:rPr>
          <w:rFonts w:hint="eastAsia" w:ascii="宋体" w:hAnsi="宋体" w:cs="宋体"/>
          <w:sz w:val="24"/>
          <w:szCs w:val="24"/>
        </w:rPr>
      </w:pPr>
      <w:r>
        <w:rPr>
          <w:rFonts w:hint="eastAsia" w:ascii="宋体" w:hAnsi="宋体" w:cs="宋体"/>
          <w:sz w:val="24"/>
          <w:szCs w:val="24"/>
        </w:rPr>
        <w:t>日    期：    年    月    日</w:t>
      </w:r>
    </w:p>
    <w:p w14:paraId="7AD9F00A">
      <w:pPr>
        <w:pStyle w:val="51"/>
        <w:spacing w:line="360" w:lineRule="auto"/>
        <w:ind w:right="90" w:firstLine="3780" w:firstLineChars="1350"/>
      </w:pPr>
    </w:p>
    <w:p w14:paraId="15DAA1AD">
      <w:pPr>
        <w:pStyle w:val="73"/>
        <w:spacing w:line="360" w:lineRule="auto"/>
        <w:ind w:right="90" w:firstLine="2835" w:firstLineChars="1350"/>
      </w:pPr>
    </w:p>
    <w:p w14:paraId="7F792F01"/>
    <w:p w14:paraId="670D2C4D">
      <w:pPr>
        <w:pStyle w:val="51"/>
        <w:spacing w:line="360" w:lineRule="auto"/>
        <w:ind w:right="90" w:firstLine="3780" w:firstLineChars="1350"/>
      </w:pPr>
    </w:p>
    <w:p w14:paraId="7F697862">
      <w:pPr>
        <w:pStyle w:val="73"/>
        <w:spacing w:line="360" w:lineRule="auto"/>
        <w:ind w:right="90" w:firstLine="2835" w:firstLineChars="1350"/>
      </w:pPr>
    </w:p>
    <w:p w14:paraId="0C3C55D2"/>
    <w:p w14:paraId="01B5037A">
      <w:pPr>
        <w:pStyle w:val="51"/>
        <w:spacing w:line="360" w:lineRule="auto"/>
        <w:ind w:right="90" w:firstLine="3780" w:firstLineChars="1350"/>
      </w:pPr>
    </w:p>
    <w:p w14:paraId="18531CEA">
      <w:pPr>
        <w:pStyle w:val="73"/>
        <w:spacing w:line="360" w:lineRule="auto"/>
        <w:ind w:right="90" w:firstLine="2835" w:firstLineChars="1350"/>
      </w:pPr>
    </w:p>
    <w:p w14:paraId="4788FC53"/>
    <w:p w14:paraId="6D44D949">
      <w:pPr>
        <w:pStyle w:val="51"/>
        <w:spacing w:line="360" w:lineRule="auto"/>
        <w:ind w:right="90" w:firstLine="3240" w:firstLineChars="1350"/>
        <w:rPr>
          <w:rFonts w:hint="eastAsia" w:ascii="宋体" w:hAnsi="宋体" w:cs="宋体"/>
          <w:sz w:val="24"/>
          <w:szCs w:val="24"/>
        </w:rPr>
      </w:pPr>
    </w:p>
    <w:p w14:paraId="0550BD42">
      <w:pPr>
        <w:spacing w:line="360" w:lineRule="auto"/>
        <w:rPr>
          <w:rFonts w:hint="eastAsia" w:ascii="宋体" w:hAnsi="宋体" w:cs="宋体"/>
          <w:b/>
          <w:sz w:val="36"/>
          <w:szCs w:val="36"/>
        </w:rPr>
      </w:pPr>
    </w:p>
    <w:p w14:paraId="05794AA5">
      <w:pPr>
        <w:pStyle w:val="50"/>
        <w:spacing w:after="0" w:line="360" w:lineRule="auto"/>
        <w:ind w:firstLine="0"/>
        <w:jc w:val="center"/>
        <w:rPr>
          <w:rFonts w:hint="eastAsia" w:ascii="宋体" w:hAnsi="宋体" w:eastAsia="宋体" w:cs="宋体"/>
          <w:sz w:val="36"/>
          <w:szCs w:val="36"/>
        </w:rPr>
      </w:pPr>
      <w:r>
        <w:rPr>
          <w:rFonts w:hint="eastAsia" w:ascii="宋体" w:hAnsi="宋体" w:eastAsia="宋体" w:cs="宋体"/>
          <w:b/>
          <w:sz w:val="36"/>
          <w:szCs w:val="36"/>
        </w:rPr>
        <w:t>投标文件编制情况</w:t>
      </w:r>
    </w:p>
    <w:p w14:paraId="1931623A">
      <w:pPr>
        <w:pStyle w:val="50"/>
        <w:spacing w:after="0"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1.投标文件报价编制方式: □自行编制的，编制的负责人：</w:t>
      </w:r>
      <w:r>
        <w:rPr>
          <w:rFonts w:hint="eastAsia" w:ascii="宋体" w:hAnsi="宋体" w:eastAsia="宋体" w:cs="宋体"/>
          <w:sz w:val="24"/>
          <w:szCs w:val="24"/>
          <w:u w:val="single"/>
        </w:rPr>
        <w:t xml:space="preserve"> （盖造价工程师执业专用章或全国建设工程造价员章，执业单位应与投标人一致） </w:t>
      </w:r>
      <w:r>
        <w:rPr>
          <w:rFonts w:hint="eastAsia" w:ascii="宋体" w:hAnsi="宋体" w:eastAsia="宋体" w:cs="宋体"/>
          <w:sz w:val="24"/>
          <w:szCs w:val="24"/>
        </w:rPr>
        <w:t>。□委托编制的，受委托单位，编制的负责人：</w:t>
      </w:r>
      <w:r>
        <w:rPr>
          <w:rFonts w:hint="eastAsia" w:ascii="宋体" w:hAnsi="宋体" w:eastAsia="宋体" w:cs="宋体"/>
          <w:sz w:val="24"/>
          <w:szCs w:val="24"/>
          <w:u w:val="single"/>
        </w:rPr>
        <w:t>（盖造价工程师执业专用章或全国建设工程造价员章，执业单位应与受委托单位一致）</w:t>
      </w:r>
      <w:r>
        <w:rPr>
          <w:rFonts w:hint="eastAsia" w:ascii="宋体" w:hAnsi="宋体" w:eastAsia="宋体" w:cs="宋体"/>
          <w:sz w:val="24"/>
          <w:szCs w:val="24"/>
        </w:rPr>
        <w:t>。</w:t>
      </w:r>
    </w:p>
    <w:p w14:paraId="16920D16">
      <w:pPr>
        <w:pStyle w:val="5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2.投标文件加密打包的电脑情况</w:t>
      </w:r>
    </w:p>
    <w:tbl>
      <w:tblPr>
        <w:tblStyle w:val="52"/>
        <w:tblW w:w="0" w:type="auto"/>
        <w:tblInd w:w="0" w:type="dxa"/>
        <w:tblLayout w:type="fixed"/>
        <w:tblCellMar>
          <w:top w:w="0" w:type="dxa"/>
          <w:left w:w="108" w:type="dxa"/>
          <w:bottom w:w="0" w:type="dxa"/>
          <w:right w:w="108" w:type="dxa"/>
        </w:tblCellMar>
      </w:tblPr>
      <w:tblGrid>
        <w:gridCol w:w="9794"/>
      </w:tblGrid>
      <w:tr w14:paraId="54608A5A">
        <w:tblPrEx>
          <w:tblCellMar>
            <w:top w:w="0" w:type="dxa"/>
            <w:left w:w="108" w:type="dxa"/>
            <w:bottom w:w="0" w:type="dxa"/>
            <w:right w:w="108" w:type="dxa"/>
          </w:tblCellMar>
        </w:tblPrEx>
        <w:trPr>
          <w:trHeight w:val="2819" w:hRule="atLeast"/>
        </w:trPr>
        <w:tc>
          <w:tcPr>
            <w:tcW w:w="9794" w:type="dxa"/>
          </w:tcPr>
          <w:p w14:paraId="7C0CB970">
            <w:pPr>
              <w:pStyle w:val="50"/>
              <w:spacing w:after="0" w:line="360" w:lineRule="auto"/>
              <w:ind w:firstLine="0"/>
              <w:rPr>
                <w:rFonts w:hint="eastAsia" w:ascii="宋体" w:hAnsi="宋体" w:eastAsia="宋体" w:cs="宋体"/>
                <w:sz w:val="24"/>
                <w:szCs w:val="24"/>
              </w:rPr>
            </w:pPr>
            <w:r>
              <w:rPr>
                <w:rFonts w:hint="eastAsia" w:ascii="宋体" w:hAnsi="宋体" w:eastAsia="宋体" w:cs="宋体"/>
                <w:sz w:val="24"/>
                <w:szCs w:val="24"/>
              </w:rPr>
              <w:t>投标文件加密打包的电脑  自有    □      外包    □   其他    □</w:t>
            </w:r>
          </w:p>
          <w:p w14:paraId="0F330396">
            <w:pPr>
              <w:pStyle w:val="50"/>
              <w:spacing w:after="0" w:line="360" w:lineRule="auto"/>
              <w:ind w:firstLine="0"/>
              <w:rPr>
                <w:rFonts w:hint="eastAsia" w:ascii="宋体" w:hAnsi="宋体" w:eastAsia="宋体" w:cs="宋体"/>
                <w:sz w:val="24"/>
                <w:szCs w:val="24"/>
              </w:rPr>
            </w:pPr>
            <w:r>
              <w:rPr>
                <w:rFonts w:hint="eastAsia" w:ascii="宋体" w:hAnsi="宋体" w:eastAsia="宋体" w:cs="宋体"/>
                <w:sz w:val="24"/>
                <w:szCs w:val="24"/>
              </w:rPr>
              <w:t>电脑类型</w:t>
            </w:r>
          </w:p>
          <w:p w14:paraId="331D5BBF">
            <w:pPr>
              <w:pStyle w:val="50"/>
              <w:spacing w:after="0" w:line="360" w:lineRule="auto"/>
              <w:ind w:firstLine="0"/>
              <w:rPr>
                <w:rFonts w:hint="eastAsia" w:ascii="宋体" w:hAnsi="宋体" w:eastAsia="宋体" w:cs="宋体"/>
                <w:sz w:val="24"/>
                <w:szCs w:val="24"/>
              </w:rPr>
            </w:pPr>
            <w:r>
              <w:rPr>
                <w:rFonts w:hint="eastAsia" w:ascii="宋体" w:hAnsi="宋体" w:eastAsia="宋体" w:cs="宋体"/>
                <w:sz w:val="24"/>
                <w:szCs w:val="24"/>
              </w:rPr>
              <w:t>电脑所属单位</w:t>
            </w:r>
          </w:p>
          <w:p w14:paraId="08558874">
            <w:pPr>
              <w:pStyle w:val="50"/>
              <w:spacing w:after="0" w:line="360" w:lineRule="auto"/>
              <w:ind w:firstLine="0"/>
              <w:rPr>
                <w:rFonts w:hint="eastAsia" w:ascii="宋体" w:hAnsi="宋体" w:eastAsia="宋体" w:cs="宋体"/>
                <w:sz w:val="24"/>
                <w:szCs w:val="24"/>
              </w:rPr>
            </w:pPr>
            <w:r>
              <w:rPr>
                <w:rFonts w:hint="eastAsia" w:ascii="宋体" w:hAnsi="宋体" w:eastAsia="宋体" w:cs="宋体"/>
                <w:sz w:val="24"/>
                <w:szCs w:val="24"/>
              </w:rPr>
              <w:t>电脑所在地址    （如××市××区(县) ××街（路）××号××大厦××房）</w:t>
            </w:r>
          </w:p>
        </w:tc>
      </w:tr>
    </w:tbl>
    <w:p w14:paraId="16A89216">
      <w:bookmarkStart w:id="192" w:name="_Toc27791"/>
      <w:bookmarkStart w:id="193" w:name="_Toc100130500"/>
      <w:bookmarkStart w:id="194" w:name="_Toc11624"/>
      <w:bookmarkStart w:id="195" w:name="_Toc22790"/>
      <w:r>
        <w:rPr>
          <w:rFonts w:hint="eastAsia"/>
        </w:rPr>
        <w:br w:type="page"/>
      </w:r>
    </w:p>
    <w:p w14:paraId="5BF92557">
      <w:pPr>
        <w:pStyle w:val="5"/>
        <w:rPr>
          <w:rFonts w:hint="eastAsia"/>
        </w:rPr>
      </w:pPr>
      <w:bookmarkStart w:id="196" w:name="_Toc3052"/>
      <w:bookmarkStart w:id="197" w:name="_Toc4513"/>
      <w:bookmarkStart w:id="198" w:name="_Toc4286"/>
      <w:r>
        <w:rPr>
          <w:rFonts w:hint="eastAsia"/>
        </w:rPr>
        <w:t>格式</w:t>
      </w:r>
      <w:bookmarkEnd w:id="189"/>
      <w:bookmarkEnd w:id="190"/>
      <w:r>
        <w:rPr>
          <w:rFonts w:hint="eastAsia"/>
        </w:rPr>
        <w:t>十一：</w:t>
      </w:r>
      <w:bookmarkEnd w:id="191"/>
      <w:bookmarkEnd w:id="192"/>
      <w:bookmarkEnd w:id="193"/>
      <w:bookmarkEnd w:id="194"/>
      <w:bookmarkEnd w:id="195"/>
      <w:bookmarkEnd w:id="196"/>
      <w:bookmarkEnd w:id="197"/>
      <w:bookmarkEnd w:id="198"/>
    </w:p>
    <w:p w14:paraId="001A6229">
      <w:pPr>
        <w:jc w:val="center"/>
        <w:rPr>
          <w:rFonts w:hint="eastAsia" w:ascii="宋体" w:hAnsi="宋体"/>
          <w:b/>
          <w:sz w:val="36"/>
          <w:szCs w:val="36"/>
        </w:rPr>
      </w:pPr>
      <w:bookmarkStart w:id="199" w:name="_Toc58838608"/>
      <w:r>
        <w:rPr>
          <w:rFonts w:hint="eastAsia" w:ascii="宋体" w:hAnsi="宋体"/>
          <w:b/>
          <w:sz w:val="36"/>
          <w:szCs w:val="36"/>
        </w:rPr>
        <w:t>参与编制经济标投标文件人员名单</w:t>
      </w:r>
      <w:bookmarkEnd w:id="199"/>
    </w:p>
    <w:tbl>
      <w:tblPr>
        <w:tblStyle w:val="52"/>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1736"/>
        <w:gridCol w:w="1980"/>
        <w:gridCol w:w="2775"/>
        <w:gridCol w:w="2055"/>
      </w:tblGrid>
      <w:tr w14:paraId="6A3CB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645" w:type="dxa"/>
            <w:gridSpan w:val="5"/>
            <w:vAlign w:val="center"/>
          </w:tcPr>
          <w:p w14:paraId="0F34736C">
            <w:pPr>
              <w:tabs>
                <w:tab w:val="left" w:pos="720"/>
              </w:tabs>
              <w:snapToGrid w:val="0"/>
              <w:spacing w:line="360" w:lineRule="auto"/>
              <w:jc w:val="center"/>
              <w:rPr>
                <w:rFonts w:hint="eastAsia" w:ascii="宋体" w:hAnsi="宋体"/>
                <w:sz w:val="24"/>
                <w:szCs w:val="24"/>
              </w:rPr>
            </w:pPr>
            <w:r>
              <w:rPr>
                <w:rFonts w:hint="eastAsia" w:ascii="宋体" w:hAnsi="宋体"/>
                <w:sz w:val="24"/>
                <w:szCs w:val="24"/>
              </w:rPr>
              <w:t>投标单位名称</w:t>
            </w:r>
          </w:p>
        </w:tc>
      </w:tr>
      <w:tr w14:paraId="06280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99" w:type="dxa"/>
            <w:vAlign w:val="center"/>
          </w:tcPr>
          <w:p w14:paraId="362D554D">
            <w:pPr>
              <w:tabs>
                <w:tab w:val="left" w:pos="720"/>
              </w:tabs>
              <w:snapToGrid w:val="0"/>
              <w:spacing w:line="360" w:lineRule="auto"/>
              <w:jc w:val="center"/>
              <w:rPr>
                <w:rFonts w:hint="eastAsia" w:ascii="宋体" w:hAnsi="宋体"/>
                <w:sz w:val="24"/>
                <w:szCs w:val="24"/>
              </w:rPr>
            </w:pPr>
            <w:r>
              <w:rPr>
                <w:rFonts w:hint="eastAsia" w:ascii="宋体" w:hAnsi="宋体"/>
                <w:sz w:val="24"/>
                <w:szCs w:val="24"/>
              </w:rPr>
              <w:t>姓名</w:t>
            </w:r>
          </w:p>
        </w:tc>
        <w:tc>
          <w:tcPr>
            <w:tcW w:w="1736" w:type="dxa"/>
            <w:vAlign w:val="center"/>
          </w:tcPr>
          <w:p w14:paraId="042E4185">
            <w:pPr>
              <w:tabs>
                <w:tab w:val="left" w:pos="720"/>
              </w:tabs>
              <w:snapToGrid w:val="0"/>
              <w:spacing w:line="360" w:lineRule="auto"/>
              <w:jc w:val="center"/>
              <w:rPr>
                <w:rFonts w:hint="eastAsia" w:ascii="宋体" w:hAnsi="宋体"/>
                <w:sz w:val="24"/>
                <w:szCs w:val="24"/>
              </w:rPr>
            </w:pPr>
            <w:r>
              <w:rPr>
                <w:rFonts w:hint="eastAsia" w:ascii="宋体" w:hAnsi="宋体"/>
                <w:sz w:val="24"/>
                <w:szCs w:val="24"/>
              </w:rPr>
              <w:t>职务</w:t>
            </w:r>
          </w:p>
        </w:tc>
        <w:tc>
          <w:tcPr>
            <w:tcW w:w="1980" w:type="dxa"/>
            <w:vAlign w:val="center"/>
          </w:tcPr>
          <w:p w14:paraId="7D9436EC">
            <w:pPr>
              <w:tabs>
                <w:tab w:val="left" w:pos="720"/>
              </w:tabs>
              <w:snapToGrid w:val="0"/>
              <w:spacing w:line="360" w:lineRule="auto"/>
              <w:jc w:val="center"/>
              <w:rPr>
                <w:rFonts w:hint="eastAsia" w:ascii="宋体" w:hAnsi="宋体"/>
                <w:sz w:val="24"/>
                <w:szCs w:val="24"/>
              </w:rPr>
            </w:pPr>
            <w:r>
              <w:rPr>
                <w:rFonts w:hint="eastAsia" w:ascii="宋体" w:hAnsi="宋体"/>
                <w:sz w:val="24"/>
                <w:szCs w:val="24"/>
              </w:rPr>
              <w:t>所承担工作</w:t>
            </w:r>
          </w:p>
        </w:tc>
        <w:tc>
          <w:tcPr>
            <w:tcW w:w="2775" w:type="dxa"/>
            <w:vAlign w:val="center"/>
          </w:tcPr>
          <w:p w14:paraId="3A0BF0FF">
            <w:pPr>
              <w:tabs>
                <w:tab w:val="left" w:pos="720"/>
              </w:tabs>
              <w:snapToGrid w:val="0"/>
              <w:spacing w:line="360" w:lineRule="auto"/>
              <w:jc w:val="center"/>
              <w:rPr>
                <w:rFonts w:hint="eastAsia" w:ascii="宋体" w:hAnsi="宋体"/>
                <w:sz w:val="24"/>
                <w:szCs w:val="24"/>
              </w:rPr>
            </w:pPr>
            <w:r>
              <w:rPr>
                <w:rFonts w:hint="eastAsia" w:ascii="宋体" w:hAnsi="宋体"/>
                <w:sz w:val="24"/>
                <w:szCs w:val="24"/>
              </w:rPr>
              <w:t>身份证号码</w:t>
            </w:r>
          </w:p>
        </w:tc>
        <w:tc>
          <w:tcPr>
            <w:tcW w:w="2055" w:type="dxa"/>
            <w:vAlign w:val="center"/>
          </w:tcPr>
          <w:p w14:paraId="77294AD0">
            <w:pPr>
              <w:tabs>
                <w:tab w:val="left" w:pos="720"/>
              </w:tabs>
              <w:snapToGrid w:val="0"/>
              <w:spacing w:line="360" w:lineRule="auto"/>
              <w:jc w:val="center"/>
              <w:rPr>
                <w:rFonts w:hint="eastAsia" w:ascii="宋体" w:hAnsi="宋体"/>
                <w:sz w:val="24"/>
                <w:szCs w:val="24"/>
              </w:rPr>
            </w:pPr>
            <w:r>
              <w:rPr>
                <w:rFonts w:hint="eastAsia" w:ascii="宋体" w:hAnsi="宋体"/>
                <w:sz w:val="24"/>
                <w:szCs w:val="24"/>
              </w:rPr>
              <w:t>本人签名栏</w:t>
            </w:r>
          </w:p>
        </w:tc>
      </w:tr>
      <w:tr w14:paraId="18AB5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099" w:type="dxa"/>
            <w:vAlign w:val="center"/>
          </w:tcPr>
          <w:p w14:paraId="48CD5393">
            <w:pPr>
              <w:tabs>
                <w:tab w:val="left" w:pos="720"/>
              </w:tabs>
              <w:snapToGrid w:val="0"/>
              <w:spacing w:line="360" w:lineRule="auto"/>
              <w:jc w:val="center"/>
              <w:rPr>
                <w:rFonts w:hint="eastAsia" w:ascii="宋体" w:hAnsi="宋体"/>
                <w:sz w:val="24"/>
                <w:szCs w:val="24"/>
              </w:rPr>
            </w:pPr>
          </w:p>
        </w:tc>
        <w:tc>
          <w:tcPr>
            <w:tcW w:w="1736" w:type="dxa"/>
            <w:vAlign w:val="center"/>
          </w:tcPr>
          <w:p w14:paraId="080C09F8">
            <w:pPr>
              <w:tabs>
                <w:tab w:val="left" w:pos="720"/>
              </w:tabs>
              <w:snapToGrid w:val="0"/>
              <w:spacing w:line="360" w:lineRule="auto"/>
              <w:jc w:val="center"/>
              <w:rPr>
                <w:rFonts w:hint="eastAsia" w:ascii="宋体" w:hAnsi="宋体"/>
                <w:sz w:val="24"/>
                <w:szCs w:val="24"/>
              </w:rPr>
            </w:pPr>
          </w:p>
        </w:tc>
        <w:tc>
          <w:tcPr>
            <w:tcW w:w="1980" w:type="dxa"/>
            <w:vAlign w:val="center"/>
          </w:tcPr>
          <w:p w14:paraId="50E72138">
            <w:pPr>
              <w:tabs>
                <w:tab w:val="left" w:pos="720"/>
              </w:tabs>
              <w:snapToGrid w:val="0"/>
              <w:spacing w:line="360" w:lineRule="auto"/>
              <w:jc w:val="center"/>
              <w:rPr>
                <w:rFonts w:hint="eastAsia" w:ascii="宋体" w:hAnsi="宋体"/>
                <w:sz w:val="24"/>
                <w:szCs w:val="24"/>
              </w:rPr>
            </w:pPr>
          </w:p>
        </w:tc>
        <w:tc>
          <w:tcPr>
            <w:tcW w:w="2775" w:type="dxa"/>
            <w:vAlign w:val="center"/>
          </w:tcPr>
          <w:p w14:paraId="4DF24F0A">
            <w:pPr>
              <w:tabs>
                <w:tab w:val="left" w:pos="720"/>
              </w:tabs>
              <w:snapToGrid w:val="0"/>
              <w:spacing w:line="360" w:lineRule="auto"/>
              <w:jc w:val="center"/>
              <w:rPr>
                <w:rFonts w:hint="eastAsia" w:ascii="宋体" w:hAnsi="宋体"/>
                <w:sz w:val="24"/>
                <w:szCs w:val="24"/>
              </w:rPr>
            </w:pPr>
          </w:p>
        </w:tc>
        <w:tc>
          <w:tcPr>
            <w:tcW w:w="2055" w:type="dxa"/>
            <w:vAlign w:val="center"/>
          </w:tcPr>
          <w:p w14:paraId="63CF0979">
            <w:pPr>
              <w:tabs>
                <w:tab w:val="left" w:pos="720"/>
              </w:tabs>
              <w:snapToGrid w:val="0"/>
              <w:spacing w:line="360" w:lineRule="auto"/>
              <w:jc w:val="center"/>
              <w:rPr>
                <w:rFonts w:hint="eastAsia" w:ascii="宋体" w:hAnsi="宋体"/>
                <w:sz w:val="24"/>
                <w:szCs w:val="24"/>
              </w:rPr>
            </w:pPr>
          </w:p>
        </w:tc>
      </w:tr>
      <w:tr w14:paraId="4018E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99" w:type="dxa"/>
            <w:vAlign w:val="center"/>
          </w:tcPr>
          <w:p w14:paraId="7FE1213F">
            <w:pPr>
              <w:tabs>
                <w:tab w:val="left" w:pos="720"/>
              </w:tabs>
              <w:snapToGrid w:val="0"/>
              <w:spacing w:line="360" w:lineRule="auto"/>
              <w:jc w:val="center"/>
              <w:rPr>
                <w:rFonts w:hint="eastAsia" w:ascii="宋体" w:hAnsi="宋体"/>
                <w:sz w:val="24"/>
                <w:szCs w:val="24"/>
              </w:rPr>
            </w:pPr>
          </w:p>
        </w:tc>
        <w:tc>
          <w:tcPr>
            <w:tcW w:w="1736" w:type="dxa"/>
            <w:vAlign w:val="center"/>
          </w:tcPr>
          <w:p w14:paraId="7AC579D9">
            <w:pPr>
              <w:tabs>
                <w:tab w:val="left" w:pos="720"/>
              </w:tabs>
              <w:snapToGrid w:val="0"/>
              <w:spacing w:line="360" w:lineRule="auto"/>
              <w:jc w:val="center"/>
              <w:rPr>
                <w:rFonts w:hint="eastAsia" w:ascii="宋体" w:hAnsi="宋体"/>
                <w:sz w:val="24"/>
                <w:szCs w:val="24"/>
              </w:rPr>
            </w:pPr>
          </w:p>
        </w:tc>
        <w:tc>
          <w:tcPr>
            <w:tcW w:w="1980" w:type="dxa"/>
            <w:vAlign w:val="center"/>
          </w:tcPr>
          <w:p w14:paraId="04E085BA">
            <w:pPr>
              <w:tabs>
                <w:tab w:val="left" w:pos="720"/>
              </w:tabs>
              <w:snapToGrid w:val="0"/>
              <w:spacing w:line="360" w:lineRule="auto"/>
              <w:jc w:val="center"/>
              <w:rPr>
                <w:rFonts w:hint="eastAsia" w:ascii="宋体" w:hAnsi="宋体"/>
                <w:sz w:val="24"/>
                <w:szCs w:val="24"/>
              </w:rPr>
            </w:pPr>
          </w:p>
        </w:tc>
        <w:tc>
          <w:tcPr>
            <w:tcW w:w="2775" w:type="dxa"/>
            <w:vAlign w:val="center"/>
          </w:tcPr>
          <w:p w14:paraId="3476E8D8">
            <w:pPr>
              <w:tabs>
                <w:tab w:val="left" w:pos="720"/>
              </w:tabs>
              <w:snapToGrid w:val="0"/>
              <w:spacing w:line="360" w:lineRule="auto"/>
              <w:jc w:val="center"/>
              <w:rPr>
                <w:rFonts w:hint="eastAsia" w:ascii="宋体" w:hAnsi="宋体"/>
                <w:sz w:val="24"/>
                <w:szCs w:val="24"/>
              </w:rPr>
            </w:pPr>
          </w:p>
        </w:tc>
        <w:tc>
          <w:tcPr>
            <w:tcW w:w="2055" w:type="dxa"/>
            <w:vAlign w:val="center"/>
          </w:tcPr>
          <w:p w14:paraId="50CF69C1">
            <w:pPr>
              <w:tabs>
                <w:tab w:val="left" w:pos="720"/>
              </w:tabs>
              <w:snapToGrid w:val="0"/>
              <w:spacing w:line="360" w:lineRule="auto"/>
              <w:jc w:val="center"/>
              <w:rPr>
                <w:rFonts w:hint="eastAsia" w:ascii="宋体" w:hAnsi="宋体"/>
                <w:sz w:val="24"/>
                <w:szCs w:val="24"/>
              </w:rPr>
            </w:pPr>
          </w:p>
        </w:tc>
      </w:tr>
      <w:tr w14:paraId="109FC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99" w:type="dxa"/>
            <w:vAlign w:val="center"/>
          </w:tcPr>
          <w:p w14:paraId="17A11CD0">
            <w:pPr>
              <w:tabs>
                <w:tab w:val="left" w:pos="720"/>
              </w:tabs>
              <w:snapToGrid w:val="0"/>
              <w:spacing w:line="360" w:lineRule="auto"/>
              <w:jc w:val="center"/>
              <w:rPr>
                <w:rFonts w:hint="eastAsia" w:ascii="宋体" w:hAnsi="宋体"/>
                <w:sz w:val="24"/>
                <w:szCs w:val="24"/>
              </w:rPr>
            </w:pPr>
          </w:p>
        </w:tc>
        <w:tc>
          <w:tcPr>
            <w:tcW w:w="1736" w:type="dxa"/>
            <w:vAlign w:val="center"/>
          </w:tcPr>
          <w:p w14:paraId="1ADB281D">
            <w:pPr>
              <w:tabs>
                <w:tab w:val="left" w:pos="720"/>
              </w:tabs>
              <w:snapToGrid w:val="0"/>
              <w:spacing w:line="360" w:lineRule="auto"/>
              <w:jc w:val="center"/>
              <w:rPr>
                <w:rFonts w:hint="eastAsia" w:ascii="宋体" w:hAnsi="宋体"/>
                <w:sz w:val="24"/>
                <w:szCs w:val="24"/>
              </w:rPr>
            </w:pPr>
          </w:p>
        </w:tc>
        <w:tc>
          <w:tcPr>
            <w:tcW w:w="1980" w:type="dxa"/>
            <w:vAlign w:val="center"/>
          </w:tcPr>
          <w:p w14:paraId="649E9E20">
            <w:pPr>
              <w:tabs>
                <w:tab w:val="left" w:pos="720"/>
              </w:tabs>
              <w:snapToGrid w:val="0"/>
              <w:spacing w:line="360" w:lineRule="auto"/>
              <w:jc w:val="center"/>
              <w:rPr>
                <w:rFonts w:hint="eastAsia" w:ascii="宋体" w:hAnsi="宋体"/>
                <w:sz w:val="24"/>
                <w:szCs w:val="24"/>
              </w:rPr>
            </w:pPr>
          </w:p>
        </w:tc>
        <w:tc>
          <w:tcPr>
            <w:tcW w:w="2775" w:type="dxa"/>
            <w:vAlign w:val="center"/>
          </w:tcPr>
          <w:p w14:paraId="3425174E">
            <w:pPr>
              <w:tabs>
                <w:tab w:val="left" w:pos="720"/>
              </w:tabs>
              <w:snapToGrid w:val="0"/>
              <w:spacing w:line="360" w:lineRule="auto"/>
              <w:jc w:val="center"/>
              <w:rPr>
                <w:rFonts w:hint="eastAsia" w:ascii="宋体" w:hAnsi="宋体"/>
                <w:sz w:val="24"/>
                <w:szCs w:val="24"/>
              </w:rPr>
            </w:pPr>
          </w:p>
        </w:tc>
        <w:tc>
          <w:tcPr>
            <w:tcW w:w="2055" w:type="dxa"/>
            <w:vAlign w:val="center"/>
          </w:tcPr>
          <w:p w14:paraId="0DFBD179">
            <w:pPr>
              <w:tabs>
                <w:tab w:val="left" w:pos="720"/>
              </w:tabs>
              <w:snapToGrid w:val="0"/>
              <w:spacing w:line="360" w:lineRule="auto"/>
              <w:jc w:val="center"/>
              <w:rPr>
                <w:rFonts w:hint="eastAsia" w:ascii="宋体" w:hAnsi="宋体"/>
                <w:sz w:val="24"/>
                <w:szCs w:val="24"/>
              </w:rPr>
            </w:pPr>
          </w:p>
        </w:tc>
      </w:tr>
      <w:tr w14:paraId="69B83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99" w:type="dxa"/>
            <w:vAlign w:val="center"/>
          </w:tcPr>
          <w:p w14:paraId="5C09ECF6">
            <w:pPr>
              <w:tabs>
                <w:tab w:val="left" w:pos="720"/>
              </w:tabs>
              <w:snapToGrid w:val="0"/>
              <w:spacing w:line="360" w:lineRule="auto"/>
              <w:jc w:val="center"/>
              <w:rPr>
                <w:rFonts w:hint="eastAsia" w:ascii="宋体" w:hAnsi="宋体"/>
                <w:sz w:val="24"/>
                <w:szCs w:val="24"/>
              </w:rPr>
            </w:pPr>
          </w:p>
        </w:tc>
        <w:tc>
          <w:tcPr>
            <w:tcW w:w="1736" w:type="dxa"/>
            <w:vAlign w:val="center"/>
          </w:tcPr>
          <w:p w14:paraId="03D47828">
            <w:pPr>
              <w:tabs>
                <w:tab w:val="left" w:pos="720"/>
              </w:tabs>
              <w:snapToGrid w:val="0"/>
              <w:spacing w:line="360" w:lineRule="auto"/>
              <w:jc w:val="center"/>
              <w:rPr>
                <w:rFonts w:hint="eastAsia" w:ascii="宋体" w:hAnsi="宋体"/>
                <w:sz w:val="24"/>
                <w:szCs w:val="24"/>
              </w:rPr>
            </w:pPr>
          </w:p>
        </w:tc>
        <w:tc>
          <w:tcPr>
            <w:tcW w:w="1980" w:type="dxa"/>
            <w:vAlign w:val="center"/>
          </w:tcPr>
          <w:p w14:paraId="09124165">
            <w:pPr>
              <w:tabs>
                <w:tab w:val="left" w:pos="720"/>
              </w:tabs>
              <w:snapToGrid w:val="0"/>
              <w:spacing w:line="360" w:lineRule="auto"/>
              <w:jc w:val="center"/>
              <w:rPr>
                <w:rFonts w:hint="eastAsia" w:ascii="宋体" w:hAnsi="宋体"/>
                <w:sz w:val="24"/>
                <w:szCs w:val="24"/>
              </w:rPr>
            </w:pPr>
          </w:p>
        </w:tc>
        <w:tc>
          <w:tcPr>
            <w:tcW w:w="2775" w:type="dxa"/>
            <w:vAlign w:val="center"/>
          </w:tcPr>
          <w:p w14:paraId="1C636F46">
            <w:pPr>
              <w:tabs>
                <w:tab w:val="left" w:pos="720"/>
              </w:tabs>
              <w:snapToGrid w:val="0"/>
              <w:spacing w:line="360" w:lineRule="auto"/>
              <w:jc w:val="center"/>
              <w:rPr>
                <w:rFonts w:hint="eastAsia" w:ascii="宋体" w:hAnsi="宋体"/>
                <w:sz w:val="24"/>
                <w:szCs w:val="24"/>
              </w:rPr>
            </w:pPr>
          </w:p>
        </w:tc>
        <w:tc>
          <w:tcPr>
            <w:tcW w:w="2055" w:type="dxa"/>
            <w:vAlign w:val="center"/>
          </w:tcPr>
          <w:p w14:paraId="2DB09105">
            <w:pPr>
              <w:tabs>
                <w:tab w:val="left" w:pos="720"/>
              </w:tabs>
              <w:snapToGrid w:val="0"/>
              <w:spacing w:line="360" w:lineRule="auto"/>
              <w:jc w:val="center"/>
              <w:rPr>
                <w:rFonts w:hint="eastAsia" w:ascii="宋体" w:hAnsi="宋体"/>
                <w:sz w:val="24"/>
                <w:szCs w:val="24"/>
              </w:rPr>
            </w:pPr>
          </w:p>
        </w:tc>
      </w:tr>
      <w:tr w14:paraId="5A63A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99" w:type="dxa"/>
            <w:vAlign w:val="center"/>
          </w:tcPr>
          <w:p w14:paraId="5B08C8E5">
            <w:pPr>
              <w:tabs>
                <w:tab w:val="left" w:pos="720"/>
              </w:tabs>
              <w:snapToGrid w:val="0"/>
              <w:spacing w:line="360" w:lineRule="auto"/>
              <w:jc w:val="center"/>
              <w:rPr>
                <w:rFonts w:hint="eastAsia" w:ascii="宋体" w:hAnsi="宋体"/>
                <w:sz w:val="24"/>
                <w:szCs w:val="24"/>
              </w:rPr>
            </w:pPr>
          </w:p>
        </w:tc>
        <w:tc>
          <w:tcPr>
            <w:tcW w:w="1736" w:type="dxa"/>
            <w:vAlign w:val="center"/>
          </w:tcPr>
          <w:p w14:paraId="7B0FE29D">
            <w:pPr>
              <w:tabs>
                <w:tab w:val="left" w:pos="720"/>
              </w:tabs>
              <w:snapToGrid w:val="0"/>
              <w:spacing w:line="360" w:lineRule="auto"/>
              <w:jc w:val="center"/>
              <w:rPr>
                <w:rFonts w:hint="eastAsia" w:ascii="宋体" w:hAnsi="宋体"/>
                <w:sz w:val="24"/>
                <w:szCs w:val="24"/>
              </w:rPr>
            </w:pPr>
          </w:p>
        </w:tc>
        <w:tc>
          <w:tcPr>
            <w:tcW w:w="1980" w:type="dxa"/>
            <w:vAlign w:val="center"/>
          </w:tcPr>
          <w:p w14:paraId="2B7590AE">
            <w:pPr>
              <w:tabs>
                <w:tab w:val="left" w:pos="720"/>
              </w:tabs>
              <w:snapToGrid w:val="0"/>
              <w:spacing w:line="360" w:lineRule="auto"/>
              <w:jc w:val="center"/>
              <w:rPr>
                <w:rFonts w:hint="eastAsia" w:ascii="宋体" w:hAnsi="宋体"/>
                <w:sz w:val="24"/>
                <w:szCs w:val="24"/>
              </w:rPr>
            </w:pPr>
          </w:p>
        </w:tc>
        <w:tc>
          <w:tcPr>
            <w:tcW w:w="2775" w:type="dxa"/>
            <w:vAlign w:val="center"/>
          </w:tcPr>
          <w:p w14:paraId="583C2F90">
            <w:pPr>
              <w:tabs>
                <w:tab w:val="left" w:pos="720"/>
              </w:tabs>
              <w:snapToGrid w:val="0"/>
              <w:spacing w:line="360" w:lineRule="auto"/>
              <w:jc w:val="center"/>
              <w:rPr>
                <w:rFonts w:hint="eastAsia" w:ascii="宋体" w:hAnsi="宋体"/>
                <w:sz w:val="24"/>
                <w:szCs w:val="24"/>
              </w:rPr>
            </w:pPr>
          </w:p>
        </w:tc>
        <w:tc>
          <w:tcPr>
            <w:tcW w:w="2055" w:type="dxa"/>
            <w:vAlign w:val="center"/>
          </w:tcPr>
          <w:p w14:paraId="17F984AD">
            <w:pPr>
              <w:tabs>
                <w:tab w:val="left" w:pos="720"/>
              </w:tabs>
              <w:snapToGrid w:val="0"/>
              <w:spacing w:line="360" w:lineRule="auto"/>
              <w:jc w:val="center"/>
              <w:rPr>
                <w:rFonts w:hint="eastAsia" w:ascii="宋体" w:hAnsi="宋体"/>
                <w:sz w:val="24"/>
                <w:szCs w:val="24"/>
              </w:rPr>
            </w:pPr>
          </w:p>
        </w:tc>
      </w:tr>
      <w:tr w14:paraId="6AA38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99" w:type="dxa"/>
            <w:vAlign w:val="center"/>
          </w:tcPr>
          <w:p w14:paraId="3B1B305B">
            <w:pPr>
              <w:tabs>
                <w:tab w:val="left" w:pos="720"/>
              </w:tabs>
              <w:snapToGrid w:val="0"/>
              <w:spacing w:line="360" w:lineRule="auto"/>
              <w:jc w:val="center"/>
              <w:rPr>
                <w:rFonts w:hint="eastAsia" w:ascii="宋体" w:hAnsi="宋体"/>
                <w:sz w:val="24"/>
                <w:szCs w:val="24"/>
              </w:rPr>
            </w:pPr>
          </w:p>
        </w:tc>
        <w:tc>
          <w:tcPr>
            <w:tcW w:w="1736" w:type="dxa"/>
            <w:vAlign w:val="center"/>
          </w:tcPr>
          <w:p w14:paraId="1D1AF2E5">
            <w:pPr>
              <w:tabs>
                <w:tab w:val="left" w:pos="720"/>
              </w:tabs>
              <w:snapToGrid w:val="0"/>
              <w:spacing w:line="360" w:lineRule="auto"/>
              <w:jc w:val="center"/>
              <w:rPr>
                <w:rFonts w:hint="eastAsia" w:ascii="宋体" w:hAnsi="宋体"/>
                <w:sz w:val="24"/>
                <w:szCs w:val="24"/>
              </w:rPr>
            </w:pPr>
          </w:p>
        </w:tc>
        <w:tc>
          <w:tcPr>
            <w:tcW w:w="1980" w:type="dxa"/>
            <w:vAlign w:val="center"/>
          </w:tcPr>
          <w:p w14:paraId="2DE4FAE2">
            <w:pPr>
              <w:tabs>
                <w:tab w:val="left" w:pos="720"/>
              </w:tabs>
              <w:snapToGrid w:val="0"/>
              <w:spacing w:line="360" w:lineRule="auto"/>
              <w:jc w:val="center"/>
              <w:rPr>
                <w:rFonts w:hint="eastAsia" w:ascii="宋体" w:hAnsi="宋体"/>
                <w:sz w:val="24"/>
                <w:szCs w:val="24"/>
              </w:rPr>
            </w:pPr>
          </w:p>
        </w:tc>
        <w:tc>
          <w:tcPr>
            <w:tcW w:w="2775" w:type="dxa"/>
            <w:vAlign w:val="center"/>
          </w:tcPr>
          <w:p w14:paraId="447972B6">
            <w:pPr>
              <w:tabs>
                <w:tab w:val="left" w:pos="720"/>
              </w:tabs>
              <w:snapToGrid w:val="0"/>
              <w:spacing w:line="360" w:lineRule="auto"/>
              <w:jc w:val="center"/>
              <w:rPr>
                <w:rFonts w:hint="eastAsia" w:ascii="宋体" w:hAnsi="宋体"/>
                <w:sz w:val="24"/>
                <w:szCs w:val="24"/>
              </w:rPr>
            </w:pPr>
          </w:p>
        </w:tc>
        <w:tc>
          <w:tcPr>
            <w:tcW w:w="2055" w:type="dxa"/>
            <w:vAlign w:val="center"/>
          </w:tcPr>
          <w:p w14:paraId="02329C51">
            <w:pPr>
              <w:tabs>
                <w:tab w:val="left" w:pos="720"/>
              </w:tabs>
              <w:snapToGrid w:val="0"/>
              <w:spacing w:line="360" w:lineRule="auto"/>
              <w:jc w:val="center"/>
              <w:rPr>
                <w:rFonts w:hint="eastAsia" w:ascii="宋体" w:hAnsi="宋体"/>
                <w:sz w:val="24"/>
                <w:szCs w:val="24"/>
              </w:rPr>
            </w:pPr>
          </w:p>
        </w:tc>
      </w:tr>
      <w:tr w14:paraId="210AD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99" w:type="dxa"/>
            <w:vAlign w:val="center"/>
          </w:tcPr>
          <w:p w14:paraId="1F8B1674">
            <w:pPr>
              <w:tabs>
                <w:tab w:val="left" w:pos="720"/>
              </w:tabs>
              <w:snapToGrid w:val="0"/>
              <w:spacing w:line="360" w:lineRule="auto"/>
              <w:jc w:val="center"/>
              <w:rPr>
                <w:rFonts w:hint="eastAsia" w:ascii="宋体" w:hAnsi="宋体"/>
                <w:sz w:val="24"/>
                <w:szCs w:val="24"/>
              </w:rPr>
            </w:pPr>
          </w:p>
        </w:tc>
        <w:tc>
          <w:tcPr>
            <w:tcW w:w="1736" w:type="dxa"/>
            <w:vAlign w:val="center"/>
          </w:tcPr>
          <w:p w14:paraId="35E92E11">
            <w:pPr>
              <w:tabs>
                <w:tab w:val="left" w:pos="720"/>
              </w:tabs>
              <w:snapToGrid w:val="0"/>
              <w:spacing w:line="360" w:lineRule="auto"/>
              <w:jc w:val="center"/>
              <w:rPr>
                <w:rFonts w:hint="eastAsia" w:ascii="宋体" w:hAnsi="宋体"/>
                <w:sz w:val="24"/>
                <w:szCs w:val="24"/>
              </w:rPr>
            </w:pPr>
          </w:p>
        </w:tc>
        <w:tc>
          <w:tcPr>
            <w:tcW w:w="1980" w:type="dxa"/>
            <w:vAlign w:val="center"/>
          </w:tcPr>
          <w:p w14:paraId="4D99186B">
            <w:pPr>
              <w:tabs>
                <w:tab w:val="left" w:pos="720"/>
              </w:tabs>
              <w:snapToGrid w:val="0"/>
              <w:spacing w:line="360" w:lineRule="auto"/>
              <w:jc w:val="center"/>
              <w:rPr>
                <w:rFonts w:hint="eastAsia" w:ascii="宋体" w:hAnsi="宋体"/>
                <w:sz w:val="24"/>
                <w:szCs w:val="24"/>
              </w:rPr>
            </w:pPr>
          </w:p>
        </w:tc>
        <w:tc>
          <w:tcPr>
            <w:tcW w:w="2775" w:type="dxa"/>
            <w:vAlign w:val="center"/>
          </w:tcPr>
          <w:p w14:paraId="054A9D56">
            <w:pPr>
              <w:tabs>
                <w:tab w:val="left" w:pos="720"/>
              </w:tabs>
              <w:snapToGrid w:val="0"/>
              <w:spacing w:line="360" w:lineRule="auto"/>
              <w:jc w:val="center"/>
              <w:rPr>
                <w:rFonts w:hint="eastAsia" w:ascii="宋体" w:hAnsi="宋体"/>
                <w:sz w:val="24"/>
                <w:szCs w:val="24"/>
              </w:rPr>
            </w:pPr>
          </w:p>
        </w:tc>
        <w:tc>
          <w:tcPr>
            <w:tcW w:w="2055" w:type="dxa"/>
            <w:vAlign w:val="center"/>
          </w:tcPr>
          <w:p w14:paraId="1A82A544">
            <w:pPr>
              <w:tabs>
                <w:tab w:val="left" w:pos="720"/>
              </w:tabs>
              <w:snapToGrid w:val="0"/>
              <w:spacing w:line="360" w:lineRule="auto"/>
              <w:jc w:val="center"/>
              <w:rPr>
                <w:rFonts w:hint="eastAsia" w:ascii="宋体" w:hAnsi="宋体"/>
                <w:sz w:val="24"/>
                <w:szCs w:val="24"/>
              </w:rPr>
            </w:pPr>
          </w:p>
        </w:tc>
      </w:tr>
      <w:tr w14:paraId="5C79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99" w:type="dxa"/>
            <w:vAlign w:val="center"/>
          </w:tcPr>
          <w:p w14:paraId="38F16841">
            <w:pPr>
              <w:tabs>
                <w:tab w:val="left" w:pos="720"/>
              </w:tabs>
              <w:snapToGrid w:val="0"/>
              <w:spacing w:line="360" w:lineRule="auto"/>
              <w:jc w:val="center"/>
              <w:rPr>
                <w:rFonts w:hint="eastAsia" w:ascii="宋体" w:hAnsi="宋体"/>
                <w:sz w:val="24"/>
                <w:szCs w:val="24"/>
              </w:rPr>
            </w:pPr>
          </w:p>
        </w:tc>
        <w:tc>
          <w:tcPr>
            <w:tcW w:w="1736" w:type="dxa"/>
            <w:vAlign w:val="center"/>
          </w:tcPr>
          <w:p w14:paraId="20394933">
            <w:pPr>
              <w:tabs>
                <w:tab w:val="left" w:pos="720"/>
              </w:tabs>
              <w:snapToGrid w:val="0"/>
              <w:spacing w:line="360" w:lineRule="auto"/>
              <w:jc w:val="center"/>
              <w:rPr>
                <w:rFonts w:hint="eastAsia" w:ascii="宋体" w:hAnsi="宋体"/>
                <w:sz w:val="24"/>
                <w:szCs w:val="24"/>
              </w:rPr>
            </w:pPr>
          </w:p>
        </w:tc>
        <w:tc>
          <w:tcPr>
            <w:tcW w:w="1980" w:type="dxa"/>
            <w:vAlign w:val="center"/>
          </w:tcPr>
          <w:p w14:paraId="50B9FD39">
            <w:pPr>
              <w:tabs>
                <w:tab w:val="left" w:pos="720"/>
              </w:tabs>
              <w:snapToGrid w:val="0"/>
              <w:spacing w:line="360" w:lineRule="auto"/>
              <w:jc w:val="center"/>
              <w:rPr>
                <w:rFonts w:hint="eastAsia" w:ascii="宋体" w:hAnsi="宋体"/>
                <w:sz w:val="24"/>
                <w:szCs w:val="24"/>
              </w:rPr>
            </w:pPr>
          </w:p>
        </w:tc>
        <w:tc>
          <w:tcPr>
            <w:tcW w:w="2775" w:type="dxa"/>
            <w:vAlign w:val="center"/>
          </w:tcPr>
          <w:p w14:paraId="0A34496E">
            <w:pPr>
              <w:tabs>
                <w:tab w:val="left" w:pos="720"/>
              </w:tabs>
              <w:snapToGrid w:val="0"/>
              <w:spacing w:line="360" w:lineRule="auto"/>
              <w:jc w:val="center"/>
              <w:rPr>
                <w:rFonts w:hint="eastAsia" w:ascii="宋体" w:hAnsi="宋体"/>
                <w:sz w:val="24"/>
                <w:szCs w:val="24"/>
              </w:rPr>
            </w:pPr>
          </w:p>
        </w:tc>
        <w:tc>
          <w:tcPr>
            <w:tcW w:w="2055" w:type="dxa"/>
            <w:vAlign w:val="center"/>
          </w:tcPr>
          <w:p w14:paraId="12F1ACA6">
            <w:pPr>
              <w:tabs>
                <w:tab w:val="left" w:pos="720"/>
              </w:tabs>
              <w:snapToGrid w:val="0"/>
              <w:spacing w:line="360" w:lineRule="auto"/>
              <w:jc w:val="center"/>
              <w:rPr>
                <w:rFonts w:hint="eastAsia" w:ascii="宋体" w:hAnsi="宋体"/>
                <w:sz w:val="24"/>
                <w:szCs w:val="24"/>
              </w:rPr>
            </w:pPr>
          </w:p>
        </w:tc>
      </w:tr>
    </w:tbl>
    <w:p w14:paraId="2AC6E42F">
      <w:pPr>
        <w:ind w:firstLine="496" w:firstLineChars="200"/>
        <w:rPr>
          <w:rFonts w:hint="eastAsia" w:ascii="宋体" w:hAnsi="宋体"/>
          <w:spacing w:val="4"/>
          <w:kern w:val="0"/>
          <w:sz w:val="24"/>
          <w:szCs w:val="24"/>
        </w:rPr>
      </w:pPr>
      <w:r>
        <w:rPr>
          <w:rFonts w:hint="eastAsia" w:ascii="宋体" w:hAnsi="宋体"/>
          <w:spacing w:val="4"/>
          <w:kern w:val="0"/>
          <w:sz w:val="24"/>
          <w:szCs w:val="24"/>
        </w:rPr>
        <w:t>注：参与编制经济标书所有人员名单应包括如编制各种专业工程量清单投标报价、负责清样校对、负责打印及复印等所有人员在内的人员名单。</w:t>
      </w:r>
    </w:p>
    <w:p w14:paraId="2B2CACB4">
      <w:pPr>
        <w:widowControl/>
        <w:jc w:val="left"/>
      </w:pPr>
      <w:r>
        <w:rPr>
          <w:rFonts w:ascii="宋体" w:hAnsi="宋体"/>
        </w:rPr>
        <w:br w:type="page"/>
      </w:r>
    </w:p>
    <w:p w14:paraId="6BEA2FC2">
      <w:pPr>
        <w:pStyle w:val="3"/>
        <w:jc w:val="center"/>
        <w:rPr>
          <w:b/>
          <w:bCs/>
        </w:rPr>
      </w:pPr>
      <w:bookmarkStart w:id="200" w:name="_Toc32067"/>
      <w:bookmarkStart w:id="201" w:name="_Toc15236"/>
      <w:bookmarkStart w:id="202" w:name="_Toc26916"/>
      <w:bookmarkStart w:id="203" w:name="_Toc6490"/>
      <w:bookmarkStart w:id="204" w:name="_Toc100130502"/>
      <w:bookmarkStart w:id="205" w:name="_Toc10266"/>
      <w:bookmarkStart w:id="206" w:name="_Toc15085"/>
      <w:r>
        <w:rPr>
          <w:rFonts w:hint="eastAsia"/>
          <w:b/>
          <w:bCs/>
        </w:rPr>
        <w:t>第六章 图纸及勘察资料</w:t>
      </w:r>
      <w:bookmarkEnd w:id="200"/>
      <w:bookmarkEnd w:id="201"/>
      <w:bookmarkEnd w:id="202"/>
      <w:bookmarkEnd w:id="203"/>
      <w:bookmarkEnd w:id="204"/>
      <w:bookmarkEnd w:id="205"/>
      <w:bookmarkEnd w:id="206"/>
    </w:p>
    <w:p w14:paraId="1237126D">
      <w:pPr>
        <w:rPr>
          <w:rFonts w:hint="eastAsia" w:ascii="宋体" w:hAnsi="宋体" w:cs="宋体"/>
          <w:b/>
          <w:sz w:val="24"/>
          <w:szCs w:val="24"/>
        </w:rPr>
      </w:pPr>
      <w:r>
        <w:rPr>
          <w:rFonts w:hint="eastAsia" w:ascii="宋体" w:hAnsi="宋体" w:cs="宋体"/>
          <w:sz w:val="24"/>
          <w:szCs w:val="24"/>
        </w:rPr>
        <w:t>注：本章由招标人自行制定，另册。</w:t>
      </w:r>
    </w:p>
    <w:p w14:paraId="65CA9744">
      <w:pPr>
        <w:pStyle w:val="3"/>
        <w:jc w:val="center"/>
      </w:pPr>
      <w:r>
        <w:rPr>
          <w:rFonts w:hint="eastAsia"/>
          <w:sz w:val="24"/>
          <w:szCs w:val="24"/>
        </w:rPr>
        <w:br w:type="page"/>
      </w:r>
      <w:bookmarkStart w:id="207" w:name="_Toc24832"/>
      <w:bookmarkStart w:id="208" w:name="_Toc100130503"/>
      <w:bookmarkStart w:id="209" w:name="_Toc2188"/>
      <w:bookmarkStart w:id="210" w:name="_Toc10801"/>
      <w:bookmarkStart w:id="211" w:name="_Toc29736"/>
      <w:bookmarkStart w:id="212" w:name="_Toc4916"/>
      <w:bookmarkStart w:id="213" w:name="_Toc29719"/>
      <w:r>
        <w:rPr>
          <w:rFonts w:hint="eastAsia"/>
          <w:b/>
          <w:bCs/>
        </w:rPr>
        <w:t>第七章 工程量清单</w:t>
      </w:r>
      <w:bookmarkEnd w:id="207"/>
      <w:bookmarkEnd w:id="208"/>
      <w:bookmarkEnd w:id="209"/>
      <w:bookmarkEnd w:id="210"/>
      <w:bookmarkEnd w:id="211"/>
      <w:bookmarkEnd w:id="212"/>
      <w:bookmarkEnd w:id="213"/>
    </w:p>
    <w:p w14:paraId="281A0A55">
      <w:pPr>
        <w:rPr>
          <w:rFonts w:hint="eastAsia" w:ascii="宋体" w:hAnsi="宋体" w:cs="宋体"/>
          <w:b/>
          <w:sz w:val="24"/>
          <w:szCs w:val="24"/>
        </w:rPr>
      </w:pPr>
      <w:r>
        <w:rPr>
          <w:rFonts w:hint="eastAsia" w:ascii="宋体" w:hAnsi="宋体" w:cs="宋体"/>
          <w:sz w:val="24"/>
          <w:szCs w:val="24"/>
        </w:rPr>
        <w:t>注：本章由招标人自行制定，另册。</w:t>
      </w:r>
    </w:p>
    <w:p w14:paraId="0A0B37AC">
      <w:pPr>
        <w:pStyle w:val="50"/>
        <w:spacing w:after="0" w:line="360" w:lineRule="auto"/>
        <w:ind w:left="-2" w:leftChars="-1" w:firstLine="960" w:firstLineChars="400"/>
        <w:rPr>
          <w:rFonts w:hint="eastAsia" w:ascii="宋体" w:hAnsi="宋体" w:eastAsia="宋体" w:cs="宋体"/>
          <w:sz w:val="24"/>
        </w:rPr>
      </w:pPr>
    </w:p>
    <w:p w14:paraId="6B637E53">
      <w:pPr>
        <w:pStyle w:val="3"/>
        <w:jc w:val="center"/>
      </w:pPr>
      <w:r>
        <w:rPr>
          <w:rFonts w:hint="eastAsia"/>
          <w:sz w:val="24"/>
          <w:szCs w:val="24"/>
        </w:rPr>
        <w:br w:type="page"/>
      </w:r>
      <w:bookmarkStart w:id="214" w:name="_Toc22431"/>
      <w:bookmarkStart w:id="215" w:name="_Toc28912"/>
      <w:bookmarkStart w:id="216" w:name="_Toc100130504"/>
      <w:bookmarkStart w:id="217" w:name="_Toc11586"/>
      <w:bookmarkStart w:id="218" w:name="_Toc14822"/>
      <w:bookmarkStart w:id="219" w:name="_Toc12706"/>
      <w:bookmarkStart w:id="220" w:name="_Toc14376"/>
      <w:r>
        <w:rPr>
          <w:rFonts w:hint="eastAsia"/>
          <w:b/>
          <w:bCs/>
        </w:rPr>
        <w:t>第八章 最高投标限价</w:t>
      </w:r>
      <w:bookmarkEnd w:id="214"/>
      <w:bookmarkEnd w:id="215"/>
      <w:bookmarkEnd w:id="216"/>
      <w:bookmarkEnd w:id="217"/>
      <w:bookmarkEnd w:id="218"/>
      <w:bookmarkEnd w:id="219"/>
      <w:bookmarkEnd w:id="220"/>
    </w:p>
    <w:p w14:paraId="62F222DF">
      <w:pPr>
        <w:spacing w:line="240" w:lineRule="auto"/>
        <w:ind w:firstLine="0" w:firstLineChars="0"/>
        <w:jc w:val="center"/>
        <w:rPr>
          <w:rFonts w:hint="eastAsia" w:ascii="宋体" w:hAnsi="宋体" w:cs="宋体"/>
          <w:sz w:val="24"/>
          <w:szCs w:val="24"/>
          <w:u w:val="single"/>
        </w:rPr>
      </w:pPr>
      <w:r>
        <w:rPr>
          <w:rFonts w:hint="eastAsia" w:ascii="宋体" w:hAnsi="宋体" w:cs="宋体"/>
          <w:sz w:val="24"/>
          <w:szCs w:val="24"/>
        </w:rPr>
        <w:t>（另册）</w:t>
      </w:r>
    </w:p>
    <w:p w14:paraId="7E30B46D">
      <w:pPr>
        <w:spacing w:line="360" w:lineRule="auto"/>
        <w:ind w:firstLine="480"/>
        <w:rPr>
          <w:rFonts w:hint="eastAsia" w:ascii="宋体" w:hAnsi="宋体" w:cs="宋体"/>
          <w:sz w:val="24"/>
          <w:szCs w:val="24"/>
          <w:u w:val="single"/>
        </w:rPr>
      </w:pPr>
    </w:p>
    <w:p w14:paraId="2D86BD9F"/>
    <w:sectPr>
      <w:footerReference r:id="rId11" w:type="default"/>
      <w:pgSz w:w="11906" w:h="16838"/>
      <w:pgMar w:top="1440" w:right="1080" w:bottom="1440" w:left="108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Calisto MT">
    <w:altName w:val="Segoe Print"/>
    <w:panose1 w:val="0204060305050503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书宋简体">
    <w:altName w:val="黑体"/>
    <w:panose1 w:val="00000000000000000000"/>
    <w:charset w:val="86"/>
    <w:family w:val="script"/>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ˎ̥">
    <w:altName w:val="Times New Roman"/>
    <w:panose1 w:val="00000000000000000000"/>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DejaVu Sans">
    <w:altName w:val="Times New Roman"/>
    <w:panose1 w:val="00000000000000000000"/>
    <w:charset w:val="00"/>
    <w:family w:val="swiss"/>
    <w:pitch w:val="default"/>
    <w:sig w:usb0="00000000" w:usb1="00000000" w:usb2="0A246029" w:usb3="00000000" w:csb0="000001FF" w:csb1="00000000"/>
  </w:font>
  <w:font w:name="Helvetica Neue">
    <w:altName w:val="宋体"/>
    <w:panose1 w:val="00000000000000000000"/>
    <w:charset w:val="86"/>
    <w:family w:val="roman"/>
    <w:pitch w:val="default"/>
    <w:sig w:usb0="00000000" w:usb1="00000000" w:usb2="00000000" w:usb3="00000000" w:csb0="00040001" w:csb1="00000000"/>
  </w:font>
  <w:font w:name="Century Schoolbook">
    <w:altName w:val="Segoe Print"/>
    <w:panose1 w:val="02040604050505020304"/>
    <w:charset w:val="00"/>
    <w:family w:val="roman"/>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3169126"/>
    </w:sdtPr>
    <w:sdtContent>
      <w:p w14:paraId="4F6664F1">
        <w:pPr>
          <w:pStyle w:val="35"/>
          <w:jc w:val="center"/>
        </w:pPr>
        <w:r>
          <w:fldChar w:fldCharType="begin"/>
        </w:r>
        <w:r>
          <w:instrText xml:space="preserve">PAGE   \* MERGEFORMAT</w:instrText>
        </w:r>
        <w:r>
          <w:fldChar w:fldCharType="separate"/>
        </w:r>
        <w:r>
          <w:rPr>
            <w:lang w:val="zh-CN"/>
          </w:rPr>
          <w:t>7</w:t>
        </w:r>
        <w:r>
          <w:fldChar w:fldCharType="end"/>
        </w:r>
      </w:p>
    </w:sdtContent>
  </w:sdt>
  <w:p w14:paraId="263B4447">
    <w:pPr>
      <w:pStyle w:val="35"/>
      <w:ind w:firstLine="392"/>
      <w:jc w:val="right"/>
      <w:rPr>
        <w:rStyle w:val="5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5A8EA">
    <w:pPr>
      <w:pStyle w:val="35"/>
      <w:ind w:firstLine="392"/>
      <w:rPr>
        <w:rStyle w:val="58"/>
      </w:rPr>
    </w:pPr>
    <w:r>
      <w:fldChar w:fldCharType="begin"/>
    </w:r>
    <w:r>
      <w:rPr>
        <w:rStyle w:val="58"/>
      </w:rPr>
      <w:instrText xml:space="preserve">PAGE  </w:instrText>
    </w:r>
    <w:r>
      <w:fldChar w:fldCharType="separate"/>
    </w:r>
    <w:r>
      <w:rPr>
        <w:rStyle w:val="58"/>
        <w:rFonts w:hint="eastAsia"/>
      </w:rPr>
      <w:t>一</w:t>
    </w:r>
    <w:r>
      <w:rPr>
        <w:rStyle w:val="58"/>
      </w:rPr>
      <w:t>–2</w:t>
    </w:r>
    <w:r>
      <w:fldChar w:fldCharType="end"/>
    </w:r>
  </w:p>
  <w:p w14:paraId="492DF3BF">
    <w:pPr>
      <w:pStyle w:val="35"/>
      <w:ind w:firstLine="392"/>
    </w:pPr>
    <w:r>
      <w:rPr>
        <w:kern w:val="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83747">
    <w:pPr>
      <w:pStyle w:val="35"/>
      <w:framePr w:wrap="around" w:vAnchor="text" w:hAnchor="margin" w:xAlign="outside" w:y="1"/>
      <w:jc w:val="center"/>
      <w:rPr>
        <w:rStyle w:val="58"/>
      </w:rPr>
    </w:pPr>
    <w:r>
      <w:fldChar w:fldCharType="begin"/>
    </w:r>
    <w:r>
      <w:rPr>
        <w:rStyle w:val="58"/>
      </w:rPr>
      <w:instrText xml:space="preserve">PAGE  </w:instrText>
    </w:r>
    <w:r>
      <w:fldChar w:fldCharType="separate"/>
    </w:r>
    <w:r>
      <w:rPr>
        <w:rStyle w:val="58"/>
      </w:rPr>
      <w:t>63</w:t>
    </w:r>
    <w:r>
      <w:fldChar w:fldCharType="end"/>
    </w:r>
  </w:p>
  <w:p w14:paraId="076D5139">
    <w:pPr>
      <w:pStyle w:val="35"/>
      <w:framePr w:wrap="around" w:vAnchor="text" w:hAnchor="margin" w:xAlign="outside" w:y="1"/>
      <w:ind w:left="-4410" w:leftChars="-2100" w:right="-4439" w:rightChars="-2114"/>
      <w:rPr>
        <w:rStyle w:val="58"/>
      </w:rPr>
    </w:pPr>
  </w:p>
  <w:p w14:paraId="07D1B48E">
    <w:pPr>
      <w:pStyle w:val="35"/>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1929E">
    <w:pPr>
      <w:pStyle w:val="35"/>
      <w:framePr w:wrap="around" w:vAnchor="text" w:hAnchor="margin" w:xAlign="outside" w:y="1"/>
      <w:rPr>
        <w:rStyle w:val="58"/>
      </w:rPr>
    </w:pPr>
    <w:r>
      <w:fldChar w:fldCharType="begin"/>
    </w:r>
    <w:r>
      <w:rPr>
        <w:rStyle w:val="58"/>
      </w:rPr>
      <w:instrText xml:space="preserve">PAGE  </w:instrText>
    </w:r>
    <w:r>
      <w:fldChar w:fldCharType="separate"/>
    </w:r>
    <w:r>
      <w:rPr>
        <w:rStyle w:val="58"/>
        <w:rFonts w:hint="eastAsia"/>
      </w:rPr>
      <w:t>一</w:t>
    </w:r>
    <w:r>
      <w:rPr>
        <w:rStyle w:val="58"/>
      </w:rPr>
      <w:t>–2</w:t>
    </w:r>
    <w:r>
      <w:fldChar w:fldCharType="end"/>
    </w:r>
  </w:p>
  <w:p w14:paraId="3E227C55">
    <w:pPr>
      <w:pStyle w:val="35"/>
      <w:ind w:right="360" w:firstLine="360"/>
      <w:jc w:val="center"/>
    </w:pPr>
    <w:r>
      <w:rPr>
        <w:kern w:val="0"/>
        <w:sz w:val="2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52267">
    <w:pPr>
      <w:pStyle w:val="35"/>
      <w:jc w:val="center"/>
    </w:pPr>
    <w:r>
      <w:fldChar w:fldCharType="begin"/>
    </w:r>
    <w:r>
      <w:rPr>
        <w:rStyle w:val="58"/>
      </w:rPr>
      <w:instrText xml:space="preserve"> PAGE </w:instrText>
    </w:r>
    <w:r>
      <w:fldChar w:fldCharType="separate"/>
    </w:r>
    <w:r>
      <w:rPr>
        <w:rStyle w:val="58"/>
      </w:rPr>
      <w:t>56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EC115">
    <w:pPr>
      <w:pStyle w:val="35"/>
      <w:rPr>
        <w:rFonts w:ascii="Times New Roman" w:hAnsi="Times New Roman" w:eastAsia="仿宋_GB2312"/>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1169199747"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0CD52CC0">
                          <w:pPr>
                            <w:pStyle w:val="35"/>
                          </w:pPr>
                          <w:r>
                            <w:fldChar w:fldCharType="begin"/>
                          </w:r>
                          <w:r>
                            <w:instrText xml:space="preserve"> PAGE  \* MERGEFORMAT </w:instrText>
                          </w:r>
                          <w:r>
                            <w:fldChar w:fldCharType="separate"/>
                          </w:r>
                          <w:r>
                            <w:t>81</w:t>
                          </w:r>
                          <w:r>
                            <w:fldChar w:fldCharType="end"/>
                          </w:r>
                        </w:p>
                      </w:txbxContent>
                    </wps:txbx>
                    <wps:bodyPr rot="0" vert="horz" wrap="none" lIns="0" tIns="0" rIns="0" bIns="0" anchor="t" anchorCtr="0" upright="1">
                      <a:spAutoFit/>
                    </wps:bodyPr>
                  </wps:wsp>
                </a:graphicData>
              </a:graphic>
            </wp:anchor>
          </w:drawing>
        </mc:Choice>
        <mc:Fallback>
          <w:pict>
            <v:shape id="文本框 14"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YulhTQAAAAAwEAAA8AAAAAAAAAAQAgAAAA&#10;IgAAAGRycy9kb3ducmV2LnhtbFBLAQIUABQAAAAIAIdO4kB00o47EwIAAAwEAAAOAAAAAAAAAAEA&#10;IAAAAB8BAABkcnMvZTJvRG9jLnhtbFBLBQYAAAAABgAGAFkBAACkBQAAAAA=&#10;">
              <v:fill on="f" focussize="0,0"/>
              <v:stroke on="f"/>
              <v:imagedata o:title=""/>
              <o:lock v:ext="edit" aspectratio="f"/>
              <v:textbox inset="0mm,0mm,0mm,0mm" style="mso-fit-shape-to-text:t;">
                <w:txbxContent>
                  <w:p w14:paraId="0CD52CC0">
                    <w:pPr>
                      <w:pStyle w:val="35"/>
                    </w:pPr>
                    <w:r>
                      <w:fldChar w:fldCharType="begin"/>
                    </w:r>
                    <w:r>
                      <w:instrText xml:space="preserve"> PAGE  \* MERGEFORMAT </w:instrText>
                    </w:r>
                    <w:r>
                      <w:fldChar w:fldCharType="separate"/>
                    </w:r>
                    <w:r>
                      <w:t>81</w:t>
                    </w:r>
                    <w:r>
                      <w:fldChar w:fldCharType="end"/>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302260"/>
              <wp:effectExtent l="0" t="0" r="0" b="0"/>
              <wp:wrapNone/>
              <wp:docPr id="1626973258"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302260"/>
                      </a:xfrm>
                      <a:prstGeom prst="rect">
                        <a:avLst/>
                      </a:prstGeom>
                      <a:noFill/>
                      <a:ln>
                        <a:noFill/>
                      </a:ln>
                    </wps:spPr>
                    <wps:txbx>
                      <w:txbxContent>
                        <w:p w14:paraId="69964823">
                          <w:pPr>
                            <w:pStyle w:val="35"/>
                          </w:pPr>
                        </w:p>
                        <w:p w14:paraId="455A5921"/>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23.8pt;width:9.05pt;mso-position-horizontal:center;mso-position-horizontal-relative:margin;mso-wrap-style:none;z-index:251659264;mso-width-relative:page;mso-height-relative:page;" filled="f" stroked="f" coordsize="21600,21600" o:gfxdata="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7G5YnRAAAAAwEAAA8AAAAAAAAAAQAgAAAA&#10;IgAAAGRycy9kb3ducmV2LnhtbFBLAQIUABQAAAAIAIdO4kCQJmUDEgIAAAsEAAAOAAAAAAAAAAEA&#10;IAAAACABAABkcnMvZTJvRG9jLnhtbFBLBQYAAAAABgAGAFkBAACkBQAAAAA=&#10;">
              <v:fill on="f" focussize="0,0"/>
              <v:stroke on="f"/>
              <v:imagedata o:title=""/>
              <o:lock v:ext="edit" aspectratio="f"/>
              <v:textbox inset="0mm,0mm,0mm,0mm" style="mso-fit-shape-to-text:t;">
                <w:txbxContent>
                  <w:p w14:paraId="69964823">
                    <w:pPr>
                      <w:pStyle w:val="35"/>
                    </w:pPr>
                  </w:p>
                  <w:p w14:paraId="455A5921"/>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65989">
    <w:pPr>
      <w:pStyle w:val="36"/>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8BF12">
    <w:pPr>
      <w:pStyle w:val="36"/>
      <w:jc w:val="right"/>
      <w:rPr>
        <w:i/>
        <w:iCs/>
      </w:rPr>
    </w:pPr>
    <w:r>
      <w:rPr>
        <w:rFonts w:hint="eastAsia"/>
        <w:i/>
        <w:iCs/>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A786C">
    <w:pPr>
      <w:pStyle w:val="36"/>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2C1052"/>
    <w:multiLevelType w:val="singleLevel"/>
    <w:tmpl w:val="DF2C1052"/>
    <w:lvl w:ilvl="0" w:tentative="0">
      <w:start w:val="1"/>
      <w:numFmt w:val="decimal"/>
      <w:pStyle w:val="211"/>
      <w:suff w:val="nothing"/>
      <w:lvlText w:val="%1）"/>
      <w:lvlJc w:val="left"/>
    </w:lvl>
  </w:abstractNum>
  <w:abstractNum w:abstractNumId="1">
    <w:nsid w:val="E9D2CB9F"/>
    <w:multiLevelType w:val="singleLevel"/>
    <w:tmpl w:val="E9D2CB9F"/>
    <w:lvl w:ilvl="0" w:tentative="0">
      <w:start w:val="2"/>
      <w:numFmt w:val="decimal"/>
      <w:suff w:val="nothing"/>
      <w:lvlText w:val="（%1）"/>
      <w:lvlJc w:val="left"/>
    </w:lvl>
  </w:abstractNum>
  <w:abstractNum w:abstractNumId="2">
    <w:nsid w:val="F864B992"/>
    <w:multiLevelType w:val="singleLevel"/>
    <w:tmpl w:val="F864B992"/>
    <w:lvl w:ilvl="0" w:tentative="0">
      <w:start w:val="31"/>
      <w:numFmt w:val="decimal"/>
      <w:suff w:val="nothing"/>
      <w:lvlText w:val="%1．"/>
      <w:lvlJc w:val="left"/>
    </w:lvl>
  </w:abstractNum>
  <w:abstractNum w:abstractNumId="3">
    <w:nsid w:val="FFFFFF88"/>
    <w:multiLevelType w:val="singleLevel"/>
    <w:tmpl w:val="FFFFFF88"/>
    <w:lvl w:ilvl="0" w:tentative="0">
      <w:start w:val="1"/>
      <w:numFmt w:val="decimal"/>
      <w:pStyle w:val="528"/>
      <w:lvlText w:val="%1."/>
      <w:lvlJc w:val="left"/>
      <w:pPr>
        <w:tabs>
          <w:tab w:val="left" w:pos="360"/>
        </w:tabs>
        <w:ind w:left="360" w:hanging="360"/>
      </w:pPr>
    </w:lvl>
  </w:abstractNum>
  <w:abstractNum w:abstractNumId="4">
    <w:nsid w:val="00000006"/>
    <w:multiLevelType w:val="singleLevel"/>
    <w:tmpl w:val="00000006"/>
    <w:lvl w:ilvl="0" w:tentative="0">
      <w:start w:val="1"/>
      <w:numFmt w:val="decimal"/>
      <w:suff w:val="nothing"/>
      <w:lvlText w:val="（%1）"/>
      <w:lvlJc w:val="left"/>
    </w:lvl>
  </w:abstractNum>
  <w:abstractNum w:abstractNumId="5">
    <w:nsid w:val="00000008"/>
    <w:multiLevelType w:val="multilevel"/>
    <w:tmpl w:val="00000008"/>
    <w:lvl w:ilvl="0" w:tentative="0">
      <w:start w:val="1"/>
      <w:numFmt w:val="none"/>
      <w:pStyle w:val="388"/>
      <w:suff w:val="nothing"/>
      <w:lvlText w:val=""/>
      <w:lvlJc w:val="left"/>
      <w:pPr>
        <w:ind w:left="0" w:firstLine="0"/>
      </w:pPr>
      <w:rPr>
        <w:rFonts w:hint="eastAsia" w:ascii="黑体" w:hAnsi="Times New Roman" w:eastAsia="黑体"/>
        <w:b/>
        <w:i w:val="0"/>
        <w:sz w:val="28"/>
      </w:rPr>
    </w:lvl>
    <w:lvl w:ilvl="1" w:tentative="0">
      <w:start w:val="1"/>
      <w:numFmt w:val="decimal"/>
      <w:lvlText w:val="%1%2"/>
      <w:lvlJc w:val="left"/>
      <w:pPr>
        <w:tabs>
          <w:tab w:val="left" w:pos="360"/>
        </w:tabs>
        <w:ind w:left="0" w:firstLine="0"/>
      </w:pPr>
      <w:rPr>
        <w:rFonts w:hint="eastAsia" w:ascii="黑体" w:hAnsi="Times New Roman" w:eastAsia="黑体"/>
        <w:b/>
        <w:i w:val="0"/>
        <w:sz w:val="20"/>
      </w:rPr>
    </w:lvl>
    <w:lvl w:ilvl="2" w:tentative="0">
      <w:start w:val="1"/>
      <w:numFmt w:val="decimal"/>
      <w:pStyle w:val="345"/>
      <w:lvlText w:val="%1%2.%3"/>
      <w:lvlJc w:val="left"/>
      <w:pPr>
        <w:tabs>
          <w:tab w:val="left" w:pos="720"/>
        </w:tabs>
        <w:ind w:left="0" w:firstLine="0"/>
      </w:pPr>
      <w:rPr>
        <w:rFonts w:hint="default" w:ascii="宋体" w:hAnsi="宋体" w:eastAsia="宋体"/>
        <w:b/>
        <w:i w:val="0"/>
        <w:color w:val="000000"/>
        <w:sz w:val="21"/>
      </w:rPr>
    </w:lvl>
    <w:lvl w:ilvl="3" w:tentative="0">
      <w:start w:val="1"/>
      <w:numFmt w:val="decimal"/>
      <w:lvlText w:val="%1%2.%3.%4"/>
      <w:lvlJc w:val="left"/>
      <w:pPr>
        <w:tabs>
          <w:tab w:val="left" w:pos="720"/>
        </w:tabs>
        <w:ind w:left="0" w:firstLine="0"/>
      </w:pPr>
      <w:rPr>
        <w:rFonts w:hint="eastAsia" w:ascii="黑体" w:hAnsi="Times New Roman" w:eastAsia="黑体"/>
        <w:b/>
        <w:i w:val="0"/>
        <w:sz w:val="21"/>
      </w:rPr>
    </w:lvl>
    <w:lvl w:ilvl="4" w:tentative="0">
      <w:start w:val="1"/>
      <w:numFmt w:val="decimal"/>
      <w:lvlText w:val="%2.%3.%4.%5"/>
      <w:lvlJc w:val="left"/>
      <w:pPr>
        <w:tabs>
          <w:tab w:val="left" w:pos="1080"/>
        </w:tabs>
        <w:ind w:left="0" w:firstLine="0"/>
      </w:pPr>
      <w:rPr>
        <w:rFonts w:hint="eastAsia" w:ascii="黑体" w:hAnsi="Times New Roman" w:eastAsia="黑体"/>
        <w:b/>
        <w:i w:val="0"/>
        <w:sz w:val="21"/>
      </w:rPr>
    </w:lvl>
    <w:lvl w:ilvl="5" w:tentative="0">
      <w:start w:val="1"/>
      <w:numFmt w:val="decimal"/>
      <w:lvlText w:val="%2.%3.%4.%5.%6"/>
      <w:lvlJc w:val="left"/>
      <w:pPr>
        <w:tabs>
          <w:tab w:val="left" w:pos="1021"/>
        </w:tabs>
        <w:ind w:left="1021" w:hanging="1021"/>
      </w:pPr>
      <w:rPr>
        <w:rFonts w:hint="eastAsia" w:ascii="黑体" w:hAnsi="Times New Roman" w:eastAsia="黑体"/>
        <w:b/>
        <w:i w:val="0"/>
        <w:sz w:val="21"/>
      </w:rPr>
    </w:lvl>
    <w:lvl w:ilvl="6" w:tentative="0">
      <w:start w:val="1"/>
      <w:numFmt w:val="decimal"/>
      <w:lvlText w:val="%2.%3.%4.%5.%6.%7"/>
      <w:lvlJc w:val="left"/>
      <w:pPr>
        <w:tabs>
          <w:tab w:val="left" w:pos="1440"/>
        </w:tabs>
        <w:ind w:left="0" w:firstLine="0"/>
      </w:pPr>
      <w:rPr>
        <w:rFonts w:hint="eastAsia" w:ascii="黑体" w:hAnsi="Times New Roman" w:eastAsia="黑体"/>
        <w:b/>
        <w:i w:val="0"/>
        <w:sz w:val="21"/>
      </w:rPr>
    </w:lvl>
    <w:lvl w:ilvl="7" w:tentative="0">
      <w:start w:val="1"/>
      <w:numFmt w:val="decimal"/>
      <w:lvlText w:val="图 %2.0.%5 -%8"/>
      <w:lvlJc w:val="left"/>
      <w:pPr>
        <w:tabs>
          <w:tab w:val="left" w:pos="1440"/>
        </w:tabs>
        <w:ind w:left="0" w:firstLine="0"/>
      </w:pPr>
      <w:rPr>
        <w:rFonts w:hint="eastAsia" w:ascii="黑体" w:eastAsia="黑体"/>
        <w:b/>
        <w:i w:val="0"/>
        <w:sz w:val="21"/>
      </w:rPr>
    </w:lvl>
    <w:lvl w:ilvl="8" w:tentative="0">
      <w:start w:val="1"/>
      <w:numFmt w:val="decimal"/>
      <w:lvlText w:val="      %9)"/>
      <w:lvlJc w:val="left"/>
      <w:pPr>
        <w:tabs>
          <w:tab w:val="left" w:pos="1080"/>
        </w:tabs>
        <w:ind w:left="0" w:firstLine="0"/>
      </w:pPr>
      <w:rPr>
        <w:rFonts w:hint="eastAsia" w:ascii="黑体" w:hAnsi="华文细黑" w:eastAsia="黑体"/>
        <w:b/>
        <w:i w:val="0"/>
        <w:sz w:val="21"/>
      </w:rPr>
    </w:lvl>
  </w:abstractNum>
  <w:abstractNum w:abstractNumId="6">
    <w:nsid w:val="0B0A3702"/>
    <w:multiLevelType w:val="multilevel"/>
    <w:tmpl w:val="0B0A3702"/>
    <w:lvl w:ilvl="0" w:tentative="0">
      <w:start w:val="5"/>
      <w:numFmt w:val="decimal"/>
      <w:pStyle w:val="335"/>
      <w:lvlText w:val="%1．"/>
      <w:lvlJc w:val="left"/>
      <w:pPr>
        <w:tabs>
          <w:tab w:val="left" w:pos="899"/>
        </w:tabs>
        <w:ind w:left="899" w:hanging="540"/>
      </w:pPr>
      <w:rPr>
        <w:rFonts w:hint="eastAsia"/>
      </w:rPr>
    </w:lvl>
    <w:lvl w:ilvl="1" w:tentative="0">
      <w:start w:val="1"/>
      <w:numFmt w:val="lowerLetter"/>
      <w:lvlText w:val="%2)"/>
      <w:lvlJc w:val="left"/>
      <w:pPr>
        <w:tabs>
          <w:tab w:val="left" w:pos="1199"/>
        </w:tabs>
        <w:ind w:left="1199" w:hanging="420"/>
      </w:pPr>
    </w:lvl>
    <w:lvl w:ilvl="2" w:tentative="0">
      <w:start w:val="1"/>
      <w:numFmt w:val="lowerRoman"/>
      <w:lvlText w:val="%3."/>
      <w:lvlJc w:val="right"/>
      <w:pPr>
        <w:tabs>
          <w:tab w:val="left" w:pos="1619"/>
        </w:tabs>
        <w:ind w:left="1619" w:hanging="420"/>
      </w:pPr>
    </w:lvl>
    <w:lvl w:ilvl="3" w:tentative="0">
      <w:start w:val="1"/>
      <w:numFmt w:val="decimal"/>
      <w:lvlText w:val="%4."/>
      <w:lvlJc w:val="left"/>
      <w:pPr>
        <w:tabs>
          <w:tab w:val="left" w:pos="2039"/>
        </w:tabs>
        <w:ind w:left="2039" w:hanging="420"/>
      </w:pPr>
    </w:lvl>
    <w:lvl w:ilvl="4" w:tentative="0">
      <w:start w:val="1"/>
      <w:numFmt w:val="lowerLetter"/>
      <w:lvlText w:val="%5)"/>
      <w:lvlJc w:val="left"/>
      <w:pPr>
        <w:tabs>
          <w:tab w:val="left" w:pos="2459"/>
        </w:tabs>
        <w:ind w:left="2459" w:hanging="420"/>
      </w:pPr>
    </w:lvl>
    <w:lvl w:ilvl="5" w:tentative="0">
      <w:start w:val="1"/>
      <w:numFmt w:val="lowerRoman"/>
      <w:lvlText w:val="%6."/>
      <w:lvlJc w:val="right"/>
      <w:pPr>
        <w:tabs>
          <w:tab w:val="left" w:pos="2879"/>
        </w:tabs>
        <w:ind w:left="2879" w:hanging="420"/>
      </w:pPr>
    </w:lvl>
    <w:lvl w:ilvl="6" w:tentative="0">
      <w:start w:val="1"/>
      <w:numFmt w:val="decimal"/>
      <w:lvlText w:val="%7."/>
      <w:lvlJc w:val="left"/>
      <w:pPr>
        <w:tabs>
          <w:tab w:val="left" w:pos="3299"/>
        </w:tabs>
        <w:ind w:left="3299" w:hanging="420"/>
      </w:pPr>
    </w:lvl>
    <w:lvl w:ilvl="7" w:tentative="0">
      <w:start w:val="1"/>
      <w:numFmt w:val="lowerLetter"/>
      <w:lvlText w:val="%8)"/>
      <w:lvlJc w:val="left"/>
      <w:pPr>
        <w:tabs>
          <w:tab w:val="left" w:pos="3719"/>
        </w:tabs>
        <w:ind w:left="3719" w:hanging="420"/>
      </w:pPr>
    </w:lvl>
    <w:lvl w:ilvl="8" w:tentative="0">
      <w:start w:val="1"/>
      <w:numFmt w:val="lowerRoman"/>
      <w:lvlText w:val="%9."/>
      <w:lvlJc w:val="right"/>
      <w:pPr>
        <w:tabs>
          <w:tab w:val="left" w:pos="4139"/>
        </w:tabs>
        <w:ind w:left="4139" w:hanging="420"/>
      </w:pPr>
    </w:lvl>
  </w:abstractNum>
  <w:abstractNum w:abstractNumId="7">
    <w:nsid w:val="259905B5"/>
    <w:multiLevelType w:val="multilevel"/>
    <w:tmpl w:val="259905B5"/>
    <w:lvl w:ilvl="0" w:tentative="0">
      <w:start w:val="1"/>
      <w:numFmt w:val="chineseCountingThousand"/>
      <w:pStyle w:val="12"/>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6"/>
      <w:suff w:val="space"/>
      <w:lvlText w:val="%2.%3.%4"/>
      <w:lvlJc w:val="left"/>
      <w:pPr>
        <w:ind w:left="284" w:hanging="284"/>
      </w:pPr>
      <w:rPr>
        <w:rFonts w:hint="eastAsia" w:ascii="宋体" w:eastAsia="宋体" w:cs="Times New Roman"/>
        <w:b/>
        <w:i w:val="0"/>
        <w:sz w:val="28"/>
      </w:rPr>
    </w:lvl>
    <w:lvl w:ilvl="4" w:tentative="0">
      <w:start w:val="1"/>
      <w:numFmt w:val="decimal"/>
      <w:pStyle w:val="7"/>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9"/>
      <w:suff w:val="nothing"/>
      <w:lvlText w:val=""/>
      <w:lvlJc w:val="left"/>
      <w:rPr>
        <w:rFonts w:hint="eastAsia" w:cs="Times New Roman"/>
      </w:rPr>
    </w:lvl>
    <w:lvl w:ilvl="7" w:tentative="0">
      <w:start w:val="1"/>
      <w:numFmt w:val="none"/>
      <w:pStyle w:val="10"/>
      <w:suff w:val="nothing"/>
      <w:lvlText w:val=""/>
      <w:lvlJc w:val="left"/>
      <w:rPr>
        <w:rFonts w:hint="eastAsia" w:cs="Times New Roman"/>
      </w:rPr>
    </w:lvl>
    <w:lvl w:ilvl="8" w:tentative="0">
      <w:start w:val="1"/>
      <w:numFmt w:val="none"/>
      <w:pStyle w:val="11"/>
      <w:suff w:val="nothing"/>
      <w:lvlText w:val=""/>
      <w:lvlJc w:val="left"/>
      <w:rPr>
        <w:rFonts w:hint="eastAsia" w:cs="Times New Roman"/>
      </w:rPr>
    </w:lvl>
  </w:abstractNum>
  <w:abstractNum w:abstractNumId="8">
    <w:nsid w:val="56A9543A"/>
    <w:multiLevelType w:val="multilevel"/>
    <w:tmpl w:val="56A9543A"/>
    <w:lvl w:ilvl="0" w:tentative="0">
      <w:start w:val="1"/>
      <w:numFmt w:val="decimal"/>
      <w:pStyle w:val="581"/>
      <w:suff w:val="space"/>
      <w:lvlText w:val="%1."/>
      <w:lvlJc w:val="left"/>
      <w:pPr>
        <w:ind w:left="0" w:firstLine="0"/>
      </w:pPr>
      <w:rPr>
        <w:rFonts w:hint="default" w:ascii="Arial" w:hAnsi="Arial" w:eastAsia="黑体" w:cs="Arial"/>
        <w:b/>
        <w:i w:val="0"/>
        <w:sz w:val="21"/>
        <w:szCs w:val="21"/>
      </w:rPr>
    </w:lvl>
    <w:lvl w:ilvl="1" w:tentative="0">
      <w:start w:val="1"/>
      <w:numFmt w:val="decimal"/>
      <w:lvlRestart w:val="0"/>
      <w:isLgl/>
      <w:suff w:val="space"/>
      <w:lvlText w:val="%1.%2 "/>
      <w:lvlJc w:val="left"/>
      <w:pPr>
        <w:ind w:left="0" w:firstLine="0"/>
      </w:pPr>
      <w:rPr>
        <w:rFonts w:hint="default" w:ascii="Arial" w:hAnsi="Arial" w:eastAsia="黑体" w:cs="Arial"/>
        <w:b/>
        <w:i w:val="0"/>
        <w:sz w:val="21"/>
        <w:szCs w:val="21"/>
      </w:rPr>
    </w:lvl>
    <w:lvl w:ilvl="2" w:tentative="0">
      <w:start w:val="1"/>
      <w:numFmt w:val="decimal"/>
      <w:isLgl/>
      <w:suff w:val="space"/>
      <w:lvlText w:val="%1.%2.%3 "/>
      <w:lvlJc w:val="left"/>
      <w:pPr>
        <w:ind w:left="0" w:firstLine="0"/>
      </w:pPr>
      <w:rPr>
        <w:rFonts w:hint="default" w:ascii="Arial" w:hAnsi="Arial" w:eastAsia="黑体" w:cs="Arial"/>
        <w:b/>
        <w:i w:val="0"/>
        <w:sz w:val="21"/>
        <w:szCs w:val="28"/>
      </w:rPr>
    </w:lvl>
    <w:lvl w:ilvl="3" w:tentative="0">
      <w:start w:val="1"/>
      <w:numFmt w:val="decimal"/>
      <w:isLgl/>
      <w:suff w:val="space"/>
      <w:lvlText w:val="%1.%2.%3.%4 "/>
      <w:lvlJc w:val="left"/>
      <w:pPr>
        <w:ind w:left="0" w:firstLine="0"/>
      </w:pPr>
      <w:rPr>
        <w:rFonts w:hint="default" w:ascii="Arial" w:hAnsi="Arial" w:eastAsia="黑体" w:cs="Arial"/>
        <w:b/>
        <w:i w:val="0"/>
        <w:sz w:val="21"/>
        <w:szCs w:val="21"/>
      </w:rPr>
    </w:lvl>
    <w:lvl w:ilvl="4" w:tentative="0">
      <w:start w:val="1"/>
      <w:numFmt w:val="decimal"/>
      <w:suff w:val="space"/>
      <w:lvlText w:val="%1.%2.%3.%4.%5 "/>
      <w:lvlJc w:val="left"/>
      <w:pPr>
        <w:ind w:left="0" w:firstLine="0"/>
      </w:pPr>
      <w:rPr>
        <w:rFonts w:hint="default" w:ascii="Verdana" w:hAnsi="Verdana" w:eastAsia="黑体"/>
        <w:b/>
        <w:i w:val="0"/>
        <w:sz w:val="21"/>
        <w:szCs w:val="21"/>
      </w:rPr>
    </w:lvl>
    <w:lvl w:ilvl="5" w:tentative="0">
      <w:start w:val="1"/>
      <w:numFmt w:val="decimal"/>
      <w:suff w:val="space"/>
      <w:lvlText w:val="%1.%2.%3.%4.%5.%6"/>
      <w:lvlJc w:val="left"/>
      <w:pPr>
        <w:ind w:left="930" w:firstLine="0"/>
      </w:pPr>
      <w:rPr>
        <w:rFonts w:hint="eastAsia"/>
      </w:rPr>
    </w:lvl>
    <w:lvl w:ilvl="6" w:tentative="0">
      <w:start w:val="1"/>
      <w:numFmt w:val="decimal"/>
      <w:suff w:val="space"/>
      <w:lvlText w:val="%1.%2.%3.%4.%5.%6.%7"/>
      <w:lvlJc w:val="left"/>
      <w:pPr>
        <w:ind w:left="930" w:firstLine="0"/>
      </w:pPr>
      <w:rPr>
        <w:rFonts w:hint="eastAsia"/>
      </w:rPr>
    </w:lvl>
    <w:lvl w:ilvl="7" w:tentative="0">
      <w:start w:val="1"/>
      <w:numFmt w:val="decimal"/>
      <w:suff w:val="space"/>
      <w:lvlText w:val="%1.%2.%3.%4.%5.%6.%7.%8"/>
      <w:lvlJc w:val="left"/>
      <w:pPr>
        <w:ind w:left="930" w:firstLine="0"/>
      </w:pPr>
      <w:rPr>
        <w:rFonts w:hint="eastAsia"/>
      </w:rPr>
    </w:lvl>
    <w:lvl w:ilvl="8" w:tentative="0">
      <w:start w:val="1"/>
      <w:numFmt w:val="decimal"/>
      <w:suff w:val="space"/>
      <w:lvlText w:val="%1.%2.%3.%4.%5.%6.%7.%8.%9"/>
      <w:lvlJc w:val="left"/>
      <w:pPr>
        <w:ind w:left="930" w:firstLine="0"/>
      </w:pPr>
      <w:rPr>
        <w:rFonts w:hint="eastAsia"/>
      </w:rPr>
    </w:lvl>
  </w:abstractNum>
  <w:abstractNum w:abstractNumId="9">
    <w:nsid w:val="74FB0463"/>
    <w:multiLevelType w:val="multilevel"/>
    <w:tmpl w:val="74FB0463"/>
    <w:lvl w:ilvl="0" w:tentative="0">
      <w:start w:val="1"/>
      <w:numFmt w:val="decimal"/>
      <w:pStyle w:val="14"/>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8"/>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7"/>
  </w:num>
  <w:num w:numId="2">
    <w:abstractNumId w:val="9"/>
  </w:num>
  <w:num w:numId="3">
    <w:abstractNumId w:val="0"/>
  </w:num>
  <w:num w:numId="4">
    <w:abstractNumId w:val="4"/>
  </w:num>
  <w:num w:numId="5">
    <w:abstractNumId w:val="6"/>
  </w:num>
  <w:num w:numId="6">
    <w:abstractNumId w:val="5"/>
  </w:num>
  <w:num w:numId="7">
    <w:abstractNumId w:val="1"/>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yZGYzMjhiNDFjYzNiYTAzYzU2MWQzMzQ4NDU2YjcifQ=="/>
  </w:docVars>
  <w:rsids>
    <w:rsidRoot w:val="001D1CDC"/>
    <w:rsid w:val="0000274C"/>
    <w:rsid w:val="00005600"/>
    <w:rsid w:val="00006FA4"/>
    <w:rsid w:val="00007CA4"/>
    <w:rsid w:val="000102E1"/>
    <w:rsid w:val="000175BE"/>
    <w:rsid w:val="000208F0"/>
    <w:rsid w:val="00023D7C"/>
    <w:rsid w:val="00027088"/>
    <w:rsid w:val="0003125D"/>
    <w:rsid w:val="000341F7"/>
    <w:rsid w:val="00034305"/>
    <w:rsid w:val="00036104"/>
    <w:rsid w:val="00036A78"/>
    <w:rsid w:val="00037885"/>
    <w:rsid w:val="00043DCD"/>
    <w:rsid w:val="000452AC"/>
    <w:rsid w:val="00046CB5"/>
    <w:rsid w:val="000478F3"/>
    <w:rsid w:val="000546D8"/>
    <w:rsid w:val="00055754"/>
    <w:rsid w:val="00057043"/>
    <w:rsid w:val="00057913"/>
    <w:rsid w:val="0006474B"/>
    <w:rsid w:val="000650C6"/>
    <w:rsid w:val="00066EEF"/>
    <w:rsid w:val="00073381"/>
    <w:rsid w:val="00073C44"/>
    <w:rsid w:val="00074565"/>
    <w:rsid w:val="0007574C"/>
    <w:rsid w:val="00083271"/>
    <w:rsid w:val="00083C33"/>
    <w:rsid w:val="00084F41"/>
    <w:rsid w:val="000853C1"/>
    <w:rsid w:val="000953E3"/>
    <w:rsid w:val="000964D8"/>
    <w:rsid w:val="00097566"/>
    <w:rsid w:val="000A4C89"/>
    <w:rsid w:val="000B2043"/>
    <w:rsid w:val="000B29D3"/>
    <w:rsid w:val="000B57DC"/>
    <w:rsid w:val="000C1F56"/>
    <w:rsid w:val="000C58DF"/>
    <w:rsid w:val="000D0010"/>
    <w:rsid w:val="000D13B4"/>
    <w:rsid w:val="000D14A5"/>
    <w:rsid w:val="000D3937"/>
    <w:rsid w:val="000D3F91"/>
    <w:rsid w:val="000E3530"/>
    <w:rsid w:val="000E4038"/>
    <w:rsid w:val="000E4E7C"/>
    <w:rsid w:val="000E6828"/>
    <w:rsid w:val="000F34C4"/>
    <w:rsid w:val="000F5B85"/>
    <w:rsid w:val="000F67E2"/>
    <w:rsid w:val="0010114C"/>
    <w:rsid w:val="00101F17"/>
    <w:rsid w:val="0010465D"/>
    <w:rsid w:val="001079F4"/>
    <w:rsid w:val="00107A32"/>
    <w:rsid w:val="00113890"/>
    <w:rsid w:val="001145B2"/>
    <w:rsid w:val="001153DD"/>
    <w:rsid w:val="00117A9E"/>
    <w:rsid w:val="001275CD"/>
    <w:rsid w:val="0013139F"/>
    <w:rsid w:val="00132646"/>
    <w:rsid w:val="00133A19"/>
    <w:rsid w:val="0014209C"/>
    <w:rsid w:val="001451CB"/>
    <w:rsid w:val="00150ADF"/>
    <w:rsid w:val="00153EDC"/>
    <w:rsid w:val="00154034"/>
    <w:rsid w:val="00154838"/>
    <w:rsid w:val="00154EAD"/>
    <w:rsid w:val="001628B1"/>
    <w:rsid w:val="00162DB1"/>
    <w:rsid w:val="00165931"/>
    <w:rsid w:val="00170302"/>
    <w:rsid w:val="001728D8"/>
    <w:rsid w:val="001745C4"/>
    <w:rsid w:val="00174EC1"/>
    <w:rsid w:val="00183F41"/>
    <w:rsid w:val="00183F44"/>
    <w:rsid w:val="0018440D"/>
    <w:rsid w:val="00186E71"/>
    <w:rsid w:val="001917B2"/>
    <w:rsid w:val="001965A1"/>
    <w:rsid w:val="00196922"/>
    <w:rsid w:val="001970E0"/>
    <w:rsid w:val="001A0402"/>
    <w:rsid w:val="001A140B"/>
    <w:rsid w:val="001A1F35"/>
    <w:rsid w:val="001A6562"/>
    <w:rsid w:val="001A67B0"/>
    <w:rsid w:val="001A772F"/>
    <w:rsid w:val="001B0611"/>
    <w:rsid w:val="001B2AF7"/>
    <w:rsid w:val="001C1EB9"/>
    <w:rsid w:val="001C279E"/>
    <w:rsid w:val="001C389F"/>
    <w:rsid w:val="001C6D66"/>
    <w:rsid w:val="001C710F"/>
    <w:rsid w:val="001C7A43"/>
    <w:rsid w:val="001D016B"/>
    <w:rsid w:val="001D1CDC"/>
    <w:rsid w:val="001D795D"/>
    <w:rsid w:val="001D7C1E"/>
    <w:rsid w:val="001E34BF"/>
    <w:rsid w:val="001E3B04"/>
    <w:rsid w:val="001E4DB4"/>
    <w:rsid w:val="001E75EA"/>
    <w:rsid w:val="001E77B1"/>
    <w:rsid w:val="001F30E1"/>
    <w:rsid w:val="001F798D"/>
    <w:rsid w:val="00204101"/>
    <w:rsid w:val="00204474"/>
    <w:rsid w:val="00206AA3"/>
    <w:rsid w:val="002113F1"/>
    <w:rsid w:val="00221075"/>
    <w:rsid w:val="00223C2A"/>
    <w:rsid w:val="00226775"/>
    <w:rsid w:val="00235004"/>
    <w:rsid w:val="002364BA"/>
    <w:rsid w:val="002423D5"/>
    <w:rsid w:val="002426B5"/>
    <w:rsid w:val="00243640"/>
    <w:rsid w:val="00246287"/>
    <w:rsid w:val="00247C3A"/>
    <w:rsid w:val="002544C8"/>
    <w:rsid w:val="00255B86"/>
    <w:rsid w:val="00255F33"/>
    <w:rsid w:val="00257B07"/>
    <w:rsid w:val="00260F0D"/>
    <w:rsid w:val="00261814"/>
    <w:rsid w:val="00261AB0"/>
    <w:rsid w:val="00262523"/>
    <w:rsid w:val="00263C6B"/>
    <w:rsid w:val="002647DE"/>
    <w:rsid w:val="00270AB6"/>
    <w:rsid w:val="00274718"/>
    <w:rsid w:val="00277E78"/>
    <w:rsid w:val="00281B59"/>
    <w:rsid w:val="00287A53"/>
    <w:rsid w:val="002900A6"/>
    <w:rsid w:val="002948C0"/>
    <w:rsid w:val="00295623"/>
    <w:rsid w:val="00297501"/>
    <w:rsid w:val="002A0F33"/>
    <w:rsid w:val="002A23F4"/>
    <w:rsid w:val="002A427C"/>
    <w:rsid w:val="002A4BE9"/>
    <w:rsid w:val="002A5A05"/>
    <w:rsid w:val="002A7324"/>
    <w:rsid w:val="002B08BA"/>
    <w:rsid w:val="002B6923"/>
    <w:rsid w:val="002C012C"/>
    <w:rsid w:val="002C1779"/>
    <w:rsid w:val="002C6603"/>
    <w:rsid w:val="002C7E88"/>
    <w:rsid w:val="002D1138"/>
    <w:rsid w:val="002D314E"/>
    <w:rsid w:val="002D5080"/>
    <w:rsid w:val="002D5AA7"/>
    <w:rsid w:val="002D68CA"/>
    <w:rsid w:val="002E2A93"/>
    <w:rsid w:val="002E2F78"/>
    <w:rsid w:val="002E4A58"/>
    <w:rsid w:val="002E6B06"/>
    <w:rsid w:val="002E78EB"/>
    <w:rsid w:val="002E7FAF"/>
    <w:rsid w:val="002F47C8"/>
    <w:rsid w:val="002F4951"/>
    <w:rsid w:val="002F4C91"/>
    <w:rsid w:val="002F6F2D"/>
    <w:rsid w:val="00305C4A"/>
    <w:rsid w:val="00306D75"/>
    <w:rsid w:val="0031154D"/>
    <w:rsid w:val="003142AA"/>
    <w:rsid w:val="003164C2"/>
    <w:rsid w:val="00316580"/>
    <w:rsid w:val="003220A2"/>
    <w:rsid w:val="00323760"/>
    <w:rsid w:val="00323787"/>
    <w:rsid w:val="00323A93"/>
    <w:rsid w:val="00325A09"/>
    <w:rsid w:val="003264F7"/>
    <w:rsid w:val="00331B65"/>
    <w:rsid w:val="00332735"/>
    <w:rsid w:val="00332C40"/>
    <w:rsid w:val="00335C72"/>
    <w:rsid w:val="003361CE"/>
    <w:rsid w:val="003474E1"/>
    <w:rsid w:val="00354C5D"/>
    <w:rsid w:val="00361F98"/>
    <w:rsid w:val="00362D31"/>
    <w:rsid w:val="00366B7F"/>
    <w:rsid w:val="003679B0"/>
    <w:rsid w:val="00370196"/>
    <w:rsid w:val="00370DE1"/>
    <w:rsid w:val="00371A3B"/>
    <w:rsid w:val="00371FD7"/>
    <w:rsid w:val="0037387D"/>
    <w:rsid w:val="00375886"/>
    <w:rsid w:val="003825B7"/>
    <w:rsid w:val="003829F7"/>
    <w:rsid w:val="0038361A"/>
    <w:rsid w:val="003864CF"/>
    <w:rsid w:val="003929CF"/>
    <w:rsid w:val="003932FD"/>
    <w:rsid w:val="00397F22"/>
    <w:rsid w:val="00397FA0"/>
    <w:rsid w:val="003A124B"/>
    <w:rsid w:val="003B73D3"/>
    <w:rsid w:val="003C2442"/>
    <w:rsid w:val="003C587D"/>
    <w:rsid w:val="003C60BE"/>
    <w:rsid w:val="003C63E1"/>
    <w:rsid w:val="003D5938"/>
    <w:rsid w:val="003E474E"/>
    <w:rsid w:val="003E64F6"/>
    <w:rsid w:val="003F6217"/>
    <w:rsid w:val="003F692F"/>
    <w:rsid w:val="003F6BFB"/>
    <w:rsid w:val="003F6CB5"/>
    <w:rsid w:val="003F7355"/>
    <w:rsid w:val="00400EFA"/>
    <w:rsid w:val="00401C9A"/>
    <w:rsid w:val="004042B2"/>
    <w:rsid w:val="00407D6E"/>
    <w:rsid w:val="00412C51"/>
    <w:rsid w:val="004151F4"/>
    <w:rsid w:val="004157F4"/>
    <w:rsid w:val="00416731"/>
    <w:rsid w:val="0042069B"/>
    <w:rsid w:val="004228C9"/>
    <w:rsid w:val="00440DCA"/>
    <w:rsid w:val="004426C5"/>
    <w:rsid w:val="00450D7C"/>
    <w:rsid w:val="004510EF"/>
    <w:rsid w:val="0045131D"/>
    <w:rsid w:val="00451FAE"/>
    <w:rsid w:val="0045271B"/>
    <w:rsid w:val="00453786"/>
    <w:rsid w:val="00455284"/>
    <w:rsid w:val="004644D3"/>
    <w:rsid w:val="00465C7A"/>
    <w:rsid w:val="004716C6"/>
    <w:rsid w:val="00471A13"/>
    <w:rsid w:val="0047236F"/>
    <w:rsid w:val="00473B87"/>
    <w:rsid w:val="00474164"/>
    <w:rsid w:val="00476D60"/>
    <w:rsid w:val="00483CFA"/>
    <w:rsid w:val="00484A26"/>
    <w:rsid w:val="00486706"/>
    <w:rsid w:val="00486DC4"/>
    <w:rsid w:val="00495078"/>
    <w:rsid w:val="00497202"/>
    <w:rsid w:val="004A7728"/>
    <w:rsid w:val="004B43FB"/>
    <w:rsid w:val="004B7046"/>
    <w:rsid w:val="004B7287"/>
    <w:rsid w:val="004B774A"/>
    <w:rsid w:val="004C4630"/>
    <w:rsid w:val="004C47E3"/>
    <w:rsid w:val="004C6027"/>
    <w:rsid w:val="004D3271"/>
    <w:rsid w:val="004D436A"/>
    <w:rsid w:val="004D6F75"/>
    <w:rsid w:val="004E0450"/>
    <w:rsid w:val="004E2584"/>
    <w:rsid w:val="004E29F0"/>
    <w:rsid w:val="004E2BEC"/>
    <w:rsid w:val="004E69A0"/>
    <w:rsid w:val="004E6FE2"/>
    <w:rsid w:val="004F32DF"/>
    <w:rsid w:val="004F42D6"/>
    <w:rsid w:val="004F59CC"/>
    <w:rsid w:val="004F693A"/>
    <w:rsid w:val="005007DF"/>
    <w:rsid w:val="0050194E"/>
    <w:rsid w:val="00504749"/>
    <w:rsid w:val="005079FD"/>
    <w:rsid w:val="005120A4"/>
    <w:rsid w:val="005140E2"/>
    <w:rsid w:val="005143DF"/>
    <w:rsid w:val="00514702"/>
    <w:rsid w:val="00516772"/>
    <w:rsid w:val="00520856"/>
    <w:rsid w:val="00526171"/>
    <w:rsid w:val="0053013B"/>
    <w:rsid w:val="00531160"/>
    <w:rsid w:val="00532EB6"/>
    <w:rsid w:val="0053477B"/>
    <w:rsid w:val="00543B3F"/>
    <w:rsid w:val="0054494D"/>
    <w:rsid w:val="00545F08"/>
    <w:rsid w:val="005500AB"/>
    <w:rsid w:val="00550791"/>
    <w:rsid w:val="00552515"/>
    <w:rsid w:val="00553E3B"/>
    <w:rsid w:val="00553F61"/>
    <w:rsid w:val="0056265C"/>
    <w:rsid w:val="0056396D"/>
    <w:rsid w:val="00567684"/>
    <w:rsid w:val="0056773D"/>
    <w:rsid w:val="005749D7"/>
    <w:rsid w:val="005759F9"/>
    <w:rsid w:val="00575CC1"/>
    <w:rsid w:val="00576794"/>
    <w:rsid w:val="00577482"/>
    <w:rsid w:val="00577E92"/>
    <w:rsid w:val="005864C5"/>
    <w:rsid w:val="00591F3A"/>
    <w:rsid w:val="00592E15"/>
    <w:rsid w:val="005A168A"/>
    <w:rsid w:val="005A173C"/>
    <w:rsid w:val="005A6811"/>
    <w:rsid w:val="005B1704"/>
    <w:rsid w:val="005B4A7E"/>
    <w:rsid w:val="005B5827"/>
    <w:rsid w:val="005C10E2"/>
    <w:rsid w:val="005C4D1B"/>
    <w:rsid w:val="005D0F2E"/>
    <w:rsid w:val="005D635D"/>
    <w:rsid w:val="005D75BF"/>
    <w:rsid w:val="005E38EA"/>
    <w:rsid w:val="005E7AC3"/>
    <w:rsid w:val="005F2B65"/>
    <w:rsid w:val="005F549D"/>
    <w:rsid w:val="005F5B3E"/>
    <w:rsid w:val="005F6CA8"/>
    <w:rsid w:val="0060011E"/>
    <w:rsid w:val="00600AC0"/>
    <w:rsid w:val="006012CA"/>
    <w:rsid w:val="00601DB9"/>
    <w:rsid w:val="00605F3C"/>
    <w:rsid w:val="00611C59"/>
    <w:rsid w:val="0061421A"/>
    <w:rsid w:val="00617A00"/>
    <w:rsid w:val="00617BF9"/>
    <w:rsid w:val="00622931"/>
    <w:rsid w:val="0062413B"/>
    <w:rsid w:val="006241E5"/>
    <w:rsid w:val="006251C8"/>
    <w:rsid w:val="00633785"/>
    <w:rsid w:val="00633E64"/>
    <w:rsid w:val="006378F2"/>
    <w:rsid w:val="00643264"/>
    <w:rsid w:val="00645886"/>
    <w:rsid w:val="006520A5"/>
    <w:rsid w:val="00652D35"/>
    <w:rsid w:val="00654806"/>
    <w:rsid w:val="00654992"/>
    <w:rsid w:val="006564C4"/>
    <w:rsid w:val="006565F6"/>
    <w:rsid w:val="0065665A"/>
    <w:rsid w:val="006606CE"/>
    <w:rsid w:val="006612CB"/>
    <w:rsid w:val="00661687"/>
    <w:rsid w:val="00664A1C"/>
    <w:rsid w:val="00666683"/>
    <w:rsid w:val="00670B54"/>
    <w:rsid w:val="00672D8C"/>
    <w:rsid w:val="006774D4"/>
    <w:rsid w:val="00682F9F"/>
    <w:rsid w:val="00686B9A"/>
    <w:rsid w:val="00687601"/>
    <w:rsid w:val="0069191F"/>
    <w:rsid w:val="006975D3"/>
    <w:rsid w:val="00697671"/>
    <w:rsid w:val="006A3BB6"/>
    <w:rsid w:val="006A455E"/>
    <w:rsid w:val="006A6B23"/>
    <w:rsid w:val="006A6F32"/>
    <w:rsid w:val="006B0E5D"/>
    <w:rsid w:val="006B4213"/>
    <w:rsid w:val="006B647B"/>
    <w:rsid w:val="006B6DA0"/>
    <w:rsid w:val="006C1F56"/>
    <w:rsid w:val="006C31AF"/>
    <w:rsid w:val="006C3E56"/>
    <w:rsid w:val="006C465F"/>
    <w:rsid w:val="006D2029"/>
    <w:rsid w:val="006D4DA3"/>
    <w:rsid w:val="006E10C8"/>
    <w:rsid w:val="006E195B"/>
    <w:rsid w:val="006E2758"/>
    <w:rsid w:val="006E5D80"/>
    <w:rsid w:val="006F1664"/>
    <w:rsid w:val="006F4DA8"/>
    <w:rsid w:val="006F7D1E"/>
    <w:rsid w:val="00714108"/>
    <w:rsid w:val="00717396"/>
    <w:rsid w:val="00717CD0"/>
    <w:rsid w:val="007277B9"/>
    <w:rsid w:val="00731AD4"/>
    <w:rsid w:val="00732B7B"/>
    <w:rsid w:val="00732F36"/>
    <w:rsid w:val="00733786"/>
    <w:rsid w:val="00734815"/>
    <w:rsid w:val="007442F9"/>
    <w:rsid w:val="00751E1C"/>
    <w:rsid w:val="007541BA"/>
    <w:rsid w:val="00757AD6"/>
    <w:rsid w:val="007611D0"/>
    <w:rsid w:val="00761647"/>
    <w:rsid w:val="0076514F"/>
    <w:rsid w:val="00767C55"/>
    <w:rsid w:val="0077053F"/>
    <w:rsid w:val="007846A9"/>
    <w:rsid w:val="00787DB4"/>
    <w:rsid w:val="00794692"/>
    <w:rsid w:val="00794B0B"/>
    <w:rsid w:val="00795AF3"/>
    <w:rsid w:val="007A0E68"/>
    <w:rsid w:val="007A134B"/>
    <w:rsid w:val="007A1AAF"/>
    <w:rsid w:val="007A24CC"/>
    <w:rsid w:val="007A2DFA"/>
    <w:rsid w:val="007B3048"/>
    <w:rsid w:val="007B6B56"/>
    <w:rsid w:val="007C0289"/>
    <w:rsid w:val="007D5055"/>
    <w:rsid w:val="007F2327"/>
    <w:rsid w:val="007F380B"/>
    <w:rsid w:val="007F5E4A"/>
    <w:rsid w:val="007F7773"/>
    <w:rsid w:val="00800D77"/>
    <w:rsid w:val="00804E2E"/>
    <w:rsid w:val="0080794D"/>
    <w:rsid w:val="00816169"/>
    <w:rsid w:val="00817C83"/>
    <w:rsid w:val="0082180E"/>
    <w:rsid w:val="00821E07"/>
    <w:rsid w:val="00822E80"/>
    <w:rsid w:val="00823307"/>
    <w:rsid w:val="00823F9F"/>
    <w:rsid w:val="008241E6"/>
    <w:rsid w:val="0082467D"/>
    <w:rsid w:val="00824779"/>
    <w:rsid w:val="008276CD"/>
    <w:rsid w:val="00831406"/>
    <w:rsid w:val="0083198C"/>
    <w:rsid w:val="0083275A"/>
    <w:rsid w:val="00833FFC"/>
    <w:rsid w:val="0083434E"/>
    <w:rsid w:val="00837EEB"/>
    <w:rsid w:val="008435B5"/>
    <w:rsid w:val="00843A21"/>
    <w:rsid w:val="00844880"/>
    <w:rsid w:val="00845C68"/>
    <w:rsid w:val="0084771D"/>
    <w:rsid w:val="008478A8"/>
    <w:rsid w:val="00847BC8"/>
    <w:rsid w:val="008528AC"/>
    <w:rsid w:val="00852D95"/>
    <w:rsid w:val="008546FF"/>
    <w:rsid w:val="0085768F"/>
    <w:rsid w:val="00862643"/>
    <w:rsid w:val="00862D9D"/>
    <w:rsid w:val="00862FFA"/>
    <w:rsid w:val="00864B34"/>
    <w:rsid w:val="0087118A"/>
    <w:rsid w:val="00871914"/>
    <w:rsid w:val="00873599"/>
    <w:rsid w:val="00876E8D"/>
    <w:rsid w:val="00885D12"/>
    <w:rsid w:val="0089025F"/>
    <w:rsid w:val="008906E7"/>
    <w:rsid w:val="0089275F"/>
    <w:rsid w:val="008A23E1"/>
    <w:rsid w:val="008A6D3B"/>
    <w:rsid w:val="008B2390"/>
    <w:rsid w:val="008B338B"/>
    <w:rsid w:val="008B752D"/>
    <w:rsid w:val="008C0640"/>
    <w:rsid w:val="008C2065"/>
    <w:rsid w:val="008C4160"/>
    <w:rsid w:val="008C475E"/>
    <w:rsid w:val="008D130F"/>
    <w:rsid w:val="008D2FB3"/>
    <w:rsid w:val="008D6858"/>
    <w:rsid w:val="008D73A6"/>
    <w:rsid w:val="008D7922"/>
    <w:rsid w:val="008E7028"/>
    <w:rsid w:val="008E734C"/>
    <w:rsid w:val="008F1402"/>
    <w:rsid w:val="008F273C"/>
    <w:rsid w:val="009041A2"/>
    <w:rsid w:val="00910FFA"/>
    <w:rsid w:val="00911F98"/>
    <w:rsid w:val="00913401"/>
    <w:rsid w:val="009135DA"/>
    <w:rsid w:val="00915EFA"/>
    <w:rsid w:val="00916541"/>
    <w:rsid w:val="00916659"/>
    <w:rsid w:val="00917288"/>
    <w:rsid w:val="009233AC"/>
    <w:rsid w:val="009234B7"/>
    <w:rsid w:val="009333BF"/>
    <w:rsid w:val="00936EA0"/>
    <w:rsid w:val="00937F59"/>
    <w:rsid w:val="00941379"/>
    <w:rsid w:val="00942586"/>
    <w:rsid w:val="0094498F"/>
    <w:rsid w:val="009540EB"/>
    <w:rsid w:val="0095417E"/>
    <w:rsid w:val="00956C80"/>
    <w:rsid w:val="0096026B"/>
    <w:rsid w:val="009702B8"/>
    <w:rsid w:val="00974C68"/>
    <w:rsid w:val="00976D46"/>
    <w:rsid w:val="00991022"/>
    <w:rsid w:val="009945BE"/>
    <w:rsid w:val="009946C7"/>
    <w:rsid w:val="009946EA"/>
    <w:rsid w:val="009954E1"/>
    <w:rsid w:val="009A2AAE"/>
    <w:rsid w:val="009A725B"/>
    <w:rsid w:val="009B10CF"/>
    <w:rsid w:val="009B27C4"/>
    <w:rsid w:val="009B5999"/>
    <w:rsid w:val="009C07B0"/>
    <w:rsid w:val="009C22EF"/>
    <w:rsid w:val="009C2BE5"/>
    <w:rsid w:val="009C33B5"/>
    <w:rsid w:val="009C590D"/>
    <w:rsid w:val="009D6366"/>
    <w:rsid w:val="009F046C"/>
    <w:rsid w:val="009F0DC7"/>
    <w:rsid w:val="009F1ABC"/>
    <w:rsid w:val="009F4F5E"/>
    <w:rsid w:val="009F65DA"/>
    <w:rsid w:val="009F66C9"/>
    <w:rsid w:val="009F7241"/>
    <w:rsid w:val="00A00374"/>
    <w:rsid w:val="00A01A52"/>
    <w:rsid w:val="00A043DF"/>
    <w:rsid w:val="00A06CB9"/>
    <w:rsid w:val="00A06DED"/>
    <w:rsid w:val="00A17AD5"/>
    <w:rsid w:val="00A2097B"/>
    <w:rsid w:val="00A21A4A"/>
    <w:rsid w:val="00A230D6"/>
    <w:rsid w:val="00A23C16"/>
    <w:rsid w:val="00A25D28"/>
    <w:rsid w:val="00A264AA"/>
    <w:rsid w:val="00A404FA"/>
    <w:rsid w:val="00A41346"/>
    <w:rsid w:val="00A42369"/>
    <w:rsid w:val="00A44615"/>
    <w:rsid w:val="00A5143C"/>
    <w:rsid w:val="00A51EBA"/>
    <w:rsid w:val="00A52368"/>
    <w:rsid w:val="00A52C7A"/>
    <w:rsid w:val="00A5738F"/>
    <w:rsid w:val="00A57CA8"/>
    <w:rsid w:val="00A60965"/>
    <w:rsid w:val="00A60969"/>
    <w:rsid w:val="00A61BF4"/>
    <w:rsid w:val="00A64F8B"/>
    <w:rsid w:val="00A66D40"/>
    <w:rsid w:val="00A70D58"/>
    <w:rsid w:val="00A7279F"/>
    <w:rsid w:val="00A72FB1"/>
    <w:rsid w:val="00A74FA5"/>
    <w:rsid w:val="00A77E5D"/>
    <w:rsid w:val="00A80F75"/>
    <w:rsid w:val="00A90260"/>
    <w:rsid w:val="00A93BB7"/>
    <w:rsid w:val="00A97916"/>
    <w:rsid w:val="00AA0B3F"/>
    <w:rsid w:val="00AA3187"/>
    <w:rsid w:val="00AA3786"/>
    <w:rsid w:val="00AA3C6F"/>
    <w:rsid w:val="00AA4230"/>
    <w:rsid w:val="00AA47C7"/>
    <w:rsid w:val="00AA4C54"/>
    <w:rsid w:val="00AB10A4"/>
    <w:rsid w:val="00AB25E6"/>
    <w:rsid w:val="00AC041F"/>
    <w:rsid w:val="00AC1226"/>
    <w:rsid w:val="00AC13CB"/>
    <w:rsid w:val="00AC176A"/>
    <w:rsid w:val="00AC7721"/>
    <w:rsid w:val="00AD1FAF"/>
    <w:rsid w:val="00AD238F"/>
    <w:rsid w:val="00AD3382"/>
    <w:rsid w:val="00AD3DAD"/>
    <w:rsid w:val="00AD5A7B"/>
    <w:rsid w:val="00AD7AEC"/>
    <w:rsid w:val="00AE0349"/>
    <w:rsid w:val="00AE0A5B"/>
    <w:rsid w:val="00AE360D"/>
    <w:rsid w:val="00AE62DF"/>
    <w:rsid w:val="00AE7533"/>
    <w:rsid w:val="00AF14E8"/>
    <w:rsid w:val="00AF27F3"/>
    <w:rsid w:val="00B014A9"/>
    <w:rsid w:val="00B108EB"/>
    <w:rsid w:val="00B11C04"/>
    <w:rsid w:val="00B12BEB"/>
    <w:rsid w:val="00B13D87"/>
    <w:rsid w:val="00B13DBE"/>
    <w:rsid w:val="00B14C26"/>
    <w:rsid w:val="00B21BCC"/>
    <w:rsid w:val="00B25D38"/>
    <w:rsid w:val="00B261F9"/>
    <w:rsid w:val="00B268B6"/>
    <w:rsid w:val="00B2728B"/>
    <w:rsid w:val="00B3034D"/>
    <w:rsid w:val="00B306EA"/>
    <w:rsid w:val="00B35DED"/>
    <w:rsid w:val="00B40678"/>
    <w:rsid w:val="00B422F3"/>
    <w:rsid w:val="00B42AEE"/>
    <w:rsid w:val="00B43316"/>
    <w:rsid w:val="00B43A0B"/>
    <w:rsid w:val="00B478C2"/>
    <w:rsid w:val="00B52457"/>
    <w:rsid w:val="00B555CB"/>
    <w:rsid w:val="00B57876"/>
    <w:rsid w:val="00B621F4"/>
    <w:rsid w:val="00B62B82"/>
    <w:rsid w:val="00B63731"/>
    <w:rsid w:val="00B66DDB"/>
    <w:rsid w:val="00B73AC9"/>
    <w:rsid w:val="00B756ED"/>
    <w:rsid w:val="00B80084"/>
    <w:rsid w:val="00B83068"/>
    <w:rsid w:val="00B911DC"/>
    <w:rsid w:val="00B91491"/>
    <w:rsid w:val="00B93EB4"/>
    <w:rsid w:val="00B94851"/>
    <w:rsid w:val="00B96467"/>
    <w:rsid w:val="00BA56DE"/>
    <w:rsid w:val="00BA7D63"/>
    <w:rsid w:val="00BB2A15"/>
    <w:rsid w:val="00BB3784"/>
    <w:rsid w:val="00BC212B"/>
    <w:rsid w:val="00BC29F8"/>
    <w:rsid w:val="00BC4382"/>
    <w:rsid w:val="00BC495E"/>
    <w:rsid w:val="00BC79C8"/>
    <w:rsid w:val="00BD4EBC"/>
    <w:rsid w:val="00BD7AB1"/>
    <w:rsid w:val="00BD7AFE"/>
    <w:rsid w:val="00BD7C90"/>
    <w:rsid w:val="00BE2051"/>
    <w:rsid w:val="00BE26EA"/>
    <w:rsid w:val="00BE26FB"/>
    <w:rsid w:val="00BE4D4B"/>
    <w:rsid w:val="00BF0ED5"/>
    <w:rsid w:val="00BF3EFF"/>
    <w:rsid w:val="00BF56CB"/>
    <w:rsid w:val="00BF5956"/>
    <w:rsid w:val="00C05DA9"/>
    <w:rsid w:val="00C105C0"/>
    <w:rsid w:val="00C158B5"/>
    <w:rsid w:val="00C16E00"/>
    <w:rsid w:val="00C20C44"/>
    <w:rsid w:val="00C22045"/>
    <w:rsid w:val="00C228E3"/>
    <w:rsid w:val="00C23332"/>
    <w:rsid w:val="00C24F16"/>
    <w:rsid w:val="00C26E21"/>
    <w:rsid w:val="00C30A6E"/>
    <w:rsid w:val="00C30BBE"/>
    <w:rsid w:val="00C360DE"/>
    <w:rsid w:val="00C4000C"/>
    <w:rsid w:val="00C442E1"/>
    <w:rsid w:val="00C46F85"/>
    <w:rsid w:val="00C47C2F"/>
    <w:rsid w:val="00C53ADD"/>
    <w:rsid w:val="00C54702"/>
    <w:rsid w:val="00C570D8"/>
    <w:rsid w:val="00C60CB5"/>
    <w:rsid w:val="00C62425"/>
    <w:rsid w:val="00C639C6"/>
    <w:rsid w:val="00C66785"/>
    <w:rsid w:val="00C70A08"/>
    <w:rsid w:val="00C70D07"/>
    <w:rsid w:val="00C81A7D"/>
    <w:rsid w:val="00C8519D"/>
    <w:rsid w:val="00C90993"/>
    <w:rsid w:val="00C90AB9"/>
    <w:rsid w:val="00CA1198"/>
    <w:rsid w:val="00CA2DDB"/>
    <w:rsid w:val="00CA6396"/>
    <w:rsid w:val="00CB20EE"/>
    <w:rsid w:val="00CB36AA"/>
    <w:rsid w:val="00CB4D59"/>
    <w:rsid w:val="00CB7167"/>
    <w:rsid w:val="00CC0621"/>
    <w:rsid w:val="00CC0790"/>
    <w:rsid w:val="00CC2B53"/>
    <w:rsid w:val="00CC63A6"/>
    <w:rsid w:val="00CC7991"/>
    <w:rsid w:val="00CD1F96"/>
    <w:rsid w:val="00CD2007"/>
    <w:rsid w:val="00CD6A60"/>
    <w:rsid w:val="00CD6A61"/>
    <w:rsid w:val="00CD768D"/>
    <w:rsid w:val="00CE035E"/>
    <w:rsid w:val="00CE2BFC"/>
    <w:rsid w:val="00CE54CB"/>
    <w:rsid w:val="00CF07CF"/>
    <w:rsid w:val="00CF78C5"/>
    <w:rsid w:val="00D009DD"/>
    <w:rsid w:val="00D018EE"/>
    <w:rsid w:val="00D068AF"/>
    <w:rsid w:val="00D07A04"/>
    <w:rsid w:val="00D07AA2"/>
    <w:rsid w:val="00D115E1"/>
    <w:rsid w:val="00D11BF2"/>
    <w:rsid w:val="00D13EB5"/>
    <w:rsid w:val="00D2379A"/>
    <w:rsid w:val="00D25F55"/>
    <w:rsid w:val="00D2753F"/>
    <w:rsid w:val="00D3079E"/>
    <w:rsid w:val="00D315C6"/>
    <w:rsid w:val="00D32156"/>
    <w:rsid w:val="00D3531B"/>
    <w:rsid w:val="00D41767"/>
    <w:rsid w:val="00D42C26"/>
    <w:rsid w:val="00D5061A"/>
    <w:rsid w:val="00D51B54"/>
    <w:rsid w:val="00D622F8"/>
    <w:rsid w:val="00D66FEA"/>
    <w:rsid w:val="00D67E24"/>
    <w:rsid w:val="00D70086"/>
    <w:rsid w:val="00D80F35"/>
    <w:rsid w:val="00D8406C"/>
    <w:rsid w:val="00D9029E"/>
    <w:rsid w:val="00D90337"/>
    <w:rsid w:val="00D90F2C"/>
    <w:rsid w:val="00DA2306"/>
    <w:rsid w:val="00DA3D60"/>
    <w:rsid w:val="00DB2004"/>
    <w:rsid w:val="00DB75F3"/>
    <w:rsid w:val="00DC5C39"/>
    <w:rsid w:val="00DC5FCF"/>
    <w:rsid w:val="00DC75BB"/>
    <w:rsid w:val="00DD245E"/>
    <w:rsid w:val="00DD24B0"/>
    <w:rsid w:val="00DD6D10"/>
    <w:rsid w:val="00DE0B53"/>
    <w:rsid w:val="00DE2F99"/>
    <w:rsid w:val="00DE3178"/>
    <w:rsid w:val="00DE3893"/>
    <w:rsid w:val="00DE5FBD"/>
    <w:rsid w:val="00DF015B"/>
    <w:rsid w:val="00DF186A"/>
    <w:rsid w:val="00DF309E"/>
    <w:rsid w:val="00DF6C67"/>
    <w:rsid w:val="00DF6D26"/>
    <w:rsid w:val="00E00863"/>
    <w:rsid w:val="00E027DE"/>
    <w:rsid w:val="00E02C3F"/>
    <w:rsid w:val="00E07388"/>
    <w:rsid w:val="00E10BBA"/>
    <w:rsid w:val="00E13540"/>
    <w:rsid w:val="00E1385F"/>
    <w:rsid w:val="00E1487F"/>
    <w:rsid w:val="00E16A7B"/>
    <w:rsid w:val="00E221CA"/>
    <w:rsid w:val="00E23054"/>
    <w:rsid w:val="00E2355D"/>
    <w:rsid w:val="00E23815"/>
    <w:rsid w:val="00E31CB9"/>
    <w:rsid w:val="00E339A5"/>
    <w:rsid w:val="00E37F60"/>
    <w:rsid w:val="00E42DB3"/>
    <w:rsid w:val="00E43CD3"/>
    <w:rsid w:val="00E45B93"/>
    <w:rsid w:val="00E45C81"/>
    <w:rsid w:val="00E53F09"/>
    <w:rsid w:val="00E57FA2"/>
    <w:rsid w:val="00E61FA5"/>
    <w:rsid w:val="00E671BB"/>
    <w:rsid w:val="00E678C1"/>
    <w:rsid w:val="00E67B60"/>
    <w:rsid w:val="00E7231F"/>
    <w:rsid w:val="00E748C7"/>
    <w:rsid w:val="00E74DFF"/>
    <w:rsid w:val="00E7575F"/>
    <w:rsid w:val="00E87530"/>
    <w:rsid w:val="00E877D8"/>
    <w:rsid w:val="00E8787D"/>
    <w:rsid w:val="00E87AF0"/>
    <w:rsid w:val="00E91BE6"/>
    <w:rsid w:val="00E97D8C"/>
    <w:rsid w:val="00EA16BA"/>
    <w:rsid w:val="00EA448A"/>
    <w:rsid w:val="00EA475D"/>
    <w:rsid w:val="00EA5861"/>
    <w:rsid w:val="00EB287D"/>
    <w:rsid w:val="00EB4231"/>
    <w:rsid w:val="00EB48E8"/>
    <w:rsid w:val="00EB4FA7"/>
    <w:rsid w:val="00EC261A"/>
    <w:rsid w:val="00EC3269"/>
    <w:rsid w:val="00EC6138"/>
    <w:rsid w:val="00ED2168"/>
    <w:rsid w:val="00ED2910"/>
    <w:rsid w:val="00ED41BF"/>
    <w:rsid w:val="00ED5A42"/>
    <w:rsid w:val="00ED5C73"/>
    <w:rsid w:val="00ED624F"/>
    <w:rsid w:val="00EF112E"/>
    <w:rsid w:val="00EF399A"/>
    <w:rsid w:val="00EF6DAF"/>
    <w:rsid w:val="00F00E65"/>
    <w:rsid w:val="00F0189B"/>
    <w:rsid w:val="00F04423"/>
    <w:rsid w:val="00F06FEB"/>
    <w:rsid w:val="00F07FA6"/>
    <w:rsid w:val="00F10043"/>
    <w:rsid w:val="00F10339"/>
    <w:rsid w:val="00F104B6"/>
    <w:rsid w:val="00F12EC9"/>
    <w:rsid w:val="00F14268"/>
    <w:rsid w:val="00F15B0B"/>
    <w:rsid w:val="00F16D2E"/>
    <w:rsid w:val="00F25487"/>
    <w:rsid w:val="00F25B9C"/>
    <w:rsid w:val="00F26397"/>
    <w:rsid w:val="00F30B1F"/>
    <w:rsid w:val="00F334D5"/>
    <w:rsid w:val="00F34430"/>
    <w:rsid w:val="00F34F47"/>
    <w:rsid w:val="00F522E3"/>
    <w:rsid w:val="00F57289"/>
    <w:rsid w:val="00F576D5"/>
    <w:rsid w:val="00F63E13"/>
    <w:rsid w:val="00F677ED"/>
    <w:rsid w:val="00F6786F"/>
    <w:rsid w:val="00F72465"/>
    <w:rsid w:val="00F73C3B"/>
    <w:rsid w:val="00F75829"/>
    <w:rsid w:val="00F82E3D"/>
    <w:rsid w:val="00F87110"/>
    <w:rsid w:val="00F920EE"/>
    <w:rsid w:val="00F94D16"/>
    <w:rsid w:val="00F95394"/>
    <w:rsid w:val="00FA050E"/>
    <w:rsid w:val="00FA30F4"/>
    <w:rsid w:val="00FA354E"/>
    <w:rsid w:val="00FB23A0"/>
    <w:rsid w:val="00FB267F"/>
    <w:rsid w:val="00FB50BF"/>
    <w:rsid w:val="00FB67CB"/>
    <w:rsid w:val="00FB6B6E"/>
    <w:rsid w:val="00FC14C0"/>
    <w:rsid w:val="00FC2787"/>
    <w:rsid w:val="00FC2F23"/>
    <w:rsid w:val="00FD0CFE"/>
    <w:rsid w:val="00FD121E"/>
    <w:rsid w:val="00FD20F6"/>
    <w:rsid w:val="00FD21AB"/>
    <w:rsid w:val="00FD234D"/>
    <w:rsid w:val="00FD64A2"/>
    <w:rsid w:val="00FE096C"/>
    <w:rsid w:val="00FE1AF5"/>
    <w:rsid w:val="00FE1B6B"/>
    <w:rsid w:val="00FE7B94"/>
    <w:rsid w:val="00FF1302"/>
    <w:rsid w:val="00FF1513"/>
    <w:rsid w:val="00FF3CCF"/>
    <w:rsid w:val="00FF64E7"/>
    <w:rsid w:val="00FF7992"/>
    <w:rsid w:val="0154523E"/>
    <w:rsid w:val="0156177E"/>
    <w:rsid w:val="018E7169"/>
    <w:rsid w:val="01C7201B"/>
    <w:rsid w:val="02522AA9"/>
    <w:rsid w:val="02667A33"/>
    <w:rsid w:val="027C5214"/>
    <w:rsid w:val="02B51300"/>
    <w:rsid w:val="02C24CE7"/>
    <w:rsid w:val="02EE59E6"/>
    <w:rsid w:val="03195159"/>
    <w:rsid w:val="033E696D"/>
    <w:rsid w:val="035A410F"/>
    <w:rsid w:val="035C6226"/>
    <w:rsid w:val="037C3949"/>
    <w:rsid w:val="03830DAE"/>
    <w:rsid w:val="039A554E"/>
    <w:rsid w:val="03F7716A"/>
    <w:rsid w:val="040A1692"/>
    <w:rsid w:val="04161698"/>
    <w:rsid w:val="04294547"/>
    <w:rsid w:val="043B2474"/>
    <w:rsid w:val="044275AA"/>
    <w:rsid w:val="04A9469B"/>
    <w:rsid w:val="04AC47D9"/>
    <w:rsid w:val="04D70BF5"/>
    <w:rsid w:val="05B15295"/>
    <w:rsid w:val="05BE0876"/>
    <w:rsid w:val="05E207E4"/>
    <w:rsid w:val="05EC1EC0"/>
    <w:rsid w:val="05F31C91"/>
    <w:rsid w:val="0625496F"/>
    <w:rsid w:val="0635148D"/>
    <w:rsid w:val="0655774F"/>
    <w:rsid w:val="066043D6"/>
    <w:rsid w:val="068E037E"/>
    <w:rsid w:val="069A63D5"/>
    <w:rsid w:val="06EF31BF"/>
    <w:rsid w:val="071719AF"/>
    <w:rsid w:val="072D2F81"/>
    <w:rsid w:val="07473336"/>
    <w:rsid w:val="075A7AEE"/>
    <w:rsid w:val="0768338A"/>
    <w:rsid w:val="07794492"/>
    <w:rsid w:val="0780099C"/>
    <w:rsid w:val="07AA2823"/>
    <w:rsid w:val="07BE46C3"/>
    <w:rsid w:val="08143EC3"/>
    <w:rsid w:val="082E7591"/>
    <w:rsid w:val="08D95826"/>
    <w:rsid w:val="08E37DAC"/>
    <w:rsid w:val="094128A5"/>
    <w:rsid w:val="09A11979"/>
    <w:rsid w:val="09AF0C06"/>
    <w:rsid w:val="09E87C3C"/>
    <w:rsid w:val="0A1E006F"/>
    <w:rsid w:val="0A38348D"/>
    <w:rsid w:val="0A4830FE"/>
    <w:rsid w:val="0A54549E"/>
    <w:rsid w:val="0A546A76"/>
    <w:rsid w:val="0A5C592B"/>
    <w:rsid w:val="0A634F0B"/>
    <w:rsid w:val="0ABA458A"/>
    <w:rsid w:val="0AC110ED"/>
    <w:rsid w:val="0AD039A9"/>
    <w:rsid w:val="0B093D05"/>
    <w:rsid w:val="0B372620"/>
    <w:rsid w:val="0B53227B"/>
    <w:rsid w:val="0B8E420A"/>
    <w:rsid w:val="0BFC4FE6"/>
    <w:rsid w:val="0C000C64"/>
    <w:rsid w:val="0C2B1A59"/>
    <w:rsid w:val="0C5B40EC"/>
    <w:rsid w:val="0C661B6D"/>
    <w:rsid w:val="0CEF6FC1"/>
    <w:rsid w:val="0D077A2F"/>
    <w:rsid w:val="0D4076B0"/>
    <w:rsid w:val="0D9A546D"/>
    <w:rsid w:val="0DBB5D95"/>
    <w:rsid w:val="0E1276A3"/>
    <w:rsid w:val="0E44045A"/>
    <w:rsid w:val="0E590399"/>
    <w:rsid w:val="0E6036EB"/>
    <w:rsid w:val="0E7D7429"/>
    <w:rsid w:val="0EE6313B"/>
    <w:rsid w:val="0EE778CF"/>
    <w:rsid w:val="0F1B54CF"/>
    <w:rsid w:val="0F516220"/>
    <w:rsid w:val="0F61687E"/>
    <w:rsid w:val="0F6E05DA"/>
    <w:rsid w:val="0F725D12"/>
    <w:rsid w:val="0F8F0A9D"/>
    <w:rsid w:val="10035202"/>
    <w:rsid w:val="103211D1"/>
    <w:rsid w:val="109E6C9D"/>
    <w:rsid w:val="10EA5A3E"/>
    <w:rsid w:val="1158509E"/>
    <w:rsid w:val="115B29C4"/>
    <w:rsid w:val="11626521"/>
    <w:rsid w:val="11705CF1"/>
    <w:rsid w:val="11A71B81"/>
    <w:rsid w:val="11BA1C5D"/>
    <w:rsid w:val="11BD7C4F"/>
    <w:rsid w:val="11C354C6"/>
    <w:rsid w:val="11CF5EC1"/>
    <w:rsid w:val="125D0315"/>
    <w:rsid w:val="12940450"/>
    <w:rsid w:val="12D72A4A"/>
    <w:rsid w:val="12D85F4A"/>
    <w:rsid w:val="12E32EDE"/>
    <w:rsid w:val="12E52961"/>
    <w:rsid w:val="130A061A"/>
    <w:rsid w:val="130C25E4"/>
    <w:rsid w:val="130F383E"/>
    <w:rsid w:val="13641842"/>
    <w:rsid w:val="13812877"/>
    <w:rsid w:val="13A520F1"/>
    <w:rsid w:val="13AD7822"/>
    <w:rsid w:val="13D701F6"/>
    <w:rsid w:val="13EC4094"/>
    <w:rsid w:val="13F82B68"/>
    <w:rsid w:val="14072434"/>
    <w:rsid w:val="1417554F"/>
    <w:rsid w:val="141E35B2"/>
    <w:rsid w:val="14645727"/>
    <w:rsid w:val="14B065F2"/>
    <w:rsid w:val="14BC4189"/>
    <w:rsid w:val="14F52FE3"/>
    <w:rsid w:val="15753C14"/>
    <w:rsid w:val="15E15FA1"/>
    <w:rsid w:val="15EC2259"/>
    <w:rsid w:val="15F8200D"/>
    <w:rsid w:val="161D68B6"/>
    <w:rsid w:val="16216549"/>
    <w:rsid w:val="16254A20"/>
    <w:rsid w:val="16280A64"/>
    <w:rsid w:val="165F5904"/>
    <w:rsid w:val="165F6ECF"/>
    <w:rsid w:val="168066E0"/>
    <w:rsid w:val="168D3A3C"/>
    <w:rsid w:val="175B58E8"/>
    <w:rsid w:val="178D3AF2"/>
    <w:rsid w:val="17B90FB6"/>
    <w:rsid w:val="17BC6B1D"/>
    <w:rsid w:val="17C57205"/>
    <w:rsid w:val="17D15490"/>
    <w:rsid w:val="17F07367"/>
    <w:rsid w:val="181141F9"/>
    <w:rsid w:val="182467A3"/>
    <w:rsid w:val="183F48C2"/>
    <w:rsid w:val="189338F4"/>
    <w:rsid w:val="189B3AC2"/>
    <w:rsid w:val="19170962"/>
    <w:rsid w:val="19433210"/>
    <w:rsid w:val="19466124"/>
    <w:rsid w:val="199246A1"/>
    <w:rsid w:val="19957CC6"/>
    <w:rsid w:val="199E386A"/>
    <w:rsid w:val="19B17A41"/>
    <w:rsid w:val="19DB686C"/>
    <w:rsid w:val="1A352420"/>
    <w:rsid w:val="1A533C4E"/>
    <w:rsid w:val="1A5C6953"/>
    <w:rsid w:val="1A8C400A"/>
    <w:rsid w:val="1AE45BF4"/>
    <w:rsid w:val="1AEF5176"/>
    <w:rsid w:val="1B0A4501"/>
    <w:rsid w:val="1B2D4344"/>
    <w:rsid w:val="1B5668D7"/>
    <w:rsid w:val="1B74751E"/>
    <w:rsid w:val="1B925650"/>
    <w:rsid w:val="1B965141"/>
    <w:rsid w:val="1BEE0F0A"/>
    <w:rsid w:val="1BFC1567"/>
    <w:rsid w:val="1C200697"/>
    <w:rsid w:val="1C4E71BE"/>
    <w:rsid w:val="1C4F709D"/>
    <w:rsid w:val="1C69100D"/>
    <w:rsid w:val="1C7A236C"/>
    <w:rsid w:val="1C8651B5"/>
    <w:rsid w:val="1CA54649"/>
    <w:rsid w:val="1CC22665"/>
    <w:rsid w:val="1D392B1E"/>
    <w:rsid w:val="1D4B0C90"/>
    <w:rsid w:val="1D4F555A"/>
    <w:rsid w:val="1D5675F2"/>
    <w:rsid w:val="1D6152DA"/>
    <w:rsid w:val="1D924DDC"/>
    <w:rsid w:val="1D954F84"/>
    <w:rsid w:val="1DA1131B"/>
    <w:rsid w:val="1DBD3162"/>
    <w:rsid w:val="1E617AE2"/>
    <w:rsid w:val="1ED3391A"/>
    <w:rsid w:val="1F2E3706"/>
    <w:rsid w:val="1F691F3E"/>
    <w:rsid w:val="1FB230F0"/>
    <w:rsid w:val="1FCA1DF9"/>
    <w:rsid w:val="1FCD6C57"/>
    <w:rsid w:val="202E6803"/>
    <w:rsid w:val="20320636"/>
    <w:rsid w:val="20621A95"/>
    <w:rsid w:val="20FC21BE"/>
    <w:rsid w:val="21095E9F"/>
    <w:rsid w:val="21100135"/>
    <w:rsid w:val="214B1B1B"/>
    <w:rsid w:val="21957C48"/>
    <w:rsid w:val="21A05B2D"/>
    <w:rsid w:val="21A72425"/>
    <w:rsid w:val="21AD06F5"/>
    <w:rsid w:val="21DF7F7B"/>
    <w:rsid w:val="2207532E"/>
    <w:rsid w:val="221D3F47"/>
    <w:rsid w:val="22383AD6"/>
    <w:rsid w:val="22765384"/>
    <w:rsid w:val="228A03F3"/>
    <w:rsid w:val="228B6AB8"/>
    <w:rsid w:val="22A16179"/>
    <w:rsid w:val="22DF5F10"/>
    <w:rsid w:val="231177A3"/>
    <w:rsid w:val="23377209"/>
    <w:rsid w:val="23621DAC"/>
    <w:rsid w:val="23B07E0C"/>
    <w:rsid w:val="23CF5BD7"/>
    <w:rsid w:val="23D507D0"/>
    <w:rsid w:val="23E10F23"/>
    <w:rsid w:val="23F25F10"/>
    <w:rsid w:val="23FF0B9F"/>
    <w:rsid w:val="2403533D"/>
    <w:rsid w:val="2455546D"/>
    <w:rsid w:val="24557D63"/>
    <w:rsid w:val="249C4E4A"/>
    <w:rsid w:val="24D63E6E"/>
    <w:rsid w:val="25524E4A"/>
    <w:rsid w:val="25824926"/>
    <w:rsid w:val="25910727"/>
    <w:rsid w:val="25AE752B"/>
    <w:rsid w:val="25DF0408"/>
    <w:rsid w:val="25EC136D"/>
    <w:rsid w:val="25FF2FF9"/>
    <w:rsid w:val="26271FBF"/>
    <w:rsid w:val="263564F8"/>
    <w:rsid w:val="26404627"/>
    <w:rsid w:val="26610685"/>
    <w:rsid w:val="268748B1"/>
    <w:rsid w:val="26A821CC"/>
    <w:rsid w:val="26E86A6C"/>
    <w:rsid w:val="272707B4"/>
    <w:rsid w:val="275D2FB6"/>
    <w:rsid w:val="27716A62"/>
    <w:rsid w:val="27BA1A89"/>
    <w:rsid w:val="27DF346F"/>
    <w:rsid w:val="27E81187"/>
    <w:rsid w:val="28214F97"/>
    <w:rsid w:val="282D4E4D"/>
    <w:rsid w:val="286B3C98"/>
    <w:rsid w:val="28932C71"/>
    <w:rsid w:val="28996270"/>
    <w:rsid w:val="28A31BC5"/>
    <w:rsid w:val="28A644E9"/>
    <w:rsid w:val="28B5297E"/>
    <w:rsid w:val="28E73EE9"/>
    <w:rsid w:val="28F80E72"/>
    <w:rsid w:val="28F96D0F"/>
    <w:rsid w:val="290E75C0"/>
    <w:rsid w:val="294B700B"/>
    <w:rsid w:val="296C74E1"/>
    <w:rsid w:val="299A1C85"/>
    <w:rsid w:val="29BD5F8E"/>
    <w:rsid w:val="2A0A781D"/>
    <w:rsid w:val="2A0E3C57"/>
    <w:rsid w:val="2A1F6937"/>
    <w:rsid w:val="2A2B114A"/>
    <w:rsid w:val="2A4915D0"/>
    <w:rsid w:val="2A7414A6"/>
    <w:rsid w:val="2A781EB5"/>
    <w:rsid w:val="2A865EAB"/>
    <w:rsid w:val="2ACC4185"/>
    <w:rsid w:val="2B6C37C8"/>
    <w:rsid w:val="2BA80578"/>
    <w:rsid w:val="2BC53DE6"/>
    <w:rsid w:val="2C3A38C6"/>
    <w:rsid w:val="2C6B1A49"/>
    <w:rsid w:val="2D26688E"/>
    <w:rsid w:val="2DA74A47"/>
    <w:rsid w:val="2DAB612A"/>
    <w:rsid w:val="2DC73C08"/>
    <w:rsid w:val="2E3F3416"/>
    <w:rsid w:val="2E4751D8"/>
    <w:rsid w:val="2E785B1F"/>
    <w:rsid w:val="2E9C2F73"/>
    <w:rsid w:val="2EAC650D"/>
    <w:rsid w:val="2EC04104"/>
    <w:rsid w:val="2EE63ECB"/>
    <w:rsid w:val="2F0568D7"/>
    <w:rsid w:val="2F0A3A24"/>
    <w:rsid w:val="2F6F0031"/>
    <w:rsid w:val="2F907421"/>
    <w:rsid w:val="2F99598A"/>
    <w:rsid w:val="30FA7111"/>
    <w:rsid w:val="30FB6210"/>
    <w:rsid w:val="3105492A"/>
    <w:rsid w:val="310B5831"/>
    <w:rsid w:val="31140EFF"/>
    <w:rsid w:val="31927D00"/>
    <w:rsid w:val="32405FA6"/>
    <w:rsid w:val="32566604"/>
    <w:rsid w:val="327D0129"/>
    <w:rsid w:val="32911D66"/>
    <w:rsid w:val="329539DE"/>
    <w:rsid w:val="32BC5FBE"/>
    <w:rsid w:val="32EE0F67"/>
    <w:rsid w:val="32EE540A"/>
    <w:rsid w:val="3355548A"/>
    <w:rsid w:val="33650763"/>
    <w:rsid w:val="336B25B7"/>
    <w:rsid w:val="339913F6"/>
    <w:rsid w:val="339935C8"/>
    <w:rsid w:val="33A3606F"/>
    <w:rsid w:val="33D612FD"/>
    <w:rsid w:val="34037BBA"/>
    <w:rsid w:val="341D7D55"/>
    <w:rsid w:val="343B467F"/>
    <w:rsid w:val="346408E5"/>
    <w:rsid w:val="347C1DBE"/>
    <w:rsid w:val="349C6CFD"/>
    <w:rsid w:val="34ED0058"/>
    <w:rsid w:val="34FA62E8"/>
    <w:rsid w:val="34FB796B"/>
    <w:rsid w:val="35150A2C"/>
    <w:rsid w:val="358D5119"/>
    <w:rsid w:val="358E431C"/>
    <w:rsid w:val="36054433"/>
    <w:rsid w:val="362F2828"/>
    <w:rsid w:val="36412D29"/>
    <w:rsid w:val="36413AA3"/>
    <w:rsid w:val="36B0782A"/>
    <w:rsid w:val="36C941C4"/>
    <w:rsid w:val="36D541A5"/>
    <w:rsid w:val="373171D8"/>
    <w:rsid w:val="374D7C8A"/>
    <w:rsid w:val="375B21A0"/>
    <w:rsid w:val="37A91900"/>
    <w:rsid w:val="37D97E65"/>
    <w:rsid w:val="37E47740"/>
    <w:rsid w:val="37E663D8"/>
    <w:rsid w:val="3825367C"/>
    <w:rsid w:val="38467792"/>
    <w:rsid w:val="385E0352"/>
    <w:rsid w:val="38AA60B4"/>
    <w:rsid w:val="39206BA7"/>
    <w:rsid w:val="392B4CC2"/>
    <w:rsid w:val="39301A51"/>
    <w:rsid w:val="393F251C"/>
    <w:rsid w:val="39704AE4"/>
    <w:rsid w:val="398C6B89"/>
    <w:rsid w:val="39CF53E0"/>
    <w:rsid w:val="39D231BA"/>
    <w:rsid w:val="3A97019E"/>
    <w:rsid w:val="3ABE1B66"/>
    <w:rsid w:val="3BA23236"/>
    <w:rsid w:val="3BA54333"/>
    <w:rsid w:val="3BE42917"/>
    <w:rsid w:val="3BF910A8"/>
    <w:rsid w:val="3C0043A9"/>
    <w:rsid w:val="3C047489"/>
    <w:rsid w:val="3C094AB8"/>
    <w:rsid w:val="3C576957"/>
    <w:rsid w:val="3CB03ED4"/>
    <w:rsid w:val="3CC92D44"/>
    <w:rsid w:val="3CCE6B14"/>
    <w:rsid w:val="3D3B2FFA"/>
    <w:rsid w:val="3D510043"/>
    <w:rsid w:val="3D9D1F07"/>
    <w:rsid w:val="3DC42160"/>
    <w:rsid w:val="3E2148E6"/>
    <w:rsid w:val="3E4951EA"/>
    <w:rsid w:val="3E772758"/>
    <w:rsid w:val="3EBD6E28"/>
    <w:rsid w:val="3F2A73B9"/>
    <w:rsid w:val="3F3C150F"/>
    <w:rsid w:val="3F3F22A4"/>
    <w:rsid w:val="3F485EA2"/>
    <w:rsid w:val="3F632CDC"/>
    <w:rsid w:val="3F9A4869"/>
    <w:rsid w:val="3FAC4683"/>
    <w:rsid w:val="3FC76B74"/>
    <w:rsid w:val="400934B9"/>
    <w:rsid w:val="40206E0D"/>
    <w:rsid w:val="404D3498"/>
    <w:rsid w:val="406720DC"/>
    <w:rsid w:val="406F4DA3"/>
    <w:rsid w:val="40AE63CA"/>
    <w:rsid w:val="40F13A78"/>
    <w:rsid w:val="410B1776"/>
    <w:rsid w:val="41491C49"/>
    <w:rsid w:val="41B07571"/>
    <w:rsid w:val="41C91AB7"/>
    <w:rsid w:val="42521512"/>
    <w:rsid w:val="427753D6"/>
    <w:rsid w:val="427B44B7"/>
    <w:rsid w:val="429C336E"/>
    <w:rsid w:val="42D00689"/>
    <w:rsid w:val="42DC7417"/>
    <w:rsid w:val="43037BE8"/>
    <w:rsid w:val="4345330C"/>
    <w:rsid w:val="434A459E"/>
    <w:rsid w:val="43715E3D"/>
    <w:rsid w:val="4383232B"/>
    <w:rsid w:val="43B143C6"/>
    <w:rsid w:val="43C7383A"/>
    <w:rsid w:val="43FB7987"/>
    <w:rsid w:val="4462173F"/>
    <w:rsid w:val="447339C1"/>
    <w:rsid w:val="448C6831"/>
    <w:rsid w:val="44AE3131"/>
    <w:rsid w:val="44B33DBE"/>
    <w:rsid w:val="45B15AC3"/>
    <w:rsid w:val="45EE26F2"/>
    <w:rsid w:val="46024FFD"/>
    <w:rsid w:val="46205483"/>
    <w:rsid w:val="464078D3"/>
    <w:rsid w:val="46496ECF"/>
    <w:rsid w:val="467C2391"/>
    <w:rsid w:val="467E0395"/>
    <w:rsid w:val="46CB7D89"/>
    <w:rsid w:val="46D30747"/>
    <w:rsid w:val="46EB3CE3"/>
    <w:rsid w:val="47064312"/>
    <w:rsid w:val="47327C30"/>
    <w:rsid w:val="47571378"/>
    <w:rsid w:val="47E56984"/>
    <w:rsid w:val="481427FD"/>
    <w:rsid w:val="4831454F"/>
    <w:rsid w:val="48367D18"/>
    <w:rsid w:val="48767174"/>
    <w:rsid w:val="487675DC"/>
    <w:rsid w:val="488578C1"/>
    <w:rsid w:val="48BB76E5"/>
    <w:rsid w:val="49070C54"/>
    <w:rsid w:val="4977360C"/>
    <w:rsid w:val="498265D4"/>
    <w:rsid w:val="49CB1CA8"/>
    <w:rsid w:val="49F2635D"/>
    <w:rsid w:val="4A236E50"/>
    <w:rsid w:val="4A444BE9"/>
    <w:rsid w:val="4A5D0A54"/>
    <w:rsid w:val="4AFA2747"/>
    <w:rsid w:val="4AFF1B0B"/>
    <w:rsid w:val="4B193C7E"/>
    <w:rsid w:val="4B2E419E"/>
    <w:rsid w:val="4B34241F"/>
    <w:rsid w:val="4B906339"/>
    <w:rsid w:val="4BCD54BC"/>
    <w:rsid w:val="4C1C001E"/>
    <w:rsid w:val="4C453CFD"/>
    <w:rsid w:val="4C687B84"/>
    <w:rsid w:val="4C6A064B"/>
    <w:rsid w:val="4D935454"/>
    <w:rsid w:val="4DFB6EF7"/>
    <w:rsid w:val="4DFF6B04"/>
    <w:rsid w:val="4E473EF5"/>
    <w:rsid w:val="4E5E123E"/>
    <w:rsid w:val="4E8B2B3C"/>
    <w:rsid w:val="4ECC5399"/>
    <w:rsid w:val="4EDA1156"/>
    <w:rsid w:val="4EFF657E"/>
    <w:rsid w:val="4F35568B"/>
    <w:rsid w:val="4F383A0D"/>
    <w:rsid w:val="4F4026F2"/>
    <w:rsid w:val="4F444F75"/>
    <w:rsid w:val="4F642884"/>
    <w:rsid w:val="4F895E47"/>
    <w:rsid w:val="4F8C5808"/>
    <w:rsid w:val="4FB84F3A"/>
    <w:rsid w:val="4FC96B8B"/>
    <w:rsid w:val="4FE433C6"/>
    <w:rsid w:val="501A73E7"/>
    <w:rsid w:val="50642410"/>
    <w:rsid w:val="506A08C5"/>
    <w:rsid w:val="507379AE"/>
    <w:rsid w:val="508129B8"/>
    <w:rsid w:val="509D6459"/>
    <w:rsid w:val="50BE7D72"/>
    <w:rsid w:val="511D255E"/>
    <w:rsid w:val="51273B6A"/>
    <w:rsid w:val="513040CB"/>
    <w:rsid w:val="513B5282"/>
    <w:rsid w:val="51630116"/>
    <w:rsid w:val="51732F99"/>
    <w:rsid w:val="51825230"/>
    <w:rsid w:val="51830E87"/>
    <w:rsid w:val="520D1AF1"/>
    <w:rsid w:val="52597920"/>
    <w:rsid w:val="5265433E"/>
    <w:rsid w:val="52EA4E4F"/>
    <w:rsid w:val="53A2796A"/>
    <w:rsid w:val="54471223"/>
    <w:rsid w:val="545428EA"/>
    <w:rsid w:val="54A32561"/>
    <w:rsid w:val="54C33C51"/>
    <w:rsid w:val="54C42CFF"/>
    <w:rsid w:val="55523F9C"/>
    <w:rsid w:val="55CC7C7D"/>
    <w:rsid w:val="56163A1A"/>
    <w:rsid w:val="563B270E"/>
    <w:rsid w:val="568C4DCB"/>
    <w:rsid w:val="5737262D"/>
    <w:rsid w:val="575F482D"/>
    <w:rsid w:val="57707A2A"/>
    <w:rsid w:val="577709F7"/>
    <w:rsid w:val="57947A7F"/>
    <w:rsid w:val="57B55E38"/>
    <w:rsid w:val="57DB28FB"/>
    <w:rsid w:val="57DE37BF"/>
    <w:rsid w:val="580410D4"/>
    <w:rsid w:val="58242BB1"/>
    <w:rsid w:val="58CF09EC"/>
    <w:rsid w:val="590D5D3B"/>
    <w:rsid w:val="590F5946"/>
    <w:rsid w:val="593844FF"/>
    <w:rsid w:val="593D6572"/>
    <w:rsid w:val="594160F8"/>
    <w:rsid w:val="5987789B"/>
    <w:rsid w:val="59997785"/>
    <w:rsid w:val="59A46182"/>
    <w:rsid w:val="59BD32BD"/>
    <w:rsid w:val="59D86349"/>
    <w:rsid w:val="59ED2407"/>
    <w:rsid w:val="5A232AB7"/>
    <w:rsid w:val="5A4F3AC1"/>
    <w:rsid w:val="5A53777D"/>
    <w:rsid w:val="5A5C31CC"/>
    <w:rsid w:val="5A924D04"/>
    <w:rsid w:val="5AA004E9"/>
    <w:rsid w:val="5AD05272"/>
    <w:rsid w:val="5B01367D"/>
    <w:rsid w:val="5B1D043B"/>
    <w:rsid w:val="5B48305A"/>
    <w:rsid w:val="5B5B0FE0"/>
    <w:rsid w:val="5B637E94"/>
    <w:rsid w:val="5B7B51DE"/>
    <w:rsid w:val="5B8816A9"/>
    <w:rsid w:val="5BB95D06"/>
    <w:rsid w:val="5BC86CB5"/>
    <w:rsid w:val="5BE014E5"/>
    <w:rsid w:val="5BFE7BBD"/>
    <w:rsid w:val="5C0D7E00"/>
    <w:rsid w:val="5C1D2FF9"/>
    <w:rsid w:val="5C533A65"/>
    <w:rsid w:val="5CB14C2F"/>
    <w:rsid w:val="5D1A6C78"/>
    <w:rsid w:val="5D823194"/>
    <w:rsid w:val="5D825803"/>
    <w:rsid w:val="5D964551"/>
    <w:rsid w:val="5DC718DD"/>
    <w:rsid w:val="5E042199"/>
    <w:rsid w:val="5E2D5140"/>
    <w:rsid w:val="5E6F096E"/>
    <w:rsid w:val="5E802B0B"/>
    <w:rsid w:val="5ECE1AC8"/>
    <w:rsid w:val="5ED237E3"/>
    <w:rsid w:val="5ED70990"/>
    <w:rsid w:val="5EE017FC"/>
    <w:rsid w:val="5EFC6636"/>
    <w:rsid w:val="5F294F51"/>
    <w:rsid w:val="5F4D50E3"/>
    <w:rsid w:val="5F591086"/>
    <w:rsid w:val="5F5D3849"/>
    <w:rsid w:val="5F8E3006"/>
    <w:rsid w:val="5FA16C3A"/>
    <w:rsid w:val="5FB94527"/>
    <w:rsid w:val="60033159"/>
    <w:rsid w:val="60107564"/>
    <w:rsid w:val="60242A8A"/>
    <w:rsid w:val="603D6F06"/>
    <w:rsid w:val="60416F59"/>
    <w:rsid w:val="60675D31"/>
    <w:rsid w:val="609F0D7A"/>
    <w:rsid w:val="613110A5"/>
    <w:rsid w:val="61662281"/>
    <w:rsid w:val="621E4EBB"/>
    <w:rsid w:val="622B0714"/>
    <w:rsid w:val="623600B0"/>
    <w:rsid w:val="6243457B"/>
    <w:rsid w:val="62683FE2"/>
    <w:rsid w:val="62726C0F"/>
    <w:rsid w:val="62786B8F"/>
    <w:rsid w:val="62A44DCC"/>
    <w:rsid w:val="62AB5710"/>
    <w:rsid w:val="62D97CD4"/>
    <w:rsid w:val="62F82757"/>
    <w:rsid w:val="62FD0BCE"/>
    <w:rsid w:val="635F7193"/>
    <w:rsid w:val="637878FF"/>
    <w:rsid w:val="638E62C7"/>
    <w:rsid w:val="639A641D"/>
    <w:rsid w:val="643417B1"/>
    <w:rsid w:val="64433A80"/>
    <w:rsid w:val="64460353"/>
    <w:rsid w:val="64855A5A"/>
    <w:rsid w:val="64B14D77"/>
    <w:rsid w:val="64C76080"/>
    <w:rsid w:val="65586F51"/>
    <w:rsid w:val="65B73B2E"/>
    <w:rsid w:val="65C23A09"/>
    <w:rsid w:val="65C3252A"/>
    <w:rsid w:val="66091638"/>
    <w:rsid w:val="66163BC8"/>
    <w:rsid w:val="6629467C"/>
    <w:rsid w:val="662A41AB"/>
    <w:rsid w:val="66372649"/>
    <w:rsid w:val="665C77CC"/>
    <w:rsid w:val="66EB7F2E"/>
    <w:rsid w:val="66F2031E"/>
    <w:rsid w:val="676707F0"/>
    <w:rsid w:val="67BD4A4C"/>
    <w:rsid w:val="67D35AA5"/>
    <w:rsid w:val="68817BAC"/>
    <w:rsid w:val="689E2462"/>
    <w:rsid w:val="68A7633C"/>
    <w:rsid w:val="68A93906"/>
    <w:rsid w:val="68FD0674"/>
    <w:rsid w:val="69012A9A"/>
    <w:rsid w:val="692D5111"/>
    <w:rsid w:val="694F4849"/>
    <w:rsid w:val="69506A0B"/>
    <w:rsid w:val="69756DFF"/>
    <w:rsid w:val="698931BC"/>
    <w:rsid w:val="69AF4AE9"/>
    <w:rsid w:val="69BF51B1"/>
    <w:rsid w:val="69C75E1E"/>
    <w:rsid w:val="69D44AD2"/>
    <w:rsid w:val="69E306B1"/>
    <w:rsid w:val="69E93C5A"/>
    <w:rsid w:val="6A7949AA"/>
    <w:rsid w:val="6A7A2B04"/>
    <w:rsid w:val="6A8D5406"/>
    <w:rsid w:val="6ACF10A2"/>
    <w:rsid w:val="6AF02DC7"/>
    <w:rsid w:val="6B975E12"/>
    <w:rsid w:val="6BAD30F8"/>
    <w:rsid w:val="6BB61C61"/>
    <w:rsid w:val="6C0E79A8"/>
    <w:rsid w:val="6C3A5A44"/>
    <w:rsid w:val="6C90037B"/>
    <w:rsid w:val="6CC4450B"/>
    <w:rsid w:val="6CCB7647"/>
    <w:rsid w:val="6CD74895"/>
    <w:rsid w:val="6D0E5786"/>
    <w:rsid w:val="6D3B3907"/>
    <w:rsid w:val="6D4D4500"/>
    <w:rsid w:val="6D577369"/>
    <w:rsid w:val="6DB10880"/>
    <w:rsid w:val="6E1A0886"/>
    <w:rsid w:val="6E2C680B"/>
    <w:rsid w:val="6E5805C6"/>
    <w:rsid w:val="6E875F07"/>
    <w:rsid w:val="6E8D33E2"/>
    <w:rsid w:val="6EEB2267"/>
    <w:rsid w:val="6EEB4246"/>
    <w:rsid w:val="6F0A75C7"/>
    <w:rsid w:val="6F2916DE"/>
    <w:rsid w:val="6F45570E"/>
    <w:rsid w:val="6F6B1FFA"/>
    <w:rsid w:val="6F854425"/>
    <w:rsid w:val="6F972386"/>
    <w:rsid w:val="6FAD74D8"/>
    <w:rsid w:val="6FAE323D"/>
    <w:rsid w:val="6FB24AEE"/>
    <w:rsid w:val="6FB2689C"/>
    <w:rsid w:val="6FE85078"/>
    <w:rsid w:val="702770F9"/>
    <w:rsid w:val="70743C37"/>
    <w:rsid w:val="707B7987"/>
    <w:rsid w:val="710650F2"/>
    <w:rsid w:val="710870BC"/>
    <w:rsid w:val="71110CB5"/>
    <w:rsid w:val="71754661"/>
    <w:rsid w:val="7199500A"/>
    <w:rsid w:val="71AE3BC2"/>
    <w:rsid w:val="71C12F3C"/>
    <w:rsid w:val="71E350CB"/>
    <w:rsid w:val="71FB7F64"/>
    <w:rsid w:val="727E3F90"/>
    <w:rsid w:val="72D60AF4"/>
    <w:rsid w:val="72F2040C"/>
    <w:rsid w:val="73176A85"/>
    <w:rsid w:val="73510803"/>
    <w:rsid w:val="737308E6"/>
    <w:rsid w:val="739A566B"/>
    <w:rsid w:val="73A429A0"/>
    <w:rsid w:val="73D377B1"/>
    <w:rsid w:val="73F36EC7"/>
    <w:rsid w:val="74192AEF"/>
    <w:rsid w:val="74363F40"/>
    <w:rsid w:val="748B4329"/>
    <w:rsid w:val="7491561A"/>
    <w:rsid w:val="74EE4DD7"/>
    <w:rsid w:val="75320D4F"/>
    <w:rsid w:val="75F956C4"/>
    <w:rsid w:val="763C3364"/>
    <w:rsid w:val="7640140B"/>
    <w:rsid w:val="764D731F"/>
    <w:rsid w:val="76D35BCD"/>
    <w:rsid w:val="76EC2FDC"/>
    <w:rsid w:val="76F855E9"/>
    <w:rsid w:val="77626189"/>
    <w:rsid w:val="777360A5"/>
    <w:rsid w:val="77B96D29"/>
    <w:rsid w:val="77BE2F29"/>
    <w:rsid w:val="77C655DB"/>
    <w:rsid w:val="78105F48"/>
    <w:rsid w:val="78D36E99"/>
    <w:rsid w:val="78F568B0"/>
    <w:rsid w:val="79237BCF"/>
    <w:rsid w:val="79A33E26"/>
    <w:rsid w:val="79CF2B63"/>
    <w:rsid w:val="79E363F3"/>
    <w:rsid w:val="7A780594"/>
    <w:rsid w:val="7A923E9A"/>
    <w:rsid w:val="7AE5221C"/>
    <w:rsid w:val="7B315461"/>
    <w:rsid w:val="7B3B4DBC"/>
    <w:rsid w:val="7B3C6599"/>
    <w:rsid w:val="7B3D7962"/>
    <w:rsid w:val="7B4A02D1"/>
    <w:rsid w:val="7BBC5BD0"/>
    <w:rsid w:val="7BD75A22"/>
    <w:rsid w:val="7C034102"/>
    <w:rsid w:val="7C6B49A3"/>
    <w:rsid w:val="7CA11025"/>
    <w:rsid w:val="7CB445F0"/>
    <w:rsid w:val="7CEF2EDE"/>
    <w:rsid w:val="7CFA4CEF"/>
    <w:rsid w:val="7CFB37F7"/>
    <w:rsid w:val="7D832DEC"/>
    <w:rsid w:val="7D98638B"/>
    <w:rsid w:val="7DB12205"/>
    <w:rsid w:val="7DFB58B2"/>
    <w:rsid w:val="7E2B3F60"/>
    <w:rsid w:val="7E5248BA"/>
    <w:rsid w:val="7E6A67FA"/>
    <w:rsid w:val="7E927FC5"/>
    <w:rsid w:val="7ECA59B1"/>
    <w:rsid w:val="7EEF6BA4"/>
    <w:rsid w:val="7F115666"/>
    <w:rsid w:val="7F492E42"/>
    <w:rsid w:val="7FA11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name="toc 4"/>
    <w:lsdException w:qFormat="1"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qFormat="1" w:unhideWhenUsed="0" w:uiPriority="0" w:semiHidden="0"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qFormat="1" w:unhideWhenUsed="0" w:uiPriority="0" w:semiHidden="0"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05"/>
    <w:qFormat/>
    <w:uiPriority w:val="0"/>
    <w:pPr>
      <w:keepNext/>
      <w:keepLines/>
      <w:spacing w:after="120" w:line="360" w:lineRule="auto"/>
      <w:jc w:val="left"/>
      <w:outlineLvl w:val="0"/>
    </w:pPr>
    <w:rPr>
      <w:kern w:val="44"/>
      <w:sz w:val="28"/>
      <w:szCs w:val="28"/>
    </w:rPr>
  </w:style>
  <w:style w:type="paragraph" w:styleId="4">
    <w:name w:val="heading 2"/>
    <w:basedOn w:val="1"/>
    <w:next w:val="1"/>
    <w:link w:val="114"/>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5">
    <w:name w:val="heading 3"/>
    <w:basedOn w:val="1"/>
    <w:next w:val="1"/>
    <w:link w:val="108"/>
    <w:qFormat/>
    <w:uiPriority w:val="0"/>
    <w:pPr>
      <w:widowControl/>
      <w:spacing w:before="100" w:beforeAutospacing="1" w:after="100" w:afterAutospacing="1"/>
      <w:jc w:val="left"/>
      <w:outlineLvl w:val="2"/>
    </w:pPr>
    <w:rPr>
      <w:rFonts w:ascii="宋体" w:hAnsi="宋体" w:cs="宋体"/>
      <w:kern w:val="0"/>
      <w:sz w:val="27"/>
      <w:szCs w:val="27"/>
    </w:rPr>
  </w:style>
  <w:style w:type="paragraph" w:styleId="6">
    <w:name w:val="heading 4"/>
    <w:basedOn w:val="5"/>
    <w:next w:val="2"/>
    <w:link w:val="117"/>
    <w:qFormat/>
    <w:uiPriority w:val="0"/>
    <w:pPr>
      <w:keepNext/>
      <w:keepLines/>
      <w:widowControl w:val="0"/>
      <w:numPr>
        <w:ilvl w:val="3"/>
        <w:numId w:val="1"/>
      </w:numPr>
      <w:spacing w:before="0" w:beforeLines="50" w:beforeAutospacing="0" w:after="0" w:afterLines="50" w:afterAutospacing="0" w:line="360" w:lineRule="auto"/>
      <w:outlineLvl w:val="3"/>
    </w:pPr>
    <w:rPr>
      <w:rFonts w:ascii="Arial" w:hAnsi="Arial" w:cs="Times New Roman"/>
      <w:color w:val="000000"/>
      <w:kern w:val="2"/>
      <w:sz w:val="21"/>
      <w:szCs w:val="21"/>
    </w:rPr>
  </w:style>
  <w:style w:type="paragraph" w:styleId="7">
    <w:name w:val="heading 5"/>
    <w:basedOn w:val="6"/>
    <w:next w:val="2"/>
    <w:link w:val="107"/>
    <w:qFormat/>
    <w:uiPriority w:val="0"/>
    <w:pPr>
      <w:numPr>
        <w:ilvl w:val="4"/>
      </w:numPr>
      <w:spacing w:line="240" w:lineRule="exact"/>
      <w:outlineLvl w:val="4"/>
    </w:pPr>
  </w:style>
  <w:style w:type="paragraph" w:styleId="8">
    <w:name w:val="heading 6"/>
    <w:basedOn w:val="1"/>
    <w:next w:val="1"/>
    <w:link w:val="95"/>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9">
    <w:name w:val="heading 7"/>
    <w:basedOn w:val="1"/>
    <w:next w:val="2"/>
    <w:link w:val="119"/>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0">
    <w:name w:val="heading 8"/>
    <w:basedOn w:val="1"/>
    <w:next w:val="2"/>
    <w:link w:val="88"/>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1">
    <w:name w:val="heading 9"/>
    <w:basedOn w:val="1"/>
    <w:next w:val="2"/>
    <w:link w:val="97"/>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55">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176"/>
    <w:qFormat/>
    <w:uiPriority w:val="0"/>
    <w:pPr>
      <w:ind w:firstLine="420"/>
    </w:pPr>
    <w:rPr>
      <w:rFonts w:ascii="Times New Roman" w:hAnsi="Times New Roman"/>
      <w:szCs w:val="20"/>
    </w:rPr>
  </w:style>
  <w:style w:type="paragraph" w:styleId="12">
    <w:name w:val="List Number 2"/>
    <w:basedOn w:val="1"/>
    <w:qFormat/>
    <w:uiPriority w:val="0"/>
    <w:pPr>
      <w:numPr>
        <w:ilvl w:val="0"/>
        <w:numId w:val="1"/>
      </w:numPr>
      <w:tabs>
        <w:tab w:val="left" w:pos="780"/>
      </w:tabs>
    </w:pPr>
    <w:rPr>
      <w:rFonts w:ascii="Times New Roman" w:hAnsi="Times New Roman"/>
      <w:szCs w:val="24"/>
    </w:rPr>
  </w:style>
  <w:style w:type="paragraph" w:styleId="13">
    <w:name w:val="List Bullet 4"/>
    <w:basedOn w:val="1"/>
    <w:qFormat/>
    <w:uiPriority w:val="0"/>
    <w:pPr>
      <w:widowControl/>
      <w:tabs>
        <w:tab w:val="left" w:pos="432"/>
        <w:tab w:val="left" w:pos="2160"/>
      </w:tabs>
      <w:ind w:left="2160" w:hanging="432"/>
    </w:pPr>
    <w:rPr>
      <w:rFonts w:ascii="Times New Roman" w:hAnsi="Times New Roman"/>
      <w:kern w:val="0"/>
      <w:sz w:val="24"/>
      <w:szCs w:val="20"/>
      <w:lang w:eastAsia="en-US"/>
    </w:rPr>
  </w:style>
  <w:style w:type="paragraph" w:styleId="14">
    <w:name w:val="List Number"/>
    <w:basedOn w:val="1"/>
    <w:qFormat/>
    <w:uiPriority w:val="0"/>
    <w:pPr>
      <w:numPr>
        <w:ilvl w:val="0"/>
        <w:numId w:val="2"/>
      </w:numPr>
      <w:tabs>
        <w:tab w:val="left" w:pos="360"/>
      </w:tabs>
    </w:pPr>
    <w:rPr>
      <w:rFonts w:ascii="Times New Roman" w:hAnsi="Times New Roman"/>
      <w:szCs w:val="24"/>
    </w:rPr>
  </w:style>
  <w:style w:type="paragraph" w:styleId="15">
    <w:name w:val="caption"/>
    <w:basedOn w:val="1"/>
    <w:next w:val="1"/>
    <w:qFormat/>
    <w:uiPriority w:val="0"/>
    <w:rPr>
      <w:rFonts w:ascii="Arial" w:hAnsi="Arial" w:eastAsia="黑体" w:cs="Arial"/>
      <w:sz w:val="20"/>
      <w:szCs w:val="20"/>
    </w:rPr>
  </w:style>
  <w:style w:type="paragraph" w:styleId="16">
    <w:name w:val="List Bullet"/>
    <w:basedOn w:val="1"/>
    <w:qFormat/>
    <w:uiPriority w:val="0"/>
    <w:pPr>
      <w:tabs>
        <w:tab w:val="left" w:pos="360"/>
      </w:tabs>
      <w:ind w:left="360" w:hanging="360"/>
    </w:pPr>
    <w:rPr>
      <w:rFonts w:ascii="Times New Roman" w:hAnsi="Times New Roman"/>
      <w:szCs w:val="24"/>
    </w:rPr>
  </w:style>
  <w:style w:type="paragraph" w:styleId="17">
    <w:name w:val="Document Map"/>
    <w:basedOn w:val="1"/>
    <w:link w:val="91"/>
    <w:qFormat/>
    <w:uiPriority w:val="0"/>
    <w:pPr>
      <w:shd w:val="clear" w:color="auto" w:fill="000080"/>
    </w:pPr>
    <w:rPr>
      <w:rFonts w:ascii="Times New Roman" w:hAnsi="Times New Roman"/>
      <w:szCs w:val="20"/>
    </w:rPr>
  </w:style>
  <w:style w:type="paragraph" w:styleId="18">
    <w:name w:val="annotation text"/>
    <w:basedOn w:val="1"/>
    <w:link w:val="133"/>
    <w:unhideWhenUsed/>
    <w:qFormat/>
    <w:uiPriority w:val="0"/>
    <w:pPr>
      <w:jc w:val="left"/>
    </w:pPr>
  </w:style>
  <w:style w:type="paragraph" w:styleId="19">
    <w:name w:val="Body Text 3"/>
    <w:basedOn w:val="1"/>
    <w:link w:val="181"/>
    <w:unhideWhenUsed/>
    <w:qFormat/>
    <w:uiPriority w:val="0"/>
    <w:pPr>
      <w:spacing w:after="120"/>
    </w:pPr>
    <w:rPr>
      <w:sz w:val="16"/>
      <w:szCs w:val="16"/>
    </w:rPr>
  </w:style>
  <w:style w:type="paragraph" w:styleId="20">
    <w:name w:val="Body Text"/>
    <w:basedOn w:val="1"/>
    <w:next w:val="21"/>
    <w:link w:val="103"/>
    <w:qFormat/>
    <w:uiPriority w:val="0"/>
    <w:pPr>
      <w:spacing w:after="120"/>
    </w:pPr>
    <w:rPr>
      <w:rFonts w:ascii="Times New Roman" w:hAnsi="Times New Roman"/>
      <w:szCs w:val="20"/>
    </w:rPr>
  </w:style>
  <w:style w:type="paragraph" w:styleId="21">
    <w:name w:val="Title"/>
    <w:basedOn w:val="1"/>
    <w:next w:val="1"/>
    <w:link w:val="87"/>
    <w:qFormat/>
    <w:uiPriority w:val="0"/>
    <w:pPr>
      <w:spacing w:before="120" w:after="60"/>
      <w:jc w:val="center"/>
    </w:pPr>
    <w:rPr>
      <w:rFonts w:ascii="Arial" w:hAnsi="Arial"/>
      <w:b/>
      <w:sz w:val="44"/>
      <w:szCs w:val="20"/>
    </w:rPr>
  </w:style>
  <w:style w:type="paragraph" w:styleId="22">
    <w:name w:val="Body Text Indent"/>
    <w:basedOn w:val="1"/>
    <w:next w:val="23"/>
    <w:link w:val="96"/>
    <w:qFormat/>
    <w:uiPriority w:val="0"/>
    <w:pPr>
      <w:ind w:firstLine="570"/>
    </w:pPr>
    <w:rPr>
      <w:rFonts w:ascii="Times New Roman" w:hAnsi="Times New Roman"/>
      <w:sz w:val="28"/>
      <w:szCs w:val="20"/>
    </w:rPr>
  </w:style>
  <w:style w:type="paragraph" w:styleId="23">
    <w:name w:val="envelope return"/>
    <w:basedOn w:val="1"/>
    <w:qFormat/>
    <w:uiPriority w:val="0"/>
    <w:pPr>
      <w:snapToGrid w:val="0"/>
    </w:pPr>
    <w:rPr>
      <w:rFonts w:ascii="Arial" w:hAnsi="Arial"/>
      <w:szCs w:val="24"/>
    </w:rPr>
  </w:style>
  <w:style w:type="paragraph" w:styleId="24">
    <w:name w:val="List 2"/>
    <w:basedOn w:val="1"/>
    <w:qFormat/>
    <w:uiPriority w:val="0"/>
    <w:pPr>
      <w:ind w:left="200" w:leftChars="200" w:hanging="200" w:hangingChars="200"/>
    </w:pPr>
    <w:rPr>
      <w:rFonts w:ascii="Times New Roman" w:hAnsi="Times New Roman" w:eastAsia="楷体_GB2312"/>
      <w:szCs w:val="20"/>
    </w:rPr>
  </w:style>
  <w:style w:type="paragraph" w:styleId="25">
    <w:name w:val="List Bullet 2"/>
    <w:basedOn w:val="16"/>
    <w:qFormat/>
    <w:uiPriority w:val="0"/>
    <w:pPr>
      <w:widowControl/>
      <w:tabs>
        <w:tab w:val="left" w:pos="432"/>
        <w:tab w:val="clear" w:pos="360"/>
      </w:tabs>
      <w:spacing w:after="220" w:line="220" w:lineRule="atLeast"/>
      <w:ind w:left="2160" w:right="720" w:hanging="432"/>
      <w:jc w:val="left"/>
    </w:pPr>
    <w:rPr>
      <w:kern w:val="0"/>
      <w:szCs w:val="20"/>
    </w:rPr>
  </w:style>
  <w:style w:type="paragraph" w:styleId="26">
    <w:name w:val="HTML Address"/>
    <w:basedOn w:val="1"/>
    <w:link w:val="182"/>
    <w:qFormat/>
    <w:uiPriority w:val="0"/>
    <w:rPr>
      <w:rFonts w:ascii="Times New Roman" w:hAnsi="Times New Roman"/>
      <w:i/>
      <w:szCs w:val="20"/>
    </w:rPr>
  </w:style>
  <w:style w:type="paragraph" w:styleId="27">
    <w:name w:val="index 4"/>
    <w:basedOn w:val="1"/>
    <w:next w:val="1"/>
    <w:qFormat/>
    <w:uiPriority w:val="0"/>
    <w:pPr>
      <w:ind w:left="600" w:leftChars="600"/>
    </w:pPr>
    <w:rPr>
      <w:rFonts w:ascii="Times New Roman" w:hAnsi="Times New Roman"/>
      <w:szCs w:val="24"/>
    </w:rPr>
  </w:style>
  <w:style w:type="paragraph" w:styleId="28">
    <w:name w:val="toc 5"/>
    <w:basedOn w:val="1"/>
    <w:next w:val="1"/>
    <w:semiHidden/>
    <w:unhideWhenUsed/>
    <w:qFormat/>
    <w:uiPriority w:val="39"/>
    <w:pPr>
      <w:ind w:left="1680" w:leftChars="800"/>
    </w:pPr>
  </w:style>
  <w:style w:type="paragraph" w:styleId="29">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30">
    <w:name w:val="Plain Text"/>
    <w:basedOn w:val="1"/>
    <w:next w:val="1"/>
    <w:link w:val="99"/>
    <w:qFormat/>
    <w:uiPriority w:val="99"/>
    <w:rPr>
      <w:rFonts w:ascii="宋体" w:hAnsi="Courier New"/>
      <w:szCs w:val="20"/>
    </w:rPr>
  </w:style>
  <w:style w:type="paragraph" w:styleId="31">
    <w:name w:val="Date"/>
    <w:basedOn w:val="1"/>
    <w:next w:val="1"/>
    <w:link w:val="106"/>
    <w:qFormat/>
    <w:uiPriority w:val="0"/>
    <w:rPr>
      <w:rFonts w:ascii="Times New Roman" w:hAnsi="Times New Roman"/>
      <w:szCs w:val="20"/>
    </w:rPr>
  </w:style>
  <w:style w:type="paragraph" w:styleId="32">
    <w:name w:val="Body Text Indent 2"/>
    <w:basedOn w:val="1"/>
    <w:link w:val="111"/>
    <w:qFormat/>
    <w:uiPriority w:val="0"/>
    <w:pPr>
      <w:spacing w:line="400" w:lineRule="exact"/>
      <w:ind w:left="425"/>
    </w:pPr>
    <w:rPr>
      <w:rFonts w:ascii="Times New Roman" w:hAnsi="Times New Roman"/>
      <w:color w:val="000000"/>
      <w:sz w:val="24"/>
      <w:szCs w:val="20"/>
    </w:rPr>
  </w:style>
  <w:style w:type="paragraph" w:styleId="33">
    <w:name w:val="endnote text"/>
    <w:basedOn w:val="1"/>
    <w:link w:val="125"/>
    <w:qFormat/>
    <w:uiPriority w:val="0"/>
    <w:pPr>
      <w:snapToGrid w:val="0"/>
      <w:jc w:val="left"/>
    </w:pPr>
    <w:rPr>
      <w:rFonts w:ascii="Times New Roman" w:hAnsi="Times New Roman"/>
      <w:szCs w:val="20"/>
    </w:rPr>
  </w:style>
  <w:style w:type="paragraph" w:styleId="34">
    <w:name w:val="Balloon Text"/>
    <w:basedOn w:val="1"/>
    <w:link w:val="85"/>
    <w:qFormat/>
    <w:uiPriority w:val="0"/>
    <w:rPr>
      <w:rFonts w:ascii="Times New Roman" w:hAnsi="Times New Roman"/>
      <w:sz w:val="18"/>
      <w:szCs w:val="18"/>
    </w:rPr>
  </w:style>
  <w:style w:type="paragraph" w:styleId="35">
    <w:name w:val="footer"/>
    <w:basedOn w:val="1"/>
    <w:link w:val="100"/>
    <w:unhideWhenUsed/>
    <w:qFormat/>
    <w:uiPriority w:val="99"/>
    <w:pPr>
      <w:tabs>
        <w:tab w:val="center" w:pos="4153"/>
        <w:tab w:val="right" w:pos="8306"/>
      </w:tabs>
      <w:snapToGrid w:val="0"/>
      <w:jc w:val="left"/>
    </w:pPr>
    <w:rPr>
      <w:sz w:val="18"/>
      <w:szCs w:val="18"/>
    </w:rPr>
  </w:style>
  <w:style w:type="paragraph" w:styleId="36">
    <w:name w:val="header"/>
    <w:basedOn w:val="1"/>
    <w:link w:val="110"/>
    <w:unhideWhenUsed/>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38">
    <w:name w:val="toc 4"/>
    <w:basedOn w:val="1"/>
    <w:next w:val="1"/>
    <w:semiHidden/>
    <w:unhideWhenUsed/>
    <w:qFormat/>
    <w:uiPriority w:val="39"/>
    <w:pPr>
      <w:ind w:left="1260" w:leftChars="600"/>
    </w:pPr>
  </w:style>
  <w:style w:type="paragraph" w:styleId="39">
    <w:name w:val="Subtitle"/>
    <w:basedOn w:val="1"/>
    <w:next w:val="1"/>
    <w:link w:val="183"/>
    <w:qFormat/>
    <w:uiPriority w:val="0"/>
    <w:pPr>
      <w:widowControl/>
      <w:spacing w:after="60"/>
      <w:jc w:val="center"/>
      <w:outlineLvl w:val="1"/>
    </w:pPr>
    <w:rPr>
      <w:rFonts w:ascii="Arial" w:hAnsi="Arial" w:eastAsia="黑体"/>
      <w:b/>
      <w:bCs/>
      <w:sz w:val="32"/>
      <w:szCs w:val="32"/>
    </w:rPr>
  </w:style>
  <w:style w:type="paragraph" w:styleId="40">
    <w:name w:val="List"/>
    <w:basedOn w:val="20"/>
    <w:qFormat/>
    <w:uiPriority w:val="0"/>
    <w:pPr>
      <w:suppressAutoHyphens/>
      <w:spacing w:after="0"/>
    </w:pPr>
    <w:rPr>
      <w:rFonts w:hAnsi="Calibri" w:eastAsia="黑体"/>
      <w:sz w:val="24"/>
      <w:lang w:eastAsia="ar-SA"/>
    </w:rPr>
  </w:style>
  <w:style w:type="paragraph" w:styleId="41">
    <w:name w:val="footnote text"/>
    <w:basedOn w:val="1"/>
    <w:link w:val="89"/>
    <w:qFormat/>
    <w:uiPriority w:val="0"/>
    <w:pPr>
      <w:snapToGrid w:val="0"/>
      <w:spacing w:line="360" w:lineRule="auto"/>
      <w:ind w:firstLine="523" w:firstLineChars="218"/>
      <w:jc w:val="left"/>
    </w:pPr>
    <w:rPr>
      <w:rFonts w:ascii="宋体" w:hAnsi="宋体"/>
      <w:sz w:val="18"/>
      <w:szCs w:val="18"/>
    </w:rPr>
  </w:style>
  <w:style w:type="paragraph" w:styleId="42">
    <w:name w:val="Body Text Indent 3"/>
    <w:basedOn w:val="1"/>
    <w:link w:val="86"/>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43">
    <w:name w:val="table of figures"/>
    <w:basedOn w:val="1"/>
    <w:next w:val="1"/>
    <w:qFormat/>
    <w:uiPriority w:val="0"/>
    <w:pPr>
      <w:ind w:left="200" w:leftChars="200" w:hanging="200" w:hangingChars="200"/>
    </w:pPr>
    <w:rPr>
      <w:rFonts w:ascii="Times New Roman" w:hAnsi="Times New Roman"/>
    </w:rPr>
  </w:style>
  <w:style w:type="paragraph" w:styleId="44">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45">
    <w:name w:val="Body Text 2"/>
    <w:basedOn w:val="1"/>
    <w:link w:val="102"/>
    <w:qFormat/>
    <w:uiPriority w:val="0"/>
    <w:rPr>
      <w:rFonts w:ascii="宋体" w:hAnsi="宋体"/>
      <w:szCs w:val="24"/>
      <w:u w:val="single"/>
    </w:rPr>
  </w:style>
  <w:style w:type="paragraph" w:styleId="46">
    <w:name w:val="HTML Preformatted"/>
    <w:basedOn w:val="1"/>
    <w:link w:val="184"/>
    <w:qFormat/>
    <w:uiPriority w:val="0"/>
    <w:rPr>
      <w:rFonts w:ascii="Courier New" w:hAnsi="Courier New"/>
      <w:sz w:val="20"/>
      <w:szCs w:val="20"/>
    </w:rPr>
  </w:style>
  <w:style w:type="paragraph" w:styleId="47">
    <w:name w:val="Normal (Web)"/>
    <w:basedOn w:val="1"/>
    <w:unhideWhenUsed/>
    <w:qFormat/>
    <w:uiPriority w:val="99"/>
    <w:rPr>
      <w:rFonts w:ascii="等线" w:hAnsi="等线" w:eastAsia="等线"/>
      <w:sz w:val="24"/>
      <w:szCs w:val="24"/>
    </w:rPr>
  </w:style>
  <w:style w:type="paragraph" w:styleId="48">
    <w:name w:val="index 1"/>
    <w:basedOn w:val="1"/>
    <w:next w:val="1"/>
    <w:qFormat/>
    <w:uiPriority w:val="0"/>
    <w:rPr>
      <w:rFonts w:ascii="Times New Roman" w:hAnsi="Times New Roman" w:eastAsia="仿宋_GB2312"/>
      <w:sz w:val="28"/>
      <w:szCs w:val="20"/>
    </w:rPr>
  </w:style>
  <w:style w:type="paragraph" w:styleId="49">
    <w:name w:val="annotation subject"/>
    <w:basedOn w:val="18"/>
    <w:next w:val="18"/>
    <w:link w:val="127"/>
    <w:qFormat/>
    <w:uiPriority w:val="0"/>
    <w:pPr>
      <w:spacing w:line="360" w:lineRule="auto"/>
      <w:ind w:firstLine="523" w:firstLineChars="218"/>
    </w:pPr>
    <w:rPr>
      <w:rFonts w:ascii="宋体" w:hAnsi="宋体"/>
      <w:b/>
      <w:bCs/>
      <w:sz w:val="24"/>
      <w:szCs w:val="24"/>
    </w:rPr>
  </w:style>
  <w:style w:type="paragraph" w:styleId="50">
    <w:name w:val="Body Text First Indent"/>
    <w:basedOn w:val="20"/>
    <w:link w:val="109"/>
    <w:qFormat/>
    <w:uiPriority w:val="0"/>
    <w:pPr>
      <w:ind w:firstLine="420"/>
    </w:pPr>
    <w:rPr>
      <w:rFonts w:asciiTheme="minorHAnsi" w:hAnsiTheme="minorHAnsi" w:eastAsiaTheme="minorEastAsia" w:cstheme="minorBidi"/>
      <w:szCs w:val="22"/>
    </w:rPr>
  </w:style>
  <w:style w:type="paragraph" w:styleId="51">
    <w:name w:val="Body Text First Indent 2"/>
    <w:basedOn w:val="22"/>
    <w:link w:val="185"/>
    <w:unhideWhenUsed/>
    <w:qFormat/>
    <w:uiPriority w:val="99"/>
    <w:pPr>
      <w:ind w:firstLine="420" w:firstLineChars="200"/>
    </w:p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4">
    <w:name w:val="Table Grid 3"/>
    <w:basedOn w:val="5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56">
    <w:name w:val="Strong"/>
    <w:qFormat/>
    <w:uiPriority w:val="22"/>
    <w:rPr>
      <w:b/>
    </w:rPr>
  </w:style>
  <w:style w:type="character" w:styleId="57">
    <w:name w:val="endnote reference"/>
    <w:qFormat/>
    <w:uiPriority w:val="0"/>
    <w:rPr>
      <w:vertAlign w:val="superscript"/>
    </w:rPr>
  </w:style>
  <w:style w:type="character" w:styleId="58">
    <w:name w:val="page number"/>
    <w:qFormat/>
    <w:uiPriority w:val="0"/>
    <w:rPr>
      <w:rFonts w:cs="Times New Roman"/>
    </w:rPr>
  </w:style>
  <w:style w:type="character" w:styleId="59">
    <w:name w:val="FollowedHyperlink"/>
    <w:unhideWhenUsed/>
    <w:qFormat/>
    <w:uiPriority w:val="99"/>
    <w:rPr>
      <w:color w:val="954F72"/>
      <w:u w:val="single"/>
    </w:rPr>
  </w:style>
  <w:style w:type="character" w:styleId="60">
    <w:name w:val="Emphasis"/>
    <w:qFormat/>
    <w:uiPriority w:val="0"/>
    <w:rPr>
      <w:i/>
      <w:iCs/>
    </w:rPr>
  </w:style>
  <w:style w:type="character" w:styleId="61">
    <w:name w:val="HTML Definition"/>
    <w:qFormat/>
    <w:uiPriority w:val="0"/>
    <w:rPr>
      <w:i/>
    </w:rPr>
  </w:style>
  <w:style w:type="character" w:styleId="62">
    <w:name w:val="HTML Typewriter"/>
    <w:qFormat/>
    <w:uiPriority w:val="0"/>
    <w:rPr>
      <w:rFonts w:ascii="Courier New" w:hAnsi="Courier New"/>
      <w:sz w:val="20"/>
    </w:rPr>
  </w:style>
  <w:style w:type="character" w:styleId="63">
    <w:name w:val="HTML Acronym"/>
    <w:qFormat/>
    <w:uiPriority w:val="0"/>
  </w:style>
  <w:style w:type="character" w:styleId="64">
    <w:name w:val="HTML Variable"/>
    <w:qFormat/>
    <w:uiPriority w:val="0"/>
    <w:rPr>
      <w:i/>
    </w:rPr>
  </w:style>
  <w:style w:type="character" w:styleId="65">
    <w:name w:val="Hyperlink"/>
    <w:qFormat/>
    <w:uiPriority w:val="0"/>
    <w:rPr>
      <w:color w:val="0000FF"/>
      <w:u w:val="single"/>
    </w:rPr>
  </w:style>
  <w:style w:type="character" w:styleId="66">
    <w:name w:val="HTML Code"/>
    <w:qFormat/>
    <w:uiPriority w:val="0"/>
    <w:rPr>
      <w:rFonts w:ascii="Courier New" w:hAnsi="Courier New"/>
      <w:sz w:val="20"/>
    </w:rPr>
  </w:style>
  <w:style w:type="character" w:styleId="67">
    <w:name w:val="annotation reference"/>
    <w:qFormat/>
    <w:uiPriority w:val="0"/>
    <w:rPr>
      <w:sz w:val="21"/>
      <w:szCs w:val="21"/>
    </w:rPr>
  </w:style>
  <w:style w:type="character" w:styleId="68">
    <w:name w:val="HTML Cite"/>
    <w:qFormat/>
    <w:uiPriority w:val="0"/>
    <w:rPr>
      <w:i/>
    </w:rPr>
  </w:style>
  <w:style w:type="character" w:styleId="69">
    <w:name w:val="footnote reference"/>
    <w:qFormat/>
    <w:uiPriority w:val="0"/>
    <w:rPr>
      <w:vertAlign w:val="superscript"/>
    </w:rPr>
  </w:style>
  <w:style w:type="character" w:styleId="70">
    <w:name w:val="HTML Keyboard"/>
    <w:qFormat/>
    <w:uiPriority w:val="0"/>
    <w:rPr>
      <w:rFonts w:ascii="Courier New" w:hAnsi="Courier New"/>
      <w:sz w:val="20"/>
    </w:rPr>
  </w:style>
  <w:style w:type="character" w:styleId="71">
    <w:name w:val="HTML Sample"/>
    <w:qFormat/>
    <w:uiPriority w:val="0"/>
    <w:rPr>
      <w:rFonts w:ascii="Courier New" w:hAnsi="Courier New"/>
    </w:rPr>
  </w:style>
  <w:style w:type="paragraph" w:customStyle="1" w:styleId="72">
    <w:name w:val="样式 小四 行距: 1.5 倍行距"/>
    <w:basedOn w:val="1"/>
    <w:qFormat/>
    <w:uiPriority w:val="0"/>
    <w:pPr>
      <w:ind w:firstLine="480"/>
    </w:pPr>
  </w:style>
  <w:style w:type="paragraph" w:customStyle="1" w:styleId="73">
    <w:name w:val="样式 正文首行缩进 2 + Arial"/>
    <w:basedOn w:val="1"/>
    <w:next w:val="1"/>
    <w:qFormat/>
    <w:uiPriority w:val="0"/>
    <w:pPr>
      <w:spacing w:before="100" w:beforeAutospacing="1" w:after="120" w:line="320" w:lineRule="atLeast"/>
      <w:ind w:firstLine="200" w:firstLineChars="200"/>
    </w:pPr>
    <w:rPr>
      <w:rFonts w:ascii="Arial" w:hAnsi="Arial" w:cs="Arial"/>
    </w:rPr>
  </w:style>
  <w:style w:type="paragraph" w:customStyle="1" w:styleId="74">
    <w:name w:val="PlainText"/>
    <w:basedOn w:val="1"/>
    <w:qFormat/>
    <w:uiPriority w:val="0"/>
    <w:rPr>
      <w:rFonts w:ascii="宋体" w:hAnsi="Courier New"/>
      <w:kern w:val="0"/>
      <w:sz w:val="20"/>
      <w:szCs w:val="20"/>
    </w:rPr>
  </w:style>
  <w:style w:type="paragraph" w:customStyle="1" w:styleId="75">
    <w:name w:val="_Style 3"/>
    <w:basedOn w:val="1"/>
    <w:unhideWhenUsed/>
    <w:qFormat/>
    <w:uiPriority w:val="1"/>
    <w:pPr>
      <w:ind w:firstLine="420" w:firstLineChars="200"/>
    </w:pPr>
    <w:rPr>
      <w:rFonts w:ascii="Times New Roman" w:hAnsi="Times New Roman"/>
      <w:sz w:val="20"/>
    </w:rPr>
  </w:style>
  <w:style w:type="character" w:customStyle="1" w:styleId="76">
    <w:name w:val="标题 1 字符"/>
    <w:basedOn w:val="55"/>
    <w:qFormat/>
    <w:uiPriority w:val="0"/>
    <w:rPr>
      <w:rFonts w:ascii="Calibri" w:hAnsi="Calibri" w:eastAsia="宋体" w:cs="Times New Roman"/>
      <w:b/>
      <w:bCs/>
      <w:kern w:val="44"/>
      <w:sz w:val="44"/>
      <w:szCs w:val="44"/>
    </w:rPr>
  </w:style>
  <w:style w:type="character" w:customStyle="1" w:styleId="77">
    <w:name w:val="标题 2 字符"/>
    <w:basedOn w:val="55"/>
    <w:qFormat/>
    <w:uiPriority w:val="0"/>
    <w:rPr>
      <w:rFonts w:asciiTheme="majorHAnsi" w:hAnsiTheme="majorHAnsi" w:eastAsiaTheme="majorEastAsia" w:cstheme="majorBidi"/>
      <w:b/>
      <w:bCs/>
      <w:sz w:val="32"/>
      <w:szCs w:val="32"/>
    </w:rPr>
  </w:style>
  <w:style w:type="character" w:customStyle="1" w:styleId="78">
    <w:name w:val="标题 3 字符"/>
    <w:basedOn w:val="55"/>
    <w:qFormat/>
    <w:uiPriority w:val="0"/>
    <w:rPr>
      <w:rFonts w:ascii="Calibri" w:hAnsi="Calibri" w:eastAsia="宋体" w:cs="Times New Roman"/>
      <w:b/>
      <w:bCs/>
      <w:sz w:val="32"/>
      <w:szCs w:val="32"/>
    </w:rPr>
  </w:style>
  <w:style w:type="character" w:customStyle="1" w:styleId="79">
    <w:name w:val="标题 4 字符"/>
    <w:basedOn w:val="55"/>
    <w:qFormat/>
    <w:uiPriority w:val="0"/>
    <w:rPr>
      <w:rFonts w:asciiTheme="majorHAnsi" w:hAnsiTheme="majorHAnsi" w:eastAsiaTheme="majorEastAsia" w:cstheme="majorBidi"/>
      <w:b/>
      <w:bCs/>
      <w:sz w:val="28"/>
      <w:szCs w:val="28"/>
    </w:rPr>
  </w:style>
  <w:style w:type="character" w:customStyle="1" w:styleId="80">
    <w:name w:val="标题 5 字符"/>
    <w:basedOn w:val="55"/>
    <w:qFormat/>
    <w:uiPriority w:val="0"/>
    <w:rPr>
      <w:rFonts w:ascii="Calibri" w:hAnsi="Calibri" w:eastAsia="宋体" w:cs="Times New Roman"/>
      <w:b/>
      <w:bCs/>
      <w:sz w:val="28"/>
      <w:szCs w:val="28"/>
    </w:rPr>
  </w:style>
  <w:style w:type="character" w:customStyle="1" w:styleId="81">
    <w:name w:val="标题 6 字符"/>
    <w:basedOn w:val="55"/>
    <w:qFormat/>
    <w:uiPriority w:val="0"/>
    <w:rPr>
      <w:rFonts w:asciiTheme="majorHAnsi" w:hAnsiTheme="majorHAnsi" w:eastAsiaTheme="majorEastAsia" w:cstheme="majorBidi"/>
      <w:b/>
      <w:bCs/>
      <w:sz w:val="24"/>
      <w:szCs w:val="24"/>
    </w:rPr>
  </w:style>
  <w:style w:type="character" w:customStyle="1" w:styleId="82">
    <w:name w:val="标题 7 字符"/>
    <w:basedOn w:val="55"/>
    <w:qFormat/>
    <w:uiPriority w:val="0"/>
    <w:rPr>
      <w:rFonts w:ascii="Calibri" w:hAnsi="Calibri" w:eastAsia="宋体" w:cs="Times New Roman"/>
      <w:b/>
      <w:bCs/>
      <w:sz w:val="24"/>
      <w:szCs w:val="24"/>
    </w:rPr>
  </w:style>
  <w:style w:type="character" w:customStyle="1" w:styleId="83">
    <w:name w:val="标题 8 字符"/>
    <w:basedOn w:val="55"/>
    <w:qFormat/>
    <w:uiPriority w:val="0"/>
    <w:rPr>
      <w:rFonts w:asciiTheme="majorHAnsi" w:hAnsiTheme="majorHAnsi" w:eastAsiaTheme="majorEastAsia" w:cstheme="majorBidi"/>
      <w:sz w:val="24"/>
      <w:szCs w:val="24"/>
    </w:rPr>
  </w:style>
  <w:style w:type="character" w:customStyle="1" w:styleId="84">
    <w:name w:val="标题 9 字符"/>
    <w:basedOn w:val="55"/>
    <w:qFormat/>
    <w:uiPriority w:val="0"/>
    <w:rPr>
      <w:rFonts w:asciiTheme="majorHAnsi" w:hAnsiTheme="majorHAnsi" w:eastAsiaTheme="majorEastAsia" w:cstheme="majorBidi"/>
      <w:szCs w:val="21"/>
    </w:rPr>
  </w:style>
  <w:style w:type="character" w:customStyle="1" w:styleId="85">
    <w:name w:val="批注框文本 字符1"/>
    <w:link w:val="34"/>
    <w:qFormat/>
    <w:uiPriority w:val="0"/>
    <w:rPr>
      <w:rFonts w:ascii="Times New Roman" w:hAnsi="Times New Roman" w:eastAsia="宋体" w:cs="Times New Roman"/>
      <w:sz w:val="18"/>
      <w:szCs w:val="18"/>
    </w:rPr>
  </w:style>
  <w:style w:type="character" w:customStyle="1" w:styleId="86">
    <w:name w:val="正文文本缩进 3 字符1"/>
    <w:link w:val="42"/>
    <w:qFormat/>
    <w:uiPriority w:val="0"/>
    <w:rPr>
      <w:rFonts w:ascii="Times New Roman" w:hAnsi="Times New Roman" w:eastAsia="宋体" w:cs="Times New Roman"/>
      <w:color w:val="000000"/>
      <w:sz w:val="24"/>
      <w:szCs w:val="20"/>
    </w:rPr>
  </w:style>
  <w:style w:type="character" w:customStyle="1" w:styleId="87">
    <w:name w:val="标题 字符1"/>
    <w:link w:val="21"/>
    <w:qFormat/>
    <w:uiPriority w:val="0"/>
    <w:rPr>
      <w:rFonts w:ascii="Arial" w:hAnsi="Arial" w:eastAsia="宋体" w:cs="Times New Roman"/>
      <w:b/>
      <w:sz w:val="44"/>
      <w:szCs w:val="20"/>
    </w:rPr>
  </w:style>
  <w:style w:type="character" w:customStyle="1" w:styleId="88">
    <w:name w:val="标题 8 字符1"/>
    <w:link w:val="10"/>
    <w:qFormat/>
    <w:uiPriority w:val="0"/>
    <w:rPr>
      <w:rFonts w:ascii="Arial" w:hAnsi="Arial" w:eastAsia="黑体" w:cs="Times New Roman"/>
      <w:sz w:val="24"/>
      <w:szCs w:val="20"/>
    </w:rPr>
  </w:style>
  <w:style w:type="character" w:customStyle="1" w:styleId="89">
    <w:name w:val="脚注文本 字符1"/>
    <w:link w:val="41"/>
    <w:qFormat/>
    <w:uiPriority w:val="0"/>
    <w:rPr>
      <w:rFonts w:ascii="宋体" w:hAnsi="宋体" w:eastAsia="宋体" w:cs="Times New Roman"/>
      <w:sz w:val="18"/>
      <w:szCs w:val="18"/>
    </w:rPr>
  </w:style>
  <w:style w:type="character" w:customStyle="1" w:styleId="90">
    <w:name w:val="批注框文本 字符"/>
    <w:qFormat/>
    <w:uiPriority w:val="0"/>
    <w:rPr>
      <w:rFonts w:ascii="Calibri" w:hAnsi="Calibri" w:eastAsia="宋体" w:cs="Times New Roman"/>
      <w:sz w:val="18"/>
      <w:szCs w:val="18"/>
    </w:rPr>
  </w:style>
  <w:style w:type="character" w:customStyle="1" w:styleId="91">
    <w:name w:val="文档结构图 字符1"/>
    <w:link w:val="17"/>
    <w:qFormat/>
    <w:uiPriority w:val="0"/>
    <w:rPr>
      <w:rFonts w:ascii="Times New Roman" w:hAnsi="Times New Roman" w:eastAsia="宋体" w:cs="Times New Roman"/>
      <w:szCs w:val="20"/>
      <w:shd w:val="clear" w:color="auto" w:fill="000080"/>
    </w:rPr>
  </w:style>
  <w:style w:type="character" w:customStyle="1" w:styleId="92">
    <w:name w:val="正文文本缩进 2 字符"/>
    <w:qFormat/>
    <w:uiPriority w:val="0"/>
    <w:rPr>
      <w:rFonts w:ascii="Calibri" w:hAnsi="Calibri" w:eastAsia="宋体" w:cs="Times New Roman"/>
    </w:rPr>
  </w:style>
  <w:style w:type="character" w:customStyle="1" w:styleId="93">
    <w:name w:val="正文文本缩进 3 字符"/>
    <w:qFormat/>
    <w:uiPriority w:val="0"/>
    <w:rPr>
      <w:rFonts w:ascii="Calibri" w:hAnsi="Calibri" w:eastAsia="宋体" w:cs="Times New Roman"/>
      <w:sz w:val="16"/>
      <w:szCs w:val="16"/>
    </w:rPr>
  </w:style>
  <w:style w:type="character" w:customStyle="1" w:styleId="94">
    <w:name w:val="文档结构图 字符"/>
    <w:qFormat/>
    <w:uiPriority w:val="0"/>
    <w:rPr>
      <w:rFonts w:ascii="Microsoft YaHei UI" w:hAnsi="Calibri" w:eastAsia="Microsoft YaHei UI" w:cs="Times New Roman"/>
      <w:sz w:val="18"/>
      <w:szCs w:val="18"/>
    </w:rPr>
  </w:style>
  <w:style w:type="character" w:customStyle="1" w:styleId="95">
    <w:name w:val="标题 6 字符1"/>
    <w:link w:val="8"/>
    <w:qFormat/>
    <w:uiPriority w:val="0"/>
    <w:rPr>
      <w:rFonts w:ascii="Arial" w:hAnsi="Arial" w:eastAsia="黑体" w:cs="Times New Roman"/>
      <w:b/>
      <w:bCs/>
      <w:sz w:val="24"/>
      <w:szCs w:val="24"/>
    </w:rPr>
  </w:style>
  <w:style w:type="character" w:customStyle="1" w:styleId="96">
    <w:name w:val="正文文本缩进 字符1"/>
    <w:link w:val="22"/>
    <w:qFormat/>
    <w:uiPriority w:val="0"/>
    <w:rPr>
      <w:rFonts w:ascii="Times New Roman" w:hAnsi="Times New Roman" w:eastAsia="宋体" w:cs="Times New Roman"/>
      <w:sz w:val="28"/>
      <w:szCs w:val="20"/>
    </w:rPr>
  </w:style>
  <w:style w:type="character" w:customStyle="1" w:styleId="97">
    <w:name w:val="标题 9 字符1"/>
    <w:link w:val="11"/>
    <w:qFormat/>
    <w:uiPriority w:val="0"/>
    <w:rPr>
      <w:rFonts w:ascii="Arial" w:hAnsi="Arial" w:eastAsia="黑体" w:cs="Times New Roman"/>
      <w:szCs w:val="20"/>
    </w:rPr>
  </w:style>
  <w:style w:type="character" w:customStyle="1" w:styleId="98">
    <w:name w:val="批注文字 字符"/>
    <w:qFormat/>
    <w:uiPriority w:val="0"/>
    <w:rPr>
      <w:rFonts w:ascii="Calibri" w:hAnsi="Calibri" w:eastAsia="宋体" w:cs="Times New Roman"/>
    </w:rPr>
  </w:style>
  <w:style w:type="character" w:customStyle="1" w:styleId="99">
    <w:name w:val="纯文本 字符1"/>
    <w:link w:val="30"/>
    <w:qFormat/>
    <w:uiPriority w:val="0"/>
    <w:rPr>
      <w:rFonts w:ascii="宋体" w:hAnsi="Courier New" w:eastAsia="宋体" w:cs="Times New Roman"/>
      <w:szCs w:val="20"/>
    </w:rPr>
  </w:style>
  <w:style w:type="character" w:customStyle="1" w:styleId="100">
    <w:name w:val="页脚 字符1"/>
    <w:link w:val="35"/>
    <w:qFormat/>
    <w:uiPriority w:val="0"/>
    <w:rPr>
      <w:rFonts w:ascii="Calibri" w:hAnsi="Calibri" w:eastAsia="宋体" w:cs="Times New Roman"/>
      <w:sz w:val="18"/>
      <w:szCs w:val="18"/>
    </w:rPr>
  </w:style>
  <w:style w:type="character" w:customStyle="1" w:styleId="101">
    <w:name w:val="页眉 字符"/>
    <w:qFormat/>
    <w:uiPriority w:val="99"/>
    <w:rPr>
      <w:rFonts w:ascii="Calibri" w:hAnsi="Calibri" w:eastAsia="宋体" w:cs="Times New Roman"/>
      <w:sz w:val="18"/>
      <w:szCs w:val="18"/>
    </w:rPr>
  </w:style>
  <w:style w:type="character" w:customStyle="1" w:styleId="102">
    <w:name w:val="正文文本 2 字符1"/>
    <w:link w:val="45"/>
    <w:qFormat/>
    <w:uiPriority w:val="0"/>
    <w:rPr>
      <w:rFonts w:ascii="宋体" w:hAnsi="宋体" w:eastAsia="宋体" w:cs="Times New Roman"/>
      <w:szCs w:val="24"/>
      <w:u w:val="single"/>
    </w:rPr>
  </w:style>
  <w:style w:type="character" w:customStyle="1" w:styleId="103">
    <w:name w:val="正文文本 字符1"/>
    <w:link w:val="20"/>
    <w:qFormat/>
    <w:uiPriority w:val="0"/>
    <w:rPr>
      <w:rFonts w:ascii="Times New Roman" w:hAnsi="Times New Roman" w:eastAsia="宋体" w:cs="Times New Roman"/>
      <w:szCs w:val="20"/>
    </w:rPr>
  </w:style>
  <w:style w:type="character" w:customStyle="1" w:styleId="104">
    <w:name w:val="批注文字 字符1"/>
    <w:qFormat/>
    <w:uiPriority w:val="0"/>
    <w:rPr>
      <w:rFonts w:ascii="宋体" w:hAnsi="宋体" w:eastAsia="宋体" w:cs="Times New Roman"/>
      <w:sz w:val="24"/>
      <w:szCs w:val="24"/>
    </w:rPr>
  </w:style>
  <w:style w:type="character" w:customStyle="1" w:styleId="105">
    <w:name w:val="标题 1 字符1"/>
    <w:link w:val="3"/>
    <w:qFormat/>
    <w:uiPriority w:val="0"/>
    <w:rPr>
      <w:rFonts w:ascii="Arial" w:hAnsi="Arial" w:eastAsia="宋体" w:cs="Times New Roman"/>
      <w:b/>
      <w:kern w:val="44"/>
      <w:sz w:val="28"/>
      <w:szCs w:val="28"/>
    </w:rPr>
  </w:style>
  <w:style w:type="character" w:customStyle="1" w:styleId="106">
    <w:name w:val="日期 字符1"/>
    <w:link w:val="31"/>
    <w:qFormat/>
    <w:uiPriority w:val="0"/>
    <w:rPr>
      <w:rFonts w:ascii="Times New Roman" w:hAnsi="Times New Roman" w:eastAsia="宋体" w:cs="Times New Roman"/>
      <w:szCs w:val="20"/>
    </w:rPr>
  </w:style>
  <w:style w:type="character" w:customStyle="1" w:styleId="107">
    <w:name w:val="标题 5 字符1"/>
    <w:link w:val="7"/>
    <w:qFormat/>
    <w:uiPriority w:val="0"/>
    <w:rPr>
      <w:rFonts w:ascii="Arial" w:hAnsi="Arial" w:eastAsia="宋体" w:cs="Times New Roman"/>
      <w:color w:val="000000"/>
      <w:szCs w:val="21"/>
    </w:rPr>
  </w:style>
  <w:style w:type="character" w:customStyle="1" w:styleId="108">
    <w:name w:val="标题 3 字符1"/>
    <w:link w:val="5"/>
    <w:qFormat/>
    <w:uiPriority w:val="0"/>
    <w:rPr>
      <w:rFonts w:ascii="宋体" w:hAnsi="宋体" w:eastAsia="宋体" w:cs="宋体"/>
      <w:kern w:val="0"/>
      <w:sz w:val="27"/>
      <w:szCs w:val="27"/>
    </w:rPr>
  </w:style>
  <w:style w:type="character" w:customStyle="1" w:styleId="109">
    <w:name w:val="正文文本首行缩进 字符2"/>
    <w:link w:val="50"/>
    <w:qFormat/>
    <w:uiPriority w:val="0"/>
  </w:style>
  <w:style w:type="character" w:customStyle="1" w:styleId="110">
    <w:name w:val="页眉 字符1"/>
    <w:link w:val="36"/>
    <w:qFormat/>
    <w:uiPriority w:val="0"/>
    <w:rPr>
      <w:rFonts w:ascii="Calibri" w:hAnsi="Calibri" w:eastAsia="宋体" w:cs="Times New Roman"/>
      <w:sz w:val="18"/>
      <w:szCs w:val="18"/>
    </w:rPr>
  </w:style>
  <w:style w:type="character" w:customStyle="1" w:styleId="111">
    <w:name w:val="正文文本缩进 2 字符1"/>
    <w:link w:val="32"/>
    <w:qFormat/>
    <w:uiPriority w:val="0"/>
    <w:rPr>
      <w:rFonts w:ascii="Times New Roman" w:hAnsi="Times New Roman" w:eastAsia="宋体" w:cs="Times New Roman"/>
      <w:color w:val="000000"/>
      <w:sz w:val="24"/>
      <w:szCs w:val="20"/>
    </w:rPr>
  </w:style>
  <w:style w:type="character" w:customStyle="1" w:styleId="112">
    <w:name w:val="页脚 字符"/>
    <w:qFormat/>
    <w:uiPriority w:val="99"/>
    <w:rPr>
      <w:rFonts w:ascii="Calibri" w:hAnsi="Calibri" w:eastAsia="宋体" w:cs="Times New Roman"/>
      <w:sz w:val="18"/>
      <w:szCs w:val="18"/>
    </w:rPr>
  </w:style>
  <w:style w:type="character" w:customStyle="1" w:styleId="113">
    <w:name w:val="尾注文本 字符"/>
    <w:qFormat/>
    <w:uiPriority w:val="99"/>
    <w:rPr>
      <w:rFonts w:ascii="Calibri" w:hAnsi="Calibri" w:eastAsia="宋体" w:cs="Times New Roman"/>
    </w:rPr>
  </w:style>
  <w:style w:type="character" w:customStyle="1" w:styleId="114">
    <w:name w:val="标题 2 字符1"/>
    <w:link w:val="4"/>
    <w:qFormat/>
    <w:uiPriority w:val="0"/>
    <w:rPr>
      <w:rFonts w:ascii="Arial" w:hAnsi="Arial" w:eastAsia="宋体" w:cs="Times New Roman"/>
      <w:b/>
      <w:color w:val="000000"/>
      <w:sz w:val="24"/>
      <w:szCs w:val="24"/>
    </w:rPr>
  </w:style>
  <w:style w:type="character" w:customStyle="1" w:styleId="115">
    <w:name w:val="正文首行缩进 字符"/>
    <w:basedOn w:val="116"/>
    <w:qFormat/>
    <w:uiPriority w:val="0"/>
    <w:rPr>
      <w:rFonts w:ascii="Calibri" w:hAnsi="Calibri" w:eastAsia="宋体" w:cs="Times New Roman"/>
    </w:rPr>
  </w:style>
  <w:style w:type="character" w:customStyle="1" w:styleId="116">
    <w:name w:val="正文文本 字符"/>
    <w:qFormat/>
    <w:uiPriority w:val="0"/>
    <w:rPr>
      <w:rFonts w:ascii="Calibri" w:hAnsi="Calibri" w:eastAsia="宋体" w:cs="Times New Roman"/>
    </w:rPr>
  </w:style>
  <w:style w:type="character" w:customStyle="1" w:styleId="117">
    <w:name w:val="标题 4 字符1"/>
    <w:link w:val="6"/>
    <w:qFormat/>
    <w:uiPriority w:val="0"/>
    <w:rPr>
      <w:rFonts w:ascii="Arial" w:hAnsi="Arial" w:eastAsia="宋体" w:cs="Times New Roman"/>
      <w:color w:val="000000"/>
      <w:szCs w:val="21"/>
    </w:rPr>
  </w:style>
  <w:style w:type="character" w:customStyle="1" w:styleId="118">
    <w:name w:val="脚注文本 字符"/>
    <w:qFormat/>
    <w:uiPriority w:val="0"/>
    <w:rPr>
      <w:rFonts w:ascii="Calibri" w:hAnsi="Calibri" w:eastAsia="宋体" w:cs="Times New Roman"/>
      <w:sz w:val="18"/>
      <w:szCs w:val="18"/>
    </w:rPr>
  </w:style>
  <w:style w:type="character" w:customStyle="1" w:styleId="119">
    <w:name w:val="标题 7 字符1"/>
    <w:link w:val="9"/>
    <w:qFormat/>
    <w:uiPriority w:val="0"/>
    <w:rPr>
      <w:rFonts w:ascii="Times New Roman" w:hAnsi="Times New Roman" w:eastAsia="宋体" w:cs="Times New Roman"/>
      <w:b/>
      <w:sz w:val="24"/>
      <w:szCs w:val="20"/>
    </w:rPr>
  </w:style>
  <w:style w:type="character" w:customStyle="1" w:styleId="120">
    <w:name w:val="标题 字符"/>
    <w:qFormat/>
    <w:uiPriority w:val="0"/>
    <w:rPr>
      <w:rFonts w:ascii="等线 Light" w:hAnsi="等线 Light" w:eastAsia="等线 Light" w:cs="Times New Roman"/>
      <w:b/>
      <w:bCs/>
      <w:sz w:val="32"/>
      <w:szCs w:val="32"/>
    </w:rPr>
  </w:style>
  <w:style w:type="character" w:customStyle="1" w:styleId="121">
    <w:name w:val="日期 字符"/>
    <w:qFormat/>
    <w:uiPriority w:val="0"/>
    <w:rPr>
      <w:rFonts w:ascii="Calibri" w:hAnsi="Calibri" w:eastAsia="宋体" w:cs="Times New Roman"/>
    </w:rPr>
  </w:style>
  <w:style w:type="character" w:customStyle="1" w:styleId="122">
    <w:name w:val="正文文本缩进 字符"/>
    <w:qFormat/>
    <w:uiPriority w:val="0"/>
    <w:rPr>
      <w:rFonts w:ascii="Calibri" w:hAnsi="Calibri" w:eastAsia="宋体" w:cs="Times New Roman"/>
    </w:rPr>
  </w:style>
  <w:style w:type="character" w:customStyle="1" w:styleId="123">
    <w:name w:val="纯文本 字符"/>
    <w:qFormat/>
    <w:uiPriority w:val="99"/>
    <w:rPr>
      <w:rFonts w:ascii="等线" w:hAnsi="Courier New" w:cs="Courier New"/>
    </w:rPr>
  </w:style>
  <w:style w:type="character" w:customStyle="1" w:styleId="124">
    <w:name w:val="正文文本 2 字符"/>
    <w:qFormat/>
    <w:uiPriority w:val="0"/>
    <w:rPr>
      <w:rFonts w:ascii="Calibri" w:hAnsi="Calibri" w:eastAsia="宋体" w:cs="Times New Roman"/>
    </w:rPr>
  </w:style>
  <w:style w:type="character" w:customStyle="1" w:styleId="125">
    <w:name w:val="尾注文本 字符1"/>
    <w:link w:val="33"/>
    <w:qFormat/>
    <w:uiPriority w:val="0"/>
    <w:rPr>
      <w:rFonts w:ascii="Times New Roman" w:hAnsi="Times New Roman" w:eastAsia="宋体" w:cs="Times New Roman"/>
      <w:szCs w:val="20"/>
    </w:rPr>
  </w:style>
  <w:style w:type="character" w:customStyle="1" w:styleId="126">
    <w:name w:val="批注主题 字符"/>
    <w:qFormat/>
    <w:uiPriority w:val="0"/>
    <w:rPr>
      <w:rFonts w:ascii="Calibri" w:hAnsi="Calibri" w:eastAsia="宋体" w:cs="Times New Roman"/>
      <w:b/>
      <w:bCs/>
    </w:rPr>
  </w:style>
  <w:style w:type="character" w:customStyle="1" w:styleId="127">
    <w:name w:val="批注主题 字符1"/>
    <w:link w:val="49"/>
    <w:qFormat/>
    <w:uiPriority w:val="0"/>
    <w:rPr>
      <w:rFonts w:ascii="宋体" w:hAnsi="宋体" w:eastAsia="宋体" w:cs="Times New Roman"/>
      <w:b/>
      <w:bCs/>
      <w:sz w:val="24"/>
      <w:szCs w:val="24"/>
    </w:rPr>
  </w:style>
  <w:style w:type="character" w:customStyle="1" w:styleId="128">
    <w:name w:val="页脚 字符2"/>
    <w:basedOn w:val="55"/>
    <w:semiHidden/>
    <w:qFormat/>
    <w:uiPriority w:val="99"/>
    <w:rPr>
      <w:rFonts w:ascii="Calibri" w:hAnsi="Calibri" w:eastAsia="宋体" w:cs="Times New Roman"/>
      <w:sz w:val="18"/>
      <w:szCs w:val="18"/>
    </w:rPr>
  </w:style>
  <w:style w:type="character" w:customStyle="1" w:styleId="129">
    <w:name w:val="正文文本缩进 2 字符2"/>
    <w:basedOn w:val="55"/>
    <w:semiHidden/>
    <w:qFormat/>
    <w:uiPriority w:val="99"/>
    <w:rPr>
      <w:rFonts w:ascii="Calibri" w:hAnsi="Calibri" w:eastAsia="宋体" w:cs="Times New Roman"/>
    </w:rPr>
  </w:style>
  <w:style w:type="character" w:customStyle="1" w:styleId="130">
    <w:name w:val="正文文本缩进 字符2"/>
    <w:basedOn w:val="55"/>
    <w:semiHidden/>
    <w:qFormat/>
    <w:uiPriority w:val="99"/>
    <w:rPr>
      <w:rFonts w:ascii="Calibri" w:hAnsi="Calibri" w:eastAsia="宋体" w:cs="Times New Roman"/>
    </w:rPr>
  </w:style>
  <w:style w:type="character" w:customStyle="1" w:styleId="131">
    <w:name w:val="脚注文本 字符2"/>
    <w:basedOn w:val="55"/>
    <w:semiHidden/>
    <w:qFormat/>
    <w:uiPriority w:val="99"/>
    <w:rPr>
      <w:rFonts w:ascii="Calibri" w:hAnsi="Calibri" w:eastAsia="宋体" w:cs="Times New Roman"/>
      <w:sz w:val="18"/>
      <w:szCs w:val="18"/>
    </w:rPr>
  </w:style>
  <w:style w:type="character" w:customStyle="1" w:styleId="132">
    <w:name w:val="批注框文本 字符2"/>
    <w:basedOn w:val="55"/>
    <w:semiHidden/>
    <w:qFormat/>
    <w:uiPriority w:val="99"/>
    <w:rPr>
      <w:rFonts w:ascii="Calibri" w:hAnsi="Calibri" w:eastAsia="宋体" w:cs="Times New Roman"/>
      <w:sz w:val="18"/>
      <w:szCs w:val="18"/>
    </w:rPr>
  </w:style>
  <w:style w:type="character" w:customStyle="1" w:styleId="133">
    <w:name w:val="批注文字 字符2"/>
    <w:basedOn w:val="55"/>
    <w:link w:val="18"/>
    <w:qFormat/>
    <w:uiPriority w:val="99"/>
    <w:rPr>
      <w:rFonts w:ascii="Calibri" w:hAnsi="Calibri" w:eastAsia="宋体" w:cs="Times New Roman"/>
    </w:rPr>
  </w:style>
  <w:style w:type="character" w:customStyle="1" w:styleId="134">
    <w:name w:val="批注主题 字符2"/>
    <w:basedOn w:val="133"/>
    <w:semiHidden/>
    <w:qFormat/>
    <w:uiPriority w:val="99"/>
    <w:rPr>
      <w:rFonts w:ascii="Calibri" w:hAnsi="Calibri" w:eastAsia="宋体" w:cs="Times New Roman"/>
      <w:b/>
      <w:bCs/>
    </w:rPr>
  </w:style>
  <w:style w:type="character" w:customStyle="1" w:styleId="135">
    <w:name w:val="正文文本缩进 3 字符2"/>
    <w:basedOn w:val="55"/>
    <w:semiHidden/>
    <w:qFormat/>
    <w:uiPriority w:val="99"/>
    <w:rPr>
      <w:rFonts w:ascii="Calibri" w:hAnsi="Calibri" w:eastAsia="宋体" w:cs="Times New Roman"/>
      <w:sz w:val="16"/>
      <w:szCs w:val="16"/>
    </w:rPr>
  </w:style>
  <w:style w:type="character" w:customStyle="1" w:styleId="136">
    <w:name w:val="文档结构图 字符2"/>
    <w:basedOn w:val="55"/>
    <w:semiHidden/>
    <w:qFormat/>
    <w:uiPriority w:val="99"/>
    <w:rPr>
      <w:rFonts w:ascii="Microsoft YaHei UI" w:hAnsi="Calibri" w:eastAsia="Microsoft YaHei UI" w:cs="Times New Roman"/>
      <w:sz w:val="18"/>
      <w:szCs w:val="18"/>
    </w:rPr>
  </w:style>
  <w:style w:type="character" w:customStyle="1" w:styleId="137">
    <w:name w:val="页眉 字符2"/>
    <w:basedOn w:val="55"/>
    <w:semiHidden/>
    <w:qFormat/>
    <w:uiPriority w:val="99"/>
    <w:rPr>
      <w:rFonts w:ascii="Calibri" w:hAnsi="Calibri" w:eastAsia="宋体" w:cs="Times New Roman"/>
      <w:sz w:val="18"/>
      <w:szCs w:val="18"/>
    </w:rPr>
  </w:style>
  <w:style w:type="character" w:customStyle="1" w:styleId="138">
    <w:name w:val="日期 字符2"/>
    <w:basedOn w:val="55"/>
    <w:semiHidden/>
    <w:qFormat/>
    <w:uiPriority w:val="99"/>
    <w:rPr>
      <w:rFonts w:ascii="Calibri" w:hAnsi="Calibri" w:eastAsia="宋体" w:cs="Times New Roman"/>
    </w:rPr>
  </w:style>
  <w:style w:type="character" w:customStyle="1" w:styleId="139">
    <w:name w:val="正文文本 字符2"/>
    <w:basedOn w:val="55"/>
    <w:semiHidden/>
    <w:qFormat/>
    <w:uiPriority w:val="99"/>
    <w:rPr>
      <w:rFonts w:ascii="Calibri" w:hAnsi="Calibri" w:eastAsia="宋体" w:cs="Times New Roman"/>
    </w:rPr>
  </w:style>
  <w:style w:type="character" w:customStyle="1" w:styleId="140">
    <w:name w:val="纯文本 字符2"/>
    <w:basedOn w:val="55"/>
    <w:semiHidden/>
    <w:qFormat/>
    <w:uiPriority w:val="99"/>
    <w:rPr>
      <w:rFonts w:hAnsi="Courier New" w:cs="Courier New" w:asciiTheme="minorEastAsia"/>
    </w:rPr>
  </w:style>
  <w:style w:type="character" w:customStyle="1" w:styleId="141">
    <w:name w:val="标题 字符2"/>
    <w:basedOn w:val="55"/>
    <w:qFormat/>
    <w:uiPriority w:val="10"/>
    <w:rPr>
      <w:rFonts w:asciiTheme="majorHAnsi" w:hAnsiTheme="majorHAnsi" w:eastAsiaTheme="majorEastAsia" w:cstheme="majorBidi"/>
      <w:b/>
      <w:bCs/>
      <w:sz w:val="32"/>
      <w:szCs w:val="32"/>
    </w:rPr>
  </w:style>
  <w:style w:type="character" w:customStyle="1" w:styleId="142">
    <w:name w:val="正文文本首行缩进 字符1"/>
    <w:basedOn w:val="139"/>
    <w:link w:val="143"/>
    <w:qFormat/>
    <w:uiPriority w:val="0"/>
    <w:rPr>
      <w:rFonts w:ascii="Calibri" w:hAnsi="Calibri" w:eastAsia="宋体" w:cs="Times New Roman"/>
    </w:rPr>
  </w:style>
  <w:style w:type="paragraph" w:customStyle="1" w:styleId="143">
    <w:name w:val="_Style 125"/>
    <w:basedOn w:val="1"/>
    <w:next w:val="144"/>
    <w:link w:val="142"/>
    <w:qFormat/>
    <w:uiPriority w:val="0"/>
    <w:pPr>
      <w:ind w:firstLine="420" w:firstLineChars="200"/>
    </w:pPr>
    <w:rPr>
      <w:kern w:val="0"/>
      <w:sz w:val="20"/>
      <w:szCs w:val="20"/>
    </w:rPr>
  </w:style>
  <w:style w:type="paragraph" w:styleId="144">
    <w:name w:val="List Paragraph"/>
    <w:basedOn w:val="1"/>
    <w:qFormat/>
    <w:uiPriority w:val="34"/>
    <w:pPr>
      <w:ind w:firstLine="420" w:firstLineChars="200"/>
    </w:pPr>
  </w:style>
  <w:style w:type="character" w:customStyle="1" w:styleId="145">
    <w:name w:val="正文文本 2 字符2"/>
    <w:basedOn w:val="55"/>
    <w:semiHidden/>
    <w:qFormat/>
    <w:uiPriority w:val="99"/>
    <w:rPr>
      <w:rFonts w:ascii="Calibri" w:hAnsi="Calibri" w:eastAsia="宋体" w:cs="Times New Roman"/>
    </w:rPr>
  </w:style>
  <w:style w:type="character" w:customStyle="1" w:styleId="146">
    <w:name w:val="尾注文本 字符2"/>
    <w:basedOn w:val="55"/>
    <w:semiHidden/>
    <w:qFormat/>
    <w:uiPriority w:val="99"/>
    <w:rPr>
      <w:rFonts w:ascii="Calibri" w:hAnsi="Calibri" w:eastAsia="宋体" w:cs="Times New Roman"/>
    </w:rPr>
  </w:style>
  <w:style w:type="paragraph" w:customStyle="1" w:styleId="147">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48">
    <w:name w:val="表头"/>
    <w:basedOn w:val="1"/>
    <w:qFormat/>
    <w:uiPriority w:val="0"/>
    <w:pPr>
      <w:spacing w:line="360" w:lineRule="auto"/>
      <w:jc w:val="center"/>
    </w:pPr>
    <w:rPr>
      <w:rFonts w:ascii="黑体" w:hAnsi="Times New Roman" w:eastAsia="黑体"/>
      <w:kern w:val="0"/>
      <w:sz w:val="24"/>
      <w:szCs w:val="20"/>
    </w:rPr>
  </w:style>
  <w:style w:type="paragraph" w:customStyle="1" w:styleId="149">
    <w:name w:val="_Style 25"/>
    <w:basedOn w:val="1"/>
    <w:next w:val="1"/>
    <w:qFormat/>
    <w:uiPriority w:val="0"/>
  </w:style>
  <w:style w:type="paragraph" w:customStyle="1" w:styleId="150">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151">
    <w:name w:val="Char Char Char Char"/>
    <w:basedOn w:val="1"/>
    <w:qFormat/>
    <w:uiPriority w:val="0"/>
    <w:rPr>
      <w:rFonts w:ascii="Times New Roman" w:hAnsi="Times New Roman"/>
      <w:sz w:val="30"/>
      <w:szCs w:val="24"/>
    </w:rPr>
  </w:style>
  <w:style w:type="paragraph" w:customStyle="1" w:styleId="152">
    <w:name w:val="公文抬头"/>
    <w:basedOn w:val="2"/>
    <w:qFormat/>
    <w:uiPriority w:val="0"/>
    <w:pPr>
      <w:ind w:firstLine="0"/>
    </w:pPr>
    <w:rPr>
      <w:rFonts w:ascii="仿宋_GB2312" w:eastAsia="仿宋_GB2312"/>
      <w:sz w:val="30"/>
      <w:szCs w:val="24"/>
    </w:rPr>
  </w:style>
  <w:style w:type="paragraph" w:customStyle="1" w:styleId="153">
    <w:name w:val="列出段落1"/>
    <w:basedOn w:val="1"/>
    <w:link w:val="234"/>
    <w:qFormat/>
    <w:uiPriority w:val="0"/>
    <w:pPr>
      <w:ind w:firstLine="420" w:firstLineChars="200"/>
    </w:pPr>
    <w:rPr>
      <w:rFonts w:ascii="Times New Roman" w:hAnsi="Times New Roman"/>
      <w:szCs w:val="20"/>
    </w:rPr>
  </w:style>
  <w:style w:type="paragraph" w:customStyle="1" w:styleId="154">
    <w:name w:val="修订1"/>
    <w:qFormat/>
    <w:uiPriority w:val="0"/>
    <w:rPr>
      <w:rFonts w:ascii="Times New Roman" w:hAnsi="Times New Roman" w:eastAsia="宋体" w:cs="Times New Roman"/>
      <w:kern w:val="2"/>
      <w:sz w:val="21"/>
      <w:lang w:val="en-US" w:eastAsia="zh-CN" w:bidi="ar-SA"/>
    </w:rPr>
  </w:style>
  <w:style w:type="paragraph" w:customStyle="1" w:styleId="155">
    <w:name w:val="公文标题"/>
    <w:basedOn w:val="5"/>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156">
    <w:name w:val="TOC 标题1"/>
    <w:basedOn w:val="3"/>
    <w:next w:val="1"/>
    <w:qFormat/>
    <w:uiPriority w:val="0"/>
    <w:pPr>
      <w:widowControl/>
      <w:spacing w:before="480" w:after="0" w:line="276" w:lineRule="auto"/>
      <w:outlineLvl w:val="9"/>
    </w:pPr>
    <w:rPr>
      <w:rFonts w:ascii="Cambria" w:hAnsi="Cambria"/>
      <w:color w:val="365F91"/>
      <w:kern w:val="0"/>
    </w:rPr>
  </w:style>
  <w:style w:type="paragraph" w:customStyle="1" w:styleId="157">
    <w:name w:val="Char Char Char1 Char"/>
    <w:basedOn w:val="17"/>
    <w:qFormat/>
    <w:uiPriority w:val="0"/>
    <w:rPr>
      <w:rFonts w:ascii="Tahoma" w:hAnsi="Tahoma"/>
      <w:sz w:val="24"/>
      <w:szCs w:val="24"/>
    </w:rPr>
  </w:style>
  <w:style w:type="paragraph" w:customStyle="1" w:styleId="158">
    <w:name w:val="Char1"/>
    <w:basedOn w:val="1"/>
    <w:qFormat/>
    <w:uiPriority w:val="0"/>
    <w:pPr>
      <w:ind w:left="567" w:hanging="279"/>
    </w:pPr>
    <w:rPr>
      <w:rFonts w:ascii="Times New Roman" w:hAnsi="Times New Roman"/>
      <w:sz w:val="24"/>
      <w:szCs w:val="24"/>
    </w:rPr>
  </w:style>
  <w:style w:type="paragraph" w:customStyle="1" w:styleId="159">
    <w:name w:val="Char"/>
    <w:basedOn w:val="1"/>
    <w:link w:val="204"/>
    <w:qFormat/>
    <w:uiPriority w:val="0"/>
    <w:rPr>
      <w:rFonts w:ascii="Tahoma" w:hAnsi="Tahoma"/>
      <w:sz w:val="24"/>
      <w:szCs w:val="20"/>
    </w:rPr>
  </w:style>
  <w:style w:type="paragraph" w:customStyle="1" w:styleId="160">
    <w:name w:val="发文落款"/>
    <w:basedOn w:val="147"/>
    <w:qFormat/>
    <w:uiPriority w:val="0"/>
    <w:pPr>
      <w:ind w:left="4094" w:right="607" w:firstLine="0"/>
      <w:jc w:val="center"/>
    </w:pPr>
  </w:style>
  <w:style w:type="character" w:customStyle="1" w:styleId="161">
    <w:name w:val="s2"/>
    <w:qFormat/>
    <w:uiPriority w:val="0"/>
  </w:style>
  <w:style w:type="character" w:customStyle="1" w:styleId="162">
    <w:name w:val="NormalCharacter"/>
    <w:qFormat/>
    <w:uiPriority w:val="0"/>
  </w:style>
  <w:style w:type="character" w:customStyle="1" w:styleId="163">
    <w:name w:val="s3"/>
    <w:qFormat/>
    <w:uiPriority w:val="0"/>
  </w:style>
  <w:style w:type="character" w:customStyle="1" w:styleId="164">
    <w:name w:val="s15"/>
    <w:qFormat/>
    <w:uiPriority w:val="0"/>
    <w:rPr>
      <w:color w:val="2131A1"/>
    </w:rPr>
  </w:style>
  <w:style w:type="paragraph" w:customStyle="1" w:styleId="165">
    <w:name w:val="正文 New New"/>
    <w:qFormat/>
    <w:uiPriority w:val="0"/>
    <w:pPr>
      <w:widowControl w:val="0"/>
      <w:jc w:val="both"/>
    </w:pPr>
    <w:rPr>
      <w:rFonts w:ascii="Times New Roman" w:hAnsi="Times New Roman" w:eastAsia="楷体_GB2312" w:cs="Times New Roman"/>
      <w:lang w:val="en-US" w:eastAsia="zh-CN" w:bidi="ar-SA"/>
    </w:rPr>
  </w:style>
  <w:style w:type="character" w:customStyle="1" w:styleId="166">
    <w:name w:val="文一 Char"/>
    <w:link w:val="167"/>
    <w:qFormat/>
    <w:uiPriority w:val="0"/>
    <w:rPr>
      <w:rFonts w:eastAsia="宋体"/>
      <w:spacing w:val="4"/>
      <w:sz w:val="24"/>
      <w:szCs w:val="24"/>
    </w:rPr>
  </w:style>
  <w:style w:type="paragraph" w:customStyle="1" w:styleId="167">
    <w:name w:val="文一"/>
    <w:basedOn w:val="1"/>
    <w:link w:val="166"/>
    <w:qFormat/>
    <w:uiPriority w:val="0"/>
    <w:pPr>
      <w:topLinePunct/>
      <w:adjustRightInd w:val="0"/>
      <w:snapToGrid w:val="0"/>
      <w:spacing w:line="360" w:lineRule="auto"/>
      <w:ind w:firstLine="200" w:firstLineChars="200"/>
    </w:pPr>
    <w:rPr>
      <w:rFonts w:asciiTheme="minorHAnsi" w:hAnsiTheme="minorHAnsi" w:cstheme="minorBidi"/>
      <w:spacing w:val="4"/>
      <w:sz w:val="24"/>
      <w:szCs w:val="24"/>
    </w:rPr>
  </w:style>
  <w:style w:type="paragraph" w:customStyle="1" w:styleId="168">
    <w:name w:val="封一"/>
    <w:basedOn w:val="167"/>
    <w:next w:val="167"/>
    <w:qFormat/>
    <w:uiPriority w:val="0"/>
    <w:pPr>
      <w:ind w:firstLine="0" w:firstLineChars="0"/>
      <w:jc w:val="center"/>
    </w:pPr>
    <w:rPr>
      <w:rFonts w:eastAsia="黑体"/>
      <w:b/>
      <w:sz w:val="84"/>
      <w:szCs w:val="84"/>
    </w:rPr>
  </w:style>
  <w:style w:type="paragraph" w:customStyle="1" w:styleId="169">
    <w:name w:val="封四"/>
    <w:basedOn w:val="167"/>
    <w:next w:val="167"/>
    <w:qFormat/>
    <w:uiPriority w:val="0"/>
    <w:pPr>
      <w:jc w:val="left"/>
    </w:pPr>
    <w:rPr>
      <w:sz w:val="30"/>
      <w:szCs w:val="30"/>
    </w:rPr>
  </w:style>
  <w:style w:type="paragraph" w:customStyle="1" w:styleId="170">
    <w:name w:val="封二"/>
    <w:basedOn w:val="167"/>
    <w:next w:val="167"/>
    <w:qFormat/>
    <w:uiPriority w:val="0"/>
    <w:pPr>
      <w:ind w:firstLine="0" w:firstLineChars="0"/>
      <w:jc w:val="center"/>
    </w:pPr>
    <w:rPr>
      <w:rFonts w:eastAsia="黑体"/>
      <w:b/>
      <w:sz w:val="36"/>
      <w:szCs w:val="36"/>
    </w:rPr>
  </w:style>
  <w:style w:type="paragraph" w:customStyle="1" w:styleId="171">
    <w:name w:val="正题"/>
    <w:basedOn w:val="167"/>
    <w:next w:val="167"/>
    <w:qFormat/>
    <w:uiPriority w:val="0"/>
    <w:pPr>
      <w:ind w:firstLine="0" w:firstLineChars="0"/>
      <w:jc w:val="center"/>
    </w:pPr>
    <w:rPr>
      <w:rFonts w:eastAsia="黑体"/>
      <w:b/>
      <w:sz w:val="36"/>
      <w:szCs w:val="36"/>
    </w:rPr>
  </w:style>
  <w:style w:type="paragraph" w:customStyle="1" w:styleId="172">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3">
    <w:name w:val="BodyText"/>
    <w:basedOn w:val="1"/>
    <w:qFormat/>
    <w:uiPriority w:val="0"/>
    <w:pPr>
      <w:spacing w:after="120"/>
    </w:pPr>
    <w:rPr>
      <w:rFonts w:ascii="Times New Roman" w:hAnsi="Times New Roman"/>
      <w:kern w:val="0"/>
      <w:sz w:val="20"/>
      <w:szCs w:val="20"/>
    </w:rPr>
  </w:style>
  <w:style w:type="paragraph" w:customStyle="1" w:styleId="174">
    <w:name w:val="修订2"/>
    <w:hidden/>
    <w:semiHidden/>
    <w:qFormat/>
    <w:uiPriority w:val="99"/>
    <w:rPr>
      <w:rFonts w:ascii="Calibri" w:hAnsi="Calibri" w:eastAsia="宋体" w:cs="Times New Roman"/>
      <w:kern w:val="2"/>
      <w:sz w:val="21"/>
      <w:szCs w:val="22"/>
      <w:lang w:val="en-US" w:eastAsia="zh-CN" w:bidi="ar-SA"/>
    </w:rPr>
  </w:style>
  <w:style w:type="paragraph" w:customStyle="1" w:styleId="175">
    <w:name w:val="纯文本1"/>
    <w:basedOn w:val="1"/>
    <w:qFormat/>
    <w:uiPriority w:val="0"/>
    <w:rPr>
      <w:rFonts w:ascii="宋体" w:hAnsi="Courier New" w:cs="Calibri"/>
      <w:kern w:val="0"/>
      <w:sz w:val="20"/>
      <w:szCs w:val="20"/>
    </w:rPr>
  </w:style>
  <w:style w:type="character" w:customStyle="1" w:styleId="176">
    <w:name w:val="正文缩进 字符"/>
    <w:link w:val="2"/>
    <w:qFormat/>
    <w:uiPriority w:val="0"/>
    <w:rPr>
      <w:kern w:val="2"/>
      <w:sz w:val="21"/>
    </w:rPr>
  </w:style>
  <w:style w:type="paragraph" w:customStyle="1" w:styleId="177">
    <w:name w:val="正文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8">
    <w:name w:val="Other|1"/>
    <w:basedOn w:val="1"/>
    <w:qFormat/>
    <w:uiPriority w:val="0"/>
    <w:pPr>
      <w:jc w:val="center"/>
    </w:pPr>
    <w:rPr>
      <w:rFonts w:ascii="宋体" w:hAnsi="宋体" w:cs="宋体"/>
      <w:kern w:val="0"/>
      <w:sz w:val="22"/>
      <w:lang w:val="zh-TW" w:eastAsia="zh-TW" w:bidi="zh-TW"/>
    </w:rPr>
  </w:style>
  <w:style w:type="paragraph" w:customStyle="1" w:styleId="179">
    <w:name w:val="章节三"/>
    <w:basedOn w:val="1"/>
    <w:next w:val="1"/>
    <w:qFormat/>
    <w:uiPriority w:val="0"/>
    <w:pPr>
      <w:topLinePunct/>
      <w:adjustRightInd w:val="0"/>
      <w:snapToGrid w:val="0"/>
      <w:spacing w:beforeLines="50" w:afterLines="50"/>
      <w:jc w:val="left"/>
      <w:outlineLvl w:val="2"/>
    </w:pPr>
    <w:rPr>
      <w:rFonts w:ascii="黑体" w:hAnsi="宋体" w:eastAsia="黑体"/>
      <w:b/>
      <w:spacing w:val="4"/>
      <w:sz w:val="24"/>
    </w:rPr>
  </w:style>
  <w:style w:type="character" w:customStyle="1" w:styleId="180">
    <w:name w:val="font21"/>
    <w:qFormat/>
    <w:uiPriority w:val="0"/>
    <w:rPr>
      <w:rFonts w:hint="eastAsia" w:ascii="宋体" w:hAnsi="宋体" w:eastAsia="宋体" w:cs="宋体"/>
      <w:color w:val="000000"/>
      <w:sz w:val="22"/>
      <w:szCs w:val="22"/>
      <w:u w:val="none"/>
    </w:rPr>
  </w:style>
  <w:style w:type="character" w:customStyle="1" w:styleId="181">
    <w:name w:val="正文文本 3 字符"/>
    <w:basedOn w:val="55"/>
    <w:link w:val="19"/>
    <w:qFormat/>
    <w:uiPriority w:val="0"/>
    <w:rPr>
      <w:rFonts w:ascii="Calibri" w:hAnsi="Calibri"/>
      <w:kern w:val="2"/>
      <w:sz w:val="16"/>
      <w:szCs w:val="16"/>
    </w:rPr>
  </w:style>
  <w:style w:type="character" w:customStyle="1" w:styleId="182">
    <w:name w:val="HTML 地址 字符"/>
    <w:basedOn w:val="55"/>
    <w:link w:val="26"/>
    <w:qFormat/>
    <w:uiPriority w:val="0"/>
    <w:rPr>
      <w:i/>
      <w:kern w:val="2"/>
      <w:sz w:val="21"/>
    </w:rPr>
  </w:style>
  <w:style w:type="character" w:customStyle="1" w:styleId="183">
    <w:name w:val="副标题 字符"/>
    <w:basedOn w:val="55"/>
    <w:link w:val="39"/>
    <w:qFormat/>
    <w:uiPriority w:val="0"/>
    <w:rPr>
      <w:rFonts w:ascii="Arial" w:hAnsi="Arial" w:eastAsia="黑体"/>
      <w:b/>
      <w:bCs/>
      <w:kern w:val="2"/>
      <w:sz w:val="32"/>
      <w:szCs w:val="32"/>
    </w:rPr>
  </w:style>
  <w:style w:type="character" w:customStyle="1" w:styleId="184">
    <w:name w:val="HTML 预设格式 字符"/>
    <w:basedOn w:val="55"/>
    <w:link w:val="46"/>
    <w:qFormat/>
    <w:uiPriority w:val="0"/>
    <w:rPr>
      <w:rFonts w:ascii="Courier New" w:hAnsi="Courier New"/>
      <w:kern w:val="2"/>
    </w:rPr>
  </w:style>
  <w:style w:type="character" w:customStyle="1" w:styleId="185">
    <w:name w:val="正文文本首行缩进 2 字符"/>
    <w:link w:val="51"/>
    <w:qFormat/>
    <w:uiPriority w:val="99"/>
    <w:rPr>
      <w:kern w:val="2"/>
      <w:sz w:val="28"/>
    </w:rPr>
  </w:style>
  <w:style w:type="character" w:customStyle="1" w:styleId="186">
    <w:name w:val="正文文本_"/>
    <w:link w:val="187"/>
    <w:qFormat/>
    <w:uiPriority w:val="0"/>
    <w:rPr>
      <w:rFonts w:ascii="MingLiU" w:hAnsi="MingLiU" w:eastAsia="MingLiU"/>
      <w:spacing w:val="20"/>
      <w:shd w:val="clear" w:color="auto" w:fill="FFFFFF"/>
    </w:rPr>
  </w:style>
  <w:style w:type="paragraph" w:customStyle="1" w:styleId="187">
    <w:name w:val="正文文本1"/>
    <w:basedOn w:val="1"/>
    <w:link w:val="186"/>
    <w:qFormat/>
    <w:uiPriority w:val="0"/>
    <w:pPr>
      <w:shd w:val="clear" w:color="auto" w:fill="FFFFFF"/>
      <w:spacing w:before="300" w:line="0" w:lineRule="atLeast"/>
      <w:ind w:hanging="580"/>
      <w:jc w:val="left"/>
    </w:pPr>
    <w:rPr>
      <w:rFonts w:ascii="MingLiU" w:hAnsi="MingLiU" w:eastAsia="MingLiU"/>
      <w:spacing w:val="20"/>
      <w:kern w:val="0"/>
      <w:sz w:val="20"/>
      <w:szCs w:val="20"/>
      <w:shd w:val="clear" w:color="auto" w:fill="FFFFFF"/>
    </w:rPr>
  </w:style>
  <w:style w:type="character" w:customStyle="1" w:styleId="188">
    <w:name w:val="font51"/>
    <w:qFormat/>
    <w:uiPriority w:val="0"/>
    <w:rPr>
      <w:rFonts w:hint="eastAsia" w:ascii="宋体" w:hAnsi="宋体" w:eastAsia="宋体"/>
      <w:color w:val="000000"/>
      <w:sz w:val="24"/>
      <w:szCs w:val="24"/>
      <w:u w:val="none"/>
    </w:rPr>
  </w:style>
  <w:style w:type="character" w:customStyle="1" w:styleId="189">
    <w:name w:val="批注文字 Char1"/>
    <w:semiHidden/>
    <w:qFormat/>
    <w:uiPriority w:val="99"/>
    <w:rPr>
      <w:rFonts w:ascii="Calibri" w:hAnsi="Calibri" w:eastAsia="宋体" w:cs="Times New Roman"/>
    </w:rPr>
  </w:style>
  <w:style w:type="character" w:customStyle="1" w:styleId="190">
    <w:name w:val="标题 Char1"/>
    <w:qFormat/>
    <w:uiPriority w:val="10"/>
    <w:rPr>
      <w:rFonts w:ascii="等线 Light" w:hAnsi="等线 Light" w:eastAsia="宋体" w:cs="Times New Roman"/>
      <w:b/>
      <w:bCs/>
      <w:sz w:val="32"/>
      <w:szCs w:val="32"/>
    </w:rPr>
  </w:style>
  <w:style w:type="character" w:customStyle="1" w:styleId="191">
    <w:name w:val="正文文本 Char1"/>
    <w:qFormat/>
    <w:uiPriority w:val="0"/>
    <w:rPr>
      <w:rFonts w:ascii="Calibri" w:hAnsi="Calibri" w:eastAsia="宋体" w:cs="Times New Roman"/>
    </w:rPr>
  </w:style>
  <w:style w:type="character" w:customStyle="1" w:styleId="192">
    <w:name w:val="首行缩进 Char"/>
    <w:link w:val="193"/>
    <w:qFormat/>
    <w:uiPriority w:val="0"/>
    <w:rPr>
      <w:rFonts w:eastAsia="方正书宋简体" w:cs="宋体"/>
    </w:rPr>
  </w:style>
  <w:style w:type="paragraph" w:customStyle="1" w:styleId="193">
    <w:name w:val="首行缩进"/>
    <w:basedOn w:val="1"/>
    <w:link w:val="192"/>
    <w:qFormat/>
    <w:uiPriority w:val="0"/>
    <w:pPr>
      <w:spacing w:line="300" w:lineRule="auto"/>
      <w:ind w:firstLine="420" w:firstLineChars="200"/>
    </w:pPr>
    <w:rPr>
      <w:rFonts w:ascii="Times New Roman" w:hAnsi="Times New Roman" w:eastAsia="方正书宋简体" w:cs="宋体"/>
      <w:kern w:val="0"/>
      <w:sz w:val="20"/>
      <w:szCs w:val="20"/>
    </w:rPr>
  </w:style>
  <w:style w:type="character" w:customStyle="1" w:styleId="194">
    <w:name w:val="正文文本缩进 3 Char1"/>
    <w:semiHidden/>
    <w:qFormat/>
    <w:uiPriority w:val="99"/>
    <w:rPr>
      <w:rFonts w:ascii="Calibri" w:hAnsi="Calibri" w:eastAsia="宋体" w:cs="Times New Roman"/>
      <w:sz w:val="16"/>
      <w:szCs w:val="16"/>
    </w:rPr>
  </w:style>
  <w:style w:type="character" w:customStyle="1" w:styleId="195">
    <w:name w:val="文一 Char Char"/>
    <w:qFormat/>
    <w:uiPriority w:val="0"/>
    <w:rPr>
      <w:rFonts w:ascii="宋体" w:hAnsi="宋体"/>
      <w:spacing w:val="4"/>
      <w:sz w:val="24"/>
      <w:szCs w:val="24"/>
    </w:rPr>
  </w:style>
  <w:style w:type="character" w:customStyle="1" w:styleId="196">
    <w:name w:val="样式 标题 3h3section:3Level 3 HeadH3level_3PIM 33rd level3H... Char Char"/>
    <w:link w:val="197"/>
    <w:qFormat/>
    <w:uiPriority w:val="0"/>
    <w:rPr>
      <w:rFonts w:ascii="Arial" w:hAnsi="Arial"/>
      <w:b/>
      <w:sz w:val="24"/>
      <w:szCs w:val="28"/>
    </w:rPr>
  </w:style>
  <w:style w:type="paragraph" w:customStyle="1" w:styleId="197">
    <w:name w:val="样式 标题 3h3section:3Level 3 HeadH3level_3PIM 33rd level3H..."/>
    <w:basedOn w:val="5"/>
    <w:link w:val="196"/>
    <w:qFormat/>
    <w:uiPriority w:val="0"/>
    <w:pPr>
      <w:keepNext/>
      <w:tabs>
        <w:tab w:val="left" w:pos="1680"/>
        <w:tab w:val="left" w:pos="2310"/>
      </w:tabs>
      <w:adjustRightInd w:val="0"/>
      <w:spacing w:before="240" w:beforeAutospacing="0" w:after="60" w:afterAutospacing="0" w:line="416" w:lineRule="atLeast"/>
      <w:ind w:left="2310" w:hanging="420"/>
    </w:pPr>
    <w:rPr>
      <w:rFonts w:ascii="Arial" w:hAnsi="Arial" w:cs="Times New Roman"/>
      <w:b/>
      <w:sz w:val="24"/>
      <w:szCs w:val="28"/>
    </w:rPr>
  </w:style>
  <w:style w:type="character" w:customStyle="1" w:styleId="198">
    <w:name w:val="t_tag"/>
    <w:qFormat/>
    <w:uiPriority w:val="0"/>
  </w:style>
  <w:style w:type="character" w:customStyle="1" w:styleId="199">
    <w:name w:val="正文文本 (3)_"/>
    <w:link w:val="200"/>
    <w:qFormat/>
    <w:uiPriority w:val="0"/>
    <w:rPr>
      <w:rFonts w:ascii="Arial Unicode MS" w:hAnsi="Arial Unicode MS" w:eastAsia="Arial Unicode MS"/>
      <w:spacing w:val="10"/>
      <w:sz w:val="17"/>
      <w:szCs w:val="17"/>
      <w:shd w:val="clear" w:color="auto" w:fill="FFFFFF"/>
    </w:rPr>
  </w:style>
  <w:style w:type="paragraph" w:customStyle="1" w:styleId="200">
    <w:name w:val="正文文本 (3)"/>
    <w:basedOn w:val="1"/>
    <w:link w:val="199"/>
    <w:qFormat/>
    <w:uiPriority w:val="0"/>
    <w:pPr>
      <w:shd w:val="clear" w:color="auto" w:fill="FFFFFF"/>
      <w:spacing w:after="60" w:line="0" w:lineRule="atLeast"/>
      <w:ind w:hanging="940"/>
      <w:jc w:val="left"/>
    </w:pPr>
    <w:rPr>
      <w:rFonts w:ascii="Arial Unicode MS" w:hAnsi="Arial Unicode MS" w:eastAsia="Arial Unicode MS"/>
      <w:spacing w:val="10"/>
      <w:kern w:val="0"/>
      <w:sz w:val="17"/>
      <w:szCs w:val="17"/>
      <w:shd w:val="clear" w:color="auto" w:fill="FFFFFF"/>
    </w:rPr>
  </w:style>
  <w:style w:type="character" w:customStyle="1" w:styleId="201">
    <w:name w:val="正文文本 2 Char1"/>
    <w:semiHidden/>
    <w:qFormat/>
    <w:uiPriority w:val="99"/>
    <w:rPr>
      <w:rFonts w:ascii="Calibri" w:hAnsi="Calibri" w:eastAsia="宋体" w:cs="Times New Roman"/>
    </w:rPr>
  </w:style>
  <w:style w:type="character" w:customStyle="1" w:styleId="202">
    <w:name w:val="批注框文本 Char1"/>
    <w:qFormat/>
    <w:uiPriority w:val="0"/>
    <w:rPr>
      <w:rFonts w:ascii="Calibri" w:hAnsi="Calibri" w:eastAsia="宋体" w:cs="Times New Roman"/>
      <w:sz w:val="18"/>
      <w:szCs w:val="18"/>
    </w:rPr>
  </w:style>
  <w:style w:type="character" w:customStyle="1" w:styleId="203">
    <w:name w:val="页眉 Char1"/>
    <w:semiHidden/>
    <w:qFormat/>
    <w:uiPriority w:val="99"/>
    <w:rPr>
      <w:rFonts w:ascii="Calibri" w:hAnsi="Calibri"/>
      <w:kern w:val="2"/>
      <w:sz w:val="18"/>
      <w:szCs w:val="18"/>
    </w:rPr>
  </w:style>
  <w:style w:type="character" w:customStyle="1" w:styleId="204">
    <w:name w:val="Char Char4"/>
    <w:link w:val="159"/>
    <w:qFormat/>
    <w:uiPriority w:val="0"/>
    <w:rPr>
      <w:rFonts w:ascii="Tahoma" w:hAnsi="Tahoma"/>
      <w:kern w:val="2"/>
      <w:sz w:val="24"/>
    </w:rPr>
  </w:style>
  <w:style w:type="character" w:styleId="205">
    <w:name w:val="Placeholder Text"/>
    <w:semiHidden/>
    <w:qFormat/>
    <w:uiPriority w:val="99"/>
    <w:rPr>
      <w:color w:val="808080"/>
    </w:rPr>
  </w:style>
  <w:style w:type="character" w:customStyle="1" w:styleId="206">
    <w:name w:val="正文文本缩进 Char1"/>
    <w:semiHidden/>
    <w:qFormat/>
    <w:uiPriority w:val="99"/>
    <w:rPr>
      <w:rFonts w:ascii="Calibri" w:hAnsi="Calibri" w:eastAsia="宋体" w:cs="Times New Roman"/>
    </w:rPr>
  </w:style>
  <w:style w:type="character" w:customStyle="1" w:styleId="207">
    <w:name w:val="Normal1 Char"/>
    <w:link w:val="208"/>
    <w:qFormat/>
    <w:uiPriority w:val="0"/>
    <w:rPr>
      <w:rFonts w:ascii="宋体"/>
      <w:sz w:val="24"/>
    </w:rPr>
  </w:style>
  <w:style w:type="paragraph" w:customStyle="1" w:styleId="208">
    <w:name w:val="Normal1"/>
    <w:link w:val="207"/>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character" w:customStyle="1" w:styleId="209">
    <w:name w:val="明显引用 字符1"/>
    <w:qFormat/>
    <w:uiPriority w:val="30"/>
    <w:rPr>
      <w:rFonts w:ascii="Calibri" w:hAnsi="Calibri"/>
      <w:i/>
      <w:iCs/>
      <w:color w:val="5B9BD5"/>
      <w:kern w:val="2"/>
      <w:sz w:val="21"/>
      <w:szCs w:val="22"/>
    </w:rPr>
  </w:style>
  <w:style w:type="character" w:customStyle="1" w:styleId="210">
    <w:name w:val="园点 Char"/>
    <w:link w:val="211"/>
    <w:qFormat/>
    <w:uiPriority w:val="0"/>
    <w:rPr>
      <w:kern w:val="2"/>
      <w:sz w:val="21"/>
      <w:szCs w:val="24"/>
    </w:rPr>
  </w:style>
  <w:style w:type="paragraph" w:customStyle="1" w:styleId="211">
    <w:name w:val="园点"/>
    <w:basedOn w:val="1"/>
    <w:link w:val="210"/>
    <w:qFormat/>
    <w:uiPriority w:val="0"/>
    <w:pPr>
      <w:numPr>
        <w:ilvl w:val="0"/>
        <w:numId w:val="3"/>
      </w:numPr>
      <w:spacing w:line="300" w:lineRule="auto"/>
    </w:pPr>
    <w:rPr>
      <w:rFonts w:ascii="Times New Roman" w:hAnsi="Times New Roman"/>
      <w:szCs w:val="24"/>
    </w:rPr>
  </w:style>
  <w:style w:type="character" w:customStyle="1" w:styleId="212">
    <w:name w:val="标题6 Char Char"/>
    <w:link w:val="213"/>
    <w:qFormat/>
    <w:uiPriority w:val="0"/>
    <w:rPr>
      <w:rFonts w:ascii="宋体" w:hAnsi="宋体" w:eastAsia="黑体"/>
      <w:sz w:val="32"/>
      <w:szCs w:val="32"/>
    </w:rPr>
  </w:style>
  <w:style w:type="paragraph" w:customStyle="1" w:styleId="213">
    <w:name w:val="标题6"/>
    <w:basedOn w:val="1"/>
    <w:link w:val="212"/>
    <w:qFormat/>
    <w:uiPriority w:val="0"/>
    <w:pPr>
      <w:keepNext/>
      <w:keepLines/>
      <w:spacing w:line="400" w:lineRule="exact"/>
      <w:jc w:val="center"/>
      <w:outlineLvl w:val="2"/>
    </w:pPr>
    <w:rPr>
      <w:rFonts w:ascii="宋体" w:hAnsi="宋体" w:eastAsia="黑体"/>
      <w:kern w:val="0"/>
      <w:sz w:val="32"/>
      <w:szCs w:val="32"/>
    </w:rPr>
  </w:style>
  <w:style w:type="character" w:customStyle="1" w:styleId="214">
    <w:name w:val="!我的正文 Ctr+Q Char Char"/>
    <w:link w:val="215"/>
    <w:qFormat/>
    <w:uiPriority w:val="0"/>
    <w:rPr>
      <w:rFonts w:ascii="Arial" w:hAnsi="Arial"/>
      <w:sz w:val="24"/>
      <w:szCs w:val="21"/>
    </w:rPr>
  </w:style>
  <w:style w:type="paragraph" w:customStyle="1" w:styleId="215">
    <w:name w:val="!我的正文 Ctr+Q"/>
    <w:basedOn w:val="1"/>
    <w:link w:val="214"/>
    <w:qFormat/>
    <w:uiPriority w:val="0"/>
    <w:pPr>
      <w:adjustRightInd w:val="0"/>
      <w:snapToGrid w:val="0"/>
      <w:spacing w:line="360" w:lineRule="auto"/>
      <w:ind w:firstLine="480" w:firstLineChars="200"/>
    </w:pPr>
    <w:rPr>
      <w:rFonts w:ascii="Arial" w:hAnsi="Arial"/>
      <w:kern w:val="0"/>
      <w:sz w:val="24"/>
      <w:szCs w:val="21"/>
    </w:rPr>
  </w:style>
  <w:style w:type="character" w:customStyle="1" w:styleId="216">
    <w:name w:val="apple-style-span"/>
    <w:qFormat/>
    <w:uiPriority w:val="0"/>
  </w:style>
  <w:style w:type="character" w:customStyle="1" w:styleId="217">
    <w:name w:val="不明显强调1"/>
    <w:qFormat/>
    <w:uiPriority w:val="0"/>
    <w:rPr>
      <w:i/>
      <w:iCs/>
      <w:color w:val="808080"/>
    </w:rPr>
  </w:style>
  <w:style w:type="character" w:customStyle="1" w:styleId="218">
    <w:name w:val="font11"/>
    <w:qFormat/>
    <w:uiPriority w:val="0"/>
    <w:rPr>
      <w:rFonts w:hint="eastAsia" w:ascii="宋体" w:hAnsi="宋体" w:eastAsia="宋体"/>
      <w:color w:val="000000"/>
      <w:sz w:val="24"/>
      <w:szCs w:val="24"/>
      <w:u w:val="single"/>
    </w:rPr>
  </w:style>
  <w:style w:type="character" w:customStyle="1" w:styleId="219">
    <w:name w:val="明显引用 字符"/>
    <w:link w:val="220"/>
    <w:qFormat/>
    <w:uiPriority w:val="0"/>
    <w:rPr>
      <w:b/>
      <w:i/>
      <w:sz w:val="24"/>
    </w:rPr>
  </w:style>
  <w:style w:type="paragraph" w:styleId="220">
    <w:name w:val="Intense Quote"/>
    <w:basedOn w:val="1"/>
    <w:link w:val="219"/>
    <w:qFormat/>
    <w:uiPriority w:val="0"/>
    <w:rPr>
      <w:rFonts w:ascii="Times New Roman" w:hAnsi="Times New Roman"/>
      <w:b/>
      <w:i/>
      <w:kern w:val="0"/>
      <w:sz w:val="24"/>
      <w:szCs w:val="20"/>
    </w:rPr>
  </w:style>
  <w:style w:type="character" w:customStyle="1" w:styleId="221">
    <w:name w:val="明显引用 字符2"/>
    <w:basedOn w:val="55"/>
    <w:qFormat/>
    <w:uiPriority w:val="99"/>
    <w:rPr>
      <w:rFonts w:ascii="Calibri" w:hAnsi="Calibri"/>
      <w:i/>
      <w:iCs/>
      <w:color w:val="4472C4" w:themeColor="accent1"/>
      <w:kern w:val="2"/>
      <w:sz w:val="21"/>
      <w:szCs w:val="22"/>
      <w14:textFill>
        <w14:solidFill>
          <w14:schemeClr w14:val="accent1"/>
        </w14:solidFill>
      </w14:textFill>
    </w:rPr>
  </w:style>
  <w:style w:type="character" w:customStyle="1" w:styleId="222">
    <w:name w:val="标题5 Char Char"/>
    <w:link w:val="223"/>
    <w:qFormat/>
    <w:uiPriority w:val="0"/>
    <w:rPr>
      <w:rFonts w:ascii="Arial" w:hAnsi="Arial" w:eastAsia="黑体"/>
      <w:bCs/>
      <w:kern w:val="2"/>
      <w:sz w:val="24"/>
      <w:szCs w:val="32"/>
    </w:rPr>
  </w:style>
  <w:style w:type="paragraph" w:customStyle="1" w:styleId="223">
    <w:name w:val="标题5"/>
    <w:basedOn w:val="7"/>
    <w:link w:val="222"/>
    <w:qFormat/>
    <w:uiPriority w:val="0"/>
    <w:pPr>
      <w:keepNext w:val="0"/>
      <w:keepLines w:val="0"/>
      <w:widowControl/>
      <w:numPr>
        <w:ilvl w:val="0"/>
        <w:numId w:val="0"/>
      </w:numPr>
      <w:tabs>
        <w:tab w:val="left" w:pos="2310"/>
      </w:tabs>
      <w:spacing w:beforeLines="0" w:afterLines="0" w:line="240" w:lineRule="auto"/>
      <w:jc w:val="center"/>
    </w:pPr>
    <w:rPr>
      <w:rFonts w:eastAsia="黑体"/>
      <w:bCs/>
      <w:color w:val="auto"/>
      <w:sz w:val="24"/>
      <w:szCs w:val="32"/>
    </w:rPr>
  </w:style>
  <w:style w:type="character" w:customStyle="1" w:styleId="224">
    <w:name w:val="无间隔 字符"/>
    <w:link w:val="225"/>
    <w:qFormat/>
    <w:uiPriority w:val="0"/>
    <w:rPr>
      <w:sz w:val="22"/>
    </w:rPr>
  </w:style>
  <w:style w:type="paragraph" w:styleId="225">
    <w:name w:val="No Spacing"/>
    <w:basedOn w:val="1"/>
    <w:link w:val="224"/>
    <w:qFormat/>
    <w:uiPriority w:val="0"/>
    <w:rPr>
      <w:rFonts w:ascii="Times New Roman" w:hAnsi="Times New Roman"/>
      <w:kern w:val="0"/>
      <w:sz w:val="22"/>
      <w:szCs w:val="20"/>
    </w:rPr>
  </w:style>
  <w:style w:type="character" w:customStyle="1" w:styleId="226">
    <w:name w:val="正文缩进2格 Char Char"/>
    <w:link w:val="227"/>
    <w:qFormat/>
    <w:uiPriority w:val="0"/>
    <w:rPr>
      <w:rFonts w:ascii="仿宋_GB2312" w:hAnsi="宋体" w:eastAsia="仿宋_GB2312"/>
      <w:sz w:val="31"/>
      <w:szCs w:val="31"/>
    </w:rPr>
  </w:style>
  <w:style w:type="paragraph" w:customStyle="1" w:styleId="227">
    <w:name w:val="正文缩进2格"/>
    <w:basedOn w:val="1"/>
    <w:link w:val="226"/>
    <w:qFormat/>
    <w:uiPriority w:val="0"/>
    <w:pPr>
      <w:widowControl/>
      <w:spacing w:line="600" w:lineRule="exact"/>
      <w:ind w:firstLine="639" w:firstLineChars="206"/>
      <w:jc w:val="left"/>
    </w:pPr>
    <w:rPr>
      <w:rFonts w:ascii="仿宋_GB2312" w:hAnsi="宋体" w:eastAsia="仿宋_GB2312"/>
      <w:kern w:val="0"/>
      <w:sz w:val="31"/>
      <w:szCs w:val="31"/>
    </w:rPr>
  </w:style>
  <w:style w:type="character" w:customStyle="1" w:styleId="228">
    <w:name w:val="标提1 Char Char"/>
    <w:link w:val="229"/>
    <w:qFormat/>
    <w:uiPriority w:val="0"/>
    <w:rPr>
      <w:rFonts w:ascii="黑体" w:hAnsi="黑体" w:eastAsia="黑体"/>
      <w:b/>
      <w:kern w:val="44"/>
      <w:sz w:val="24"/>
      <w:szCs w:val="24"/>
    </w:rPr>
  </w:style>
  <w:style w:type="paragraph" w:customStyle="1" w:styleId="229">
    <w:name w:val="标提1"/>
    <w:basedOn w:val="3"/>
    <w:next w:val="1"/>
    <w:link w:val="228"/>
    <w:qFormat/>
    <w:uiPriority w:val="0"/>
    <w:pPr>
      <w:spacing w:after="0" w:line="240" w:lineRule="auto"/>
      <w:jc w:val="both"/>
    </w:pPr>
    <w:rPr>
      <w:rFonts w:ascii="黑体" w:hAnsi="黑体" w:eastAsia="黑体"/>
      <w:b/>
      <w:sz w:val="24"/>
      <w:szCs w:val="24"/>
    </w:rPr>
  </w:style>
  <w:style w:type="character" w:customStyle="1" w:styleId="230">
    <w:name w:val="引用 字符"/>
    <w:link w:val="231"/>
    <w:qFormat/>
    <w:uiPriority w:val="0"/>
    <w:rPr>
      <w:i/>
      <w:sz w:val="24"/>
    </w:rPr>
  </w:style>
  <w:style w:type="paragraph" w:styleId="231">
    <w:name w:val="Quote"/>
    <w:basedOn w:val="1"/>
    <w:link w:val="230"/>
    <w:qFormat/>
    <w:uiPriority w:val="0"/>
    <w:rPr>
      <w:rFonts w:ascii="Times New Roman" w:hAnsi="Times New Roman"/>
      <w:i/>
      <w:kern w:val="0"/>
      <w:sz w:val="24"/>
      <w:szCs w:val="20"/>
    </w:rPr>
  </w:style>
  <w:style w:type="character" w:customStyle="1" w:styleId="232">
    <w:name w:val="引用 字符1"/>
    <w:basedOn w:val="55"/>
    <w:qFormat/>
    <w:uiPriority w:val="29"/>
    <w:rPr>
      <w:rFonts w:ascii="Calibri" w:hAnsi="Calibri"/>
      <w:i/>
      <w:iCs/>
      <w:color w:val="404040" w:themeColor="text1" w:themeTint="BF"/>
      <w:kern w:val="2"/>
      <w:sz w:val="21"/>
      <w:szCs w:val="22"/>
      <w14:textFill>
        <w14:solidFill>
          <w14:schemeClr w14:val="tx1">
            <w14:lumMod w14:val="75000"/>
            <w14:lumOff w14:val="25000"/>
          </w14:schemeClr>
        </w14:solidFill>
      </w14:textFill>
    </w:rPr>
  </w:style>
  <w:style w:type="character" w:customStyle="1" w:styleId="233">
    <w:name w:val="书籍标题1"/>
    <w:qFormat/>
    <w:uiPriority w:val="0"/>
    <w:rPr>
      <w:b/>
      <w:bCs/>
      <w:smallCaps/>
      <w:spacing w:val="5"/>
    </w:rPr>
  </w:style>
  <w:style w:type="character" w:customStyle="1" w:styleId="234">
    <w:name w:val="列出段落 Char Char"/>
    <w:link w:val="153"/>
    <w:qFormat/>
    <w:uiPriority w:val="0"/>
    <w:rPr>
      <w:kern w:val="2"/>
      <w:sz w:val="21"/>
    </w:rPr>
  </w:style>
  <w:style w:type="character" w:customStyle="1" w:styleId="235">
    <w:name w:val="样式 Char Char"/>
    <w:link w:val="236"/>
    <w:qFormat/>
    <w:uiPriority w:val="0"/>
    <w:rPr>
      <w:rFonts w:ascii="Arial" w:hAnsi="Arial" w:eastAsia="黑体"/>
      <w:bCs/>
      <w:sz w:val="24"/>
      <w:szCs w:val="32"/>
    </w:rPr>
  </w:style>
  <w:style w:type="paragraph" w:customStyle="1" w:styleId="236">
    <w:name w:val="样式"/>
    <w:basedOn w:val="223"/>
    <w:link w:val="235"/>
    <w:qFormat/>
    <w:uiPriority w:val="0"/>
    <w:pPr>
      <w:tabs>
        <w:tab w:val="left" w:pos="2730"/>
      </w:tabs>
      <w:outlineLvl w:val="9"/>
    </w:pPr>
    <w:rPr>
      <w:kern w:val="0"/>
    </w:rPr>
  </w:style>
  <w:style w:type="character" w:customStyle="1" w:styleId="237">
    <w:name w:val="日期 Char1"/>
    <w:qFormat/>
    <w:uiPriority w:val="0"/>
    <w:rPr>
      <w:rFonts w:ascii="Calibri" w:hAnsi="Calibri" w:eastAsia="宋体" w:cs="Times New Roman"/>
    </w:rPr>
  </w:style>
  <w:style w:type="character" w:customStyle="1" w:styleId="238">
    <w:name w:val="文档结构图 Char1"/>
    <w:qFormat/>
    <w:uiPriority w:val="0"/>
    <w:rPr>
      <w:rFonts w:ascii="宋体" w:hAnsi="Calibri" w:eastAsia="宋体" w:cs="Times New Roman"/>
      <w:sz w:val="18"/>
      <w:szCs w:val="18"/>
    </w:rPr>
  </w:style>
  <w:style w:type="character" w:customStyle="1" w:styleId="239">
    <w:name w:val="尾注文本 Char1"/>
    <w:semiHidden/>
    <w:qFormat/>
    <w:uiPriority w:val="99"/>
    <w:rPr>
      <w:rFonts w:ascii="Calibri" w:hAnsi="Calibri" w:eastAsia="宋体" w:cs="Times New Roman"/>
    </w:rPr>
  </w:style>
  <w:style w:type="character" w:customStyle="1" w:styleId="240">
    <w:name w:val="正文首行缩进 字符2"/>
    <w:semiHidden/>
    <w:qFormat/>
    <w:uiPriority w:val="99"/>
    <w:rPr>
      <w:rFonts w:ascii="Calibri" w:hAnsi="Calibri" w:eastAsia="宋体" w:cs="Times New Roman"/>
    </w:rPr>
  </w:style>
  <w:style w:type="character" w:customStyle="1" w:styleId="241">
    <w:name w:val="正文首行缩进 Char1"/>
    <w:semiHidden/>
    <w:qFormat/>
    <w:uiPriority w:val="99"/>
    <w:rPr>
      <w:rFonts w:ascii="Calibri" w:hAnsi="Calibri" w:eastAsia="宋体" w:cs="Times New Roman"/>
    </w:rPr>
  </w:style>
  <w:style w:type="character" w:customStyle="1" w:styleId="242">
    <w:name w:val="脚注文本 Char1"/>
    <w:semiHidden/>
    <w:qFormat/>
    <w:uiPriority w:val="99"/>
    <w:rPr>
      <w:rFonts w:ascii="Calibri" w:hAnsi="Calibri" w:eastAsia="宋体" w:cs="Times New Roman"/>
      <w:sz w:val="18"/>
      <w:szCs w:val="18"/>
    </w:rPr>
  </w:style>
  <w:style w:type="character" w:customStyle="1" w:styleId="243">
    <w:name w:val="批注主题 Char1"/>
    <w:qFormat/>
    <w:uiPriority w:val="0"/>
    <w:rPr>
      <w:rFonts w:ascii="Calibri" w:hAnsi="Calibri" w:eastAsia="宋体" w:cs="Times New Roman"/>
      <w:b/>
      <w:bCs/>
    </w:rPr>
  </w:style>
  <w:style w:type="character" w:customStyle="1" w:styleId="244">
    <w:name w:val="纯文本 Char1"/>
    <w:qFormat/>
    <w:uiPriority w:val="0"/>
    <w:rPr>
      <w:rFonts w:ascii="宋体" w:hAnsi="Courier New" w:eastAsia="宋体" w:cs="Courier New"/>
      <w:szCs w:val="21"/>
    </w:rPr>
  </w:style>
  <w:style w:type="character" w:customStyle="1" w:styleId="245">
    <w:name w:val="正文文本缩进 2 Char1"/>
    <w:semiHidden/>
    <w:qFormat/>
    <w:uiPriority w:val="99"/>
    <w:rPr>
      <w:rFonts w:ascii="Calibri" w:hAnsi="Calibri" w:eastAsia="宋体" w:cs="Times New Roman"/>
    </w:rPr>
  </w:style>
  <w:style w:type="character" w:customStyle="1" w:styleId="246">
    <w:name w:val="明显引用 Char1"/>
    <w:qFormat/>
    <w:uiPriority w:val="30"/>
    <w:rPr>
      <w:rFonts w:ascii="Calibri" w:hAnsi="Calibri" w:eastAsia="宋体" w:cs="Times New Roman"/>
      <w:b/>
      <w:bCs/>
      <w:i/>
      <w:iCs/>
      <w:color w:val="5B9BD5"/>
    </w:rPr>
  </w:style>
  <w:style w:type="character" w:customStyle="1" w:styleId="247">
    <w:name w:val="引用 Char1"/>
    <w:qFormat/>
    <w:uiPriority w:val="29"/>
    <w:rPr>
      <w:rFonts w:ascii="Calibri" w:hAnsi="Calibri" w:eastAsia="宋体" w:cs="Times New Roman"/>
      <w:i/>
      <w:iCs/>
      <w:color w:val="000000"/>
    </w:rPr>
  </w:style>
  <w:style w:type="character" w:customStyle="1" w:styleId="248">
    <w:name w:val="正文文本首行缩进 字符"/>
    <w:qFormat/>
    <w:locked/>
    <w:uiPriority w:val="0"/>
    <w:rPr>
      <w:rFonts w:ascii="Times New Roman" w:hAnsi="Times New Roman" w:eastAsia="宋体" w:cs="Times New Roman"/>
      <w:sz w:val="20"/>
    </w:rPr>
  </w:style>
  <w:style w:type="character" w:customStyle="1" w:styleId="249">
    <w:name w:val="页码1"/>
    <w:qFormat/>
    <w:uiPriority w:val="0"/>
  </w:style>
  <w:style w:type="character" w:customStyle="1" w:styleId="250">
    <w:name w:val="标题 3 Char Char"/>
    <w:qFormat/>
    <w:uiPriority w:val="0"/>
    <w:rPr>
      <w:rFonts w:ascii="宋体" w:hAnsi="宋体" w:eastAsia="宋体"/>
      <w:b/>
      <w:bCs/>
      <w:color w:val="FF0000"/>
      <w:kern w:val="2"/>
      <w:sz w:val="24"/>
      <w:szCs w:val="24"/>
      <w:lang w:val="zh-CN" w:eastAsia="zh-CN" w:bidi="ar-SA"/>
    </w:rPr>
  </w:style>
  <w:style w:type="character" w:customStyle="1" w:styleId="251">
    <w:name w:val="页脚 Char1"/>
    <w:semiHidden/>
    <w:qFormat/>
    <w:uiPriority w:val="99"/>
    <w:rPr>
      <w:rFonts w:ascii="Calibri" w:hAnsi="Calibri"/>
      <w:kern w:val="2"/>
      <w:sz w:val="18"/>
      <w:szCs w:val="18"/>
    </w:rPr>
  </w:style>
  <w:style w:type="character" w:customStyle="1" w:styleId="252">
    <w:name w:val="页码2"/>
    <w:qFormat/>
    <w:uiPriority w:val="0"/>
  </w:style>
  <w:style w:type="character" w:customStyle="1" w:styleId="253">
    <w:name w:val="批注文字 Char Char"/>
    <w:qFormat/>
    <w:uiPriority w:val="0"/>
    <w:rPr>
      <w:rFonts w:ascii="宋体" w:hAnsi="Times New Roman" w:eastAsia="宋体" w:cs="Times New Roman"/>
      <w:sz w:val="28"/>
      <w:szCs w:val="20"/>
    </w:rPr>
  </w:style>
  <w:style w:type="character" w:customStyle="1" w:styleId="254">
    <w:name w:val="不明显参考1"/>
    <w:qFormat/>
    <w:uiPriority w:val="0"/>
    <w:rPr>
      <w:smallCaps/>
      <w:color w:val="C0504D"/>
      <w:u w:val="single"/>
    </w:rPr>
  </w:style>
  <w:style w:type="character" w:customStyle="1" w:styleId="255">
    <w:name w:val="明显参考1"/>
    <w:qFormat/>
    <w:uiPriority w:val="0"/>
    <w:rPr>
      <w:b/>
      <w:bCs/>
      <w:smallCaps/>
      <w:color w:val="C0504D"/>
      <w:spacing w:val="5"/>
      <w:u w:val="single"/>
    </w:rPr>
  </w:style>
  <w:style w:type="character" w:customStyle="1" w:styleId="256">
    <w:name w:val="标题4 Char Char"/>
    <w:link w:val="257"/>
    <w:qFormat/>
    <w:uiPriority w:val="0"/>
    <w:rPr>
      <w:rFonts w:ascii="Arial" w:hAnsi="Arial"/>
      <w:b/>
      <w:bCs/>
      <w:sz w:val="24"/>
      <w:szCs w:val="32"/>
    </w:rPr>
  </w:style>
  <w:style w:type="paragraph" w:customStyle="1" w:styleId="257">
    <w:name w:val="标题4"/>
    <w:basedOn w:val="4"/>
    <w:next w:val="27"/>
    <w:link w:val="256"/>
    <w:qFormat/>
    <w:uiPriority w:val="0"/>
    <w:pPr>
      <w:spacing w:before="260" w:after="260" w:line="413" w:lineRule="auto"/>
      <w:ind w:left="0"/>
      <w:jc w:val="both"/>
    </w:pPr>
    <w:rPr>
      <w:bCs/>
      <w:color w:val="auto"/>
      <w:kern w:val="0"/>
      <w:szCs w:val="32"/>
    </w:rPr>
  </w:style>
  <w:style w:type="character" w:customStyle="1" w:styleId="258">
    <w:name w:val="明显强调1"/>
    <w:qFormat/>
    <w:uiPriority w:val="0"/>
    <w:rPr>
      <w:b/>
      <w:bCs/>
      <w:i/>
      <w:iCs/>
      <w:color w:val="4F81BD"/>
    </w:rPr>
  </w:style>
  <w:style w:type="character" w:customStyle="1" w:styleId="259">
    <w:name w:val="textcontents"/>
    <w:qFormat/>
    <w:uiPriority w:val="0"/>
    <w:rPr>
      <w:rFonts w:cs="Times New Roman"/>
    </w:rPr>
  </w:style>
  <w:style w:type="character" w:customStyle="1" w:styleId="260">
    <w:name w:val="Balloon Text Char"/>
    <w:semiHidden/>
    <w:qFormat/>
    <w:uiPriority w:val="99"/>
    <w:rPr>
      <w:sz w:val="16"/>
      <w:szCs w:val="0"/>
    </w:rPr>
  </w:style>
  <w:style w:type="character" w:customStyle="1" w:styleId="261">
    <w:name w:val="标题 2 Char1"/>
    <w:qFormat/>
    <w:uiPriority w:val="9"/>
    <w:rPr>
      <w:rFonts w:ascii="Cambria" w:hAnsi="Cambria" w:eastAsia="宋体" w:cs="Times New Roman"/>
      <w:b/>
      <w:bCs/>
      <w:sz w:val="32"/>
      <w:szCs w:val="32"/>
    </w:rPr>
  </w:style>
  <w:style w:type="character" w:customStyle="1" w:styleId="262">
    <w:name w:val="书籍标题2"/>
    <w:qFormat/>
    <w:uiPriority w:val="33"/>
    <w:rPr>
      <w:b/>
      <w:bCs/>
      <w:smallCaps/>
      <w:spacing w:val="5"/>
    </w:rPr>
  </w:style>
  <w:style w:type="character" w:customStyle="1" w:styleId="263">
    <w:name w:val="black0001"/>
    <w:qFormat/>
    <w:uiPriority w:val="0"/>
    <w:rPr>
      <w:b/>
      <w:bCs/>
      <w:color w:val="000000"/>
      <w:sz w:val="20"/>
      <w:szCs w:val="20"/>
    </w:rPr>
  </w:style>
  <w:style w:type="character" w:customStyle="1" w:styleId="264">
    <w:name w:val="large"/>
    <w:qFormat/>
    <w:uiPriority w:val="0"/>
  </w:style>
  <w:style w:type="character" w:customStyle="1" w:styleId="265">
    <w:name w:val="个人撰写风格"/>
    <w:qFormat/>
    <w:uiPriority w:val="0"/>
    <w:rPr>
      <w:rFonts w:ascii="Arial" w:hAnsi="Arial" w:eastAsia="宋体"/>
      <w:color w:val="auto"/>
      <w:sz w:val="20"/>
    </w:rPr>
  </w:style>
  <w:style w:type="character" w:customStyle="1" w:styleId="266">
    <w:name w:val="个人答复风格"/>
    <w:qFormat/>
    <w:uiPriority w:val="0"/>
    <w:rPr>
      <w:rFonts w:ascii="Arial" w:hAnsi="Arial" w:eastAsia="宋体"/>
      <w:color w:val="auto"/>
      <w:sz w:val="20"/>
    </w:rPr>
  </w:style>
  <w:style w:type="character" w:customStyle="1" w:styleId="267">
    <w:name w:val="发布"/>
    <w:qFormat/>
    <w:uiPriority w:val="0"/>
    <w:rPr>
      <w:rFonts w:ascii="黑体" w:eastAsia="黑体"/>
      <w:spacing w:val="22"/>
      <w:w w:val="100"/>
      <w:position w:val="3"/>
      <w:sz w:val="28"/>
    </w:rPr>
  </w:style>
  <w:style w:type="character" w:customStyle="1" w:styleId="268">
    <w:name w:val="段 Char"/>
    <w:link w:val="269"/>
    <w:qFormat/>
    <w:uiPriority w:val="0"/>
    <w:rPr>
      <w:rFonts w:ascii="宋体"/>
      <w:sz w:val="21"/>
    </w:rPr>
  </w:style>
  <w:style w:type="paragraph" w:customStyle="1" w:styleId="269">
    <w:name w:val="段"/>
    <w:link w:val="268"/>
    <w:qFormat/>
    <w:uiPriority w:val="0"/>
    <w:pPr>
      <w:ind w:firstLine="200" w:firstLineChars="200"/>
      <w:jc w:val="both"/>
    </w:pPr>
    <w:rPr>
      <w:rFonts w:ascii="宋体" w:hAnsi="Times New Roman" w:eastAsia="宋体" w:cs="Times New Roman"/>
      <w:sz w:val="21"/>
      <w:lang w:val="en-US" w:eastAsia="zh-CN" w:bidi="ar-SA"/>
    </w:rPr>
  </w:style>
  <w:style w:type="character" w:customStyle="1" w:styleId="270">
    <w:name w:val="二级条标题 Char"/>
    <w:link w:val="271"/>
    <w:qFormat/>
    <w:uiPriority w:val="0"/>
    <w:rPr>
      <w:rFonts w:ascii="黑体" w:eastAsia="黑体"/>
      <w:b/>
      <w:sz w:val="21"/>
    </w:rPr>
  </w:style>
  <w:style w:type="paragraph" w:customStyle="1" w:styleId="271">
    <w:name w:val="二级条标题"/>
    <w:basedOn w:val="272"/>
    <w:next w:val="269"/>
    <w:link w:val="270"/>
    <w:qFormat/>
    <w:uiPriority w:val="0"/>
    <w:pPr>
      <w:tabs>
        <w:tab w:val="left" w:pos="360"/>
        <w:tab w:val="left" w:pos="420"/>
        <w:tab w:val="left" w:pos="525"/>
        <w:tab w:val="left" w:pos="720"/>
      </w:tabs>
      <w:outlineLvl w:val="3"/>
    </w:pPr>
  </w:style>
  <w:style w:type="paragraph" w:customStyle="1" w:styleId="272">
    <w:name w:val="一级条标题"/>
    <w:basedOn w:val="273"/>
    <w:next w:val="269"/>
    <w:qFormat/>
    <w:uiPriority w:val="0"/>
    <w:pPr>
      <w:numPr>
        <w:ilvl w:val="0"/>
        <w:numId w:val="0"/>
      </w:numPr>
      <w:tabs>
        <w:tab w:val="left" w:pos="360"/>
        <w:tab w:val="left" w:pos="420"/>
        <w:tab w:val="left" w:pos="525"/>
      </w:tabs>
      <w:spacing w:beforeLines="0" w:afterLines="0"/>
      <w:outlineLvl w:val="2"/>
    </w:pPr>
  </w:style>
  <w:style w:type="paragraph" w:customStyle="1" w:styleId="273">
    <w:name w:val="章标题"/>
    <w:next w:val="269"/>
    <w:qFormat/>
    <w:uiPriority w:val="0"/>
    <w:pPr>
      <w:numPr>
        <w:ilvl w:val="1"/>
        <w:numId w:val="4"/>
      </w:numPr>
      <w:tabs>
        <w:tab w:val="left" w:pos="360"/>
        <w:tab w:val="left" w:pos="420"/>
      </w:tabs>
      <w:spacing w:beforeLines="50" w:afterLines="50"/>
      <w:jc w:val="both"/>
      <w:outlineLvl w:val="1"/>
    </w:pPr>
    <w:rPr>
      <w:rFonts w:ascii="黑体" w:hAnsi="Times New Roman" w:eastAsia="黑体" w:cs="Times New Roman"/>
      <w:b/>
      <w:sz w:val="21"/>
      <w:lang w:val="en-US" w:eastAsia="zh-CN" w:bidi="ar-SA"/>
    </w:rPr>
  </w:style>
  <w:style w:type="character" w:customStyle="1" w:styleId="274">
    <w:name w:val="px14"/>
    <w:qFormat/>
    <w:uiPriority w:val="0"/>
  </w:style>
  <w:style w:type="character" w:customStyle="1" w:styleId="275">
    <w:name w:val="样式 样式 样式 标题 2 + 段前: 0.5 行 段后: 0.5 行 + 段前: 0.5 行 段后: 0.5 行 + (西文)... Char"/>
    <w:link w:val="276"/>
    <w:qFormat/>
    <w:uiPriority w:val="0"/>
    <w:rPr>
      <w:rFonts w:ascii="宋体" w:hAnsi="宋体" w:cs="宋体"/>
      <w:b/>
      <w:bCs/>
      <w:kern w:val="2"/>
      <w:sz w:val="28"/>
    </w:rPr>
  </w:style>
  <w:style w:type="paragraph" w:customStyle="1" w:styleId="276">
    <w:name w:val="样式 样式 样式 标题 2 + 段前: 0.5 行 段后: 0.5 行 + 段前: 0.5 行 段后: 0.5 行 + (西文)..."/>
    <w:basedOn w:val="1"/>
    <w:link w:val="275"/>
    <w:qFormat/>
    <w:uiPriority w:val="0"/>
    <w:pPr>
      <w:keepNext/>
      <w:keepLines/>
      <w:tabs>
        <w:tab w:val="left" w:pos="0"/>
      </w:tabs>
      <w:spacing w:beforeLines="50" w:afterLines="50"/>
      <w:jc w:val="left"/>
      <w:outlineLvl w:val="1"/>
    </w:pPr>
    <w:rPr>
      <w:rFonts w:ascii="宋体" w:hAnsi="宋体" w:cs="宋体"/>
      <w:b/>
      <w:bCs/>
      <w:sz w:val="28"/>
      <w:szCs w:val="20"/>
    </w:rPr>
  </w:style>
  <w:style w:type="character" w:customStyle="1" w:styleId="277">
    <w:name w:val="style15"/>
    <w:qFormat/>
    <w:uiPriority w:val="0"/>
  </w:style>
  <w:style w:type="character" w:customStyle="1" w:styleId="278">
    <w:name w:val="·段落 Char"/>
    <w:link w:val="279"/>
    <w:qFormat/>
    <w:uiPriority w:val="0"/>
  </w:style>
  <w:style w:type="paragraph" w:customStyle="1" w:styleId="279">
    <w:name w:val="·段落"/>
    <w:basedOn w:val="1"/>
    <w:link w:val="278"/>
    <w:qFormat/>
    <w:uiPriority w:val="0"/>
    <w:pPr>
      <w:ind w:firstLine="420" w:firstLineChars="200"/>
    </w:pPr>
    <w:rPr>
      <w:rFonts w:ascii="Times New Roman" w:hAnsi="Times New Roman"/>
      <w:kern w:val="0"/>
      <w:sz w:val="20"/>
      <w:szCs w:val="20"/>
    </w:rPr>
  </w:style>
  <w:style w:type="character" w:customStyle="1" w:styleId="280">
    <w:name w:val="正文格式 Char"/>
    <w:link w:val="281"/>
    <w:qFormat/>
    <w:locked/>
    <w:uiPriority w:val="0"/>
    <w:rPr>
      <w:rFonts w:ascii="宋体" w:hAnsi="宋体"/>
      <w:bCs/>
      <w:szCs w:val="21"/>
    </w:rPr>
  </w:style>
  <w:style w:type="paragraph" w:customStyle="1" w:styleId="281">
    <w:name w:val="正文格式"/>
    <w:basedOn w:val="1"/>
    <w:link w:val="280"/>
    <w:qFormat/>
    <w:uiPriority w:val="0"/>
    <w:pPr>
      <w:topLinePunct/>
      <w:ind w:firstLine="420" w:firstLineChars="200"/>
    </w:pPr>
    <w:rPr>
      <w:rFonts w:ascii="宋体" w:hAnsi="宋体"/>
      <w:bCs/>
      <w:kern w:val="0"/>
      <w:sz w:val="20"/>
      <w:szCs w:val="21"/>
    </w:rPr>
  </w:style>
  <w:style w:type="character" w:customStyle="1" w:styleId="282">
    <w:name w:val="navtiao"/>
    <w:qFormat/>
    <w:uiPriority w:val="0"/>
    <w:rPr>
      <w:b/>
      <w:bCs/>
    </w:rPr>
  </w:style>
  <w:style w:type="paragraph" w:customStyle="1" w:styleId="283">
    <w:name w:val="样式 宋体 行距: 1.5 倍行距"/>
    <w:basedOn w:val="1"/>
    <w:qFormat/>
    <w:uiPriority w:val="0"/>
    <w:pPr>
      <w:jc w:val="center"/>
    </w:pPr>
    <w:rPr>
      <w:rFonts w:ascii="Times New Roman" w:hAnsi="Times New Roman"/>
      <w:b/>
    </w:rPr>
  </w:style>
  <w:style w:type="paragraph" w:customStyle="1" w:styleId="284">
    <w:name w:val="WPSOffice手动目录 1"/>
    <w:qFormat/>
    <w:uiPriority w:val="0"/>
    <w:rPr>
      <w:rFonts w:ascii="Times New Roman" w:hAnsi="Times New Roman" w:eastAsia="宋体" w:cs="Times New Roman"/>
      <w:lang w:val="en-US" w:eastAsia="zh-CN" w:bidi="ar-SA"/>
    </w:rPr>
  </w:style>
  <w:style w:type="paragraph" w:customStyle="1" w:styleId="28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8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87">
    <w:name w:val="页脚 New New New New New New New New New New New New New New New New New New New"/>
    <w:basedOn w:val="1"/>
    <w:qFormat/>
    <w:uiPriority w:val="0"/>
    <w:pPr>
      <w:tabs>
        <w:tab w:val="center" w:pos="4153"/>
        <w:tab w:val="right" w:pos="8306"/>
      </w:tabs>
      <w:snapToGrid w:val="0"/>
      <w:jc w:val="left"/>
    </w:pPr>
    <w:rPr>
      <w:rFonts w:ascii="Times New Roman" w:hAnsi="Times New Roman"/>
      <w:sz w:val="18"/>
      <w:szCs w:val="18"/>
    </w:rPr>
  </w:style>
  <w:style w:type="paragraph" w:customStyle="1" w:styleId="288">
    <w:name w:val="标准书眉_偶数页"/>
    <w:basedOn w:val="289"/>
    <w:next w:val="1"/>
    <w:qFormat/>
    <w:uiPriority w:val="0"/>
    <w:pPr>
      <w:tabs>
        <w:tab w:val="center" w:pos="4154"/>
        <w:tab w:val="right" w:pos="8306"/>
      </w:tabs>
    </w:pPr>
  </w:style>
  <w:style w:type="paragraph" w:customStyle="1" w:styleId="28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90">
    <w:name w:val="批注文字1"/>
    <w:basedOn w:val="1"/>
    <w:qFormat/>
    <w:uiPriority w:val="0"/>
    <w:pPr>
      <w:suppressAutoHyphens/>
      <w:jc w:val="left"/>
    </w:pPr>
    <w:rPr>
      <w:rFonts w:ascii="Times New Roman" w:hAnsi="Times New Roman"/>
      <w:szCs w:val="20"/>
      <w:lang w:eastAsia="ar-SA"/>
    </w:rPr>
  </w:style>
  <w:style w:type="paragraph" w:customStyle="1" w:styleId="291">
    <w:name w:val="文档结构图1"/>
    <w:basedOn w:val="1"/>
    <w:qFormat/>
    <w:uiPriority w:val="0"/>
    <w:pPr>
      <w:shd w:val="clear" w:color="auto" w:fill="000080"/>
      <w:suppressAutoHyphens/>
    </w:pPr>
    <w:rPr>
      <w:rFonts w:ascii="Times New Roman" w:hAnsi="Times New Roman"/>
      <w:szCs w:val="20"/>
      <w:lang w:eastAsia="ar-SA"/>
    </w:rPr>
  </w:style>
  <w:style w:type="paragraph" w:customStyle="1" w:styleId="292">
    <w:name w:val="11 样式"/>
    <w:basedOn w:val="1"/>
    <w:qFormat/>
    <w:uiPriority w:val="0"/>
    <w:pPr>
      <w:keepNext/>
      <w:widowControl/>
      <w:spacing w:before="240" w:after="240" w:line="360" w:lineRule="auto"/>
      <w:jc w:val="left"/>
      <w:outlineLvl w:val="2"/>
    </w:pPr>
    <w:rPr>
      <w:rFonts w:ascii="Cambria" w:hAnsi="Cambria" w:eastAsia="黑体" w:cs="宋体"/>
      <w:b/>
      <w:bCs/>
      <w:kern w:val="0"/>
      <w:sz w:val="30"/>
      <w:szCs w:val="20"/>
      <w:lang w:eastAsia="en-US" w:bidi="en-US"/>
    </w:rPr>
  </w:style>
  <w:style w:type="paragraph" w:customStyle="1" w:styleId="293">
    <w:name w:val="附录二级条标题"/>
    <w:basedOn w:val="294"/>
    <w:next w:val="269"/>
    <w:qFormat/>
    <w:uiPriority w:val="0"/>
    <w:pPr>
      <w:outlineLvl w:val="3"/>
    </w:pPr>
  </w:style>
  <w:style w:type="paragraph" w:customStyle="1" w:styleId="294">
    <w:name w:val="附录一级条标题"/>
    <w:basedOn w:val="295"/>
    <w:next w:val="269"/>
    <w:qFormat/>
    <w:uiPriority w:val="0"/>
    <w:pPr>
      <w:autoSpaceDN w:val="0"/>
      <w:spacing w:beforeLines="0" w:afterLines="0"/>
      <w:outlineLvl w:val="2"/>
    </w:pPr>
  </w:style>
  <w:style w:type="paragraph" w:customStyle="1" w:styleId="295">
    <w:name w:val="附录章标题"/>
    <w:next w:val="269"/>
    <w:qFormat/>
    <w:uiPriority w:val="0"/>
    <w:pPr>
      <w:wordWrap w:val="0"/>
      <w:overflowPunct w:val="0"/>
      <w:autoSpaceDE w:val="0"/>
      <w:spacing w:beforeLines="50" w:afterLines="50"/>
      <w:jc w:val="both"/>
      <w:textAlignment w:val="baseline"/>
      <w:outlineLvl w:val="1"/>
    </w:pPr>
    <w:rPr>
      <w:rFonts w:ascii="黑体" w:hAnsi="Times New Roman" w:eastAsia="黑体" w:cs="Times New Roman"/>
      <w:b/>
      <w:kern w:val="21"/>
      <w:sz w:val="21"/>
      <w:lang w:val="en-US" w:eastAsia="zh-CN" w:bidi="ar-SA"/>
    </w:rPr>
  </w:style>
  <w:style w:type="paragraph" w:customStyle="1" w:styleId="296">
    <w:name w:val="日期1"/>
    <w:basedOn w:val="1"/>
    <w:next w:val="1"/>
    <w:qFormat/>
    <w:uiPriority w:val="0"/>
    <w:pPr>
      <w:suppressAutoHyphens/>
      <w:ind w:left="100"/>
    </w:pPr>
    <w:rPr>
      <w:rFonts w:ascii="Times New Roman" w:hAnsi="Times New Roman"/>
      <w:szCs w:val="20"/>
      <w:lang w:eastAsia="ar-SA"/>
    </w:rPr>
  </w:style>
  <w:style w:type="paragraph" w:customStyle="1" w:styleId="297">
    <w:name w:val="样式 正文缩进正文（首行缩进两字）特点ALT+Z表正文正文非缩进四号段1Normal Indent Char2...2"/>
    <w:basedOn w:val="5"/>
    <w:qFormat/>
    <w:uiPriority w:val="0"/>
    <w:pPr>
      <w:keepNext/>
      <w:keepLines/>
      <w:widowControl w:val="0"/>
      <w:tabs>
        <w:tab w:val="left" w:pos="1680"/>
      </w:tabs>
      <w:spacing w:before="360" w:beforeAutospacing="0" w:after="120" w:afterAutospacing="0" w:line="360" w:lineRule="auto"/>
      <w:ind w:left="1680" w:hanging="420"/>
      <w:jc w:val="center"/>
    </w:pPr>
    <w:rPr>
      <w:rFonts w:cs="Times New Roman"/>
      <w:color w:val="FF0000"/>
      <w:kern w:val="2"/>
      <w:sz w:val="28"/>
      <w:szCs w:val="20"/>
      <w:lang w:val="zh-CN"/>
    </w:rPr>
  </w:style>
  <w:style w:type="paragraph" w:customStyle="1" w:styleId="298">
    <w:name w:val="样式 标题 1 + 黑体 三号 非加粗 居中 段前: 6 磅 段后: 6 磅 行距: 固定值 20 磅"/>
    <w:basedOn w:val="3"/>
    <w:qFormat/>
    <w:uiPriority w:val="0"/>
    <w:pPr>
      <w:spacing w:line="400" w:lineRule="exact"/>
      <w:jc w:val="both"/>
    </w:pPr>
    <w:rPr>
      <w:rFonts w:hint="eastAsia" w:ascii="黑体" w:hAnsi="黑体" w:eastAsia="黑体" w:cs="宋体"/>
      <w:sz w:val="32"/>
      <w:szCs w:val="20"/>
    </w:rPr>
  </w:style>
  <w:style w:type="paragraph" w:customStyle="1" w:styleId="299">
    <w:name w:val="Char14"/>
    <w:basedOn w:val="17"/>
    <w:qFormat/>
    <w:uiPriority w:val="0"/>
    <w:rPr>
      <w:rFonts w:ascii="Tahoma" w:hAnsi="Tahoma"/>
      <w:sz w:val="24"/>
      <w:szCs w:val="24"/>
      <w:shd w:val="clear" w:color="auto" w:fill="000080"/>
    </w:rPr>
  </w:style>
  <w:style w:type="paragraph" w:customStyle="1" w:styleId="300">
    <w:name w:val="正文横线悬挂缩进"/>
    <w:basedOn w:val="1"/>
    <w:qFormat/>
    <w:uiPriority w:val="0"/>
    <w:pPr>
      <w:adjustRightInd w:val="0"/>
      <w:spacing w:line="312" w:lineRule="atLeast"/>
      <w:ind w:left="1162" w:hanging="255"/>
      <w:textAlignment w:val="baseline"/>
    </w:pPr>
    <w:rPr>
      <w:rFonts w:ascii="宋体" w:hAnsi="Arial"/>
      <w:kern w:val="0"/>
      <w:sz w:val="24"/>
      <w:szCs w:val="20"/>
    </w:rPr>
  </w:style>
  <w:style w:type="paragraph" w:customStyle="1" w:styleId="301">
    <w:name w:val="文提"/>
    <w:basedOn w:val="167"/>
    <w:qFormat/>
    <w:uiPriority w:val="0"/>
    <w:pPr>
      <w:ind w:firstLine="0" w:firstLineChars="0"/>
    </w:pPr>
    <w:rPr>
      <w:rFonts w:ascii="宋体" w:hAnsi="宋体" w:eastAsia="黑体" w:cs="宋体"/>
      <w:b/>
      <w:kern w:val="0"/>
    </w:rPr>
  </w:style>
  <w:style w:type="paragraph" w:customStyle="1" w:styleId="302">
    <w:name w:val="简单回函地址"/>
    <w:basedOn w:val="1"/>
    <w:qFormat/>
    <w:uiPriority w:val="0"/>
    <w:rPr>
      <w:rFonts w:ascii="Times New Roman" w:hAnsi="Times New Roman"/>
      <w:sz w:val="24"/>
      <w:szCs w:val="24"/>
    </w:rPr>
  </w:style>
  <w:style w:type="paragraph" w:customStyle="1" w:styleId="303">
    <w:name w:val="空半行"/>
    <w:basedOn w:val="1"/>
    <w:qFormat/>
    <w:uiPriority w:val="0"/>
    <w:pPr>
      <w:adjustRightInd w:val="0"/>
      <w:spacing w:line="120" w:lineRule="exact"/>
      <w:textAlignment w:val="baseline"/>
    </w:pPr>
    <w:rPr>
      <w:rFonts w:ascii="Times New Roman" w:hAnsi="Times New Roman" w:eastAsia="仿宋_GB2312"/>
      <w:color w:val="FFFFFF"/>
      <w:kern w:val="0"/>
      <w:sz w:val="30"/>
      <w:szCs w:val="20"/>
    </w:rPr>
  </w:style>
  <w:style w:type="paragraph" w:customStyle="1" w:styleId="304">
    <w:name w:val="默认段落字体 Para Char Char Char Char Char Char Char"/>
    <w:basedOn w:val="1"/>
    <w:qFormat/>
    <w:uiPriority w:val="0"/>
    <w:pPr>
      <w:spacing w:line="360" w:lineRule="auto"/>
    </w:pPr>
    <w:rPr>
      <w:rFonts w:ascii="Tahoma" w:hAnsi="Tahoma"/>
      <w:sz w:val="24"/>
      <w:szCs w:val="20"/>
    </w:rPr>
  </w:style>
  <w:style w:type="paragraph" w:customStyle="1" w:styleId="30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06">
    <w:name w:val="表格标题"/>
    <w:basedOn w:val="307"/>
    <w:qFormat/>
    <w:uiPriority w:val="0"/>
    <w:pPr>
      <w:jc w:val="center"/>
    </w:pPr>
    <w:rPr>
      <w:b/>
      <w:bCs/>
    </w:rPr>
  </w:style>
  <w:style w:type="paragraph" w:customStyle="1" w:styleId="307">
    <w:name w:val="表格内容"/>
    <w:basedOn w:val="1"/>
    <w:qFormat/>
    <w:uiPriority w:val="0"/>
    <w:pPr>
      <w:suppressLineNumbers/>
      <w:suppressAutoHyphens/>
    </w:pPr>
    <w:rPr>
      <w:rFonts w:ascii="Times New Roman" w:hAnsi="Times New Roman"/>
      <w:szCs w:val="20"/>
      <w:lang w:eastAsia="ar-SA"/>
    </w:rPr>
  </w:style>
  <w:style w:type="paragraph" w:customStyle="1" w:styleId="308">
    <w:name w:val="正文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09">
    <w:name w:val="文档结构图3"/>
    <w:basedOn w:val="1"/>
    <w:qFormat/>
    <w:uiPriority w:val="0"/>
    <w:pPr>
      <w:shd w:val="clear" w:color="auto" w:fill="000080"/>
    </w:pPr>
    <w:rPr>
      <w:rFonts w:ascii="Times New Roman" w:hAnsi="Times New Roman"/>
      <w:sz w:val="30"/>
      <w:szCs w:val="24"/>
    </w:rPr>
  </w:style>
  <w:style w:type="paragraph" w:customStyle="1" w:styleId="310">
    <w:name w:val="工程建设条标题"/>
    <w:basedOn w:val="311"/>
    <w:next w:val="269"/>
    <w:qFormat/>
    <w:uiPriority w:val="0"/>
  </w:style>
  <w:style w:type="paragraph" w:customStyle="1" w:styleId="311">
    <w:name w:val="工程建设节标题"/>
    <w:basedOn w:val="312"/>
    <w:next w:val="269"/>
    <w:qFormat/>
    <w:uiPriority w:val="0"/>
    <w:pPr>
      <w:spacing w:before="400" w:after="400" w:line="240" w:lineRule="auto"/>
      <w:outlineLvl w:val="2"/>
    </w:pPr>
    <w:rPr>
      <w:sz w:val="21"/>
    </w:rPr>
  </w:style>
  <w:style w:type="paragraph" w:customStyle="1" w:styleId="312">
    <w:name w:val="工程建设章标题"/>
    <w:next w:val="269"/>
    <w:qFormat/>
    <w:uiPriority w:val="0"/>
    <w:p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13">
    <w:name w:val="标签"/>
    <w:basedOn w:val="1"/>
    <w:qFormat/>
    <w:uiPriority w:val="0"/>
    <w:pPr>
      <w:suppressLineNumbers/>
      <w:suppressAutoHyphens/>
      <w:spacing w:before="120" w:after="120"/>
    </w:pPr>
    <w:rPr>
      <w:rFonts w:ascii="Times New Roman" w:hAnsi="Times New Roman"/>
      <w:i/>
      <w:iCs/>
      <w:sz w:val="24"/>
      <w:szCs w:val="24"/>
      <w:lang w:eastAsia="ar-SA"/>
    </w:rPr>
  </w:style>
  <w:style w:type="paragraph" w:customStyle="1" w:styleId="314">
    <w:name w:val="Address"/>
    <w:basedOn w:val="1"/>
    <w:next w:val="1"/>
    <w:qFormat/>
    <w:uiPriority w:val="0"/>
    <w:pPr>
      <w:widowControl/>
      <w:autoSpaceDE w:val="0"/>
      <w:autoSpaceDN w:val="0"/>
      <w:adjustRightInd w:val="0"/>
      <w:jc w:val="left"/>
    </w:pPr>
    <w:rPr>
      <w:rFonts w:ascii="Times New Roman" w:hAnsi="Times New Roman"/>
      <w:i/>
      <w:kern w:val="0"/>
      <w:sz w:val="24"/>
      <w:szCs w:val="20"/>
    </w:rPr>
  </w:style>
  <w:style w:type="paragraph" w:customStyle="1" w:styleId="315">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16">
    <w:name w:val="正文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17">
    <w:name w:val="样式3"/>
    <w:basedOn w:val="5"/>
    <w:qFormat/>
    <w:uiPriority w:val="0"/>
    <w:pPr>
      <w:keepNext/>
      <w:keepLines/>
      <w:widowControl w:val="0"/>
      <w:spacing w:before="260" w:beforeAutospacing="0" w:after="260" w:afterAutospacing="0" w:line="412" w:lineRule="auto"/>
      <w:jc w:val="both"/>
    </w:pPr>
    <w:rPr>
      <w:rFonts w:ascii="Calibri" w:hAnsi="Calibri" w:eastAsia="Arial" w:cs="Times New Roman"/>
      <w:bCs/>
      <w:color w:val="FF0000"/>
      <w:kern w:val="2"/>
      <w:sz w:val="32"/>
      <w:szCs w:val="22"/>
      <w:lang w:val="zh-CN"/>
    </w:rPr>
  </w:style>
  <w:style w:type="paragraph" w:customStyle="1" w:styleId="318">
    <w:name w:val="标题 22"/>
    <w:basedOn w:val="1"/>
    <w:qFormat/>
    <w:uiPriority w:val="0"/>
    <w:rPr>
      <w:rFonts w:ascii="Times New Roman" w:hAnsi="Times New Roman"/>
      <w:szCs w:val="24"/>
    </w:rPr>
  </w:style>
  <w:style w:type="paragraph" w:customStyle="1" w:styleId="319">
    <w:name w:val="Char Char Char"/>
    <w:basedOn w:val="1"/>
    <w:qFormat/>
    <w:uiPriority w:val="0"/>
    <w:pPr>
      <w:widowControl/>
      <w:spacing w:before="100" w:beforeAutospacing="1" w:after="100" w:afterAutospacing="1" w:line="330" w:lineRule="atLeast"/>
      <w:ind w:left="360"/>
      <w:jc w:val="left"/>
    </w:pPr>
    <w:rPr>
      <w:rFonts w:ascii="ˎ̥" w:hAnsi="ˎ̥" w:cs="宋体"/>
      <w:color w:val="51585D"/>
      <w:kern w:val="0"/>
      <w:szCs w:val="18"/>
    </w:rPr>
  </w:style>
  <w:style w:type="paragraph" w:customStyle="1" w:styleId="320">
    <w:name w:val="图表文字"/>
    <w:basedOn w:val="1"/>
    <w:qFormat/>
    <w:uiPriority w:val="99"/>
    <w:pPr>
      <w:widowControl/>
      <w:tabs>
        <w:tab w:val="left" w:pos="720"/>
      </w:tabs>
      <w:adjustRightInd w:val="0"/>
      <w:spacing w:before="120" w:after="120"/>
      <w:ind w:left="996" w:hanging="420"/>
      <w:jc w:val="center"/>
    </w:pPr>
    <w:rPr>
      <w:rFonts w:ascii="黑体" w:hAnsi="Times New Roman" w:eastAsia="黑体"/>
      <w:sz w:val="28"/>
      <w:szCs w:val="20"/>
    </w:rPr>
  </w:style>
  <w:style w:type="paragraph" w:customStyle="1" w:styleId="321">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322">
    <w:name w:val="页脚 New New New New New New New New New New New New New New New New New New New New"/>
    <w:basedOn w:val="1"/>
    <w:qFormat/>
    <w:uiPriority w:val="0"/>
    <w:pPr>
      <w:tabs>
        <w:tab w:val="center" w:pos="4153"/>
        <w:tab w:val="right" w:pos="8306"/>
      </w:tabs>
      <w:snapToGrid w:val="0"/>
      <w:jc w:val="left"/>
    </w:pPr>
    <w:rPr>
      <w:rFonts w:ascii="Times New Roman" w:hAnsi="Times New Roman"/>
      <w:sz w:val="18"/>
      <w:szCs w:val="18"/>
    </w:rPr>
  </w:style>
  <w:style w:type="paragraph" w:customStyle="1" w:styleId="323">
    <w:name w:val="名称"/>
    <w:basedOn w:val="324"/>
    <w:next w:val="269"/>
    <w:qFormat/>
    <w:uiPriority w:val="0"/>
    <w:pPr>
      <w:spacing w:line="460" w:lineRule="exact"/>
      <w:outlineLvl w:val="9"/>
    </w:pPr>
  </w:style>
  <w:style w:type="paragraph" w:customStyle="1" w:styleId="324">
    <w:name w:val="前言、引言标题"/>
    <w:next w:val="1"/>
    <w:qFormat/>
    <w:uiPriority w:val="0"/>
    <w:pPr>
      <w:shd w:val="clear" w:color="FFFFFF" w:fill="FFFFFF"/>
      <w:spacing w:before="640" w:after="560"/>
      <w:jc w:val="center"/>
      <w:outlineLvl w:val="0"/>
    </w:pPr>
    <w:rPr>
      <w:rFonts w:ascii="黑体" w:hAnsi="Times New Roman" w:eastAsia="黑体" w:cs="Times New Roman"/>
      <w:b/>
      <w:sz w:val="32"/>
      <w:lang w:val="en-US" w:eastAsia="zh-CN" w:bidi="ar-SA"/>
    </w:rPr>
  </w:style>
  <w:style w:type="paragraph" w:customStyle="1" w:styleId="325">
    <w:name w:val="1 Char"/>
    <w:basedOn w:val="1"/>
    <w:qFormat/>
    <w:uiPriority w:val="0"/>
    <w:pPr>
      <w:widowControl/>
      <w:spacing w:before="100" w:beforeAutospacing="1" w:after="100" w:afterAutospacing="1" w:line="330" w:lineRule="atLeast"/>
      <w:ind w:left="360"/>
      <w:jc w:val="left"/>
    </w:pPr>
    <w:rPr>
      <w:rFonts w:ascii="Times New Roman" w:hAnsi="Times New Roman"/>
      <w:szCs w:val="20"/>
    </w:rPr>
  </w:style>
  <w:style w:type="paragraph" w:customStyle="1" w:styleId="326">
    <w:name w:val="附录三级条标题"/>
    <w:basedOn w:val="293"/>
    <w:next w:val="269"/>
    <w:qFormat/>
    <w:uiPriority w:val="0"/>
    <w:pPr>
      <w:outlineLvl w:val="4"/>
    </w:pPr>
  </w:style>
  <w:style w:type="paragraph" w:customStyle="1" w:styleId="327">
    <w:name w:val="正文2"/>
    <w:qFormat/>
    <w:uiPriority w:val="0"/>
    <w:rPr>
      <w:rFonts w:ascii="Times New Roman" w:hAnsi="Times New Roman" w:eastAsia="Times New Roman" w:cs="Times New Roman"/>
      <w:sz w:val="24"/>
      <w:szCs w:val="24"/>
      <w:lang w:val="en-US" w:eastAsia="zh-CN" w:bidi="ar-SA"/>
    </w:rPr>
  </w:style>
  <w:style w:type="paragraph" w:customStyle="1" w:styleId="328">
    <w:name w:val="工程建设图标题"/>
    <w:basedOn w:val="310"/>
    <w:qFormat/>
    <w:uiPriority w:val="0"/>
    <w:pPr>
      <w:spacing w:before="0" w:after="0"/>
      <w:outlineLvl w:val="5"/>
    </w:pPr>
    <w:rPr>
      <w:b w:val="0"/>
    </w:rPr>
  </w:style>
  <w:style w:type="paragraph" w:customStyle="1" w:styleId="329">
    <w:name w:val="默认段落字体 Para Char"/>
    <w:basedOn w:val="1"/>
    <w:qFormat/>
    <w:uiPriority w:val="0"/>
    <w:pPr>
      <w:spacing w:line="360" w:lineRule="auto"/>
      <w:jc w:val="left"/>
    </w:pPr>
    <w:rPr>
      <w:rFonts w:ascii="Times New Roman" w:hAnsi="Times New Roman" w:eastAsia="仿宋_GB2312"/>
      <w:b/>
      <w:sz w:val="32"/>
      <w:szCs w:val="24"/>
    </w:rPr>
  </w:style>
  <w:style w:type="paragraph" w:customStyle="1" w:styleId="330">
    <w:name w:val="Normal_1"/>
    <w:qFormat/>
    <w:uiPriority w:val="0"/>
    <w:rPr>
      <w:rFonts w:ascii="Times New Roman" w:hAnsi="Times New Roman" w:eastAsia="Times New Roman" w:cs="Times New Roman"/>
      <w:sz w:val="24"/>
      <w:szCs w:val="24"/>
      <w:lang w:val="en-US" w:eastAsia="zh-CN" w:bidi="ar-SA"/>
    </w:rPr>
  </w:style>
  <w:style w:type="paragraph" w:customStyle="1" w:styleId="3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2">
    <w:name w:val="默认段落字体 Para Char Char Char Char Char Char Char Char Char Char Char Char Char Char Char Char Char Char"/>
    <w:basedOn w:val="1"/>
    <w:qFormat/>
    <w:uiPriority w:val="0"/>
    <w:pPr>
      <w:spacing w:line="360" w:lineRule="auto"/>
    </w:pPr>
    <w:rPr>
      <w:rFonts w:ascii="Tahoma" w:hAnsi="Tahoma"/>
      <w:sz w:val="24"/>
      <w:szCs w:val="20"/>
    </w:rPr>
  </w:style>
  <w:style w:type="paragraph" w:customStyle="1" w:styleId="333">
    <w:name w:val="正文文本缩进 33"/>
    <w:basedOn w:val="1"/>
    <w:qFormat/>
    <w:uiPriority w:val="0"/>
    <w:pPr>
      <w:snapToGrid w:val="0"/>
      <w:spacing w:line="360" w:lineRule="auto"/>
      <w:ind w:left="20" w:firstLine="529" w:firstLineChars="189"/>
    </w:pPr>
    <w:rPr>
      <w:rFonts w:ascii="仿宋_GB2312" w:hAnsi="Times New Roman" w:eastAsia="仿宋_GB2312"/>
      <w:sz w:val="28"/>
      <w:szCs w:val="24"/>
    </w:rPr>
  </w:style>
  <w:style w:type="paragraph" w:customStyle="1" w:styleId="334">
    <w:name w:val="Char5 Char Char"/>
    <w:basedOn w:val="1"/>
    <w:qFormat/>
    <w:uiPriority w:val="0"/>
    <w:pPr>
      <w:ind w:left="567" w:hanging="279"/>
    </w:pPr>
    <w:rPr>
      <w:rFonts w:ascii="Times New Roman" w:hAnsi="Times New Roman"/>
      <w:sz w:val="24"/>
      <w:szCs w:val="24"/>
    </w:rPr>
  </w:style>
  <w:style w:type="paragraph" w:customStyle="1" w:styleId="335">
    <w:name w:val="二级类别"/>
    <w:basedOn w:val="1"/>
    <w:qFormat/>
    <w:uiPriority w:val="0"/>
    <w:pPr>
      <w:numPr>
        <w:ilvl w:val="0"/>
        <w:numId w:val="5"/>
      </w:numPr>
      <w:tabs>
        <w:tab w:val="left" w:pos="360"/>
        <w:tab w:val="left" w:pos="840"/>
      </w:tabs>
    </w:pPr>
    <w:rPr>
      <w:rFonts w:ascii="Times New Roman" w:hAnsi="Times New Roman"/>
      <w:szCs w:val="24"/>
    </w:rPr>
  </w:style>
  <w:style w:type="paragraph" w:customStyle="1" w:styleId="336">
    <w:name w:val="示例"/>
    <w:next w:val="269"/>
    <w:qFormat/>
    <w:uiPriority w:val="0"/>
    <w:pPr>
      <w:ind w:firstLine="200" w:firstLineChars="200"/>
      <w:jc w:val="both"/>
    </w:pPr>
    <w:rPr>
      <w:rFonts w:ascii="宋体" w:hAnsi="Times New Roman" w:eastAsia="宋体" w:cs="Times New Roman"/>
      <w:sz w:val="18"/>
      <w:lang w:val="en-US" w:eastAsia="zh-CN" w:bidi="ar-SA"/>
    </w:rPr>
  </w:style>
  <w:style w:type="paragraph" w:customStyle="1" w:styleId="337">
    <w:name w:val="正文文本缩进 32"/>
    <w:basedOn w:val="1"/>
    <w:qFormat/>
    <w:uiPriority w:val="0"/>
    <w:pPr>
      <w:snapToGrid w:val="0"/>
      <w:spacing w:line="360" w:lineRule="auto"/>
      <w:ind w:left="20" w:firstLine="529" w:firstLineChars="189"/>
    </w:pPr>
    <w:rPr>
      <w:rFonts w:ascii="仿宋_GB2312" w:hAnsi="Times New Roman" w:eastAsia="仿宋_GB2312"/>
      <w:sz w:val="28"/>
      <w:szCs w:val="24"/>
    </w:rPr>
  </w:style>
  <w:style w:type="paragraph" w:customStyle="1" w:styleId="338">
    <w:name w:val="样式8"/>
    <w:basedOn w:val="1"/>
    <w:qFormat/>
    <w:uiPriority w:val="0"/>
    <w:pPr>
      <w:keepNext/>
      <w:keepLines/>
      <w:widowControl/>
      <w:spacing w:before="260" w:after="260"/>
      <w:jc w:val="center"/>
      <w:outlineLvl w:val="1"/>
    </w:pPr>
    <w:rPr>
      <w:rFonts w:ascii="Arial" w:hAnsi="Arial" w:eastAsia="黑体"/>
      <w:b/>
      <w:bCs/>
      <w:kern w:val="0"/>
      <w:sz w:val="72"/>
      <w:szCs w:val="32"/>
    </w:rPr>
  </w:style>
  <w:style w:type="paragraph" w:customStyle="1" w:styleId="339">
    <w:name w:val="样式 正文缩进正文（首行缩进两字）特点ALT+Z表正文正文非缩进四号段1Normal Indent Char2...1"/>
    <w:basedOn w:val="4"/>
    <w:qFormat/>
    <w:uiPriority w:val="0"/>
    <w:pPr>
      <w:tabs>
        <w:tab w:val="left" w:pos="1260"/>
      </w:tabs>
      <w:spacing w:before="1320" w:after="240" w:line="300" w:lineRule="auto"/>
      <w:ind w:left="1260" w:hanging="420"/>
    </w:pPr>
    <w:rPr>
      <w:rFonts w:hint="eastAsia" w:ascii="黑体" w:hAnsi="黑体" w:eastAsia="黑体" w:cs="宋体"/>
      <w:b w:val="0"/>
      <w:color w:val="auto"/>
      <w:kern w:val="0"/>
      <w:szCs w:val="20"/>
    </w:rPr>
  </w:style>
  <w:style w:type="paragraph" w:customStyle="1" w:styleId="340">
    <w:name w:val="标题 21"/>
    <w:basedOn w:val="1"/>
    <w:qFormat/>
    <w:uiPriority w:val="0"/>
    <w:rPr>
      <w:rFonts w:ascii="Times New Roman" w:hAnsi="Times New Roman"/>
      <w:szCs w:val="24"/>
    </w:rPr>
  </w:style>
  <w:style w:type="paragraph" w:customStyle="1" w:styleId="341">
    <w:name w:val="工程建设表标题"/>
    <w:basedOn w:val="310"/>
    <w:qFormat/>
    <w:uiPriority w:val="0"/>
    <w:pPr>
      <w:spacing w:before="0" w:after="0"/>
      <w:outlineLvl w:val="4"/>
    </w:pPr>
    <w:rPr>
      <w:b w:val="0"/>
    </w:rPr>
  </w:style>
  <w:style w:type="paragraph" w:customStyle="1" w:styleId="342">
    <w:name w:val="正文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43">
    <w:name w:val="_Style 72"/>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4">
    <w:name w:val="ÕýÎÄ"/>
    <w:qFormat/>
    <w:uiPriority w:val="0"/>
    <w:pPr>
      <w:widowControl w:val="0"/>
      <w:overflowPunct w:val="0"/>
      <w:autoSpaceDE w:val="0"/>
      <w:autoSpaceDN w:val="0"/>
      <w:adjustRightInd w:val="0"/>
      <w:spacing w:line="357" w:lineRule="atLeast"/>
      <w:jc w:val="both"/>
    </w:pPr>
    <w:rPr>
      <w:rFonts w:ascii="Times New Roman" w:hAnsi="Times New Roman" w:eastAsia="宋体" w:cs="Times New Roman"/>
      <w:color w:val="000000"/>
      <w:sz w:val="21"/>
      <w:lang w:val="en-US" w:eastAsia="zh-CN" w:bidi="ar-SA"/>
    </w:rPr>
  </w:style>
  <w:style w:type="paragraph" w:customStyle="1" w:styleId="345">
    <w:name w:val="lemo3"/>
    <w:basedOn w:val="1"/>
    <w:qFormat/>
    <w:uiPriority w:val="0"/>
    <w:pPr>
      <w:numPr>
        <w:ilvl w:val="2"/>
        <w:numId w:val="6"/>
      </w:numPr>
    </w:pPr>
    <w:rPr>
      <w:rFonts w:ascii="Times New Roman" w:hAnsi="Times New Roman"/>
      <w:szCs w:val="24"/>
    </w:rPr>
  </w:style>
  <w:style w:type="paragraph" w:customStyle="1" w:styleId="346">
    <w:name w:val="7"/>
    <w:basedOn w:val="1"/>
    <w:qFormat/>
    <w:uiPriority w:val="0"/>
    <w:pPr>
      <w:spacing w:line="360" w:lineRule="auto"/>
    </w:pPr>
    <w:rPr>
      <w:rFonts w:ascii="Tahoma" w:hAnsi="Tahoma"/>
      <w:sz w:val="24"/>
      <w:szCs w:val="20"/>
    </w:rPr>
  </w:style>
  <w:style w:type="paragraph" w:customStyle="1" w:styleId="347">
    <w:name w:val="页脚 New New New New New New New New New New New New"/>
    <w:basedOn w:val="1"/>
    <w:qFormat/>
    <w:uiPriority w:val="0"/>
    <w:pPr>
      <w:tabs>
        <w:tab w:val="center" w:pos="4153"/>
        <w:tab w:val="right" w:pos="8306"/>
      </w:tabs>
      <w:snapToGrid w:val="0"/>
      <w:jc w:val="left"/>
    </w:pPr>
    <w:rPr>
      <w:rFonts w:ascii="Times New Roman" w:hAnsi="Times New Roman"/>
      <w:sz w:val="18"/>
      <w:szCs w:val="18"/>
    </w:rPr>
  </w:style>
  <w:style w:type="paragraph" w:customStyle="1" w:styleId="348">
    <w:name w:val="样式 标题 2节标题一级节名Heading 2 HiddenHeading 2 CCBSheading 2第一章 标..."/>
    <w:basedOn w:val="4"/>
    <w:qFormat/>
    <w:uiPriority w:val="0"/>
    <w:pPr>
      <w:spacing w:line="300" w:lineRule="auto"/>
      <w:ind w:left="57" w:hanging="57"/>
      <w:jc w:val="both"/>
    </w:pPr>
    <w:rPr>
      <w:rFonts w:eastAsia="黑体"/>
      <w:bCs/>
      <w:color w:val="auto"/>
      <w:sz w:val="32"/>
      <w:szCs w:val="20"/>
    </w:rPr>
  </w:style>
  <w:style w:type="paragraph" w:customStyle="1" w:styleId="349">
    <w:name w:val="页脚 New New New New New New New"/>
    <w:basedOn w:val="1"/>
    <w:qFormat/>
    <w:uiPriority w:val="0"/>
    <w:pPr>
      <w:tabs>
        <w:tab w:val="center" w:pos="4153"/>
        <w:tab w:val="right" w:pos="8306"/>
      </w:tabs>
      <w:snapToGrid w:val="0"/>
      <w:jc w:val="left"/>
    </w:pPr>
    <w:rPr>
      <w:rFonts w:ascii="Times New Roman" w:hAnsi="Times New Roman"/>
      <w:sz w:val="18"/>
      <w:szCs w:val="18"/>
    </w:rPr>
  </w:style>
  <w:style w:type="paragraph" w:customStyle="1" w:styleId="350">
    <w:name w:val="页眉 New New"/>
    <w:basedOn w:val="308"/>
    <w:qFormat/>
    <w:uiPriority w:val="0"/>
    <w:pPr>
      <w:pBdr>
        <w:bottom w:val="single" w:color="auto" w:sz="6" w:space="1"/>
      </w:pBdr>
      <w:tabs>
        <w:tab w:val="center" w:pos="4153"/>
        <w:tab w:val="right" w:pos="8306"/>
      </w:tabs>
      <w:snapToGrid w:val="0"/>
      <w:jc w:val="center"/>
    </w:pPr>
    <w:rPr>
      <w:sz w:val="18"/>
    </w:rPr>
  </w:style>
  <w:style w:type="paragraph" w:customStyle="1" w:styleId="351">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352">
    <w:name w:val="样式 标题 3节标题，三级节名二级节名h3Heading 3 - oldlevel_3PIM 3H3Level ...2"/>
    <w:basedOn w:val="5"/>
    <w:qFormat/>
    <w:uiPriority w:val="0"/>
    <w:pPr>
      <w:keepNext/>
      <w:keepLines/>
      <w:widowControl w:val="0"/>
      <w:spacing w:before="120" w:beforeAutospacing="0" w:after="0" w:afterAutospacing="0" w:line="300" w:lineRule="auto"/>
      <w:ind w:left="57" w:hanging="57"/>
      <w:jc w:val="both"/>
    </w:pPr>
    <w:rPr>
      <w:rFonts w:ascii="Arial" w:hAnsi="Arial" w:eastAsia="黑体" w:cs="Times New Roman"/>
      <w:b/>
      <w:bCs/>
      <w:kern w:val="2"/>
      <w:sz w:val="30"/>
      <w:szCs w:val="20"/>
    </w:rPr>
  </w:style>
  <w:style w:type="paragraph" w:customStyle="1" w:styleId="353">
    <w:name w:val="页脚 New New New New New New New New New New New"/>
    <w:basedOn w:val="1"/>
    <w:qFormat/>
    <w:uiPriority w:val="0"/>
    <w:pPr>
      <w:tabs>
        <w:tab w:val="center" w:pos="4153"/>
        <w:tab w:val="right" w:pos="8306"/>
      </w:tabs>
      <w:snapToGrid w:val="0"/>
      <w:jc w:val="left"/>
    </w:pPr>
    <w:rPr>
      <w:rFonts w:ascii="Times New Roman" w:hAnsi="Times New Roman"/>
      <w:sz w:val="18"/>
      <w:szCs w:val="18"/>
    </w:rPr>
  </w:style>
  <w:style w:type="paragraph" w:customStyle="1" w:styleId="354">
    <w:name w:val="正文文本缩进 22"/>
    <w:basedOn w:val="1"/>
    <w:qFormat/>
    <w:uiPriority w:val="0"/>
    <w:pPr>
      <w:spacing w:line="420" w:lineRule="exact"/>
      <w:ind w:firstLine="480"/>
    </w:pPr>
    <w:rPr>
      <w:rFonts w:ascii="Times New Roman" w:hAnsi="Times New Roman"/>
      <w:b/>
      <w:sz w:val="24"/>
      <w:szCs w:val="20"/>
    </w:rPr>
  </w:style>
  <w:style w:type="paragraph" w:customStyle="1" w:styleId="355">
    <w:name w:val="列表项目符号 21"/>
    <w:basedOn w:val="356"/>
    <w:qFormat/>
    <w:uiPriority w:val="0"/>
    <w:pPr>
      <w:widowControl/>
      <w:tabs>
        <w:tab w:val="left" w:pos="360"/>
      </w:tabs>
      <w:spacing w:after="220" w:line="220" w:lineRule="atLeast"/>
      <w:ind w:left="360" w:right="720"/>
      <w:jc w:val="left"/>
    </w:pPr>
  </w:style>
  <w:style w:type="paragraph" w:customStyle="1" w:styleId="356">
    <w:name w:val="列表项目符号1"/>
    <w:basedOn w:val="1"/>
    <w:qFormat/>
    <w:uiPriority w:val="0"/>
    <w:pPr>
      <w:tabs>
        <w:tab w:val="left" w:pos="360"/>
      </w:tabs>
      <w:suppressAutoHyphens/>
    </w:pPr>
    <w:rPr>
      <w:rFonts w:ascii="Times New Roman" w:hAnsi="Times New Roman"/>
      <w:szCs w:val="20"/>
      <w:lang w:eastAsia="ar-SA"/>
    </w:rPr>
  </w:style>
  <w:style w:type="paragraph" w:customStyle="1" w:styleId="357">
    <w:name w:val="msolistparagraph"/>
    <w:basedOn w:val="1"/>
    <w:qFormat/>
    <w:uiPriority w:val="0"/>
    <w:pPr>
      <w:ind w:firstLine="420" w:firstLineChars="200"/>
    </w:pPr>
    <w:rPr>
      <w:rFonts w:ascii="Times New Roman" w:hAnsi="Times New Roman"/>
    </w:rPr>
  </w:style>
  <w:style w:type="paragraph" w:customStyle="1" w:styleId="358">
    <w:name w:val="Char Char Char Char Char Char Char"/>
    <w:basedOn w:val="1"/>
    <w:qFormat/>
    <w:uiPriority w:val="0"/>
    <w:pPr>
      <w:spacing w:line="360" w:lineRule="auto"/>
    </w:pPr>
    <w:rPr>
      <w:rFonts w:ascii="Tahoma" w:hAnsi="Tahoma"/>
      <w:sz w:val="24"/>
      <w:szCs w:val="20"/>
    </w:rPr>
  </w:style>
  <w:style w:type="paragraph" w:customStyle="1" w:styleId="359">
    <w:name w:val="条文脚注"/>
    <w:basedOn w:val="41"/>
    <w:qFormat/>
    <w:uiPriority w:val="0"/>
    <w:pPr>
      <w:tabs>
        <w:tab w:val="left" w:pos="360"/>
      </w:tabs>
      <w:spacing w:line="240" w:lineRule="auto"/>
      <w:ind w:left="200" w:leftChars="200" w:firstLine="0" w:firstLineChars="0"/>
      <w:jc w:val="both"/>
    </w:pPr>
    <w:rPr>
      <w:rFonts w:hAnsi="Times New Roman"/>
      <w:szCs w:val="20"/>
    </w:rPr>
  </w:style>
  <w:style w:type="paragraph" w:customStyle="1" w:styleId="360">
    <w:name w:val="四级条标题"/>
    <w:basedOn w:val="361"/>
    <w:next w:val="269"/>
    <w:qFormat/>
    <w:uiPriority w:val="0"/>
    <w:pPr>
      <w:tabs>
        <w:tab w:val="left" w:pos="360"/>
        <w:tab w:val="left" w:pos="420"/>
        <w:tab w:val="left" w:pos="525"/>
        <w:tab w:val="left" w:pos="945"/>
        <w:tab w:val="left" w:pos="1155"/>
      </w:tabs>
      <w:ind w:left="1021" w:hanging="1021"/>
      <w:outlineLvl w:val="5"/>
    </w:pPr>
  </w:style>
  <w:style w:type="paragraph" w:customStyle="1" w:styleId="361">
    <w:name w:val="三级条标题"/>
    <w:basedOn w:val="271"/>
    <w:next w:val="269"/>
    <w:qFormat/>
    <w:uiPriority w:val="0"/>
    <w:pPr>
      <w:tabs>
        <w:tab w:val="left" w:pos="945"/>
        <w:tab w:val="clear" w:pos="720"/>
      </w:tabs>
      <w:outlineLvl w:val="4"/>
    </w:pPr>
  </w:style>
  <w:style w:type="paragraph" w:customStyle="1" w:styleId="362">
    <w:name w:val="正文文字样式"/>
    <w:basedOn w:val="1"/>
    <w:qFormat/>
    <w:uiPriority w:val="0"/>
    <w:pPr>
      <w:spacing w:line="480" w:lineRule="exact"/>
      <w:ind w:firstLine="480" w:firstLineChars="200"/>
    </w:pPr>
    <w:rPr>
      <w:rFonts w:ascii="Times New Roman" w:hAnsi="Times New Roman"/>
      <w:sz w:val="24"/>
      <w:szCs w:val="24"/>
    </w:rPr>
  </w:style>
  <w:style w:type="paragraph" w:customStyle="1" w:styleId="363">
    <w:name w:val="页脚 New New New New New New New New New New New New New"/>
    <w:basedOn w:val="1"/>
    <w:qFormat/>
    <w:uiPriority w:val="0"/>
    <w:pPr>
      <w:tabs>
        <w:tab w:val="center" w:pos="4153"/>
        <w:tab w:val="right" w:pos="8306"/>
      </w:tabs>
      <w:snapToGrid w:val="0"/>
      <w:jc w:val="left"/>
    </w:pPr>
    <w:rPr>
      <w:rFonts w:ascii="Times New Roman" w:hAnsi="Times New Roman"/>
      <w:sz w:val="18"/>
      <w:szCs w:val="18"/>
    </w:rPr>
  </w:style>
  <w:style w:type="paragraph" w:customStyle="1" w:styleId="364">
    <w:name w:val="五级条标题"/>
    <w:basedOn w:val="360"/>
    <w:next w:val="269"/>
    <w:qFormat/>
    <w:uiPriority w:val="0"/>
    <w:pPr>
      <w:tabs>
        <w:tab w:val="left" w:pos="1407"/>
        <w:tab w:val="clear" w:pos="1155"/>
      </w:tabs>
      <w:ind w:left="0" w:firstLine="0"/>
      <w:outlineLvl w:val="6"/>
    </w:pPr>
  </w:style>
  <w:style w:type="paragraph" w:customStyle="1" w:styleId="365">
    <w:name w:val="_Style 69"/>
    <w:qFormat/>
    <w:uiPriority w:val="0"/>
    <w:rPr>
      <w:rFonts w:ascii="等线" w:hAnsi="等线" w:eastAsia="等线" w:cs="Times New Roman"/>
      <w:lang w:val="en-US" w:eastAsia="zh-CN" w:bidi="ar-SA"/>
    </w:rPr>
  </w:style>
  <w:style w:type="paragraph" w:customStyle="1" w:styleId="366">
    <w:name w:val="样式 小四"/>
    <w:qFormat/>
    <w:uiPriority w:val="0"/>
    <w:pPr>
      <w:widowControl w:val="0"/>
    </w:pPr>
    <w:rPr>
      <w:rFonts w:ascii="宋体" w:hAnsi="Times New Roman" w:eastAsia="宋体" w:cs="Times New Roman"/>
      <w:kern w:val="2"/>
      <w:sz w:val="24"/>
      <w:szCs w:val="21"/>
      <w:lang w:val="en-US" w:eastAsia="zh-CN" w:bidi="ar-SA"/>
    </w:rPr>
  </w:style>
  <w:style w:type="paragraph" w:customStyle="1" w:styleId="367">
    <w:name w:val="Char Char Char Char1"/>
    <w:basedOn w:val="1"/>
    <w:qFormat/>
    <w:uiPriority w:val="0"/>
    <w:pPr>
      <w:widowControl/>
      <w:spacing w:before="100" w:beforeAutospacing="1" w:after="100" w:afterAutospacing="1" w:line="330" w:lineRule="atLeast"/>
      <w:ind w:left="360"/>
      <w:jc w:val="left"/>
    </w:pPr>
    <w:rPr>
      <w:rFonts w:ascii="ˎ̥" w:hAnsi="ˎ̥" w:cs="宋体"/>
      <w:color w:val="51585D"/>
      <w:kern w:val="0"/>
      <w:sz w:val="24"/>
      <w:szCs w:val="18"/>
    </w:rPr>
  </w:style>
  <w:style w:type="paragraph" w:customStyle="1" w:styleId="368">
    <w:name w:val="_标准条文"/>
    <w:basedOn w:val="1"/>
    <w:qFormat/>
    <w:uiPriority w:val="0"/>
    <w:pPr>
      <w:overflowPunct w:val="0"/>
      <w:snapToGrid w:val="0"/>
      <w:spacing w:line="276" w:lineRule="auto"/>
      <w:ind w:firstLine="420" w:firstLineChars="200"/>
    </w:pPr>
    <w:rPr>
      <w:rFonts w:ascii="Arial" w:hAnsi="Arial" w:cs="宋体"/>
      <w:szCs w:val="20"/>
    </w:rPr>
  </w:style>
  <w:style w:type="paragraph" w:customStyle="1" w:styleId="369">
    <w:name w:val="标题3"/>
    <w:basedOn w:val="1"/>
    <w:qFormat/>
    <w:uiPriority w:val="0"/>
    <w:pPr>
      <w:spacing w:beforeLines="50" w:afterLines="50" w:line="300" w:lineRule="exact"/>
    </w:pPr>
    <w:rPr>
      <w:rFonts w:ascii="Times New Roman" w:hAnsi="Times New Roman"/>
      <w:b/>
      <w:bCs/>
      <w:szCs w:val="24"/>
    </w:rPr>
  </w:style>
  <w:style w:type="paragraph" w:customStyle="1" w:styleId="370">
    <w:name w:val="样式 正文首行缩进 + 段前: 0.5 行 段后: 0.5 行"/>
    <w:basedOn w:val="50"/>
    <w:qFormat/>
    <w:uiPriority w:val="0"/>
    <w:pPr>
      <w:spacing w:beforeLines="50" w:afterLines="50" w:line="480" w:lineRule="exact"/>
      <w:ind w:firstLine="0"/>
    </w:pPr>
    <w:rPr>
      <w:rFonts w:ascii="Times New Roman" w:hAnsi="Times New Roman" w:eastAsia="宋体" w:cs="宋体"/>
      <w:sz w:val="24"/>
      <w:szCs w:val="20"/>
    </w:rPr>
  </w:style>
  <w:style w:type="paragraph" w:customStyle="1" w:styleId="371">
    <w:name w:val="四级无标题条"/>
    <w:basedOn w:val="1"/>
    <w:qFormat/>
    <w:uiPriority w:val="0"/>
    <w:rPr>
      <w:rFonts w:ascii="Times New Roman" w:hAnsi="Times New Roman" w:eastAsia="黑体"/>
      <w:b/>
      <w:szCs w:val="20"/>
    </w:rPr>
  </w:style>
  <w:style w:type="paragraph" w:customStyle="1" w:styleId="372">
    <w:name w:val="发布部门"/>
    <w:next w:val="269"/>
    <w:qFormat/>
    <w:uiPriority w:val="0"/>
    <w:pPr>
      <w:jc w:val="center"/>
    </w:pPr>
    <w:rPr>
      <w:rFonts w:ascii="宋体" w:hAnsi="Times New Roman" w:eastAsia="宋体" w:cs="Times New Roman"/>
      <w:b/>
      <w:spacing w:val="20"/>
      <w:w w:val="135"/>
      <w:sz w:val="36"/>
      <w:lang w:val="en-US" w:eastAsia="zh-CN" w:bidi="ar-SA"/>
    </w:rPr>
  </w:style>
  <w:style w:type="paragraph" w:customStyle="1" w:styleId="373">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74">
    <w:name w:val="·居中"/>
    <w:basedOn w:val="1"/>
    <w:next w:val="279"/>
    <w:qFormat/>
    <w:uiPriority w:val="0"/>
    <w:pPr>
      <w:jc w:val="center"/>
    </w:pPr>
    <w:rPr>
      <w:rFonts w:ascii="Times New Roman" w:hAnsi="Times New Roman"/>
      <w:szCs w:val="20"/>
    </w:rPr>
  </w:style>
  <w:style w:type="paragraph" w:customStyle="1" w:styleId="375">
    <w:name w:val="Char Char1 Char"/>
    <w:basedOn w:val="1"/>
    <w:qFormat/>
    <w:uiPriority w:val="0"/>
    <w:pPr>
      <w:spacing w:line="360" w:lineRule="auto"/>
    </w:pPr>
    <w:rPr>
      <w:rFonts w:ascii="Tahoma" w:hAnsi="Tahoma"/>
      <w:sz w:val="24"/>
      <w:szCs w:val="20"/>
    </w:rPr>
  </w:style>
  <w:style w:type="paragraph" w:customStyle="1" w:styleId="376">
    <w:name w:val="标题 3_0"/>
    <w:basedOn w:val="377"/>
    <w:next w:val="378"/>
    <w:qFormat/>
    <w:uiPriority w:val="0"/>
    <w:pPr>
      <w:keepNext/>
      <w:keepLines/>
      <w:spacing w:line="360" w:lineRule="auto"/>
      <w:jc w:val="center"/>
      <w:outlineLvl w:val="2"/>
    </w:pPr>
    <w:rPr>
      <w:rFonts w:ascii="仿宋_GB2312" w:hAnsi="宋体" w:eastAsia="仿宋_GB2312" w:cs="宋体"/>
      <w:b/>
      <w:sz w:val="30"/>
      <w:szCs w:val="30"/>
    </w:rPr>
  </w:style>
  <w:style w:type="paragraph" w:customStyle="1" w:styleId="377">
    <w:name w:val="正文_0"/>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78">
    <w:name w:val="正文缩进_0"/>
    <w:basedOn w:val="377"/>
    <w:qFormat/>
    <w:uiPriority w:val="0"/>
    <w:pPr>
      <w:ind w:firstLine="420"/>
    </w:pPr>
  </w:style>
  <w:style w:type="paragraph" w:customStyle="1" w:styleId="379">
    <w:name w:val="注："/>
    <w:next w:val="269"/>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380">
    <w:name w:val="正文文本缩进2"/>
    <w:basedOn w:val="1"/>
    <w:qFormat/>
    <w:uiPriority w:val="0"/>
    <w:pPr>
      <w:ind w:firstLine="480"/>
    </w:pPr>
    <w:rPr>
      <w:rFonts w:ascii="Times New Roman" w:hAnsi="Times New Roman"/>
      <w:sz w:val="24"/>
      <w:szCs w:val="20"/>
    </w:rPr>
  </w:style>
  <w:style w:type="paragraph" w:customStyle="1" w:styleId="381">
    <w:name w:val="章节二"/>
    <w:basedOn w:val="167"/>
    <w:next w:val="167"/>
    <w:qFormat/>
    <w:uiPriority w:val="0"/>
    <w:pPr>
      <w:spacing w:beforeLines="50" w:line="240" w:lineRule="auto"/>
      <w:ind w:firstLine="0" w:firstLineChars="0"/>
      <w:jc w:val="center"/>
      <w:outlineLvl w:val="1"/>
    </w:pPr>
    <w:rPr>
      <w:rFonts w:ascii="宋体" w:hAnsi="宋体" w:eastAsia="黑体" w:cs="Times New Roman"/>
      <w:b/>
      <w:kern w:val="0"/>
      <w:sz w:val="30"/>
      <w:szCs w:val="30"/>
    </w:rPr>
  </w:style>
  <w:style w:type="paragraph" w:customStyle="1" w:styleId="382">
    <w:name w:val="封面标准号2"/>
    <w:basedOn w:val="305"/>
    <w:qFormat/>
    <w:uiPriority w:val="0"/>
    <w:pPr>
      <w:adjustRightInd w:val="0"/>
      <w:spacing w:before="357" w:line="280" w:lineRule="exact"/>
    </w:pPr>
  </w:style>
  <w:style w:type="paragraph" w:customStyle="1" w:styleId="383">
    <w:name w:val="目次、标准名称标题"/>
    <w:basedOn w:val="324"/>
    <w:next w:val="269"/>
    <w:qFormat/>
    <w:uiPriority w:val="0"/>
    <w:pPr>
      <w:spacing w:line="460" w:lineRule="exact"/>
      <w:outlineLvl w:val="9"/>
    </w:pPr>
  </w:style>
  <w:style w:type="paragraph" w:customStyle="1" w:styleId="384">
    <w:name w:val="正文缩进3"/>
    <w:basedOn w:val="1"/>
    <w:qFormat/>
    <w:uiPriority w:val="0"/>
    <w:pPr>
      <w:ind w:firstLine="420" w:firstLineChars="200"/>
    </w:pPr>
    <w:rPr>
      <w:rFonts w:ascii="Times New Roman" w:hAnsi="Times New Roman"/>
      <w:sz w:val="30"/>
      <w:szCs w:val="24"/>
    </w:rPr>
  </w:style>
  <w:style w:type="paragraph" w:customStyle="1" w:styleId="385">
    <w:name w:val="Char5 Char Char Char Char Char Char Char Char Char Char Char Char Char Char Char Char Char Char Char Char1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86">
    <w:name w:val="文档结构图2"/>
    <w:basedOn w:val="1"/>
    <w:qFormat/>
    <w:uiPriority w:val="0"/>
    <w:pPr>
      <w:shd w:val="clear" w:color="auto" w:fill="000080"/>
    </w:pPr>
    <w:rPr>
      <w:rFonts w:ascii="Times New Roman" w:hAnsi="Times New Roman"/>
      <w:sz w:val="30"/>
      <w:szCs w:val="24"/>
    </w:rPr>
  </w:style>
  <w:style w:type="paragraph" w:customStyle="1" w:styleId="387">
    <w:name w:val="目录"/>
    <w:basedOn w:val="1"/>
    <w:qFormat/>
    <w:uiPriority w:val="0"/>
    <w:pPr>
      <w:suppressLineNumbers/>
      <w:suppressAutoHyphens/>
    </w:pPr>
    <w:rPr>
      <w:rFonts w:ascii="Times New Roman" w:hAnsi="Times New Roman"/>
      <w:szCs w:val="20"/>
      <w:lang w:eastAsia="ar-SA"/>
    </w:rPr>
  </w:style>
  <w:style w:type="paragraph" w:customStyle="1" w:styleId="388">
    <w:name w:val="样式 标题 1h1H1Title1Normal + Font: HelveticaBoldSpace Before ..."/>
    <w:basedOn w:val="1"/>
    <w:qFormat/>
    <w:uiPriority w:val="0"/>
    <w:pPr>
      <w:numPr>
        <w:ilvl w:val="0"/>
        <w:numId w:val="6"/>
      </w:numPr>
    </w:pPr>
    <w:rPr>
      <w:rFonts w:ascii="Times New Roman" w:hAnsi="Times New Roman"/>
      <w:szCs w:val="24"/>
    </w:rPr>
  </w:style>
  <w:style w:type="paragraph" w:customStyle="1" w:styleId="389">
    <w:name w:val="访问过的超链接1"/>
    <w:basedOn w:val="1"/>
    <w:qFormat/>
    <w:uiPriority w:val="0"/>
    <w:rPr>
      <w:rFonts w:ascii="仿宋_GB2312" w:hAnsi="Times New Roman"/>
      <w:szCs w:val="32"/>
    </w:rPr>
  </w:style>
  <w:style w:type="paragraph" w:customStyle="1" w:styleId="390">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391">
    <w:name w:val="2 Char Char Char Char Char Char Char Char Char Char"/>
    <w:basedOn w:val="17"/>
    <w:qFormat/>
    <w:uiPriority w:val="0"/>
    <w:rPr>
      <w:rFonts w:ascii="Tahoma" w:hAnsi="Tahoma"/>
      <w:sz w:val="24"/>
      <w:szCs w:val="24"/>
    </w:rPr>
  </w:style>
  <w:style w:type="paragraph" w:customStyle="1" w:styleId="392">
    <w:name w:val="条文说明"/>
    <w:basedOn w:val="323"/>
    <w:qFormat/>
    <w:uiPriority w:val="0"/>
  </w:style>
  <w:style w:type="paragraph" w:customStyle="1" w:styleId="393">
    <w:name w:val="正文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94">
    <w:name w:val="Char13 Char Char Char Char Char"/>
    <w:basedOn w:val="1"/>
    <w:qFormat/>
    <w:uiPriority w:val="0"/>
    <w:pPr>
      <w:ind w:left="567" w:hanging="279"/>
    </w:pPr>
    <w:rPr>
      <w:rFonts w:ascii="Times New Roman" w:hAnsi="Times New Roman"/>
      <w:kern w:val="0"/>
      <w:sz w:val="20"/>
      <w:szCs w:val="20"/>
    </w:rPr>
  </w:style>
  <w:style w:type="paragraph" w:customStyle="1" w:styleId="395">
    <w:name w:val="正文 New New New New New New New New New New New New New New"/>
    <w:qFormat/>
    <w:uiPriority w:val="0"/>
    <w:pPr>
      <w:widowControl w:val="0"/>
      <w:jc w:val="both"/>
    </w:pPr>
    <w:rPr>
      <w:rFonts w:ascii="Calibri" w:hAnsi="Calibri" w:eastAsia="楷体_GB2312" w:cs="Times New Roman"/>
      <w:kern w:val="2"/>
      <w:sz w:val="21"/>
      <w:lang w:val="en-US" w:eastAsia="zh-CN" w:bidi="ar-SA"/>
    </w:rPr>
  </w:style>
  <w:style w:type="paragraph" w:customStyle="1" w:styleId="396">
    <w:name w:val="文二"/>
    <w:basedOn w:val="1"/>
    <w:qFormat/>
    <w:uiPriority w:val="0"/>
    <w:pPr>
      <w:jc w:val="left"/>
    </w:pPr>
    <w:rPr>
      <w:rFonts w:ascii="宋体" w:hAnsi="宋体"/>
      <w:szCs w:val="21"/>
    </w:rPr>
  </w:style>
  <w:style w:type="paragraph" w:customStyle="1" w:styleId="397">
    <w:name w:val="标题 23"/>
    <w:basedOn w:val="1"/>
    <w:qFormat/>
    <w:uiPriority w:val="0"/>
    <w:rPr>
      <w:rFonts w:ascii="Times New Roman" w:hAnsi="Times New Roman"/>
      <w:szCs w:val="24"/>
    </w:rPr>
  </w:style>
  <w:style w:type="paragraph" w:customStyle="1" w:styleId="398">
    <w:name w:val="目录 1_0"/>
    <w:basedOn w:val="377"/>
    <w:next w:val="377"/>
    <w:qFormat/>
    <w:uiPriority w:val="0"/>
    <w:pPr>
      <w:tabs>
        <w:tab w:val="right" w:leader="dot" w:pos="8493"/>
      </w:tabs>
      <w:adjustRightInd w:val="0"/>
      <w:spacing w:line="360" w:lineRule="auto"/>
      <w:jc w:val="left"/>
    </w:pPr>
    <w:rPr>
      <w:rFonts w:ascii="宋体" w:hAnsi="宋体"/>
      <w:b/>
      <w:caps/>
      <w:kern w:val="0"/>
      <w:sz w:val="24"/>
      <w:szCs w:val="32"/>
    </w:rPr>
  </w:style>
  <w:style w:type="paragraph" w:customStyle="1" w:styleId="399">
    <w:name w:val="样式 标题 3节标题，三级节名二级节名h3Heading 3 - oldlevel_3PIM 3H3Level ..."/>
    <w:basedOn w:val="5"/>
    <w:qFormat/>
    <w:uiPriority w:val="0"/>
    <w:pPr>
      <w:keepNext/>
      <w:keepLines/>
      <w:widowControl w:val="0"/>
      <w:spacing w:before="120" w:beforeAutospacing="0" w:after="120" w:afterAutospacing="0"/>
      <w:ind w:left="57" w:hanging="57"/>
      <w:jc w:val="both"/>
    </w:pPr>
    <w:rPr>
      <w:rFonts w:ascii="Arial" w:hAnsi="Arial" w:eastAsia="黑体" w:cs="Times New Roman"/>
      <w:b/>
      <w:bCs/>
      <w:kern w:val="2"/>
      <w:sz w:val="30"/>
      <w:szCs w:val="20"/>
    </w:rPr>
  </w:style>
  <w:style w:type="paragraph" w:customStyle="1" w:styleId="400">
    <w:name w:val="附录标识"/>
    <w:basedOn w:val="324"/>
    <w:next w:val="269"/>
    <w:qFormat/>
    <w:uiPriority w:val="0"/>
    <w:pPr>
      <w:spacing w:after="200"/>
    </w:pPr>
    <w:rPr>
      <w:sz w:val="21"/>
    </w:rPr>
  </w:style>
  <w:style w:type="paragraph" w:customStyle="1" w:styleId="401">
    <w:name w:val="内容目录 10"/>
    <w:basedOn w:val="387"/>
    <w:qFormat/>
    <w:uiPriority w:val="0"/>
    <w:pPr>
      <w:tabs>
        <w:tab w:val="right" w:leader="dot" w:pos="9637"/>
      </w:tabs>
      <w:ind w:left="2547"/>
    </w:pPr>
  </w:style>
  <w:style w:type="paragraph" w:customStyle="1" w:styleId="402">
    <w:name w:val="正文 New New New New New New New New New New New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403">
    <w:name w:val="msoquote"/>
    <w:basedOn w:val="1"/>
    <w:next w:val="1"/>
    <w:qFormat/>
    <w:uiPriority w:val="0"/>
    <w:pPr>
      <w:widowControl/>
      <w:jc w:val="left"/>
    </w:pPr>
    <w:rPr>
      <w:rFonts w:ascii="Times New Roman" w:hAnsi="Times New Roman"/>
      <w:i/>
      <w:kern w:val="0"/>
      <w:sz w:val="24"/>
    </w:rPr>
  </w:style>
  <w:style w:type="paragraph" w:customStyle="1" w:styleId="404">
    <w:name w:val="文档结构图4"/>
    <w:basedOn w:val="1"/>
    <w:qFormat/>
    <w:uiPriority w:val="0"/>
    <w:pPr>
      <w:shd w:val="clear" w:color="auto" w:fill="000080"/>
    </w:pPr>
    <w:rPr>
      <w:rFonts w:ascii="Times New Roman" w:hAnsi="Times New Roman"/>
      <w:sz w:val="30"/>
      <w:szCs w:val="24"/>
    </w:rPr>
  </w:style>
  <w:style w:type="paragraph" w:customStyle="1" w:styleId="405">
    <w:name w:val="封面正文"/>
    <w:qFormat/>
    <w:uiPriority w:val="0"/>
    <w:pPr>
      <w:jc w:val="both"/>
    </w:pPr>
    <w:rPr>
      <w:rFonts w:ascii="Times New Roman" w:hAnsi="Times New Roman" w:eastAsia="宋体" w:cs="Times New Roman"/>
      <w:lang w:val="en-US" w:eastAsia="zh-CN" w:bidi="ar-SA"/>
    </w:rPr>
  </w:style>
  <w:style w:type="paragraph" w:customStyle="1" w:styleId="406">
    <w:name w:val="页脚 New New New New New New New New New New New New New New New New New New New New New"/>
    <w:basedOn w:val="1"/>
    <w:qFormat/>
    <w:uiPriority w:val="0"/>
    <w:pPr>
      <w:tabs>
        <w:tab w:val="center" w:pos="4153"/>
        <w:tab w:val="right" w:pos="8306"/>
      </w:tabs>
      <w:snapToGrid w:val="0"/>
      <w:jc w:val="left"/>
    </w:pPr>
    <w:rPr>
      <w:rFonts w:ascii="Times New Roman" w:hAnsi="Times New Roman"/>
      <w:sz w:val="18"/>
      <w:szCs w:val="18"/>
    </w:rPr>
  </w:style>
  <w:style w:type="paragraph" w:customStyle="1" w:styleId="407">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408">
    <w:name w:val="Char1 Char Char Char"/>
    <w:basedOn w:val="1"/>
    <w:qFormat/>
    <w:uiPriority w:val="0"/>
    <w:pPr>
      <w:adjustRightInd w:val="0"/>
      <w:spacing w:line="312" w:lineRule="atLeast"/>
      <w:textAlignment w:val="baseline"/>
    </w:pPr>
    <w:rPr>
      <w:rFonts w:ascii="Times New Roman" w:hAnsi="Times New Roman"/>
      <w:kern w:val="0"/>
      <w:szCs w:val="20"/>
    </w:rPr>
  </w:style>
  <w:style w:type="paragraph" w:customStyle="1" w:styleId="409">
    <w:name w:val="正文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410">
    <w:name w:val="正文缩进（首行缩进两字）"/>
    <w:qFormat/>
    <w:uiPriority w:val="0"/>
    <w:pPr>
      <w:spacing w:line="360" w:lineRule="auto"/>
      <w:ind w:firstLine="70" w:firstLineChars="25"/>
      <w:jc w:val="both"/>
    </w:pPr>
    <w:rPr>
      <w:rFonts w:ascii="仿宋_GB2312" w:hAnsi="Times New Roman" w:eastAsia="仿宋_GB2312" w:cs="宋体"/>
      <w:kern w:val="2"/>
      <w:sz w:val="28"/>
      <w:lang w:val="en-US" w:eastAsia="zh-CN" w:bidi="ar-SA"/>
    </w:rPr>
  </w:style>
  <w:style w:type="paragraph" w:customStyle="1" w:styleId="411">
    <w:name w:val="Char Char Char Char Char Char Char Char Char Char Char Char Char"/>
    <w:basedOn w:val="17"/>
    <w:qFormat/>
    <w:uiPriority w:val="0"/>
    <w:rPr>
      <w:rFonts w:ascii="Tahoma" w:hAnsi="Tahoma"/>
      <w:sz w:val="24"/>
      <w:szCs w:val="24"/>
      <w:shd w:val="clear" w:color="auto" w:fill="000080"/>
    </w:rPr>
  </w:style>
  <w:style w:type="paragraph" w:customStyle="1" w:styleId="412">
    <w:name w:val="纯文本2"/>
    <w:basedOn w:val="1"/>
    <w:qFormat/>
    <w:uiPriority w:val="0"/>
    <w:rPr>
      <w:rFonts w:ascii="宋体" w:hAnsi="Courier New"/>
      <w:sz w:val="24"/>
      <w:szCs w:val="20"/>
    </w:rPr>
  </w:style>
  <w:style w:type="paragraph" w:customStyle="1" w:styleId="413">
    <w:name w:val="正文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414">
    <w:name w:val="页脚 New New New"/>
    <w:basedOn w:val="415"/>
    <w:qFormat/>
    <w:uiPriority w:val="0"/>
    <w:pPr>
      <w:tabs>
        <w:tab w:val="center" w:pos="4153"/>
        <w:tab w:val="right" w:pos="8306"/>
      </w:tabs>
      <w:snapToGrid w:val="0"/>
      <w:jc w:val="left"/>
    </w:pPr>
    <w:rPr>
      <w:sz w:val="18"/>
      <w:szCs w:val="18"/>
    </w:rPr>
  </w:style>
  <w:style w:type="paragraph" w:customStyle="1" w:styleId="415">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6">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17">
    <w:name w:val="标题2"/>
    <w:basedOn w:val="1"/>
    <w:qFormat/>
    <w:uiPriority w:val="0"/>
    <w:pPr>
      <w:spacing w:beforeLines="50" w:afterLines="50" w:line="300" w:lineRule="exact"/>
    </w:pPr>
    <w:rPr>
      <w:rFonts w:ascii="Times New Roman" w:hAnsi="Times New Roman"/>
      <w:b/>
      <w:bCs/>
      <w:szCs w:val="24"/>
    </w:rPr>
  </w:style>
  <w:style w:type="paragraph" w:customStyle="1" w:styleId="418">
    <w:name w:val="表格文字缩进"/>
    <w:basedOn w:val="351"/>
    <w:qFormat/>
    <w:uiPriority w:val="0"/>
    <w:pPr>
      <w:widowControl/>
      <w:tabs>
        <w:tab w:val="clear" w:pos="720"/>
        <w:tab w:val="clear" w:pos="900"/>
      </w:tabs>
      <w:adjustRightInd/>
      <w:snapToGrid/>
      <w:spacing w:beforeLines="0" w:afterLines="0" w:line="240" w:lineRule="atLeast"/>
      <w:ind w:firstLine="360" w:firstLineChars="200"/>
      <w:jc w:val="left"/>
    </w:pPr>
    <w:rPr>
      <w:rFonts w:ascii="Times New Roman" w:hAnsi="Times New Roman" w:cs="宋体"/>
      <w:color w:val="000000"/>
      <w:sz w:val="21"/>
      <w:szCs w:val="18"/>
    </w:rPr>
  </w:style>
  <w:style w:type="paragraph" w:customStyle="1" w:styleId="419">
    <w:name w:val="正文文本缩进1"/>
    <w:basedOn w:val="1"/>
    <w:qFormat/>
    <w:uiPriority w:val="0"/>
    <w:pPr>
      <w:ind w:firstLine="480"/>
    </w:pPr>
    <w:rPr>
      <w:rFonts w:ascii="Times New Roman" w:hAnsi="Times New Roman"/>
      <w:sz w:val="24"/>
      <w:szCs w:val="20"/>
    </w:rPr>
  </w:style>
  <w:style w:type="paragraph" w:customStyle="1" w:styleId="420">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21">
    <w:name w:val="二级无标题条"/>
    <w:basedOn w:val="1"/>
    <w:qFormat/>
    <w:uiPriority w:val="0"/>
    <w:rPr>
      <w:rFonts w:ascii="Times New Roman" w:hAnsi="Times New Roman"/>
      <w:b/>
      <w:szCs w:val="20"/>
    </w:rPr>
  </w:style>
  <w:style w:type="paragraph" w:customStyle="1" w:styleId="422">
    <w:name w:val="正文文本缩进3"/>
    <w:basedOn w:val="1"/>
    <w:qFormat/>
    <w:uiPriority w:val="0"/>
    <w:pPr>
      <w:ind w:firstLine="480"/>
    </w:pPr>
    <w:rPr>
      <w:rFonts w:ascii="Times New Roman" w:hAnsi="Times New Roman"/>
      <w:sz w:val="24"/>
      <w:szCs w:val="20"/>
    </w:rPr>
  </w:style>
  <w:style w:type="paragraph" w:customStyle="1" w:styleId="423">
    <w:name w:val="引言一级条标题"/>
    <w:basedOn w:val="1"/>
    <w:next w:val="269"/>
    <w:qFormat/>
    <w:uiPriority w:val="0"/>
    <w:pPr>
      <w:widowControl/>
    </w:pPr>
    <w:rPr>
      <w:rFonts w:ascii="Times New Roman" w:hAnsi="Times New Roman" w:eastAsia="黑体"/>
      <w:b/>
      <w:szCs w:val="20"/>
    </w:rPr>
  </w:style>
  <w:style w:type="paragraph" w:customStyle="1" w:styleId="424">
    <w:name w:val="页脚 New New New New"/>
    <w:basedOn w:val="1"/>
    <w:qFormat/>
    <w:uiPriority w:val="0"/>
    <w:pPr>
      <w:tabs>
        <w:tab w:val="center" w:pos="4153"/>
        <w:tab w:val="right" w:pos="8306"/>
      </w:tabs>
      <w:snapToGrid w:val="0"/>
      <w:jc w:val="left"/>
    </w:pPr>
    <w:rPr>
      <w:rFonts w:ascii="Times New Roman" w:hAnsi="Times New Roman"/>
      <w:sz w:val="18"/>
      <w:szCs w:val="18"/>
    </w:rPr>
  </w:style>
  <w:style w:type="paragraph" w:customStyle="1" w:styleId="425">
    <w:name w:val="2"/>
    <w:next w:val="389"/>
    <w:qFormat/>
    <w:uiPriority w:val="0"/>
    <w:pPr>
      <w:widowControl w:val="0"/>
      <w:jc w:val="both"/>
    </w:pPr>
    <w:rPr>
      <w:rFonts w:ascii="仿宋_GB2312" w:hAnsi="Times New Roman" w:eastAsia="宋体" w:cs="Times New Roman"/>
      <w:kern w:val="2"/>
      <w:sz w:val="21"/>
      <w:szCs w:val="32"/>
      <w:lang w:val="en-US" w:eastAsia="zh-CN" w:bidi="ar-SA"/>
    </w:rPr>
  </w:style>
  <w:style w:type="paragraph" w:customStyle="1" w:styleId="426">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27">
    <w:name w:val="cjk"/>
    <w:basedOn w:val="1"/>
    <w:qFormat/>
    <w:uiPriority w:val="0"/>
    <w:pPr>
      <w:widowControl/>
      <w:spacing w:before="284" w:after="100" w:afterAutospacing="1" w:line="360" w:lineRule="auto"/>
      <w:jc w:val="left"/>
    </w:pPr>
    <w:rPr>
      <w:rFonts w:ascii="宋体" w:hAnsi="宋体"/>
      <w:kern w:val="0"/>
      <w:sz w:val="22"/>
    </w:rPr>
  </w:style>
  <w:style w:type="paragraph" w:customStyle="1" w:styleId="428">
    <w:name w:val="数字编号列项（二级）"/>
    <w:qFormat/>
    <w:uiPriority w:val="0"/>
    <w:pPr>
      <w:ind w:left="400" w:leftChars="400" w:hanging="200" w:hangingChars="200"/>
      <w:jc w:val="both"/>
    </w:pPr>
    <w:rPr>
      <w:rFonts w:ascii="宋体" w:hAnsi="Times New Roman" w:eastAsia="宋体" w:cs="Times New Roman"/>
      <w:sz w:val="21"/>
      <w:lang w:val="en-US" w:eastAsia="zh-CN" w:bidi="ar-SA"/>
    </w:rPr>
  </w:style>
  <w:style w:type="paragraph" w:customStyle="1" w:styleId="429">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0">
    <w:name w:val="正文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431">
    <w:name w:val="正文文本3"/>
    <w:basedOn w:val="1"/>
    <w:qFormat/>
    <w:uiPriority w:val="0"/>
    <w:pPr>
      <w:shd w:val="clear" w:color="auto" w:fill="FFFFFF"/>
      <w:spacing w:line="0" w:lineRule="atLeast"/>
      <w:jc w:val="left"/>
    </w:pPr>
    <w:rPr>
      <w:rFonts w:ascii="宋体" w:hAnsi="宋体"/>
      <w:kern w:val="0"/>
      <w:sz w:val="19"/>
      <w:szCs w:val="19"/>
    </w:rPr>
  </w:style>
  <w:style w:type="paragraph" w:customStyle="1" w:styleId="43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3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4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35">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436">
    <w:name w:val="正文缩进2"/>
    <w:basedOn w:val="1"/>
    <w:qFormat/>
    <w:uiPriority w:val="0"/>
    <w:pPr>
      <w:ind w:firstLine="420" w:firstLineChars="200"/>
    </w:pPr>
    <w:rPr>
      <w:rFonts w:ascii="Times New Roman" w:hAnsi="Times New Roman"/>
      <w:sz w:val="30"/>
      <w:szCs w:val="24"/>
    </w:rPr>
  </w:style>
  <w:style w:type="paragraph" w:customStyle="1" w:styleId="437">
    <w:name w:val="正文表标题续表"/>
    <w:basedOn w:val="438"/>
    <w:next w:val="269"/>
    <w:qFormat/>
    <w:uiPriority w:val="0"/>
    <w:pPr>
      <w:tabs>
        <w:tab w:val="left" w:pos="420"/>
      </w:tabs>
    </w:pPr>
    <w:rPr>
      <w:b w:val="0"/>
    </w:rPr>
  </w:style>
  <w:style w:type="paragraph" w:customStyle="1" w:styleId="438">
    <w:name w:val="正文表标题"/>
    <w:next w:val="269"/>
    <w:qFormat/>
    <w:uiPriority w:val="0"/>
    <w:pPr>
      <w:tabs>
        <w:tab w:val="left" w:pos="420"/>
      </w:tabs>
      <w:jc w:val="center"/>
    </w:pPr>
    <w:rPr>
      <w:rFonts w:ascii="黑体" w:hAnsi="Times New Roman" w:eastAsia="黑体" w:cs="Times New Roman"/>
      <w:b/>
      <w:sz w:val="21"/>
      <w:lang w:val="en-US" w:eastAsia="zh-CN" w:bidi="ar-SA"/>
    </w:rPr>
  </w:style>
  <w:style w:type="paragraph" w:customStyle="1" w:styleId="439">
    <w:name w:val="正文文本 21"/>
    <w:basedOn w:val="1"/>
    <w:qFormat/>
    <w:uiPriority w:val="0"/>
    <w:pPr>
      <w:suppressAutoHyphens/>
    </w:pPr>
    <w:rPr>
      <w:rFonts w:ascii="Times New Roman" w:hAnsi="Times New Roman" w:eastAsia="楷体_GB2312"/>
      <w:b/>
      <w:szCs w:val="20"/>
      <w:lang w:eastAsia="ar-SA"/>
    </w:rPr>
  </w:style>
  <w:style w:type="paragraph" w:customStyle="1" w:styleId="440">
    <w:name w:val="页脚 New New"/>
    <w:basedOn w:val="308"/>
    <w:qFormat/>
    <w:uiPriority w:val="0"/>
    <w:pPr>
      <w:tabs>
        <w:tab w:val="center" w:pos="4153"/>
        <w:tab w:val="right" w:pos="8306"/>
      </w:tabs>
      <w:snapToGrid w:val="0"/>
      <w:jc w:val="left"/>
    </w:pPr>
    <w:rPr>
      <w:sz w:val="18"/>
    </w:rPr>
  </w:style>
  <w:style w:type="paragraph" w:customStyle="1" w:styleId="441">
    <w:name w:val="msointensequote"/>
    <w:basedOn w:val="1"/>
    <w:next w:val="1"/>
    <w:qFormat/>
    <w:uiPriority w:val="0"/>
    <w:pPr>
      <w:widowControl/>
      <w:ind w:left="720" w:right="720"/>
      <w:jc w:val="left"/>
    </w:pPr>
    <w:rPr>
      <w:rFonts w:ascii="Times New Roman" w:hAnsi="Times New Roman"/>
      <w:b/>
      <w:i/>
      <w:kern w:val="0"/>
      <w:sz w:val="24"/>
    </w:rPr>
  </w:style>
  <w:style w:type="paragraph" w:customStyle="1" w:styleId="442">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spacing w:val="20"/>
      <w:w w:val="148"/>
      <w:sz w:val="52"/>
      <w:lang w:val="en-US" w:eastAsia="zh-CN" w:bidi="ar-SA"/>
    </w:rPr>
  </w:style>
  <w:style w:type="paragraph" w:customStyle="1" w:styleId="443">
    <w:name w:val="无标题条"/>
    <w:next w:val="269"/>
    <w:qFormat/>
    <w:uiPriority w:val="0"/>
    <w:pPr>
      <w:jc w:val="both"/>
    </w:pPr>
    <w:rPr>
      <w:rFonts w:ascii="Times New Roman" w:hAnsi="Times New Roman" w:eastAsia="宋体" w:cs="Times New Roman"/>
      <w:sz w:val="21"/>
      <w:lang w:val="en-US" w:eastAsia="zh-CN" w:bidi="ar-SA"/>
    </w:rPr>
  </w:style>
  <w:style w:type="paragraph" w:customStyle="1" w:styleId="444">
    <w:name w:val="_Style 251"/>
    <w:basedOn w:val="1"/>
    <w:next w:val="1"/>
    <w:qFormat/>
    <w:uiPriority w:val="0"/>
    <w:rPr>
      <w:rFonts w:ascii="Times New Roman" w:hAnsi="Times New Roman"/>
    </w:rPr>
  </w:style>
  <w:style w:type="paragraph" w:customStyle="1" w:styleId="445">
    <w:name w:val="正文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446">
    <w:name w:val="样式 正文缩进正文（首行缩进两字）特点ALT+Z表正文正文非缩进四号段1Normal Indent Char2...4"/>
    <w:basedOn w:val="22"/>
    <w:qFormat/>
    <w:uiPriority w:val="0"/>
    <w:pPr>
      <w:tabs>
        <w:tab w:val="left" w:pos="510"/>
        <w:tab w:val="left" w:pos="2520"/>
      </w:tabs>
      <w:spacing w:line="300" w:lineRule="auto"/>
      <w:ind w:left="2520" w:hanging="420"/>
    </w:pPr>
    <w:rPr>
      <w:rFonts w:ascii="Calibri" w:hAnsi="宋体"/>
      <w:sz w:val="24"/>
      <w:szCs w:val="22"/>
    </w:rPr>
  </w:style>
  <w:style w:type="paragraph" w:customStyle="1" w:styleId="447">
    <w:name w:val="字母编号列项（一级）"/>
    <w:qFormat/>
    <w:uiPriority w:val="0"/>
    <w:pPr>
      <w:ind w:left="420" w:leftChars="200" w:hanging="420" w:hangingChars="200"/>
      <w:jc w:val="both"/>
    </w:pPr>
    <w:rPr>
      <w:rFonts w:ascii="宋体" w:hAnsi="Times New Roman" w:eastAsia="宋体" w:cs="Times New Roman"/>
      <w:sz w:val="21"/>
      <w:lang w:val="en-US" w:eastAsia="zh-CN" w:bidi="ar-SA"/>
    </w:rPr>
  </w:style>
  <w:style w:type="paragraph" w:customStyle="1" w:styleId="448">
    <w:name w:val="样式 正文缩进正文（首行缩进两字）特点ALT+Z表正文正文非缩进四号段1Normal Indent Char2..."/>
    <w:basedOn w:val="4"/>
    <w:next w:val="5"/>
    <w:qFormat/>
    <w:uiPriority w:val="0"/>
    <w:pPr>
      <w:tabs>
        <w:tab w:val="left" w:pos="840"/>
      </w:tabs>
      <w:spacing w:before="240" w:line="400" w:lineRule="exact"/>
      <w:ind w:left="840" w:hanging="420"/>
    </w:pPr>
    <w:rPr>
      <w:rFonts w:hint="eastAsia" w:ascii="宋体" w:hAnsi="宋体" w:eastAsia="黑体" w:cs="宋体"/>
      <w:b w:val="0"/>
      <w:color w:val="auto"/>
      <w:kern w:val="0"/>
      <w:szCs w:val="20"/>
    </w:rPr>
  </w:style>
  <w:style w:type="paragraph" w:customStyle="1" w:styleId="449">
    <w:name w:val="正文缩进 New"/>
    <w:basedOn w:val="450"/>
    <w:qFormat/>
    <w:uiPriority w:val="0"/>
    <w:pPr>
      <w:ind w:firstLine="420"/>
    </w:pPr>
    <w:rPr>
      <w:rFonts w:ascii="Times New Roman" w:hAnsi="Times New Roman" w:cs="Times New Roman"/>
      <w:snapToGrid/>
      <w:kern w:val="2"/>
      <w:szCs w:val="20"/>
    </w:rPr>
  </w:style>
  <w:style w:type="paragraph" w:customStyle="1" w:styleId="450">
    <w:name w:val="正文 New New New New New New New New New New New New New New New New New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451">
    <w:name w:val="Char1 Char Char Char Char Char Char1"/>
    <w:basedOn w:val="452"/>
    <w:qFormat/>
    <w:uiPriority w:val="0"/>
  </w:style>
  <w:style w:type="paragraph" w:customStyle="1" w:styleId="452">
    <w:name w:val="正文 New"/>
    <w:qFormat/>
    <w:uiPriority w:val="0"/>
    <w:pPr>
      <w:widowControl w:val="0"/>
      <w:jc w:val="both"/>
    </w:pPr>
    <w:rPr>
      <w:rFonts w:ascii="Times New Roman" w:hAnsi="Times New Roman" w:eastAsia="宋体" w:cs="Times New Roman"/>
      <w:kern w:val="2"/>
      <w:sz w:val="30"/>
      <w:szCs w:val="24"/>
      <w:lang w:val="en-US" w:eastAsia="zh-CN" w:bidi="ar-SA"/>
    </w:rPr>
  </w:style>
  <w:style w:type="paragraph" w:customStyle="1" w:styleId="453">
    <w:name w:val="msotocheading"/>
    <w:basedOn w:val="3"/>
    <w:next w:val="1"/>
    <w:qFormat/>
    <w:uiPriority w:val="0"/>
    <w:pPr>
      <w:widowControl/>
      <w:spacing w:before="480" w:after="0" w:line="276" w:lineRule="auto"/>
      <w:outlineLvl w:val="9"/>
    </w:pPr>
    <w:rPr>
      <w:rFonts w:hint="eastAsia" w:ascii="Cambria" w:hAnsi="Cambria" w:eastAsia="仿宋_GB2312" w:cs="宋体"/>
      <w:color w:val="365F91"/>
      <w:kern w:val="0"/>
      <w:sz w:val="44"/>
      <w:szCs w:val="44"/>
    </w:rPr>
  </w:style>
  <w:style w:type="paragraph" w:customStyle="1" w:styleId="454">
    <w:name w:val="样式 标题 3 + 段前: 0.5 行 段后: 0.5 行2"/>
    <w:basedOn w:val="5"/>
    <w:qFormat/>
    <w:uiPriority w:val="0"/>
    <w:pPr>
      <w:keepNext/>
      <w:keepLines/>
      <w:widowControl w:val="0"/>
      <w:tabs>
        <w:tab w:val="left" w:pos="0"/>
      </w:tabs>
      <w:spacing w:before="260" w:beforeLines="50" w:beforeAutospacing="0" w:after="260" w:afterLines="50" w:afterAutospacing="0" w:line="480" w:lineRule="exact"/>
      <w:jc w:val="both"/>
    </w:pPr>
    <w:rPr>
      <w:rFonts w:ascii="Times New Roman" w:hAnsi="Times New Roman"/>
      <w:b/>
      <w:bCs/>
      <w:kern w:val="2"/>
      <w:sz w:val="28"/>
      <w:szCs w:val="20"/>
    </w:rPr>
  </w:style>
  <w:style w:type="paragraph" w:customStyle="1" w:styleId="455">
    <w:name w:val="正文缩进1"/>
    <w:basedOn w:val="1"/>
    <w:qFormat/>
    <w:uiPriority w:val="0"/>
    <w:pPr>
      <w:ind w:firstLine="420" w:firstLineChars="200"/>
    </w:pPr>
    <w:rPr>
      <w:rFonts w:ascii="Times New Roman" w:hAnsi="Times New Roman"/>
      <w:sz w:val="30"/>
      <w:szCs w:val="24"/>
    </w:rPr>
  </w:style>
  <w:style w:type="paragraph" w:customStyle="1" w:styleId="456">
    <w:name w:val="附录表标题续表"/>
    <w:basedOn w:val="457"/>
    <w:next w:val="269"/>
    <w:qFormat/>
    <w:uiPriority w:val="0"/>
    <w:pPr>
      <w:tabs>
        <w:tab w:val="left" w:pos="210"/>
        <w:tab w:val="left" w:pos="360"/>
      </w:tabs>
    </w:pPr>
    <w:rPr>
      <w:b w:val="0"/>
    </w:rPr>
  </w:style>
  <w:style w:type="paragraph" w:customStyle="1" w:styleId="457">
    <w:name w:val="附录表标题"/>
    <w:basedOn w:val="438"/>
    <w:next w:val="269"/>
    <w:qFormat/>
    <w:uiPriority w:val="0"/>
    <w:pPr>
      <w:tabs>
        <w:tab w:val="left" w:pos="210"/>
        <w:tab w:val="clear" w:pos="420"/>
      </w:tabs>
      <w:textAlignment w:val="baseline"/>
    </w:pPr>
    <w:rPr>
      <w:rFonts w:ascii="宋体" w:eastAsia="宋体"/>
      <w:kern w:val="21"/>
    </w:rPr>
  </w:style>
  <w:style w:type="paragraph" w:customStyle="1" w:styleId="458">
    <w:name w:val="术语定义四级条标题"/>
    <w:basedOn w:val="459"/>
    <w:next w:val="269"/>
    <w:qFormat/>
    <w:uiPriority w:val="0"/>
    <w:pPr>
      <w:tabs>
        <w:tab w:val="left" w:pos="357"/>
        <w:tab w:val="left" w:pos="1077"/>
      </w:tabs>
    </w:pPr>
  </w:style>
  <w:style w:type="paragraph" w:customStyle="1" w:styleId="459">
    <w:name w:val="术语定义条标题"/>
    <w:basedOn w:val="273"/>
    <w:next w:val="269"/>
    <w:qFormat/>
    <w:uiPriority w:val="0"/>
    <w:pPr>
      <w:numPr>
        <w:ilvl w:val="0"/>
        <w:numId w:val="0"/>
      </w:numPr>
      <w:tabs>
        <w:tab w:val="left" w:pos="357"/>
        <w:tab w:val="clear" w:pos="360"/>
        <w:tab w:val="clear" w:pos="420"/>
      </w:tabs>
      <w:spacing w:beforeLines="0" w:afterLines="0"/>
      <w:jc w:val="left"/>
      <w:outlineLvl w:val="9"/>
    </w:pPr>
  </w:style>
  <w:style w:type="paragraph" w:customStyle="1" w:styleId="460">
    <w:name w:val="Normal_0"/>
    <w:qFormat/>
    <w:uiPriority w:val="0"/>
    <w:rPr>
      <w:rFonts w:ascii="Times New Roman" w:hAnsi="Times New Roman" w:eastAsia="Times New Roman" w:cs="Times New Roman"/>
      <w:sz w:val="24"/>
      <w:szCs w:val="24"/>
      <w:lang w:val="en-US" w:eastAsia="zh-CN" w:bidi="ar-SA"/>
    </w:rPr>
  </w:style>
  <w:style w:type="paragraph" w:customStyle="1" w:styleId="461">
    <w:name w:val="正文 New New New New New New New New New New New"/>
    <w:qFormat/>
    <w:uiPriority w:val="0"/>
    <w:pPr>
      <w:widowControl w:val="0"/>
      <w:jc w:val="both"/>
    </w:pPr>
    <w:rPr>
      <w:rFonts w:ascii="Times New Roman" w:hAnsi="Times New Roman" w:eastAsia="宋体" w:cs="Times New Roman"/>
      <w:kern w:val="2"/>
      <w:sz w:val="30"/>
      <w:szCs w:val="24"/>
      <w:lang w:val="en-US" w:eastAsia="zh-CN" w:bidi="ar-SA"/>
    </w:rPr>
  </w:style>
  <w:style w:type="paragraph" w:customStyle="1" w:styleId="462">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3">
    <w:name w:val="正文文本缩进 23"/>
    <w:basedOn w:val="1"/>
    <w:qFormat/>
    <w:uiPriority w:val="0"/>
    <w:pPr>
      <w:spacing w:line="420" w:lineRule="exact"/>
      <w:ind w:firstLine="480"/>
    </w:pPr>
    <w:rPr>
      <w:rFonts w:ascii="Times New Roman" w:hAnsi="Times New Roman"/>
      <w:b/>
      <w:sz w:val="24"/>
      <w:szCs w:val="20"/>
    </w:rPr>
  </w:style>
  <w:style w:type="paragraph" w:customStyle="1" w:styleId="464">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65">
    <w:name w:val="正文首行缩进1"/>
    <w:basedOn w:val="20"/>
    <w:qFormat/>
    <w:uiPriority w:val="0"/>
    <w:pPr>
      <w:ind w:firstLine="420" w:firstLineChars="100"/>
    </w:pPr>
    <w:rPr>
      <w:rFonts w:hAnsi="Calibri"/>
      <w:sz w:val="30"/>
      <w:szCs w:val="24"/>
    </w:rPr>
  </w:style>
  <w:style w:type="paragraph" w:customStyle="1" w:styleId="466">
    <w:name w:val="标题 2 New"/>
    <w:basedOn w:val="450"/>
    <w:next w:val="450"/>
    <w:qFormat/>
    <w:uiPriority w:val="0"/>
    <w:pPr>
      <w:keepNext/>
      <w:keepLines/>
      <w:spacing w:before="260" w:after="260" w:line="416" w:lineRule="auto"/>
      <w:outlineLvl w:val="1"/>
    </w:pPr>
    <w:rPr>
      <w:rFonts w:ascii="Arial" w:hAnsi="Arial" w:eastAsia="仿宋_GB2312"/>
      <w:b/>
      <w:bCs/>
      <w:sz w:val="32"/>
    </w:rPr>
  </w:style>
  <w:style w:type="paragraph" w:customStyle="1" w:styleId="467">
    <w:name w:val="Char Char Char Char Char Char Char Char Char Char"/>
    <w:basedOn w:val="1"/>
    <w:qFormat/>
    <w:uiPriority w:val="0"/>
    <w:rPr>
      <w:rFonts w:ascii="Times New Roman" w:hAnsi="Times New Roman"/>
      <w:szCs w:val="20"/>
    </w:rPr>
  </w:style>
  <w:style w:type="paragraph" w:customStyle="1" w:styleId="468">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70">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1">
    <w:name w:val="xl4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47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473">
    <w:name w:val="样式 标题 3 + (中文) 黑体 小四 非加粗 段前: 7.8 磅 段后: 0 磅 行距: 固定值 20 磅"/>
    <w:basedOn w:val="5"/>
    <w:qFormat/>
    <w:uiPriority w:val="0"/>
    <w:pPr>
      <w:keepNext/>
      <w:keepLines/>
      <w:widowControl w:val="0"/>
      <w:spacing w:before="0" w:beforeLines="50" w:beforeAutospacing="0" w:after="0" w:afterAutospacing="0" w:line="400" w:lineRule="exact"/>
      <w:jc w:val="both"/>
    </w:pPr>
    <w:rPr>
      <w:rFonts w:ascii="Calibri" w:hAnsi="Calibri" w:eastAsia="黑体" w:cs="Times New Roman"/>
      <w:b/>
      <w:color w:val="FF0000"/>
      <w:kern w:val="2"/>
      <w:sz w:val="24"/>
      <w:szCs w:val="20"/>
      <w:lang w:val="zh-CN"/>
    </w:rPr>
  </w:style>
  <w:style w:type="paragraph" w:customStyle="1" w:styleId="474">
    <w:name w:val="6'"/>
    <w:basedOn w:val="1"/>
    <w:qFormat/>
    <w:uiPriority w:val="0"/>
    <w:pPr>
      <w:autoSpaceDE w:val="0"/>
      <w:autoSpaceDN w:val="0"/>
      <w:adjustRightInd w:val="0"/>
      <w:snapToGrid w:val="0"/>
      <w:spacing w:line="320" w:lineRule="exact"/>
      <w:jc w:val="center"/>
    </w:pPr>
    <w:rPr>
      <w:rFonts w:ascii="Times New Roman" w:hAnsi="Times New Roman"/>
      <w:spacing w:val="20"/>
      <w:kern w:val="28"/>
      <w:szCs w:val="20"/>
    </w:rPr>
  </w:style>
  <w:style w:type="paragraph" w:customStyle="1" w:styleId="475">
    <w:name w:val="页眉 New"/>
    <w:basedOn w:val="373"/>
    <w:qFormat/>
    <w:uiPriority w:val="0"/>
    <w:pPr>
      <w:pBdr>
        <w:bottom w:val="single" w:color="auto" w:sz="6" w:space="1"/>
      </w:pBdr>
      <w:tabs>
        <w:tab w:val="center" w:pos="4153"/>
        <w:tab w:val="right" w:pos="8306"/>
      </w:tabs>
      <w:snapToGrid w:val="0"/>
      <w:jc w:val="center"/>
    </w:pPr>
    <w:rPr>
      <w:sz w:val="18"/>
    </w:rPr>
  </w:style>
  <w:style w:type="paragraph" w:customStyle="1" w:styleId="476">
    <w:name w:val="默认段落字体 Para Char Char Char Char Char Char Char Char Char Char Char Char Char Char Char Char"/>
    <w:basedOn w:val="1"/>
    <w:qFormat/>
    <w:uiPriority w:val="0"/>
    <w:pPr>
      <w:spacing w:line="360" w:lineRule="auto"/>
    </w:pPr>
    <w:rPr>
      <w:rFonts w:ascii="Tahoma" w:hAnsi="Tahoma"/>
      <w:sz w:val="24"/>
      <w:szCs w:val="20"/>
    </w:rPr>
  </w:style>
  <w:style w:type="paragraph" w:customStyle="1" w:styleId="477">
    <w:name w:val="纯文本3"/>
    <w:basedOn w:val="1"/>
    <w:qFormat/>
    <w:uiPriority w:val="0"/>
    <w:rPr>
      <w:rFonts w:ascii="宋体" w:hAnsi="Courier New"/>
      <w:sz w:val="24"/>
      <w:szCs w:val="20"/>
    </w:rPr>
  </w:style>
  <w:style w:type="paragraph" w:customStyle="1" w:styleId="478">
    <w:name w:val="纯文本 New"/>
    <w:basedOn w:val="165"/>
    <w:qFormat/>
    <w:uiPriority w:val="0"/>
    <w:rPr>
      <w:rFonts w:ascii="宋体" w:hAnsi="Courier New" w:eastAsia="宋体"/>
      <w:kern w:val="2"/>
      <w:sz w:val="24"/>
    </w:rPr>
  </w:style>
  <w:style w:type="paragraph" w:customStyle="1" w:styleId="479">
    <w:name w:val="正文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0">
    <w:name w:val="Char4 Char Char Char"/>
    <w:basedOn w:val="1"/>
    <w:qFormat/>
    <w:uiPriority w:val="0"/>
    <w:pPr>
      <w:ind w:left="567" w:hanging="279"/>
    </w:pPr>
    <w:rPr>
      <w:rFonts w:ascii="Times New Roman" w:hAnsi="Times New Roman"/>
      <w:sz w:val="24"/>
      <w:szCs w:val="24"/>
    </w:rPr>
  </w:style>
  <w:style w:type="paragraph" w:customStyle="1" w:styleId="481">
    <w:name w:val="方框图"/>
    <w:basedOn w:val="1"/>
    <w:qFormat/>
    <w:uiPriority w:val="0"/>
    <w:pPr>
      <w:jc w:val="center"/>
    </w:pPr>
    <w:rPr>
      <w:rFonts w:ascii="Times New Roman" w:hAnsi="Times New Roman"/>
      <w:bCs/>
      <w:szCs w:val="24"/>
    </w:rPr>
  </w:style>
  <w:style w:type="paragraph" w:customStyle="1" w:styleId="482">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3">
    <w:name w:val="Char Char Char Char Char Char1 Char"/>
    <w:basedOn w:val="1"/>
    <w:qFormat/>
    <w:uiPriority w:val="0"/>
    <w:pPr>
      <w:widowControl/>
      <w:spacing w:after="160" w:line="240" w:lineRule="exact"/>
      <w:jc w:val="left"/>
    </w:pPr>
    <w:rPr>
      <w:rFonts w:ascii="Verdana" w:hAnsi="Verdana" w:eastAsia="仿宋_GB2312"/>
      <w:kern w:val="0"/>
      <w:sz w:val="24"/>
      <w:szCs w:val="32"/>
      <w:lang w:eastAsia="en-US"/>
    </w:rPr>
  </w:style>
  <w:style w:type="paragraph" w:customStyle="1" w:styleId="484">
    <w:name w:val="UCI List"/>
    <w:basedOn w:val="40"/>
    <w:qFormat/>
    <w:uiPriority w:val="0"/>
    <w:pPr>
      <w:widowControl/>
      <w:tabs>
        <w:tab w:val="left" w:pos="720"/>
      </w:tabs>
      <w:suppressAutoHyphens w:val="0"/>
      <w:spacing w:before="120"/>
      <w:ind w:left="720" w:hanging="360"/>
    </w:pPr>
    <w:rPr>
      <w:rFonts w:hAnsi="Times New Roman" w:eastAsia="宋体"/>
      <w:kern w:val="0"/>
      <w:lang w:eastAsia="en-US"/>
    </w:rPr>
  </w:style>
  <w:style w:type="paragraph" w:customStyle="1" w:styleId="485">
    <w:name w:val="flNote"/>
    <w:basedOn w:val="1"/>
    <w:qFormat/>
    <w:uiPriority w:val="0"/>
    <w:pPr>
      <w:adjustRightInd w:val="0"/>
      <w:spacing w:before="320" w:after="160" w:line="360" w:lineRule="atLeast"/>
      <w:jc w:val="center"/>
      <w:textAlignment w:val="baseline"/>
    </w:pPr>
    <w:rPr>
      <w:rFonts w:ascii="Arial" w:hAnsi="Times New Roman" w:eastAsia="黑体"/>
      <w:kern w:val="0"/>
      <w:sz w:val="30"/>
      <w:szCs w:val="20"/>
    </w:rPr>
  </w:style>
  <w:style w:type="paragraph" w:customStyle="1" w:styleId="486">
    <w:name w:val="页脚 New New New New New New New New New New"/>
    <w:basedOn w:val="1"/>
    <w:qFormat/>
    <w:uiPriority w:val="0"/>
    <w:pPr>
      <w:tabs>
        <w:tab w:val="center" w:pos="4153"/>
        <w:tab w:val="right" w:pos="8306"/>
      </w:tabs>
      <w:snapToGrid w:val="0"/>
      <w:jc w:val="left"/>
    </w:pPr>
    <w:rPr>
      <w:rFonts w:ascii="Times New Roman" w:hAnsi="Times New Roman"/>
      <w:sz w:val="18"/>
      <w:szCs w:val="18"/>
    </w:rPr>
  </w:style>
  <w:style w:type="paragraph" w:customStyle="1" w:styleId="487">
    <w:name w:val="标题1"/>
    <w:basedOn w:val="1"/>
    <w:next w:val="20"/>
    <w:qFormat/>
    <w:uiPriority w:val="0"/>
    <w:pPr>
      <w:keepNext/>
      <w:suppressAutoHyphens/>
      <w:spacing w:before="240" w:after="120"/>
    </w:pPr>
    <w:rPr>
      <w:rFonts w:ascii="DejaVu Sans" w:hAnsi="DejaVu Sans" w:eastAsia="DejaVu Sans" w:cs="DejaVu Sans"/>
      <w:sz w:val="28"/>
      <w:szCs w:val="28"/>
      <w:lang w:eastAsia="ar-SA"/>
    </w:rPr>
  </w:style>
  <w:style w:type="paragraph" w:customStyle="1" w:styleId="488">
    <w:name w:val="正文1"/>
    <w:qFormat/>
    <w:uiPriority w:val="0"/>
    <w:rPr>
      <w:rFonts w:ascii="Times New Roman" w:hAnsi="Times New Roman" w:eastAsia="Times New Roman" w:cs="Times New Roman"/>
      <w:sz w:val="24"/>
      <w:szCs w:val="24"/>
      <w:lang w:val="en-US" w:eastAsia="zh-CN" w:bidi="ar-SA"/>
    </w:rPr>
  </w:style>
  <w:style w:type="paragraph" w:customStyle="1" w:styleId="489">
    <w:name w:val="正文圆点编号"/>
    <w:basedOn w:val="1"/>
    <w:qFormat/>
    <w:uiPriority w:val="0"/>
    <w:pPr>
      <w:adjustRightInd w:val="0"/>
      <w:spacing w:line="312" w:lineRule="atLeast"/>
      <w:ind w:left="907" w:hanging="425"/>
      <w:textAlignment w:val="baseline"/>
    </w:pPr>
    <w:rPr>
      <w:rFonts w:ascii="宋体" w:hAnsi="Arial"/>
      <w:kern w:val="0"/>
      <w:sz w:val="24"/>
      <w:szCs w:val="20"/>
    </w:rPr>
  </w:style>
  <w:style w:type="paragraph" w:customStyle="1" w:styleId="490">
    <w:name w:val="5"/>
    <w:basedOn w:val="1"/>
    <w:next w:val="2"/>
    <w:qFormat/>
    <w:uiPriority w:val="0"/>
    <w:pPr>
      <w:numPr>
        <w:ilvl w:val="4"/>
        <w:numId w:val="7"/>
      </w:numPr>
      <w:tabs>
        <w:tab w:val="left" w:pos="780"/>
      </w:tabs>
      <w:spacing w:line="300" w:lineRule="auto"/>
    </w:pPr>
    <w:rPr>
      <w:rFonts w:ascii="Times New Roman" w:hAnsi="Times New Roman"/>
      <w:sz w:val="24"/>
      <w:szCs w:val="20"/>
    </w:rPr>
  </w:style>
  <w:style w:type="paragraph" w:customStyle="1" w:styleId="491">
    <w:name w:val="术语定义三级条标题"/>
    <w:basedOn w:val="459"/>
    <w:next w:val="269"/>
    <w:qFormat/>
    <w:uiPriority w:val="0"/>
    <w:pPr>
      <w:tabs>
        <w:tab w:val="left" w:pos="720"/>
        <w:tab w:val="clear" w:pos="357"/>
      </w:tabs>
    </w:pPr>
  </w:style>
  <w:style w:type="paragraph" w:customStyle="1" w:styleId="492">
    <w:name w:val="批注框文本1"/>
    <w:basedOn w:val="1"/>
    <w:semiHidden/>
    <w:qFormat/>
    <w:uiPriority w:val="0"/>
    <w:rPr>
      <w:rFonts w:ascii="Times New Roman" w:hAnsi="Times New Roman"/>
      <w:sz w:val="18"/>
      <w:szCs w:val="18"/>
    </w:rPr>
  </w:style>
  <w:style w:type="paragraph" w:customStyle="1" w:styleId="493">
    <w:name w:val="页脚 New New New New New"/>
    <w:basedOn w:val="1"/>
    <w:qFormat/>
    <w:uiPriority w:val="0"/>
    <w:pPr>
      <w:tabs>
        <w:tab w:val="center" w:pos="4153"/>
        <w:tab w:val="right" w:pos="8306"/>
      </w:tabs>
      <w:snapToGrid w:val="0"/>
      <w:jc w:val="left"/>
    </w:pPr>
    <w:rPr>
      <w:rFonts w:ascii="Times New Roman" w:hAnsi="Times New Roman"/>
      <w:sz w:val="18"/>
      <w:szCs w:val="18"/>
    </w:rPr>
  </w:style>
  <w:style w:type="paragraph" w:customStyle="1" w:styleId="494">
    <w:name w:val="6"/>
    <w:basedOn w:val="1"/>
    <w:next w:val="2"/>
    <w:qFormat/>
    <w:uiPriority w:val="0"/>
    <w:pPr>
      <w:ind w:firstLine="420"/>
    </w:pPr>
    <w:rPr>
      <w:rFonts w:ascii="Times New Roman" w:hAnsi="Times New Roman"/>
      <w:szCs w:val="20"/>
    </w:rPr>
  </w:style>
  <w:style w:type="paragraph" w:customStyle="1" w:styleId="495">
    <w:name w:val="p1"/>
    <w:basedOn w:val="1"/>
    <w:qFormat/>
    <w:uiPriority w:val="0"/>
    <w:pPr>
      <w:spacing w:line="380" w:lineRule="atLeast"/>
      <w:jc w:val="left"/>
    </w:pPr>
    <w:rPr>
      <w:rFonts w:ascii="Helvetica Neue" w:hAnsi="Helvetica Neue" w:eastAsia="Helvetica Neue"/>
      <w:color w:val="000000"/>
      <w:kern w:val="0"/>
      <w:sz w:val="26"/>
      <w:szCs w:val="26"/>
    </w:rPr>
  </w:style>
  <w:style w:type="paragraph" w:customStyle="1" w:styleId="496">
    <w:name w:val="Anstrich1"/>
    <w:basedOn w:val="1"/>
    <w:qFormat/>
    <w:uiPriority w:val="0"/>
    <w:pPr>
      <w:widowControl/>
      <w:tabs>
        <w:tab w:val="left" w:pos="960"/>
        <w:tab w:val="left" w:pos="1418"/>
      </w:tabs>
      <w:ind w:left="960" w:hanging="420"/>
      <w:jc w:val="left"/>
    </w:pPr>
    <w:rPr>
      <w:rFonts w:ascii="Arial" w:hAnsi="Arial"/>
      <w:kern w:val="0"/>
      <w:sz w:val="24"/>
      <w:szCs w:val="20"/>
      <w:lang w:val="de-DE" w:eastAsia="de-DE"/>
    </w:rPr>
  </w:style>
  <w:style w:type="paragraph" w:customStyle="1" w:styleId="497">
    <w:name w:val="工程建设公式标题"/>
    <w:basedOn w:val="310"/>
    <w:qFormat/>
    <w:uiPriority w:val="0"/>
    <w:pPr>
      <w:spacing w:before="0" w:after="0"/>
      <w:ind w:left="288" w:firstLine="288"/>
      <w:outlineLvl w:val="6"/>
    </w:pPr>
    <w:rPr>
      <w:b w:val="0"/>
    </w:rPr>
  </w:style>
  <w:style w:type="paragraph" w:customStyle="1" w:styleId="498">
    <w:name w:val="页脚 New New New New New New New New New New New New New New New"/>
    <w:basedOn w:val="1"/>
    <w:qFormat/>
    <w:uiPriority w:val="0"/>
    <w:pPr>
      <w:tabs>
        <w:tab w:val="center" w:pos="4153"/>
        <w:tab w:val="right" w:pos="8306"/>
      </w:tabs>
      <w:snapToGrid w:val="0"/>
      <w:jc w:val="left"/>
    </w:pPr>
    <w:rPr>
      <w:rFonts w:ascii="Times New Roman" w:hAnsi="Times New Roman"/>
      <w:sz w:val="18"/>
      <w:szCs w:val="18"/>
    </w:rPr>
  </w:style>
  <w:style w:type="paragraph" w:customStyle="1" w:styleId="499">
    <w:name w:val="正文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500">
    <w:name w:val="正文文本缩进 31"/>
    <w:basedOn w:val="1"/>
    <w:qFormat/>
    <w:uiPriority w:val="0"/>
    <w:pPr>
      <w:suppressAutoHyphens/>
      <w:spacing w:after="120"/>
      <w:ind w:left="420"/>
    </w:pPr>
    <w:rPr>
      <w:rFonts w:ascii="Times New Roman" w:hAnsi="Times New Roman"/>
      <w:sz w:val="16"/>
      <w:szCs w:val="20"/>
      <w:lang w:eastAsia="ar-SA"/>
    </w:rPr>
  </w:style>
  <w:style w:type="paragraph" w:customStyle="1" w:styleId="501">
    <w:name w:val="批注框文本2"/>
    <w:basedOn w:val="1"/>
    <w:semiHidden/>
    <w:qFormat/>
    <w:uiPriority w:val="0"/>
    <w:rPr>
      <w:rFonts w:ascii="Times New Roman" w:hAnsi="Times New Roman"/>
      <w:sz w:val="18"/>
      <w:szCs w:val="18"/>
    </w:rPr>
  </w:style>
  <w:style w:type="paragraph" w:customStyle="1" w:styleId="502">
    <w:name w:val="普通(网站)3"/>
    <w:basedOn w:val="1"/>
    <w:qFormat/>
    <w:uiPriority w:val="0"/>
    <w:pPr>
      <w:widowControl/>
      <w:spacing w:line="500" w:lineRule="exact"/>
      <w:ind w:firstLine="510"/>
    </w:pPr>
    <w:rPr>
      <w:rFonts w:ascii="仿宋_GB2312" w:hAnsi="宋体" w:eastAsia="仿宋_GB2312"/>
      <w:color w:val="000000"/>
      <w:spacing w:val="-10"/>
      <w:kern w:val="0"/>
      <w:szCs w:val="20"/>
    </w:rPr>
  </w:style>
  <w:style w:type="paragraph" w:customStyle="1" w:styleId="503">
    <w:name w:val="引言二级条标题"/>
    <w:basedOn w:val="423"/>
    <w:next w:val="269"/>
    <w:qFormat/>
    <w:uiPriority w:val="0"/>
  </w:style>
  <w:style w:type="paragraph" w:customStyle="1" w:styleId="504">
    <w:name w:val="正文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505">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6">
    <w:name w:val="正文_1"/>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507">
    <w:name w:val="样式2"/>
    <w:basedOn w:val="5"/>
    <w:qFormat/>
    <w:uiPriority w:val="0"/>
    <w:pPr>
      <w:keepNext/>
      <w:keepLines/>
      <w:widowControl w:val="0"/>
      <w:spacing w:before="260" w:beforeAutospacing="0" w:after="260" w:afterAutospacing="0" w:line="412" w:lineRule="auto"/>
      <w:jc w:val="both"/>
    </w:pPr>
    <w:rPr>
      <w:rFonts w:ascii="Calibri" w:hAnsi="Calibri" w:cs="Times New Roman"/>
      <w:bCs/>
      <w:color w:val="FF0000"/>
      <w:kern w:val="2"/>
      <w:sz w:val="32"/>
      <w:szCs w:val="22"/>
      <w:lang w:val="zh-CN"/>
    </w:rPr>
  </w:style>
  <w:style w:type="paragraph" w:customStyle="1" w:styleId="508">
    <w:name w:val="Char Char Char Char Char Char Char Char Char Char Char Char Char Char Char Char"/>
    <w:basedOn w:val="1"/>
    <w:qFormat/>
    <w:uiPriority w:val="0"/>
    <w:rPr>
      <w:rFonts w:ascii="Times New Roman" w:hAnsi="Times New Roman"/>
      <w:sz w:val="24"/>
      <w:szCs w:val="24"/>
    </w:rPr>
  </w:style>
  <w:style w:type="paragraph" w:customStyle="1" w:styleId="509">
    <w:name w:val="页脚 New New New New New New New New New New New New New New New New"/>
    <w:basedOn w:val="1"/>
    <w:qFormat/>
    <w:uiPriority w:val="0"/>
    <w:pPr>
      <w:tabs>
        <w:tab w:val="center" w:pos="4153"/>
        <w:tab w:val="right" w:pos="8306"/>
      </w:tabs>
      <w:snapToGrid w:val="0"/>
      <w:jc w:val="left"/>
    </w:pPr>
    <w:rPr>
      <w:rFonts w:ascii="Times New Roman" w:hAnsi="Times New Roman"/>
      <w:sz w:val="18"/>
      <w:szCs w:val="18"/>
    </w:rPr>
  </w:style>
  <w:style w:type="paragraph" w:customStyle="1" w:styleId="510">
    <w:name w:val="附录图标题"/>
    <w:basedOn w:val="511"/>
    <w:next w:val="269"/>
    <w:qFormat/>
    <w:uiPriority w:val="0"/>
    <w:pPr>
      <w:tabs>
        <w:tab w:val="left" w:pos="210"/>
      </w:tabs>
    </w:pPr>
  </w:style>
  <w:style w:type="paragraph" w:customStyle="1" w:styleId="511">
    <w:name w:val="正文图标题"/>
    <w:basedOn w:val="438"/>
    <w:next w:val="269"/>
    <w:qFormat/>
    <w:uiPriority w:val="0"/>
    <w:pPr>
      <w:tabs>
        <w:tab w:val="clear" w:pos="420"/>
      </w:tabs>
    </w:pPr>
  </w:style>
  <w:style w:type="paragraph" w:customStyle="1" w:styleId="51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513">
    <w:name w:val="正文首行缩进3"/>
    <w:basedOn w:val="20"/>
    <w:qFormat/>
    <w:uiPriority w:val="0"/>
    <w:pPr>
      <w:ind w:firstLine="420" w:firstLineChars="100"/>
    </w:pPr>
    <w:rPr>
      <w:sz w:val="30"/>
      <w:szCs w:val="24"/>
    </w:rPr>
  </w:style>
  <w:style w:type="paragraph" w:customStyle="1" w:styleId="514">
    <w:name w:val="msonormal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15">
    <w:name w:val="正文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516">
    <w:name w:val="Normal_2"/>
    <w:qFormat/>
    <w:uiPriority w:val="0"/>
    <w:rPr>
      <w:rFonts w:ascii="Times New Roman" w:hAnsi="Times New Roman" w:eastAsia="Times New Roman" w:cs="Times New Roman"/>
      <w:sz w:val="24"/>
      <w:szCs w:val="24"/>
      <w:lang w:val="en-US" w:eastAsia="zh-CN" w:bidi="ar-SA"/>
    </w:rPr>
  </w:style>
  <w:style w:type="paragraph" w:customStyle="1" w:styleId="517">
    <w:name w:val="普通(网站)1"/>
    <w:basedOn w:val="1"/>
    <w:qFormat/>
    <w:uiPriority w:val="0"/>
    <w:pPr>
      <w:widowControl/>
      <w:spacing w:line="500" w:lineRule="exact"/>
      <w:ind w:firstLine="510"/>
    </w:pPr>
    <w:rPr>
      <w:rFonts w:ascii="仿宋_GB2312" w:hAnsi="宋体" w:eastAsia="仿宋_GB2312"/>
      <w:color w:val="000000"/>
      <w:spacing w:val="-10"/>
      <w:kern w:val="0"/>
      <w:szCs w:val="20"/>
    </w:rPr>
  </w:style>
  <w:style w:type="paragraph" w:customStyle="1" w:styleId="518">
    <w:name w:val="术语定义五级条标题"/>
    <w:basedOn w:val="273"/>
    <w:next w:val="269"/>
    <w:qFormat/>
    <w:uiPriority w:val="0"/>
    <w:pPr>
      <w:numPr>
        <w:ilvl w:val="0"/>
        <w:numId w:val="0"/>
      </w:numPr>
      <w:tabs>
        <w:tab w:val="left" w:pos="1440"/>
        <w:tab w:val="clear" w:pos="360"/>
        <w:tab w:val="clear" w:pos="420"/>
      </w:tabs>
      <w:spacing w:beforeLines="0" w:afterLines="0"/>
      <w:outlineLvl w:val="9"/>
    </w:pPr>
  </w:style>
  <w:style w:type="paragraph" w:customStyle="1" w:styleId="519">
    <w:name w:val="正文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0">
    <w:name w:val="Char Char Char Char Char Char Char Char Char Char Char Char"/>
    <w:basedOn w:val="1"/>
    <w:qFormat/>
    <w:uiPriority w:val="0"/>
    <w:pPr>
      <w:spacing w:line="360" w:lineRule="auto"/>
    </w:pPr>
    <w:rPr>
      <w:rFonts w:ascii="Tahoma" w:hAnsi="Tahoma"/>
      <w:sz w:val="24"/>
      <w:szCs w:val="20"/>
    </w:rPr>
  </w:style>
  <w:style w:type="paragraph" w:customStyle="1" w:styleId="521">
    <w:name w:val="样式 样式 标题 4 + Times New Roman + 段前: 0.5 行 段后: 0.5 行1"/>
    <w:basedOn w:val="1"/>
    <w:qFormat/>
    <w:uiPriority w:val="0"/>
    <w:pPr>
      <w:keepNext/>
      <w:keepLines/>
      <w:tabs>
        <w:tab w:val="left" w:pos="0"/>
      </w:tabs>
      <w:spacing w:beforeLines="50" w:afterLines="50" w:line="480" w:lineRule="exact"/>
      <w:outlineLvl w:val="3"/>
    </w:pPr>
    <w:rPr>
      <w:rFonts w:ascii="Times New Roman" w:hAnsi="Times New Roman" w:cs="宋体"/>
      <w:b/>
      <w:bCs/>
      <w:sz w:val="24"/>
      <w:szCs w:val="20"/>
    </w:rPr>
  </w:style>
  <w:style w:type="paragraph" w:customStyle="1" w:styleId="522">
    <w:name w:val="表格文字"/>
    <w:basedOn w:val="1"/>
    <w:qFormat/>
    <w:uiPriority w:val="0"/>
    <w:pPr>
      <w:adjustRightInd w:val="0"/>
      <w:spacing w:line="420" w:lineRule="atLeast"/>
      <w:jc w:val="left"/>
    </w:pPr>
    <w:rPr>
      <w:rFonts w:ascii="Times New Roman" w:hAnsi="Times New Roman"/>
      <w:kern w:val="0"/>
      <w:szCs w:val="20"/>
    </w:rPr>
  </w:style>
  <w:style w:type="paragraph" w:customStyle="1" w:styleId="523">
    <w:name w:val="三级无标题条"/>
    <w:basedOn w:val="1"/>
    <w:qFormat/>
    <w:uiPriority w:val="0"/>
    <w:rPr>
      <w:rFonts w:ascii="Times New Roman" w:hAnsi="Times New Roman"/>
      <w:b/>
      <w:szCs w:val="20"/>
    </w:rPr>
  </w:style>
  <w:style w:type="paragraph" w:customStyle="1" w:styleId="524">
    <w:name w:val="标准书眉一"/>
    <w:qFormat/>
    <w:uiPriority w:val="0"/>
    <w:pPr>
      <w:jc w:val="both"/>
    </w:pPr>
    <w:rPr>
      <w:rFonts w:ascii="Times New Roman" w:hAnsi="Times New Roman" w:eastAsia="宋体" w:cs="Times New Roman"/>
      <w:lang w:val="en-US" w:eastAsia="zh-CN" w:bidi="ar-SA"/>
    </w:rPr>
  </w:style>
  <w:style w:type="paragraph" w:customStyle="1" w:styleId="525">
    <w:name w:val="目录文字"/>
    <w:basedOn w:val="1"/>
    <w:qFormat/>
    <w:uiPriority w:val="0"/>
    <w:pPr>
      <w:widowControl/>
      <w:spacing w:line="480" w:lineRule="auto"/>
      <w:jc w:val="left"/>
    </w:pPr>
    <w:rPr>
      <w:rFonts w:ascii="宋体" w:hAnsi="宋体"/>
      <w:kern w:val="0"/>
      <w:sz w:val="24"/>
      <w:szCs w:val="20"/>
    </w:rPr>
  </w:style>
  <w:style w:type="paragraph" w:customStyle="1" w:styleId="526">
    <w:name w:val="样式 标题 1 + 宋体 居中 段前: 48 磅 段后: 12 磅 行距: 1.5 倍行距"/>
    <w:basedOn w:val="3"/>
    <w:qFormat/>
    <w:uiPriority w:val="0"/>
    <w:pPr>
      <w:snapToGrid w:val="0"/>
      <w:spacing w:before="1560" w:after="240"/>
      <w:jc w:val="both"/>
    </w:pPr>
    <w:rPr>
      <w:rFonts w:hint="eastAsia" w:ascii="宋体" w:hAnsi="宋体" w:eastAsia="仿宋_GB2312" w:cs="宋体"/>
      <w:kern w:val="2"/>
      <w:sz w:val="36"/>
      <w:szCs w:val="20"/>
    </w:rPr>
  </w:style>
  <w:style w:type="paragraph" w:customStyle="1" w:styleId="527">
    <w:name w:val="Char1 Char Char Char Char Char Char1 Char Char Char"/>
    <w:basedOn w:val="1"/>
    <w:qFormat/>
    <w:uiPriority w:val="0"/>
    <w:rPr>
      <w:rFonts w:ascii="Times New Roman" w:hAnsi="Times New Roman"/>
      <w:sz w:val="30"/>
      <w:szCs w:val="24"/>
    </w:rPr>
  </w:style>
  <w:style w:type="paragraph" w:customStyle="1" w:styleId="528">
    <w:name w:val="1级列项"/>
    <w:basedOn w:val="1"/>
    <w:qFormat/>
    <w:uiPriority w:val="0"/>
    <w:pPr>
      <w:numPr>
        <w:ilvl w:val="0"/>
        <w:numId w:val="8"/>
      </w:numPr>
      <w:tabs>
        <w:tab w:val="left" w:pos="839"/>
        <w:tab w:val="left" w:pos="927"/>
      </w:tabs>
      <w:spacing w:line="480" w:lineRule="exact"/>
    </w:pPr>
    <w:rPr>
      <w:rFonts w:ascii="Times New Roman" w:hAnsi="Times New Roman"/>
      <w:sz w:val="24"/>
      <w:szCs w:val="24"/>
    </w:rPr>
  </w:style>
  <w:style w:type="paragraph" w:customStyle="1" w:styleId="529">
    <w:name w:val="Body Text Bold"/>
    <w:basedOn w:val="20"/>
    <w:next w:val="20"/>
    <w:qFormat/>
    <w:uiPriority w:val="0"/>
    <w:pPr>
      <w:keepNext/>
      <w:widowControl/>
      <w:tabs>
        <w:tab w:val="left" w:pos="360"/>
        <w:tab w:val="left" w:pos="1440"/>
      </w:tabs>
      <w:spacing w:before="360" w:after="0" w:line="360" w:lineRule="auto"/>
      <w:jc w:val="left"/>
    </w:pPr>
    <w:rPr>
      <w:b/>
      <w:i/>
      <w:color w:val="0000FF"/>
      <w:kern w:val="0"/>
      <w:sz w:val="24"/>
      <w:u w:val="single"/>
      <w:lang w:eastAsia="en-US"/>
    </w:rPr>
  </w:style>
  <w:style w:type="paragraph" w:customStyle="1" w:styleId="530">
    <w:name w:val="工程建设无节条标题"/>
    <w:basedOn w:val="1"/>
    <w:next w:val="269"/>
    <w:qFormat/>
    <w:uiPriority w:val="0"/>
    <w:pPr>
      <w:outlineLvl w:val="3"/>
    </w:pPr>
    <w:rPr>
      <w:rFonts w:ascii="Times New Roman" w:hAnsi="Times New Roman"/>
      <w:szCs w:val="20"/>
    </w:rPr>
  </w:style>
  <w:style w:type="paragraph" w:customStyle="1" w:styleId="531">
    <w:name w:val="页脚 New New New New New New New New New New New New New New New New New New New New New New"/>
    <w:basedOn w:val="1"/>
    <w:qFormat/>
    <w:uiPriority w:val="0"/>
    <w:pPr>
      <w:tabs>
        <w:tab w:val="center" w:pos="4153"/>
        <w:tab w:val="right" w:pos="8306"/>
      </w:tabs>
      <w:snapToGrid w:val="0"/>
      <w:jc w:val="left"/>
    </w:pPr>
    <w:rPr>
      <w:rFonts w:ascii="Times New Roman" w:hAnsi="Times New Roman"/>
      <w:sz w:val="18"/>
      <w:szCs w:val="18"/>
    </w:rPr>
  </w:style>
  <w:style w:type="paragraph" w:customStyle="1" w:styleId="532">
    <w:name w:val="正文文本 New"/>
    <w:basedOn w:val="165"/>
    <w:qFormat/>
    <w:uiPriority w:val="0"/>
    <w:pPr>
      <w:spacing w:after="120"/>
    </w:pPr>
    <w:rPr>
      <w:rFonts w:eastAsia="宋体"/>
      <w:kern w:val="2"/>
      <w:sz w:val="30"/>
      <w:szCs w:val="24"/>
    </w:rPr>
  </w:style>
  <w:style w:type="paragraph" w:customStyle="1" w:styleId="533">
    <w:name w:val="默认段落字体 Para Char Char Char Char"/>
    <w:basedOn w:val="1"/>
    <w:qFormat/>
    <w:uiPriority w:val="0"/>
    <w:pPr>
      <w:spacing w:line="360" w:lineRule="auto"/>
    </w:pPr>
    <w:rPr>
      <w:rFonts w:ascii="Tahoma" w:hAnsi="Tahoma"/>
      <w:sz w:val="24"/>
      <w:szCs w:val="20"/>
    </w:rPr>
  </w:style>
  <w:style w:type="paragraph" w:customStyle="1" w:styleId="534">
    <w:name w:val="正文文本缩进 34"/>
    <w:basedOn w:val="1"/>
    <w:qFormat/>
    <w:uiPriority w:val="0"/>
    <w:pPr>
      <w:snapToGrid w:val="0"/>
      <w:spacing w:line="360" w:lineRule="auto"/>
      <w:ind w:left="20" w:firstLine="529" w:firstLineChars="189"/>
    </w:pPr>
    <w:rPr>
      <w:rFonts w:ascii="仿宋_GB2312" w:hAnsi="Times New Roman" w:eastAsia="仿宋_GB2312"/>
      <w:sz w:val="28"/>
      <w:szCs w:val="24"/>
    </w:rPr>
  </w:style>
  <w:style w:type="paragraph" w:customStyle="1" w:styleId="535">
    <w:name w:val="正文文本缩进 24"/>
    <w:basedOn w:val="1"/>
    <w:qFormat/>
    <w:uiPriority w:val="0"/>
    <w:pPr>
      <w:spacing w:line="420" w:lineRule="exact"/>
      <w:ind w:firstLine="480"/>
    </w:pPr>
    <w:rPr>
      <w:rFonts w:ascii="Times New Roman" w:hAnsi="Times New Roman"/>
      <w:b/>
      <w:sz w:val="24"/>
      <w:szCs w:val="20"/>
    </w:rPr>
  </w:style>
  <w:style w:type="paragraph" w:customStyle="1" w:styleId="536">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537">
    <w:name w:val="发布日期"/>
    <w:qFormat/>
    <w:uiPriority w:val="0"/>
    <w:rPr>
      <w:rFonts w:ascii="Times New Roman" w:hAnsi="Times New Roman" w:eastAsia="黑体" w:cs="Times New Roman"/>
      <w:sz w:val="28"/>
      <w:lang w:val="en-US" w:eastAsia="zh-CN" w:bidi="ar-SA"/>
    </w:rPr>
  </w:style>
  <w:style w:type="paragraph" w:customStyle="1" w:styleId="538">
    <w:name w:val="页脚 New New New New New New"/>
    <w:basedOn w:val="1"/>
    <w:qFormat/>
    <w:uiPriority w:val="0"/>
    <w:pPr>
      <w:tabs>
        <w:tab w:val="center" w:pos="4153"/>
        <w:tab w:val="right" w:pos="8306"/>
      </w:tabs>
      <w:snapToGrid w:val="0"/>
      <w:jc w:val="left"/>
    </w:pPr>
    <w:rPr>
      <w:rFonts w:ascii="Times New Roman" w:hAnsi="Times New Roman"/>
      <w:sz w:val="18"/>
      <w:szCs w:val="18"/>
    </w:rPr>
  </w:style>
  <w:style w:type="paragraph" w:customStyle="1" w:styleId="539">
    <w:name w:val="表格"/>
    <w:basedOn w:val="1"/>
    <w:qFormat/>
    <w:uiPriority w:val="0"/>
    <w:pPr>
      <w:jc w:val="center"/>
    </w:pPr>
    <w:rPr>
      <w:rFonts w:ascii="华文细黑" w:hAnsi="华文细黑"/>
      <w:kern w:val="0"/>
      <w:szCs w:val="20"/>
    </w:rPr>
  </w:style>
  <w:style w:type="paragraph" w:customStyle="1" w:styleId="540">
    <w:name w:val="Formatvorlage1"/>
    <w:basedOn w:val="1"/>
    <w:qFormat/>
    <w:uiPriority w:val="0"/>
    <w:pPr>
      <w:widowControl/>
      <w:tabs>
        <w:tab w:val="left" w:pos="708"/>
        <w:tab w:val="left" w:pos="960"/>
        <w:tab w:val="left" w:pos="1416"/>
        <w:tab w:val="left" w:pos="2124"/>
        <w:tab w:val="left" w:pos="2832"/>
        <w:tab w:val="left" w:pos="3540"/>
        <w:tab w:val="left" w:pos="4248"/>
        <w:tab w:val="left" w:pos="4956"/>
        <w:tab w:val="left" w:pos="5664"/>
        <w:tab w:val="left" w:pos="6372"/>
        <w:tab w:val="left" w:pos="7080"/>
        <w:tab w:val="left" w:pos="7788"/>
      </w:tabs>
      <w:ind w:left="960" w:hanging="420"/>
      <w:jc w:val="left"/>
    </w:pPr>
    <w:rPr>
      <w:rFonts w:ascii="Arial" w:hAnsi="Arial"/>
      <w:kern w:val="0"/>
      <w:sz w:val="20"/>
      <w:szCs w:val="20"/>
      <w:lang w:val="de-DE" w:eastAsia="de-DE"/>
    </w:rPr>
  </w:style>
  <w:style w:type="paragraph" w:customStyle="1" w:styleId="541">
    <w:name w:val="msonospacing"/>
    <w:qFormat/>
    <w:uiPriority w:val="0"/>
    <w:rPr>
      <w:rFonts w:ascii="Times New Roman" w:hAnsi="Times New Roman" w:eastAsia="Times New Roman" w:cs="Times New Roman"/>
      <w:kern w:val="2"/>
      <w:sz w:val="22"/>
      <w:lang w:val="en-US" w:eastAsia="zh-CN" w:bidi="ar-SA"/>
    </w:rPr>
  </w:style>
  <w:style w:type="paragraph" w:customStyle="1" w:styleId="542">
    <w:name w:val="修订3"/>
    <w:semiHidden/>
    <w:qFormat/>
    <w:uiPriority w:val="99"/>
    <w:rPr>
      <w:rFonts w:ascii="Calibri" w:hAnsi="Calibri" w:eastAsia="宋体" w:cs="Times New Roman"/>
      <w:kern w:val="2"/>
      <w:sz w:val="21"/>
      <w:szCs w:val="22"/>
      <w:lang w:val="en-US" w:eastAsia="zh-CN" w:bidi="ar-SA"/>
    </w:rPr>
  </w:style>
  <w:style w:type="paragraph" w:customStyle="1" w:styleId="543">
    <w:name w:val="封面标准代替信息"/>
    <w:basedOn w:val="382"/>
    <w:qFormat/>
    <w:uiPriority w:val="0"/>
    <w:pPr>
      <w:spacing w:before="57"/>
    </w:pPr>
    <w:rPr>
      <w:rFonts w:ascii="宋体"/>
      <w:sz w:val="21"/>
    </w:rPr>
  </w:style>
  <w:style w:type="paragraph" w:customStyle="1" w:styleId="544">
    <w:name w:val="页脚 New New New New New New New New"/>
    <w:basedOn w:val="1"/>
    <w:qFormat/>
    <w:uiPriority w:val="0"/>
    <w:pPr>
      <w:tabs>
        <w:tab w:val="center" w:pos="4153"/>
        <w:tab w:val="right" w:pos="8306"/>
      </w:tabs>
      <w:snapToGrid w:val="0"/>
      <w:jc w:val="left"/>
    </w:pPr>
    <w:rPr>
      <w:rFonts w:ascii="Times New Roman" w:hAnsi="Times New Roman"/>
      <w:sz w:val="18"/>
      <w:szCs w:val="18"/>
    </w:rPr>
  </w:style>
  <w:style w:type="paragraph" w:customStyle="1" w:styleId="545">
    <w:name w:val="实施日期"/>
    <w:basedOn w:val="537"/>
    <w:qFormat/>
    <w:uiPriority w:val="0"/>
    <w:pPr>
      <w:jc w:val="right"/>
    </w:pPr>
  </w:style>
  <w:style w:type="paragraph" w:customStyle="1" w:styleId="546">
    <w:name w:val="Char2 Char Char Char"/>
    <w:basedOn w:val="1"/>
    <w:qFormat/>
    <w:uiPriority w:val="0"/>
    <w:pPr>
      <w:tabs>
        <w:tab w:val="left" w:pos="1350"/>
      </w:tabs>
      <w:ind w:left="1350" w:hanging="720"/>
    </w:pPr>
    <w:rPr>
      <w:rFonts w:ascii="Times New Roman" w:hAnsi="Times New Roman"/>
      <w:sz w:val="24"/>
      <w:szCs w:val="24"/>
    </w:rPr>
  </w:style>
  <w:style w:type="paragraph" w:customStyle="1" w:styleId="547">
    <w:name w:val="五级无标题条"/>
    <w:basedOn w:val="1"/>
    <w:qFormat/>
    <w:uiPriority w:val="0"/>
    <w:rPr>
      <w:rFonts w:ascii="黑体" w:hAnsi="Times New Roman" w:eastAsia="黑体"/>
      <w:b/>
      <w:szCs w:val="20"/>
    </w:rPr>
  </w:style>
  <w:style w:type="paragraph" w:customStyle="1" w:styleId="548">
    <w:name w:val="列出段落2"/>
    <w:basedOn w:val="1"/>
    <w:qFormat/>
    <w:uiPriority w:val="0"/>
    <w:pPr>
      <w:ind w:firstLine="420" w:firstLineChars="200"/>
    </w:pPr>
    <w:rPr>
      <w:rFonts w:ascii="Times New Roman" w:hAnsi="Times New Roman"/>
      <w:szCs w:val="24"/>
    </w:rPr>
  </w:style>
  <w:style w:type="paragraph" w:customStyle="1" w:styleId="549">
    <w:name w:val="纯文本4"/>
    <w:basedOn w:val="1"/>
    <w:qFormat/>
    <w:uiPriority w:val="0"/>
    <w:rPr>
      <w:rFonts w:ascii="宋体" w:hAnsi="Courier New"/>
      <w:sz w:val="24"/>
      <w:szCs w:val="20"/>
    </w:rPr>
  </w:style>
  <w:style w:type="paragraph" w:customStyle="1" w:styleId="550">
    <w:name w:val="正文文本缩进 New New"/>
    <w:basedOn w:val="1"/>
    <w:qFormat/>
    <w:uiPriority w:val="0"/>
    <w:pPr>
      <w:spacing w:after="120"/>
      <w:ind w:left="420" w:leftChars="200"/>
    </w:pPr>
    <w:rPr>
      <w:rFonts w:ascii="Times New Roman" w:eastAsia="楷体_GB2312"/>
      <w:szCs w:val="20"/>
    </w:rPr>
  </w:style>
  <w:style w:type="paragraph" w:customStyle="1" w:styleId="551">
    <w:name w:val="Char Char"/>
    <w:basedOn w:val="1"/>
    <w:qFormat/>
    <w:uiPriority w:val="0"/>
    <w:pPr>
      <w:spacing w:line="360" w:lineRule="auto"/>
    </w:pPr>
    <w:rPr>
      <w:rFonts w:ascii="Tahoma" w:hAnsi="Tahoma"/>
      <w:sz w:val="24"/>
      <w:szCs w:val="20"/>
    </w:rPr>
  </w:style>
  <w:style w:type="paragraph" w:customStyle="1" w:styleId="552">
    <w:name w:val="样式1"/>
    <w:basedOn w:val="5"/>
    <w:qFormat/>
    <w:uiPriority w:val="0"/>
    <w:pPr>
      <w:keepNext/>
      <w:keepLines/>
      <w:widowControl w:val="0"/>
      <w:spacing w:before="260" w:beforeAutospacing="0" w:after="260" w:afterAutospacing="0" w:line="412" w:lineRule="auto"/>
      <w:jc w:val="both"/>
    </w:pPr>
    <w:rPr>
      <w:rFonts w:ascii="Calibri" w:hAnsi="Calibri" w:eastAsia="Arial" w:cs="Times New Roman"/>
      <w:bCs/>
      <w:color w:val="FF0000"/>
      <w:kern w:val="2"/>
      <w:sz w:val="32"/>
      <w:szCs w:val="22"/>
      <w:lang w:val="zh-CN"/>
    </w:rPr>
  </w:style>
  <w:style w:type="paragraph" w:customStyle="1" w:styleId="553">
    <w:name w:val="普通(网站)2"/>
    <w:basedOn w:val="1"/>
    <w:qFormat/>
    <w:uiPriority w:val="0"/>
    <w:pPr>
      <w:widowControl/>
      <w:spacing w:line="500" w:lineRule="exact"/>
      <w:ind w:firstLine="510"/>
    </w:pPr>
    <w:rPr>
      <w:rFonts w:ascii="仿宋_GB2312" w:hAnsi="宋体" w:eastAsia="仿宋_GB2312"/>
      <w:color w:val="000000"/>
      <w:spacing w:val="-10"/>
      <w:kern w:val="0"/>
      <w:szCs w:val="20"/>
    </w:rPr>
  </w:style>
  <w:style w:type="paragraph" w:customStyle="1" w:styleId="554">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55">
    <w:name w:val="正文首行缩进 New"/>
    <w:basedOn w:val="532"/>
    <w:qFormat/>
    <w:uiPriority w:val="0"/>
    <w:pPr>
      <w:ind w:firstLine="420" w:firstLineChars="100"/>
    </w:pPr>
  </w:style>
  <w:style w:type="paragraph" w:customStyle="1" w:styleId="556">
    <w:name w:val="Normal_3"/>
    <w:qFormat/>
    <w:uiPriority w:val="0"/>
    <w:rPr>
      <w:rFonts w:ascii="Times New Roman" w:hAnsi="Times New Roman" w:eastAsia="Times New Roman" w:cs="Times New Roman"/>
      <w:sz w:val="24"/>
      <w:szCs w:val="24"/>
      <w:lang w:val="en-US" w:eastAsia="zh-CN" w:bidi="ar-SA"/>
    </w:rPr>
  </w:style>
  <w:style w:type="paragraph" w:customStyle="1" w:styleId="557">
    <w:name w:val="Char Char1 Char 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 w:val="24"/>
      <w:szCs w:val="18"/>
    </w:rPr>
  </w:style>
  <w:style w:type="paragraph" w:customStyle="1" w:styleId="558">
    <w:name w:val="尾注文本 New"/>
    <w:basedOn w:val="413"/>
    <w:qFormat/>
    <w:uiPriority w:val="0"/>
    <w:pPr>
      <w:snapToGrid w:val="0"/>
      <w:jc w:val="left"/>
    </w:pPr>
    <w:rPr>
      <w:rFonts w:ascii="宋体" w:hAnsi="宋体" w:eastAsia="宋体"/>
      <w:szCs w:val="24"/>
    </w:rPr>
  </w:style>
  <w:style w:type="paragraph" w:customStyle="1" w:styleId="559">
    <w:name w:val="样式 111"/>
    <w:basedOn w:val="1"/>
    <w:qFormat/>
    <w:uiPriority w:val="0"/>
    <w:pPr>
      <w:keepNext/>
      <w:widowControl/>
      <w:spacing w:before="120" w:after="120" w:line="360" w:lineRule="auto"/>
      <w:jc w:val="left"/>
      <w:outlineLvl w:val="2"/>
    </w:pPr>
    <w:rPr>
      <w:rFonts w:ascii="Cambria" w:hAnsi="Cambria" w:eastAsia="黑体" w:cs="宋体"/>
      <w:b/>
      <w:bCs/>
      <w:kern w:val="0"/>
      <w:sz w:val="28"/>
      <w:szCs w:val="20"/>
      <w:lang w:eastAsia="en-US" w:bidi="en-US"/>
    </w:rPr>
  </w:style>
  <w:style w:type="paragraph" w:customStyle="1" w:styleId="560">
    <w:name w:val="一级无标题条"/>
    <w:basedOn w:val="1"/>
    <w:qFormat/>
    <w:uiPriority w:val="0"/>
    <w:pPr>
      <w:tabs>
        <w:tab w:val="left" w:pos="420"/>
      </w:tabs>
    </w:pPr>
    <w:rPr>
      <w:rFonts w:ascii="Times New Roman" w:hAnsi="Times New Roman"/>
      <w:b/>
      <w:szCs w:val="20"/>
    </w:rPr>
  </w:style>
  <w:style w:type="paragraph" w:customStyle="1" w:styleId="561">
    <w:name w:val="标准"/>
    <w:basedOn w:val="1"/>
    <w:qFormat/>
    <w:uiPriority w:val="0"/>
    <w:pPr>
      <w:adjustRightInd w:val="0"/>
      <w:spacing w:line="312" w:lineRule="atLeast"/>
      <w:textAlignment w:val="baseline"/>
    </w:pPr>
    <w:rPr>
      <w:rFonts w:ascii="Times New Roman" w:hAnsi="Times New Roman"/>
      <w:kern w:val="0"/>
      <w:szCs w:val="20"/>
    </w:rPr>
  </w:style>
  <w:style w:type="paragraph" w:customStyle="1" w:styleId="562">
    <w:name w:val="样式4"/>
    <w:basedOn w:val="5"/>
    <w:qFormat/>
    <w:uiPriority w:val="0"/>
    <w:pPr>
      <w:keepNext/>
      <w:keepLines/>
      <w:widowControl w:val="0"/>
      <w:spacing w:before="260" w:beforeAutospacing="0" w:after="260" w:afterAutospacing="0" w:line="412" w:lineRule="auto"/>
      <w:jc w:val="both"/>
    </w:pPr>
    <w:rPr>
      <w:rFonts w:ascii="Calibri" w:hAnsi="Calibri" w:eastAsia="Arial" w:cs="Times New Roman"/>
      <w:bCs/>
      <w:color w:val="FF0000"/>
      <w:kern w:val="2"/>
      <w:sz w:val="32"/>
      <w:szCs w:val="22"/>
      <w:lang w:val="zh-CN"/>
    </w:rPr>
  </w:style>
  <w:style w:type="paragraph" w:customStyle="1" w:styleId="563">
    <w:name w:val="样式 楷体_GB2312"/>
    <w:basedOn w:val="1"/>
    <w:qFormat/>
    <w:uiPriority w:val="0"/>
    <w:pPr>
      <w:spacing w:beforeLines="50" w:afterLines="50" w:line="360" w:lineRule="auto"/>
      <w:jc w:val="center"/>
    </w:pPr>
    <w:rPr>
      <w:rFonts w:ascii="楷体_GB2312" w:hAnsi="Times New Roman" w:eastAsia="楷体_GB2312" w:cs="宋体"/>
      <w:sz w:val="24"/>
      <w:szCs w:val="20"/>
    </w:rPr>
  </w:style>
  <w:style w:type="paragraph" w:customStyle="1" w:styleId="564">
    <w:name w:val="附录四级条标题"/>
    <w:basedOn w:val="326"/>
    <w:next w:val="269"/>
    <w:qFormat/>
    <w:uiPriority w:val="0"/>
    <w:pPr>
      <w:outlineLvl w:val="5"/>
    </w:pPr>
  </w:style>
  <w:style w:type="paragraph" w:customStyle="1" w:styleId="565">
    <w:name w:val="页脚 New New New New New New New New New"/>
    <w:basedOn w:val="1"/>
    <w:qFormat/>
    <w:uiPriority w:val="0"/>
    <w:pPr>
      <w:tabs>
        <w:tab w:val="center" w:pos="4153"/>
        <w:tab w:val="right" w:pos="8306"/>
      </w:tabs>
      <w:snapToGrid w:val="0"/>
      <w:jc w:val="left"/>
    </w:pPr>
    <w:rPr>
      <w:rFonts w:ascii="Times New Roman" w:hAnsi="Times New Roman"/>
      <w:sz w:val="18"/>
      <w:szCs w:val="18"/>
    </w:rPr>
  </w:style>
  <w:style w:type="paragraph" w:customStyle="1" w:styleId="566">
    <w:name w:val="式中"/>
    <w:next w:val="269"/>
    <w:qFormat/>
    <w:uiPriority w:val="0"/>
    <w:pPr>
      <w:tabs>
        <w:tab w:val="left" w:pos="210"/>
      </w:tabs>
      <w:ind w:firstLine="198"/>
    </w:pPr>
    <w:rPr>
      <w:rFonts w:ascii="宋体" w:hAnsi="Times New Roman" w:eastAsia="宋体" w:cs="Times New Roman"/>
      <w:sz w:val="18"/>
      <w:lang w:val="en-US" w:eastAsia="zh-CN" w:bidi="ar-SA"/>
    </w:rPr>
  </w:style>
  <w:style w:type="paragraph" w:customStyle="1" w:styleId="567">
    <w:name w:val="样式 标题 2 + Times New Roman 四号 非加粗 段前: 5 磅 段后: 0 磅 行距: 固定值 20..."/>
    <w:basedOn w:val="4"/>
    <w:qFormat/>
    <w:uiPriority w:val="0"/>
    <w:pPr>
      <w:spacing w:before="100" w:after="0" w:line="400" w:lineRule="exact"/>
      <w:ind w:left="0"/>
      <w:jc w:val="both"/>
    </w:pPr>
    <w:rPr>
      <w:rFonts w:hint="eastAsia" w:ascii="Times New Roman" w:hAnsi="Times New Roman" w:eastAsia="黑体" w:cs="宋体"/>
      <w:color w:val="auto"/>
      <w:kern w:val="0"/>
      <w:sz w:val="28"/>
      <w:szCs w:val="20"/>
    </w:rPr>
  </w:style>
  <w:style w:type="paragraph" w:customStyle="1" w:styleId="568">
    <w:name w:val="附录五级条标题"/>
    <w:basedOn w:val="564"/>
    <w:next w:val="269"/>
    <w:qFormat/>
    <w:uiPriority w:val="0"/>
    <w:pPr>
      <w:outlineLvl w:val="6"/>
    </w:pPr>
  </w:style>
  <w:style w:type="paragraph" w:customStyle="1" w:styleId="569">
    <w:name w:val="正文首行缩进2"/>
    <w:basedOn w:val="20"/>
    <w:qFormat/>
    <w:uiPriority w:val="0"/>
    <w:pPr>
      <w:ind w:firstLine="420" w:firstLineChars="100"/>
    </w:pPr>
    <w:rPr>
      <w:rFonts w:hAnsi="Calibri"/>
      <w:kern w:val="0"/>
      <w:sz w:val="30"/>
      <w:szCs w:val="24"/>
    </w:rPr>
  </w:style>
  <w:style w:type="paragraph" w:customStyle="1" w:styleId="570">
    <w:name w:val="Char Char1 Char Char Char Char"/>
    <w:basedOn w:val="1"/>
    <w:qFormat/>
    <w:uiPriority w:val="0"/>
    <w:pPr>
      <w:widowControl/>
      <w:jc w:val="left"/>
    </w:pPr>
    <w:rPr>
      <w:rFonts w:ascii="Times New Roman" w:hAnsi="Times New Roman"/>
      <w:kern w:val="0"/>
      <w:sz w:val="20"/>
      <w:szCs w:val="20"/>
    </w:rPr>
  </w:style>
  <w:style w:type="paragraph" w:customStyle="1" w:styleId="571">
    <w:name w:val="正文文本缩进 21"/>
    <w:basedOn w:val="1"/>
    <w:qFormat/>
    <w:uiPriority w:val="0"/>
    <w:pPr>
      <w:suppressAutoHyphens/>
      <w:spacing w:after="120" w:line="480" w:lineRule="auto"/>
      <w:ind w:left="420"/>
    </w:pPr>
    <w:rPr>
      <w:rFonts w:ascii="Times New Roman" w:hAnsi="Times New Roman"/>
      <w:szCs w:val="20"/>
      <w:lang w:eastAsia="ar-SA"/>
    </w:rPr>
  </w:style>
  <w:style w:type="paragraph" w:customStyle="1" w:styleId="572">
    <w:name w:val="图表脚注"/>
    <w:next w:val="269"/>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573">
    <w:name w:val="工程建设款标题"/>
    <w:basedOn w:val="310"/>
    <w:qFormat/>
    <w:uiPriority w:val="0"/>
    <w:pPr>
      <w:spacing w:before="0" w:after="0"/>
      <w:jc w:val="left"/>
      <w:outlineLvl w:val="9"/>
    </w:pPr>
    <w:rPr>
      <w:b w:val="0"/>
    </w:rPr>
  </w:style>
  <w:style w:type="paragraph" w:customStyle="1" w:styleId="574">
    <w:name w:val="页脚 New New New New New New New New New New New New New New"/>
    <w:basedOn w:val="1"/>
    <w:qFormat/>
    <w:uiPriority w:val="0"/>
    <w:pPr>
      <w:tabs>
        <w:tab w:val="center" w:pos="4153"/>
        <w:tab w:val="right" w:pos="8306"/>
      </w:tabs>
      <w:snapToGrid w:val="0"/>
      <w:jc w:val="left"/>
    </w:pPr>
    <w:rPr>
      <w:rFonts w:ascii="Times New Roman" w:hAnsi="Times New Roman"/>
      <w:sz w:val="18"/>
      <w:szCs w:val="18"/>
    </w:rPr>
  </w:style>
  <w:style w:type="paragraph" w:customStyle="1" w:styleId="575">
    <w:name w:val="font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576">
    <w:name w:val="页脚 New"/>
    <w:basedOn w:val="373"/>
    <w:qFormat/>
    <w:uiPriority w:val="0"/>
    <w:pPr>
      <w:tabs>
        <w:tab w:val="center" w:pos="4153"/>
        <w:tab w:val="right" w:pos="8306"/>
      </w:tabs>
      <w:snapToGrid w:val="0"/>
      <w:jc w:val="left"/>
    </w:pPr>
    <w:rPr>
      <w:sz w:val="18"/>
    </w:rPr>
  </w:style>
  <w:style w:type="paragraph" w:customStyle="1" w:styleId="577">
    <w:name w:val="参考文献、索引标题"/>
    <w:basedOn w:val="324"/>
    <w:next w:val="1"/>
    <w:qFormat/>
    <w:uiPriority w:val="0"/>
    <w:pPr>
      <w:spacing w:after="200"/>
    </w:pPr>
    <w:rPr>
      <w:sz w:val="21"/>
    </w:rPr>
  </w:style>
  <w:style w:type="paragraph" w:customStyle="1" w:styleId="578">
    <w:name w:val="页脚 New New New New New New New New New New New New New New New New New"/>
    <w:basedOn w:val="1"/>
    <w:qFormat/>
    <w:uiPriority w:val="0"/>
    <w:pPr>
      <w:tabs>
        <w:tab w:val="center" w:pos="4153"/>
        <w:tab w:val="right" w:pos="8306"/>
      </w:tabs>
      <w:snapToGrid w:val="0"/>
      <w:jc w:val="left"/>
    </w:pPr>
    <w:rPr>
      <w:rFonts w:ascii="Times New Roman" w:hAnsi="Times New Roman"/>
      <w:sz w:val="18"/>
      <w:szCs w:val="18"/>
    </w:rPr>
  </w:style>
  <w:style w:type="paragraph" w:customStyle="1" w:styleId="579">
    <w:name w:val="其他发布部门"/>
    <w:basedOn w:val="372"/>
    <w:qFormat/>
    <w:uiPriority w:val="0"/>
    <w:pPr>
      <w:spacing w:line="0" w:lineRule="atLeast"/>
    </w:pPr>
    <w:rPr>
      <w:rFonts w:ascii="黑体" w:eastAsia="黑体"/>
      <w:b w:val="0"/>
    </w:rPr>
  </w:style>
  <w:style w:type="paragraph" w:customStyle="1" w:styleId="580">
    <w:name w:val="1"/>
    <w:basedOn w:val="1"/>
    <w:next w:val="1"/>
    <w:qFormat/>
    <w:uiPriority w:val="0"/>
    <w:rPr>
      <w:rFonts w:ascii="Times New Roman" w:hAnsi="Times New Roman"/>
    </w:rPr>
  </w:style>
  <w:style w:type="paragraph" w:customStyle="1" w:styleId="581">
    <w:name w:val="序号"/>
    <w:basedOn w:val="1"/>
    <w:qFormat/>
    <w:uiPriority w:val="0"/>
    <w:pPr>
      <w:numPr>
        <w:ilvl w:val="0"/>
        <w:numId w:val="9"/>
      </w:numPr>
      <w:tabs>
        <w:tab w:val="left" w:pos="927"/>
      </w:tabs>
      <w:spacing w:line="300" w:lineRule="auto"/>
      <w:ind w:firstLine="284"/>
    </w:pPr>
    <w:rPr>
      <w:rFonts w:ascii="宋体" w:hAnsi="宋体"/>
      <w:sz w:val="24"/>
      <w:szCs w:val="20"/>
    </w:rPr>
  </w:style>
  <w:style w:type="paragraph" w:customStyle="1" w:styleId="582">
    <w:name w:val="术语定义二级条标题"/>
    <w:basedOn w:val="459"/>
    <w:next w:val="269"/>
    <w:qFormat/>
    <w:uiPriority w:val="0"/>
    <w:pPr>
      <w:tabs>
        <w:tab w:val="left" w:pos="720"/>
        <w:tab w:val="clear" w:pos="357"/>
      </w:tabs>
    </w:pPr>
  </w:style>
  <w:style w:type="paragraph" w:customStyle="1" w:styleId="583">
    <w:name w:val="页脚 New New New New New New New New New New New New New New New New New New"/>
    <w:basedOn w:val="1"/>
    <w:qFormat/>
    <w:uiPriority w:val="0"/>
    <w:pPr>
      <w:tabs>
        <w:tab w:val="center" w:pos="4153"/>
        <w:tab w:val="right" w:pos="8306"/>
      </w:tabs>
      <w:snapToGrid w:val="0"/>
      <w:jc w:val="left"/>
    </w:pPr>
    <w:rPr>
      <w:rFonts w:ascii="Times New Roman" w:hAnsi="Times New Roman"/>
      <w:sz w:val="18"/>
      <w:szCs w:val="18"/>
    </w:rPr>
  </w:style>
  <w:style w:type="paragraph" w:customStyle="1" w:styleId="584">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character" w:customStyle="1" w:styleId="585">
    <w:name w:val="正文文本 + Century Schoolbook"/>
    <w:qFormat/>
    <w:uiPriority w:val="0"/>
    <w:rPr>
      <w:rFonts w:ascii="Century Schoolbook" w:hAnsi="Century Schoolbook" w:eastAsia="Century Schoolbook" w:cs="Century Schoolbook"/>
      <w:b/>
      <w:bCs/>
      <w:color w:val="000000"/>
      <w:spacing w:val="10"/>
      <w:w w:val="100"/>
      <w:position w:val="0"/>
      <w:sz w:val="17"/>
      <w:szCs w:val="17"/>
      <w:shd w:val="clear" w:color="auto" w:fill="FFFFFF"/>
      <w:lang w:val="en-US"/>
    </w:rPr>
  </w:style>
  <w:style w:type="paragraph" w:customStyle="1" w:styleId="586">
    <w:name w:val="修订4"/>
    <w:hidden/>
    <w:unhideWhenUsed/>
    <w:qFormat/>
    <w:uiPriority w:val="99"/>
    <w:rPr>
      <w:rFonts w:ascii="Calibri" w:hAnsi="Calibri" w:eastAsia="宋体" w:cs="Times New Roman"/>
      <w:kern w:val="2"/>
      <w:sz w:val="21"/>
      <w:szCs w:val="22"/>
      <w:lang w:val="en-US" w:eastAsia="zh-CN" w:bidi="ar-SA"/>
    </w:rPr>
  </w:style>
  <w:style w:type="paragraph" w:customStyle="1" w:styleId="587">
    <w:name w:val="Table Paragraph"/>
    <w:basedOn w:val="1"/>
    <w:unhideWhenUsed/>
    <w:qFormat/>
    <w:uiPriority w:val="1"/>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21876</Words>
  <Characters>23050</Characters>
  <Lines>375</Lines>
  <Paragraphs>105</Paragraphs>
  <TotalTime>0</TotalTime>
  <ScaleCrop>false</ScaleCrop>
  <LinksUpToDate>false</LinksUpToDate>
  <CharactersWithSpaces>23832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2023-07-14T08:19:00Z</cp:lastPrinted>
  <dcterms:created xsi:type="dcterms:W3CDTF">2025-01-22T07:46:00Z</dcterms:created>
  <dcterms:modified xsi:type="dcterms:W3CDTF">2025-04-16T10:51:17Z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48AEEB6683744EB78E950B15A94E0400_13</vt:lpwstr>
  </property>
  <property fmtid="{D5CDD505-2E9C-101B-9397-08002B2CF9AE}" pid="4" name="KSOTemplateDocerSaveRecord">
    <vt:lpwstr>eyJoZGlkIjoiMWUwNjg1M2Y3NTllMjk5M2VlMWNkYWRkNTM3Y2FlZTYiLCJ1c2VySWQiOiIzNzExNTI2MzgifQ==</vt:lpwstr>
  </property>
</Properties>
</file>