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F33F4D">
      <w:pPr>
        <w:spacing w:line="240" w:lineRule="auto"/>
        <w:jc w:val="left"/>
        <w:rPr>
          <w:rFonts w:ascii="黑体" w:hAnsi="黑体" w:eastAsia="黑体" w:cs="黑体"/>
          <w:b/>
          <w:bCs/>
          <w:color w:val="auto"/>
          <w:spacing w:val="18"/>
          <w:sz w:val="44"/>
          <w:szCs w:val="44"/>
          <w:highlight w:val="none"/>
        </w:rPr>
      </w:pPr>
      <w:r>
        <w:rPr>
          <w:rFonts w:ascii="黑体" w:hAnsi="黑体" w:eastAsia="黑体" w:cs="黑体"/>
          <w:b/>
          <w:bCs/>
          <w:color w:val="auto"/>
          <w:spacing w:val="18"/>
          <w:sz w:val="44"/>
          <w:szCs w:val="44"/>
          <w:highlight w:val="none"/>
        </w:rPr>
        <w:drawing>
          <wp:inline distT="0" distB="0" distL="114300" distR="114300">
            <wp:extent cx="5592445" cy="7711440"/>
            <wp:effectExtent l="0" t="0" r="8255" b="3810"/>
            <wp:docPr id="1" name="图片 1" descr="招标文件封面-广州东部中心地下管网完善工程一新塘镇排水系统更新改造提升工程(北部片区)设计服务项目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招标文件封面-广州东部中心地下管网完善工程一新塘镇排水系统更新改造提升工程(北部片区)设计服务项目_00"/>
                    <pic:cNvPicPr>
                      <a:picLocks noChangeAspect="1"/>
                    </pic:cNvPicPr>
                  </pic:nvPicPr>
                  <pic:blipFill>
                    <a:blip r:embed="rId33"/>
                    <a:srcRect l="13972" t="9921" b="6224"/>
                    <a:stretch>
                      <a:fillRect/>
                    </a:stretch>
                  </pic:blipFill>
                  <pic:spPr>
                    <a:xfrm>
                      <a:off x="0" y="0"/>
                      <a:ext cx="5592445" cy="7711440"/>
                    </a:xfrm>
                    <a:prstGeom prst="rect">
                      <a:avLst/>
                    </a:prstGeom>
                  </pic:spPr>
                </pic:pic>
              </a:graphicData>
            </a:graphic>
          </wp:inline>
        </w:drawing>
      </w:r>
      <w:r>
        <w:rPr>
          <w:rFonts w:ascii="黑体" w:hAnsi="黑体" w:eastAsia="黑体" w:cs="黑体"/>
          <w:b/>
          <w:bCs/>
          <w:color w:val="auto"/>
          <w:spacing w:val="18"/>
          <w:sz w:val="44"/>
          <w:szCs w:val="44"/>
          <w:highlight w:val="none"/>
        </w:rPr>
        <w:br w:type="page"/>
      </w:r>
    </w:p>
    <w:p w14:paraId="28B09233">
      <w:pPr>
        <w:jc w:val="center"/>
        <w:rPr>
          <w:rFonts w:ascii="宋体" w:hAnsi="宋体" w:eastAsia="宋体"/>
          <w:b/>
          <w:bCs/>
          <w:caps/>
          <w:color w:val="auto"/>
          <w:kern w:val="2"/>
          <w:sz w:val="36"/>
          <w:szCs w:val="36"/>
          <w:highlight w:val="none"/>
        </w:rPr>
      </w:pPr>
      <w:bookmarkStart w:id="489" w:name="_GoBack"/>
      <w:bookmarkEnd w:id="489"/>
      <w:r>
        <w:rPr>
          <w:rFonts w:hint="eastAsia" w:ascii="宋体" w:hAnsi="宋体" w:eastAsia="宋体"/>
          <w:b/>
          <w:bCs/>
          <w:caps/>
          <w:color w:val="auto"/>
          <w:kern w:val="2"/>
          <w:sz w:val="36"/>
          <w:szCs w:val="36"/>
          <w:highlight w:val="none"/>
        </w:rPr>
        <w:t>目 录</w:t>
      </w:r>
    </w:p>
    <w:p w14:paraId="46C8147C">
      <w:pPr>
        <w:pStyle w:val="13"/>
        <w:tabs>
          <w:tab w:val="right" w:leader="dot" w:pos="8224"/>
        </w:tabs>
        <w:spacing w:line="360" w:lineRule="auto"/>
        <w:rPr>
          <w:rFonts w:ascii="宋体" w:hAnsi="宋体" w:eastAsia="宋体"/>
          <w:color w:val="auto"/>
          <w:sz w:val="24"/>
          <w:szCs w:val="24"/>
          <w:highlight w:val="none"/>
        </w:rPr>
      </w:pPr>
    </w:p>
    <w:p w14:paraId="7F406835">
      <w:pPr>
        <w:pStyle w:val="13"/>
        <w:tabs>
          <w:tab w:val="right" w:leader="dot" w:pos="8224"/>
        </w:tabs>
        <w:spacing w:line="360" w:lineRule="auto"/>
        <w:rPr>
          <w:rFonts w:asciiTheme="minorHAnsi" w:hAnsiTheme="minorHAnsi" w:eastAsiaTheme="minorEastAsia" w:cstheme="minorBidi"/>
          <w:color w:val="auto"/>
          <w:kern w:val="2"/>
          <w:szCs w:val="22"/>
          <w:highlight w:val="none"/>
          <w14:ligatures w14:val="standardContextual"/>
        </w:rPr>
      </w:pPr>
      <w:r>
        <w:rPr>
          <w:rFonts w:hint="eastAsia" w:ascii="宋体" w:hAnsi="宋体" w:eastAsia="宋体"/>
          <w:color w:val="auto"/>
          <w:sz w:val="24"/>
          <w:szCs w:val="24"/>
          <w:highlight w:val="none"/>
        </w:rPr>
        <w:fldChar w:fldCharType="begin"/>
      </w:r>
      <w:r>
        <w:rPr>
          <w:rFonts w:hint="eastAsia" w:ascii="宋体" w:hAnsi="宋体" w:eastAsia="宋体"/>
          <w:color w:val="auto"/>
          <w:sz w:val="24"/>
          <w:szCs w:val="24"/>
          <w:highlight w:val="none"/>
        </w:rPr>
        <w:instrText xml:space="preserve">TOC \o "1-3" \h \u </w:instrText>
      </w:r>
      <w:r>
        <w:rPr>
          <w:rFonts w:hint="eastAsia" w:ascii="宋体" w:hAnsi="宋体" w:eastAsia="宋体"/>
          <w:color w:val="auto"/>
          <w:sz w:val="24"/>
          <w:szCs w:val="24"/>
          <w:highlight w:val="none"/>
        </w:rPr>
        <w:fldChar w:fldCharType="separate"/>
      </w:r>
      <w:r>
        <w:rPr>
          <w:rFonts w:hint="eastAsia"/>
          <w:color w:val="auto"/>
          <w:highlight w:val="none"/>
        </w:rPr>
        <w:fldChar w:fldCharType="begin"/>
      </w:r>
      <w:r>
        <w:rPr>
          <w:color w:val="auto"/>
          <w:highlight w:val="none"/>
        </w:rPr>
        <w:instrText xml:space="preserve"> HYPERLINK \l "_Toc183207160" </w:instrText>
      </w:r>
      <w:r>
        <w:rPr>
          <w:rFonts w:hint="eastAsia"/>
          <w:color w:val="auto"/>
          <w:highlight w:val="none"/>
        </w:rPr>
        <w:fldChar w:fldCharType="separate"/>
      </w:r>
      <w:r>
        <w:rPr>
          <w:rStyle w:val="21"/>
          <w:rFonts w:hint="eastAsia" w:ascii="宋体" w:hAnsi="宋体" w:eastAsia="宋体" w:cs="宋体"/>
          <w:color w:val="auto"/>
          <w:spacing w:val="7"/>
          <w:highlight w:val="none"/>
        </w:rPr>
        <w:t>第</w:t>
      </w:r>
      <w:r>
        <w:rPr>
          <w:rStyle w:val="21"/>
          <w:rFonts w:hint="eastAsia" w:ascii="宋体" w:hAnsi="宋体" w:eastAsia="宋体" w:cs="宋体"/>
          <w:color w:val="auto"/>
          <w:spacing w:val="5"/>
          <w:highlight w:val="none"/>
        </w:rPr>
        <w:t>一卷</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_Toc183207160 \h</w:instrText>
      </w:r>
      <w:r>
        <w:rPr>
          <w:rFonts w:hint="eastAsia"/>
          <w:color w:val="auto"/>
          <w:highlight w:val="none"/>
        </w:rPr>
        <w:instrText xml:space="preserve"> </w:instrText>
      </w:r>
      <w:r>
        <w:rPr>
          <w:rFonts w:hint="eastAsia"/>
          <w:color w:val="auto"/>
          <w:highlight w:val="none"/>
        </w:rPr>
        <w:fldChar w:fldCharType="separate"/>
      </w:r>
      <w:r>
        <w:rPr>
          <w:color w:val="auto"/>
          <w:highlight w:val="none"/>
        </w:rPr>
        <w:t>3</w:t>
      </w:r>
      <w:r>
        <w:rPr>
          <w:rFonts w:hint="eastAsia"/>
          <w:color w:val="auto"/>
          <w:highlight w:val="none"/>
        </w:rPr>
        <w:fldChar w:fldCharType="end"/>
      </w:r>
      <w:r>
        <w:rPr>
          <w:rFonts w:hint="eastAsia"/>
          <w:color w:val="auto"/>
          <w:highlight w:val="none"/>
        </w:rPr>
        <w:fldChar w:fldCharType="end"/>
      </w:r>
    </w:p>
    <w:p w14:paraId="251C2D81">
      <w:pPr>
        <w:pStyle w:val="16"/>
        <w:tabs>
          <w:tab w:val="right" w:leader="dot" w:pos="8224"/>
        </w:tabs>
        <w:spacing w:line="360" w:lineRule="auto"/>
        <w:rPr>
          <w:rFonts w:asciiTheme="minorHAnsi" w:hAnsiTheme="minorHAnsi" w:eastAsiaTheme="minorEastAsia" w:cstheme="minorBidi"/>
          <w:color w:val="auto"/>
          <w:kern w:val="2"/>
          <w:szCs w:val="22"/>
          <w:highlight w:val="none"/>
          <w14:ligatures w14:val="standardContextual"/>
        </w:rPr>
      </w:pPr>
      <w:r>
        <w:rPr>
          <w:rFonts w:hint="eastAsia"/>
          <w:color w:val="auto"/>
          <w:highlight w:val="none"/>
        </w:rPr>
        <w:fldChar w:fldCharType="begin"/>
      </w:r>
      <w:r>
        <w:rPr>
          <w:color w:val="auto"/>
          <w:highlight w:val="none"/>
        </w:rPr>
        <w:instrText xml:space="preserve"> HYPERLINK \l "_Toc183207161" </w:instrText>
      </w:r>
      <w:r>
        <w:rPr>
          <w:rFonts w:hint="eastAsia"/>
          <w:color w:val="auto"/>
          <w:highlight w:val="none"/>
        </w:rPr>
        <w:fldChar w:fldCharType="separate"/>
      </w:r>
      <w:r>
        <w:rPr>
          <w:rStyle w:val="21"/>
          <w:rFonts w:hint="eastAsia" w:ascii="宋体" w:hAnsi="宋体" w:eastAsia="宋体" w:cs="宋体"/>
          <w:color w:val="auto"/>
          <w:spacing w:val="24"/>
          <w:highlight w:val="none"/>
        </w:rPr>
        <w:t>第</w:t>
      </w:r>
      <w:r>
        <w:rPr>
          <w:rStyle w:val="21"/>
          <w:rFonts w:hint="eastAsia" w:ascii="宋体" w:hAnsi="宋体" w:eastAsia="宋体" w:cs="宋体"/>
          <w:color w:val="auto"/>
          <w:spacing w:val="22"/>
          <w:highlight w:val="none"/>
        </w:rPr>
        <w:t>一章</w:t>
      </w:r>
      <w:r>
        <w:rPr>
          <w:rStyle w:val="21"/>
          <w:rFonts w:hint="eastAsia" w:ascii="宋体" w:hAnsi="宋体"/>
          <w:color w:val="auto"/>
          <w:spacing w:val="22"/>
          <w:highlight w:val="none"/>
        </w:rPr>
        <w:t xml:space="preserve"> </w:t>
      </w:r>
      <w:r>
        <w:rPr>
          <w:rStyle w:val="21"/>
          <w:rFonts w:hint="eastAsia" w:ascii="宋体" w:hAnsi="宋体" w:eastAsia="宋体" w:cs="宋体"/>
          <w:color w:val="auto"/>
          <w:spacing w:val="22"/>
          <w:highlight w:val="none"/>
        </w:rPr>
        <w:t>招标公告</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_Toc183207161 \h</w:instrText>
      </w:r>
      <w:r>
        <w:rPr>
          <w:rFonts w:hint="eastAsia"/>
          <w:color w:val="auto"/>
          <w:highlight w:val="none"/>
        </w:rPr>
        <w:instrText xml:space="preserve"> </w:instrText>
      </w:r>
      <w:r>
        <w:rPr>
          <w:rFonts w:hint="eastAsia"/>
          <w:color w:val="auto"/>
          <w:highlight w:val="none"/>
        </w:rPr>
        <w:fldChar w:fldCharType="separate"/>
      </w:r>
      <w:r>
        <w:rPr>
          <w:color w:val="auto"/>
          <w:highlight w:val="none"/>
        </w:rPr>
        <w:t>4</w:t>
      </w:r>
      <w:r>
        <w:rPr>
          <w:rFonts w:hint="eastAsia"/>
          <w:color w:val="auto"/>
          <w:highlight w:val="none"/>
        </w:rPr>
        <w:fldChar w:fldCharType="end"/>
      </w:r>
      <w:r>
        <w:rPr>
          <w:rFonts w:hint="eastAsia"/>
          <w:color w:val="auto"/>
          <w:highlight w:val="none"/>
        </w:rPr>
        <w:fldChar w:fldCharType="end"/>
      </w:r>
    </w:p>
    <w:p w14:paraId="48DC70C0">
      <w:pPr>
        <w:pStyle w:val="16"/>
        <w:tabs>
          <w:tab w:val="right" w:leader="dot" w:pos="8224"/>
        </w:tabs>
        <w:spacing w:line="360" w:lineRule="auto"/>
        <w:rPr>
          <w:rFonts w:asciiTheme="minorHAnsi" w:hAnsiTheme="minorHAnsi" w:eastAsiaTheme="minorEastAsia" w:cstheme="minorBidi"/>
          <w:color w:val="auto"/>
          <w:kern w:val="2"/>
          <w:szCs w:val="22"/>
          <w:highlight w:val="none"/>
          <w14:ligatures w14:val="standardContextual"/>
        </w:rPr>
      </w:pPr>
      <w:r>
        <w:rPr>
          <w:rFonts w:hint="eastAsia"/>
          <w:color w:val="auto"/>
          <w:highlight w:val="none"/>
        </w:rPr>
        <w:fldChar w:fldCharType="begin"/>
      </w:r>
      <w:r>
        <w:rPr>
          <w:color w:val="auto"/>
          <w:highlight w:val="none"/>
        </w:rPr>
        <w:instrText xml:space="preserve"> HYPERLINK \l "_Toc183207162" </w:instrText>
      </w:r>
      <w:r>
        <w:rPr>
          <w:rFonts w:hint="eastAsia"/>
          <w:color w:val="auto"/>
          <w:highlight w:val="none"/>
        </w:rPr>
        <w:fldChar w:fldCharType="separate"/>
      </w:r>
      <w:r>
        <w:rPr>
          <w:rStyle w:val="21"/>
          <w:rFonts w:hint="eastAsia" w:ascii="宋体" w:hAnsi="宋体" w:eastAsia="宋体" w:cs="宋体"/>
          <w:color w:val="auto"/>
          <w:spacing w:val="14"/>
          <w:highlight w:val="none"/>
        </w:rPr>
        <w:t>第</w:t>
      </w:r>
      <w:r>
        <w:rPr>
          <w:rStyle w:val="21"/>
          <w:rFonts w:hint="eastAsia" w:ascii="宋体" w:hAnsi="宋体" w:eastAsia="宋体" w:cs="宋体"/>
          <w:color w:val="auto"/>
          <w:spacing w:val="9"/>
          <w:highlight w:val="none"/>
        </w:rPr>
        <w:t>二章 投标人须知</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_Toc183207162 \h</w:instrText>
      </w:r>
      <w:r>
        <w:rPr>
          <w:rFonts w:hint="eastAsia"/>
          <w:color w:val="auto"/>
          <w:highlight w:val="none"/>
        </w:rPr>
        <w:instrText xml:space="preserve"> </w:instrText>
      </w:r>
      <w:r>
        <w:rPr>
          <w:rFonts w:hint="eastAsia"/>
          <w:color w:val="auto"/>
          <w:highlight w:val="none"/>
        </w:rPr>
        <w:fldChar w:fldCharType="separate"/>
      </w:r>
      <w:r>
        <w:rPr>
          <w:color w:val="auto"/>
          <w:highlight w:val="none"/>
        </w:rPr>
        <w:t>9</w:t>
      </w:r>
      <w:r>
        <w:rPr>
          <w:rFonts w:hint="eastAsia"/>
          <w:color w:val="auto"/>
          <w:highlight w:val="none"/>
        </w:rPr>
        <w:fldChar w:fldCharType="end"/>
      </w:r>
      <w:r>
        <w:rPr>
          <w:rFonts w:hint="eastAsia"/>
          <w:color w:val="auto"/>
          <w:highlight w:val="none"/>
        </w:rPr>
        <w:fldChar w:fldCharType="end"/>
      </w:r>
    </w:p>
    <w:p w14:paraId="3D584C7F">
      <w:pPr>
        <w:pStyle w:val="16"/>
        <w:tabs>
          <w:tab w:val="right" w:leader="dot" w:pos="8224"/>
        </w:tabs>
        <w:spacing w:line="360" w:lineRule="auto"/>
        <w:rPr>
          <w:rFonts w:asciiTheme="minorHAnsi" w:hAnsiTheme="minorHAnsi" w:eastAsiaTheme="minorEastAsia" w:cstheme="minorBidi"/>
          <w:color w:val="auto"/>
          <w:kern w:val="2"/>
          <w:szCs w:val="22"/>
          <w:highlight w:val="none"/>
          <w14:ligatures w14:val="standardContextual"/>
        </w:rPr>
      </w:pPr>
      <w:r>
        <w:rPr>
          <w:rFonts w:hint="eastAsia"/>
          <w:color w:val="auto"/>
          <w:highlight w:val="none"/>
        </w:rPr>
        <w:fldChar w:fldCharType="begin"/>
      </w:r>
      <w:r>
        <w:rPr>
          <w:color w:val="auto"/>
          <w:highlight w:val="none"/>
        </w:rPr>
        <w:instrText xml:space="preserve"> HYPERLINK \l "_Toc183207163" </w:instrText>
      </w:r>
      <w:r>
        <w:rPr>
          <w:rFonts w:hint="eastAsia"/>
          <w:color w:val="auto"/>
          <w:highlight w:val="none"/>
        </w:rPr>
        <w:fldChar w:fldCharType="separate"/>
      </w:r>
      <w:r>
        <w:rPr>
          <w:rStyle w:val="21"/>
          <w:rFonts w:hint="eastAsia" w:ascii="宋体" w:hAnsi="宋体" w:eastAsia="宋体" w:cs="宋体"/>
          <w:color w:val="auto"/>
          <w:spacing w:val="30"/>
          <w:highlight w:val="none"/>
        </w:rPr>
        <w:t>第</w:t>
      </w:r>
      <w:r>
        <w:rPr>
          <w:rStyle w:val="21"/>
          <w:rFonts w:hint="eastAsia" w:ascii="宋体" w:hAnsi="宋体" w:eastAsia="宋体" w:cs="宋体"/>
          <w:color w:val="auto"/>
          <w:spacing w:val="23"/>
          <w:highlight w:val="none"/>
        </w:rPr>
        <w:t>三章 评标办法</w:t>
      </w:r>
      <w:r>
        <w:rPr>
          <w:rStyle w:val="21"/>
          <w:rFonts w:hint="eastAsia" w:ascii="宋体" w:hAnsi="宋体"/>
          <w:color w:val="auto"/>
          <w:spacing w:val="23"/>
          <w:highlight w:val="none"/>
        </w:rPr>
        <w:t>(</w:t>
      </w:r>
      <w:r>
        <w:rPr>
          <w:rStyle w:val="21"/>
          <w:rFonts w:hint="eastAsia" w:ascii="宋体" w:hAnsi="宋体" w:eastAsia="宋体" w:cs="宋体"/>
          <w:color w:val="auto"/>
          <w:spacing w:val="23"/>
          <w:highlight w:val="none"/>
        </w:rPr>
        <w:t>综合评估法</w:t>
      </w:r>
      <w:r>
        <w:rPr>
          <w:rStyle w:val="21"/>
          <w:rFonts w:hint="eastAsia" w:ascii="宋体" w:hAnsi="宋体"/>
          <w:color w:val="auto"/>
          <w:spacing w:val="23"/>
          <w:highlight w:val="none"/>
        </w:rPr>
        <w:t>)</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_Toc183207163 \h</w:instrText>
      </w:r>
      <w:r>
        <w:rPr>
          <w:rFonts w:hint="eastAsia"/>
          <w:color w:val="auto"/>
          <w:highlight w:val="none"/>
        </w:rPr>
        <w:instrText xml:space="preserve"> </w:instrText>
      </w:r>
      <w:r>
        <w:rPr>
          <w:rFonts w:hint="eastAsia"/>
          <w:color w:val="auto"/>
          <w:highlight w:val="none"/>
        </w:rPr>
        <w:fldChar w:fldCharType="separate"/>
      </w:r>
      <w:r>
        <w:rPr>
          <w:color w:val="auto"/>
          <w:highlight w:val="none"/>
        </w:rPr>
        <w:t>35</w:t>
      </w:r>
      <w:r>
        <w:rPr>
          <w:rFonts w:hint="eastAsia"/>
          <w:color w:val="auto"/>
          <w:highlight w:val="none"/>
        </w:rPr>
        <w:fldChar w:fldCharType="end"/>
      </w:r>
      <w:r>
        <w:rPr>
          <w:rFonts w:hint="eastAsia"/>
          <w:color w:val="auto"/>
          <w:highlight w:val="none"/>
        </w:rPr>
        <w:fldChar w:fldCharType="end"/>
      </w:r>
    </w:p>
    <w:p w14:paraId="38E3AA46">
      <w:pPr>
        <w:pStyle w:val="16"/>
        <w:tabs>
          <w:tab w:val="right" w:leader="dot" w:pos="8224"/>
        </w:tabs>
        <w:spacing w:line="360" w:lineRule="auto"/>
        <w:rPr>
          <w:rFonts w:asciiTheme="minorHAnsi" w:hAnsiTheme="minorHAnsi" w:eastAsiaTheme="minorEastAsia" w:cstheme="minorBidi"/>
          <w:color w:val="auto"/>
          <w:kern w:val="2"/>
          <w:szCs w:val="22"/>
          <w:highlight w:val="none"/>
          <w14:ligatures w14:val="standardContextual"/>
        </w:rPr>
      </w:pPr>
      <w:r>
        <w:rPr>
          <w:rFonts w:hint="eastAsia"/>
          <w:color w:val="auto"/>
          <w:highlight w:val="none"/>
        </w:rPr>
        <w:fldChar w:fldCharType="begin"/>
      </w:r>
      <w:r>
        <w:rPr>
          <w:color w:val="auto"/>
          <w:highlight w:val="none"/>
        </w:rPr>
        <w:instrText xml:space="preserve"> HYPERLINK \l "_Toc183207164" </w:instrText>
      </w:r>
      <w:r>
        <w:rPr>
          <w:rFonts w:hint="eastAsia"/>
          <w:color w:val="auto"/>
          <w:highlight w:val="none"/>
        </w:rPr>
        <w:fldChar w:fldCharType="separate"/>
      </w:r>
      <w:r>
        <w:rPr>
          <w:rStyle w:val="21"/>
          <w:rFonts w:hint="eastAsia" w:ascii="宋体" w:hAnsi="宋体" w:eastAsia="宋体" w:cs="宋体"/>
          <w:color w:val="auto"/>
          <w:spacing w:val="11"/>
          <w:highlight w:val="none"/>
        </w:rPr>
        <w:t>第</w:t>
      </w:r>
      <w:r>
        <w:rPr>
          <w:rStyle w:val="21"/>
          <w:rFonts w:hint="eastAsia" w:ascii="宋体" w:hAnsi="宋体" w:eastAsia="宋体" w:cs="宋体"/>
          <w:color w:val="auto"/>
          <w:spacing w:val="10"/>
          <w:highlight w:val="none"/>
        </w:rPr>
        <w:t>四章 合同条款及格式</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_Toc183207164 \h</w:instrText>
      </w:r>
      <w:r>
        <w:rPr>
          <w:rFonts w:hint="eastAsia"/>
          <w:color w:val="auto"/>
          <w:highlight w:val="none"/>
        </w:rPr>
        <w:instrText xml:space="preserve"> </w:instrText>
      </w:r>
      <w:r>
        <w:rPr>
          <w:rFonts w:hint="eastAsia"/>
          <w:color w:val="auto"/>
          <w:highlight w:val="none"/>
        </w:rPr>
        <w:fldChar w:fldCharType="separate"/>
      </w:r>
      <w:r>
        <w:rPr>
          <w:color w:val="auto"/>
          <w:highlight w:val="none"/>
        </w:rPr>
        <w:t>45</w:t>
      </w:r>
      <w:r>
        <w:rPr>
          <w:rFonts w:hint="eastAsia"/>
          <w:color w:val="auto"/>
          <w:highlight w:val="none"/>
        </w:rPr>
        <w:fldChar w:fldCharType="end"/>
      </w:r>
      <w:r>
        <w:rPr>
          <w:rFonts w:hint="eastAsia"/>
          <w:color w:val="auto"/>
          <w:highlight w:val="none"/>
        </w:rPr>
        <w:fldChar w:fldCharType="end"/>
      </w:r>
    </w:p>
    <w:p w14:paraId="2F1CF14F">
      <w:pPr>
        <w:pStyle w:val="13"/>
        <w:tabs>
          <w:tab w:val="right" w:leader="dot" w:pos="8224"/>
        </w:tabs>
        <w:spacing w:line="360" w:lineRule="auto"/>
        <w:rPr>
          <w:rFonts w:asciiTheme="minorHAnsi" w:hAnsiTheme="minorHAnsi" w:eastAsiaTheme="minorEastAsia" w:cstheme="minorBidi"/>
          <w:color w:val="auto"/>
          <w:kern w:val="2"/>
          <w:szCs w:val="22"/>
          <w:highlight w:val="none"/>
          <w14:ligatures w14:val="standardContextual"/>
        </w:rPr>
      </w:pPr>
      <w:r>
        <w:rPr>
          <w:rFonts w:hint="eastAsia"/>
          <w:color w:val="auto"/>
          <w:highlight w:val="none"/>
        </w:rPr>
        <w:fldChar w:fldCharType="begin"/>
      </w:r>
      <w:r>
        <w:rPr>
          <w:color w:val="auto"/>
          <w:highlight w:val="none"/>
        </w:rPr>
        <w:instrText xml:space="preserve"> HYPERLINK \l "_Toc183207165" </w:instrText>
      </w:r>
      <w:r>
        <w:rPr>
          <w:rFonts w:hint="eastAsia"/>
          <w:color w:val="auto"/>
          <w:highlight w:val="none"/>
        </w:rPr>
        <w:fldChar w:fldCharType="separate"/>
      </w:r>
      <w:r>
        <w:rPr>
          <w:rStyle w:val="21"/>
          <w:rFonts w:hint="eastAsia" w:ascii="宋体" w:hAnsi="宋体" w:eastAsia="宋体" w:cs="宋体"/>
          <w:color w:val="auto"/>
          <w:spacing w:val="5"/>
          <w:highlight w:val="none"/>
        </w:rPr>
        <w:t>第二卷</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_Toc183207165 \h</w:instrText>
      </w:r>
      <w:r>
        <w:rPr>
          <w:rFonts w:hint="eastAsia"/>
          <w:color w:val="auto"/>
          <w:highlight w:val="none"/>
        </w:rPr>
        <w:instrText xml:space="preserve"> </w:instrText>
      </w:r>
      <w:r>
        <w:rPr>
          <w:rFonts w:hint="eastAsia"/>
          <w:color w:val="auto"/>
          <w:highlight w:val="none"/>
        </w:rPr>
        <w:fldChar w:fldCharType="separate"/>
      </w:r>
      <w:r>
        <w:rPr>
          <w:color w:val="auto"/>
          <w:highlight w:val="none"/>
        </w:rPr>
        <w:t>46</w:t>
      </w:r>
      <w:r>
        <w:rPr>
          <w:rFonts w:hint="eastAsia"/>
          <w:color w:val="auto"/>
          <w:highlight w:val="none"/>
        </w:rPr>
        <w:fldChar w:fldCharType="end"/>
      </w:r>
      <w:r>
        <w:rPr>
          <w:rFonts w:hint="eastAsia"/>
          <w:color w:val="auto"/>
          <w:highlight w:val="none"/>
        </w:rPr>
        <w:fldChar w:fldCharType="end"/>
      </w:r>
    </w:p>
    <w:p w14:paraId="4872A20D">
      <w:pPr>
        <w:pStyle w:val="13"/>
        <w:tabs>
          <w:tab w:val="right" w:leader="dot" w:pos="8224"/>
        </w:tabs>
        <w:spacing w:line="360" w:lineRule="auto"/>
        <w:ind w:firstLine="420" w:firstLineChars="200"/>
        <w:rPr>
          <w:rFonts w:asciiTheme="minorHAnsi" w:hAnsiTheme="minorHAnsi" w:eastAsiaTheme="minorEastAsia" w:cstheme="minorBidi"/>
          <w:color w:val="auto"/>
          <w:kern w:val="2"/>
          <w:szCs w:val="22"/>
          <w:highlight w:val="none"/>
          <w14:ligatures w14:val="standardContextual"/>
        </w:rPr>
      </w:pPr>
      <w:r>
        <w:rPr>
          <w:rFonts w:hint="eastAsia"/>
          <w:color w:val="auto"/>
          <w:highlight w:val="none"/>
        </w:rPr>
        <w:fldChar w:fldCharType="begin"/>
      </w:r>
      <w:r>
        <w:rPr>
          <w:color w:val="auto"/>
          <w:highlight w:val="none"/>
        </w:rPr>
        <w:instrText xml:space="preserve"> HYPERLINK \l "_Toc183207166" </w:instrText>
      </w:r>
      <w:r>
        <w:rPr>
          <w:rFonts w:hint="eastAsia"/>
          <w:color w:val="auto"/>
          <w:highlight w:val="none"/>
        </w:rPr>
        <w:fldChar w:fldCharType="separate"/>
      </w:r>
      <w:r>
        <w:rPr>
          <w:rStyle w:val="21"/>
          <w:rFonts w:hint="eastAsia" w:ascii="宋体" w:hAnsi="宋体" w:eastAsia="宋体"/>
          <w:color w:val="auto"/>
          <w:spacing w:val="14"/>
          <w:highlight w:val="none"/>
        </w:rPr>
        <w:t>第</w:t>
      </w:r>
      <w:r>
        <w:rPr>
          <w:rStyle w:val="21"/>
          <w:rFonts w:hint="eastAsia" w:ascii="宋体" w:hAnsi="宋体" w:eastAsia="宋体"/>
          <w:color w:val="auto"/>
          <w:spacing w:val="9"/>
          <w:highlight w:val="none"/>
        </w:rPr>
        <w:t>五章 发包人要求</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_Toc183207166 \h</w:instrText>
      </w:r>
      <w:r>
        <w:rPr>
          <w:rFonts w:hint="eastAsia"/>
          <w:color w:val="auto"/>
          <w:highlight w:val="none"/>
        </w:rPr>
        <w:instrText xml:space="preserve"> </w:instrText>
      </w:r>
      <w:r>
        <w:rPr>
          <w:rFonts w:hint="eastAsia"/>
          <w:color w:val="auto"/>
          <w:highlight w:val="none"/>
        </w:rPr>
        <w:fldChar w:fldCharType="separate"/>
      </w:r>
      <w:r>
        <w:rPr>
          <w:color w:val="auto"/>
          <w:highlight w:val="none"/>
        </w:rPr>
        <w:t>57</w:t>
      </w:r>
      <w:r>
        <w:rPr>
          <w:rFonts w:hint="eastAsia"/>
          <w:color w:val="auto"/>
          <w:highlight w:val="none"/>
        </w:rPr>
        <w:fldChar w:fldCharType="end"/>
      </w:r>
      <w:r>
        <w:rPr>
          <w:rFonts w:hint="eastAsia"/>
          <w:color w:val="auto"/>
          <w:highlight w:val="none"/>
        </w:rPr>
        <w:fldChar w:fldCharType="end"/>
      </w:r>
    </w:p>
    <w:p w14:paraId="43604584">
      <w:pPr>
        <w:pStyle w:val="13"/>
        <w:tabs>
          <w:tab w:val="right" w:leader="dot" w:pos="8224"/>
        </w:tabs>
        <w:spacing w:line="360" w:lineRule="auto"/>
        <w:rPr>
          <w:rFonts w:asciiTheme="minorHAnsi" w:hAnsiTheme="minorHAnsi" w:eastAsiaTheme="minorEastAsia" w:cstheme="minorBidi"/>
          <w:color w:val="auto"/>
          <w:kern w:val="2"/>
          <w:szCs w:val="22"/>
          <w:highlight w:val="none"/>
          <w14:ligatures w14:val="standardContextual"/>
        </w:rPr>
      </w:pPr>
      <w:r>
        <w:rPr>
          <w:rFonts w:hint="eastAsia"/>
          <w:color w:val="auto"/>
          <w:highlight w:val="none"/>
        </w:rPr>
        <w:fldChar w:fldCharType="begin"/>
      </w:r>
      <w:r>
        <w:rPr>
          <w:color w:val="auto"/>
          <w:highlight w:val="none"/>
        </w:rPr>
        <w:instrText xml:space="preserve"> HYPERLINK \l "_Toc183207167" </w:instrText>
      </w:r>
      <w:r>
        <w:rPr>
          <w:rFonts w:hint="eastAsia"/>
          <w:color w:val="auto"/>
          <w:highlight w:val="none"/>
        </w:rPr>
        <w:fldChar w:fldCharType="separate"/>
      </w:r>
      <w:r>
        <w:rPr>
          <w:rStyle w:val="21"/>
          <w:rFonts w:hint="eastAsia" w:ascii="宋体" w:hAnsi="宋体" w:eastAsia="宋体" w:cs="宋体"/>
          <w:color w:val="auto"/>
          <w:spacing w:val="5"/>
          <w:highlight w:val="none"/>
        </w:rPr>
        <w:t>第三卷</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_Toc183207167 \h</w:instrText>
      </w:r>
      <w:r>
        <w:rPr>
          <w:rFonts w:hint="eastAsia"/>
          <w:color w:val="auto"/>
          <w:highlight w:val="none"/>
        </w:rPr>
        <w:instrText xml:space="preserve"> </w:instrText>
      </w:r>
      <w:r>
        <w:rPr>
          <w:rFonts w:hint="eastAsia"/>
          <w:color w:val="auto"/>
          <w:highlight w:val="none"/>
        </w:rPr>
        <w:fldChar w:fldCharType="separate"/>
      </w:r>
      <w:r>
        <w:rPr>
          <w:color w:val="auto"/>
          <w:highlight w:val="none"/>
        </w:rPr>
        <w:t>59</w:t>
      </w:r>
      <w:r>
        <w:rPr>
          <w:rFonts w:hint="eastAsia"/>
          <w:color w:val="auto"/>
          <w:highlight w:val="none"/>
        </w:rPr>
        <w:fldChar w:fldCharType="end"/>
      </w:r>
      <w:r>
        <w:rPr>
          <w:rFonts w:hint="eastAsia"/>
          <w:color w:val="auto"/>
          <w:highlight w:val="none"/>
        </w:rPr>
        <w:fldChar w:fldCharType="end"/>
      </w:r>
    </w:p>
    <w:p w14:paraId="0F51E4DE">
      <w:pPr>
        <w:pStyle w:val="16"/>
        <w:tabs>
          <w:tab w:val="right" w:leader="dot" w:pos="8224"/>
        </w:tabs>
        <w:spacing w:line="360" w:lineRule="auto"/>
        <w:rPr>
          <w:rFonts w:asciiTheme="minorHAnsi" w:hAnsiTheme="minorHAnsi" w:eastAsiaTheme="minorEastAsia" w:cstheme="minorBidi"/>
          <w:color w:val="auto"/>
          <w:kern w:val="2"/>
          <w:szCs w:val="22"/>
          <w:highlight w:val="none"/>
          <w14:ligatures w14:val="standardContextual"/>
        </w:rPr>
      </w:pPr>
      <w:r>
        <w:rPr>
          <w:rFonts w:hint="eastAsia"/>
          <w:color w:val="auto"/>
          <w:highlight w:val="none"/>
        </w:rPr>
        <w:fldChar w:fldCharType="begin"/>
      </w:r>
      <w:r>
        <w:rPr>
          <w:color w:val="auto"/>
          <w:highlight w:val="none"/>
        </w:rPr>
        <w:instrText xml:space="preserve"> HYPERLINK \l "_Toc183207168" </w:instrText>
      </w:r>
      <w:r>
        <w:rPr>
          <w:rFonts w:hint="eastAsia"/>
          <w:color w:val="auto"/>
          <w:highlight w:val="none"/>
        </w:rPr>
        <w:fldChar w:fldCharType="separate"/>
      </w:r>
      <w:r>
        <w:rPr>
          <w:rStyle w:val="21"/>
          <w:rFonts w:hint="eastAsia" w:ascii="宋体" w:hAnsi="宋体" w:eastAsia="宋体" w:cs="宋体"/>
          <w:color w:val="auto"/>
          <w:spacing w:val="10"/>
          <w:highlight w:val="none"/>
        </w:rPr>
        <w:t>第六章 投标文件格</w:t>
      </w:r>
      <w:r>
        <w:rPr>
          <w:rStyle w:val="21"/>
          <w:rFonts w:hint="eastAsia" w:ascii="宋体" w:hAnsi="宋体" w:eastAsia="宋体" w:cs="宋体"/>
          <w:color w:val="auto"/>
          <w:spacing w:val="8"/>
          <w:highlight w:val="none"/>
        </w:rPr>
        <w:t>式</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_Toc183207168 \h</w:instrText>
      </w:r>
      <w:r>
        <w:rPr>
          <w:rFonts w:hint="eastAsia"/>
          <w:color w:val="auto"/>
          <w:highlight w:val="none"/>
        </w:rPr>
        <w:instrText xml:space="preserve"> </w:instrText>
      </w:r>
      <w:r>
        <w:rPr>
          <w:rFonts w:hint="eastAsia"/>
          <w:color w:val="auto"/>
          <w:highlight w:val="none"/>
        </w:rPr>
        <w:fldChar w:fldCharType="separate"/>
      </w:r>
      <w:r>
        <w:rPr>
          <w:color w:val="auto"/>
          <w:highlight w:val="none"/>
        </w:rPr>
        <w:t>60</w:t>
      </w:r>
      <w:r>
        <w:rPr>
          <w:rFonts w:hint="eastAsia"/>
          <w:color w:val="auto"/>
          <w:highlight w:val="none"/>
        </w:rPr>
        <w:fldChar w:fldCharType="end"/>
      </w:r>
      <w:r>
        <w:rPr>
          <w:rFonts w:hint="eastAsia"/>
          <w:color w:val="auto"/>
          <w:highlight w:val="none"/>
        </w:rPr>
        <w:fldChar w:fldCharType="end"/>
      </w:r>
    </w:p>
    <w:p w14:paraId="3539BD3A">
      <w:pPr>
        <w:pStyle w:val="16"/>
        <w:tabs>
          <w:tab w:val="right" w:leader="dot" w:pos="8224"/>
        </w:tabs>
        <w:spacing w:line="360" w:lineRule="auto"/>
        <w:rPr>
          <w:rFonts w:asciiTheme="minorHAnsi" w:hAnsiTheme="minorHAnsi" w:eastAsiaTheme="minorEastAsia" w:cstheme="minorBidi"/>
          <w:color w:val="auto"/>
          <w:kern w:val="2"/>
          <w:szCs w:val="22"/>
          <w:highlight w:val="none"/>
          <w14:ligatures w14:val="standardContextual"/>
        </w:rPr>
      </w:pPr>
      <w:r>
        <w:rPr>
          <w:rFonts w:hint="eastAsia"/>
          <w:color w:val="auto"/>
          <w:highlight w:val="none"/>
        </w:rPr>
        <w:fldChar w:fldCharType="begin"/>
      </w:r>
      <w:r>
        <w:rPr>
          <w:color w:val="auto"/>
          <w:highlight w:val="none"/>
        </w:rPr>
        <w:instrText xml:space="preserve"> HYPERLINK \l "_Toc183207169" </w:instrText>
      </w:r>
      <w:r>
        <w:rPr>
          <w:rFonts w:hint="eastAsia"/>
          <w:color w:val="auto"/>
          <w:highlight w:val="none"/>
        </w:rPr>
        <w:fldChar w:fldCharType="separate"/>
      </w:r>
      <w:r>
        <w:rPr>
          <w:rStyle w:val="21"/>
          <w:rFonts w:hint="eastAsia" w:ascii="宋体" w:hAnsi="宋体" w:eastAsia="宋体" w:cs="宋体"/>
          <w:color w:val="auto"/>
          <w:highlight w:val="none"/>
        </w:rPr>
        <w:t>第七章 否决性条款汇总</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_Toc183207169 \h</w:instrText>
      </w:r>
      <w:r>
        <w:rPr>
          <w:rFonts w:hint="eastAsia"/>
          <w:color w:val="auto"/>
          <w:highlight w:val="none"/>
        </w:rPr>
        <w:instrText xml:space="preserve"> </w:instrText>
      </w:r>
      <w:r>
        <w:rPr>
          <w:rFonts w:hint="eastAsia"/>
          <w:color w:val="auto"/>
          <w:highlight w:val="none"/>
        </w:rPr>
        <w:fldChar w:fldCharType="separate"/>
      </w:r>
      <w:r>
        <w:rPr>
          <w:color w:val="auto"/>
          <w:highlight w:val="none"/>
        </w:rPr>
        <w:t>79</w:t>
      </w:r>
      <w:r>
        <w:rPr>
          <w:rFonts w:hint="eastAsia"/>
          <w:color w:val="auto"/>
          <w:highlight w:val="none"/>
        </w:rPr>
        <w:fldChar w:fldCharType="end"/>
      </w:r>
      <w:r>
        <w:rPr>
          <w:rFonts w:hint="eastAsia"/>
          <w:color w:val="auto"/>
          <w:highlight w:val="none"/>
        </w:rPr>
        <w:fldChar w:fldCharType="end"/>
      </w:r>
    </w:p>
    <w:p w14:paraId="2913857D">
      <w:pPr>
        <w:spacing w:line="360" w:lineRule="auto"/>
        <w:outlineLvl w:val="2"/>
        <w:rPr>
          <w:rFonts w:ascii="宋体" w:hAnsi="宋体" w:eastAsia="宋体"/>
          <w:color w:val="auto"/>
          <w:sz w:val="24"/>
          <w:szCs w:val="24"/>
          <w:highlight w:val="none"/>
        </w:rPr>
        <w:sectPr>
          <w:headerReference r:id="rId3" w:type="default"/>
          <w:footerReference r:id="rId4" w:type="default"/>
          <w:pgSz w:w="11906" w:h="16838"/>
          <w:pgMar w:top="1346" w:right="1836" w:bottom="1103" w:left="1836" w:header="0" w:footer="941" w:gutter="0"/>
          <w:cols w:space="720" w:num="1"/>
        </w:sectPr>
      </w:pPr>
      <w:r>
        <w:rPr>
          <w:rFonts w:hint="eastAsia" w:ascii="宋体" w:hAnsi="宋体" w:eastAsia="宋体"/>
          <w:color w:val="auto"/>
          <w:sz w:val="24"/>
          <w:szCs w:val="24"/>
          <w:highlight w:val="none"/>
        </w:rPr>
        <w:fldChar w:fldCharType="end"/>
      </w:r>
    </w:p>
    <w:p w14:paraId="4702EC23">
      <w:pPr>
        <w:pStyle w:val="23"/>
        <w:spacing w:before="5280"/>
        <w:rPr>
          <w:rFonts w:ascii="宋体" w:hAnsi="宋体"/>
          <w:color w:val="auto"/>
          <w:spacing w:val="7"/>
          <w:sz w:val="52"/>
          <w:szCs w:val="52"/>
          <w:highlight w:val="none"/>
        </w:rPr>
      </w:pPr>
      <w:bookmarkStart w:id="0" w:name="_Toc183207160"/>
      <w:r>
        <w:rPr>
          <w:rFonts w:ascii="宋体" w:hAnsi="宋体"/>
          <w:color w:val="auto"/>
          <w:spacing w:val="7"/>
          <w:sz w:val="52"/>
          <w:szCs w:val="52"/>
          <w:highlight w:val="none"/>
        </w:rPr>
        <w:t>第</w:t>
      </w:r>
      <w:r>
        <w:rPr>
          <w:rFonts w:ascii="宋体" w:hAnsi="宋体"/>
          <w:color w:val="auto"/>
          <w:spacing w:val="5"/>
          <w:sz w:val="52"/>
          <w:szCs w:val="52"/>
          <w:highlight w:val="none"/>
        </w:rPr>
        <w:t>一卷</w:t>
      </w:r>
      <w:bookmarkEnd w:id="0"/>
    </w:p>
    <w:p w14:paraId="56187C89">
      <w:pPr>
        <w:spacing w:before="5280"/>
        <w:rPr>
          <w:color w:val="auto"/>
          <w:highlight w:val="none"/>
        </w:rPr>
        <w:sectPr>
          <w:pgSz w:w="11906" w:h="16838"/>
          <w:pgMar w:top="1346" w:right="1836" w:bottom="1103" w:left="1836" w:header="0" w:footer="941" w:gutter="0"/>
          <w:cols w:space="720" w:num="1"/>
        </w:sectPr>
      </w:pPr>
    </w:p>
    <w:p w14:paraId="6EEEC252">
      <w:pPr>
        <w:pStyle w:val="24"/>
        <w:rPr>
          <w:rFonts w:ascii="宋体" w:hAnsi="宋体"/>
          <w:color w:val="auto"/>
          <w:spacing w:val="24"/>
          <w:szCs w:val="44"/>
          <w:highlight w:val="none"/>
        </w:rPr>
      </w:pPr>
      <w:bookmarkStart w:id="1" w:name="_Toc10294"/>
      <w:bookmarkStart w:id="2" w:name="_Toc7900"/>
      <w:bookmarkStart w:id="3" w:name="_Toc3097"/>
      <w:bookmarkStart w:id="4" w:name="_Toc183207161"/>
      <w:r>
        <w:rPr>
          <w:rFonts w:ascii="宋体" w:hAnsi="宋体"/>
          <w:color w:val="auto"/>
          <w:spacing w:val="24"/>
          <w:szCs w:val="44"/>
          <w:highlight w:val="none"/>
        </w:rPr>
        <w:t>第</w:t>
      </w:r>
      <w:r>
        <w:rPr>
          <w:rFonts w:ascii="宋体" w:hAnsi="宋体"/>
          <w:color w:val="auto"/>
          <w:spacing w:val="22"/>
          <w:szCs w:val="44"/>
          <w:highlight w:val="none"/>
        </w:rPr>
        <w:t>一章</w:t>
      </w:r>
      <w:r>
        <w:rPr>
          <w:rFonts w:hint="eastAsia" w:ascii="宋体" w:hAnsi="宋体"/>
          <w:color w:val="auto"/>
          <w:spacing w:val="22"/>
          <w:szCs w:val="44"/>
          <w:highlight w:val="none"/>
        </w:rPr>
        <w:t xml:space="preserve"> </w:t>
      </w:r>
      <w:r>
        <w:rPr>
          <w:rFonts w:ascii="宋体" w:hAnsi="宋体"/>
          <w:color w:val="auto"/>
          <w:spacing w:val="22"/>
          <w:szCs w:val="44"/>
          <w:highlight w:val="none"/>
        </w:rPr>
        <w:t>招标公告</w:t>
      </w:r>
      <w:bookmarkEnd w:id="1"/>
      <w:bookmarkEnd w:id="2"/>
      <w:bookmarkEnd w:id="3"/>
      <w:bookmarkEnd w:id="4"/>
    </w:p>
    <w:p w14:paraId="6D0E6814">
      <w:pPr>
        <w:jc w:val="center"/>
        <w:rPr>
          <w:rFonts w:ascii="宋体" w:hAnsi="宋体" w:eastAsia="宋体"/>
          <w:b/>
          <w:bCs/>
          <w:color w:val="auto"/>
          <w:spacing w:val="18"/>
          <w:sz w:val="32"/>
          <w:szCs w:val="32"/>
          <w:highlight w:val="none"/>
        </w:rPr>
      </w:pPr>
      <w:r>
        <w:rPr>
          <w:rFonts w:hint="eastAsia" w:ascii="宋体" w:hAnsi="宋体" w:eastAsia="宋体"/>
          <w:b/>
          <w:bCs/>
          <w:color w:val="auto"/>
          <w:spacing w:val="18"/>
          <w:sz w:val="32"/>
          <w:szCs w:val="32"/>
          <w:highlight w:val="none"/>
        </w:rPr>
        <w:t>广州东部中心地下管网完善工程—新塘镇排水系统更新改造提升工程（北部片区）设计服务</w:t>
      </w:r>
    </w:p>
    <w:p w14:paraId="6057B956">
      <w:pPr>
        <w:jc w:val="center"/>
        <w:rPr>
          <w:rFonts w:ascii="宋体" w:hAnsi="宋体" w:eastAsia="宋体"/>
          <w:b/>
          <w:bCs/>
          <w:color w:val="auto"/>
          <w:spacing w:val="18"/>
          <w:sz w:val="32"/>
          <w:szCs w:val="32"/>
          <w:highlight w:val="none"/>
        </w:rPr>
      </w:pPr>
      <w:r>
        <w:rPr>
          <w:rFonts w:hint="eastAsia" w:ascii="宋体" w:hAnsi="宋体" w:eastAsia="宋体"/>
          <w:b/>
          <w:bCs/>
          <w:color w:val="auto"/>
          <w:spacing w:val="18"/>
          <w:sz w:val="32"/>
          <w:szCs w:val="32"/>
          <w:highlight w:val="none"/>
        </w:rPr>
        <w:t>招标公告</w:t>
      </w:r>
    </w:p>
    <w:p w14:paraId="41C0A19A">
      <w:pPr>
        <w:spacing w:line="318" w:lineRule="auto"/>
        <w:rPr>
          <w:color w:val="auto"/>
          <w:highlight w:val="none"/>
        </w:rPr>
      </w:pPr>
    </w:p>
    <w:p w14:paraId="531D542D">
      <w:pPr>
        <w:pStyle w:val="25"/>
        <w:spacing w:before="0" w:after="0"/>
        <w:outlineLvl w:val="9"/>
        <w:rPr>
          <w:color w:val="auto"/>
          <w:highlight w:val="none"/>
        </w:rPr>
      </w:pPr>
      <w:bookmarkStart w:id="5" w:name="_Toc29913"/>
      <w:bookmarkStart w:id="6" w:name="_Toc32250"/>
      <w:bookmarkStart w:id="7" w:name="_Toc30951"/>
      <w:bookmarkStart w:id="8" w:name="_Toc17602"/>
      <w:bookmarkStart w:id="9" w:name="_Toc32678"/>
      <w:r>
        <w:rPr>
          <w:rFonts w:hint="eastAsia"/>
          <w:color w:val="auto"/>
          <w:highlight w:val="none"/>
        </w:rPr>
        <w:t>1. 招标条件</w:t>
      </w:r>
      <w:bookmarkEnd w:id="5"/>
      <w:bookmarkEnd w:id="6"/>
      <w:bookmarkEnd w:id="7"/>
      <w:bookmarkEnd w:id="8"/>
      <w:bookmarkEnd w:id="9"/>
    </w:p>
    <w:p w14:paraId="341509A3">
      <w:pPr>
        <w:spacing w:before="68" w:line="356" w:lineRule="auto"/>
        <w:ind w:left="9" w:right="74" w:firstLine="419"/>
        <w:rPr>
          <w:rFonts w:ascii="宋体" w:hAnsi="宋体" w:eastAsia="宋体"/>
          <w:color w:val="auto"/>
          <w:spacing w:val="1"/>
          <w:highlight w:val="none"/>
        </w:rPr>
      </w:pPr>
      <w:r>
        <w:rPr>
          <w:rFonts w:hint="eastAsia" w:ascii="宋体" w:hAnsi="宋体" w:eastAsia="宋体"/>
          <w:color w:val="auto"/>
          <w:spacing w:val="1"/>
          <w:highlight w:val="none"/>
        </w:rPr>
        <w:t>本招标项目</w:t>
      </w:r>
      <w:r>
        <w:rPr>
          <w:rFonts w:hint="eastAsia" w:ascii="宋体" w:hAnsi="宋体" w:eastAsia="宋体"/>
          <w:color w:val="auto"/>
          <w:spacing w:val="1"/>
          <w:highlight w:val="none"/>
          <w:u w:val="single"/>
        </w:rPr>
        <w:t>广州东部中心地下管网完善工程—新塘镇排水系统更新改造提升工程（北部片区）</w:t>
      </w:r>
      <w:r>
        <w:rPr>
          <w:rFonts w:hint="eastAsia" w:ascii="宋体" w:hAnsi="宋体" w:eastAsia="宋体"/>
          <w:color w:val="auto"/>
          <w:highlight w:val="none"/>
        </w:rPr>
        <w:t>已由</w:t>
      </w:r>
      <w:r>
        <w:rPr>
          <w:rFonts w:hint="eastAsia" w:ascii="宋体" w:hAnsi="宋体" w:eastAsia="宋体"/>
          <w:color w:val="auto"/>
          <w:highlight w:val="none"/>
          <w:u w:val="single"/>
        </w:rPr>
        <w:t>广州市增城区发展和改革局</w:t>
      </w:r>
      <w:r>
        <w:rPr>
          <w:rFonts w:hint="eastAsia" w:ascii="宋体" w:hAnsi="宋体" w:eastAsia="宋体"/>
          <w:color w:val="auto"/>
          <w:spacing w:val="-2"/>
          <w:highlight w:val="none"/>
        </w:rPr>
        <w:t>以</w:t>
      </w:r>
      <w:r>
        <w:rPr>
          <w:rFonts w:hint="eastAsia" w:ascii="宋体" w:hAnsi="宋体" w:eastAsia="宋体"/>
          <w:color w:val="auto"/>
          <w:spacing w:val="-2"/>
          <w:highlight w:val="none"/>
          <w:u w:val="single"/>
        </w:rPr>
        <w:t>穗增发改投批[</w:t>
      </w:r>
      <w:r>
        <w:rPr>
          <w:rFonts w:ascii="宋体" w:hAnsi="宋体" w:eastAsia="宋体"/>
          <w:color w:val="auto"/>
          <w:spacing w:val="-2"/>
          <w:highlight w:val="none"/>
          <w:u w:val="single"/>
        </w:rPr>
        <w:t>202</w:t>
      </w:r>
      <w:r>
        <w:rPr>
          <w:rFonts w:hint="eastAsia" w:ascii="宋体" w:hAnsi="宋体" w:eastAsia="宋体"/>
          <w:color w:val="auto"/>
          <w:spacing w:val="-2"/>
          <w:highlight w:val="none"/>
          <w:u w:val="single"/>
        </w:rPr>
        <w:t>5]49号</w:t>
      </w:r>
      <w:r>
        <w:rPr>
          <w:rFonts w:hint="eastAsia" w:ascii="宋体" w:hAnsi="宋体" w:eastAsia="宋体"/>
          <w:color w:val="auto"/>
          <w:spacing w:val="-1"/>
          <w:highlight w:val="none"/>
        </w:rPr>
        <w:t>批准建设，项目业主为</w:t>
      </w:r>
      <w:r>
        <w:rPr>
          <w:rFonts w:hint="eastAsia"/>
          <w:bCs/>
          <w:color w:val="auto"/>
          <w:szCs w:val="32"/>
          <w:highlight w:val="none"/>
          <w:u w:val="single"/>
        </w:rPr>
        <w:t>广州市增城区新塘镇人民政府</w:t>
      </w:r>
      <w:r>
        <w:rPr>
          <w:rFonts w:hint="eastAsia" w:ascii="宋体" w:hAnsi="宋体" w:eastAsia="宋体"/>
          <w:color w:val="auto"/>
          <w:spacing w:val="-1"/>
          <w:highlight w:val="none"/>
        </w:rPr>
        <w:t>，建设资金来</w:t>
      </w:r>
      <w:r>
        <w:rPr>
          <w:rFonts w:hint="eastAsia" w:ascii="宋体" w:hAnsi="宋体" w:eastAsia="宋体"/>
          <w:color w:val="auto"/>
          <w:spacing w:val="1"/>
          <w:highlight w:val="none"/>
        </w:rPr>
        <w:t>自</w:t>
      </w:r>
      <w:r>
        <w:rPr>
          <w:rFonts w:hint="eastAsia" w:ascii="宋体" w:hAnsi="宋体" w:eastAsia="宋体"/>
          <w:color w:val="auto"/>
          <w:spacing w:val="1"/>
          <w:highlight w:val="none"/>
          <w:u w:val="single"/>
        </w:rPr>
        <w:t>财政资金</w:t>
      </w:r>
      <w:r>
        <w:rPr>
          <w:rFonts w:hint="eastAsia" w:ascii="宋体" w:hAnsi="宋体" w:eastAsia="宋体"/>
          <w:color w:val="auto"/>
          <w:spacing w:val="1"/>
          <w:highlight w:val="none"/>
        </w:rPr>
        <w:t>，出资</w:t>
      </w:r>
      <w:r>
        <w:rPr>
          <w:rFonts w:hint="eastAsia" w:ascii="宋体" w:hAnsi="宋体" w:eastAsia="宋体"/>
          <w:color w:val="auto"/>
          <w:highlight w:val="none"/>
        </w:rPr>
        <w:t>比例为</w:t>
      </w:r>
      <w:r>
        <w:rPr>
          <w:rFonts w:hint="eastAsia" w:ascii="宋体" w:hAnsi="宋体" w:eastAsia="宋体"/>
          <w:color w:val="auto"/>
          <w:highlight w:val="none"/>
          <w:u w:val="single"/>
        </w:rPr>
        <w:t>100%</w:t>
      </w:r>
      <w:r>
        <w:rPr>
          <w:rFonts w:hint="eastAsia" w:ascii="宋体" w:hAnsi="宋体" w:eastAsia="宋体"/>
          <w:color w:val="auto"/>
          <w:highlight w:val="none"/>
        </w:rPr>
        <w:t>，招标人为</w:t>
      </w:r>
      <w:r>
        <w:rPr>
          <w:rFonts w:hint="eastAsia"/>
          <w:bCs/>
          <w:color w:val="auto"/>
          <w:szCs w:val="32"/>
          <w:highlight w:val="none"/>
          <w:u w:val="single"/>
        </w:rPr>
        <w:t>广州市增城区新塘镇人民政府</w:t>
      </w:r>
      <w:r>
        <w:rPr>
          <w:rFonts w:hint="eastAsia" w:ascii="宋体" w:hAnsi="宋体" w:eastAsia="宋体"/>
          <w:color w:val="auto"/>
          <w:highlight w:val="none"/>
        </w:rPr>
        <w:t>。项目已具备招标</w:t>
      </w:r>
      <w:r>
        <w:rPr>
          <w:rFonts w:hint="eastAsia" w:ascii="宋体" w:hAnsi="宋体" w:eastAsia="宋体"/>
          <w:color w:val="auto"/>
          <w:spacing w:val="-4"/>
          <w:highlight w:val="none"/>
        </w:rPr>
        <w:t>条</w:t>
      </w:r>
      <w:r>
        <w:rPr>
          <w:rFonts w:hint="eastAsia" w:ascii="宋体" w:hAnsi="宋体" w:eastAsia="宋体"/>
          <w:color w:val="auto"/>
          <w:spacing w:val="-2"/>
          <w:highlight w:val="none"/>
        </w:rPr>
        <w:t>件，现对该项目的设计进行公开招标。</w:t>
      </w:r>
    </w:p>
    <w:p w14:paraId="0F222A97">
      <w:pPr>
        <w:pStyle w:val="25"/>
        <w:spacing w:before="0" w:after="0"/>
        <w:outlineLvl w:val="9"/>
        <w:rPr>
          <w:color w:val="auto"/>
          <w:highlight w:val="none"/>
        </w:rPr>
      </w:pPr>
      <w:bookmarkStart w:id="10" w:name="_Toc27861"/>
      <w:bookmarkStart w:id="11" w:name="_Toc22955"/>
      <w:bookmarkStart w:id="12" w:name="_Toc23400"/>
      <w:bookmarkStart w:id="13" w:name="_Toc4860"/>
      <w:bookmarkStart w:id="14" w:name="_Toc29432"/>
      <w:r>
        <w:rPr>
          <w:rFonts w:hint="eastAsia"/>
          <w:color w:val="auto"/>
          <w:highlight w:val="none"/>
        </w:rPr>
        <w:t>2. 项目概况与招标范围</w:t>
      </w:r>
      <w:bookmarkEnd w:id="10"/>
      <w:bookmarkEnd w:id="11"/>
      <w:bookmarkEnd w:id="12"/>
      <w:bookmarkEnd w:id="13"/>
      <w:bookmarkEnd w:id="14"/>
    </w:p>
    <w:p w14:paraId="1683D3D5">
      <w:pPr>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2.1 工程名称：</w:t>
      </w:r>
      <w:r>
        <w:rPr>
          <w:rFonts w:hint="eastAsia" w:ascii="宋体" w:hAnsi="宋体" w:eastAsia="宋体"/>
          <w:color w:val="auto"/>
          <w:spacing w:val="1"/>
          <w:highlight w:val="none"/>
          <w:u w:val="single"/>
        </w:rPr>
        <w:t>广州东部中心地下管网完善工程—新塘镇排水系统更新改造提升工程（北部片区）设计服务</w:t>
      </w:r>
    </w:p>
    <w:p w14:paraId="52755869">
      <w:pPr>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2.2 建设地点：</w:t>
      </w:r>
      <w:r>
        <w:rPr>
          <w:rFonts w:hint="eastAsia" w:ascii="宋体" w:hAnsi="宋体" w:eastAsia="宋体"/>
          <w:color w:val="auto"/>
          <w:spacing w:val="1"/>
          <w:highlight w:val="none"/>
          <w:u w:val="single"/>
        </w:rPr>
        <w:t>广州市增城区新塘镇</w:t>
      </w:r>
    </w:p>
    <w:p w14:paraId="67CAE9C2">
      <w:pPr>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2.3 建设规模：</w:t>
      </w:r>
    </w:p>
    <w:p w14:paraId="06DCEDF7">
      <w:pPr>
        <w:spacing w:line="360" w:lineRule="auto"/>
        <w:ind w:firstLine="420" w:firstLineChars="200"/>
        <w:rPr>
          <w:rFonts w:ascii="宋体" w:hAnsi="宋体" w:eastAsia="宋体"/>
          <w:color w:val="auto"/>
          <w:highlight w:val="none"/>
          <w:u w:val="single"/>
        </w:rPr>
      </w:pPr>
      <w:r>
        <w:rPr>
          <w:rFonts w:hint="eastAsia" w:ascii="宋体" w:hAnsi="宋体" w:eastAsia="宋体"/>
          <w:color w:val="auto"/>
          <w:highlight w:val="none"/>
          <w:u w:val="single"/>
        </w:rPr>
        <w:t>本工程估算总投资22067.89万元。项目位于增城区新塘镇北部片区。主要建设内容为:新建污水管DN100-600长度共22.63km,新建 DN300-1500雨水管长度共11.80km，公共管网结构性缺陷修复 932 处，合流渠箱治理巩固提升14条，区域污涝同治5处，排水单元巩固提升135.07ha，新建水质、流量和液位监测点26处以及新建智能溢流井12处，现状泵站改造29处，渠箱清障和配套建设检查井、雨水篦子以及路面破除修复等。</w:t>
      </w:r>
    </w:p>
    <w:p w14:paraId="1234F5DC">
      <w:pPr>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2.4 设计服务期限：</w:t>
      </w:r>
    </w:p>
    <w:p w14:paraId="298E3594">
      <w:pPr>
        <w:spacing w:line="360" w:lineRule="auto"/>
        <w:ind w:firstLine="420" w:firstLineChars="200"/>
        <w:rPr>
          <w:rFonts w:ascii="宋体" w:hAnsi="宋体" w:eastAsia="宋体"/>
          <w:color w:val="auto"/>
          <w:highlight w:val="none"/>
          <w:u w:val="single"/>
        </w:rPr>
      </w:pPr>
      <w:r>
        <w:rPr>
          <w:rFonts w:hint="eastAsia" w:ascii="宋体" w:hAnsi="宋体" w:eastAsia="宋体"/>
          <w:color w:val="auto"/>
          <w:highlight w:val="none"/>
          <w:u w:val="single"/>
        </w:rPr>
        <w:t>设计工期：中标人应在设计合同签订后30日历天内完成初步设计，初步设计审查批准后15日历天内完成施工图设计，施工图设计文件经审查发现问题后5日历天内完成补充、修改，施工图设计文件补充完善后10日历天通过最终审查。</w:t>
      </w:r>
    </w:p>
    <w:p w14:paraId="08F122FF">
      <w:pPr>
        <w:pStyle w:val="63"/>
        <w:spacing w:line="360" w:lineRule="auto"/>
        <w:ind w:firstLine="420"/>
        <w:rPr>
          <w:rFonts w:ascii="宋体" w:hAnsi="宋体"/>
          <w:color w:val="auto"/>
          <w:sz w:val="21"/>
          <w:szCs w:val="21"/>
          <w:highlight w:val="none"/>
        </w:rPr>
      </w:pPr>
      <w:r>
        <w:rPr>
          <w:rFonts w:hint="eastAsia" w:ascii="宋体" w:hAnsi="宋体"/>
          <w:color w:val="auto"/>
          <w:sz w:val="21"/>
          <w:szCs w:val="21"/>
          <w:highlight w:val="none"/>
        </w:rPr>
        <w:t>2.5 招标范围：</w:t>
      </w:r>
    </w:p>
    <w:p w14:paraId="6D89792B">
      <w:pPr>
        <w:shd w:val="clear" w:color="auto" w:fill="FFFFFF"/>
        <w:spacing w:line="360" w:lineRule="auto"/>
        <w:ind w:firstLine="420" w:firstLineChars="200"/>
        <w:rPr>
          <w:rFonts w:ascii="宋体" w:hAnsi="宋体"/>
          <w:color w:val="auto"/>
          <w:highlight w:val="none"/>
          <w:u w:val="single"/>
        </w:rPr>
      </w:pPr>
      <w:r>
        <w:rPr>
          <w:rFonts w:hint="eastAsia" w:ascii="宋体" w:hAnsi="宋体"/>
          <w:color w:val="auto"/>
          <w:highlight w:val="none"/>
          <w:u w:val="single"/>
        </w:rPr>
        <w:t>主要工作内容包括：完成项目的初步设计及概算编制、招标设计及预算编制、施工图设计及工程施工期间设计服务（不包含各专题）；并协助建设单位办理相关前期报建手续、现场指导与服务、协助编制竣工图。</w:t>
      </w:r>
    </w:p>
    <w:p w14:paraId="0D0C4547">
      <w:pPr>
        <w:shd w:val="clear" w:color="auto" w:fill="FFFFFF"/>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2.6 前期服务机构名称（可行性研究报告）：</w:t>
      </w:r>
      <w:r>
        <w:rPr>
          <w:rFonts w:hint="eastAsia" w:ascii="宋体" w:hAnsi="宋体" w:eastAsia="宋体"/>
          <w:color w:val="auto"/>
          <w:highlight w:val="none"/>
          <w:u w:val="single"/>
        </w:rPr>
        <w:t>广东省建筑设计研究院集团股份有限公司</w:t>
      </w:r>
      <w:r>
        <w:rPr>
          <w:rFonts w:hint="eastAsia" w:ascii="宋体" w:hAnsi="宋体" w:eastAsia="宋体"/>
          <w:color w:val="auto"/>
          <w:highlight w:val="none"/>
        </w:rPr>
        <w:t>。</w:t>
      </w:r>
    </w:p>
    <w:p w14:paraId="69EAEFC1">
      <w:pPr>
        <w:spacing w:line="400" w:lineRule="exact"/>
        <w:ind w:firstLine="420" w:firstLineChars="200"/>
        <w:rPr>
          <w:rFonts w:ascii="宋体" w:hAnsi="宋体" w:eastAsia="宋体"/>
          <w:color w:val="auto"/>
          <w:highlight w:val="none"/>
        </w:rPr>
      </w:pPr>
      <w:r>
        <w:rPr>
          <w:rFonts w:hint="eastAsia" w:ascii="宋体" w:hAnsi="宋体" w:eastAsia="宋体"/>
          <w:color w:val="auto"/>
          <w:highlight w:val="none"/>
        </w:rPr>
        <w:t>注：如果前期服务机构参加本次投标，应将本公告发布前最终完成的工作成果（含电子文件）在投标人获取招标文件的同时提供给所有投标人参考，否则前期参与的服务机构中标无效。</w:t>
      </w:r>
    </w:p>
    <w:p w14:paraId="58BFD9F9">
      <w:pPr>
        <w:pStyle w:val="25"/>
        <w:spacing w:before="0" w:after="0"/>
        <w:outlineLvl w:val="9"/>
        <w:rPr>
          <w:color w:val="auto"/>
          <w:highlight w:val="none"/>
        </w:rPr>
      </w:pPr>
      <w:bookmarkStart w:id="15" w:name="_Toc19035"/>
      <w:bookmarkStart w:id="16" w:name="_Toc6474"/>
      <w:bookmarkStart w:id="17" w:name="_Toc13470"/>
      <w:bookmarkStart w:id="18" w:name="_Toc13441"/>
      <w:bookmarkStart w:id="19" w:name="_Toc13982"/>
      <w:r>
        <w:rPr>
          <w:rFonts w:hint="eastAsia"/>
          <w:color w:val="auto"/>
          <w:highlight w:val="none"/>
        </w:rPr>
        <w:t>3. 投标人资格要求</w:t>
      </w:r>
      <w:bookmarkEnd w:id="15"/>
      <w:bookmarkEnd w:id="16"/>
      <w:bookmarkEnd w:id="17"/>
      <w:bookmarkEnd w:id="18"/>
      <w:bookmarkEnd w:id="19"/>
    </w:p>
    <w:p w14:paraId="0EB603F1">
      <w:pPr>
        <w:spacing w:line="360" w:lineRule="auto"/>
        <w:ind w:left="716" w:leftChars="199" w:hanging="298" w:hangingChars="142"/>
        <w:rPr>
          <w:rFonts w:ascii="宋体" w:hAnsi="宋体" w:eastAsia="宋体"/>
          <w:color w:val="auto"/>
          <w:highlight w:val="none"/>
        </w:rPr>
      </w:pPr>
      <w:r>
        <w:rPr>
          <w:rFonts w:hint="eastAsia" w:ascii="宋体" w:hAnsi="宋体" w:eastAsia="宋体"/>
          <w:color w:val="auto"/>
          <w:highlight w:val="none"/>
        </w:rPr>
        <w:t>3.1  投标人参加投标的意思表达清楚，投标人代表被授权有效。</w:t>
      </w:r>
    </w:p>
    <w:p w14:paraId="7951C16A">
      <w:pPr>
        <w:spacing w:line="360" w:lineRule="auto"/>
        <w:ind w:left="716" w:leftChars="199" w:hanging="298" w:hangingChars="142"/>
        <w:rPr>
          <w:rFonts w:ascii="宋体" w:hAnsi="宋体" w:eastAsia="宋体"/>
          <w:color w:val="auto"/>
          <w:highlight w:val="none"/>
        </w:rPr>
      </w:pPr>
      <w:r>
        <w:rPr>
          <w:rFonts w:hint="eastAsia" w:ascii="宋体" w:hAnsi="宋体" w:eastAsia="宋体"/>
          <w:color w:val="auto"/>
          <w:highlight w:val="none"/>
        </w:rPr>
        <w:t>3.2  投标人是法人或其他组织，按国家法律经营。</w:t>
      </w:r>
    </w:p>
    <w:p w14:paraId="6D2CB0D4">
      <w:pPr>
        <w:spacing w:line="360" w:lineRule="auto"/>
        <w:ind w:left="705" w:leftChars="194" w:hanging="298" w:hangingChars="142"/>
        <w:rPr>
          <w:rFonts w:ascii="宋体" w:hAnsi="宋体" w:eastAsia="宋体"/>
          <w:color w:val="auto"/>
          <w:highlight w:val="none"/>
        </w:rPr>
      </w:pPr>
      <w:r>
        <w:rPr>
          <w:rFonts w:hint="eastAsia" w:ascii="宋体" w:hAnsi="宋体" w:eastAsia="宋体"/>
          <w:color w:val="auto"/>
          <w:highlight w:val="none"/>
        </w:rPr>
        <w:t>3.3  投标人须具备建设行政主管部门颁发的资质：</w:t>
      </w:r>
    </w:p>
    <w:p w14:paraId="30FEC465">
      <w:pPr>
        <w:topLinePunct/>
        <w:spacing w:line="360" w:lineRule="auto"/>
        <w:ind w:firstLine="420" w:firstLineChars="200"/>
        <w:rPr>
          <w:rFonts w:ascii="宋体" w:hAnsi="宋体" w:eastAsia="宋体"/>
          <w:color w:val="auto"/>
          <w:highlight w:val="none"/>
          <w:u w:val="single"/>
        </w:rPr>
      </w:pPr>
      <w:r>
        <w:rPr>
          <w:rFonts w:hint="eastAsia" w:ascii="宋体" w:hAnsi="宋体" w:eastAsia="宋体"/>
          <w:color w:val="auto"/>
          <w:highlight w:val="none"/>
          <w:u w:val="single"/>
        </w:rPr>
        <w:t>工程设计综合类资质，或市政行业（排水工程）设计甲级（或以上）资质</w:t>
      </w:r>
      <w:r>
        <w:rPr>
          <w:rFonts w:hint="eastAsia" w:ascii="宋体" w:hAnsi="宋体" w:eastAsia="宋体"/>
          <w:color w:val="auto"/>
          <w:highlight w:val="none"/>
        </w:rPr>
        <w:t>。</w:t>
      </w:r>
    </w:p>
    <w:p w14:paraId="1BF0046F">
      <w:pPr>
        <w:topLinePunct/>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注：香港企业参加投标的，须已在广东省住房和城乡建设主管部门备案且备案的业务范围满足本项目招标文件要求。[香港企业备案的业务范围依据《广东省住房和城乡建设厅关于印发香港工程建设咨询企业和专业人士在粤港澳大湾区内地城市开业执业试点管理暂行办法的通知》（粤建规范〔2020〕1号）确定，工程勘察、工程设计企业资质证书有效期按《住房和城乡建设部办公厅关于做好建筑业“证照分离”改革衔接有关工作的通知》（建办市〔2021〕30号）执行、《住房城乡建设部建筑市场监管司关于建设工程企业资质延续有关事项的通知》（建司局函市〔2023〕116号）、《广东省住房和城乡建设厅关于建设工程企业资质延续有关事项的通知》（粤建许函〔2023〕820号）和《广东省住房和城乡建设厅关于做好有关建设工程企业资质证书换领工作的通知》（粤建许函〔2024〕124号）执行]。</w:t>
      </w:r>
    </w:p>
    <w:p w14:paraId="05032AD3">
      <w:pPr>
        <w:topLinePunct/>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3.4  投标人已在广州交易集团有限公司（广州公共资源交易中心）办理企业信息登记，本项目负责人是本企业在广州交易集团有限公司（广州公共资源交易中心）企业信息登记中的在册人员。</w:t>
      </w:r>
    </w:p>
    <w:p w14:paraId="68588287">
      <w:pPr>
        <w:spacing w:line="400" w:lineRule="exact"/>
        <w:ind w:firstLine="420" w:firstLineChars="200"/>
        <w:rPr>
          <w:rFonts w:ascii="宋体" w:hAnsi="宋体" w:eastAsia="宋体"/>
          <w:color w:val="auto"/>
          <w:highlight w:val="none"/>
        </w:rPr>
      </w:pPr>
      <w:r>
        <w:rPr>
          <w:rFonts w:hint="eastAsia" w:ascii="宋体" w:hAnsi="宋体" w:eastAsia="宋体"/>
          <w:color w:val="auto"/>
          <w:highlight w:val="none"/>
        </w:rPr>
        <w:t>3.5  投标人委派的项目负责人须具备给水排水设计高级工程师（或以上）职称。</w:t>
      </w:r>
      <w:r>
        <w:rPr>
          <w:rFonts w:hint="eastAsia" w:ascii="宋体" w:hAnsi="宋体" w:eastAsia="宋体"/>
          <w:b/>
          <w:bCs/>
          <w:color w:val="auto"/>
          <w:highlight w:val="none"/>
        </w:rPr>
        <w:t>须提供相关</w:t>
      </w:r>
      <w:r>
        <w:rPr>
          <w:rFonts w:hint="eastAsia" w:ascii="宋体" w:hAnsi="宋体" w:eastAsia="宋体"/>
          <w:b/>
          <w:bCs/>
          <w:color w:val="auto"/>
          <w:highlight w:val="none"/>
          <w:lang w:eastAsia="zh-CN"/>
        </w:rPr>
        <w:t>职称</w:t>
      </w:r>
      <w:r>
        <w:rPr>
          <w:rFonts w:hint="eastAsia" w:ascii="宋体" w:hAnsi="宋体" w:eastAsia="宋体"/>
          <w:b/>
          <w:bCs/>
          <w:color w:val="auto"/>
          <w:highlight w:val="none"/>
        </w:rPr>
        <w:t>证书和投标人为其缴纳在本投标单位的2025年3月有效的社保证明材料</w:t>
      </w:r>
      <w:r>
        <w:rPr>
          <w:rFonts w:hint="eastAsia" w:ascii="宋体" w:hAnsi="宋体" w:eastAsia="宋体"/>
          <w:color w:val="auto"/>
          <w:highlight w:val="none"/>
        </w:rPr>
        <w:t>。</w:t>
      </w:r>
    </w:p>
    <w:p w14:paraId="6199D5E7">
      <w:pPr>
        <w:spacing w:line="400" w:lineRule="exact"/>
        <w:ind w:firstLine="420" w:firstLineChars="200"/>
        <w:rPr>
          <w:rFonts w:ascii="宋体" w:hAnsi="宋体" w:eastAsia="宋体"/>
          <w:color w:val="auto"/>
          <w:highlight w:val="none"/>
        </w:rPr>
      </w:pPr>
      <w:r>
        <w:rPr>
          <w:rFonts w:hint="eastAsia" w:ascii="宋体" w:hAnsi="宋体" w:eastAsia="宋体"/>
          <w:color w:val="auto"/>
          <w:highlight w:val="none"/>
        </w:rPr>
        <w:t>注：若拟委派的项目负责人为香港专业人士，则须已在广东省住房和城乡建设主管部门备案且备案的业务范围相当于</w:t>
      </w:r>
      <w:r>
        <w:rPr>
          <w:rFonts w:hint="eastAsia" w:ascii="宋体" w:hAnsi="宋体" w:eastAsia="宋体"/>
          <w:color w:val="auto"/>
          <w:highlight w:val="none"/>
          <w:u w:val="single"/>
        </w:rPr>
        <w:t>满足本项目招标文件要求</w:t>
      </w:r>
      <w:r>
        <w:rPr>
          <w:rFonts w:hint="eastAsia" w:ascii="宋体" w:hAnsi="宋体" w:eastAsia="宋体"/>
          <w:color w:val="auto"/>
          <w:highlight w:val="none"/>
        </w:rPr>
        <w:t>的香港专业人士[香港专业人士的备案业务范围依据《广东省住房和城乡建设厅关于印发香港工程建设咨询企业和专业人士在粤港澳大湾区内地城市开业执业试点管理暂行办法的通知》（粤建规范〔2020〕1号）确定]。</w:t>
      </w:r>
    </w:p>
    <w:p w14:paraId="13BC13B8">
      <w:pPr>
        <w:spacing w:line="400" w:lineRule="exact"/>
        <w:ind w:firstLine="420" w:firstLineChars="200"/>
        <w:rPr>
          <w:rFonts w:ascii="宋体" w:hAnsi="宋体" w:eastAsia="宋体"/>
          <w:strike/>
          <w:color w:val="auto"/>
          <w:highlight w:val="none"/>
        </w:rPr>
      </w:pPr>
      <w:r>
        <w:rPr>
          <w:rFonts w:hint="eastAsia" w:ascii="宋体" w:hAnsi="宋体" w:eastAsia="宋体"/>
          <w:strike/>
          <w:color w:val="auto"/>
          <w:highlight w:val="none"/>
        </w:rPr>
        <w:t>3.6  投标人委派的其他专业负责人需具备注册执业资格，或者本专业（含相近专业）高级技术职称，或者中级技术职称从事本专业工作10年以上。（注：若无此项要求，由招标人自行删除）</w:t>
      </w:r>
    </w:p>
    <w:p w14:paraId="395ABDF4">
      <w:pPr>
        <w:spacing w:line="400" w:lineRule="exact"/>
        <w:ind w:left="716" w:leftChars="199" w:hanging="298" w:hangingChars="142"/>
        <w:rPr>
          <w:rFonts w:ascii="宋体" w:hAnsi="宋体" w:eastAsia="宋体"/>
          <w:color w:val="auto"/>
          <w:highlight w:val="none"/>
        </w:rPr>
      </w:pPr>
      <w:r>
        <w:rPr>
          <w:rFonts w:hint="eastAsia" w:ascii="宋体" w:hAnsi="宋体" w:eastAsia="宋体"/>
          <w:color w:val="auto"/>
          <w:highlight w:val="none"/>
        </w:rPr>
        <w:t>3.7  投标申请人业绩要求（</w:t>
      </w:r>
      <w:r>
        <w:rPr>
          <w:rFonts w:hint="eastAsia" w:ascii="宋体" w:hAnsi="宋体" w:eastAsia="宋体"/>
          <w:color w:val="auto"/>
          <w:highlight w:val="none"/>
          <w:bdr w:val="single" w:color="auto" w:sz="4" w:space="0"/>
        </w:rPr>
        <w:t xml:space="preserve">  </w:t>
      </w:r>
      <w:r>
        <w:rPr>
          <w:rFonts w:hint="eastAsia" w:ascii="宋体" w:hAnsi="宋体" w:eastAsia="宋体"/>
          <w:color w:val="auto"/>
          <w:highlight w:val="none"/>
        </w:rPr>
        <w:t xml:space="preserve">需要 /  </w:t>
      </w:r>
      <w:r>
        <w:rPr>
          <w:rFonts w:eastAsia="宋体"/>
          <w:color w:val="auto"/>
          <w:highlight w:val="none"/>
          <w:bdr w:val="single" w:color="auto" w:sz="4" w:space="0"/>
        </w:rPr>
        <w:t>√</w:t>
      </w:r>
      <w:r>
        <w:rPr>
          <w:rFonts w:hint="eastAsia" w:ascii="宋体" w:hAnsi="宋体" w:eastAsia="宋体"/>
          <w:color w:val="auto"/>
          <w:highlight w:val="none"/>
        </w:rPr>
        <w:t>不需要）：</w:t>
      </w:r>
    </w:p>
    <w:p w14:paraId="5428A493">
      <w:pPr>
        <w:spacing w:line="400" w:lineRule="exact"/>
        <w:ind w:firstLine="420" w:firstLineChars="200"/>
        <w:rPr>
          <w:rFonts w:ascii="宋体" w:hAnsi="宋体" w:eastAsia="宋体"/>
          <w:color w:val="auto"/>
          <w:highlight w:val="none"/>
        </w:rPr>
      </w:pPr>
      <w:bookmarkStart w:id="20" w:name="_Toc32048"/>
      <w:bookmarkStart w:id="21" w:name="_Toc20272"/>
      <w:bookmarkStart w:id="22" w:name="_Toc32634"/>
      <w:bookmarkStart w:id="23" w:name="_Toc8744"/>
      <w:bookmarkStart w:id="24" w:name="_Toc249845968"/>
      <w:bookmarkStart w:id="25" w:name="_Toc266881397"/>
      <w:bookmarkStart w:id="26" w:name="_Toc249846223"/>
      <w:bookmarkStart w:id="27" w:name="_Toc245023997"/>
      <w:bookmarkStart w:id="28" w:name="_Toc7102"/>
      <w:bookmarkStart w:id="29" w:name="_Toc266093545"/>
      <w:bookmarkStart w:id="30" w:name="_Toc253143216"/>
      <w:bookmarkStart w:id="31" w:name="_Toc19668"/>
      <w:r>
        <w:rPr>
          <w:rFonts w:hint="eastAsia" w:ascii="宋体" w:hAnsi="宋体" w:eastAsia="宋体"/>
          <w:color w:val="auto"/>
          <w:highlight w:val="none"/>
        </w:rPr>
        <w:t xml:space="preserve">3.8 </w:t>
      </w:r>
      <w:bookmarkEnd w:id="20"/>
      <w:bookmarkEnd w:id="21"/>
      <w:bookmarkEnd w:id="22"/>
      <w:bookmarkEnd w:id="23"/>
      <w:bookmarkEnd w:id="24"/>
      <w:bookmarkEnd w:id="25"/>
      <w:bookmarkEnd w:id="26"/>
      <w:bookmarkEnd w:id="27"/>
      <w:bookmarkEnd w:id="28"/>
      <w:bookmarkEnd w:id="29"/>
      <w:bookmarkEnd w:id="30"/>
      <w:bookmarkEnd w:id="31"/>
      <w:r>
        <w:rPr>
          <w:rFonts w:hint="eastAsia" w:ascii="宋体" w:hAnsi="宋体" w:eastAsia="宋体"/>
          <w:color w:val="auto"/>
          <w:highlight w:val="none"/>
        </w:rPr>
        <w:t>关于联合体投标：本项目不接受联合体投标。</w:t>
      </w:r>
    </w:p>
    <w:p w14:paraId="742E7BBA">
      <w:pPr>
        <w:spacing w:line="400" w:lineRule="exact"/>
        <w:ind w:left="15" w:leftChars="7" w:firstLine="401" w:firstLineChars="191"/>
        <w:rPr>
          <w:rFonts w:ascii="宋体" w:hAnsi="宋体" w:eastAsia="宋体"/>
          <w:color w:val="auto"/>
          <w:highlight w:val="none"/>
        </w:rPr>
      </w:pPr>
      <w:r>
        <w:rPr>
          <w:rFonts w:ascii="宋体" w:hAnsi="宋体" w:eastAsia="宋体"/>
          <w:color w:val="auto"/>
          <w:highlight w:val="none"/>
        </w:rPr>
        <w:t>3.</w:t>
      </w:r>
      <w:r>
        <w:rPr>
          <w:rFonts w:hint="eastAsia" w:ascii="宋体" w:hAnsi="宋体" w:eastAsia="宋体"/>
          <w:color w:val="auto"/>
          <w:highlight w:val="none"/>
        </w:rPr>
        <w:t xml:space="preserve">9 </w:t>
      </w:r>
      <w:r>
        <w:rPr>
          <w:rFonts w:ascii="宋体" w:hAnsi="宋体" w:eastAsia="宋体"/>
          <w:color w:val="auto"/>
          <w:highlight w:val="none"/>
        </w:rPr>
        <w:t>投标人未被列入“在一定期限内依法取消参加依法必须进行招标的项目的投标资格”，具体名单以递交投标文件截止时间“信用广州”公布的“黑名单”为准</w:t>
      </w:r>
      <w:r>
        <w:rPr>
          <w:rFonts w:hint="eastAsia" w:ascii="宋体" w:hAnsi="宋体" w:eastAsia="宋体"/>
          <w:color w:val="auto"/>
          <w:highlight w:val="none"/>
        </w:rPr>
        <w:t>，需提供查询截图</w:t>
      </w:r>
      <w:r>
        <w:rPr>
          <w:rFonts w:ascii="宋体" w:hAnsi="宋体" w:eastAsia="宋体"/>
          <w:color w:val="auto"/>
          <w:highlight w:val="none"/>
        </w:rPr>
        <w:t>。</w:t>
      </w:r>
    </w:p>
    <w:p w14:paraId="1B062D7F">
      <w:pPr>
        <w:spacing w:line="400" w:lineRule="exact"/>
        <w:ind w:firstLine="420" w:firstLineChars="200"/>
        <w:rPr>
          <w:rFonts w:ascii="宋体" w:hAnsi="宋体" w:eastAsia="宋体"/>
          <w:color w:val="auto"/>
          <w:highlight w:val="none"/>
        </w:rPr>
      </w:pPr>
      <w:r>
        <w:rPr>
          <w:rFonts w:ascii="宋体" w:hAnsi="宋体" w:eastAsia="宋体"/>
          <w:color w:val="auto"/>
          <w:highlight w:val="none"/>
        </w:rPr>
        <w:t>注：《全国失信惩戒措施清单基础清单》（2024版）</w:t>
      </w:r>
      <w:r>
        <w:rPr>
          <w:rFonts w:hint="eastAsia" w:ascii="宋体" w:hAnsi="宋体" w:eastAsia="宋体"/>
          <w:color w:val="auto"/>
          <w:highlight w:val="none"/>
        </w:rPr>
        <w:t>。</w:t>
      </w:r>
    </w:p>
    <w:p w14:paraId="7EA759E4">
      <w:pPr>
        <w:pStyle w:val="25"/>
        <w:spacing w:before="0" w:after="0"/>
        <w:outlineLvl w:val="9"/>
        <w:rPr>
          <w:color w:val="auto"/>
          <w:highlight w:val="none"/>
        </w:rPr>
      </w:pPr>
      <w:bookmarkStart w:id="32" w:name="_Toc10241"/>
      <w:bookmarkStart w:id="33" w:name="_Toc25583"/>
      <w:bookmarkStart w:id="34" w:name="_Toc28948"/>
      <w:bookmarkStart w:id="35" w:name="_Toc26793"/>
      <w:bookmarkStart w:id="36" w:name="_Toc26086"/>
      <w:r>
        <w:rPr>
          <w:rFonts w:hint="eastAsia"/>
          <w:color w:val="auto"/>
          <w:highlight w:val="none"/>
        </w:rPr>
        <w:t>4. 技术成果经济补偿</w:t>
      </w:r>
      <w:bookmarkEnd w:id="32"/>
      <w:bookmarkEnd w:id="33"/>
      <w:bookmarkEnd w:id="34"/>
      <w:bookmarkEnd w:id="35"/>
      <w:bookmarkEnd w:id="36"/>
    </w:p>
    <w:p w14:paraId="3B7F74E1">
      <w:pPr>
        <w:spacing w:line="400" w:lineRule="exact"/>
        <w:ind w:left="429"/>
        <w:rPr>
          <w:rFonts w:ascii="宋体" w:hAnsi="宋体" w:eastAsia="宋体"/>
          <w:color w:val="auto"/>
          <w:spacing w:val="2"/>
          <w:highlight w:val="none"/>
        </w:rPr>
      </w:pPr>
      <w:r>
        <w:rPr>
          <w:rFonts w:hint="eastAsia" w:ascii="宋体" w:hAnsi="宋体" w:eastAsia="宋体"/>
          <w:color w:val="auto"/>
          <w:spacing w:val="2"/>
          <w:highlight w:val="none"/>
        </w:rPr>
        <w:t>本次招标对未中标人投标文件中的技术成果</w:t>
      </w:r>
      <w:r>
        <w:rPr>
          <w:rFonts w:hint="eastAsia" w:ascii="宋体" w:hAnsi="宋体" w:eastAsia="宋体"/>
          <w:color w:val="auto"/>
          <w:spacing w:val="2"/>
          <w:highlight w:val="none"/>
          <w:u w:val="single"/>
        </w:rPr>
        <w:t>不给予</w:t>
      </w:r>
      <w:r>
        <w:rPr>
          <w:rFonts w:hint="eastAsia" w:ascii="宋体" w:hAnsi="宋体" w:eastAsia="宋体"/>
          <w:color w:val="auto"/>
          <w:spacing w:val="1"/>
          <w:highlight w:val="none"/>
        </w:rPr>
        <w:t>经济补偿。</w:t>
      </w:r>
    </w:p>
    <w:p w14:paraId="4CE5783F">
      <w:pPr>
        <w:spacing w:line="400" w:lineRule="exact"/>
        <w:ind w:left="718" w:hanging="718" w:hangingChars="342"/>
        <w:rPr>
          <w:rFonts w:ascii="宋体" w:hAnsi="宋体" w:eastAsia="宋体"/>
          <w:color w:val="auto"/>
          <w:highlight w:val="none"/>
        </w:rPr>
      </w:pPr>
      <w:r>
        <w:rPr>
          <w:rFonts w:hint="eastAsia" w:ascii="宋体" w:hAnsi="宋体" w:eastAsia="宋体"/>
          <w:color w:val="auto"/>
          <w:highlight w:val="none"/>
        </w:rPr>
        <w:t>未中标单位经济补偿及补偿金额</w:t>
      </w:r>
    </w:p>
    <w:p w14:paraId="06F230E8">
      <w:pPr>
        <w:spacing w:line="400" w:lineRule="exact"/>
        <w:ind w:left="429"/>
        <w:rPr>
          <w:rFonts w:ascii="宋体" w:hAnsi="宋体" w:eastAsia="宋体"/>
          <w:color w:val="auto"/>
          <w:spacing w:val="-5"/>
          <w:highlight w:val="none"/>
        </w:rPr>
      </w:pPr>
      <w:r>
        <w:rPr>
          <w:rFonts w:hint="eastAsia" w:ascii="宋体" w:hAnsi="宋体" w:eastAsia="宋体"/>
          <w:color w:val="auto"/>
          <w:spacing w:val="-5"/>
          <w:highlight w:val="none"/>
        </w:rPr>
        <w:t>招标人将按如下标准支付经济补偿费：</w:t>
      </w:r>
      <w:r>
        <w:rPr>
          <w:rFonts w:hint="eastAsia" w:ascii="宋体" w:hAnsi="宋体" w:eastAsia="宋体"/>
          <w:color w:val="auto"/>
          <w:spacing w:val="-5"/>
          <w:highlight w:val="none"/>
          <w:u w:val="single"/>
        </w:rPr>
        <w:t>/</w:t>
      </w:r>
      <w:r>
        <w:rPr>
          <w:rFonts w:hint="eastAsia" w:ascii="宋体" w:hAnsi="宋体" w:eastAsia="宋体"/>
          <w:color w:val="auto"/>
          <w:spacing w:val="-5"/>
          <w:highlight w:val="none"/>
        </w:rPr>
        <w:t>。</w:t>
      </w:r>
    </w:p>
    <w:p w14:paraId="07E308CA">
      <w:pPr>
        <w:pStyle w:val="25"/>
        <w:spacing w:before="0" w:after="0"/>
        <w:outlineLvl w:val="9"/>
        <w:rPr>
          <w:color w:val="auto"/>
          <w:highlight w:val="none"/>
        </w:rPr>
      </w:pPr>
      <w:bookmarkStart w:id="37" w:name="_Toc9312"/>
      <w:bookmarkStart w:id="38" w:name="_Toc29809"/>
      <w:bookmarkStart w:id="39" w:name="_Toc26631"/>
      <w:bookmarkStart w:id="40" w:name="_Toc5228"/>
      <w:bookmarkStart w:id="41" w:name="_Toc14668"/>
      <w:r>
        <w:rPr>
          <w:rFonts w:hint="eastAsia"/>
          <w:color w:val="auto"/>
          <w:highlight w:val="none"/>
        </w:rPr>
        <w:t>5. 招标文件的获取</w:t>
      </w:r>
      <w:bookmarkEnd w:id="37"/>
      <w:bookmarkEnd w:id="38"/>
      <w:bookmarkEnd w:id="39"/>
      <w:bookmarkEnd w:id="40"/>
      <w:bookmarkEnd w:id="41"/>
    </w:p>
    <w:p w14:paraId="00F592E9">
      <w:pPr>
        <w:kinsoku/>
        <w:topLinePunct/>
        <w:autoSpaceDE/>
        <w:autoSpaceDN/>
        <w:spacing w:line="400" w:lineRule="exact"/>
        <w:ind w:firstLine="411" w:firstLineChars="198"/>
        <w:rPr>
          <w:rFonts w:ascii="宋体" w:hAnsi="宋体" w:eastAsia="宋体"/>
          <w:color w:val="auto"/>
          <w:spacing w:val="-1"/>
          <w:highlight w:val="none"/>
        </w:rPr>
      </w:pPr>
      <w:r>
        <w:rPr>
          <w:rFonts w:hint="eastAsia" w:ascii="宋体" w:hAnsi="宋体" w:eastAsia="宋体"/>
          <w:color w:val="auto"/>
          <w:spacing w:val="-1"/>
          <w:highlight w:val="none"/>
        </w:rPr>
        <w:t xml:space="preserve">5.1  </w:t>
      </w:r>
      <w:r>
        <w:rPr>
          <w:rFonts w:hint="eastAsia" w:ascii="宋体" w:hAnsi="宋体" w:eastAsia="宋体"/>
          <w:color w:val="auto"/>
          <w:highlight w:val="none"/>
        </w:rPr>
        <w:t>发布招标公告</w:t>
      </w:r>
      <w:r>
        <w:rPr>
          <w:rFonts w:hint="eastAsia" w:ascii="宋体" w:hAnsi="宋体"/>
          <w:color w:val="auto"/>
          <w:highlight w:val="none"/>
        </w:rPr>
        <w:t>的</w:t>
      </w:r>
      <w:r>
        <w:rPr>
          <w:rFonts w:hint="eastAsia" w:ascii="宋体" w:hAnsi="宋体" w:eastAsia="宋体"/>
          <w:color w:val="auto"/>
          <w:highlight w:val="none"/>
        </w:rPr>
        <w:t>时间：</w:t>
      </w:r>
      <w:r>
        <w:rPr>
          <w:rFonts w:hint="eastAsia" w:ascii="宋体" w:hAnsi="宋体"/>
          <w:color w:val="auto"/>
          <w:highlight w:val="none"/>
          <w:u w:val="single"/>
        </w:rPr>
        <w:t xml:space="preserve"> </w:t>
      </w:r>
      <w:r>
        <w:rPr>
          <w:rFonts w:hint="eastAsia" w:ascii="宋体" w:hAnsi="宋体" w:eastAsiaTheme="minorEastAsia"/>
          <w:color w:val="auto"/>
          <w:highlight w:val="none"/>
          <w:u w:val="single"/>
        </w:rPr>
        <w:t>2025</w:t>
      </w:r>
      <w:r>
        <w:rPr>
          <w:rFonts w:hint="eastAsia" w:ascii="宋体" w:hAnsi="宋体"/>
          <w:color w:val="auto"/>
          <w:highlight w:val="none"/>
          <w:u w:val="single"/>
        </w:rPr>
        <w:t xml:space="preserve"> </w:t>
      </w:r>
      <w:r>
        <w:rPr>
          <w:rFonts w:hint="eastAsia" w:ascii="宋体" w:hAnsi="宋体" w:eastAsia="宋体"/>
          <w:color w:val="auto"/>
          <w:highlight w:val="none"/>
        </w:rPr>
        <w:t>年</w:t>
      </w:r>
      <w:r>
        <w:rPr>
          <w:rFonts w:hint="eastAsia" w:ascii="宋体" w:hAnsi="宋体"/>
          <w:color w:val="auto"/>
          <w:highlight w:val="none"/>
          <w:u w:val="single"/>
        </w:rPr>
        <w:t xml:space="preserve">   </w:t>
      </w:r>
      <w:r>
        <w:rPr>
          <w:rFonts w:hint="eastAsia" w:ascii="宋体" w:hAnsi="宋体" w:eastAsia="宋体"/>
          <w:color w:val="auto"/>
          <w:highlight w:val="none"/>
        </w:rPr>
        <w:t>月</w:t>
      </w:r>
      <w:r>
        <w:rPr>
          <w:rFonts w:hint="eastAsia" w:ascii="宋体" w:hAnsi="宋体"/>
          <w:color w:val="auto"/>
          <w:highlight w:val="none"/>
          <w:u w:val="single"/>
        </w:rPr>
        <w:t xml:space="preserve">   </w:t>
      </w:r>
      <w:r>
        <w:rPr>
          <w:rFonts w:hint="eastAsia" w:ascii="宋体" w:hAnsi="宋体" w:eastAsia="宋体"/>
          <w:color w:val="auto"/>
          <w:highlight w:val="none"/>
        </w:rPr>
        <w:t>日至</w:t>
      </w:r>
      <w:r>
        <w:rPr>
          <w:rFonts w:hint="eastAsia" w:ascii="宋体" w:hAnsi="宋体" w:eastAsiaTheme="minorEastAsia"/>
          <w:color w:val="auto"/>
          <w:highlight w:val="none"/>
          <w:u w:val="single"/>
        </w:rPr>
        <w:t>2025</w:t>
      </w:r>
      <w:r>
        <w:rPr>
          <w:rFonts w:hint="eastAsia" w:ascii="宋体" w:hAnsi="宋体" w:eastAsia="宋体"/>
          <w:color w:val="auto"/>
          <w:highlight w:val="none"/>
        </w:rPr>
        <w:t>年</w:t>
      </w:r>
      <w:r>
        <w:rPr>
          <w:rFonts w:hint="eastAsia" w:ascii="宋体" w:hAnsi="宋体"/>
          <w:color w:val="auto"/>
          <w:highlight w:val="none"/>
          <w:u w:val="single"/>
        </w:rPr>
        <w:t xml:space="preserve">  </w:t>
      </w:r>
      <w:r>
        <w:rPr>
          <w:rFonts w:hint="eastAsia" w:ascii="宋体" w:hAnsi="宋体" w:eastAsia="宋体"/>
          <w:color w:val="auto"/>
          <w:highlight w:val="none"/>
        </w:rPr>
        <w:t>月</w:t>
      </w:r>
      <w:r>
        <w:rPr>
          <w:rFonts w:hint="eastAsia" w:ascii="宋体" w:hAnsi="宋体"/>
          <w:color w:val="auto"/>
          <w:highlight w:val="none"/>
          <w:u w:val="single"/>
        </w:rPr>
        <w:t xml:space="preserve">  </w:t>
      </w:r>
      <w:r>
        <w:rPr>
          <w:rFonts w:hint="eastAsia" w:ascii="宋体" w:hAnsi="宋体" w:eastAsia="宋体"/>
          <w:color w:val="auto"/>
          <w:highlight w:val="none"/>
        </w:rPr>
        <w:t xml:space="preserve">日 </w:t>
      </w:r>
      <w:r>
        <w:rPr>
          <w:rFonts w:hint="eastAsia" w:ascii="宋体" w:hAnsi="宋体"/>
          <w:color w:val="auto"/>
          <w:highlight w:val="none"/>
          <w:u w:val="single"/>
        </w:rPr>
        <w:t xml:space="preserve">  </w:t>
      </w:r>
      <w:r>
        <w:rPr>
          <w:rFonts w:hint="eastAsia" w:ascii="宋体" w:hAnsi="宋体" w:eastAsia="宋体"/>
          <w:color w:val="auto"/>
          <w:highlight w:val="none"/>
        </w:rPr>
        <w:t>时</w:t>
      </w:r>
      <w:r>
        <w:rPr>
          <w:rFonts w:hint="eastAsia" w:ascii="宋体" w:hAnsi="宋体"/>
          <w:color w:val="auto"/>
          <w:highlight w:val="none"/>
          <w:u w:val="single"/>
        </w:rPr>
        <w:t xml:space="preserve">  </w:t>
      </w:r>
      <w:r>
        <w:rPr>
          <w:rFonts w:hint="eastAsia" w:ascii="宋体" w:hAnsi="宋体" w:eastAsia="宋体"/>
          <w:color w:val="auto"/>
          <w:highlight w:val="none"/>
        </w:rPr>
        <w:t>分（北京时间，下同），凡有意参加投标者，请登录广州交易集团有限公司（广州公共资源交易中心）网站下载电子招标文件。</w:t>
      </w:r>
    </w:p>
    <w:p w14:paraId="2CE93CAA">
      <w:pPr>
        <w:kinsoku/>
        <w:topLinePunct/>
        <w:autoSpaceDE/>
        <w:autoSpaceDN/>
        <w:spacing w:line="400" w:lineRule="exact"/>
        <w:ind w:left="420" w:leftChars="200"/>
        <w:rPr>
          <w:rFonts w:ascii="宋体" w:hAnsi="宋体" w:eastAsia="宋体"/>
          <w:color w:val="auto"/>
          <w:highlight w:val="none"/>
        </w:rPr>
      </w:pPr>
      <w:r>
        <w:rPr>
          <w:rFonts w:hint="eastAsia" w:ascii="宋体" w:hAnsi="宋体" w:eastAsia="宋体"/>
          <w:color w:val="auto"/>
          <w:highlight w:val="none"/>
        </w:rPr>
        <w:t>注：发布招标公告的时间为招标公告发出之日起至递交投标文件截止时间止。</w:t>
      </w:r>
    </w:p>
    <w:p w14:paraId="5E79C809">
      <w:pPr>
        <w:kinsoku/>
        <w:topLinePunct/>
        <w:autoSpaceDE/>
        <w:autoSpaceDN/>
        <w:spacing w:line="400" w:lineRule="exact"/>
        <w:ind w:firstLine="420" w:firstLineChars="200"/>
        <w:rPr>
          <w:rFonts w:ascii="宋体" w:hAnsi="宋体" w:eastAsia="宋体"/>
          <w:color w:val="auto"/>
          <w:highlight w:val="none"/>
        </w:rPr>
      </w:pPr>
      <w:r>
        <w:rPr>
          <w:rFonts w:hint="eastAsia" w:ascii="宋体" w:hAnsi="宋体" w:eastAsia="宋体"/>
          <w:color w:val="auto"/>
          <w:highlight w:val="none"/>
        </w:rPr>
        <w:t>5.2 本项目招标文件随招标公告一并在广州交易集团有限公司（广州公共资源交易中心）网站交易平台发布。招标文件一经在交易平台发布，视为发出给投标人，招标文件由投标人自行在交易平台下载。</w:t>
      </w:r>
    </w:p>
    <w:p w14:paraId="1269AF33">
      <w:pPr>
        <w:pStyle w:val="25"/>
        <w:spacing w:before="0" w:after="0"/>
        <w:outlineLvl w:val="9"/>
        <w:rPr>
          <w:color w:val="auto"/>
          <w:highlight w:val="none"/>
        </w:rPr>
      </w:pPr>
      <w:bookmarkStart w:id="42" w:name="_Toc19023"/>
      <w:bookmarkStart w:id="43" w:name="_Toc20569"/>
      <w:bookmarkStart w:id="44" w:name="_Toc25595"/>
      <w:bookmarkStart w:id="45" w:name="_Toc13565"/>
      <w:bookmarkStart w:id="46" w:name="_Toc8908"/>
      <w:r>
        <w:rPr>
          <w:rFonts w:hint="eastAsia"/>
          <w:color w:val="auto"/>
          <w:highlight w:val="none"/>
        </w:rPr>
        <w:t>6. 投标文件的递交</w:t>
      </w:r>
      <w:bookmarkEnd w:id="42"/>
      <w:bookmarkEnd w:id="43"/>
      <w:bookmarkEnd w:id="44"/>
      <w:bookmarkEnd w:id="45"/>
      <w:bookmarkEnd w:id="46"/>
    </w:p>
    <w:p w14:paraId="3462DE61">
      <w:pPr>
        <w:kinsoku/>
        <w:topLinePunct/>
        <w:autoSpaceDE/>
        <w:autoSpaceDN/>
        <w:spacing w:line="400" w:lineRule="exact"/>
        <w:ind w:firstLine="420" w:firstLineChars="200"/>
        <w:rPr>
          <w:rFonts w:ascii="宋体" w:hAnsi="宋体" w:eastAsia="宋体"/>
          <w:color w:val="auto"/>
          <w:highlight w:val="none"/>
        </w:rPr>
      </w:pPr>
      <w:r>
        <w:rPr>
          <w:rFonts w:hint="eastAsia" w:ascii="宋体" w:hAnsi="宋体" w:eastAsia="宋体"/>
          <w:color w:val="auto"/>
          <w:highlight w:val="none"/>
        </w:rPr>
        <w:t>6.1投标截止时间为</w:t>
      </w:r>
      <w:r>
        <w:rPr>
          <w:rFonts w:hint="eastAsia" w:ascii="宋体" w:hAnsi="宋体" w:eastAsiaTheme="minorEastAsia"/>
          <w:color w:val="auto"/>
          <w:highlight w:val="none"/>
          <w:u w:val="single"/>
        </w:rPr>
        <w:t>2025</w:t>
      </w:r>
      <w:r>
        <w:rPr>
          <w:rFonts w:hint="eastAsia" w:ascii="宋体" w:hAnsi="宋体" w:eastAsia="宋体"/>
          <w:color w:val="auto"/>
          <w:highlight w:val="none"/>
        </w:rPr>
        <w:t>年</w:t>
      </w:r>
      <w:r>
        <w:rPr>
          <w:rFonts w:hint="eastAsia" w:ascii="宋体" w:hAnsi="宋体"/>
          <w:color w:val="auto"/>
          <w:highlight w:val="none"/>
          <w:u w:val="single"/>
        </w:rPr>
        <w:t xml:space="preserve">    </w:t>
      </w:r>
      <w:r>
        <w:rPr>
          <w:rFonts w:hint="eastAsia" w:ascii="宋体" w:hAnsi="宋体" w:eastAsia="宋体"/>
          <w:color w:val="auto"/>
          <w:highlight w:val="none"/>
        </w:rPr>
        <w:t>月</w:t>
      </w:r>
      <w:r>
        <w:rPr>
          <w:rFonts w:hint="eastAsia" w:ascii="宋体" w:hAnsi="宋体"/>
          <w:color w:val="auto"/>
          <w:highlight w:val="none"/>
          <w:u w:val="single"/>
        </w:rPr>
        <w:t xml:space="preserve">    </w:t>
      </w:r>
      <w:r>
        <w:rPr>
          <w:rFonts w:hint="eastAsia" w:ascii="宋体" w:hAnsi="宋体" w:eastAsia="宋体"/>
          <w:color w:val="auto"/>
          <w:highlight w:val="none"/>
        </w:rPr>
        <w:t>日</w:t>
      </w:r>
      <w:r>
        <w:rPr>
          <w:rFonts w:hint="eastAsia" w:ascii="宋体" w:hAnsi="宋体"/>
          <w:color w:val="auto"/>
          <w:highlight w:val="none"/>
          <w:u w:val="single"/>
        </w:rPr>
        <w:t xml:space="preserve">    </w:t>
      </w:r>
      <w:r>
        <w:rPr>
          <w:rFonts w:hint="eastAsia" w:ascii="宋体" w:hAnsi="宋体" w:eastAsia="宋体"/>
          <w:color w:val="auto"/>
          <w:highlight w:val="none"/>
        </w:rPr>
        <w:t>时</w:t>
      </w:r>
      <w:r>
        <w:rPr>
          <w:rFonts w:hint="eastAsia" w:ascii="宋体" w:hAnsi="宋体"/>
          <w:color w:val="auto"/>
          <w:highlight w:val="none"/>
          <w:u w:val="single"/>
        </w:rPr>
        <w:t xml:space="preserve">    </w:t>
      </w:r>
      <w:r>
        <w:rPr>
          <w:rFonts w:hint="eastAsia" w:ascii="宋体" w:hAnsi="宋体" w:eastAsia="宋体"/>
          <w:color w:val="auto"/>
          <w:highlight w:val="none"/>
        </w:rPr>
        <w:t>分，</w:t>
      </w:r>
      <w:r>
        <w:rPr>
          <w:rFonts w:hint="eastAsia" w:ascii="宋体" w:hAnsi="宋体"/>
          <w:color w:val="auto"/>
          <w:highlight w:val="none"/>
        </w:rPr>
        <w:t>投标人</w:t>
      </w:r>
      <w:r>
        <w:rPr>
          <w:rFonts w:hint="eastAsia" w:ascii="宋体" w:hAnsi="宋体" w:eastAsia="宋体"/>
          <w:color w:val="auto"/>
          <w:highlight w:val="none"/>
        </w:rPr>
        <w:t>应在截止时间前</w:t>
      </w:r>
      <w:r>
        <w:rPr>
          <w:rFonts w:hint="eastAsia" w:ascii="宋体" w:hAnsi="宋体"/>
          <w:color w:val="auto"/>
          <w:highlight w:val="none"/>
        </w:rPr>
        <w:t>通过</w:t>
      </w:r>
      <w:r>
        <w:rPr>
          <w:rFonts w:hint="eastAsia" w:ascii="宋体" w:hAnsi="宋体" w:eastAsia="宋体"/>
          <w:color w:val="auto"/>
          <w:highlight w:val="none"/>
        </w:rPr>
        <w:t>广州交易集团有限公司（广州公共资源交易中心）网站</w:t>
      </w:r>
      <w:r>
        <w:rPr>
          <w:rFonts w:hint="eastAsia" w:ascii="宋体" w:hAnsi="宋体"/>
          <w:color w:val="auto"/>
          <w:highlight w:val="none"/>
        </w:rPr>
        <w:t>交易平台递交电子投标文件。</w:t>
      </w:r>
      <w:r>
        <w:rPr>
          <w:rFonts w:hint="eastAsia" w:ascii="宋体" w:hAnsi="宋体" w:eastAsia="宋体"/>
          <w:color w:val="auto"/>
          <w:highlight w:val="none"/>
        </w:rPr>
        <w:t>投标人</w:t>
      </w:r>
      <w:r>
        <w:rPr>
          <w:rFonts w:hint="eastAsia" w:ascii="宋体" w:hAnsi="宋体"/>
          <w:color w:val="auto"/>
          <w:highlight w:val="none"/>
        </w:rPr>
        <w:t>完成电子投标文件上传</w:t>
      </w:r>
      <w:r>
        <w:rPr>
          <w:rFonts w:hint="eastAsia" w:ascii="宋体" w:hAnsi="宋体" w:eastAsia="宋体"/>
          <w:color w:val="auto"/>
          <w:highlight w:val="none"/>
        </w:rPr>
        <w:t>后</w:t>
      </w:r>
      <w:r>
        <w:rPr>
          <w:rFonts w:hint="eastAsia" w:ascii="宋体" w:hAnsi="宋体"/>
          <w:color w:val="auto"/>
          <w:highlight w:val="none"/>
        </w:rPr>
        <w:t>，</w:t>
      </w:r>
      <w:r>
        <w:rPr>
          <w:rFonts w:hint="eastAsia" w:ascii="宋体" w:hAnsi="宋体" w:eastAsia="宋体"/>
          <w:color w:val="auto"/>
          <w:highlight w:val="none"/>
        </w:rPr>
        <w:t>交易平台即时向投标人发出递交</w:t>
      </w:r>
      <w:r>
        <w:rPr>
          <w:rFonts w:hint="eastAsia" w:ascii="宋体" w:hAnsi="宋体"/>
          <w:color w:val="auto"/>
          <w:highlight w:val="none"/>
        </w:rPr>
        <w:t>回执</w:t>
      </w:r>
      <w:r>
        <w:rPr>
          <w:rFonts w:hint="eastAsia" w:ascii="宋体" w:hAnsi="宋体" w:eastAsia="宋体"/>
          <w:color w:val="auto"/>
          <w:highlight w:val="none"/>
        </w:rPr>
        <w:t>通知</w:t>
      </w:r>
      <w:r>
        <w:rPr>
          <w:rFonts w:hint="eastAsia" w:ascii="宋体" w:hAnsi="宋体"/>
          <w:color w:val="auto"/>
          <w:highlight w:val="none"/>
        </w:rPr>
        <w:t>。递交时间以递交回执通知载明的传输完成时间为准。</w:t>
      </w:r>
    </w:p>
    <w:p w14:paraId="5412F2C3">
      <w:pPr>
        <w:kinsoku/>
        <w:topLinePunct/>
        <w:autoSpaceDE/>
        <w:autoSpaceDN/>
        <w:spacing w:line="400" w:lineRule="exact"/>
        <w:ind w:firstLine="420" w:firstLineChars="200"/>
        <w:rPr>
          <w:rFonts w:ascii="宋体" w:hAnsi="宋体" w:eastAsia="宋体"/>
          <w:color w:val="auto"/>
          <w:highlight w:val="none"/>
        </w:rPr>
      </w:pPr>
      <w:r>
        <w:rPr>
          <w:rFonts w:hint="eastAsia" w:ascii="宋体" w:hAnsi="宋体" w:eastAsia="宋体"/>
          <w:color w:val="auto"/>
          <w:highlight w:val="none"/>
        </w:rPr>
        <w:t>在投标截止时间后半小时内，投标人通过广州交易集团有限公司（广州公共资源交易中心）网站对已递交的电子投标文件进行解密。</w:t>
      </w:r>
    </w:p>
    <w:p w14:paraId="1A35DC74">
      <w:pPr>
        <w:kinsoku/>
        <w:topLinePunct/>
        <w:autoSpaceDE/>
        <w:autoSpaceDN/>
        <w:spacing w:line="400" w:lineRule="exact"/>
        <w:ind w:firstLine="420" w:firstLineChars="200"/>
        <w:rPr>
          <w:rFonts w:ascii="宋体" w:hAnsi="宋体" w:eastAsia="宋体"/>
          <w:color w:val="auto"/>
          <w:highlight w:val="none"/>
        </w:rPr>
      </w:pPr>
      <w:r>
        <w:rPr>
          <w:rFonts w:hint="eastAsia" w:ascii="宋体" w:hAnsi="宋体" w:eastAsia="宋体"/>
          <w:color w:val="auto"/>
          <w:highlight w:val="none"/>
        </w:rPr>
        <w:t>6.2</w:t>
      </w:r>
      <w:r>
        <w:rPr>
          <w:rFonts w:hint="eastAsia" w:ascii="宋体" w:hAnsi="宋体"/>
          <w:color w:val="auto"/>
          <w:highlight w:val="none"/>
        </w:rPr>
        <w:t>投标人应在递交投标文件截止时间前，登录</w:t>
      </w:r>
      <w:r>
        <w:rPr>
          <w:rFonts w:hint="eastAsia" w:ascii="宋体" w:hAnsi="宋体" w:eastAsia="宋体"/>
          <w:color w:val="auto"/>
          <w:highlight w:val="none"/>
        </w:rPr>
        <w:t>广州交易集团有限公司（广州公共资源交易中心）</w:t>
      </w:r>
      <w:r>
        <w:rPr>
          <w:rFonts w:hint="eastAsia" w:ascii="宋体" w:hAnsi="宋体"/>
          <w:color w:val="auto"/>
          <w:highlight w:val="none"/>
        </w:rPr>
        <w:t>网站交易平台办理网上投标登记手续；按照</w:t>
      </w:r>
      <w:r>
        <w:rPr>
          <w:rFonts w:hint="eastAsia" w:ascii="宋体" w:hAnsi="宋体" w:eastAsia="宋体"/>
          <w:color w:val="auto"/>
          <w:highlight w:val="none"/>
        </w:rPr>
        <w:t>广州交易集团有限公司（广州公共资源交易中心）网站</w:t>
      </w:r>
      <w:r>
        <w:rPr>
          <w:rFonts w:hint="eastAsia" w:ascii="宋体" w:hAnsi="宋体"/>
          <w:color w:val="auto"/>
          <w:highlight w:val="none"/>
        </w:rPr>
        <w:t>关于全流程电子化项目的相关指南进行操作。</w:t>
      </w:r>
    </w:p>
    <w:p w14:paraId="616DA17C">
      <w:pPr>
        <w:kinsoku/>
        <w:topLinePunct/>
        <w:autoSpaceDE/>
        <w:autoSpaceDN/>
        <w:spacing w:line="400" w:lineRule="exact"/>
        <w:ind w:left="420" w:leftChars="200"/>
        <w:rPr>
          <w:rFonts w:ascii="宋体" w:hAnsi="宋体" w:eastAsia="宋体"/>
          <w:color w:val="auto"/>
          <w:highlight w:val="none"/>
        </w:rPr>
      </w:pPr>
      <w:r>
        <w:rPr>
          <w:rFonts w:hint="eastAsia" w:ascii="宋体" w:hAnsi="宋体" w:eastAsia="宋体"/>
          <w:color w:val="auto"/>
          <w:highlight w:val="none"/>
        </w:rPr>
        <w:t>6.3开标开始时间：</w:t>
      </w:r>
      <w:r>
        <w:rPr>
          <w:rFonts w:hint="eastAsia" w:ascii="宋体" w:hAnsi="宋体" w:eastAsiaTheme="minorEastAsia"/>
          <w:color w:val="auto"/>
          <w:highlight w:val="none"/>
          <w:u w:val="single"/>
        </w:rPr>
        <w:t>2025</w:t>
      </w:r>
      <w:r>
        <w:rPr>
          <w:rFonts w:hint="eastAsia" w:ascii="宋体" w:hAnsi="宋体" w:eastAsia="宋体"/>
          <w:color w:val="auto"/>
          <w:highlight w:val="none"/>
        </w:rPr>
        <w:t>年</w:t>
      </w:r>
      <w:r>
        <w:rPr>
          <w:rFonts w:hint="eastAsia" w:ascii="宋体" w:hAnsi="宋体"/>
          <w:color w:val="auto"/>
          <w:highlight w:val="none"/>
          <w:u w:val="single"/>
        </w:rPr>
        <w:t xml:space="preserve">    </w:t>
      </w:r>
      <w:r>
        <w:rPr>
          <w:rFonts w:hint="eastAsia" w:ascii="宋体" w:hAnsi="宋体" w:eastAsia="宋体"/>
          <w:color w:val="auto"/>
          <w:highlight w:val="none"/>
        </w:rPr>
        <w:t>月</w:t>
      </w:r>
      <w:r>
        <w:rPr>
          <w:rFonts w:hint="eastAsia" w:ascii="宋体" w:hAnsi="宋体"/>
          <w:color w:val="auto"/>
          <w:highlight w:val="none"/>
          <w:u w:val="single"/>
        </w:rPr>
        <w:t xml:space="preserve">    </w:t>
      </w:r>
      <w:r>
        <w:rPr>
          <w:rFonts w:hint="eastAsia" w:ascii="宋体" w:hAnsi="宋体" w:eastAsia="宋体"/>
          <w:color w:val="auto"/>
          <w:highlight w:val="none"/>
        </w:rPr>
        <w:t>日</w:t>
      </w:r>
      <w:r>
        <w:rPr>
          <w:rFonts w:hint="eastAsia" w:ascii="宋体" w:hAnsi="宋体"/>
          <w:color w:val="auto"/>
          <w:highlight w:val="none"/>
          <w:u w:val="single"/>
        </w:rPr>
        <w:t xml:space="preserve">    </w:t>
      </w:r>
      <w:r>
        <w:rPr>
          <w:rFonts w:hint="eastAsia" w:ascii="宋体" w:hAnsi="宋体" w:eastAsia="宋体"/>
          <w:color w:val="auto"/>
          <w:highlight w:val="none"/>
        </w:rPr>
        <w:t>时</w:t>
      </w:r>
      <w:r>
        <w:rPr>
          <w:rFonts w:hint="eastAsia" w:ascii="宋体" w:hAnsi="宋体"/>
          <w:color w:val="auto"/>
          <w:highlight w:val="none"/>
          <w:u w:val="single"/>
        </w:rPr>
        <w:t xml:space="preserve">    </w:t>
      </w:r>
      <w:r>
        <w:rPr>
          <w:rFonts w:hint="eastAsia" w:ascii="宋体" w:hAnsi="宋体" w:eastAsia="宋体"/>
          <w:color w:val="auto"/>
          <w:highlight w:val="none"/>
        </w:rPr>
        <w:t xml:space="preserve">分。    </w:t>
      </w:r>
    </w:p>
    <w:p w14:paraId="55CDD891">
      <w:pPr>
        <w:kinsoku/>
        <w:topLinePunct/>
        <w:autoSpaceDE/>
        <w:autoSpaceDN/>
        <w:spacing w:line="400" w:lineRule="exact"/>
        <w:ind w:firstLine="420" w:firstLineChars="200"/>
        <w:rPr>
          <w:rFonts w:ascii="宋体" w:hAnsi="宋体" w:eastAsia="宋体"/>
          <w:color w:val="auto"/>
          <w:highlight w:val="none"/>
        </w:rPr>
      </w:pPr>
      <w:r>
        <w:rPr>
          <w:rFonts w:hint="eastAsia" w:ascii="宋体" w:hAnsi="宋体" w:eastAsia="宋体"/>
          <w:color w:val="auto"/>
          <w:highlight w:val="none"/>
        </w:rPr>
        <w:t>6.4递交投标文件截止时间与开标时间是否有变化，请密切留意招标答疑中的相关信息。递交投标文件截止时间后，开标时间因故推迟的，相关评标信息仍以原递交投标文件截止时间的信息为准。</w:t>
      </w:r>
    </w:p>
    <w:p w14:paraId="201ED598">
      <w:pPr>
        <w:kinsoku/>
        <w:topLinePunct/>
        <w:autoSpaceDE/>
        <w:autoSpaceDN/>
        <w:spacing w:line="400" w:lineRule="exact"/>
        <w:ind w:firstLine="420" w:firstLineChars="200"/>
        <w:rPr>
          <w:rFonts w:ascii="宋体" w:hAnsi="宋体" w:eastAsia="宋体"/>
          <w:color w:val="auto"/>
          <w:highlight w:val="none"/>
        </w:rPr>
      </w:pPr>
      <w:r>
        <w:rPr>
          <w:rFonts w:hint="eastAsia" w:ascii="宋体" w:hAnsi="宋体" w:eastAsia="宋体"/>
          <w:color w:val="auto"/>
          <w:highlight w:val="none"/>
        </w:rPr>
        <w:t>6.5 逾期送达的电子投标文件，广州交易集团有限公司（广州公共资源交易中心）网站交易平台将予以拒收。</w:t>
      </w:r>
    </w:p>
    <w:p w14:paraId="3481DA5E">
      <w:pPr>
        <w:kinsoku/>
        <w:topLinePunct/>
        <w:autoSpaceDE/>
        <w:autoSpaceDN/>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6.6 投标人应自行检查广州交易集团有限公司（广州公共资源交易中心）信息登记中的企业基础信息扫描件（包括企业资质证书、企业营业执照、项目负责人相关证书等），评标委员会对上述资料的审查将以递交投标文件截止时间在广州交易集团有限公司（广州公共资源交易中心）信息登记的信息为依据。投标人应及时维护其在广州交易集团有限公司（广州公共资源交易中心）信息登记的信息，确保各项信息在有效期内。如因投标单位资料缺失导致资格审查不通过，责任由投标单位自行承担。</w:t>
      </w:r>
    </w:p>
    <w:p w14:paraId="687F0584">
      <w:pPr>
        <w:pStyle w:val="25"/>
        <w:spacing w:before="0" w:after="0"/>
        <w:outlineLvl w:val="9"/>
        <w:rPr>
          <w:color w:val="auto"/>
          <w:highlight w:val="none"/>
        </w:rPr>
      </w:pPr>
      <w:r>
        <w:rPr>
          <w:rFonts w:hint="eastAsia"/>
          <w:color w:val="auto"/>
          <w:highlight w:val="none"/>
        </w:rPr>
        <w:t>7. 发布公告的媒介</w:t>
      </w:r>
    </w:p>
    <w:p w14:paraId="25AA07DC">
      <w:pPr>
        <w:kinsoku/>
        <w:wordWrap w:val="0"/>
        <w:topLinePunct/>
        <w:autoSpaceDE/>
        <w:autoSpaceDN/>
        <w:spacing w:line="400" w:lineRule="exact"/>
        <w:ind w:firstLine="420" w:firstLineChars="200"/>
        <w:rPr>
          <w:rFonts w:ascii="宋体" w:hAnsi="宋体" w:eastAsia="宋体"/>
          <w:color w:val="auto"/>
          <w:highlight w:val="none"/>
        </w:rPr>
      </w:pPr>
      <w:r>
        <w:rPr>
          <w:rFonts w:hint="eastAsia" w:ascii="宋体" w:hAnsi="宋体" w:eastAsia="宋体"/>
          <w:color w:val="auto"/>
          <w:highlight w:val="none"/>
        </w:rPr>
        <w:t>本公告在广州交易集团有限公司（广州公共资源交易中心）网（网址：http://www.gzggzy.cn）、广东省招标投标监管网（网址： http://zbtb.gd.gov.cn/login）、中国招标投标公共服务平台（网址：</w:t>
      </w:r>
      <w:r>
        <w:rPr>
          <w:rFonts w:hint="eastAsia"/>
          <w:color w:val="auto"/>
          <w:highlight w:val="none"/>
        </w:rPr>
        <w:fldChar w:fldCharType="begin"/>
      </w:r>
      <w:r>
        <w:rPr>
          <w:color w:val="auto"/>
          <w:highlight w:val="none"/>
        </w:rPr>
        <w:instrText xml:space="preserve"> HYPERLINK "http://www.cebpubservice.com/）发布，本公告的修改、补充，在广州公共资源交易中心网站发布。" </w:instrText>
      </w:r>
      <w:r>
        <w:rPr>
          <w:rFonts w:hint="eastAsia"/>
          <w:color w:val="auto"/>
          <w:highlight w:val="none"/>
        </w:rPr>
        <w:fldChar w:fldCharType="separate"/>
      </w:r>
      <w:r>
        <w:rPr>
          <w:rFonts w:hint="eastAsia" w:ascii="宋体" w:hAnsi="宋体" w:eastAsia="宋体"/>
          <w:color w:val="auto"/>
          <w:highlight w:val="none"/>
        </w:rPr>
        <w:t>http://www.cebpubservice.com/）和广州市增城区人民政府门户网站的“首页&gt;公开&gt;公共资源配置领域&gt;工程建设项目招投标等法定媒体发布，本公告的修改、补充，在广州交易集团有限公司（广州公共资源交易中心）网站发布。</w:t>
      </w:r>
      <w:r>
        <w:rPr>
          <w:rFonts w:hint="eastAsia" w:ascii="宋体" w:hAnsi="宋体" w:eastAsia="宋体"/>
          <w:color w:val="auto"/>
          <w:highlight w:val="none"/>
        </w:rPr>
        <w:fldChar w:fldCharType="end"/>
      </w:r>
    </w:p>
    <w:p w14:paraId="52FFBE43">
      <w:pPr>
        <w:pStyle w:val="25"/>
        <w:spacing w:before="0" w:after="0"/>
        <w:outlineLvl w:val="9"/>
        <w:rPr>
          <w:color w:val="auto"/>
          <w:highlight w:val="none"/>
        </w:rPr>
      </w:pPr>
      <w:bookmarkStart w:id="47" w:name="_Toc21787632"/>
      <w:bookmarkStart w:id="48" w:name="_Toc17336"/>
      <w:bookmarkStart w:id="49" w:name="_Toc29364"/>
      <w:bookmarkStart w:id="50" w:name="_Toc8339"/>
      <w:bookmarkStart w:id="51" w:name="_Toc8443"/>
      <w:bookmarkStart w:id="52" w:name="_Toc17357"/>
      <w:r>
        <w:rPr>
          <w:rFonts w:hint="eastAsia"/>
          <w:color w:val="auto"/>
          <w:highlight w:val="none"/>
        </w:rPr>
        <w:t>8. 资格审查方式</w:t>
      </w:r>
      <w:bookmarkEnd w:id="47"/>
      <w:bookmarkEnd w:id="48"/>
      <w:bookmarkEnd w:id="49"/>
      <w:bookmarkEnd w:id="50"/>
      <w:bookmarkEnd w:id="51"/>
      <w:bookmarkEnd w:id="52"/>
    </w:p>
    <w:p w14:paraId="7208622B">
      <w:pPr>
        <w:kinsoku/>
        <w:topLinePunct/>
        <w:autoSpaceDE/>
        <w:autoSpaceDN/>
        <w:spacing w:line="400" w:lineRule="exact"/>
        <w:ind w:firstLine="420" w:firstLineChars="200"/>
        <w:rPr>
          <w:rFonts w:ascii="宋体" w:hAnsi="宋体" w:eastAsia="宋体"/>
          <w:color w:val="auto"/>
          <w:highlight w:val="none"/>
        </w:rPr>
      </w:pPr>
      <w:bookmarkStart w:id="53" w:name="_Toc6681"/>
      <w:bookmarkStart w:id="54" w:name="_Toc12248"/>
      <w:bookmarkStart w:id="55" w:name="_Toc279"/>
      <w:r>
        <w:rPr>
          <w:rFonts w:hint="eastAsia" w:ascii="宋体" w:hAnsi="宋体" w:eastAsia="宋体"/>
          <w:color w:val="auto"/>
          <w:highlight w:val="none"/>
        </w:rPr>
        <w:t>8.1本工程采用资格后审方式，由评标委员会负责资格审查。</w:t>
      </w:r>
      <w:bookmarkEnd w:id="53"/>
      <w:bookmarkEnd w:id="54"/>
      <w:bookmarkEnd w:id="55"/>
    </w:p>
    <w:p w14:paraId="6C0C4F9D">
      <w:pPr>
        <w:kinsoku/>
        <w:topLinePunct/>
        <w:autoSpaceDE/>
        <w:autoSpaceDN/>
        <w:spacing w:line="400" w:lineRule="exact"/>
        <w:ind w:firstLine="420" w:firstLineChars="200"/>
        <w:rPr>
          <w:rFonts w:ascii="宋体" w:hAnsi="宋体" w:eastAsia="宋体"/>
          <w:color w:val="auto"/>
          <w:highlight w:val="none"/>
        </w:rPr>
      </w:pPr>
      <w:r>
        <w:rPr>
          <w:rFonts w:hint="eastAsia" w:ascii="宋体" w:hAnsi="宋体" w:eastAsia="宋体"/>
          <w:color w:val="auto"/>
          <w:highlight w:val="none"/>
        </w:rPr>
        <w:t>8.2资格审查结果将在广州交易集团有限公司（广州公共资源交易中心）网站和广东省招标投标监管网公示，公示时间不得少于3日，最后一天应为工作日。</w:t>
      </w:r>
    </w:p>
    <w:p w14:paraId="637A9311">
      <w:pPr>
        <w:pStyle w:val="25"/>
        <w:spacing w:before="0" w:after="0"/>
        <w:outlineLvl w:val="9"/>
        <w:rPr>
          <w:color w:val="auto"/>
          <w:highlight w:val="none"/>
        </w:rPr>
      </w:pPr>
      <w:bookmarkStart w:id="56" w:name="_Toc217"/>
      <w:bookmarkStart w:id="57" w:name="_Toc5540"/>
      <w:bookmarkStart w:id="58" w:name="_Toc24417"/>
      <w:bookmarkStart w:id="59" w:name="_Toc10143"/>
      <w:bookmarkStart w:id="60" w:name="_Toc24569"/>
      <w:bookmarkStart w:id="61" w:name="_Toc21787635"/>
      <w:r>
        <w:rPr>
          <w:rFonts w:hint="eastAsia"/>
          <w:color w:val="auto"/>
          <w:highlight w:val="none"/>
        </w:rPr>
        <w:t>9. 疑问、异议、投诉处理</w:t>
      </w:r>
      <w:bookmarkEnd w:id="56"/>
      <w:bookmarkEnd w:id="57"/>
      <w:bookmarkEnd w:id="58"/>
      <w:bookmarkEnd w:id="59"/>
      <w:bookmarkEnd w:id="60"/>
      <w:bookmarkEnd w:id="61"/>
    </w:p>
    <w:p w14:paraId="11586295">
      <w:pPr>
        <w:kinsoku/>
        <w:topLinePunct/>
        <w:autoSpaceDE/>
        <w:autoSpaceDN/>
        <w:spacing w:line="400" w:lineRule="exact"/>
        <w:ind w:firstLine="420" w:firstLineChars="200"/>
        <w:rPr>
          <w:rFonts w:ascii="宋体" w:hAnsi="宋体" w:eastAsia="宋体"/>
          <w:color w:val="auto"/>
          <w:highlight w:val="none"/>
        </w:rPr>
      </w:pPr>
      <w:r>
        <w:rPr>
          <w:rFonts w:hint="eastAsia" w:ascii="宋体" w:hAnsi="宋体" w:eastAsia="宋体"/>
          <w:color w:val="auto"/>
          <w:highlight w:val="none"/>
        </w:rPr>
        <w:t>9</w:t>
      </w:r>
      <w:r>
        <w:rPr>
          <w:rFonts w:ascii="宋体" w:hAnsi="宋体" w:eastAsia="宋体"/>
          <w:color w:val="auto"/>
          <w:highlight w:val="none"/>
        </w:rPr>
        <w:t>.1  关于疑问、异议、投诉的基本概念和处理程序详见《中华人民共和国招标投标法》、《中华人民共和国招标投标法实施条例》、《工程建设项目招标投标活动投诉处理办法》和《广州市水务局关于进一步加强水务工程项目招标投标活动监督管理工作的通知》（穗水建管〔2023〕78号）。</w:t>
      </w:r>
    </w:p>
    <w:p w14:paraId="2B7060B2">
      <w:pPr>
        <w:kinsoku/>
        <w:topLinePunct/>
        <w:autoSpaceDE/>
        <w:autoSpaceDN/>
        <w:spacing w:line="400" w:lineRule="exact"/>
        <w:ind w:firstLine="420" w:firstLineChars="200"/>
        <w:rPr>
          <w:rFonts w:ascii="宋体" w:hAnsi="宋体" w:eastAsia="宋体"/>
          <w:color w:val="auto"/>
          <w:highlight w:val="none"/>
        </w:rPr>
      </w:pPr>
      <w:r>
        <w:rPr>
          <w:rFonts w:hint="eastAsia" w:ascii="宋体" w:hAnsi="宋体" w:eastAsia="宋体"/>
          <w:color w:val="auto"/>
          <w:highlight w:val="none"/>
        </w:rPr>
        <w:t>9</w:t>
      </w:r>
      <w:r>
        <w:rPr>
          <w:rFonts w:ascii="宋体" w:hAnsi="宋体" w:eastAsia="宋体"/>
          <w:color w:val="auto"/>
          <w:highlight w:val="none"/>
        </w:rPr>
        <w:t>.2  依据《中华人民共和国招标投标法实施条例》第五十五条，对于中标公示期间的投诉处理的原则为：除第一中标候选人或中标人以外的其他投标人存在串通投标、弄虚作假、行贿情形且在评标过程中未被发现的，视为对中标结果没有造成实质性影响，可依法继续开展招标活动。投标人的违法行为由招标监管部门依法处理。</w:t>
      </w:r>
    </w:p>
    <w:p w14:paraId="21D06577">
      <w:pPr>
        <w:kinsoku/>
        <w:topLinePunct/>
        <w:autoSpaceDE/>
        <w:autoSpaceDN/>
        <w:spacing w:line="400" w:lineRule="exact"/>
        <w:ind w:firstLine="420" w:firstLineChars="200"/>
        <w:rPr>
          <w:rFonts w:ascii="宋体" w:hAnsi="宋体" w:eastAsia="宋体"/>
          <w:color w:val="auto"/>
          <w:highlight w:val="none"/>
        </w:rPr>
      </w:pPr>
      <w:r>
        <w:rPr>
          <w:rFonts w:hint="eastAsia" w:ascii="宋体" w:hAnsi="宋体" w:eastAsia="宋体"/>
          <w:color w:val="auto"/>
          <w:highlight w:val="none"/>
        </w:rPr>
        <w:t>9</w:t>
      </w:r>
      <w:r>
        <w:rPr>
          <w:rFonts w:ascii="宋体" w:hAnsi="宋体" w:eastAsia="宋体"/>
          <w:color w:val="auto"/>
          <w:highlight w:val="none"/>
        </w:rPr>
        <w:t>.3  在招投标过程中，投标人（含中标候选人）被投诉且经查实存在招标投标活动中列明被禁止行为的，招标人将提请行政主管部门，并按《中华人民共和国招标投标法实施条例》、《工程建设项目招标投标活动投诉处理办法》等进行处理，同时将记录到市水务工程企业信息库及诚信评价管理系统。</w:t>
      </w:r>
    </w:p>
    <w:p w14:paraId="23D8665F">
      <w:pPr>
        <w:kinsoku/>
        <w:topLinePunct/>
        <w:autoSpaceDE/>
        <w:autoSpaceDN/>
        <w:spacing w:line="400" w:lineRule="exact"/>
        <w:ind w:firstLine="420" w:firstLineChars="200"/>
        <w:rPr>
          <w:rFonts w:ascii="宋体" w:hAnsi="宋体" w:eastAsia="宋体"/>
          <w:color w:val="auto"/>
          <w:highlight w:val="none"/>
        </w:rPr>
      </w:pPr>
      <w:r>
        <w:rPr>
          <w:rFonts w:ascii="宋体" w:hAnsi="宋体" w:eastAsia="宋体"/>
          <w:color w:val="auto"/>
          <w:highlight w:val="none"/>
        </w:rPr>
        <w:t>在招投标过程中，投诉人投诉事项经查实不属实的恶意投诉，招标人将提请行政主管部门，并按《中华人民共和国招标投标法实施条例》、《工程建设项目招标投标活动投诉处理办法》等进行处理，同时将记录到市水务工程企业信息库及诚信评价管理系统。</w:t>
      </w:r>
    </w:p>
    <w:p w14:paraId="0AFD9BC0">
      <w:pPr>
        <w:kinsoku/>
        <w:topLinePunct/>
        <w:autoSpaceDE/>
        <w:autoSpaceDN/>
        <w:spacing w:line="400" w:lineRule="exact"/>
        <w:ind w:firstLine="420" w:firstLineChars="200"/>
        <w:rPr>
          <w:rFonts w:ascii="宋体" w:hAnsi="宋体" w:eastAsia="宋体"/>
          <w:color w:val="auto"/>
          <w:highlight w:val="none"/>
        </w:rPr>
      </w:pPr>
      <w:r>
        <w:rPr>
          <w:rFonts w:ascii="宋体" w:hAnsi="宋体" w:eastAsia="宋体"/>
          <w:color w:val="auto"/>
          <w:highlight w:val="none"/>
        </w:rPr>
        <w:t>注：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p>
    <w:p w14:paraId="384EFCBA">
      <w:pPr>
        <w:kinsoku/>
        <w:topLinePunct/>
        <w:autoSpaceDE/>
        <w:autoSpaceDN/>
        <w:spacing w:before="120" w:after="120" w:line="400" w:lineRule="exact"/>
        <w:rPr>
          <w:rFonts w:ascii="宋体" w:hAnsi="宋体" w:eastAsia="宋体"/>
          <w:b/>
          <w:color w:val="auto"/>
          <w:sz w:val="28"/>
          <w:szCs w:val="24"/>
          <w:highlight w:val="none"/>
        </w:rPr>
      </w:pPr>
      <w:r>
        <w:rPr>
          <w:rFonts w:hint="eastAsia" w:ascii="宋体" w:hAnsi="宋体" w:eastAsia="宋体"/>
          <w:b/>
          <w:color w:val="auto"/>
          <w:sz w:val="28"/>
          <w:szCs w:val="24"/>
          <w:highlight w:val="none"/>
        </w:rPr>
        <w:t xml:space="preserve">10. </w:t>
      </w:r>
      <w:r>
        <w:rPr>
          <w:rFonts w:hint="eastAsia" w:ascii="宋体" w:hAnsi="宋体" w:eastAsia="宋体"/>
          <w:color w:val="auto"/>
          <w:highlight w:val="none"/>
        </w:rPr>
        <w:t>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p>
    <w:p w14:paraId="4969DAB6">
      <w:pPr>
        <w:pStyle w:val="25"/>
        <w:spacing w:before="0" w:after="0"/>
        <w:outlineLvl w:val="9"/>
        <w:rPr>
          <w:color w:val="auto"/>
          <w:highlight w:val="none"/>
        </w:rPr>
      </w:pPr>
      <w:bookmarkStart w:id="62" w:name="_Toc18047"/>
      <w:bookmarkStart w:id="63" w:name="_Toc1700"/>
      <w:r>
        <w:rPr>
          <w:rFonts w:hint="eastAsia"/>
          <w:color w:val="auto"/>
          <w:highlight w:val="none"/>
        </w:rPr>
        <w:t>11. 联系方式</w:t>
      </w:r>
      <w:bookmarkEnd w:id="62"/>
      <w:bookmarkEnd w:id="63"/>
    </w:p>
    <w:p w14:paraId="778723CD">
      <w:pPr>
        <w:kinsoku/>
        <w:topLinePunct/>
        <w:autoSpaceDE/>
        <w:autoSpaceDN/>
        <w:spacing w:line="400" w:lineRule="exact"/>
        <w:ind w:firstLine="420" w:firstLineChars="200"/>
        <w:rPr>
          <w:rFonts w:ascii="宋体" w:hAnsi="宋体" w:eastAsia="宋体"/>
          <w:color w:val="auto"/>
          <w:highlight w:val="none"/>
        </w:rPr>
      </w:pPr>
      <w:r>
        <w:rPr>
          <w:rFonts w:hint="eastAsia" w:ascii="宋体" w:hAnsi="宋体" w:eastAsia="宋体"/>
          <w:color w:val="auto"/>
          <w:highlight w:val="none"/>
        </w:rPr>
        <w:t>招标单位：</w:t>
      </w:r>
      <w:r>
        <w:rPr>
          <w:rFonts w:hint="eastAsia"/>
          <w:bCs/>
          <w:color w:val="auto"/>
          <w:szCs w:val="32"/>
          <w:highlight w:val="none"/>
          <w:u w:val="single"/>
        </w:rPr>
        <w:t>广州市增城区新塘镇人民政府</w:t>
      </w:r>
    </w:p>
    <w:p w14:paraId="20B0709D">
      <w:pPr>
        <w:kinsoku/>
        <w:topLinePunct/>
        <w:autoSpaceDE/>
        <w:autoSpaceDN/>
        <w:spacing w:line="400" w:lineRule="exact"/>
        <w:ind w:firstLine="420" w:firstLineChars="200"/>
        <w:rPr>
          <w:rFonts w:ascii="宋体" w:hAnsi="宋体" w:eastAsia="宋体"/>
          <w:color w:val="auto"/>
          <w:highlight w:val="none"/>
          <w:u w:val="single"/>
        </w:rPr>
      </w:pPr>
      <w:r>
        <w:rPr>
          <w:rFonts w:hint="eastAsia" w:ascii="宋体" w:hAnsi="宋体" w:eastAsia="宋体"/>
          <w:color w:val="auto"/>
          <w:highlight w:val="none"/>
        </w:rPr>
        <w:t>联系人：</w:t>
      </w:r>
      <w:r>
        <w:rPr>
          <w:rFonts w:hint="eastAsia" w:ascii="宋体" w:hAnsi="宋体" w:eastAsia="宋体"/>
          <w:color w:val="auto"/>
          <w:highlight w:val="none"/>
          <w:u w:val="single"/>
        </w:rPr>
        <w:t>何工</w:t>
      </w:r>
      <w:r>
        <w:rPr>
          <w:rFonts w:hint="eastAsia" w:ascii="宋体" w:hAnsi="宋体" w:eastAsia="宋体"/>
          <w:color w:val="auto"/>
          <w:highlight w:val="none"/>
        </w:rPr>
        <w:t xml:space="preserve">          联系电话：</w:t>
      </w:r>
      <w:r>
        <w:rPr>
          <w:rFonts w:ascii="宋体" w:hAnsi="宋体" w:eastAsia="宋体"/>
          <w:color w:val="auto"/>
          <w:highlight w:val="none"/>
          <w:u w:val="single"/>
        </w:rPr>
        <w:t>020-</w:t>
      </w:r>
      <w:r>
        <w:rPr>
          <w:rFonts w:hint="eastAsia" w:ascii="宋体" w:hAnsi="宋体" w:eastAsia="宋体"/>
          <w:color w:val="auto"/>
          <w:highlight w:val="none"/>
          <w:u w:val="single"/>
        </w:rPr>
        <w:t>82770283</w:t>
      </w:r>
    </w:p>
    <w:p w14:paraId="0BD5E9F1">
      <w:pPr>
        <w:kinsoku/>
        <w:topLinePunct/>
        <w:autoSpaceDE/>
        <w:autoSpaceDN/>
        <w:spacing w:line="400" w:lineRule="exact"/>
        <w:ind w:firstLine="420" w:firstLineChars="200"/>
        <w:rPr>
          <w:rFonts w:ascii="宋体" w:hAnsi="宋体" w:eastAsia="宋体"/>
          <w:color w:val="auto"/>
          <w:highlight w:val="none"/>
        </w:rPr>
      </w:pPr>
      <w:r>
        <w:rPr>
          <w:rFonts w:hint="eastAsia" w:ascii="宋体" w:hAnsi="宋体" w:eastAsia="宋体"/>
          <w:color w:val="auto"/>
          <w:highlight w:val="none"/>
        </w:rPr>
        <w:t>项目建设管理单位：</w:t>
      </w:r>
      <w:r>
        <w:rPr>
          <w:rFonts w:hint="eastAsia" w:ascii="宋体" w:hAnsi="宋体" w:eastAsia="宋体"/>
          <w:color w:val="auto"/>
          <w:highlight w:val="none"/>
          <w:u w:val="single"/>
        </w:rPr>
        <w:t>/</w:t>
      </w:r>
    </w:p>
    <w:p w14:paraId="04AF4711">
      <w:pPr>
        <w:kinsoku/>
        <w:topLinePunct/>
        <w:autoSpaceDE/>
        <w:autoSpaceDN/>
        <w:spacing w:line="400" w:lineRule="exact"/>
        <w:ind w:firstLine="420" w:firstLineChars="200"/>
        <w:rPr>
          <w:rFonts w:ascii="宋体" w:hAnsi="宋体" w:eastAsia="宋体"/>
          <w:color w:val="auto"/>
          <w:highlight w:val="none"/>
        </w:rPr>
      </w:pPr>
      <w:r>
        <w:rPr>
          <w:rFonts w:hint="eastAsia" w:ascii="宋体" w:hAnsi="宋体" w:eastAsia="宋体"/>
          <w:color w:val="auto"/>
          <w:highlight w:val="none"/>
        </w:rPr>
        <w:t>联系人：</w:t>
      </w:r>
      <w:r>
        <w:rPr>
          <w:rFonts w:hint="eastAsia" w:ascii="宋体" w:hAnsi="宋体" w:eastAsia="宋体"/>
          <w:color w:val="auto"/>
          <w:highlight w:val="none"/>
          <w:u w:val="single"/>
        </w:rPr>
        <w:t>/</w:t>
      </w:r>
      <w:r>
        <w:rPr>
          <w:rFonts w:hint="eastAsia" w:ascii="宋体" w:hAnsi="宋体" w:eastAsia="宋体"/>
          <w:color w:val="auto"/>
          <w:highlight w:val="none"/>
        </w:rPr>
        <w:t xml:space="preserve">           联系电话：</w:t>
      </w:r>
      <w:r>
        <w:rPr>
          <w:rFonts w:hint="eastAsia" w:ascii="宋体" w:hAnsi="宋体" w:eastAsia="宋体"/>
          <w:color w:val="auto"/>
          <w:highlight w:val="none"/>
          <w:u w:val="single"/>
        </w:rPr>
        <w:t>/</w:t>
      </w:r>
    </w:p>
    <w:p w14:paraId="172505F1">
      <w:pPr>
        <w:kinsoku/>
        <w:topLinePunct/>
        <w:autoSpaceDE/>
        <w:autoSpaceDN/>
        <w:spacing w:line="400" w:lineRule="exact"/>
        <w:ind w:firstLine="420" w:firstLineChars="200"/>
        <w:rPr>
          <w:rFonts w:ascii="宋体" w:hAnsi="宋体" w:eastAsia="宋体"/>
          <w:color w:val="auto"/>
          <w:highlight w:val="none"/>
        </w:rPr>
      </w:pPr>
      <w:r>
        <w:rPr>
          <w:rFonts w:hint="eastAsia" w:ascii="宋体" w:hAnsi="宋体" w:eastAsia="宋体"/>
          <w:color w:val="auto"/>
          <w:highlight w:val="none"/>
        </w:rPr>
        <w:t>招标代理机构：</w:t>
      </w:r>
      <w:r>
        <w:rPr>
          <w:rFonts w:hint="eastAsia" w:eastAsia="宋体"/>
          <w:bCs/>
          <w:color w:val="auto"/>
          <w:szCs w:val="32"/>
          <w:highlight w:val="none"/>
          <w:u w:val="single"/>
        </w:rPr>
        <w:t>广东竞采招标采购有限公司</w:t>
      </w:r>
    </w:p>
    <w:p w14:paraId="68B7F8F5">
      <w:pPr>
        <w:kinsoku/>
        <w:topLinePunct/>
        <w:autoSpaceDE/>
        <w:autoSpaceDN/>
        <w:spacing w:line="400" w:lineRule="exact"/>
        <w:ind w:firstLine="420" w:firstLineChars="200"/>
        <w:rPr>
          <w:rFonts w:ascii="宋体" w:hAnsi="宋体" w:eastAsia="宋体"/>
          <w:color w:val="auto"/>
          <w:highlight w:val="none"/>
        </w:rPr>
      </w:pPr>
      <w:r>
        <w:rPr>
          <w:rFonts w:hint="eastAsia" w:ascii="宋体" w:hAnsi="宋体" w:eastAsia="宋体"/>
          <w:color w:val="auto"/>
          <w:highlight w:val="none"/>
        </w:rPr>
        <w:t>联系人：</w:t>
      </w:r>
      <w:r>
        <w:rPr>
          <w:rFonts w:hint="eastAsia" w:ascii="宋体" w:hAnsi="宋体" w:eastAsia="宋体"/>
          <w:color w:val="auto"/>
          <w:highlight w:val="none"/>
          <w:u w:val="single"/>
        </w:rPr>
        <w:t>黄工</w:t>
      </w:r>
      <w:r>
        <w:rPr>
          <w:rFonts w:hint="eastAsia" w:ascii="宋体" w:hAnsi="宋体" w:eastAsia="宋体"/>
          <w:color w:val="auto"/>
          <w:highlight w:val="none"/>
        </w:rPr>
        <w:t xml:space="preserve">        联系电话：</w:t>
      </w:r>
      <w:r>
        <w:rPr>
          <w:rFonts w:hint="eastAsia" w:ascii="宋体" w:hAnsi="宋体" w:eastAsia="宋体"/>
          <w:color w:val="auto"/>
          <w:highlight w:val="none"/>
          <w:u w:val="single"/>
        </w:rPr>
        <w:t>020-89853375</w:t>
      </w:r>
    </w:p>
    <w:p w14:paraId="1015F335">
      <w:pPr>
        <w:kinsoku/>
        <w:topLinePunct/>
        <w:autoSpaceDE/>
        <w:autoSpaceDN/>
        <w:spacing w:line="400" w:lineRule="exact"/>
        <w:ind w:firstLine="420" w:firstLineChars="200"/>
        <w:rPr>
          <w:rFonts w:ascii="宋体" w:hAnsi="宋体" w:eastAsia="宋体"/>
          <w:color w:val="auto"/>
          <w:highlight w:val="none"/>
        </w:rPr>
      </w:pPr>
      <w:r>
        <w:rPr>
          <w:rFonts w:hint="eastAsia" w:ascii="宋体" w:hAnsi="宋体" w:eastAsia="宋体"/>
          <w:color w:val="auto"/>
          <w:highlight w:val="none"/>
        </w:rPr>
        <w:t>招标监督机构：</w:t>
      </w:r>
      <w:r>
        <w:rPr>
          <w:rFonts w:hint="eastAsia" w:ascii="宋体" w:hAnsi="宋体" w:eastAsia="宋体"/>
          <w:color w:val="auto"/>
          <w:highlight w:val="none"/>
          <w:u w:val="single"/>
        </w:rPr>
        <w:t>广州市增城区水务局</w:t>
      </w:r>
    </w:p>
    <w:p w14:paraId="55D39628">
      <w:pPr>
        <w:kinsoku/>
        <w:topLinePunct/>
        <w:autoSpaceDE/>
        <w:autoSpaceDN/>
        <w:spacing w:line="400" w:lineRule="exact"/>
        <w:ind w:firstLine="420" w:firstLineChars="200"/>
        <w:rPr>
          <w:rFonts w:ascii="宋体" w:hAnsi="宋体" w:eastAsia="宋体"/>
          <w:color w:val="auto"/>
          <w:highlight w:val="none"/>
        </w:rPr>
      </w:pPr>
      <w:r>
        <w:rPr>
          <w:rFonts w:hint="eastAsia" w:ascii="宋体" w:hAnsi="宋体" w:eastAsia="宋体"/>
          <w:color w:val="auto"/>
          <w:highlight w:val="none"/>
        </w:rPr>
        <w:t>监督电话：</w:t>
      </w:r>
      <w:r>
        <w:rPr>
          <w:rFonts w:hint="eastAsia" w:ascii="宋体" w:hAnsi="宋体" w:eastAsia="宋体"/>
          <w:color w:val="auto"/>
          <w:highlight w:val="none"/>
          <w:u w:val="single"/>
        </w:rPr>
        <w:t>020-82639502</w:t>
      </w:r>
    </w:p>
    <w:p w14:paraId="56D90B7D">
      <w:pPr>
        <w:tabs>
          <w:tab w:val="left" w:pos="5747"/>
        </w:tabs>
        <w:spacing w:before="68" w:line="220" w:lineRule="auto"/>
        <w:ind w:left="5003"/>
        <w:rPr>
          <w:rFonts w:ascii="宋体" w:hAnsi="宋体" w:eastAsia="宋体"/>
          <w:color w:val="auto"/>
          <w:highlight w:val="none"/>
          <w:u w:val="single"/>
        </w:rPr>
      </w:pPr>
    </w:p>
    <w:p w14:paraId="357D8D83">
      <w:pPr>
        <w:tabs>
          <w:tab w:val="left" w:pos="5747"/>
        </w:tabs>
        <w:spacing w:before="68" w:line="220" w:lineRule="auto"/>
        <w:ind w:left="5003"/>
        <w:rPr>
          <w:rFonts w:ascii="宋体" w:hAnsi="宋体" w:eastAsia="宋体"/>
          <w:color w:val="auto"/>
          <w:highlight w:val="none"/>
          <w:u w:val="single"/>
        </w:rPr>
      </w:pPr>
    </w:p>
    <w:p w14:paraId="4954A2CC">
      <w:pPr>
        <w:tabs>
          <w:tab w:val="left" w:pos="5747"/>
        </w:tabs>
        <w:spacing w:before="68" w:line="220" w:lineRule="auto"/>
        <w:ind w:left="5003"/>
        <w:rPr>
          <w:rFonts w:ascii="宋体" w:hAnsi="宋体" w:eastAsia="宋体"/>
          <w:color w:val="auto"/>
          <w:highlight w:val="none"/>
          <w:u w:val="single"/>
        </w:rPr>
      </w:pPr>
      <w:r>
        <w:rPr>
          <w:rFonts w:hint="eastAsia" w:ascii="宋体" w:hAnsi="宋体" w:eastAsia="宋体"/>
          <w:color w:val="auto"/>
          <w:highlight w:val="none"/>
          <w:u w:val="single"/>
        </w:rPr>
        <w:t>2025</w:t>
      </w:r>
      <w:r>
        <w:rPr>
          <w:rFonts w:hint="eastAsia" w:ascii="宋体" w:hAnsi="宋体" w:eastAsia="宋体"/>
          <w:color w:val="auto"/>
          <w:spacing w:val="3"/>
          <w:highlight w:val="none"/>
        </w:rPr>
        <w:t>年</w:t>
      </w:r>
      <w:r>
        <w:rPr>
          <w:rFonts w:hint="eastAsia" w:ascii="宋体" w:hAnsi="宋体" w:eastAsia="宋体"/>
          <w:color w:val="auto"/>
          <w:spacing w:val="2"/>
          <w:highlight w:val="none"/>
          <w:u w:val="single"/>
        </w:rPr>
        <w:t xml:space="preserve">   </w:t>
      </w:r>
      <w:r>
        <w:rPr>
          <w:rFonts w:hint="eastAsia" w:ascii="宋体" w:hAnsi="宋体" w:eastAsia="宋体"/>
          <w:color w:val="auto"/>
          <w:spacing w:val="2"/>
          <w:highlight w:val="none"/>
        </w:rPr>
        <w:t>月</w:t>
      </w:r>
      <w:r>
        <w:rPr>
          <w:rFonts w:hint="eastAsia" w:ascii="宋体" w:hAnsi="宋体" w:eastAsia="宋体"/>
          <w:color w:val="auto"/>
          <w:spacing w:val="2"/>
          <w:highlight w:val="none"/>
          <w:u w:val="single"/>
        </w:rPr>
        <w:t xml:space="preserve">   </w:t>
      </w:r>
      <w:r>
        <w:rPr>
          <w:rFonts w:hint="eastAsia" w:ascii="宋体" w:hAnsi="宋体" w:eastAsia="宋体"/>
          <w:color w:val="auto"/>
          <w:spacing w:val="2"/>
          <w:highlight w:val="none"/>
        </w:rPr>
        <w:t>日</w:t>
      </w:r>
    </w:p>
    <w:p w14:paraId="3E398106">
      <w:pPr>
        <w:rPr>
          <w:rFonts w:ascii="宋体" w:hAnsi="宋体" w:eastAsia="宋体"/>
          <w:color w:val="auto"/>
          <w:highlight w:val="none"/>
        </w:rPr>
        <w:sectPr>
          <w:footerReference r:id="rId5" w:type="default"/>
          <w:pgSz w:w="11906" w:h="16838"/>
          <w:pgMar w:top="1346" w:right="1250" w:bottom="1103" w:left="1836" w:header="0" w:footer="940" w:gutter="0"/>
          <w:cols w:space="720" w:num="1"/>
        </w:sectPr>
      </w:pPr>
    </w:p>
    <w:p w14:paraId="285212AA">
      <w:pPr>
        <w:pStyle w:val="24"/>
        <w:rPr>
          <w:rFonts w:ascii="宋体" w:hAnsi="宋体"/>
          <w:color w:val="auto"/>
          <w:spacing w:val="14"/>
          <w:sz w:val="43"/>
          <w:szCs w:val="43"/>
          <w:highlight w:val="none"/>
        </w:rPr>
      </w:pPr>
      <w:bookmarkStart w:id="64" w:name="_Toc18831"/>
      <w:bookmarkStart w:id="65" w:name="_Toc183207162"/>
      <w:bookmarkStart w:id="66" w:name="_Toc799"/>
      <w:bookmarkStart w:id="67" w:name="_Toc23846"/>
      <w:r>
        <w:rPr>
          <w:rFonts w:ascii="宋体" w:hAnsi="宋体"/>
          <w:color w:val="auto"/>
          <w:spacing w:val="14"/>
          <w:sz w:val="43"/>
          <w:szCs w:val="43"/>
          <w:highlight w:val="none"/>
        </w:rPr>
        <w:t>第</w:t>
      </w:r>
      <w:r>
        <w:rPr>
          <w:rFonts w:ascii="宋体" w:hAnsi="宋体"/>
          <w:color w:val="auto"/>
          <w:spacing w:val="9"/>
          <w:sz w:val="43"/>
          <w:szCs w:val="43"/>
          <w:highlight w:val="none"/>
        </w:rPr>
        <w:t>二章投标人须知</w:t>
      </w:r>
      <w:bookmarkEnd w:id="64"/>
      <w:bookmarkEnd w:id="65"/>
      <w:bookmarkEnd w:id="66"/>
      <w:bookmarkEnd w:id="67"/>
    </w:p>
    <w:p w14:paraId="449D1B4E">
      <w:pPr>
        <w:spacing w:line="263" w:lineRule="auto"/>
        <w:rPr>
          <w:color w:val="auto"/>
          <w:highlight w:val="none"/>
        </w:rPr>
      </w:pPr>
    </w:p>
    <w:p w14:paraId="5F4DD328">
      <w:pPr>
        <w:jc w:val="center"/>
        <w:rPr>
          <w:rFonts w:ascii="黑体" w:hAnsi="黑体" w:eastAsia="黑体"/>
          <w:color w:val="auto"/>
          <w:spacing w:val="10"/>
          <w:sz w:val="31"/>
          <w:szCs w:val="31"/>
          <w:highlight w:val="none"/>
        </w:rPr>
      </w:pPr>
      <w:bookmarkStart w:id="68" w:name="_Toc29587"/>
      <w:bookmarkStart w:id="69" w:name="_Toc22800"/>
      <w:bookmarkStart w:id="70" w:name="_Toc13454"/>
      <w:bookmarkStart w:id="71" w:name="_Toc22370"/>
      <w:bookmarkStart w:id="72" w:name="_Toc22412"/>
      <w:bookmarkStart w:id="73" w:name="_Toc30811"/>
      <w:r>
        <w:rPr>
          <w:rFonts w:ascii="黑体" w:hAnsi="黑体" w:eastAsia="黑体"/>
          <w:color w:val="auto"/>
          <w:spacing w:val="10"/>
          <w:sz w:val="31"/>
          <w:szCs w:val="31"/>
          <w:highlight w:val="none"/>
        </w:rPr>
        <w:t>投标人须知前附表</w:t>
      </w:r>
      <w:bookmarkEnd w:id="68"/>
      <w:bookmarkEnd w:id="69"/>
      <w:bookmarkEnd w:id="70"/>
      <w:bookmarkEnd w:id="71"/>
      <w:bookmarkEnd w:id="72"/>
      <w:bookmarkEnd w:id="73"/>
    </w:p>
    <w:p w14:paraId="5A0196BD">
      <w:pPr>
        <w:rPr>
          <w:color w:val="auto"/>
          <w:highlight w:val="none"/>
        </w:rPr>
      </w:pPr>
    </w:p>
    <w:p w14:paraId="781D9F50">
      <w:pPr>
        <w:rPr>
          <w:color w:val="auto"/>
          <w:highlight w:val="none"/>
        </w:rPr>
      </w:pPr>
    </w:p>
    <w:p w14:paraId="22B559C7">
      <w:pPr>
        <w:spacing w:line="62" w:lineRule="exact"/>
        <w:rPr>
          <w:color w:val="auto"/>
          <w:highlight w:val="none"/>
        </w:rPr>
      </w:pPr>
    </w:p>
    <w:tbl>
      <w:tblPr>
        <w:tblStyle w:val="19"/>
        <w:tblW w:w="93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69"/>
        <w:gridCol w:w="3547"/>
        <w:gridCol w:w="4610"/>
      </w:tblGrid>
      <w:tr w14:paraId="349487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blHeader/>
        </w:trPr>
        <w:tc>
          <w:tcPr>
            <w:tcW w:w="1169" w:type="dxa"/>
          </w:tcPr>
          <w:p w14:paraId="4F02D545">
            <w:pPr>
              <w:spacing w:before="174" w:line="288" w:lineRule="auto"/>
              <w:ind w:left="276"/>
              <w:rPr>
                <w:rFonts w:ascii="宋体" w:hAnsi="宋体" w:eastAsia="宋体"/>
                <w:color w:val="auto"/>
                <w:spacing w:val="-3"/>
                <w:highlight w:val="none"/>
              </w:rPr>
            </w:pPr>
            <w:r>
              <w:rPr>
                <w:rFonts w:ascii="宋体" w:hAnsi="宋体" w:eastAsia="宋体"/>
                <w:color w:val="auto"/>
                <w:spacing w:val="-3"/>
                <w:highlight w:val="none"/>
              </w:rPr>
              <w:t>条款号</w:t>
            </w:r>
          </w:p>
        </w:tc>
        <w:tc>
          <w:tcPr>
            <w:tcW w:w="3547" w:type="dxa"/>
          </w:tcPr>
          <w:p w14:paraId="341F4983">
            <w:pPr>
              <w:spacing w:before="174" w:line="288" w:lineRule="auto"/>
              <w:ind w:left="1537"/>
              <w:rPr>
                <w:rFonts w:ascii="宋体" w:hAnsi="宋体" w:eastAsia="宋体"/>
                <w:color w:val="auto"/>
                <w:spacing w:val="-2"/>
                <w:highlight w:val="none"/>
              </w:rPr>
            </w:pPr>
            <w:r>
              <w:rPr>
                <w:rFonts w:ascii="宋体" w:hAnsi="宋体" w:eastAsia="宋体"/>
                <w:color w:val="auto"/>
                <w:spacing w:val="-2"/>
                <w:highlight w:val="none"/>
              </w:rPr>
              <w:t>条款名称</w:t>
            </w:r>
          </w:p>
        </w:tc>
        <w:tc>
          <w:tcPr>
            <w:tcW w:w="4610" w:type="dxa"/>
          </w:tcPr>
          <w:p w14:paraId="0E625E71">
            <w:pPr>
              <w:spacing w:before="174" w:line="288" w:lineRule="auto"/>
              <w:ind w:left="1712"/>
              <w:rPr>
                <w:rFonts w:ascii="宋体" w:hAnsi="宋体" w:eastAsia="宋体"/>
                <w:color w:val="auto"/>
                <w:spacing w:val="-2"/>
                <w:highlight w:val="none"/>
              </w:rPr>
            </w:pPr>
            <w:r>
              <w:rPr>
                <w:rFonts w:ascii="宋体" w:hAnsi="宋体" w:eastAsia="宋体"/>
                <w:color w:val="auto"/>
                <w:spacing w:val="-2"/>
                <w:highlight w:val="none"/>
              </w:rPr>
              <w:t>编列内容</w:t>
            </w:r>
          </w:p>
        </w:tc>
      </w:tr>
      <w:tr w14:paraId="51B141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64" w:hRule="atLeast"/>
        </w:trPr>
        <w:tc>
          <w:tcPr>
            <w:tcW w:w="1169" w:type="dxa"/>
          </w:tcPr>
          <w:p w14:paraId="46CC83CD">
            <w:pPr>
              <w:spacing w:line="288" w:lineRule="auto"/>
              <w:rPr>
                <w:color w:val="auto"/>
                <w:highlight w:val="none"/>
              </w:rPr>
            </w:pPr>
          </w:p>
          <w:p w14:paraId="3F1AC012">
            <w:pPr>
              <w:spacing w:line="288" w:lineRule="auto"/>
              <w:rPr>
                <w:color w:val="auto"/>
                <w:highlight w:val="none"/>
              </w:rPr>
            </w:pPr>
          </w:p>
          <w:p w14:paraId="69F727FD">
            <w:pPr>
              <w:spacing w:line="288" w:lineRule="auto"/>
              <w:rPr>
                <w:color w:val="auto"/>
                <w:highlight w:val="none"/>
              </w:rPr>
            </w:pPr>
          </w:p>
          <w:p w14:paraId="7A1FF047">
            <w:pPr>
              <w:spacing w:before="61" w:line="288" w:lineRule="auto"/>
              <w:ind w:left="396"/>
              <w:rPr>
                <w:rFonts w:ascii="Times New Roman" w:hAnsi="Times New Roman" w:eastAsia="Times New Roman"/>
                <w:color w:val="auto"/>
                <w:spacing w:val="-8"/>
                <w:highlight w:val="none"/>
              </w:rPr>
            </w:pPr>
            <w:r>
              <w:rPr>
                <w:rFonts w:ascii="Times New Roman" w:hAnsi="Times New Roman" w:eastAsia="Times New Roman"/>
                <w:color w:val="auto"/>
                <w:spacing w:val="-8"/>
                <w:highlight w:val="none"/>
              </w:rPr>
              <w:t>1</w:t>
            </w:r>
            <w:r>
              <w:rPr>
                <w:rFonts w:ascii="Times New Roman" w:hAnsi="Times New Roman" w:eastAsia="Times New Roman"/>
                <w:color w:val="auto"/>
                <w:spacing w:val="-4"/>
                <w:highlight w:val="none"/>
              </w:rPr>
              <w:t>.1.2</w:t>
            </w:r>
          </w:p>
        </w:tc>
        <w:tc>
          <w:tcPr>
            <w:tcW w:w="3547" w:type="dxa"/>
          </w:tcPr>
          <w:p w14:paraId="5ABF7C63">
            <w:pPr>
              <w:spacing w:line="288" w:lineRule="auto"/>
              <w:rPr>
                <w:color w:val="auto"/>
                <w:highlight w:val="none"/>
              </w:rPr>
            </w:pPr>
          </w:p>
          <w:p w14:paraId="7934C94B">
            <w:pPr>
              <w:spacing w:line="288" w:lineRule="auto"/>
              <w:rPr>
                <w:color w:val="auto"/>
                <w:highlight w:val="none"/>
              </w:rPr>
            </w:pPr>
          </w:p>
          <w:p w14:paraId="44A00799">
            <w:pPr>
              <w:spacing w:line="288" w:lineRule="auto"/>
              <w:rPr>
                <w:color w:val="auto"/>
                <w:highlight w:val="none"/>
              </w:rPr>
            </w:pPr>
          </w:p>
          <w:p w14:paraId="4BAA7EEF">
            <w:pPr>
              <w:spacing w:before="68" w:line="288" w:lineRule="auto"/>
              <w:ind w:left="1641"/>
              <w:rPr>
                <w:rFonts w:ascii="宋体" w:hAnsi="宋体" w:eastAsia="宋体"/>
                <w:color w:val="auto"/>
                <w:spacing w:val="-3"/>
                <w:highlight w:val="none"/>
              </w:rPr>
            </w:pPr>
            <w:r>
              <w:rPr>
                <w:rFonts w:ascii="宋体" w:hAnsi="宋体" w:eastAsia="宋体"/>
                <w:color w:val="auto"/>
                <w:spacing w:val="-3"/>
                <w:highlight w:val="none"/>
              </w:rPr>
              <w:t>招</w:t>
            </w:r>
            <w:r>
              <w:rPr>
                <w:rFonts w:ascii="宋体" w:hAnsi="宋体" w:eastAsia="宋体"/>
                <w:color w:val="auto"/>
                <w:spacing w:val="-2"/>
                <w:highlight w:val="none"/>
              </w:rPr>
              <w:t>标人</w:t>
            </w:r>
          </w:p>
        </w:tc>
        <w:tc>
          <w:tcPr>
            <w:tcW w:w="4610" w:type="dxa"/>
          </w:tcPr>
          <w:p w14:paraId="56E9D798">
            <w:pPr>
              <w:spacing w:before="170" w:line="288" w:lineRule="auto"/>
              <w:ind w:left="105" w:leftChars="50" w:right="105" w:rightChars="50"/>
              <w:rPr>
                <w:rFonts w:ascii="宋体" w:hAnsi="宋体" w:eastAsia="宋体"/>
                <w:color w:val="auto"/>
                <w:spacing w:val="-14"/>
                <w:position w:val="17"/>
                <w:highlight w:val="none"/>
              </w:rPr>
            </w:pPr>
            <w:r>
              <w:rPr>
                <w:rFonts w:ascii="宋体" w:hAnsi="宋体" w:eastAsia="宋体"/>
                <w:color w:val="auto"/>
                <w:spacing w:val="-14"/>
                <w:position w:val="17"/>
                <w:highlight w:val="none"/>
              </w:rPr>
              <w:t>名</w:t>
            </w:r>
            <w:r>
              <w:rPr>
                <w:rFonts w:ascii="宋体" w:hAnsi="宋体" w:eastAsia="宋体"/>
                <w:color w:val="auto"/>
                <w:spacing w:val="-13"/>
                <w:position w:val="17"/>
                <w:highlight w:val="none"/>
              </w:rPr>
              <w:t>称：</w:t>
            </w:r>
            <w:r>
              <w:rPr>
                <w:rFonts w:hint="eastAsia" w:ascii="宋体" w:hAnsi="宋体" w:eastAsia="宋体"/>
                <w:color w:val="auto"/>
                <w:spacing w:val="-13"/>
                <w:position w:val="17"/>
                <w:highlight w:val="none"/>
              </w:rPr>
              <w:t xml:space="preserve">广州市增城区新塘镇人民政府 </w:t>
            </w:r>
          </w:p>
          <w:p w14:paraId="5973B11A">
            <w:pPr>
              <w:spacing w:line="288" w:lineRule="auto"/>
              <w:ind w:left="105" w:leftChars="50" w:right="105" w:rightChars="50"/>
              <w:rPr>
                <w:rFonts w:ascii="宋体" w:hAnsi="宋体" w:eastAsia="宋体"/>
                <w:color w:val="auto"/>
                <w:spacing w:val="-14"/>
                <w:highlight w:val="none"/>
              </w:rPr>
            </w:pPr>
            <w:r>
              <w:rPr>
                <w:rFonts w:ascii="宋体" w:hAnsi="宋体" w:eastAsia="宋体"/>
                <w:color w:val="auto"/>
                <w:spacing w:val="-14"/>
                <w:highlight w:val="none"/>
              </w:rPr>
              <w:t>地</w:t>
            </w:r>
            <w:r>
              <w:rPr>
                <w:rFonts w:ascii="宋体" w:hAnsi="宋体" w:eastAsia="宋体"/>
                <w:color w:val="auto"/>
                <w:spacing w:val="-12"/>
                <w:highlight w:val="none"/>
              </w:rPr>
              <w:t>址：</w:t>
            </w:r>
            <w:r>
              <w:rPr>
                <w:rFonts w:hint="eastAsia" w:ascii="宋体" w:hAnsi="宋体" w:eastAsia="宋体"/>
                <w:color w:val="auto"/>
                <w:spacing w:val="-12"/>
                <w:highlight w:val="none"/>
                <w:u w:val="single"/>
              </w:rPr>
              <w:t>广东省广州市增城区府前路38号</w:t>
            </w:r>
          </w:p>
          <w:p w14:paraId="4C5FD024">
            <w:pPr>
              <w:spacing w:before="178" w:line="288" w:lineRule="auto"/>
              <w:ind w:left="105" w:leftChars="50" w:right="105" w:rightChars="50"/>
              <w:rPr>
                <w:rFonts w:ascii="宋体" w:hAnsi="宋体" w:eastAsia="宋体"/>
                <w:color w:val="auto"/>
                <w:spacing w:val="-13"/>
                <w:highlight w:val="none"/>
              </w:rPr>
            </w:pPr>
            <w:r>
              <w:rPr>
                <w:rFonts w:ascii="宋体" w:hAnsi="宋体" w:eastAsia="宋体"/>
                <w:color w:val="auto"/>
                <w:spacing w:val="-13"/>
                <w:highlight w:val="none"/>
              </w:rPr>
              <w:t>联</w:t>
            </w:r>
            <w:r>
              <w:rPr>
                <w:rFonts w:ascii="宋体" w:hAnsi="宋体" w:eastAsia="宋体"/>
                <w:color w:val="auto"/>
                <w:spacing w:val="-10"/>
                <w:highlight w:val="none"/>
              </w:rPr>
              <w:t>系人：</w:t>
            </w:r>
            <w:r>
              <w:rPr>
                <w:rFonts w:hint="eastAsia" w:ascii="宋体" w:hAnsi="宋体" w:eastAsia="宋体"/>
                <w:color w:val="auto"/>
                <w:spacing w:val="-12"/>
                <w:highlight w:val="none"/>
                <w:u w:val="single"/>
              </w:rPr>
              <w:t>何工</w:t>
            </w:r>
          </w:p>
          <w:p w14:paraId="49597FC4">
            <w:pPr>
              <w:spacing w:before="188" w:line="288" w:lineRule="auto"/>
              <w:ind w:left="105" w:leftChars="50" w:right="105" w:rightChars="50"/>
              <w:rPr>
                <w:rFonts w:ascii="宋体" w:hAnsi="宋体" w:eastAsia="宋体"/>
                <w:color w:val="auto"/>
                <w:spacing w:val="-19"/>
                <w:highlight w:val="none"/>
              </w:rPr>
            </w:pPr>
            <w:r>
              <w:rPr>
                <w:rFonts w:ascii="宋体" w:hAnsi="宋体" w:eastAsia="宋体"/>
                <w:color w:val="auto"/>
                <w:spacing w:val="-19"/>
                <w:highlight w:val="none"/>
              </w:rPr>
              <w:t>电</w:t>
            </w:r>
            <w:r>
              <w:rPr>
                <w:rFonts w:ascii="宋体" w:hAnsi="宋体" w:eastAsia="宋体"/>
                <w:color w:val="auto"/>
                <w:spacing w:val="-18"/>
                <w:highlight w:val="none"/>
              </w:rPr>
              <w:t>话：</w:t>
            </w:r>
            <w:r>
              <w:rPr>
                <w:rFonts w:ascii="宋体" w:hAnsi="宋体" w:eastAsia="宋体"/>
                <w:color w:val="auto"/>
                <w:spacing w:val="-12"/>
                <w:highlight w:val="none"/>
                <w:u w:val="single"/>
              </w:rPr>
              <w:t>020-</w:t>
            </w:r>
            <w:r>
              <w:rPr>
                <w:rFonts w:hint="eastAsia" w:ascii="宋体" w:hAnsi="宋体" w:eastAsia="宋体"/>
                <w:color w:val="auto"/>
                <w:spacing w:val="-12"/>
                <w:highlight w:val="none"/>
                <w:u w:val="single"/>
              </w:rPr>
              <w:t>82770283</w:t>
            </w:r>
          </w:p>
        </w:tc>
      </w:tr>
      <w:tr w14:paraId="64E049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64" w:hRule="atLeast"/>
        </w:trPr>
        <w:tc>
          <w:tcPr>
            <w:tcW w:w="1169" w:type="dxa"/>
          </w:tcPr>
          <w:p w14:paraId="0CB3E8E2">
            <w:pPr>
              <w:spacing w:line="288" w:lineRule="auto"/>
              <w:rPr>
                <w:color w:val="auto"/>
                <w:highlight w:val="none"/>
              </w:rPr>
            </w:pPr>
          </w:p>
          <w:p w14:paraId="3788E82C">
            <w:pPr>
              <w:spacing w:line="288" w:lineRule="auto"/>
              <w:rPr>
                <w:color w:val="auto"/>
                <w:highlight w:val="none"/>
              </w:rPr>
            </w:pPr>
          </w:p>
          <w:p w14:paraId="26D26FE9">
            <w:pPr>
              <w:spacing w:line="288" w:lineRule="auto"/>
              <w:rPr>
                <w:color w:val="auto"/>
                <w:highlight w:val="none"/>
              </w:rPr>
            </w:pPr>
          </w:p>
          <w:p w14:paraId="5C8609E0">
            <w:pPr>
              <w:spacing w:before="61" w:line="288" w:lineRule="auto"/>
              <w:ind w:left="396"/>
              <w:rPr>
                <w:rFonts w:ascii="Times New Roman" w:hAnsi="Times New Roman" w:eastAsia="Times New Roman"/>
                <w:color w:val="auto"/>
                <w:spacing w:val="-8"/>
                <w:highlight w:val="none"/>
              </w:rPr>
            </w:pPr>
            <w:r>
              <w:rPr>
                <w:rFonts w:ascii="Times New Roman" w:hAnsi="Times New Roman" w:eastAsia="Times New Roman"/>
                <w:color w:val="auto"/>
                <w:spacing w:val="-8"/>
                <w:highlight w:val="none"/>
              </w:rPr>
              <w:t>1</w:t>
            </w:r>
            <w:r>
              <w:rPr>
                <w:rFonts w:ascii="Times New Roman" w:hAnsi="Times New Roman" w:eastAsia="Times New Roman"/>
                <w:color w:val="auto"/>
                <w:spacing w:val="-4"/>
                <w:highlight w:val="none"/>
              </w:rPr>
              <w:t>.1.3</w:t>
            </w:r>
          </w:p>
        </w:tc>
        <w:tc>
          <w:tcPr>
            <w:tcW w:w="3547" w:type="dxa"/>
          </w:tcPr>
          <w:p w14:paraId="2B15B4A9">
            <w:pPr>
              <w:spacing w:line="288" w:lineRule="auto"/>
              <w:rPr>
                <w:color w:val="auto"/>
                <w:highlight w:val="none"/>
              </w:rPr>
            </w:pPr>
          </w:p>
          <w:p w14:paraId="7C365508">
            <w:pPr>
              <w:spacing w:line="288" w:lineRule="auto"/>
              <w:rPr>
                <w:color w:val="auto"/>
                <w:highlight w:val="none"/>
              </w:rPr>
            </w:pPr>
          </w:p>
          <w:p w14:paraId="33CFA235">
            <w:pPr>
              <w:spacing w:line="288" w:lineRule="auto"/>
              <w:rPr>
                <w:color w:val="auto"/>
                <w:highlight w:val="none"/>
              </w:rPr>
            </w:pPr>
          </w:p>
          <w:p w14:paraId="5D341C03">
            <w:pPr>
              <w:spacing w:before="68" w:line="288" w:lineRule="auto"/>
              <w:ind w:left="1326"/>
              <w:rPr>
                <w:rFonts w:ascii="宋体" w:hAnsi="宋体" w:eastAsia="宋体"/>
                <w:color w:val="auto"/>
                <w:spacing w:val="-2"/>
                <w:highlight w:val="none"/>
              </w:rPr>
            </w:pPr>
            <w:r>
              <w:rPr>
                <w:rFonts w:ascii="宋体" w:hAnsi="宋体" w:eastAsia="宋体"/>
                <w:color w:val="auto"/>
                <w:spacing w:val="-2"/>
                <w:highlight w:val="none"/>
              </w:rPr>
              <w:t>招标</w:t>
            </w:r>
            <w:r>
              <w:rPr>
                <w:rFonts w:ascii="宋体" w:hAnsi="宋体" w:eastAsia="宋体"/>
                <w:color w:val="auto"/>
                <w:spacing w:val="-1"/>
                <w:highlight w:val="none"/>
              </w:rPr>
              <w:t>代理机构</w:t>
            </w:r>
          </w:p>
        </w:tc>
        <w:tc>
          <w:tcPr>
            <w:tcW w:w="4610" w:type="dxa"/>
          </w:tcPr>
          <w:p w14:paraId="593ED8D2">
            <w:pPr>
              <w:spacing w:before="171" w:line="288" w:lineRule="auto"/>
              <w:ind w:left="105" w:leftChars="50" w:right="105" w:rightChars="50"/>
              <w:rPr>
                <w:rFonts w:ascii="宋体" w:hAnsi="宋体" w:eastAsia="宋体"/>
                <w:color w:val="auto"/>
                <w:spacing w:val="-14"/>
                <w:position w:val="17"/>
                <w:highlight w:val="none"/>
              </w:rPr>
            </w:pPr>
            <w:r>
              <w:rPr>
                <w:rFonts w:ascii="宋体" w:hAnsi="宋体" w:eastAsia="宋体"/>
                <w:color w:val="auto"/>
                <w:spacing w:val="-14"/>
                <w:position w:val="17"/>
                <w:highlight w:val="none"/>
              </w:rPr>
              <w:t>名</w:t>
            </w:r>
            <w:r>
              <w:rPr>
                <w:rFonts w:ascii="宋体" w:hAnsi="宋体" w:eastAsia="宋体"/>
                <w:color w:val="auto"/>
                <w:spacing w:val="-13"/>
                <w:position w:val="17"/>
                <w:highlight w:val="none"/>
              </w:rPr>
              <w:t>称：</w:t>
            </w:r>
            <w:r>
              <w:rPr>
                <w:rFonts w:hint="eastAsia" w:ascii="宋体" w:hAnsi="宋体" w:eastAsia="宋体"/>
                <w:color w:val="auto"/>
                <w:spacing w:val="-13"/>
                <w:position w:val="17"/>
                <w:highlight w:val="none"/>
                <w:u w:val="single"/>
              </w:rPr>
              <w:t>广东竞采招标采购有限公司</w:t>
            </w:r>
          </w:p>
          <w:p w14:paraId="4A755FEE">
            <w:pPr>
              <w:spacing w:line="288" w:lineRule="auto"/>
              <w:ind w:left="105" w:leftChars="50" w:right="105" w:rightChars="50"/>
              <w:rPr>
                <w:rFonts w:ascii="宋体" w:hAnsi="宋体" w:eastAsia="宋体"/>
                <w:color w:val="auto"/>
                <w:spacing w:val="-14"/>
                <w:highlight w:val="none"/>
              </w:rPr>
            </w:pPr>
            <w:r>
              <w:rPr>
                <w:rFonts w:ascii="宋体" w:hAnsi="宋体" w:eastAsia="宋体"/>
                <w:color w:val="auto"/>
                <w:spacing w:val="-14"/>
                <w:highlight w:val="none"/>
              </w:rPr>
              <w:t>地</w:t>
            </w:r>
            <w:r>
              <w:rPr>
                <w:rFonts w:ascii="宋体" w:hAnsi="宋体" w:eastAsia="宋体"/>
                <w:color w:val="auto"/>
                <w:spacing w:val="-12"/>
                <w:highlight w:val="none"/>
              </w:rPr>
              <w:t>址：</w:t>
            </w:r>
            <w:r>
              <w:rPr>
                <w:rFonts w:hint="eastAsia" w:ascii="宋体" w:hAnsi="宋体" w:eastAsia="宋体"/>
                <w:color w:val="auto"/>
                <w:spacing w:val="-12"/>
                <w:highlight w:val="none"/>
                <w:u w:val="single"/>
              </w:rPr>
              <w:t>广州市黄埔区云埔街源祥路96号弘大商贸创意园1#楼1005房</w:t>
            </w:r>
          </w:p>
          <w:p w14:paraId="23142728">
            <w:pPr>
              <w:spacing w:before="178" w:line="288" w:lineRule="auto"/>
              <w:ind w:left="105" w:leftChars="50" w:right="105" w:rightChars="50"/>
              <w:rPr>
                <w:rFonts w:ascii="宋体" w:hAnsi="宋体" w:eastAsia="宋体"/>
                <w:color w:val="auto"/>
                <w:spacing w:val="-13"/>
                <w:highlight w:val="none"/>
              </w:rPr>
            </w:pPr>
            <w:r>
              <w:rPr>
                <w:rFonts w:ascii="宋体" w:hAnsi="宋体" w:eastAsia="宋体"/>
                <w:color w:val="auto"/>
                <w:spacing w:val="-13"/>
                <w:highlight w:val="none"/>
              </w:rPr>
              <w:t>联</w:t>
            </w:r>
            <w:r>
              <w:rPr>
                <w:rFonts w:ascii="宋体" w:hAnsi="宋体" w:eastAsia="宋体"/>
                <w:color w:val="auto"/>
                <w:spacing w:val="-10"/>
                <w:highlight w:val="none"/>
              </w:rPr>
              <w:t>系人：</w:t>
            </w:r>
            <w:r>
              <w:rPr>
                <w:rFonts w:hint="eastAsia" w:ascii="宋体" w:hAnsi="宋体" w:eastAsia="宋体"/>
                <w:color w:val="auto"/>
                <w:spacing w:val="-12"/>
                <w:highlight w:val="none"/>
                <w:u w:val="single"/>
              </w:rPr>
              <w:t>黄工</w:t>
            </w:r>
          </w:p>
          <w:p w14:paraId="57A63C6A">
            <w:pPr>
              <w:spacing w:before="188" w:line="288" w:lineRule="auto"/>
              <w:ind w:left="105" w:leftChars="50" w:right="105" w:rightChars="50"/>
              <w:rPr>
                <w:rFonts w:ascii="宋体" w:hAnsi="宋体" w:eastAsia="宋体"/>
                <w:color w:val="auto"/>
                <w:spacing w:val="-19"/>
                <w:highlight w:val="none"/>
              </w:rPr>
            </w:pPr>
            <w:r>
              <w:rPr>
                <w:rFonts w:ascii="宋体" w:hAnsi="宋体" w:eastAsia="宋体"/>
                <w:color w:val="auto"/>
                <w:spacing w:val="-19"/>
                <w:highlight w:val="none"/>
              </w:rPr>
              <w:t>电</w:t>
            </w:r>
            <w:r>
              <w:rPr>
                <w:rFonts w:ascii="宋体" w:hAnsi="宋体" w:eastAsia="宋体"/>
                <w:color w:val="auto"/>
                <w:spacing w:val="-18"/>
                <w:highlight w:val="none"/>
              </w:rPr>
              <w:t>话：</w:t>
            </w:r>
            <w:r>
              <w:rPr>
                <w:rFonts w:hint="eastAsia" w:ascii="宋体" w:hAnsi="宋体" w:eastAsia="宋体"/>
                <w:color w:val="auto"/>
                <w:spacing w:val="-12"/>
                <w:highlight w:val="none"/>
                <w:u w:val="single"/>
              </w:rPr>
              <w:t>020-89853375</w:t>
            </w:r>
          </w:p>
        </w:tc>
      </w:tr>
      <w:tr w14:paraId="16EB18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1169" w:type="dxa"/>
          </w:tcPr>
          <w:p w14:paraId="0716D2BC">
            <w:pPr>
              <w:spacing w:before="211" w:line="288" w:lineRule="auto"/>
              <w:ind w:left="396"/>
              <w:rPr>
                <w:rFonts w:ascii="Times New Roman" w:hAnsi="Times New Roman" w:eastAsia="Times New Roman"/>
                <w:color w:val="auto"/>
                <w:spacing w:val="-8"/>
                <w:highlight w:val="none"/>
              </w:rPr>
            </w:pPr>
            <w:r>
              <w:rPr>
                <w:rFonts w:ascii="Times New Roman" w:hAnsi="Times New Roman" w:eastAsia="Times New Roman"/>
                <w:color w:val="auto"/>
                <w:spacing w:val="-8"/>
                <w:highlight w:val="none"/>
              </w:rPr>
              <w:t>1</w:t>
            </w:r>
            <w:r>
              <w:rPr>
                <w:rFonts w:ascii="Times New Roman" w:hAnsi="Times New Roman" w:eastAsia="Times New Roman"/>
                <w:color w:val="auto"/>
                <w:spacing w:val="-4"/>
                <w:highlight w:val="none"/>
              </w:rPr>
              <w:t>.1.4</w:t>
            </w:r>
          </w:p>
        </w:tc>
        <w:tc>
          <w:tcPr>
            <w:tcW w:w="3547" w:type="dxa"/>
          </w:tcPr>
          <w:p w14:paraId="32D3DC8B">
            <w:pPr>
              <w:spacing w:before="172" w:line="288" w:lineRule="auto"/>
              <w:ind w:left="1326"/>
              <w:rPr>
                <w:rFonts w:ascii="宋体" w:hAnsi="宋体" w:eastAsia="宋体"/>
                <w:color w:val="auto"/>
                <w:spacing w:val="-2"/>
                <w:highlight w:val="none"/>
              </w:rPr>
            </w:pPr>
            <w:r>
              <w:rPr>
                <w:rFonts w:ascii="宋体" w:hAnsi="宋体" w:eastAsia="宋体"/>
                <w:color w:val="auto"/>
                <w:spacing w:val="-2"/>
                <w:highlight w:val="none"/>
              </w:rPr>
              <w:t>招标</w:t>
            </w:r>
            <w:r>
              <w:rPr>
                <w:rFonts w:ascii="宋体" w:hAnsi="宋体" w:eastAsia="宋体"/>
                <w:color w:val="auto"/>
                <w:spacing w:val="-1"/>
                <w:highlight w:val="none"/>
              </w:rPr>
              <w:t>项目名称</w:t>
            </w:r>
          </w:p>
        </w:tc>
        <w:tc>
          <w:tcPr>
            <w:tcW w:w="4610" w:type="dxa"/>
            <w:vAlign w:val="center"/>
          </w:tcPr>
          <w:p w14:paraId="1016F32A">
            <w:pPr>
              <w:spacing w:line="288" w:lineRule="auto"/>
              <w:ind w:left="105" w:leftChars="50" w:right="105" w:rightChars="50"/>
              <w:rPr>
                <w:rFonts w:eastAsia="宋体"/>
                <w:color w:val="auto"/>
                <w:highlight w:val="none"/>
              </w:rPr>
            </w:pPr>
            <w:r>
              <w:rPr>
                <w:rFonts w:hint="eastAsia" w:eastAsia="宋体"/>
                <w:color w:val="auto"/>
                <w:highlight w:val="none"/>
              </w:rPr>
              <w:t>广州东部中心地下管网完善工程—新塘镇排水系统更新改造提升工程（北部片区）设计服务</w:t>
            </w:r>
          </w:p>
        </w:tc>
      </w:tr>
      <w:tr w14:paraId="6E7F24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1169" w:type="dxa"/>
          </w:tcPr>
          <w:p w14:paraId="4C9C3D61">
            <w:pPr>
              <w:spacing w:before="212" w:line="288" w:lineRule="auto"/>
              <w:ind w:left="396"/>
              <w:rPr>
                <w:rFonts w:ascii="Times New Roman" w:hAnsi="Times New Roman" w:eastAsia="Times New Roman"/>
                <w:color w:val="auto"/>
                <w:spacing w:val="-8"/>
                <w:highlight w:val="none"/>
              </w:rPr>
            </w:pPr>
            <w:r>
              <w:rPr>
                <w:rFonts w:ascii="Times New Roman" w:hAnsi="Times New Roman" w:eastAsia="Times New Roman"/>
                <w:color w:val="auto"/>
                <w:spacing w:val="-8"/>
                <w:highlight w:val="none"/>
              </w:rPr>
              <w:t>1</w:t>
            </w:r>
            <w:r>
              <w:rPr>
                <w:rFonts w:ascii="Times New Roman" w:hAnsi="Times New Roman" w:eastAsia="Times New Roman"/>
                <w:color w:val="auto"/>
                <w:spacing w:val="-4"/>
                <w:highlight w:val="none"/>
              </w:rPr>
              <w:t>.1.5</w:t>
            </w:r>
          </w:p>
        </w:tc>
        <w:tc>
          <w:tcPr>
            <w:tcW w:w="3547" w:type="dxa"/>
          </w:tcPr>
          <w:p w14:paraId="4BA62154">
            <w:pPr>
              <w:spacing w:before="173" w:line="288" w:lineRule="auto"/>
              <w:ind w:left="1328"/>
              <w:rPr>
                <w:rFonts w:ascii="宋体" w:hAnsi="宋体" w:eastAsia="宋体"/>
                <w:color w:val="auto"/>
                <w:spacing w:val="-2"/>
                <w:highlight w:val="none"/>
              </w:rPr>
            </w:pPr>
            <w:r>
              <w:rPr>
                <w:rFonts w:ascii="宋体" w:hAnsi="宋体" w:eastAsia="宋体"/>
                <w:color w:val="auto"/>
                <w:spacing w:val="-2"/>
                <w:highlight w:val="none"/>
              </w:rPr>
              <w:t>项目建设</w:t>
            </w:r>
            <w:r>
              <w:rPr>
                <w:rFonts w:ascii="宋体" w:hAnsi="宋体" w:eastAsia="宋体"/>
                <w:color w:val="auto"/>
                <w:spacing w:val="-1"/>
                <w:highlight w:val="none"/>
              </w:rPr>
              <w:t>地点</w:t>
            </w:r>
          </w:p>
        </w:tc>
        <w:tc>
          <w:tcPr>
            <w:tcW w:w="4610" w:type="dxa"/>
            <w:vAlign w:val="center"/>
          </w:tcPr>
          <w:p w14:paraId="653D34A6">
            <w:pPr>
              <w:spacing w:line="288" w:lineRule="auto"/>
              <w:ind w:left="105" w:leftChars="50" w:right="105" w:rightChars="50"/>
              <w:jc w:val="both"/>
              <w:rPr>
                <w:color w:val="auto"/>
                <w:highlight w:val="none"/>
              </w:rPr>
            </w:pPr>
            <w:r>
              <w:rPr>
                <w:rFonts w:hint="eastAsia"/>
                <w:color w:val="auto"/>
                <w:highlight w:val="none"/>
              </w:rPr>
              <w:t>详见招标公告</w:t>
            </w:r>
          </w:p>
        </w:tc>
      </w:tr>
      <w:tr w14:paraId="4C8820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1169" w:type="dxa"/>
          </w:tcPr>
          <w:p w14:paraId="222157C5">
            <w:pPr>
              <w:spacing w:before="212" w:line="288" w:lineRule="auto"/>
              <w:ind w:left="396"/>
              <w:rPr>
                <w:rFonts w:ascii="Times New Roman" w:hAnsi="Times New Roman" w:eastAsia="Times New Roman"/>
                <w:color w:val="auto"/>
                <w:spacing w:val="-8"/>
                <w:highlight w:val="none"/>
              </w:rPr>
            </w:pPr>
            <w:r>
              <w:rPr>
                <w:rFonts w:ascii="Times New Roman" w:hAnsi="Times New Roman" w:eastAsia="Times New Roman"/>
                <w:color w:val="auto"/>
                <w:spacing w:val="-8"/>
                <w:highlight w:val="none"/>
              </w:rPr>
              <w:t>1</w:t>
            </w:r>
            <w:r>
              <w:rPr>
                <w:rFonts w:ascii="Times New Roman" w:hAnsi="Times New Roman" w:eastAsia="Times New Roman"/>
                <w:color w:val="auto"/>
                <w:spacing w:val="-4"/>
                <w:highlight w:val="none"/>
              </w:rPr>
              <w:t>.1.6</w:t>
            </w:r>
          </w:p>
        </w:tc>
        <w:tc>
          <w:tcPr>
            <w:tcW w:w="3547" w:type="dxa"/>
          </w:tcPr>
          <w:p w14:paraId="55FB2EF0">
            <w:pPr>
              <w:spacing w:before="173" w:line="288" w:lineRule="auto"/>
              <w:ind w:left="1328"/>
              <w:rPr>
                <w:rFonts w:ascii="宋体" w:hAnsi="宋体" w:eastAsia="宋体"/>
                <w:color w:val="auto"/>
                <w:spacing w:val="-2"/>
                <w:highlight w:val="none"/>
              </w:rPr>
            </w:pPr>
            <w:r>
              <w:rPr>
                <w:rFonts w:ascii="宋体" w:hAnsi="宋体" w:eastAsia="宋体"/>
                <w:color w:val="auto"/>
                <w:spacing w:val="-2"/>
                <w:highlight w:val="none"/>
              </w:rPr>
              <w:t>项目建设</w:t>
            </w:r>
            <w:r>
              <w:rPr>
                <w:rFonts w:ascii="宋体" w:hAnsi="宋体" w:eastAsia="宋体"/>
                <w:color w:val="auto"/>
                <w:spacing w:val="-1"/>
                <w:highlight w:val="none"/>
              </w:rPr>
              <w:t>规模</w:t>
            </w:r>
          </w:p>
        </w:tc>
        <w:tc>
          <w:tcPr>
            <w:tcW w:w="4610" w:type="dxa"/>
            <w:vAlign w:val="center"/>
          </w:tcPr>
          <w:p w14:paraId="54F8CC4B">
            <w:pPr>
              <w:spacing w:line="288" w:lineRule="auto"/>
              <w:ind w:left="105" w:leftChars="50" w:right="105" w:rightChars="50"/>
              <w:jc w:val="both"/>
              <w:rPr>
                <w:color w:val="auto"/>
                <w:highlight w:val="none"/>
              </w:rPr>
            </w:pPr>
            <w:r>
              <w:rPr>
                <w:rFonts w:hint="eastAsia"/>
                <w:color w:val="auto"/>
                <w:highlight w:val="none"/>
              </w:rPr>
              <w:t>详见招标公告</w:t>
            </w:r>
          </w:p>
        </w:tc>
      </w:tr>
      <w:tr w14:paraId="460BC8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169" w:type="dxa"/>
          </w:tcPr>
          <w:p w14:paraId="6F26A4E3">
            <w:pPr>
              <w:spacing w:before="212" w:line="288" w:lineRule="auto"/>
              <w:ind w:left="396"/>
              <w:rPr>
                <w:rFonts w:ascii="Times New Roman" w:hAnsi="Times New Roman" w:eastAsia="Times New Roman"/>
                <w:color w:val="auto"/>
                <w:spacing w:val="-8"/>
                <w:highlight w:val="none"/>
              </w:rPr>
            </w:pPr>
            <w:r>
              <w:rPr>
                <w:rFonts w:ascii="Times New Roman" w:hAnsi="Times New Roman" w:eastAsia="Times New Roman"/>
                <w:color w:val="auto"/>
                <w:spacing w:val="-8"/>
                <w:highlight w:val="none"/>
              </w:rPr>
              <w:t>1</w:t>
            </w:r>
            <w:r>
              <w:rPr>
                <w:rFonts w:ascii="Times New Roman" w:hAnsi="Times New Roman" w:eastAsia="Times New Roman"/>
                <w:color w:val="auto"/>
                <w:spacing w:val="-4"/>
                <w:highlight w:val="none"/>
              </w:rPr>
              <w:t>.1.7</w:t>
            </w:r>
          </w:p>
        </w:tc>
        <w:tc>
          <w:tcPr>
            <w:tcW w:w="3547" w:type="dxa"/>
          </w:tcPr>
          <w:p w14:paraId="10CFFAFD">
            <w:pPr>
              <w:spacing w:before="173" w:line="288" w:lineRule="auto"/>
              <w:ind w:left="1328"/>
              <w:rPr>
                <w:rFonts w:ascii="宋体" w:hAnsi="宋体" w:eastAsia="宋体"/>
                <w:color w:val="auto"/>
                <w:spacing w:val="-2"/>
                <w:highlight w:val="none"/>
              </w:rPr>
            </w:pPr>
            <w:r>
              <w:rPr>
                <w:rFonts w:ascii="宋体" w:hAnsi="宋体" w:eastAsia="宋体"/>
                <w:color w:val="auto"/>
                <w:spacing w:val="-2"/>
                <w:highlight w:val="none"/>
              </w:rPr>
              <w:t>项目投资</w:t>
            </w:r>
            <w:r>
              <w:rPr>
                <w:rFonts w:ascii="宋体" w:hAnsi="宋体" w:eastAsia="宋体"/>
                <w:color w:val="auto"/>
                <w:spacing w:val="-1"/>
                <w:highlight w:val="none"/>
              </w:rPr>
              <w:t>估算</w:t>
            </w:r>
          </w:p>
        </w:tc>
        <w:tc>
          <w:tcPr>
            <w:tcW w:w="4610" w:type="dxa"/>
            <w:vAlign w:val="center"/>
          </w:tcPr>
          <w:p w14:paraId="2DEDEB26">
            <w:pPr>
              <w:spacing w:line="288" w:lineRule="auto"/>
              <w:ind w:left="105" w:leftChars="50" w:right="105" w:rightChars="50"/>
              <w:jc w:val="both"/>
              <w:rPr>
                <w:rFonts w:ascii="宋体" w:hAnsi="宋体"/>
                <w:color w:val="auto"/>
                <w:highlight w:val="none"/>
              </w:rPr>
            </w:pPr>
            <w:r>
              <w:rPr>
                <w:rFonts w:hint="eastAsia" w:ascii="宋体" w:hAnsi="宋体"/>
                <w:color w:val="auto"/>
                <w:highlight w:val="none"/>
              </w:rPr>
              <w:t>总投资</w:t>
            </w:r>
            <w:r>
              <w:rPr>
                <w:rFonts w:hint="eastAsia" w:ascii="宋体" w:hAnsi="宋体" w:eastAsia="宋体"/>
                <w:color w:val="auto"/>
                <w:highlight w:val="none"/>
                <w:u w:val="single"/>
              </w:rPr>
              <w:t>22067.89</w:t>
            </w:r>
            <w:r>
              <w:rPr>
                <w:rFonts w:hint="eastAsia" w:ascii="宋体" w:hAnsi="宋体"/>
                <w:color w:val="auto"/>
                <w:highlight w:val="none"/>
              </w:rPr>
              <w:t>万元。</w:t>
            </w:r>
          </w:p>
        </w:tc>
      </w:tr>
      <w:tr w14:paraId="5D1C52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169" w:type="dxa"/>
          </w:tcPr>
          <w:p w14:paraId="12FE88EF">
            <w:pPr>
              <w:spacing w:before="212" w:line="288" w:lineRule="auto"/>
              <w:ind w:left="396"/>
              <w:rPr>
                <w:rFonts w:ascii="Times New Roman" w:hAnsi="Times New Roman" w:eastAsia="Times New Roman"/>
                <w:color w:val="auto"/>
                <w:spacing w:val="-8"/>
                <w:highlight w:val="none"/>
              </w:rPr>
            </w:pPr>
            <w:r>
              <w:rPr>
                <w:rFonts w:ascii="Times New Roman" w:hAnsi="Times New Roman" w:eastAsia="Times New Roman"/>
                <w:color w:val="auto"/>
                <w:spacing w:val="-8"/>
                <w:highlight w:val="none"/>
              </w:rPr>
              <w:t>1</w:t>
            </w:r>
            <w:r>
              <w:rPr>
                <w:rFonts w:ascii="Times New Roman" w:hAnsi="Times New Roman" w:eastAsia="Times New Roman"/>
                <w:color w:val="auto"/>
                <w:spacing w:val="-4"/>
                <w:highlight w:val="none"/>
              </w:rPr>
              <w:t>.2.1</w:t>
            </w:r>
          </w:p>
        </w:tc>
        <w:tc>
          <w:tcPr>
            <w:tcW w:w="3547" w:type="dxa"/>
          </w:tcPr>
          <w:p w14:paraId="214C613C">
            <w:pPr>
              <w:spacing w:before="173" w:line="288" w:lineRule="auto"/>
              <w:ind w:left="1230"/>
              <w:rPr>
                <w:rFonts w:ascii="宋体" w:hAnsi="宋体" w:eastAsia="宋体"/>
                <w:color w:val="auto"/>
                <w:spacing w:val="-3"/>
                <w:highlight w:val="none"/>
              </w:rPr>
            </w:pPr>
            <w:r>
              <w:rPr>
                <w:rFonts w:ascii="宋体" w:hAnsi="宋体" w:eastAsia="宋体"/>
                <w:color w:val="auto"/>
                <w:spacing w:val="-3"/>
                <w:highlight w:val="none"/>
              </w:rPr>
              <w:t>资</w:t>
            </w:r>
            <w:r>
              <w:rPr>
                <w:rFonts w:ascii="宋体" w:hAnsi="宋体" w:eastAsia="宋体"/>
                <w:color w:val="auto"/>
                <w:spacing w:val="-2"/>
                <w:highlight w:val="none"/>
              </w:rPr>
              <w:t>金来源及比例</w:t>
            </w:r>
          </w:p>
        </w:tc>
        <w:tc>
          <w:tcPr>
            <w:tcW w:w="4610" w:type="dxa"/>
            <w:vAlign w:val="center"/>
          </w:tcPr>
          <w:p w14:paraId="286CC2E8">
            <w:pPr>
              <w:spacing w:line="288" w:lineRule="auto"/>
              <w:ind w:left="105" w:leftChars="50" w:right="105" w:rightChars="50"/>
              <w:jc w:val="both"/>
              <w:rPr>
                <w:color w:val="auto"/>
                <w:highlight w:val="none"/>
              </w:rPr>
            </w:pPr>
            <w:r>
              <w:rPr>
                <w:rFonts w:hint="eastAsia"/>
                <w:color w:val="auto"/>
                <w:highlight w:val="none"/>
              </w:rPr>
              <w:t>详见招标公告</w:t>
            </w:r>
          </w:p>
        </w:tc>
      </w:tr>
      <w:tr w14:paraId="799E31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169" w:type="dxa"/>
          </w:tcPr>
          <w:p w14:paraId="65732BED">
            <w:pPr>
              <w:spacing w:before="212" w:line="288" w:lineRule="auto"/>
              <w:ind w:left="396"/>
              <w:rPr>
                <w:rFonts w:ascii="Times New Roman" w:hAnsi="Times New Roman" w:eastAsia="Times New Roman"/>
                <w:color w:val="auto"/>
                <w:spacing w:val="-8"/>
                <w:highlight w:val="none"/>
              </w:rPr>
            </w:pPr>
            <w:r>
              <w:rPr>
                <w:rFonts w:ascii="Times New Roman" w:hAnsi="Times New Roman" w:eastAsia="Times New Roman"/>
                <w:color w:val="auto"/>
                <w:spacing w:val="-8"/>
                <w:highlight w:val="none"/>
              </w:rPr>
              <w:t>1</w:t>
            </w:r>
            <w:r>
              <w:rPr>
                <w:rFonts w:ascii="Times New Roman" w:hAnsi="Times New Roman" w:eastAsia="Times New Roman"/>
                <w:color w:val="auto"/>
                <w:spacing w:val="-4"/>
                <w:highlight w:val="none"/>
              </w:rPr>
              <w:t>.2.2</w:t>
            </w:r>
          </w:p>
        </w:tc>
        <w:tc>
          <w:tcPr>
            <w:tcW w:w="3547" w:type="dxa"/>
          </w:tcPr>
          <w:p w14:paraId="748DCCEB">
            <w:pPr>
              <w:spacing w:before="173" w:line="288" w:lineRule="auto"/>
              <w:ind w:left="1334"/>
              <w:rPr>
                <w:rFonts w:ascii="宋体" w:hAnsi="宋体" w:eastAsia="宋体"/>
                <w:color w:val="auto"/>
                <w:spacing w:val="-4"/>
                <w:highlight w:val="none"/>
              </w:rPr>
            </w:pPr>
            <w:r>
              <w:rPr>
                <w:rFonts w:ascii="宋体" w:hAnsi="宋体" w:eastAsia="宋体"/>
                <w:color w:val="auto"/>
                <w:spacing w:val="-4"/>
                <w:highlight w:val="none"/>
              </w:rPr>
              <w:t>资</w:t>
            </w:r>
            <w:r>
              <w:rPr>
                <w:rFonts w:ascii="宋体" w:hAnsi="宋体" w:eastAsia="宋体"/>
                <w:color w:val="auto"/>
                <w:spacing w:val="-3"/>
                <w:highlight w:val="none"/>
              </w:rPr>
              <w:t>金</w:t>
            </w:r>
            <w:r>
              <w:rPr>
                <w:rFonts w:ascii="宋体" w:hAnsi="宋体" w:eastAsia="宋体"/>
                <w:color w:val="auto"/>
                <w:spacing w:val="-2"/>
                <w:highlight w:val="none"/>
              </w:rPr>
              <w:t>落实情况</w:t>
            </w:r>
          </w:p>
        </w:tc>
        <w:tc>
          <w:tcPr>
            <w:tcW w:w="4610" w:type="dxa"/>
            <w:vAlign w:val="center"/>
          </w:tcPr>
          <w:p w14:paraId="598E476A">
            <w:pPr>
              <w:spacing w:line="288" w:lineRule="auto"/>
              <w:ind w:left="105" w:leftChars="50" w:right="105" w:rightChars="50"/>
              <w:jc w:val="both"/>
              <w:rPr>
                <w:color w:val="auto"/>
                <w:highlight w:val="none"/>
              </w:rPr>
            </w:pPr>
            <w:r>
              <w:rPr>
                <w:rFonts w:hint="eastAsia"/>
                <w:color w:val="auto"/>
                <w:highlight w:val="none"/>
              </w:rPr>
              <w:t>已落实</w:t>
            </w:r>
          </w:p>
        </w:tc>
      </w:tr>
      <w:tr w14:paraId="2974DA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1169" w:type="dxa"/>
          </w:tcPr>
          <w:p w14:paraId="30FEC3B0">
            <w:pPr>
              <w:spacing w:before="213" w:line="288" w:lineRule="auto"/>
              <w:ind w:left="396"/>
              <w:rPr>
                <w:rFonts w:ascii="Times New Roman" w:hAnsi="Times New Roman" w:eastAsia="Times New Roman"/>
                <w:color w:val="auto"/>
                <w:spacing w:val="-8"/>
                <w:highlight w:val="none"/>
              </w:rPr>
            </w:pPr>
            <w:r>
              <w:rPr>
                <w:rFonts w:ascii="Times New Roman" w:hAnsi="Times New Roman" w:eastAsia="Times New Roman"/>
                <w:color w:val="auto"/>
                <w:spacing w:val="-8"/>
                <w:highlight w:val="none"/>
              </w:rPr>
              <w:t>1</w:t>
            </w:r>
            <w:r>
              <w:rPr>
                <w:rFonts w:ascii="Times New Roman" w:hAnsi="Times New Roman" w:eastAsia="Times New Roman"/>
                <w:color w:val="auto"/>
                <w:spacing w:val="-4"/>
                <w:highlight w:val="none"/>
              </w:rPr>
              <w:t>.3.1</w:t>
            </w:r>
          </w:p>
        </w:tc>
        <w:tc>
          <w:tcPr>
            <w:tcW w:w="3547" w:type="dxa"/>
          </w:tcPr>
          <w:p w14:paraId="00FA48CD">
            <w:pPr>
              <w:spacing w:before="174" w:line="288" w:lineRule="auto"/>
              <w:ind w:left="1536"/>
              <w:rPr>
                <w:rFonts w:ascii="宋体" w:hAnsi="宋体" w:eastAsia="宋体"/>
                <w:color w:val="auto"/>
                <w:spacing w:val="-2"/>
                <w:highlight w:val="none"/>
              </w:rPr>
            </w:pPr>
            <w:r>
              <w:rPr>
                <w:rFonts w:ascii="宋体" w:hAnsi="宋体" w:eastAsia="宋体"/>
                <w:color w:val="auto"/>
                <w:spacing w:val="-2"/>
                <w:highlight w:val="none"/>
              </w:rPr>
              <w:t>招标范</w:t>
            </w:r>
            <w:r>
              <w:rPr>
                <w:rFonts w:ascii="宋体" w:hAnsi="宋体" w:eastAsia="宋体"/>
                <w:color w:val="auto"/>
                <w:spacing w:val="-1"/>
                <w:highlight w:val="none"/>
              </w:rPr>
              <w:t>围</w:t>
            </w:r>
          </w:p>
        </w:tc>
        <w:tc>
          <w:tcPr>
            <w:tcW w:w="4610" w:type="dxa"/>
            <w:vAlign w:val="center"/>
          </w:tcPr>
          <w:p w14:paraId="0178649F">
            <w:pPr>
              <w:spacing w:line="288" w:lineRule="auto"/>
              <w:ind w:left="105" w:leftChars="50" w:right="105" w:rightChars="50"/>
              <w:jc w:val="both"/>
              <w:rPr>
                <w:color w:val="auto"/>
                <w:highlight w:val="none"/>
              </w:rPr>
            </w:pPr>
            <w:r>
              <w:rPr>
                <w:rFonts w:hint="eastAsia"/>
                <w:color w:val="auto"/>
                <w:highlight w:val="none"/>
              </w:rPr>
              <w:t>详见招标公告</w:t>
            </w:r>
          </w:p>
        </w:tc>
      </w:tr>
      <w:tr w14:paraId="44971E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1169" w:type="dxa"/>
          </w:tcPr>
          <w:p w14:paraId="7F397CC1">
            <w:pPr>
              <w:spacing w:before="213" w:line="288" w:lineRule="auto"/>
              <w:ind w:left="396"/>
              <w:rPr>
                <w:rFonts w:ascii="Times New Roman" w:hAnsi="Times New Roman" w:eastAsia="Times New Roman"/>
                <w:color w:val="auto"/>
                <w:spacing w:val="-8"/>
                <w:highlight w:val="none"/>
              </w:rPr>
            </w:pPr>
            <w:r>
              <w:rPr>
                <w:rFonts w:ascii="Times New Roman" w:hAnsi="Times New Roman" w:eastAsia="Times New Roman"/>
                <w:color w:val="auto"/>
                <w:spacing w:val="-8"/>
                <w:highlight w:val="none"/>
              </w:rPr>
              <w:t>1</w:t>
            </w:r>
            <w:r>
              <w:rPr>
                <w:rFonts w:ascii="Times New Roman" w:hAnsi="Times New Roman" w:eastAsia="Times New Roman"/>
                <w:color w:val="auto"/>
                <w:spacing w:val="-4"/>
                <w:highlight w:val="none"/>
              </w:rPr>
              <w:t>.3.2</w:t>
            </w:r>
          </w:p>
        </w:tc>
        <w:tc>
          <w:tcPr>
            <w:tcW w:w="3547" w:type="dxa"/>
          </w:tcPr>
          <w:p w14:paraId="796EC811">
            <w:pPr>
              <w:spacing w:before="174" w:line="288" w:lineRule="auto"/>
              <w:ind w:left="1328"/>
              <w:rPr>
                <w:rFonts w:ascii="宋体" w:hAnsi="宋体" w:eastAsia="宋体"/>
                <w:color w:val="auto"/>
                <w:spacing w:val="-1"/>
                <w:highlight w:val="none"/>
              </w:rPr>
            </w:pPr>
            <w:r>
              <w:rPr>
                <w:rFonts w:hint="eastAsia" w:ascii="宋体" w:hAnsi="宋体" w:eastAsia="宋体"/>
                <w:color w:val="auto"/>
                <w:spacing w:val="-1"/>
                <w:highlight w:val="none"/>
              </w:rPr>
              <w:t>设计</w:t>
            </w:r>
            <w:r>
              <w:rPr>
                <w:rFonts w:ascii="宋体" w:hAnsi="宋体" w:eastAsia="宋体"/>
                <w:color w:val="auto"/>
                <w:spacing w:val="-1"/>
                <w:highlight w:val="none"/>
              </w:rPr>
              <w:t>服务</w:t>
            </w:r>
            <w:r>
              <w:rPr>
                <w:rFonts w:ascii="宋体" w:hAnsi="宋体" w:eastAsia="宋体"/>
                <w:color w:val="auto"/>
                <w:highlight w:val="none"/>
              </w:rPr>
              <w:t>期限</w:t>
            </w:r>
          </w:p>
        </w:tc>
        <w:tc>
          <w:tcPr>
            <w:tcW w:w="4610" w:type="dxa"/>
            <w:vAlign w:val="center"/>
          </w:tcPr>
          <w:p w14:paraId="122F936D">
            <w:pPr>
              <w:spacing w:line="288" w:lineRule="auto"/>
              <w:ind w:left="105" w:leftChars="50" w:right="105" w:rightChars="50"/>
              <w:jc w:val="both"/>
              <w:rPr>
                <w:color w:val="auto"/>
                <w:highlight w:val="none"/>
              </w:rPr>
            </w:pPr>
            <w:r>
              <w:rPr>
                <w:rFonts w:hint="eastAsia"/>
                <w:color w:val="auto"/>
                <w:highlight w:val="none"/>
              </w:rPr>
              <w:t>详见招标公告</w:t>
            </w:r>
          </w:p>
        </w:tc>
      </w:tr>
      <w:tr w14:paraId="1E734A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169" w:type="dxa"/>
          </w:tcPr>
          <w:p w14:paraId="1D4E551C">
            <w:pPr>
              <w:spacing w:before="213" w:line="288" w:lineRule="auto"/>
              <w:ind w:left="396"/>
              <w:rPr>
                <w:rFonts w:ascii="Times New Roman" w:hAnsi="Times New Roman" w:eastAsia="Times New Roman"/>
                <w:color w:val="auto"/>
                <w:spacing w:val="-8"/>
                <w:highlight w:val="none"/>
              </w:rPr>
            </w:pPr>
            <w:r>
              <w:rPr>
                <w:rFonts w:ascii="Times New Roman" w:hAnsi="Times New Roman" w:eastAsia="Times New Roman"/>
                <w:color w:val="auto"/>
                <w:spacing w:val="-8"/>
                <w:highlight w:val="none"/>
              </w:rPr>
              <w:t>1</w:t>
            </w:r>
            <w:r>
              <w:rPr>
                <w:rFonts w:ascii="Times New Roman" w:hAnsi="Times New Roman" w:eastAsia="Times New Roman"/>
                <w:color w:val="auto"/>
                <w:spacing w:val="-4"/>
                <w:highlight w:val="none"/>
              </w:rPr>
              <w:t>.3.3</w:t>
            </w:r>
          </w:p>
        </w:tc>
        <w:tc>
          <w:tcPr>
            <w:tcW w:w="3547" w:type="dxa"/>
          </w:tcPr>
          <w:p w14:paraId="1019E425">
            <w:pPr>
              <w:spacing w:before="174" w:line="288" w:lineRule="auto"/>
              <w:ind w:left="1536"/>
              <w:rPr>
                <w:rFonts w:ascii="宋体" w:hAnsi="宋体" w:eastAsia="宋体"/>
                <w:color w:val="auto"/>
                <w:spacing w:val="-2"/>
                <w:highlight w:val="none"/>
              </w:rPr>
            </w:pPr>
            <w:r>
              <w:rPr>
                <w:rFonts w:ascii="宋体" w:hAnsi="宋体" w:eastAsia="宋体"/>
                <w:color w:val="auto"/>
                <w:spacing w:val="-2"/>
                <w:highlight w:val="none"/>
              </w:rPr>
              <w:t>质量标</w:t>
            </w:r>
            <w:r>
              <w:rPr>
                <w:rFonts w:ascii="宋体" w:hAnsi="宋体" w:eastAsia="宋体"/>
                <w:color w:val="auto"/>
                <w:spacing w:val="-1"/>
                <w:highlight w:val="none"/>
              </w:rPr>
              <w:t>准</w:t>
            </w:r>
          </w:p>
        </w:tc>
        <w:tc>
          <w:tcPr>
            <w:tcW w:w="4610" w:type="dxa"/>
            <w:vAlign w:val="center"/>
          </w:tcPr>
          <w:p w14:paraId="3EA86D3D">
            <w:pPr>
              <w:spacing w:line="288" w:lineRule="auto"/>
              <w:ind w:left="105" w:leftChars="50" w:right="105" w:rightChars="50"/>
              <w:jc w:val="both"/>
              <w:rPr>
                <w:rFonts w:eastAsia="宋体"/>
                <w:color w:val="auto"/>
                <w:highlight w:val="none"/>
              </w:rPr>
            </w:pPr>
            <w:r>
              <w:rPr>
                <w:rFonts w:hint="eastAsia" w:eastAsia="宋体"/>
                <w:color w:val="auto"/>
                <w:highlight w:val="none"/>
              </w:rPr>
              <w:t>须满足国家相关规范及合同要求</w:t>
            </w:r>
          </w:p>
        </w:tc>
      </w:tr>
      <w:tr w14:paraId="6777BE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1" w:hRule="atLeast"/>
        </w:trPr>
        <w:tc>
          <w:tcPr>
            <w:tcW w:w="1169" w:type="dxa"/>
          </w:tcPr>
          <w:p w14:paraId="79D0FF84">
            <w:pPr>
              <w:spacing w:before="213" w:line="288" w:lineRule="auto"/>
              <w:ind w:left="396"/>
              <w:rPr>
                <w:rFonts w:ascii="Times New Roman" w:hAnsi="Times New Roman" w:eastAsia="Times New Roman"/>
                <w:color w:val="auto"/>
                <w:spacing w:val="-8"/>
                <w:highlight w:val="none"/>
              </w:rPr>
            </w:pPr>
            <w:r>
              <w:rPr>
                <w:rFonts w:ascii="Times New Roman" w:hAnsi="Times New Roman" w:eastAsia="Times New Roman"/>
                <w:color w:val="auto"/>
                <w:spacing w:val="-8"/>
                <w:highlight w:val="none"/>
              </w:rPr>
              <w:t>1</w:t>
            </w:r>
            <w:r>
              <w:rPr>
                <w:rFonts w:ascii="Times New Roman" w:hAnsi="Times New Roman" w:eastAsia="Times New Roman"/>
                <w:color w:val="auto"/>
                <w:spacing w:val="-4"/>
                <w:highlight w:val="none"/>
              </w:rPr>
              <w:t>.4.1</w:t>
            </w:r>
          </w:p>
        </w:tc>
        <w:tc>
          <w:tcPr>
            <w:tcW w:w="3547" w:type="dxa"/>
          </w:tcPr>
          <w:p w14:paraId="534A2E70">
            <w:pPr>
              <w:spacing w:before="174" w:line="288" w:lineRule="auto"/>
              <w:jc w:val="center"/>
              <w:rPr>
                <w:rFonts w:ascii="宋体" w:hAnsi="宋体" w:eastAsia="宋体"/>
                <w:color w:val="auto"/>
                <w:spacing w:val="-1"/>
                <w:highlight w:val="none"/>
              </w:rPr>
            </w:pPr>
            <w:r>
              <w:rPr>
                <w:rFonts w:ascii="宋体" w:hAnsi="宋体" w:eastAsia="宋体"/>
                <w:color w:val="auto"/>
                <w:spacing w:val="-1"/>
                <w:highlight w:val="none"/>
              </w:rPr>
              <w:t>投标人资质条件、能力</w:t>
            </w:r>
            <w:r>
              <w:rPr>
                <w:rFonts w:ascii="宋体" w:hAnsi="宋体" w:eastAsia="宋体"/>
                <w:color w:val="auto"/>
                <w:highlight w:val="none"/>
              </w:rPr>
              <w:t>、信誉</w:t>
            </w:r>
          </w:p>
        </w:tc>
        <w:tc>
          <w:tcPr>
            <w:tcW w:w="4610" w:type="dxa"/>
            <w:vAlign w:val="center"/>
          </w:tcPr>
          <w:p w14:paraId="6C7EA49F">
            <w:pPr>
              <w:spacing w:line="288" w:lineRule="auto"/>
              <w:ind w:left="105" w:leftChars="50" w:right="105" w:rightChars="50"/>
              <w:jc w:val="both"/>
              <w:rPr>
                <w:color w:val="auto"/>
                <w:highlight w:val="none"/>
              </w:rPr>
            </w:pPr>
            <w:r>
              <w:rPr>
                <w:rFonts w:hint="eastAsia"/>
                <w:color w:val="auto"/>
                <w:highlight w:val="none"/>
              </w:rPr>
              <w:t>详</w:t>
            </w:r>
            <w:bookmarkStart w:id="74" w:name="_Toc221950015"/>
            <w:r>
              <w:rPr>
                <w:rFonts w:hint="eastAsia"/>
                <w:color w:val="auto"/>
                <w:highlight w:val="none"/>
              </w:rPr>
              <w:t>见本项目招</w:t>
            </w:r>
            <w:bookmarkEnd w:id="74"/>
            <w:r>
              <w:rPr>
                <w:rFonts w:hint="eastAsia"/>
                <w:color w:val="auto"/>
                <w:highlight w:val="none"/>
              </w:rPr>
              <w:t>标公告</w:t>
            </w:r>
          </w:p>
        </w:tc>
      </w:tr>
      <w:tr w14:paraId="7D3ED9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2" w:hRule="atLeast"/>
        </w:trPr>
        <w:tc>
          <w:tcPr>
            <w:tcW w:w="1169" w:type="dxa"/>
          </w:tcPr>
          <w:p w14:paraId="65EED900">
            <w:pPr>
              <w:spacing w:line="288" w:lineRule="auto"/>
              <w:rPr>
                <w:color w:val="auto"/>
                <w:highlight w:val="none"/>
              </w:rPr>
            </w:pPr>
          </w:p>
          <w:p w14:paraId="75DAC8BD">
            <w:pPr>
              <w:spacing w:before="61" w:line="288" w:lineRule="auto"/>
              <w:ind w:left="396"/>
              <w:rPr>
                <w:rFonts w:ascii="Times New Roman" w:hAnsi="Times New Roman" w:eastAsia="Times New Roman"/>
                <w:color w:val="auto"/>
                <w:spacing w:val="-7"/>
                <w:highlight w:val="none"/>
              </w:rPr>
            </w:pPr>
            <w:r>
              <w:rPr>
                <w:rFonts w:ascii="Times New Roman" w:hAnsi="Times New Roman" w:eastAsia="Times New Roman"/>
                <w:color w:val="auto"/>
                <w:spacing w:val="-7"/>
                <w:highlight w:val="none"/>
              </w:rPr>
              <w:t>1</w:t>
            </w:r>
            <w:r>
              <w:rPr>
                <w:rFonts w:ascii="Times New Roman" w:hAnsi="Times New Roman" w:eastAsia="Times New Roman"/>
                <w:color w:val="auto"/>
                <w:spacing w:val="-4"/>
                <w:highlight w:val="none"/>
              </w:rPr>
              <w:t>.4.2</w:t>
            </w:r>
          </w:p>
        </w:tc>
        <w:tc>
          <w:tcPr>
            <w:tcW w:w="3547" w:type="dxa"/>
            <w:vAlign w:val="center"/>
          </w:tcPr>
          <w:p w14:paraId="1BAB4AD3">
            <w:pPr>
              <w:spacing w:before="68" w:line="288" w:lineRule="auto"/>
              <w:ind w:left="1014"/>
              <w:jc w:val="both"/>
              <w:rPr>
                <w:rFonts w:ascii="宋体" w:hAnsi="宋体" w:eastAsia="宋体"/>
                <w:color w:val="auto"/>
                <w:spacing w:val="-2"/>
                <w:highlight w:val="none"/>
              </w:rPr>
            </w:pPr>
            <w:r>
              <w:rPr>
                <w:rFonts w:ascii="宋体" w:hAnsi="宋体" w:eastAsia="宋体"/>
                <w:color w:val="auto"/>
                <w:spacing w:val="-2"/>
                <w:highlight w:val="none"/>
              </w:rPr>
              <w:t>是否</w:t>
            </w:r>
            <w:r>
              <w:rPr>
                <w:rFonts w:ascii="宋体" w:hAnsi="宋体" w:eastAsia="宋体"/>
                <w:color w:val="auto"/>
                <w:spacing w:val="-1"/>
                <w:highlight w:val="none"/>
              </w:rPr>
              <w:t>接受联合体投标</w:t>
            </w:r>
          </w:p>
        </w:tc>
        <w:tc>
          <w:tcPr>
            <w:tcW w:w="4610" w:type="dxa"/>
          </w:tcPr>
          <w:p w14:paraId="0E617479">
            <w:pPr>
              <w:spacing w:before="171" w:line="288" w:lineRule="auto"/>
              <w:ind w:left="105" w:leftChars="50" w:right="105" w:rightChars="50"/>
              <w:rPr>
                <w:color w:val="auto"/>
                <w:highlight w:val="none"/>
              </w:rPr>
            </w:pPr>
            <w:r>
              <w:rPr>
                <w:rFonts w:hint="eastAsia" w:eastAsia="宋体"/>
                <w:color w:val="auto"/>
                <w:highlight w:val="none"/>
              </w:rPr>
              <w:t>☑</w:t>
            </w:r>
            <w:r>
              <w:rPr>
                <w:b/>
                <w:bCs/>
                <w:color w:val="auto"/>
                <w:highlight w:val="none"/>
              </w:rPr>
              <w:t>不接受</w:t>
            </w:r>
          </w:p>
          <w:p w14:paraId="6AB52E0E">
            <w:pPr>
              <w:spacing w:before="183" w:line="288" w:lineRule="auto"/>
              <w:ind w:left="105" w:leftChars="50" w:right="105" w:rightChars="50"/>
              <w:rPr>
                <w:color w:val="auto"/>
                <w:highlight w:val="none"/>
              </w:rPr>
            </w:pPr>
            <w:r>
              <w:rPr>
                <w:color w:val="auto"/>
                <w:highlight w:val="none"/>
              </w:rPr>
              <w:sym w:font="Wingdings 2" w:char="00A3"/>
            </w:r>
            <w:r>
              <w:rPr>
                <w:color w:val="auto"/>
                <w:highlight w:val="none"/>
              </w:rPr>
              <w:t>接受，应满足下列要求：</w:t>
            </w:r>
          </w:p>
        </w:tc>
      </w:tr>
      <w:tr w14:paraId="308CC5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169" w:type="dxa"/>
          </w:tcPr>
          <w:p w14:paraId="5BB98912">
            <w:pPr>
              <w:spacing w:before="211" w:line="288" w:lineRule="auto"/>
              <w:ind w:left="396"/>
              <w:rPr>
                <w:rFonts w:ascii="Times New Roman" w:hAnsi="Times New Roman" w:eastAsia="Times New Roman"/>
                <w:color w:val="auto"/>
                <w:spacing w:val="-8"/>
                <w:highlight w:val="none"/>
              </w:rPr>
            </w:pPr>
            <w:r>
              <w:rPr>
                <w:rFonts w:ascii="Times New Roman" w:hAnsi="Times New Roman" w:eastAsia="Times New Roman"/>
                <w:color w:val="auto"/>
                <w:spacing w:val="-8"/>
                <w:highlight w:val="none"/>
              </w:rPr>
              <w:t>1</w:t>
            </w:r>
            <w:r>
              <w:rPr>
                <w:rFonts w:ascii="Times New Roman" w:hAnsi="Times New Roman" w:eastAsia="Times New Roman"/>
                <w:color w:val="auto"/>
                <w:spacing w:val="-4"/>
                <w:highlight w:val="none"/>
              </w:rPr>
              <w:t>.4.3</w:t>
            </w:r>
          </w:p>
        </w:tc>
        <w:tc>
          <w:tcPr>
            <w:tcW w:w="3547" w:type="dxa"/>
          </w:tcPr>
          <w:p w14:paraId="6CFC6831">
            <w:pPr>
              <w:spacing w:before="160" w:line="288" w:lineRule="auto"/>
              <w:ind w:left="697"/>
              <w:rPr>
                <w:rFonts w:ascii="宋体" w:hAnsi="宋体" w:eastAsia="宋体"/>
                <w:color w:val="auto"/>
                <w:spacing w:val="-1"/>
                <w:highlight w:val="none"/>
              </w:rPr>
            </w:pPr>
            <w:r>
              <w:rPr>
                <w:rFonts w:ascii="宋体" w:hAnsi="宋体" w:eastAsia="宋体"/>
                <w:color w:val="auto"/>
                <w:spacing w:val="-1"/>
                <w:highlight w:val="none"/>
              </w:rPr>
              <w:t>投标人不得存在的其他</w:t>
            </w:r>
            <w:r>
              <w:rPr>
                <w:rFonts w:ascii="宋体" w:hAnsi="宋体" w:eastAsia="宋体"/>
                <w:color w:val="auto"/>
                <w:highlight w:val="none"/>
              </w:rPr>
              <w:t>情形</w:t>
            </w:r>
          </w:p>
        </w:tc>
        <w:tc>
          <w:tcPr>
            <w:tcW w:w="4610" w:type="dxa"/>
            <w:vAlign w:val="center"/>
          </w:tcPr>
          <w:p w14:paraId="4AA7EA82">
            <w:pPr>
              <w:spacing w:line="288" w:lineRule="auto"/>
              <w:ind w:left="105" w:leftChars="50" w:right="105" w:rightChars="50"/>
              <w:rPr>
                <w:rFonts w:eastAsia="宋体"/>
                <w:color w:val="auto"/>
                <w:highlight w:val="none"/>
              </w:rPr>
            </w:pPr>
            <w:r>
              <w:rPr>
                <w:rFonts w:hint="eastAsia" w:eastAsia="宋体"/>
                <w:color w:val="auto"/>
                <w:highlight w:val="none"/>
              </w:rPr>
              <w:t>无</w:t>
            </w:r>
          </w:p>
        </w:tc>
      </w:tr>
      <w:tr w14:paraId="1D0373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0" w:hRule="atLeast"/>
        </w:trPr>
        <w:tc>
          <w:tcPr>
            <w:tcW w:w="1169" w:type="dxa"/>
          </w:tcPr>
          <w:p w14:paraId="63246A3D">
            <w:pPr>
              <w:spacing w:line="288" w:lineRule="auto"/>
              <w:rPr>
                <w:color w:val="auto"/>
                <w:highlight w:val="none"/>
              </w:rPr>
            </w:pPr>
          </w:p>
          <w:p w14:paraId="3E90DEF9">
            <w:pPr>
              <w:spacing w:line="288" w:lineRule="auto"/>
              <w:rPr>
                <w:color w:val="auto"/>
                <w:highlight w:val="none"/>
              </w:rPr>
            </w:pPr>
          </w:p>
          <w:p w14:paraId="40D5719D">
            <w:pPr>
              <w:spacing w:before="61" w:line="288" w:lineRule="auto"/>
              <w:ind w:left="396"/>
              <w:rPr>
                <w:rFonts w:ascii="Times New Roman" w:hAnsi="Times New Roman" w:eastAsia="Times New Roman"/>
                <w:color w:val="auto"/>
                <w:spacing w:val="-8"/>
                <w:highlight w:val="none"/>
              </w:rPr>
            </w:pPr>
            <w:r>
              <w:rPr>
                <w:rFonts w:ascii="Times New Roman" w:hAnsi="Times New Roman" w:eastAsia="Times New Roman"/>
                <w:color w:val="auto"/>
                <w:spacing w:val="-8"/>
                <w:highlight w:val="none"/>
              </w:rPr>
              <w:t>1</w:t>
            </w:r>
            <w:r>
              <w:rPr>
                <w:rFonts w:ascii="Times New Roman" w:hAnsi="Times New Roman" w:eastAsia="Times New Roman"/>
                <w:color w:val="auto"/>
                <w:spacing w:val="-4"/>
                <w:highlight w:val="none"/>
              </w:rPr>
              <w:t>.9.1</w:t>
            </w:r>
          </w:p>
        </w:tc>
        <w:tc>
          <w:tcPr>
            <w:tcW w:w="3547" w:type="dxa"/>
          </w:tcPr>
          <w:p w14:paraId="4F8975BD">
            <w:pPr>
              <w:spacing w:line="288" w:lineRule="auto"/>
              <w:rPr>
                <w:color w:val="auto"/>
                <w:highlight w:val="none"/>
              </w:rPr>
            </w:pPr>
          </w:p>
          <w:p w14:paraId="23EC119C">
            <w:pPr>
              <w:spacing w:before="69" w:line="288" w:lineRule="auto"/>
              <w:ind w:left="1536"/>
              <w:rPr>
                <w:rFonts w:ascii="宋体" w:hAnsi="宋体" w:eastAsia="宋体"/>
                <w:color w:val="auto"/>
                <w:spacing w:val="-2"/>
                <w:highlight w:val="none"/>
              </w:rPr>
            </w:pPr>
            <w:r>
              <w:rPr>
                <w:rFonts w:ascii="宋体" w:hAnsi="宋体" w:eastAsia="宋体"/>
                <w:color w:val="auto"/>
                <w:spacing w:val="-2"/>
                <w:highlight w:val="none"/>
              </w:rPr>
              <w:t>踏勘现</w:t>
            </w:r>
            <w:r>
              <w:rPr>
                <w:rFonts w:ascii="宋体" w:hAnsi="宋体" w:eastAsia="宋体"/>
                <w:color w:val="auto"/>
                <w:spacing w:val="-1"/>
                <w:highlight w:val="none"/>
              </w:rPr>
              <w:t>场</w:t>
            </w:r>
          </w:p>
        </w:tc>
        <w:tc>
          <w:tcPr>
            <w:tcW w:w="4610" w:type="dxa"/>
          </w:tcPr>
          <w:p w14:paraId="74CA8BB1">
            <w:pPr>
              <w:spacing w:line="288" w:lineRule="auto"/>
              <w:ind w:left="105" w:leftChars="50" w:right="105" w:rightChars="50"/>
              <w:rPr>
                <w:color w:val="auto"/>
                <w:highlight w:val="none"/>
              </w:rPr>
            </w:pPr>
            <w:r>
              <w:rPr>
                <w:rFonts w:hint="eastAsia"/>
                <w:color w:val="auto"/>
                <w:highlight w:val="none"/>
              </w:rPr>
              <w:t>招标人不集中组织，由投标人自行踏勘；</w:t>
            </w:r>
          </w:p>
          <w:p w14:paraId="61897BF5">
            <w:pPr>
              <w:spacing w:line="288" w:lineRule="auto"/>
              <w:ind w:left="105" w:leftChars="50" w:right="105" w:rightChars="50"/>
              <w:rPr>
                <w:color w:val="auto"/>
                <w:highlight w:val="none"/>
              </w:rPr>
            </w:pPr>
            <w:r>
              <w:rPr>
                <w:rFonts w:hint="eastAsia"/>
                <w:color w:val="auto"/>
                <w:highlight w:val="none"/>
              </w:rPr>
              <w:t>时间</w:t>
            </w:r>
            <w:bookmarkStart w:id="75" w:name="_Toc221950042"/>
            <w:r>
              <w:rPr>
                <w:rFonts w:hint="eastAsia"/>
                <w:color w:val="auto"/>
                <w:highlight w:val="none"/>
              </w:rPr>
              <w:t>：自</w:t>
            </w:r>
            <w:r>
              <w:rPr>
                <w:rFonts w:hint="eastAsia" w:eastAsia="宋体"/>
                <w:color w:val="auto"/>
                <w:highlight w:val="none"/>
              </w:rPr>
              <w:t>/</w:t>
            </w:r>
            <w:r>
              <w:rPr>
                <w:rFonts w:hint="eastAsia"/>
                <w:color w:val="auto"/>
                <w:highlight w:val="none"/>
              </w:rPr>
              <w:t>年</w:t>
            </w:r>
            <w:r>
              <w:rPr>
                <w:rFonts w:hint="eastAsia" w:eastAsia="宋体"/>
                <w:color w:val="auto"/>
                <w:highlight w:val="none"/>
                <w:u w:val="single"/>
              </w:rPr>
              <w:t>/</w:t>
            </w:r>
            <w:r>
              <w:rPr>
                <w:rFonts w:hint="eastAsia"/>
                <w:color w:val="auto"/>
                <w:highlight w:val="none"/>
              </w:rPr>
              <w:t>月</w:t>
            </w:r>
            <w:r>
              <w:rPr>
                <w:rFonts w:hint="eastAsia" w:eastAsia="宋体"/>
                <w:color w:val="auto"/>
                <w:highlight w:val="none"/>
              </w:rPr>
              <w:t>/</w:t>
            </w:r>
            <w:r>
              <w:rPr>
                <w:rFonts w:hint="eastAsia"/>
                <w:color w:val="auto"/>
                <w:highlight w:val="none"/>
              </w:rPr>
              <w:t>日起具备现场踏勘条</w:t>
            </w:r>
            <w:bookmarkEnd w:id="75"/>
            <w:r>
              <w:rPr>
                <w:rFonts w:hint="eastAsia"/>
                <w:color w:val="auto"/>
                <w:highlight w:val="none"/>
              </w:rPr>
              <w:t>件；</w:t>
            </w:r>
          </w:p>
          <w:p w14:paraId="5B8F3B9B">
            <w:pPr>
              <w:spacing w:before="144" w:line="288" w:lineRule="auto"/>
              <w:ind w:left="105" w:leftChars="50" w:right="105" w:rightChars="50"/>
              <w:rPr>
                <w:color w:val="auto"/>
                <w:highlight w:val="none"/>
              </w:rPr>
            </w:pPr>
            <w:r>
              <w:rPr>
                <w:rFonts w:hint="eastAsia"/>
                <w:color w:val="auto"/>
                <w:highlight w:val="none"/>
              </w:rPr>
              <w:t>现场详细地</w:t>
            </w:r>
            <w:bookmarkStart w:id="76" w:name="_Toc221950044"/>
            <w:r>
              <w:rPr>
                <w:rFonts w:hint="eastAsia"/>
                <w:color w:val="auto"/>
                <w:highlight w:val="none"/>
              </w:rPr>
              <w:t>点：</w:t>
            </w:r>
            <w:r>
              <w:rPr>
                <w:rFonts w:hint="eastAsia" w:eastAsia="宋体"/>
                <w:color w:val="auto"/>
                <w:highlight w:val="none"/>
                <w:u w:val="single"/>
              </w:rPr>
              <w:t xml:space="preserve"> </w:t>
            </w:r>
            <w:bookmarkEnd w:id="76"/>
            <w:r>
              <w:rPr>
                <w:rFonts w:hint="eastAsia" w:eastAsia="宋体"/>
                <w:color w:val="auto"/>
                <w:highlight w:val="none"/>
                <w:u w:val="single"/>
              </w:rPr>
              <w:t xml:space="preserve"> /  </w:t>
            </w:r>
            <w:r>
              <w:rPr>
                <w:rFonts w:hint="eastAsia"/>
                <w:color w:val="auto"/>
                <w:highlight w:val="none"/>
              </w:rPr>
              <w:t>；</w:t>
            </w:r>
          </w:p>
        </w:tc>
      </w:tr>
      <w:tr w14:paraId="3CED81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8" w:hRule="atLeast"/>
        </w:trPr>
        <w:tc>
          <w:tcPr>
            <w:tcW w:w="1169" w:type="dxa"/>
          </w:tcPr>
          <w:p w14:paraId="4E6D4437">
            <w:pPr>
              <w:spacing w:line="288" w:lineRule="auto"/>
              <w:rPr>
                <w:color w:val="auto"/>
                <w:highlight w:val="none"/>
              </w:rPr>
            </w:pPr>
          </w:p>
          <w:p w14:paraId="53C74C32">
            <w:pPr>
              <w:spacing w:line="288" w:lineRule="auto"/>
              <w:rPr>
                <w:color w:val="auto"/>
                <w:highlight w:val="none"/>
              </w:rPr>
            </w:pPr>
          </w:p>
          <w:p w14:paraId="4D7B8629">
            <w:pPr>
              <w:spacing w:before="60" w:line="288" w:lineRule="auto"/>
              <w:ind w:left="343"/>
              <w:rPr>
                <w:rFonts w:ascii="Times New Roman" w:hAnsi="Times New Roman" w:eastAsia="Times New Roman"/>
                <w:color w:val="auto"/>
                <w:spacing w:val="-5"/>
                <w:highlight w:val="none"/>
              </w:rPr>
            </w:pPr>
            <w:r>
              <w:rPr>
                <w:rFonts w:ascii="Times New Roman" w:hAnsi="Times New Roman" w:eastAsia="Times New Roman"/>
                <w:color w:val="auto"/>
                <w:spacing w:val="-5"/>
                <w:highlight w:val="none"/>
              </w:rPr>
              <w:t>1</w:t>
            </w:r>
            <w:r>
              <w:rPr>
                <w:rFonts w:ascii="Times New Roman" w:hAnsi="Times New Roman" w:eastAsia="Times New Roman"/>
                <w:color w:val="auto"/>
                <w:spacing w:val="-4"/>
                <w:highlight w:val="none"/>
              </w:rPr>
              <w:t>.10.1</w:t>
            </w:r>
          </w:p>
        </w:tc>
        <w:tc>
          <w:tcPr>
            <w:tcW w:w="3547" w:type="dxa"/>
          </w:tcPr>
          <w:p w14:paraId="07F5F8A0">
            <w:pPr>
              <w:spacing w:line="288" w:lineRule="auto"/>
              <w:rPr>
                <w:color w:val="auto"/>
                <w:highlight w:val="none"/>
              </w:rPr>
            </w:pPr>
          </w:p>
          <w:p w14:paraId="5A58C023">
            <w:pPr>
              <w:spacing w:line="288" w:lineRule="auto"/>
              <w:rPr>
                <w:color w:val="auto"/>
                <w:highlight w:val="none"/>
              </w:rPr>
            </w:pPr>
          </w:p>
          <w:p w14:paraId="6052E0ED">
            <w:pPr>
              <w:spacing w:before="68" w:line="288" w:lineRule="auto"/>
              <w:ind w:left="1433"/>
              <w:rPr>
                <w:rFonts w:ascii="宋体" w:hAnsi="宋体" w:eastAsia="宋体"/>
                <w:color w:val="auto"/>
                <w:spacing w:val="-2"/>
                <w:highlight w:val="none"/>
              </w:rPr>
            </w:pPr>
            <w:r>
              <w:rPr>
                <w:rFonts w:ascii="宋体" w:hAnsi="宋体" w:eastAsia="宋体"/>
                <w:color w:val="auto"/>
                <w:spacing w:val="-2"/>
                <w:highlight w:val="none"/>
              </w:rPr>
              <w:t>投标预备</w:t>
            </w:r>
            <w:r>
              <w:rPr>
                <w:rFonts w:ascii="宋体" w:hAnsi="宋体" w:eastAsia="宋体"/>
                <w:color w:val="auto"/>
                <w:spacing w:val="-1"/>
                <w:highlight w:val="none"/>
              </w:rPr>
              <w:t>会</w:t>
            </w:r>
          </w:p>
        </w:tc>
        <w:tc>
          <w:tcPr>
            <w:tcW w:w="4610" w:type="dxa"/>
          </w:tcPr>
          <w:p w14:paraId="4E2C1EEE">
            <w:pPr>
              <w:pStyle w:val="32"/>
              <w:spacing w:before="48" w:after="48" w:line="288" w:lineRule="auto"/>
              <w:ind w:left="105" w:leftChars="50" w:right="105" w:rightChars="50"/>
              <w:rPr>
                <w:rFonts w:ascii="宋体" w:hAnsi="宋体" w:eastAsia="宋体"/>
                <w:color w:val="auto"/>
                <w:sz w:val="21"/>
                <w:szCs w:val="21"/>
                <w:highlight w:val="none"/>
              </w:rPr>
            </w:pPr>
            <w:r>
              <w:rPr>
                <w:rFonts w:hint="eastAsia" w:ascii="宋体" w:hAnsi="宋体" w:eastAsia="宋体"/>
                <w:color w:val="auto"/>
                <w:sz w:val="21"/>
                <w:szCs w:val="21"/>
                <w:highlight w:val="none"/>
              </w:rPr>
              <w:t>☑不召开</w:t>
            </w:r>
          </w:p>
          <w:p w14:paraId="47B11A41">
            <w:pPr>
              <w:spacing w:before="48" w:after="48" w:line="288" w:lineRule="auto"/>
              <w:ind w:left="105" w:leftChars="50" w:right="105" w:rightChars="50"/>
              <w:rPr>
                <w:rFonts w:ascii="宋体" w:hAnsi="宋体"/>
                <w:color w:val="auto"/>
                <w:highlight w:val="none"/>
              </w:rPr>
            </w:pPr>
            <w:r>
              <w:rPr>
                <w:rFonts w:hint="eastAsia" w:ascii="宋体" w:hAnsi="宋体"/>
                <w:color w:val="auto"/>
                <w:highlight w:val="none"/>
              </w:rPr>
              <w:sym w:font="Wingdings 2" w:char="F0A3"/>
            </w:r>
            <w:r>
              <w:rPr>
                <w:rFonts w:hint="eastAsia" w:ascii="宋体" w:hAnsi="宋体"/>
                <w:color w:val="auto"/>
                <w:highlight w:val="none"/>
              </w:rPr>
              <w:t>召开，召开时间：</w:t>
            </w:r>
          </w:p>
          <w:p w14:paraId="607C92DC">
            <w:pPr>
              <w:spacing w:before="173" w:line="288" w:lineRule="auto"/>
              <w:ind w:left="105" w:leftChars="50" w:right="105" w:rightChars="50" w:firstLine="840" w:firstLineChars="400"/>
              <w:rPr>
                <w:rFonts w:ascii="宋体" w:hAnsi="宋体"/>
                <w:color w:val="auto"/>
                <w:highlight w:val="none"/>
              </w:rPr>
            </w:pPr>
            <w:r>
              <w:rPr>
                <w:rFonts w:hint="eastAsia" w:ascii="宋体" w:hAnsi="宋体"/>
                <w:color w:val="auto"/>
                <w:highlight w:val="none"/>
              </w:rPr>
              <w:t>召开地点：</w:t>
            </w:r>
          </w:p>
        </w:tc>
      </w:tr>
      <w:tr w14:paraId="4BB9F0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1169" w:type="dxa"/>
            <w:vMerge w:val="restart"/>
            <w:vAlign w:val="center"/>
          </w:tcPr>
          <w:p w14:paraId="177C5A46">
            <w:pPr>
              <w:spacing w:before="60" w:line="288" w:lineRule="auto"/>
              <w:jc w:val="center"/>
              <w:rPr>
                <w:rFonts w:ascii="Times New Roman" w:hAnsi="Times New Roman" w:eastAsia="Times New Roman"/>
                <w:color w:val="auto"/>
                <w:spacing w:val="-5"/>
                <w:highlight w:val="none"/>
              </w:rPr>
            </w:pPr>
            <w:r>
              <w:rPr>
                <w:rFonts w:hint="eastAsia" w:ascii="Times New Roman" w:hAnsi="Times New Roman" w:eastAsia="Times New Roman"/>
                <w:color w:val="auto"/>
                <w:spacing w:val="-5"/>
                <w:highlight w:val="none"/>
              </w:rPr>
              <w:t>1.10.2</w:t>
            </w:r>
          </w:p>
        </w:tc>
        <w:tc>
          <w:tcPr>
            <w:tcW w:w="3547" w:type="dxa"/>
            <w:vMerge w:val="restart"/>
            <w:vAlign w:val="center"/>
          </w:tcPr>
          <w:p w14:paraId="1E03A382">
            <w:pPr>
              <w:spacing w:before="68" w:line="288" w:lineRule="auto"/>
              <w:ind w:left="220"/>
              <w:jc w:val="center"/>
              <w:rPr>
                <w:rFonts w:ascii="宋体" w:hAnsi="宋体"/>
                <w:color w:val="auto"/>
                <w:highlight w:val="none"/>
              </w:rPr>
            </w:pPr>
            <w:r>
              <w:rPr>
                <w:rFonts w:hint="eastAsia" w:ascii="宋体" w:hAnsi="宋体"/>
                <w:color w:val="auto"/>
                <w:highlight w:val="none"/>
              </w:rPr>
              <w:t>投标人在投标预备会前提出问题</w:t>
            </w:r>
          </w:p>
        </w:tc>
        <w:tc>
          <w:tcPr>
            <w:tcW w:w="4610" w:type="dxa"/>
            <w:vAlign w:val="center"/>
          </w:tcPr>
          <w:p w14:paraId="2A3C1382">
            <w:pPr>
              <w:widowControl w:val="0"/>
              <w:kinsoku/>
              <w:autoSpaceDE/>
              <w:autoSpaceDN/>
              <w:snapToGrid/>
              <w:spacing w:before="48" w:after="48" w:line="288" w:lineRule="auto"/>
              <w:ind w:left="105" w:leftChars="50" w:right="105" w:rightChars="50"/>
              <w:rPr>
                <w:rFonts w:ascii="宋体" w:hAnsi="宋体" w:eastAsia="宋体"/>
                <w:color w:val="auto"/>
                <w:highlight w:val="none"/>
              </w:rPr>
            </w:pPr>
            <w:r>
              <w:rPr>
                <w:rFonts w:hint="eastAsia" w:ascii="宋体" w:hAnsi="宋体" w:eastAsia="宋体"/>
                <w:color w:val="auto"/>
                <w:highlight w:val="none"/>
              </w:rPr>
              <w:t>时间： /</w:t>
            </w:r>
          </w:p>
        </w:tc>
      </w:tr>
      <w:tr w14:paraId="2C333F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3" w:hRule="atLeast"/>
        </w:trPr>
        <w:tc>
          <w:tcPr>
            <w:tcW w:w="1169" w:type="dxa"/>
            <w:vMerge w:val="continue"/>
          </w:tcPr>
          <w:p w14:paraId="58F300CB">
            <w:pPr>
              <w:spacing w:before="60" w:line="288" w:lineRule="auto"/>
              <w:ind w:left="343"/>
              <w:rPr>
                <w:rFonts w:ascii="Times New Roman" w:hAnsi="Times New Roman" w:eastAsia="Times New Roman"/>
                <w:color w:val="auto"/>
                <w:spacing w:val="-5"/>
                <w:highlight w:val="none"/>
              </w:rPr>
            </w:pPr>
          </w:p>
        </w:tc>
        <w:tc>
          <w:tcPr>
            <w:tcW w:w="3547" w:type="dxa"/>
            <w:vMerge w:val="continue"/>
          </w:tcPr>
          <w:p w14:paraId="088743B1">
            <w:pPr>
              <w:spacing w:before="68" w:line="288" w:lineRule="auto"/>
              <w:ind w:left="1433"/>
              <w:rPr>
                <w:rFonts w:ascii="宋体" w:hAnsi="宋体" w:eastAsia="宋体"/>
                <w:color w:val="auto"/>
                <w:spacing w:val="-2"/>
                <w:highlight w:val="none"/>
              </w:rPr>
            </w:pPr>
          </w:p>
        </w:tc>
        <w:tc>
          <w:tcPr>
            <w:tcW w:w="4610" w:type="dxa"/>
            <w:vAlign w:val="center"/>
          </w:tcPr>
          <w:p w14:paraId="4D3E9EC2">
            <w:pPr>
              <w:widowControl w:val="0"/>
              <w:kinsoku/>
              <w:autoSpaceDE/>
              <w:autoSpaceDN/>
              <w:snapToGrid/>
              <w:spacing w:before="48" w:after="48" w:line="288" w:lineRule="auto"/>
              <w:ind w:left="105" w:leftChars="50" w:right="105" w:rightChars="50"/>
              <w:rPr>
                <w:rFonts w:ascii="宋体" w:hAnsi="宋体" w:eastAsia="宋体"/>
                <w:color w:val="auto"/>
                <w:highlight w:val="none"/>
              </w:rPr>
            </w:pPr>
            <w:r>
              <w:rPr>
                <w:rFonts w:hint="eastAsia" w:ascii="宋体" w:hAnsi="宋体" w:eastAsia="宋体"/>
                <w:color w:val="auto"/>
                <w:highlight w:val="none"/>
              </w:rPr>
              <w:t>形式： /</w:t>
            </w:r>
          </w:p>
        </w:tc>
      </w:tr>
      <w:tr w14:paraId="2A92D8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3" w:hRule="atLeast"/>
        </w:trPr>
        <w:tc>
          <w:tcPr>
            <w:tcW w:w="1169" w:type="dxa"/>
            <w:vAlign w:val="center"/>
          </w:tcPr>
          <w:p w14:paraId="3A2CCC0B">
            <w:pPr>
              <w:spacing w:before="48" w:after="48" w:line="288" w:lineRule="auto"/>
              <w:ind w:left="42" w:leftChars="20" w:right="42" w:rightChars="20"/>
              <w:jc w:val="center"/>
              <w:rPr>
                <w:rFonts w:ascii="Times New Roman" w:hAnsi="Times New Roman" w:eastAsia="Times New Roman"/>
                <w:color w:val="auto"/>
                <w:spacing w:val="-5"/>
                <w:highlight w:val="none"/>
              </w:rPr>
            </w:pPr>
            <w:r>
              <w:rPr>
                <w:rFonts w:hint="eastAsia" w:ascii="Times New Roman" w:hAnsi="Times New Roman" w:eastAsia="Times New Roman"/>
                <w:color w:val="auto"/>
                <w:spacing w:val="-5"/>
                <w:highlight w:val="none"/>
              </w:rPr>
              <w:t>1.10.3</w:t>
            </w:r>
          </w:p>
        </w:tc>
        <w:tc>
          <w:tcPr>
            <w:tcW w:w="3547" w:type="dxa"/>
            <w:vAlign w:val="center"/>
          </w:tcPr>
          <w:p w14:paraId="30FD4FB7">
            <w:pPr>
              <w:spacing w:before="48" w:after="48" w:line="288" w:lineRule="auto"/>
              <w:ind w:left="42" w:leftChars="20" w:right="42" w:rightChars="20"/>
              <w:jc w:val="center"/>
              <w:rPr>
                <w:rFonts w:ascii="宋体" w:hAnsi="宋体"/>
                <w:color w:val="auto"/>
                <w:highlight w:val="none"/>
              </w:rPr>
            </w:pPr>
            <w:r>
              <w:rPr>
                <w:rFonts w:hint="eastAsia" w:ascii="宋体" w:hAnsi="宋体"/>
                <w:color w:val="auto"/>
                <w:highlight w:val="none"/>
              </w:rPr>
              <w:t>招标文件澄清发出的形式</w:t>
            </w:r>
          </w:p>
        </w:tc>
        <w:tc>
          <w:tcPr>
            <w:tcW w:w="4610" w:type="dxa"/>
            <w:vAlign w:val="center"/>
          </w:tcPr>
          <w:p w14:paraId="21D5F0CF">
            <w:pPr>
              <w:widowControl w:val="0"/>
              <w:kinsoku/>
              <w:autoSpaceDE/>
              <w:autoSpaceDN/>
              <w:snapToGrid/>
              <w:spacing w:line="288" w:lineRule="auto"/>
              <w:ind w:left="105" w:leftChars="50" w:right="105" w:rightChars="50"/>
              <w:rPr>
                <w:rFonts w:ascii="宋体" w:hAnsi="宋体" w:eastAsia="宋体"/>
                <w:color w:val="auto"/>
                <w:highlight w:val="none"/>
                <w:u w:val="single"/>
              </w:rPr>
            </w:pPr>
            <w:r>
              <w:rPr>
                <w:rFonts w:hint="eastAsia" w:ascii="宋体" w:hAnsi="宋体" w:eastAsia="宋体"/>
                <w:color w:val="auto"/>
                <w:highlight w:val="none"/>
                <w:u w:val="single"/>
              </w:rPr>
              <w:t>招标人应在投标截止时间15日前解答和澄清投标人对招标文件提出的疑问，形成答疑纪要（或招标文件澄清文件），并在广州公共资源交易中心网站通过项目答疑专区网上公开发布。</w:t>
            </w:r>
          </w:p>
        </w:tc>
      </w:tr>
      <w:tr w14:paraId="182B5B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64" w:hRule="atLeast"/>
        </w:trPr>
        <w:tc>
          <w:tcPr>
            <w:tcW w:w="1169" w:type="dxa"/>
          </w:tcPr>
          <w:p w14:paraId="3DD616CD">
            <w:pPr>
              <w:spacing w:line="288" w:lineRule="auto"/>
              <w:rPr>
                <w:color w:val="auto"/>
                <w:highlight w:val="none"/>
              </w:rPr>
            </w:pPr>
          </w:p>
          <w:p w14:paraId="64B2067A">
            <w:pPr>
              <w:spacing w:line="288" w:lineRule="auto"/>
              <w:rPr>
                <w:color w:val="auto"/>
                <w:highlight w:val="none"/>
              </w:rPr>
            </w:pPr>
          </w:p>
          <w:p w14:paraId="0E8548F1">
            <w:pPr>
              <w:spacing w:line="288" w:lineRule="auto"/>
              <w:rPr>
                <w:color w:val="auto"/>
                <w:highlight w:val="none"/>
              </w:rPr>
            </w:pPr>
          </w:p>
          <w:p w14:paraId="0E8C55D7">
            <w:pPr>
              <w:spacing w:before="60" w:line="288" w:lineRule="auto"/>
              <w:ind w:left="348"/>
              <w:rPr>
                <w:rFonts w:ascii="Times New Roman" w:hAnsi="Times New Roman" w:eastAsia="Times New Roman"/>
                <w:color w:val="auto"/>
                <w:spacing w:val="-7"/>
                <w:highlight w:val="none"/>
              </w:rPr>
            </w:pPr>
            <w:r>
              <w:rPr>
                <w:rFonts w:ascii="Times New Roman" w:hAnsi="Times New Roman" w:eastAsia="Times New Roman"/>
                <w:color w:val="auto"/>
                <w:spacing w:val="-7"/>
                <w:highlight w:val="none"/>
              </w:rPr>
              <w:t>1</w:t>
            </w:r>
            <w:r>
              <w:rPr>
                <w:rFonts w:ascii="Times New Roman" w:hAnsi="Times New Roman" w:eastAsia="Times New Roman"/>
                <w:color w:val="auto"/>
                <w:spacing w:val="-5"/>
                <w:highlight w:val="none"/>
              </w:rPr>
              <w:t>.11.1</w:t>
            </w:r>
          </w:p>
        </w:tc>
        <w:tc>
          <w:tcPr>
            <w:tcW w:w="3547" w:type="dxa"/>
          </w:tcPr>
          <w:p w14:paraId="25C95059">
            <w:pPr>
              <w:spacing w:line="288" w:lineRule="auto"/>
              <w:rPr>
                <w:color w:val="auto"/>
                <w:highlight w:val="none"/>
              </w:rPr>
            </w:pPr>
          </w:p>
          <w:p w14:paraId="14F7E1AC">
            <w:pPr>
              <w:spacing w:line="288" w:lineRule="auto"/>
              <w:rPr>
                <w:color w:val="auto"/>
                <w:highlight w:val="none"/>
              </w:rPr>
            </w:pPr>
          </w:p>
          <w:p w14:paraId="246005CD">
            <w:pPr>
              <w:spacing w:line="288" w:lineRule="auto"/>
              <w:rPr>
                <w:color w:val="auto"/>
                <w:highlight w:val="none"/>
              </w:rPr>
            </w:pPr>
          </w:p>
          <w:p w14:paraId="5658F308">
            <w:pPr>
              <w:spacing w:before="68" w:line="288" w:lineRule="auto"/>
              <w:ind w:left="1747"/>
              <w:rPr>
                <w:rFonts w:ascii="宋体" w:hAnsi="宋体" w:eastAsia="宋体"/>
                <w:color w:val="auto"/>
                <w:spacing w:val="-4"/>
                <w:highlight w:val="none"/>
              </w:rPr>
            </w:pPr>
            <w:r>
              <w:rPr>
                <w:rFonts w:ascii="宋体" w:hAnsi="宋体" w:eastAsia="宋体"/>
                <w:color w:val="auto"/>
                <w:spacing w:val="-4"/>
                <w:highlight w:val="none"/>
              </w:rPr>
              <w:t>分</w:t>
            </w:r>
            <w:r>
              <w:rPr>
                <w:rFonts w:ascii="宋体" w:hAnsi="宋体" w:eastAsia="宋体"/>
                <w:color w:val="auto"/>
                <w:spacing w:val="-2"/>
                <w:highlight w:val="none"/>
              </w:rPr>
              <w:t>包</w:t>
            </w:r>
          </w:p>
        </w:tc>
        <w:tc>
          <w:tcPr>
            <w:tcW w:w="4610" w:type="dxa"/>
          </w:tcPr>
          <w:p w14:paraId="29A021C4">
            <w:pPr>
              <w:spacing w:before="173" w:line="288" w:lineRule="auto"/>
              <w:ind w:left="105" w:leftChars="50" w:right="105" w:rightChars="50"/>
              <w:rPr>
                <w:rFonts w:ascii="Times New Roman" w:hAnsi="Times New Roman" w:eastAsia="Times New Roman"/>
                <w:color w:val="auto"/>
                <w:spacing w:val="-6"/>
                <w:sz w:val="31"/>
                <w:szCs w:val="31"/>
                <w:highlight w:val="none"/>
              </w:rPr>
            </w:pPr>
            <w:r>
              <w:rPr>
                <w:rFonts w:ascii="Times New Roman" w:hAnsi="Times New Roman" w:eastAsia="Times New Roman"/>
                <w:color w:val="auto"/>
                <w:spacing w:val="-6"/>
                <w:sz w:val="31"/>
                <w:szCs w:val="31"/>
                <w:highlight w:val="none"/>
              </w:rPr>
              <w:sym w:font="Wingdings 2" w:char="F052"/>
            </w:r>
            <w:r>
              <w:rPr>
                <w:rFonts w:ascii="宋体" w:hAnsi="宋体" w:eastAsia="宋体"/>
                <w:color w:val="auto"/>
                <w:spacing w:val="-3"/>
                <w:highlight w:val="none"/>
              </w:rPr>
              <w:t>不允许</w:t>
            </w:r>
          </w:p>
          <w:p w14:paraId="7ACABD7E">
            <w:pPr>
              <w:spacing w:before="184" w:line="288" w:lineRule="auto"/>
              <w:ind w:left="932" w:leftChars="50" w:right="105" w:rightChars="50" w:hanging="827"/>
              <w:rPr>
                <w:rFonts w:ascii="Times New Roman" w:hAnsi="Times New Roman" w:eastAsia="Times New Roman"/>
                <w:color w:val="auto"/>
                <w:spacing w:val="-7"/>
                <w:sz w:val="31"/>
                <w:szCs w:val="31"/>
                <w:highlight w:val="none"/>
              </w:rPr>
            </w:pPr>
            <w:r>
              <w:rPr>
                <w:rFonts w:ascii="Times New Roman" w:hAnsi="Times New Roman" w:eastAsia="Times New Roman"/>
                <w:color w:val="auto"/>
                <w:spacing w:val="-7"/>
                <w:sz w:val="31"/>
                <w:szCs w:val="31"/>
                <w:highlight w:val="none"/>
              </w:rPr>
              <w:t>□</w:t>
            </w:r>
            <w:r>
              <w:rPr>
                <w:rFonts w:ascii="宋体" w:hAnsi="宋体" w:eastAsia="宋体"/>
                <w:color w:val="auto"/>
                <w:spacing w:val="-6"/>
                <w:highlight w:val="none"/>
              </w:rPr>
              <w:t>允许，分包内容要求：</w:t>
            </w:r>
            <w:r>
              <w:rPr>
                <w:rFonts w:ascii="宋体" w:hAnsi="宋体" w:eastAsia="宋体"/>
                <w:color w:val="auto"/>
                <w:highlight w:val="none"/>
              </w:rPr>
              <w:t xml:space="preserve"> </w:t>
            </w:r>
          </w:p>
          <w:p w14:paraId="7946454F">
            <w:pPr>
              <w:spacing w:before="184" w:line="288" w:lineRule="auto"/>
              <w:ind w:left="105" w:leftChars="50" w:right="105" w:rightChars="50" w:firstLine="13" w:firstLineChars="7"/>
              <w:rPr>
                <w:rFonts w:ascii="宋体" w:hAnsi="宋体" w:eastAsia="宋体"/>
                <w:color w:val="auto"/>
                <w:spacing w:val="-12"/>
                <w:highlight w:val="none"/>
              </w:rPr>
            </w:pPr>
            <w:r>
              <w:rPr>
                <w:rFonts w:ascii="宋体" w:hAnsi="宋体" w:eastAsia="宋体"/>
                <w:color w:val="auto"/>
                <w:spacing w:val="-12"/>
                <w:highlight w:val="none"/>
              </w:rPr>
              <w:t>分</w:t>
            </w:r>
            <w:r>
              <w:rPr>
                <w:rFonts w:ascii="宋体" w:hAnsi="宋体" w:eastAsia="宋体"/>
                <w:color w:val="auto"/>
                <w:spacing w:val="-8"/>
                <w:highlight w:val="none"/>
              </w:rPr>
              <w:t>包金额要求：</w:t>
            </w:r>
          </w:p>
          <w:p w14:paraId="0F865D91">
            <w:pPr>
              <w:spacing w:before="184" w:line="288" w:lineRule="auto"/>
              <w:ind w:left="105" w:leftChars="50" w:right="105" w:rightChars="50" w:firstLine="13" w:firstLineChars="7"/>
              <w:rPr>
                <w:rFonts w:ascii="宋体" w:hAnsi="宋体" w:eastAsia="宋体"/>
                <w:color w:val="auto"/>
                <w:spacing w:val="-6"/>
                <w:highlight w:val="none"/>
              </w:rPr>
            </w:pPr>
            <w:r>
              <w:rPr>
                <w:rFonts w:ascii="宋体" w:hAnsi="宋体" w:eastAsia="宋体"/>
                <w:color w:val="auto"/>
                <w:spacing w:val="-6"/>
                <w:highlight w:val="none"/>
              </w:rPr>
              <w:t>对</w:t>
            </w:r>
            <w:r>
              <w:rPr>
                <w:rFonts w:ascii="宋体" w:hAnsi="宋体" w:eastAsia="宋体"/>
                <w:color w:val="auto"/>
                <w:spacing w:val="-5"/>
                <w:highlight w:val="none"/>
              </w:rPr>
              <w:t>分包人的资质要求：</w:t>
            </w:r>
          </w:p>
        </w:tc>
      </w:tr>
      <w:tr w14:paraId="08AD0B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169" w:type="dxa"/>
            <w:vAlign w:val="center"/>
          </w:tcPr>
          <w:p w14:paraId="4E692479">
            <w:pPr>
              <w:spacing w:before="48" w:after="48" w:line="288" w:lineRule="auto"/>
              <w:ind w:left="42" w:leftChars="20" w:right="42" w:rightChars="20"/>
              <w:jc w:val="center"/>
              <w:rPr>
                <w:rFonts w:ascii="Times New Roman" w:hAnsi="Times New Roman" w:eastAsia="Times New Roman"/>
                <w:color w:val="auto"/>
                <w:spacing w:val="-7"/>
                <w:highlight w:val="none"/>
              </w:rPr>
            </w:pPr>
            <w:r>
              <w:rPr>
                <w:rFonts w:hint="eastAsia" w:ascii="Times New Roman" w:hAnsi="Times New Roman" w:eastAsia="Times New Roman"/>
                <w:color w:val="auto"/>
                <w:spacing w:val="-7"/>
                <w:highlight w:val="none"/>
              </w:rPr>
              <w:t>1.12.1</w:t>
            </w:r>
          </w:p>
        </w:tc>
        <w:tc>
          <w:tcPr>
            <w:tcW w:w="3547" w:type="dxa"/>
            <w:vAlign w:val="center"/>
          </w:tcPr>
          <w:p w14:paraId="41AB49CD">
            <w:pPr>
              <w:spacing w:before="48" w:after="48" w:line="288" w:lineRule="auto"/>
              <w:ind w:left="42" w:leftChars="20" w:right="42" w:rightChars="20"/>
              <w:jc w:val="center"/>
              <w:rPr>
                <w:rFonts w:ascii="宋体" w:hAnsi="宋体"/>
                <w:color w:val="auto"/>
                <w:highlight w:val="none"/>
              </w:rPr>
            </w:pPr>
            <w:r>
              <w:rPr>
                <w:rFonts w:hint="eastAsia" w:ascii="宋体" w:hAnsi="宋体"/>
                <w:color w:val="auto"/>
                <w:highlight w:val="none"/>
              </w:rPr>
              <w:t>实质性要求和条件</w:t>
            </w:r>
          </w:p>
        </w:tc>
        <w:tc>
          <w:tcPr>
            <w:tcW w:w="4610" w:type="dxa"/>
          </w:tcPr>
          <w:p w14:paraId="4AD7B1A8">
            <w:pPr>
              <w:spacing w:before="184" w:line="288" w:lineRule="auto"/>
              <w:ind w:left="105" w:leftChars="50" w:right="105" w:rightChars="50" w:firstLine="14" w:firstLineChars="7"/>
              <w:rPr>
                <w:rFonts w:ascii="宋体" w:hAnsi="宋体" w:eastAsia="宋体"/>
                <w:color w:val="auto"/>
                <w:highlight w:val="none"/>
              </w:rPr>
            </w:pPr>
            <w:r>
              <w:rPr>
                <w:rFonts w:hint="eastAsia" w:ascii="宋体" w:hAnsi="宋体" w:eastAsia="宋体"/>
                <w:color w:val="auto"/>
                <w:highlight w:val="none"/>
              </w:rPr>
              <w:t>/</w:t>
            </w:r>
          </w:p>
        </w:tc>
      </w:tr>
      <w:tr w14:paraId="0C49E0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4" w:hRule="atLeast"/>
        </w:trPr>
        <w:tc>
          <w:tcPr>
            <w:tcW w:w="1169" w:type="dxa"/>
          </w:tcPr>
          <w:p w14:paraId="31E0D979">
            <w:pPr>
              <w:spacing w:line="288" w:lineRule="auto"/>
              <w:rPr>
                <w:color w:val="auto"/>
                <w:highlight w:val="none"/>
              </w:rPr>
            </w:pPr>
          </w:p>
          <w:p w14:paraId="47B7134D">
            <w:pPr>
              <w:spacing w:line="288" w:lineRule="auto"/>
              <w:rPr>
                <w:color w:val="auto"/>
                <w:highlight w:val="none"/>
              </w:rPr>
            </w:pPr>
          </w:p>
          <w:p w14:paraId="494CFE7F">
            <w:pPr>
              <w:spacing w:before="61" w:line="288" w:lineRule="auto"/>
              <w:ind w:left="343"/>
              <w:rPr>
                <w:rFonts w:ascii="Times New Roman" w:hAnsi="Times New Roman" w:eastAsia="Times New Roman"/>
                <w:color w:val="auto"/>
                <w:spacing w:val="-6"/>
                <w:highlight w:val="none"/>
              </w:rPr>
            </w:pPr>
            <w:r>
              <w:rPr>
                <w:rFonts w:ascii="Times New Roman" w:hAnsi="Times New Roman" w:eastAsia="Times New Roman"/>
                <w:color w:val="auto"/>
                <w:spacing w:val="-6"/>
                <w:highlight w:val="none"/>
              </w:rPr>
              <w:t>1</w:t>
            </w:r>
            <w:r>
              <w:rPr>
                <w:rFonts w:ascii="Times New Roman" w:hAnsi="Times New Roman" w:eastAsia="Times New Roman"/>
                <w:color w:val="auto"/>
                <w:spacing w:val="-5"/>
                <w:highlight w:val="none"/>
              </w:rPr>
              <w:t>.</w:t>
            </w:r>
            <w:r>
              <w:rPr>
                <w:rFonts w:ascii="Times New Roman" w:hAnsi="Times New Roman" w:eastAsia="Times New Roman"/>
                <w:color w:val="auto"/>
                <w:spacing w:val="-3"/>
                <w:highlight w:val="none"/>
              </w:rPr>
              <w:t>12.3</w:t>
            </w:r>
          </w:p>
        </w:tc>
        <w:tc>
          <w:tcPr>
            <w:tcW w:w="3547" w:type="dxa"/>
          </w:tcPr>
          <w:p w14:paraId="043A3966">
            <w:pPr>
              <w:spacing w:line="288" w:lineRule="auto"/>
              <w:rPr>
                <w:color w:val="auto"/>
                <w:highlight w:val="none"/>
              </w:rPr>
            </w:pPr>
          </w:p>
          <w:p w14:paraId="66FBE7AE">
            <w:pPr>
              <w:spacing w:line="288" w:lineRule="auto"/>
              <w:rPr>
                <w:color w:val="auto"/>
                <w:highlight w:val="none"/>
              </w:rPr>
            </w:pPr>
          </w:p>
          <w:p w14:paraId="52AFF1D7">
            <w:pPr>
              <w:spacing w:before="69" w:line="288" w:lineRule="auto"/>
              <w:ind w:left="1745"/>
              <w:rPr>
                <w:rFonts w:ascii="宋体" w:hAnsi="宋体" w:eastAsia="宋体"/>
                <w:color w:val="auto"/>
                <w:spacing w:val="-3"/>
                <w:highlight w:val="none"/>
              </w:rPr>
            </w:pPr>
            <w:r>
              <w:rPr>
                <w:rFonts w:ascii="宋体" w:hAnsi="宋体" w:eastAsia="宋体"/>
                <w:color w:val="auto"/>
                <w:spacing w:val="-3"/>
                <w:highlight w:val="none"/>
              </w:rPr>
              <w:t>偏</w:t>
            </w:r>
            <w:r>
              <w:rPr>
                <w:rFonts w:ascii="宋体" w:hAnsi="宋体" w:eastAsia="宋体"/>
                <w:color w:val="auto"/>
                <w:spacing w:val="-2"/>
                <w:highlight w:val="none"/>
              </w:rPr>
              <w:t>差</w:t>
            </w:r>
          </w:p>
        </w:tc>
        <w:tc>
          <w:tcPr>
            <w:tcW w:w="4610" w:type="dxa"/>
          </w:tcPr>
          <w:p w14:paraId="6C9C9E5F">
            <w:pPr>
              <w:spacing w:before="174" w:line="288" w:lineRule="auto"/>
              <w:ind w:left="105" w:leftChars="50" w:right="105" w:rightChars="50"/>
              <w:rPr>
                <w:rFonts w:ascii="Times New Roman" w:hAnsi="Times New Roman" w:eastAsia="Times New Roman"/>
                <w:color w:val="auto"/>
                <w:spacing w:val="-6"/>
                <w:sz w:val="31"/>
                <w:szCs w:val="31"/>
                <w:highlight w:val="none"/>
              </w:rPr>
            </w:pPr>
            <w:r>
              <w:rPr>
                <w:rFonts w:ascii="Times New Roman" w:hAnsi="Times New Roman" w:eastAsia="Times New Roman"/>
                <w:color w:val="auto"/>
                <w:spacing w:val="-6"/>
                <w:sz w:val="31"/>
                <w:szCs w:val="31"/>
                <w:highlight w:val="none"/>
              </w:rPr>
              <w:sym w:font="Wingdings 2" w:char="F052"/>
            </w:r>
            <w:r>
              <w:rPr>
                <w:rFonts w:ascii="宋体" w:hAnsi="宋体" w:eastAsia="宋体"/>
                <w:color w:val="auto"/>
                <w:spacing w:val="-3"/>
                <w:highlight w:val="none"/>
              </w:rPr>
              <w:t>不允许</w:t>
            </w:r>
          </w:p>
          <w:p w14:paraId="7820CDA4">
            <w:pPr>
              <w:spacing w:before="125" w:line="288" w:lineRule="auto"/>
              <w:ind w:left="1034" w:leftChars="50" w:right="105" w:rightChars="50" w:hanging="929"/>
              <w:rPr>
                <w:rFonts w:ascii="Times New Roman" w:hAnsi="Times New Roman" w:eastAsia="Times New Roman"/>
                <w:color w:val="auto"/>
                <w:spacing w:val="-24"/>
                <w:sz w:val="31"/>
                <w:szCs w:val="31"/>
                <w:highlight w:val="none"/>
              </w:rPr>
            </w:pPr>
            <w:r>
              <w:rPr>
                <w:rFonts w:ascii="Times New Roman" w:hAnsi="Times New Roman" w:eastAsia="Times New Roman"/>
                <w:color w:val="auto"/>
                <w:spacing w:val="-24"/>
                <w:sz w:val="31"/>
                <w:szCs w:val="31"/>
                <w:highlight w:val="none"/>
              </w:rPr>
              <w:t xml:space="preserve">□ </w:t>
            </w:r>
            <w:r>
              <w:rPr>
                <w:rFonts w:ascii="宋体" w:hAnsi="宋体" w:eastAsia="宋体"/>
                <w:color w:val="auto"/>
                <w:spacing w:val="-24"/>
                <w:sz w:val="24"/>
                <w:szCs w:val="24"/>
                <w:highlight w:val="none"/>
              </w:rPr>
              <w:t>允许，</w:t>
            </w:r>
            <w:r>
              <w:rPr>
                <w:rFonts w:hint="eastAsia" w:ascii="宋体" w:hAnsi="宋体" w:eastAsia="宋体"/>
                <w:color w:val="auto"/>
                <w:spacing w:val="-24"/>
                <w:sz w:val="24"/>
                <w:szCs w:val="24"/>
                <w:highlight w:val="none"/>
              </w:rPr>
              <w:t xml:space="preserve"> </w:t>
            </w:r>
            <w:r>
              <w:rPr>
                <w:rFonts w:ascii="宋体" w:hAnsi="宋体" w:eastAsia="宋体"/>
                <w:color w:val="auto"/>
                <w:spacing w:val="-24"/>
                <w:highlight w:val="none"/>
              </w:rPr>
              <w:t>偏差范围：</w:t>
            </w:r>
            <w:r>
              <w:rPr>
                <w:rFonts w:ascii="宋体" w:hAnsi="宋体" w:eastAsia="宋体"/>
                <w:color w:val="auto"/>
                <w:highlight w:val="none"/>
              </w:rPr>
              <w:t xml:space="preserve"> </w:t>
            </w:r>
          </w:p>
          <w:p w14:paraId="1E87E435">
            <w:pPr>
              <w:spacing w:before="125" w:line="288" w:lineRule="auto"/>
              <w:ind w:left="105" w:leftChars="50" w:right="105" w:rightChars="50" w:firstLine="1104" w:firstLineChars="600"/>
              <w:rPr>
                <w:rFonts w:ascii="宋体" w:hAnsi="宋体" w:eastAsia="宋体"/>
                <w:color w:val="auto"/>
                <w:spacing w:val="-13"/>
                <w:highlight w:val="none"/>
              </w:rPr>
            </w:pPr>
            <w:r>
              <w:rPr>
                <w:rFonts w:ascii="宋体" w:hAnsi="宋体" w:eastAsia="宋体"/>
                <w:color w:val="auto"/>
                <w:spacing w:val="-13"/>
                <w:highlight w:val="none"/>
              </w:rPr>
              <w:t>偏</w:t>
            </w:r>
            <w:r>
              <w:rPr>
                <w:rFonts w:ascii="宋体" w:hAnsi="宋体" w:eastAsia="宋体"/>
                <w:color w:val="auto"/>
                <w:spacing w:val="-11"/>
                <w:highlight w:val="none"/>
              </w:rPr>
              <w:t>差幅度：</w:t>
            </w:r>
          </w:p>
        </w:tc>
      </w:tr>
      <w:tr w14:paraId="71AD93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1169" w:type="dxa"/>
            <w:vAlign w:val="center"/>
          </w:tcPr>
          <w:p w14:paraId="5EDC99FC">
            <w:pPr>
              <w:pStyle w:val="60"/>
              <w:overflowPunct w:val="0"/>
              <w:spacing w:line="288" w:lineRule="auto"/>
              <w:jc w:val="center"/>
              <w:rPr>
                <w:rFonts w:ascii="Times New Roman" w:hAnsi="Times New Roman" w:eastAsia="Times New Roman"/>
                <w:color w:val="auto"/>
                <w:sz w:val="21"/>
                <w:szCs w:val="21"/>
                <w:highlight w:val="none"/>
              </w:rPr>
            </w:pPr>
            <w:r>
              <w:rPr>
                <w:rFonts w:hint="eastAsia" w:ascii="Times New Roman" w:hAnsi="Times New Roman" w:eastAsia="Times New Roman"/>
                <w:color w:val="auto"/>
                <w:sz w:val="21"/>
                <w:szCs w:val="21"/>
                <w:highlight w:val="none"/>
              </w:rPr>
              <w:t>2.1</w:t>
            </w:r>
          </w:p>
        </w:tc>
        <w:tc>
          <w:tcPr>
            <w:tcW w:w="3547" w:type="dxa"/>
            <w:vAlign w:val="center"/>
          </w:tcPr>
          <w:p w14:paraId="1F78EE16">
            <w:pPr>
              <w:pStyle w:val="60"/>
              <w:overflowPunct w:val="0"/>
              <w:spacing w:line="288" w:lineRule="auto"/>
              <w:jc w:val="center"/>
              <w:rPr>
                <w:rFonts w:ascii="宋体" w:hAnsi="宋体" w:eastAsia="宋体"/>
                <w:color w:val="auto"/>
                <w:sz w:val="21"/>
                <w:szCs w:val="21"/>
                <w:highlight w:val="none"/>
              </w:rPr>
            </w:pPr>
            <w:r>
              <w:rPr>
                <w:rFonts w:ascii="宋体" w:hAnsi="宋体" w:eastAsia="宋体"/>
                <w:color w:val="auto"/>
                <w:sz w:val="21"/>
                <w:szCs w:val="21"/>
                <w:highlight w:val="none"/>
              </w:rPr>
              <w:t>构成招标文件的其他资料</w:t>
            </w:r>
          </w:p>
        </w:tc>
        <w:tc>
          <w:tcPr>
            <w:tcW w:w="4610" w:type="dxa"/>
          </w:tcPr>
          <w:p w14:paraId="13C591D2">
            <w:pPr>
              <w:spacing w:before="125" w:line="288" w:lineRule="auto"/>
              <w:ind w:left="105" w:leftChars="50" w:right="105" w:rightChars="50" w:firstLine="920" w:firstLineChars="500"/>
              <w:rPr>
                <w:rFonts w:ascii="宋体" w:hAnsi="宋体" w:eastAsia="宋体"/>
                <w:color w:val="auto"/>
                <w:spacing w:val="-13"/>
                <w:highlight w:val="none"/>
              </w:rPr>
            </w:pPr>
            <w:r>
              <w:rPr>
                <w:rFonts w:hint="eastAsia" w:ascii="宋体" w:hAnsi="宋体" w:eastAsia="宋体"/>
                <w:color w:val="auto"/>
                <w:spacing w:val="-13"/>
                <w:highlight w:val="none"/>
              </w:rPr>
              <w:t>/</w:t>
            </w:r>
          </w:p>
        </w:tc>
      </w:tr>
      <w:tr w14:paraId="08580C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0" w:hRule="atLeast"/>
        </w:trPr>
        <w:tc>
          <w:tcPr>
            <w:tcW w:w="1169" w:type="dxa"/>
            <w:vAlign w:val="center"/>
          </w:tcPr>
          <w:p w14:paraId="4A56787E">
            <w:pPr>
              <w:spacing w:before="60" w:line="288" w:lineRule="auto"/>
              <w:jc w:val="center"/>
              <w:rPr>
                <w:rFonts w:ascii="Times New Roman" w:hAnsi="Times New Roman" w:eastAsia="Times New Roman"/>
                <w:color w:val="auto"/>
                <w:spacing w:val="-1"/>
                <w:highlight w:val="none"/>
              </w:rPr>
            </w:pPr>
            <w:r>
              <w:rPr>
                <w:rFonts w:ascii="Times New Roman" w:hAnsi="Times New Roman" w:eastAsia="Times New Roman"/>
                <w:color w:val="auto"/>
                <w:spacing w:val="-1"/>
                <w:highlight w:val="none"/>
              </w:rPr>
              <w:t>2.2</w:t>
            </w:r>
          </w:p>
        </w:tc>
        <w:tc>
          <w:tcPr>
            <w:tcW w:w="3547" w:type="dxa"/>
            <w:vAlign w:val="center"/>
          </w:tcPr>
          <w:p w14:paraId="1F7BBDFC">
            <w:pPr>
              <w:spacing w:line="288" w:lineRule="auto"/>
              <w:jc w:val="center"/>
              <w:rPr>
                <w:color w:val="auto"/>
                <w:highlight w:val="none"/>
              </w:rPr>
            </w:pPr>
          </w:p>
          <w:p w14:paraId="409EB249">
            <w:pPr>
              <w:spacing w:before="69" w:line="288" w:lineRule="auto"/>
              <w:jc w:val="center"/>
              <w:rPr>
                <w:color w:val="auto"/>
                <w:highlight w:val="none"/>
              </w:rPr>
            </w:pPr>
            <w:r>
              <w:rPr>
                <w:rFonts w:hint="eastAsia"/>
                <w:color w:val="auto"/>
                <w:highlight w:val="none"/>
              </w:rPr>
              <w:t>招标答疑</w:t>
            </w:r>
          </w:p>
          <w:p w14:paraId="0E45AA5E">
            <w:pPr>
              <w:spacing w:line="288" w:lineRule="auto"/>
              <w:jc w:val="center"/>
              <w:rPr>
                <w:color w:val="auto"/>
                <w:highlight w:val="none"/>
              </w:rPr>
            </w:pPr>
          </w:p>
          <w:p w14:paraId="185591DC">
            <w:pPr>
              <w:tabs>
                <w:tab w:val="left" w:pos="1103"/>
              </w:tabs>
              <w:spacing w:line="288" w:lineRule="auto"/>
              <w:jc w:val="center"/>
              <w:rPr>
                <w:color w:val="auto"/>
                <w:highlight w:val="none"/>
              </w:rPr>
            </w:pPr>
          </w:p>
        </w:tc>
        <w:tc>
          <w:tcPr>
            <w:tcW w:w="4610" w:type="dxa"/>
          </w:tcPr>
          <w:p w14:paraId="7EE2F7A7">
            <w:pPr>
              <w:spacing w:before="120" w:line="288" w:lineRule="auto"/>
              <w:ind w:left="105" w:leftChars="50" w:right="105" w:rightChars="50"/>
              <w:contextualSpacing/>
              <w:rPr>
                <w:rFonts w:ascii="宋体" w:hAnsi="宋体" w:eastAsia="宋体"/>
                <w:color w:val="auto"/>
                <w:highlight w:val="none"/>
              </w:rPr>
            </w:pPr>
            <w:r>
              <w:rPr>
                <w:rFonts w:hint="eastAsia" w:ascii="宋体" w:hAnsi="宋体" w:eastAsia="宋体"/>
                <w:color w:val="auto"/>
                <w:highlight w:val="none"/>
              </w:rPr>
              <w:t>疑问提交时间：</w:t>
            </w:r>
            <w:r>
              <w:rPr>
                <w:rFonts w:hint="eastAsia" w:ascii="宋体" w:hAnsi="宋体" w:eastAsia="宋体"/>
                <w:color w:val="auto"/>
                <w:highlight w:val="none"/>
                <w:u w:val="single"/>
              </w:rPr>
              <w:t xml:space="preserve">    </w:t>
            </w:r>
            <w:r>
              <w:rPr>
                <w:rFonts w:hint="eastAsia" w:ascii="宋体" w:hAnsi="宋体" w:eastAsia="宋体"/>
                <w:color w:val="auto"/>
                <w:highlight w:val="none"/>
              </w:rPr>
              <w:t>年</w:t>
            </w:r>
            <w:r>
              <w:rPr>
                <w:rFonts w:hint="eastAsia" w:ascii="宋体" w:hAnsi="宋体" w:eastAsia="宋体"/>
                <w:color w:val="auto"/>
                <w:highlight w:val="none"/>
                <w:u w:val="single"/>
              </w:rPr>
              <w:t xml:space="preserve">   </w:t>
            </w:r>
            <w:r>
              <w:rPr>
                <w:rFonts w:hint="eastAsia" w:ascii="宋体" w:hAnsi="宋体" w:eastAsia="宋体"/>
                <w:color w:val="auto"/>
                <w:highlight w:val="none"/>
              </w:rPr>
              <w:t>月</w:t>
            </w:r>
            <w:r>
              <w:rPr>
                <w:rFonts w:hint="eastAsia" w:ascii="宋体" w:hAnsi="宋体" w:eastAsia="宋体"/>
                <w:color w:val="auto"/>
                <w:highlight w:val="none"/>
                <w:u w:val="single"/>
              </w:rPr>
              <w:t xml:space="preserve">   </w:t>
            </w:r>
            <w:r>
              <w:rPr>
                <w:rFonts w:hint="eastAsia" w:ascii="宋体" w:hAnsi="宋体" w:eastAsia="宋体"/>
                <w:color w:val="auto"/>
                <w:highlight w:val="none"/>
              </w:rPr>
              <w:t>日</w:t>
            </w:r>
            <w:r>
              <w:rPr>
                <w:rFonts w:hint="eastAsia" w:ascii="宋体" w:hAnsi="宋体" w:eastAsia="宋体"/>
                <w:color w:val="auto"/>
                <w:highlight w:val="none"/>
                <w:u w:val="single"/>
              </w:rPr>
              <w:t xml:space="preserve">   </w:t>
            </w:r>
            <w:r>
              <w:rPr>
                <w:rFonts w:hint="eastAsia" w:ascii="宋体" w:hAnsi="宋体" w:eastAsia="宋体"/>
                <w:color w:val="auto"/>
                <w:highlight w:val="none"/>
              </w:rPr>
              <w:t>时前；</w:t>
            </w:r>
          </w:p>
          <w:p w14:paraId="637D97FF">
            <w:pPr>
              <w:spacing w:before="120" w:line="288" w:lineRule="auto"/>
              <w:ind w:left="105" w:leftChars="50" w:right="105" w:rightChars="50"/>
              <w:contextualSpacing/>
              <w:rPr>
                <w:rFonts w:ascii="宋体" w:hAnsi="宋体" w:eastAsia="宋体"/>
                <w:color w:val="auto"/>
                <w:highlight w:val="none"/>
              </w:rPr>
            </w:pPr>
            <w:r>
              <w:rPr>
                <w:rFonts w:hint="eastAsia" w:ascii="宋体" w:hAnsi="宋体" w:eastAsia="宋体"/>
                <w:color w:val="auto"/>
                <w:highlight w:val="none"/>
              </w:rPr>
              <w:t>形式：投标人的疑问通过广州交易集团有限公司（广州公共资源交易中心）网站提交。</w:t>
            </w:r>
          </w:p>
          <w:p w14:paraId="3EEFB7E1">
            <w:pPr>
              <w:spacing w:before="120" w:line="288" w:lineRule="auto"/>
              <w:ind w:left="105" w:leftChars="50" w:right="105" w:rightChars="50"/>
              <w:contextualSpacing/>
              <w:rPr>
                <w:rFonts w:ascii="宋体" w:hAnsi="宋体" w:eastAsia="宋体"/>
                <w:color w:val="auto"/>
                <w:highlight w:val="none"/>
              </w:rPr>
            </w:pPr>
            <w:r>
              <w:rPr>
                <w:rFonts w:hint="eastAsia" w:ascii="宋体" w:hAnsi="宋体" w:eastAsia="宋体"/>
                <w:color w:val="auto"/>
                <w:highlight w:val="none"/>
              </w:rPr>
              <w:t>具体要求：按照广州交易集团有限公司（广州公共资源交易中心）网站关于全流程电子化项目的相关指南进行操作，提问一律不得署名。</w:t>
            </w:r>
          </w:p>
        </w:tc>
      </w:tr>
      <w:tr w14:paraId="6B8377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1" w:hRule="atLeast"/>
        </w:trPr>
        <w:tc>
          <w:tcPr>
            <w:tcW w:w="1169" w:type="dxa"/>
            <w:vAlign w:val="center"/>
          </w:tcPr>
          <w:p w14:paraId="1BF74858">
            <w:pPr>
              <w:spacing w:before="209" w:line="288" w:lineRule="auto"/>
              <w:jc w:val="center"/>
              <w:rPr>
                <w:rFonts w:ascii="Times New Roman" w:hAnsi="Times New Roman" w:eastAsia="Times New Roman"/>
                <w:color w:val="auto"/>
                <w:spacing w:val="-1"/>
                <w:highlight w:val="none"/>
              </w:rPr>
            </w:pPr>
            <w:r>
              <w:rPr>
                <w:rFonts w:ascii="Times New Roman" w:hAnsi="Times New Roman" w:eastAsia="Times New Roman"/>
                <w:color w:val="auto"/>
                <w:spacing w:val="-1"/>
                <w:highlight w:val="none"/>
              </w:rPr>
              <w:t>2.3</w:t>
            </w:r>
          </w:p>
        </w:tc>
        <w:tc>
          <w:tcPr>
            <w:tcW w:w="3547" w:type="dxa"/>
            <w:vAlign w:val="center"/>
          </w:tcPr>
          <w:p w14:paraId="79917707">
            <w:pPr>
              <w:spacing w:before="170" w:line="288" w:lineRule="auto"/>
              <w:jc w:val="center"/>
              <w:rPr>
                <w:rFonts w:ascii="宋体" w:hAnsi="宋体" w:eastAsia="宋体"/>
                <w:color w:val="auto"/>
                <w:spacing w:val="-1"/>
                <w:highlight w:val="none"/>
              </w:rPr>
            </w:pPr>
            <w:r>
              <w:rPr>
                <w:rFonts w:ascii="宋体" w:hAnsi="宋体" w:eastAsia="宋体"/>
                <w:color w:val="auto"/>
                <w:spacing w:val="-1"/>
                <w:highlight w:val="none"/>
              </w:rPr>
              <w:t>招标文件</w:t>
            </w:r>
            <w:r>
              <w:rPr>
                <w:rFonts w:hint="eastAsia" w:ascii="宋体" w:hAnsi="宋体" w:eastAsia="宋体"/>
                <w:color w:val="auto"/>
                <w:spacing w:val="-1"/>
                <w:highlight w:val="none"/>
              </w:rPr>
              <w:t>的澄清和</w:t>
            </w:r>
            <w:r>
              <w:rPr>
                <w:rFonts w:ascii="宋体" w:hAnsi="宋体" w:eastAsia="宋体"/>
                <w:color w:val="auto"/>
                <w:spacing w:val="-1"/>
                <w:highlight w:val="none"/>
              </w:rPr>
              <w:t>修改</w:t>
            </w:r>
          </w:p>
        </w:tc>
        <w:tc>
          <w:tcPr>
            <w:tcW w:w="4610" w:type="dxa"/>
            <w:vAlign w:val="center"/>
          </w:tcPr>
          <w:p w14:paraId="273457B1">
            <w:pPr>
              <w:spacing w:line="288" w:lineRule="auto"/>
              <w:ind w:left="105" w:leftChars="50" w:right="105" w:rightChars="50"/>
              <w:jc w:val="both"/>
              <w:rPr>
                <w:rFonts w:ascii="宋体" w:hAnsi="宋体"/>
                <w:color w:val="auto"/>
                <w:highlight w:val="none"/>
              </w:rPr>
            </w:pPr>
            <w:r>
              <w:rPr>
                <w:rFonts w:hint="eastAsia" w:ascii="宋体" w:hAnsi="宋体"/>
                <w:color w:val="auto"/>
                <w:highlight w:val="none"/>
              </w:rPr>
              <w:t>招标文件的修改期限：在投标截止时间</w:t>
            </w:r>
            <w:r>
              <w:rPr>
                <w:rFonts w:hint="eastAsia" w:ascii="宋体" w:hAnsi="宋体"/>
                <w:color w:val="auto"/>
                <w:highlight w:val="none"/>
                <w:u w:val="single"/>
              </w:rPr>
              <w:t xml:space="preserve"> 15 </w:t>
            </w:r>
            <w:r>
              <w:rPr>
                <w:rFonts w:hint="eastAsia" w:ascii="宋体" w:hAnsi="宋体"/>
                <w:color w:val="auto"/>
                <w:highlight w:val="none"/>
              </w:rPr>
              <w:t>天前</w:t>
            </w:r>
          </w:p>
        </w:tc>
      </w:tr>
      <w:tr w14:paraId="575930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1" w:hRule="atLeast"/>
        </w:trPr>
        <w:tc>
          <w:tcPr>
            <w:tcW w:w="1169" w:type="dxa"/>
            <w:vAlign w:val="center"/>
          </w:tcPr>
          <w:p w14:paraId="71DD2686">
            <w:pPr>
              <w:pStyle w:val="60"/>
              <w:overflowPunct w:val="0"/>
              <w:spacing w:line="288" w:lineRule="auto"/>
              <w:jc w:val="center"/>
              <w:rPr>
                <w:rFonts w:ascii="宋体" w:hAnsi="宋体" w:eastAsia="宋体"/>
                <w:color w:val="auto"/>
                <w:spacing w:val="-1"/>
                <w:sz w:val="21"/>
                <w:szCs w:val="21"/>
                <w:highlight w:val="none"/>
              </w:rPr>
            </w:pPr>
            <w:r>
              <w:rPr>
                <w:rFonts w:hint="eastAsia" w:ascii="宋体" w:hAnsi="宋体" w:eastAsia="宋体"/>
                <w:color w:val="auto"/>
                <w:spacing w:val="-1"/>
                <w:sz w:val="21"/>
                <w:szCs w:val="21"/>
                <w:highlight w:val="none"/>
              </w:rPr>
              <w:t>3.1.1</w:t>
            </w:r>
          </w:p>
        </w:tc>
        <w:tc>
          <w:tcPr>
            <w:tcW w:w="3547" w:type="dxa"/>
            <w:vAlign w:val="center"/>
          </w:tcPr>
          <w:p w14:paraId="263EA4DA">
            <w:pPr>
              <w:pStyle w:val="60"/>
              <w:overflowPunct w:val="0"/>
              <w:spacing w:line="288" w:lineRule="auto"/>
              <w:jc w:val="center"/>
              <w:rPr>
                <w:rFonts w:ascii="宋体" w:hAnsi="宋体" w:eastAsia="宋体"/>
                <w:color w:val="auto"/>
                <w:spacing w:val="-1"/>
                <w:sz w:val="21"/>
                <w:szCs w:val="21"/>
                <w:highlight w:val="none"/>
              </w:rPr>
            </w:pPr>
            <w:r>
              <w:rPr>
                <w:rFonts w:ascii="宋体" w:hAnsi="宋体" w:eastAsia="宋体"/>
                <w:color w:val="auto"/>
                <w:spacing w:val="-1"/>
                <w:sz w:val="21"/>
                <w:szCs w:val="21"/>
                <w:highlight w:val="none"/>
              </w:rPr>
              <w:t>构成投标文件的其他资料</w:t>
            </w:r>
          </w:p>
        </w:tc>
        <w:tc>
          <w:tcPr>
            <w:tcW w:w="4610" w:type="dxa"/>
            <w:vAlign w:val="center"/>
          </w:tcPr>
          <w:p w14:paraId="67D48199">
            <w:pPr>
              <w:spacing w:line="288" w:lineRule="auto"/>
              <w:ind w:left="105" w:leftChars="50" w:right="105" w:rightChars="50"/>
              <w:jc w:val="both"/>
              <w:rPr>
                <w:rFonts w:ascii="宋体" w:hAnsi="宋体" w:eastAsia="宋体"/>
                <w:color w:val="auto"/>
                <w:spacing w:val="-1"/>
                <w:highlight w:val="none"/>
              </w:rPr>
            </w:pPr>
            <w:r>
              <w:rPr>
                <w:rFonts w:hint="eastAsia" w:ascii="宋体" w:hAnsi="宋体" w:eastAsia="宋体"/>
                <w:color w:val="auto"/>
                <w:spacing w:val="-1"/>
                <w:highlight w:val="none"/>
              </w:rPr>
              <w:t>满足本项目评审要求的其他资料。</w:t>
            </w:r>
          </w:p>
        </w:tc>
      </w:tr>
      <w:tr w14:paraId="001CD3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169" w:type="dxa"/>
          </w:tcPr>
          <w:p w14:paraId="06785315">
            <w:pPr>
              <w:spacing w:before="209" w:line="288" w:lineRule="auto"/>
              <w:ind w:left="380"/>
              <w:rPr>
                <w:rFonts w:ascii="Times New Roman" w:hAnsi="Times New Roman" w:eastAsia="Times New Roman"/>
                <w:color w:val="auto"/>
                <w:spacing w:val="-2"/>
                <w:highlight w:val="none"/>
              </w:rPr>
            </w:pPr>
            <w:r>
              <w:rPr>
                <w:rFonts w:ascii="Times New Roman" w:hAnsi="Times New Roman" w:eastAsia="Times New Roman"/>
                <w:color w:val="auto"/>
                <w:spacing w:val="-2"/>
                <w:highlight w:val="none"/>
              </w:rPr>
              <w:t>3.2.</w:t>
            </w:r>
            <w:r>
              <w:rPr>
                <w:rFonts w:ascii="Times New Roman" w:hAnsi="Times New Roman" w:eastAsia="Times New Roman"/>
                <w:color w:val="auto"/>
                <w:spacing w:val="-1"/>
                <w:highlight w:val="none"/>
              </w:rPr>
              <w:t>1</w:t>
            </w:r>
          </w:p>
        </w:tc>
        <w:tc>
          <w:tcPr>
            <w:tcW w:w="3547" w:type="dxa"/>
          </w:tcPr>
          <w:p w14:paraId="4EAC5B87">
            <w:pPr>
              <w:spacing w:before="170" w:line="288" w:lineRule="auto"/>
              <w:ind w:left="906"/>
              <w:rPr>
                <w:rFonts w:ascii="宋体" w:hAnsi="宋体" w:eastAsia="宋体"/>
                <w:color w:val="auto"/>
                <w:spacing w:val="-1"/>
                <w:highlight w:val="none"/>
              </w:rPr>
            </w:pPr>
            <w:r>
              <w:rPr>
                <w:rFonts w:ascii="宋体" w:hAnsi="宋体" w:eastAsia="宋体"/>
                <w:color w:val="auto"/>
                <w:spacing w:val="-1"/>
                <w:highlight w:val="none"/>
              </w:rPr>
              <w:t>增值税税金的计算方</w:t>
            </w:r>
            <w:r>
              <w:rPr>
                <w:rFonts w:ascii="宋体" w:hAnsi="宋体" w:eastAsia="宋体"/>
                <w:color w:val="auto"/>
                <w:highlight w:val="none"/>
              </w:rPr>
              <w:t>法</w:t>
            </w:r>
          </w:p>
        </w:tc>
        <w:tc>
          <w:tcPr>
            <w:tcW w:w="4610" w:type="dxa"/>
            <w:vAlign w:val="center"/>
          </w:tcPr>
          <w:p w14:paraId="7DA871C2">
            <w:pPr>
              <w:spacing w:line="288" w:lineRule="auto"/>
              <w:ind w:left="105" w:leftChars="50" w:right="105" w:rightChars="50" w:firstLine="420" w:firstLineChars="200"/>
              <w:jc w:val="both"/>
              <w:rPr>
                <w:rFonts w:eastAsia="宋体"/>
                <w:color w:val="auto"/>
                <w:highlight w:val="none"/>
              </w:rPr>
            </w:pPr>
            <w:r>
              <w:rPr>
                <w:rFonts w:hint="eastAsia" w:eastAsia="宋体"/>
                <w:color w:val="auto"/>
                <w:highlight w:val="none"/>
              </w:rPr>
              <w:t>/</w:t>
            </w:r>
          </w:p>
        </w:tc>
      </w:tr>
      <w:tr w14:paraId="772A31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169" w:type="dxa"/>
          </w:tcPr>
          <w:p w14:paraId="176E675B">
            <w:pPr>
              <w:spacing w:before="209" w:line="288" w:lineRule="auto"/>
              <w:ind w:left="380"/>
              <w:rPr>
                <w:rFonts w:ascii="Times New Roman" w:hAnsi="Times New Roman" w:eastAsia="Times New Roman"/>
                <w:color w:val="auto"/>
                <w:spacing w:val="-2"/>
                <w:highlight w:val="none"/>
              </w:rPr>
            </w:pPr>
            <w:r>
              <w:rPr>
                <w:rFonts w:ascii="Times New Roman" w:hAnsi="Times New Roman" w:eastAsia="Times New Roman"/>
                <w:color w:val="auto"/>
                <w:spacing w:val="-2"/>
                <w:highlight w:val="none"/>
              </w:rPr>
              <w:t>3.2.</w:t>
            </w:r>
            <w:r>
              <w:rPr>
                <w:rFonts w:ascii="Times New Roman" w:hAnsi="Times New Roman" w:eastAsia="Times New Roman"/>
                <w:color w:val="auto"/>
                <w:spacing w:val="-1"/>
                <w:highlight w:val="none"/>
              </w:rPr>
              <w:t>3</w:t>
            </w:r>
          </w:p>
        </w:tc>
        <w:tc>
          <w:tcPr>
            <w:tcW w:w="3547" w:type="dxa"/>
          </w:tcPr>
          <w:p w14:paraId="6CEE36C0">
            <w:pPr>
              <w:spacing w:before="170" w:line="288" w:lineRule="auto"/>
              <w:ind w:left="1533"/>
              <w:rPr>
                <w:rFonts w:ascii="宋体" w:hAnsi="宋体" w:eastAsia="宋体"/>
                <w:color w:val="auto"/>
                <w:spacing w:val="-2"/>
                <w:highlight w:val="none"/>
              </w:rPr>
            </w:pPr>
            <w:r>
              <w:rPr>
                <w:rFonts w:ascii="宋体" w:hAnsi="宋体" w:eastAsia="宋体"/>
                <w:color w:val="auto"/>
                <w:spacing w:val="-2"/>
                <w:highlight w:val="none"/>
              </w:rPr>
              <w:t>报</w:t>
            </w:r>
            <w:r>
              <w:rPr>
                <w:rFonts w:ascii="宋体" w:hAnsi="宋体" w:eastAsia="宋体"/>
                <w:color w:val="auto"/>
                <w:spacing w:val="-1"/>
                <w:highlight w:val="none"/>
              </w:rPr>
              <w:t>价方式</w:t>
            </w:r>
          </w:p>
        </w:tc>
        <w:tc>
          <w:tcPr>
            <w:tcW w:w="4610" w:type="dxa"/>
            <w:vAlign w:val="center"/>
          </w:tcPr>
          <w:p w14:paraId="4080B34C">
            <w:pPr>
              <w:spacing w:line="288" w:lineRule="auto"/>
              <w:ind w:left="105" w:leftChars="50" w:right="105" w:rightChars="50"/>
              <w:jc w:val="both"/>
              <w:rPr>
                <w:rFonts w:ascii="宋体" w:hAnsi="宋体"/>
                <w:color w:val="auto"/>
                <w:highlight w:val="none"/>
                <w:u w:val="single"/>
              </w:rPr>
            </w:pPr>
            <w:r>
              <w:rPr>
                <w:rFonts w:hint="eastAsia" w:ascii="宋体" w:hAnsi="宋体"/>
                <w:color w:val="auto"/>
                <w:highlight w:val="none"/>
                <w:u w:val="single"/>
              </w:rPr>
              <w:t>投标人根据企业自身情况进行报价，报价不得超过本项目最高投标限价，超过的投标将被否决。在评标过程中，评标委员会发现投标人的报价明显低于其他投标报价，使得其投标报价可能低于其个别成本的，应当要求该投标人作出书面说明并提供相关证明材料。投标人不能合理说明或者不能提供相关证明材料的，由评标委员会认定该投标人以低于成本报价竞标，应当否决其投标。</w:t>
            </w:r>
          </w:p>
        </w:tc>
      </w:tr>
      <w:tr w14:paraId="146594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91" w:hRule="atLeast"/>
        </w:trPr>
        <w:tc>
          <w:tcPr>
            <w:tcW w:w="1169" w:type="dxa"/>
          </w:tcPr>
          <w:p w14:paraId="2A5C8B08">
            <w:pPr>
              <w:spacing w:line="288" w:lineRule="auto"/>
              <w:rPr>
                <w:color w:val="auto"/>
                <w:highlight w:val="none"/>
              </w:rPr>
            </w:pPr>
          </w:p>
          <w:p w14:paraId="5581C0A9">
            <w:pPr>
              <w:spacing w:before="60" w:line="288" w:lineRule="auto"/>
              <w:ind w:left="380"/>
              <w:rPr>
                <w:rFonts w:ascii="Times New Roman" w:hAnsi="Times New Roman" w:eastAsia="Times New Roman"/>
                <w:color w:val="auto"/>
                <w:spacing w:val="-2"/>
                <w:highlight w:val="none"/>
              </w:rPr>
            </w:pPr>
            <w:r>
              <w:rPr>
                <w:rFonts w:ascii="Times New Roman" w:hAnsi="Times New Roman" w:eastAsia="Times New Roman"/>
                <w:color w:val="auto"/>
                <w:spacing w:val="-2"/>
                <w:highlight w:val="none"/>
              </w:rPr>
              <w:t>3.2.</w:t>
            </w:r>
            <w:r>
              <w:rPr>
                <w:rFonts w:ascii="Times New Roman" w:hAnsi="Times New Roman" w:eastAsia="Times New Roman"/>
                <w:color w:val="auto"/>
                <w:spacing w:val="-1"/>
                <w:highlight w:val="none"/>
              </w:rPr>
              <w:t>4</w:t>
            </w:r>
          </w:p>
        </w:tc>
        <w:tc>
          <w:tcPr>
            <w:tcW w:w="3547" w:type="dxa"/>
            <w:vAlign w:val="center"/>
          </w:tcPr>
          <w:p w14:paraId="53057F06">
            <w:pPr>
              <w:spacing w:before="69" w:line="288" w:lineRule="auto"/>
              <w:jc w:val="center"/>
              <w:rPr>
                <w:rFonts w:ascii="宋体" w:hAnsi="宋体" w:eastAsia="宋体"/>
                <w:color w:val="auto"/>
                <w:spacing w:val="-2"/>
                <w:highlight w:val="none"/>
              </w:rPr>
            </w:pPr>
            <w:r>
              <w:rPr>
                <w:rFonts w:ascii="宋体" w:hAnsi="宋体" w:eastAsia="宋体"/>
                <w:color w:val="auto"/>
                <w:spacing w:val="-2"/>
                <w:highlight w:val="none"/>
              </w:rPr>
              <w:t>最高投</w:t>
            </w:r>
            <w:r>
              <w:rPr>
                <w:rFonts w:ascii="宋体" w:hAnsi="宋体" w:eastAsia="宋体"/>
                <w:color w:val="auto"/>
                <w:spacing w:val="-1"/>
                <w:highlight w:val="none"/>
              </w:rPr>
              <w:t>标限价</w:t>
            </w:r>
          </w:p>
        </w:tc>
        <w:tc>
          <w:tcPr>
            <w:tcW w:w="4610" w:type="dxa"/>
          </w:tcPr>
          <w:p w14:paraId="2A562B38">
            <w:pPr>
              <w:spacing w:before="171" w:line="288" w:lineRule="auto"/>
              <w:ind w:left="105" w:leftChars="50" w:right="105" w:rightChars="50"/>
              <w:rPr>
                <w:rFonts w:ascii="Times New Roman" w:hAnsi="Times New Roman" w:eastAsia="宋体"/>
                <w:color w:val="auto"/>
                <w:spacing w:val="-9"/>
                <w:sz w:val="31"/>
                <w:szCs w:val="31"/>
                <w:highlight w:val="none"/>
              </w:rPr>
            </w:pPr>
            <w:r>
              <w:rPr>
                <w:rFonts w:hint="eastAsia" w:ascii="Times New Roman" w:hAnsi="Times New Roman" w:eastAsia="宋体"/>
                <w:color w:val="auto"/>
                <w:spacing w:val="-9"/>
                <w:sz w:val="31"/>
                <w:szCs w:val="31"/>
                <w:highlight w:val="none"/>
              </w:rPr>
              <w:t>□</w:t>
            </w:r>
            <w:r>
              <w:rPr>
                <w:rFonts w:ascii="宋体" w:hAnsi="宋体" w:eastAsia="宋体"/>
                <w:color w:val="auto"/>
                <w:spacing w:val="-8"/>
                <w:highlight w:val="none"/>
              </w:rPr>
              <w:t>无</w:t>
            </w:r>
          </w:p>
          <w:p w14:paraId="710B3517">
            <w:pPr>
              <w:spacing w:line="288" w:lineRule="auto"/>
              <w:ind w:left="401" w:leftChars="50" w:right="105" w:rightChars="50" w:hanging="296" w:hangingChars="100"/>
              <w:rPr>
                <w:rFonts w:ascii="Times New Roman" w:hAnsi="Times New Roman" w:eastAsia="Times New Roman"/>
                <w:color w:val="auto"/>
                <w:spacing w:val="-7"/>
                <w:sz w:val="31"/>
                <w:szCs w:val="31"/>
                <w:highlight w:val="none"/>
              </w:rPr>
            </w:pPr>
            <w:r>
              <w:rPr>
                <w:rFonts w:ascii="Times New Roman" w:hAnsi="Times New Roman" w:eastAsia="Times New Roman"/>
                <w:color w:val="auto"/>
                <w:spacing w:val="-7"/>
                <w:sz w:val="31"/>
                <w:szCs w:val="31"/>
                <w:highlight w:val="none"/>
              </w:rPr>
              <w:sym w:font="Wingdings 2" w:char="F052"/>
            </w:r>
            <w:r>
              <w:rPr>
                <w:rFonts w:ascii="宋体" w:hAnsi="宋体" w:eastAsia="宋体"/>
                <w:color w:val="auto"/>
                <w:spacing w:val="-6"/>
                <w:highlight w:val="none"/>
              </w:rPr>
              <w:t>有，最高投标限价：</w:t>
            </w:r>
          </w:p>
          <w:p w14:paraId="71B365E3">
            <w:pPr>
              <w:spacing w:line="288" w:lineRule="auto"/>
              <w:ind w:left="105" w:leftChars="50" w:right="105" w:rightChars="50"/>
              <w:rPr>
                <w:rFonts w:ascii="宋体" w:hAnsi="宋体" w:eastAsiaTheme="minorEastAsia"/>
                <w:color w:val="auto"/>
                <w:highlight w:val="none"/>
              </w:rPr>
            </w:pPr>
            <w:r>
              <w:rPr>
                <w:rFonts w:hint="eastAsia" w:ascii="宋体" w:hAnsi="宋体"/>
                <w:color w:val="auto"/>
                <w:highlight w:val="none"/>
              </w:rPr>
              <w:t>本次招标</w:t>
            </w:r>
            <w:r>
              <w:rPr>
                <w:rFonts w:hint="eastAsia" w:ascii="宋体" w:hAnsi="宋体" w:eastAsia="宋体"/>
                <w:color w:val="auto"/>
                <w:highlight w:val="none"/>
              </w:rPr>
              <w:t>设计费</w:t>
            </w:r>
            <w:r>
              <w:rPr>
                <w:rFonts w:ascii="宋体" w:hAnsi="宋体"/>
                <w:color w:val="auto"/>
                <w:highlight w:val="none"/>
              </w:rPr>
              <w:t>高投标限价</w:t>
            </w:r>
            <w:r>
              <w:rPr>
                <w:rFonts w:hint="eastAsia" w:ascii="宋体" w:hAnsi="宋体"/>
                <w:color w:val="auto"/>
                <w:highlight w:val="none"/>
              </w:rPr>
              <w:t>为</w:t>
            </w:r>
            <w:r>
              <w:rPr>
                <w:rFonts w:hint="eastAsia" w:ascii="宋体" w:hAnsi="宋体" w:eastAsia="宋体"/>
                <w:color w:val="auto"/>
                <w:highlight w:val="none"/>
                <w:u w:val="single"/>
              </w:rPr>
              <w:t xml:space="preserve"> 677.74 </w:t>
            </w:r>
            <w:r>
              <w:rPr>
                <w:rFonts w:hint="eastAsia" w:ascii="宋体" w:hAnsi="宋体" w:eastAsia="宋体"/>
                <w:color w:val="auto"/>
                <w:highlight w:val="none"/>
              </w:rPr>
              <w:t>万</w:t>
            </w:r>
            <w:r>
              <w:rPr>
                <w:rFonts w:hint="eastAsia" w:ascii="宋体" w:hAnsi="宋体"/>
                <w:color w:val="auto"/>
                <w:highlight w:val="none"/>
              </w:rPr>
              <w:t>元。</w:t>
            </w:r>
          </w:p>
        </w:tc>
      </w:tr>
      <w:tr w14:paraId="624611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169" w:type="dxa"/>
          </w:tcPr>
          <w:p w14:paraId="2F987A74">
            <w:pPr>
              <w:spacing w:before="210" w:line="288" w:lineRule="auto"/>
              <w:ind w:left="380"/>
              <w:rPr>
                <w:rFonts w:ascii="Times New Roman" w:hAnsi="Times New Roman" w:eastAsia="Times New Roman"/>
                <w:color w:val="auto"/>
                <w:spacing w:val="-2"/>
                <w:highlight w:val="none"/>
              </w:rPr>
            </w:pPr>
            <w:r>
              <w:rPr>
                <w:rFonts w:ascii="Times New Roman" w:hAnsi="Times New Roman" w:eastAsia="Times New Roman"/>
                <w:color w:val="auto"/>
                <w:spacing w:val="-2"/>
                <w:highlight w:val="none"/>
              </w:rPr>
              <w:t>3.2.</w:t>
            </w:r>
            <w:r>
              <w:rPr>
                <w:rFonts w:ascii="Times New Roman" w:hAnsi="Times New Roman" w:eastAsia="Times New Roman"/>
                <w:color w:val="auto"/>
                <w:spacing w:val="-1"/>
                <w:highlight w:val="none"/>
              </w:rPr>
              <w:t>5</w:t>
            </w:r>
          </w:p>
        </w:tc>
        <w:tc>
          <w:tcPr>
            <w:tcW w:w="3547" w:type="dxa"/>
            <w:vAlign w:val="center"/>
          </w:tcPr>
          <w:p w14:paraId="10D7029A">
            <w:pPr>
              <w:spacing w:before="172" w:line="288" w:lineRule="auto"/>
              <w:jc w:val="center"/>
              <w:rPr>
                <w:rFonts w:ascii="宋体" w:hAnsi="宋体" w:eastAsia="宋体"/>
                <w:color w:val="auto"/>
                <w:spacing w:val="-2"/>
                <w:highlight w:val="none"/>
              </w:rPr>
            </w:pPr>
            <w:r>
              <w:rPr>
                <w:rFonts w:ascii="宋体" w:hAnsi="宋体" w:eastAsia="宋体"/>
                <w:color w:val="auto"/>
                <w:spacing w:val="-2"/>
                <w:highlight w:val="none"/>
              </w:rPr>
              <w:t>投</w:t>
            </w:r>
            <w:r>
              <w:rPr>
                <w:rFonts w:ascii="宋体" w:hAnsi="宋体" w:eastAsia="宋体"/>
                <w:color w:val="auto"/>
                <w:spacing w:val="-1"/>
                <w:highlight w:val="none"/>
              </w:rPr>
              <w:t>标报价的其他要求</w:t>
            </w:r>
          </w:p>
        </w:tc>
        <w:tc>
          <w:tcPr>
            <w:tcW w:w="4610" w:type="dxa"/>
          </w:tcPr>
          <w:p w14:paraId="1AC506AE">
            <w:pPr>
              <w:spacing w:line="288" w:lineRule="auto"/>
              <w:ind w:left="105" w:leftChars="50" w:right="105" w:rightChars="50"/>
              <w:rPr>
                <w:rFonts w:eastAsiaTheme="minorEastAsia"/>
                <w:color w:val="auto"/>
                <w:highlight w:val="none"/>
                <w:u w:val="single"/>
              </w:rPr>
            </w:pPr>
            <w:r>
              <w:rPr>
                <w:rFonts w:hint="eastAsia"/>
                <w:color w:val="auto"/>
                <w:highlight w:val="none"/>
                <w:u w:val="single"/>
              </w:rPr>
              <w:t>投标人必须详细审阅全部招标文件，充分考虑职责和义务，全面地理解招标文件对投标报价的要求，并按招标人提出的条件及内容进行报价。</w:t>
            </w:r>
          </w:p>
        </w:tc>
      </w:tr>
      <w:tr w14:paraId="6A21A8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8" w:hRule="atLeast"/>
        </w:trPr>
        <w:tc>
          <w:tcPr>
            <w:tcW w:w="1169" w:type="dxa"/>
          </w:tcPr>
          <w:p w14:paraId="1C26B792">
            <w:pPr>
              <w:spacing w:before="210" w:line="288" w:lineRule="auto"/>
              <w:ind w:left="380"/>
              <w:rPr>
                <w:rFonts w:ascii="Times New Roman" w:hAnsi="Times New Roman" w:eastAsia="Times New Roman"/>
                <w:color w:val="auto"/>
                <w:spacing w:val="-2"/>
                <w:highlight w:val="none"/>
              </w:rPr>
            </w:pPr>
            <w:r>
              <w:rPr>
                <w:rFonts w:ascii="Times New Roman" w:hAnsi="Times New Roman" w:eastAsia="Times New Roman"/>
                <w:color w:val="auto"/>
                <w:spacing w:val="-2"/>
                <w:highlight w:val="none"/>
              </w:rPr>
              <w:t>3.3.</w:t>
            </w:r>
            <w:r>
              <w:rPr>
                <w:rFonts w:ascii="Times New Roman" w:hAnsi="Times New Roman" w:eastAsia="Times New Roman"/>
                <w:color w:val="auto"/>
                <w:spacing w:val="-1"/>
                <w:highlight w:val="none"/>
              </w:rPr>
              <w:t>1</w:t>
            </w:r>
          </w:p>
        </w:tc>
        <w:tc>
          <w:tcPr>
            <w:tcW w:w="3547" w:type="dxa"/>
          </w:tcPr>
          <w:p w14:paraId="17ABCE1A">
            <w:pPr>
              <w:spacing w:before="172" w:line="288" w:lineRule="auto"/>
              <w:ind w:left="1433"/>
              <w:rPr>
                <w:rFonts w:ascii="宋体" w:hAnsi="宋体" w:eastAsia="宋体"/>
                <w:color w:val="auto"/>
                <w:spacing w:val="-2"/>
                <w:highlight w:val="none"/>
              </w:rPr>
            </w:pPr>
            <w:r>
              <w:rPr>
                <w:rFonts w:ascii="宋体" w:hAnsi="宋体" w:eastAsia="宋体"/>
                <w:color w:val="auto"/>
                <w:spacing w:val="-2"/>
                <w:highlight w:val="none"/>
              </w:rPr>
              <w:t>投标有效</w:t>
            </w:r>
            <w:r>
              <w:rPr>
                <w:rFonts w:ascii="宋体" w:hAnsi="宋体" w:eastAsia="宋体"/>
                <w:color w:val="auto"/>
                <w:spacing w:val="-1"/>
                <w:highlight w:val="none"/>
              </w:rPr>
              <w:t>期</w:t>
            </w:r>
          </w:p>
        </w:tc>
        <w:tc>
          <w:tcPr>
            <w:tcW w:w="4610" w:type="dxa"/>
            <w:vAlign w:val="center"/>
          </w:tcPr>
          <w:p w14:paraId="37898D47">
            <w:pPr>
              <w:spacing w:line="288" w:lineRule="auto"/>
              <w:ind w:left="105" w:leftChars="50" w:right="105" w:rightChars="50"/>
              <w:jc w:val="both"/>
              <w:rPr>
                <w:rFonts w:eastAsia="宋体"/>
                <w:color w:val="auto"/>
                <w:highlight w:val="none"/>
                <w:u w:val="single"/>
              </w:rPr>
            </w:pPr>
            <w:r>
              <w:rPr>
                <w:rFonts w:hint="eastAsia" w:eastAsia="宋体"/>
                <w:color w:val="auto"/>
                <w:highlight w:val="none"/>
                <w:u w:val="single"/>
              </w:rPr>
              <w:t>90</w:t>
            </w:r>
            <w:r>
              <w:rPr>
                <w:rFonts w:hint="eastAsia"/>
                <w:color w:val="auto"/>
                <w:highlight w:val="none"/>
              </w:rPr>
              <w:t>日历天（从投标截止之日计起）</w:t>
            </w:r>
          </w:p>
        </w:tc>
      </w:tr>
      <w:tr w14:paraId="46A967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0" w:hRule="atLeast"/>
        </w:trPr>
        <w:tc>
          <w:tcPr>
            <w:tcW w:w="1169" w:type="dxa"/>
          </w:tcPr>
          <w:p w14:paraId="65CBEE1F">
            <w:pPr>
              <w:spacing w:line="288" w:lineRule="auto"/>
              <w:rPr>
                <w:color w:val="auto"/>
                <w:highlight w:val="none"/>
              </w:rPr>
            </w:pPr>
          </w:p>
          <w:p w14:paraId="3B55BC8F">
            <w:pPr>
              <w:spacing w:line="288" w:lineRule="auto"/>
              <w:rPr>
                <w:color w:val="auto"/>
                <w:highlight w:val="none"/>
              </w:rPr>
            </w:pPr>
          </w:p>
          <w:p w14:paraId="48D50FA8">
            <w:pPr>
              <w:spacing w:line="288" w:lineRule="auto"/>
              <w:rPr>
                <w:color w:val="auto"/>
                <w:highlight w:val="none"/>
              </w:rPr>
            </w:pPr>
          </w:p>
          <w:p w14:paraId="21BD9F62">
            <w:pPr>
              <w:spacing w:before="60" w:line="288" w:lineRule="auto"/>
              <w:ind w:left="380"/>
              <w:rPr>
                <w:rFonts w:ascii="Times New Roman" w:hAnsi="Times New Roman" w:eastAsia="Times New Roman"/>
                <w:color w:val="auto"/>
                <w:spacing w:val="-2"/>
                <w:highlight w:val="none"/>
              </w:rPr>
            </w:pPr>
            <w:r>
              <w:rPr>
                <w:rFonts w:ascii="Times New Roman" w:hAnsi="Times New Roman" w:eastAsia="Times New Roman"/>
                <w:color w:val="auto"/>
                <w:spacing w:val="-2"/>
                <w:highlight w:val="none"/>
              </w:rPr>
              <w:t>3.4.</w:t>
            </w:r>
            <w:r>
              <w:rPr>
                <w:rFonts w:ascii="Times New Roman" w:hAnsi="Times New Roman" w:eastAsia="Times New Roman"/>
                <w:color w:val="auto"/>
                <w:spacing w:val="-1"/>
                <w:highlight w:val="none"/>
              </w:rPr>
              <w:t>1</w:t>
            </w:r>
          </w:p>
        </w:tc>
        <w:tc>
          <w:tcPr>
            <w:tcW w:w="3547" w:type="dxa"/>
          </w:tcPr>
          <w:p w14:paraId="7539EA32">
            <w:pPr>
              <w:spacing w:line="288" w:lineRule="auto"/>
              <w:rPr>
                <w:color w:val="auto"/>
                <w:highlight w:val="none"/>
              </w:rPr>
            </w:pPr>
          </w:p>
          <w:p w14:paraId="6BF1D8ED">
            <w:pPr>
              <w:spacing w:line="288" w:lineRule="auto"/>
              <w:rPr>
                <w:color w:val="auto"/>
                <w:highlight w:val="none"/>
              </w:rPr>
            </w:pPr>
          </w:p>
          <w:p w14:paraId="150D2300">
            <w:pPr>
              <w:spacing w:before="68" w:line="288" w:lineRule="auto"/>
              <w:ind w:left="1433"/>
              <w:rPr>
                <w:rFonts w:ascii="宋体" w:hAnsi="宋体" w:eastAsia="宋体"/>
                <w:color w:val="auto"/>
                <w:spacing w:val="-2"/>
                <w:highlight w:val="none"/>
              </w:rPr>
            </w:pPr>
            <w:r>
              <w:rPr>
                <w:rFonts w:ascii="宋体" w:hAnsi="宋体" w:eastAsia="宋体"/>
                <w:color w:val="auto"/>
                <w:spacing w:val="-2"/>
                <w:highlight w:val="none"/>
              </w:rPr>
              <w:t>投标保证</w:t>
            </w:r>
            <w:r>
              <w:rPr>
                <w:rFonts w:ascii="宋体" w:hAnsi="宋体" w:eastAsia="宋体"/>
                <w:color w:val="auto"/>
                <w:spacing w:val="-1"/>
                <w:highlight w:val="none"/>
              </w:rPr>
              <w:t>金</w:t>
            </w:r>
          </w:p>
        </w:tc>
        <w:tc>
          <w:tcPr>
            <w:tcW w:w="4610" w:type="dxa"/>
          </w:tcPr>
          <w:p w14:paraId="28427F58">
            <w:pPr>
              <w:spacing w:before="139" w:line="288" w:lineRule="auto"/>
              <w:ind w:left="105" w:leftChars="50" w:right="105" w:rightChars="50"/>
              <w:rPr>
                <w:rFonts w:ascii="宋体" w:hAnsi="宋体" w:eastAsia="宋体"/>
                <w:color w:val="auto"/>
                <w:spacing w:val="-6"/>
                <w:highlight w:val="none"/>
              </w:rPr>
            </w:pPr>
            <w:r>
              <w:rPr>
                <w:rFonts w:ascii="宋体" w:hAnsi="宋体" w:eastAsia="宋体"/>
                <w:color w:val="auto"/>
                <w:spacing w:val="-6"/>
                <w:highlight w:val="none"/>
              </w:rPr>
              <w:t>是否要</w:t>
            </w:r>
            <w:r>
              <w:rPr>
                <w:rFonts w:ascii="宋体" w:hAnsi="宋体" w:eastAsia="宋体"/>
                <w:color w:val="auto"/>
                <w:spacing w:val="-5"/>
                <w:highlight w:val="none"/>
              </w:rPr>
              <w:t>求</w:t>
            </w:r>
            <w:r>
              <w:rPr>
                <w:rFonts w:ascii="宋体" w:hAnsi="宋体" w:eastAsia="宋体"/>
                <w:color w:val="auto"/>
                <w:spacing w:val="-3"/>
                <w:highlight w:val="none"/>
              </w:rPr>
              <w:t>投标人递交投标保证金：</w:t>
            </w:r>
          </w:p>
          <w:p w14:paraId="548A4C02">
            <w:pPr>
              <w:spacing w:before="151" w:line="288" w:lineRule="auto"/>
              <w:ind w:left="105" w:leftChars="50" w:right="105" w:rightChars="50"/>
              <w:rPr>
                <w:rFonts w:ascii="Times New Roman" w:hAnsi="Times New Roman" w:eastAsia="Times New Roman"/>
                <w:color w:val="auto"/>
                <w:spacing w:val="-6"/>
                <w:sz w:val="31"/>
                <w:szCs w:val="31"/>
                <w:highlight w:val="none"/>
              </w:rPr>
            </w:pPr>
            <w:r>
              <w:rPr>
                <w:rFonts w:ascii="Times New Roman" w:hAnsi="Times New Roman" w:eastAsia="Times New Roman"/>
                <w:color w:val="auto"/>
                <w:spacing w:val="-6"/>
                <w:sz w:val="31"/>
                <w:szCs w:val="31"/>
                <w:highlight w:val="none"/>
              </w:rPr>
              <w:sym w:font="Wingdings 2" w:char="F052"/>
            </w:r>
            <w:r>
              <w:rPr>
                <w:rFonts w:ascii="宋体" w:hAnsi="宋体" w:eastAsia="宋体"/>
                <w:color w:val="auto"/>
                <w:spacing w:val="-3"/>
                <w:highlight w:val="none"/>
              </w:rPr>
              <w:t>不要求</w:t>
            </w:r>
          </w:p>
          <w:p w14:paraId="527334FE">
            <w:pPr>
              <w:spacing w:before="147" w:line="288" w:lineRule="auto"/>
              <w:ind w:left="932" w:leftChars="50" w:right="105" w:rightChars="50" w:hanging="827"/>
              <w:rPr>
                <w:rFonts w:ascii="Times New Roman" w:hAnsi="Times New Roman" w:eastAsia="宋体"/>
                <w:color w:val="auto"/>
                <w:spacing w:val="-7"/>
                <w:sz w:val="31"/>
                <w:szCs w:val="31"/>
                <w:highlight w:val="none"/>
              </w:rPr>
            </w:pPr>
            <w:r>
              <w:rPr>
                <w:rFonts w:hint="eastAsia" w:ascii="Times New Roman" w:hAnsi="Times New Roman" w:eastAsia="宋体"/>
                <w:color w:val="auto"/>
                <w:spacing w:val="-7"/>
                <w:sz w:val="31"/>
                <w:szCs w:val="31"/>
                <w:highlight w:val="none"/>
              </w:rPr>
              <w:t>□</w:t>
            </w:r>
            <w:r>
              <w:rPr>
                <w:rFonts w:ascii="宋体" w:hAnsi="宋体" w:eastAsia="宋体"/>
                <w:color w:val="auto"/>
                <w:spacing w:val="-5"/>
                <w:highlight w:val="none"/>
              </w:rPr>
              <w:t>要求，投标保证金的形式：</w:t>
            </w:r>
            <w:r>
              <w:rPr>
                <w:rFonts w:ascii="宋体" w:hAnsi="宋体" w:eastAsia="宋体"/>
                <w:color w:val="auto"/>
                <w:highlight w:val="none"/>
              </w:rPr>
              <w:t xml:space="preserve"> </w:t>
            </w:r>
          </w:p>
          <w:p w14:paraId="117A3964">
            <w:pPr>
              <w:spacing w:line="288" w:lineRule="auto"/>
              <w:ind w:left="105" w:leftChars="50" w:right="105" w:rightChars="50"/>
              <w:rPr>
                <w:rFonts w:ascii="宋体" w:hAnsi="宋体" w:eastAsia="宋体"/>
                <w:color w:val="auto"/>
                <w:spacing w:val="-12"/>
                <w:highlight w:val="none"/>
              </w:rPr>
            </w:pPr>
            <w:r>
              <w:rPr>
                <w:rFonts w:ascii="宋体" w:hAnsi="宋体" w:eastAsia="宋体"/>
                <w:color w:val="auto"/>
                <w:spacing w:val="-12"/>
                <w:highlight w:val="none"/>
              </w:rPr>
              <w:t>投</w:t>
            </w:r>
            <w:r>
              <w:rPr>
                <w:rFonts w:ascii="宋体" w:hAnsi="宋体" w:eastAsia="宋体"/>
                <w:color w:val="auto"/>
                <w:spacing w:val="-6"/>
                <w:highlight w:val="none"/>
              </w:rPr>
              <w:t>标保证金的金额：</w:t>
            </w:r>
          </w:p>
          <w:p w14:paraId="77C6EEAB">
            <w:pPr>
              <w:pStyle w:val="37"/>
              <w:widowControl w:val="0"/>
              <w:kinsoku/>
              <w:autoSpaceDE/>
              <w:autoSpaceDN/>
              <w:snapToGrid/>
              <w:spacing w:line="288" w:lineRule="auto"/>
              <w:ind w:left="105" w:leftChars="50" w:right="105" w:rightChars="50"/>
              <w:jc w:val="both"/>
              <w:rPr>
                <w:rFonts w:hAnsi="宋体" w:eastAsia="宋体"/>
                <w:color w:val="auto"/>
                <w:szCs w:val="21"/>
                <w:highlight w:val="none"/>
              </w:rPr>
            </w:pPr>
            <w:r>
              <w:rPr>
                <w:rFonts w:hint="eastAsia" w:hAnsi="宋体" w:eastAsia="宋体"/>
                <w:color w:val="auto"/>
                <w:szCs w:val="21"/>
                <w:highlight w:val="none"/>
              </w:rPr>
              <w:t>注：1、投标保证金不得超过招标项目设计估算费用的2%。投标保证金有效期应当与投标有效期一致。（投标保证金金额根据①《中华人民共和国招标投标法实施条例》第二十六条和《工程建设项目勘察设计招标投标办法》（2013年修订）第二十四条（注：给排水项目选择此项）。或②《中华人民共和国招标投标法实施条例》第二十六条、《工程建设项目勘察设计招标投标办法》（2013年修订）第二十四条和《水利工程建设项目招标投标管理规定》(水利部第14号令)第二十五条（注：水利项目选择此项）。）</w:t>
            </w:r>
          </w:p>
          <w:p w14:paraId="5B8ABDC3">
            <w:pPr>
              <w:pStyle w:val="37"/>
              <w:widowControl w:val="0"/>
              <w:kinsoku/>
              <w:autoSpaceDE/>
              <w:autoSpaceDN/>
              <w:snapToGrid/>
              <w:spacing w:line="288" w:lineRule="auto"/>
              <w:ind w:left="105" w:leftChars="50" w:right="105" w:rightChars="50"/>
              <w:jc w:val="both"/>
              <w:rPr>
                <w:rFonts w:hAnsi="宋体" w:eastAsia="宋体"/>
                <w:color w:val="auto"/>
                <w:szCs w:val="21"/>
                <w:highlight w:val="none"/>
              </w:rPr>
            </w:pPr>
            <w:r>
              <w:rPr>
                <w:rFonts w:hint="eastAsia" w:hAnsi="宋体" w:eastAsia="宋体"/>
                <w:color w:val="auto"/>
                <w:szCs w:val="21"/>
                <w:highlight w:val="none"/>
              </w:rPr>
              <w:t>2、按照广东省发展改革委等7部门《关于规范招投标领域工程建设保证金收取有关工作的通知》（粤发改法规函〔2022〕1178号）、《广东省发展和改革委员会等部门转发关于完善招标投标交易担保制度进一步降低招标投标交易成本的通知》（粤发改法规函〔2023〕460号）、《广东省政府采购促进中小企业发展实施细则（试行）》（粤财采购〔2022〕10号）、《广州市人民政府办公厅关于印发广州市建设国际一流营商环境标杆城市助力产业高质量发展行动方案的通知》（穗府办函〔2023〕37号）等相关文件要求，规范涉企保证金收取和清退工作，全面推行保函替代现金保证金，免收政府投资项目投标保证金，鼓励政府投资项目以外的招标项目减免投标保证金。</w:t>
            </w:r>
          </w:p>
        </w:tc>
      </w:tr>
      <w:tr w14:paraId="2B4B3F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1" w:hRule="atLeast"/>
        </w:trPr>
        <w:tc>
          <w:tcPr>
            <w:tcW w:w="1169" w:type="dxa"/>
          </w:tcPr>
          <w:p w14:paraId="4EEBC54B">
            <w:pPr>
              <w:spacing w:line="288" w:lineRule="auto"/>
              <w:rPr>
                <w:color w:val="auto"/>
                <w:highlight w:val="none"/>
              </w:rPr>
            </w:pPr>
          </w:p>
          <w:p w14:paraId="2D444757">
            <w:pPr>
              <w:spacing w:before="60" w:line="288" w:lineRule="auto"/>
              <w:ind w:left="458"/>
              <w:rPr>
                <w:rFonts w:ascii="Times New Roman" w:hAnsi="Times New Roman" w:eastAsia="Times New Roman"/>
                <w:color w:val="auto"/>
                <w:spacing w:val="-2"/>
                <w:highlight w:val="none"/>
              </w:rPr>
            </w:pPr>
            <w:r>
              <w:rPr>
                <w:rFonts w:ascii="Times New Roman" w:hAnsi="Times New Roman" w:eastAsia="Times New Roman"/>
                <w:color w:val="auto"/>
                <w:spacing w:val="-2"/>
                <w:highlight w:val="none"/>
              </w:rPr>
              <w:t>3.</w:t>
            </w:r>
            <w:r>
              <w:rPr>
                <w:rFonts w:ascii="Times New Roman" w:hAnsi="Times New Roman" w:eastAsia="Times New Roman"/>
                <w:color w:val="auto"/>
                <w:spacing w:val="-1"/>
                <w:highlight w:val="none"/>
              </w:rPr>
              <w:t>5</w:t>
            </w:r>
          </w:p>
        </w:tc>
        <w:tc>
          <w:tcPr>
            <w:tcW w:w="3547" w:type="dxa"/>
          </w:tcPr>
          <w:p w14:paraId="502168B4">
            <w:pPr>
              <w:spacing w:line="288" w:lineRule="auto"/>
              <w:rPr>
                <w:color w:val="auto"/>
                <w:highlight w:val="none"/>
              </w:rPr>
            </w:pPr>
          </w:p>
          <w:p w14:paraId="2DA5B0AC">
            <w:pPr>
              <w:spacing w:before="68" w:line="288" w:lineRule="auto"/>
              <w:ind w:left="810"/>
              <w:rPr>
                <w:rFonts w:ascii="宋体" w:hAnsi="宋体" w:eastAsia="宋体"/>
                <w:color w:val="auto"/>
                <w:spacing w:val="-2"/>
                <w:highlight w:val="none"/>
              </w:rPr>
            </w:pPr>
            <w:r>
              <w:rPr>
                <w:rFonts w:ascii="宋体" w:hAnsi="宋体" w:eastAsia="宋体"/>
                <w:color w:val="auto"/>
                <w:spacing w:val="-2"/>
                <w:highlight w:val="none"/>
              </w:rPr>
              <w:t>资格审查资</w:t>
            </w:r>
            <w:r>
              <w:rPr>
                <w:rFonts w:ascii="宋体" w:hAnsi="宋体" w:eastAsia="宋体"/>
                <w:color w:val="auto"/>
                <w:spacing w:val="-1"/>
                <w:highlight w:val="none"/>
              </w:rPr>
              <w:t>料的特殊要求</w:t>
            </w:r>
          </w:p>
        </w:tc>
        <w:tc>
          <w:tcPr>
            <w:tcW w:w="4610" w:type="dxa"/>
          </w:tcPr>
          <w:p w14:paraId="1332C7B0">
            <w:pPr>
              <w:spacing w:before="194" w:line="288" w:lineRule="auto"/>
              <w:ind w:left="105" w:leftChars="50" w:right="105" w:rightChars="50"/>
              <w:rPr>
                <w:rFonts w:ascii="Times New Roman" w:hAnsi="Times New Roman" w:eastAsia="Times New Roman"/>
                <w:color w:val="auto"/>
                <w:spacing w:val="-9"/>
                <w:sz w:val="31"/>
                <w:szCs w:val="31"/>
                <w:highlight w:val="none"/>
              </w:rPr>
            </w:pPr>
            <w:r>
              <w:rPr>
                <w:rFonts w:ascii="Times New Roman" w:hAnsi="Times New Roman" w:eastAsia="Times New Roman"/>
                <w:color w:val="auto"/>
                <w:spacing w:val="-9"/>
                <w:sz w:val="31"/>
                <w:szCs w:val="31"/>
                <w:highlight w:val="none"/>
              </w:rPr>
              <w:sym w:font="Wingdings 2" w:char="F052"/>
            </w:r>
            <w:r>
              <w:rPr>
                <w:rFonts w:ascii="宋体" w:hAnsi="宋体" w:eastAsia="宋体"/>
                <w:color w:val="auto"/>
                <w:spacing w:val="-8"/>
                <w:highlight w:val="none"/>
              </w:rPr>
              <w:t>无</w:t>
            </w:r>
          </w:p>
          <w:p w14:paraId="6C308BD9">
            <w:pPr>
              <w:spacing w:before="143" w:line="288" w:lineRule="auto"/>
              <w:ind w:left="105" w:leftChars="50" w:right="105" w:rightChars="50"/>
              <w:rPr>
                <w:rFonts w:ascii="Times New Roman" w:hAnsi="Times New Roman" w:eastAsia="Times New Roman"/>
                <w:color w:val="auto"/>
                <w:spacing w:val="-11"/>
                <w:sz w:val="31"/>
                <w:szCs w:val="31"/>
                <w:highlight w:val="none"/>
              </w:rPr>
            </w:pPr>
            <w:r>
              <w:rPr>
                <w:rFonts w:ascii="Times New Roman" w:hAnsi="Times New Roman" w:eastAsia="Times New Roman"/>
                <w:color w:val="auto"/>
                <w:spacing w:val="-11"/>
                <w:sz w:val="31"/>
                <w:szCs w:val="31"/>
                <w:highlight w:val="none"/>
              </w:rPr>
              <w:t>□</w:t>
            </w:r>
            <w:r>
              <w:rPr>
                <w:rFonts w:ascii="宋体" w:hAnsi="宋体" w:eastAsia="宋体"/>
                <w:color w:val="auto"/>
                <w:spacing w:val="-7"/>
                <w:highlight w:val="none"/>
              </w:rPr>
              <w:t>有，具体要求：</w:t>
            </w:r>
          </w:p>
        </w:tc>
      </w:tr>
      <w:tr w14:paraId="3E6B57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1" w:hRule="atLeast"/>
        </w:trPr>
        <w:tc>
          <w:tcPr>
            <w:tcW w:w="1169" w:type="dxa"/>
            <w:vAlign w:val="center"/>
          </w:tcPr>
          <w:p w14:paraId="4F932B1B">
            <w:pPr>
              <w:pStyle w:val="60"/>
              <w:overflowPunct w:val="0"/>
              <w:spacing w:line="288" w:lineRule="auto"/>
              <w:jc w:val="center"/>
              <w:rPr>
                <w:rFonts w:ascii="Times New Roman" w:hAnsi="Times New Roman" w:eastAsia="Times New Roman"/>
                <w:color w:val="auto"/>
                <w:sz w:val="21"/>
                <w:szCs w:val="21"/>
                <w:highlight w:val="none"/>
              </w:rPr>
            </w:pPr>
            <w:r>
              <w:rPr>
                <w:rFonts w:hint="eastAsia" w:ascii="Times New Roman" w:hAnsi="Times New Roman" w:eastAsia="Times New Roman"/>
                <w:color w:val="auto"/>
                <w:sz w:val="21"/>
                <w:szCs w:val="21"/>
                <w:highlight w:val="none"/>
              </w:rPr>
              <w:t>3.5.</w:t>
            </w:r>
            <w:r>
              <w:rPr>
                <w:rFonts w:hint="eastAsia" w:ascii="Times New Roman" w:hAnsi="Times New Roman" w:eastAsia="宋体"/>
                <w:color w:val="auto"/>
                <w:sz w:val="21"/>
                <w:szCs w:val="21"/>
                <w:highlight w:val="none"/>
              </w:rPr>
              <w:t>2</w:t>
            </w:r>
          </w:p>
        </w:tc>
        <w:tc>
          <w:tcPr>
            <w:tcW w:w="3547" w:type="dxa"/>
            <w:vAlign w:val="center"/>
          </w:tcPr>
          <w:p w14:paraId="18CDA849">
            <w:pPr>
              <w:pStyle w:val="60"/>
              <w:overflowPunct w:val="0"/>
              <w:spacing w:line="288" w:lineRule="auto"/>
              <w:jc w:val="both"/>
              <w:rPr>
                <w:rFonts w:ascii="宋体" w:hAnsi="宋体" w:eastAsia="宋体"/>
                <w:color w:val="auto"/>
                <w:sz w:val="21"/>
                <w:szCs w:val="21"/>
                <w:highlight w:val="none"/>
              </w:rPr>
            </w:pPr>
            <w:r>
              <w:rPr>
                <w:rFonts w:ascii="宋体" w:hAnsi="宋体" w:eastAsia="宋体"/>
                <w:color w:val="auto"/>
                <w:sz w:val="21"/>
                <w:szCs w:val="21"/>
                <w:highlight w:val="none"/>
              </w:rPr>
              <w:t>近年完成的类似项目情况的时间要求</w:t>
            </w:r>
          </w:p>
        </w:tc>
        <w:tc>
          <w:tcPr>
            <w:tcW w:w="4610" w:type="dxa"/>
            <w:vAlign w:val="center"/>
          </w:tcPr>
          <w:p w14:paraId="65DC28E8">
            <w:pPr>
              <w:pStyle w:val="60"/>
              <w:tabs>
                <w:tab w:val="left" w:pos="799"/>
                <w:tab w:val="left" w:pos="1569"/>
                <w:tab w:val="left" w:pos="2340"/>
              </w:tabs>
              <w:overflowPunct w:val="0"/>
              <w:spacing w:line="288" w:lineRule="auto"/>
              <w:ind w:left="105" w:leftChars="50" w:right="105" w:rightChars="50"/>
              <w:jc w:val="both"/>
              <w:rPr>
                <w:rFonts w:ascii="Times New Roman" w:hAnsi="Times New Roman" w:eastAsia="Times New Roman"/>
                <w:color w:val="auto"/>
                <w:sz w:val="21"/>
                <w:szCs w:val="21"/>
                <w:highlight w:val="none"/>
                <w:u w:val="single"/>
              </w:rPr>
            </w:pPr>
            <w:r>
              <w:rPr>
                <w:rFonts w:hint="eastAsia" w:ascii="宋体" w:hAnsi="宋体" w:eastAsia="宋体" w:cs="宋体"/>
                <w:color w:val="auto"/>
                <w:sz w:val="21"/>
                <w:szCs w:val="21"/>
                <w:highlight w:val="none"/>
                <w:u w:val="single"/>
              </w:rPr>
              <w:t>2020</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1</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1</w:t>
            </w:r>
            <w:r>
              <w:rPr>
                <w:rFonts w:hint="eastAsia" w:ascii="宋体" w:hAnsi="宋体" w:eastAsia="宋体" w:cs="宋体"/>
                <w:color w:val="auto"/>
                <w:sz w:val="21"/>
                <w:szCs w:val="21"/>
                <w:highlight w:val="none"/>
              </w:rPr>
              <w:t>日至今</w:t>
            </w:r>
          </w:p>
        </w:tc>
      </w:tr>
      <w:tr w14:paraId="62D887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1" w:hRule="atLeast"/>
        </w:trPr>
        <w:tc>
          <w:tcPr>
            <w:tcW w:w="1169" w:type="dxa"/>
          </w:tcPr>
          <w:p w14:paraId="1F80BCAD">
            <w:pPr>
              <w:spacing w:line="288" w:lineRule="auto"/>
              <w:rPr>
                <w:color w:val="auto"/>
                <w:highlight w:val="none"/>
              </w:rPr>
            </w:pPr>
          </w:p>
          <w:p w14:paraId="4B4D0CD1">
            <w:pPr>
              <w:spacing w:before="60" w:line="288" w:lineRule="auto"/>
              <w:ind w:left="380"/>
              <w:rPr>
                <w:rFonts w:ascii="Times New Roman" w:hAnsi="Times New Roman" w:eastAsia="Times New Roman"/>
                <w:color w:val="auto"/>
                <w:spacing w:val="-2"/>
                <w:highlight w:val="none"/>
              </w:rPr>
            </w:pPr>
            <w:r>
              <w:rPr>
                <w:rFonts w:ascii="Times New Roman" w:hAnsi="Times New Roman" w:eastAsia="Times New Roman"/>
                <w:color w:val="auto"/>
                <w:spacing w:val="-2"/>
                <w:highlight w:val="none"/>
              </w:rPr>
              <w:t>3.6.</w:t>
            </w:r>
            <w:r>
              <w:rPr>
                <w:rFonts w:ascii="Times New Roman" w:hAnsi="Times New Roman" w:eastAsia="Times New Roman"/>
                <w:color w:val="auto"/>
                <w:spacing w:val="-1"/>
                <w:highlight w:val="none"/>
              </w:rPr>
              <w:t>1</w:t>
            </w:r>
          </w:p>
        </w:tc>
        <w:tc>
          <w:tcPr>
            <w:tcW w:w="3547" w:type="dxa"/>
          </w:tcPr>
          <w:p w14:paraId="110DD9F5">
            <w:pPr>
              <w:spacing w:line="288" w:lineRule="auto"/>
              <w:rPr>
                <w:color w:val="auto"/>
                <w:highlight w:val="none"/>
              </w:rPr>
            </w:pPr>
          </w:p>
          <w:p w14:paraId="38DA7B09">
            <w:pPr>
              <w:spacing w:before="68" w:line="288" w:lineRule="auto"/>
              <w:ind w:left="698"/>
              <w:rPr>
                <w:rFonts w:ascii="宋体" w:hAnsi="宋体" w:eastAsia="宋体"/>
                <w:color w:val="auto"/>
                <w:spacing w:val="-1"/>
                <w:highlight w:val="none"/>
              </w:rPr>
            </w:pPr>
            <w:r>
              <w:rPr>
                <w:rFonts w:ascii="宋体" w:hAnsi="宋体" w:eastAsia="宋体"/>
                <w:color w:val="auto"/>
                <w:spacing w:val="-1"/>
                <w:highlight w:val="none"/>
              </w:rPr>
              <w:t>是否允许递交备选投标方</w:t>
            </w:r>
            <w:r>
              <w:rPr>
                <w:rFonts w:ascii="宋体" w:hAnsi="宋体" w:eastAsia="宋体"/>
                <w:color w:val="auto"/>
                <w:highlight w:val="none"/>
              </w:rPr>
              <w:t>案</w:t>
            </w:r>
          </w:p>
        </w:tc>
        <w:tc>
          <w:tcPr>
            <w:tcW w:w="4610" w:type="dxa"/>
          </w:tcPr>
          <w:p w14:paraId="51623B18">
            <w:pPr>
              <w:spacing w:before="172" w:line="288" w:lineRule="auto"/>
              <w:ind w:left="105" w:leftChars="50" w:right="105" w:rightChars="50"/>
              <w:rPr>
                <w:rFonts w:ascii="Times New Roman" w:hAnsi="Times New Roman" w:eastAsia="Times New Roman"/>
                <w:color w:val="auto"/>
                <w:spacing w:val="-6"/>
                <w:sz w:val="31"/>
                <w:szCs w:val="31"/>
                <w:highlight w:val="none"/>
              </w:rPr>
            </w:pPr>
            <w:r>
              <w:rPr>
                <w:rFonts w:ascii="Times New Roman" w:hAnsi="Times New Roman" w:eastAsia="Times New Roman"/>
                <w:color w:val="auto"/>
                <w:spacing w:val="-6"/>
                <w:sz w:val="31"/>
                <w:szCs w:val="31"/>
                <w:highlight w:val="none"/>
              </w:rPr>
              <w:sym w:font="Wingdings 2" w:char="F052"/>
            </w:r>
            <w:r>
              <w:rPr>
                <w:rFonts w:ascii="宋体" w:hAnsi="宋体" w:eastAsia="宋体"/>
                <w:color w:val="auto"/>
                <w:spacing w:val="-3"/>
                <w:highlight w:val="none"/>
              </w:rPr>
              <w:t>不允许</w:t>
            </w:r>
          </w:p>
          <w:p w14:paraId="7182C186">
            <w:pPr>
              <w:spacing w:before="175" w:line="288" w:lineRule="auto"/>
              <w:ind w:left="105" w:leftChars="50" w:right="105" w:rightChars="50"/>
              <w:rPr>
                <w:rFonts w:ascii="Times New Roman" w:hAnsi="Times New Roman" w:eastAsia="Times New Roman"/>
                <w:color w:val="auto"/>
                <w:spacing w:val="-5"/>
                <w:sz w:val="31"/>
                <w:szCs w:val="31"/>
                <w:highlight w:val="none"/>
              </w:rPr>
            </w:pPr>
            <w:r>
              <w:rPr>
                <w:rFonts w:ascii="Times New Roman" w:hAnsi="Times New Roman" w:eastAsia="Times New Roman"/>
                <w:color w:val="auto"/>
                <w:spacing w:val="-5"/>
                <w:sz w:val="31"/>
                <w:szCs w:val="31"/>
                <w:highlight w:val="none"/>
              </w:rPr>
              <w:t>□</w:t>
            </w:r>
            <w:r>
              <w:rPr>
                <w:rFonts w:ascii="宋体" w:hAnsi="宋体" w:eastAsia="宋体"/>
                <w:color w:val="auto"/>
                <w:spacing w:val="-3"/>
                <w:highlight w:val="none"/>
              </w:rPr>
              <w:t>允许</w:t>
            </w:r>
          </w:p>
        </w:tc>
      </w:tr>
      <w:tr w14:paraId="4D1206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4" w:hRule="atLeast"/>
        </w:trPr>
        <w:tc>
          <w:tcPr>
            <w:tcW w:w="1169" w:type="dxa"/>
            <w:vAlign w:val="center"/>
          </w:tcPr>
          <w:p w14:paraId="47D27531">
            <w:pPr>
              <w:spacing w:before="173" w:line="288" w:lineRule="auto"/>
              <w:ind w:left="116"/>
              <w:jc w:val="center"/>
              <w:rPr>
                <w:rFonts w:ascii="Times New Roman" w:hAnsi="Times New Roman" w:eastAsia="Times New Roman"/>
                <w:color w:val="auto"/>
                <w:spacing w:val="-1"/>
                <w:highlight w:val="none"/>
              </w:rPr>
            </w:pPr>
            <w:r>
              <w:rPr>
                <w:rFonts w:ascii="Times New Roman" w:hAnsi="Times New Roman" w:eastAsia="Times New Roman"/>
                <w:color w:val="auto"/>
                <w:spacing w:val="-1"/>
                <w:highlight w:val="none"/>
              </w:rPr>
              <w:t>3.7.3</w:t>
            </w:r>
          </w:p>
        </w:tc>
        <w:tc>
          <w:tcPr>
            <w:tcW w:w="3547" w:type="dxa"/>
            <w:vAlign w:val="center"/>
          </w:tcPr>
          <w:p w14:paraId="2F7DE37C">
            <w:pPr>
              <w:spacing w:before="161" w:line="288" w:lineRule="auto"/>
              <w:ind w:left="803"/>
              <w:jc w:val="both"/>
              <w:rPr>
                <w:rFonts w:ascii="宋体" w:hAnsi="宋体" w:eastAsia="宋体"/>
                <w:color w:val="auto"/>
                <w:spacing w:val="-1"/>
                <w:highlight w:val="none"/>
              </w:rPr>
            </w:pPr>
            <w:r>
              <w:rPr>
                <w:rFonts w:ascii="宋体" w:hAnsi="宋体" w:eastAsia="宋体"/>
                <w:color w:val="auto"/>
                <w:spacing w:val="-1"/>
                <w:highlight w:val="none"/>
              </w:rPr>
              <w:t>投标文件签字或盖章要</w:t>
            </w:r>
            <w:r>
              <w:rPr>
                <w:rFonts w:ascii="宋体" w:hAnsi="宋体" w:eastAsia="宋体"/>
                <w:color w:val="auto"/>
                <w:highlight w:val="none"/>
              </w:rPr>
              <w:t>求</w:t>
            </w:r>
          </w:p>
        </w:tc>
        <w:tc>
          <w:tcPr>
            <w:tcW w:w="4610" w:type="dxa"/>
            <w:vAlign w:val="center"/>
          </w:tcPr>
          <w:p w14:paraId="6C4A20F7">
            <w:pPr>
              <w:spacing w:line="288" w:lineRule="auto"/>
              <w:ind w:left="105" w:leftChars="50" w:right="105" w:rightChars="50"/>
              <w:jc w:val="both"/>
              <w:rPr>
                <w:rFonts w:ascii="宋体" w:hAnsi="宋体"/>
                <w:color w:val="auto"/>
                <w:highlight w:val="none"/>
              </w:rPr>
            </w:pPr>
            <w:r>
              <w:rPr>
                <w:rFonts w:hint="eastAsia" w:ascii="宋体" w:hAnsi="宋体"/>
                <w:color w:val="auto"/>
                <w:highlight w:val="none"/>
              </w:rPr>
              <w:t>投标文件格式规定需个人签字的，应签字或签章后扫描上传（</w:t>
            </w:r>
            <w:r>
              <w:rPr>
                <w:rFonts w:ascii="Calibri" w:hAnsi="Calibri" w:eastAsia="宋体"/>
                <w:color w:val="auto"/>
                <w:kern w:val="2"/>
                <w:szCs w:val="24"/>
                <w:highlight w:val="none"/>
              </w:rPr>
              <w:t>可靠的电子签名与手写签名或者盖章具有同等的法律效力</w:t>
            </w:r>
            <w:r>
              <w:rPr>
                <w:rFonts w:hint="eastAsia" w:ascii="宋体" w:hAnsi="宋体"/>
                <w:color w:val="auto"/>
                <w:highlight w:val="none"/>
              </w:rPr>
              <w:t>）。投标文件格式规定盖单位公章的页面必须盖单位公章（公章与电子公章具有相同法律效力）</w:t>
            </w:r>
          </w:p>
        </w:tc>
      </w:tr>
      <w:tr w14:paraId="5ED30A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9" w:hRule="atLeast"/>
        </w:trPr>
        <w:tc>
          <w:tcPr>
            <w:tcW w:w="1169" w:type="dxa"/>
            <w:vAlign w:val="center"/>
          </w:tcPr>
          <w:p w14:paraId="2167CD7E">
            <w:pPr>
              <w:spacing w:before="231" w:line="288" w:lineRule="auto"/>
              <w:ind w:left="375"/>
              <w:jc w:val="both"/>
              <w:rPr>
                <w:rFonts w:ascii="Times New Roman" w:hAnsi="Times New Roman" w:eastAsia="Times New Roman"/>
                <w:color w:val="auto"/>
                <w:spacing w:val="-1"/>
                <w:highlight w:val="none"/>
              </w:rPr>
            </w:pPr>
            <w:r>
              <w:rPr>
                <w:rFonts w:ascii="Times New Roman" w:hAnsi="Times New Roman" w:eastAsia="Times New Roman"/>
                <w:color w:val="auto"/>
                <w:spacing w:val="-1"/>
                <w:highlight w:val="none"/>
              </w:rPr>
              <w:t>4.2</w:t>
            </w:r>
            <w:r>
              <w:rPr>
                <w:rFonts w:ascii="Times New Roman" w:hAnsi="Times New Roman" w:eastAsia="Times New Roman"/>
                <w:color w:val="auto"/>
                <w:highlight w:val="none"/>
              </w:rPr>
              <w:t>.1</w:t>
            </w:r>
          </w:p>
        </w:tc>
        <w:tc>
          <w:tcPr>
            <w:tcW w:w="3547" w:type="dxa"/>
            <w:vAlign w:val="center"/>
          </w:tcPr>
          <w:p w14:paraId="676546BD">
            <w:pPr>
              <w:spacing w:before="193" w:line="288" w:lineRule="auto"/>
              <w:ind w:left="1327"/>
              <w:jc w:val="both"/>
              <w:rPr>
                <w:rFonts w:ascii="宋体" w:hAnsi="宋体" w:eastAsia="宋体"/>
                <w:color w:val="auto"/>
                <w:spacing w:val="-2"/>
                <w:highlight w:val="none"/>
              </w:rPr>
            </w:pPr>
            <w:r>
              <w:rPr>
                <w:rFonts w:ascii="宋体" w:hAnsi="宋体" w:eastAsia="宋体"/>
                <w:color w:val="auto"/>
                <w:spacing w:val="-2"/>
                <w:highlight w:val="none"/>
              </w:rPr>
              <w:t>投标截</w:t>
            </w:r>
            <w:r>
              <w:rPr>
                <w:rFonts w:ascii="宋体" w:hAnsi="宋体" w:eastAsia="宋体"/>
                <w:color w:val="auto"/>
                <w:spacing w:val="-1"/>
                <w:highlight w:val="none"/>
              </w:rPr>
              <w:t>止时间</w:t>
            </w:r>
          </w:p>
        </w:tc>
        <w:tc>
          <w:tcPr>
            <w:tcW w:w="4610" w:type="dxa"/>
            <w:vAlign w:val="center"/>
          </w:tcPr>
          <w:p w14:paraId="3621CDFF">
            <w:pPr>
              <w:spacing w:line="288" w:lineRule="auto"/>
              <w:ind w:left="105" w:leftChars="50" w:right="105" w:rightChars="50"/>
              <w:jc w:val="both"/>
              <w:rPr>
                <w:rFonts w:eastAsia="宋体"/>
                <w:color w:val="auto"/>
                <w:highlight w:val="none"/>
              </w:rPr>
            </w:pPr>
            <w:r>
              <w:rPr>
                <w:rFonts w:hint="eastAsia" w:eastAsia="宋体"/>
                <w:color w:val="auto"/>
                <w:highlight w:val="none"/>
              </w:rPr>
              <w:t>投标截止时间：</w:t>
            </w:r>
            <w:r>
              <w:rPr>
                <w:rFonts w:hint="eastAsia" w:eastAsia="宋体"/>
                <w:color w:val="auto"/>
                <w:highlight w:val="none"/>
                <w:u w:val="single"/>
              </w:rPr>
              <w:t xml:space="preserve">  年  月   日   时 分</w:t>
            </w:r>
            <w:r>
              <w:rPr>
                <w:rFonts w:hint="eastAsia" w:eastAsia="宋体"/>
                <w:color w:val="auto"/>
                <w:highlight w:val="none"/>
              </w:rPr>
              <w:t>（北京时间）</w:t>
            </w:r>
          </w:p>
        </w:tc>
      </w:tr>
      <w:tr w14:paraId="703293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96" w:hRule="atLeast"/>
        </w:trPr>
        <w:tc>
          <w:tcPr>
            <w:tcW w:w="1169" w:type="dxa"/>
            <w:vAlign w:val="center"/>
          </w:tcPr>
          <w:p w14:paraId="746BE5BC">
            <w:pPr>
              <w:spacing w:before="69" w:line="288" w:lineRule="auto"/>
              <w:ind w:left="175"/>
              <w:jc w:val="center"/>
              <w:rPr>
                <w:rFonts w:ascii="Times New Roman" w:hAnsi="Times New Roman" w:eastAsia="Times New Roman"/>
                <w:color w:val="auto"/>
                <w:spacing w:val="-2"/>
                <w:highlight w:val="none"/>
              </w:rPr>
            </w:pPr>
            <w:r>
              <w:rPr>
                <w:rFonts w:ascii="Times New Roman" w:hAnsi="Times New Roman" w:eastAsia="Times New Roman"/>
                <w:color w:val="auto"/>
                <w:spacing w:val="-2"/>
                <w:highlight w:val="none"/>
              </w:rPr>
              <w:t>5.1</w:t>
            </w:r>
          </w:p>
        </w:tc>
        <w:tc>
          <w:tcPr>
            <w:tcW w:w="3547" w:type="dxa"/>
            <w:vAlign w:val="center"/>
          </w:tcPr>
          <w:p w14:paraId="5C33AD81">
            <w:pPr>
              <w:spacing w:before="68" w:line="288" w:lineRule="auto"/>
              <w:ind w:left="1221"/>
              <w:jc w:val="both"/>
              <w:rPr>
                <w:rFonts w:ascii="宋体" w:hAnsi="宋体" w:eastAsia="宋体"/>
                <w:color w:val="auto"/>
                <w:spacing w:val="-2"/>
                <w:highlight w:val="none"/>
              </w:rPr>
            </w:pPr>
            <w:r>
              <w:rPr>
                <w:rFonts w:ascii="宋体" w:hAnsi="宋体" w:eastAsia="宋体"/>
                <w:color w:val="auto"/>
                <w:spacing w:val="-2"/>
                <w:highlight w:val="none"/>
              </w:rPr>
              <w:t>开</w:t>
            </w:r>
            <w:r>
              <w:rPr>
                <w:rFonts w:ascii="宋体" w:hAnsi="宋体" w:eastAsia="宋体"/>
                <w:color w:val="auto"/>
                <w:spacing w:val="-1"/>
                <w:highlight w:val="none"/>
              </w:rPr>
              <w:t>标时间和地点</w:t>
            </w:r>
          </w:p>
        </w:tc>
        <w:tc>
          <w:tcPr>
            <w:tcW w:w="4610" w:type="dxa"/>
          </w:tcPr>
          <w:p w14:paraId="4CFF7963">
            <w:pPr>
              <w:spacing w:before="174" w:line="288" w:lineRule="auto"/>
              <w:ind w:left="105" w:leftChars="50" w:right="105" w:rightChars="50"/>
              <w:rPr>
                <w:rFonts w:ascii="宋体" w:hAnsi="宋体" w:eastAsia="宋体" w:cs="宋体"/>
                <w:color w:val="auto"/>
                <w:spacing w:val="-1"/>
                <w:position w:val="17"/>
                <w:highlight w:val="none"/>
              </w:rPr>
            </w:pPr>
            <w:r>
              <w:rPr>
                <w:rFonts w:hint="eastAsia" w:ascii="宋体" w:hAnsi="宋体" w:eastAsia="宋体" w:cs="宋体"/>
                <w:color w:val="auto"/>
                <w:spacing w:val="-1"/>
                <w:position w:val="17"/>
                <w:highlight w:val="none"/>
              </w:rPr>
              <w:t>1、开标时间：同投标截</w:t>
            </w:r>
            <w:r>
              <w:rPr>
                <w:rFonts w:hint="eastAsia" w:ascii="宋体" w:hAnsi="宋体" w:eastAsia="宋体" w:cs="宋体"/>
                <w:color w:val="auto"/>
                <w:position w:val="17"/>
                <w:highlight w:val="none"/>
              </w:rPr>
              <w:t>止时间</w:t>
            </w:r>
          </w:p>
          <w:p w14:paraId="4E31F48A">
            <w:pPr>
              <w:spacing w:before="174" w:line="288" w:lineRule="auto"/>
              <w:ind w:left="105" w:leftChars="50" w:right="105" w:rightChars="50"/>
              <w:rPr>
                <w:rFonts w:ascii="宋体" w:hAnsi="宋体" w:eastAsia="宋体" w:cs="宋体"/>
                <w:color w:val="auto"/>
                <w:highlight w:val="none"/>
              </w:rPr>
            </w:pPr>
            <w:r>
              <w:rPr>
                <w:rFonts w:hint="eastAsia" w:ascii="宋体" w:hAnsi="宋体" w:eastAsia="宋体" w:cs="宋体"/>
                <w:color w:val="auto"/>
                <w:highlight w:val="none"/>
              </w:rPr>
              <w:t>2、开标地点：广州交易集团有限公司（广州公共资源交易中心）</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开标室</w:t>
            </w:r>
          </w:p>
          <w:p w14:paraId="2027C553">
            <w:pPr>
              <w:spacing w:before="120" w:line="288" w:lineRule="auto"/>
              <w:ind w:left="105" w:leftChars="50" w:right="105" w:rightChars="50"/>
              <w:contextualSpacing/>
              <w:rPr>
                <w:rFonts w:ascii="宋体" w:hAnsi="宋体" w:eastAsia="宋体" w:cs="宋体"/>
                <w:color w:val="auto"/>
                <w:szCs w:val="18"/>
                <w:highlight w:val="none"/>
              </w:rPr>
            </w:pPr>
            <w:r>
              <w:rPr>
                <w:rFonts w:hint="eastAsia" w:ascii="宋体" w:hAnsi="宋体" w:eastAsia="宋体" w:cs="宋体"/>
                <w:color w:val="auto"/>
                <w:szCs w:val="18"/>
                <w:highlight w:val="none"/>
              </w:rPr>
              <w:t>3、递交投标文件备用光盘时间：____年____月____日____时____分至____年____月____日____时____分；递交地点：</w:t>
            </w:r>
            <w:r>
              <w:rPr>
                <w:rFonts w:hint="eastAsia" w:ascii="宋体" w:hAnsi="宋体" w:eastAsia="宋体" w:cs="宋体"/>
                <w:color w:val="auto"/>
                <w:szCs w:val="18"/>
                <w:highlight w:val="none"/>
                <w:u w:val="single"/>
              </w:rPr>
              <w:t>同开标地点</w:t>
            </w:r>
            <w:r>
              <w:rPr>
                <w:rFonts w:hint="eastAsia" w:ascii="宋体" w:hAnsi="宋体" w:eastAsia="宋体" w:cs="宋体"/>
                <w:color w:val="auto"/>
                <w:szCs w:val="18"/>
                <w:highlight w:val="none"/>
              </w:rPr>
              <w:t>。(投标文件截止时间前15分钟至投标文件截止时间)</w:t>
            </w:r>
          </w:p>
          <w:p w14:paraId="7864B525">
            <w:pPr>
              <w:spacing w:before="120" w:line="288" w:lineRule="auto"/>
              <w:ind w:left="105" w:leftChars="50" w:right="105" w:rightChars="50"/>
              <w:contextualSpacing/>
              <w:rPr>
                <w:rFonts w:ascii="宋体" w:hAnsi="宋体" w:eastAsia="宋体" w:cs="宋体"/>
                <w:color w:val="auto"/>
                <w:highlight w:val="none"/>
              </w:rPr>
            </w:pPr>
            <w:r>
              <w:rPr>
                <w:rFonts w:hint="eastAsia" w:ascii="宋体" w:hAnsi="宋体" w:eastAsia="宋体" w:cs="宋体"/>
                <w:color w:val="auto"/>
                <w:highlight w:val="none"/>
              </w:rPr>
              <w:t>4、提交投标文件光盘备用</w:t>
            </w:r>
          </w:p>
          <w:p w14:paraId="02B1030B">
            <w:pPr>
              <w:spacing w:before="120" w:line="288" w:lineRule="auto"/>
              <w:ind w:left="105" w:leftChars="50" w:right="105" w:rightChars="50"/>
              <w:contextualSpacing/>
              <w:rPr>
                <w:rFonts w:ascii="宋体" w:hAnsi="宋体" w:eastAsia="宋体" w:cs="宋体"/>
                <w:color w:val="auto"/>
                <w:highlight w:val="none"/>
              </w:rPr>
            </w:pPr>
            <w:r>
              <w:rPr>
                <w:rFonts w:hint="eastAsia" w:ascii="宋体" w:hAnsi="宋体" w:eastAsia="宋体" w:cs="宋体"/>
                <w:color w:val="auto"/>
                <w:highlight w:val="none"/>
              </w:rPr>
              <w:t>投标人可制作非加密的电子投标文件（PDF 格式）刻入光盘（1份），在投标须知前附表规定的时间、地点提交备用。刻录好的投标文件光盘密封在密封袋中，并在封口处加盖投标人单位公章。密封袋上应写明项目名称和招标人名称。递交的光盘不得加密。光盘无法读取或导入的，则视为未提交备用投标文件光盘。如果投标人没有按规定通过交易平台网上递交电子投标文件的，不再读取提交的光盘。投标人也可不提交备用光盘。</w:t>
            </w:r>
          </w:p>
          <w:p w14:paraId="4C227B41">
            <w:pPr>
              <w:spacing w:before="120" w:line="288" w:lineRule="auto"/>
              <w:ind w:left="105" w:leftChars="50" w:right="105" w:rightChars="50"/>
              <w:contextualSpacing/>
              <w:rPr>
                <w:rFonts w:ascii="宋体" w:hAnsi="宋体" w:eastAsia="宋体" w:cs="宋体"/>
                <w:color w:val="auto"/>
                <w:highlight w:val="none"/>
              </w:rPr>
            </w:pPr>
            <w:r>
              <w:rPr>
                <w:rFonts w:hint="eastAsia" w:ascii="宋体" w:hAnsi="宋体" w:eastAsia="宋体" w:cs="宋体"/>
                <w:color w:val="auto"/>
                <w:highlight w:val="none"/>
              </w:rPr>
              <w:t>5、补救方案</w:t>
            </w:r>
          </w:p>
          <w:p w14:paraId="151FFCDC">
            <w:pPr>
              <w:spacing w:before="120" w:line="288" w:lineRule="auto"/>
              <w:ind w:left="105" w:leftChars="50" w:right="105" w:rightChars="50"/>
              <w:contextualSpacing/>
              <w:rPr>
                <w:rFonts w:ascii="宋体" w:hAnsi="宋体" w:eastAsia="宋体" w:cs="宋体"/>
                <w:color w:val="auto"/>
                <w:highlight w:val="none"/>
              </w:rPr>
            </w:pPr>
            <w:r>
              <w:rPr>
                <w:rFonts w:hint="eastAsia" w:ascii="宋体" w:hAnsi="宋体" w:eastAsia="宋体" w:cs="宋体"/>
                <w:color w:val="auto"/>
                <w:highlight w:val="none"/>
              </w:rPr>
              <w:t>（1）投标文件解密失败的补救方案：</w:t>
            </w:r>
          </w:p>
          <w:p w14:paraId="72E51AED">
            <w:pPr>
              <w:spacing w:before="120" w:line="288" w:lineRule="auto"/>
              <w:ind w:left="105" w:leftChars="50" w:right="105" w:rightChars="50"/>
              <w:contextualSpacing/>
              <w:rPr>
                <w:rFonts w:ascii="宋体" w:hAnsi="宋体" w:eastAsia="宋体" w:cs="宋体"/>
                <w:color w:val="auto"/>
                <w:highlight w:val="none"/>
              </w:rPr>
            </w:pPr>
            <w:r>
              <w:rPr>
                <w:rFonts w:hint="eastAsia" w:ascii="宋体" w:hAnsi="宋体" w:eastAsia="宋体" w:cs="宋体"/>
                <w:color w:val="auto"/>
                <w:highlight w:val="none"/>
              </w:rPr>
              <w:t>在规定时间内，因投标人之外原因(指网络瘫痪、服务器损坏、交易系统故障短期无法恢复)导致的电子投标文件解密失败，在开标现场读取光盘内容，继续开标程序。评标委员会对其投标文件的评审以光盘内容为准。因投标人之外原因解密失败且未递交电子光盘的，视为撤回投标文件。</w:t>
            </w:r>
          </w:p>
          <w:p w14:paraId="31FAA942">
            <w:pPr>
              <w:spacing w:before="120" w:line="288" w:lineRule="auto"/>
              <w:ind w:left="105" w:leftChars="50" w:right="105" w:rightChars="50"/>
              <w:contextualSpacing/>
              <w:rPr>
                <w:rFonts w:ascii="宋体" w:hAnsi="宋体" w:eastAsia="宋体" w:cs="宋体"/>
                <w:color w:val="auto"/>
                <w:highlight w:val="none"/>
              </w:rPr>
            </w:pPr>
            <w:r>
              <w:rPr>
                <w:rFonts w:hint="eastAsia" w:ascii="宋体" w:hAnsi="宋体" w:eastAsia="宋体" w:cs="宋体"/>
                <w:color w:val="auto"/>
                <w:highlight w:val="none"/>
              </w:rPr>
              <w:t>（2）评标时突发情况的补救方案</w:t>
            </w:r>
          </w:p>
          <w:p w14:paraId="0B4288E0">
            <w:pPr>
              <w:spacing w:before="120" w:line="288" w:lineRule="auto"/>
              <w:ind w:left="105" w:leftChars="50" w:right="105" w:rightChars="50"/>
              <w:contextualSpacing/>
              <w:rPr>
                <w:rFonts w:ascii="宋体" w:hAnsi="宋体" w:eastAsia="宋体" w:cs="宋体"/>
                <w:color w:val="auto"/>
                <w:highlight w:val="none"/>
              </w:rPr>
            </w:pPr>
            <w:r>
              <w:rPr>
                <w:rFonts w:hint="eastAsia" w:ascii="宋体" w:hAnsi="宋体" w:eastAsia="宋体" w:cs="宋体"/>
                <w:color w:val="auto"/>
                <w:highlight w:val="none"/>
              </w:rPr>
              <w:t>若遇不可抗力发生（指网络瘫痪、服务器损坏、交易系统故障短期无法恢复等因素），由评标委员会开启投标人递交的全部投标文件光盘，并按光盘内容进行评审。</w:t>
            </w:r>
          </w:p>
          <w:p w14:paraId="2D9C0C65">
            <w:pPr>
              <w:spacing w:before="120" w:line="288" w:lineRule="auto"/>
              <w:ind w:left="105" w:leftChars="50" w:right="105" w:rightChars="50"/>
              <w:contextualSpacing/>
              <w:rPr>
                <w:rFonts w:ascii="宋体" w:hAnsi="宋体" w:eastAsia="宋体" w:cs="宋体"/>
                <w:color w:val="auto"/>
                <w:highlight w:val="none"/>
              </w:rPr>
            </w:pPr>
            <w:r>
              <w:rPr>
                <w:rFonts w:hint="eastAsia" w:ascii="宋体" w:hAnsi="宋体" w:eastAsia="宋体" w:cs="宋体"/>
                <w:color w:val="auto"/>
                <w:highlight w:val="none"/>
              </w:rPr>
              <w:t>（3）除发生上述情况外，开标评标均以投标人通过交易平台网上递交的电子投标文件为准。</w:t>
            </w:r>
          </w:p>
          <w:p w14:paraId="7A0FE960">
            <w:pPr>
              <w:spacing w:before="120" w:line="288" w:lineRule="auto"/>
              <w:ind w:left="105" w:leftChars="50" w:right="105" w:rightChars="50"/>
              <w:contextualSpacing/>
              <w:rPr>
                <w:rFonts w:ascii="宋体" w:hAnsi="宋体" w:eastAsia="宋体" w:cs="宋体"/>
                <w:color w:val="auto"/>
                <w:highlight w:val="none"/>
              </w:rPr>
            </w:pPr>
            <w:r>
              <w:rPr>
                <w:rFonts w:hint="eastAsia" w:ascii="宋体" w:hAnsi="宋体" w:eastAsia="宋体" w:cs="宋体"/>
                <w:color w:val="auto"/>
                <w:highlight w:val="none"/>
              </w:rPr>
              <w:t>开标时，投标人代表有权参加现场开标或在线开标，也可以自主决定不参加开标，投标人选择参加在线开标的，具体按照交易平台相关指南进行操作。</w:t>
            </w:r>
          </w:p>
          <w:p w14:paraId="323D5614">
            <w:pPr>
              <w:spacing w:before="120" w:line="288" w:lineRule="auto"/>
              <w:ind w:left="105" w:leftChars="50" w:right="105" w:rightChars="50"/>
              <w:contextualSpacing/>
              <w:rPr>
                <w:rFonts w:ascii="宋体" w:hAnsi="宋体" w:eastAsia="宋体"/>
                <w:color w:val="auto"/>
                <w:highlight w:val="none"/>
              </w:rPr>
            </w:pPr>
            <w:r>
              <w:rPr>
                <w:rFonts w:hint="eastAsia" w:ascii="宋体" w:hAnsi="宋体" w:eastAsia="宋体" w:cs="宋体"/>
                <w:color w:val="auto"/>
                <w:highlight w:val="none"/>
              </w:rPr>
              <w:t>6、上述时间及地点是否有改变，请密切留意补充公告或招标答疑纪要的相关信息。</w:t>
            </w:r>
          </w:p>
        </w:tc>
      </w:tr>
      <w:tr w14:paraId="364BE3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60" w:hRule="atLeast"/>
        </w:trPr>
        <w:tc>
          <w:tcPr>
            <w:tcW w:w="1169" w:type="dxa"/>
          </w:tcPr>
          <w:p w14:paraId="4EF7E877">
            <w:pPr>
              <w:spacing w:line="288" w:lineRule="auto"/>
              <w:rPr>
                <w:color w:val="auto"/>
                <w:highlight w:val="none"/>
              </w:rPr>
            </w:pPr>
          </w:p>
          <w:p w14:paraId="470BB78F">
            <w:pPr>
              <w:spacing w:line="288" w:lineRule="auto"/>
              <w:rPr>
                <w:color w:val="auto"/>
                <w:highlight w:val="none"/>
              </w:rPr>
            </w:pPr>
          </w:p>
          <w:p w14:paraId="3E5BA05F">
            <w:pPr>
              <w:spacing w:before="60" w:line="288" w:lineRule="auto"/>
              <w:ind w:left="380"/>
              <w:rPr>
                <w:rFonts w:ascii="Times New Roman" w:hAnsi="Times New Roman" w:eastAsia="Times New Roman"/>
                <w:color w:val="auto"/>
                <w:spacing w:val="-2"/>
                <w:highlight w:val="none"/>
              </w:rPr>
            </w:pPr>
            <w:r>
              <w:rPr>
                <w:rFonts w:ascii="Times New Roman" w:hAnsi="Times New Roman" w:eastAsia="Times New Roman"/>
                <w:color w:val="auto"/>
                <w:spacing w:val="-2"/>
                <w:highlight w:val="none"/>
              </w:rPr>
              <w:t>6.1.</w:t>
            </w:r>
            <w:r>
              <w:rPr>
                <w:rFonts w:ascii="Times New Roman" w:hAnsi="Times New Roman" w:eastAsia="Times New Roman"/>
                <w:color w:val="auto"/>
                <w:spacing w:val="-1"/>
                <w:highlight w:val="none"/>
              </w:rPr>
              <w:t>1</w:t>
            </w:r>
          </w:p>
        </w:tc>
        <w:tc>
          <w:tcPr>
            <w:tcW w:w="3547" w:type="dxa"/>
          </w:tcPr>
          <w:p w14:paraId="2375A5C5">
            <w:pPr>
              <w:spacing w:line="288" w:lineRule="auto"/>
              <w:rPr>
                <w:color w:val="auto"/>
                <w:highlight w:val="none"/>
              </w:rPr>
            </w:pPr>
          </w:p>
          <w:p w14:paraId="036C1EC7">
            <w:pPr>
              <w:spacing w:line="288" w:lineRule="auto"/>
              <w:rPr>
                <w:color w:val="auto"/>
                <w:highlight w:val="none"/>
              </w:rPr>
            </w:pPr>
          </w:p>
          <w:p w14:paraId="2CD36D1D">
            <w:pPr>
              <w:spacing w:before="68" w:line="288" w:lineRule="auto"/>
              <w:ind w:left="1114"/>
              <w:rPr>
                <w:rFonts w:ascii="宋体" w:hAnsi="宋体" w:eastAsia="宋体"/>
                <w:color w:val="auto"/>
                <w:spacing w:val="-1"/>
                <w:highlight w:val="none"/>
              </w:rPr>
            </w:pPr>
            <w:r>
              <w:rPr>
                <w:rFonts w:ascii="宋体" w:hAnsi="宋体" w:eastAsia="宋体"/>
                <w:color w:val="auto"/>
                <w:spacing w:val="-1"/>
                <w:highlight w:val="none"/>
              </w:rPr>
              <w:t>评标委员会的组</w:t>
            </w:r>
            <w:r>
              <w:rPr>
                <w:rFonts w:ascii="宋体" w:hAnsi="宋体" w:eastAsia="宋体"/>
                <w:color w:val="auto"/>
                <w:highlight w:val="none"/>
              </w:rPr>
              <w:t>建</w:t>
            </w:r>
          </w:p>
        </w:tc>
        <w:tc>
          <w:tcPr>
            <w:tcW w:w="4610" w:type="dxa"/>
            <w:vAlign w:val="center"/>
          </w:tcPr>
          <w:p w14:paraId="7FF06FF3">
            <w:pPr>
              <w:spacing w:line="288" w:lineRule="auto"/>
              <w:ind w:left="105" w:leftChars="50" w:right="105" w:rightChars="50"/>
              <w:jc w:val="both"/>
              <w:rPr>
                <w:rFonts w:ascii="宋体" w:hAnsi="宋体"/>
                <w:color w:val="auto"/>
                <w:highlight w:val="none"/>
              </w:rPr>
            </w:pPr>
            <w:r>
              <w:rPr>
                <w:rFonts w:hint="eastAsia" w:ascii="宋体" w:hAnsi="宋体"/>
                <w:color w:val="auto"/>
                <w:highlight w:val="none"/>
              </w:rPr>
              <w:t>评标委员会由招标人依法组建</w:t>
            </w:r>
            <w:r>
              <w:rPr>
                <w:rFonts w:hint="eastAsia" w:ascii="宋体" w:hAnsi="宋体" w:eastAsia="宋体"/>
                <w:color w:val="auto"/>
                <w:highlight w:val="none"/>
              </w:rPr>
              <w:t>一共5名</w:t>
            </w:r>
            <w:r>
              <w:rPr>
                <w:rFonts w:hint="eastAsia" w:ascii="宋体" w:hAnsi="宋体"/>
                <w:color w:val="auto"/>
                <w:highlight w:val="none"/>
              </w:rPr>
              <w:t>。</w:t>
            </w:r>
          </w:p>
          <w:p w14:paraId="16C081F9">
            <w:pPr>
              <w:spacing w:line="288" w:lineRule="auto"/>
              <w:ind w:left="105" w:leftChars="50" w:right="105" w:rightChars="50"/>
              <w:jc w:val="both"/>
              <w:rPr>
                <w:rFonts w:ascii="宋体" w:hAnsi="宋体" w:eastAsia="宋体"/>
                <w:color w:val="auto"/>
                <w:highlight w:val="none"/>
              </w:rPr>
            </w:pPr>
            <w:r>
              <w:rPr>
                <w:rFonts w:hint="eastAsia" w:ascii="宋体" w:hAnsi="宋体" w:eastAsia="宋体"/>
                <w:color w:val="auto"/>
                <w:highlight w:val="none"/>
              </w:rPr>
              <w:t>评标专家确定方式：</w:t>
            </w:r>
            <w:r>
              <w:rPr>
                <w:rFonts w:hint="eastAsia" w:ascii="宋体" w:hAnsi="宋体" w:eastAsia="宋体"/>
                <w:color w:val="auto"/>
                <w:highlight w:val="none"/>
                <w:u w:val="single"/>
              </w:rPr>
              <w:t>1</w:t>
            </w:r>
            <w:r>
              <w:rPr>
                <w:rFonts w:hint="eastAsia" w:ascii="宋体" w:hAnsi="宋体" w:eastAsia="宋体"/>
                <w:color w:val="auto"/>
                <w:highlight w:val="none"/>
              </w:rPr>
              <w:t>名招标人代表，其他</w:t>
            </w:r>
            <w:r>
              <w:rPr>
                <w:rFonts w:hint="eastAsia" w:ascii="宋体" w:hAnsi="宋体" w:eastAsia="宋体"/>
                <w:color w:val="auto"/>
                <w:highlight w:val="none"/>
                <w:u w:val="single"/>
              </w:rPr>
              <w:t>4</w:t>
            </w:r>
            <w:r>
              <w:rPr>
                <w:rFonts w:hint="eastAsia" w:ascii="宋体" w:hAnsi="宋体" w:eastAsia="宋体"/>
                <w:color w:val="auto"/>
                <w:highlight w:val="none"/>
              </w:rPr>
              <w:t>名专家从</w:t>
            </w:r>
            <w:r>
              <w:rPr>
                <w:rFonts w:hint="eastAsia" w:ascii="宋体" w:hAnsi="宋体" w:eastAsia="宋体"/>
                <w:color w:val="auto"/>
                <w:highlight w:val="none"/>
                <w:u w:val="single"/>
              </w:rPr>
              <w:t>广东省综合评标评审专家库</w:t>
            </w:r>
            <w:r>
              <w:rPr>
                <w:rFonts w:hint="eastAsia" w:ascii="宋体" w:hAnsi="宋体" w:eastAsia="宋体"/>
                <w:color w:val="auto"/>
                <w:highlight w:val="none"/>
              </w:rPr>
              <w:t>中抽取</w:t>
            </w:r>
          </w:p>
        </w:tc>
      </w:tr>
      <w:tr w14:paraId="481DE1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5" w:hRule="atLeast"/>
        </w:trPr>
        <w:tc>
          <w:tcPr>
            <w:tcW w:w="1169" w:type="dxa"/>
          </w:tcPr>
          <w:p w14:paraId="5D95635B">
            <w:pPr>
              <w:spacing w:line="288" w:lineRule="auto"/>
              <w:rPr>
                <w:color w:val="auto"/>
                <w:highlight w:val="none"/>
              </w:rPr>
            </w:pPr>
          </w:p>
          <w:p w14:paraId="5A9E3D78">
            <w:pPr>
              <w:spacing w:before="61" w:line="288" w:lineRule="auto"/>
              <w:ind w:left="380"/>
              <w:rPr>
                <w:rFonts w:ascii="Times New Roman" w:hAnsi="Times New Roman" w:eastAsia="Times New Roman"/>
                <w:color w:val="auto"/>
                <w:spacing w:val="-2"/>
                <w:highlight w:val="none"/>
              </w:rPr>
            </w:pPr>
            <w:r>
              <w:rPr>
                <w:rFonts w:ascii="Times New Roman" w:hAnsi="Times New Roman" w:eastAsia="Times New Roman"/>
                <w:color w:val="auto"/>
                <w:spacing w:val="-2"/>
                <w:highlight w:val="none"/>
              </w:rPr>
              <w:t>6.3.</w:t>
            </w:r>
            <w:r>
              <w:rPr>
                <w:rFonts w:ascii="Times New Roman" w:hAnsi="Times New Roman" w:eastAsia="Times New Roman"/>
                <w:color w:val="auto"/>
                <w:spacing w:val="-1"/>
                <w:highlight w:val="none"/>
              </w:rPr>
              <w:t>2</w:t>
            </w:r>
          </w:p>
        </w:tc>
        <w:tc>
          <w:tcPr>
            <w:tcW w:w="3547" w:type="dxa"/>
            <w:vAlign w:val="center"/>
          </w:tcPr>
          <w:p w14:paraId="1CBA06F6">
            <w:pPr>
              <w:spacing w:before="68" w:line="288" w:lineRule="auto"/>
              <w:jc w:val="center"/>
              <w:rPr>
                <w:rFonts w:ascii="宋体" w:hAnsi="宋体" w:eastAsia="宋体"/>
                <w:color w:val="auto"/>
                <w:spacing w:val="-1"/>
                <w:highlight w:val="none"/>
              </w:rPr>
            </w:pPr>
            <w:r>
              <w:rPr>
                <w:rFonts w:ascii="宋体" w:hAnsi="宋体" w:eastAsia="宋体"/>
                <w:color w:val="auto"/>
                <w:spacing w:val="-1"/>
                <w:highlight w:val="none"/>
              </w:rPr>
              <w:t>评标委员会推荐</w:t>
            </w:r>
            <w:r>
              <w:rPr>
                <w:rFonts w:ascii="宋体" w:hAnsi="宋体" w:eastAsia="宋体"/>
                <w:color w:val="auto"/>
                <w:highlight w:val="none"/>
              </w:rPr>
              <w:t>中标候选人的人数</w:t>
            </w:r>
          </w:p>
        </w:tc>
        <w:tc>
          <w:tcPr>
            <w:tcW w:w="4610" w:type="dxa"/>
            <w:vAlign w:val="center"/>
          </w:tcPr>
          <w:p w14:paraId="48380271">
            <w:pPr>
              <w:spacing w:line="288" w:lineRule="auto"/>
              <w:ind w:left="105" w:leftChars="50" w:right="105" w:rightChars="50"/>
              <w:jc w:val="both"/>
              <w:rPr>
                <w:rFonts w:ascii="宋体" w:hAnsi="宋体"/>
                <w:color w:val="auto"/>
                <w:highlight w:val="none"/>
              </w:rPr>
            </w:pPr>
            <w:r>
              <w:rPr>
                <w:rFonts w:hint="eastAsia" w:ascii="宋体" w:hAnsi="宋体"/>
                <w:color w:val="auto"/>
                <w:highlight w:val="none"/>
              </w:rPr>
              <w:t>推荐中标候选人：</w:t>
            </w:r>
            <w:r>
              <w:rPr>
                <w:rFonts w:hint="eastAsia" w:ascii="宋体" w:hAnsi="宋体"/>
                <w:color w:val="auto"/>
                <w:highlight w:val="none"/>
                <w:u w:val="single"/>
              </w:rPr>
              <w:t>3</w:t>
            </w:r>
            <w:r>
              <w:rPr>
                <w:rFonts w:hint="eastAsia" w:ascii="宋体" w:hAnsi="宋体"/>
                <w:color w:val="auto"/>
                <w:highlight w:val="none"/>
              </w:rPr>
              <w:t>名。</w:t>
            </w:r>
          </w:p>
        </w:tc>
      </w:tr>
      <w:tr w14:paraId="4960F6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trPr>
        <w:tc>
          <w:tcPr>
            <w:tcW w:w="1169" w:type="dxa"/>
          </w:tcPr>
          <w:p w14:paraId="6F92230B">
            <w:pPr>
              <w:spacing w:line="288" w:lineRule="auto"/>
              <w:rPr>
                <w:color w:val="auto"/>
                <w:highlight w:val="none"/>
              </w:rPr>
            </w:pPr>
          </w:p>
          <w:p w14:paraId="264086AE">
            <w:pPr>
              <w:spacing w:before="60" w:line="288" w:lineRule="auto"/>
              <w:ind w:left="457"/>
              <w:rPr>
                <w:rFonts w:ascii="Times New Roman" w:hAnsi="Times New Roman" w:eastAsia="Times New Roman"/>
                <w:color w:val="auto"/>
                <w:spacing w:val="-2"/>
                <w:highlight w:val="none"/>
              </w:rPr>
            </w:pPr>
            <w:r>
              <w:rPr>
                <w:rFonts w:ascii="Times New Roman" w:hAnsi="Times New Roman" w:eastAsia="Times New Roman"/>
                <w:color w:val="auto"/>
                <w:spacing w:val="-2"/>
                <w:highlight w:val="none"/>
              </w:rPr>
              <w:t>7.</w:t>
            </w:r>
            <w:r>
              <w:rPr>
                <w:rFonts w:ascii="Times New Roman" w:hAnsi="Times New Roman" w:eastAsia="Times New Roman"/>
                <w:color w:val="auto"/>
                <w:spacing w:val="-1"/>
                <w:highlight w:val="none"/>
              </w:rPr>
              <w:t>1</w:t>
            </w:r>
          </w:p>
        </w:tc>
        <w:tc>
          <w:tcPr>
            <w:tcW w:w="3547" w:type="dxa"/>
          </w:tcPr>
          <w:p w14:paraId="20464F48">
            <w:pPr>
              <w:spacing w:line="288" w:lineRule="auto"/>
              <w:rPr>
                <w:color w:val="auto"/>
                <w:highlight w:val="none"/>
              </w:rPr>
            </w:pPr>
          </w:p>
          <w:p w14:paraId="61A3EF87">
            <w:pPr>
              <w:spacing w:before="68" w:line="288" w:lineRule="auto"/>
              <w:ind w:left="715"/>
              <w:rPr>
                <w:rFonts w:ascii="宋体" w:hAnsi="宋体" w:eastAsia="宋体"/>
                <w:color w:val="auto"/>
                <w:spacing w:val="-4"/>
                <w:highlight w:val="none"/>
              </w:rPr>
            </w:pPr>
            <w:r>
              <w:rPr>
                <w:rFonts w:ascii="宋体" w:hAnsi="宋体" w:eastAsia="宋体"/>
                <w:color w:val="auto"/>
                <w:spacing w:val="-4"/>
                <w:highlight w:val="none"/>
              </w:rPr>
              <w:t>中</w:t>
            </w:r>
            <w:r>
              <w:rPr>
                <w:rFonts w:ascii="宋体" w:hAnsi="宋体" w:eastAsia="宋体"/>
                <w:color w:val="auto"/>
                <w:spacing w:val="-2"/>
                <w:highlight w:val="none"/>
              </w:rPr>
              <w:t>标候选人公示媒介及期限</w:t>
            </w:r>
          </w:p>
        </w:tc>
        <w:tc>
          <w:tcPr>
            <w:tcW w:w="4610" w:type="dxa"/>
          </w:tcPr>
          <w:p w14:paraId="75895DED">
            <w:pPr>
              <w:spacing w:before="171" w:line="288" w:lineRule="auto"/>
              <w:ind w:left="105" w:leftChars="50" w:right="105" w:rightChars="50"/>
              <w:rPr>
                <w:rFonts w:ascii="宋体" w:hAnsi="宋体" w:eastAsia="宋体"/>
                <w:color w:val="auto"/>
                <w:spacing w:val="-11"/>
                <w:highlight w:val="none"/>
              </w:rPr>
            </w:pPr>
            <w:r>
              <w:rPr>
                <w:rFonts w:ascii="宋体" w:hAnsi="宋体" w:eastAsia="宋体"/>
                <w:color w:val="auto"/>
                <w:spacing w:val="-11"/>
                <w:highlight w:val="none"/>
              </w:rPr>
              <w:t>公</w:t>
            </w:r>
            <w:r>
              <w:rPr>
                <w:rFonts w:ascii="宋体" w:hAnsi="宋体" w:eastAsia="宋体"/>
                <w:color w:val="auto"/>
                <w:spacing w:val="-10"/>
                <w:highlight w:val="none"/>
              </w:rPr>
              <w:t>示媒介：</w:t>
            </w:r>
            <w:r>
              <w:rPr>
                <w:rFonts w:hint="eastAsia" w:ascii="宋体" w:hAnsi="宋体"/>
                <w:color w:val="auto"/>
                <w:highlight w:val="none"/>
                <w:lang w:val="zh-CN"/>
              </w:rPr>
              <w:t>广州交易集团有限公司（广州公共资源交易中心）网和广东省招标投标监管网、中国招标投标公共服务平台</w:t>
            </w:r>
            <w:r>
              <w:rPr>
                <w:rFonts w:hint="eastAsia" w:eastAsia="宋体"/>
                <w:color w:val="auto"/>
                <w:highlight w:val="none"/>
              </w:rPr>
              <w:t>、广州市增城区人民政府门户网站</w:t>
            </w:r>
          </w:p>
          <w:p w14:paraId="583287DA">
            <w:pPr>
              <w:spacing w:before="171" w:line="288" w:lineRule="auto"/>
              <w:ind w:left="105" w:leftChars="50" w:right="105" w:rightChars="50"/>
              <w:rPr>
                <w:rFonts w:ascii="宋体" w:hAnsi="宋体" w:eastAsia="宋体"/>
                <w:color w:val="auto"/>
                <w:spacing w:val="-8"/>
                <w:highlight w:val="none"/>
              </w:rPr>
            </w:pPr>
            <w:r>
              <w:rPr>
                <w:rFonts w:ascii="宋体" w:hAnsi="宋体" w:eastAsia="宋体"/>
                <w:color w:val="auto"/>
                <w:spacing w:val="-8"/>
                <w:highlight w:val="none"/>
              </w:rPr>
              <w:t>公示期</w:t>
            </w:r>
            <w:r>
              <w:rPr>
                <w:rFonts w:ascii="宋体" w:hAnsi="宋体" w:eastAsia="宋体"/>
                <w:color w:val="auto"/>
                <w:spacing w:val="-4"/>
                <w:highlight w:val="none"/>
              </w:rPr>
              <w:t>限：</w:t>
            </w:r>
            <w:r>
              <w:rPr>
                <w:rFonts w:hint="eastAsia" w:ascii="宋体" w:hAnsi="宋体" w:eastAsia="宋体"/>
                <w:color w:val="auto"/>
                <w:spacing w:val="-4"/>
                <w:highlight w:val="none"/>
                <w:u w:val="single"/>
              </w:rPr>
              <w:t>不少于3</w:t>
            </w:r>
            <w:r>
              <w:rPr>
                <w:rFonts w:ascii="宋体" w:hAnsi="宋体" w:eastAsia="宋体"/>
                <w:color w:val="auto"/>
                <w:spacing w:val="-4"/>
                <w:highlight w:val="none"/>
              </w:rPr>
              <w:t>日</w:t>
            </w:r>
            <w:r>
              <w:rPr>
                <w:rFonts w:hint="eastAsia" w:ascii="宋体" w:hAnsi="宋体" w:eastAsia="宋体"/>
                <w:color w:val="auto"/>
                <w:spacing w:val="-5"/>
                <w:highlight w:val="none"/>
              </w:rPr>
              <w:t>（最后一天应为工作日）</w:t>
            </w:r>
          </w:p>
        </w:tc>
      </w:tr>
      <w:tr w14:paraId="049EDF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trPr>
        <w:tc>
          <w:tcPr>
            <w:tcW w:w="1169" w:type="dxa"/>
          </w:tcPr>
          <w:p w14:paraId="0386A3A3">
            <w:pPr>
              <w:spacing w:line="288" w:lineRule="auto"/>
              <w:rPr>
                <w:color w:val="auto"/>
                <w:highlight w:val="none"/>
              </w:rPr>
            </w:pPr>
          </w:p>
          <w:p w14:paraId="47487224">
            <w:pPr>
              <w:spacing w:before="61" w:line="288" w:lineRule="auto"/>
              <w:ind w:left="457"/>
              <w:rPr>
                <w:rFonts w:ascii="Times New Roman" w:hAnsi="Times New Roman" w:eastAsia="Times New Roman"/>
                <w:color w:val="auto"/>
                <w:spacing w:val="-2"/>
                <w:highlight w:val="none"/>
              </w:rPr>
            </w:pPr>
            <w:r>
              <w:rPr>
                <w:rFonts w:ascii="Times New Roman" w:hAnsi="Times New Roman" w:eastAsia="Times New Roman"/>
                <w:color w:val="auto"/>
                <w:spacing w:val="-2"/>
                <w:highlight w:val="none"/>
              </w:rPr>
              <w:t>7.</w:t>
            </w:r>
            <w:r>
              <w:rPr>
                <w:rFonts w:ascii="Times New Roman" w:hAnsi="Times New Roman" w:eastAsia="Times New Roman"/>
                <w:color w:val="auto"/>
                <w:spacing w:val="-1"/>
                <w:highlight w:val="none"/>
              </w:rPr>
              <w:t>4</w:t>
            </w:r>
          </w:p>
        </w:tc>
        <w:tc>
          <w:tcPr>
            <w:tcW w:w="3547" w:type="dxa"/>
          </w:tcPr>
          <w:p w14:paraId="6B97B014">
            <w:pPr>
              <w:spacing w:line="288" w:lineRule="auto"/>
              <w:rPr>
                <w:color w:val="auto"/>
                <w:highlight w:val="none"/>
              </w:rPr>
            </w:pPr>
          </w:p>
          <w:p w14:paraId="135C1CD6">
            <w:pPr>
              <w:spacing w:before="68" w:line="288" w:lineRule="auto"/>
              <w:ind w:left="488"/>
              <w:rPr>
                <w:rFonts w:ascii="宋体" w:hAnsi="宋体" w:eastAsia="宋体"/>
                <w:color w:val="auto"/>
                <w:spacing w:val="-1"/>
                <w:highlight w:val="none"/>
              </w:rPr>
            </w:pPr>
            <w:r>
              <w:rPr>
                <w:rFonts w:ascii="宋体" w:hAnsi="宋体" w:eastAsia="宋体"/>
                <w:color w:val="auto"/>
                <w:spacing w:val="-1"/>
                <w:highlight w:val="none"/>
              </w:rPr>
              <w:t>是否授权评标委员会确定</w:t>
            </w:r>
            <w:r>
              <w:rPr>
                <w:rFonts w:ascii="宋体" w:hAnsi="宋体" w:eastAsia="宋体"/>
                <w:color w:val="auto"/>
                <w:highlight w:val="none"/>
              </w:rPr>
              <w:t>中标人</w:t>
            </w:r>
          </w:p>
        </w:tc>
        <w:tc>
          <w:tcPr>
            <w:tcW w:w="4610" w:type="dxa"/>
          </w:tcPr>
          <w:p w14:paraId="25D1C19F">
            <w:pPr>
              <w:spacing w:before="170" w:line="288" w:lineRule="auto"/>
              <w:ind w:left="105" w:leftChars="50" w:right="105" w:rightChars="50"/>
              <w:rPr>
                <w:rFonts w:ascii="Times New Roman" w:hAnsi="Times New Roman" w:eastAsia="Times New Roman"/>
                <w:color w:val="auto"/>
                <w:spacing w:val="-4"/>
                <w:sz w:val="31"/>
                <w:szCs w:val="31"/>
                <w:highlight w:val="none"/>
              </w:rPr>
            </w:pPr>
            <w:r>
              <w:rPr>
                <w:rFonts w:ascii="Times New Roman" w:hAnsi="Times New Roman" w:eastAsia="Times New Roman"/>
                <w:color w:val="auto"/>
                <w:spacing w:val="-4"/>
                <w:sz w:val="31"/>
                <w:szCs w:val="31"/>
                <w:highlight w:val="none"/>
              </w:rPr>
              <w:t>□</w:t>
            </w:r>
            <w:r>
              <w:rPr>
                <w:rFonts w:ascii="宋体" w:hAnsi="宋体" w:eastAsia="宋体"/>
                <w:color w:val="auto"/>
                <w:spacing w:val="-3"/>
                <w:highlight w:val="none"/>
              </w:rPr>
              <w:t>是</w:t>
            </w:r>
          </w:p>
          <w:p w14:paraId="0EF9D89F">
            <w:pPr>
              <w:spacing w:before="180" w:line="288" w:lineRule="auto"/>
              <w:ind w:left="105" w:leftChars="50" w:right="105" w:rightChars="50"/>
              <w:rPr>
                <w:rFonts w:ascii="Times New Roman" w:hAnsi="Times New Roman" w:eastAsia="Times New Roman"/>
                <w:color w:val="auto"/>
                <w:spacing w:val="-2"/>
                <w:sz w:val="31"/>
                <w:szCs w:val="31"/>
                <w:highlight w:val="none"/>
              </w:rPr>
            </w:pPr>
            <w:r>
              <w:rPr>
                <w:rFonts w:ascii="Times New Roman" w:hAnsi="Times New Roman" w:eastAsia="Times New Roman"/>
                <w:color w:val="auto"/>
                <w:spacing w:val="-2"/>
                <w:sz w:val="31"/>
                <w:szCs w:val="31"/>
                <w:highlight w:val="none"/>
              </w:rPr>
              <w:sym w:font="Wingdings 2" w:char="F052"/>
            </w:r>
            <w:r>
              <w:rPr>
                <w:rFonts w:ascii="宋体" w:hAnsi="宋体" w:eastAsia="宋体"/>
                <w:color w:val="auto"/>
                <w:spacing w:val="-2"/>
                <w:highlight w:val="none"/>
              </w:rPr>
              <w:t>否</w:t>
            </w:r>
          </w:p>
        </w:tc>
      </w:tr>
      <w:tr w14:paraId="4B379E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3" w:hRule="atLeast"/>
        </w:trPr>
        <w:tc>
          <w:tcPr>
            <w:tcW w:w="1169" w:type="dxa"/>
          </w:tcPr>
          <w:p w14:paraId="4D2FCD61">
            <w:pPr>
              <w:spacing w:line="288" w:lineRule="auto"/>
              <w:rPr>
                <w:color w:val="auto"/>
                <w:highlight w:val="none"/>
              </w:rPr>
            </w:pPr>
          </w:p>
          <w:p w14:paraId="05338CEE">
            <w:pPr>
              <w:spacing w:before="61" w:line="288" w:lineRule="auto"/>
              <w:ind w:left="457"/>
              <w:rPr>
                <w:rFonts w:ascii="Times New Roman" w:hAnsi="Times New Roman" w:eastAsia="Times New Roman"/>
                <w:color w:val="auto"/>
                <w:spacing w:val="-2"/>
                <w:highlight w:val="none"/>
              </w:rPr>
            </w:pPr>
            <w:r>
              <w:rPr>
                <w:rFonts w:ascii="Times New Roman" w:hAnsi="Times New Roman" w:eastAsia="Times New Roman"/>
                <w:color w:val="auto"/>
                <w:spacing w:val="-2"/>
                <w:highlight w:val="none"/>
              </w:rPr>
              <w:t>7.</w:t>
            </w:r>
            <w:r>
              <w:rPr>
                <w:rFonts w:ascii="Times New Roman" w:hAnsi="Times New Roman" w:eastAsia="Times New Roman"/>
                <w:color w:val="auto"/>
                <w:spacing w:val="-1"/>
                <w:highlight w:val="none"/>
              </w:rPr>
              <w:t>6</w:t>
            </w:r>
          </w:p>
        </w:tc>
        <w:tc>
          <w:tcPr>
            <w:tcW w:w="3547" w:type="dxa"/>
          </w:tcPr>
          <w:p w14:paraId="1A392645">
            <w:pPr>
              <w:spacing w:line="288" w:lineRule="auto"/>
              <w:rPr>
                <w:color w:val="auto"/>
                <w:highlight w:val="none"/>
              </w:rPr>
            </w:pPr>
          </w:p>
          <w:p w14:paraId="7D23E1C7">
            <w:pPr>
              <w:spacing w:before="68" w:line="288" w:lineRule="auto"/>
              <w:ind w:left="1116"/>
              <w:rPr>
                <w:rFonts w:ascii="宋体" w:hAnsi="宋体" w:eastAsia="宋体"/>
                <w:color w:val="auto"/>
                <w:spacing w:val="-1"/>
                <w:highlight w:val="none"/>
              </w:rPr>
            </w:pPr>
            <w:r>
              <w:rPr>
                <w:rFonts w:ascii="宋体" w:hAnsi="宋体" w:eastAsia="宋体"/>
                <w:color w:val="auto"/>
                <w:spacing w:val="-1"/>
                <w:highlight w:val="none"/>
              </w:rPr>
              <w:t>技术成果经济补偿</w:t>
            </w:r>
          </w:p>
        </w:tc>
        <w:tc>
          <w:tcPr>
            <w:tcW w:w="4610" w:type="dxa"/>
          </w:tcPr>
          <w:p w14:paraId="750E4C81">
            <w:pPr>
              <w:spacing w:before="153" w:line="288" w:lineRule="auto"/>
              <w:ind w:left="105" w:leftChars="50" w:right="105" w:rightChars="50"/>
              <w:rPr>
                <w:rFonts w:ascii="Times New Roman" w:hAnsi="Times New Roman" w:eastAsia="Times New Roman"/>
                <w:color w:val="auto"/>
                <w:spacing w:val="-6"/>
                <w:sz w:val="31"/>
                <w:szCs w:val="31"/>
                <w:highlight w:val="none"/>
              </w:rPr>
            </w:pPr>
            <w:r>
              <w:rPr>
                <w:rFonts w:ascii="Times New Roman" w:hAnsi="Times New Roman" w:eastAsia="Times New Roman"/>
                <w:color w:val="auto"/>
                <w:spacing w:val="-6"/>
                <w:sz w:val="31"/>
                <w:szCs w:val="31"/>
                <w:highlight w:val="none"/>
              </w:rPr>
              <w:sym w:font="Wingdings 2" w:char="F052"/>
            </w:r>
            <w:r>
              <w:rPr>
                <w:rFonts w:ascii="宋体" w:hAnsi="宋体" w:eastAsia="宋体"/>
                <w:color w:val="auto"/>
                <w:spacing w:val="-3"/>
                <w:highlight w:val="none"/>
              </w:rPr>
              <w:t>不补偿</w:t>
            </w:r>
          </w:p>
          <w:p w14:paraId="66406747">
            <w:pPr>
              <w:spacing w:before="164" w:line="288" w:lineRule="auto"/>
              <w:ind w:left="105" w:leftChars="50" w:right="105" w:rightChars="50"/>
              <w:rPr>
                <w:rFonts w:ascii="Times New Roman" w:hAnsi="Times New Roman" w:eastAsia="Times New Roman"/>
                <w:color w:val="auto"/>
                <w:spacing w:val="-12"/>
                <w:sz w:val="31"/>
                <w:szCs w:val="31"/>
                <w:highlight w:val="none"/>
              </w:rPr>
            </w:pPr>
            <w:r>
              <w:rPr>
                <w:rFonts w:ascii="Times New Roman" w:hAnsi="Times New Roman" w:eastAsia="Times New Roman"/>
                <w:color w:val="auto"/>
                <w:spacing w:val="-12"/>
                <w:sz w:val="31"/>
                <w:szCs w:val="31"/>
                <w:highlight w:val="none"/>
              </w:rPr>
              <w:t>□</w:t>
            </w:r>
            <w:r>
              <w:rPr>
                <w:rFonts w:ascii="宋体" w:hAnsi="宋体" w:eastAsia="宋体"/>
                <w:color w:val="auto"/>
                <w:spacing w:val="-7"/>
                <w:highlight w:val="none"/>
              </w:rPr>
              <w:t>补</w:t>
            </w:r>
            <w:r>
              <w:rPr>
                <w:rFonts w:ascii="宋体" w:hAnsi="宋体" w:eastAsia="宋体"/>
                <w:color w:val="auto"/>
                <w:spacing w:val="-6"/>
                <w:highlight w:val="none"/>
              </w:rPr>
              <w:t>偿，补偿标准：</w:t>
            </w:r>
          </w:p>
        </w:tc>
      </w:tr>
      <w:tr w14:paraId="40B3C9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4" w:hRule="atLeast"/>
        </w:trPr>
        <w:tc>
          <w:tcPr>
            <w:tcW w:w="1169" w:type="dxa"/>
          </w:tcPr>
          <w:p w14:paraId="5BD9AF25">
            <w:pPr>
              <w:spacing w:line="288" w:lineRule="auto"/>
              <w:rPr>
                <w:color w:val="auto"/>
                <w:highlight w:val="none"/>
              </w:rPr>
            </w:pPr>
          </w:p>
          <w:p w14:paraId="6E6F37A6">
            <w:pPr>
              <w:spacing w:line="288" w:lineRule="auto"/>
              <w:rPr>
                <w:color w:val="auto"/>
                <w:highlight w:val="none"/>
              </w:rPr>
            </w:pPr>
          </w:p>
          <w:p w14:paraId="17A53EB2">
            <w:pPr>
              <w:spacing w:line="288" w:lineRule="auto"/>
              <w:rPr>
                <w:color w:val="auto"/>
                <w:highlight w:val="none"/>
              </w:rPr>
            </w:pPr>
          </w:p>
          <w:p w14:paraId="4D83C27F">
            <w:pPr>
              <w:spacing w:before="60" w:line="288" w:lineRule="auto"/>
              <w:ind w:left="379"/>
              <w:rPr>
                <w:rFonts w:ascii="Times New Roman" w:hAnsi="Times New Roman" w:eastAsia="Times New Roman"/>
                <w:color w:val="auto"/>
                <w:spacing w:val="-2"/>
                <w:highlight w:val="none"/>
              </w:rPr>
            </w:pPr>
            <w:r>
              <w:rPr>
                <w:rFonts w:ascii="Times New Roman" w:hAnsi="Times New Roman" w:eastAsia="Times New Roman"/>
                <w:color w:val="auto"/>
                <w:spacing w:val="-2"/>
                <w:highlight w:val="none"/>
              </w:rPr>
              <w:t>7.</w:t>
            </w:r>
            <w:r>
              <w:rPr>
                <w:rFonts w:ascii="Times New Roman" w:hAnsi="Times New Roman" w:eastAsia="Times New Roman"/>
                <w:color w:val="auto"/>
                <w:spacing w:val="-1"/>
                <w:highlight w:val="none"/>
              </w:rPr>
              <w:t>7.1</w:t>
            </w:r>
          </w:p>
        </w:tc>
        <w:tc>
          <w:tcPr>
            <w:tcW w:w="3547" w:type="dxa"/>
          </w:tcPr>
          <w:p w14:paraId="2A144A20">
            <w:pPr>
              <w:spacing w:line="288" w:lineRule="auto"/>
              <w:rPr>
                <w:color w:val="auto"/>
                <w:highlight w:val="none"/>
              </w:rPr>
            </w:pPr>
          </w:p>
          <w:p w14:paraId="1C43E17E">
            <w:pPr>
              <w:spacing w:line="288" w:lineRule="auto"/>
              <w:rPr>
                <w:color w:val="auto"/>
                <w:highlight w:val="none"/>
              </w:rPr>
            </w:pPr>
          </w:p>
          <w:p w14:paraId="2C719052">
            <w:pPr>
              <w:spacing w:before="68" w:line="288" w:lineRule="auto"/>
              <w:ind w:left="1434"/>
              <w:rPr>
                <w:rFonts w:ascii="宋体" w:hAnsi="宋体" w:eastAsia="宋体"/>
                <w:color w:val="auto"/>
                <w:spacing w:val="-2"/>
                <w:highlight w:val="none"/>
              </w:rPr>
            </w:pPr>
            <w:r>
              <w:rPr>
                <w:rFonts w:ascii="宋体" w:hAnsi="宋体" w:eastAsia="宋体"/>
                <w:color w:val="auto"/>
                <w:spacing w:val="-2"/>
                <w:highlight w:val="none"/>
              </w:rPr>
              <w:t>履约保证金</w:t>
            </w:r>
          </w:p>
        </w:tc>
        <w:tc>
          <w:tcPr>
            <w:tcW w:w="4610" w:type="dxa"/>
          </w:tcPr>
          <w:p w14:paraId="2AB879CF">
            <w:pPr>
              <w:spacing w:before="141" w:line="288" w:lineRule="auto"/>
              <w:ind w:left="105" w:leftChars="50" w:right="105" w:rightChars="50"/>
              <w:rPr>
                <w:rFonts w:ascii="宋体" w:hAnsi="宋体" w:eastAsia="宋体"/>
                <w:color w:val="auto"/>
                <w:spacing w:val="-6"/>
                <w:highlight w:val="none"/>
              </w:rPr>
            </w:pPr>
            <w:r>
              <w:rPr>
                <w:rFonts w:ascii="宋体" w:hAnsi="宋体" w:eastAsia="宋体"/>
                <w:color w:val="auto"/>
                <w:spacing w:val="-6"/>
                <w:highlight w:val="none"/>
              </w:rPr>
              <w:t>是否要</w:t>
            </w:r>
            <w:r>
              <w:rPr>
                <w:rFonts w:ascii="宋体" w:hAnsi="宋体" w:eastAsia="宋体"/>
                <w:color w:val="auto"/>
                <w:spacing w:val="-5"/>
                <w:highlight w:val="none"/>
              </w:rPr>
              <w:t>求</w:t>
            </w:r>
            <w:r>
              <w:rPr>
                <w:rFonts w:ascii="宋体" w:hAnsi="宋体" w:eastAsia="宋体"/>
                <w:color w:val="auto"/>
                <w:spacing w:val="-3"/>
                <w:highlight w:val="none"/>
              </w:rPr>
              <w:t>中标人提交履约保证金：</w:t>
            </w:r>
          </w:p>
          <w:p w14:paraId="0FCCBB30">
            <w:pPr>
              <w:spacing w:before="147" w:line="288" w:lineRule="auto"/>
              <w:ind w:left="933" w:leftChars="50" w:right="105" w:rightChars="50" w:hanging="828"/>
              <w:rPr>
                <w:rFonts w:ascii="Times New Roman" w:hAnsi="Times New Roman" w:eastAsia="Times New Roman"/>
                <w:color w:val="auto"/>
                <w:spacing w:val="-7"/>
                <w:sz w:val="31"/>
                <w:szCs w:val="31"/>
                <w:highlight w:val="none"/>
              </w:rPr>
            </w:pPr>
            <w:r>
              <w:rPr>
                <w:rFonts w:ascii="Times New Roman" w:hAnsi="Times New Roman" w:eastAsia="Times New Roman"/>
                <w:color w:val="auto"/>
                <w:spacing w:val="-7"/>
                <w:sz w:val="31"/>
                <w:szCs w:val="31"/>
                <w:highlight w:val="none"/>
              </w:rPr>
              <w:t>□</w:t>
            </w:r>
            <w:r>
              <w:rPr>
                <w:rFonts w:ascii="宋体" w:hAnsi="宋体" w:eastAsia="宋体"/>
                <w:color w:val="auto"/>
                <w:spacing w:val="-5"/>
                <w:highlight w:val="none"/>
              </w:rPr>
              <w:t>要求，履约保证金的形式：</w:t>
            </w:r>
          </w:p>
          <w:p w14:paraId="4C23E9F3">
            <w:pPr>
              <w:spacing w:before="147" w:line="288" w:lineRule="auto"/>
              <w:ind w:left="105" w:leftChars="50" w:right="105" w:rightChars="50" w:firstLine="11" w:firstLineChars="6"/>
              <w:rPr>
                <w:rFonts w:ascii="宋体" w:hAnsi="宋体" w:eastAsia="宋体"/>
                <w:color w:val="auto"/>
                <w:spacing w:val="-12"/>
                <w:highlight w:val="none"/>
              </w:rPr>
            </w:pPr>
            <w:r>
              <w:rPr>
                <w:rFonts w:ascii="宋体" w:hAnsi="宋体" w:eastAsia="宋体"/>
                <w:color w:val="auto"/>
                <w:spacing w:val="-12"/>
                <w:highlight w:val="none"/>
              </w:rPr>
              <w:t>履</w:t>
            </w:r>
            <w:r>
              <w:rPr>
                <w:rFonts w:ascii="宋体" w:hAnsi="宋体" w:eastAsia="宋体"/>
                <w:color w:val="auto"/>
                <w:spacing w:val="-6"/>
                <w:highlight w:val="none"/>
              </w:rPr>
              <w:t>约保证金的金额：</w:t>
            </w:r>
          </w:p>
          <w:p w14:paraId="737B9A4D">
            <w:pPr>
              <w:spacing w:before="159" w:line="288" w:lineRule="auto"/>
              <w:ind w:left="105" w:leftChars="50" w:right="105" w:rightChars="50"/>
              <w:rPr>
                <w:rFonts w:ascii="Times New Roman" w:hAnsi="Times New Roman" w:eastAsia="Times New Roman"/>
                <w:color w:val="auto"/>
                <w:spacing w:val="-6"/>
                <w:sz w:val="31"/>
                <w:szCs w:val="31"/>
                <w:highlight w:val="none"/>
              </w:rPr>
            </w:pPr>
            <w:r>
              <w:rPr>
                <w:rFonts w:ascii="Times New Roman" w:hAnsi="Times New Roman" w:eastAsia="Times New Roman"/>
                <w:color w:val="auto"/>
                <w:spacing w:val="-6"/>
                <w:sz w:val="31"/>
                <w:szCs w:val="31"/>
                <w:highlight w:val="none"/>
              </w:rPr>
              <w:sym w:font="Wingdings 2" w:char="F052"/>
            </w:r>
            <w:r>
              <w:rPr>
                <w:rFonts w:ascii="宋体" w:hAnsi="宋体" w:eastAsia="宋体"/>
                <w:color w:val="auto"/>
                <w:spacing w:val="-3"/>
                <w:highlight w:val="none"/>
              </w:rPr>
              <w:t>不要求</w:t>
            </w:r>
          </w:p>
        </w:tc>
      </w:tr>
      <w:tr w14:paraId="657F7C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169" w:type="dxa"/>
          </w:tcPr>
          <w:p w14:paraId="594BDA7C">
            <w:pPr>
              <w:spacing w:line="288" w:lineRule="auto"/>
              <w:rPr>
                <w:color w:val="auto"/>
                <w:highlight w:val="none"/>
              </w:rPr>
            </w:pPr>
          </w:p>
          <w:p w14:paraId="260EB66D">
            <w:pPr>
              <w:spacing w:before="61" w:line="288" w:lineRule="auto"/>
              <w:ind w:left="500"/>
              <w:rPr>
                <w:rFonts w:ascii="Times New Roman" w:hAnsi="Times New Roman" w:eastAsia="Times New Roman"/>
                <w:color w:val="auto"/>
                <w:spacing w:val="-7"/>
                <w:highlight w:val="none"/>
              </w:rPr>
            </w:pPr>
            <w:r>
              <w:rPr>
                <w:rFonts w:ascii="Times New Roman" w:hAnsi="Times New Roman" w:eastAsia="Times New Roman"/>
                <w:color w:val="auto"/>
                <w:spacing w:val="-7"/>
                <w:highlight w:val="none"/>
              </w:rPr>
              <w:t>1</w:t>
            </w:r>
            <w:r>
              <w:rPr>
                <w:rFonts w:hint="eastAsia" w:ascii="Times New Roman" w:hAnsi="Times New Roman" w:eastAsia="宋体"/>
                <w:color w:val="auto"/>
                <w:spacing w:val="-5"/>
                <w:highlight w:val="none"/>
              </w:rPr>
              <w:t>1</w:t>
            </w:r>
          </w:p>
        </w:tc>
        <w:tc>
          <w:tcPr>
            <w:tcW w:w="3547" w:type="dxa"/>
            <w:vAlign w:val="center"/>
          </w:tcPr>
          <w:p w14:paraId="2A3B34A3">
            <w:pPr>
              <w:spacing w:before="68" w:line="288" w:lineRule="auto"/>
              <w:jc w:val="center"/>
              <w:rPr>
                <w:rFonts w:ascii="宋体" w:hAnsi="宋体" w:eastAsia="宋体"/>
                <w:color w:val="auto"/>
                <w:spacing w:val="-2"/>
                <w:highlight w:val="none"/>
              </w:rPr>
            </w:pPr>
            <w:r>
              <w:rPr>
                <w:rFonts w:ascii="宋体" w:hAnsi="宋体" w:eastAsia="宋体"/>
                <w:color w:val="auto"/>
                <w:spacing w:val="-2"/>
                <w:highlight w:val="none"/>
              </w:rPr>
              <w:t>需要补充的其他内</w:t>
            </w:r>
            <w:r>
              <w:rPr>
                <w:rFonts w:ascii="宋体" w:hAnsi="宋体" w:eastAsia="宋体"/>
                <w:color w:val="auto"/>
                <w:spacing w:val="-1"/>
                <w:highlight w:val="none"/>
              </w:rPr>
              <w:t>容</w:t>
            </w:r>
          </w:p>
        </w:tc>
        <w:tc>
          <w:tcPr>
            <w:tcW w:w="4610" w:type="dxa"/>
            <w:vAlign w:val="center"/>
          </w:tcPr>
          <w:p w14:paraId="64301000">
            <w:pPr>
              <w:spacing w:line="288" w:lineRule="auto"/>
              <w:ind w:left="105" w:leftChars="50" w:right="105" w:rightChars="50" w:firstLine="1050" w:firstLineChars="500"/>
              <w:jc w:val="both"/>
              <w:rPr>
                <w:rFonts w:eastAsia="宋体"/>
                <w:color w:val="auto"/>
                <w:highlight w:val="none"/>
              </w:rPr>
            </w:pPr>
            <w:r>
              <w:rPr>
                <w:rFonts w:hint="eastAsia" w:eastAsia="宋体"/>
                <w:color w:val="auto"/>
                <w:highlight w:val="none"/>
              </w:rPr>
              <w:t>/</w:t>
            </w:r>
          </w:p>
        </w:tc>
      </w:tr>
      <w:tr w14:paraId="0C633F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169" w:type="dxa"/>
            <w:vAlign w:val="center"/>
          </w:tcPr>
          <w:p w14:paraId="02CE6CC1">
            <w:pPr>
              <w:spacing w:line="288" w:lineRule="auto"/>
              <w:jc w:val="center"/>
              <w:rPr>
                <w:rFonts w:ascii="Times New Roman" w:hAnsi="Times New Roman" w:eastAsia="宋体"/>
                <w:color w:val="auto"/>
                <w:spacing w:val="-7"/>
                <w:highlight w:val="none"/>
              </w:rPr>
            </w:pPr>
            <w:r>
              <w:rPr>
                <w:rFonts w:hint="eastAsia" w:ascii="Times New Roman" w:hAnsi="Times New Roman" w:eastAsia="宋体"/>
                <w:color w:val="auto"/>
                <w:spacing w:val="-7"/>
                <w:highlight w:val="none"/>
              </w:rPr>
              <w:t>11.1</w:t>
            </w:r>
          </w:p>
        </w:tc>
        <w:tc>
          <w:tcPr>
            <w:tcW w:w="3547" w:type="dxa"/>
            <w:vAlign w:val="center"/>
          </w:tcPr>
          <w:p w14:paraId="240BC0F6">
            <w:pPr>
              <w:spacing w:line="288" w:lineRule="auto"/>
              <w:jc w:val="center"/>
              <w:rPr>
                <w:rFonts w:ascii="宋体" w:hAnsi="宋体"/>
                <w:color w:val="auto"/>
                <w:highlight w:val="none"/>
              </w:rPr>
            </w:pPr>
            <w:r>
              <w:rPr>
                <w:rFonts w:hint="eastAsia" w:ascii="宋体" w:hAnsi="宋体"/>
                <w:color w:val="auto"/>
                <w:highlight w:val="none"/>
              </w:rPr>
              <w:t>其他费用</w:t>
            </w:r>
          </w:p>
        </w:tc>
        <w:tc>
          <w:tcPr>
            <w:tcW w:w="4610" w:type="dxa"/>
            <w:vAlign w:val="center"/>
          </w:tcPr>
          <w:p w14:paraId="301A4092">
            <w:pPr>
              <w:spacing w:line="288" w:lineRule="auto"/>
              <w:ind w:left="105" w:leftChars="50" w:right="105" w:rightChars="50"/>
              <w:rPr>
                <w:rFonts w:ascii="宋体" w:hAnsi="宋体"/>
                <w:color w:val="auto"/>
                <w:highlight w:val="none"/>
              </w:rPr>
            </w:pPr>
            <w:r>
              <w:rPr>
                <w:rFonts w:hint="eastAsia" w:ascii="宋体" w:hAnsi="宋体"/>
                <w:color w:val="auto"/>
                <w:highlight w:val="none"/>
              </w:rPr>
              <w:t>交易服务费：中标人代缴广州公共资源交易中心交易服务费，其费用包含在中标人报价中，由广州公共资源交易中心向中标人开具发票。</w:t>
            </w:r>
          </w:p>
        </w:tc>
      </w:tr>
      <w:tr w14:paraId="067F4C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169" w:type="dxa"/>
            <w:vAlign w:val="center"/>
          </w:tcPr>
          <w:p w14:paraId="0A44F328">
            <w:pPr>
              <w:spacing w:line="288" w:lineRule="auto"/>
              <w:jc w:val="center"/>
              <w:rPr>
                <w:rFonts w:ascii="Times New Roman" w:hAnsi="Times New Roman" w:eastAsia="宋体"/>
                <w:color w:val="auto"/>
                <w:spacing w:val="-7"/>
                <w:highlight w:val="none"/>
              </w:rPr>
            </w:pPr>
            <w:r>
              <w:rPr>
                <w:rFonts w:hint="eastAsia" w:ascii="Times New Roman" w:hAnsi="Times New Roman" w:eastAsia="宋体"/>
                <w:color w:val="auto"/>
                <w:spacing w:val="-7"/>
                <w:highlight w:val="none"/>
              </w:rPr>
              <w:t>11.2</w:t>
            </w:r>
          </w:p>
        </w:tc>
        <w:tc>
          <w:tcPr>
            <w:tcW w:w="3547" w:type="dxa"/>
            <w:vAlign w:val="center"/>
          </w:tcPr>
          <w:p w14:paraId="466B1DD0">
            <w:pPr>
              <w:spacing w:line="288" w:lineRule="auto"/>
              <w:jc w:val="center"/>
              <w:rPr>
                <w:rFonts w:ascii="宋体" w:hAnsi="宋体"/>
                <w:color w:val="auto"/>
                <w:highlight w:val="none"/>
              </w:rPr>
            </w:pPr>
            <w:r>
              <w:rPr>
                <w:rFonts w:hint="eastAsia" w:ascii="宋体" w:hAnsi="宋体"/>
                <w:color w:val="auto"/>
                <w:highlight w:val="none"/>
              </w:rPr>
              <w:t>招标失败的情形</w:t>
            </w:r>
          </w:p>
        </w:tc>
        <w:tc>
          <w:tcPr>
            <w:tcW w:w="4610" w:type="dxa"/>
            <w:vAlign w:val="center"/>
          </w:tcPr>
          <w:p w14:paraId="571195C3">
            <w:pPr>
              <w:spacing w:line="288" w:lineRule="auto"/>
              <w:ind w:left="105" w:leftChars="50" w:right="105" w:rightChars="50"/>
              <w:rPr>
                <w:rFonts w:ascii="宋体" w:hAnsi="宋体"/>
                <w:color w:val="auto"/>
                <w:highlight w:val="none"/>
              </w:rPr>
            </w:pPr>
            <w:r>
              <w:rPr>
                <w:rFonts w:hint="eastAsia" w:ascii="宋体" w:hAnsi="宋体"/>
                <w:color w:val="auto"/>
                <w:highlight w:val="none"/>
              </w:rPr>
              <w:t>本项目采用资格后审方式，满足资格审查合格条件或通过初步评审的投标申请人不足3名时为招标失败。招标人分析招标失败原因，修正招标方案，报有关管理部门核准后，重新组织招标。</w:t>
            </w:r>
          </w:p>
        </w:tc>
      </w:tr>
      <w:tr w14:paraId="49D89A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169" w:type="dxa"/>
            <w:vAlign w:val="center"/>
          </w:tcPr>
          <w:p w14:paraId="12242374">
            <w:pPr>
              <w:spacing w:line="288" w:lineRule="auto"/>
              <w:jc w:val="center"/>
              <w:rPr>
                <w:rFonts w:ascii="Times New Roman" w:hAnsi="Times New Roman" w:eastAsia="宋体"/>
                <w:color w:val="auto"/>
                <w:spacing w:val="-7"/>
                <w:highlight w:val="none"/>
              </w:rPr>
            </w:pPr>
            <w:r>
              <w:rPr>
                <w:rFonts w:hint="eastAsia" w:ascii="Times New Roman" w:hAnsi="Times New Roman" w:eastAsia="宋体"/>
                <w:color w:val="auto"/>
                <w:spacing w:val="-7"/>
                <w:highlight w:val="none"/>
              </w:rPr>
              <w:t>11.3</w:t>
            </w:r>
          </w:p>
        </w:tc>
        <w:tc>
          <w:tcPr>
            <w:tcW w:w="3547" w:type="dxa"/>
            <w:vAlign w:val="center"/>
          </w:tcPr>
          <w:p w14:paraId="3F397B48">
            <w:pPr>
              <w:spacing w:line="288" w:lineRule="auto"/>
              <w:jc w:val="center"/>
              <w:rPr>
                <w:rFonts w:ascii="宋体" w:hAnsi="宋体"/>
                <w:color w:val="auto"/>
                <w:highlight w:val="none"/>
              </w:rPr>
            </w:pPr>
            <w:r>
              <w:rPr>
                <w:rFonts w:hint="eastAsia" w:ascii="宋体" w:hAnsi="宋体"/>
                <w:color w:val="auto"/>
                <w:highlight w:val="none"/>
              </w:rPr>
              <w:t>补交纸质投标文件</w:t>
            </w:r>
          </w:p>
        </w:tc>
        <w:tc>
          <w:tcPr>
            <w:tcW w:w="4610" w:type="dxa"/>
            <w:vAlign w:val="center"/>
          </w:tcPr>
          <w:p w14:paraId="16815123">
            <w:pPr>
              <w:spacing w:line="288" w:lineRule="auto"/>
              <w:ind w:left="105" w:leftChars="50" w:right="105" w:rightChars="50"/>
              <w:rPr>
                <w:rFonts w:ascii="宋体" w:hAnsi="宋体"/>
                <w:color w:val="auto"/>
                <w:highlight w:val="none"/>
                <w:u w:val="single"/>
              </w:rPr>
            </w:pPr>
            <w:r>
              <w:rPr>
                <w:rFonts w:hint="eastAsia" w:ascii="宋体" w:hAnsi="宋体"/>
                <w:color w:val="auto"/>
                <w:highlight w:val="none"/>
                <w:u w:val="single"/>
              </w:rPr>
              <w:t>中标单位领取中标通知书前，中标人需向招标人提交与上传至广州公共资源中心交易平台的电子投标文件内容一致的纸质文件（1正</w:t>
            </w:r>
            <w:r>
              <w:rPr>
                <w:rFonts w:hint="eastAsia" w:ascii="宋体" w:hAnsi="宋体" w:eastAsia="宋体"/>
                <w:color w:val="auto"/>
                <w:highlight w:val="none"/>
                <w:u w:val="single"/>
              </w:rPr>
              <w:t>2</w:t>
            </w:r>
            <w:r>
              <w:rPr>
                <w:rFonts w:hint="eastAsia" w:ascii="宋体" w:hAnsi="宋体"/>
                <w:color w:val="auto"/>
                <w:highlight w:val="none"/>
                <w:u w:val="single"/>
              </w:rPr>
              <w:t>副）及电子光盘</w:t>
            </w:r>
            <w:r>
              <w:rPr>
                <w:rFonts w:hint="eastAsia" w:ascii="宋体" w:hAnsi="宋体" w:eastAsia="宋体"/>
                <w:color w:val="auto"/>
                <w:highlight w:val="none"/>
                <w:u w:val="single"/>
              </w:rPr>
              <w:t>1</w:t>
            </w:r>
            <w:r>
              <w:rPr>
                <w:rFonts w:hint="eastAsia" w:ascii="宋体" w:hAnsi="宋体"/>
                <w:color w:val="auto"/>
                <w:highlight w:val="none"/>
                <w:u w:val="single"/>
              </w:rPr>
              <w:t>张（提交传至广州公共资源中心交易平台的电子</w:t>
            </w:r>
            <w:r>
              <w:rPr>
                <w:rFonts w:hint="eastAsia" w:ascii="宋体" w:hAnsi="宋体" w:eastAsia="宋体"/>
                <w:color w:val="auto"/>
                <w:highlight w:val="none"/>
                <w:u w:val="single"/>
              </w:rPr>
              <w:t>文件一致的文件</w:t>
            </w:r>
            <w:r>
              <w:rPr>
                <w:rFonts w:hint="eastAsia" w:ascii="宋体" w:hAnsi="宋体"/>
                <w:color w:val="auto"/>
                <w:highlight w:val="none"/>
                <w:u w:val="single"/>
              </w:rPr>
              <w:t>）。</w:t>
            </w:r>
          </w:p>
        </w:tc>
      </w:tr>
    </w:tbl>
    <w:p w14:paraId="74563A18">
      <w:pPr>
        <w:rPr>
          <w:color w:val="auto"/>
          <w:highlight w:val="none"/>
        </w:rPr>
      </w:pPr>
    </w:p>
    <w:p w14:paraId="2C5A469C">
      <w:pPr>
        <w:rPr>
          <w:color w:val="auto"/>
          <w:highlight w:val="none"/>
        </w:rPr>
        <w:sectPr>
          <w:footerReference r:id="rId6" w:type="default"/>
          <w:pgSz w:w="11906" w:h="16838"/>
          <w:pgMar w:top="1346" w:right="1219" w:bottom="1104" w:left="1689" w:header="0" w:footer="940" w:gutter="0"/>
          <w:cols w:space="720" w:num="1"/>
        </w:sectPr>
      </w:pPr>
    </w:p>
    <w:p w14:paraId="01F80F8A">
      <w:pPr>
        <w:pStyle w:val="25"/>
        <w:spacing w:before="120" w:after="120"/>
        <w:jc w:val="center"/>
        <w:outlineLvl w:val="9"/>
        <w:rPr>
          <w:color w:val="auto"/>
          <w:sz w:val="32"/>
          <w:highlight w:val="none"/>
        </w:rPr>
      </w:pPr>
      <w:bookmarkStart w:id="77" w:name="_Toc29819"/>
      <w:bookmarkStart w:id="78" w:name="_Toc17556876"/>
      <w:bookmarkStart w:id="79" w:name="_Toc17451578"/>
      <w:bookmarkStart w:id="80" w:name="_Toc17556931"/>
      <w:bookmarkStart w:id="81" w:name="_Toc23544"/>
      <w:bookmarkStart w:id="82" w:name="_Toc262229161"/>
      <w:bookmarkStart w:id="83" w:name="_Toc17451623"/>
      <w:bookmarkStart w:id="84" w:name="_Toc17451101"/>
      <w:bookmarkStart w:id="85" w:name="_Toc1363"/>
      <w:bookmarkStart w:id="86" w:name="_Toc26969"/>
      <w:bookmarkStart w:id="87" w:name="_Toc25180"/>
      <w:bookmarkStart w:id="88" w:name="_Toc17452664"/>
      <w:bookmarkStart w:id="89" w:name="_Toc17454922"/>
      <w:bookmarkStart w:id="90" w:name="_Toc17454871"/>
      <w:r>
        <w:rPr>
          <w:color w:val="auto"/>
          <w:sz w:val="32"/>
          <w:highlight w:val="none"/>
        </w:rPr>
        <w:t>投标须知修改表</w:t>
      </w:r>
      <w:bookmarkEnd w:id="77"/>
      <w:bookmarkEnd w:id="78"/>
      <w:bookmarkEnd w:id="79"/>
      <w:bookmarkEnd w:id="80"/>
      <w:bookmarkEnd w:id="81"/>
      <w:bookmarkEnd w:id="82"/>
      <w:bookmarkEnd w:id="83"/>
      <w:bookmarkEnd w:id="84"/>
      <w:bookmarkEnd w:id="85"/>
      <w:bookmarkEnd w:id="86"/>
      <w:bookmarkEnd w:id="87"/>
      <w:bookmarkEnd w:id="88"/>
      <w:bookmarkEnd w:id="89"/>
      <w:bookmarkEnd w:id="90"/>
    </w:p>
    <w:p w14:paraId="24F83577">
      <w:pPr>
        <w:pStyle w:val="45"/>
        <w:spacing w:line="360" w:lineRule="auto"/>
        <w:rPr>
          <w:rFonts w:ascii="宋体" w:hAnsi="宋体" w:eastAsia="宋体"/>
          <w:b/>
          <w:color w:val="auto"/>
          <w:sz w:val="24"/>
          <w:szCs w:val="24"/>
          <w:highlight w:val="none"/>
        </w:rPr>
      </w:pPr>
      <w:r>
        <w:rPr>
          <w:rFonts w:ascii="宋体" w:hAnsi="宋体" w:eastAsia="宋体"/>
          <w:b/>
          <w:color w:val="auto"/>
          <w:sz w:val="24"/>
          <w:szCs w:val="24"/>
          <w:highlight w:val="none"/>
        </w:rPr>
        <w:t>本投标须知使用</w:t>
      </w:r>
      <w:r>
        <w:rPr>
          <w:rFonts w:hint="eastAsia" w:ascii="宋体" w:hAnsi="宋体" w:eastAsia="宋体"/>
          <w:b/>
          <w:color w:val="auto"/>
          <w:sz w:val="24"/>
          <w:szCs w:val="24"/>
          <w:highlight w:val="none"/>
        </w:rPr>
        <w:t>SWZB2024-11</w:t>
      </w:r>
      <w:r>
        <w:rPr>
          <w:rFonts w:ascii="宋体" w:hAnsi="宋体" w:eastAsia="宋体"/>
          <w:b/>
          <w:color w:val="auto"/>
          <w:sz w:val="24"/>
          <w:szCs w:val="24"/>
          <w:highlight w:val="none"/>
        </w:rPr>
        <w:t>招标文件范本的投标须知通用条款，与该通用条款不同之处，均在本表中列明，并以现文为准，原文不再有效。</w:t>
      </w:r>
    </w:p>
    <w:p w14:paraId="2E27FC02">
      <w:pPr>
        <w:spacing w:line="480" w:lineRule="auto"/>
        <w:ind w:firstLine="540" w:firstLineChars="224"/>
        <w:rPr>
          <w:rFonts w:ascii="宋体" w:hAnsi="宋体" w:eastAsia="宋体"/>
          <w:b/>
          <w:bCs/>
          <w:color w:val="auto"/>
          <w:sz w:val="24"/>
          <w:szCs w:val="24"/>
          <w:highlight w:val="none"/>
        </w:rPr>
      </w:pPr>
      <w:r>
        <w:rPr>
          <w:rFonts w:ascii="宋体" w:hAnsi="宋体" w:eastAsia="宋体"/>
          <w:b/>
          <w:bCs/>
          <w:color w:val="auto"/>
          <w:sz w:val="24"/>
          <w:szCs w:val="24"/>
          <w:highlight w:val="none"/>
        </w:rPr>
        <w:t>条款号</w:t>
      </w:r>
      <w:r>
        <w:rPr>
          <w:rFonts w:ascii="宋体" w:hAnsi="宋体" w:eastAsia="宋体"/>
          <w:color w:val="auto"/>
          <w:sz w:val="24"/>
          <w:szCs w:val="24"/>
          <w:highlight w:val="none"/>
        </w:rPr>
        <w:t>：3.</w:t>
      </w:r>
      <w:r>
        <w:rPr>
          <w:rFonts w:hint="eastAsia" w:ascii="宋体" w:hAnsi="宋体" w:eastAsia="宋体"/>
          <w:color w:val="auto"/>
          <w:sz w:val="24"/>
          <w:szCs w:val="24"/>
          <w:highlight w:val="none"/>
        </w:rPr>
        <w:t>5.2</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 xml:space="preserve">                      </w:t>
      </w:r>
      <w:r>
        <w:rPr>
          <w:rFonts w:ascii="宋体" w:hAnsi="宋体" w:eastAsia="宋体"/>
          <w:color w:val="auto"/>
          <w:sz w:val="24"/>
          <w:szCs w:val="24"/>
          <w:highlight w:val="none"/>
        </w:rPr>
        <w:t xml:space="preserve">    </w:t>
      </w:r>
      <w:r>
        <w:rPr>
          <w:rFonts w:ascii="宋体" w:hAnsi="宋体" w:eastAsia="宋体"/>
          <w:b/>
          <w:bCs/>
          <w:color w:val="auto"/>
          <w:sz w:val="24"/>
          <w:szCs w:val="24"/>
          <w:highlight w:val="none"/>
        </w:rPr>
        <w:t xml:space="preserve"> 修改类型：删除</w:t>
      </w:r>
    </w:p>
    <w:p w14:paraId="7182AE73">
      <w:pPr>
        <w:spacing w:before="1" w:line="351" w:lineRule="auto"/>
        <w:ind w:left="4" w:right="2" w:firstLine="355"/>
        <w:rPr>
          <w:rFonts w:ascii="宋体" w:hAnsi="宋体" w:eastAsia="宋体"/>
          <w:color w:val="auto"/>
          <w:spacing w:val="-5"/>
          <w:highlight w:val="none"/>
        </w:rPr>
      </w:pPr>
      <w:r>
        <w:rPr>
          <w:rFonts w:ascii="宋体" w:hAnsi="宋体" w:eastAsia="宋体"/>
          <w:color w:val="auto"/>
          <w:spacing w:val="-5"/>
          <w:highlight w:val="none"/>
        </w:rPr>
        <w:t>3.5.2 “近年完成的类似设计或勘察设计项目情况表”应附中标通知书和(或)合同协议书、发包人出具的证明文件；具体时间要求见投标人须知前附表，每张表格只填写一个项目，并标明序号。</w:t>
      </w:r>
    </w:p>
    <w:p w14:paraId="5CCB2DA0">
      <w:pPr>
        <w:spacing w:before="1" w:line="351" w:lineRule="auto"/>
        <w:ind w:left="4" w:right="2" w:firstLine="355"/>
        <w:rPr>
          <w:rFonts w:ascii="宋体" w:hAnsi="宋体" w:eastAsia="宋体"/>
          <w:color w:val="auto"/>
          <w:spacing w:val="-5"/>
          <w:highlight w:val="none"/>
        </w:rPr>
      </w:pPr>
    </w:p>
    <w:p w14:paraId="7C7EA710">
      <w:pPr>
        <w:spacing w:line="360" w:lineRule="auto"/>
        <w:ind w:firstLine="482" w:firstLineChars="200"/>
        <w:rPr>
          <w:rFonts w:ascii="宋体" w:hAnsi="宋体" w:eastAsia="宋体"/>
          <w:b/>
          <w:bCs/>
          <w:color w:val="auto"/>
          <w:sz w:val="24"/>
          <w:szCs w:val="24"/>
          <w:highlight w:val="none"/>
        </w:rPr>
      </w:pPr>
      <w:r>
        <w:rPr>
          <w:rFonts w:ascii="宋体" w:hAnsi="宋体" w:eastAsia="宋体"/>
          <w:b/>
          <w:bCs/>
          <w:color w:val="auto"/>
          <w:sz w:val="24"/>
          <w:szCs w:val="24"/>
          <w:highlight w:val="none"/>
        </w:rPr>
        <w:t>条款号</w:t>
      </w:r>
      <w:r>
        <w:rPr>
          <w:rFonts w:ascii="宋体" w:hAnsi="宋体" w:eastAsia="宋体"/>
          <w:color w:val="auto"/>
          <w:sz w:val="24"/>
          <w:szCs w:val="24"/>
          <w:highlight w:val="none"/>
        </w:rPr>
        <w:t>：</w:t>
      </w:r>
      <w:r>
        <w:rPr>
          <w:rFonts w:hint="eastAsia" w:ascii="宋体" w:hAnsi="宋体" w:eastAsia="宋体"/>
          <w:color w:val="auto"/>
          <w:sz w:val="24"/>
          <w:szCs w:val="24"/>
          <w:highlight w:val="none"/>
        </w:rPr>
        <w:t xml:space="preserve">1.4.1                      </w:t>
      </w:r>
      <w:r>
        <w:rPr>
          <w:rFonts w:ascii="宋体" w:hAnsi="宋体" w:eastAsia="宋体"/>
          <w:color w:val="auto"/>
          <w:sz w:val="24"/>
          <w:szCs w:val="24"/>
          <w:highlight w:val="none"/>
        </w:rPr>
        <w:t xml:space="preserve">    </w:t>
      </w:r>
      <w:r>
        <w:rPr>
          <w:rFonts w:ascii="宋体" w:hAnsi="宋体" w:eastAsia="宋体"/>
          <w:b/>
          <w:bCs/>
          <w:color w:val="auto"/>
          <w:sz w:val="24"/>
          <w:szCs w:val="24"/>
          <w:highlight w:val="none"/>
        </w:rPr>
        <w:t xml:space="preserve"> 修改类型：</w:t>
      </w:r>
      <w:r>
        <w:rPr>
          <w:rFonts w:hint="eastAsia" w:ascii="宋体" w:hAnsi="宋体" w:eastAsia="宋体"/>
          <w:b/>
          <w:bCs/>
          <w:color w:val="auto"/>
          <w:sz w:val="24"/>
          <w:szCs w:val="24"/>
          <w:highlight w:val="none"/>
        </w:rPr>
        <w:t>修改</w:t>
      </w:r>
    </w:p>
    <w:p w14:paraId="4FD8F588">
      <w:pPr>
        <w:spacing w:before="69" w:line="218" w:lineRule="auto"/>
        <w:ind w:left="435"/>
        <w:rPr>
          <w:rFonts w:ascii="宋体" w:hAnsi="宋体" w:eastAsia="宋体"/>
          <w:b/>
          <w:bCs/>
          <w:color w:val="auto"/>
          <w:sz w:val="24"/>
          <w:szCs w:val="24"/>
          <w:highlight w:val="none"/>
        </w:rPr>
      </w:pPr>
      <w:r>
        <w:rPr>
          <w:rFonts w:ascii="宋体" w:hAnsi="宋体" w:eastAsia="宋体"/>
          <w:b/>
          <w:bCs/>
          <w:color w:val="auto"/>
          <w:sz w:val="24"/>
          <w:szCs w:val="24"/>
          <w:highlight w:val="none"/>
        </w:rPr>
        <w:t>原文</w:t>
      </w:r>
      <w:r>
        <w:rPr>
          <w:rFonts w:hint="eastAsia" w:ascii="宋体" w:hAnsi="宋体" w:eastAsia="宋体"/>
          <w:b/>
          <w:bCs/>
          <w:color w:val="auto"/>
          <w:sz w:val="24"/>
          <w:szCs w:val="24"/>
          <w:highlight w:val="none"/>
        </w:rPr>
        <w:t>：</w:t>
      </w:r>
      <w:r>
        <w:rPr>
          <w:rFonts w:ascii="Times New Roman" w:hAnsi="Times New Roman" w:eastAsia="Times New Roman"/>
          <w:color w:val="auto"/>
          <w:spacing w:val="-4"/>
          <w:highlight w:val="none"/>
        </w:rPr>
        <w:t>1.4.1</w:t>
      </w:r>
      <w:r>
        <w:rPr>
          <w:rFonts w:ascii="Times New Roman" w:hAnsi="Times New Roman" w:eastAsia="Times New Roman"/>
          <w:color w:val="auto"/>
          <w:spacing w:val="-2"/>
          <w:highlight w:val="none"/>
        </w:rPr>
        <w:t xml:space="preserve">  </w:t>
      </w:r>
      <w:r>
        <w:rPr>
          <w:rFonts w:ascii="宋体" w:hAnsi="宋体" w:eastAsia="宋体"/>
          <w:color w:val="auto"/>
          <w:spacing w:val="-2"/>
          <w:highlight w:val="none"/>
        </w:rPr>
        <w:t>投标人应具备承担本招标项目资质条件、能力和信誉：</w:t>
      </w:r>
    </w:p>
    <w:p w14:paraId="2733E101">
      <w:pPr>
        <w:spacing w:before="151" w:line="219" w:lineRule="auto"/>
        <w:ind w:left="319"/>
        <w:rPr>
          <w:rFonts w:ascii="宋体" w:hAnsi="宋体" w:eastAsia="宋体"/>
          <w:color w:val="auto"/>
          <w:spacing w:val="12"/>
          <w:highlight w:val="none"/>
        </w:rPr>
      </w:pPr>
      <w:r>
        <w:rPr>
          <w:rFonts w:ascii="宋体" w:hAnsi="宋体" w:eastAsia="宋体"/>
          <w:color w:val="auto"/>
          <w:spacing w:val="12"/>
          <w:highlight w:val="none"/>
        </w:rPr>
        <w:t>(</w:t>
      </w:r>
      <w:r>
        <w:rPr>
          <w:rFonts w:ascii="Times New Roman" w:hAnsi="Times New Roman" w:eastAsia="Times New Roman"/>
          <w:color w:val="auto"/>
          <w:spacing w:val="8"/>
          <w:highlight w:val="none"/>
        </w:rPr>
        <w:t>1</w:t>
      </w:r>
      <w:r>
        <w:rPr>
          <w:rFonts w:ascii="宋体" w:hAnsi="宋体" w:eastAsia="宋体"/>
          <w:color w:val="auto"/>
          <w:spacing w:val="8"/>
          <w:highlight w:val="none"/>
        </w:rPr>
        <w:t>)资质要求：见投标人须知前附表；</w:t>
      </w:r>
    </w:p>
    <w:p w14:paraId="28527E4B">
      <w:pPr>
        <w:spacing w:before="151" w:line="220" w:lineRule="auto"/>
        <w:ind w:left="319"/>
        <w:rPr>
          <w:rFonts w:ascii="宋体" w:hAnsi="宋体" w:eastAsia="宋体"/>
          <w:color w:val="auto"/>
          <w:spacing w:val="12"/>
          <w:highlight w:val="none"/>
        </w:rPr>
      </w:pPr>
      <w:r>
        <w:rPr>
          <w:rFonts w:ascii="宋体" w:hAnsi="宋体" w:eastAsia="宋体"/>
          <w:color w:val="auto"/>
          <w:spacing w:val="12"/>
          <w:highlight w:val="none"/>
        </w:rPr>
        <w:t>(</w:t>
      </w:r>
      <w:r>
        <w:rPr>
          <w:rFonts w:ascii="Times New Roman" w:hAnsi="Times New Roman" w:eastAsia="Times New Roman"/>
          <w:color w:val="auto"/>
          <w:spacing w:val="8"/>
          <w:highlight w:val="none"/>
        </w:rPr>
        <w:t>2</w:t>
      </w:r>
      <w:r>
        <w:rPr>
          <w:rFonts w:ascii="宋体" w:hAnsi="宋体" w:eastAsia="宋体"/>
          <w:color w:val="auto"/>
          <w:spacing w:val="8"/>
          <w:highlight w:val="none"/>
        </w:rPr>
        <w:t>)财务要求：见投标人须知前附表；</w:t>
      </w:r>
    </w:p>
    <w:p w14:paraId="5D910C65">
      <w:pPr>
        <w:spacing w:before="151" w:line="217" w:lineRule="auto"/>
        <w:ind w:left="319"/>
        <w:rPr>
          <w:rFonts w:ascii="宋体" w:hAnsi="宋体" w:eastAsia="宋体"/>
          <w:color w:val="auto"/>
          <w:spacing w:val="12"/>
          <w:highlight w:val="none"/>
        </w:rPr>
      </w:pPr>
      <w:r>
        <w:rPr>
          <w:rFonts w:ascii="宋体" w:hAnsi="宋体" w:eastAsia="宋体"/>
          <w:color w:val="auto"/>
          <w:spacing w:val="12"/>
          <w:highlight w:val="none"/>
        </w:rPr>
        <w:t>(</w:t>
      </w:r>
      <w:r>
        <w:rPr>
          <w:rFonts w:ascii="Times New Roman" w:hAnsi="Times New Roman" w:eastAsia="Times New Roman"/>
          <w:color w:val="auto"/>
          <w:spacing w:val="8"/>
          <w:highlight w:val="none"/>
        </w:rPr>
        <w:t>3</w:t>
      </w:r>
      <w:r>
        <w:rPr>
          <w:rFonts w:ascii="宋体" w:hAnsi="宋体" w:eastAsia="宋体"/>
          <w:color w:val="auto"/>
          <w:spacing w:val="8"/>
          <w:highlight w:val="none"/>
        </w:rPr>
        <w:t>)业绩要求：见投标人须知前附表；</w:t>
      </w:r>
    </w:p>
    <w:p w14:paraId="4EFBEC01">
      <w:pPr>
        <w:spacing w:before="152" w:line="220" w:lineRule="auto"/>
        <w:ind w:left="319"/>
        <w:rPr>
          <w:rFonts w:ascii="宋体" w:hAnsi="宋体" w:eastAsia="宋体"/>
          <w:color w:val="auto"/>
          <w:spacing w:val="12"/>
          <w:highlight w:val="none"/>
        </w:rPr>
      </w:pPr>
      <w:r>
        <w:rPr>
          <w:rFonts w:ascii="宋体" w:hAnsi="宋体" w:eastAsia="宋体"/>
          <w:color w:val="auto"/>
          <w:spacing w:val="12"/>
          <w:highlight w:val="none"/>
        </w:rPr>
        <w:t>(</w:t>
      </w:r>
      <w:r>
        <w:rPr>
          <w:rFonts w:ascii="Times New Roman" w:hAnsi="Times New Roman" w:eastAsia="Times New Roman"/>
          <w:color w:val="auto"/>
          <w:spacing w:val="8"/>
          <w:highlight w:val="none"/>
        </w:rPr>
        <w:t>4</w:t>
      </w:r>
      <w:r>
        <w:rPr>
          <w:rFonts w:ascii="宋体" w:hAnsi="宋体" w:eastAsia="宋体"/>
          <w:color w:val="auto"/>
          <w:spacing w:val="8"/>
          <w:highlight w:val="none"/>
        </w:rPr>
        <w:t>)信誉要求：见投标人须知前附表；</w:t>
      </w:r>
    </w:p>
    <w:p w14:paraId="673B10B1">
      <w:pPr>
        <w:spacing w:before="150" w:line="361" w:lineRule="auto"/>
        <w:ind w:right="2" w:firstLine="318"/>
        <w:rPr>
          <w:rFonts w:ascii="宋体" w:hAnsi="宋体" w:eastAsia="宋体"/>
          <w:color w:val="auto"/>
          <w:spacing w:val="1"/>
          <w:highlight w:val="none"/>
        </w:rPr>
      </w:pPr>
      <w:r>
        <w:rPr>
          <w:rFonts w:ascii="宋体" w:hAnsi="宋体" w:eastAsia="宋体"/>
          <w:color w:val="auto"/>
          <w:spacing w:val="1"/>
          <w:highlight w:val="none"/>
        </w:rPr>
        <w:t>(</w:t>
      </w:r>
      <w:r>
        <w:rPr>
          <w:rFonts w:ascii="Times New Roman" w:hAnsi="Times New Roman" w:eastAsia="Times New Roman"/>
          <w:color w:val="auto"/>
          <w:spacing w:val="1"/>
          <w:highlight w:val="none"/>
        </w:rPr>
        <w:t>5</w:t>
      </w:r>
      <w:r>
        <w:rPr>
          <w:rFonts w:ascii="宋体" w:hAnsi="宋体" w:eastAsia="宋体"/>
          <w:color w:val="auto"/>
          <w:spacing w:val="1"/>
          <w:highlight w:val="none"/>
        </w:rPr>
        <w:t xml:space="preserve">) 项目负责人的资格要求： </w:t>
      </w:r>
      <w:r>
        <w:rPr>
          <w:rFonts w:ascii="宋体" w:hAnsi="宋体" w:eastAsia="宋体"/>
          <w:color w:val="auto"/>
          <w:highlight w:val="none"/>
        </w:rPr>
        <w:t xml:space="preserve">应当具备工程设计类注册执业资格(如有)，具体要求见投标 </w:t>
      </w:r>
      <w:r>
        <w:rPr>
          <w:rFonts w:ascii="宋体" w:hAnsi="宋体" w:eastAsia="宋体"/>
          <w:color w:val="auto"/>
          <w:spacing w:val="-8"/>
          <w:highlight w:val="none"/>
        </w:rPr>
        <w:t>人</w:t>
      </w:r>
      <w:r>
        <w:rPr>
          <w:rFonts w:ascii="宋体" w:hAnsi="宋体" w:eastAsia="宋体"/>
          <w:color w:val="auto"/>
          <w:spacing w:val="-7"/>
          <w:highlight w:val="none"/>
        </w:rPr>
        <w:t>须知前附表；</w:t>
      </w:r>
    </w:p>
    <w:p w14:paraId="4FBED4A7">
      <w:pPr>
        <w:spacing w:before="232" w:line="400" w:lineRule="exact"/>
        <w:ind w:left="320"/>
        <w:rPr>
          <w:rFonts w:ascii="宋体" w:hAnsi="宋体" w:eastAsia="宋体"/>
          <w:color w:val="auto"/>
          <w:spacing w:val="14"/>
          <w:position w:val="14"/>
          <w:highlight w:val="none"/>
        </w:rPr>
      </w:pPr>
      <w:r>
        <w:rPr>
          <w:rFonts w:ascii="宋体" w:hAnsi="宋体" w:eastAsia="宋体"/>
          <w:color w:val="auto"/>
          <w:spacing w:val="14"/>
          <w:position w:val="14"/>
          <w:highlight w:val="none"/>
        </w:rPr>
        <w:t>(</w:t>
      </w:r>
      <w:r>
        <w:rPr>
          <w:rFonts w:ascii="Times New Roman" w:hAnsi="Times New Roman" w:eastAsia="Times New Roman"/>
          <w:color w:val="auto"/>
          <w:spacing w:val="13"/>
          <w:position w:val="14"/>
          <w:highlight w:val="none"/>
        </w:rPr>
        <w:t>6</w:t>
      </w:r>
      <w:r>
        <w:rPr>
          <w:rFonts w:ascii="宋体" w:hAnsi="宋体" w:eastAsia="宋体"/>
          <w:color w:val="auto"/>
          <w:spacing w:val="7"/>
          <w:position w:val="14"/>
          <w:highlight w:val="none"/>
        </w:rPr>
        <w:t>)其他主要人员要求：见投标人须知前附表。</w:t>
      </w:r>
    </w:p>
    <w:p w14:paraId="2AB69551">
      <w:pPr>
        <w:spacing w:line="218" w:lineRule="auto"/>
        <w:ind w:left="320"/>
        <w:rPr>
          <w:rFonts w:ascii="宋体" w:hAnsi="宋体" w:eastAsia="宋体"/>
          <w:color w:val="auto"/>
          <w:spacing w:val="14"/>
          <w:highlight w:val="none"/>
        </w:rPr>
      </w:pPr>
      <w:r>
        <w:rPr>
          <w:rFonts w:ascii="宋体" w:hAnsi="宋体" w:eastAsia="宋体"/>
          <w:color w:val="auto"/>
          <w:spacing w:val="14"/>
          <w:highlight w:val="none"/>
        </w:rPr>
        <w:t>(</w:t>
      </w:r>
      <w:r>
        <w:rPr>
          <w:rFonts w:ascii="Times New Roman" w:hAnsi="Times New Roman" w:eastAsia="Times New Roman"/>
          <w:color w:val="auto"/>
          <w:spacing w:val="9"/>
          <w:highlight w:val="none"/>
        </w:rPr>
        <w:t>7</w:t>
      </w:r>
      <w:r>
        <w:rPr>
          <w:rFonts w:ascii="宋体" w:hAnsi="宋体" w:eastAsia="宋体"/>
          <w:color w:val="auto"/>
          <w:spacing w:val="9"/>
          <w:highlight w:val="none"/>
        </w:rPr>
        <w:t>)其他要求：见投标人须知前附表。</w:t>
      </w:r>
    </w:p>
    <w:p w14:paraId="6D7F00E5">
      <w:pPr>
        <w:spacing w:before="150" w:line="220" w:lineRule="auto"/>
        <w:ind w:left="430"/>
        <w:rPr>
          <w:rFonts w:ascii="宋体" w:hAnsi="宋体" w:eastAsia="宋体"/>
          <w:color w:val="auto"/>
          <w:spacing w:val="-6"/>
          <w:highlight w:val="none"/>
        </w:rPr>
      </w:pPr>
      <w:r>
        <w:rPr>
          <w:rFonts w:ascii="宋体" w:hAnsi="宋体" w:eastAsia="宋体"/>
          <w:color w:val="auto"/>
          <w:spacing w:val="-6"/>
          <w:highlight w:val="none"/>
        </w:rPr>
        <w:t>需要提交的相</w:t>
      </w:r>
      <w:r>
        <w:rPr>
          <w:rFonts w:ascii="宋体" w:hAnsi="宋体" w:eastAsia="宋体"/>
          <w:color w:val="auto"/>
          <w:spacing w:val="-3"/>
          <w:highlight w:val="none"/>
        </w:rPr>
        <w:t xml:space="preserve">关证明材料见本章第 </w:t>
      </w:r>
      <w:r>
        <w:rPr>
          <w:rFonts w:ascii="Times New Roman" w:hAnsi="Times New Roman" w:eastAsia="Times New Roman"/>
          <w:color w:val="auto"/>
          <w:spacing w:val="-3"/>
          <w:highlight w:val="none"/>
        </w:rPr>
        <w:t xml:space="preserve">3.5 </w:t>
      </w:r>
      <w:r>
        <w:rPr>
          <w:rFonts w:ascii="宋体" w:hAnsi="宋体" w:eastAsia="宋体"/>
          <w:color w:val="auto"/>
          <w:spacing w:val="-3"/>
          <w:highlight w:val="none"/>
        </w:rPr>
        <w:t>款的规定。</w:t>
      </w:r>
    </w:p>
    <w:p w14:paraId="5FE6546F">
      <w:pPr>
        <w:spacing w:before="69" w:line="218" w:lineRule="auto"/>
        <w:ind w:left="435"/>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现文：</w:t>
      </w:r>
      <w:r>
        <w:rPr>
          <w:rFonts w:ascii="Times New Roman" w:hAnsi="Times New Roman" w:eastAsia="Times New Roman"/>
          <w:color w:val="auto"/>
          <w:spacing w:val="-4"/>
          <w:highlight w:val="none"/>
        </w:rPr>
        <w:t>1.4.1</w:t>
      </w:r>
      <w:r>
        <w:rPr>
          <w:rFonts w:ascii="Times New Roman" w:hAnsi="Times New Roman" w:eastAsia="Times New Roman"/>
          <w:color w:val="auto"/>
          <w:spacing w:val="-2"/>
          <w:highlight w:val="none"/>
        </w:rPr>
        <w:t xml:space="preserve">  </w:t>
      </w:r>
      <w:r>
        <w:rPr>
          <w:rFonts w:ascii="宋体" w:hAnsi="宋体" w:eastAsia="宋体"/>
          <w:color w:val="auto"/>
          <w:spacing w:val="-2"/>
          <w:highlight w:val="none"/>
        </w:rPr>
        <w:t>投标人应具备承担本招标项目资质条件、能力和信誉：</w:t>
      </w:r>
    </w:p>
    <w:p w14:paraId="2053E30A">
      <w:pPr>
        <w:spacing w:before="151" w:line="220" w:lineRule="auto"/>
        <w:ind w:left="319"/>
        <w:rPr>
          <w:rFonts w:ascii="宋体" w:hAnsi="宋体" w:eastAsia="宋体"/>
          <w:color w:val="auto"/>
          <w:spacing w:val="8"/>
          <w:highlight w:val="none"/>
        </w:rPr>
      </w:pPr>
      <w:r>
        <w:rPr>
          <w:rFonts w:ascii="宋体" w:hAnsi="宋体" w:eastAsia="宋体"/>
          <w:color w:val="auto"/>
          <w:spacing w:val="8"/>
          <w:highlight w:val="none"/>
        </w:rPr>
        <w:t>(1)资质要求：见投标人须知前附表；</w:t>
      </w:r>
    </w:p>
    <w:p w14:paraId="0D5F418E">
      <w:pPr>
        <w:spacing w:before="151" w:line="220" w:lineRule="auto"/>
        <w:ind w:left="319"/>
        <w:rPr>
          <w:rFonts w:ascii="宋体" w:hAnsi="宋体" w:eastAsia="宋体"/>
          <w:color w:val="auto"/>
          <w:spacing w:val="8"/>
          <w:highlight w:val="none"/>
        </w:rPr>
      </w:pPr>
      <w:r>
        <w:rPr>
          <w:rFonts w:ascii="宋体" w:hAnsi="宋体" w:eastAsia="宋体"/>
          <w:color w:val="auto"/>
          <w:spacing w:val="8"/>
          <w:highlight w:val="none"/>
        </w:rPr>
        <w:t>(2)财务要求：见投标人须知前附表；</w:t>
      </w:r>
    </w:p>
    <w:p w14:paraId="2F891481">
      <w:pPr>
        <w:spacing w:before="151" w:line="220" w:lineRule="auto"/>
        <w:ind w:left="319"/>
        <w:rPr>
          <w:rFonts w:ascii="宋体" w:hAnsi="宋体" w:eastAsia="宋体"/>
          <w:color w:val="auto"/>
          <w:spacing w:val="8"/>
          <w:highlight w:val="none"/>
        </w:rPr>
      </w:pPr>
      <w:r>
        <w:rPr>
          <w:rFonts w:ascii="宋体" w:hAnsi="宋体" w:eastAsia="宋体"/>
          <w:color w:val="auto"/>
          <w:spacing w:val="8"/>
          <w:highlight w:val="none"/>
        </w:rPr>
        <w:t>(3)业绩要求：见投标人须知前附表；</w:t>
      </w:r>
    </w:p>
    <w:p w14:paraId="28FE683F">
      <w:pPr>
        <w:spacing w:before="151" w:line="220" w:lineRule="auto"/>
        <w:ind w:left="319"/>
        <w:rPr>
          <w:rFonts w:ascii="宋体" w:hAnsi="宋体" w:eastAsia="宋体"/>
          <w:color w:val="auto"/>
          <w:spacing w:val="8"/>
          <w:highlight w:val="none"/>
        </w:rPr>
      </w:pPr>
      <w:r>
        <w:rPr>
          <w:rFonts w:ascii="宋体" w:hAnsi="宋体" w:eastAsia="宋体"/>
          <w:color w:val="auto"/>
          <w:spacing w:val="8"/>
          <w:highlight w:val="none"/>
        </w:rPr>
        <w:t>(4)信誉要求：见投标人须知前附表；</w:t>
      </w:r>
    </w:p>
    <w:p w14:paraId="6857ACFE">
      <w:pPr>
        <w:spacing w:before="151" w:line="220" w:lineRule="auto"/>
        <w:ind w:left="319"/>
        <w:rPr>
          <w:rFonts w:ascii="宋体" w:hAnsi="宋体" w:eastAsia="宋体"/>
          <w:color w:val="auto"/>
          <w:spacing w:val="8"/>
          <w:highlight w:val="none"/>
        </w:rPr>
      </w:pPr>
      <w:r>
        <w:rPr>
          <w:rFonts w:ascii="宋体" w:hAnsi="宋体" w:eastAsia="宋体"/>
          <w:color w:val="auto"/>
          <w:spacing w:val="8"/>
          <w:highlight w:val="none"/>
        </w:rPr>
        <w:t>(5) 项目负责人的资格要求：</w:t>
      </w:r>
      <w:r>
        <w:rPr>
          <w:rFonts w:hint="eastAsia" w:ascii="宋体" w:hAnsi="宋体" w:eastAsia="宋体"/>
          <w:color w:val="auto"/>
          <w:spacing w:val="8"/>
          <w:highlight w:val="none"/>
          <w:u w:val="single"/>
        </w:rPr>
        <w:t>详</w:t>
      </w:r>
      <w:r>
        <w:rPr>
          <w:rFonts w:ascii="宋体" w:hAnsi="宋体" w:eastAsia="宋体"/>
          <w:color w:val="auto"/>
          <w:spacing w:val="8"/>
          <w:highlight w:val="none"/>
          <w:u w:val="single"/>
        </w:rPr>
        <w:t>见</w:t>
      </w:r>
      <w:r>
        <w:rPr>
          <w:rFonts w:hint="eastAsia" w:ascii="宋体" w:hAnsi="宋体" w:eastAsia="宋体"/>
          <w:color w:val="auto"/>
          <w:spacing w:val="8"/>
          <w:highlight w:val="none"/>
          <w:u w:val="single"/>
        </w:rPr>
        <w:t>招标公告</w:t>
      </w:r>
      <w:r>
        <w:rPr>
          <w:rFonts w:ascii="宋体" w:hAnsi="宋体" w:eastAsia="宋体"/>
          <w:color w:val="auto"/>
          <w:spacing w:val="8"/>
          <w:highlight w:val="none"/>
        </w:rPr>
        <w:t>；</w:t>
      </w:r>
    </w:p>
    <w:p w14:paraId="24DE2B24">
      <w:pPr>
        <w:spacing w:before="151" w:line="220" w:lineRule="auto"/>
        <w:ind w:left="319"/>
        <w:rPr>
          <w:rFonts w:ascii="宋体" w:hAnsi="宋体" w:eastAsia="宋体"/>
          <w:color w:val="auto"/>
          <w:spacing w:val="8"/>
          <w:highlight w:val="none"/>
        </w:rPr>
      </w:pPr>
      <w:r>
        <w:rPr>
          <w:rFonts w:ascii="宋体" w:hAnsi="宋体" w:eastAsia="宋体"/>
          <w:color w:val="auto"/>
          <w:spacing w:val="8"/>
          <w:highlight w:val="none"/>
        </w:rPr>
        <w:t>(6)其他主要人员要求：</w:t>
      </w:r>
      <w:r>
        <w:rPr>
          <w:rFonts w:hint="eastAsia" w:ascii="宋体" w:hAnsi="宋体" w:eastAsia="宋体"/>
          <w:color w:val="auto"/>
          <w:spacing w:val="8"/>
          <w:highlight w:val="none"/>
          <w:u w:val="single"/>
        </w:rPr>
        <w:t>详</w:t>
      </w:r>
      <w:r>
        <w:rPr>
          <w:rFonts w:ascii="宋体" w:hAnsi="宋体" w:eastAsia="宋体"/>
          <w:color w:val="auto"/>
          <w:spacing w:val="8"/>
          <w:highlight w:val="none"/>
          <w:u w:val="single"/>
        </w:rPr>
        <w:t>见</w:t>
      </w:r>
      <w:r>
        <w:rPr>
          <w:rFonts w:hint="eastAsia" w:ascii="宋体" w:hAnsi="宋体" w:eastAsia="宋体"/>
          <w:color w:val="auto"/>
          <w:spacing w:val="8"/>
          <w:highlight w:val="none"/>
          <w:u w:val="single"/>
        </w:rPr>
        <w:t>招标公告</w:t>
      </w:r>
      <w:r>
        <w:rPr>
          <w:rFonts w:ascii="宋体" w:hAnsi="宋体" w:eastAsia="宋体"/>
          <w:color w:val="auto"/>
          <w:spacing w:val="8"/>
          <w:highlight w:val="none"/>
        </w:rPr>
        <w:t>；</w:t>
      </w:r>
    </w:p>
    <w:p w14:paraId="3B883C1E">
      <w:pPr>
        <w:spacing w:before="151" w:line="220" w:lineRule="auto"/>
        <w:ind w:left="319"/>
        <w:rPr>
          <w:rFonts w:ascii="宋体" w:hAnsi="宋体" w:eastAsia="宋体"/>
          <w:color w:val="auto"/>
          <w:spacing w:val="8"/>
          <w:highlight w:val="none"/>
        </w:rPr>
      </w:pPr>
      <w:r>
        <w:rPr>
          <w:rFonts w:ascii="宋体" w:hAnsi="宋体" w:eastAsia="宋体"/>
          <w:color w:val="auto"/>
          <w:spacing w:val="8"/>
          <w:highlight w:val="none"/>
        </w:rPr>
        <w:t>(7)其他要求：见投标人须知前附表。</w:t>
      </w:r>
    </w:p>
    <w:p w14:paraId="5767AB99">
      <w:pPr>
        <w:spacing w:before="151" w:line="220" w:lineRule="auto"/>
        <w:ind w:left="319"/>
        <w:rPr>
          <w:rFonts w:ascii="宋体" w:hAnsi="宋体" w:eastAsia="宋体"/>
          <w:color w:val="auto"/>
          <w:spacing w:val="8"/>
          <w:highlight w:val="none"/>
        </w:rPr>
      </w:pPr>
      <w:r>
        <w:rPr>
          <w:rFonts w:ascii="宋体" w:hAnsi="宋体" w:eastAsia="宋体"/>
          <w:color w:val="auto"/>
          <w:spacing w:val="8"/>
          <w:highlight w:val="none"/>
        </w:rPr>
        <w:t>需要提交的相关证明材料见本章第 3.5 款的规定。</w:t>
      </w:r>
    </w:p>
    <w:p w14:paraId="0F680558">
      <w:pPr>
        <w:pStyle w:val="45"/>
        <w:rPr>
          <w:color w:val="auto"/>
          <w:highlight w:val="none"/>
        </w:rPr>
      </w:pPr>
    </w:p>
    <w:p w14:paraId="594F1389">
      <w:pPr>
        <w:pStyle w:val="45"/>
        <w:rPr>
          <w:rFonts w:ascii="宋体" w:hAnsi="宋体" w:eastAsia="宋体"/>
          <w:b/>
          <w:bCs/>
          <w:color w:val="auto"/>
          <w:sz w:val="24"/>
          <w:szCs w:val="24"/>
          <w:highlight w:val="none"/>
        </w:rPr>
      </w:pPr>
      <w:r>
        <w:rPr>
          <w:rFonts w:ascii="宋体" w:hAnsi="宋体" w:eastAsia="宋体"/>
          <w:b/>
          <w:bCs/>
          <w:color w:val="auto"/>
          <w:sz w:val="24"/>
          <w:szCs w:val="24"/>
          <w:highlight w:val="none"/>
        </w:rPr>
        <w:t>条款号</w:t>
      </w:r>
      <w:r>
        <w:rPr>
          <w:rFonts w:ascii="宋体" w:hAnsi="宋体" w:eastAsia="宋体"/>
          <w:color w:val="auto"/>
          <w:sz w:val="24"/>
          <w:szCs w:val="24"/>
          <w:highlight w:val="none"/>
        </w:rPr>
        <w:t>：</w:t>
      </w:r>
      <w:r>
        <w:rPr>
          <w:rFonts w:hint="eastAsia" w:ascii="宋体" w:hAnsi="宋体" w:eastAsia="宋体"/>
          <w:color w:val="auto"/>
          <w:sz w:val="24"/>
          <w:szCs w:val="24"/>
          <w:highlight w:val="none"/>
        </w:rPr>
        <w:t xml:space="preserve">1.9.1                     </w:t>
      </w:r>
      <w:r>
        <w:rPr>
          <w:rFonts w:ascii="宋体" w:hAnsi="宋体" w:eastAsia="宋体"/>
          <w:color w:val="auto"/>
          <w:sz w:val="24"/>
          <w:szCs w:val="24"/>
          <w:highlight w:val="none"/>
        </w:rPr>
        <w:t xml:space="preserve">    </w:t>
      </w:r>
      <w:r>
        <w:rPr>
          <w:rFonts w:ascii="宋体" w:hAnsi="宋体" w:eastAsia="宋体"/>
          <w:b/>
          <w:bCs/>
          <w:color w:val="auto"/>
          <w:sz w:val="24"/>
          <w:szCs w:val="24"/>
          <w:highlight w:val="none"/>
        </w:rPr>
        <w:t xml:space="preserve"> 修改类型：</w:t>
      </w:r>
      <w:r>
        <w:rPr>
          <w:rFonts w:hint="eastAsia" w:ascii="宋体" w:hAnsi="宋体" w:eastAsia="宋体"/>
          <w:b/>
          <w:bCs/>
          <w:color w:val="auto"/>
          <w:sz w:val="24"/>
          <w:szCs w:val="24"/>
          <w:highlight w:val="none"/>
        </w:rPr>
        <w:t>修改</w:t>
      </w:r>
    </w:p>
    <w:p w14:paraId="59A3C36C">
      <w:pPr>
        <w:spacing w:before="68" w:line="352" w:lineRule="auto"/>
        <w:ind w:left="8" w:firstLine="429"/>
        <w:rPr>
          <w:rFonts w:ascii="宋体" w:hAnsi="宋体" w:eastAsia="宋体"/>
          <w:b/>
          <w:bCs/>
          <w:color w:val="auto"/>
          <w:sz w:val="24"/>
          <w:szCs w:val="24"/>
          <w:highlight w:val="none"/>
        </w:rPr>
      </w:pPr>
      <w:r>
        <w:rPr>
          <w:rFonts w:ascii="宋体" w:hAnsi="宋体" w:eastAsia="宋体"/>
          <w:b/>
          <w:bCs/>
          <w:color w:val="auto"/>
          <w:sz w:val="24"/>
          <w:szCs w:val="24"/>
          <w:highlight w:val="none"/>
        </w:rPr>
        <w:t>原文</w:t>
      </w:r>
      <w:r>
        <w:rPr>
          <w:rFonts w:hint="eastAsia" w:ascii="宋体" w:hAnsi="宋体" w:eastAsia="宋体"/>
          <w:b/>
          <w:bCs/>
          <w:color w:val="auto"/>
          <w:sz w:val="24"/>
          <w:szCs w:val="24"/>
          <w:highlight w:val="none"/>
        </w:rPr>
        <w:t>：</w:t>
      </w:r>
      <w:r>
        <w:rPr>
          <w:rFonts w:ascii="Times New Roman" w:hAnsi="Times New Roman" w:eastAsia="Times New Roman"/>
          <w:color w:val="auto"/>
          <w:spacing w:val="-4"/>
          <w:highlight w:val="none"/>
        </w:rPr>
        <w:t>1.9.1</w:t>
      </w:r>
      <w:r>
        <w:rPr>
          <w:rFonts w:ascii="Times New Roman" w:hAnsi="Times New Roman" w:eastAsia="Times New Roman"/>
          <w:color w:val="auto"/>
          <w:spacing w:val="-3"/>
          <w:highlight w:val="none"/>
        </w:rPr>
        <w:t xml:space="preserve"> </w:t>
      </w:r>
      <w:r>
        <w:rPr>
          <w:rFonts w:ascii="Times New Roman" w:hAnsi="Times New Roman" w:eastAsia="Times New Roman"/>
          <w:color w:val="auto"/>
          <w:spacing w:val="-2"/>
          <w:highlight w:val="none"/>
        </w:rPr>
        <w:t xml:space="preserve"> </w:t>
      </w:r>
      <w:r>
        <w:rPr>
          <w:rFonts w:ascii="宋体" w:hAnsi="宋体" w:eastAsia="宋体"/>
          <w:color w:val="auto"/>
          <w:spacing w:val="-2"/>
          <w:highlight w:val="none"/>
        </w:rPr>
        <w:t>投标人须知前附表规定组织踏勘现场的，招标人按投标人须知前附表规定的时间、地</w:t>
      </w:r>
      <w:r>
        <w:rPr>
          <w:rFonts w:ascii="宋体" w:hAnsi="宋体" w:eastAsia="宋体"/>
          <w:color w:val="auto"/>
          <w:highlight w:val="none"/>
        </w:rPr>
        <w:t xml:space="preserve"> </w:t>
      </w:r>
      <w:r>
        <w:rPr>
          <w:rFonts w:ascii="宋体" w:hAnsi="宋体" w:eastAsia="宋体"/>
          <w:color w:val="auto"/>
          <w:spacing w:val="-10"/>
          <w:highlight w:val="none"/>
        </w:rPr>
        <w:t>点组</w:t>
      </w:r>
      <w:r>
        <w:rPr>
          <w:rFonts w:ascii="宋体" w:hAnsi="宋体" w:eastAsia="宋体"/>
          <w:color w:val="auto"/>
          <w:spacing w:val="-6"/>
          <w:highlight w:val="none"/>
        </w:rPr>
        <w:t>织</w:t>
      </w:r>
      <w:r>
        <w:rPr>
          <w:rFonts w:ascii="宋体" w:hAnsi="宋体" w:eastAsia="宋体"/>
          <w:color w:val="auto"/>
          <w:spacing w:val="-5"/>
          <w:highlight w:val="none"/>
        </w:rPr>
        <w:t>投标人踏勘项目现场。部分投标人未按时参加踏勘现场的， 不影响踏勘现场的正常进行。</w:t>
      </w:r>
    </w:p>
    <w:p w14:paraId="54E9074F">
      <w:pPr>
        <w:spacing w:before="68" w:line="352" w:lineRule="auto"/>
        <w:ind w:left="8" w:firstLine="429"/>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现文：</w:t>
      </w:r>
      <w:r>
        <w:rPr>
          <w:rFonts w:ascii="Times New Roman" w:hAnsi="Times New Roman" w:eastAsia="Times New Roman"/>
          <w:color w:val="auto"/>
          <w:spacing w:val="-4"/>
          <w:highlight w:val="none"/>
        </w:rPr>
        <w:t>1.9.1</w:t>
      </w:r>
      <w:r>
        <w:rPr>
          <w:rFonts w:ascii="Times New Roman" w:hAnsi="Times New Roman" w:eastAsia="Times New Roman"/>
          <w:color w:val="auto"/>
          <w:spacing w:val="-3"/>
          <w:highlight w:val="none"/>
        </w:rPr>
        <w:t xml:space="preserve"> </w:t>
      </w:r>
      <w:r>
        <w:rPr>
          <w:rFonts w:ascii="Times New Roman" w:hAnsi="Times New Roman" w:eastAsia="Times New Roman"/>
          <w:color w:val="auto"/>
          <w:spacing w:val="-2"/>
          <w:highlight w:val="none"/>
        </w:rPr>
        <w:t xml:space="preserve"> </w:t>
      </w:r>
      <w:r>
        <w:rPr>
          <w:rFonts w:hint="eastAsia"/>
          <w:color w:val="auto"/>
          <w:highlight w:val="none"/>
          <w:u w:val="single"/>
        </w:rPr>
        <w:t>招标人不集中组织，由投标人自行踏勘</w:t>
      </w:r>
      <w:r>
        <w:rPr>
          <w:rFonts w:ascii="宋体" w:hAnsi="宋体" w:eastAsia="宋体"/>
          <w:color w:val="auto"/>
          <w:spacing w:val="-5"/>
          <w:highlight w:val="none"/>
          <w:u w:val="single"/>
        </w:rPr>
        <w:t>。</w:t>
      </w:r>
    </w:p>
    <w:p w14:paraId="015CE7F8">
      <w:pPr>
        <w:pStyle w:val="45"/>
        <w:rPr>
          <w:rFonts w:ascii="宋体" w:hAnsi="宋体" w:eastAsia="宋体"/>
          <w:b/>
          <w:bCs/>
          <w:color w:val="auto"/>
          <w:sz w:val="24"/>
          <w:szCs w:val="24"/>
          <w:highlight w:val="none"/>
        </w:rPr>
      </w:pPr>
      <w:r>
        <w:rPr>
          <w:rFonts w:ascii="宋体" w:hAnsi="宋体" w:eastAsia="宋体"/>
          <w:b/>
          <w:bCs/>
          <w:color w:val="auto"/>
          <w:sz w:val="24"/>
          <w:szCs w:val="24"/>
          <w:highlight w:val="none"/>
        </w:rPr>
        <w:t>条款号</w:t>
      </w:r>
      <w:r>
        <w:rPr>
          <w:rFonts w:ascii="宋体" w:hAnsi="宋体" w:eastAsia="宋体"/>
          <w:color w:val="auto"/>
          <w:sz w:val="24"/>
          <w:szCs w:val="24"/>
          <w:highlight w:val="none"/>
        </w:rPr>
        <w:t>：3.</w:t>
      </w:r>
      <w:r>
        <w:rPr>
          <w:rFonts w:hint="eastAsia" w:ascii="宋体" w:hAnsi="宋体" w:eastAsia="宋体"/>
          <w:color w:val="auto"/>
          <w:sz w:val="24"/>
          <w:szCs w:val="24"/>
          <w:highlight w:val="none"/>
        </w:rPr>
        <w:t xml:space="preserve">1.1                      </w:t>
      </w:r>
      <w:r>
        <w:rPr>
          <w:rFonts w:ascii="宋体" w:hAnsi="宋体" w:eastAsia="宋体"/>
          <w:color w:val="auto"/>
          <w:sz w:val="24"/>
          <w:szCs w:val="24"/>
          <w:highlight w:val="none"/>
        </w:rPr>
        <w:t xml:space="preserve">    </w:t>
      </w:r>
      <w:r>
        <w:rPr>
          <w:rFonts w:ascii="宋体" w:hAnsi="宋体" w:eastAsia="宋体"/>
          <w:b/>
          <w:bCs/>
          <w:color w:val="auto"/>
          <w:sz w:val="24"/>
          <w:szCs w:val="24"/>
          <w:highlight w:val="none"/>
        </w:rPr>
        <w:t xml:space="preserve"> 修改类型：</w:t>
      </w:r>
      <w:r>
        <w:rPr>
          <w:rFonts w:hint="eastAsia" w:ascii="宋体" w:hAnsi="宋体" w:eastAsia="宋体"/>
          <w:b/>
          <w:bCs/>
          <w:color w:val="auto"/>
          <w:sz w:val="24"/>
          <w:szCs w:val="24"/>
          <w:highlight w:val="none"/>
        </w:rPr>
        <w:t>修改</w:t>
      </w:r>
    </w:p>
    <w:p w14:paraId="38581CDB">
      <w:pPr>
        <w:spacing w:line="360" w:lineRule="auto"/>
        <w:ind w:firstLine="482" w:firstLineChars="200"/>
        <w:rPr>
          <w:rFonts w:ascii="宋体" w:hAnsi="宋体" w:eastAsia="宋体"/>
          <w:b/>
          <w:bCs/>
          <w:color w:val="auto"/>
          <w:sz w:val="24"/>
          <w:szCs w:val="24"/>
          <w:highlight w:val="none"/>
        </w:rPr>
      </w:pPr>
      <w:r>
        <w:rPr>
          <w:rFonts w:ascii="宋体" w:hAnsi="宋体" w:eastAsia="宋体"/>
          <w:b/>
          <w:bCs/>
          <w:color w:val="auto"/>
          <w:sz w:val="24"/>
          <w:szCs w:val="24"/>
          <w:highlight w:val="none"/>
        </w:rPr>
        <w:t>原文</w:t>
      </w:r>
      <w:r>
        <w:rPr>
          <w:rFonts w:hint="eastAsia" w:ascii="宋体" w:hAnsi="宋体" w:eastAsia="宋体"/>
          <w:b/>
          <w:bCs/>
          <w:color w:val="auto"/>
          <w:sz w:val="24"/>
          <w:szCs w:val="24"/>
          <w:highlight w:val="none"/>
        </w:rPr>
        <w:t>：</w:t>
      </w:r>
      <w:r>
        <w:rPr>
          <w:rFonts w:hint="eastAsia" w:ascii="宋体" w:hAnsi="宋体" w:eastAsia="宋体"/>
          <w:color w:val="auto"/>
          <w:spacing w:val="14"/>
          <w:highlight w:val="none"/>
        </w:rPr>
        <w:t>3.1.1 商务文件（含资格审查文件）由下列资料组成：</w:t>
      </w:r>
    </w:p>
    <w:p w14:paraId="5CF2671C">
      <w:pPr>
        <w:spacing w:line="360" w:lineRule="auto"/>
        <w:ind w:firstLine="480" w:firstLineChars="200"/>
        <w:rPr>
          <w:rFonts w:ascii="宋体" w:hAnsi="宋体" w:eastAsia="宋体"/>
          <w:color w:val="auto"/>
          <w:spacing w:val="15"/>
          <w:highlight w:val="none"/>
        </w:rPr>
      </w:pPr>
      <w:r>
        <w:rPr>
          <w:rFonts w:ascii="宋体" w:hAnsi="宋体" w:eastAsia="宋体"/>
          <w:color w:val="auto"/>
          <w:spacing w:val="15"/>
          <w:highlight w:val="none"/>
        </w:rPr>
        <w:t>(1)</w:t>
      </w:r>
      <w:r>
        <w:rPr>
          <w:rFonts w:hint="eastAsia" w:ascii="宋体" w:hAnsi="宋体" w:eastAsia="宋体"/>
          <w:color w:val="auto"/>
          <w:spacing w:val="15"/>
          <w:highlight w:val="none"/>
        </w:rPr>
        <w:t>投标函及投标函附录；</w:t>
      </w:r>
    </w:p>
    <w:p w14:paraId="32DF8F6A">
      <w:pPr>
        <w:spacing w:line="360" w:lineRule="auto"/>
        <w:ind w:firstLine="480" w:firstLineChars="200"/>
        <w:rPr>
          <w:rFonts w:ascii="宋体" w:hAnsi="宋体" w:eastAsia="宋体"/>
          <w:color w:val="auto"/>
          <w:spacing w:val="15"/>
          <w:highlight w:val="none"/>
        </w:rPr>
      </w:pPr>
      <w:r>
        <w:rPr>
          <w:rFonts w:ascii="宋体" w:hAnsi="宋体" w:eastAsia="宋体"/>
          <w:color w:val="auto"/>
          <w:spacing w:val="15"/>
          <w:highlight w:val="none"/>
        </w:rPr>
        <w:t>(2)</w:t>
      </w:r>
      <w:r>
        <w:rPr>
          <w:rFonts w:hint="eastAsia" w:ascii="宋体" w:hAnsi="宋体" w:eastAsia="宋体"/>
          <w:color w:val="auto"/>
          <w:spacing w:val="15"/>
          <w:highlight w:val="none"/>
        </w:rPr>
        <w:t>法定代表人身份证明及授权委托书；</w:t>
      </w:r>
    </w:p>
    <w:p w14:paraId="7FBBF526">
      <w:pPr>
        <w:spacing w:line="360" w:lineRule="auto"/>
        <w:ind w:firstLine="480" w:firstLineChars="200"/>
        <w:rPr>
          <w:rFonts w:ascii="宋体" w:hAnsi="宋体" w:eastAsia="宋体"/>
          <w:color w:val="auto"/>
          <w:spacing w:val="15"/>
          <w:highlight w:val="none"/>
        </w:rPr>
      </w:pPr>
      <w:r>
        <w:rPr>
          <w:rFonts w:ascii="宋体" w:hAnsi="宋体" w:eastAsia="宋体"/>
          <w:color w:val="auto"/>
          <w:spacing w:val="15"/>
          <w:highlight w:val="none"/>
        </w:rPr>
        <w:t>(3)</w:t>
      </w:r>
      <w:r>
        <w:rPr>
          <w:rFonts w:hint="eastAsia" w:ascii="宋体" w:hAnsi="宋体" w:eastAsia="宋体"/>
          <w:color w:val="auto"/>
          <w:spacing w:val="15"/>
          <w:highlight w:val="none"/>
        </w:rPr>
        <w:t>联合体协议书；</w:t>
      </w:r>
    </w:p>
    <w:p w14:paraId="44252297">
      <w:pPr>
        <w:spacing w:line="360" w:lineRule="auto"/>
        <w:ind w:firstLine="480" w:firstLineChars="200"/>
        <w:rPr>
          <w:rFonts w:ascii="宋体" w:hAnsi="宋体" w:eastAsia="宋体"/>
          <w:color w:val="auto"/>
          <w:spacing w:val="15"/>
          <w:highlight w:val="none"/>
        </w:rPr>
      </w:pPr>
      <w:r>
        <w:rPr>
          <w:rFonts w:ascii="宋体" w:hAnsi="宋体" w:eastAsia="宋体"/>
          <w:color w:val="auto"/>
          <w:spacing w:val="15"/>
          <w:highlight w:val="none"/>
        </w:rPr>
        <w:t>(4)</w:t>
      </w:r>
      <w:r>
        <w:rPr>
          <w:rFonts w:hint="eastAsia" w:ascii="宋体" w:hAnsi="宋体" w:eastAsia="宋体"/>
          <w:color w:val="auto"/>
          <w:spacing w:val="15"/>
          <w:highlight w:val="none"/>
        </w:rPr>
        <w:t>投标保证金；</w:t>
      </w:r>
    </w:p>
    <w:p w14:paraId="401F62F3">
      <w:pPr>
        <w:spacing w:line="360" w:lineRule="auto"/>
        <w:ind w:firstLine="480" w:firstLineChars="200"/>
        <w:rPr>
          <w:rFonts w:ascii="宋体" w:hAnsi="宋体" w:eastAsia="宋体"/>
          <w:color w:val="auto"/>
          <w:spacing w:val="15"/>
          <w:highlight w:val="none"/>
        </w:rPr>
      </w:pPr>
      <w:r>
        <w:rPr>
          <w:rFonts w:ascii="宋体" w:hAnsi="宋体" w:eastAsia="宋体"/>
          <w:color w:val="auto"/>
          <w:spacing w:val="15"/>
          <w:highlight w:val="none"/>
        </w:rPr>
        <w:t>(5)</w:t>
      </w:r>
      <w:r>
        <w:rPr>
          <w:rFonts w:hint="eastAsia" w:ascii="宋体" w:hAnsi="宋体" w:eastAsia="宋体"/>
          <w:color w:val="auto"/>
          <w:spacing w:val="15"/>
          <w:highlight w:val="none"/>
        </w:rPr>
        <w:t>勘察设计费报价表；</w:t>
      </w:r>
    </w:p>
    <w:p w14:paraId="7B164C5F">
      <w:pPr>
        <w:spacing w:line="360" w:lineRule="auto"/>
        <w:ind w:firstLine="480" w:firstLineChars="200"/>
        <w:rPr>
          <w:rFonts w:ascii="宋体" w:hAnsi="宋体" w:eastAsia="宋体"/>
          <w:color w:val="auto"/>
          <w:spacing w:val="15"/>
          <w:highlight w:val="none"/>
        </w:rPr>
      </w:pPr>
      <w:r>
        <w:rPr>
          <w:rFonts w:ascii="宋体" w:hAnsi="宋体" w:eastAsia="宋体"/>
          <w:color w:val="auto"/>
          <w:spacing w:val="15"/>
          <w:highlight w:val="none"/>
        </w:rPr>
        <w:t>(6)</w:t>
      </w:r>
      <w:r>
        <w:rPr>
          <w:rFonts w:hint="eastAsia" w:ascii="宋体" w:hAnsi="宋体" w:eastAsia="宋体"/>
          <w:color w:val="auto"/>
          <w:spacing w:val="15"/>
          <w:highlight w:val="none"/>
        </w:rPr>
        <w:t>资格审查资料；</w:t>
      </w:r>
    </w:p>
    <w:p w14:paraId="29230241">
      <w:pPr>
        <w:spacing w:line="360" w:lineRule="auto"/>
        <w:ind w:firstLine="480" w:firstLineChars="200"/>
        <w:rPr>
          <w:rFonts w:ascii="宋体" w:hAnsi="宋体" w:eastAsia="宋体"/>
          <w:color w:val="auto"/>
          <w:spacing w:val="15"/>
          <w:highlight w:val="none"/>
        </w:rPr>
      </w:pPr>
      <w:r>
        <w:rPr>
          <w:rFonts w:ascii="宋体" w:hAnsi="宋体" w:eastAsia="宋体"/>
          <w:color w:val="auto"/>
          <w:spacing w:val="15"/>
          <w:highlight w:val="none"/>
        </w:rPr>
        <w:t>(7)</w:t>
      </w:r>
      <w:r>
        <w:rPr>
          <w:rFonts w:hint="eastAsia" w:ascii="宋体" w:hAnsi="宋体" w:eastAsia="宋体"/>
          <w:color w:val="auto"/>
          <w:spacing w:val="15"/>
          <w:highlight w:val="none"/>
        </w:rPr>
        <w:t>勘察设计方案；</w:t>
      </w:r>
    </w:p>
    <w:p w14:paraId="4F34AB0D">
      <w:pPr>
        <w:spacing w:line="360" w:lineRule="auto"/>
        <w:ind w:firstLine="480" w:firstLineChars="200"/>
        <w:rPr>
          <w:rFonts w:ascii="宋体" w:hAnsi="宋体" w:eastAsia="宋体"/>
          <w:color w:val="auto"/>
          <w:spacing w:val="15"/>
          <w:highlight w:val="none"/>
        </w:rPr>
      </w:pPr>
      <w:r>
        <w:rPr>
          <w:rFonts w:ascii="宋体" w:hAnsi="宋体" w:eastAsia="宋体"/>
          <w:color w:val="auto"/>
          <w:spacing w:val="15"/>
          <w:highlight w:val="none"/>
        </w:rPr>
        <w:t>(8)</w:t>
      </w:r>
      <w:r>
        <w:rPr>
          <w:rFonts w:hint="eastAsia" w:ascii="宋体" w:hAnsi="宋体" w:eastAsia="宋体"/>
          <w:color w:val="auto"/>
          <w:spacing w:val="15"/>
          <w:highlight w:val="none"/>
        </w:rPr>
        <w:t>投标人须知前附表规定的其他资料。</w:t>
      </w:r>
    </w:p>
    <w:p w14:paraId="4EB2F104">
      <w:pPr>
        <w:spacing w:line="360" w:lineRule="auto"/>
        <w:ind w:firstLine="454" w:firstLineChars="200"/>
        <w:rPr>
          <w:rFonts w:ascii="宋体" w:hAnsi="宋体" w:eastAsia="宋体"/>
          <w:b/>
          <w:bCs/>
          <w:color w:val="auto"/>
          <w:spacing w:val="8"/>
          <w:highlight w:val="none"/>
        </w:rPr>
      </w:pPr>
      <w:r>
        <w:rPr>
          <w:rFonts w:hint="eastAsia" w:ascii="宋体" w:hAnsi="宋体" w:eastAsia="宋体"/>
          <w:b/>
          <w:bCs/>
          <w:color w:val="auto"/>
          <w:spacing w:val="8"/>
          <w:highlight w:val="none"/>
        </w:rPr>
        <w:t>现文：</w:t>
      </w:r>
      <w:r>
        <w:rPr>
          <w:rFonts w:hint="eastAsia" w:ascii="宋体" w:hAnsi="宋体" w:eastAsia="宋体"/>
          <w:color w:val="auto"/>
          <w:spacing w:val="14"/>
          <w:highlight w:val="none"/>
        </w:rPr>
        <w:t>3.1.1 商务文件（含资格审查文件）由下列资料组成：</w:t>
      </w:r>
    </w:p>
    <w:p w14:paraId="42F4FD2F">
      <w:pPr>
        <w:pStyle w:val="45"/>
        <w:rPr>
          <w:rFonts w:ascii="宋体" w:hAnsi="宋体" w:eastAsia="宋体"/>
          <w:color w:val="auto"/>
          <w:spacing w:val="15"/>
          <w:sz w:val="21"/>
          <w:szCs w:val="21"/>
          <w:highlight w:val="none"/>
        </w:rPr>
      </w:pPr>
      <w:r>
        <w:rPr>
          <w:rFonts w:ascii="宋体" w:hAnsi="宋体" w:eastAsia="宋体"/>
          <w:color w:val="auto"/>
          <w:spacing w:val="15"/>
          <w:sz w:val="21"/>
          <w:szCs w:val="21"/>
          <w:highlight w:val="none"/>
        </w:rPr>
        <w:t>(1)</w:t>
      </w:r>
      <w:r>
        <w:rPr>
          <w:rFonts w:hint="eastAsia" w:ascii="宋体" w:hAnsi="宋体" w:eastAsia="宋体"/>
          <w:color w:val="auto"/>
          <w:spacing w:val="15"/>
          <w:sz w:val="21"/>
          <w:szCs w:val="21"/>
          <w:highlight w:val="none"/>
        </w:rPr>
        <w:t>投标函及投标函附录；</w:t>
      </w:r>
    </w:p>
    <w:p w14:paraId="74E9A3A6">
      <w:pPr>
        <w:pStyle w:val="45"/>
        <w:rPr>
          <w:rFonts w:ascii="宋体" w:hAnsi="宋体" w:eastAsia="宋体"/>
          <w:color w:val="auto"/>
          <w:spacing w:val="15"/>
          <w:sz w:val="21"/>
          <w:szCs w:val="21"/>
          <w:highlight w:val="none"/>
        </w:rPr>
      </w:pPr>
      <w:r>
        <w:rPr>
          <w:rFonts w:ascii="宋体" w:hAnsi="宋体" w:eastAsia="宋体"/>
          <w:color w:val="auto"/>
          <w:spacing w:val="15"/>
          <w:sz w:val="21"/>
          <w:szCs w:val="21"/>
          <w:highlight w:val="none"/>
        </w:rPr>
        <w:t>(2)</w:t>
      </w:r>
      <w:r>
        <w:rPr>
          <w:rFonts w:hint="eastAsia" w:ascii="宋体" w:hAnsi="宋体" w:eastAsia="宋体"/>
          <w:color w:val="auto"/>
          <w:spacing w:val="15"/>
          <w:sz w:val="21"/>
          <w:szCs w:val="21"/>
          <w:highlight w:val="none"/>
        </w:rPr>
        <w:t>法定代表人身份证明及授权委托书；</w:t>
      </w:r>
    </w:p>
    <w:p w14:paraId="434B7A7D">
      <w:pPr>
        <w:pStyle w:val="45"/>
        <w:rPr>
          <w:rFonts w:ascii="宋体" w:hAnsi="宋体" w:eastAsia="宋体"/>
          <w:strike/>
          <w:color w:val="auto"/>
          <w:spacing w:val="15"/>
          <w:sz w:val="21"/>
          <w:szCs w:val="21"/>
          <w:highlight w:val="none"/>
        </w:rPr>
      </w:pPr>
      <w:r>
        <w:rPr>
          <w:rFonts w:ascii="宋体" w:hAnsi="宋体" w:eastAsia="宋体"/>
          <w:strike/>
          <w:color w:val="auto"/>
          <w:spacing w:val="15"/>
          <w:sz w:val="21"/>
          <w:szCs w:val="21"/>
          <w:highlight w:val="none"/>
        </w:rPr>
        <w:t>(3)</w:t>
      </w:r>
      <w:r>
        <w:rPr>
          <w:rFonts w:hint="eastAsia" w:ascii="宋体" w:hAnsi="宋体" w:eastAsia="宋体"/>
          <w:strike/>
          <w:color w:val="auto"/>
          <w:spacing w:val="15"/>
          <w:sz w:val="21"/>
          <w:szCs w:val="21"/>
          <w:highlight w:val="none"/>
        </w:rPr>
        <w:t>联合体协议书；</w:t>
      </w:r>
    </w:p>
    <w:p w14:paraId="630F7B9B">
      <w:pPr>
        <w:pStyle w:val="45"/>
        <w:rPr>
          <w:rFonts w:ascii="宋体" w:hAnsi="宋体" w:eastAsia="宋体"/>
          <w:strike/>
          <w:color w:val="auto"/>
          <w:spacing w:val="15"/>
          <w:sz w:val="21"/>
          <w:szCs w:val="21"/>
          <w:highlight w:val="none"/>
        </w:rPr>
      </w:pPr>
      <w:r>
        <w:rPr>
          <w:rFonts w:ascii="宋体" w:hAnsi="宋体" w:eastAsia="宋体"/>
          <w:strike/>
          <w:color w:val="auto"/>
          <w:spacing w:val="15"/>
          <w:sz w:val="21"/>
          <w:szCs w:val="21"/>
          <w:highlight w:val="none"/>
        </w:rPr>
        <w:t>(4)</w:t>
      </w:r>
      <w:r>
        <w:rPr>
          <w:rFonts w:hint="eastAsia" w:ascii="宋体" w:hAnsi="宋体" w:eastAsia="宋体"/>
          <w:strike/>
          <w:color w:val="auto"/>
          <w:spacing w:val="15"/>
          <w:sz w:val="21"/>
          <w:szCs w:val="21"/>
          <w:highlight w:val="none"/>
        </w:rPr>
        <w:t>投标保证金；</w:t>
      </w:r>
    </w:p>
    <w:p w14:paraId="7230A9CF">
      <w:pPr>
        <w:pStyle w:val="45"/>
        <w:rPr>
          <w:rFonts w:ascii="宋体" w:hAnsi="宋体" w:eastAsia="宋体"/>
          <w:color w:val="auto"/>
          <w:spacing w:val="15"/>
          <w:sz w:val="21"/>
          <w:szCs w:val="21"/>
          <w:highlight w:val="none"/>
        </w:rPr>
      </w:pPr>
      <w:r>
        <w:rPr>
          <w:rFonts w:ascii="宋体" w:hAnsi="宋体" w:eastAsia="宋体"/>
          <w:color w:val="auto"/>
          <w:spacing w:val="15"/>
          <w:sz w:val="21"/>
          <w:szCs w:val="21"/>
          <w:highlight w:val="none"/>
        </w:rPr>
        <w:t>(5)</w:t>
      </w:r>
      <w:r>
        <w:rPr>
          <w:rFonts w:hint="eastAsia" w:ascii="宋体" w:hAnsi="宋体" w:eastAsia="宋体"/>
          <w:color w:val="auto"/>
          <w:spacing w:val="15"/>
          <w:sz w:val="21"/>
          <w:szCs w:val="21"/>
          <w:highlight w:val="none"/>
        </w:rPr>
        <w:t>设计费报价表；</w:t>
      </w:r>
    </w:p>
    <w:p w14:paraId="4BBA0613">
      <w:pPr>
        <w:pStyle w:val="45"/>
        <w:rPr>
          <w:rFonts w:ascii="宋体" w:hAnsi="宋体" w:eastAsia="宋体"/>
          <w:color w:val="auto"/>
          <w:spacing w:val="15"/>
          <w:sz w:val="21"/>
          <w:szCs w:val="21"/>
          <w:highlight w:val="none"/>
        </w:rPr>
      </w:pPr>
      <w:r>
        <w:rPr>
          <w:rFonts w:ascii="宋体" w:hAnsi="宋体" w:eastAsia="宋体"/>
          <w:color w:val="auto"/>
          <w:spacing w:val="15"/>
          <w:sz w:val="21"/>
          <w:szCs w:val="21"/>
          <w:highlight w:val="none"/>
        </w:rPr>
        <w:t>(6)</w:t>
      </w:r>
      <w:r>
        <w:rPr>
          <w:rFonts w:hint="eastAsia" w:ascii="宋体" w:hAnsi="宋体" w:eastAsia="宋体"/>
          <w:color w:val="auto"/>
          <w:spacing w:val="15"/>
          <w:sz w:val="21"/>
          <w:szCs w:val="21"/>
          <w:highlight w:val="none"/>
        </w:rPr>
        <w:t>资格审查资料；</w:t>
      </w:r>
    </w:p>
    <w:p w14:paraId="7A39DA7B">
      <w:pPr>
        <w:pStyle w:val="45"/>
        <w:rPr>
          <w:rFonts w:ascii="宋体" w:hAnsi="宋体" w:eastAsia="宋体"/>
          <w:color w:val="auto"/>
          <w:spacing w:val="15"/>
          <w:sz w:val="21"/>
          <w:szCs w:val="21"/>
          <w:highlight w:val="none"/>
        </w:rPr>
      </w:pPr>
      <w:r>
        <w:rPr>
          <w:rFonts w:ascii="宋体" w:hAnsi="宋体" w:eastAsia="宋体"/>
          <w:color w:val="auto"/>
          <w:spacing w:val="15"/>
          <w:sz w:val="21"/>
          <w:szCs w:val="21"/>
          <w:highlight w:val="none"/>
        </w:rPr>
        <w:t>(7)</w:t>
      </w:r>
      <w:r>
        <w:rPr>
          <w:rFonts w:hint="eastAsia" w:ascii="宋体" w:hAnsi="宋体" w:eastAsia="宋体"/>
          <w:color w:val="auto"/>
          <w:spacing w:val="15"/>
          <w:sz w:val="21"/>
          <w:szCs w:val="21"/>
          <w:highlight w:val="none"/>
        </w:rPr>
        <w:t>设计方案；</w:t>
      </w:r>
    </w:p>
    <w:p w14:paraId="219B118B">
      <w:pPr>
        <w:pStyle w:val="45"/>
        <w:rPr>
          <w:rFonts w:ascii="宋体" w:hAnsi="宋体" w:eastAsia="宋体"/>
          <w:color w:val="auto"/>
          <w:spacing w:val="15"/>
          <w:sz w:val="21"/>
          <w:szCs w:val="21"/>
          <w:highlight w:val="none"/>
        </w:rPr>
      </w:pPr>
      <w:r>
        <w:rPr>
          <w:rFonts w:ascii="宋体" w:hAnsi="宋体" w:eastAsia="宋体"/>
          <w:color w:val="auto"/>
          <w:spacing w:val="15"/>
          <w:sz w:val="21"/>
          <w:szCs w:val="21"/>
          <w:highlight w:val="none"/>
        </w:rPr>
        <w:t>(8)</w:t>
      </w:r>
      <w:r>
        <w:rPr>
          <w:rFonts w:hint="eastAsia" w:ascii="宋体" w:hAnsi="宋体" w:eastAsia="宋体"/>
          <w:color w:val="auto"/>
          <w:spacing w:val="15"/>
          <w:sz w:val="21"/>
          <w:szCs w:val="21"/>
          <w:highlight w:val="none"/>
        </w:rPr>
        <w:t>投标人须知前附表规定的其他资料。</w:t>
      </w:r>
    </w:p>
    <w:p w14:paraId="53A490E5">
      <w:pPr>
        <w:pStyle w:val="45"/>
        <w:rPr>
          <w:rFonts w:ascii="宋体" w:hAnsi="宋体" w:eastAsia="宋体"/>
          <w:color w:val="auto"/>
          <w:spacing w:val="15"/>
          <w:sz w:val="21"/>
          <w:szCs w:val="21"/>
          <w:highlight w:val="none"/>
        </w:rPr>
      </w:pPr>
    </w:p>
    <w:p w14:paraId="60B2AF79">
      <w:pPr>
        <w:spacing w:line="360" w:lineRule="auto"/>
        <w:ind w:firstLine="482" w:firstLineChars="200"/>
        <w:rPr>
          <w:b/>
          <w:bCs/>
          <w:color w:val="auto"/>
          <w:highlight w:val="none"/>
        </w:rPr>
      </w:pPr>
      <w:r>
        <w:rPr>
          <w:rFonts w:ascii="宋体" w:hAnsi="宋体" w:eastAsia="宋体"/>
          <w:b/>
          <w:bCs/>
          <w:color w:val="auto"/>
          <w:sz w:val="24"/>
          <w:szCs w:val="24"/>
          <w:highlight w:val="none"/>
        </w:rPr>
        <w:t>条款号</w:t>
      </w:r>
      <w:r>
        <w:rPr>
          <w:rFonts w:ascii="宋体" w:hAnsi="宋体" w:eastAsia="宋体"/>
          <w:color w:val="auto"/>
          <w:sz w:val="24"/>
          <w:szCs w:val="24"/>
          <w:highlight w:val="none"/>
        </w:rPr>
        <w:t>：3.</w:t>
      </w:r>
      <w:r>
        <w:rPr>
          <w:rFonts w:hint="eastAsia" w:ascii="宋体" w:hAnsi="宋体" w:eastAsia="宋体"/>
          <w:color w:val="auto"/>
          <w:sz w:val="24"/>
          <w:szCs w:val="24"/>
          <w:highlight w:val="none"/>
        </w:rPr>
        <w:t xml:space="preserve">1.2                      </w:t>
      </w:r>
      <w:r>
        <w:rPr>
          <w:rFonts w:ascii="宋体" w:hAnsi="宋体" w:eastAsia="宋体"/>
          <w:color w:val="auto"/>
          <w:sz w:val="24"/>
          <w:szCs w:val="24"/>
          <w:highlight w:val="none"/>
        </w:rPr>
        <w:t xml:space="preserve">    </w:t>
      </w:r>
      <w:r>
        <w:rPr>
          <w:rFonts w:ascii="宋体" w:hAnsi="宋体" w:eastAsia="宋体"/>
          <w:b/>
          <w:bCs/>
          <w:color w:val="auto"/>
          <w:sz w:val="24"/>
          <w:szCs w:val="24"/>
          <w:highlight w:val="none"/>
        </w:rPr>
        <w:t xml:space="preserve"> 修改类型：</w:t>
      </w:r>
      <w:r>
        <w:rPr>
          <w:rFonts w:hint="eastAsia" w:ascii="宋体" w:hAnsi="宋体" w:eastAsia="宋体"/>
          <w:b/>
          <w:bCs/>
          <w:color w:val="auto"/>
          <w:sz w:val="24"/>
          <w:szCs w:val="24"/>
          <w:highlight w:val="none"/>
        </w:rPr>
        <w:t>修改</w:t>
      </w:r>
    </w:p>
    <w:p w14:paraId="2DEFDC7E">
      <w:pPr>
        <w:spacing w:line="360" w:lineRule="auto"/>
        <w:ind w:firstLine="482" w:firstLineChars="200"/>
        <w:rPr>
          <w:rFonts w:eastAsia="宋体"/>
          <w:color w:val="auto"/>
          <w:highlight w:val="none"/>
        </w:rPr>
      </w:pPr>
      <w:r>
        <w:rPr>
          <w:rFonts w:hint="eastAsia" w:ascii="宋体" w:hAnsi="宋体" w:eastAsia="宋体"/>
          <w:b/>
          <w:bCs/>
          <w:color w:val="auto"/>
          <w:sz w:val="24"/>
          <w:szCs w:val="24"/>
          <w:highlight w:val="none"/>
        </w:rPr>
        <w:t>原文：</w:t>
      </w:r>
      <w:r>
        <w:rPr>
          <w:rFonts w:hint="eastAsia"/>
          <w:b/>
          <w:bCs/>
          <w:color w:val="auto"/>
          <w:highlight w:val="none"/>
        </w:rPr>
        <w:t>3.1.</w:t>
      </w:r>
      <w:r>
        <w:rPr>
          <w:rFonts w:hint="eastAsia" w:eastAsia="宋体"/>
          <w:b/>
          <w:bCs/>
          <w:color w:val="auto"/>
          <w:highlight w:val="none"/>
        </w:rPr>
        <w:t>2技术文件：</w:t>
      </w:r>
      <w:r>
        <w:rPr>
          <w:rFonts w:hint="eastAsia"/>
          <w:b/>
          <w:bCs/>
          <w:color w:val="auto"/>
          <w:highlight w:val="none"/>
        </w:rPr>
        <w:t xml:space="preserve"> </w:t>
      </w:r>
      <w:r>
        <w:rPr>
          <w:rFonts w:ascii="宋体" w:hAnsi="宋体" w:eastAsia="宋体" w:cs="宋体"/>
          <w:color w:val="auto"/>
          <w:spacing w:val="14"/>
          <w:highlight w:val="none"/>
        </w:rPr>
        <w:t>勘察设计方案</w:t>
      </w:r>
      <w:r>
        <w:rPr>
          <w:rFonts w:hint="eastAsia" w:eastAsia="宋体"/>
          <w:color w:val="auto"/>
          <w:highlight w:val="none"/>
        </w:rPr>
        <w:t>（暗标）</w:t>
      </w:r>
    </w:p>
    <w:p w14:paraId="4F95A8F8">
      <w:pPr>
        <w:pStyle w:val="45"/>
        <w:rPr>
          <w:rFonts w:ascii="宋体" w:hAnsi="宋体" w:eastAsia="宋体"/>
          <w:color w:val="auto"/>
          <w:spacing w:val="15"/>
          <w:sz w:val="21"/>
          <w:szCs w:val="21"/>
          <w:highlight w:val="none"/>
        </w:rPr>
      </w:pPr>
      <w:r>
        <w:rPr>
          <w:rFonts w:hint="eastAsia" w:ascii="宋体" w:hAnsi="宋体" w:eastAsia="宋体"/>
          <w:b/>
          <w:bCs/>
          <w:color w:val="auto"/>
          <w:sz w:val="24"/>
          <w:szCs w:val="24"/>
          <w:highlight w:val="none"/>
        </w:rPr>
        <w:t>现文：</w:t>
      </w:r>
      <w:r>
        <w:rPr>
          <w:rFonts w:hint="eastAsia"/>
          <w:b/>
          <w:bCs/>
          <w:color w:val="auto"/>
          <w:highlight w:val="none"/>
        </w:rPr>
        <w:t>3.1.</w:t>
      </w:r>
      <w:r>
        <w:rPr>
          <w:rFonts w:hint="eastAsia" w:eastAsia="宋体"/>
          <w:b/>
          <w:bCs/>
          <w:color w:val="auto"/>
          <w:highlight w:val="none"/>
        </w:rPr>
        <w:t>2技术文件：</w:t>
      </w:r>
      <w:r>
        <w:rPr>
          <w:rFonts w:hint="eastAsia"/>
          <w:b/>
          <w:bCs/>
          <w:color w:val="auto"/>
          <w:highlight w:val="none"/>
        </w:rPr>
        <w:t xml:space="preserve"> </w:t>
      </w:r>
      <w:r>
        <w:rPr>
          <w:rFonts w:ascii="宋体" w:hAnsi="宋体" w:eastAsia="宋体" w:cs="宋体"/>
          <w:color w:val="auto"/>
          <w:spacing w:val="14"/>
          <w:sz w:val="21"/>
          <w:szCs w:val="21"/>
          <w:highlight w:val="none"/>
        </w:rPr>
        <w:t>设计方案</w:t>
      </w:r>
    </w:p>
    <w:p w14:paraId="089C28F4">
      <w:pPr>
        <w:spacing w:line="360" w:lineRule="auto"/>
        <w:ind w:firstLine="482" w:firstLineChars="200"/>
        <w:rPr>
          <w:rFonts w:ascii="宋体" w:hAnsi="宋体" w:eastAsia="宋体"/>
          <w:b/>
          <w:bCs/>
          <w:color w:val="auto"/>
          <w:sz w:val="24"/>
          <w:szCs w:val="24"/>
          <w:highlight w:val="none"/>
        </w:rPr>
      </w:pPr>
    </w:p>
    <w:p w14:paraId="1DD04304">
      <w:pPr>
        <w:spacing w:line="360" w:lineRule="auto"/>
        <w:ind w:firstLine="482" w:firstLineChars="200"/>
        <w:rPr>
          <w:rFonts w:ascii="宋体" w:hAnsi="宋体" w:eastAsia="宋体"/>
          <w:b/>
          <w:bCs/>
          <w:color w:val="auto"/>
          <w:sz w:val="24"/>
          <w:szCs w:val="24"/>
          <w:highlight w:val="none"/>
        </w:rPr>
      </w:pPr>
      <w:r>
        <w:rPr>
          <w:rFonts w:ascii="宋体" w:hAnsi="宋体" w:eastAsia="宋体"/>
          <w:b/>
          <w:bCs/>
          <w:color w:val="auto"/>
          <w:sz w:val="24"/>
          <w:szCs w:val="24"/>
          <w:highlight w:val="none"/>
        </w:rPr>
        <w:t>条款号</w:t>
      </w:r>
      <w:r>
        <w:rPr>
          <w:rFonts w:ascii="宋体" w:hAnsi="宋体" w:eastAsia="宋体"/>
          <w:color w:val="auto"/>
          <w:sz w:val="24"/>
          <w:szCs w:val="24"/>
          <w:highlight w:val="none"/>
        </w:rPr>
        <w:t>：3.</w:t>
      </w:r>
      <w:r>
        <w:rPr>
          <w:rFonts w:hint="eastAsia" w:ascii="宋体" w:hAnsi="宋体" w:eastAsia="宋体"/>
          <w:color w:val="auto"/>
          <w:sz w:val="24"/>
          <w:szCs w:val="24"/>
          <w:highlight w:val="none"/>
        </w:rPr>
        <w:t xml:space="preserve">3                      </w:t>
      </w:r>
      <w:r>
        <w:rPr>
          <w:rFonts w:ascii="宋体" w:hAnsi="宋体" w:eastAsia="宋体"/>
          <w:color w:val="auto"/>
          <w:sz w:val="24"/>
          <w:szCs w:val="24"/>
          <w:highlight w:val="none"/>
        </w:rPr>
        <w:t xml:space="preserve">    </w:t>
      </w:r>
      <w:r>
        <w:rPr>
          <w:rFonts w:ascii="宋体" w:hAnsi="宋体" w:eastAsia="宋体"/>
          <w:b/>
          <w:bCs/>
          <w:color w:val="auto"/>
          <w:sz w:val="24"/>
          <w:szCs w:val="24"/>
          <w:highlight w:val="none"/>
        </w:rPr>
        <w:t xml:space="preserve"> 修改类型：</w:t>
      </w:r>
      <w:r>
        <w:rPr>
          <w:rFonts w:hint="eastAsia" w:ascii="宋体" w:hAnsi="宋体" w:eastAsia="宋体"/>
          <w:b/>
          <w:bCs/>
          <w:color w:val="auto"/>
          <w:sz w:val="24"/>
          <w:szCs w:val="24"/>
          <w:highlight w:val="none"/>
        </w:rPr>
        <w:t>修改</w:t>
      </w:r>
    </w:p>
    <w:p w14:paraId="6C83AA37">
      <w:pPr>
        <w:ind w:firstLine="482" w:firstLineChars="200"/>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原文：</w:t>
      </w:r>
      <w:r>
        <w:rPr>
          <w:rFonts w:ascii="宋体" w:hAnsi="宋体" w:eastAsia="宋体"/>
          <w:color w:val="auto"/>
          <w:spacing w:val="-2"/>
          <w:highlight w:val="none"/>
        </w:rPr>
        <w:t>3.3  投标有效期</w:t>
      </w:r>
    </w:p>
    <w:p w14:paraId="5B4394B8">
      <w:pPr>
        <w:spacing w:before="69" w:line="220" w:lineRule="auto"/>
        <w:ind w:left="421"/>
        <w:rPr>
          <w:rFonts w:ascii="Times New Roman" w:hAnsi="Times New Roman" w:eastAsia="Times New Roman"/>
          <w:color w:val="auto"/>
          <w:spacing w:val="-4"/>
          <w:highlight w:val="none"/>
        </w:rPr>
      </w:pPr>
      <w:r>
        <w:rPr>
          <w:rFonts w:ascii="Times New Roman" w:hAnsi="Times New Roman" w:eastAsia="Times New Roman"/>
          <w:color w:val="auto"/>
          <w:spacing w:val="-4"/>
          <w:highlight w:val="none"/>
        </w:rPr>
        <w:t>3</w:t>
      </w:r>
      <w:r>
        <w:rPr>
          <w:rFonts w:ascii="Times New Roman" w:hAnsi="Times New Roman" w:eastAsia="Times New Roman"/>
          <w:color w:val="auto"/>
          <w:spacing w:val="-2"/>
          <w:highlight w:val="none"/>
        </w:rPr>
        <w:t xml:space="preserve">.3.1  </w:t>
      </w:r>
      <w:r>
        <w:rPr>
          <w:rFonts w:ascii="宋体" w:hAnsi="宋体" w:eastAsia="宋体"/>
          <w:color w:val="auto"/>
          <w:spacing w:val="-2"/>
          <w:highlight w:val="none"/>
        </w:rPr>
        <w:t xml:space="preserve">除投标人须知前附表另有规定外，投标有效期为 </w:t>
      </w:r>
      <w:r>
        <w:rPr>
          <w:rFonts w:ascii="Times New Roman" w:hAnsi="Times New Roman" w:eastAsia="Times New Roman"/>
          <w:color w:val="auto"/>
          <w:spacing w:val="-2"/>
          <w:highlight w:val="none"/>
        </w:rPr>
        <w:t xml:space="preserve">90 </w:t>
      </w:r>
      <w:r>
        <w:rPr>
          <w:rFonts w:ascii="宋体" w:hAnsi="宋体" w:eastAsia="宋体"/>
          <w:color w:val="auto"/>
          <w:spacing w:val="-2"/>
          <w:highlight w:val="none"/>
        </w:rPr>
        <w:t>天。</w:t>
      </w:r>
    </w:p>
    <w:p w14:paraId="2EBF54A8">
      <w:pPr>
        <w:spacing w:before="151" w:line="217" w:lineRule="auto"/>
        <w:ind w:left="421"/>
        <w:rPr>
          <w:rFonts w:ascii="Times New Roman" w:hAnsi="Times New Roman" w:eastAsia="Times New Roman"/>
          <w:color w:val="auto"/>
          <w:spacing w:val="-1"/>
          <w:highlight w:val="none"/>
        </w:rPr>
      </w:pPr>
      <w:r>
        <w:rPr>
          <w:rFonts w:ascii="Times New Roman" w:hAnsi="Times New Roman" w:eastAsia="Times New Roman"/>
          <w:color w:val="auto"/>
          <w:spacing w:val="-1"/>
          <w:highlight w:val="none"/>
        </w:rPr>
        <w:t xml:space="preserve">3.3.2  </w:t>
      </w:r>
      <w:r>
        <w:rPr>
          <w:rFonts w:ascii="宋体" w:hAnsi="宋体" w:eastAsia="宋体"/>
          <w:color w:val="auto"/>
          <w:spacing w:val="-1"/>
          <w:highlight w:val="none"/>
        </w:rPr>
        <w:t>在投标有效期内，投标人撤销投标文件的，应承担招标文件和法律规定</w:t>
      </w:r>
      <w:r>
        <w:rPr>
          <w:rFonts w:ascii="宋体" w:hAnsi="宋体" w:eastAsia="宋体"/>
          <w:color w:val="auto"/>
          <w:highlight w:val="none"/>
        </w:rPr>
        <w:t>的责任。</w:t>
      </w:r>
    </w:p>
    <w:p w14:paraId="41B31725">
      <w:pPr>
        <w:spacing w:before="153" w:line="356" w:lineRule="auto"/>
        <w:ind w:right="2" w:firstLine="421"/>
        <w:rPr>
          <w:rFonts w:ascii="Times New Roman" w:hAnsi="Times New Roman" w:eastAsia="Times New Roman"/>
          <w:color w:val="auto"/>
          <w:spacing w:val="-8"/>
          <w:highlight w:val="none"/>
        </w:rPr>
      </w:pPr>
      <w:r>
        <w:rPr>
          <w:rFonts w:ascii="Times New Roman" w:hAnsi="Times New Roman" w:eastAsia="Times New Roman"/>
          <w:color w:val="auto"/>
          <w:spacing w:val="-8"/>
          <w:highlight w:val="none"/>
        </w:rPr>
        <w:t>3.</w:t>
      </w:r>
      <w:r>
        <w:rPr>
          <w:rFonts w:ascii="Times New Roman" w:hAnsi="Times New Roman" w:eastAsia="Times New Roman"/>
          <w:color w:val="auto"/>
          <w:spacing w:val="-5"/>
          <w:highlight w:val="none"/>
        </w:rPr>
        <w:t>3</w:t>
      </w:r>
      <w:r>
        <w:rPr>
          <w:rFonts w:ascii="Times New Roman" w:hAnsi="Times New Roman" w:eastAsia="Times New Roman"/>
          <w:color w:val="auto"/>
          <w:spacing w:val="-4"/>
          <w:highlight w:val="none"/>
        </w:rPr>
        <w:t xml:space="preserve">.3  </w:t>
      </w:r>
      <w:r>
        <w:rPr>
          <w:rFonts w:ascii="宋体" w:hAnsi="宋体" w:eastAsia="宋体"/>
          <w:color w:val="auto"/>
          <w:spacing w:val="-4"/>
          <w:highlight w:val="none"/>
        </w:rPr>
        <w:t>出现特殊情况需要延长投标有效期的，招标人以书面形式通知所有投标人延长投标有</w:t>
      </w:r>
      <w:r>
        <w:rPr>
          <w:rFonts w:ascii="宋体" w:hAnsi="宋体" w:eastAsia="宋体"/>
          <w:color w:val="auto"/>
          <w:highlight w:val="none"/>
        </w:rPr>
        <w:t xml:space="preserve"> </w:t>
      </w:r>
      <w:r>
        <w:rPr>
          <w:rFonts w:ascii="宋体" w:hAnsi="宋体" w:eastAsia="宋体"/>
          <w:color w:val="auto"/>
          <w:spacing w:val="1"/>
          <w:highlight w:val="none"/>
        </w:rPr>
        <w:t>效期。投标人应予以书面答复，同意</w:t>
      </w:r>
      <w:r>
        <w:rPr>
          <w:rFonts w:ascii="宋体" w:hAnsi="宋体" w:eastAsia="宋体"/>
          <w:color w:val="auto"/>
          <w:highlight w:val="none"/>
        </w:rPr>
        <w:t>延长的</w:t>
      </w:r>
      <w:r>
        <w:rPr>
          <w:rFonts w:hint="eastAsia" w:ascii="宋体" w:hAnsi="宋体" w:eastAsia="宋体"/>
          <w:color w:val="auto"/>
          <w:highlight w:val="none"/>
        </w:rPr>
        <w:t>，</w:t>
      </w:r>
      <w:r>
        <w:rPr>
          <w:rFonts w:ascii="宋体" w:hAnsi="宋体" w:eastAsia="宋体"/>
          <w:color w:val="auto"/>
          <w:highlight w:val="none"/>
        </w:rPr>
        <w:t>应相应延长其投标保证金的有效期</w:t>
      </w:r>
      <w:r>
        <w:rPr>
          <w:rFonts w:hint="eastAsia" w:ascii="宋体" w:hAnsi="宋体" w:eastAsia="宋体"/>
          <w:color w:val="auto"/>
          <w:highlight w:val="none"/>
        </w:rPr>
        <w:t>，</w:t>
      </w:r>
      <w:r>
        <w:rPr>
          <w:rFonts w:ascii="宋体" w:hAnsi="宋体" w:eastAsia="宋体"/>
          <w:color w:val="auto"/>
          <w:highlight w:val="none"/>
        </w:rPr>
        <w:t xml:space="preserve">但不得要求 </w:t>
      </w:r>
      <w:r>
        <w:rPr>
          <w:rFonts w:ascii="宋体" w:hAnsi="宋体" w:eastAsia="宋体"/>
          <w:color w:val="auto"/>
          <w:spacing w:val="1"/>
          <w:highlight w:val="none"/>
        </w:rPr>
        <w:t>或被允许修改其投标文件；投标人拒绝延长的</w:t>
      </w:r>
      <w:r>
        <w:rPr>
          <w:rFonts w:ascii="宋体" w:hAnsi="宋体" w:eastAsia="宋体"/>
          <w:color w:val="auto"/>
          <w:highlight w:val="none"/>
        </w:rPr>
        <w:t>，其投标失效</w:t>
      </w:r>
      <w:r>
        <w:rPr>
          <w:rFonts w:hint="eastAsia" w:ascii="宋体" w:hAnsi="宋体" w:eastAsia="宋体"/>
          <w:color w:val="auto"/>
          <w:highlight w:val="none"/>
        </w:rPr>
        <w:t>，</w:t>
      </w:r>
      <w:r>
        <w:rPr>
          <w:rFonts w:ascii="宋体" w:hAnsi="宋体" w:eastAsia="宋体"/>
          <w:color w:val="auto"/>
          <w:highlight w:val="none"/>
        </w:rPr>
        <w:t>但投标人有权收回其投标保证金</w:t>
      </w:r>
      <w:r>
        <w:rPr>
          <w:rFonts w:hint="eastAsia" w:ascii="宋体" w:hAnsi="宋体" w:eastAsia="宋体"/>
          <w:color w:val="auto"/>
          <w:highlight w:val="none"/>
        </w:rPr>
        <w:t>。</w:t>
      </w:r>
    </w:p>
    <w:p w14:paraId="6384974E">
      <w:pPr>
        <w:ind w:firstLine="582" w:firstLineChars="200"/>
        <w:rPr>
          <w:rFonts w:ascii="Times New Roman" w:hAnsi="Times New Roman" w:eastAsia="宋体"/>
          <w:b/>
          <w:bCs/>
          <w:color w:val="auto"/>
          <w:spacing w:val="10"/>
          <w:sz w:val="27"/>
          <w:szCs w:val="27"/>
          <w:highlight w:val="none"/>
        </w:rPr>
      </w:pPr>
      <w:r>
        <w:rPr>
          <w:rFonts w:hint="eastAsia" w:ascii="Times New Roman" w:hAnsi="Times New Roman" w:eastAsia="宋体"/>
          <w:b/>
          <w:bCs/>
          <w:color w:val="auto"/>
          <w:spacing w:val="10"/>
          <w:sz w:val="27"/>
          <w:szCs w:val="27"/>
          <w:highlight w:val="none"/>
        </w:rPr>
        <w:t>现文：</w:t>
      </w:r>
      <w:r>
        <w:rPr>
          <w:rFonts w:ascii="宋体" w:hAnsi="宋体" w:eastAsia="宋体"/>
          <w:color w:val="auto"/>
          <w:spacing w:val="-2"/>
          <w:highlight w:val="none"/>
        </w:rPr>
        <w:t>3.3  投标有效期</w:t>
      </w:r>
    </w:p>
    <w:p w14:paraId="4649820A">
      <w:pPr>
        <w:spacing w:before="69" w:line="220" w:lineRule="auto"/>
        <w:ind w:left="421"/>
        <w:rPr>
          <w:rFonts w:ascii="Times New Roman" w:hAnsi="Times New Roman" w:eastAsia="Times New Roman"/>
          <w:color w:val="auto"/>
          <w:spacing w:val="-4"/>
          <w:highlight w:val="none"/>
        </w:rPr>
      </w:pPr>
      <w:r>
        <w:rPr>
          <w:rFonts w:ascii="Times New Roman" w:hAnsi="Times New Roman" w:eastAsia="Times New Roman"/>
          <w:color w:val="auto"/>
          <w:spacing w:val="-4"/>
          <w:highlight w:val="none"/>
        </w:rPr>
        <w:t>3</w:t>
      </w:r>
      <w:r>
        <w:rPr>
          <w:rFonts w:ascii="Times New Roman" w:hAnsi="Times New Roman" w:eastAsia="Times New Roman"/>
          <w:color w:val="auto"/>
          <w:spacing w:val="-2"/>
          <w:highlight w:val="none"/>
        </w:rPr>
        <w:t xml:space="preserve">.3.1  </w:t>
      </w:r>
      <w:r>
        <w:rPr>
          <w:rFonts w:ascii="宋体" w:hAnsi="宋体" w:eastAsia="宋体"/>
          <w:color w:val="auto"/>
          <w:spacing w:val="-2"/>
          <w:highlight w:val="none"/>
        </w:rPr>
        <w:t xml:space="preserve">除投标人须知前附表另有规定外，投标有效期为 </w:t>
      </w:r>
      <w:r>
        <w:rPr>
          <w:rFonts w:ascii="Times New Roman" w:hAnsi="Times New Roman" w:eastAsia="Times New Roman"/>
          <w:color w:val="auto"/>
          <w:spacing w:val="-2"/>
          <w:highlight w:val="none"/>
        </w:rPr>
        <w:t xml:space="preserve">90 </w:t>
      </w:r>
      <w:r>
        <w:rPr>
          <w:rFonts w:ascii="宋体" w:hAnsi="宋体" w:eastAsia="宋体"/>
          <w:color w:val="auto"/>
          <w:spacing w:val="-2"/>
          <w:highlight w:val="none"/>
        </w:rPr>
        <w:t>天。</w:t>
      </w:r>
    </w:p>
    <w:p w14:paraId="0E338A6B">
      <w:pPr>
        <w:spacing w:before="151" w:line="217" w:lineRule="auto"/>
        <w:ind w:left="421"/>
        <w:rPr>
          <w:rFonts w:ascii="Times New Roman" w:hAnsi="Times New Roman" w:eastAsia="Times New Roman"/>
          <w:color w:val="auto"/>
          <w:spacing w:val="-1"/>
          <w:highlight w:val="none"/>
        </w:rPr>
      </w:pPr>
      <w:r>
        <w:rPr>
          <w:rFonts w:ascii="Times New Roman" w:hAnsi="Times New Roman" w:eastAsia="Times New Roman"/>
          <w:color w:val="auto"/>
          <w:spacing w:val="-1"/>
          <w:highlight w:val="none"/>
        </w:rPr>
        <w:t xml:space="preserve">3.3.2  </w:t>
      </w:r>
      <w:r>
        <w:rPr>
          <w:rFonts w:ascii="宋体" w:hAnsi="宋体" w:eastAsia="宋体"/>
          <w:color w:val="auto"/>
          <w:spacing w:val="-1"/>
          <w:highlight w:val="none"/>
        </w:rPr>
        <w:t>在投标有效期内，投标人撤销投标文件的，应承担招标文件和法律规定</w:t>
      </w:r>
      <w:r>
        <w:rPr>
          <w:rFonts w:ascii="宋体" w:hAnsi="宋体" w:eastAsia="宋体"/>
          <w:color w:val="auto"/>
          <w:highlight w:val="none"/>
        </w:rPr>
        <w:t>的责任。</w:t>
      </w:r>
    </w:p>
    <w:p w14:paraId="7EBB03FA">
      <w:pPr>
        <w:spacing w:before="153" w:line="356" w:lineRule="auto"/>
        <w:ind w:right="2" w:firstLine="421"/>
        <w:rPr>
          <w:rFonts w:ascii="宋体" w:hAnsi="宋体" w:eastAsia="宋体"/>
          <w:color w:val="auto"/>
          <w:highlight w:val="none"/>
        </w:rPr>
      </w:pPr>
      <w:r>
        <w:rPr>
          <w:rFonts w:ascii="Times New Roman" w:hAnsi="Times New Roman" w:eastAsia="Times New Roman"/>
          <w:color w:val="auto"/>
          <w:spacing w:val="-8"/>
          <w:highlight w:val="none"/>
        </w:rPr>
        <w:t>3.</w:t>
      </w:r>
      <w:r>
        <w:rPr>
          <w:rFonts w:ascii="Times New Roman" w:hAnsi="Times New Roman" w:eastAsia="Times New Roman"/>
          <w:color w:val="auto"/>
          <w:spacing w:val="-5"/>
          <w:highlight w:val="none"/>
        </w:rPr>
        <w:t>3</w:t>
      </w:r>
      <w:r>
        <w:rPr>
          <w:rFonts w:ascii="Times New Roman" w:hAnsi="Times New Roman" w:eastAsia="Times New Roman"/>
          <w:color w:val="auto"/>
          <w:spacing w:val="-4"/>
          <w:highlight w:val="none"/>
        </w:rPr>
        <w:t xml:space="preserve">.3  </w:t>
      </w:r>
      <w:r>
        <w:rPr>
          <w:rFonts w:ascii="宋体" w:hAnsi="宋体" w:eastAsia="宋体"/>
          <w:color w:val="auto"/>
          <w:spacing w:val="-4"/>
          <w:highlight w:val="none"/>
        </w:rPr>
        <w:t>出现特殊情况需要延长投标有效期的，招标人以书面形式通知所有投标人延长投标有</w:t>
      </w:r>
      <w:r>
        <w:rPr>
          <w:rFonts w:ascii="宋体" w:hAnsi="宋体" w:eastAsia="宋体"/>
          <w:color w:val="auto"/>
          <w:highlight w:val="none"/>
        </w:rPr>
        <w:t xml:space="preserve"> </w:t>
      </w:r>
      <w:r>
        <w:rPr>
          <w:rFonts w:ascii="宋体" w:hAnsi="宋体" w:eastAsia="宋体"/>
          <w:color w:val="auto"/>
          <w:spacing w:val="1"/>
          <w:highlight w:val="none"/>
        </w:rPr>
        <w:t>效期。投标人应予以书面答复，同意</w:t>
      </w:r>
      <w:r>
        <w:rPr>
          <w:rFonts w:ascii="宋体" w:hAnsi="宋体" w:eastAsia="宋体"/>
          <w:color w:val="auto"/>
          <w:highlight w:val="none"/>
        </w:rPr>
        <w:t>延长的</w:t>
      </w:r>
      <w:r>
        <w:rPr>
          <w:rFonts w:hint="eastAsia" w:ascii="宋体" w:hAnsi="宋体" w:eastAsia="宋体"/>
          <w:color w:val="auto"/>
          <w:highlight w:val="none"/>
        </w:rPr>
        <w:t>，</w:t>
      </w:r>
      <w:r>
        <w:rPr>
          <w:rFonts w:ascii="宋体" w:hAnsi="宋体" w:eastAsia="宋体"/>
          <w:color w:val="auto"/>
          <w:highlight w:val="none"/>
        </w:rPr>
        <w:t>应相应延长其</w:t>
      </w:r>
      <w:r>
        <w:rPr>
          <w:rFonts w:ascii="宋体" w:hAnsi="宋体" w:eastAsia="宋体"/>
          <w:strike/>
          <w:color w:val="auto"/>
          <w:highlight w:val="none"/>
        </w:rPr>
        <w:t>投标保证金</w:t>
      </w:r>
      <w:r>
        <w:rPr>
          <w:rFonts w:ascii="宋体" w:hAnsi="宋体" w:eastAsia="宋体"/>
          <w:color w:val="auto"/>
          <w:highlight w:val="none"/>
        </w:rPr>
        <w:t>的有效期</w:t>
      </w:r>
      <w:r>
        <w:rPr>
          <w:rFonts w:hint="eastAsia" w:ascii="宋体" w:hAnsi="宋体" w:eastAsia="宋体"/>
          <w:color w:val="auto"/>
          <w:highlight w:val="none"/>
        </w:rPr>
        <w:t>，</w:t>
      </w:r>
      <w:r>
        <w:rPr>
          <w:rFonts w:ascii="宋体" w:hAnsi="宋体" w:eastAsia="宋体"/>
          <w:color w:val="auto"/>
          <w:highlight w:val="none"/>
        </w:rPr>
        <w:t xml:space="preserve">但不得要求 </w:t>
      </w:r>
      <w:r>
        <w:rPr>
          <w:rFonts w:ascii="宋体" w:hAnsi="宋体" w:eastAsia="宋体"/>
          <w:color w:val="auto"/>
          <w:spacing w:val="1"/>
          <w:highlight w:val="none"/>
        </w:rPr>
        <w:t>或被允许修改其投标文件；投标人拒绝延长的</w:t>
      </w:r>
      <w:r>
        <w:rPr>
          <w:rFonts w:ascii="宋体" w:hAnsi="宋体" w:eastAsia="宋体"/>
          <w:color w:val="auto"/>
          <w:highlight w:val="none"/>
        </w:rPr>
        <w:t>，其投标失效</w:t>
      </w:r>
      <w:r>
        <w:rPr>
          <w:rFonts w:hint="eastAsia" w:ascii="宋体" w:hAnsi="宋体" w:eastAsia="宋体"/>
          <w:color w:val="auto"/>
          <w:highlight w:val="none"/>
        </w:rPr>
        <w:t>，</w:t>
      </w:r>
      <w:r>
        <w:rPr>
          <w:rFonts w:ascii="宋体" w:hAnsi="宋体" w:eastAsia="宋体"/>
          <w:strike/>
          <w:color w:val="auto"/>
          <w:highlight w:val="none"/>
        </w:rPr>
        <w:t>但投标人有权收回其投标保证金</w:t>
      </w:r>
      <w:r>
        <w:rPr>
          <w:rFonts w:hint="eastAsia" w:ascii="宋体" w:hAnsi="宋体" w:eastAsia="宋体"/>
          <w:color w:val="auto"/>
          <w:highlight w:val="none"/>
        </w:rPr>
        <w:t>。</w:t>
      </w:r>
    </w:p>
    <w:p w14:paraId="67CD4050">
      <w:pPr>
        <w:spacing w:before="153" w:line="356" w:lineRule="auto"/>
        <w:ind w:right="2" w:firstLine="421"/>
        <w:rPr>
          <w:rFonts w:ascii="宋体" w:hAnsi="宋体" w:eastAsia="宋体"/>
          <w:color w:val="auto"/>
          <w:highlight w:val="none"/>
        </w:rPr>
      </w:pPr>
    </w:p>
    <w:p w14:paraId="174E7181">
      <w:pPr>
        <w:spacing w:line="480" w:lineRule="auto"/>
        <w:ind w:firstLine="540" w:firstLineChars="224"/>
        <w:rPr>
          <w:rFonts w:ascii="宋体" w:hAnsi="宋体" w:eastAsia="宋体"/>
          <w:b/>
          <w:bCs/>
          <w:color w:val="auto"/>
          <w:sz w:val="24"/>
          <w:szCs w:val="24"/>
          <w:highlight w:val="none"/>
        </w:rPr>
      </w:pPr>
      <w:r>
        <w:rPr>
          <w:rFonts w:ascii="宋体" w:hAnsi="宋体" w:eastAsia="宋体"/>
          <w:b/>
          <w:bCs/>
          <w:color w:val="auto"/>
          <w:sz w:val="24"/>
          <w:szCs w:val="24"/>
          <w:highlight w:val="none"/>
        </w:rPr>
        <w:t>条款号</w:t>
      </w:r>
      <w:r>
        <w:rPr>
          <w:rFonts w:ascii="宋体" w:hAnsi="宋体" w:eastAsia="宋体"/>
          <w:color w:val="auto"/>
          <w:sz w:val="24"/>
          <w:szCs w:val="24"/>
          <w:highlight w:val="none"/>
        </w:rPr>
        <w:t>：3.</w:t>
      </w:r>
      <w:r>
        <w:rPr>
          <w:rFonts w:hint="eastAsia" w:ascii="宋体" w:hAnsi="宋体" w:eastAsia="宋体"/>
          <w:color w:val="auto"/>
          <w:sz w:val="24"/>
          <w:szCs w:val="24"/>
          <w:highlight w:val="none"/>
        </w:rPr>
        <w:t xml:space="preserve">4                    </w:t>
      </w:r>
      <w:r>
        <w:rPr>
          <w:rFonts w:ascii="宋体" w:hAnsi="宋体" w:eastAsia="宋体"/>
          <w:color w:val="auto"/>
          <w:sz w:val="24"/>
          <w:szCs w:val="24"/>
          <w:highlight w:val="none"/>
        </w:rPr>
        <w:t xml:space="preserve">    </w:t>
      </w:r>
      <w:r>
        <w:rPr>
          <w:rFonts w:ascii="宋体" w:hAnsi="宋体" w:eastAsia="宋体"/>
          <w:b/>
          <w:bCs/>
          <w:color w:val="auto"/>
          <w:sz w:val="24"/>
          <w:szCs w:val="24"/>
          <w:highlight w:val="none"/>
        </w:rPr>
        <w:t xml:space="preserve"> 修改类型：</w:t>
      </w:r>
      <w:r>
        <w:rPr>
          <w:rFonts w:hint="eastAsia" w:ascii="宋体" w:hAnsi="宋体" w:eastAsia="宋体"/>
          <w:b/>
          <w:bCs/>
          <w:color w:val="auto"/>
          <w:sz w:val="24"/>
          <w:szCs w:val="24"/>
          <w:highlight w:val="none"/>
        </w:rPr>
        <w:t>修改</w:t>
      </w:r>
    </w:p>
    <w:p w14:paraId="0774274C">
      <w:pPr>
        <w:ind w:firstLine="482" w:firstLineChars="200"/>
        <w:rPr>
          <w:rFonts w:ascii="Times New Roman" w:hAnsi="Times New Roman" w:eastAsia="Times New Roman"/>
          <w:color w:val="auto"/>
          <w:spacing w:val="10"/>
          <w:sz w:val="27"/>
          <w:szCs w:val="27"/>
          <w:highlight w:val="none"/>
        </w:rPr>
      </w:pPr>
      <w:r>
        <w:rPr>
          <w:rFonts w:hint="eastAsia" w:ascii="宋体" w:hAnsi="宋体" w:eastAsia="宋体"/>
          <w:b/>
          <w:bCs/>
          <w:color w:val="auto"/>
          <w:sz w:val="24"/>
          <w:szCs w:val="24"/>
          <w:highlight w:val="none"/>
        </w:rPr>
        <w:t>原文：</w:t>
      </w:r>
      <w:r>
        <w:rPr>
          <w:rFonts w:ascii="Times New Roman" w:hAnsi="Times New Roman" w:eastAsia="Times New Roman"/>
          <w:color w:val="auto"/>
          <w:spacing w:val="10"/>
          <w:sz w:val="27"/>
          <w:szCs w:val="27"/>
          <w:highlight w:val="none"/>
        </w:rPr>
        <w:t>3</w:t>
      </w:r>
      <w:r>
        <w:rPr>
          <w:rFonts w:ascii="Times New Roman" w:hAnsi="Times New Roman" w:eastAsia="Times New Roman"/>
          <w:color w:val="auto"/>
          <w:spacing w:val="6"/>
          <w:sz w:val="27"/>
          <w:szCs w:val="27"/>
          <w:highlight w:val="none"/>
        </w:rPr>
        <w:t>.</w:t>
      </w:r>
      <w:r>
        <w:rPr>
          <w:rFonts w:ascii="Times New Roman" w:hAnsi="Times New Roman" w:eastAsia="Times New Roman"/>
          <w:color w:val="auto"/>
          <w:spacing w:val="5"/>
          <w:sz w:val="27"/>
          <w:szCs w:val="27"/>
          <w:highlight w:val="none"/>
        </w:rPr>
        <w:t xml:space="preserve">4  </w:t>
      </w:r>
      <w:r>
        <w:rPr>
          <w:rFonts w:ascii="宋体" w:hAnsi="宋体" w:eastAsia="宋体"/>
          <w:color w:val="auto"/>
          <w:spacing w:val="-2"/>
          <w:highlight w:val="none"/>
        </w:rPr>
        <w:t>投标保证金</w:t>
      </w:r>
    </w:p>
    <w:p w14:paraId="45B7DF4C">
      <w:pPr>
        <w:spacing w:before="69" w:line="360" w:lineRule="auto"/>
        <w:ind w:firstLine="418" w:firstLineChars="207"/>
        <w:rPr>
          <w:rFonts w:ascii="Times New Roman" w:hAnsi="Times New Roman" w:eastAsia="Times New Roman"/>
          <w:color w:val="auto"/>
          <w:spacing w:val="-4"/>
          <w:highlight w:val="none"/>
        </w:rPr>
      </w:pPr>
      <w:r>
        <w:rPr>
          <w:rFonts w:ascii="Times New Roman" w:hAnsi="Times New Roman" w:eastAsia="Times New Roman"/>
          <w:color w:val="auto"/>
          <w:spacing w:val="-4"/>
          <w:highlight w:val="none"/>
        </w:rPr>
        <w:t xml:space="preserve">3.4.1  </w:t>
      </w:r>
      <w:r>
        <w:rPr>
          <w:rFonts w:hint="eastAsia" w:ascii="Times New Roman" w:hAnsi="Times New Roman" w:eastAsia="Times New Roman"/>
          <w:color w:val="auto"/>
          <w:spacing w:val="-4"/>
          <w:highlight w:val="none"/>
        </w:rPr>
        <w:t>投标人应按投标须知前附表规定的金额和时间递交投标保证金。招标人应当允许投标人自主选择现金、银行保函、保证保险、专业工程担保公司担保等方式缴纳投标保证金。</w:t>
      </w:r>
      <w:r>
        <w:rPr>
          <w:rFonts w:hint="eastAsia" w:ascii="Times New Roman" w:hAnsi="Times New Roman" w:eastAsia="宋体"/>
          <w:color w:val="auto"/>
          <w:spacing w:val="-4"/>
          <w:highlight w:val="none"/>
        </w:rPr>
        <w:t>采用现金或者支票形式提交的，投标保证金须从投标人的银行基本账户转出。</w:t>
      </w:r>
      <w:r>
        <w:rPr>
          <w:rFonts w:hint="eastAsia" w:ascii="Times New Roman" w:hAnsi="Times New Roman" w:eastAsia="Times New Roman"/>
          <w:color w:val="auto"/>
          <w:spacing w:val="-4"/>
          <w:highlight w:val="none"/>
        </w:rPr>
        <w:t>联合体投标的，其投标保证金可以由</w:t>
      </w:r>
      <w:r>
        <w:rPr>
          <w:rFonts w:hint="eastAsia" w:ascii="Times New Roman" w:hAnsi="Times New Roman" w:eastAsia="宋体"/>
          <w:color w:val="auto"/>
          <w:spacing w:val="-4"/>
          <w:highlight w:val="none"/>
        </w:rPr>
        <w:t>主办方</w:t>
      </w:r>
      <w:r>
        <w:rPr>
          <w:rFonts w:hint="eastAsia" w:ascii="Times New Roman" w:hAnsi="Times New Roman" w:eastAsia="Times New Roman"/>
          <w:color w:val="auto"/>
          <w:spacing w:val="-4"/>
          <w:highlight w:val="none"/>
        </w:rPr>
        <w:t>递交，并应符合投标人须知前附表的规定。</w:t>
      </w:r>
    </w:p>
    <w:p w14:paraId="3F084898">
      <w:pPr>
        <w:spacing w:before="69" w:line="360" w:lineRule="auto"/>
        <w:ind w:firstLine="418" w:firstLineChars="207"/>
        <w:rPr>
          <w:rFonts w:ascii="Times New Roman" w:hAnsi="Times New Roman" w:eastAsia="Times New Roman"/>
          <w:color w:val="auto"/>
          <w:spacing w:val="-4"/>
          <w:highlight w:val="none"/>
        </w:rPr>
      </w:pPr>
      <w:r>
        <w:rPr>
          <w:rFonts w:ascii="Times New Roman" w:hAnsi="Times New Roman" w:eastAsia="Times New Roman"/>
          <w:color w:val="auto"/>
          <w:spacing w:val="-4"/>
          <w:highlight w:val="none"/>
        </w:rPr>
        <w:t xml:space="preserve">3.4.2  </w:t>
      </w:r>
      <w:r>
        <w:rPr>
          <w:rFonts w:hint="eastAsia" w:ascii="Times New Roman" w:hAnsi="Times New Roman" w:eastAsia="宋体"/>
          <w:color w:val="auto"/>
          <w:spacing w:val="-4"/>
          <w:highlight w:val="none"/>
        </w:rPr>
        <w:t>开标时投标人没有按</w:t>
      </w:r>
      <w:r>
        <w:rPr>
          <w:rFonts w:ascii="Times New Roman" w:hAnsi="Times New Roman" w:eastAsia="Times New Roman"/>
          <w:color w:val="auto"/>
          <w:spacing w:val="-4"/>
          <w:highlight w:val="none"/>
        </w:rPr>
        <w:t>要求提交投标保证金的，</w:t>
      </w:r>
      <w:r>
        <w:rPr>
          <w:rFonts w:hint="eastAsia" w:ascii="Times New Roman" w:hAnsi="Times New Roman" w:eastAsia="宋体"/>
          <w:color w:val="auto"/>
          <w:spacing w:val="-4"/>
          <w:highlight w:val="none"/>
        </w:rPr>
        <w:t>其投标文件将被否决</w:t>
      </w:r>
      <w:r>
        <w:rPr>
          <w:rFonts w:ascii="Times New Roman" w:hAnsi="Times New Roman" w:eastAsia="Times New Roman"/>
          <w:color w:val="auto"/>
          <w:spacing w:val="-4"/>
          <w:highlight w:val="none"/>
        </w:rPr>
        <w:t>。</w:t>
      </w:r>
    </w:p>
    <w:p w14:paraId="5E947719">
      <w:pPr>
        <w:spacing w:before="69" w:line="360" w:lineRule="auto"/>
        <w:ind w:firstLine="418" w:firstLineChars="207"/>
        <w:rPr>
          <w:rFonts w:ascii="Times New Roman" w:hAnsi="Times New Roman" w:eastAsia="Times New Roman"/>
          <w:color w:val="auto"/>
          <w:spacing w:val="-4"/>
          <w:highlight w:val="none"/>
        </w:rPr>
      </w:pPr>
      <w:r>
        <w:rPr>
          <w:rFonts w:ascii="Times New Roman" w:hAnsi="Times New Roman" w:eastAsia="Times New Roman"/>
          <w:color w:val="auto"/>
          <w:spacing w:val="-4"/>
          <w:highlight w:val="none"/>
        </w:rPr>
        <w:t xml:space="preserve">3.4.3  </w:t>
      </w:r>
      <w:r>
        <w:rPr>
          <w:rFonts w:hint="eastAsia" w:ascii="Times New Roman" w:hAnsi="Times New Roman" w:eastAsia="Times New Roman"/>
          <w:color w:val="auto"/>
          <w:spacing w:val="-4"/>
          <w:highlight w:val="none"/>
        </w:rPr>
        <w:t>中标候选人以外的投标人的投标保证金将尽快退还，最迟不超过中标通知书发出之日起五日内；中标人和其他中标候选人的投标保证金，在书面合同订立之日起五日内予以退还</w:t>
      </w:r>
      <w:r>
        <w:rPr>
          <w:rFonts w:ascii="Times New Roman" w:hAnsi="Times New Roman" w:eastAsia="Times New Roman"/>
          <w:color w:val="auto"/>
          <w:spacing w:val="-4"/>
          <w:highlight w:val="none"/>
        </w:rPr>
        <w:t>。</w:t>
      </w:r>
    </w:p>
    <w:p w14:paraId="089102DD">
      <w:pPr>
        <w:spacing w:before="69" w:line="360" w:lineRule="auto"/>
        <w:ind w:firstLine="418" w:firstLineChars="207"/>
        <w:rPr>
          <w:rFonts w:ascii="Times New Roman" w:hAnsi="Times New Roman" w:eastAsia="Times New Roman"/>
          <w:color w:val="auto"/>
          <w:spacing w:val="-4"/>
          <w:highlight w:val="none"/>
        </w:rPr>
      </w:pPr>
      <w:r>
        <w:rPr>
          <w:rFonts w:ascii="Times New Roman" w:hAnsi="Times New Roman" w:eastAsia="Times New Roman"/>
          <w:color w:val="auto"/>
          <w:spacing w:val="-4"/>
          <w:highlight w:val="none"/>
        </w:rPr>
        <w:t>3.4.4  有下列情形之一的，投标保证金将不予退还：</w:t>
      </w:r>
    </w:p>
    <w:p w14:paraId="68B23DD1">
      <w:pPr>
        <w:spacing w:before="69" w:line="360" w:lineRule="auto"/>
        <w:ind w:firstLine="418" w:firstLineChars="207"/>
        <w:rPr>
          <w:rFonts w:ascii="Times New Roman" w:hAnsi="Times New Roman" w:eastAsia="Times New Roman"/>
          <w:color w:val="auto"/>
          <w:spacing w:val="-4"/>
          <w:highlight w:val="none"/>
        </w:rPr>
      </w:pPr>
      <w:r>
        <w:rPr>
          <w:rFonts w:ascii="Times New Roman" w:hAnsi="Times New Roman" w:eastAsia="Times New Roman"/>
          <w:color w:val="auto"/>
          <w:spacing w:val="-4"/>
          <w:highlight w:val="none"/>
        </w:rPr>
        <w:t>(</w:t>
      </w:r>
      <w:r>
        <w:rPr>
          <w:rFonts w:hint="eastAsia" w:ascii="Times New Roman" w:hAnsi="Times New Roman" w:eastAsia="宋体"/>
          <w:color w:val="auto"/>
          <w:spacing w:val="-4"/>
          <w:highlight w:val="none"/>
        </w:rPr>
        <w:t>1</w:t>
      </w:r>
      <w:r>
        <w:rPr>
          <w:rFonts w:ascii="Times New Roman" w:hAnsi="Times New Roman" w:eastAsia="Times New Roman"/>
          <w:color w:val="auto"/>
          <w:spacing w:val="-4"/>
          <w:highlight w:val="none"/>
        </w:rPr>
        <w:t>)</w:t>
      </w:r>
      <w:r>
        <w:rPr>
          <w:rFonts w:hint="eastAsia" w:ascii="Times New Roman" w:hAnsi="Times New Roman" w:eastAsia="宋体"/>
          <w:color w:val="auto"/>
          <w:spacing w:val="-4"/>
          <w:highlight w:val="none"/>
        </w:rPr>
        <w:t xml:space="preserve">  </w:t>
      </w:r>
      <w:r>
        <w:rPr>
          <w:rFonts w:hint="eastAsia" w:ascii="Times New Roman" w:hAnsi="Times New Roman" w:eastAsia="Times New Roman"/>
          <w:color w:val="auto"/>
          <w:spacing w:val="-4"/>
          <w:highlight w:val="none"/>
        </w:rPr>
        <w:t>投标人在规定的投标有效期内撤销其投标文件；</w:t>
      </w:r>
    </w:p>
    <w:p w14:paraId="484E8D9C">
      <w:pPr>
        <w:spacing w:before="69" w:line="360" w:lineRule="auto"/>
        <w:ind w:firstLine="418" w:firstLineChars="207"/>
        <w:rPr>
          <w:rFonts w:ascii="Times New Roman" w:hAnsi="Times New Roman" w:eastAsia="Times New Roman"/>
          <w:color w:val="auto"/>
          <w:spacing w:val="-4"/>
          <w:highlight w:val="none"/>
        </w:rPr>
      </w:pPr>
      <w:r>
        <w:rPr>
          <w:rFonts w:ascii="Times New Roman" w:hAnsi="Times New Roman" w:eastAsia="Times New Roman"/>
          <w:color w:val="auto"/>
          <w:spacing w:val="-4"/>
          <w:highlight w:val="none"/>
        </w:rPr>
        <w:t>(</w:t>
      </w:r>
      <w:r>
        <w:rPr>
          <w:rFonts w:hint="eastAsia" w:ascii="Times New Roman" w:hAnsi="Times New Roman" w:eastAsia="宋体"/>
          <w:color w:val="auto"/>
          <w:spacing w:val="-4"/>
          <w:highlight w:val="none"/>
        </w:rPr>
        <w:t>2</w:t>
      </w:r>
      <w:r>
        <w:rPr>
          <w:rFonts w:ascii="Times New Roman" w:hAnsi="Times New Roman" w:eastAsia="Times New Roman"/>
          <w:color w:val="auto"/>
          <w:spacing w:val="-4"/>
          <w:highlight w:val="none"/>
        </w:rPr>
        <w:t>)</w:t>
      </w:r>
      <w:r>
        <w:rPr>
          <w:rFonts w:hint="eastAsia" w:ascii="Times New Roman" w:hAnsi="Times New Roman" w:eastAsia="宋体"/>
          <w:color w:val="auto"/>
          <w:spacing w:val="-4"/>
          <w:highlight w:val="none"/>
        </w:rPr>
        <w:t xml:space="preserve">  </w:t>
      </w:r>
      <w:r>
        <w:rPr>
          <w:rFonts w:ascii="Times New Roman" w:hAnsi="Times New Roman" w:eastAsia="Times New Roman"/>
          <w:color w:val="auto"/>
          <w:spacing w:val="-4"/>
          <w:highlight w:val="none"/>
        </w:rPr>
        <w:t>中标人在收到中标通知书后，无正当理由不与招标人订立合同，在签订合同时向招标 人提出附加条件，或者不按照招标文件要求提交履约保证金</w:t>
      </w:r>
      <w:r>
        <w:rPr>
          <w:rFonts w:hint="eastAsia" w:ascii="Times New Roman" w:hAnsi="Times New Roman" w:eastAsia="宋体"/>
          <w:color w:val="auto"/>
          <w:spacing w:val="-4"/>
          <w:highlight w:val="none"/>
        </w:rPr>
        <w:t>。</w:t>
      </w:r>
    </w:p>
    <w:p w14:paraId="57D2DFAF">
      <w:pPr>
        <w:spacing w:before="69" w:line="360" w:lineRule="auto"/>
        <w:ind w:firstLine="418" w:firstLineChars="207"/>
        <w:rPr>
          <w:rFonts w:ascii="Times New Roman" w:hAnsi="Times New Roman" w:eastAsiaTheme="minorEastAsia"/>
          <w:color w:val="auto"/>
          <w:spacing w:val="-4"/>
          <w:highlight w:val="none"/>
        </w:rPr>
      </w:pPr>
      <w:r>
        <w:rPr>
          <w:rFonts w:ascii="Times New Roman" w:hAnsi="Times New Roman" w:eastAsia="Times New Roman"/>
          <w:color w:val="auto"/>
          <w:spacing w:val="-4"/>
          <w:highlight w:val="none"/>
        </w:rPr>
        <w:t>3.4.5在提交投标文件截止时间后到招标文件规定的投标有效期终止之前，投标人不得撤销其投标文件，否则招标人可以不退还投标保证金。</w:t>
      </w:r>
    </w:p>
    <w:p w14:paraId="328568C9">
      <w:pPr>
        <w:spacing w:before="1" w:line="351" w:lineRule="auto"/>
        <w:ind w:left="4" w:right="2" w:firstLine="355"/>
        <w:rPr>
          <w:rFonts w:ascii="宋体" w:hAnsi="宋体" w:eastAsia="宋体" w:cs="宋体"/>
          <w:b/>
          <w:bCs/>
          <w:color w:val="auto"/>
          <w:highlight w:val="none"/>
        </w:rPr>
      </w:pPr>
      <w:r>
        <w:rPr>
          <w:rFonts w:hint="eastAsia" w:ascii="宋体" w:hAnsi="宋体" w:eastAsia="宋体" w:cs="宋体"/>
          <w:b/>
          <w:bCs/>
          <w:color w:val="auto"/>
          <w:sz w:val="24"/>
          <w:szCs w:val="24"/>
          <w:highlight w:val="none"/>
        </w:rPr>
        <w:t>现文：</w:t>
      </w:r>
      <w:r>
        <w:rPr>
          <w:rFonts w:ascii="Times New Roman" w:hAnsi="Times New Roman" w:eastAsia="Times New Roman"/>
          <w:color w:val="auto"/>
          <w:spacing w:val="6"/>
          <w:highlight w:val="none"/>
        </w:rPr>
        <w:t xml:space="preserve">3.4  </w:t>
      </w:r>
      <w:r>
        <w:rPr>
          <w:rFonts w:hint="eastAsia" w:ascii="宋体" w:hAnsi="宋体" w:eastAsia="宋体" w:cs="宋体"/>
          <w:color w:val="auto"/>
          <w:spacing w:val="6"/>
          <w:highlight w:val="none"/>
        </w:rPr>
        <w:t>投标保证金</w:t>
      </w:r>
    </w:p>
    <w:p w14:paraId="298C563F">
      <w:pPr>
        <w:spacing w:before="1" w:line="351" w:lineRule="auto"/>
        <w:ind w:left="4" w:right="2" w:firstLine="355"/>
        <w:rPr>
          <w:rFonts w:ascii="宋体" w:hAnsi="宋体"/>
          <w:color w:val="auto"/>
          <w:highlight w:val="none"/>
          <w:u w:val="single"/>
        </w:rPr>
      </w:pPr>
      <w:r>
        <w:rPr>
          <w:rFonts w:hint="eastAsia" w:ascii="宋体" w:hAnsi="宋体" w:eastAsia="宋体" w:cs="宋体"/>
          <w:color w:val="auto"/>
          <w:highlight w:val="none"/>
          <w:u w:val="single"/>
        </w:rPr>
        <w:t>本项目无需投标保证金。</w:t>
      </w:r>
    </w:p>
    <w:p w14:paraId="7E48232E">
      <w:pPr>
        <w:pStyle w:val="45"/>
        <w:rPr>
          <w:color w:val="auto"/>
          <w:highlight w:val="none"/>
        </w:rPr>
      </w:pPr>
    </w:p>
    <w:p w14:paraId="2BB28A0F">
      <w:pPr>
        <w:spacing w:line="480" w:lineRule="auto"/>
        <w:ind w:firstLine="540" w:firstLineChars="224"/>
        <w:rPr>
          <w:rFonts w:ascii="宋体" w:hAnsi="宋体" w:eastAsia="宋体"/>
          <w:b/>
          <w:bCs/>
          <w:color w:val="auto"/>
          <w:sz w:val="24"/>
          <w:szCs w:val="24"/>
          <w:highlight w:val="none"/>
        </w:rPr>
      </w:pPr>
      <w:r>
        <w:rPr>
          <w:rFonts w:ascii="宋体" w:hAnsi="宋体" w:eastAsia="宋体"/>
          <w:b/>
          <w:bCs/>
          <w:color w:val="auto"/>
          <w:sz w:val="24"/>
          <w:szCs w:val="24"/>
          <w:highlight w:val="none"/>
        </w:rPr>
        <w:t>条款号</w:t>
      </w:r>
      <w:r>
        <w:rPr>
          <w:rFonts w:ascii="宋体" w:hAnsi="宋体" w:eastAsia="宋体"/>
          <w:color w:val="auto"/>
          <w:sz w:val="24"/>
          <w:szCs w:val="24"/>
          <w:highlight w:val="none"/>
        </w:rPr>
        <w:t>：3.</w:t>
      </w:r>
      <w:r>
        <w:rPr>
          <w:rFonts w:hint="eastAsia" w:ascii="宋体" w:hAnsi="宋体" w:eastAsia="宋体"/>
          <w:color w:val="auto"/>
          <w:sz w:val="24"/>
          <w:szCs w:val="24"/>
          <w:highlight w:val="none"/>
        </w:rPr>
        <w:t>5.3</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 xml:space="preserve">                      </w:t>
      </w:r>
      <w:r>
        <w:rPr>
          <w:rFonts w:ascii="宋体" w:hAnsi="宋体" w:eastAsia="宋体"/>
          <w:color w:val="auto"/>
          <w:sz w:val="24"/>
          <w:szCs w:val="24"/>
          <w:highlight w:val="none"/>
        </w:rPr>
        <w:t xml:space="preserve">    </w:t>
      </w:r>
      <w:r>
        <w:rPr>
          <w:rFonts w:ascii="宋体" w:hAnsi="宋体" w:eastAsia="宋体"/>
          <w:b/>
          <w:bCs/>
          <w:color w:val="auto"/>
          <w:sz w:val="24"/>
          <w:szCs w:val="24"/>
          <w:highlight w:val="none"/>
        </w:rPr>
        <w:t xml:space="preserve"> 修改类型：</w:t>
      </w:r>
      <w:r>
        <w:rPr>
          <w:rFonts w:hint="eastAsia" w:ascii="宋体" w:hAnsi="宋体" w:eastAsia="宋体"/>
          <w:b/>
          <w:bCs/>
          <w:color w:val="auto"/>
          <w:sz w:val="24"/>
          <w:szCs w:val="24"/>
          <w:highlight w:val="none"/>
        </w:rPr>
        <w:t>修改</w:t>
      </w:r>
    </w:p>
    <w:p w14:paraId="75A966C4">
      <w:pPr>
        <w:pStyle w:val="45"/>
        <w:ind w:firstLine="482" w:firstLineChars="200"/>
        <w:rPr>
          <w:rFonts w:ascii="宋体" w:hAnsi="宋体" w:eastAsia="宋体"/>
          <w:color w:val="auto"/>
          <w:sz w:val="24"/>
          <w:szCs w:val="24"/>
          <w:highlight w:val="none"/>
        </w:rPr>
      </w:pPr>
      <w:r>
        <w:rPr>
          <w:rFonts w:ascii="宋体" w:hAnsi="宋体" w:eastAsia="宋体"/>
          <w:b/>
          <w:bCs/>
          <w:color w:val="auto"/>
          <w:sz w:val="24"/>
          <w:szCs w:val="24"/>
          <w:highlight w:val="none"/>
        </w:rPr>
        <w:t>原文</w:t>
      </w:r>
      <w:r>
        <w:rPr>
          <w:rFonts w:ascii="宋体" w:hAnsi="宋体" w:eastAsia="宋体"/>
          <w:color w:val="auto"/>
          <w:sz w:val="24"/>
          <w:szCs w:val="24"/>
          <w:highlight w:val="none"/>
        </w:rPr>
        <w:t>：</w:t>
      </w:r>
      <w:r>
        <w:rPr>
          <w:rFonts w:ascii="宋体" w:hAnsi="宋体" w:eastAsia="宋体"/>
          <w:color w:val="auto"/>
          <w:sz w:val="21"/>
          <w:szCs w:val="21"/>
          <w:highlight w:val="none"/>
        </w:rPr>
        <w:t>3.5.3“拟委任的主要人员汇总表”应填报满足本章第 1.4.1 项规定的项目负责人和其他主要 人员的相关信息。“主要人员简历表”中项目负责人应附身份证、学历证、职称证、执业资格证书和社保缴费证明，管理过的项目业绩须附合同协议书（若有）；其他主要人员应附身份证、学历证、职称证、有关证书和社保缴费证明（若有）。（注：以上人员社保要求：具有离投标截止时间最近的至少1个月在本单位缴纳的社保证明文件。）</w:t>
      </w:r>
    </w:p>
    <w:p w14:paraId="5D5FF79E">
      <w:pPr>
        <w:spacing w:before="1" w:line="351" w:lineRule="auto"/>
        <w:ind w:left="4" w:right="2" w:firstLine="355"/>
        <w:rPr>
          <w:rFonts w:ascii="宋体" w:hAnsi="宋体"/>
          <w:b/>
          <w:bCs/>
          <w:color w:val="auto"/>
          <w:sz w:val="24"/>
          <w:szCs w:val="24"/>
          <w:highlight w:val="none"/>
        </w:rPr>
      </w:pPr>
      <w:r>
        <w:rPr>
          <w:rFonts w:hint="eastAsia" w:ascii="宋体" w:hAnsi="宋体"/>
          <w:b/>
          <w:bCs/>
          <w:color w:val="auto"/>
          <w:sz w:val="24"/>
          <w:szCs w:val="24"/>
          <w:highlight w:val="none"/>
        </w:rPr>
        <w:t>现文</w:t>
      </w:r>
      <w:r>
        <w:rPr>
          <w:rFonts w:hint="eastAsia" w:ascii="宋体" w:hAnsi="宋体"/>
          <w:color w:val="auto"/>
          <w:sz w:val="24"/>
          <w:szCs w:val="24"/>
          <w:highlight w:val="none"/>
        </w:rPr>
        <w:t>：</w:t>
      </w:r>
      <w:r>
        <w:rPr>
          <w:rFonts w:hint="eastAsia" w:ascii="宋体" w:hAnsi="宋体"/>
          <w:color w:val="auto"/>
          <w:highlight w:val="none"/>
        </w:rPr>
        <w:t>3.5.3“拟委任的主要人员汇总表”应填报满足本章第 1.4.1 项规定的项目负责人和其他主要 人员的相关信息。“主要人员简历表”中项目负责人应附身份证、学历证、职称证、执业资格证书（若有）和社保缴费证明</w:t>
      </w:r>
      <w:r>
        <w:rPr>
          <w:rFonts w:hint="eastAsia" w:ascii="宋体" w:hAnsi="宋体"/>
          <w:strike/>
          <w:color w:val="auto"/>
          <w:highlight w:val="none"/>
        </w:rPr>
        <w:t>，管理过的项目业绩须附合同协议书（若有）；其他主要人员应附身份证、学历证、职称证、有关证书和社保缴费证明</w:t>
      </w:r>
      <w:r>
        <w:rPr>
          <w:rFonts w:hint="eastAsia" w:ascii="宋体" w:hAnsi="宋体" w:eastAsia="宋体"/>
          <w:strike/>
          <w:color w:val="auto"/>
          <w:highlight w:val="none"/>
        </w:rPr>
        <w:t>(</w:t>
      </w:r>
      <w:r>
        <w:rPr>
          <w:rFonts w:hint="eastAsia" w:ascii="宋体" w:hAnsi="宋体"/>
          <w:strike/>
          <w:color w:val="auto"/>
          <w:highlight w:val="none"/>
        </w:rPr>
        <w:t>若有</w:t>
      </w:r>
      <w:r>
        <w:rPr>
          <w:rFonts w:hint="eastAsia" w:ascii="宋体" w:hAnsi="宋体" w:eastAsia="宋体"/>
          <w:strike/>
          <w:color w:val="auto"/>
          <w:highlight w:val="none"/>
        </w:rPr>
        <w:t>)</w:t>
      </w:r>
      <w:r>
        <w:rPr>
          <w:rFonts w:hint="eastAsia" w:ascii="宋体" w:hAnsi="宋体"/>
          <w:color w:val="auto"/>
          <w:highlight w:val="none"/>
        </w:rPr>
        <w:t>。</w:t>
      </w:r>
      <w:r>
        <w:rPr>
          <w:rFonts w:ascii="宋体" w:hAnsi="宋体" w:eastAsia="宋体"/>
          <w:color w:val="auto"/>
          <w:spacing w:val="-5"/>
          <w:highlight w:val="none"/>
        </w:rPr>
        <w:t>（注：须提供相关职称证和投标人为其缴纳在本投标单位连续购买的近三个月（从投标截止日期当月的前一个月算起）有效的社保证明材料。）</w:t>
      </w:r>
    </w:p>
    <w:p w14:paraId="31F03881">
      <w:pPr>
        <w:pStyle w:val="45"/>
        <w:rPr>
          <w:rFonts w:ascii="宋体" w:hAnsi="宋体" w:eastAsia="宋体"/>
          <w:b/>
          <w:bCs/>
          <w:color w:val="auto"/>
          <w:sz w:val="24"/>
          <w:szCs w:val="24"/>
          <w:highlight w:val="none"/>
        </w:rPr>
      </w:pPr>
      <w:r>
        <w:rPr>
          <w:rFonts w:ascii="宋体" w:hAnsi="宋体" w:eastAsia="宋体"/>
          <w:b/>
          <w:bCs/>
          <w:color w:val="auto"/>
          <w:sz w:val="24"/>
          <w:szCs w:val="24"/>
          <w:highlight w:val="none"/>
        </w:rPr>
        <w:t>条款号</w:t>
      </w:r>
      <w:r>
        <w:rPr>
          <w:rFonts w:ascii="宋体" w:hAnsi="宋体" w:eastAsia="宋体"/>
          <w:color w:val="auto"/>
          <w:sz w:val="24"/>
          <w:szCs w:val="24"/>
          <w:highlight w:val="none"/>
        </w:rPr>
        <w:t>：</w:t>
      </w:r>
      <w:r>
        <w:rPr>
          <w:rFonts w:hint="eastAsia" w:ascii="宋体" w:hAnsi="宋体" w:eastAsia="宋体"/>
          <w:color w:val="auto"/>
          <w:sz w:val="24"/>
          <w:szCs w:val="24"/>
          <w:highlight w:val="none"/>
        </w:rPr>
        <w:t>3.6</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 xml:space="preserve">                      </w:t>
      </w:r>
      <w:r>
        <w:rPr>
          <w:rFonts w:ascii="宋体" w:hAnsi="宋体" w:eastAsia="宋体"/>
          <w:color w:val="auto"/>
          <w:sz w:val="24"/>
          <w:szCs w:val="24"/>
          <w:highlight w:val="none"/>
        </w:rPr>
        <w:t xml:space="preserve">    </w:t>
      </w:r>
      <w:r>
        <w:rPr>
          <w:rFonts w:ascii="宋体" w:hAnsi="宋体" w:eastAsia="宋体"/>
          <w:b/>
          <w:bCs/>
          <w:color w:val="auto"/>
          <w:sz w:val="24"/>
          <w:szCs w:val="24"/>
          <w:highlight w:val="none"/>
        </w:rPr>
        <w:t xml:space="preserve"> </w:t>
      </w:r>
      <w:r>
        <w:rPr>
          <w:rFonts w:hint="eastAsia" w:ascii="宋体" w:hAnsi="宋体" w:eastAsia="宋体"/>
          <w:b/>
          <w:bCs/>
          <w:color w:val="auto"/>
          <w:sz w:val="24"/>
          <w:szCs w:val="24"/>
          <w:highlight w:val="none"/>
        </w:rPr>
        <w:t xml:space="preserve">  </w:t>
      </w:r>
      <w:r>
        <w:rPr>
          <w:rFonts w:ascii="宋体" w:hAnsi="宋体" w:eastAsia="宋体"/>
          <w:b/>
          <w:bCs/>
          <w:color w:val="auto"/>
          <w:sz w:val="24"/>
          <w:szCs w:val="24"/>
          <w:highlight w:val="none"/>
        </w:rPr>
        <w:t>修改类型：</w:t>
      </w:r>
      <w:r>
        <w:rPr>
          <w:rFonts w:hint="eastAsia" w:ascii="宋体" w:hAnsi="宋体" w:eastAsia="宋体"/>
          <w:b/>
          <w:bCs/>
          <w:color w:val="auto"/>
          <w:sz w:val="24"/>
          <w:szCs w:val="24"/>
          <w:highlight w:val="none"/>
        </w:rPr>
        <w:t>修改</w:t>
      </w:r>
    </w:p>
    <w:p w14:paraId="14C67109">
      <w:pPr>
        <w:spacing w:before="1" w:line="351" w:lineRule="auto"/>
        <w:ind w:left="4" w:right="2" w:firstLine="355"/>
        <w:rPr>
          <w:rFonts w:ascii="宋体" w:hAnsi="宋体"/>
          <w:color w:val="auto"/>
          <w:highlight w:val="none"/>
        </w:rPr>
      </w:pPr>
      <w:r>
        <w:rPr>
          <w:rFonts w:hint="eastAsia" w:ascii="宋体" w:hAnsi="宋体" w:eastAsia="宋体" w:cs="宋体"/>
          <w:b/>
          <w:bCs/>
          <w:color w:val="auto"/>
          <w:sz w:val="24"/>
          <w:szCs w:val="24"/>
          <w:highlight w:val="none"/>
        </w:rPr>
        <w:t>原文：</w:t>
      </w:r>
      <w:r>
        <w:rPr>
          <w:rFonts w:ascii="宋体" w:hAnsi="宋体"/>
          <w:color w:val="auto"/>
          <w:highlight w:val="none"/>
        </w:rPr>
        <w:t xml:space="preserve">3.6.1  </w:t>
      </w:r>
      <w:r>
        <w:rPr>
          <w:rFonts w:hint="eastAsia" w:ascii="宋体" w:hAnsi="宋体" w:eastAsia="宋体" w:cs="宋体"/>
          <w:color w:val="auto"/>
          <w:highlight w:val="none"/>
        </w:rPr>
        <w:t>除投标人须知前附表规定允许外，投标人不得递交备选投标方案，否则其投标将被否决。</w:t>
      </w:r>
    </w:p>
    <w:p w14:paraId="06236A67">
      <w:pPr>
        <w:spacing w:before="1" w:line="351" w:lineRule="auto"/>
        <w:ind w:left="4" w:right="2" w:firstLine="355"/>
        <w:rPr>
          <w:rFonts w:ascii="宋体" w:hAnsi="宋体"/>
          <w:color w:val="auto"/>
          <w:highlight w:val="none"/>
        </w:rPr>
      </w:pPr>
      <w:r>
        <w:rPr>
          <w:rFonts w:ascii="宋体" w:hAnsi="宋体"/>
          <w:color w:val="auto"/>
          <w:highlight w:val="none"/>
        </w:rPr>
        <w:t xml:space="preserve">3.6.2  </w:t>
      </w:r>
      <w:r>
        <w:rPr>
          <w:rFonts w:hint="eastAsia" w:ascii="宋体" w:hAnsi="宋体" w:eastAsia="宋体" w:cs="宋体"/>
          <w:color w:val="auto"/>
          <w:highlight w:val="none"/>
        </w:rPr>
        <w:t>允许投标人递交备选投标方案的，只有中标人所递交的备选投标方案方可予以考虑。评标委员会认为中标人的备选投标方案优于其按照招标文件要求编制的投标方案的，招标人可</w:t>
      </w:r>
      <w:r>
        <w:rPr>
          <w:rFonts w:ascii="宋体" w:hAnsi="宋体"/>
          <w:color w:val="auto"/>
          <w:highlight w:val="none"/>
        </w:rPr>
        <w:t xml:space="preserve"> </w:t>
      </w:r>
      <w:r>
        <w:rPr>
          <w:rFonts w:hint="eastAsia" w:ascii="宋体" w:hAnsi="宋体" w:eastAsia="宋体" w:cs="宋体"/>
          <w:color w:val="auto"/>
          <w:highlight w:val="none"/>
        </w:rPr>
        <w:t>以接受该备选投标方案。</w:t>
      </w:r>
    </w:p>
    <w:p w14:paraId="2178FD94">
      <w:pPr>
        <w:spacing w:before="1" w:line="351" w:lineRule="auto"/>
        <w:ind w:left="4" w:right="2" w:firstLine="355"/>
        <w:rPr>
          <w:rFonts w:ascii="宋体" w:hAnsi="宋体" w:eastAsia="宋体" w:cs="宋体"/>
          <w:color w:val="auto"/>
          <w:highlight w:val="none"/>
        </w:rPr>
      </w:pPr>
      <w:r>
        <w:rPr>
          <w:rFonts w:ascii="宋体" w:hAnsi="宋体"/>
          <w:color w:val="auto"/>
          <w:highlight w:val="none"/>
        </w:rPr>
        <w:t xml:space="preserve">3.6.3  </w:t>
      </w:r>
      <w:r>
        <w:rPr>
          <w:rFonts w:hint="eastAsia" w:ascii="宋体" w:hAnsi="宋体" w:eastAsia="宋体" w:cs="宋体"/>
          <w:color w:val="auto"/>
          <w:highlight w:val="none"/>
        </w:rPr>
        <w:t>投标人提供两个或两个以上投标报价，或者在投标文件中提供一个报价，但同时提供</w:t>
      </w:r>
      <w:r>
        <w:rPr>
          <w:rFonts w:ascii="宋体" w:hAnsi="宋体"/>
          <w:color w:val="auto"/>
          <w:highlight w:val="none"/>
        </w:rPr>
        <w:t xml:space="preserve"> </w:t>
      </w:r>
      <w:r>
        <w:rPr>
          <w:rFonts w:hint="eastAsia" w:ascii="宋体" w:hAnsi="宋体" w:eastAsia="宋体" w:cs="宋体"/>
          <w:color w:val="auto"/>
          <w:highlight w:val="none"/>
        </w:rPr>
        <w:t>两个或两个以上勘察设计方案的，视为提供备选方案。</w:t>
      </w:r>
    </w:p>
    <w:p w14:paraId="2FBC1EE3">
      <w:pPr>
        <w:spacing w:before="1" w:line="351" w:lineRule="auto"/>
        <w:ind w:left="4" w:right="2" w:firstLine="355"/>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现文：</w:t>
      </w:r>
    </w:p>
    <w:p w14:paraId="2F07FDA6">
      <w:pPr>
        <w:spacing w:before="1" w:line="351" w:lineRule="auto"/>
        <w:ind w:left="4" w:right="2" w:firstLine="355"/>
        <w:rPr>
          <w:rFonts w:ascii="宋体" w:hAnsi="宋体" w:eastAsia="宋体" w:cs="宋体"/>
          <w:color w:val="auto"/>
          <w:highlight w:val="none"/>
        </w:rPr>
      </w:pPr>
      <w:r>
        <w:rPr>
          <w:rFonts w:ascii="宋体" w:hAnsi="宋体" w:eastAsia="宋体" w:cs="宋体"/>
          <w:color w:val="auto"/>
          <w:highlight w:val="none"/>
        </w:rPr>
        <w:t xml:space="preserve">3.6.1  </w:t>
      </w:r>
      <w:r>
        <w:rPr>
          <w:rFonts w:hint="eastAsia" w:ascii="宋体" w:hAnsi="宋体" w:eastAsia="宋体" w:cs="宋体"/>
          <w:color w:val="auto"/>
          <w:highlight w:val="none"/>
        </w:rPr>
        <w:t>除投标人须知前附表规定允许外，投标人不得递交备选投标方案，否则其投标将被否决。</w:t>
      </w:r>
    </w:p>
    <w:p w14:paraId="05DB7114">
      <w:pPr>
        <w:spacing w:before="1" w:line="351" w:lineRule="auto"/>
        <w:ind w:left="4" w:right="2" w:firstLine="355"/>
        <w:rPr>
          <w:rFonts w:ascii="宋体" w:hAnsi="宋体" w:eastAsia="宋体" w:cs="宋体"/>
          <w:strike/>
          <w:color w:val="auto"/>
          <w:highlight w:val="none"/>
        </w:rPr>
      </w:pPr>
      <w:r>
        <w:rPr>
          <w:rFonts w:ascii="宋体" w:hAnsi="宋体" w:eastAsia="宋体" w:cs="宋体"/>
          <w:strike/>
          <w:color w:val="auto"/>
          <w:highlight w:val="none"/>
        </w:rPr>
        <w:t xml:space="preserve">3.6.2  </w:t>
      </w:r>
      <w:r>
        <w:rPr>
          <w:rFonts w:hint="eastAsia" w:ascii="宋体" w:hAnsi="宋体" w:eastAsia="宋体" w:cs="宋体"/>
          <w:strike/>
          <w:color w:val="auto"/>
          <w:highlight w:val="none"/>
        </w:rPr>
        <w:t>允许投标人递交备选投标方案的，只有中标人所递交的备选投标方案方可予以考虑。评标委员会认为中标人的备选投标方案优于其按照招标文件要求编制的投标方案的，招标人可</w:t>
      </w:r>
      <w:r>
        <w:rPr>
          <w:rFonts w:ascii="宋体" w:hAnsi="宋体" w:eastAsia="宋体" w:cs="宋体"/>
          <w:strike/>
          <w:color w:val="auto"/>
          <w:highlight w:val="none"/>
        </w:rPr>
        <w:t xml:space="preserve"> </w:t>
      </w:r>
      <w:r>
        <w:rPr>
          <w:rFonts w:hint="eastAsia" w:ascii="宋体" w:hAnsi="宋体" w:eastAsia="宋体" w:cs="宋体"/>
          <w:strike/>
          <w:color w:val="auto"/>
          <w:highlight w:val="none"/>
        </w:rPr>
        <w:t>以接受该备选投标方案。</w:t>
      </w:r>
    </w:p>
    <w:p w14:paraId="7D2378A0">
      <w:pPr>
        <w:spacing w:before="1" w:line="351" w:lineRule="auto"/>
        <w:ind w:left="4" w:right="2" w:firstLine="355"/>
        <w:rPr>
          <w:rFonts w:ascii="宋体" w:hAnsi="宋体" w:eastAsia="宋体" w:cs="宋体"/>
          <w:strike/>
          <w:color w:val="auto"/>
          <w:highlight w:val="none"/>
        </w:rPr>
      </w:pPr>
      <w:r>
        <w:rPr>
          <w:rFonts w:ascii="宋体" w:hAnsi="宋体" w:eastAsia="宋体" w:cs="宋体"/>
          <w:strike/>
          <w:color w:val="auto"/>
          <w:highlight w:val="none"/>
        </w:rPr>
        <w:t xml:space="preserve">3.6.3  </w:t>
      </w:r>
      <w:r>
        <w:rPr>
          <w:rFonts w:hint="eastAsia" w:ascii="宋体" w:hAnsi="宋体" w:eastAsia="宋体" w:cs="宋体"/>
          <w:strike/>
          <w:color w:val="auto"/>
          <w:highlight w:val="none"/>
        </w:rPr>
        <w:t>投标人提供两个或两个以上投标报价，或者在投标文件中提供一个报价，但同时提供</w:t>
      </w:r>
      <w:r>
        <w:rPr>
          <w:rFonts w:ascii="宋体" w:hAnsi="宋体" w:eastAsia="宋体" w:cs="宋体"/>
          <w:strike/>
          <w:color w:val="auto"/>
          <w:highlight w:val="none"/>
        </w:rPr>
        <w:t xml:space="preserve"> </w:t>
      </w:r>
      <w:r>
        <w:rPr>
          <w:rFonts w:hint="eastAsia" w:ascii="宋体" w:hAnsi="宋体" w:eastAsia="宋体" w:cs="宋体"/>
          <w:strike/>
          <w:color w:val="auto"/>
          <w:highlight w:val="none"/>
        </w:rPr>
        <w:t>两个或两个以上勘察设计方案的，视为提供备选方案。</w:t>
      </w:r>
    </w:p>
    <w:p w14:paraId="1F998BB9">
      <w:pPr>
        <w:spacing w:before="1" w:line="351" w:lineRule="auto"/>
        <w:ind w:left="4" w:right="2" w:firstLine="355"/>
        <w:rPr>
          <w:rFonts w:ascii="宋体" w:hAnsi="宋体" w:eastAsia="宋体" w:cs="宋体"/>
          <w:strike/>
          <w:color w:val="auto"/>
          <w:highlight w:val="none"/>
        </w:rPr>
      </w:pPr>
    </w:p>
    <w:p w14:paraId="5A5A5335">
      <w:pPr>
        <w:pStyle w:val="45"/>
        <w:rPr>
          <w:rFonts w:ascii="宋体" w:hAnsi="宋体" w:eastAsia="宋体"/>
          <w:b/>
          <w:bCs/>
          <w:color w:val="auto"/>
          <w:sz w:val="24"/>
          <w:szCs w:val="24"/>
          <w:highlight w:val="none"/>
        </w:rPr>
      </w:pPr>
      <w:r>
        <w:rPr>
          <w:rFonts w:ascii="宋体" w:hAnsi="宋体" w:eastAsia="宋体"/>
          <w:b/>
          <w:bCs/>
          <w:color w:val="auto"/>
          <w:sz w:val="24"/>
          <w:szCs w:val="24"/>
          <w:highlight w:val="none"/>
        </w:rPr>
        <w:t>条款号</w:t>
      </w:r>
      <w:r>
        <w:rPr>
          <w:rFonts w:ascii="宋体" w:hAnsi="宋体" w:eastAsia="宋体"/>
          <w:color w:val="auto"/>
          <w:sz w:val="24"/>
          <w:szCs w:val="24"/>
          <w:highlight w:val="none"/>
        </w:rPr>
        <w:t>：</w:t>
      </w:r>
      <w:r>
        <w:rPr>
          <w:rFonts w:hint="eastAsia" w:ascii="宋体" w:hAnsi="宋体" w:eastAsia="宋体"/>
          <w:color w:val="auto"/>
          <w:sz w:val="24"/>
          <w:szCs w:val="24"/>
          <w:highlight w:val="none"/>
        </w:rPr>
        <w:t>5.2.1</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 xml:space="preserve">                      </w:t>
      </w:r>
      <w:r>
        <w:rPr>
          <w:rFonts w:ascii="宋体" w:hAnsi="宋体" w:eastAsia="宋体"/>
          <w:color w:val="auto"/>
          <w:sz w:val="24"/>
          <w:szCs w:val="24"/>
          <w:highlight w:val="none"/>
        </w:rPr>
        <w:t xml:space="preserve">    </w:t>
      </w:r>
      <w:r>
        <w:rPr>
          <w:rFonts w:ascii="宋体" w:hAnsi="宋体" w:eastAsia="宋体"/>
          <w:b/>
          <w:bCs/>
          <w:color w:val="auto"/>
          <w:sz w:val="24"/>
          <w:szCs w:val="24"/>
          <w:highlight w:val="none"/>
        </w:rPr>
        <w:t xml:space="preserve"> 修改类型：</w:t>
      </w:r>
      <w:r>
        <w:rPr>
          <w:rFonts w:hint="eastAsia" w:ascii="宋体" w:hAnsi="宋体" w:eastAsia="宋体"/>
          <w:b/>
          <w:bCs/>
          <w:color w:val="auto"/>
          <w:sz w:val="24"/>
          <w:szCs w:val="24"/>
          <w:highlight w:val="none"/>
        </w:rPr>
        <w:t>修改</w:t>
      </w:r>
    </w:p>
    <w:p w14:paraId="6B7F4993">
      <w:pPr>
        <w:pStyle w:val="46"/>
        <w:ind w:left="0" w:leftChars="0" w:firstLine="422"/>
        <w:rPr>
          <w:b/>
          <w:bCs/>
          <w:color w:val="auto"/>
          <w:highlight w:val="none"/>
        </w:rPr>
      </w:pPr>
      <w:r>
        <w:rPr>
          <w:rFonts w:hint="eastAsia"/>
          <w:b/>
          <w:bCs/>
          <w:color w:val="auto"/>
          <w:highlight w:val="none"/>
        </w:rPr>
        <w:t>原文：</w:t>
      </w:r>
      <w:r>
        <w:rPr>
          <w:rFonts w:hint="eastAsia" w:ascii="Times New Roman" w:hAnsi="Times New Roman" w:eastAsia="Times New Roman"/>
          <w:color w:val="auto"/>
          <w:szCs w:val="21"/>
          <w:highlight w:val="none"/>
        </w:rPr>
        <w:t>5.2.1</w:t>
      </w:r>
    </w:p>
    <w:p w14:paraId="124FC215">
      <w:pPr>
        <w:spacing w:before="1" w:line="351" w:lineRule="auto"/>
        <w:ind w:left="4" w:right="2" w:firstLine="355"/>
        <w:rPr>
          <w:rFonts w:ascii="Times New Roman" w:hAnsi="Times New Roman" w:eastAsia="Times New Roman"/>
          <w:color w:val="auto"/>
          <w:highlight w:val="none"/>
        </w:rPr>
      </w:pPr>
      <w:r>
        <w:rPr>
          <w:rFonts w:hint="eastAsia" w:ascii="Times New Roman" w:hAnsi="Times New Roman" w:eastAsia="Times New Roman"/>
          <w:color w:val="auto"/>
          <w:highlight w:val="none"/>
        </w:rPr>
        <w:t xml:space="preserve">   </w:t>
      </w:r>
      <w:r>
        <w:rPr>
          <w:rFonts w:hint="eastAsia" w:ascii="宋体" w:hAnsi="宋体"/>
          <w:color w:val="auto"/>
          <w:highlight w:val="none"/>
        </w:rPr>
        <w:t>在投标截止时间后</w:t>
      </w:r>
      <w:r>
        <w:rPr>
          <w:rFonts w:hint="eastAsia" w:ascii="宋体" w:hAnsi="宋体"/>
          <w:color w:val="auto"/>
          <w:highlight w:val="none"/>
          <w:u w:val="single"/>
        </w:rPr>
        <w:t>半小时</w:t>
      </w:r>
      <w:r>
        <w:rPr>
          <w:rFonts w:hint="eastAsia" w:ascii="宋体" w:hAnsi="宋体"/>
          <w:color w:val="auto"/>
          <w:highlight w:val="none"/>
        </w:rPr>
        <w:t>内，投标人通过递交投标文件的交易平台对已递交的电子投标文件进行解密。投标人完成解密后，再由招标人进行解密。解密完成后，公布招标项目名称、投标人名称、投标保证金的递交情况、投标报价、项目负责人及其他内容。未在规定时间内解密的投标文件不参与开标、评标。</w:t>
      </w:r>
    </w:p>
    <w:p w14:paraId="4C22170D">
      <w:pPr>
        <w:spacing w:before="2" w:line="351" w:lineRule="auto"/>
        <w:ind w:left="18" w:right="60" w:firstLine="397"/>
        <w:rPr>
          <w:b/>
          <w:bCs/>
          <w:color w:val="auto"/>
          <w:highlight w:val="none"/>
        </w:rPr>
      </w:pPr>
      <w:r>
        <w:rPr>
          <w:rFonts w:hint="eastAsia"/>
          <w:b/>
          <w:bCs/>
          <w:color w:val="auto"/>
          <w:highlight w:val="none"/>
        </w:rPr>
        <w:t>现文：</w:t>
      </w:r>
      <w:r>
        <w:rPr>
          <w:rFonts w:hint="eastAsia" w:ascii="Times New Roman" w:hAnsi="Times New Roman" w:eastAsia="Times New Roman"/>
          <w:color w:val="auto"/>
          <w:highlight w:val="none"/>
        </w:rPr>
        <w:t xml:space="preserve">5.2.1   </w:t>
      </w:r>
      <w:r>
        <w:rPr>
          <w:rFonts w:hint="eastAsia" w:ascii="宋体" w:hAnsi="宋体"/>
          <w:color w:val="auto"/>
          <w:highlight w:val="none"/>
        </w:rPr>
        <w:t>在投标截止时间后</w:t>
      </w:r>
      <w:r>
        <w:rPr>
          <w:rFonts w:hint="eastAsia" w:ascii="宋体" w:hAnsi="宋体"/>
          <w:color w:val="auto"/>
          <w:highlight w:val="none"/>
          <w:u w:val="single"/>
        </w:rPr>
        <w:t>半小时</w:t>
      </w:r>
      <w:r>
        <w:rPr>
          <w:rFonts w:hint="eastAsia" w:ascii="宋体" w:hAnsi="宋体"/>
          <w:color w:val="auto"/>
          <w:highlight w:val="none"/>
        </w:rPr>
        <w:t>内，投标人通过递交投标文件的交易平台对已递交的电子投标文件进行解密。投标人完成解密后，再由招标人进行解密。解密完成后，公布招标项目名称、投标人名称</w:t>
      </w:r>
      <w:r>
        <w:rPr>
          <w:rFonts w:hint="eastAsia" w:ascii="宋体" w:hAnsi="宋体"/>
          <w:strike/>
          <w:color w:val="auto"/>
          <w:highlight w:val="none"/>
        </w:rPr>
        <w:t>、投标保证金</w:t>
      </w:r>
      <w:r>
        <w:rPr>
          <w:rFonts w:hint="eastAsia" w:ascii="宋体" w:hAnsi="宋体"/>
          <w:color w:val="auto"/>
          <w:highlight w:val="none"/>
        </w:rPr>
        <w:t>的递交情况、投标报价、项目负责人及其他内容。未在规定时间内解密的投标文件不参与开标、评标。</w:t>
      </w:r>
    </w:p>
    <w:p w14:paraId="002A5AE6">
      <w:pPr>
        <w:pStyle w:val="45"/>
        <w:rPr>
          <w:color w:val="auto"/>
          <w:highlight w:val="none"/>
        </w:rPr>
      </w:pPr>
    </w:p>
    <w:p w14:paraId="05EF6906">
      <w:pPr>
        <w:pStyle w:val="45"/>
        <w:rPr>
          <w:rFonts w:ascii="宋体" w:hAnsi="宋体" w:eastAsia="宋体"/>
          <w:b/>
          <w:bCs/>
          <w:color w:val="auto"/>
          <w:sz w:val="24"/>
          <w:szCs w:val="24"/>
          <w:highlight w:val="none"/>
        </w:rPr>
      </w:pPr>
      <w:r>
        <w:rPr>
          <w:rFonts w:ascii="宋体" w:hAnsi="宋体" w:eastAsia="宋体"/>
          <w:b/>
          <w:bCs/>
          <w:color w:val="auto"/>
          <w:sz w:val="24"/>
          <w:szCs w:val="24"/>
          <w:highlight w:val="none"/>
        </w:rPr>
        <w:t>条款号</w:t>
      </w:r>
      <w:r>
        <w:rPr>
          <w:rFonts w:ascii="宋体" w:hAnsi="宋体" w:eastAsia="宋体"/>
          <w:color w:val="auto"/>
          <w:sz w:val="24"/>
          <w:szCs w:val="24"/>
          <w:highlight w:val="none"/>
        </w:rPr>
        <w:t>：</w:t>
      </w:r>
      <w:r>
        <w:rPr>
          <w:rFonts w:hint="eastAsia" w:ascii="宋体" w:hAnsi="宋体" w:eastAsia="宋体"/>
          <w:color w:val="auto"/>
          <w:sz w:val="24"/>
          <w:szCs w:val="24"/>
          <w:highlight w:val="none"/>
        </w:rPr>
        <w:t xml:space="preserve">7.7、7.8                      </w:t>
      </w:r>
      <w:r>
        <w:rPr>
          <w:rFonts w:ascii="宋体" w:hAnsi="宋体" w:eastAsia="宋体"/>
          <w:color w:val="auto"/>
          <w:sz w:val="24"/>
          <w:szCs w:val="24"/>
          <w:highlight w:val="none"/>
        </w:rPr>
        <w:t xml:space="preserve">    </w:t>
      </w:r>
      <w:r>
        <w:rPr>
          <w:rFonts w:ascii="宋体" w:hAnsi="宋体" w:eastAsia="宋体"/>
          <w:b/>
          <w:bCs/>
          <w:color w:val="auto"/>
          <w:sz w:val="24"/>
          <w:szCs w:val="24"/>
          <w:highlight w:val="none"/>
        </w:rPr>
        <w:t xml:space="preserve"> 修改类型：</w:t>
      </w:r>
      <w:r>
        <w:rPr>
          <w:rFonts w:hint="eastAsia" w:ascii="宋体" w:hAnsi="宋体" w:eastAsia="宋体"/>
          <w:b/>
          <w:bCs/>
          <w:color w:val="auto"/>
          <w:sz w:val="24"/>
          <w:szCs w:val="24"/>
          <w:highlight w:val="none"/>
        </w:rPr>
        <w:t>修改</w:t>
      </w:r>
    </w:p>
    <w:p w14:paraId="0FB3E005">
      <w:pPr>
        <w:rPr>
          <w:color w:val="auto"/>
          <w:highlight w:val="none"/>
        </w:rPr>
      </w:pPr>
      <w:r>
        <w:rPr>
          <w:rFonts w:hint="eastAsia"/>
          <w:color w:val="auto"/>
          <w:highlight w:val="none"/>
        </w:rPr>
        <w:t xml:space="preserve">      </w:t>
      </w:r>
      <w:r>
        <w:rPr>
          <w:rFonts w:hint="eastAsia"/>
          <w:b/>
          <w:bCs/>
          <w:color w:val="auto"/>
          <w:highlight w:val="none"/>
        </w:rPr>
        <w:t>原文：</w:t>
      </w:r>
      <w:r>
        <w:rPr>
          <w:rFonts w:ascii="宋体" w:hAnsi="宋体" w:eastAsia="宋体"/>
          <w:color w:val="auto"/>
          <w:spacing w:val="-6"/>
          <w:highlight w:val="none"/>
        </w:rPr>
        <w:t>7.7  履约保证金</w:t>
      </w:r>
    </w:p>
    <w:p w14:paraId="03D021D9">
      <w:pPr>
        <w:spacing w:line="314" w:lineRule="auto"/>
        <w:rPr>
          <w:color w:val="auto"/>
          <w:highlight w:val="none"/>
        </w:rPr>
      </w:pPr>
    </w:p>
    <w:p w14:paraId="33E4B6B3">
      <w:pPr>
        <w:spacing w:before="68" w:line="351" w:lineRule="auto"/>
        <w:ind w:left="2" w:right="62" w:firstLine="417"/>
        <w:rPr>
          <w:rFonts w:ascii="Times New Roman" w:hAnsi="Times New Roman" w:eastAsia="Times New Roman"/>
          <w:color w:val="auto"/>
          <w:spacing w:val="-9"/>
          <w:highlight w:val="none"/>
        </w:rPr>
      </w:pPr>
      <w:r>
        <w:rPr>
          <w:rFonts w:ascii="Times New Roman" w:hAnsi="Times New Roman" w:eastAsia="Times New Roman"/>
          <w:color w:val="auto"/>
          <w:spacing w:val="-9"/>
          <w:highlight w:val="none"/>
        </w:rPr>
        <w:t>7</w:t>
      </w:r>
      <w:r>
        <w:rPr>
          <w:rFonts w:ascii="Times New Roman" w:hAnsi="Times New Roman" w:eastAsia="Times New Roman"/>
          <w:color w:val="auto"/>
          <w:spacing w:val="-6"/>
          <w:highlight w:val="none"/>
        </w:rPr>
        <w:t xml:space="preserve">.7.1  </w:t>
      </w:r>
      <w:r>
        <w:rPr>
          <w:rFonts w:hint="eastAsia" w:ascii="Times New Roman" w:hAnsi="Times New Roman" w:eastAsia="宋体"/>
          <w:color w:val="auto"/>
          <w:spacing w:val="-6"/>
          <w:highlight w:val="none"/>
        </w:rPr>
        <w:t xml:space="preserve">   </w:t>
      </w:r>
      <w:r>
        <w:rPr>
          <w:rFonts w:ascii="宋体" w:hAnsi="宋体" w:eastAsia="宋体"/>
          <w:color w:val="auto"/>
          <w:spacing w:val="-6"/>
          <w:highlight w:val="none"/>
        </w:rPr>
        <w:t>在签订合同前</w:t>
      </w:r>
      <w:r>
        <w:rPr>
          <w:rFonts w:hint="eastAsia" w:ascii="宋体" w:hAnsi="宋体" w:eastAsia="宋体"/>
          <w:color w:val="auto"/>
          <w:spacing w:val="-6"/>
          <w:highlight w:val="none"/>
        </w:rPr>
        <w:t>，</w:t>
      </w:r>
      <w:r>
        <w:rPr>
          <w:rFonts w:ascii="宋体" w:hAnsi="宋体" w:eastAsia="宋体"/>
          <w:color w:val="auto"/>
          <w:spacing w:val="-6"/>
          <w:highlight w:val="none"/>
        </w:rPr>
        <w:t>中标人应按投标人须知前附表规定的形式、金额和招标文件第四章</w:t>
      </w:r>
      <w:r>
        <w:rPr>
          <w:rFonts w:hint="eastAsia" w:ascii="Times New Roman" w:hAnsi="Times New Roman" w:eastAsia="宋体"/>
          <w:color w:val="auto"/>
          <w:spacing w:val="-6"/>
          <w:highlight w:val="none"/>
        </w:rPr>
        <w:t>“</w:t>
      </w:r>
      <w:r>
        <w:rPr>
          <w:rFonts w:ascii="宋体" w:hAnsi="宋体" w:eastAsia="宋体"/>
          <w:color w:val="auto"/>
          <w:spacing w:val="-6"/>
          <w:highlight w:val="none"/>
        </w:rPr>
        <w:t>合</w:t>
      </w:r>
      <w:r>
        <w:rPr>
          <w:rFonts w:ascii="宋体" w:hAnsi="宋体" w:eastAsia="宋体"/>
          <w:color w:val="auto"/>
          <w:spacing w:val="6"/>
          <w:highlight w:val="none"/>
        </w:rPr>
        <w:t>同条款及格式</w:t>
      </w:r>
      <w:r>
        <w:rPr>
          <w:rFonts w:hint="eastAsia" w:ascii="Times New Roman" w:hAnsi="Times New Roman" w:eastAsia="宋体"/>
          <w:color w:val="auto"/>
          <w:spacing w:val="-6"/>
          <w:highlight w:val="none"/>
        </w:rPr>
        <w:t>”</w:t>
      </w:r>
      <w:r>
        <w:rPr>
          <w:rFonts w:ascii="宋体" w:hAnsi="宋体" w:eastAsia="宋体"/>
          <w:color w:val="auto"/>
          <w:spacing w:val="6"/>
          <w:highlight w:val="none"/>
        </w:rPr>
        <w:t>规</w:t>
      </w:r>
      <w:r>
        <w:rPr>
          <w:rFonts w:ascii="宋体" w:hAnsi="宋体" w:eastAsia="宋体"/>
          <w:color w:val="auto"/>
          <w:spacing w:val="4"/>
          <w:highlight w:val="none"/>
        </w:rPr>
        <w:t>定</w:t>
      </w:r>
      <w:r>
        <w:rPr>
          <w:rFonts w:ascii="宋体" w:hAnsi="宋体" w:eastAsia="宋体"/>
          <w:color w:val="auto"/>
          <w:spacing w:val="3"/>
          <w:highlight w:val="none"/>
        </w:rPr>
        <w:t>的或者事先经过招标人书面认可的履约保证金格式向招标人提交履约保证</w:t>
      </w:r>
      <w:r>
        <w:rPr>
          <w:rFonts w:ascii="宋体" w:hAnsi="宋体" w:eastAsia="宋体"/>
          <w:color w:val="auto"/>
          <w:spacing w:val="-2"/>
          <w:highlight w:val="none"/>
        </w:rPr>
        <w:t>金。除投标人须知前</w:t>
      </w:r>
      <w:r>
        <w:rPr>
          <w:rFonts w:ascii="宋体" w:hAnsi="宋体" w:eastAsia="宋体"/>
          <w:color w:val="auto"/>
          <w:spacing w:val="-1"/>
          <w:highlight w:val="none"/>
        </w:rPr>
        <w:t xml:space="preserve">附表另有规定外，履约保证金为中标合同金额的 </w:t>
      </w:r>
      <w:r>
        <w:rPr>
          <w:rFonts w:ascii="Times New Roman" w:hAnsi="Times New Roman" w:eastAsia="Times New Roman"/>
          <w:color w:val="auto"/>
          <w:spacing w:val="-1"/>
          <w:highlight w:val="none"/>
        </w:rPr>
        <w:t>10%</w:t>
      </w:r>
      <w:r>
        <w:rPr>
          <w:rFonts w:ascii="宋体" w:hAnsi="宋体" w:eastAsia="宋体"/>
          <w:color w:val="auto"/>
          <w:spacing w:val="-1"/>
          <w:highlight w:val="none"/>
        </w:rPr>
        <w:t>。联合体中标的，其</w:t>
      </w:r>
      <w:r>
        <w:rPr>
          <w:rFonts w:ascii="宋体" w:hAnsi="宋体" w:eastAsia="宋体"/>
          <w:color w:val="auto"/>
          <w:spacing w:val="-2"/>
          <w:highlight w:val="none"/>
        </w:rPr>
        <w:t>履约保证金以联合体各方或</w:t>
      </w:r>
      <w:r>
        <w:rPr>
          <w:rFonts w:ascii="宋体" w:hAnsi="宋体" w:eastAsia="宋体"/>
          <w:color w:val="auto"/>
          <w:spacing w:val="-1"/>
          <w:highlight w:val="none"/>
        </w:rPr>
        <w:t>者联合体中</w:t>
      </w:r>
      <w:r>
        <w:rPr>
          <w:rFonts w:hint="eastAsia" w:ascii="宋体" w:hAnsi="宋体" w:eastAsia="宋体"/>
          <w:color w:val="auto"/>
          <w:spacing w:val="-1"/>
          <w:highlight w:val="none"/>
        </w:rPr>
        <w:t>主办方</w:t>
      </w:r>
      <w:r>
        <w:rPr>
          <w:rFonts w:ascii="宋体" w:hAnsi="宋体" w:eastAsia="宋体"/>
          <w:color w:val="auto"/>
          <w:spacing w:val="-1"/>
          <w:highlight w:val="none"/>
        </w:rPr>
        <w:t>的名义提交。</w:t>
      </w:r>
    </w:p>
    <w:p w14:paraId="5D8EB03B">
      <w:pPr>
        <w:spacing w:before="4" w:line="360" w:lineRule="auto"/>
        <w:ind w:left="4" w:right="76" w:firstLine="416"/>
        <w:rPr>
          <w:rFonts w:ascii="Times New Roman" w:hAnsi="Times New Roman" w:eastAsia="Times New Roman"/>
          <w:color w:val="auto"/>
          <w:spacing w:val="-3"/>
          <w:highlight w:val="none"/>
        </w:rPr>
      </w:pPr>
      <w:r>
        <w:rPr>
          <w:rFonts w:ascii="Times New Roman" w:hAnsi="Times New Roman" w:eastAsia="Times New Roman"/>
          <w:color w:val="auto"/>
          <w:spacing w:val="-3"/>
          <w:highlight w:val="none"/>
        </w:rPr>
        <w:t xml:space="preserve">7.7.2  </w:t>
      </w:r>
      <w:r>
        <w:rPr>
          <w:rFonts w:ascii="宋体" w:hAnsi="宋体" w:eastAsia="宋体"/>
          <w:color w:val="auto"/>
          <w:spacing w:val="-3"/>
          <w:highlight w:val="none"/>
        </w:rPr>
        <w:t xml:space="preserve">中标人不能按本章第 </w:t>
      </w:r>
      <w:r>
        <w:rPr>
          <w:rFonts w:ascii="Times New Roman" w:hAnsi="Times New Roman" w:eastAsia="Times New Roman"/>
          <w:color w:val="auto"/>
          <w:spacing w:val="-3"/>
          <w:highlight w:val="none"/>
        </w:rPr>
        <w:t xml:space="preserve">7.7.1 </w:t>
      </w:r>
      <w:r>
        <w:rPr>
          <w:rFonts w:ascii="宋体" w:hAnsi="宋体" w:eastAsia="宋体"/>
          <w:color w:val="auto"/>
          <w:spacing w:val="-3"/>
          <w:highlight w:val="none"/>
        </w:rPr>
        <w:t>项要求提交履约保证金的，视为放弃中标，其投标</w:t>
      </w:r>
      <w:r>
        <w:rPr>
          <w:rFonts w:ascii="宋体" w:hAnsi="宋体" w:eastAsia="宋体"/>
          <w:color w:val="auto"/>
          <w:highlight w:val="none"/>
        </w:rPr>
        <w:t xml:space="preserve">保证金 </w:t>
      </w:r>
      <w:r>
        <w:rPr>
          <w:rFonts w:ascii="宋体" w:hAnsi="宋体" w:eastAsia="宋体"/>
          <w:color w:val="auto"/>
          <w:spacing w:val="-1"/>
          <w:highlight w:val="none"/>
        </w:rPr>
        <w:t>不予退还，给招标人造成的损失超过投标保证金数额的，中标人还应当对超过部分予以赔偿</w:t>
      </w:r>
      <w:r>
        <w:rPr>
          <w:rFonts w:hint="eastAsia" w:ascii="宋体" w:hAnsi="宋体" w:eastAsia="宋体"/>
          <w:color w:val="auto"/>
          <w:spacing w:val="-1"/>
          <w:highlight w:val="none"/>
        </w:rPr>
        <w:t>。</w:t>
      </w:r>
    </w:p>
    <w:p w14:paraId="05212F82">
      <w:pPr>
        <w:spacing w:before="68" w:line="351" w:lineRule="auto"/>
        <w:ind w:left="2" w:right="62" w:firstLine="417"/>
        <w:rPr>
          <w:rFonts w:ascii="宋体" w:hAnsi="宋体" w:eastAsia="宋体"/>
          <w:color w:val="auto"/>
          <w:spacing w:val="-6"/>
          <w:highlight w:val="none"/>
        </w:rPr>
      </w:pPr>
      <w:r>
        <w:rPr>
          <w:rFonts w:ascii="宋体" w:hAnsi="宋体" w:eastAsia="宋体"/>
          <w:color w:val="auto"/>
          <w:spacing w:val="-6"/>
          <w:highlight w:val="none"/>
        </w:rPr>
        <w:t>7.8  签订合同</w:t>
      </w:r>
    </w:p>
    <w:p w14:paraId="6D7CBE65">
      <w:pPr>
        <w:spacing w:before="69" w:line="352" w:lineRule="auto"/>
        <w:ind w:right="75" w:firstLine="420"/>
        <w:rPr>
          <w:rFonts w:ascii="Times New Roman" w:hAnsi="Times New Roman" w:eastAsia="Times New Roman"/>
          <w:color w:val="auto"/>
          <w:spacing w:val="-1"/>
          <w:highlight w:val="none"/>
        </w:rPr>
      </w:pPr>
      <w:r>
        <w:rPr>
          <w:rFonts w:ascii="Times New Roman" w:hAnsi="Times New Roman" w:eastAsia="Times New Roman"/>
          <w:color w:val="auto"/>
          <w:spacing w:val="-1"/>
          <w:highlight w:val="none"/>
        </w:rPr>
        <w:t xml:space="preserve">7.8.1  </w:t>
      </w:r>
      <w:r>
        <w:rPr>
          <w:rFonts w:ascii="宋体" w:hAnsi="宋体" w:eastAsia="宋体"/>
          <w:color w:val="auto"/>
          <w:spacing w:val="-1"/>
          <w:highlight w:val="none"/>
        </w:rPr>
        <w:t xml:space="preserve">招标人和中标人应当在中标通知书发出之日起 </w:t>
      </w:r>
      <w:r>
        <w:rPr>
          <w:rFonts w:ascii="Times New Roman" w:hAnsi="Times New Roman" w:eastAsia="Times New Roman"/>
          <w:color w:val="auto"/>
          <w:spacing w:val="-1"/>
          <w:highlight w:val="none"/>
        </w:rPr>
        <w:t xml:space="preserve">30 </w:t>
      </w:r>
      <w:r>
        <w:rPr>
          <w:rFonts w:ascii="宋体" w:hAnsi="宋体" w:eastAsia="宋体"/>
          <w:color w:val="auto"/>
          <w:spacing w:val="-1"/>
          <w:highlight w:val="none"/>
        </w:rPr>
        <w:t>日</w:t>
      </w:r>
      <w:r>
        <w:rPr>
          <w:rFonts w:ascii="宋体" w:hAnsi="宋体" w:eastAsia="宋体"/>
          <w:color w:val="auto"/>
          <w:highlight w:val="none"/>
        </w:rPr>
        <w:t>内，根据招标文件和中标人的投</w:t>
      </w:r>
      <w:r>
        <w:rPr>
          <w:rFonts w:ascii="宋体" w:hAnsi="宋体" w:eastAsia="宋体"/>
          <w:color w:val="auto"/>
          <w:spacing w:val="-4"/>
          <w:highlight w:val="none"/>
        </w:rPr>
        <w:t>标文件订立书</w:t>
      </w:r>
      <w:r>
        <w:rPr>
          <w:rFonts w:ascii="宋体" w:hAnsi="宋体" w:eastAsia="宋体"/>
          <w:color w:val="auto"/>
          <w:spacing w:val="-2"/>
          <w:highlight w:val="none"/>
        </w:rPr>
        <w:t>面合同</w:t>
      </w:r>
      <w:r>
        <w:rPr>
          <w:rFonts w:hint="eastAsia"/>
          <w:color w:val="auto"/>
          <w:highlight w:val="none"/>
        </w:rPr>
        <w:t>，并通过电子交易系统与中标人在线签订合同</w:t>
      </w:r>
      <w:r>
        <w:rPr>
          <w:rFonts w:ascii="宋体" w:hAnsi="宋体" w:eastAsia="宋体"/>
          <w:color w:val="auto"/>
          <w:spacing w:val="-2"/>
          <w:highlight w:val="none"/>
        </w:rPr>
        <w:t>。中标人无正当理由拒签合同， 在签订合同时向招标人提出附加条件</w:t>
      </w:r>
      <w:r>
        <w:rPr>
          <w:rFonts w:hint="eastAsia" w:ascii="宋体" w:hAnsi="宋体" w:eastAsia="宋体"/>
          <w:color w:val="auto"/>
          <w:spacing w:val="-2"/>
          <w:highlight w:val="none"/>
        </w:rPr>
        <w:t>，</w:t>
      </w:r>
      <w:r>
        <w:rPr>
          <w:rFonts w:ascii="宋体" w:hAnsi="宋体" w:eastAsia="宋体"/>
          <w:color w:val="auto"/>
          <w:spacing w:val="-2"/>
          <w:highlight w:val="none"/>
        </w:rPr>
        <w:t>或</w:t>
      </w:r>
      <w:r>
        <w:rPr>
          <w:rFonts w:ascii="宋体" w:hAnsi="宋体" w:eastAsia="宋体"/>
          <w:color w:val="auto"/>
          <w:spacing w:val="-4"/>
          <w:highlight w:val="none"/>
        </w:rPr>
        <w:t>者</w:t>
      </w:r>
      <w:r>
        <w:rPr>
          <w:rFonts w:ascii="宋体" w:hAnsi="宋体" w:eastAsia="宋体"/>
          <w:color w:val="auto"/>
          <w:spacing w:val="-3"/>
          <w:highlight w:val="none"/>
        </w:rPr>
        <w:t>不</w:t>
      </w:r>
      <w:r>
        <w:rPr>
          <w:rFonts w:ascii="宋体" w:hAnsi="宋体" w:eastAsia="宋体"/>
          <w:color w:val="auto"/>
          <w:spacing w:val="-2"/>
          <w:highlight w:val="none"/>
        </w:rPr>
        <w:t>按照招标文件要求提交履约保证金的，招标人有权取消其中标资格，其投标保证金不予退</w:t>
      </w:r>
      <w:r>
        <w:rPr>
          <w:rFonts w:ascii="宋体" w:hAnsi="宋体" w:eastAsia="宋体"/>
          <w:color w:val="auto"/>
          <w:spacing w:val="-1"/>
          <w:highlight w:val="none"/>
        </w:rPr>
        <w:t>还；给招标人造成的损失</w:t>
      </w:r>
      <w:r>
        <w:rPr>
          <w:rFonts w:ascii="宋体" w:hAnsi="宋体" w:eastAsia="宋体"/>
          <w:color w:val="auto"/>
          <w:spacing w:val="-1"/>
          <w:highlight w:val="none"/>
          <w:u w:val="single"/>
        </w:rPr>
        <w:t>超过投标保证金数额的</w:t>
      </w:r>
      <w:r>
        <w:rPr>
          <w:rFonts w:ascii="宋体" w:hAnsi="宋体" w:eastAsia="宋体"/>
          <w:color w:val="auto"/>
          <w:spacing w:val="-1"/>
          <w:highlight w:val="none"/>
        </w:rPr>
        <w:t>，中标人还应当对超过部分予以赔</w:t>
      </w:r>
      <w:r>
        <w:rPr>
          <w:rFonts w:ascii="宋体" w:hAnsi="宋体" w:eastAsia="宋体"/>
          <w:color w:val="auto"/>
          <w:highlight w:val="none"/>
        </w:rPr>
        <w:t>偿。</w:t>
      </w:r>
    </w:p>
    <w:p w14:paraId="2B35308B">
      <w:pPr>
        <w:spacing w:before="2" w:line="351" w:lineRule="auto"/>
        <w:ind w:right="72" w:firstLine="419"/>
        <w:rPr>
          <w:rFonts w:ascii="Times New Roman" w:hAnsi="Times New Roman" w:eastAsia="Times New Roman"/>
          <w:color w:val="auto"/>
          <w:spacing w:val="-12"/>
          <w:highlight w:val="none"/>
        </w:rPr>
      </w:pPr>
      <w:r>
        <w:rPr>
          <w:rFonts w:ascii="Times New Roman" w:hAnsi="Times New Roman" w:eastAsia="Times New Roman"/>
          <w:color w:val="auto"/>
          <w:spacing w:val="-12"/>
          <w:highlight w:val="none"/>
        </w:rPr>
        <w:t>7.</w:t>
      </w:r>
      <w:r>
        <w:rPr>
          <w:rFonts w:ascii="Times New Roman" w:hAnsi="Times New Roman" w:eastAsia="Times New Roman"/>
          <w:color w:val="auto"/>
          <w:spacing w:val="-10"/>
          <w:highlight w:val="none"/>
        </w:rPr>
        <w:t>8</w:t>
      </w:r>
      <w:r>
        <w:rPr>
          <w:rFonts w:ascii="Times New Roman" w:hAnsi="Times New Roman" w:eastAsia="Times New Roman"/>
          <w:color w:val="auto"/>
          <w:spacing w:val="-6"/>
          <w:highlight w:val="none"/>
        </w:rPr>
        <w:t xml:space="preserve">.2  </w:t>
      </w:r>
      <w:r>
        <w:rPr>
          <w:rFonts w:ascii="宋体" w:hAnsi="宋体" w:eastAsia="宋体"/>
          <w:color w:val="auto"/>
          <w:spacing w:val="-6"/>
          <w:highlight w:val="none"/>
        </w:rPr>
        <w:t>发出中标通知书后，招标人无正当理由拒签合同，或者在签订合同时向中标人提出附</w:t>
      </w:r>
      <w:r>
        <w:rPr>
          <w:rFonts w:ascii="宋体" w:hAnsi="宋体" w:eastAsia="宋体"/>
          <w:color w:val="auto"/>
          <w:highlight w:val="none"/>
        </w:rPr>
        <w:t xml:space="preserve"> </w:t>
      </w:r>
      <w:r>
        <w:rPr>
          <w:rFonts w:ascii="宋体" w:hAnsi="宋体" w:eastAsia="宋体"/>
          <w:color w:val="auto"/>
          <w:spacing w:val="-1"/>
          <w:highlight w:val="none"/>
        </w:rPr>
        <w:t>加条件的，招标人向中标人退还投标保证金；给中标人造成损失的，还应当赔偿损失</w:t>
      </w:r>
      <w:r>
        <w:rPr>
          <w:rFonts w:ascii="宋体" w:hAnsi="宋体" w:eastAsia="宋体"/>
          <w:color w:val="auto"/>
          <w:highlight w:val="none"/>
        </w:rPr>
        <w:t>。</w:t>
      </w:r>
    </w:p>
    <w:p w14:paraId="175D1FC1">
      <w:pPr>
        <w:spacing w:line="359" w:lineRule="auto"/>
        <w:ind w:left="4" w:right="70" w:firstLine="416"/>
        <w:rPr>
          <w:rFonts w:ascii="Times New Roman" w:hAnsi="Times New Roman" w:eastAsia="Times New Roman"/>
          <w:color w:val="auto"/>
          <w:spacing w:val="-1"/>
          <w:highlight w:val="none"/>
        </w:rPr>
      </w:pPr>
      <w:r>
        <w:rPr>
          <w:rFonts w:ascii="Times New Roman" w:hAnsi="Times New Roman" w:eastAsia="Times New Roman"/>
          <w:color w:val="auto"/>
          <w:spacing w:val="-1"/>
          <w:highlight w:val="none"/>
        </w:rPr>
        <w:t xml:space="preserve">7.8.3 </w:t>
      </w:r>
      <w:r>
        <w:rPr>
          <w:rFonts w:ascii="宋体" w:hAnsi="宋体" w:eastAsia="宋体"/>
          <w:color w:val="auto"/>
          <w:spacing w:val="-1"/>
          <w:highlight w:val="none"/>
        </w:rPr>
        <w:t>联合体中标的，联合体各方应当共同与招标人签</w:t>
      </w:r>
      <w:r>
        <w:rPr>
          <w:rFonts w:ascii="宋体" w:hAnsi="宋体" w:eastAsia="宋体"/>
          <w:color w:val="auto"/>
          <w:highlight w:val="none"/>
        </w:rPr>
        <w:t>订合同，就中标项目向招标人承担连</w:t>
      </w:r>
      <w:r>
        <w:rPr>
          <w:rFonts w:ascii="宋体" w:hAnsi="宋体" w:eastAsia="宋体"/>
          <w:color w:val="auto"/>
          <w:spacing w:val="-10"/>
          <w:highlight w:val="none"/>
        </w:rPr>
        <w:t>带</w:t>
      </w:r>
      <w:r>
        <w:rPr>
          <w:rFonts w:ascii="宋体" w:hAnsi="宋体" w:eastAsia="宋体"/>
          <w:color w:val="auto"/>
          <w:spacing w:val="-7"/>
          <w:highlight w:val="none"/>
        </w:rPr>
        <w:t>责任。</w:t>
      </w:r>
    </w:p>
    <w:p w14:paraId="18DFAFE8">
      <w:pPr>
        <w:pStyle w:val="46"/>
        <w:ind w:left="0" w:leftChars="0" w:firstLine="0" w:firstLineChars="0"/>
        <w:rPr>
          <w:b/>
          <w:bCs/>
          <w:color w:val="auto"/>
          <w:highlight w:val="none"/>
        </w:rPr>
      </w:pPr>
    </w:p>
    <w:p w14:paraId="23746CDF">
      <w:pPr>
        <w:ind w:firstLine="420" w:firstLineChars="200"/>
        <w:rPr>
          <w:b/>
          <w:bCs/>
          <w:color w:val="auto"/>
          <w:highlight w:val="none"/>
        </w:rPr>
      </w:pPr>
      <w:r>
        <w:rPr>
          <w:rFonts w:hint="eastAsia"/>
          <w:b/>
          <w:bCs/>
          <w:color w:val="auto"/>
          <w:highlight w:val="none"/>
        </w:rPr>
        <w:t>现文：</w:t>
      </w:r>
      <w:r>
        <w:rPr>
          <w:rFonts w:ascii="宋体" w:hAnsi="宋体" w:eastAsia="宋体"/>
          <w:color w:val="auto"/>
          <w:spacing w:val="-6"/>
          <w:highlight w:val="none"/>
        </w:rPr>
        <w:t>7.7  履约保证金</w:t>
      </w:r>
    </w:p>
    <w:p w14:paraId="2749F4D7">
      <w:pPr>
        <w:spacing w:before="68" w:line="351" w:lineRule="auto"/>
        <w:ind w:left="2" w:right="62" w:firstLine="417"/>
        <w:rPr>
          <w:rFonts w:ascii="Times New Roman" w:hAnsi="Times New Roman" w:eastAsia="Times New Roman"/>
          <w:color w:val="auto"/>
          <w:spacing w:val="-9"/>
          <w:highlight w:val="none"/>
        </w:rPr>
      </w:pPr>
      <w:r>
        <w:rPr>
          <w:rFonts w:ascii="Times New Roman" w:hAnsi="Times New Roman" w:eastAsia="Times New Roman"/>
          <w:color w:val="auto"/>
          <w:spacing w:val="-9"/>
          <w:highlight w:val="none"/>
        </w:rPr>
        <w:t>7</w:t>
      </w:r>
      <w:r>
        <w:rPr>
          <w:rFonts w:ascii="Times New Roman" w:hAnsi="Times New Roman" w:eastAsia="Times New Roman"/>
          <w:color w:val="auto"/>
          <w:spacing w:val="-6"/>
          <w:highlight w:val="none"/>
        </w:rPr>
        <w:t xml:space="preserve">.7.1  </w:t>
      </w:r>
      <w:r>
        <w:rPr>
          <w:rFonts w:hint="eastAsia" w:ascii="Times New Roman" w:hAnsi="Times New Roman" w:eastAsia="宋体"/>
          <w:color w:val="auto"/>
          <w:spacing w:val="-6"/>
          <w:highlight w:val="none"/>
        </w:rPr>
        <w:t xml:space="preserve">   </w:t>
      </w:r>
      <w:r>
        <w:rPr>
          <w:rFonts w:ascii="宋体" w:hAnsi="宋体" w:eastAsia="宋体"/>
          <w:color w:val="auto"/>
          <w:spacing w:val="-6"/>
          <w:highlight w:val="none"/>
        </w:rPr>
        <w:t>在签订合同前</w:t>
      </w:r>
      <w:r>
        <w:rPr>
          <w:rFonts w:hint="eastAsia" w:ascii="宋体" w:hAnsi="宋体" w:eastAsia="宋体"/>
          <w:color w:val="auto"/>
          <w:spacing w:val="-6"/>
          <w:highlight w:val="none"/>
        </w:rPr>
        <w:t>，</w:t>
      </w:r>
      <w:r>
        <w:rPr>
          <w:rFonts w:ascii="宋体" w:hAnsi="宋体" w:eastAsia="宋体"/>
          <w:color w:val="auto"/>
          <w:spacing w:val="-6"/>
          <w:highlight w:val="none"/>
        </w:rPr>
        <w:t>中标人应按投标人须知前附表规定的形式、金额和招标文件第四章</w:t>
      </w:r>
      <w:r>
        <w:rPr>
          <w:rFonts w:hint="eastAsia" w:ascii="Times New Roman" w:hAnsi="Times New Roman" w:eastAsia="宋体"/>
          <w:color w:val="auto"/>
          <w:spacing w:val="-6"/>
          <w:highlight w:val="none"/>
        </w:rPr>
        <w:t>“</w:t>
      </w:r>
      <w:r>
        <w:rPr>
          <w:rFonts w:ascii="宋体" w:hAnsi="宋体" w:eastAsia="宋体"/>
          <w:color w:val="auto"/>
          <w:spacing w:val="-6"/>
          <w:highlight w:val="none"/>
        </w:rPr>
        <w:t>合</w:t>
      </w:r>
      <w:r>
        <w:rPr>
          <w:rFonts w:ascii="宋体" w:hAnsi="宋体" w:eastAsia="宋体"/>
          <w:color w:val="auto"/>
          <w:spacing w:val="6"/>
          <w:highlight w:val="none"/>
        </w:rPr>
        <w:t>同条款及格式</w:t>
      </w:r>
      <w:r>
        <w:rPr>
          <w:rFonts w:hint="eastAsia" w:ascii="Times New Roman" w:hAnsi="Times New Roman" w:eastAsia="宋体"/>
          <w:color w:val="auto"/>
          <w:spacing w:val="-6"/>
          <w:highlight w:val="none"/>
        </w:rPr>
        <w:t>”</w:t>
      </w:r>
      <w:r>
        <w:rPr>
          <w:rFonts w:ascii="宋体" w:hAnsi="宋体" w:eastAsia="宋体"/>
          <w:color w:val="auto"/>
          <w:spacing w:val="6"/>
          <w:highlight w:val="none"/>
        </w:rPr>
        <w:t>规</w:t>
      </w:r>
      <w:r>
        <w:rPr>
          <w:rFonts w:ascii="宋体" w:hAnsi="宋体" w:eastAsia="宋体"/>
          <w:color w:val="auto"/>
          <w:spacing w:val="4"/>
          <w:highlight w:val="none"/>
        </w:rPr>
        <w:t>定</w:t>
      </w:r>
      <w:r>
        <w:rPr>
          <w:rFonts w:ascii="宋体" w:hAnsi="宋体" w:eastAsia="宋体"/>
          <w:color w:val="auto"/>
          <w:spacing w:val="3"/>
          <w:highlight w:val="none"/>
        </w:rPr>
        <w:t>的或者事先经过招标人书面认可的履约保证金格式向招标人提交履约保证</w:t>
      </w:r>
      <w:r>
        <w:rPr>
          <w:rFonts w:ascii="宋体" w:hAnsi="宋体" w:eastAsia="宋体"/>
          <w:color w:val="auto"/>
          <w:spacing w:val="-2"/>
          <w:highlight w:val="none"/>
        </w:rPr>
        <w:t>金。除投标人须知前</w:t>
      </w:r>
      <w:r>
        <w:rPr>
          <w:rFonts w:ascii="宋体" w:hAnsi="宋体" w:eastAsia="宋体"/>
          <w:color w:val="auto"/>
          <w:spacing w:val="-1"/>
          <w:highlight w:val="none"/>
        </w:rPr>
        <w:t>附表另有规定外，</w:t>
      </w:r>
      <w:r>
        <w:rPr>
          <w:rFonts w:ascii="宋体" w:hAnsi="宋体" w:eastAsia="宋体"/>
          <w:strike/>
          <w:color w:val="auto"/>
          <w:spacing w:val="-1"/>
          <w:highlight w:val="none"/>
        </w:rPr>
        <w:t xml:space="preserve">履约保证金为中标合同金额的 </w:t>
      </w:r>
      <w:r>
        <w:rPr>
          <w:rFonts w:ascii="Times New Roman" w:hAnsi="Times New Roman" w:eastAsia="Times New Roman"/>
          <w:strike/>
          <w:color w:val="auto"/>
          <w:spacing w:val="-1"/>
          <w:highlight w:val="none"/>
        </w:rPr>
        <w:t>10%</w:t>
      </w:r>
      <w:r>
        <w:rPr>
          <w:rFonts w:ascii="宋体" w:hAnsi="宋体" w:eastAsia="宋体"/>
          <w:color w:val="auto"/>
          <w:spacing w:val="-1"/>
          <w:highlight w:val="none"/>
        </w:rPr>
        <w:t>。联合体中标的，其</w:t>
      </w:r>
      <w:r>
        <w:rPr>
          <w:rFonts w:ascii="宋体" w:hAnsi="宋体" w:eastAsia="宋体"/>
          <w:color w:val="auto"/>
          <w:spacing w:val="-2"/>
          <w:highlight w:val="none"/>
        </w:rPr>
        <w:t>履约保证金以联合体各方或</w:t>
      </w:r>
      <w:r>
        <w:rPr>
          <w:rFonts w:ascii="宋体" w:hAnsi="宋体" w:eastAsia="宋体"/>
          <w:color w:val="auto"/>
          <w:spacing w:val="-1"/>
          <w:highlight w:val="none"/>
        </w:rPr>
        <w:t>者联合体中</w:t>
      </w:r>
      <w:r>
        <w:rPr>
          <w:rFonts w:hint="eastAsia" w:ascii="宋体" w:hAnsi="宋体" w:eastAsia="宋体"/>
          <w:color w:val="auto"/>
          <w:spacing w:val="-1"/>
          <w:highlight w:val="none"/>
        </w:rPr>
        <w:t>主办方</w:t>
      </w:r>
      <w:r>
        <w:rPr>
          <w:rFonts w:ascii="宋体" w:hAnsi="宋体" w:eastAsia="宋体"/>
          <w:color w:val="auto"/>
          <w:spacing w:val="-1"/>
          <w:highlight w:val="none"/>
        </w:rPr>
        <w:t>的名义提交。</w:t>
      </w:r>
    </w:p>
    <w:p w14:paraId="220C48C1">
      <w:pPr>
        <w:spacing w:before="4" w:line="360" w:lineRule="auto"/>
        <w:ind w:left="4" w:right="76" w:firstLine="416"/>
        <w:rPr>
          <w:rFonts w:ascii="Times New Roman" w:hAnsi="Times New Roman" w:eastAsia="Times New Roman"/>
          <w:color w:val="auto"/>
          <w:spacing w:val="-3"/>
          <w:highlight w:val="none"/>
        </w:rPr>
      </w:pPr>
      <w:r>
        <w:rPr>
          <w:rFonts w:ascii="Times New Roman" w:hAnsi="Times New Roman" w:eastAsia="Times New Roman"/>
          <w:color w:val="auto"/>
          <w:spacing w:val="-3"/>
          <w:highlight w:val="none"/>
        </w:rPr>
        <w:t xml:space="preserve">7.7.2  </w:t>
      </w:r>
      <w:r>
        <w:rPr>
          <w:rFonts w:ascii="宋体" w:hAnsi="宋体" w:eastAsia="宋体"/>
          <w:color w:val="auto"/>
          <w:spacing w:val="-3"/>
          <w:highlight w:val="none"/>
        </w:rPr>
        <w:t xml:space="preserve">中标人不能按本章第 </w:t>
      </w:r>
      <w:r>
        <w:rPr>
          <w:rFonts w:ascii="Times New Roman" w:hAnsi="Times New Roman" w:eastAsia="Times New Roman"/>
          <w:color w:val="auto"/>
          <w:spacing w:val="-3"/>
          <w:highlight w:val="none"/>
        </w:rPr>
        <w:t xml:space="preserve">7.7.1 </w:t>
      </w:r>
      <w:r>
        <w:rPr>
          <w:rFonts w:ascii="宋体" w:hAnsi="宋体" w:eastAsia="宋体"/>
          <w:color w:val="auto"/>
          <w:spacing w:val="-3"/>
          <w:highlight w:val="none"/>
        </w:rPr>
        <w:t>项要求提交履约保证金的，视为放弃中标，</w:t>
      </w:r>
      <w:r>
        <w:rPr>
          <w:rFonts w:ascii="宋体" w:hAnsi="宋体" w:eastAsia="宋体"/>
          <w:strike/>
          <w:color w:val="auto"/>
          <w:spacing w:val="-3"/>
          <w:highlight w:val="none"/>
        </w:rPr>
        <w:t>其投标</w:t>
      </w:r>
      <w:r>
        <w:rPr>
          <w:rFonts w:ascii="宋体" w:hAnsi="宋体" w:eastAsia="宋体"/>
          <w:strike/>
          <w:color w:val="auto"/>
          <w:highlight w:val="none"/>
        </w:rPr>
        <w:t xml:space="preserve">保证金 </w:t>
      </w:r>
      <w:r>
        <w:rPr>
          <w:rFonts w:ascii="宋体" w:hAnsi="宋体" w:eastAsia="宋体"/>
          <w:strike/>
          <w:color w:val="auto"/>
          <w:spacing w:val="-1"/>
          <w:highlight w:val="none"/>
        </w:rPr>
        <w:t>不予退还</w:t>
      </w:r>
      <w:r>
        <w:rPr>
          <w:rFonts w:ascii="宋体" w:hAnsi="宋体" w:eastAsia="宋体"/>
          <w:color w:val="auto"/>
          <w:spacing w:val="-1"/>
          <w:highlight w:val="none"/>
        </w:rPr>
        <w:t>，给招标人造成</w:t>
      </w:r>
      <w:r>
        <w:rPr>
          <w:rFonts w:ascii="宋体" w:hAnsi="宋体" w:eastAsia="宋体"/>
          <w:strike/>
          <w:color w:val="auto"/>
          <w:spacing w:val="-1"/>
          <w:highlight w:val="none"/>
        </w:rPr>
        <w:t>的</w:t>
      </w:r>
      <w:r>
        <w:rPr>
          <w:rFonts w:ascii="宋体" w:hAnsi="宋体" w:eastAsia="宋体"/>
          <w:color w:val="auto"/>
          <w:spacing w:val="-1"/>
          <w:highlight w:val="none"/>
        </w:rPr>
        <w:t>损失</w:t>
      </w:r>
      <w:r>
        <w:rPr>
          <w:rFonts w:ascii="宋体" w:hAnsi="宋体" w:eastAsia="宋体"/>
          <w:strike/>
          <w:color w:val="auto"/>
          <w:spacing w:val="-1"/>
          <w:highlight w:val="none"/>
        </w:rPr>
        <w:t>超过投标保证金数额的</w:t>
      </w:r>
      <w:r>
        <w:rPr>
          <w:rFonts w:ascii="宋体" w:hAnsi="宋体" w:eastAsia="宋体"/>
          <w:color w:val="auto"/>
          <w:spacing w:val="-1"/>
          <w:highlight w:val="none"/>
        </w:rPr>
        <w:t>，中标人还应当对超过部分予以赔偿</w:t>
      </w:r>
      <w:r>
        <w:rPr>
          <w:rFonts w:hint="eastAsia" w:ascii="宋体" w:hAnsi="宋体" w:eastAsia="宋体"/>
          <w:color w:val="auto"/>
          <w:spacing w:val="-1"/>
          <w:highlight w:val="none"/>
        </w:rPr>
        <w:t>。</w:t>
      </w:r>
    </w:p>
    <w:p w14:paraId="5E3C1614">
      <w:pPr>
        <w:spacing w:before="68" w:line="351" w:lineRule="auto"/>
        <w:ind w:left="2" w:right="62" w:firstLine="417"/>
        <w:rPr>
          <w:rFonts w:ascii="宋体" w:hAnsi="宋体" w:eastAsia="宋体"/>
          <w:color w:val="auto"/>
          <w:spacing w:val="-6"/>
          <w:highlight w:val="none"/>
        </w:rPr>
      </w:pPr>
      <w:r>
        <w:rPr>
          <w:rFonts w:ascii="宋体" w:hAnsi="宋体" w:eastAsia="宋体"/>
          <w:color w:val="auto"/>
          <w:spacing w:val="-6"/>
          <w:highlight w:val="none"/>
        </w:rPr>
        <w:t>7.8  签订合同</w:t>
      </w:r>
    </w:p>
    <w:p w14:paraId="251C3859">
      <w:pPr>
        <w:spacing w:before="69" w:line="352" w:lineRule="auto"/>
        <w:ind w:right="75" w:firstLine="420"/>
        <w:rPr>
          <w:rFonts w:ascii="Times New Roman" w:hAnsi="Times New Roman" w:eastAsia="Times New Roman"/>
          <w:color w:val="auto"/>
          <w:spacing w:val="-1"/>
          <w:highlight w:val="none"/>
        </w:rPr>
      </w:pPr>
      <w:r>
        <w:rPr>
          <w:rFonts w:ascii="Times New Roman" w:hAnsi="Times New Roman" w:eastAsia="Times New Roman"/>
          <w:color w:val="auto"/>
          <w:spacing w:val="-1"/>
          <w:highlight w:val="none"/>
        </w:rPr>
        <w:t xml:space="preserve">7.8.1  </w:t>
      </w:r>
      <w:r>
        <w:rPr>
          <w:rFonts w:ascii="宋体" w:hAnsi="宋体" w:eastAsia="宋体"/>
          <w:color w:val="auto"/>
          <w:spacing w:val="-1"/>
          <w:highlight w:val="none"/>
        </w:rPr>
        <w:t xml:space="preserve">招标人和中标人应当在中标通知书发出之日起 </w:t>
      </w:r>
      <w:r>
        <w:rPr>
          <w:rFonts w:ascii="Times New Roman" w:hAnsi="Times New Roman" w:eastAsia="Times New Roman"/>
          <w:color w:val="auto"/>
          <w:spacing w:val="-1"/>
          <w:highlight w:val="none"/>
        </w:rPr>
        <w:t xml:space="preserve">30 </w:t>
      </w:r>
      <w:r>
        <w:rPr>
          <w:rFonts w:ascii="宋体" w:hAnsi="宋体" w:eastAsia="宋体"/>
          <w:color w:val="auto"/>
          <w:spacing w:val="-1"/>
          <w:highlight w:val="none"/>
        </w:rPr>
        <w:t>日</w:t>
      </w:r>
      <w:r>
        <w:rPr>
          <w:rFonts w:ascii="宋体" w:hAnsi="宋体" w:eastAsia="宋体"/>
          <w:color w:val="auto"/>
          <w:highlight w:val="none"/>
        </w:rPr>
        <w:t>内，根据招标文件和中标人的投</w:t>
      </w:r>
      <w:r>
        <w:rPr>
          <w:rFonts w:ascii="宋体" w:hAnsi="宋体" w:eastAsia="宋体"/>
          <w:color w:val="auto"/>
          <w:spacing w:val="-4"/>
          <w:highlight w:val="none"/>
        </w:rPr>
        <w:t>标文件订立书</w:t>
      </w:r>
      <w:r>
        <w:rPr>
          <w:rFonts w:ascii="宋体" w:hAnsi="宋体" w:eastAsia="宋体"/>
          <w:color w:val="auto"/>
          <w:spacing w:val="-2"/>
          <w:highlight w:val="none"/>
        </w:rPr>
        <w:t>面合同</w:t>
      </w:r>
      <w:r>
        <w:rPr>
          <w:rFonts w:hint="eastAsia"/>
          <w:color w:val="auto"/>
          <w:highlight w:val="none"/>
        </w:rPr>
        <w:t>，并通过电子交易系统与中标人在线签订合同</w:t>
      </w:r>
      <w:r>
        <w:rPr>
          <w:rFonts w:ascii="宋体" w:hAnsi="宋体" w:eastAsia="宋体"/>
          <w:color w:val="auto"/>
          <w:spacing w:val="-2"/>
          <w:highlight w:val="none"/>
        </w:rPr>
        <w:t>。中标人无正当理由拒签合同， 在签订合同时向招标人提出附加条件</w:t>
      </w:r>
      <w:r>
        <w:rPr>
          <w:rFonts w:hint="eastAsia" w:ascii="宋体" w:hAnsi="宋体" w:eastAsia="宋体"/>
          <w:color w:val="auto"/>
          <w:spacing w:val="-2"/>
          <w:highlight w:val="none"/>
        </w:rPr>
        <w:t>，</w:t>
      </w:r>
      <w:r>
        <w:rPr>
          <w:rFonts w:ascii="宋体" w:hAnsi="宋体" w:eastAsia="宋体"/>
          <w:strike/>
          <w:color w:val="auto"/>
          <w:spacing w:val="-2"/>
          <w:highlight w:val="none"/>
        </w:rPr>
        <w:t>或</w:t>
      </w:r>
      <w:r>
        <w:rPr>
          <w:rFonts w:ascii="宋体" w:hAnsi="宋体" w:eastAsia="宋体"/>
          <w:strike/>
          <w:color w:val="auto"/>
          <w:spacing w:val="-4"/>
          <w:highlight w:val="none"/>
        </w:rPr>
        <w:t>者</w:t>
      </w:r>
      <w:r>
        <w:rPr>
          <w:rFonts w:ascii="宋体" w:hAnsi="宋体" w:eastAsia="宋体"/>
          <w:strike/>
          <w:color w:val="auto"/>
          <w:spacing w:val="-3"/>
          <w:highlight w:val="none"/>
        </w:rPr>
        <w:t>不</w:t>
      </w:r>
      <w:r>
        <w:rPr>
          <w:rFonts w:ascii="宋体" w:hAnsi="宋体" w:eastAsia="宋体"/>
          <w:strike/>
          <w:color w:val="auto"/>
          <w:spacing w:val="-2"/>
          <w:highlight w:val="none"/>
        </w:rPr>
        <w:t>按照招标文件要求提交履约保证金的</w:t>
      </w:r>
      <w:r>
        <w:rPr>
          <w:rFonts w:ascii="宋体" w:hAnsi="宋体" w:eastAsia="宋体"/>
          <w:color w:val="auto"/>
          <w:spacing w:val="-2"/>
          <w:highlight w:val="none"/>
        </w:rPr>
        <w:t>，招标人有权取消其中标资格</w:t>
      </w:r>
      <w:r>
        <w:rPr>
          <w:rFonts w:ascii="宋体" w:hAnsi="宋体" w:eastAsia="宋体"/>
          <w:strike/>
          <w:color w:val="auto"/>
          <w:spacing w:val="-2"/>
          <w:highlight w:val="none"/>
        </w:rPr>
        <w:t>，其投标保证金不予退</w:t>
      </w:r>
      <w:r>
        <w:rPr>
          <w:rFonts w:ascii="宋体" w:hAnsi="宋体" w:eastAsia="宋体"/>
          <w:strike/>
          <w:color w:val="auto"/>
          <w:spacing w:val="-1"/>
          <w:highlight w:val="none"/>
        </w:rPr>
        <w:t>还；给招标人造成的损失</w:t>
      </w:r>
      <w:r>
        <w:rPr>
          <w:rFonts w:ascii="宋体" w:hAnsi="宋体" w:eastAsia="宋体"/>
          <w:strike/>
          <w:color w:val="auto"/>
          <w:spacing w:val="-1"/>
          <w:highlight w:val="none"/>
          <w:u w:val="single"/>
        </w:rPr>
        <w:t>超过投标保证金数额的</w:t>
      </w:r>
      <w:r>
        <w:rPr>
          <w:rFonts w:ascii="宋体" w:hAnsi="宋体" w:eastAsia="宋体"/>
          <w:strike/>
          <w:color w:val="auto"/>
          <w:spacing w:val="-1"/>
          <w:highlight w:val="none"/>
        </w:rPr>
        <w:t>，中标人还应当对超过部分予以赔</w:t>
      </w:r>
      <w:r>
        <w:rPr>
          <w:rFonts w:ascii="宋体" w:hAnsi="宋体" w:eastAsia="宋体"/>
          <w:strike/>
          <w:color w:val="auto"/>
          <w:highlight w:val="none"/>
        </w:rPr>
        <w:t>偿。</w:t>
      </w:r>
    </w:p>
    <w:p w14:paraId="6A6A2610">
      <w:pPr>
        <w:spacing w:before="2" w:line="351" w:lineRule="auto"/>
        <w:ind w:right="72" w:firstLine="419"/>
        <w:rPr>
          <w:rFonts w:ascii="Times New Roman" w:hAnsi="Times New Roman" w:eastAsia="Times New Roman"/>
          <w:color w:val="auto"/>
          <w:spacing w:val="-12"/>
          <w:highlight w:val="none"/>
        </w:rPr>
      </w:pPr>
      <w:r>
        <w:rPr>
          <w:rFonts w:ascii="Times New Roman" w:hAnsi="Times New Roman" w:eastAsia="Times New Roman"/>
          <w:color w:val="auto"/>
          <w:spacing w:val="-12"/>
          <w:highlight w:val="none"/>
        </w:rPr>
        <w:t>7.</w:t>
      </w:r>
      <w:r>
        <w:rPr>
          <w:rFonts w:ascii="Times New Roman" w:hAnsi="Times New Roman" w:eastAsia="Times New Roman"/>
          <w:color w:val="auto"/>
          <w:spacing w:val="-10"/>
          <w:highlight w:val="none"/>
        </w:rPr>
        <w:t>8</w:t>
      </w:r>
      <w:r>
        <w:rPr>
          <w:rFonts w:ascii="Times New Roman" w:hAnsi="Times New Roman" w:eastAsia="Times New Roman"/>
          <w:color w:val="auto"/>
          <w:spacing w:val="-6"/>
          <w:highlight w:val="none"/>
        </w:rPr>
        <w:t xml:space="preserve">.2  </w:t>
      </w:r>
      <w:r>
        <w:rPr>
          <w:rFonts w:ascii="宋体" w:hAnsi="宋体" w:eastAsia="宋体"/>
          <w:color w:val="auto"/>
          <w:spacing w:val="-6"/>
          <w:highlight w:val="none"/>
        </w:rPr>
        <w:t>发出中标通知书后，招标人无正当理由拒签合同，或者在签订合同时向中标人提出附</w:t>
      </w:r>
      <w:r>
        <w:rPr>
          <w:rFonts w:ascii="宋体" w:hAnsi="宋体" w:eastAsia="宋体"/>
          <w:color w:val="auto"/>
          <w:highlight w:val="none"/>
        </w:rPr>
        <w:t xml:space="preserve"> </w:t>
      </w:r>
      <w:r>
        <w:rPr>
          <w:rFonts w:ascii="宋体" w:hAnsi="宋体" w:eastAsia="宋体"/>
          <w:color w:val="auto"/>
          <w:spacing w:val="-1"/>
          <w:highlight w:val="none"/>
        </w:rPr>
        <w:t>加条件的</w:t>
      </w:r>
      <w:r>
        <w:rPr>
          <w:rFonts w:ascii="宋体" w:hAnsi="宋体" w:eastAsia="宋体"/>
          <w:strike/>
          <w:color w:val="auto"/>
          <w:spacing w:val="-1"/>
          <w:highlight w:val="none"/>
        </w:rPr>
        <w:t>，招标人向中标人退还投标保证金；</w:t>
      </w:r>
      <w:r>
        <w:rPr>
          <w:rFonts w:ascii="宋体" w:hAnsi="宋体" w:eastAsia="宋体"/>
          <w:color w:val="auto"/>
          <w:spacing w:val="-1"/>
          <w:highlight w:val="none"/>
        </w:rPr>
        <w:t>给中标人造成损失的，还应当赔偿损失</w:t>
      </w:r>
      <w:r>
        <w:rPr>
          <w:rFonts w:ascii="宋体" w:hAnsi="宋体" w:eastAsia="宋体"/>
          <w:color w:val="auto"/>
          <w:highlight w:val="none"/>
        </w:rPr>
        <w:t>。</w:t>
      </w:r>
    </w:p>
    <w:p w14:paraId="592224F7">
      <w:pPr>
        <w:spacing w:line="359" w:lineRule="auto"/>
        <w:ind w:left="4" w:right="70" w:firstLine="416"/>
        <w:rPr>
          <w:rFonts w:ascii="Times New Roman" w:hAnsi="Times New Roman" w:eastAsia="Times New Roman"/>
          <w:color w:val="auto"/>
          <w:spacing w:val="-1"/>
          <w:highlight w:val="none"/>
        </w:rPr>
      </w:pPr>
      <w:r>
        <w:rPr>
          <w:rFonts w:ascii="Times New Roman" w:hAnsi="Times New Roman" w:eastAsia="Times New Roman"/>
          <w:color w:val="auto"/>
          <w:spacing w:val="-1"/>
          <w:highlight w:val="none"/>
        </w:rPr>
        <w:t xml:space="preserve">7.8.3 </w:t>
      </w:r>
      <w:r>
        <w:rPr>
          <w:rFonts w:ascii="宋体" w:hAnsi="宋体" w:eastAsia="宋体"/>
          <w:color w:val="auto"/>
          <w:spacing w:val="-1"/>
          <w:highlight w:val="none"/>
        </w:rPr>
        <w:t>联合体中标的，联合体各方应当共同与招标人签</w:t>
      </w:r>
      <w:r>
        <w:rPr>
          <w:rFonts w:ascii="宋体" w:hAnsi="宋体" w:eastAsia="宋体"/>
          <w:color w:val="auto"/>
          <w:highlight w:val="none"/>
        </w:rPr>
        <w:t>订合同，就中标项目向招标人承担连</w:t>
      </w:r>
      <w:r>
        <w:rPr>
          <w:rFonts w:ascii="宋体" w:hAnsi="宋体" w:eastAsia="宋体"/>
          <w:color w:val="auto"/>
          <w:spacing w:val="-10"/>
          <w:highlight w:val="none"/>
        </w:rPr>
        <w:t>带</w:t>
      </w:r>
      <w:r>
        <w:rPr>
          <w:rFonts w:ascii="宋体" w:hAnsi="宋体" w:eastAsia="宋体"/>
          <w:color w:val="auto"/>
          <w:spacing w:val="-7"/>
          <w:highlight w:val="none"/>
        </w:rPr>
        <w:t>责任。</w:t>
      </w:r>
    </w:p>
    <w:p w14:paraId="57551312">
      <w:pPr>
        <w:spacing w:line="359" w:lineRule="auto"/>
        <w:ind w:left="4" w:right="70" w:firstLine="416"/>
        <w:rPr>
          <w:rFonts w:ascii="宋体" w:hAnsi="宋体" w:eastAsia="宋体"/>
          <w:b/>
          <w:bCs/>
          <w:color w:val="auto"/>
          <w:sz w:val="24"/>
          <w:szCs w:val="24"/>
          <w:highlight w:val="none"/>
        </w:rPr>
      </w:pPr>
      <w:r>
        <w:rPr>
          <w:rFonts w:ascii="宋体" w:hAnsi="宋体" w:eastAsia="宋体"/>
          <w:b/>
          <w:bCs/>
          <w:color w:val="auto"/>
          <w:sz w:val="24"/>
          <w:szCs w:val="24"/>
          <w:highlight w:val="none"/>
        </w:rPr>
        <w:t>注：以上修改，仅限于本范本中有可供选择条款的情形。</w:t>
      </w:r>
    </w:p>
    <w:p w14:paraId="2D400FDA">
      <w:pPr>
        <w:spacing w:line="360" w:lineRule="auto"/>
        <w:rPr>
          <w:rFonts w:ascii="宋体" w:hAnsi="宋体" w:eastAsia="宋体"/>
          <w:b/>
          <w:bCs/>
          <w:color w:val="auto"/>
          <w:sz w:val="24"/>
          <w:szCs w:val="24"/>
          <w:highlight w:val="none"/>
        </w:rPr>
      </w:pPr>
      <w:r>
        <w:rPr>
          <w:rFonts w:ascii="宋体" w:hAnsi="宋体" w:eastAsia="宋体"/>
          <w:b/>
          <w:bCs/>
          <w:color w:val="auto"/>
          <w:sz w:val="24"/>
          <w:szCs w:val="24"/>
          <w:highlight w:val="none"/>
        </w:rPr>
        <w:t>（以下无正文）</w:t>
      </w:r>
    </w:p>
    <w:p w14:paraId="0B99607C">
      <w:pPr>
        <w:pStyle w:val="25"/>
        <w:spacing w:before="120" w:after="120"/>
        <w:rPr>
          <w:color w:val="auto"/>
          <w:sz w:val="24"/>
          <w:highlight w:val="none"/>
        </w:rPr>
        <w:sectPr>
          <w:footerReference r:id="rId7" w:type="default"/>
          <w:pgSz w:w="11905" w:h="16838"/>
          <w:pgMar w:top="1417" w:right="1417" w:bottom="1417" w:left="1417" w:header="992" w:footer="992" w:gutter="0"/>
          <w:cols w:space="720" w:num="1"/>
        </w:sectPr>
      </w:pPr>
    </w:p>
    <w:p w14:paraId="04052E7D">
      <w:pPr>
        <w:pStyle w:val="25"/>
        <w:spacing w:before="120" w:after="120"/>
        <w:outlineLvl w:val="9"/>
        <w:rPr>
          <w:rFonts w:ascii="Times New Roman" w:hAnsi="Times New Roman" w:eastAsia="Times New Roman"/>
          <w:bCs/>
          <w:color w:val="auto"/>
          <w:spacing w:val="3"/>
          <w:sz w:val="31"/>
          <w:szCs w:val="31"/>
          <w:highlight w:val="none"/>
        </w:rPr>
      </w:pPr>
      <w:bookmarkStart w:id="91" w:name="_Toc357"/>
      <w:bookmarkStart w:id="92" w:name="_Toc2101"/>
      <w:bookmarkStart w:id="93" w:name="_Toc22922"/>
      <w:bookmarkStart w:id="94" w:name="_Toc24325"/>
      <w:bookmarkStart w:id="95" w:name="_Toc14454"/>
      <w:r>
        <w:rPr>
          <w:rFonts w:ascii="Times New Roman" w:hAnsi="Times New Roman" w:eastAsia="Times New Roman"/>
          <w:bCs/>
          <w:color w:val="auto"/>
          <w:spacing w:val="3"/>
          <w:sz w:val="31"/>
          <w:szCs w:val="31"/>
          <w:highlight w:val="none"/>
        </w:rPr>
        <w:t>1</w:t>
      </w:r>
      <w:r>
        <w:rPr>
          <w:rFonts w:ascii="Times New Roman" w:hAnsi="Times New Roman" w:eastAsia="Times New Roman"/>
          <w:bCs/>
          <w:color w:val="auto"/>
          <w:spacing w:val="2"/>
          <w:sz w:val="31"/>
          <w:szCs w:val="31"/>
          <w:highlight w:val="none"/>
        </w:rPr>
        <w:t>.</w:t>
      </w:r>
      <w:r>
        <w:rPr>
          <w:rFonts w:ascii="Times New Roman" w:hAnsi="Times New Roman" w:eastAsia="Times New Roman"/>
          <w:color w:val="auto"/>
          <w:spacing w:val="2"/>
          <w:sz w:val="31"/>
          <w:szCs w:val="31"/>
          <w:highlight w:val="none"/>
        </w:rPr>
        <w:t xml:space="preserve">  </w:t>
      </w:r>
      <w:r>
        <w:rPr>
          <w:rFonts w:ascii="黑体" w:hAnsi="黑体" w:eastAsia="黑体"/>
          <w:color w:val="auto"/>
          <w:spacing w:val="2"/>
          <w:sz w:val="31"/>
          <w:szCs w:val="31"/>
          <w:highlight w:val="none"/>
        </w:rPr>
        <w:t>总则</w:t>
      </w:r>
      <w:bookmarkEnd w:id="91"/>
      <w:bookmarkEnd w:id="92"/>
      <w:bookmarkEnd w:id="93"/>
      <w:bookmarkEnd w:id="94"/>
      <w:bookmarkEnd w:id="95"/>
    </w:p>
    <w:p w14:paraId="04D3CE2A">
      <w:pPr>
        <w:spacing w:line="247" w:lineRule="auto"/>
        <w:rPr>
          <w:color w:val="auto"/>
          <w:highlight w:val="none"/>
        </w:rPr>
      </w:pPr>
    </w:p>
    <w:p w14:paraId="3AAD009B">
      <w:pPr>
        <w:rPr>
          <w:rFonts w:ascii="Times New Roman" w:hAnsi="Times New Roman" w:eastAsia="Times New Roman"/>
          <w:color w:val="auto"/>
          <w:spacing w:val="6"/>
          <w:sz w:val="27"/>
          <w:szCs w:val="27"/>
          <w:highlight w:val="none"/>
        </w:rPr>
      </w:pPr>
      <w:bookmarkStart w:id="96" w:name="_Toc3974"/>
      <w:bookmarkStart w:id="97" w:name="_Toc24214"/>
      <w:bookmarkStart w:id="98" w:name="_Toc31737"/>
      <w:bookmarkStart w:id="99" w:name="_Toc9379"/>
      <w:bookmarkStart w:id="100" w:name="_Toc27791"/>
      <w:r>
        <w:rPr>
          <w:rFonts w:ascii="Times New Roman" w:hAnsi="Times New Roman" w:eastAsia="Times New Roman"/>
          <w:color w:val="auto"/>
          <w:spacing w:val="6"/>
          <w:sz w:val="27"/>
          <w:szCs w:val="27"/>
          <w:highlight w:val="none"/>
        </w:rPr>
        <w:t>1</w:t>
      </w:r>
      <w:r>
        <w:rPr>
          <w:rFonts w:ascii="Times New Roman" w:hAnsi="Times New Roman" w:eastAsia="Times New Roman"/>
          <w:color w:val="auto"/>
          <w:spacing w:val="4"/>
          <w:sz w:val="27"/>
          <w:szCs w:val="27"/>
          <w:highlight w:val="none"/>
        </w:rPr>
        <w:t xml:space="preserve">.1  </w:t>
      </w:r>
      <w:r>
        <w:rPr>
          <w:rFonts w:ascii="黑体" w:hAnsi="黑体" w:eastAsia="黑体"/>
          <w:color w:val="auto"/>
          <w:spacing w:val="4"/>
          <w:sz w:val="27"/>
          <w:szCs w:val="27"/>
          <w:highlight w:val="none"/>
        </w:rPr>
        <w:t>招标项目概况</w:t>
      </w:r>
      <w:bookmarkEnd w:id="96"/>
      <w:bookmarkEnd w:id="97"/>
      <w:bookmarkEnd w:id="98"/>
      <w:bookmarkEnd w:id="99"/>
      <w:bookmarkEnd w:id="100"/>
    </w:p>
    <w:p w14:paraId="51E66422">
      <w:pPr>
        <w:spacing w:before="68" w:line="352" w:lineRule="auto"/>
        <w:ind w:firstLine="435"/>
        <w:rPr>
          <w:rFonts w:ascii="Times New Roman" w:hAnsi="Times New Roman" w:eastAsia="Times New Roman"/>
          <w:color w:val="auto"/>
          <w:spacing w:val="-10"/>
          <w:highlight w:val="none"/>
        </w:rPr>
      </w:pPr>
      <w:r>
        <w:rPr>
          <w:rFonts w:ascii="Times New Roman" w:hAnsi="Times New Roman" w:eastAsia="Times New Roman"/>
          <w:color w:val="auto"/>
          <w:spacing w:val="-10"/>
          <w:highlight w:val="none"/>
        </w:rPr>
        <w:t xml:space="preserve">1.1.1 </w:t>
      </w:r>
      <w:r>
        <w:rPr>
          <w:rFonts w:ascii="宋体" w:hAnsi="宋体" w:eastAsia="宋体"/>
          <w:color w:val="auto"/>
          <w:spacing w:val="-10"/>
          <w:highlight w:val="none"/>
        </w:rPr>
        <w:t>根</w:t>
      </w:r>
      <w:r>
        <w:rPr>
          <w:rFonts w:ascii="宋体" w:hAnsi="宋体" w:eastAsia="宋体"/>
          <w:color w:val="auto"/>
          <w:spacing w:val="-5"/>
          <w:highlight w:val="none"/>
        </w:rPr>
        <w:t>据《中华人民共和国招标投标法》、《中华人民共和国招标投标法实施条例》等有关</w:t>
      </w:r>
      <w:r>
        <w:rPr>
          <w:rFonts w:ascii="宋体" w:hAnsi="宋体" w:eastAsia="宋体"/>
          <w:color w:val="auto"/>
          <w:highlight w:val="none"/>
        </w:rPr>
        <w:t xml:space="preserve"> </w:t>
      </w:r>
      <w:r>
        <w:rPr>
          <w:rFonts w:ascii="宋体" w:hAnsi="宋体" w:eastAsia="宋体"/>
          <w:color w:val="auto"/>
          <w:spacing w:val="-2"/>
          <w:highlight w:val="none"/>
        </w:rPr>
        <w:t>法律、法</w:t>
      </w:r>
      <w:r>
        <w:rPr>
          <w:rFonts w:ascii="宋体" w:hAnsi="宋体" w:eastAsia="宋体"/>
          <w:color w:val="auto"/>
          <w:spacing w:val="-1"/>
          <w:highlight w:val="none"/>
        </w:rPr>
        <w:t>规和规章的规定，本招标项目已具备招标条件，现对</w:t>
      </w:r>
      <w:r>
        <w:rPr>
          <w:rFonts w:hint="eastAsia" w:ascii="宋体" w:hAnsi="宋体" w:eastAsia="宋体"/>
          <w:color w:val="auto"/>
          <w:spacing w:val="-1"/>
          <w:highlight w:val="none"/>
        </w:rPr>
        <w:t>设计</w:t>
      </w:r>
      <w:r>
        <w:rPr>
          <w:rFonts w:ascii="宋体" w:hAnsi="宋体" w:eastAsia="宋体"/>
          <w:color w:val="auto"/>
          <w:spacing w:val="-1"/>
          <w:highlight w:val="none"/>
        </w:rPr>
        <w:t>进行招标。</w:t>
      </w:r>
    </w:p>
    <w:p w14:paraId="4488CD18">
      <w:pPr>
        <w:spacing w:line="219" w:lineRule="auto"/>
        <w:ind w:left="435"/>
        <w:rPr>
          <w:rFonts w:ascii="Times New Roman" w:hAnsi="Times New Roman" w:eastAsia="Times New Roman"/>
          <w:color w:val="auto"/>
          <w:spacing w:val="-4"/>
          <w:highlight w:val="none"/>
        </w:rPr>
      </w:pPr>
      <w:r>
        <w:rPr>
          <w:rFonts w:ascii="Times New Roman" w:hAnsi="Times New Roman" w:eastAsia="Times New Roman"/>
          <w:color w:val="auto"/>
          <w:spacing w:val="-4"/>
          <w:highlight w:val="none"/>
        </w:rPr>
        <w:t>1.1.2</w:t>
      </w:r>
      <w:r>
        <w:rPr>
          <w:rFonts w:ascii="Times New Roman" w:hAnsi="Times New Roman" w:eastAsia="Times New Roman"/>
          <w:color w:val="auto"/>
          <w:spacing w:val="-3"/>
          <w:highlight w:val="none"/>
        </w:rPr>
        <w:t xml:space="preserve"> </w:t>
      </w:r>
      <w:r>
        <w:rPr>
          <w:rFonts w:ascii="Times New Roman" w:hAnsi="Times New Roman" w:eastAsia="Times New Roman"/>
          <w:color w:val="auto"/>
          <w:spacing w:val="-2"/>
          <w:highlight w:val="none"/>
        </w:rPr>
        <w:t xml:space="preserve"> </w:t>
      </w:r>
      <w:r>
        <w:rPr>
          <w:rFonts w:ascii="宋体" w:hAnsi="宋体" w:eastAsia="宋体"/>
          <w:color w:val="auto"/>
          <w:spacing w:val="-2"/>
          <w:highlight w:val="none"/>
        </w:rPr>
        <w:t>招标人：见投标人须知前附表。</w:t>
      </w:r>
    </w:p>
    <w:p w14:paraId="32004FC8">
      <w:pPr>
        <w:spacing w:before="149" w:line="400" w:lineRule="exact"/>
        <w:ind w:left="435"/>
        <w:rPr>
          <w:rFonts w:ascii="Times New Roman" w:hAnsi="Times New Roman" w:eastAsia="Times New Roman"/>
          <w:color w:val="auto"/>
          <w:spacing w:val="-4"/>
          <w:position w:val="14"/>
          <w:highlight w:val="none"/>
        </w:rPr>
      </w:pPr>
      <w:r>
        <w:rPr>
          <w:rFonts w:ascii="Times New Roman" w:hAnsi="Times New Roman" w:eastAsia="Times New Roman"/>
          <w:color w:val="auto"/>
          <w:spacing w:val="-4"/>
          <w:position w:val="14"/>
          <w:highlight w:val="none"/>
        </w:rPr>
        <w:t>1.</w:t>
      </w:r>
      <w:r>
        <w:rPr>
          <w:rFonts w:ascii="Times New Roman" w:hAnsi="Times New Roman" w:eastAsia="Times New Roman"/>
          <w:color w:val="auto"/>
          <w:spacing w:val="-3"/>
          <w:position w:val="14"/>
          <w:highlight w:val="none"/>
        </w:rPr>
        <w:t>1</w:t>
      </w:r>
      <w:r>
        <w:rPr>
          <w:rFonts w:ascii="Times New Roman" w:hAnsi="Times New Roman" w:eastAsia="Times New Roman"/>
          <w:color w:val="auto"/>
          <w:spacing w:val="-2"/>
          <w:position w:val="14"/>
          <w:highlight w:val="none"/>
        </w:rPr>
        <w:t xml:space="preserve">.3  </w:t>
      </w:r>
      <w:r>
        <w:rPr>
          <w:rFonts w:ascii="宋体" w:hAnsi="宋体" w:eastAsia="宋体"/>
          <w:color w:val="auto"/>
          <w:spacing w:val="-2"/>
          <w:position w:val="14"/>
          <w:highlight w:val="none"/>
        </w:rPr>
        <w:t>招标代理机构：见投标人须知前附表。</w:t>
      </w:r>
    </w:p>
    <w:p w14:paraId="05E2FDC1">
      <w:pPr>
        <w:spacing w:line="219" w:lineRule="auto"/>
        <w:ind w:left="435"/>
        <w:rPr>
          <w:rFonts w:ascii="Times New Roman" w:hAnsi="Times New Roman" w:eastAsia="Times New Roman"/>
          <w:color w:val="auto"/>
          <w:spacing w:val="-4"/>
          <w:highlight w:val="none"/>
        </w:rPr>
      </w:pPr>
      <w:r>
        <w:rPr>
          <w:rFonts w:ascii="Times New Roman" w:hAnsi="Times New Roman" w:eastAsia="Times New Roman"/>
          <w:color w:val="auto"/>
          <w:spacing w:val="-4"/>
          <w:highlight w:val="none"/>
        </w:rPr>
        <w:t>1.</w:t>
      </w:r>
      <w:r>
        <w:rPr>
          <w:rFonts w:ascii="Times New Roman" w:hAnsi="Times New Roman" w:eastAsia="Times New Roman"/>
          <w:color w:val="auto"/>
          <w:spacing w:val="-3"/>
          <w:highlight w:val="none"/>
        </w:rPr>
        <w:t>1</w:t>
      </w:r>
      <w:r>
        <w:rPr>
          <w:rFonts w:ascii="Times New Roman" w:hAnsi="Times New Roman" w:eastAsia="Times New Roman"/>
          <w:color w:val="auto"/>
          <w:spacing w:val="-2"/>
          <w:highlight w:val="none"/>
        </w:rPr>
        <w:t xml:space="preserve">.4  </w:t>
      </w:r>
      <w:r>
        <w:rPr>
          <w:rFonts w:ascii="宋体" w:hAnsi="宋体" w:eastAsia="宋体"/>
          <w:color w:val="auto"/>
          <w:spacing w:val="-2"/>
          <w:highlight w:val="none"/>
        </w:rPr>
        <w:t>招标项目名称：见投标人须知前附表。</w:t>
      </w:r>
    </w:p>
    <w:p w14:paraId="675A07F4">
      <w:pPr>
        <w:spacing w:before="151" w:line="220" w:lineRule="auto"/>
        <w:ind w:left="435"/>
        <w:rPr>
          <w:rFonts w:ascii="Times New Roman" w:hAnsi="Times New Roman" w:eastAsia="Times New Roman"/>
          <w:color w:val="auto"/>
          <w:spacing w:val="-4"/>
          <w:highlight w:val="none"/>
        </w:rPr>
      </w:pPr>
      <w:r>
        <w:rPr>
          <w:rFonts w:ascii="Times New Roman" w:hAnsi="Times New Roman" w:eastAsia="Times New Roman"/>
          <w:color w:val="auto"/>
          <w:spacing w:val="-4"/>
          <w:highlight w:val="none"/>
        </w:rPr>
        <w:t>1.</w:t>
      </w:r>
      <w:r>
        <w:rPr>
          <w:rFonts w:ascii="Times New Roman" w:hAnsi="Times New Roman" w:eastAsia="Times New Roman"/>
          <w:color w:val="auto"/>
          <w:spacing w:val="-3"/>
          <w:highlight w:val="none"/>
        </w:rPr>
        <w:t>1</w:t>
      </w:r>
      <w:r>
        <w:rPr>
          <w:rFonts w:ascii="Times New Roman" w:hAnsi="Times New Roman" w:eastAsia="Times New Roman"/>
          <w:color w:val="auto"/>
          <w:spacing w:val="-2"/>
          <w:highlight w:val="none"/>
        </w:rPr>
        <w:t xml:space="preserve">.5  </w:t>
      </w:r>
      <w:r>
        <w:rPr>
          <w:rFonts w:ascii="宋体" w:hAnsi="宋体" w:eastAsia="宋体"/>
          <w:color w:val="auto"/>
          <w:spacing w:val="-2"/>
          <w:highlight w:val="none"/>
        </w:rPr>
        <w:t>项目建设地点：见投标人须知前附表。</w:t>
      </w:r>
    </w:p>
    <w:p w14:paraId="172D1FFE">
      <w:pPr>
        <w:spacing w:before="149" w:line="220" w:lineRule="auto"/>
        <w:ind w:left="435"/>
        <w:rPr>
          <w:rFonts w:ascii="Times New Roman" w:hAnsi="Times New Roman" w:eastAsia="Times New Roman"/>
          <w:color w:val="auto"/>
          <w:spacing w:val="-4"/>
          <w:highlight w:val="none"/>
        </w:rPr>
      </w:pPr>
      <w:r>
        <w:rPr>
          <w:rFonts w:ascii="Times New Roman" w:hAnsi="Times New Roman" w:eastAsia="Times New Roman"/>
          <w:color w:val="auto"/>
          <w:spacing w:val="-4"/>
          <w:highlight w:val="none"/>
        </w:rPr>
        <w:t>1.</w:t>
      </w:r>
      <w:r>
        <w:rPr>
          <w:rFonts w:ascii="Times New Roman" w:hAnsi="Times New Roman" w:eastAsia="Times New Roman"/>
          <w:color w:val="auto"/>
          <w:spacing w:val="-3"/>
          <w:highlight w:val="none"/>
        </w:rPr>
        <w:t>1</w:t>
      </w:r>
      <w:r>
        <w:rPr>
          <w:rFonts w:ascii="Times New Roman" w:hAnsi="Times New Roman" w:eastAsia="Times New Roman"/>
          <w:color w:val="auto"/>
          <w:spacing w:val="-2"/>
          <w:highlight w:val="none"/>
        </w:rPr>
        <w:t xml:space="preserve">.6  </w:t>
      </w:r>
      <w:r>
        <w:rPr>
          <w:rFonts w:ascii="宋体" w:hAnsi="宋体" w:eastAsia="宋体"/>
          <w:color w:val="auto"/>
          <w:spacing w:val="-2"/>
          <w:highlight w:val="none"/>
        </w:rPr>
        <w:t>项目建设规模：见投标人须知前附表。</w:t>
      </w:r>
    </w:p>
    <w:p w14:paraId="425BFAB2">
      <w:pPr>
        <w:spacing w:before="150" w:line="219" w:lineRule="auto"/>
        <w:ind w:left="435"/>
        <w:rPr>
          <w:rFonts w:ascii="宋体" w:hAnsi="宋体" w:eastAsia="宋体"/>
          <w:color w:val="auto"/>
          <w:spacing w:val="-2"/>
          <w:highlight w:val="none"/>
        </w:rPr>
      </w:pPr>
      <w:r>
        <w:rPr>
          <w:rFonts w:ascii="Times New Roman" w:hAnsi="Times New Roman" w:eastAsia="Times New Roman"/>
          <w:color w:val="auto"/>
          <w:spacing w:val="-4"/>
          <w:highlight w:val="none"/>
        </w:rPr>
        <w:t>1.</w:t>
      </w:r>
      <w:r>
        <w:rPr>
          <w:rFonts w:ascii="Times New Roman" w:hAnsi="Times New Roman" w:eastAsia="Times New Roman"/>
          <w:color w:val="auto"/>
          <w:spacing w:val="-3"/>
          <w:highlight w:val="none"/>
        </w:rPr>
        <w:t>1</w:t>
      </w:r>
      <w:r>
        <w:rPr>
          <w:rFonts w:ascii="Times New Roman" w:hAnsi="Times New Roman" w:eastAsia="Times New Roman"/>
          <w:color w:val="auto"/>
          <w:spacing w:val="-2"/>
          <w:highlight w:val="none"/>
        </w:rPr>
        <w:t xml:space="preserve">.7  </w:t>
      </w:r>
      <w:r>
        <w:rPr>
          <w:rFonts w:ascii="宋体" w:hAnsi="宋体" w:eastAsia="宋体"/>
          <w:color w:val="auto"/>
          <w:spacing w:val="-2"/>
          <w:highlight w:val="none"/>
        </w:rPr>
        <w:t>项目投资估算：见投标人须知前附表。</w:t>
      </w:r>
    </w:p>
    <w:p w14:paraId="313CE619">
      <w:pPr>
        <w:pStyle w:val="7"/>
        <w:rPr>
          <w:rFonts w:eastAsiaTheme="minorEastAsia"/>
          <w:color w:val="auto"/>
          <w:highlight w:val="none"/>
        </w:rPr>
      </w:pPr>
    </w:p>
    <w:p w14:paraId="16135958">
      <w:pPr>
        <w:rPr>
          <w:rFonts w:ascii="Times New Roman" w:hAnsi="Times New Roman" w:eastAsia="Times New Roman"/>
          <w:color w:val="auto"/>
          <w:spacing w:val="12"/>
          <w:sz w:val="27"/>
          <w:szCs w:val="27"/>
          <w:highlight w:val="none"/>
        </w:rPr>
      </w:pPr>
      <w:bookmarkStart w:id="101" w:name="_Toc6870"/>
      <w:bookmarkStart w:id="102" w:name="_Toc24724"/>
      <w:bookmarkStart w:id="103" w:name="_Toc17697"/>
      <w:bookmarkStart w:id="104" w:name="_Toc9196"/>
      <w:bookmarkStart w:id="105" w:name="_Toc3794"/>
      <w:r>
        <w:rPr>
          <w:rFonts w:ascii="Times New Roman" w:hAnsi="Times New Roman" w:eastAsia="Times New Roman"/>
          <w:color w:val="auto"/>
          <w:spacing w:val="12"/>
          <w:sz w:val="27"/>
          <w:szCs w:val="27"/>
          <w:highlight w:val="none"/>
        </w:rPr>
        <w:t>1.</w:t>
      </w:r>
      <w:r>
        <w:rPr>
          <w:rFonts w:ascii="Times New Roman" w:hAnsi="Times New Roman" w:eastAsia="Times New Roman"/>
          <w:color w:val="auto"/>
          <w:spacing w:val="7"/>
          <w:sz w:val="27"/>
          <w:szCs w:val="27"/>
          <w:highlight w:val="none"/>
        </w:rPr>
        <w:t>2</w:t>
      </w:r>
      <w:r>
        <w:rPr>
          <w:rFonts w:ascii="Times New Roman" w:hAnsi="Times New Roman" w:eastAsia="Times New Roman"/>
          <w:color w:val="auto"/>
          <w:spacing w:val="6"/>
          <w:sz w:val="27"/>
          <w:szCs w:val="27"/>
          <w:highlight w:val="none"/>
        </w:rPr>
        <w:t xml:space="preserve">  </w:t>
      </w:r>
      <w:r>
        <w:rPr>
          <w:rFonts w:ascii="黑体" w:hAnsi="黑体" w:eastAsia="黑体"/>
          <w:color w:val="auto"/>
          <w:spacing w:val="6"/>
          <w:sz w:val="27"/>
          <w:szCs w:val="27"/>
          <w:highlight w:val="none"/>
        </w:rPr>
        <w:t>招标项目的资金来源和落实情况</w:t>
      </w:r>
      <w:bookmarkEnd w:id="101"/>
      <w:bookmarkEnd w:id="102"/>
      <w:bookmarkEnd w:id="103"/>
      <w:bookmarkEnd w:id="104"/>
      <w:bookmarkEnd w:id="105"/>
    </w:p>
    <w:p w14:paraId="44EBAB8B">
      <w:pPr>
        <w:spacing w:before="70" w:line="400" w:lineRule="exact"/>
        <w:ind w:left="435"/>
        <w:rPr>
          <w:rFonts w:ascii="Times New Roman" w:hAnsi="Times New Roman" w:eastAsia="Times New Roman"/>
          <w:color w:val="auto"/>
          <w:spacing w:val="-4"/>
          <w:position w:val="14"/>
          <w:highlight w:val="none"/>
        </w:rPr>
      </w:pPr>
      <w:r>
        <w:rPr>
          <w:rFonts w:ascii="Times New Roman" w:hAnsi="Times New Roman" w:eastAsia="Times New Roman"/>
          <w:color w:val="auto"/>
          <w:spacing w:val="-4"/>
          <w:position w:val="14"/>
          <w:highlight w:val="none"/>
        </w:rPr>
        <w:t>1</w:t>
      </w:r>
      <w:r>
        <w:rPr>
          <w:rFonts w:ascii="Times New Roman" w:hAnsi="Times New Roman" w:eastAsia="Times New Roman"/>
          <w:color w:val="auto"/>
          <w:spacing w:val="-3"/>
          <w:position w:val="14"/>
          <w:highlight w:val="none"/>
        </w:rPr>
        <w:t>.</w:t>
      </w:r>
      <w:r>
        <w:rPr>
          <w:rFonts w:ascii="Times New Roman" w:hAnsi="Times New Roman" w:eastAsia="Times New Roman"/>
          <w:color w:val="auto"/>
          <w:spacing w:val="-2"/>
          <w:position w:val="14"/>
          <w:highlight w:val="none"/>
        </w:rPr>
        <w:t xml:space="preserve">2.1  </w:t>
      </w:r>
      <w:r>
        <w:rPr>
          <w:rFonts w:ascii="宋体" w:hAnsi="宋体" w:eastAsia="宋体"/>
          <w:color w:val="auto"/>
          <w:spacing w:val="-2"/>
          <w:position w:val="14"/>
          <w:highlight w:val="none"/>
        </w:rPr>
        <w:t>资金来源及比例：见投标人须知前附表。</w:t>
      </w:r>
    </w:p>
    <w:p w14:paraId="199F5EF2">
      <w:pPr>
        <w:spacing w:before="1" w:line="216" w:lineRule="auto"/>
        <w:ind w:left="435"/>
        <w:rPr>
          <w:rFonts w:ascii="宋体" w:hAnsi="宋体" w:eastAsia="宋体"/>
          <w:color w:val="auto"/>
          <w:spacing w:val="-2"/>
          <w:highlight w:val="none"/>
        </w:rPr>
      </w:pPr>
      <w:r>
        <w:rPr>
          <w:rFonts w:ascii="Times New Roman" w:hAnsi="Times New Roman" w:eastAsia="Times New Roman"/>
          <w:color w:val="auto"/>
          <w:spacing w:val="-4"/>
          <w:highlight w:val="none"/>
        </w:rPr>
        <w:t>1.</w:t>
      </w:r>
      <w:r>
        <w:rPr>
          <w:rFonts w:ascii="Times New Roman" w:hAnsi="Times New Roman" w:eastAsia="Times New Roman"/>
          <w:color w:val="auto"/>
          <w:spacing w:val="-3"/>
          <w:highlight w:val="none"/>
        </w:rPr>
        <w:t>2</w:t>
      </w:r>
      <w:r>
        <w:rPr>
          <w:rFonts w:ascii="Times New Roman" w:hAnsi="Times New Roman" w:eastAsia="Times New Roman"/>
          <w:color w:val="auto"/>
          <w:spacing w:val="-2"/>
          <w:highlight w:val="none"/>
        </w:rPr>
        <w:t xml:space="preserve">.2  </w:t>
      </w:r>
      <w:r>
        <w:rPr>
          <w:rFonts w:ascii="宋体" w:hAnsi="宋体" w:eastAsia="宋体"/>
          <w:color w:val="auto"/>
          <w:spacing w:val="-2"/>
          <w:highlight w:val="none"/>
        </w:rPr>
        <w:t>资金落实情况：见投标人须知前附表。</w:t>
      </w:r>
    </w:p>
    <w:p w14:paraId="3158ABF3">
      <w:pPr>
        <w:pStyle w:val="7"/>
        <w:rPr>
          <w:rFonts w:eastAsiaTheme="minorEastAsia"/>
          <w:color w:val="auto"/>
          <w:highlight w:val="none"/>
        </w:rPr>
      </w:pPr>
    </w:p>
    <w:p w14:paraId="07134762">
      <w:pPr>
        <w:rPr>
          <w:rFonts w:ascii="Times New Roman" w:hAnsi="Times New Roman" w:eastAsia="Times New Roman"/>
          <w:color w:val="auto"/>
          <w:spacing w:val="14"/>
          <w:sz w:val="27"/>
          <w:szCs w:val="27"/>
          <w:highlight w:val="none"/>
        </w:rPr>
      </w:pPr>
      <w:bookmarkStart w:id="106" w:name="_Toc12983"/>
      <w:bookmarkStart w:id="107" w:name="_Toc16472"/>
      <w:bookmarkStart w:id="108" w:name="_Toc20605"/>
      <w:bookmarkStart w:id="109" w:name="_Toc16178"/>
      <w:bookmarkStart w:id="110" w:name="_Toc4137"/>
      <w:r>
        <w:rPr>
          <w:rFonts w:ascii="Times New Roman" w:hAnsi="Times New Roman" w:eastAsia="Times New Roman"/>
          <w:color w:val="auto"/>
          <w:spacing w:val="14"/>
          <w:sz w:val="27"/>
          <w:szCs w:val="27"/>
          <w:highlight w:val="none"/>
        </w:rPr>
        <w:t>1</w:t>
      </w:r>
      <w:r>
        <w:rPr>
          <w:rFonts w:ascii="Times New Roman" w:hAnsi="Times New Roman" w:eastAsia="Times New Roman"/>
          <w:color w:val="auto"/>
          <w:spacing w:val="7"/>
          <w:sz w:val="27"/>
          <w:szCs w:val="27"/>
          <w:highlight w:val="none"/>
        </w:rPr>
        <w:t xml:space="preserve">.3 </w:t>
      </w:r>
      <w:r>
        <w:rPr>
          <w:rFonts w:ascii="黑体" w:hAnsi="黑体" w:eastAsia="黑体"/>
          <w:color w:val="auto"/>
          <w:spacing w:val="7"/>
          <w:sz w:val="27"/>
          <w:szCs w:val="27"/>
          <w:highlight w:val="none"/>
        </w:rPr>
        <w:t>招标范围、设计服务期限和质量标准</w:t>
      </w:r>
      <w:bookmarkEnd w:id="106"/>
      <w:bookmarkEnd w:id="107"/>
      <w:bookmarkEnd w:id="108"/>
      <w:bookmarkEnd w:id="109"/>
      <w:bookmarkEnd w:id="110"/>
    </w:p>
    <w:p w14:paraId="326E8043">
      <w:pPr>
        <w:spacing w:before="69" w:line="400" w:lineRule="exact"/>
        <w:ind w:left="435"/>
        <w:rPr>
          <w:rFonts w:ascii="Times New Roman" w:hAnsi="Times New Roman" w:eastAsia="Times New Roman"/>
          <w:color w:val="auto"/>
          <w:spacing w:val="-4"/>
          <w:position w:val="14"/>
          <w:highlight w:val="none"/>
        </w:rPr>
      </w:pPr>
      <w:r>
        <w:rPr>
          <w:rFonts w:ascii="Times New Roman" w:hAnsi="Times New Roman" w:eastAsia="Times New Roman"/>
          <w:color w:val="auto"/>
          <w:spacing w:val="-4"/>
          <w:position w:val="14"/>
          <w:highlight w:val="none"/>
        </w:rPr>
        <w:t>1.3.</w:t>
      </w:r>
      <w:r>
        <w:rPr>
          <w:rFonts w:ascii="Times New Roman" w:hAnsi="Times New Roman" w:eastAsia="Times New Roman"/>
          <w:color w:val="auto"/>
          <w:spacing w:val="-3"/>
          <w:position w:val="14"/>
          <w:highlight w:val="none"/>
        </w:rPr>
        <w:t>1</w:t>
      </w:r>
      <w:r>
        <w:rPr>
          <w:rFonts w:ascii="Times New Roman" w:hAnsi="Times New Roman" w:eastAsia="Times New Roman"/>
          <w:color w:val="auto"/>
          <w:spacing w:val="-2"/>
          <w:position w:val="14"/>
          <w:highlight w:val="none"/>
        </w:rPr>
        <w:t xml:space="preserve">  </w:t>
      </w:r>
      <w:r>
        <w:rPr>
          <w:rFonts w:ascii="宋体" w:hAnsi="宋体" w:eastAsia="宋体"/>
          <w:color w:val="auto"/>
          <w:spacing w:val="-2"/>
          <w:position w:val="14"/>
          <w:highlight w:val="none"/>
        </w:rPr>
        <w:t>招标范围：见投标人须知前附表。</w:t>
      </w:r>
    </w:p>
    <w:p w14:paraId="5A9F7E4F">
      <w:pPr>
        <w:spacing w:line="219" w:lineRule="auto"/>
        <w:ind w:left="435"/>
        <w:rPr>
          <w:rFonts w:ascii="Times New Roman" w:hAnsi="Times New Roman" w:eastAsia="Times New Roman"/>
          <w:color w:val="auto"/>
          <w:spacing w:val="-4"/>
          <w:highlight w:val="none"/>
        </w:rPr>
      </w:pPr>
      <w:r>
        <w:rPr>
          <w:rFonts w:ascii="Times New Roman" w:hAnsi="Times New Roman" w:eastAsia="Times New Roman"/>
          <w:color w:val="auto"/>
          <w:spacing w:val="-4"/>
          <w:highlight w:val="none"/>
        </w:rPr>
        <w:t>1.</w:t>
      </w:r>
      <w:r>
        <w:rPr>
          <w:rFonts w:ascii="Times New Roman" w:hAnsi="Times New Roman" w:eastAsia="Times New Roman"/>
          <w:color w:val="auto"/>
          <w:spacing w:val="-3"/>
          <w:highlight w:val="none"/>
        </w:rPr>
        <w:t>3</w:t>
      </w:r>
      <w:r>
        <w:rPr>
          <w:rFonts w:ascii="Times New Roman" w:hAnsi="Times New Roman" w:eastAsia="Times New Roman"/>
          <w:color w:val="auto"/>
          <w:spacing w:val="-2"/>
          <w:highlight w:val="none"/>
        </w:rPr>
        <w:t xml:space="preserve">.2  </w:t>
      </w:r>
      <w:r>
        <w:rPr>
          <w:rFonts w:hint="eastAsia" w:ascii="Times New Roman" w:hAnsi="Times New Roman" w:eastAsia="宋体"/>
          <w:color w:val="auto"/>
          <w:spacing w:val="-2"/>
          <w:highlight w:val="none"/>
        </w:rPr>
        <w:t>勘察、</w:t>
      </w:r>
      <w:r>
        <w:rPr>
          <w:rFonts w:ascii="宋体" w:hAnsi="宋体" w:eastAsia="宋体"/>
          <w:color w:val="auto"/>
          <w:spacing w:val="-2"/>
          <w:highlight w:val="none"/>
        </w:rPr>
        <w:t>设计服务期限：见投标人须知前附表。</w:t>
      </w:r>
    </w:p>
    <w:p w14:paraId="7EB5E6FD">
      <w:pPr>
        <w:spacing w:before="151" w:line="220" w:lineRule="auto"/>
        <w:ind w:left="435"/>
        <w:rPr>
          <w:rFonts w:ascii="Times New Roman" w:hAnsi="Times New Roman" w:eastAsia="Times New Roman"/>
          <w:color w:val="auto"/>
          <w:spacing w:val="-4"/>
          <w:highlight w:val="none"/>
        </w:rPr>
      </w:pPr>
      <w:r>
        <w:rPr>
          <w:rFonts w:ascii="Times New Roman" w:hAnsi="Times New Roman" w:eastAsia="Times New Roman"/>
          <w:color w:val="auto"/>
          <w:spacing w:val="-4"/>
          <w:highlight w:val="none"/>
        </w:rPr>
        <w:t>1.3.</w:t>
      </w:r>
      <w:r>
        <w:rPr>
          <w:rFonts w:ascii="Times New Roman" w:hAnsi="Times New Roman" w:eastAsia="Times New Roman"/>
          <w:color w:val="auto"/>
          <w:spacing w:val="-3"/>
          <w:highlight w:val="none"/>
        </w:rPr>
        <w:t>3</w:t>
      </w:r>
      <w:r>
        <w:rPr>
          <w:rFonts w:ascii="Times New Roman" w:hAnsi="Times New Roman" w:eastAsia="Times New Roman"/>
          <w:color w:val="auto"/>
          <w:spacing w:val="-2"/>
          <w:highlight w:val="none"/>
        </w:rPr>
        <w:t xml:space="preserve">  </w:t>
      </w:r>
      <w:r>
        <w:rPr>
          <w:rFonts w:ascii="宋体" w:hAnsi="宋体" w:eastAsia="宋体"/>
          <w:color w:val="auto"/>
          <w:spacing w:val="-2"/>
          <w:highlight w:val="none"/>
        </w:rPr>
        <w:t>质量标准：见投标人须知前附表。</w:t>
      </w:r>
    </w:p>
    <w:p w14:paraId="5B1DF7CA">
      <w:pPr>
        <w:rPr>
          <w:rFonts w:ascii="Times New Roman" w:hAnsi="Times New Roman" w:eastAsiaTheme="minorEastAsia"/>
          <w:color w:val="auto"/>
          <w:spacing w:val="5"/>
          <w:sz w:val="27"/>
          <w:szCs w:val="27"/>
          <w:highlight w:val="none"/>
        </w:rPr>
      </w:pPr>
      <w:bookmarkStart w:id="111" w:name="_Toc19751"/>
      <w:bookmarkStart w:id="112" w:name="_Toc4053"/>
      <w:bookmarkStart w:id="113" w:name="_Toc22838"/>
      <w:bookmarkStart w:id="114" w:name="_Toc15406"/>
      <w:bookmarkStart w:id="115" w:name="_Toc2472"/>
    </w:p>
    <w:p w14:paraId="26639740">
      <w:pPr>
        <w:rPr>
          <w:rFonts w:ascii="Times New Roman" w:hAnsi="Times New Roman" w:eastAsia="Times New Roman"/>
          <w:color w:val="auto"/>
          <w:spacing w:val="5"/>
          <w:sz w:val="27"/>
          <w:szCs w:val="27"/>
          <w:highlight w:val="none"/>
        </w:rPr>
      </w:pPr>
      <w:r>
        <w:rPr>
          <w:rFonts w:ascii="Times New Roman" w:hAnsi="Times New Roman" w:eastAsia="Times New Roman"/>
          <w:color w:val="auto"/>
          <w:spacing w:val="5"/>
          <w:sz w:val="27"/>
          <w:szCs w:val="27"/>
          <w:highlight w:val="none"/>
        </w:rPr>
        <w:t xml:space="preserve">1.4 </w:t>
      </w:r>
      <w:r>
        <w:rPr>
          <w:rFonts w:ascii="黑体" w:hAnsi="黑体" w:eastAsia="黑体"/>
          <w:color w:val="auto"/>
          <w:spacing w:val="5"/>
          <w:sz w:val="27"/>
          <w:szCs w:val="27"/>
          <w:highlight w:val="none"/>
        </w:rPr>
        <w:t>投标人资格要</w:t>
      </w:r>
      <w:r>
        <w:rPr>
          <w:rFonts w:ascii="黑体" w:hAnsi="黑体" w:eastAsia="黑体"/>
          <w:color w:val="auto"/>
          <w:spacing w:val="3"/>
          <w:sz w:val="27"/>
          <w:szCs w:val="27"/>
          <w:highlight w:val="none"/>
        </w:rPr>
        <w:t>求</w:t>
      </w:r>
      <w:bookmarkEnd w:id="111"/>
      <w:bookmarkEnd w:id="112"/>
      <w:bookmarkEnd w:id="113"/>
      <w:bookmarkEnd w:id="114"/>
      <w:bookmarkEnd w:id="115"/>
    </w:p>
    <w:p w14:paraId="3ADF08F3">
      <w:pPr>
        <w:spacing w:before="69" w:line="218" w:lineRule="auto"/>
        <w:ind w:left="435"/>
        <w:rPr>
          <w:rFonts w:ascii="Times New Roman" w:hAnsi="Times New Roman" w:eastAsia="Times New Roman"/>
          <w:color w:val="auto"/>
          <w:spacing w:val="-4"/>
          <w:highlight w:val="none"/>
        </w:rPr>
      </w:pPr>
      <w:r>
        <w:rPr>
          <w:rFonts w:ascii="Times New Roman" w:hAnsi="Times New Roman" w:eastAsia="Times New Roman"/>
          <w:color w:val="auto"/>
          <w:spacing w:val="-4"/>
          <w:highlight w:val="none"/>
        </w:rPr>
        <w:t>1.4.1</w:t>
      </w:r>
      <w:r>
        <w:rPr>
          <w:rFonts w:ascii="Times New Roman" w:hAnsi="Times New Roman" w:eastAsia="Times New Roman"/>
          <w:color w:val="auto"/>
          <w:spacing w:val="-2"/>
          <w:highlight w:val="none"/>
        </w:rPr>
        <w:t xml:space="preserve">  </w:t>
      </w:r>
      <w:r>
        <w:rPr>
          <w:rFonts w:ascii="宋体" w:hAnsi="宋体" w:eastAsia="宋体"/>
          <w:color w:val="auto"/>
          <w:spacing w:val="-2"/>
          <w:highlight w:val="none"/>
        </w:rPr>
        <w:t>投标人应具备承担本招标项目资质条件、能力和信誉：</w:t>
      </w:r>
    </w:p>
    <w:p w14:paraId="48C5249A">
      <w:pPr>
        <w:spacing w:before="151" w:line="219" w:lineRule="auto"/>
        <w:ind w:left="319"/>
        <w:rPr>
          <w:rFonts w:ascii="宋体" w:hAnsi="宋体" w:eastAsia="宋体"/>
          <w:color w:val="auto"/>
          <w:spacing w:val="12"/>
          <w:highlight w:val="none"/>
        </w:rPr>
      </w:pPr>
      <w:r>
        <w:rPr>
          <w:rFonts w:ascii="宋体" w:hAnsi="宋体" w:eastAsia="宋体"/>
          <w:color w:val="auto"/>
          <w:spacing w:val="12"/>
          <w:highlight w:val="none"/>
        </w:rPr>
        <w:t>(</w:t>
      </w:r>
      <w:r>
        <w:rPr>
          <w:rFonts w:ascii="Times New Roman" w:hAnsi="Times New Roman" w:eastAsia="Times New Roman"/>
          <w:color w:val="auto"/>
          <w:spacing w:val="8"/>
          <w:highlight w:val="none"/>
        </w:rPr>
        <w:t>1</w:t>
      </w:r>
      <w:r>
        <w:rPr>
          <w:rFonts w:ascii="宋体" w:hAnsi="宋体" w:eastAsia="宋体"/>
          <w:color w:val="auto"/>
          <w:spacing w:val="8"/>
          <w:highlight w:val="none"/>
        </w:rPr>
        <w:t>)资质要求：见投标人须知前附表；</w:t>
      </w:r>
    </w:p>
    <w:p w14:paraId="014BD7E8">
      <w:pPr>
        <w:spacing w:before="151" w:line="220" w:lineRule="auto"/>
        <w:ind w:left="319"/>
        <w:rPr>
          <w:rFonts w:ascii="宋体" w:hAnsi="宋体" w:eastAsia="宋体"/>
          <w:color w:val="auto"/>
          <w:spacing w:val="12"/>
          <w:highlight w:val="none"/>
        </w:rPr>
      </w:pPr>
      <w:r>
        <w:rPr>
          <w:rFonts w:ascii="宋体" w:hAnsi="宋体" w:eastAsia="宋体"/>
          <w:color w:val="auto"/>
          <w:spacing w:val="12"/>
          <w:highlight w:val="none"/>
        </w:rPr>
        <w:t>(</w:t>
      </w:r>
      <w:r>
        <w:rPr>
          <w:rFonts w:ascii="Times New Roman" w:hAnsi="Times New Roman" w:eastAsia="Times New Roman"/>
          <w:color w:val="auto"/>
          <w:spacing w:val="8"/>
          <w:highlight w:val="none"/>
        </w:rPr>
        <w:t>2</w:t>
      </w:r>
      <w:r>
        <w:rPr>
          <w:rFonts w:ascii="宋体" w:hAnsi="宋体" w:eastAsia="宋体"/>
          <w:color w:val="auto"/>
          <w:spacing w:val="8"/>
          <w:highlight w:val="none"/>
        </w:rPr>
        <w:t>)财务要求：见投标人须知前附表；</w:t>
      </w:r>
    </w:p>
    <w:p w14:paraId="28E00BC9">
      <w:pPr>
        <w:spacing w:before="151" w:line="217" w:lineRule="auto"/>
        <w:ind w:left="319"/>
        <w:rPr>
          <w:rFonts w:ascii="宋体" w:hAnsi="宋体" w:eastAsia="宋体"/>
          <w:color w:val="auto"/>
          <w:spacing w:val="12"/>
          <w:highlight w:val="none"/>
        </w:rPr>
      </w:pPr>
      <w:r>
        <w:rPr>
          <w:rFonts w:ascii="宋体" w:hAnsi="宋体" w:eastAsia="宋体"/>
          <w:color w:val="auto"/>
          <w:spacing w:val="12"/>
          <w:highlight w:val="none"/>
        </w:rPr>
        <w:t>(</w:t>
      </w:r>
      <w:r>
        <w:rPr>
          <w:rFonts w:ascii="Times New Roman" w:hAnsi="Times New Roman" w:eastAsia="Times New Roman"/>
          <w:color w:val="auto"/>
          <w:spacing w:val="8"/>
          <w:highlight w:val="none"/>
        </w:rPr>
        <w:t>3</w:t>
      </w:r>
      <w:r>
        <w:rPr>
          <w:rFonts w:ascii="宋体" w:hAnsi="宋体" w:eastAsia="宋体"/>
          <w:color w:val="auto"/>
          <w:spacing w:val="8"/>
          <w:highlight w:val="none"/>
        </w:rPr>
        <w:t>)业绩要求：见投标人须知前附表；</w:t>
      </w:r>
    </w:p>
    <w:p w14:paraId="6B6E5012">
      <w:pPr>
        <w:spacing w:before="152" w:line="220" w:lineRule="auto"/>
        <w:ind w:left="319"/>
        <w:rPr>
          <w:rFonts w:ascii="宋体" w:hAnsi="宋体" w:eastAsia="宋体"/>
          <w:color w:val="auto"/>
          <w:spacing w:val="12"/>
          <w:highlight w:val="none"/>
        </w:rPr>
      </w:pPr>
      <w:r>
        <w:rPr>
          <w:rFonts w:ascii="宋体" w:hAnsi="宋体" w:eastAsia="宋体"/>
          <w:color w:val="auto"/>
          <w:spacing w:val="12"/>
          <w:highlight w:val="none"/>
        </w:rPr>
        <w:t>(</w:t>
      </w:r>
      <w:r>
        <w:rPr>
          <w:rFonts w:ascii="Times New Roman" w:hAnsi="Times New Roman" w:eastAsia="Times New Roman"/>
          <w:color w:val="auto"/>
          <w:spacing w:val="8"/>
          <w:highlight w:val="none"/>
        </w:rPr>
        <w:t>4</w:t>
      </w:r>
      <w:r>
        <w:rPr>
          <w:rFonts w:ascii="宋体" w:hAnsi="宋体" w:eastAsia="宋体"/>
          <w:color w:val="auto"/>
          <w:spacing w:val="8"/>
          <w:highlight w:val="none"/>
        </w:rPr>
        <w:t>)信誉要求：见投标人须知前附表；</w:t>
      </w:r>
    </w:p>
    <w:p w14:paraId="47AD8C32">
      <w:pPr>
        <w:spacing w:before="150" w:line="361" w:lineRule="auto"/>
        <w:ind w:right="2" w:firstLine="318"/>
        <w:rPr>
          <w:rFonts w:ascii="宋体" w:hAnsi="宋体" w:eastAsia="宋体"/>
          <w:color w:val="auto"/>
          <w:spacing w:val="1"/>
          <w:highlight w:val="none"/>
        </w:rPr>
      </w:pPr>
      <w:r>
        <w:rPr>
          <w:rFonts w:ascii="宋体" w:hAnsi="宋体" w:eastAsia="宋体"/>
          <w:color w:val="auto"/>
          <w:spacing w:val="1"/>
          <w:highlight w:val="none"/>
        </w:rPr>
        <w:t>(</w:t>
      </w:r>
      <w:r>
        <w:rPr>
          <w:rFonts w:ascii="Times New Roman" w:hAnsi="Times New Roman" w:eastAsia="Times New Roman"/>
          <w:color w:val="auto"/>
          <w:spacing w:val="1"/>
          <w:highlight w:val="none"/>
        </w:rPr>
        <w:t>5</w:t>
      </w:r>
      <w:r>
        <w:rPr>
          <w:rFonts w:ascii="宋体" w:hAnsi="宋体" w:eastAsia="宋体"/>
          <w:color w:val="auto"/>
          <w:spacing w:val="1"/>
          <w:highlight w:val="none"/>
        </w:rPr>
        <w:t>) 项目负责人的资格要求：</w:t>
      </w:r>
      <w:r>
        <w:rPr>
          <w:rFonts w:hint="eastAsia" w:ascii="宋体" w:hAnsi="宋体" w:eastAsia="宋体"/>
          <w:color w:val="auto"/>
          <w:spacing w:val="1"/>
          <w:highlight w:val="none"/>
          <w:u w:val="single"/>
        </w:rPr>
        <w:t>详</w:t>
      </w:r>
      <w:r>
        <w:rPr>
          <w:rFonts w:ascii="宋体" w:hAnsi="宋体" w:eastAsia="宋体"/>
          <w:color w:val="auto"/>
          <w:highlight w:val="none"/>
          <w:u w:val="single"/>
        </w:rPr>
        <w:t>见</w:t>
      </w:r>
      <w:r>
        <w:rPr>
          <w:rFonts w:hint="eastAsia" w:ascii="宋体" w:hAnsi="宋体" w:eastAsia="宋体"/>
          <w:color w:val="auto"/>
          <w:highlight w:val="none"/>
          <w:u w:val="single"/>
        </w:rPr>
        <w:t>招标公告</w:t>
      </w:r>
      <w:r>
        <w:rPr>
          <w:rFonts w:ascii="宋体" w:hAnsi="宋体" w:eastAsia="宋体"/>
          <w:color w:val="auto"/>
          <w:spacing w:val="-7"/>
          <w:highlight w:val="none"/>
          <w:u w:val="single"/>
        </w:rPr>
        <w:t>；</w:t>
      </w:r>
    </w:p>
    <w:p w14:paraId="2C3F7936">
      <w:pPr>
        <w:rPr>
          <w:color w:val="auto"/>
          <w:highlight w:val="none"/>
        </w:rPr>
        <w:sectPr>
          <w:footerReference r:id="rId8" w:type="default"/>
          <w:pgSz w:w="12240" w:h="15840"/>
          <w:pgMar w:top="1346" w:right="1797" w:bottom="1103" w:left="1809" w:header="0" w:footer="940" w:gutter="0"/>
          <w:cols w:space="720" w:num="1"/>
        </w:sectPr>
      </w:pPr>
    </w:p>
    <w:p w14:paraId="364BF615">
      <w:pPr>
        <w:spacing w:before="232" w:line="400" w:lineRule="exact"/>
        <w:ind w:left="320"/>
        <w:rPr>
          <w:rFonts w:ascii="宋体" w:hAnsi="宋体" w:eastAsia="宋体"/>
          <w:color w:val="auto"/>
          <w:spacing w:val="14"/>
          <w:position w:val="14"/>
          <w:highlight w:val="none"/>
        </w:rPr>
      </w:pPr>
      <w:r>
        <w:rPr>
          <w:rFonts w:ascii="宋体" w:hAnsi="宋体" w:eastAsia="宋体"/>
          <w:color w:val="auto"/>
          <w:spacing w:val="14"/>
          <w:position w:val="14"/>
          <w:highlight w:val="none"/>
        </w:rPr>
        <w:t>(</w:t>
      </w:r>
      <w:r>
        <w:rPr>
          <w:rFonts w:ascii="Times New Roman" w:hAnsi="Times New Roman" w:eastAsia="Times New Roman"/>
          <w:color w:val="auto"/>
          <w:spacing w:val="13"/>
          <w:position w:val="14"/>
          <w:highlight w:val="none"/>
        </w:rPr>
        <w:t>6</w:t>
      </w:r>
      <w:r>
        <w:rPr>
          <w:rFonts w:ascii="宋体" w:hAnsi="宋体" w:eastAsia="宋体"/>
          <w:color w:val="auto"/>
          <w:spacing w:val="7"/>
          <w:position w:val="14"/>
          <w:highlight w:val="none"/>
        </w:rPr>
        <w:t>)其他主要人员要求：</w:t>
      </w:r>
      <w:r>
        <w:rPr>
          <w:rFonts w:hint="eastAsia" w:ascii="宋体" w:hAnsi="宋体" w:eastAsia="宋体"/>
          <w:color w:val="auto"/>
          <w:spacing w:val="7"/>
          <w:position w:val="14"/>
          <w:highlight w:val="none"/>
          <w:u w:val="single"/>
        </w:rPr>
        <w:t>详</w:t>
      </w:r>
      <w:r>
        <w:rPr>
          <w:rFonts w:ascii="宋体" w:hAnsi="宋体" w:eastAsia="宋体"/>
          <w:color w:val="auto"/>
          <w:spacing w:val="7"/>
          <w:position w:val="14"/>
          <w:highlight w:val="none"/>
          <w:u w:val="single"/>
        </w:rPr>
        <w:t>见</w:t>
      </w:r>
      <w:r>
        <w:rPr>
          <w:rFonts w:hint="eastAsia" w:ascii="宋体" w:hAnsi="宋体" w:eastAsia="宋体"/>
          <w:color w:val="auto"/>
          <w:spacing w:val="7"/>
          <w:position w:val="14"/>
          <w:highlight w:val="none"/>
          <w:u w:val="single"/>
        </w:rPr>
        <w:t>招标公告</w:t>
      </w:r>
      <w:r>
        <w:rPr>
          <w:rFonts w:ascii="宋体" w:hAnsi="宋体" w:eastAsia="宋体"/>
          <w:color w:val="auto"/>
          <w:spacing w:val="7"/>
          <w:position w:val="14"/>
          <w:highlight w:val="none"/>
          <w:u w:val="single"/>
        </w:rPr>
        <w:t>；</w:t>
      </w:r>
    </w:p>
    <w:p w14:paraId="47C3DCB0">
      <w:pPr>
        <w:spacing w:line="218" w:lineRule="auto"/>
        <w:ind w:left="320"/>
        <w:rPr>
          <w:rFonts w:ascii="宋体" w:hAnsi="宋体" w:eastAsia="宋体"/>
          <w:color w:val="auto"/>
          <w:spacing w:val="14"/>
          <w:highlight w:val="none"/>
        </w:rPr>
      </w:pPr>
      <w:r>
        <w:rPr>
          <w:rFonts w:ascii="宋体" w:hAnsi="宋体" w:eastAsia="宋体"/>
          <w:color w:val="auto"/>
          <w:spacing w:val="14"/>
          <w:highlight w:val="none"/>
        </w:rPr>
        <w:t>(</w:t>
      </w:r>
      <w:r>
        <w:rPr>
          <w:rFonts w:ascii="Times New Roman" w:hAnsi="Times New Roman" w:eastAsia="Times New Roman"/>
          <w:color w:val="auto"/>
          <w:spacing w:val="9"/>
          <w:highlight w:val="none"/>
        </w:rPr>
        <w:t>7</w:t>
      </w:r>
      <w:r>
        <w:rPr>
          <w:rFonts w:ascii="宋体" w:hAnsi="宋体" w:eastAsia="宋体"/>
          <w:color w:val="auto"/>
          <w:spacing w:val="9"/>
          <w:highlight w:val="none"/>
        </w:rPr>
        <w:t>)其他要求：见投标人须知前附表。</w:t>
      </w:r>
    </w:p>
    <w:p w14:paraId="7030671F">
      <w:pPr>
        <w:spacing w:before="150" w:line="220" w:lineRule="auto"/>
        <w:ind w:left="430"/>
        <w:rPr>
          <w:rFonts w:ascii="宋体" w:hAnsi="宋体" w:eastAsia="宋体"/>
          <w:color w:val="auto"/>
          <w:spacing w:val="-6"/>
          <w:highlight w:val="none"/>
        </w:rPr>
      </w:pPr>
      <w:r>
        <w:rPr>
          <w:rFonts w:ascii="宋体" w:hAnsi="宋体" w:eastAsia="宋体"/>
          <w:color w:val="auto"/>
          <w:spacing w:val="-6"/>
          <w:highlight w:val="none"/>
        </w:rPr>
        <w:t>需要提交的相</w:t>
      </w:r>
      <w:r>
        <w:rPr>
          <w:rFonts w:ascii="宋体" w:hAnsi="宋体" w:eastAsia="宋体"/>
          <w:color w:val="auto"/>
          <w:spacing w:val="-3"/>
          <w:highlight w:val="none"/>
        </w:rPr>
        <w:t xml:space="preserve">关证明材料见本章第 </w:t>
      </w:r>
      <w:r>
        <w:rPr>
          <w:rFonts w:ascii="Times New Roman" w:hAnsi="Times New Roman" w:eastAsia="Times New Roman"/>
          <w:color w:val="auto"/>
          <w:spacing w:val="-3"/>
          <w:highlight w:val="none"/>
        </w:rPr>
        <w:t xml:space="preserve">3.5 </w:t>
      </w:r>
      <w:r>
        <w:rPr>
          <w:rFonts w:ascii="宋体" w:hAnsi="宋体" w:eastAsia="宋体"/>
          <w:color w:val="auto"/>
          <w:spacing w:val="-3"/>
          <w:highlight w:val="none"/>
        </w:rPr>
        <w:t>款的规定。</w:t>
      </w:r>
    </w:p>
    <w:p w14:paraId="23EBF755">
      <w:pPr>
        <w:spacing w:before="151" w:line="351" w:lineRule="auto"/>
        <w:ind w:left="4" w:right="7" w:firstLine="433"/>
        <w:rPr>
          <w:rFonts w:ascii="Times New Roman" w:hAnsi="Times New Roman" w:eastAsia="Times New Roman"/>
          <w:color w:val="auto"/>
          <w:spacing w:val="-4"/>
          <w:highlight w:val="none"/>
        </w:rPr>
      </w:pPr>
      <w:r>
        <w:rPr>
          <w:rFonts w:ascii="Times New Roman" w:hAnsi="Times New Roman" w:eastAsia="Times New Roman"/>
          <w:color w:val="auto"/>
          <w:spacing w:val="-4"/>
          <w:highlight w:val="none"/>
        </w:rPr>
        <w:t>1</w:t>
      </w:r>
      <w:r>
        <w:rPr>
          <w:rFonts w:ascii="Times New Roman" w:hAnsi="Times New Roman" w:eastAsia="Times New Roman"/>
          <w:color w:val="auto"/>
          <w:spacing w:val="-3"/>
          <w:highlight w:val="none"/>
        </w:rPr>
        <w:t>.</w:t>
      </w:r>
      <w:r>
        <w:rPr>
          <w:rFonts w:ascii="Times New Roman" w:hAnsi="Times New Roman" w:eastAsia="Times New Roman"/>
          <w:color w:val="auto"/>
          <w:spacing w:val="-2"/>
          <w:highlight w:val="none"/>
        </w:rPr>
        <w:t xml:space="preserve">4.2 </w:t>
      </w:r>
      <w:r>
        <w:rPr>
          <w:rFonts w:ascii="宋体" w:hAnsi="宋体" w:eastAsia="宋体"/>
          <w:color w:val="auto"/>
          <w:spacing w:val="-2"/>
          <w:highlight w:val="none"/>
        </w:rPr>
        <w:t xml:space="preserve">投标人须知前附表规定接受联合体投标的，联合体除应符合本章第 </w:t>
      </w:r>
      <w:r>
        <w:rPr>
          <w:rFonts w:ascii="Times New Roman" w:hAnsi="Times New Roman" w:eastAsia="Times New Roman"/>
          <w:color w:val="auto"/>
          <w:spacing w:val="-2"/>
          <w:highlight w:val="none"/>
        </w:rPr>
        <w:t xml:space="preserve">1.4.1 </w:t>
      </w:r>
      <w:r>
        <w:rPr>
          <w:rFonts w:ascii="宋体" w:hAnsi="宋体" w:eastAsia="宋体"/>
          <w:color w:val="auto"/>
          <w:spacing w:val="-2"/>
          <w:highlight w:val="none"/>
        </w:rPr>
        <w:t>项和投标人</w:t>
      </w:r>
      <w:r>
        <w:rPr>
          <w:rFonts w:ascii="宋体" w:hAnsi="宋体" w:eastAsia="宋体"/>
          <w:color w:val="auto"/>
          <w:highlight w:val="none"/>
        </w:rPr>
        <w:t xml:space="preserve"> </w:t>
      </w:r>
      <w:r>
        <w:rPr>
          <w:rFonts w:ascii="宋体" w:hAnsi="宋体" w:eastAsia="宋体"/>
          <w:color w:val="auto"/>
          <w:spacing w:val="-3"/>
          <w:highlight w:val="none"/>
        </w:rPr>
        <w:t>须知前附表的要求外，还应遵守以下规定：</w:t>
      </w:r>
    </w:p>
    <w:p w14:paraId="4147CE8D">
      <w:pPr>
        <w:spacing w:before="1" w:line="351" w:lineRule="auto"/>
        <w:ind w:left="1" w:right="13" w:firstLine="319"/>
        <w:rPr>
          <w:rFonts w:ascii="宋体" w:hAnsi="宋体" w:eastAsia="宋体"/>
          <w:color w:val="auto"/>
          <w:spacing w:val="10"/>
          <w:highlight w:val="none"/>
        </w:rPr>
      </w:pPr>
      <w:r>
        <w:rPr>
          <w:rFonts w:ascii="宋体" w:hAnsi="宋体" w:eastAsia="宋体"/>
          <w:color w:val="auto"/>
          <w:spacing w:val="10"/>
          <w:highlight w:val="none"/>
        </w:rPr>
        <w:t>(</w:t>
      </w:r>
      <w:r>
        <w:rPr>
          <w:rFonts w:ascii="Times New Roman" w:hAnsi="Times New Roman" w:eastAsia="Times New Roman"/>
          <w:color w:val="auto"/>
          <w:spacing w:val="10"/>
          <w:highlight w:val="none"/>
        </w:rPr>
        <w:t>1</w:t>
      </w:r>
      <w:r>
        <w:rPr>
          <w:rFonts w:ascii="宋体" w:hAnsi="宋体" w:eastAsia="宋体"/>
          <w:color w:val="auto"/>
          <w:spacing w:val="10"/>
          <w:highlight w:val="none"/>
        </w:rPr>
        <w:t>)联</w:t>
      </w:r>
      <w:r>
        <w:rPr>
          <w:rFonts w:ascii="宋体" w:hAnsi="宋体" w:eastAsia="宋体"/>
          <w:color w:val="auto"/>
          <w:spacing w:val="6"/>
          <w:highlight w:val="none"/>
        </w:rPr>
        <w:t>合</w:t>
      </w:r>
      <w:r>
        <w:rPr>
          <w:rFonts w:ascii="宋体" w:hAnsi="宋体" w:eastAsia="宋体"/>
          <w:color w:val="auto"/>
          <w:spacing w:val="5"/>
          <w:highlight w:val="none"/>
        </w:rPr>
        <w:t>体各方应按招标文件提供的格式签订联合体协议书，明确联合体</w:t>
      </w:r>
      <w:r>
        <w:rPr>
          <w:rFonts w:hint="eastAsia" w:ascii="宋体" w:hAnsi="宋体" w:eastAsia="宋体"/>
          <w:color w:val="auto"/>
          <w:spacing w:val="5"/>
          <w:highlight w:val="none"/>
        </w:rPr>
        <w:t>主办方</w:t>
      </w:r>
      <w:r>
        <w:rPr>
          <w:rFonts w:ascii="宋体" w:hAnsi="宋体" w:eastAsia="宋体"/>
          <w:color w:val="auto"/>
          <w:spacing w:val="5"/>
          <w:highlight w:val="none"/>
        </w:rPr>
        <w:t>和各方权</w:t>
      </w:r>
      <w:r>
        <w:rPr>
          <w:rFonts w:ascii="宋体" w:hAnsi="宋体" w:eastAsia="宋体"/>
          <w:color w:val="auto"/>
          <w:highlight w:val="none"/>
        </w:rPr>
        <w:t xml:space="preserve"> </w:t>
      </w:r>
      <w:r>
        <w:rPr>
          <w:rFonts w:ascii="宋体" w:hAnsi="宋体" w:eastAsia="宋体"/>
          <w:color w:val="auto"/>
          <w:spacing w:val="-4"/>
          <w:highlight w:val="none"/>
        </w:rPr>
        <w:t>利义务，</w:t>
      </w:r>
      <w:r>
        <w:rPr>
          <w:rFonts w:ascii="宋体" w:hAnsi="宋体" w:eastAsia="宋体"/>
          <w:color w:val="auto"/>
          <w:spacing w:val="-3"/>
          <w:highlight w:val="none"/>
        </w:rPr>
        <w:t>并</w:t>
      </w:r>
      <w:r>
        <w:rPr>
          <w:rFonts w:ascii="宋体" w:hAnsi="宋体" w:eastAsia="宋体"/>
          <w:color w:val="auto"/>
          <w:spacing w:val="-2"/>
          <w:highlight w:val="none"/>
        </w:rPr>
        <w:t>承诺就中标项目向招标人承担连带责任；</w:t>
      </w:r>
    </w:p>
    <w:p w14:paraId="0DE886F5">
      <w:pPr>
        <w:spacing w:before="1" w:line="218" w:lineRule="auto"/>
        <w:ind w:left="320"/>
        <w:rPr>
          <w:rFonts w:ascii="宋体" w:hAnsi="宋体" w:eastAsia="宋体"/>
          <w:color w:val="auto"/>
          <w:spacing w:val="8"/>
          <w:highlight w:val="none"/>
        </w:rPr>
      </w:pPr>
      <w:r>
        <w:rPr>
          <w:rFonts w:ascii="宋体" w:hAnsi="宋体" w:eastAsia="宋体"/>
          <w:color w:val="auto"/>
          <w:spacing w:val="8"/>
          <w:highlight w:val="none"/>
        </w:rPr>
        <w:t>(</w:t>
      </w:r>
      <w:r>
        <w:rPr>
          <w:rFonts w:ascii="Times New Roman" w:hAnsi="Times New Roman" w:eastAsia="Times New Roman"/>
          <w:color w:val="auto"/>
          <w:spacing w:val="4"/>
          <w:highlight w:val="none"/>
        </w:rPr>
        <w:t>2</w:t>
      </w:r>
      <w:r>
        <w:rPr>
          <w:rFonts w:ascii="宋体" w:hAnsi="宋体" w:eastAsia="宋体"/>
          <w:color w:val="auto"/>
          <w:spacing w:val="4"/>
          <w:highlight w:val="none"/>
        </w:rPr>
        <w:t>)由同一专业的单位组成的联合体，按照资质等级较低的单位确定资质等级；</w:t>
      </w:r>
    </w:p>
    <w:p w14:paraId="548EFAD7">
      <w:pPr>
        <w:spacing w:before="151" w:line="352" w:lineRule="auto"/>
        <w:ind w:left="4" w:right="13" w:firstLine="316"/>
        <w:rPr>
          <w:rFonts w:ascii="宋体" w:hAnsi="宋体" w:eastAsia="宋体"/>
          <w:color w:val="auto"/>
          <w:spacing w:val="10"/>
          <w:highlight w:val="none"/>
        </w:rPr>
      </w:pPr>
      <w:r>
        <w:rPr>
          <w:rFonts w:ascii="宋体" w:hAnsi="宋体" w:eastAsia="宋体"/>
          <w:color w:val="auto"/>
          <w:spacing w:val="10"/>
          <w:highlight w:val="none"/>
        </w:rPr>
        <w:t>(</w:t>
      </w:r>
      <w:r>
        <w:rPr>
          <w:rFonts w:ascii="Times New Roman" w:hAnsi="Times New Roman" w:eastAsia="Times New Roman"/>
          <w:color w:val="auto"/>
          <w:spacing w:val="10"/>
          <w:highlight w:val="none"/>
        </w:rPr>
        <w:t>3</w:t>
      </w:r>
      <w:r>
        <w:rPr>
          <w:rFonts w:ascii="宋体" w:hAnsi="宋体" w:eastAsia="宋体"/>
          <w:color w:val="auto"/>
          <w:spacing w:val="10"/>
          <w:highlight w:val="none"/>
        </w:rPr>
        <w:t>)联</w:t>
      </w:r>
      <w:r>
        <w:rPr>
          <w:rFonts w:ascii="宋体" w:hAnsi="宋体" w:eastAsia="宋体"/>
          <w:color w:val="auto"/>
          <w:spacing w:val="6"/>
          <w:highlight w:val="none"/>
        </w:rPr>
        <w:t>合</w:t>
      </w:r>
      <w:r>
        <w:rPr>
          <w:rFonts w:ascii="宋体" w:hAnsi="宋体" w:eastAsia="宋体"/>
          <w:color w:val="auto"/>
          <w:spacing w:val="5"/>
          <w:highlight w:val="none"/>
        </w:rPr>
        <w:t>体各方不得再以自己名义单独或参加其他联合体在本招标项目中投标，否则各相</w:t>
      </w:r>
      <w:r>
        <w:rPr>
          <w:rFonts w:ascii="宋体" w:hAnsi="宋体" w:eastAsia="宋体"/>
          <w:color w:val="auto"/>
          <w:highlight w:val="none"/>
        </w:rPr>
        <w:t xml:space="preserve"> </w:t>
      </w:r>
      <w:r>
        <w:rPr>
          <w:rFonts w:ascii="宋体" w:hAnsi="宋体" w:eastAsia="宋体"/>
          <w:color w:val="auto"/>
          <w:spacing w:val="-6"/>
          <w:highlight w:val="none"/>
        </w:rPr>
        <w:t>关</w:t>
      </w:r>
      <w:r>
        <w:rPr>
          <w:rFonts w:ascii="宋体" w:hAnsi="宋体" w:eastAsia="宋体"/>
          <w:color w:val="auto"/>
          <w:spacing w:val="-5"/>
          <w:highlight w:val="none"/>
        </w:rPr>
        <w:t>投标均无效。</w:t>
      </w:r>
    </w:p>
    <w:p w14:paraId="7FE7F69F">
      <w:pPr>
        <w:spacing w:line="220" w:lineRule="auto"/>
        <w:ind w:left="437"/>
        <w:rPr>
          <w:rFonts w:ascii="Times New Roman" w:hAnsi="Times New Roman" w:eastAsia="Times New Roman"/>
          <w:color w:val="auto"/>
          <w:spacing w:val="-6"/>
          <w:highlight w:val="none"/>
        </w:rPr>
      </w:pPr>
      <w:r>
        <w:rPr>
          <w:rFonts w:ascii="Times New Roman" w:hAnsi="Times New Roman" w:eastAsia="Times New Roman"/>
          <w:color w:val="auto"/>
          <w:spacing w:val="-6"/>
          <w:highlight w:val="none"/>
        </w:rPr>
        <w:t>1.</w:t>
      </w:r>
      <w:r>
        <w:rPr>
          <w:rFonts w:ascii="Times New Roman" w:hAnsi="Times New Roman" w:eastAsia="Times New Roman"/>
          <w:color w:val="auto"/>
          <w:spacing w:val="-4"/>
          <w:highlight w:val="none"/>
        </w:rPr>
        <w:t>4</w:t>
      </w:r>
      <w:r>
        <w:rPr>
          <w:rFonts w:ascii="Times New Roman" w:hAnsi="Times New Roman" w:eastAsia="Times New Roman"/>
          <w:color w:val="auto"/>
          <w:spacing w:val="-3"/>
          <w:highlight w:val="none"/>
        </w:rPr>
        <w:t xml:space="preserve">.3  </w:t>
      </w:r>
      <w:r>
        <w:rPr>
          <w:rFonts w:ascii="宋体" w:hAnsi="宋体" w:eastAsia="宋体"/>
          <w:color w:val="auto"/>
          <w:spacing w:val="-3"/>
          <w:highlight w:val="none"/>
        </w:rPr>
        <w:t>投标人不得存在下列情形之一：</w:t>
      </w:r>
    </w:p>
    <w:p w14:paraId="6379F304">
      <w:pPr>
        <w:spacing w:before="149" w:line="218" w:lineRule="auto"/>
        <w:ind w:left="426"/>
        <w:rPr>
          <w:rFonts w:ascii="宋体" w:hAnsi="宋体" w:eastAsia="宋体"/>
          <w:color w:val="auto"/>
          <w:spacing w:val="11"/>
          <w:highlight w:val="none"/>
        </w:rPr>
      </w:pPr>
      <w:r>
        <w:rPr>
          <w:rFonts w:ascii="宋体" w:hAnsi="宋体" w:eastAsia="宋体"/>
          <w:color w:val="auto"/>
          <w:spacing w:val="11"/>
          <w:highlight w:val="none"/>
        </w:rPr>
        <w:t>(</w:t>
      </w:r>
      <w:r>
        <w:rPr>
          <w:rFonts w:ascii="Times New Roman" w:hAnsi="Times New Roman" w:eastAsia="Times New Roman"/>
          <w:color w:val="auto"/>
          <w:spacing w:val="11"/>
          <w:highlight w:val="none"/>
        </w:rPr>
        <w:t>1</w:t>
      </w:r>
      <w:r>
        <w:rPr>
          <w:rFonts w:ascii="宋体" w:hAnsi="宋体" w:eastAsia="宋体"/>
          <w:color w:val="auto"/>
          <w:spacing w:val="11"/>
          <w:highlight w:val="none"/>
        </w:rPr>
        <w:t>)为招标人不具有独立法人资格的附属机构(单位)；</w:t>
      </w:r>
    </w:p>
    <w:p w14:paraId="61005755">
      <w:pPr>
        <w:spacing w:before="153" w:line="220" w:lineRule="auto"/>
        <w:ind w:left="426"/>
        <w:rPr>
          <w:rFonts w:ascii="宋体" w:hAnsi="宋体" w:eastAsia="宋体"/>
          <w:color w:val="auto"/>
          <w:spacing w:val="9"/>
          <w:highlight w:val="none"/>
        </w:rPr>
      </w:pPr>
      <w:r>
        <w:rPr>
          <w:rFonts w:ascii="宋体" w:hAnsi="宋体" w:eastAsia="宋体"/>
          <w:color w:val="auto"/>
          <w:spacing w:val="9"/>
          <w:highlight w:val="none"/>
        </w:rPr>
        <w:t>(</w:t>
      </w:r>
      <w:r>
        <w:rPr>
          <w:rFonts w:ascii="Times New Roman" w:hAnsi="Times New Roman" w:eastAsia="Times New Roman"/>
          <w:color w:val="auto"/>
          <w:spacing w:val="6"/>
          <w:highlight w:val="none"/>
        </w:rPr>
        <w:t>2</w:t>
      </w:r>
      <w:r>
        <w:rPr>
          <w:rFonts w:ascii="宋体" w:hAnsi="宋体" w:eastAsia="宋体"/>
          <w:color w:val="auto"/>
          <w:spacing w:val="6"/>
          <w:highlight w:val="none"/>
        </w:rPr>
        <w:t>)与招标人存在利害关系且可能影响招标公正性；</w:t>
      </w:r>
    </w:p>
    <w:p w14:paraId="2A4014E7">
      <w:pPr>
        <w:spacing w:before="149" w:line="217" w:lineRule="auto"/>
        <w:ind w:left="426"/>
        <w:rPr>
          <w:rFonts w:ascii="宋体" w:hAnsi="宋体" w:eastAsia="宋体"/>
          <w:color w:val="auto"/>
          <w:spacing w:val="6"/>
          <w:highlight w:val="none"/>
        </w:rPr>
      </w:pPr>
      <w:r>
        <w:rPr>
          <w:rFonts w:ascii="宋体" w:hAnsi="宋体" w:eastAsia="宋体"/>
          <w:color w:val="auto"/>
          <w:spacing w:val="6"/>
          <w:highlight w:val="none"/>
        </w:rPr>
        <w:t>(</w:t>
      </w:r>
      <w:r>
        <w:rPr>
          <w:rFonts w:ascii="Times New Roman" w:hAnsi="Times New Roman" w:eastAsia="Times New Roman"/>
          <w:color w:val="auto"/>
          <w:spacing w:val="6"/>
          <w:highlight w:val="none"/>
        </w:rPr>
        <w:t>3</w:t>
      </w:r>
      <w:r>
        <w:rPr>
          <w:rFonts w:ascii="宋体" w:hAnsi="宋体" w:eastAsia="宋体"/>
          <w:color w:val="auto"/>
          <w:spacing w:val="6"/>
          <w:highlight w:val="none"/>
        </w:rPr>
        <w:t>)与本招标项目的其他投标人为同一个单位负责人</w:t>
      </w:r>
      <w:r>
        <w:rPr>
          <w:rFonts w:ascii="宋体" w:hAnsi="宋体" w:eastAsia="宋体"/>
          <w:color w:val="auto"/>
          <w:spacing w:val="3"/>
          <w:highlight w:val="none"/>
        </w:rPr>
        <w:t>；</w:t>
      </w:r>
    </w:p>
    <w:p w14:paraId="731BF25F">
      <w:pPr>
        <w:spacing w:before="153" w:line="218" w:lineRule="auto"/>
        <w:ind w:left="426"/>
        <w:rPr>
          <w:rFonts w:ascii="宋体" w:hAnsi="宋体" w:eastAsia="宋体"/>
          <w:color w:val="auto"/>
          <w:spacing w:val="6"/>
          <w:highlight w:val="none"/>
        </w:rPr>
      </w:pPr>
      <w:r>
        <w:rPr>
          <w:rFonts w:ascii="宋体" w:hAnsi="宋体" w:eastAsia="宋体"/>
          <w:color w:val="auto"/>
          <w:spacing w:val="6"/>
          <w:highlight w:val="none"/>
        </w:rPr>
        <w:t>(</w:t>
      </w:r>
      <w:r>
        <w:rPr>
          <w:rFonts w:ascii="Times New Roman" w:hAnsi="Times New Roman" w:eastAsia="Times New Roman"/>
          <w:color w:val="auto"/>
          <w:spacing w:val="6"/>
          <w:highlight w:val="none"/>
        </w:rPr>
        <w:t>4</w:t>
      </w:r>
      <w:r>
        <w:rPr>
          <w:rFonts w:ascii="宋体" w:hAnsi="宋体" w:eastAsia="宋体"/>
          <w:color w:val="auto"/>
          <w:spacing w:val="6"/>
          <w:highlight w:val="none"/>
        </w:rPr>
        <w:t>)与本招标项目的其他投标人存在控股、管理关系</w:t>
      </w:r>
      <w:r>
        <w:rPr>
          <w:rFonts w:ascii="宋体" w:hAnsi="宋体" w:eastAsia="宋体"/>
          <w:color w:val="auto"/>
          <w:spacing w:val="3"/>
          <w:highlight w:val="none"/>
        </w:rPr>
        <w:t>；</w:t>
      </w:r>
    </w:p>
    <w:p w14:paraId="604EE4EB">
      <w:pPr>
        <w:spacing w:before="152" w:line="219" w:lineRule="auto"/>
        <w:ind w:left="426"/>
        <w:rPr>
          <w:rFonts w:ascii="宋体" w:hAnsi="宋体" w:eastAsia="宋体"/>
          <w:color w:val="auto"/>
          <w:spacing w:val="17"/>
          <w:highlight w:val="none"/>
        </w:rPr>
      </w:pPr>
      <w:r>
        <w:rPr>
          <w:rFonts w:ascii="宋体" w:hAnsi="宋体" w:eastAsia="宋体"/>
          <w:color w:val="auto"/>
          <w:spacing w:val="17"/>
          <w:highlight w:val="none"/>
        </w:rPr>
        <w:t>(</w:t>
      </w:r>
      <w:r>
        <w:rPr>
          <w:rFonts w:ascii="Times New Roman" w:hAnsi="Times New Roman" w:eastAsia="Times New Roman"/>
          <w:color w:val="auto"/>
          <w:spacing w:val="10"/>
          <w:highlight w:val="none"/>
        </w:rPr>
        <w:t>5</w:t>
      </w:r>
      <w:r>
        <w:rPr>
          <w:rFonts w:ascii="宋体" w:hAnsi="宋体" w:eastAsia="宋体"/>
          <w:color w:val="auto"/>
          <w:spacing w:val="10"/>
          <w:highlight w:val="none"/>
        </w:rPr>
        <w:t>)为本招标项目的代建人；</w:t>
      </w:r>
    </w:p>
    <w:p w14:paraId="2AA00C3E">
      <w:pPr>
        <w:spacing w:before="151" w:line="219" w:lineRule="auto"/>
        <w:ind w:left="426"/>
        <w:rPr>
          <w:rFonts w:ascii="宋体" w:hAnsi="宋体" w:eastAsia="宋体"/>
          <w:color w:val="auto"/>
          <w:spacing w:val="16"/>
          <w:highlight w:val="none"/>
        </w:rPr>
      </w:pPr>
      <w:r>
        <w:rPr>
          <w:rFonts w:ascii="宋体" w:hAnsi="宋体" w:eastAsia="宋体"/>
          <w:color w:val="auto"/>
          <w:spacing w:val="16"/>
          <w:highlight w:val="none"/>
        </w:rPr>
        <w:t>(</w:t>
      </w:r>
      <w:r>
        <w:rPr>
          <w:rFonts w:ascii="Times New Roman" w:hAnsi="Times New Roman" w:eastAsia="Times New Roman"/>
          <w:color w:val="auto"/>
          <w:spacing w:val="11"/>
          <w:highlight w:val="none"/>
        </w:rPr>
        <w:t>6</w:t>
      </w:r>
      <w:r>
        <w:rPr>
          <w:rFonts w:ascii="宋体" w:hAnsi="宋体" w:eastAsia="宋体"/>
          <w:color w:val="auto"/>
          <w:spacing w:val="8"/>
          <w:highlight w:val="none"/>
        </w:rPr>
        <w:t>)为本招标项目的招标代理机构；</w:t>
      </w:r>
    </w:p>
    <w:p w14:paraId="107377B7">
      <w:pPr>
        <w:autoSpaceDE/>
        <w:autoSpaceDN/>
        <w:spacing w:before="151" w:line="219" w:lineRule="auto"/>
        <w:ind w:left="426"/>
        <w:rPr>
          <w:rFonts w:ascii="宋体" w:hAnsi="宋体" w:eastAsia="宋体"/>
          <w:color w:val="auto"/>
          <w:spacing w:val="8"/>
          <w:highlight w:val="none"/>
        </w:rPr>
      </w:pPr>
      <w:r>
        <w:rPr>
          <w:rFonts w:ascii="宋体" w:hAnsi="宋体" w:eastAsia="宋体"/>
          <w:color w:val="auto"/>
          <w:spacing w:val="8"/>
          <w:highlight w:val="none"/>
        </w:rPr>
        <w:t>(7)与本招标项目的代建人或招标代理机构同为一个法定代表人；</w:t>
      </w:r>
    </w:p>
    <w:p w14:paraId="4642A4BB">
      <w:pPr>
        <w:autoSpaceDE/>
        <w:autoSpaceDN/>
        <w:spacing w:before="151" w:line="219" w:lineRule="auto"/>
        <w:ind w:left="426"/>
        <w:rPr>
          <w:rFonts w:ascii="宋体" w:hAnsi="宋体" w:eastAsia="宋体"/>
          <w:color w:val="auto"/>
          <w:spacing w:val="8"/>
          <w:highlight w:val="none"/>
        </w:rPr>
      </w:pPr>
      <w:r>
        <w:rPr>
          <w:rFonts w:ascii="宋体" w:hAnsi="宋体" w:eastAsia="宋体"/>
          <w:color w:val="auto"/>
          <w:spacing w:val="8"/>
          <w:highlight w:val="none"/>
        </w:rPr>
        <w:t>(8)与本招标项目的代建人或招标代理机构存在控股或参股关系；</w:t>
      </w:r>
    </w:p>
    <w:p w14:paraId="57F44AB9">
      <w:pPr>
        <w:autoSpaceDE/>
        <w:autoSpaceDN/>
        <w:spacing w:before="148" w:line="353" w:lineRule="auto"/>
        <w:ind w:firstLine="452" w:firstLineChars="200"/>
        <w:rPr>
          <w:rFonts w:ascii="宋体" w:hAnsi="宋体" w:eastAsia="宋体"/>
          <w:color w:val="auto"/>
          <w:spacing w:val="8"/>
          <w:highlight w:val="none"/>
        </w:rPr>
      </w:pPr>
      <w:r>
        <w:rPr>
          <w:rFonts w:ascii="宋体" w:hAnsi="宋体" w:eastAsia="宋体"/>
          <w:color w:val="auto"/>
          <w:spacing w:val="8"/>
          <w:highlight w:val="none"/>
        </w:rPr>
        <w:t>(</w:t>
      </w:r>
      <w:r>
        <w:rPr>
          <w:rFonts w:hint="eastAsia" w:ascii="宋体" w:hAnsi="宋体" w:eastAsia="宋体"/>
          <w:color w:val="auto"/>
          <w:spacing w:val="8"/>
          <w:highlight w:val="none"/>
        </w:rPr>
        <w:t>9</w:t>
      </w:r>
      <w:r>
        <w:rPr>
          <w:rFonts w:ascii="宋体" w:hAnsi="宋体" w:eastAsia="宋体"/>
          <w:color w:val="auto"/>
          <w:spacing w:val="8"/>
          <w:highlight w:val="none"/>
        </w:rPr>
        <w:t>)</w:t>
      </w:r>
      <w:r>
        <w:rPr>
          <w:rFonts w:hint="eastAsia" w:ascii="宋体" w:hAnsi="宋体" w:eastAsia="宋体"/>
          <w:color w:val="auto"/>
          <w:spacing w:val="8"/>
          <w:highlight w:val="none"/>
        </w:rPr>
        <w:t>被依法暂停或取消投标资格的；（本项事实应当以根据《中华人民共和国行政处罚法》依法作出并已经生效的行政处罚决定为认定依据。行政处罚决定中已经明确的暂停或取消投标资格的区域范围不包含本标段建设地点的，不受该项规定限制）；</w:t>
      </w:r>
    </w:p>
    <w:p w14:paraId="05AF22B8">
      <w:pPr>
        <w:autoSpaceDE/>
        <w:autoSpaceDN/>
        <w:spacing w:before="148" w:line="360" w:lineRule="auto"/>
        <w:ind w:firstLine="452" w:firstLineChars="200"/>
        <w:rPr>
          <w:rFonts w:ascii="宋体" w:hAnsi="宋体" w:eastAsia="宋体"/>
          <w:color w:val="auto"/>
          <w:spacing w:val="8"/>
          <w:highlight w:val="none"/>
        </w:rPr>
      </w:pPr>
      <w:r>
        <w:rPr>
          <w:rFonts w:ascii="宋体" w:hAnsi="宋体" w:eastAsia="宋体"/>
          <w:color w:val="auto"/>
          <w:spacing w:val="8"/>
          <w:highlight w:val="none"/>
        </w:rPr>
        <w:t>(</w:t>
      </w:r>
      <w:r>
        <w:rPr>
          <w:rFonts w:hint="eastAsia" w:ascii="宋体" w:hAnsi="宋体" w:eastAsia="宋体"/>
          <w:color w:val="auto"/>
          <w:spacing w:val="8"/>
          <w:highlight w:val="none"/>
        </w:rPr>
        <w:t>10</w:t>
      </w:r>
      <w:r>
        <w:rPr>
          <w:rFonts w:ascii="宋体" w:hAnsi="宋体" w:eastAsia="宋体"/>
          <w:color w:val="auto"/>
          <w:spacing w:val="8"/>
          <w:highlight w:val="none"/>
        </w:rPr>
        <w:t>)</w:t>
      </w:r>
      <w:r>
        <w:rPr>
          <w:rFonts w:hint="eastAsia" w:ascii="宋体" w:hAnsi="宋体" w:eastAsia="宋体"/>
          <w:color w:val="auto"/>
          <w:spacing w:val="8"/>
          <w:highlight w:val="none"/>
        </w:rPr>
        <w:t>被责令停产停业、暂扣或者吊销许可证、暂扣或者吊销执照的(本项事实应当以根据《中华人民共和国行政处罚法》依法作出并已经生效的行政处罚决定为认定依据)；</w:t>
      </w:r>
    </w:p>
    <w:p w14:paraId="58F8C99B">
      <w:pPr>
        <w:autoSpaceDE/>
        <w:autoSpaceDN/>
        <w:spacing w:before="148" w:line="353" w:lineRule="auto"/>
        <w:ind w:firstLine="452" w:firstLineChars="200"/>
        <w:rPr>
          <w:rFonts w:ascii="宋体" w:hAnsi="宋体" w:eastAsia="宋体"/>
          <w:color w:val="auto"/>
          <w:spacing w:val="8"/>
          <w:highlight w:val="none"/>
        </w:rPr>
      </w:pPr>
      <w:r>
        <w:rPr>
          <w:rFonts w:ascii="宋体" w:hAnsi="宋体" w:eastAsia="宋体"/>
          <w:color w:val="auto"/>
          <w:spacing w:val="8"/>
          <w:highlight w:val="none"/>
        </w:rPr>
        <w:t>(</w:t>
      </w:r>
      <w:r>
        <w:rPr>
          <w:rFonts w:hint="eastAsia" w:ascii="宋体" w:hAnsi="宋体" w:eastAsia="宋体"/>
          <w:color w:val="auto"/>
          <w:spacing w:val="8"/>
          <w:highlight w:val="none"/>
        </w:rPr>
        <w:t>11</w:t>
      </w:r>
      <w:r>
        <w:rPr>
          <w:rFonts w:ascii="宋体" w:hAnsi="宋体" w:eastAsia="宋体"/>
          <w:color w:val="auto"/>
          <w:spacing w:val="8"/>
          <w:highlight w:val="none"/>
        </w:rPr>
        <w:t>)</w:t>
      </w:r>
      <w:r>
        <w:rPr>
          <w:rFonts w:hint="eastAsia" w:ascii="宋体" w:hAnsi="宋体" w:eastAsia="宋体"/>
          <w:color w:val="auto"/>
          <w:spacing w:val="8"/>
          <w:highlight w:val="none"/>
        </w:rPr>
        <w:t>进入清算程序，或被宣布破产，或其他丧失履约能力的情形；</w:t>
      </w:r>
    </w:p>
    <w:p w14:paraId="56A1D457">
      <w:pPr>
        <w:autoSpaceDE/>
        <w:autoSpaceDN/>
        <w:spacing w:before="148" w:line="353" w:lineRule="auto"/>
        <w:ind w:firstLine="452" w:firstLineChars="200"/>
        <w:rPr>
          <w:rFonts w:ascii="宋体" w:hAnsi="宋体" w:eastAsia="宋体"/>
          <w:color w:val="auto"/>
          <w:spacing w:val="8"/>
          <w:highlight w:val="none"/>
        </w:rPr>
      </w:pPr>
      <w:r>
        <w:rPr>
          <w:rFonts w:ascii="宋体" w:hAnsi="宋体" w:eastAsia="宋体"/>
          <w:color w:val="auto"/>
          <w:spacing w:val="8"/>
          <w:highlight w:val="none"/>
        </w:rPr>
        <w:t>(</w:t>
      </w:r>
      <w:r>
        <w:rPr>
          <w:rFonts w:hint="eastAsia" w:ascii="宋体" w:hAnsi="宋体" w:eastAsia="宋体"/>
          <w:color w:val="auto"/>
          <w:spacing w:val="8"/>
          <w:highlight w:val="none"/>
        </w:rPr>
        <w:t>12</w:t>
      </w:r>
      <w:r>
        <w:rPr>
          <w:rFonts w:ascii="宋体" w:hAnsi="宋体" w:eastAsia="宋体"/>
          <w:color w:val="auto"/>
          <w:spacing w:val="8"/>
          <w:highlight w:val="none"/>
        </w:rPr>
        <w:t>)</w:t>
      </w:r>
      <w:r>
        <w:rPr>
          <w:rFonts w:hint="eastAsia" w:ascii="宋体" w:hAnsi="宋体" w:eastAsia="宋体"/>
          <w:color w:val="auto"/>
          <w:spacing w:val="8"/>
          <w:highlight w:val="none"/>
        </w:rPr>
        <w:t>在最近三年内有严重违约或重大工程质量问题的；（“严重违约”事实应当以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14:paraId="3169E948">
      <w:pPr>
        <w:spacing w:before="151" w:line="351" w:lineRule="auto"/>
        <w:ind w:left="3" w:right="22" w:firstLine="423"/>
        <w:rPr>
          <w:rFonts w:ascii="宋体" w:hAnsi="宋体" w:eastAsia="宋体"/>
          <w:color w:val="auto"/>
          <w:highlight w:val="none"/>
        </w:rPr>
      </w:pPr>
    </w:p>
    <w:p w14:paraId="171CC66F">
      <w:pPr>
        <w:spacing w:before="151" w:line="351" w:lineRule="auto"/>
        <w:ind w:left="3" w:right="22" w:firstLine="423"/>
        <w:rPr>
          <w:rFonts w:ascii="宋体" w:hAnsi="宋体" w:eastAsia="宋体"/>
          <w:color w:val="auto"/>
          <w:spacing w:val="12"/>
          <w:highlight w:val="none"/>
        </w:rPr>
      </w:pPr>
      <w:r>
        <w:rPr>
          <w:rFonts w:ascii="宋体" w:hAnsi="宋体" w:eastAsia="宋体"/>
          <w:color w:val="auto"/>
          <w:spacing w:val="12"/>
          <w:highlight w:val="none"/>
        </w:rPr>
        <w:t>(</w:t>
      </w:r>
      <w:r>
        <w:rPr>
          <w:rFonts w:ascii="宋体" w:hAnsi="宋体" w:eastAsia="宋体"/>
          <w:color w:val="auto"/>
          <w:spacing w:val="8"/>
          <w:highlight w:val="none"/>
        </w:rPr>
        <w:t>1</w:t>
      </w:r>
      <w:r>
        <w:rPr>
          <w:rFonts w:hint="eastAsia" w:ascii="宋体" w:hAnsi="宋体" w:eastAsia="宋体"/>
          <w:color w:val="auto"/>
          <w:spacing w:val="8"/>
          <w:highlight w:val="none"/>
        </w:rPr>
        <w:t>3</w:t>
      </w:r>
      <w:r>
        <w:rPr>
          <w:rFonts w:ascii="宋体" w:hAnsi="宋体" w:eastAsia="宋体"/>
          <w:color w:val="auto"/>
          <w:spacing w:val="6"/>
          <w:highlight w:val="none"/>
        </w:rPr>
        <w:t>)</w:t>
      </w:r>
      <w:r>
        <w:rPr>
          <w:rFonts w:ascii="宋体" w:hAnsi="宋体" w:eastAsia="宋体"/>
          <w:color w:val="auto"/>
          <w:spacing w:val="8"/>
          <w:highlight w:val="none"/>
        </w:rPr>
        <w:t>在投标文件有关技术方案和要求中不得指定与工程建设项目有关的重要设备、材料的生产供应者，或者含有倾向或者排斥特定生产供应者的内容</w:t>
      </w:r>
      <w:r>
        <w:rPr>
          <w:rFonts w:hint="eastAsia" w:ascii="宋体" w:hAnsi="宋体" w:eastAsia="宋体"/>
          <w:color w:val="auto"/>
          <w:spacing w:val="6"/>
          <w:highlight w:val="none"/>
        </w:rPr>
        <w:t>；</w:t>
      </w:r>
    </w:p>
    <w:p w14:paraId="4EFC839C">
      <w:pPr>
        <w:spacing w:before="151" w:line="351" w:lineRule="auto"/>
        <w:ind w:left="3" w:right="22" w:firstLine="423"/>
        <w:rPr>
          <w:rFonts w:ascii="宋体" w:hAnsi="宋体" w:eastAsia="宋体"/>
          <w:color w:val="auto"/>
          <w:spacing w:val="8"/>
          <w:highlight w:val="none"/>
        </w:rPr>
      </w:pPr>
      <w:r>
        <w:rPr>
          <w:rFonts w:ascii="宋体" w:hAnsi="宋体" w:eastAsia="宋体"/>
          <w:color w:val="auto"/>
          <w:spacing w:val="8"/>
          <w:highlight w:val="none"/>
        </w:rPr>
        <w:t>(1</w:t>
      </w:r>
      <w:r>
        <w:rPr>
          <w:rFonts w:hint="eastAsia" w:ascii="宋体" w:hAnsi="宋体" w:eastAsia="宋体"/>
          <w:color w:val="auto"/>
          <w:spacing w:val="8"/>
          <w:highlight w:val="none"/>
        </w:rPr>
        <w:t>4</w:t>
      </w:r>
      <w:r>
        <w:rPr>
          <w:rFonts w:ascii="宋体" w:hAnsi="宋体" w:eastAsia="宋体"/>
          <w:color w:val="auto"/>
          <w:spacing w:val="8"/>
          <w:highlight w:val="none"/>
        </w:rPr>
        <w:t>)</w:t>
      </w:r>
      <w:r>
        <w:rPr>
          <w:rFonts w:ascii="宋体" w:hAnsi="宋体" w:eastAsia="宋体"/>
          <w:color w:val="auto"/>
          <w:spacing w:val="6"/>
          <w:highlight w:val="none"/>
        </w:rPr>
        <w:t>法律法规或投标人须知前附表规定的其他情形</w:t>
      </w:r>
      <w:r>
        <w:rPr>
          <w:rFonts w:ascii="宋体" w:hAnsi="宋体" w:eastAsia="宋体"/>
          <w:color w:val="auto"/>
          <w:spacing w:val="8"/>
          <w:highlight w:val="none"/>
        </w:rPr>
        <w:t>。</w:t>
      </w:r>
    </w:p>
    <w:p w14:paraId="25D4B2A3">
      <w:pPr>
        <w:rPr>
          <w:rFonts w:ascii="Times New Roman" w:hAnsi="Times New Roman" w:eastAsiaTheme="minorEastAsia"/>
          <w:b/>
          <w:bCs/>
          <w:color w:val="auto"/>
          <w:spacing w:val="5"/>
          <w:sz w:val="27"/>
          <w:szCs w:val="27"/>
          <w:highlight w:val="none"/>
        </w:rPr>
      </w:pPr>
    </w:p>
    <w:p w14:paraId="68F13F43">
      <w:pPr>
        <w:rPr>
          <w:rFonts w:ascii="Times New Roman" w:hAnsi="Times New Roman" w:eastAsia="Times New Roman"/>
          <w:b/>
          <w:bCs/>
          <w:color w:val="auto"/>
          <w:spacing w:val="5"/>
          <w:sz w:val="27"/>
          <w:szCs w:val="27"/>
          <w:highlight w:val="none"/>
        </w:rPr>
      </w:pPr>
      <w:r>
        <w:rPr>
          <w:rFonts w:ascii="Times New Roman" w:hAnsi="Times New Roman" w:eastAsia="Times New Roman"/>
          <w:b/>
          <w:bCs/>
          <w:color w:val="auto"/>
          <w:spacing w:val="5"/>
          <w:sz w:val="27"/>
          <w:szCs w:val="27"/>
          <w:highlight w:val="none"/>
        </w:rPr>
        <w:t xml:space="preserve">1.5  </w:t>
      </w:r>
      <w:r>
        <w:rPr>
          <w:rFonts w:hint="eastAsia" w:ascii="宋体" w:hAnsi="宋体" w:eastAsia="宋体" w:cs="宋体"/>
          <w:b/>
          <w:bCs/>
          <w:color w:val="auto"/>
          <w:spacing w:val="5"/>
          <w:sz w:val="27"/>
          <w:szCs w:val="27"/>
          <w:highlight w:val="none"/>
        </w:rPr>
        <w:t>费用承担</w:t>
      </w:r>
    </w:p>
    <w:p w14:paraId="340FDF27">
      <w:pPr>
        <w:spacing w:before="68" w:line="220" w:lineRule="auto"/>
        <w:ind w:left="423"/>
        <w:rPr>
          <w:rFonts w:ascii="宋体" w:hAnsi="宋体" w:eastAsia="宋体"/>
          <w:color w:val="auto"/>
          <w:spacing w:val="-1"/>
          <w:highlight w:val="none"/>
        </w:rPr>
      </w:pPr>
      <w:r>
        <w:rPr>
          <w:rFonts w:ascii="宋体" w:hAnsi="宋体" w:eastAsia="宋体"/>
          <w:color w:val="auto"/>
          <w:spacing w:val="-2"/>
          <w:highlight w:val="none"/>
        </w:rPr>
        <w:t>投标人准备和参加投标活动发生的费用自理</w:t>
      </w:r>
      <w:r>
        <w:rPr>
          <w:rFonts w:ascii="宋体" w:hAnsi="宋体" w:eastAsia="宋体"/>
          <w:color w:val="auto"/>
          <w:spacing w:val="-1"/>
          <w:highlight w:val="none"/>
        </w:rPr>
        <w:t>。</w:t>
      </w:r>
    </w:p>
    <w:p w14:paraId="774AED01">
      <w:pPr>
        <w:pStyle w:val="7"/>
        <w:rPr>
          <w:rFonts w:eastAsiaTheme="minorEastAsia"/>
          <w:color w:val="auto"/>
          <w:highlight w:val="none"/>
        </w:rPr>
      </w:pPr>
    </w:p>
    <w:p w14:paraId="715C9145">
      <w:pPr>
        <w:rPr>
          <w:rFonts w:ascii="Times New Roman" w:hAnsi="Times New Roman" w:eastAsia="Times New Roman"/>
          <w:b/>
          <w:bCs/>
          <w:color w:val="auto"/>
          <w:spacing w:val="1"/>
          <w:sz w:val="27"/>
          <w:szCs w:val="27"/>
          <w:highlight w:val="none"/>
        </w:rPr>
      </w:pPr>
      <w:bookmarkStart w:id="116" w:name="_Toc1659"/>
      <w:bookmarkStart w:id="117" w:name="_Toc28683"/>
      <w:bookmarkStart w:id="118" w:name="_Toc8766"/>
      <w:bookmarkStart w:id="119" w:name="_Toc22983"/>
      <w:bookmarkStart w:id="120" w:name="_Toc21663"/>
      <w:r>
        <w:rPr>
          <w:rFonts w:ascii="Times New Roman" w:hAnsi="Times New Roman" w:eastAsia="Times New Roman"/>
          <w:b/>
          <w:bCs/>
          <w:color w:val="auto"/>
          <w:spacing w:val="1"/>
          <w:sz w:val="27"/>
          <w:szCs w:val="27"/>
          <w:highlight w:val="none"/>
        </w:rPr>
        <w:t>1.6</w:t>
      </w:r>
      <w:r>
        <w:rPr>
          <w:rFonts w:ascii="Times New Roman" w:hAnsi="Times New Roman" w:eastAsia="Times New Roman"/>
          <w:b/>
          <w:bCs/>
          <w:color w:val="auto"/>
          <w:sz w:val="27"/>
          <w:szCs w:val="27"/>
          <w:highlight w:val="none"/>
        </w:rPr>
        <w:t xml:space="preserve"> </w:t>
      </w:r>
      <w:r>
        <w:rPr>
          <w:rFonts w:ascii="黑体" w:hAnsi="黑体" w:eastAsia="黑体"/>
          <w:b/>
          <w:bCs/>
          <w:color w:val="auto"/>
          <w:sz w:val="27"/>
          <w:szCs w:val="27"/>
          <w:highlight w:val="none"/>
        </w:rPr>
        <w:t>保密</w:t>
      </w:r>
      <w:bookmarkEnd w:id="116"/>
      <w:bookmarkEnd w:id="117"/>
      <w:bookmarkEnd w:id="118"/>
      <w:bookmarkEnd w:id="119"/>
      <w:bookmarkEnd w:id="120"/>
    </w:p>
    <w:p w14:paraId="4568E55D">
      <w:pPr>
        <w:spacing w:before="69" w:line="359" w:lineRule="auto"/>
        <w:ind w:left="1" w:right="80" w:firstLine="420"/>
        <w:rPr>
          <w:rFonts w:ascii="宋体" w:hAnsi="宋体" w:eastAsia="宋体"/>
          <w:color w:val="auto"/>
          <w:spacing w:val="-3"/>
          <w:highlight w:val="none"/>
        </w:rPr>
      </w:pPr>
      <w:r>
        <w:rPr>
          <w:rFonts w:ascii="宋体" w:hAnsi="宋体" w:eastAsia="宋体"/>
          <w:color w:val="auto"/>
          <w:spacing w:val="1"/>
          <w:highlight w:val="none"/>
        </w:rPr>
        <w:t>参与招标投标活动的各方应对招</w:t>
      </w:r>
      <w:r>
        <w:rPr>
          <w:rFonts w:ascii="宋体" w:hAnsi="宋体" w:eastAsia="宋体"/>
          <w:color w:val="auto"/>
          <w:highlight w:val="none"/>
        </w:rPr>
        <w:t xml:space="preserve">标文件和投标文件中的商业和技术等秘密保密，否则应承 </w:t>
      </w:r>
      <w:r>
        <w:rPr>
          <w:rFonts w:ascii="宋体" w:hAnsi="宋体" w:eastAsia="宋体"/>
          <w:color w:val="auto"/>
          <w:spacing w:val="-4"/>
          <w:highlight w:val="none"/>
        </w:rPr>
        <w:t>担相应的法律责任</w:t>
      </w:r>
      <w:r>
        <w:rPr>
          <w:rFonts w:ascii="宋体" w:hAnsi="宋体" w:eastAsia="宋体"/>
          <w:color w:val="auto"/>
          <w:spacing w:val="-3"/>
          <w:highlight w:val="none"/>
        </w:rPr>
        <w:t>。</w:t>
      </w:r>
    </w:p>
    <w:p w14:paraId="1A799033">
      <w:pPr>
        <w:pStyle w:val="7"/>
        <w:rPr>
          <w:rFonts w:eastAsiaTheme="minorEastAsia"/>
          <w:color w:val="auto"/>
          <w:highlight w:val="none"/>
        </w:rPr>
      </w:pPr>
    </w:p>
    <w:p w14:paraId="2A3A5FB2">
      <w:pPr>
        <w:rPr>
          <w:rFonts w:ascii="Times New Roman" w:hAnsi="Times New Roman" w:eastAsia="Times New Roman"/>
          <w:b/>
          <w:bCs/>
          <w:color w:val="auto"/>
          <w:spacing w:val="1"/>
          <w:sz w:val="27"/>
          <w:szCs w:val="27"/>
          <w:highlight w:val="none"/>
        </w:rPr>
      </w:pPr>
      <w:bookmarkStart w:id="121" w:name="_Toc8611"/>
      <w:bookmarkStart w:id="122" w:name="_Toc8781"/>
      <w:bookmarkStart w:id="123" w:name="_Toc13936"/>
      <w:bookmarkStart w:id="124" w:name="_Toc19771"/>
      <w:bookmarkStart w:id="125" w:name="_Toc13173"/>
      <w:r>
        <w:rPr>
          <w:rFonts w:ascii="Times New Roman" w:hAnsi="Times New Roman" w:eastAsia="Times New Roman"/>
          <w:b/>
          <w:bCs/>
          <w:color w:val="auto"/>
          <w:spacing w:val="1"/>
          <w:sz w:val="27"/>
          <w:szCs w:val="27"/>
          <w:highlight w:val="none"/>
        </w:rPr>
        <w:t xml:space="preserve">1.7  </w:t>
      </w:r>
      <w:r>
        <w:rPr>
          <w:rFonts w:hint="eastAsia" w:ascii="宋体" w:hAnsi="宋体" w:eastAsia="宋体" w:cs="宋体"/>
          <w:b/>
          <w:bCs/>
          <w:color w:val="auto"/>
          <w:spacing w:val="1"/>
          <w:sz w:val="27"/>
          <w:szCs w:val="27"/>
          <w:highlight w:val="none"/>
        </w:rPr>
        <w:t>语言文字</w:t>
      </w:r>
      <w:bookmarkEnd w:id="121"/>
      <w:bookmarkEnd w:id="122"/>
      <w:bookmarkEnd w:id="123"/>
      <w:bookmarkEnd w:id="124"/>
      <w:bookmarkEnd w:id="125"/>
    </w:p>
    <w:p w14:paraId="0A80E561">
      <w:pPr>
        <w:spacing w:before="69" w:line="219" w:lineRule="auto"/>
        <w:ind w:left="421"/>
        <w:rPr>
          <w:rFonts w:ascii="宋体" w:hAnsi="宋体" w:eastAsia="宋体"/>
          <w:color w:val="auto"/>
          <w:spacing w:val="-1"/>
          <w:highlight w:val="none"/>
        </w:rPr>
      </w:pPr>
      <w:r>
        <w:rPr>
          <w:rFonts w:ascii="宋体" w:hAnsi="宋体" w:eastAsia="宋体"/>
          <w:color w:val="auto"/>
          <w:spacing w:val="-2"/>
          <w:highlight w:val="none"/>
        </w:rPr>
        <w:t>招标投</w:t>
      </w:r>
      <w:r>
        <w:rPr>
          <w:rFonts w:ascii="宋体" w:hAnsi="宋体" w:eastAsia="宋体"/>
          <w:color w:val="auto"/>
          <w:spacing w:val="-1"/>
          <w:highlight w:val="none"/>
        </w:rPr>
        <w:t>标文件使用的语言文字为中文。专用术语使用外文的，应附有中文注释。</w:t>
      </w:r>
    </w:p>
    <w:p w14:paraId="7C2ACA7A">
      <w:pPr>
        <w:pStyle w:val="7"/>
        <w:rPr>
          <w:rFonts w:eastAsiaTheme="minorEastAsia"/>
          <w:color w:val="auto"/>
          <w:highlight w:val="none"/>
        </w:rPr>
      </w:pPr>
    </w:p>
    <w:p w14:paraId="5FBF692A">
      <w:pPr>
        <w:rPr>
          <w:rFonts w:ascii="Times New Roman" w:hAnsi="Times New Roman" w:eastAsia="Times New Roman"/>
          <w:b/>
          <w:bCs/>
          <w:color w:val="auto"/>
          <w:spacing w:val="1"/>
          <w:sz w:val="27"/>
          <w:szCs w:val="27"/>
          <w:highlight w:val="none"/>
        </w:rPr>
      </w:pPr>
      <w:bookmarkStart w:id="126" w:name="_Toc15777"/>
      <w:bookmarkStart w:id="127" w:name="_Toc19348"/>
      <w:bookmarkStart w:id="128" w:name="_Toc8341"/>
      <w:bookmarkStart w:id="129" w:name="_Toc20197"/>
      <w:bookmarkStart w:id="130" w:name="_Toc3696"/>
      <w:r>
        <w:rPr>
          <w:rFonts w:ascii="Times New Roman" w:hAnsi="Times New Roman" w:eastAsia="Times New Roman"/>
          <w:b/>
          <w:bCs/>
          <w:color w:val="auto"/>
          <w:spacing w:val="1"/>
          <w:sz w:val="27"/>
          <w:szCs w:val="27"/>
          <w:highlight w:val="none"/>
        </w:rPr>
        <w:t xml:space="preserve">1.8 </w:t>
      </w:r>
      <w:r>
        <w:rPr>
          <w:rFonts w:hint="eastAsia" w:ascii="宋体" w:hAnsi="宋体" w:eastAsia="宋体" w:cs="宋体"/>
          <w:b/>
          <w:bCs/>
          <w:color w:val="auto"/>
          <w:spacing w:val="1"/>
          <w:sz w:val="27"/>
          <w:szCs w:val="27"/>
          <w:highlight w:val="none"/>
        </w:rPr>
        <w:t>计量单位</w:t>
      </w:r>
      <w:bookmarkEnd w:id="126"/>
      <w:bookmarkEnd w:id="127"/>
      <w:bookmarkEnd w:id="128"/>
      <w:bookmarkEnd w:id="129"/>
      <w:bookmarkEnd w:id="130"/>
    </w:p>
    <w:p w14:paraId="705FA9CA">
      <w:pPr>
        <w:spacing w:before="68" w:line="220" w:lineRule="auto"/>
        <w:ind w:left="420"/>
        <w:rPr>
          <w:rFonts w:ascii="宋体" w:hAnsi="宋体" w:eastAsia="宋体"/>
          <w:color w:val="auto"/>
          <w:spacing w:val="-1"/>
          <w:highlight w:val="none"/>
        </w:rPr>
      </w:pPr>
      <w:r>
        <w:rPr>
          <w:rFonts w:ascii="宋体" w:hAnsi="宋体" w:eastAsia="宋体"/>
          <w:color w:val="auto"/>
          <w:spacing w:val="-2"/>
          <w:highlight w:val="none"/>
        </w:rPr>
        <w:t>所有计量均采用中华人民共和国法</w:t>
      </w:r>
      <w:r>
        <w:rPr>
          <w:rFonts w:ascii="宋体" w:hAnsi="宋体" w:eastAsia="宋体"/>
          <w:color w:val="auto"/>
          <w:spacing w:val="-1"/>
          <w:highlight w:val="none"/>
        </w:rPr>
        <w:t>定计量单位。</w:t>
      </w:r>
    </w:p>
    <w:p w14:paraId="2BE84426">
      <w:pPr>
        <w:pStyle w:val="7"/>
        <w:rPr>
          <w:rFonts w:eastAsiaTheme="minorEastAsia"/>
          <w:color w:val="auto"/>
          <w:highlight w:val="none"/>
        </w:rPr>
      </w:pPr>
    </w:p>
    <w:p w14:paraId="1B00210F">
      <w:pPr>
        <w:rPr>
          <w:rFonts w:ascii="Times New Roman" w:hAnsi="Times New Roman" w:eastAsia="Times New Roman"/>
          <w:b/>
          <w:bCs/>
          <w:color w:val="auto"/>
          <w:spacing w:val="1"/>
          <w:sz w:val="27"/>
          <w:szCs w:val="27"/>
          <w:highlight w:val="none"/>
        </w:rPr>
      </w:pPr>
      <w:bookmarkStart w:id="131" w:name="_Toc14820"/>
      <w:bookmarkStart w:id="132" w:name="_Toc28280"/>
      <w:bookmarkStart w:id="133" w:name="_Toc21090"/>
      <w:bookmarkStart w:id="134" w:name="_Toc4426"/>
      <w:bookmarkStart w:id="135" w:name="_Toc24572"/>
      <w:r>
        <w:rPr>
          <w:rFonts w:ascii="Times New Roman" w:hAnsi="Times New Roman" w:eastAsia="Times New Roman"/>
          <w:b/>
          <w:bCs/>
          <w:color w:val="auto"/>
          <w:spacing w:val="1"/>
          <w:sz w:val="27"/>
          <w:szCs w:val="27"/>
          <w:highlight w:val="none"/>
        </w:rPr>
        <w:t xml:space="preserve">1.9  </w:t>
      </w:r>
      <w:r>
        <w:rPr>
          <w:rFonts w:hint="eastAsia" w:ascii="宋体" w:hAnsi="宋体" w:eastAsia="宋体" w:cs="宋体"/>
          <w:b/>
          <w:bCs/>
          <w:color w:val="auto"/>
          <w:spacing w:val="1"/>
          <w:sz w:val="27"/>
          <w:szCs w:val="27"/>
          <w:highlight w:val="none"/>
        </w:rPr>
        <w:t>踏勘现场</w:t>
      </w:r>
      <w:bookmarkEnd w:id="131"/>
      <w:bookmarkEnd w:id="132"/>
      <w:bookmarkEnd w:id="133"/>
      <w:bookmarkEnd w:id="134"/>
      <w:bookmarkEnd w:id="135"/>
    </w:p>
    <w:p w14:paraId="6178D1FE">
      <w:pPr>
        <w:spacing w:before="68" w:line="352" w:lineRule="auto"/>
        <w:ind w:left="8" w:firstLine="429"/>
        <w:rPr>
          <w:rFonts w:ascii="Times New Roman" w:hAnsi="Times New Roman" w:eastAsia="Times New Roman"/>
          <w:color w:val="auto"/>
          <w:spacing w:val="-4"/>
          <w:highlight w:val="none"/>
        </w:rPr>
      </w:pPr>
      <w:r>
        <w:rPr>
          <w:rFonts w:ascii="Times New Roman" w:hAnsi="Times New Roman" w:eastAsia="Times New Roman"/>
          <w:color w:val="auto"/>
          <w:spacing w:val="-4"/>
          <w:highlight w:val="none"/>
        </w:rPr>
        <w:t>1.9.1</w:t>
      </w:r>
      <w:r>
        <w:rPr>
          <w:rFonts w:ascii="Times New Roman" w:hAnsi="Times New Roman" w:eastAsia="Times New Roman"/>
          <w:color w:val="auto"/>
          <w:spacing w:val="-3"/>
          <w:highlight w:val="none"/>
        </w:rPr>
        <w:t xml:space="preserve"> </w:t>
      </w:r>
      <w:r>
        <w:rPr>
          <w:rFonts w:ascii="Times New Roman" w:hAnsi="Times New Roman" w:eastAsia="Times New Roman"/>
          <w:color w:val="auto"/>
          <w:spacing w:val="-2"/>
          <w:highlight w:val="none"/>
        </w:rPr>
        <w:t xml:space="preserve"> </w:t>
      </w:r>
      <w:r>
        <w:rPr>
          <w:rFonts w:hint="eastAsia"/>
          <w:color w:val="auto"/>
          <w:highlight w:val="none"/>
          <w:u w:val="single"/>
        </w:rPr>
        <w:t>招标人不集中组织，由投标人自行踏勘</w:t>
      </w:r>
      <w:r>
        <w:rPr>
          <w:rFonts w:ascii="宋体" w:hAnsi="宋体" w:eastAsia="宋体"/>
          <w:color w:val="auto"/>
          <w:spacing w:val="-5"/>
          <w:highlight w:val="none"/>
          <w:u w:val="single"/>
        </w:rPr>
        <w:t>。</w:t>
      </w:r>
    </w:p>
    <w:p w14:paraId="2558DD7D">
      <w:pPr>
        <w:spacing w:before="1" w:line="219" w:lineRule="auto"/>
        <w:ind w:left="437"/>
        <w:rPr>
          <w:rFonts w:ascii="Times New Roman" w:hAnsi="Times New Roman" w:eastAsia="Times New Roman"/>
          <w:color w:val="auto"/>
          <w:spacing w:val="-4"/>
          <w:highlight w:val="none"/>
        </w:rPr>
      </w:pPr>
      <w:r>
        <w:rPr>
          <w:rFonts w:ascii="Times New Roman" w:hAnsi="Times New Roman" w:eastAsia="Times New Roman"/>
          <w:color w:val="auto"/>
          <w:spacing w:val="-4"/>
          <w:highlight w:val="none"/>
        </w:rPr>
        <w:t>1.9.</w:t>
      </w:r>
      <w:r>
        <w:rPr>
          <w:rFonts w:ascii="Times New Roman" w:hAnsi="Times New Roman" w:eastAsia="Times New Roman"/>
          <w:color w:val="auto"/>
          <w:spacing w:val="-3"/>
          <w:highlight w:val="none"/>
        </w:rPr>
        <w:t>2</w:t>
      </w:r>
      <w:r>
        <w:rPr>
          <w:rFonts w:ascii="Times New Roman" w:hAnsi="Times New Roman" w:eastAsia="Times New Roman"/>
          <w:color w:val="auto"/>
          <w:spacing w:val="-2"/>
          <w:highlight w:val="none"/>
        </w:rPr>
        <w:t xml:space="preserve">  </w:t>
      </w:r>
      <w:r>
        <w:rPr>
          <w:rFonts w:ascii="宋体" w:hAnsi="宋体" w:eastAsia="宋体"/>
          <w:color w:val="auto"/>
          <w:spacing w:val="-2"/>
          <w:highlight w:val="none"/>
        </w:rPr>
        <w:t>投标人踏勘现场发生的费用自理。</w:t>
      </w:r>
    </w:p>
    <w:p w14:paraId="6E9A5D21">
      <w:pPr>
        <w:spacing w:before="150" w:line="217" w:lineRule="auto"/>
        <w:ind w:left="437"/>
        <w:rPr>
          <w:rFonts w:ascii="Times New Roman" w:hAnsi="Times New Roman" w:eastAsia="Times New Roman"/>
          <w:color w:val="auto"/>
          <w:spacing w:val="-2"/>
          <w:highlight w:val="none"/>
        </w:rPr>
      </w:pPr>
      <w:r>
        <w:rPr>
          <w:rFonts w:ascii="Times New Roman" w:hAnsi="Times New Roman" w:eastAsia="Times New Roman"/>
          <w:color w:val="auto"/>
          <w:spacing w:val="-2"/>
          <w:highlight w:val="none"/>
        </w:rPr>
        <w:t xml:space="preserve">1.9.3  </w:t>
      </w:r>
      <w:r>
        <w:rPr>
          <w:rFonts w:ascii="宋体" w:hAnsi="宋体" w:eastAsia="宋体"/>
          <w:color w:val="auto"/>
          <w:spacing w:val="-2"/>
          <w:highlight w:val="none"/>
        </w:rPr>
        <w:t>除招标人</w:t>
      </w:r>
      <w:r>
        <w:rPr>
          <w:rFonts w:ascii="宋体" w:hAnsi="宋体" w:eastAsia="宋体"/>
          <w:color w:val="auto"/>
          <w:spacing w:val="-1"/>
          <w:highlight w:val="none"/>
        </w:rPr>
        <w:t>的原因外，投标人自行负责在踏勘现场中所发生的人员伤亡和财产损失。</w:t>
      </w:r>
    </w:p>
    <w:p w14:paraId="1C06ECC8">
      <w:pPr>
        <w:spacing w:before="152" w:line="360" w:lineRule="auto"/>
        <w:ind w:right="74" w:firstLine="437"/>
        <w:rPr>
          <w:rFonts w:ascii="宋体" w:hAnsi="宋体" w:eastAsia="宋体"/>
          <w:color w:val="auto"/>
          <w:spacing w:val="-1"/>
          <w:highlight w:val="none"/>
        </w:rPr>
      </w:pPr>
      <w:r>
        <w:rPr>
          <w:rFonts w:ascii="Times New Roman" w:hAnsi="Times New Roman" w:eastAsia="Times New Roman"/>
          <w:color w:val="auto"/>
          <w:spacing w:val="-4"/>
          <w:highlight w:val="none"/>
        </w:rPr>
        <w:t xml:space="preserve">1.9.4 </w:t>
      </w:r>
      <w:r>
        <w:rPr>
          <w:rFonts w:ascii="Times New Roman" w:hAnsi="Times New Roman" w:eastAsia="Times New Roman"/>
          <w:color w:val="auto"/>
          <w:spacing w:val="-2"/>
          <w:highlight w:val="none"/>
        </w:rPr>
        <w:t xml:space="preserve"> </w:t>
      </w:r>
      <w:r>
        <w:rPr>
          <w:rFonts w:ascii="宋体" w:hAnsi="宋体" w:eastAsia="宋体"/>
          <w:color w:val="auto"/>
          <w:spacing w:val="-2"/>
          <w:highlight w:val="none"/>
        </w:rPr>
        <w:t>招标人在踏勘现场中介绍的工程场地和相关的周边环境情况，供投标人在编制投标文</w:t>
      </w:r>
      <w:r>
        <w:rPr>
          <w:rFonts w:ascii="宋体" w:hAnsi="宋体" w:eastAsia="宋体"/>
          <w:color w:val="auto"/>
          <w:highlight w:val="none"/>
        </w:rPr>
        <w:t xml:space="preserve"> </w:t>
      </w:r>
      <w:r>
        <w:rPr>
          <w:rFonts w:ascii="宋体" w:hAnsi="宋体" w:eastAsia="宋体"/>
          <w:color w:val="auto"/>
          <w:spacing w:val="-2"/>
          <w:highlight w:val="none"/>
        </w:rPr>
        <w:t>件时参考，招标人不对</w:t>
      </w:r>
      <w:r>
        <w:rPr>
          <w:rFonts w:ascii="宋体" w:hAnsi="宋体" w:eastAsia="宋体"/>
          <w:color w:val="auto"/>
          <w:spacing w:val="-1"/>
          <w:highlight w:val="none"/>
        </w:rPr>
        <w:t>投标人据此作出的判断和决策负责。</w:t>
      </w:r>
    </w:p>
    <w:p w14:paraId="4CE18F58">
      <w:pPr>
        <w:pStyle w:val="7"/>
        <w:rPr>
          <w:rFonts w:eastAsiaTheme="minorEastAsia"/>
          <w:color w:val="auto"/>
          <w:highlight w:val="none"/>
        </w:rPr>
      </w:pPr>
    </w:p>
    <w:p w14:paraId="58ABBA6B">
      <w:pPr>
        <w:rPr>
          <w:rFonts w:ascii="Times New Roman" w:hAnsi="Times New Roman" w:eastAsia="Times New Roman"/>
          <w:b/>
          <w:bCs/>
          <w:color w:val="auto"/>
          <w:spacing w:val="1"/>
          <w:sz w:val="27"/>
          <w:szCs w:val="27"/>
          <w:highlight w:val="none"/>
        </w:rPr>
      </w:pPr>
      <w:bookmarkStart w:id="136" w:name="_Toc25329"/>
      <w:bookmarkStart w:id="137" w:name="_Toc6267"/>
      <w:bookmarkStart w:id="138" w:name="_Toc9708"/>
      <w:bookmarkStart w:id="139" w:name="_Toc28835"/>
      <w:bookmarkStart w:id="140" w:name="_Toc5577"/>
      <w:r>
        <w:rPr>
          <w:rFonts w:ascii="Times New Roman" w:hAnsi="Times New Roman" w:eastAsia="Times New Roman"/>
          <w:b/>
          <w:bCs/>
          <w:color w:val="auto"/>
          <w:spacing w:val="1"/>
          <w:sz w:val="27"/>
          <w:szCs w:val="27"/>
          <w:highlight w:val="none"/>
        </w:rPr>
        <w:t xml:space="preserve">1.10 </w:t>
      </w:r>
      <w:r>
        <w:rPr>
          <w:rFonts w:hint="eastAsia" w:ascii="宋体" w:hAnsi="宋体" w:eastAsia="宋体" w:cs="宋体"/>
          <w:b/>
          <w:bCs/>
          <w:color w:val="auto"/>
          <w:spacing w:val="1"/>
          <w:sz w:val="27"/>
          <w:szCs w:val="27"/>
          <w:highlight w:val="none"/>
        </w:rPr>
        <w:t>投标预备会</w:t>
      </w:r>
      <w:bookmarkEnd w:id="136"/>
      <w:bookmarkEnd w:id="137"/>
      <w:bookmarkEnd w:id="138"/>
      <w:bookmarkEnd w:id="139"/>
      <w:bookmarkEnd w:id="140"/>
    </w:p>
    <w:p w14:paraId="0104D5AE">
      <w:pPr>
        <w:spacing w:before="69" w:line="351" w:lineRule="auto"/>
        <w:ind w:left="1" w:right="80" w:firstLine="435"/>
        <w:rPr>
          <w:rFonts w:ascii="Times New Roman" w:hAnsi="Times New Roman" w:eastAsia="Times New Roman"/>
          <w:color w:val="auto"/>
          <w:spacing w:val="-1"/>
          <w:highlight w:val="none"/>
        </w:rPr>
      </w:pPr>
      <w:r>
        <w:rPr>
          <w:rFonts w:ascii="Times New Roman" w:hAnsi="Times New Roman" w:eastAsia="Times New Roman"/>
          <w:color w:val="auto"/>
          <w:spacing w:val="-1"/>
          <w:highlight w:val="none"/>
        </w:rPr>
        <w:t>1</w:t>
      </w:r>
      <w:r>
        <w:rPr>
          <w:rFonts w:ascii="Times New Roman" w:hAnsi="Times New Roman" w:eastAsia="Times New Roman"/>
          <w:color w:val="auto"/>
          <w:highlight w:val="none"/>
        </w:rPr>
        <w:t xml:space="preserve">.10.1  </w:t>
      </w:r>
      <w:r>
        <w:rPr>
          <w:rFonts w:ascii="宋体" w:hAnsi="宋体" w:eastAsia="宋体"/>
          <w:color w:val="auto"/>
          <w:highlight w:val="none"/>
        </w:rPr>
        <w:t xml:space="preserve">投标人须知前附表规定召开投标预备会的，招标人按投标人须知前附表规定的时间 </w:t>
      </w:r>
      <w:r>
        <w:rPr>
          <w:rFonts w:ascii="宋体" w:hAnsi="宋体" w:eastAsia="宋体"/>
          <w:color w:val="auto"/>
          <w:spacing w:val="-2"/>
          <w:highlight w:val="none"/>
        </w:rPr>
        <w:t>和地点召开投标预备会，澄清投标</w:t>
      </w:r>
      <w:r>
        <w:rPr>
          <w:rFonts w:ascii="宋体" w:hAnsi="宋体" w:eastAsia="宋体"/>
          <w:color w:val="auto"/>
          <w:spacing w:val="-1"/>
          <w:highlight w:val="none"/>
        </w:rPr>
        <w:t>人提出的问题。</w:t>
      </w:r>
    </w:p>
    <w:p w14:paraId="03C61DFD">
      <w:pPr>
        <w:spacing w:before="2" w:line="351" w:lineRule="auto"/>
        <w:ind w:left="1" w:right="80" w:firstLine="435"/>
        <w:rPr>
          <w:rFonts w:ascii="Times New Roman" w:hAnsi="Times New Roman" w:eastAsia="Times New Roman"/>
          <w:color w:val="auto"/>
          <w:spacing w:val="-1"/>
          <w:highlight w:val="none"/>
        </w:rPr>
      </w:pPr>
      <w:r>
        <w:rPr>
          <w:rFonts w:ascii="Times New Roman" w:hAnsi="Times New Roman" w:eastAsia="Times New Roman"/>
          <w:color w:val="auto"/>
          <w:spacing w:val="-1"/>
          <w:highlight w:val="none"/>
        </w:rPr>
        <w:t>1</w:t>
      </w:r>
      <w:r>
        <w:rPr>
          <w:rFonts w:ascii="Times New Roman" w:hAnsi="Times New Roman" w:eastAsia="Times New Roman"/>
          <w:color w:val="auto"/>
          <w:highlight w:val="none"/>
        </w:rPr>
        <w:t xml:space="preserve">.10.2  </w:t>
      </w:r>
      <w:r>
        <w:rPr>
          <w:rFonts w:ascii="宋体" w:hAnsi="宋体" w:eastAsia="宋体"/>
          <w:color w:val="auto"/>
          <w:highlight w:val="none"/>
        </w:rPr>
        <w:t xml:space="preserve">投标人应按投标人须知前附表规定的时间和形式将提出的问题送达招标人，以便招 </w:t>
      </w:r>
      <w:r>
        <w:rPr>
          <w:rFonts w:ascii="宋体" w:hAnsi="宋体" w:eastAsia="宋体"/>
          <w:color w:val="auto"/>
          <w:spacing w:val="-6"/>
          <w:highlight w:val="none"/>
        </w:rPr>
        <w:t>标</w:t>
      </w:r>
      <w:r>
        <w:rPr>
          <w:rFonts w:ascii="宋体" w:hAnsi="宋体" w:eastAsia="宋体"/>
          <w:color w:val="auto"/>
          <w:spacing w:val="-5"/>
          <w:highlight w:val="none"/>
        </w:rPr>
        <w:t>人</w:t>
      </w:r>
      <w:r>
        <w:rPr>
          <w:rFonts w:ascii="宋体" w:hAnsi="宋体" w:eastAsia="宋体"/>
          <w:color w:val="auto"/>
          <w:spacing w:val="-3"/>
          <w:highlight w:val="none"/>
        </w:rPr>
        <w:t>在会议期间澄清。</w:t>
      </w:r>
    </w:p>
    <w:p w14:paraId="557DD6B1">
      <w:pPr>
        <w:spacing w:line="360" w:lineRule="auto"/>
        <w:ind w:left="5" w:right="80" w:firstLine="432"/>
        <w:rPr>
          <w:rFonts w:ascii="Times New Roman" w:hAnsi="Times New Roman" w:eastAsia="Times New Roman"/>
          <w:color w:val="auto"/>
          <w:spacing w:val="-1"/>
          <w:highlight w:val="none"/>
        </w:rPr>
      </w:pPr>
      <w:r>
        <w:rPr>
          <w:rFonts w:ascii="Times New Roman" w:hAnsi="Times New Roman" w:eastAsia="Times New Roman"/>
          <w:color w:val="auto"/>
          <w:spacing w:val="-1"/>
          <w:highlight w:val="none"/>
        </w:rPr>
        <w:t>1</w:t>
      </w:r>
      <w:r>
        <w:rPr>
          <w:rFonts w:ascii="Times New Roman" w:hAnsi="Times New Roman" w:eastAsia="Times New Roman"/>
          <w:color w:val="auto"/>
          <w:highlight w:val="none"/>
        </w:rPr>
        <w:t xml:space="preserve">.10.3  </w:t>
      </w:r>
      <w:r>
        <w:rPr>
          <w:rFonts w:ascii="宋体" w:hAnsi="宋体" w:eastAsia="宋体"/>
          <w:color w:val="auto"/>
          <w:highlight w:val="none"/>
        </w:rPr>
        <w:t xml:space="preserve">投标预备会后，招标人将对投标人所提问题的澄清，以投标人须知前附表规定的形 </w:t>
      </w:r>
      <w:r>
        <w:rPr>
          <w:rFonts w:ascii="宋体" w:hAnsi="宋体" w:eastAsia="宋体"/>
          <w:color w:val="auto"/>
          <w:spacing w:val="-2"/>
          <w:highlight w:val="none"/>
        </w:rPr>
        <w:t>式通知所</w:t>
      </w:r>
      <w:r>
        <w:rPr>
          <w:rFonts w:hint="eastAsia" w:ascii="宋体" w:hAnsi="宋体" w:eastAsia="宋体"/>
          <w:color w:val="auto"/>
          <w:spacing w:val="-2"/>
          <w:highlight w:val="none"/>
        </w:rPr>
        <w:t>有潜在</w:t>
      </w:r>
      <w:r>
        <w:rPr>
          <w:rFonts w:ascii="宋体" w:hAnsi="宋体" w:eastAsia="宋体"/>
          <w:color w:val="auto"/>
          <w:spacing w:val="-1"/>
          <w:highlight w:val="none"/>
        </w:rPr>
        <w:t>投标人。该澄清内容为招标文件的组成部分。</w:t>
      </w:r>
    </w:p>
    <w:p w14:paraId="163A4466">
      <w:pPr>
        <w:rPr>
          <w:color w:val="auto"/>
          <w:highlight w:val="none"/>
        </w:rPr>
        <w:sectPr>
          <w:footerReference r:id="rId9" w:type="default"/>
          <w:pgSz w:w="12240" w:h="15840"/>
          <w:pgMar w:top="1346" w:right="1725" w:bottom="1104" w:left="1807" w:header="0" w:footer="940" w:gutter="0"/>
          <w:cols w:space="720" w:num="1"/>
        </w:sectPr>
      </w:pPr>
    </w:p>
    <w:p w14:paraId="33402D9F">
      <w:pPr>
        <w:rPr>
          <w:rFonts w:ascii="Times New Roman" w:hAnsi="Times New Roman" w:eastAsia="Times New Roman"/>
          <w:b/>
          <w:bCs/>
          <w:color w:val="auto"/>
          <w:spacing w:val="1"/>
          <w:sz w:val="27"/>
          <w:szCs w:val="27"/>
          <w:highlight w:val="none"/>
        </w:rPr>
      </w:pPr>
      <w:bookmarkStart w:id="141" w:name="_Toc30287"/>
      <w:bookmarkStart w:id="142" w:name="_Toc7302"/>
      <w:bookmarkStart w:id="143" w:name="_Toc27217"/>
      <w:bookmarkStart w:id="144" w:name="_Toc27659"/>
      <w:bookmarkStart w:id="145" w:name="_Toc27543"/>
      <w:r>
        <w:rPr>
          <w:rFonts w:ascii="Times New Roman" w:hAnsi="Times New Roman" w:eastAsia="Times New Roman"/>
          <w:b/>
          <w:bCs/>
          <w:color w:val="auto"/>
          <w:spacing w:val="1"/>
          <w:sz w:val="27"/>
          <w:szCs w:val="27"/>
          <w:highlight w:val="none"/>
        </w:rPr>
        <w:t xml:space="preserve">1.11  </w:t>
      </w:r>
      <w:r>
        <w:rPr>
          <w:rFonts w:hint="eastAsia" w:ascii="宋体" w:hAnsi="宋体" w:eastAsia="宋体" w:cs="宋体"/>
          <w:b/>
          <w:bCs/>
          <w:color w:val="auto"/>
          <w:spacing w:val="1"/>
          <w:sz w:val="27"/>
          <w:szCs w:val="27"/>
          <w:highlight w:val="none"/>
        </w:rPr>
        <w:t>分包</w:t>
      </w:r>
      <w:bookmarkEnd w:id="141"/>
      <w:bookmarkEnd w:id="142"/>
      <w:bookmarkEnd w:id="143"/>
      <w:bookmarkEnd w:id="144"/>
      <w:bookmarkEnd w:id="145"/>
    </w:p>
    <w:p w14:paraId="1129DD2C">
      <w:pPr>
        <w:spacing w:before="68" w:line="352" w:lineRule="auto"/>
        <w:ind w:left="1" w:right="66" w:firstLine="435"/>
        <w:rPr>
          <w:rFonts w:ascii="Times New Roman" w:hAnsi="Times New Roman" w:eastAsia="Times New Roman"/>
          <w:color w:val="auto"/>
          <w:spacing w:val="-1"/>
          <w:highlight w:val="none"/>
        </w:rPr>
      </w:pPr>
      <w:r>
        <w:rPr>
          <w:rFonts w:ascii="Times New Roman" w:hAnsi="Times New Roman" w:eastAsia="Times New Roman"/>
          <w:color w:val="auto"/>
          <w:spacing w:val="-1"/>
          <w:highlight w:val="none"/>
        </w:rPr>
        <w:t>1</w:t>
      </w:r>
      <w:r>
        <w:rPr>
          <w:rFonts w:ascii="Times New Roman" w:hAnsi="Times New Roman" w:eastAsia="Times New Roman"/>
          <w:color w:val="auto"/>
          <w:highlight w:val="none"/>
        </w:rPr>
        <w:t xml:space="preserve">.11.1  </w:t>
      </w:r>
      <w:r>
        <w:rPr>
          <w:rFonts w:ascii="宋体" w:hAnsi="宋体" w:eastAsia="宋体"/>
          <w:color w:val="auto"/>
          <w:highlight w:val="none"/>
        </w:rPr>
        <w:t xml:space="preserve">投标人拟在中标后将中标项目的非主体、非关键性设计工作进行分包的，应符合投 </w:t>
      </w:r>
      <w:r>
        <w:rPr>
          <w:rFonts w:ascii="宋体" w:hAnsi="宋体" w:eastAsia="宋体"/>
          <w:color w:val="auto"/>
          <w:spacing w:val="1"/>
          <w:highlight w:val="none"/>
        </w:rPr>
        <w:t>标人须知前附表规定的分包内容</w:t>
      </w:r>
      <w:r>
        <w:rPr>
          <w:rFonts w:ascii="宋体" w:hAnsi="宋体" w:eastAsia="宋体"/>
          <w:color w:val="auto"/>
          <w:highlight w:val="none"/>
        </w:rPr>
        <w:t xml:space="preserve">、分包金额和资质要求等限制性条件，除投标人须知前附表规 </w:t>
      </w:r>
      <w:r>
        <w:rPr>
          <w:rFonts w:ascii="宋体" w:hAnsi="宋体" w:eastAsia="宋体"/>
          <w:color w:val="auto"/>
          <w:spacing w:val="-2"/>
          <w:highlight w:val="none"/>
        </w:rPr>
        <w:t>定的非主体、非关键性设计工</w:t>
      </w:r>
      <w:r>
        <w:rPr>
          <w:rFonts w:ascii="宋体" w:hAnsi="宋体" w:eastAsia="宋体"/>
          <w:color w:val="auto"/>
          <w:spacing w:val="-1"/>
          <w:highlight w:val="none"/>
        </w:rPr>
        <w:t>作外，其他工作不得分包。</w:t>
      </w:r>
    </w:p>
    <w:p w14:paraId="620C78AA">
      <w:pPr>
        <w:spacing w:line="359" w:lineRule="auto"/>
        <w:ind w:left="3" w:right="69" w:firstLine="433"/>
        <w:rPr>
          <w:rFonts w:ascii="宋体" w:hAnsi="宋体" w:eastAsia="宋体"/>
          <w:color w:val="auto"/>
          <w:spacing w:val="-1"/>
          <w:highlight w:val="none"/>
        </w:rPr>
      </w:pPr>
      <w:r>
        <w:rPr>
          <w:rFonts w:ascii="Times New Roman" w:hAnsi="Times New Roman" w:eastAsia="Times New Roman"/>
          <w:color w:val="auto"/>
          <w:spacing w:val="2"/>
          <w:highlight w:val="none"/>
        </w:rPr>
        <w:t>1.11.2</w:t>
      </w:r>
      <w:r>
        <w:rPr>
          <w:rFonts w:ascii="Times New Roman" w:hAnsi="Times New Roman" w:eastAsia="Times New Roman"/>
          <w:color w:val="auto"/>
          <w:spacing w:val="1"/>
          <w:highlight w:val="none"/>
        </w:rPr>
        <w:t xml:space="preserve"> </w:t>
      </w:r>
      <w:r>
        <w:rPr>
          <w:rFonts w:ascii="宋体" w:hAnsi="宋体" w:eastAsia="宋体"/>
          <w:color w:val="auto"/>
          <w:spacing w:val="1"/>
          <w:highlight w:val="none"/>
        </w:rPr>
        <w:t>中标人不得向他人转让中标项目，接受分包的人不得再次分包。中标人应当就分包</w:t>
      </w:r>
      <w:r>
        <w:rPr>
          <w:rFonts w:ascii="宋体" w:hAnsi="宋体" w:eastAsia="宋体"/>
          <w:color w:val="auto"/>
          <w:highlight w:val="none"/>
        </w:rPr>
        <w:t xml:space="preserve"> </w:t>
      </w:r>
      <w:r>
        <w:rPr>
          <w:rFonts w:ascii="宋体" w:hAnsi="宋体" w:eastAsia="宋体"/>
          <w:color w:val="auto"/>
          <w:spacing w:val="-2"/>
          <w:highlight w:val="none"/>
        </w:rPr>
        <w:t>项目向招标人负责，接受分包</w:t>
      </w:r>
      <w:r>
        <w:rPr>
          <w:rFonts w:ascii="宋体" w:hAnsi="宋体" w:eastAsia="宋体"/>
          <w:color w:val="auto"/>
          <w:spacing w:val="-1"/>
          <w:highlight w:val="none"/>
        </w:rPr>
        <w:t>的人就分包项目承担连带责任。</w:t>
      </w:r>
    </w:p>
    <w:p w14:paraId="26F445A7">
      <w:pPr>
        <w:pStyle w:val="7"/>
        <w:rPr>
          <w:rFonts w:eastAsiaTheme="minorEastAsia"/>
          <w:color w:val="auto"/>
          <w:highlight w:val="none"/>
        </w:rPr>
      </w:pPr>
    </w:p>
    <w:p w14:paraId="408711ED">
      <w:pPr>
        <w:rPr>
          <w:rFonts w:ascii="Times New Roman" w:hAnsi="Times New Roman" w:eastAsia="Times New Roman"/>
          <w:b/>
          <w:bCs/>
          <w:color w:val="auto"/>
          <w:spacing w:val="1"/>
          <w:sz w:val="27"/>
          <w:szCs w:val="27"/>
          <w:highlight w:val="none"/>
        </w:rPr>
      </w:pPr>
      <w:bookmarkStart w:id="146" w:name="_Toc23891"/>
      <w:bookmarkStart w:id="147" w:name="_Toc19834"/>
      <w:bookmarkStart w:id="148" w:name="_Toc22166"/>
      <w:bookmarkStart w:id="149" w:name="_Toc17104"/>
      <w:bookmarkStart w:id="150" w:name="_Toc19091"/>
      <w:r>
        <w:rPr>
          <w:rFonts w:ascii="Times New Roman" w:hAnsi="Times New Roman" w:eastAsia="Times New Roman"/>
          <w:b/>
          <w:bCs/>
          <w:color w:val="auto"/>
          <w:spacing w:val="1"/>
          <w:sz w:val="27"/>
          <w:szCs w:val="27"/>
          <w:highlight w:val="none"/>
        </w:rPr>
        <w:t xml:space="preserve">1.12 </w:t>
      </w:r>
      <w:r>
        <w:rPr>
          <w:rFonts w:hint="eastAsia" w:ascii="宋体" w:hAnsi="宋体" w:eastAsia="宋体" w:cs="宋体"/>
          <w:b/>
          <w:bCs/>
          <w:color w:val="auto"/>
          <w:spacing w:val="1"/>
          <w:sz w:val="27"/>
          <w:szCs w:val="27"/>
          <w:highlight w:val="none"/>
        </w:rPr>
        <w:t>响应和偏差</w:t>
      </w:r>
      <w:bookmarkEnd w:id="146"/>
      <w:bookmarkEnd w:id="147"/>
      <w:bookmarkEnd w:id="148"/>
      <w:bookmarkEnd w:id="149"/>
      <w:bookmarkEnd w:id="150"/>
    </w:p>
    <w:p w14:paraId="086435E3">
      <w:pPr>
        <w:spacing w:before="68" w:line="352" w:lineRule="auto"/>
        <w:ind w:left="7" w:firstLine="429"/>
        <w:rPr>
          <w:rFonts w:ascii="Times New Roman" w:hAnsi="Times New Roman" w:eastAsia="Times New Roman"/>
          <w:color w:val="auto"/>
          <w:spacing w:val="-1"/>
          <w:highlight w:val="none"/>
        </w:rPr>
      </w:pPr>
      <w:r>
        <w:rPr>
          <w:rFonts w:ascii="Times New Roman" w:hAnsi="Times New Roman" w:eastAsia="Times New Roman"/>
          <w:color w:val="auto"/>
          <w:spacing w:val="-1"/>
          <w:highlight w:val="none"/>
        </w:rPr>
        <w:t>1.12.1</w:t>
      </w:r>
      <w:r>
        <w:rPr>
          <w:rFonts w:hint="eastAsia" w:ascii="Times New Roman" w:hAnsi="Times New Roman" w:eastAsia="宋体"/>
          <w:color w:val="auto"/>
          <w:spacing w:val="-1"/>
          <w:highlight w:val="none"/>
        </w:rPr>
        <w:t xml:space="preserve"> </w:t>
      </w:r>
      <w:r>
        <w:rPr>
          <w:rFonts w:ascii="宋体" w:hAnsi="宋体" w:eastAsia="宋体"/>
          <w:color w:val="auto"/>
          <w:spacing w:val="-1"/>
          <w:highlight w:val="none"/>
        </w:rPr>
        <w:t>投标文件应当对招标文件的实质性要求和条件作出满足性或更有利于招标人的</w:t>
      </w:r>
      <w:r>
        <w:rPr>
          <w:rFonts w:ascii="宋体" w:hAnsi="宋体" w:eastAsia="宋体"/>
          <w:color w:val="auto"/>
          <w:highlight w:val="none"/>
        </w:rPr>
        <w:t>响应</w:t>
      </w:r>
      <w:r>
        <w:rPr>
          <w:rFonts w:hint="eastAsia" w:ascii="宋体" w:hAnsi="宋体" w:eastAsia="宋体"/>
          <w:color w:val="auto"/>
          <w:highlight w:val="none"/>
        </w:rPr>
        <w:t>，</w:t>
      </w:r>
      <w:r>
        <w:rPr>
          <w:rFonts w:ascii="宋体" w:hAnsi="宋体" w:eastAsia="宋体"/>
          <w:color w:val="auto"/>
          <w:spacing w:val="-2"/>
          <w:highlight w:val="none"/>
        </w:rPr>
        <w:t>否则，投标人的投标将被</w:t>
      </w:r>
      <w:r>
        <w:rPr>
          <w:rFonts w:ascii="宋体" w:hAnsi="宋体" w:eastAsia="宋体"/>
          <w:color w:val="auto"/>
          <w:spacing w:val="-1"/>
          <w:highlight w:val="none"/>
        </w:rPr>
        <w:t>否决。</w:t>
      </w:r>
      <w:r>
        <w:rPr>
          <w:rFonts w:hint="eastAsia" w:ascii="宋体" w:hAnsi="宋体" w:eastAsia="宋体"/>
          <w:bCs/>
          <w:color w:val="auto"/>
          <w:highlight w:val="none"/>
        </w:rPr>
        <w:t>实质性要求和条件见投标人须知前附表。</w:t>
      </w:r>
    </w:p>
    <w:p w14:paraId="193987C1">
      <w:pPr>
        <w:spacing w:before="68" w:line="352" w:lineRule="auto"/>
        <w:ind w:left="7" w:firstLine="429"/>
        <w:rPr>
          <w:rFonts w:ascii="Times New Roman" w:hAnsi="Times New Roman" w:eastAsia="Times New Roman"/>
          <w:color w:val="auto"/>
          <w:spacing w:val="-1"/>
          <w:highlight w:val="none"/>
        </w:rPr>
      </w:pPr>
      <w:r>
        <w:rPr>
          <w:rFonts w:ascii="Times New Roman" w:hAnsi="Times New Roman" w:eastAsia="Times New Roman"/>
          <w:color w:val="auto"/>
          <w:spacing w:val="-1"/>
          <w:highlight w:val="none"/>
        </w:rPr>
        <w:t>1.12.2  投标人应根据招标文件的要求提供投标</w:t>
      </w:r>
      <w:r>
        <w:rPr>
          <w:rFonts w:hint="eastAsia" w:ascii="Times New Roman" w:hAnsi="Times New Roman" w:eastAsia="宋体"/>
          <w:color w:val="auto"/>
          <w:spacing w:val="-1"/>
          <w:highlight w:val="none"/>
        </w:rPr>
        <w:t>设计</w:t>
      </w:r>
      <w:r>
        <w:rPr>
          <w:rFonts w:ascii="Times New Roman" w:hAnsi="Times New Roman" w:eastAsia="Times New Roman"/>
          <w:color w:val="auto"/>
          <w:spacing w:val="-1"/>
          <w:highlight w:val="none"/>
        </w:rPr>
        <w:t>方案等内容以对招标文件作出响应</w:t>
      </w:r>
      <w:r>
        <w:rPr>
          <w:rFonts w:hint="eastAsia" w:ascii="Times New Roman" w:hAnsi="Times New Roman" w:eastAsia="宋体"/>
          <w:color w:val="auto"/>
          <w:spacing w:val="-1"/>
          <w:highlight w:val="none"/>
        </w:rPr>
        <w:t>。</w:t>
      </w:r>
    </w:p>
    <w:p w14:paraId="5585FDD1">
      <w:pPr>
        <w:spacing w:before="68" w:line="352" w:lineRule="auto"/>
        <w:ind w:left="7" w:firstLine="429"/>
        <w:rPr>
          <w:rFonts w:ascii="Times New Roman" w:hAnsi="Times New Roman" w:eastAsia="Times New Roman"/>
          <w:color w:val="auto"/>
          <w:spacing w:val="-1"/>
          <w:highlight w:val="none"/>
        </w:rPr>
      </w:pPr>
      <w:r>
        <w:rPr>
          <w:rFonts w:ascii="Times New Roman" w:hAnsi="Times New Roman" w:eastAsia="Times New Roman"/>
          <w:color w:val="auto"/>
          <w:spacing w:val="-1"/>
          <w:highlight w:val="none"/>
        </w:rPr>
        <w:t>1.12.3 投标人须知前附表允许投标文件偏离招标文件某些要求的，偏差应当符合招标文件 规定的偏差范围和幅度。</w:t>
      </w:r>
    </w:p>
    <w:p w14:paraId="72E94328">
      <w:pPr>
        <w:pStyle w:val="25"/>
        <w:spacing w:before="120" w:after="120"/>
        <w:outlineLvl w:val="9"/>
        <w:rPr>
          <w:rFonts w:ascii="Times New Roman" w:hAnsi="Times New Roman" w:eastAsia="Times New Roman"/>
          <w:bCs/>
          <w:color w:val="auto"/>
          <w:spacing w:val="7"/>
          <w:sz w:val="31"/>
          <w:szCs w:val="31"/>
          <w:highlight w:val="none"/>
        </w:rPr>
      </w:pPr>
      <w:bookmarkStart w:id="151" w:name="_Toc19859"/>
      <w:bookmarkStart w:id="152" w:name="_Toc19722"/>
      <w:bookmarkStart w:id="153" w:name="_Toc7606"/>
      <w:bookmarkStart w:id="154" w:name="_Toc22139"/>
      <w:bookmarkStart w:id="155" w:name="_Toc27910"/>
      <w:r>
        <w:rPr>
          <w:rFonts w:ascii="Times New Roman" w:hAnsi="Times New Roman" w:eastAsia="Times New Roman"/>
          <w:bCs/>
          <w:color w:val="auto"/>
          <w:spacing w:val="7"/>
          <w:sz w:val="31"/>
          <w:szCs w:val="31"/>
          <w:highlight w:val="none"/>
        </w:rPr>
        <w:t>2</w:t>
      </w:r>
      <w:r>
        <w:rPr>
          <w:rFonts w:ascii="Times New Roman" w:hAnsi="Times New Roman" w:eastAsia="Times New Roman"/>
          <w:bCs/>
          <w:color w:val="auto"/>
          <w:spacing w:val="6"/>
          <w:sz w:val="31"/>
          <w:szCs w:val="31"/>
          <w:highlight w:val="none"/>
        </w:rPr>
        <w:t>.</w:t>
      </w:r>
      <w:r>
        <w:rPr>
          <w:rFonts w:ascii="Times New Roman" w:hAnsi="Times New Roman" w:eastAsia="Times New Roman"/>
          <w:color w:val="auto"/>
          <w:spacing w:val="6"/>
          <w:sz w:val="31"/>
          <w:szCs w:val="31"/>
          <w:highlight w:val="none"/>
        </w:rPr>
        <w:t xml:space="preserve">  </w:t>
      </w:r>
      <w:r>
        <w:rPr>
          <w:rFonts w:ascii="黑体" w:hAnsi="黑体" w:eastAsia="黑体"/>
          <w:color w:val="auto"/>
          <w:spacing w:val="6"/>
          <w:sz w:val="31"/>
          <w:szCs w:val="31"/>
          <w:highlight w:val="none"/>
        </w:rPr>
        <w:t>招标文件</w:t>
      </w:r>
      <w:bookmarkEnd w:id="151"/>
      <w:bookmarkEnd w:id="152"/>
      <w:bookmarkEnd w:id="153"/>
      <w:bookmarkEnd w:id="154"/>
      <w:bookmarkEnd w:id="155"/>
    </w:p>
    <w:p w14:paraId="5A69BB94">
      <w:pPr>
        <w:rPr>
          <w:rFonts w:ascii="Times New Roman" w:hAnsi="Times New Roman" w:eastAsia="Times New Roman"/>
          <w:color w:val="auto"/>
          <w:spacing w:val="7"/>
          <w:sz w:val="27"/>
          <w:szCs w:val="27"/>
          <w:highlight w:val="none"/>
        </w:rPr>
      </w:pPr>
      <w:bookmarkStart w:id="156" w:name="_Toc22902"/>
      <w:bookmarkStart w:id="157" w:name="_Toc31379"/>
      <w:bookmarkStart w:id="158" w:name="_Toc5178"/>
      <w:bookmarkStart w:id="159" w:name="_Toc27677"/>
      <w:bookmarkStart w:id="160" w:name="_Toc29880"/>
      <w:r>
        <w:rPr>
          <w:rFonts w:ascii="Times New Roman" w:hAnsi="Times New Roman" w:eastAsia="Times New Roman"/>
          <w:color w:val="auto"/>
          <w:spacing w:val="7"/>
          <w:sz w:val="27"/>
          <w:szCs w:val="27"/>
          <w:highlight w:val="none"/>
        </w:rPr>
        <w:t xml:space="preserve">2.1  </w:t>
      </w:r>
      <w:r>
        <w:rPr>
          <w:rFonts w:ascii="黑体" w:hAnsi="黑体" w:eastAsia="黑体"/>
          <w:color w:val="auto"/>
          <w:spacing w:val="7"/>
          <w:sz w:val="27"/>
          <w:szCs w:val="27"/>
          <w:highlight w:val="none"/>
        </w:rPr>
        <w:t>招标文件的组</w:t>
      </w:r>
      <w:r>
        <w:rPr>
          <w:rFonts w:ascii="黑体" w:hAnsi="黑体" w:eastAsia="黑体"/>
          <w:color w:val="auto"/>
          <w:spacing w:val="5"/>
          <w:sz w:val="27"/>
          <w:szCs w:val="27"/>
          <w:highlight w:val="none"/>
        </w:rPr>
        <w:t>成</w:t>
      </w:r>
      <w:bookmarkEnd w:id="156"/>
      <w:bookmarkEnd w:id="157"/>
      <w:bookmarkEnd w:id="158"/>
      <w:bookmarkEnd w:id="159"/>
      <w:bookmarkEnd w:id="160"/>
    </w:p>
    <w:p w14:paraId="3E75A8BF">
      <w:pPr>
        <w:spacing w:before="69" w:line="220" w:lineRule="auto"/>
        <w:ind w:left="360"/>
        <w:rPr>
          <w:rFonts w:ascii="宋体" w:hAnsi="宋体" w:eastAsia="宋体"/>
          <w:color w:val="auto"/>
          <w:spacing w:val="-9"/>
          <w:highlight w:val="none"/>
        </w:rPr>
      </w:pPr>
      <w:r>
        <w:rPr>
          <w:rFonts w:ascii="宋体" w:hAnsi="宋体" w:eastAsia="宋体"/>
          <w:color w:val="auto"/>
          <w:spacing w:val="-9"/>
          <w:highlight w:val="none"/>
        </w:rPr>
        <w:t>本</w:t>
      </w:r>
      <w:r>
        <w:rPr>
          <w:rFonts w:ascii="宋体" w:hAnsi="宋体" w:eastAsia="宋体"/>
          <w:color w:val="auto"/>
          <w:spacing w:val="-6"/>
          <w:highlight w:val="none"/>
        </w:rPr>
        <w:t>招标文件包括：</w:t>
      </w:r>
    </w:p>
    <w:p w14:paraId="14D3CEC8">
      <w:pPr>
        <w:spacing w:before="149" w:line="219" w:lineRule="auto"/>
        <w:ind w:left="364"/>
        <w:rPr>
          <w:rFonts w:ascii="宋体" w:hAnsi="宋体" w:eastAsia="宋体"/>
          <w:color w:val="auto"/>
          <w:spacing w:val="18"/>
          <w:highlight w:val="none"/>
        </w:rPr>
      </w:pPr>
      <w:r>
        <w:rPr>
          <w:rFonts w:ascii="宋体" w:hAnsi="宋体" w:eastAsia="宋体"/>
          <w:color w:val="auto"/>
          <w:spacing w:val="18"/>
          <w:highlight w:val="none"/>
        </w:rPr>
        <w:t>(</w:t>
      </w:r>
      <w:r>
        <w:rPr>
          <w:rFonts w:ascii="Times New Roman" w:hAnsi="Times New Roman" w:eastAsia="Times New Roman"/>
          <w:color w:val="auto"/>
          <w:spacing w:val="18"/>
          <w:highlight w:val="none"/>
        </w:rPr>
        <w:t>1</w:t>
      </w:r>
      <w:r>
        <w:rPr>
          <w:rFonts w:ascii="宋体" w:hAnsi="宋体" w:eastAsia="宋体"/>
          <w:color w:val="auto"/>
          <w:spacing w:val="18"/>
          <w:highlight w:val="none"/>
        </w:rPr>
        <w:t>)招标公告</w:t>
      </w:r>
      <w:r>
        <w:rPr>
          <w:rFonts w:ascii="宋体" w:hAnsi="宋体" w:eastAsia="宋体"/>
          <w:color w:val="auto"/>
          <w:spacing w:val="17"/>
          <w:highlight w:val="none"/>
        </w:rPr>
        <w:t>；</w:t>
      </w:r>
    </w:p>
    <w:p w14:paraId="65457108">
      <w:pPr>
        <w:spacing w:before="152" w:line="220" w:lineRule="auto"/>
        <w:ind w:left="364"/>
        <w:rPr>
          <w:rFonts w:ascii="宋体" w:hAnsi="宋体" w:eastAsia="宋体"/>
          <w:color w:val="auto"/>
          <w:spacing w:val="20"/>
          <w:highlight w:val="none"/>
        </w:rPr>
      </w:pPr>
      <w:r>
        <w:rPr>
          <w:rFonts w:ascii="宋体" w:hAnsi="宋体" w:eastAsia="宋体"/>
          <w:color w:val="auto"/>
          <w:spacing w:val="20"/>
          <w:highlight w:val="none"/>
        </w:rPr>
        <w:t>(</w:t>
      </w:r>
      <w:r>
        <w:rPr>
          <w:rFonts w:ascii="Times New Roman" w:hAnsi="Times New Roman" w:eastAsia="Times New Roman"/>
          <w:color w:val="auto"/>
          <w:spacing w:val="16"/>
          <w:highlight w:val="none"/>
        </w:rPr>
        <w:t>2</w:t>
      </w:r>
      <w:r>
        <w:rPr>
          <w:rFonts w:ascii="宋体" w:hAnsi="宋体" w:eastAsia="宋体"/>
          <w:color w:val="auto"/>
          <w:spacing w:val="16"/>
          <w:highlight w:val="none"/>
        </w:rPr>
        <w:t>)投标人须知；</w:t>
      </w:r>
    </w:p>
    <w:p w14:paraId="4DA9F14F">
      <w:pPr>
        <w:spacing w:before="150" w:line="220" w:lineRule="auto"/>
        <w:ind w:left="364"/>
        <w:rPr>
          <w:rFonts w:ascii="宋体" w:hAnsi="宋体" w:eastAsia="宋体"/>
          <w:color w:val="auto"/>
          <w:spacing w:val="22"/>
          <w:highlight w:val="none"/>
        </w:rPr>
      </w:pPr>
      <w:r>
        <w:rPr>
          <w:rFonts w:ascii="宋体" w:hAnsi="宋体" w:eastAsia="宋体"/>
          <w:color w:val="auto"/>
          <w:spacing w:val="22"/>
          <w:highlight w:val="none"/>
        </w:rPr>
        <w:t>(</w:t>
      </w:r>
      <w:r>
        <w:rPr>
          <w:rFonts w:ascii="Times New Roman" w:hAnsi="Times New Roman" w:eastAsia="Times New Roman"/>
          <w:color w:val="auto"/>
          <w:spacing w:val="18"/>
          <w:highlight w:val="none"/>
        </w:rPr>
        <w:t>3</w:t>
      </w:r>
      <w:r>
        <w:rPr>
          <w:rFonts w:ascii="宋体" w:hAnsi="宋体" w:eastAsia="宋体"/>
          <w:color w:val="auto"/>
          <w:spacing w:val="18"/>
          <w:highlight w:val="none"/>
        </w:rPr>
        <w:t>)评标办法；</w:t>
      </w:r>
    </w:p>
    <w:p w14:paraId="697BC540">
      <w:pPr>
        <w:spacing w:before="148" w:line="220" w:lineRule="auto"/>
        <w:ind w:left="364"/>
        <w:rPr>
          <w:rFonts w:ascii="宋体" w:hAnsi="宋体" w:eastAsia="宋体"/>
          <w:color w:val="auto"/>
          <w:spacing w:val="18"/>
          <w:highlight w:val="none"/>
        </w:rPr>
      </w:pPr>
      <w:r>
        <w:rPr>
          <w:rFonts w:ascii="宋体" w:hAnsi="宋体" w:eastAsia="宋体"/>
          <w:color w:val="auto"/>
          <w:spacing w:val="18"/>
          <w:highlight w:val="none"/>
        </w:rPr>
        <w:t>(</w:t>
      </w:r>
      <w:r>
        <w:rPr>
          <w:rFonts w:ascii="Times New Roman" w:hAnsi="Times New Roman" w:eastAsia="Times New Roman"/>
          <w:color w:val="auto"/>
          <w:spacing w:val="13"/>
          <w:highlight w:val="none"/>
        </w:rPr>
        <w:t>4</w:t>
      </w:r>
      <w:r>
        <w:rPr>
          <w:rFonts w:ascii="宋体" w:hAnsi="宋体" w:eastAsia="宋体"/>
          <w:color w:val="auto"/>
          <w:spacing w:val="13"/>
          <w:highlight w:val="none"/>
        </w:rPr>
        <w:t>)合同条款及格式；</w:t>
      </w:r>
    </w:p>
    <w:p w14:paraId="4A00E4AA">
      <w:pPr>
        <w:spacing w:before="151" w:line="221" w:lineRule="auto"/>
        <w:ind w:left="364"/>
        <w:rPr>
          <w:rFonts w:ascii="宋体" w:hAnsi="宋体" w:eastAsia="宋体"/>
          <w:color w:val="auto"/>
          <w:spacing w:val="20"/>
          <w:highlight w:val="none"/>
        </w:rPr>
      </w:pPr>
      <w:r>
        <w:rPr>
          <w:rFonts w:ascii="宋体" w:hAnsi="宋体" w:eastAsia="宋体"/>
          <w:color w:val="auto"/>
          <w:spacing w:val="20"/>
          <w:highlight w:val="none"/>
        </w:rPr>
        <w:t>(</w:t>
      </w:r>
      <w:r>
        <w:rPr>
          <w:rFonts w:ascii="Times New Roman" w:hAnsi="Times New Roman" w:eastAsia="Times New Roman"/>
          <w:color w:val="auto"/>
          <w:spacing w:val="16"/>
          <w:highlight w:val="none"/>
        </w:rPr>
        <w:t>5</w:t>
      </w:r>
      <w:r>
        <w:rPr>
          <w:rFonts w:ascii="宋体" w:hAnsi="宋体" w:eastAsia="宋体"/>
          <w:color w:val="auto"/>
          <w:spacing w:val="16"/>
          <w:highlight w:val="none"/>
        </w:rPr>
        <w:t>)发包人要求；</w:t>
      </w:r>
    </w:p>
    <w:p w14:paraId="0C1CC8D4">
      <w:pPr>
        <w:spacing w:before="148" w:line="220" w:lineRule="auto"/>
        <w:ind w:left="364"/>
        <w:rPr>
          <w:rFonts w:ascii="宋体" w:hAnsi="宋体" w:eastAsia="宋体"/>
          <w:color w:val="auto"/>
          <w:spacing w:val="15"/>
          <w:highlight w:val="none"/>
        </w:rPr>
      </w:pPr>
      <w:r>
        <w:rPr>
          <w:rFonts w:ascii="宋体" w:hAnsi="宋体" w:eastAsia="宋体"/>
          <w:color w:val="auto"/>
          <w:spacing w:val="15"/>
          <w:highlight w:val="none"/>
        </w:rPr>
        <w:t>(</w:t>
      </w:r>
      <w:r>
        <w:rPr>
          <w:rFonts w:ascii="Times New Roman" w:hAnsi="Times New Roman" w:eastAsia="Times New Roman"/>
          <w:color w:val="auto"/>
          <w:spacing w:val="15"/>
          <w:highlight w:val="none"/>
        </w:rPr>
        <w:t>6</w:t>
      </w:r>
      <w:r>
        <w:rPr>
          <w:rFonts w:ascii="宋体" w:hAnsi="宋体" w:eastAsia="宋体"/>
          <w:color w:val="auto"/>
          <w:spacing w:val="15"/>
          <w:highlight w:val="none"/>
        </w:rPr>
        <w:t>)投标文件格式</w:t>
      </w:r>
      <w:r>
        <w:rPr>
          <w:rFonts w:ascii="宋体" w:hAnsi="宋体" w:eastAsia="宋体"/>
          <w:color w:val="auto"/>
          <w:spacing w:val="13"/>
          <w:highlight w:val="none"/>
        </w:rPr>
        <w:t>；</w:t>
      </w:r>
    </w:p>
    <w:p w14:paraId="5F23035A">
      <w:pPr>
        <w:spacing w:before="150" w:line="218" w:lineRule="auto"/>
        <w:ind w:left="364"/>
        <w:rPr>
          <w:rFonts w:ascii="宋体" w:hAnsi="宋体" w:eastAsia="宋体"/>
          <w:color w:val="auto"/>
          <w:spacing w:val="16"/>
          <w:highlight w:val="none"/>
        </w:rPr>
      </w:pPr>
      <w:r>
        <w:rPr>
          <w:rFonts w:ascii="宋体" w:hAnsi="宋体" w:eastAsia="宋体"/>
          <w:color w:val="auto"/>
          <w:spacing w:val="16"/>
          <w:highlight w:val="none"/>
        </w:rPr>
        <w:t>(</w:t>
      </w:r>
      <w:r>
        <w:rPr>
          <w:rFonts w:ascii="Times New Roman" w:hAnsi="Times New Roman" w:eastAsia="Times New Roman"/>
          <w:color w:val="auto"/>
          <w:spacing w:val="15"/>
          <w:highlight w:val="none"/>
        </w:rPr>
        <w:t>7</w:t>
      </w:r>
      <w:r>
        <w:rPr>
          <w:rFonts w:ascii="宋体" w:hAnsi="宋体" w:eastAsia="宋体"/>
          <w:color w:val="auto"/>
          <w:spacing w:val="8"/>
          <w:highlight w:val="none"/>
        </w:rPr>
        <w:t>)</w:t>
      </w:r>
      <w:r>
        <w:rPr>
          <w:rFonts w:hint="eastAsia" w:ascii="宋体" w:hAnsi="宋体" w:eastAsia="宋体"/>
          <w:color w:val="auto"/>
          <w:spacing w:val="8"/>
          <w:highlight w:val="none"/>
        </w:rPr>
        <w:t>投标人须知前附表规定的</w:t>
      </w:r>
      <w:r>
        <w:rPr>
          <w:rFonts w:ascii="宋体" w:hAnsi="宋体" w:eastAsia="宋体"/>
          <w:color w:val="auto"/>
          <w:spacing w:val="8"/>
          <w:highlight w:val="none"/>
        </w:rPr>
        <w:t>其他资料。</w:t>
      </w:r>
    </w:p>
    <w:p w14:paraId="761150A2">
      <w:pPr>
        <w:spacing w:before="154" w:line="360" w:lineRule="auto"/>
        <w:ind w:left="3" w:right="65" w:firstLine="417"/>
        <w:rPr>
          <w:rFonts w:ascii="宋体" w:hAnsi="宋体" w:eastAsia="宋体"/>
          <w:color w:val="auto"/>
          <w:spacing w:val="-6"/>
          <w:highlight w:val="none"/>
        </w:rPr>
      </w:pPr>
      <w:r>
        <w:rPr>
          <w:rFonts w:ascii="宋体" w:hAnsi="宋体" w:eastAsia="宋体"/>
          <w:color w:val="auto"/>
          <w:spacing w:val="-2"/>
          <w:highlight w:val="none"/>
        </w:rPr>
        <w:t xml:space="preserve">根据本章第 </w:t>
      </w:r>
      <w:r>
        <w:rPr>
          <w:rFonts w:ascii="Times New Roman" w:hAnsi="Times New Roman" w:eastAsia="Times New Roman"/>
          <w:color w:val="auto"/>
          <w:spacing w:val="-2"/>
          <w:highlight w:val="none"/>
        </w:rPr>
        <w:t xml:space="preserve">1.10 </w:t>
      </w:r>
      <w:r>
        <w:rPr>
          <w:rFonts w:ascii="宋体" w:hAnsi="宋体" w:eastAsia="宋体"/>
          <w:color w:val="auto"/>
          <w:spacing w:val="-2"/>
          <w:highlight w:val="none"/>
        </w:rPr>
        <w:t xml:space="preserve">款、第 </w:t>
      </w:r>
      <w:r>
        <w:rPr>
          <w:rFonts w:ascii="Times New Roman" w:hAnsi="Times New Roman" w:eastAsia="Times New Roman"/>
          <w:color w:val="auto"/>
          <w:spacing w:val="-2"/>
          <w:highlight w:val="none"/>
        </w:rPr>
        <w:t xml:space="preserve">2.2 </w:t>
      </w:r>
      <w:r>
        <w:rPr>
          <w:rFonts w:ascii="宋体" w:hAnsi="宋体" w:eastAsia="宋体"/>
          <w:color w:val="auto"/>
          <w:spacing w:val="-2"/>
          <w:highlight w:val="none"/>
        </w:rPr>
        <w:t xml:space="preserve">款和第 </w:t>
      </w:r>
      <w:r>
        <w:rPr>
          <w:rFonts w:ascii="Times New Roman" w:hAnsi="Times New Roman" w:eastAsia="Times New Roman"/>
          <w:color w:val="auto"/>
          <w:spacing w:val="-2"/>
          <w:highlight w:val="none"/>
        </w:rPr>
        <w:t xml:space="preserve">2.3 </w:t>
      </w:r>
      <w:r>
        <w:rPr>
          <w:rFonts w:ascii="宋体" w:hAnsi="宋体" w:eastAsia="宋体"/>
          <w:color w:val="auto"/>
          <w:spacing w:val="-2"/>
          <w:highlight w:val="none"/>
        </w:rPr>
        <w:t>款对招标文件所作的澄清、修</w:t>
      </w:r>
      <w:r>
        <w:rPr>
          <w:rFonts w:ascii="宋体" w:hAnsi="宋体" w:eastAsia="宋体"/>
          <w:color w:val="auto"/>
          <w:spacing w:val="-1"/>
          <w:highlight w:val="none"/>
        </w:rPr>
        <w:t>改，构成招标文件的</w:t>
      </w:r>
      <w:r>
        <w:rPr>
          <w:rFonts w:ascii="宋体" w:hAnsi="宋体" w:eastAsia="宋体"/>
          <w:color w:val="auto"/>
          <w:spacing w:val="-9"/>
          <w:highlight w:val="none"/>
        </w:rPr>
        <w:t>组</w:t>
      </w:r>
      <w:r>
        <w:rPr>
          <w:rFonts w:ascii="宋体" w:hAnsi="宋体" w:eastAsia="宋体"/>
          <w:color w:val="auto"/>
          <w:spacing w:val="-6"/>
          <w:highlight w:val="none"/>
        </w:rPr>
        <w:t>成部分。</w:t>
      </w:r>
    </w:p>
    <w:p w14:paraId="61FC2890">
      <w:pPr>
        <w:pStyle w:val="7"/>
        <w:rPr>
          <w:rFonts w:eastAsiaTheme="minorEastAsia"/>
          <w:color w:val="auto"/>
          <w:highlight w:val="none"/>
        </w:rPr>
      </w:pPr>
    </w:p>
    <w:p w14:paraId="2C7DD034">
      <w:pPr>
        <w:rPr>
          <w:rFonts w:ascii="Times New Roman" w:hAnsi="Times New Roman" w:eastAsia="Times New Roman"/>
          <w:color w:val="auto"/>
          <w:spacing w:val="7"/>
          <w:sz w:val="27"/>
          <w:szCs w:val="27"/>
          <w:highlight w:val="none"/>
        </w:rPr>
      </w:pPr>
      <w:bookmarkStart w:id="161" w:name="_Toc32188"/>
      <w:bookmarkStart w:id="162" w:name="_Toc22940"/>
      <w:bookmarkStart w:id="163" w:name="_Toc22758"/>
      <w:bookmarkStart w:id="164" w:name="_Toc3229"/>
      <w:bookmarkStart w:id="165" w:name="_Toc5697"/>
      <w:r>
        <w:rPr>
          <w:rFonts w:ascii="Times New Roman" w:hAnsi="Times New Roman" w:eastAsia="Times New Roman"/>
          <w:color w:val="auto"/>
          <w:spacing w:val="7"/>
          <w:sz w:val="27"/>
          <w:szCs w:val="27"/>
          <w:highlight w:val="none"/>
        </w:rPr>
        <w:t xml:space="preserve">2.2  </w:t>
      </w:r>
      <w:r>
        <w:rPr>
          <w:rFonts w:ascii="黑体" w:hAnsi="黑体" w:eastAsia="黑体"/>
          <w:color w:val="auto"/>
          <w:spacing w:val="7"/>
          <w:sz w:val="27"/>
          <w:szCs w:val="27"/>
          <w:highlight w:val="none"/>
        </w:rPr>
        <w:t>招标文件的</w:t>
      </w:r>
      <w:r>
        <w:rPr>
          <w:rFonts w:hint="eastAsia" w:ascii="黑体" w:hAnsi="黑体" w:eastAsia="黑体"/>
          <w:color w:val="auto"/>
          <w:spacing w:val="7"/>
          <w:sz w:val="27"/>
          <w:szCs w:val="27"/>
          <w:highlight w:val="none"/>
        </w:rPr>
        <w:t>答疑</w:t>
      </w:r>
      <w:bookmarkEnd w:id="161"/>
      <w:bookmarkEnd w:id="162"/>
      <w:bookmarkEnd w:id="163"/>
      <w:bookmarkEnd w:id="164"/>
      <w:bookmarkEnd w:id="165"/>
    </w:p>
    <w:p w14:paraId="48484298">
      <w:pPr>
        <w:spacing w:before="2" w:line="351" w:lineRule="auto"/>
        <w:ind w:left="6" w:right="1" w:firstLine="412"/>
        <w:rPr>
          <w:rFonts w:ascii="Times New Roman" w:hAnsi="Times New Roman" w:eastAsia="Times New Roman"/>
          <w:color w:val="auto"/>
          <w:spacing w:val="-3"/>
          <w:highlight w:val="none"/>
        </w:rPr>
      </w:pPr>
      <w:r>
        <w:rPr>
          <w:rFonts w:ascii="Times New Roman" w:hAnsi="Times New Roman" w:eastAsia="Times New Roman"/>
          <w:color w:val="auto"/>
          <w:spacing w:val="-3"/>
          <w:highlight w:val="none"/>
        </w:rPr>
        <w:t>2.2.1  投标人应仔细阅读和检查招标文件的全部内容。如有疑问，应按投标人须知前附表规定的时间和形式将提出的问题送达招标人，要求招标人对招标文件予以澄清。</w:t>
      </w:r>
    </w:p>
    <w:p w14:paraId="03F18876">
      <w:pPr>
        <w:spacing w:before="2" w:line="351" w:lineRule="auto"/>
        <w:ind w:left="6" w:right="1" w:firstLine="412"/>
        <w:rPr>
          <w:rFonts w:ascii="Times New Roman" w:hAnsi="Times New Roman" w:eastAsia="Times New Roman"/>
          <w:color w:val="auto"/>
          <w:spacing w:val="-3"/>
          <w:highlight w:val="none"/>
        </w:rPr>
      </w:pPr>
      <w:r>
        <w:rPr>
          <w:rFonts w:ascii="Times New Roman" w:hAnsi="Times New Roman" w:eastAsia="Times New Roman"/>
          <w:color w:val="auto"/>
          <w:spacing w:val="-3"/>
          <w:highlight w:val="none"/>
        </w:rPr>
        <w:t>2.2.2招标答疑采用网上答疑方式进行。投标人若对招标文件有疑问的，</w:t>
      </w:r>
      <w:r>
        <w:rPr>
          <w:rFonts w:hint="eastAsia" w:ascii="Times New Roman" w:hAnsi="Times New Roman" w:eastAsia="Times New Roman"/>
          <w:color w:val="auto"/>
          <w:spacing w:val="-3"/>
          <w:highlight w:val="none"/>
        </w:rPr>
        <w:t>通过</w:t>
      </w:r>
      <w:r>
        <w:rPr>
          <w:rFonts w:hint="eastAsia" w:ascii="Times New Roman" w:hAnsi="Times New Roman" w:eastAsia="宋体"/>
          <w:color w:val="auto"/>
          <w:spacing w:val="-3"/>
          <w:highlight w:val="none"/>
        </w:rPr>
        <w:t>广州交易集团有限公司（广州公共资源交易中心）</w:t>
      </w:r>
      <w:r>
        <w:rPr>
          <w:rFonts w:hint="eastAsia" w:ascii="Times New Roman" w:hAnsi="Times New Roman" w:eastAsia="Times New Roman"/>
          <w:color w:val="auto"/>
          <w:spacing w:val="-3"/>
          <w:highlight w:val="none"/>
        </w:rPr>
        <w:t>网站提交，应按照</w:t>
      </w:r>
      <w:r>
        <w:rPr>
          <w:rFonts w:hint="eastAsia" w:ascii="Times New Roman" w:hAnsi="Times New Roman" w:eastAsia="宋体"/>
          <w:color w:val="auto"/>
          <w:spacing w:val="-3"/>
          <w:highlight w:val="none"/>
        </w:rPr>
        <w:t>广州交易集团有限公司（广州公共资源交易中心）</w:t>
      </w:r>
      <w:r>
        <w:rPr>
          <w:rFonts w:hint="eastAsia" w:ascii="Times New Roman" w:hAnsi="Times New Roman" w:eastAsia="Times New Roman"/>
          <w:color w:val="auto"/>
          <w:spacing w:val="-3"/>
          <w:highlight w:val="none"/>
        </w:rPr>
        <w:t>网站关于全流程电子化项目的相关指南进行操作。提问一律不得署名。</w:t>
      </w:r>
    </w:p>
    <w:p w14:paraId="4B601DA6">
      <w:pPr>
        <w:spacing w:before="2" w:line="351" w:lineRule="auto"/>
        <w:ind w:left="6" w:right="1" w:firstLine="412"/>
        <w:rPr>
          <w:rFonts w:ascii="Times New Roman" w:hAnsi="Times New Roman" w:eastAsia="Times New Roman"/>
          <w:color w:val="auto"/>
          <w:spacing w:val="-3"/>
          <w:highlight w:val="none"/>
        </w:rPr>
      </w:pPr>
      <w:r>
        <w:rPr>
          <w:rFonts w:ascii="Times New Roman" w:hAnsi="Times New Roman" w:eastAsia="Times New Roman"/>
          <w:color w:val="auto"/>
          <w:spacing w:val="-3"/>
          <w:highlight w:val="none"/>
        </w:rPr>
        <w:t xml:space="preserve">2.2.3  </w:t>
      </w:r>
      <w:r>
        <w:rPr>
          <w:rFonts w:hint="eastAsia" w:ascii="Times New Roman" w:hAnsi="Times New Roman" w:eastAsia="Times New Roman"/>
          <w:color w:val="auto"/>
          <w:spacing w:val="-3"/>
          <w:highlight w:val="none"/>
        </w:rPr>
        <w:t>招标答疑会会议纪要将在提交投标文件截止时间 15 日前在</w:t>
      </w:r>
      <w:r>
        <w:rPr>
          <w:rFonts w:hint="eastAsia" w:ascii="Times New Roman" w:hAnsi="Times New Roman" w:eastAsia="宋体"/>
          <w:color w:val="auto"/>
          <w:spacing w:val="-3"/>
          <w:highlight w:val="none"/>
        </w:rPr>
        <w:t>广州交易集团有限公司（广州公共资源交易中心）</w:t>
      </w:r>
      <w:r>
        <w:rPr>
          <w:rFonts w:hint="eastAsia" w:ascii="Times New Roman" w:hAnsi="Times New Roman" w:eastAsia="Times New Roman"/>
          <w:color w:val="auto"/>
          <w:spacing w:val="-3"/>
          <w:highlight w:val="none"/>
        </w:rPr>
        <w:t>网站“项目答疑纪要”专区公开发布。答疑纪要一经在</w:t>
      </w:r>
      <w:r>
        <w:rPr>
          <w:rFonts w:hint="eastAsia" w:ascii="Times New Roman" w:hAnsi="Times New Roman" w:eastAsia="宋体"/>
          <w:color w:val="auto"/>
          <w:spacing w:val="-3"/>
          <w:highlight w:val="none"/>
        </w:rPr>
        <w:t>广州交易集团有限公司（广州公共资源交易中心）</w:t>
      </w:r>
      <w:r>
        <w:rPr>
          <w:rFonts w:hint="eastAsia" w:ascii="Times New Roman" w:hAnsi="Times New Roman" w:eastAsia="Times New Roman"/>
          <w:color w:val="auto"/>
          <w:spacing w:val="-3"/>
          <w:highlight w:val="none"/>
        </w:rPr>
        <w:t>网站发布，视作已发放给所有投标人</w:t>
      </w:r>
      <w:r>
        <w:rPr>
          <w:rFonts w:hint="eastAsia" w:ascii="Times New Roman" w:hAnsi="Times New Roman" w:eastAsia="宋体"/>
          <w:color w:val="auto"/>
          <w:spacing w:val="-3"/>
          <w:highlight w:val="none"/>
        </w:rPr>
        <w:t>。</w:t>
      </w:r>
    </w:p>
    <w:p w14:paraId="7768D898">
      <w:pPr>
        <w:spacing w:before="2" w:line="351" w:lineRule="auto"/>
        <w:ind w:left="6" w:right="1" w:firstLine="412"/>
        <w:rPr>
          <w:rFonts w:ascii="Times New Roman" w:hAnsi="Times New Roman" w:eastAsia="宋体"/>
          <w:color w:val="auto"/>
          <w:spacing w:val="-3"/>
          <w:highlight w:val="none"/>
        </w:rPr>
      </w:pPr>
      <w:r>
        <w:rPr>
          <w:rFonts w:hint="eastAsia" w:ascii="Times New Roman" w:hAnsi="Times New Roman" w:eastAsia="宋体"/>
          <w:color w:val="auto"/>
          <w:spacing w:val="-3"/>
          <w:highlight w:val="none"/>
        </w:rPr>
        <w:t xml:space="preserve">2.2.4  </w:t>
      </w:r>
      <w:r>
        <w:rPr>
          <w:rFonts w:hint="eastAsia" w:ascii="Times New Roman" w:hAnsi="Times New Roman" w:eastAsia="Times New Roman"/>
          <w:color w:val="auto"/>
          <w:spacing w:val="-3"/>
          <w:highlight w:val="none"/>
        </w:rPr>
        <w:t>招标答疑会会议纪要</w:t>
      </w:r>
      <w:r>
        <w:rPr>
          <w:rFonts w:hint="eastAsia" w:ascii="Times New Roman" w:hAnsi="Times New Roman" w:eastAsia="宋体"/>
          <w:color w:val="auto"/>
          <w:spacing w:val="-3"/>
          <w:highlight w:val="none"/>
        </w:rPr>
        <w:t>是</w:t>
      </w:r>
      <w:r>
        <w:rPr>
          <w:rFonts w:hint="eastAsia" w:ascii="Times New Roman" w:hAnsi="Times New Roman" w:eastAsia="Times New Roman"/>
          <w:color w:val="auto"/>
          <w:spacing w:val="-3"/>
          <w:highlight w:val="none"/>
        </w:rPr>
        <w:t>招标文件的</w:t>
      </w:r>
      <w:r>
        <w:rPr>
          <w:rFonts w:hint="eastAsia" w:ascii="Times New Roman" w:hAnsi="Times New Roman" w:eastAsia="宋体"/>
          <w:color w:val="auto"/>
          <w:spacing w:val="-3"/>
          <w:highlight w:val="none"/>
        </w:rPr>
        <w:t>组成</w:t>
      </w:r>
      <w:r>
        <w:rPr>
          <w:rFonts w:hint="eastAsia" w:ascii="Times New Roman" w:hAnsi="Times New Roman" w:eastAsia="Times New Roman"/>
          <w:color w:val="auto"/>
          <w:spacing w:val="-3"/>
          <w:highlight w:val="none"/>
        </w:rPr>
        <w:t>部分</w:t>
      </w:r>
      <w:r>
        <w:rPr>
          <w:rFonts w:hint="eastAsia" w:ascii="Times New Roman" w:hAnsi="Times New Roman" w:eastAsia="宋体"/>
          <w:color w:val="auto"/>
          <w:spacing w:val="-3"/>
          <w:highlight w:val="none"/>
        </w:rPr>
        <w:t>，对投标人起约束作用</w:t>
      </w:r>
      <w:r>
        <w:rPr>
          <w:rFonts w:hint="eastAsia" w:ascii="Times New Roman" w:hAnsi="Times New Roman" w:eastAsia="Times New Roman"/>
          <w:color w:val="auto"/>
          <w:spacing w:val="-3"/>
          <w:highlight w:val="none"/>
        </w:rPr>
        <w:t>。</w:t>
      </w:r>
    </w:p>
    <w:p w14:paraId="3BA77CE6">
      <w:pPr>
        <w:spacing w:before="2" w:line="351" w:lineRule="auto"/>
        <w:ind w:left="6" w:right="1" w:firstLine="412"/>
        <w:rPr>
          <w:rFonts w:ascii="Times New Roman" w:hAnsi="Times New Roman" w:eastAsiaTheme="minorEastAsia"/>
          <w:color w:val="auto"/>
          <w:spacing w:val="-3"/>
          <w:highlight w:val="none"/>
        </w:rPr>
      </w:pPr>
      <w:r>
        <w:rPr>
          <w:rFonts w:hint="eastAsia" w:ascii="Times New Roman" w:hAnsi="Times New Roman" w:eastAsia="Times New Roman"/>
          <w:color w:val="auto"/>
          <w:spacing w:val="-3"/>
          <w:highlight w:val="none"/>
        </w:rPr>
        <w:t>2.2.5  若招标答疑会会议纪要与招标文件有矛盾时，以</w:t>
      </w:r>
      <w:r>
        <w:rPr>
          <w:rFonts w:hint="eastAsia" w:ascii="Times New Roman" w:hAnsi="Times New Roman" w:eastAsia="宋体"/>
          <w:color w:val="auto"/>
          <w:spacing w:val="-3"/>
          <w:highlight w:val="none"/>
        </w:rPr>
        <w:t>广州交易集团有限公司（广州公共资源交易中心）</w:t>
      </w:r>
      <w:r>
        <w:rPr>
          <w:rFonts w:hint="eastAsia" w:ascii="Times New Roman" w:hAnsi="Times New Roman" w:eastAsia="Times New Roman"/>
          <w:color w:val="auto"/>
          <w:spacing w:val="-3"/>
          <w:highlight w:val="none"/>
        </w:rPr>
        <w:t>网站最后发布的答疑纪要为准。</w:t>
      </w:r>
    </w:p>
    <w:p w14:paraId="5672F126">
      <w:pPr>
        <w:pStyle w:val="7"/>
        <w:rPr>
          <w:rFonts w:eastAsiaTheme="minorEastAsia"/>
          <w:color w:val="auto"/>
          <w:highlight w:val="none"/>
        </w:rPr>
      </w:pPr>
    </w:p>
    <w:p w14:paraId="0EA4A4DB">
      <w:pPr>
        <w:rPr>
          <w:rFonts w:ascii="Times New Roman" w:hAnsi="Times New Roman" w:eastAsia="Times New Roman"/>
          <w:color w:val="auto"/>
          <w:spacing w:val="7"/>
          <w:sz w:val="27"/>
          <w:szCs w:val="27"/>
          <w:highlight w:val="none"/>
        </w:rPr>
      </w:pPr>
      <w:bookmarkStart w:id="166" w:name="_Toc7983"/>
      <w:bookmarkStart w:id="167" w:name="_Toc12871"/>
      <w:bookmarkStart w:id="168" w:name="_Toc18693"/>
      <w:bookmarkStart w:id="169" w:name="_Toc20382"/>
      <w:bookmarkStart w:id="170" w:name="_Toc25724"/>
      <w:r>
        <w:rPr>
          <w:rFonts w:ascii="Times New Roman" w:hAnsi="Times New Roman" w:eastAsia="Times New Roman"/>
          <w:color w:val="auto"/>
          <w:spacing w:val="7"/>
          <w:sz w:val="27"/>
          <w:szCs w:val="27"/>
          <w:highlight w:val="none"/>
        </w:rPr>
        <w:t xml:space="preserve">2.3  </w:t>
      </w:r>
      <w:r>
        <w:rPr>
          <w:rFonts w:ascii="黑体" w:hAnsi="黑体" w:eastAsia="黑体"/>
          <w:color w:val="auto"/>
          <w:spacing w:val="7"/>
          <w:sz w:val="27"/>
          <w:szCs w:val="27"/>
          <w:highlight w:val="none"/>
        </w:rPr>
        <w:t>招标文件的</w:t>
      </w:r>
      <w:r>
        <w:rPr>
          <w:rFonts w:hint="eastAsia" w:ascii="黑体" w:hAnsi="黑体" w:eastAsia="黑体"/>
          <w:color w:val="auto"/>
          <w:spacing w:val="7"/>
          <w:sz w:val="27"/>
          <w:szCs w:val="27"/>
          <w:highlight w:val="none"/>
        </w:rPr>
        <w:t>澄清与</w:t>
      </w:r>
      <w:r>
        <w:rPr>
          <w:rFonts w:ascii="黑体" w:hAnsi="黑体" w:eastAsia="黑体"/>
          <w:color w:val="auto"/>
          <w:spacing w:val="7"/>
          <w:sz w:val="27"/>
          <w:szCs w:val="27"/>
          <w:highlight w:val="none"/>
        </w:rPr>
        <w:t>修</w:t>
      </w:r>
      <w:r>
        <w:rPr>
          <w:rFonts w:ascii="黑体" w:hAnsi="黑体" w:eastAsia="黑体"/>
          <w:color w:val="auto"/>
          <w:spacing w:val="5"/>
          <w:sz w:val="27"/>
          <w:szCs w:val="27"/>
          <w:highlight w:val="none"/>
        </w:rPr>
        <w:t>改</w:t>
      </w:r>
      <w:bookmarkEnd w:id="166"/>
      <w:bookmarkEnd w:id="167"/>
      <w:bookmarkEnd w:id="168"/>
      <w:bookmarkEnd w:id="169"/>
      <w:bookmarkEnd w:id="170"/>
    </w:p>
    <w:p w14:paraId="41AB9579">
      <w:pPr>
        <w:spacing w:before="1" w:line="360" w:lineRule="auto"/>
        <w:ind w:left="25" w:right="1" w:firstLine="393"/>
        <w:rPr>
          <w:rFonts w:ascii="Times New Roman" w:hAnsi="Times New Roman" w:eastAsia="Times New Roman"/>
          <w:color w:val="auto"/>
          <w:spacing w:val="-3"/>
          <w:highlight w:val="none"/>
        </w:rPr>
      </w:pPr>
      <w:r>
        <w:rPr>
          <w:rFonts w:hint="eastAsia" w:ascii="Times New Roman" w:hAnsi="Times New Roman" w:eastAsia="Times New Roman"/>
          <w:color w:val="auto"/>
          <w:spacing w:val="-3"/>
          <w:highlight w:val="none"/>
        </w:rPr>
        <w:t>2.3.1  招标文件发出后，在提交投标文件截止时间15日前，招标人可对招标文件进行必要的澄清或修改。</w:t>
      </w:r>
    </w:p>
    <w:p w14:paraId="5769A54D">
      <w:pPr>
        <w:spacing w:before="1" w:line="360" w:lineRule="auto"/>
        <w:ind w:left="25" w:right="1" w:firstLine="393"/>
        <w:rPr>
          <w:rFonts w:ascii="Times New Roman" w:hAnsi="Times New Roman" w:eastAsia="Times New Roman"/>
          <w:color w:val="auto"/>
          <w:spacing w:val="-3"/>
          <w:highlight w:val="none"/>
        </w:rPr>
      </w:pPr>
      <w:r>
        <w:rPr>
          <w:rFonts w:hint="eastAsia" w:ascii="Times New Roman" w:hAnsi="Times New Roman" w:eastAsia="Times New Roman"/>
          <w:color w:val="auto"/>
          <w:spacing w:val="-3"/>
          <w:highlight w:val="none"/>
        </w:rPr>
        <w:t>2.3.2  招标文件的澄清或修改将在广州交易集团有限公司（广州公共资源交易中心）网站“项目答疑纪要”专区公开发布。招标文件的澄清或修改一经在广州交易集团有限公司（广州公共资源交易中心）网站发布，视作已发放给所有投标人，以广州交易集团有限公司（广州公共资源交易中心）网站发布时间作为送达时间。</w:t>
      </w:r>
    </w:p>
    <w:p w14:paraId="494852BB">
      <w:pPr>
        <w:spacing w:before="1" w:line="360" w:lineRule="auto"/>
        <w:ind w:left="25" w:right="1" w:firstLine="393"/>
        <w:rPr>
          <w:rFonts w:ascii="Times New Roman" w:hAnsi="Times New Roman" w:eastAsia="Times New Roman"/>
          <w:color w:val="auto"/>
          <w:spacing w:val="-3"/>
          <w:highlight w:val="none"/>
        </w:rPr>
      </w:pPr>
      <w:r>
        <w:rPr>
          <w:rFonts w:hint="eastAsia" w:ascii="Times New Roman" w:hAnsi="Times New Roman" w:eastAsia="Times New Roman"/>
          <w:color w:val="auto"/>
          <w:spacing w:val="-3"/>
          <w:highlight w:val="none"/>
        </w:rPr>
        <w:t>2.3.3  招标</w:t>
      </w:r>
      <w:r>
        <w:rPr>
          <w:rFonts w:hint="eastAsia" w:ascii="Times New Roman" w:hAnsi="Times New Roman" w:eastAsia="宋体"/>
          <w:color w:val="auto"/>
          <w:spacing w:val="-3"/>
          <w:highlight w:val="none"/>
        </w:rPr>
        <w:t>文件的</w:t>
      </w:r>
      <w:r>
        <w:rPr>
          <w:rFonts w:hint="eastAsia" w:ascii="Times New Roman" w:hAnsi="Times New Roman" w:eastAsia="Times New Roman"/>
          <w:color w:val="auto"/>
          <w:spacing w:val="-3"/>
          <w:highlight w:val="none"/>
        </w:rPr>
        <w:t>澄清或修改</w:t>
      </w:r>
      <w:r>
        <w:rPr>
          <w:rFonts w:hint="eastAsia" w:ascii="Times New Roman" w:hAnsi="Times New Roman" w:eastAsia="宋体"/>
          <w:color w:val="auto"/>
          <w:spacing w:val="-3"/>
          <w:highlight w:val="none"/>
        </w:rPr>
        <w:t>是</w:t>
      </w:r>
      <w:r>
        <w:rPr>
          <w:rFonts w:hint="eastAsia" w:ascii="Times New Roman" w:hAnsi="Times New Roman" w:eastAsia="Times New Roman"/>
          <w:color w:val="auto"/>
          <w:spacing w:val="-3"/>
          <w:highlight w:val="none"/>
        </w:rPr>
        <w:t>招标文件的</w:t>
      </w:r>
      <w:r>
        <w:rPr>
          <w:rFonts w:hint="eastAsia" w:ascii="Times New Roman" w:hAnsi="Times New Roman" w:eastAsia="宋体"/>
          <w:color w:val="auto"/>
          <w:spacing w:val="-3"/>
          <w:highlight w:val="none"/>
        </w:rPr>
        <w:t>组成</w:t>
      </w:r>
      <w:r>
        <w:rPr>
          <w:rFonts w:hint="eastAsia" w:ascii="Times New Roman" w:hAnsi="Times New Roman" w:eastAsia="Times New Roman"/>
          <w:color w:val="auto"/>
          <w:spacing w:val="-3"/>
          <w:highlight w:val="none"/>
        </w:rPr>
        <w:t>部分</w:t>
      </w:r>
      <w:r>
        <w:rPr>
          <w:rFonts w:hint="eastAsia" w:ascii="Times New Roman" w:hAnsi="Times New Roman" w:eastAsia="宋体"/>
          <w:color w:val="auto"/>
          <w:spacing w:val="-3"/>
          <w:highlight w:val="none"/>
        </w:rPr>
        <w:t>，对投标人起约束作用</w:t>
      </w:r>
      <w:r>
        <w:rPr>
          <w:rFonts w:hint="eastAsia" w:ascii="Times New Roman" w:hAnsi="Times New Roman" w:eastAsia="Times New Roman"/>
          <w:color w:val="auto"/>
          <w:spacing w:val="-3"/>
          <w:highlight w:val="none"/>
        </w:rPr>
        <w:t>。</w:t>
      </w:r>
    </w:p>
    <w:p w14:paraId="5AB3CAE9">
      <w:pPr>
        <w:spacing w:before="1" w:line="360" w:lineRule="auto"/>
        <w:ind w:left="25" w:right="1" w:firstLine="393"/>
        <w:rPr>
          <w:rFonts w:ascii="Times New Roman" w:hAnsi="Times New Roman" w:eastAsia="Times New Roman"/>
          <w:color w:val="auto"/>
          <w:spacing w:val="-3"/>
          <w:highlight w:val="none"/>
        </w:rPr>
      </w:pPr>
      <w:r>
        <w:rPr>
          <w:rFonts w:hint="eastAsia" w:ascii="Times New Roman" w:hAnsi="Times New Roman" w:eastAsia="Times New Roman"/>
          <w:color w:val="auto"/>
          <w:spacing w:val="-3"/>
          <w:highlight w:val="none"/>
        </w:rPr>
        <w:t>2.3.4  招标文件的澄清或修</w:t>
      </w:r>
      <w:r>
        <w:rPr>
          <w:rFonts w:hint="eastAsia" w:ascii="Times New Roman" w:hAnsi="Times New Roman" w:eastAsia="Times New Roman"/>
          <w:color w:val="auto"/>
          <w:spacing w:val="-8"/>
          <w:highlight w:val="none"/>
        </w:rPr>
        <w:t>改均以</w:t>
      </w:r>
      <w:r>
        <w:rPr>
          <w:rFonts w:hint="eastAsia" w:ascii="Times New Roman" w:hAnsi="Times New Roman" w:eastAsia="宋体"/>
          <w:color w:val="auto"/>
          <w:spacing w:val="-8"/>
          <w:highlight w:val="none"/>
        </w:rPr>
        <w:t>广州交易集团有限公司（广州公共资源交易中心）</w:t>
      </w:r>
      <w:r>
        <w:rPr>
          <w:rFonts w:hint="eastAsia" w:ascii="Times New Roman" w:hAnsi="Times New Roman" w:eastAsia="Times New Roman"/>
          <w:color w:val="auto"/>
          <w:spacing w:val="-8"/>
          <w:highlight w:val="none"/>
        </w:rPr>
        <w:t>网站发布的内容为准。当招标文件的澄清、修改</w:t>
      </w:r>
      <w:r>
        <w:rPr>
          <w:rFonts w:hint="eastAsia" w:ascii="Times New Roman" w:hAnsi="Times New Roman" w:eastAsia="宋体"/>
          <w:color w:val="auto"/>
          <w:spacing w:val="-8"/>
          <w:highlight w:val="none"/>
        </w:rPr>
        <w:t>、补充等</w:t>
      </w:r>
      <w:r>
        <w:rPr>
          <w:rFonts w:hint="eastAsia" w:ascii="Times New Roman" w:hAnsi="Times New Roman" w:eastAsia="Times New Roman"/>
          <w:color w:val="auto"/>
          <w:spacing w:val="-8"/>
          <w:highlight w:val="none"/>
        </w:rPr>
        <w:t>在同一内容的表述不一致时，以</w:t>
      </w:r>
      <w:r>
        <w:rPr>
          <w:rFonts w:hint="eastAsia" w:ascii="Times New Roman" w:hAnsi="Times New Roman" w:eastAsia="宋体"/>
          <w:color w:val="auto"/>
          <w:spacing w:val="-8"/>
          <w:highlight w:val="none"/>
        </w:rPr>
        <w:t>广州交易集团有限公司（广州公共资源交易中心）</w:t>
      </w:r>
      <w:r>
        <w:rPr>
          <w:rFonts w:hint="eastAsia" w:ascii="Times New Roman" w:hAnsi="Times New Roman" w:eastAsia="Times New Roman"/>
          <w:color w:val="auto"/>
          <w:spacing w:val="-8"/>
          <w:highlight w:val="none"/>
        </w:rPr>
        <w:t>网站最后发布的内容为准</w:t>
      </w:r>
      <w:r>
        <w:rPr>
          <w:rFonts w:ascii="Times New Roman" w:hAnsi="Times New Roman" w:eastAsia="Times New Roman"/>
          <w:color w:val="auto"/>
          <w:spacing w:val="-8"/>
          <w:highlight w:val="none"/>
        </w:rPr>
        <w:t>。</w:t>
      </w:r>
    </w:p>
    <w:p w14:paraId="35C3BE93">
      <w:pPr>
        <w:spacing w:before="1" w:line="360" w:lineRule="auto"/>
        <w:ind w:left="25" w:right="1" w:firstLine="393"/>
        <w:rPr>
          <w:rFonts w:ascii="Times New Roman" w:hAnsi="Times New Roman" w:eastAsia="Times New Roman"/>
          <w:color w:val="auto"/>
          <w:spacing w:val="-3"/>
          <w:highlight w:val="none"/>
        </w:rPr>
      </w:pPr>
      <w:r>
        <w:rPr>
          <w:rFonts w:hint="eastAsia" w:ascii="Times New Roman" w:hAnsi="Times New Roman" w:eastAsia="Times New Roman"/>
          <w:color w:val="auto"/>
          <w:spacing w:val="-3"/>
          <w:highlight w:val="none"/>
        </w:rPr>
        <w:t>2.3.5  为使投标人在编制投标文件时有充分的时间对招标文件的澄清或修改等内容考虑进去，招标人将酌情延长提交投标文件的截止时间，具体时间将在招标文件的澄清或修改中予以明确。若澄清或修改中没有明确延长时间，即表示投标时间不延长。</w:t>
      </w:r>
    </w:p>
    <w:p w14:paraId="411FF765">
      <w:pPr>
        <w:pStyle w:val="56"/>
        <w:rPr>
          <w:color w:val="auto"/>
          <w:highlight w:val="none"/>
        </w:rPr>
      </w:pPr>
    </w:p>
    <w:p w14:paraId="646FFD38">
      <w:pPr>
        <w:rPr>
          <w:rFonts w:ascii="Times New Roman" w:hAnsi="Times New Roman" w:eastAsia="Times New Roman"/>
          <w:color w:val="auto"/>
          <w:spacing w:val="7"/>
          <w:sz w:val="27"/>
          <w:szCs w:val="27"/>
          <w:highlight w:val="none"/>
        </w:rPr>
      </w:pPr>
      <w:bookmarkStart w:id="171" w:name="_Toc228"/>
      <w:bookmarkStart w:id="172" w:name="_Toc4597"/>
      <w:bookmarkStart w:id="173" w:name="_Toc17119"/>
      <w:bookmarkStart w:id="174" w:name="_Toc23452"/>
      <w:bookmarkStart w:id="175" w:name="_Toc20862"/>
      <w:r>
        <w:rPr>
          <w:rFonts w:ascii="Times New Roman" w:hAnsi="Times New Roman" w:eastAsia="Times New Roman"/>
          <w:color w:val="auto"/>
          <w:spacing w:val="7"/>
          <w:sz w:val="27"/>
          <w:szCs w:val="27"/>
          <w:highlight w:val="none"/>
        </w:rPr>
        <w:t xml:space="preserve">2.4  </w:t>
      </w:r>
      <w:r>
        <w:rPr>
          <w:rFonts w:ascii="黑体" w:hAnsi="黑体" w:eastAsia="黑体"/>
          <w:color w:val="auto"/>
          <w:spacing w:val="7"/>
          <w:sz w:val="27"/>
          <w:szCs w:val="27"/>
          <w:highlight w:val="none"/>
        </w:rPr>
        <w:t>招标文件的异</w:t>
      </w:r>
      <w:r>
        <w:rPr>
          <w:rFonts w:ascii="黑体" w:hAnsi="黑体" w:eastAsia="黑体"/>
          <w:color w:val="auto"/>
          <w:spacing w:val="5"/>
          <w:sz w:val="27"/>
          <w:szCs w:val="27"/>
          <w:highlight w:val="none"/>
        </w:rPr>
        <w:t>议</w:t>
      </w:r>
      <w:bookmarkEnd w:id="171"/>
      <w:bookmarkEnd w:id="172"/>
      <w:bookmarkEnd w:id="173"/>
      <w:bookmarkEnd w:id="174"/>
      <w:bookmarkEnd w:id="175"/>
    </w:p>
    <w:p w14:paraId="7EA124C8">
      <w:pPr>
        <w:spacing w:before="69" w:line="360" w:lineRule="auto"/>
        <w:ind w:left="3" w:right="2" w:firstLine="421"/>
        <w:rPr>
          <w:rFonts w:ascii="宋体" w:hAnsi="宋体" w:eastAsia="宋体"/>
          <w:color w:val="auto"/>
          <w:spacing w:val="-10"/>
          <w:highlight w:val="none"/>
        </w:rPr>
      </w:pPr>
      <w:r>
        <w:rPr>
          <w:rFonts w:ascii="宋体" w:hAnsi="宋体" w:eastAsia="宋体"/>
          <w:color w:val="auto"/>
          <w:spacing w:val="-10"/>
          <w:highlight w:val="none"/>
        </w:rPr>
        <w:t>投标人或者</w:t>
      </w:r>
      <w:r>
        <w:rPr>
          <w:rFonts w:ascii="宋体" w:hAnsi="宋体" w:eastAsia="宋体"/>
          <w:color w:val="auto"/>
          <w:spacing w:val="-9"/>
          <w:highlight w:val="none"/>
        </w:rPr>
        <w:t>其</w:t>
      </w:r>
      <w:r>
        <w:rPr>
          <w:rFonts w:ascii="宋体" w:hAnsi="宋体" w:eastAsia="宋体"/>
          <w:color w:val="auto"/>
          <w:spacing w:val="-5"/>
          <w:highlight w:val="none"/>
        </w:rPr>
        <w:t xml:space="preserve">他利害关系人对招标文件有异议的， 应当在投标截止时间 </w:t>
      </w:r>
      <w:r>
        <w:rPr>
          <w:rFonts w:ascii="Times New Roman" w:hAnsi="Times New Roman" w:eastAsia="Times New Roman"/>
          <w:color w:val="auto"/>
          <w:spacing w:val="-5"/>
          <w:highlight w:val="none"/>
        </w:rPr>
        <w:t xml:space="preserve">10 </w:t>
      </w:r>
      <w:r>
        <w:rPr>
          <w:rFonts w:ascii="宋体" w:hAnsi="宋体" w:eastAsia="宋体"/>
          <w:color w:val="auto"/>
          <w:spacing w:val="-5"/>
          <w:highlight w:val="none"/>
        </w:rPr>
        <w:t>日前以书面形式</w:t>
      </w:r>
      <w:r>
        <w:rPr>
          <w:rFonts w:ascii="宋体" w:hAnsi="宋体" w:eastAsia="宋体"/>
          <w:color w:val="auto"/>
          <w:highlight w:val="none"/>
        </w:rPr>
        <w:t xml:space="preserve"> </w:t>
      </w:r>
      <w:r>
        <w:rPr>
          <w:rFonts w:ascii="宋体" w:hAnsi="宋体" w:eastAsia="宋体"/>
          <w:color w:val="auto"/>
          <w:spacing w:val="-4"/>
          <w:highlight w:val="none"/>
        </w:rPr>
        <w:t>提出。</w:t>
      </w:r>
      <w:r>
        <w:rPr>
          <w:rFonts w:ascii="宋体" w:hAnsi="宋体" w:eastAsia="宋体"/>
          <w:color w:val="auto"/>
          <w:spacing w:val="-2"/>
          <w:highlight w:val="none"/>
        </w:rPr>
        <w:t xml:space="preserve">招标人将在收到异议之日起 </w:t>
      </w:r>
      <w:r>
        <w:rPr>
          <w:rFonts w:ascii="Times New Roman" w:hAnsi="Times New Roman" w:eastAsia="Times New Roman"/>
          <w:color w:val="auto"/>
          <w:spacing w:val="-2"/>
          <w:highlight w:val="none"/>
        </w:rPr>
        <w:t xml:space="preserve">3 </w:t>
      </w:r>
      <w:r>
        <w:rPr>
          <w:rFonts w:ascii="宋体" w:hAnsi="宋体" w:eastAsia="宋体"/>
          <w:color w:val="auto"/>
          <w:spacing w:val="-2"/>
          <w:highlight w:val="none"/>
        </w:rPr>
        <w:t>日内作出答复；作出答复前，将暂停招标投标活动。</w:t>
      </w:r>
    </w:p>
    <w:p w14:paraId="00297C43">
      <w:pPr>
        <w:spacing w:before="1" w:line="360" w:lineRule="auto"/>
        <w:ind w:left="3" w:right="7" w:firstLine="356"/>
        <w:rPr>
          <w:rFonts w:ascii="Times New Roman" w:hAnsi="Times New Roman" w:eastAsia="Times New Roman"/>
          <w:color w:val="auto"/>
          <w:spacing w:val="10"/>
          <w:sz w:val="27"/>
          <w:szCs w:val="27"/>
          <w:highlight w:val="none"/>
        </w:rPr>
      </w:pPr>
      <w:r>
        <w:rPr>
          <w:rFonts w:ascii="Times New Roman" w:hAnsi="Times New Roman" w:eastAsia="Times New Roman"/>
          <w:color w:val="auto"/>
          <w:spacing w:val="10"/>
          <w:sz w:val="27"/>
          <w:szCs w:val="27"/>
          <w:highlight w:val="none"/>
        </w:rPr>
        <w:t>3</w:t>
      </w:r>
      <w:r>
        <w:rPr>
          <w:rFonts w:ascii="Times New Roman" w:hAnsi="Times New Roman" w:eastAsia="Times New Roman"/>
          <w:color w:val="auto"/>
          <w:spacing w:val="6"/>
          <w:sz w:val="27"/>
          <w:szCs w:val="27"/>
          <w:highlight w:val="none"/>
        </w:rPr>
        <w:t xml:space="preserve">.1  </w:t>
      </w:r>
      <w:r>
        <w:rPr>
          <w:rFonts w:ascii="黑体" w:hAnsi="黑体" w:eastAsia="黑体"/>
          <w:color w:val="auto"/>
          <w:spacing w:val="6"/>
          <w:sz w:val="27"/>
          <w:szCs w:val="27"/>
          <w:highlight w:val="none"/>
        </w:rPr>
        <w:t>投标文件的组成</w:t>
      </w:r>
    </w:p>
    <w:p w14:paraId="70860B05">
      <w:pPr>
        <w:spacing w:line="360" w:lineRule="auto"/>
        <w:ind w:firstLine="420" w:firstLineChars="200"/>
        <w:rPr>
          <w:b/>
          <w:color w:val="auto"/>
          <w:highlight w:val="none"/>
        </w:rPr>
      </w:pPr>
      <w:r>
        <w:rPr>
          <w:b/>
          <w:color w:val="auto"/>
          <w:highlight w:val="none"/>
        </w:rPr>
        <w:t>3.1.1</w:t>
      </w:r>
      <w:r>
        <w:rPr>
          <w:rFonts w:hint="eastAsia"/>
          <w:b/>
          <w:color w:val="auto"/>
          <w:highlight w:val="none"/>
        </w:rPr>
        <w:t xml:space="preserve"> 商务文件（含资格审查文件）由下列资料组成：</w:t>
      </w:r>
    </w:p>
    <w:p w14:paraId="656FD8F6">
      <w:pPr>
        <w:spacing w:before="148" w:line="220" w:lineRule="auto"/>
        <w:ind w:left="428"/>
        <w:rPr>
          <w:rFonts w:ascii="宋体" w:hAnsi="宋体" w:eastAsia="宋体"/>
          <w:color w:val="auto"/>
          <w:spacing w:val="15"/>
          <w:highlight w:val="none"/>
        </w:rPr>
      </w:pPr>
      <w:r>
        <w:rPr>
          <w:rFonts w:ascii="宋体" w:hAnsi="宋体" w:eastAsia="宋体"/>
          <w:color w:val="auto"/>
          <w:spacing w:val="15"/>
          <w:highlight w:val="none"/>
        </w:rPr>
        <w:t>(</w:t>
      </w:r>
      <w:r>
        <w:rPr>
          <w:rFonts w:ascii="Times New Roman" w:hAnsi="Times New Roman" w:eastAsia="Times New Roman"/>
          <w:color w:val="auto"/>
          <w:spacing w:val="11"/>
          <w:highlight w:val="none"/>
        </w:rPr>
        <w:t>1</w:t>
      </w:r>
      <w:r>
        <w:rPr>
          <w:rFonts w:ascii="宋体" w:hAnsi="宋体" w:eastAsia="宋体"/>
          <w:color w:val="auto"/>
          <w:spacing w:val="11"/>
          <w:highlight w:val="none"/>
        </w:rPr>
        <w:t>)投标函及投标函附录；</w:t>
      </w:r>
    </w:p>
    <w:p w14:paraId="743014D8">
      <w:pPr>
        <w:spacing w:before="150" w:line="217" w:lineRule="auto"/>
        <w:ind w:left="428"/>
        <w:rPr>
          <w:rFonts w:ascii="宋体" w:hAnsi="宋体" w:eastAsia="宋体"/>
          <w:color w:val="auto"/>
          <w:spacing w:val="14"/>
          <w:highlight w:val="none"/>
        </w:rPr>
      </w:pPr>
      <w:r>
        <w:rPr>
          <w:rFonts w:ascii="宋体" w:hAnsi="宋体" w:eastAsia="宋体"/>
          <w:color w:val="auto"/>
          <w:spacing w:val="14"/>
          <w:highlight w:val="none"/>
        </w:rPr>
        <w:t>(</w:t>
      </w:r>
      <w:r>
        <w:rPr>
          <w:rFonts w:ascii="Times New Roman" w:hAnsi="Times New Roman" w:eastAsia="Times New Roman"/>
          <w:color w:val="auto"/>
          <w:spacing w:val="14"/>
          <w:highlight w:val="none"/>
        </w:rPr>
        <w:t>2</w:t>
      </w:r>
      <w:r>
        <w:rPr>
          <w:rFonts w:ascii="宋体" w:hAnsi="宋体" w:eastAsia="宋体"/>
          <w:color w:val="auto"/>
          <w:spacing w:val="7"/>
          <w:highlight w:val="none"/>
        </w:rPr>
        <w:t>)</w:t>
      </w:r>
      <w:r>
        <w:rPr>
          <w:rFonts w:hint="eastAsia" w:ascii="宋体" w:hAnsi="宋体" w:eastAsia="宋体"/>
          <w:color w:val="auto"/>
          <w:spacing w:val="14"/>
          <w:highlight w:val="none"/>
        </w:rPr>
        <w:t>法定代表人身份证明及授权委托书</w:t>
      </w:r>
      <w:r>
        <w:rPr>
          <w:rFonts w:ascii="宋体" w:hAnsi="宋体" w:eastAsia="宋体"/>
          <w:color w:val="auto"/>
          <w:spacing w:val="14"/>
          <w:highlight w:val="none"/>
        </w:rPr>
        <w:t>；</w:t>
      </w:r>
    </w:p>
    <w:p w14:paraId="1BA52A66">
      <w:pPr>
        <w:spacing w:before="154" w:line="220" w:lineRule="auto"/>
        <w:ind w:left="428"/>
        <w:rPr>
          <w:rFonts w:ascii="宋体" w:hAnsi="宋体" w:eastAsia="宋体"/>
          <w:color w:val="auto"/>
          <w:spacing w:val="21"/>
          <w:highlight w:val="none"/>
        </w:rPr>
      </w:pPr>
      <w:r>
        <w:rPr>
          <w:rFonts w:ascii="宋体" w:hAnsi="宋体" w:eastAsia="宋体"/>
          <w:strike/>
          <w:color w:val="auto"/>
          <w:spacing w:val="21"/>
          <w:highlight w:val="none"/>
        </w:rPr>
        <w:t>(</w:t>
      </w:r>
      <w:r>
        <w:rPr>
          <w:rFonts w:ascii="Times New Roman" w:hAnsi="Times New Roman" w:eastAsia="Times New Roman"/>
          <w:strike/>
          <w:color w:val="auto"/>
          <w:spacing w:val="14"/>
          <w:highlight w:val="none"/>
        </w:rPr>
        <w:t>3</w:t>
      </w:r>
      <w:r>
        <w:rPr>
          <w:rFonts w:ascii="宋体" w:hAnsi="宋体" w:eastAsia="宋体"/>
          <w:strike/>
          <w:color w:val="auto"/>
          <w:spacing w:val="14"/>
          <w:highlight w:val="none"/>
        </w:rPr>
        <w:t>)联合体协议书；</w:t>
      </w:r>
    </w:p>
    <w:p w14:paraId="11901C06">
      <w:pPr>
        <w:spacing w:before="150" w:line="221" w:lineRule="auto"/>
        <w:ind w:left="428"/>
        <w:rPr>
          <w:rFonts w:ascii="宋体" w:hAnsi="宋体" w:eastAsia="宋体"/>
          <w:strike/>
          <w:color w:val="auto"/>
          <w:spacing w:val="19"/>
          <w:highlight w:val="none"/>
        </w:rPr>
      </w:pPr>
      <w:r>
        <w:rPr>
          <w:rFonts w:ascii="宋体" w:hAnsi="宋体" w:eastAsia="宋体"/>
          <w:strike/>
          <w:color w:val="auto"/>
          <w:spacing w:val="19"/>
          <w:highlight w:val="none"/>
        </w:rPr>
        <w:t>(</w:t>
      </w:r>
      <w:r>
        <w:rPr>
          <w:rFonts w:ascii="Times New Roman" w:hAnsi="Times New Roman" w:eastAsia="Times New Roman"/>
          <w:strike/>
          <w:color w:val="auto"/>
          <w:spacing w:val="16"/>
          <w:highlight w:val="none"/>
        </w:rPr>
        <w:t>4</w:t>
      </w:r>
      <w:r>
        <w:rPr>
          <w:rFonts w:ascii="宋体" w:hAnsi="宋体" w:eastAsia="宋体"/>
          <w:strike/>
          <w:color w:val="auto"/>
          <w:spacing w:val="16"/>
          <w:highlight w:val="none"/>
        </w:rPr>
        <w:t>)投标保证金</w:t>
      </w:r>
      <w:r>
        <w:rPr>
          <w:rFonts w:ascii="宋体" w:hAnsi="宋体" w:eastAsia="宋体"/>
          <w:color w:val="auto"/>
          <w:spacing w:val="16"/>
          <w:highlight w:val="none"/>
        </w:rPr>
        <w:t>；</w:t>
      </w:r>
    </w:p>
    <w:p w14:paraId="78E7C8DD">
      <w:pPr>
        <w:spacing w:before="150" w:line="217" w:lineRule="auto"/>
        <w:ind w:left="428"/>
        <w:rPr>
          <w:rFonts w:ascii="宋体" w:hAnsi="宋体" w:eastAsia="宋体"/>
          <w:color w:val="auto"/>
          <w:spacing w:val="14"/>
          <w:highlight w:val="none"/>
        </w:rPr>
      </w:pPr>
      <w:r>
        <w:rPr>
          <w:rFonts w:ascii="宋体" w:hAnsi="宋体" w:eastAsia="宋体"/>
          <w:color w:val="auto"/>
          <w:spacing w:val="14"/>
          <w:highlight w:val="none"/>
        </w:rPr>
        <w:t>(5)</w:t>
      </w:r>
      <w:r>
        <w:rPr>
          <w:rFonts w:hint="eastAsia" w:ascii="宋体" w:hAnsi="宋体" w:eastAsia="宋体"/>
          <w:strike/>
          <w:color w:val="auto"/>
          <w:spacing w:val="14"/>
          <w:highlight w:val="none"/>
        </w:rPr>
        <w:t>勘察</w:t>
      </w:r>
      <w:r>
        <w:rPr>
          <w:rFonts w:ascii="宋体" w:hAnsi="宋体" w:eastAsia="宋体"/>
          <w:color w:val="auto"/>
          <w:spacing w:val="14"/>
          <w:highlight w:val="none"/>
        </w:rPr>
        <w:t>设计费</w:t>
      </w:r>
      <w:r>
        <w:rPr>
          <w:rFonts w:hint="eastAsia" w:ascii="宋体" w:hAnsi="宋体" w:eastAsia="宋体"/>
          <w:color w:val="auto"/>
          <w:spacing w:val="14"/>
          <w:highlight w:val="none"/>
        </w:rPr>
        <w:t>报价表</w:t>
      </w:r>
      <w:r>
        <w:rPr>
          <w:rFonts w:ascii="宋体" w:hAnsi="宋体" w:eastAsia="宋体"/>
          <w:color w:val="auto"/>
          <w:spacing w:val="14"/>
          <w:highlight w:val="none"/>
        </w:rPr>
        <w:t>；</w:t>
      </w:r>
    </w:p>
    <w:p w14:paraId="3D972E7E">
      <w:pPr>
        <w:spacing w:before="150" w:line="217" w:lineRule="auto"/>
        <w:ind w:left="428"/>
        <w:rPr>
          <w:rFonts w:ascii="宋体" w:hAnsi="宋体" w:eastAsia="宋体"/>
          <w:color w:val="auto"/>
          <w:spacing w:val="14"/>
          <w:highlight w:val="none"/>
        </w:rPr>
      </w:pPr>
      <w:r>
        <w:rPr>
          <w:rFonts w:ascii="宋体" w:hAnsi="宋体" w:eastAsia="宋体"/>
          <w:color w:val="auto"/>
          <w:spacing w:val="14"/>
          <w:highlight w:val="none"/>
        </w:rPr>
        <w:t>(6)资格审查资料；</w:t>
      </w:r>
    </w:p>
    <w:p w14:paraId="4E117799">
      <w:pPr>
        <w:spacing w:before="150" w:line="217" w:lineRule="auto"/>
        <w:ind w:left="428"/>
        <w:rPr>
          <w:rFonts w:ascii="宋体" w:hAnsi="宋体" w:eastAsia="宋体"/>
          <w:color w:val="auto"/>
          <w:spacing w:val="14"/>
          <w:highlight w:val="none"/>
        </w:rPr>
      </w:pPr>
      <w:r>
        <w:rPr>
          <w:rFonts w:ascii="宋体" w:hAnsi="宋体" w:eastAsia="宋体"/>
          <w:color w:val="auto"/>
          <w:spacing w:val="14"/>
          <w:highlight w:val="none"/>
        </w:rPr>
        <w:t>(7)</w:t>
      </w:r>
      <w:r>
        <w:rPr>
          <w:rFonts w:hint="eastAsia" w:ascii="宋体" w:hAnsi="宋体" w:eastAsia="宋体"/>
          <w:strike/>
          <w:color w:val="auto"/>
          <w:spacing w:val="14"/>
          <w:highlight w:val="none"/>
        </w:rPr>
        <w:t>勘察</w:t>
      </w:r>
      <w:r>
        <w:rPr>
          <w:rFonts w:ascii="宋体" w:hAnsi="宋体" w:eastAsia="宋体"/>
          <w:color w:val="auto"/>
          <w:spacing w:val="14"/>
          <w:highlight w:val="none"/>
        </w:rPr>
        <w:t>设计方案；</w:t>
      </w:r>
    </w:p>
    <w:p w14:paraId="76C8DE93">
      <w:pPr>
        <w:spacing w:before="148" w:line="218" w:lineRule="auto"/>
        <w:ind w:left="426"/>
        <w:rPr>
          <w:rFonts w:ascii="宋体" w:hAnsi="宋体" w:eastAsia="宋体"/>
          <w:color w:val="auto"/>
          <w:spacing w:val="16"/>
          <w:highlight w:val="none"/>
        </w:rPr>
      </w:pPr>
      <w:r>
        <w:rPr>
          <w:rFonts w:ascii="宋体" w:hAnsi="宋体" w:eastAsia="宋体"/>
          <w:color w:val="auto"/>
          <w:spacing w:val="16"/>
          <w:highlight w:val="none"/>
        </w:rPr>
        <w:t>(</w:t>
      </w:r>
      <w:r>
        <w:rPr>
          <w:rFonts w:ascii="Times New Roman" w:hAnsi="Times New Roman" w:eastAsia="Times New Roman"/>
          <w:color w:val="auto"/>
          <w:spacing w:val="13"/>
          <w:highlight w:val="none"/>
        </w:rPr>
        <w:t>8</w:t>
      </w:r>
      <w:r>
        <w:rPr>
          <w:rFonts w:ascii="宋体" w:hAnsi="宋体" w:eastAsia="宋体"/>
          <w:color w:val="auto"/>
          <w:spacing w:val="8"/>
          <w:highlight w:val="none"/>
        </w:rPr>
        <w:t>)</w:t>
      </w:r>
      <w:r>
        <w:rPr>
          <w:rFonts w:hint="eastAsia" w:ascii="宋体" w:hAnsi="宋体" w:eastAsia="宋体"/>
          <w:color w:val="auto"/>
          <w:spacing w:val="8"/>
          <w:highlight w:val="none"/>
        </w:rPr>
        <w:t>投标人须知前附表规定的</w:t>
      </w:r>
      <w:r>
        <w:rPr>
          <w:rFonts w:ascii="宋体" w:hAnsi="宋体" w:eastAsia="宋体"/>
          <w:color w:val="auto"/>
          <w:spacing w:val="8"/>
          <w:highlight w:val="none"/>
        </w:rPr>
        <w:t>其他资料。</w:t>
      </w:r>
    </w:p>
    <w:p w14:paraId="6D1154F6">
      <w:pPr>
        <w:spacing w:line="360" w:lineRule="auto"/>
        <w:ind w:firstLine="420" w:firstLineChars="200"/>
        <w:rPr>
          <w:b/>
          <w:color w:val="auto"/>
          <w:highlight w:val="none"/>
        </w:rPr>
      </w:pPr>
    </w:p>
    <w:p w14:paraId="44331DF9">
      <w:pPr>
        <w:spacing w:line="360" w:lineRule="auto"/>
        <w:ind w:firstLine="420" w:firstLineChars="200"/>
        <w:rPr>
          <w:rFonts w:eastAsia="宋体"/>
          <w:b/>
          <w:bCs/>
          <w:color w:val="auto"/>
          <w:highlight w:val="none"/>
        </w:rPr>
      </w:pPr>
      <w:r>
        <w:rPr>
          <w:rFonts w:hint="eastAsia"/>
          <w:b/>
          <w:bCs/>
          <w:color w:val="auto"/>
          <w:highlight w:val="none"/>
        </w:rPr>
        <w:t>3.1.</w:t>
      </w:r>
      <w:r>
        <w:rPr>
          <w:rFonts w:hint="eastAsia" w:eastAsia="宋体"/>
          <w:b/>
          <w:bCs/>
          <w:color w:val="auto"/>
          <w:highlight w:val="none"/>
        </w:rPr>
        <w:t>2技术文件：</w:t>
      </w:r>
    </w:p>
    <w:p w14:paraId="0A01D30F">
      <w:pPr>
        <w:spacing w:line="360" w:lineRule="auto"/>
        <w:ind w:firstLine="420" w:firstLineChars="200"/>
        <w:rPr>
          <w:b/>
          <w:color w:val="auto"/>
          <w:highlight w:val="none"/>
        </w:rPr>
      </w:pPr>
      <w:r>
        <w:rPr>
          <w:rFonts w:hint="eastAsia"/>
          <w:b/>
          <w:bCs/>
          <w:color w:val="auto"/>
          <w:highlight w:val="none"/>
        </w:rPr>
        <w:t xml:space="preserve"> </w:t>
      </w:r>
      <w:r>
        <w:rPr>
          <w:rFonts w:ascii="宋体" w:hAnsi="宋体" w:eastAsia="宋体" w:cs="宋体"/>
          <w:color w:val="auto"/>
          <w:spacing w:val="14"/>
          <w:highlight w:val="none"/>
        </w:rPr>
        <w:t>设计方案</w:t>
      </w:r>
    </w:p>
    <w:p w14:paraId="20A92089">
      <w:pPr>
        <w:spacing w:line="360" w:lineRule="auto"/>
        <w:ind w:firstLine="420" w:firstLineChars="200"/>
        <w:rPr>
          <w:b/>
          <w:color w:val="auto"/>
          <w:highlight w:val="none"/>
        </w:rPr>
      </w:pPr>
      <w:r>
        <w:rPr>
          <w:rFonts w:hint="eastAsia"/>
          <w:b/>
          <w:color w:val="auto"/>
          <w:highlight w:val="none"/>
        </w:rPr>
        <w:t>3.1.</w:t>
      </w:r>
      <w:r>
        <w:rPr>
          <w:rFonts w:hint="eastAsia" w:eastAsia="宋体"/>
          <w:b/>
          <w:color w:val="auto"/>
          <w:highlight w:val="none"/>
        </w:rPr>
        <w:t>3</w:t>
      </w:r>
      <w:r>
        <w:rPr>
          <w:rFonts w:hint="eastAsia"/>
          <w:b/>
          <w:color w:val="auto"/>
          <w:highlight w:val="none"/>
        </w:rPr>
        <w:t>保密要求</w:t>
      </w:r>
    </w:p>
    <w:p w14:paraId="7AFB601F">
      <w:pPr>
        <w:pStyle w:val="33"/>
        <w:spacing w:line="360" w:lineRule="auto"/>
        <w:ind w:firstLine="476" w:firstLineChars="200"/>
        <w:rPr>
          <w:rFonts w:ascii="宋体" w:hAnsi="宋体" w:eastAsia="宋体"/>
          <w:color w:val="auto"/>
          <w:spacing w:val="14"/>
          <w:highlight w:val="none"/>
        </w:rPr>
      </w:pPr>
      <w:r>
        <w:rPr>
          <w:rFonts w:hint="eastAsia" w:ascii="宋体" w:hAnsi="宋体" w:eastAsia="宋体"/>
          <w:strike/>
          <w:color w:val="auto"/>
          <w:spacing w:val="14"/>
          <w:highlight w:val="none"/>
        </w:rPr>
        <w:t>勘察</w:t>
      </w:r>
      <w:r>
        <w:rPr>
          <w:rFonts w:hint="eastAsia" w:ascii="宋体" w:hAnsi="宋体" w:eastAsia="宋体"/>
          <w:color w:val="auto"/>
          <w:spacing w:val="14"/>
          <w:highlight w:val="none"/>
        </w:rPr>
        <w:t>设计</w:t>
      </w:r>
      <w:r>
        <w:rPr>
          <w:rFonts w:ascii="宋体" w:hAnsi="宋体" w:eastAsia="宋体"/>
          <w:color w:val="auto"/>
          <w:spacing w:val="14"/>
          <w:highlight w:val="none"/>
        </w:rPr>
        <w:t>方案</w:t>
      </w:r>
      <w:r>
        <w:rPr>
          <w:rFonts w:hint="eastAsia"/>
          <w:color w:val="auto"/>
          <w:highlight w:val="none"/>
        </w:rPr>
        <w:t>必须隐匿投标人及专业技术人员的名称及投标报价信息，投标人不得在</w:t>
      </w:r>
      <w:r>
        <w:rPr>
          <w:rFonts w:hint="eastAsia" w:eastAsia="宋体"/>
          <w:strike/>
          <w:color w:val="auto"/>
          <w:highlight w:val="none"/>
        </w:rPr>
        <w:t>勘察</w:t>
      </w:r>
      <w:r>
        <w:rPr>
          <w:rFonts w:hint="eastAsia" w:ascii="宋体" w:hAnsi="宋体" w:eastAsia="宋体"/>
          <w:color w:val="auto"/>
          <w:spacing w:val="14"/>
          <w:highlight w:val="none"/>
        </w:rPr>
        <w:t>设计</w:t>
      </w:r>
      <w:r>
        <w:rPr>
          <w:rFonts w:ascii="宋体" w:hAnsi="宋体" w:eastAsia="宋体"/>
          <w:color w:val="auto"/>
          <w:spacing w:val="14"/>
          <w:highlight w:val="none"/>
        </w:rPr>
        <w:t>方案</w:t>
      </w:r>
      <w:r>
        <w:rPr>
          <w:rFonts w:hint="eastAsia"/>
          <w:color w:val="auto"/>
          <w:highlight w:val="none"/>
        </w:rPr>
        <w:t>上标注或做任何可以辨认投标人及专业技术人员身份的名称、印章、商标，也不得显示投标报价信息。</w:t>
      </w:r>
    </w:p>
    <w:p w14:paraId="2F9EB5B1">
      <w:pPr>
        <w:rPr>
          <w:rFonts w:ascii="Times New Roman" w:hAnsi="Times New Roman" w:eastAsia="Times New Roman"/>
          <w:color w:val="auto"/>
          <w:spacing w:val="7"/>
          <w:sz w:val="27"/>
          <w:szCs w:val="27"/>
          <w:highlight w:val="none"/>
        </w:rPr>
      </w:pPr>
      <w:bookmarkStart w:id="176" w:name="_Toc5232"/>
      <w:bookmarkStart w:id="177" w:name="_Toc22873"/>
      <w:bookmarkStart w:id="178" w:name="_Toc11008"/>
      <w:bookmarkStart w:id="179" w:name="_Toc29848"/>
      <w:bookmarkStart w:id="180" w:name="_Toc14762"/>
      <w:r>
        <w:rPr>
          <w:rFonts w:ascii="Times New Roman" w:hAnsi="Times New Roman" w:eastAsia="Times New Roman"/>
          <w:color w:val="auto"/>
          <w:spacing w:val="7"/>
          <w:sz w:val="27"/>
          <w:szCs w:val="27"/>
          <w:highlight w:val="none"/>
        </w:rPr>
        <w:t>3</w:t>
      </w:r>
      <w:r>
        <w:rPr>
          <w:rFonts w:ascii="Times New Roman" w:hAnsi="Times New Roman" w:eastAsia="Times New Roman"/>
          <w:color w:val="auto"/>
          <w:spacing w:val="5"/>
          <w:sz w:val="27"/>
          <w:szCs w:val="27"/>
          <w:highlight w:val="none"/>
        </w:rPr>
        <w:t xml:space="preserve">.2  </w:t>
      </w:r>
      <w:r>
        <w:rPr>
          <w:rFonts w:ascii="黑体" w:hAnsi="黑体" w:eastAsia="黑体"/>
          <w:color w:val="auto"/>
          <w:spacing w:val="5"/>
          <w:sz w:val="27"/>
          <w:szCs w:val="27"/>
          <w:highlight w:val="none"/>
        </w:rPr>
        <w:t>投标报价</w:t>
      </w:r>
      <w:bookmarkEnd w:id="176"/>
      <w:bookmarkEnd w:id="177"/>
      <w:bookmarkEnd w:id="178"/>
      <w:bookmarkEnd w:id="179"/>
      <w:bookmarkEnd w:id="180"/>
    </w:p>
    <w:p w14:paraId="2ECCBC27">
      <w:pPr>
        <w:spacing w:before="69" w:line="352" w:lineRule="auto"/>
        <w:ind w:left="2" w:firstLine="418"/>
        <w:rPr>
          <w:rFonts w:ascii="Times New Roman" w:hAnsi="Times New Roman" w:eastAsia="Times New Roman"/>
          <w:color w:val="auto"/>
          <w:spacing w:val="-10"/>
          <w:highlight w:val="none"/>
        </w:rPr>
      </w:pPr>
      <w:r>
        <w:rPr>
          <w:rFonts w:ascii="Times New Roman" w:hAnsi="Times New Roman" w:eastAsia="Times New Roman"/>
          <w:color w:val="auto"/>
          <w:spacing w:val="-10"/>
          <w:highlight w:val="none"/>
        </w:rPr>
        <w:t>3.</w:t>
      </w:r>
      <w:r>
        <w:rPr>
          <w:rFonts w:ascii="Times New Roman" w:hAnsi="Times New Roman" w:eastAsia="Times New Roman"/>
          <w:color w:val="auto"/>
          <w:spacing w:val="-9"/>
          <w:highlight w:val="none"/>
        </w:rPr>
        <w:t>2</w:t>
      </w:r>
      <w:r>
        <w:rPr>
          <w:rFonts w:ascii="Times New Roman" w:hAnsi="Times New Roman" w:eastAsia="Times New Roman"/>
          <w:color w:val="auto"/>
          <w:spacing w:val="-5"/>
          <w:highlight w:val="none"/>
        </w:rPr>
        <w:t xml:space="preserve">.1 </w:t>
      </w:r>
      <w:r>
        <w:rPr>
          <w:rFonts w:ascii="宋体" w:hAnsi="宋体" w:eastAsia="宋体"/>
          <w:color w:val="auto"/>
          <w:spacing w:val="-5"/>
          <w:highlight w:val="none"/>
        </w:rPr>
        <w:t>投标报价应包括国家规定的增值税税金， 除投标人须知前附表另有规定外， 增值税税</w:t>
      </w:r>
      <w:r>
        <w:rPr>
          <w:rFonts w:ascii="宋体" w:hAnsi="宋体" w:eastAsia="宋体"/>
          <w:color w:val="auto"/>
          <w:highlight w:val="none"/>
        </w:rPr>
        <w:t xml:space="preserve"> </w:t>
      </w:r>
      <w:r>
        <w:rPr>
          <w:rFonts w:ascii="宋体" w:hAnsi="宋体" w:eastAsia="宋体"/>
          <w:color w:val="auto"/>
          <w:spacing w:val="1"/>
          <w:highlight w:val="none"/>
        </w:rPr>
        <w:t>金按一般计税方法计算。投标人应按第六章</w:t>
      </w:r>
      <w:r>
        <w:rPr>
          <w:rFonts w:ascii="Times New Roman" w:hAnsi="Times New Roman" w:eastAsia="Times New Roman"/>
          <w:color w:val="auto"/>
          <w:spacing w:val="1"/>
          <w:highlight w:val="none"/>
        </w:rPr>
        <w:t>“</w:t>
      </w:r>
      <w:r>
        <w:rPr>
          <w:rFonts w:ascii="宋体" w:hAnsi="宋体" w:eastAsia="宋体"/>
          <w:color w:val="auto"/>
          <w:spacing w:val="1"/>
          <w:highlight w:val="none"/>
        </w:rPr>
        <w:t>投标文件格式</w:t>
      </w:r>
      <w:r>
        <w:rPr>
          <w:rFonts w:ascii="Times New Roman" w:hAnsi="Times New Roman" w:eastAsia="Times New Roman"/>
          <w:color w:val="auto"/>
          <w:spacing w:val="1"/>
          <w:highlight w:val="none"/>
        </w:rPr>
        <w:t>”</w:t>
      </w:r>
      <w:r>
        <w:rPr>
          <w:rFonts w:ascii="宋体" w:hAnsi="宋体" w:eastAsia="宋体"/>
          <w:color w:val="auto"/>
          <w:spacing w:val="1"/>
          <w:highlight w:val="none"/>
        </w:rPr>
        <w:t>的要求在投标函中进行报价并</w:t>
      </w:r>
      <w:r>
        <w:rPr>
          <w:rFonts w:ascii="宋体" w:hAnsi="宋体" w:eastAsia="宋体"/>
          <w:color w:val="auto"/>
          <w:highlight w:val="none"/>
        </w:rPr>
        <w:t xml:space="preserve">填写 </w:t>
      </w:r>
      <w:r>
        <w:rPr>
          <w:rFonts w:ascii="宋体" w:hAnsi="宋体" w:eastAsia="宋体"/>
          <w:color w:val="auto"/>
          <w:spacing w:val="-5"/>
          <w:highlight w:val="none"/>
        </w:rPr>
        <w:t>设计费用清单</w:t>
      </w:r>
      <w:r>
        <w:rPr>
          <w:rFonts w:ascii="宋体" w:hAnsi="宋体" w:eastAsia="宋体"/>
          <w:color w:val="auto"/>
          <w:spacing w:val="-4"/>
          <w:highlight w:val="none"/>
        </w:rPr>
        <w:t>。</w:t>
      </w:r>
    </w:p>
    <w:p w14:paraId="5F88BFCA">
      <w:pPr>
        <w:spacing w:line="218" w:lineRule="auto"/>
        <w:ind w:left="421"/>
        <w:rPr>
          <w:rFonts w:ascii="Times New Roman" w:hAnsi="Times New Roman" w:eastAsia="Times New Roman"/>
          <w:color w:val="auto"/>
          <w:spacing w:val="-2"/>
          <w:highlight w:val="none"/>
        </w:rPr>
      </w:pPr>
      <w:r>
        <w:rPr>
          <w:rFonts w:ascii="Times New Roman" w:hAnsi="Times New Roman" w:eastAsia="Times New Roman"/>
          <w:color w:val="auto"/>
          <w:spacing w:val="-2"/>
          <w:highlight w:val="none"/>
        </w:rPr>
        <w:t>3</w:t>
      </w:r>
      <w:r>
        <w:rPr>
          <w:rFonts w:ascii="Times New Roman" w:hAnsi="Times New Roman" w:eastAsia="Times New Roman"/>
          <w:color w:val="auto"/>
          <w:spacing w:val="-1"/>
          <w:highlight w:val="none"/>
        </w:rPr>
        <w:t xml:space="preserve">.2.2  </w:t>
      </w:r>
      <w:r>
        <w:rPr>
          <w:rFonts w:ascii="宋体" w:hAnsi="宋体" w:eastAsia="宋体"/>
          <w:color w:val="auto"/>
          <w:spacing w:val="-1"/>
          <w:highlight w:val="none"/>
        </w:rPr>
        <w:t>投标人应充分了解该项目的总体情况以及影响投标报价的其他要素。</w:t>
      </w:r>
    </w:p>
    <w:p w14:paraId="0F4AD403">
      <w:pPr>
        <w:spacing w:before="151" w:line="352" w:lineRule="auto"/>
        <w:ind w:left="1" w:right="1" w:firstLine="419"/>
        <w:rPr>
          <w:rFonts w:ascii="Times New Roman" w:hAnsi="Times New Roman" w:eastAsia="Times New Roman"/>
          <w:color w:val="auto"/>
          <w:spacing w:val="-2"/>
          <w:highlight w:val="none"/>
        </w:rPr>
      </w:pPr>
      <w:r>
        <w:rPr>
          <w:rFonts w:ascii="Times New Roman" w:hAnsi="Times New Roman" w:eastAsia="Times New Roman"/>
          <w:color w:val="auto"/>
          <w:spacing w:val="-2"/>
          <w:highlight w:val="none"/>
        </w:rPr>
        <w:t xml:space="preserve">3.2.3  </w:t>
      </w:r>
      <w:r>
        <w:rPr>
          <w:rFonts w:ascii="宋体" w:hAnsi="宋体" w:eastAsia="宋体"/>
          <w:color w:val="auto"/>
          <w:spacing w:val="-2"/>
          <w:highlight w:val="none"/>
        </w:rPr>
        <w:t>本项目的报价方式见投标人须知前附表。投标人在投标截止时间前修改投标函中</w:t>
      </w:r>
      <w:r>
        <w:rPr>
          <w:rFonts w:ascii="宋体" w:hAnsi="宋体" w:eastAsia="宋体"/>
          <w:color w:val="auto"/>
          <w:highlight w:val="none"/>
        </w:rPr>
        <w:t xml:space="preserve">的投 </w:t>
      </w:r>
      <w:r>
        <w:rPr>
          <w:rFonts w:ascii="宋体" w:hAnsi="宋体" w:eastAsia="宋体"/>
          <w:color w:val="auto"/>
          <w:spacing w:val="-10"/>
          <w:highlight w:val="none"/>
        </w:rPr>
        <w:t>标报价总额，</w:t>
      </w:r>
      <w:r>
        <w:rPr>
          <w:rFonts w:ascii="宋体" w:hAnsi="宋体" w:eastAsia="宋体"/>
          <w:color w:val="auto"/>
          <w:spacing w:val="-5"/>
          <w:highlight w:val="none"/>
        </w:rPr>
        <w:t>应同时修改投标文件</w:t>
      </w:r>
      <w:r>
        <w:rPr>
          <w:rFonts w:hint="eastAsia" w:ascii="宋体" w:hAnsi="宋体" w:eastAsia="宋体"/>
          <w:color w:val="auto"/>
          <w:spacing w:val="-5"/>
          <w:highlight w:val="none"/>
        </w:rPr>
        <w:t>“设计</w:t>
      </w:r>
      <w:r>
        <w:rPr>
          <w:rFonts w:ascii="宋体" w:hAnsi="宋体" w:eastAsia="宋体"/>
          <w:color w:val="auto"/>
          <w:spacing w:val="-5"/>
          <w:highlight w:val="none"/>
        </w:rPr>
        <w:t>费</w:t>
      </w:r>
      <w:r>
        <w:rPr>
          <w:rFonts w:hint="eastAsia" w:ascii="宋体" w:hAnsi="宋体" w:eastAsia="宋体"/>
          <w:color w:val="auto"/>
          <w:spacing w:val="-5"/>
          <w:highlight w:val="none"/>
        </w:rPr>
        <w:t>报价表</w:t>
      </w:r>
      <w:r>
        <w:rPr>
          <w:rFonts w:hint="eastAsia" w:ascii="Times New Roman" w:hAnsi="Times New Roman" w:eastAsia="宋体"/>
          <w:color w:val="auto"/>
          <w:spacing w:val="-5"/>
          <w:highlight w:val="none"/>
        </w:rPr>
        <w:t>”</w:t>
      </w:r>
      <w:r>
        <w:rPr>
          <w:rFonts w:ascii="宋体" w:hAnsi="宋体" w:eastAsia="宋体"/>
          <w:color w:val="auto"/>
          <w:spacing w:val="-5"/>
          <w:highlight w:val="none"/>
        </w:rPr>
        <w:t xml:space="preserve">中的相应报价。此修改须符合本章第 </w:t>
      </w:r>
      <w:r>
        <w:rPr>
          <w:rFonts w:ascii="Times New Roman" w:hAnsi="Times New Roman" w:eastAsia="Times New Roman"/>
          <w:color w:val="auto"/>
          <w:spacing w:val="-5"/>
          <w:highlight w:val="none"/>
        </w:rPr>
        <w:t xml:space="preserve">4.3 </w:t>
      </w:r>
      <w:r>
        <w:rPr>
          <w:rFonts w:ascii="宋体" w:hAnsi="宋体" w:eastAsia="宋体"/>
          <w:color w:val="auto"/>
          <w:spacing w:val="-5"/>
          <w:highlight w:val="none"/>
        </w:rPr>
        <w:t>款的</w:t>
      </w:r>
      <w:r>
        <w:rPr>
          <w:rFonts w:ascii="宋体" w:hAnsi="宋体" w:eastAsia="宋体"/>
          <w:color w:val="auto"/>
          <w:spacing w:val="-7"/>
          <w:highlight w:val="none"/>
        </w:rPr>
        <w:t>有</w:t>
      </w:r>
      <w:r>
        <w:rPr>
          <w:rFonts w:ascii="宋体" w:hAnsi="宋体" w:eastAsia="宋体"/>
          <w:color w:val="auto"/>
          <w:spacing w:val="-6"/>
          <w:highlight w:val="none"/>
        </w:rPr>
        <w:t>关要求。</w:t>
      </w:r>
    </w:p>
    <w:p w14:paraId="18CCD9BF">
      <w:pPr>
        <w:spacing w:before="1" w:line="351" w:lineRule="auto"/>
        <w:ind w:left="1" w:right="1" w:firstLine="419"/>
        <w:rPr>
          <w:rFonts w:ascii="Times New Roman" w:hAnsi="Times New Roman" w:eastAsia="Times New Roman"/>
          <w:color w:val="auto"/>
          <w:spacing w:val="-8"/>
          <w:highlight w:val="none"/>
        </w:rPr>
      </w:pPr>
      <w:r>
        <w:rPr>
          <w:rFonts w:ascii="Times New Roman" w:hAnsi="Times New Roman" w:eastAsia="Times New Roman"/>
          <w:color w:val="auto"/>
          <w:spacing w:val="-8"/>
          <w:highlight w:val="none"/>
        </w:rPr>
        <w:t>3.</w:t>
      </w:r>
      <w:r>
        <w:rPr>
          <w:rFonts w:ascii="Times New Roman" w:hAnsi="Times New Roman" w:eastAsia="Times New Roman"/>
          <w:color w:val="auto"/>
          <w:spacing w:val="-4"/>
          <w:highlight w:val="none"/>
        </w:rPr>
        <w:t xml:space="preserve">2.4 </w:t>
      </w:r>
      <w:r>
        <w:rPr>
          <w:rFonts w:ascii="宋体" w:hAnsi="宋体" w:eastAsia="宋体"/>
          <w:color w:val="auto"/>
          <w:spacing w:val="-4"/>
          <w:highlight w:val="none"/>
        </w:rPr>
        <w:t xml:space="preserve"> 投标报价不符合国家颁布的</w:t>
      </w:r>
      <w:r>
        <w:rPr>
          <w:rFonts w:hint="eastAsia" w:ascii="宋体" w:hAnsi="宋体" w:eastAsia="宋体"/>
          <w:color w:val="auto"/>
          <w:spacing w:val="-4"/>
          <w:highlight w:val="none"/>
        </w:rPr>
        <w:t>设计</w:t>
      </w:r>
      <w:r>
        <w:rPr>
          <w:rFonts w:ascii="宋体" w:hAnsi="宋体" w:eastAsia="宋体"/>
          <w:color w:val="auto"/>
          <w:spacing w:val="-4"/>
          <w:highlight w:val="none"/>
        </w:rPr>
        <w:t>取费标准，或者低于成本，设有最高投标限价的，投标人的投标报价不得超过最高投标限价，最高投标限价在投标</w:t>
      </w:r>
      <w:r>
        <w:rPr>
          <w:rFonts w:ascii="宋体" w:hAnsi="宋体" w:eastAsia="宋体"/>
          <w:color w:val="auto"/>
          <w:spacing w:val="-2"/>
          <w:highlight w:val="none"/>
        </w:rPr>
        <w:t>人须知前附表中载明。</w:t>
      </w:r>
    </w:p>
    <w:p w14:paraId="7F1732A1">
      <w:pPr>
        <w:spacing w:line="218" w:lineRule="auto"/>
        <w:ind w:left="421"/>
        <w:rPr>
          <w:rFonts w:ascii="宋体" w:hAnsi="宋体" w:eastAsia="宋体"/>
          <w:color w:val="auto"/>
          <w:spacing w:val="-1"/>
          <w:highlight w:val="none"/>
        </w:rPr>
      </w:pPr>
      <w:r>
        <w:rPr>
          <w:rFonts w:ascii="Times New Roman" w:hAnsi="Times New Roman" w:eastAsia="Times New Roman"/>
          <w:color w:val="auto"/>
          <w:spacing w:val="-2"/>
          <w:highlight w:val="none"/>
        </w:rPr>
        <w:t xml:space="preserve">3.2.5  </w:t>
      </w:r>
      <w:r>
        <w:rPr>
          <w:rFonts w:ascii="宋体" w:hAnsi="宋体" w:eastAsia="宋体"/>
          <w:color w:val="auto"/>
          <w:spacing w:val="-2"/>
          <w:highlight w:val="none"/>
        </w:rPr>
        <w:t>投标报价</w:t>
      </w:r>
      <w:r>
        <w:rPr>
          <w:rFonts w:ascii="宋体" w:hAnsi="宋体" w:eastAsia="宋体"/>
          <w:color w:val="auto"/>
          <w:spacing w:val="-1"/>
          <w:highlight w:val="none"/>
        </w:rPr>
        <w:t>的其他要求见投标人须知前附表。</w:t>
      </w:r>
    </w:p>
    <w:p w14:paraId="18E2CFBE">
      <w:pPr>
        <w:pStyle w:val="7"/>
        <w:rPr>
          <w:rFonts w:eastAsiaTheme="minorEastAsia"/>
          <w:color w:val="auto"/>
          <w:highlight w:val="none"/>
        </w:rPr>
      </w:pPr>
    </w:p>
    <w:p w14:paraId="592071ED">
      <w:pPr>
        <w:rPr>
          <w:rFonts w:ascii="Times New Roman" w:hAnsi="Times New Roman" w:eastAsia="Times New Roman"/>
          <w:color w:val="auto"/>
          <w:spacing w:val="10"/>
          <w:sz w:val="27"/>
          <w:szCs w:val="27"/>
          <w:highlight w:val="none"/>
        </w:rPr>
      </w:pPr>
      <w:bookmarkStart w:id="181" w:name="_Toc3010"/>
      <w:bookmarkStart w:id="182" w:name="_Toc5500"/>
      <w:bookmarkStart w:id="183" w:name="_Toc29536"/>
      <w:bookmarkStart w:id="184" w:name="_Toc5074"/>
      <w:bookmarkStart w:id="185" w:name="_Toc10086"/>
      <w:r>
        <w:rPr>
          <w:rFonts w:ascii="Times New Roman" w:hAnsi="Times New Roman" w:eastAsia="Times New Roman"/>
          <w:color w:val="auto"/>
          <w:spacing w:val="10"/>
          <w:sz w:val="27"/>
          <w:szCs w:val="27"/>
          <w:highlight w:val="none"/>
        </w:rPr>
        <w:t>3</w:t>
      </w:r>
      <w:r>
        <w:rPr>
          <w:rFonts w:ascii="Times New Roman" w:hAnsi="Times New Roman" w:eastAsia="Times New Roman"/>
          <w:color w:val="auto"/>
          <w:spacing w:val="6"/>
          <w:sz w:val="27"/>
          <w:szCs w:val="27"/>
          <w:highlight w:val="none"/>
        </w:rPr>
        <w:t>.</w:t>
      </w:r>
      <w:r>
        <w:rPr>
          <w:rFonts w:ascii="Times New Roman" w:hAnsi="Times New Roman" w:eastAsia="Times New Roman"/>
          <w:color w:val="auto"/>
          <w:spacing w:val="5"/>
          <w:sz w:val="27"/>
          <w:szCs w:val="27"/>
          <w:highlight w:val="none"/>
        </w:rPr>
        <w:t xml:space="preserve">3  </w:t>
      </w:r>
      <w:r>
        <w:rPr>
          <w:rFonts w:ascii="黑体" w:hAnsi="黑体" w:eastAsia="黑体"/>
          <w:color w:val="auto"/>
          <w:spacing w:val="5"/>
          <w:sz w:val="27"/>
          <w:szCs w:val="27"/>
          <w:highlight w:val="none"/>
        </w:rPr>
        <w:t>投标有效期</w:t>
      </w:r>
      <w:bookmarkEnd w:id="181"/>
      <w:bookmarkEnd w:id="182"/>
      <w:bookmarkEnd w:id="183"/>
      <w:bookmarkEnd w:id="184"/>
      <w:bookmarkEnd w:id="185"/>
    </w:p>
    <w:p w14:paraId="20B21169">
      <w:pPr>
        <w:spacing w:before="69" w:line="220" w:lineRule="auto"/>
        <w:ind w:left="421"/>
        <w:rPr>
          <w:rFonts w:ascii="Times New Roman" w:hAnsi="Times New Roman" w:eastAsia="Times New Roman"/>
          <w:color w:val="auto"/>
          <w:spacing w:val="-4"/>
          <w:highlight w:val="none"/>
        </w:rPr>
      </w:pPr>
      <w:r>
        <w:rPr>
          <w:rFonts w:ascii="Times New Roman" w:hAnsi="Times New Roman" w:eastAsia="Times New Roman"/>
          <w:color w:val="auto"/>
          <w:spacing w:val="-4"/>
          <w:highlight w:val="none"/>
        </w:rPr>
        <w:t>3</w:t>
      </w:r>
      <w:r>
        <w:rPr>
          <w:rFonts w:ascii="Times New Roman" w:hAnsi="Times New Roman" w:eastAsia="Times New Roman"/>
          <w:color w:val="auto"/>
          <w:spacing w:val="-2"/>
          <w:highlight w:val="none"/>
        </w:rPr>
        <w:t xml:space="preserve">.3.1  </w:t>
      </w:r>
      <w:r>
        <w:rPr>
          <w:rFonts w:ascii="宋体" w:hAnsi="宋体" w:eastAsia="宋体"/>
          <w:color w:val="auto"/>
          <w:spacing w:val="-2"/>
          <w:highlight w:val="none"/>
        </w:rPr>
        <w:t xml:space="preserve">除投标人须知前附表另有规定外，投标有效期为 </w:t>
      </w:r>
      <w:r>
        <w:rPr>
          <w:rFonts w:ascii="Times New Roman" w:hAnsi="Times New Roman" w:eastAsia="Times New Roman"/>
          <w:color w:val="auto"/>
          <w:spacing w:val="-2"/>
          <w:highlight w:val="none"/>
        </w:rPr>
        <w:t xml:space="preserve">90 </w:t>
      </w:r>
      <w:r>
        <w:rPr>
          <w:rFonts w:ascii="宋体" w:hAnsi="宋体" w:eastAsia="宋体"/>
          <w:color w:val="auto"/>
          <w:spacing w:val="-2"/>
          <w:highlight w:val="none"/>
        </w:rPr>
        <w:t>天。</w:t>
      </w:r>
    </w:p>
    <w:p w14:paraId="13E87BB7">
      <w:pPr>
        <w:spacing w:before="151" w:line="217" w:lineRule="auto"/>
        <w:ind w:left="421"/>
        <w:rPr>
          <w:rFonts w:ascii="Times New Roman" w:hAnsi="Times New Roman" w:eastAsia="Times New Roman"/>
          <w:color w:val="auto"/>
          <w:spacing w:val="-1"/>
          <w:highlight w:val="none"/>
        </w:rPr>
      </w:pPr>
      <w:r>
        <w:rPr>
          <w:rFonts w:ascii="Times New Roman" w:hAnsi="Times New Roman" w:eastAsia="Times New Roman"/>
          <w:color w:val="auto"/>
          <w:spacing w:val="-1"/>
          <w:highlight w:val="none"/>
        </w:rPr>
        <w:t xml:space="preserve">3.3.2  </w:t>
      </w:r>
      <w:r>
        <w:rPr>
          <w:rFonts w:ascii="宋体" w:hAnsi="宋体" w:eastAsia="宋体"/>
          <w:color w:val="auto"/>
          <w:spacing w:val="-1"/>
          <w:highlight w:val="none"/>
        </w:rPr>
        <w:t>在投标有效期内，投标人撤销投标文件的，应承担招标文件和法律规定</w:t>
      </w:r>
      <w:r>
        <w:rPr>
          <w:rFonts w:ascii="宋体" w:hAnsi="宋体" w:eastAsia="宋体"/>
          <w:color w:val="auto"/>
          <w:highlight w:val="none"/>
        </w:rPr>
        <w:t>的责任。</w:t>
      </w:r>
    </w:p>
    <w:p w14:paraId="0D73113B">
      <w:pPr>
        <w:spacing w:before="153" w:line="356" w:lineRule="auto"/>
        <w:ind w:right="2" w:firstLine="421"/>
        <w:rPr>
          <w:rFonts w:ascii="宋体" w:hAnsi="宋体" w:eastAsia="宋体"/>
          <w:color w:val="auto"/>
          <w:highlight w:val="none"/>
        </w:rPr>
      </w:pPr>
      <w:r>
        <w:rPr>
          <w:rFonts w:ascii="Times New Roman" w:hAnsi="Times New Roman" w:eastAsia="Times New Roman"/>
          <w:color w:val="auto"/>
          <w:spacing w:val="-8"/>
          <w:highlight w:val="none"/>
        </w:rPr>
        <w:t>3.</w:t>
      </w:r>
      <w:r>
        <w:rPr>
          <w:rFonts w:ascii="Times New Roman" w:hAnsi="Times New Roman" w:eastAsia="Times New Roman"/>
          <w:color w:val="auto"/>
          <w:spacing w:val="-5"/>
          <w:highlight w:val="none"/>
        </w:rPr>
        <w:t>3</w:t>
      </w:r>
      <w:r>
        <w:rPr>
          <w:rFonts w:ascii="Times New Roman" w:hAnsi="Times New Roman" w:eastAsia="Times New Roman"/>
          <w:color w:val="auto"/>
          <w:spacing w:val="-4"/>
          <w:highlight w:val="none"/>
        </w:rPr>
        <w:t xml:space="preserve">.3  </w:t>
      </w:r>
      <w:r>
        <w:rPr>
          <w:rFonts w:ascii="宋体" w:hAnsi="宋体" w:eastAsia="宋体"/>
          <w:color w:val="auto"/>
          <w:spacing w:val="-4"/>
          <w:highlight w:val="none"/>
        </w:rPr>
        <w:t>出现特殊情况需要延长投标有效期的，招标人以书面形式通知所有投标人延长投标有</w:t>
      </w:r>
      <w:r>
        <w:rPr>
          <w:rFonts w:ascii="宋体" w:hAnsi="宋体" w:eastAsia="宋体"/>
          <w:color w:val="auto"/>
          <w:highlight w:val="none"/>
        </w:rPr>
        <w:t xml:space="preserve"> </w:t>
      </w:r>
      <w:r>
        <w:rPr>
          <w:rFonts w:ascii="宋体" w:hAnsi="宋体" w:eastAsia="宋体"/>
          <w:color w:val="auto"/>
          <w:spacing w:val="1"/>
          <w:highlight w:val="none"/>
        </w:rPr>
        <w:t>效期。投标人应予以书面答复，同意</w:t>
      </w:r>
      <w:r>
        <w:rPr>
          <w:rFonts w:ascii="宋体" w:hAnsi="宋体" w:eastAsia="宋体"/>
          <w:color w:val="auto"/>
          <w:highlight w:val="none"/>
        </w:rPr>
        <w:t>延长的</w:t>
      </w:r>
      <w:r>
        <w:rPr>
          <w:rFonts w:hint="eastAsia" w:ascii="宋体" w:hAnsi="宋体" w:eastAsia="宋体"/>
          <w:color w:val="auto"/>
          <w:highlight w:val="none"/>
        </w:rPr>
        <w:t>，</w:t>
      </w:r>
      <w:r>
        <w:rPr>
          <w:rFonts w:ascii="宋体" w:hAnsi="宋体" w:eastAsia="宋体"/>
          <w:color w:val="auto"/>
          <w:highlight w:val="none"/>
        </w:rPr>
        <w:t>应相应延长其</w:t>
      </w:r>
      <w:r>
        <w:rPr>
          <w:rFonts w:ascii="宋体" w:hAnsi="宋体" w:eastAsia="宋体"/>
          <w:strike/>
          <w:color w:val="auto"/>
          <w:highlight w:val="none"/>
        </w:rPr>
        <w:t>投标保证金</w:t>
      </w:r>
      <w:r>
        <w:rPr>
          <w:rFonts w:ascii="宋体" w:hAnsi="宋体" w:eastAsia="宋体"/>
          <w:color w:val="auto"/>
          <w:highlight w:val="none"/>
        </w:rPr>
        <w:t>的有效期</w:t>
      </w:r>
      <w:r>
        <w:rPr>
          <w:rFonts w:hint="eastAsia" w:ascii="宋体" w:hAnsi="宋体" w:eastAsia="宋体"/>
          <w:color w:val="auto"/>
          <w:highlight w:val="none"/>
        </w:rPr>
        <w:t>，</w:t>
      </w:r>
      <w:r>
        <w:rPr>
          <w:rFonts w:ascii="宋体" w:hAnsi="宋体" w:eastAsia="宋体"/>
          <w:color w:val="auto"/>
          <w:highlight w:val="none"/>
        </w:rPr>
        <w:t xml:space="preserve">但不得要求 </w:t>
      </w:r>
      <w:r>
        <w:rPr>
          <w:rFonts w:ascii="宋体" w:hAnsi="宋体" w:eastAsia="宋体"/>
          <w:color w:val="auto"/>
          <w:spacing w:val="1"/>
          <w:highlight w:val="none"/>
        </w:rPr>
        <w:t>或被允许修改其投标文件；投标人拒绝延长的</w:t>
      </w:r>
      <w:r>
        <w:rPr>
          <w:rFonts w:ascii="宋体" w:hAnsi="宋体" w:eastAsia="宋体"/>
          <w:color w:val="auto"/>
          <w:highlight w:val="none"/>
        </w:rPr>
        <w:t>，其投标失效</w:t>
      </w:r>
      <w:r>
        <w:rPr>
          <w:rFonts w:hint="eastAsia" w:ascii="宋体" w:hAnsi="宋体" w:eastAsia="宋体"/>
          <w:color w:val="auto"/>
          <w:highlight w:val="none"/>
        </w:rPr>
        <w:t>，</w:t>
      </w:r>
      <w:r>
        <w:rPr>
          <w:rFonts w:ascii="宋体" w:hAnsi="宋体" w:eastAsia="宋体"/>
          <w:strike/>
          <w:color w:val="auto"/>
          <w:highlight w:val="none"/>
        </w:rPr>
        <w:t>但投标人有权收回其投标保证金</w:t>
      </w:r>
      <w:r>
        <w:rPr>
          <w:rFonts w:hint="eastAsia" w:ascii="宋体" w:hAnsi="宋体" w:eastAsia="宋体"/>
          <w:color w:val="auto"/>
          <w:highlight w:val="none"/>
        </w:rPr>
        <w:t>。</w:t>
      </w:r>
    </w:p>
    <w:p w14:paraId="2E096768">
      <w:pPr>
        <w:pStyle w:val="7"/>
        <w:rPr>
          <w:rFonts w:eastAsiaTheme="minorEastAsia"/>
          <w:color w:val="auto"/>
          <w:highlight w:val="none"/>
        </w:rPr>
      </w:pPr>
    </w:p>
    <w:p w14:paraId="68F5C04E">
      <w:pPr>
        <w:rPr>
          <w:rFonts w:ascii="Times New Roman" w:hAnsi="Times New Roman" w:eastAsia="Times New Roman"/>
          <w:color w:val="auto"/>
          <w:spacing w:val="10"/>
          <w:sz w:val="27"/>
          <w:szCs w:val="27"/>
          <w:highlight w:val="none"/>
        </w:rPr>
      </w:pPr>
      <w:bookmarkStart w:id="186" w:name="_Toc19957"/>
      <w:bookmarkStart w:id="187" w:name="_Toc4540"/>
      <w:bookmarkStart w:id="188" w:name="_Toc17631"/>
      <w:bookmarkStart w:id="189" w:name="_Toc11406"/>
      <w:bookmarkStart w:id="190" w:name="_Toc10898"/>
      <w:bookmarkStart w:id="191" w:name="_Hlk183204952"/>
      <w:r>
        <w:rPr>
          <w:rFonts w:ascii="Times New Roman" w:hAnsi="Times New Roman" w:eastAsia="Times New Roman"/>
          <w:color w:val="auto"/>
          <w:spacing w:val="10"/>
          <w:sz w:val="27"/>
          <w:szCs w:val="27"/>
          <w:highlight w:val="none"/>
        </w:rPr>
        <w:t>3</w:t>
      </w:r>
      <w:r>
        <w:rPr>
          <w:rFonts w:ascii="Times New Roman" w:hAnsi="Times New Roman" w:eastAsia="Times New Roman"/>
          <w:color w:val="auto"/>
          <w:spacing w:val="6"/>
          <w:sz w:val="27"/>
          <w:szCs w:val="27"/>
          <w:highlight w:val="none"/>
        </w:rPr>
        <w:t>.</w:t>
      </w:r>
      <w:r>
        <w:rPr>
          <w:rFonts w:ascii="Times New Roman" w:hAnsi="Times New Roman" w:eastAsia="Times New Roman"/>
          <w:color w:val="auto"/>
          <w:spacing w:val="5"/>
          <w:sz w:val="27"/>
          <w:szCs w:val="27"/>
          <w:highlight w:val="none"/>
        </w:rPr>
        <w:t xml:space="preserve">4  </w:t>
      </w:r>
      <w:r>
        <w:rPr>
          <w:rFonts w:ascii="黑体" w:hAnsi="黑体" w:eastAsia="黑体"/>
          <w:color w:val="auto"/>
          <w:spacing w:val="5"/>
          <w:sz w:val="27"/>
          <w:szCs w:val="27"/>
          <w:highlight w:val="none"/>
        </w:rPr>
        <w:t>投标保证金</w:t>
      </w:r>
      <w:bookmarkEnd w:id="186"/>
      <w:bookmarkEnd w:id="187"/>
      <w:bookmarkEnd w:id="188"/>
      <w:bookmarkEnd w:id="189"/>
      <w:bookmarkEnd w:id="190"/>
    </w:p>
    <w:p w14:paraId="27F65C62">
      <w:pPr>
        <w:pStyle w:val="45"/>
        <w:spacing w:after="0" w:line="360" w:lineRule="auto"/>
        <w:ind w:firstLine="480" w:firstLineChars="200"/>
        <w:rPr>
          <w:rFonts w:ascii="宋体" w:hAnsi="宋体" w:eastAsia="宋体"/>
          <w:color w:val="auto"/>
          <w:sz w:val="24"/>
          <w:highlight w:val="none"/>
          <w:u w:val="single"/>
        </w:rPr>
      </w:pPr>
      <w:r>
        <w:rPr>
          <w:rFonts w:hint="eastAsia" w:ascii="宋体" w:hAnsi="宋体" w:eastAsia="宋体"/>
          <w:color w:val="auto"/>
          <w:sz w:val="24"/>
          <w:highlight w:val="none"/>
          <w:u w:val="single"/>
        </w:rPr>
        <w:t>本项目无需投标保证金。</w:t>
      </w:r>
    </w:p>
    <w:bookmarkEnd w:id="191"/>
    <w:p w14:paraId="66C7E5E0">
      <w:pPr>
        <w:spacing w:before="69" w:line="360" w:lineRule="auto"/>
        <w:ind w:firstLine="418" w:firstLineChars="207"/>
        <w:rPr>
          <w:rFonts w:ascii="Times New Roman" w:hAnsi="Times New Roman" w:eastAsia="Times New Roman"/>
          <w:strike/>
          <w:color w:val="auto"/>
          <w:spacing w:val="-4"/>
          <w:highlight w:val="none"/>
        </w:rPr>
      </w:pPr>
      <w:r>
        <w:rPr>
          <w:rFonts w:ascii="Times New Roman" w:hAnsi="Times New Roman" w:eastAsia="Times New Roman"/>
          <w:strike/>
          <w:color w:val="auto"/>
          <w:spacing w:val="-4"/>
          <w:highlight w:val="none"/>
        </w:rPr>
        <w:t xml:space="preserve">3.4.1  </w:t>
      </w:r>
      <w:r>
        <w:rPr>
          <w:rFonts w:hint="eastAsia" w:ascii="Times New Roman" w:hAnsi="Times New Roman" w:eastAsia="Times New Roman"/>
          <w:strike/>
          <w:color w:val="auto"/>
          <w:spacing w:val="-4"/>
          <w:highlight w:val="none"/>
        </w:rPr>
        <w:t>投标人应按投标须知前附表规定的金额和时间递交投标保证金。招标人应当允许投标人自主选择现金、银行保函、保证保险、专业工程担保公司担保等方式缴纳投标保证金。</w:t>
      </w:r>
      <w:r>
        <w:rPr>
          <w:rFonts w:hint="eastAsia" w:ascii="Times New Roman" w:hAnsi="Times New Roman" w:eastAsia="宋体"/>
          <w:strike/>
          <w:color w:val="auto"/>
          <w:spacing w:val="-4"/>
          <w:highlight w:val="none"/>
        </w:rPr>
        <w:t>采用现金或者支票形式提交的，投标保证金须从投标人的银行基本账户转出。</w:t>
      </w:r>
      <w:r>
        <w:rPr>
          <w:rFonts w:hint="eastAsia" w:ascii="Times New Roman" w:hAnsi="Times New Roman" w:eastAsia="Times New Roman"/>
          <w:strike/>
          <w:color w:val="auto"/>
          <w:spacing w:val="-4"/>
          <w:highlight w:val="none"/>
        </w:rPr>
        <w:t>联合体投标的，其投标保证金可以由</w:t>
      </w:r>
      <w:r>
        <w:rPr>
          <w:rFonts w:hint="eastAsia" w:ascii="Times New Roman" w:hAnsi="Times New Roman" w:eastAsia="宋体"/>
          <w:strike/>
          <w:color w:val="auto"/>
          <w:spacing w:val="-4"/>
          <w:highlight w:val="none"/>
        </w:rPr>
        <w:t>主办方</w:t>
      </w:r>
      <w:r>
        <w:rPr>
          <w:rFonts w:hint="eastAsia" w:ascii="Times New Roman" w:hAnsi="Times New Roman" w:eastAsia="Times New Roman"/>
          <w:strike/>
          <w:color w:val="auto"/>
          <w:spacing w:val="-4"/>
          <w:highlight w:val="none"/>
        </w:rPr>
        <w:t>递交，并应符合投标人须知前附表的规定。</w:t>
      </w:r>
    </w:p>
    <w:p w14:paraId="4A624BE5">
      <w:pPr>
        <w:spacing w:before="69" w:line="360" w:lineRule="auto"/>
        <w:ind w:firstLine="418" w:firstLineChars="207"/>
        <w:rPr>
          <w:rFonts w:ascii="Times New Roman" w:hAnsi="Times New Roman" w:eastAsia="Times New Roman"/>
          <w:strike/>
          <w:color w:val="auto"/>
          <w:spacing w:val="-4"/>
          <w:highlight w:val="none"/>
        </w:rPr>
      </w:pPr>
      <w:r>
        <w:rPr>
          <w:rFonts w:ascii="Times New Roman" w:hAnsi="Times New Roman" w:eastAsia="Times New Roman"/>
          <w:strike/>
          <w:color w:val="auto"/>
          <w:spacing w:val="-4"/>
          <w:highlight w:val="none"/>
        </w:rPr>
        <w:t xml:space="preserve">3.4.2  </w:t>
      </w:r>
      <w:r>
        <w:rPr>
          <w:rFonts w:hint="eastAsia" w:ascii="Times New Roman" w:hAnsi="Times New Roman" w:eastAsia="宋体"/>
          <w:strike/>
          <w:color w:val="auto"/>
          <w:spacing w:val="-4"/>
          <w:highlight w:val="none"/>
        </w:rPr>
        <w:t>开标时投标人没有按</w:t>
      </w:r>
      <w:r>
        <w:rPr>
          <w:rFonts w:ascii="Times New Roman" w:hAnsi="Times New Roman" w:eastAsia="Times New Roman"/>
          <w:strike/>
          <w:color w:val="auto"/>
          <w:spacing w:val="-4"/>
          <w:highlight w:val="none"/>
        </w:rPr>
        <w:t>要求提交投标保证金的，</w:t>
      </w:r>
      <w:r>
        <w:rPr>
          <w:rFonts w:hint="eastAsia" w:ascii="Times New Roman" w:hAnsi="Times New Roman" w:eastAsia="宋体"/>
          <w:strike/>
          <w:color w:val="auto"/>
          <w:spacing w:val="-4"/>
          <w:highlight w:val="none"/>
        </w:rPr>
        <w:t>其投标文件将被否决</w:t>
      </w:r>
      <w:r>
        <w:rPr>
          <w:rFonts w:ascii="Times New Roman" w:hAnsi="Times New Roman" w:eastAsia="Times New Roman"/>
          <w:strike/>
          <w:color w:val="auto"/>
          <w:spacing w:val="-4"/>
          <w:highlight w:val="none"/>
        </w:rPr>
        <w:t>。</w:t>
      </w:r>
    </w:p>
    <w:p w14:paraId="7CFE6E84">
      <w:pPr>
        <w:spacing w:before="69" w:line="360" w:lineRule="auto"/>
        <w:ind w:firstLine="418" w:firstLineChars="207"/>
        <w:rPr>
          <w:rFonts w:ascii="Times New Roman" w:hAnsi="Times New Roman" w:eastAsia="Times New Roman"/>
          <w:strike/>
          <w:color w:val="auto"/>
          <w:spacing w:val="-4"/>
          <w:highlight w:val="none"/>
        </w:rPr>
      </w:pPr>
      <w:r>
        <w:rPr>
          <w:rFonts w:ascii="Times New Roman" w:hAnsi="Times New Roman" w:eastAsia="Times New Roman"/>
          <w:strike/>
          <w:color w:val="auto"/>
          <w:spacing w:val="-4"/>
          <w:highlight w:val="none"/>
        </w:rPr>
        <w:t xml:space="preserve">3.4.3  </w:t>
      </w:r>
      <w:r>
        <w:rPr>
          <w:rFonts w:hint="eastAsia" w:ascii="Times New Roman" w:hAnsi="Times New Roman" w:eastAsia="Times New Roman"/>
          <w:strike/>
          <w:color w:val="auto"/>
          <w:spacing w:val="-4"/>
          <w:highlight w:val="none"/>
        </w:rPr>
        <w:t>中标候选人以外的投标人的投标保证金将尽快退还，最迟不超过中标通知书发出之日起五日内；中标人和其他中标候选人的投标保证金，在书面合同订立之日起五日内予以退还</w:t>
      </w:r>
      <w:r>
        <w:rPr>
          <w:rFonts w:ascii="Times New Roman" w:hAnsi="Times New Roman" w:eastAsia="Times New Roman"/>
          <w:strike/>
          <w:color w:val="auto"/>
          <w:spacing w:val="-4"/>
          <w:highlight w:val="none"/>
        </w:rPr>
        <w:t>。</w:t>
      </w:r>
    </w:p>
    <w:p w14:paraId="6200C4CC">
      <w:pPr>
        <w:spacing w:before="69" w:line="360" w:lineRule="auto"/>
        <w:ind w:firstLine="418" w:firstLineChars="207"/>
        <w:rPr>
          <w:rFonts w:ascii="Times New Roman" w:hAnsi="Times New Roman" w:eastAsia="Times New Roman"/>
          <w:strike/>
          <w:color w:val="auto"/>
          <w:spacing w:val="-4"/>
          <w:highlight w:val="none"/>
        </w:rPr>
      </w:pPr>
      <w:r>
        <w:rPr>
          <w:rFonts w:ascii="Times New Roman" w:hAnsi="Times New Roman" w:eastAsia="Times New Roman"/>
          <w:strike/>
          <w:color w:val="auto"/>
          <w:spacing w:val="-4"/>
          <w:highlight w:val="none"/>
        </w:rPr>
        <w:t>3.4.4  有下列情形之一的，投标保证金将不予退还：</w:t>
      </w:r>
    </w:p>
    <w:p w14:paraId="6C3EC950">
      <w:pPr>
        <w:spacing w:before="69" w:line="360" w:lineRule="auto"/>
        <w:ind w:firstLine="418" w:firstLineChars="207"/>
        <w:rPr>
          <w:rFonts w:ascii="Times New Roman" w:hAnsi="Times New Roman" w:eastAsia="Times New Roman"/>
          <w:strike/>
          <w:color w:val="auto"/>
          <w:spacing w:val="-4"/>
          <w:highlight w:val="none"/>
        </w:rPr>
      </w:pPr>
      <w:r>
        <w:rPr>
          <w:rFonts w:ascii="Times New Roman" w:hAnsi="Times New Roman" w:eastAsia="Times New Roman"/>
          <w:strike/>
          <w:color w:val="auto"/>
          <w:spacing w:val="-4"/>
          <w:highlight w:val="none"/>
        </w:rPr>
        <w:t>(</w:t>
      </w:r>
      <w:r>
        <w:rPr>
          <w:rFonts w:hint="eastAsia" w:ascii="Times New Roman" w:hAnsi="Times New Roman" w:eastAsia="宋体"/>
          <w:strike/>
          <w:color w:val="auto"/>
          <w:spacing w:val="-4"/>
          <w:highlight w:val="none"/>
        </w:rPr>
        <w:t>1</w:t>
      </w:r>
      <w:r>
        <w:rPr>
          <w:rFonts w:ascii="Times New Roman" w:hAnsi="Times New Roman" w:eastAsia="Times New Roman"/>
          <w:strike/>
          <w:color w:val="auto"/>
          <w:spacing w:val="-4"/>
          <w:highlight w:val="none"/>
        </w:rPr>
        <w:t>)</w:t>
      </w:r>
      <w:r>
        <w:rPr>
          <w:rFonts w:hint="eastAsia" w:ascii="Times New Roman" w:hAnsi="Times New Roman" w:eastAsia="宋体"/>
          <w:strike/>
          <w:color w:val="auto"/>
          <w:spacing w:val="-4"/>
          <w:highlight w:val="none"/>
        </w:rPr>
        <w:t xml:space="preserve">  </w:t>
      </w:r>
      <w:r>
        <w:rPr>
          <w:rFonts w:hint="eastAsia" w:ascii="Times New Roman" w:hAnsi="Times New Roman" w:eastAsia="Times New Roman"/>
          <w:strike/>
          <w:color w:val="auto"/>
          <w:spacing w:val="-4"/>
          <w:highlight w:val="none"/>
        </w:rPr>
        <w:t>投标人在规定的投标有效期内撤销其投标文件；</w:t>
      </w:r>
    </w:p>
    <w:p w14:paraId="53D69A01">
      <w:pPr>
        <w:spacing w:before="69" w:line="360" w:lineRule="auto"/>
        <w:ind w:firstLine="418" w:firstLineChars="207"/>
        <w:rPr>
          <w:rFonts w:ascii="Times New Roman" w:hAnsi="Times New Roman" w:eastAsia="Times New Roman"/>
          <w:strike/>
          <w:color w:val="auto"/>
          <w:spacing w:val="-4"/>
          <w:highlight w:val="none"/>
        </w:rPr>
      </w:pPr>
      <w:r>
        <w:rPr>
          <w:rFonts w:ascii="Times New Roman" w:hAnsi="Times New Roman" w:eastAsia="Times New Roman"/>
          <w:strike/>
          <w:color w:val="auto"/>
          <w:spacing w:val="-4"/>
          <w:highlight w:val="none"/>
        </w:rPr>
        <w:t>(</w:t>
      </w:r>
      <w:r>
        <w:rPr>
          <w:rFonts w:hint="eastAsia" w:ascii="Times New Roman" w:hAnsi="Times New Roman" w:eastAsia="宋体"/>
          <w:strike/>
          <w:color w:val="auto"/>
          <w:spacing w:val="-4"/>
          <w:highlight w:val="none"/>
        </w:rPr>
        <w:t>2</w:t>
      </w:r>
      <w:r>
        <w:rPr>
          <w:rFonts w:ascii="Times New Roman" w:hAnsi="Times New Roman" w:eastAsia="Times New Roman"/>
          <w:strike/>
          <w:color w:val="auto"/>
          <w:spacing w:val="-4"/>
          <w:highlight w:val="none"/>
        </w:rPr>
        <w:t>)</w:t>
      </w:r>
      <w:r>
        <w:rPr>
          <w:rFonts w:hint="eastAsia" w:ascii="Times New Roman" w:hAnsi="Times New Roman" w:eastAsia="宋体"/>
          <w:strike/>
          <w:color w:val="auto"/>
          <w:spacing w:val="-4"/>
          <w:highlight w:val="none"/>
        </w:rPr>
        <w:t xml:space="preserve">  </w:t>
      </w:r>
      <w:r>
        <w:rPr>
          <w:rFonts w:ascii="Times New Roman" w:hAnsi="Times New Roman" w:eastAsia="Times New Roman"/>
          <w:strike/>
          <w:color w:val="auto"/>
          <w:spacing w:val="-4"/>
          <w:highlight w:val="none"/>
        </w:rPr>
        <w:t>中标人在收到中标通知书后，无正当理由不与招标人订立合同，在签订合同时向招标 人提出附加条件，或者不按照招标文件要求提交履约保证金</w:t>
      </w:r>
      <w:r>
        <w:rPr>
          <w:rFonts w:hint="eastAsia" w:ascii="Times New Roman" w:hAnsi="Times New Roman" w:eastAsia="宋体"/>
          <w:strike/>
          <w:color w:val="auto"/>
          <w:spacing w:val="-4"/>
          <w:highlight w:val="none"/>
        </w:rPr>
        <w:t>。</w:t>
      </w:r>
    </w:p>
    <w:p w14:paraId="7295AAB8">
      <w:pPr>
        <w:spacing w:before="69" w:line="360" w:lineRule="auto"/>
        <w:ind w:firstLine="418" w:firstLineChars="207"/>
        <w:rPr>
          <w:rFonts w:ascii="Times New Roman" w:hAnsi="Times New Roman" w:eastAsiaTheme="minorEastAsia"/>
          <w:strike/>
          <w:color w:val="auto"/>
          <w:spacing w:val="-4"/>
          <w:highlight w:val="none"/>
        </w:rPr>
      </w:pPr>
      <w:r>
        <w:rPr>
          <w:rFonts w:ascii="Times New Roman" w:hAnsi="Times New Roman" w:eastAsia="Times New Roman"/>
          <w:strike/>
          <w:color w:val="auto"/>
          <w:spacing w:val="-4"/>
          <w:highlight w:val="none"/>
        </w:rPr>
        <w:t>3.4.5在提交投标文件截止时间后到招标文件规定的投标有效期终止之前，投标人不得撤销其投标文件，否则招标人可以不退还投标保证金。</w:t>
      </w:r>
    </w:p>
    <w:p w14:paraId="1DA17828">
      <w:pPr>
        <w:pStyle w:val="7"/>
        <w:rPr>
          <w:rFonts w:eastAsiaTheme="minorEastAsia"/>
          <w:color w:val="auto"/>
          <w:highlight w:val="none"/>
        </w:rPr>
      </w:pPr>
    </w:p>
    <w:p w14:paraId="4C274C49">
      <w:pPr>
        <w:rPr>
          <w:rFonts w:ascii="Times New Roman" w:hAnsi="Times New Roman" w:eastAsia="Times New Roman"/>
          <w:color w:val="auto"/>
          <w:spacing w:val="24"/>
          <w:sz w:val="27"/>
          <w:szCs w:val="27"/>
          <w:highlight w:val="none"/>
        </w:rPr>
      </w:pPr>
      <w:bookmarkStart w:id="192" w:name="_Toc27015"/>
      <w:bookmarkStart w:id="193" w:name="_Toc30309"/>
      <w:bookmarkStart w:id="194" w:name="_Toc5682"/>
      <w:bookmarkStart w:id="195" w:name="_Toc21945"/>
      <w:bookmarkStart w:id="196" w:name="_Toc28903"/>
      <w:r>
        <w:rPr>
          <w:rFonts w:ascii="Times New Roman" w:hAnsi="Times New Roman" w:eastAsia="Times New Roman"/>
          <w:color w:val="auto"/>
          <w:spacing w:val="24"/>
          <w:sz w:val="27"/>
          <w:szCs w:val="27"/>
          <w:highlight w:val="none"/>
        </w:rPr>
        <w:t>3</w:t>
      </w:r>
      <w:r>
        <w:rPr>
          <w:rFonts w:ascii="Times New Roman" w:hAnsi="Times New Roman" w:eastAsia="Times New Roman"/>
          <w:color w:val="auto"/>
          <w:spacing w:val="15"/>
          <w:sz w:val="27"/>
          <w:szCs w:val="27"/>
          <w:highlight w:val="none"/>
        </w:rPr>
        <w:t>.</w:t>
      </w:r>
      <w:r>
        <w:rPr>
          <w:rFonts w:ascii="Times New Roman" w:hAnsi="Times New Roman" w:eastAsia="Times New Roman"/>
          <w:color w:val="auto"/>
          <w:spacing w:val="12"/>
          <w:sz w:val="27"/>
          <w:szCs w:val="27"/>
          <w:highlight w:val="none"/>
        </w:rPr>
        <w:t xml:space="preserve">5  </w:t>
      </w:r>
      <w:r>
        <w:rPr>
          <w:rFonts w:ascii="黑体" w:hAnsi="黑体" w:eastAsia="黑体"/>
          <w:color w:val="auto"/>
          <w:spacing w:val="12"/>
          <w:sz w:val="27"/>
          <w:szCs w:val="27"/>
          <w:highlight w:val="none"/>
        </w:rPr>
        <w:t>资格审查资料</w:t>
      </w:r>
      <w:bookmarkEnd w:id="192"/>
      <w:bookmarkEnd w:id="193"/>
      <w:bookmarkEnd w:id="194"/>
      <w:bookmarkEnd w:id="195"/>
      <w:bookmarkEnd w:id="196"/>
    </w:p>
    <w:p w14:paraId="3D615C25">
      <w:pPr>
        <w:spacing w:before="69" w:line="352" w:lineRule="auto"/>
        <w:ind w:left="1" w:right="8" w:firstLine="431"/>
        <w:rPr>
          <w:rFonts w:ascii="宋体" w:hAnsi="宋体" w:eastAsia="宋体"/>
          <w:color w:val="auto"/>
          <w:spacing w:val="-4"/>
          <w:highlight w:val="none"/>
        </w:rPr>
      </w:pPr>
      <w:r>
        <w:rPr>
          <w:rFonts w:ascii="宋体" w:hAnsi="宋体" w:eastAsia="宋体"/>
          <w:color w:val="auto"/>
          <w:spacing w:val="-4"/>
          <w:highlight w:val="none"/>
        </w:rPr>
        <w:t>除投标人须知前附表另有</w:t>
      </w:r>
      <w:r>
        <w:rPr>
          <w:rFonts w:ascii="宋体" w:hAnsi="宋体" w:eastAsia="宋体"/>
          <w:color w:val="auto"/>
          <w:spacing w:val="-2"/>
          <w:highlight w:val="none"/>
        </w:rPr>
        <w:t>规定外，投标人应按下列规定提供资格审查资料， 以证明其满足</w:t>
      </w:r>
      <w:r>
        <w:rPr>
          <w:rFonts w:ascii="宋体" w:hAnsi="宋体" w:eastAsia="宋体"/>
          <w:color w:val="auto"/>
          <w:highlight w:val="none"/>
        </w:rPr>
        <w:t xml:space="preserve"> </w:t>
      </w:r>
      <w:r>
        <w:rPr>
          <w:rFonts w:ascii="宋体" w:hAnsi="宋体" w:eastAsia="宋体"/>
          <w:color w:val="auto"/>
          <w:spacing w:val="-6"/>
          <w:highlight w:val="none"/>
        </w:rPr>
        <w:t>本章第</w:t>
      </w:r>
      <w:r>
        <w:rPr>
          <w:rFonts w:ascii="宋体" w:hAnsi="宋体" w:eastAsia="宋体"/>
          <w:color w:val="auto"/>
          <w:spacing w:val="-3"/>
          <w:highlight w:val="none"/>
        </w:rPr>
        <w:t xml:space="preserve"> </w:t>
      </w:r>
      <w:r>
        <w:rPr>
          <w:rFonts w:ascii="Times New Roman" w:hAnsi="Times New Roman" w:eastAsia="Times New Roman"/>
          <w:color w:val="auto"/>
          <w:spacing w:val="-3"/>
          <w:highlight w:val="none"/>
        </w:rPr>
        <w:t xml:space="preserve">1.4 </w:t>
      </w:r>
      <w:r>
        <w:rPr>
          <w:rFonts w:ascii="宋体" w:hAnsi="宋体" w:eastAsia="宋体"/>
          <w:color w:val="auto"/>
          <w:spacing w:val="-3"/>
          <w:highlight w:val="none"/>
        </w:rPr>
        <w:t>款规定的资质、财务、业绩、信誉等要求。</w:t>
      </w:r>
    </w:p>
    <w:p w14:paraId="51CBDBD3">
      <w:pPr>
        <w:spacing w:before="2" w:line="351" w:lineRule="auto"/>
        <w:ind w:left="2" w:right="1" w:firstLine="418"/>
        <w:rPr>
          <w:rFonts w:ascii="Times New Roman" w:hAnsi="Times New Roman" w:eastAsia="Times New Roman"/>
          <w:color w:val="auto"/>
          <w:spacing w:val="6"/>
          <w:highlight w:val="none"/>
        </w:rPr>
      </w:pPr>
      <w:r>
        <w:rPr>
          <w:rFonts w:ascii="Times New Roman" w:hAnsi="Times New Roman" w:eastAsia="Times New Roman"/>
          <w:color w:val="auto"/>
          <w:spacing w:val="6"/>
          <w:highlight w:val="none"/>
        </w:rPr>
        <w:t>3.5.1 “</w:t>
      </w:r>
      <w:r>
        <w:rPr>
          <w:rFonts w:ascii="宋体" w:hAnsi="宋体" w:eastAsia="宋体"/>
          <w:color w:val="auto"/>
          <w:spacing w:val="6"/>
          <w:highlight w:val="none"/>
        </w:rPr>
        <w:t>投</w:t>
      </w:r>
      <w:r>
        <w:rPr>
          <w:rFonts w:ascii="宋体" w:hAnsi="宋体" w:eastAsia="宋体"/>
          <w:color w:val="auto"/>
          <w:spacing w:val="3"/>
          <w:highlight w:val="none"/>
        </w:rPr>
        <w:t>标人基本情况表</w:t>
      </w:r>
      <w:r>
        <w:rPr>
          <w:rFonts w:ascii="Times New Roman" w:hAnsi="Times New Roman" w:eastAsia="Times New Roman"/>
          <w:color w:val="auto"/>
          <w:spacing w:val="3"/>
          <w:highlight w:val="none"/>
        </w:rPr>
        <w:t>”</w:t>
      </w:r>
      <w:r>
        <w:rPr>
          <w:rFonts w:ascii="宋体" w:hAnsi="宋体" w:eastAsia="宋体"/>
          <w:color w:val="auto"/>
          <w:spacing w:val="3"/>
          <w:highlight w:val="none"/>
        </w:rPr>
        <w:t>应附投标人营业执照</w:t>
      </w:r>
      <w:r>
        <w:rPr>
          <w:rFonts w:ascii="宋体" w:hAnsi="宋体" w:eastAsia="宋体"/>
          <w:color w:val="auto"/>
          <w:spacing w:val="1"/>
          <w:highlight w:val="none"/>
        </w:rPr>
        <w:t>、投标人</w:t>
      </w:r>
      <w:r>
        <w:rPr>
          <w:rFonts w:hint="eastAsia" w:ascii="宋体" w:hAnsi="宋体" w:eastAsia="宋体"/>
          <w:color w:val="auto"/>
          <w:spacing w:val="1"/>
          <w:highlight w:val="none"/>
        </w:rPr>
        <w:t>勘察、</w:t>
      </w:r>
      <w:r>
        <w:rPr>
          <w:rFonts w:ascii="宋体" w:hAnsi="宋体" w:eastAsia="宋体"/>
          <w:color w:val="auto"/>
          <w:spacing w:val="1"/>
          <w:highlight w:val="none"/>
        </w:rPr>
        <w:t>设计资质证书副本</w:t>
      </w:r>
      <w:r>
        <w:rPr>
          <w:rFonts w:ascii="宋体" w:hAnsi="宋体" w:eastAsia="宋体"/>
          <w:color w:val="auto"/>
          <w:spacing w:val="-7"/>
          <w:highlight w:val="none"/>
        </w:rPr>
        <w:t>等</w:t>
      </w:r>
      <w:r>
        <w:rPr>
          <w:rFonts w:ascii="宋体" w:hAnsi="宋体" w:eastAsia="宋体"/>
          <w:color w:val="auto"/>
          <w:spacing w:val="-4"/>
          <w:highlight w:val="none"/>
        </w:rPr>
        <w:t>材料</w:t>
      </w:r>
      <w:r>
        <w:rPr>
          <w:rFonts w:hint="eastAsia" w:ascii="宋体" w:hAnsi="宋体" w:eastAsia="宋体"/>
          <w:color w:val="auto"/>
          <w:spacing w:val="-4"/>
          <w:highlight w:val="none"/>
        </w:rPr>
        <w:t>的扫描件。</w:t>
      </w:r>
    </w:p>
    <w:p w14:paraId="485549A9">
      <w:pPr>
        <w:spacing w:before="1" w:line="351" w:lineRule="auto"/>
        <w:ind w:left="4" w:right="2" w:firstLine="355"/>
        <w:rPr>
          <w:rFonts w:ascii="宋体" w:hAnsi="宋体" w:eastAsia="宋体"/>
          <w:strike/>
          <w:color w:val="auto"/>
          <w:spacing w:val="-5"/>
          <w:highlight w:val="none"/>
        </w:rPr>
      </w:pPr>
      <w:r>
        <w:rPr>
          <w:rFonts w:ascii="宋体" w:hAnsi="宋体" w:eastAsia="宋体"/>
          <w:strike/>
          <w:color w:val="auto"/>
          <w:spacing w:val="-5"/>
          <w:highlight w:val="none"/>
        </w:rPr>
        <w:t>3.5.2 “近年完成的类似设计或勘察设计项目情况表”应附中标通知书和(或)合同协议书、发包人出具的证明文件；具体时间要求见投标人须知前附表，每张表格只填写一个项目，并标明序号。</w:t>
      </w:r>
    </w:p>
    <w:p w14:paraId="5F5D63A9">
      <w:pPr>
        <w:spacing w:before="1" w:line="351" w:lineRule="auto"/>
        <w:ind w:left="4" w:right="2" w:firstLine="355"/>
        <w:rPr>
          <w:rFonts w:ascii="宋体" w:hAnsi="宋体" w:eastAsia="宋体"/>
          <w:color w:val="auto"/>
          <w:spacing w:val="-5"/>
          <w:highlight w:val="none"/>
        </w:rPr>
      </w:pPr>
      <w:r>
        <w:rPr>
          <w:rFonts w:ascii="宋体" w:hAnsi="宋体" w:eastAsia="宋体"/>
          <w:color w:val="auto"/>
          <w:spacing w:val="-5"/>
          <w:highlight w:val="none"/>
        </w:rPr>
        <w:t>3.5.3“拟委任的主要人员汇总表”应填报满足本章第 1.4.1 项规定的项目负责人和其他主要 人员的相关信息。“主要人员简历表”中项目负责人应附身份证、学历证、职称证、执业资格证书和社保缴费证明</w:t>
      </w:r>
      <w:r>
        <w:rPr>
          <w:rFonts w:ascii="宋体" w:hAnsi="宋体" w:eastAsia="宋体"/>
          <w:strike/>
          <w:color w:val="auto"/>
          <w:spacing w:val="-5"/>
          <w:highlight w:val="none"/>
        </w:rPr>
        <w:t>，管理过的项目业绩须附合同协议书（若有）；其他主要人员应附身份证、学历证、职称证、有关证书和社保缴费证明（若有）</w:t>
      </w:r>
      <w:r>
        <w:rPr>
          <w:rFonts w:ascii="宋体" w:hAnsi="宋体" w:eastAsia="宋体"/>
          <w:color w:val="auto"/>
          <w:spacing w:val="-5"/>
          <w:highlight w:val="none"/>
        </w:rPr>
        <w:t>。（注：须提供相关职称证和投标人为其缴纳在本投标单位连续购买的近三个月（从投标截止日期当月的前一个月算起）有效的社保证明材料。）</w:t>
      </w:r>
    </w:p>
    <w:p w14:paraId="70393A99">
      <w:pPr>
        <w:spacing w:before="1" w:line="359" w:lineRule="auto"/>
        <w:ind w:left="9" w:right="41" w:firstLine="411"/>
        <w:rPr>
          <w:rFonts w:ascii="宋体" w:hAnsi="宋体" w:eastAsia="宋体"/>
          <w:color w:val="auto"/>
          <w:spacing w:val="-2"/>
          <w:highlight w:val="none"/>
        </w:rPr>
      </w:pPr>
      <w:r>
        <w:rPr>
          <w:rFonts w:ascii="Times New Roman" w:hAnsi="Times New Roman" w:eastAsia="Times New Roman"/>
          <w:color w:val="auto"/>
          <w:spacing w:val="-6"/>
          <w:highlight w:val="none"/>
        </w:rPr>
        <w:t>3.5.</w:t>
      </w:r>
      <w:r>
        <w:rPr>
          <w:rFonts w:hint="eastAsia" w:ascii="Times New Roman" w:hAnsi="Times New Roman" w:eastAsia="宋体"/>
          <w:color w:val="auto"/>
          <w:spacing w:val="-6"/>
          <w:highlight w:val="none"/>
        </w:rPr>
        <w:t>4</w:t>
      </w:r>
      <w:r>
        <w:rPr>
          <w:rFonts w:ascii="Times New Roman" w:hAnsi="Times New Roman" w:eastAsia="Times New Roman"/>
          <w:color w:val="auto"/>
          <w:spacing w:val="-6"/>
          <w:highlight w:val="none"/>
        </w:rPr>
        <w:t xml:space="preserve">  </w:t>
      </w:r>
      <w:r>
        <w:rPr>
          <w:rFonts w:ascii="宋体" w:hAnsi="宋体" w:eastAsia="宋体"/>
          <w:color w:val="auto"/>
          <w:spacing w:val="-6"/>
          <w:highlight w:val="none"/>
        </w:rPr>
        <w:t>投</w:t>
      </w:r>
      <w:r>
        <w:rPr>
          <w:rFonts w:ascii="宋体" w:hAnsi="宋体" w:eastAsia="宋体"/>
          <w:color w:val="auto"/>
          <w:spacing w:val="-4"/>
          <w:highlight w:val="none"/>
        </w:rPr>
        <w:t>标</w:t>
      </w:r>
      <w:r>
        <w:rPr>
          <w:rFonts w:ascii="宋体" w:hAnsi="宋体" w:eastAsia="宋体"/>
          <w:color w:val="auto"/>
          <w:spacing w:val="-3"/>
          <w:highlight w:val="none"/>
        </w:rPr>
        <w:t xml:space="preserve">人须知前附表规定接受联合体投标的，本章第 </w:t>
      </w:r>
      <w:r>
        <w:rPr>
          <w:rFonts w:ascii="Times New Roman" w:hAnsi="Times New Roman" w:eastAsia="Times New Roman"/>
          <w:color w:val="auto"/>
          <w:spacing w:val="-3"/>
          <w:highlight w:val="none"/>
        </w:rPr>
        <w:t xml:space="preserve">3.5.1 </w:t>
      </w:r>
      <w:r>
        <w:rPr>
          <w:rFonts w:ascii="宋体" w:hAnsi="宋体" w:eastAsia="宋体"/>
          <w:color w:val="auto"/>
          <w:spacing w:val="-3"/>
          <w:highlight w:val="none"/>
        </w:rPr>
        <w:t xml:space="preserve">项至第 </w:t>
      </w:r>
      <w:r>
        <w:rPr>
          <w:rFonts w:ascii="Times New Roman" w:hAnsi="Times New Roman" w:eastAsia="Times New Roman"/>
          <w:color w:val="auto"/>
          <w:spacing w:val="-3"/>
          <w:highlight w:val="none"/>
        </w:rPr>
        <w:t>3.5.</w:t>
      </w:r>
      <w:r>
        <w:rPr>
          <w:rFonts w:hint="eastAsia" w:ascii="Times New Roman" w:hAnsi="Times New Roman" w:eastAsia="宋体"/>
          <w:color w:val="auto"/>
          <w:spacing w:val="-3"/>
          <w:highlight w:val="none"/>
        </w:rPr>
        <w:t>3</w:t>
      </w:r>
      <w:r>
        <w:rPr>
          <w:rFonts w:ascii="宋体" w:hAnsi="宋体" w:eastAsia="宋体"/>
          <w:color w:val="auto"/>
          <w:spacing w:val="-3"/>
          <w:highlight w:val="none"/>
        </w:rPr>
        <w:t>项规定的表格和</w:t>
      </w:r>
      <w:r>
        <w:rPr>
          <w:rFonts w:ascii="宋体" w:hAnsi="宋体" w:eastAsia="宋体"/>
          <w:color w:val="auto"/>
          <w:highlight w:val="none"/>
        </w:rPr>
        <w:t xml:space="preserve"> </w:t>
      </w:r>
      <w:r>
        <w:rPr>
          <w:rFonts w:ascii="宋体" w:hAnsi="宋体" w:eastAsia="宋体"/>
          <w:color w:val="auto"/>
          <w:spacing w:val="-3"/>
          <w:highlight w:val="none"/>
        </w:rPr>
        <w:t>资料应包括联合体各方相关情况</w:t>
      </w:r>
      <w:r>
        <w:rPr>
          <w:rFonts w:ascii="宋体" w:hAnsi="宋体" w:eastAsia="宋体"/>
          <w:color w:val="auto"/>
          <w:spacing w:val="-2"/>
          <w:highlight w:val="none"/>
        </w:rPr>
        <w:t>。</w:t>
      </w:r>
    </w:p>
    <w:p w14:paraId="4209D63F">
      <w:pPr>
        <w:pStyle w:val="7"/>
        <w:rPr>
          <w:rFonts w:eastAsiaTheme="minorEastAsia"/>
          <w:color w:val="auto"/>
          <w:highlight w:val="none"/>
        </w:rPr>
      </w:pPr>
    </w:p>
    <w:p w14:paraId="3B734D98">
      <w:pPr>
        <w:rPr>
          <w:rFonts w:ascii="Times New Roman" w:hAnsi="Times New Roman" w:eastAsia="Times New Roman"/>
          <w:color w:val="auto"/>
          <w:spacing w:val="7"/>
          <w:sz w:val="27"/>
          <w:szCs w:val="27"/>
          <w:highlight w:val="none"/>
        </w:rPr>
      </w:pPr>
      <w:bookmarkStart w:id="197" w:name="_Toc11556"/>
      <w:bookmarkStart w:id="198" w:name="_Toc6032"/>
      <w:bookmarkStart w:id="199" w:name="_Toc16079"/>
      <w:bookmarkStart w:id="200" w:name="_Toc15266"/>
      <w:bookmarkStart w:id="201" w:name="_Toc9669"/>
      <w:r>
        <w:rPr>
          <w:rFonts w:ascii="Times New Roman" w:hAnsi="Times New Roman" w:eastAsia="Times New Roman"/>
          <w:color w:val="auto"/>
          <w:spacing w:val="7"/>
          <w:sz w:val="27"/>
          <w:szCs w:val="27"/>
          <w:highlight w:val="none"/>
        </w:rPr>
        <w:t>3</w:t>
      </w:r>
      <w:r>
        <w:rPr>
          <w:rFonts w:ascii="Times New Roman" w:hAnsi="Times New Roman" w:eastAsia="Times New Roman"/>
          <w:color w:val="auto"/>
          <w:spacing w:val="6"/>
          <w:sz w:val="27"/>
          <w:szCs w:val="27"/>
          <w:highlight w:val="none"/>
        </w:rPr>
        <w:t xml:space="preserve">.6  </w:t>
      </w:r>
      <w:r>
        <w:rPr>
          <w:rFonts w:ascii="黑体" w:hAnsi="黑体" w:eastAsia="黑体"/>
          <w:color w:val="auto"/>
          <w:spacing w:val="6"/>
          <w:sz w:val="27"/>
          <w:szCs w:val="27"/>
          <w:highlight w:val="none"/>
        </w:rPr>
        <w:t>备选投标方案</w:t>
      </w:r>
      <w:bookmarkEnd w:id="197"/>
      <w:bookmarkEnd w:id="198"/>
      <w:bookmarkEnd w:id="199"/>
      <w:bookmarkEnd w:id="200"/>
      <w:bookmarkEnd w:id="201"/>
    </w:p>
    <w:p w14:paraId="5DB031AA">
      <w:pPr>
        <w:spacing w:before="68" w:line="352" w:lineRule="auto"/>
        <w:ind w:left="7" w:right="44" w:firstLine="413"/>
        <w:rPr>
          <w:rFonts w:ascii="Times New Roman" w:hAnsi="Times New Roman" w:eastAsia="Times New Roman"/>
          <w:color w:val="auto"/>
          <w:spacing w:val="-2"/>
          <w:highlight w:val="none"/>
        </w:rPr>
      </w:pPr>
      <w:r>
        <w:rPr>
          <w:rFonts w:ascii="Times New Roman" w:hAnsi="Times New Roman" w:eastAsia="Times New Roman"/>
          <w:color w:val="auto"/>
          <w:spacing w:val="-2"/>
          <w:highlight w:val="none"/>
        </w:rPr>
        <w:t xml:space="preserve">3.6.1  </w:t>
      </w:r>
      <w:r>
        <w:rPr>
          <w:rFonts w:ascii="宋体" w:hAnsi="宋体" w:eastAsia="宋体"/>
          <w:color w:val="auto"/>
          <w:spacing w:val="-2"/>
          <w:highlight w:val="none"/>
        </w:rPr>
        <w:t>除投标人须知前附表规定允许外，投标人不得递交备选投标方案，否则其投标</w:t>
      </w:r>
      <w:r>
        <w:rPr>
          <w:rFonts w:ascii="宋体" w:hAnsi="宋体" w:eastAsia="宋体"/>
          <w:color w:val="auto"/>
          <w:spacing w:val="-1"/>
          <w:highlight w:val="none"/>
        </w:rPr>
        <w:t>将</w:t>
      </w:r>
      <w:r>
        <w:rPr>
          <w:rFonts w:ascii="宋体" w:hAnsi="宋体" w:eastAsia="宋体"/>
          <w:color w:val="auto"/>
          <w:highlight w:val="none"/>
        </w:rPr>
        <w:t>被否</w:t>
      </w:r>
      <w:r>
        <w:rPr>
          <w:rFonts w:ascii="宋体" w:hAnsi="宋体" w:eastAsia="宋体"/>
          <w:color w:val="auto"/>
          <w:spacing w:val="-12"/>
          <w:highlight w:val="none"/>
        </w:rPr>
        <w:t>决</w:t>
      </w:r>
      <w:r>
        <w:rPr>
          <w:rFonts w:ascii="宋体" w:hAnsi="宋体" w:eastAsia="宋体"/>
          <w:color w:val="auto"/>
          <w:spacing w:val="-11"/>
          <w:highlight w:val="none"/>
        </w:rPr>
        <w:t>。</w:t>
      </w:r>
    </w:p>
    <w:p w14:paraId="41AB94FE">
      <w:pPr>
        <w:spacing w:before="2" w:line="351" w:lineRule="auto"/>
        <w:ind w:firstLine="421"/>
        <w:rPr>
          <w:rFonts w:ascii="Times New Roman" w:hAnsi="Times New Roman" w:eastAsia="Times New Roman"/>
          <w:strike/>
          <w:color w:val="auto"/>
          <w:spacing w:val="-1"/>
          <w:highlight w:val="none"/>
        </w:rPr>
      </w:pPr>
      <w:r>
        <w:rPr>
          <w:rFonts w:ascii="Times New Roman" w:hAnsi="Times New Roman" w:eastAsia="Times New Roman"/>
          <w:strike/>
          <w:color w:val="auto"/>
          <w:spacing w:val="-1"/>
          <w:highlight w:val="none"/>
        </w:rPr>
        <w:t xml:space="preserve">3.6.2  </w:t>
      </w:r>
      <w:r>
        <w:rPr>
          <w:rFonts w:ascii="宋体" w:hAnsi="宋体" w:eastAsia="宋体"/>
          <w:strike/>
          <w:color w:val="auto"/>
          <w:spacing w:val="-1"/>
          <w:highlight w:val="none"/>
        </w:rPr>
        <w:t>允许投标人递交备选投标方案的，只有中标人所递交的备选投标方案方</w:t>
      </w:r>
      <w:r>
        <w:rPr>
          <w:rFonts w:ascii="宋体" w:hAnsi="宋体" w:eastAsia="宋体"/>
          <w:strike/>
          <w:color w:val="auto"/>
          <w:highlight w:val="none"/>
        </w:rPr>
        <w:t>可予以考虑</w:t>
      </w:r>
      <w:r>
        <w:rPr>
          <w:rFonts w:hint="eastAsia" w:ascii="宋体" w:hAnsi="宋体" w:eastAsia="宋体"/>
          <w:strike/>
          <w:color w:val="auto"/>
          <w:highlight w:val="none"/>
        </w:rPr>
        <w:t>。</w:t>
      </w:r>
      <w:r>
        <w:rPr>
          <w:rFonts w:ascii="宋体" w:hAnsi="宋体" w:eastAsia="宋体"/>
          <w:strike/>
          <w:color w:val="auto"/>
          <w:spacing w:val="1"/>
          <w:highlight w:val="none"/>
        </w:rPr>
        <w:t>评标委员会认为中标人的备选投标方</w:t>
      </w:r>
      <w:r>
        <w:rPr>
          <w:rFonts w:ascii="宋体" w:hAnsi="宋体" w:eastAsia="宋体"/>
          <w:strike/>
          <w:color w:val="auto"/>
          <w:highlight w:val="none"/>
        </w:rPr>
        <w:t xml:space="preserve">案优于其按照招标文件要求编制的投标方案的，招标人可 </w:t>
      </w:r>
      <w:r>
        <w:rPr>
          <w:rFonts w:ascii="宋体" w:hAnsi="宋体" w:eastAsia="宋体"/>
          <w:strike/>
          <w:color w:val="auto"/>
          <w:spacing w:val="-4"/>
          <w:highlight w:val="none"/>
        </w:rPr>
        <w:t>以</w:t>
      </w:r>
      <w:r>
        <w:rPr>
          <w:rFonts w:ascii="宋体" w:hAnsi="宋体" w:eastAsia="宋体"/>
          <w:strike/>
          <w:color w:val="auto"/>
          <w:spacing w:val="-3"/>
          <w:highlight w:val="none"/>
        </w:rPr>
        <w:t>接受该备选投标方案。</w:t>
      </w:r>
    </w:p>
    <w:p w14:paraId="5EA827D1">
      <w:pPr>
        <w:spacing w:before="1" w:line="360" w:lineRule="auto"/>
        <w:ind w:left="1" w:right="44" w:firstLine="419"/>
        <w:rPr>
          <w:rFonts w:ascii="宋体" w:hAnsi="宋体" w:eastAsia="宋体"/>
          <w:strike/>
          <w:color w:val="auto"/>
          <w:spacing w:val="-1"/>
          <w:highlight w:val="none"/>
        </w:rPr>
      </w:pPr>
      <w:r>
        <w:rPr>
          <w:rFonts w:ascii="Times New Roman" w:hAnsi="Times New Roman" w:eastAsia="Times New Roman"/>
          <w:strike/>
          <w:color w:val="auto"/>
          <w:spacing w:val="-2"/>
          <w:highlight w:val="none"/>
        </w:rPr>
        <w:t xml:space="preserve">3.6.3  </w:t>
      </w:r>
      <w:r>
        <w:rPr>
          <w:rFonts w:ascii="宋体" w:hAnsi="宋体" w:eastAsia="宋体"/>
          <w:strike/>
          <w:color w:val="auto"/>
          <w:spacing w:val="-2"/>
          <w:highlight w:val="none"/>
        </w:rPr>
        <w:t>投标人提供两个或两个以上投标报价，或者在投标文件中提供一个报价，但同</w:t>
      </w:r>
      <w:r>
        <w:rPr>
          <w:rFonts w:ascii="宋体" w:hAnsi="宋体" w:eastAsia="宋体"/>
          <w:strike/>
          <w:color w:val="auto"/>
          <w:spacing w:val="-1"/>
          <w:highlight w:val="none"/>
        </w:rPr>
        <w:t>时</w:t>
      </w:r>
      <w:r>
        <w:rPr>
          <w:rFonts w:ascii="宋体" w:hAnsi="宋体" w:eastAsia="宋体"/>
          <w:strike/>
          <w:color w:val="auto"/>
          <w:highlight w:val="none"/>
        </w:rPr>
        <w:t xml:space="preserve">提供 </w:t>
      </w:r>
      <w:r>
        <w:rPr>
          <w:rFonts w:ascii="宋体" w:hAnsi="宋体" w:eastAsia="宋体"/>
          <w:strike/>
          <w:color w:val="auto"/>
          <w:spacing w:val="-2"/>
          <w:highlight w:val="none"/>
        </w:rPr>
        <w:t>两个或两个以上</w:t>
      </w:r>
      <w:r>
        <w:rPr>
          <w:rFonts w:hint="eastAsia" w:ascii="宋体" w:hAnsi="宋体" w:eastAsia="宋体"/>
          <w:strike/>
          <w:color w:val="auto"/>
          <w:spacing w:val="-2"/>
          <w:highlight w:val="none"/>
        </w:rPr>
        <w:t>勘察</w:t>
      </w:r>
      <w:r>
        <w:rPr>
          <w:rFonts w:ascii="宋体" w:hAnsi="宋体" w:eastAsia="宋体"/>
          <w:strike/>
          <w:color w:val="auto"/>
          <w:spacing w:val="-2"/>
          <w:highlight w:val="none"/>
        </w:rPr>
        <w:t>设计方案的，视为</w:t>
      </w:r>
      <w:r>
        <w:rPr>
          <w:rFonts w:ascii="宋体" w:hAnsi="宋体" w:eastAsia="宋体"/>
          <w:strike/>
          <w:color w:val="auto"/>
          <w:spacing w:val="-1"/>
          <w:highlight w:val="none"/>
        </w:rPr>
        <w:t>提供备选方案。</w:t>
      </w:r>
    </w:p>
    <w:p w14:paraId="5195CA5B">
      <w:pPr>
        <w:pStyle w:val="7"/>
        <w:rPr>
          <w:rFonts w:eastAsiaTheme="minorEastAsia"/>
          <w:color w:val="auto"/>
          <w:highlight w:val="none"/>
        </w:rPr>
      </w:pPr>
    </w:p>
    <w:p w14:paraId="64817961">
      <w:pPr>
        <w:rPr>
          <w:rFonts w:ascii="Times New Roman" w:hAnsi="Times New Roman" w:eastAsia="Times New Roman"/>
          <w:color w:val="auto"/>
          <w:spacing w:val="10"/>
          <w:sz w:val="27"/>
          <w:szCs w:val="27"/>
          <w:highlight w:val="none"/>
        </w:rPr>
      </w:pPr>
      <w:bookmarkStart w:id="202" w:name="_Toc22875"/>
      <w:bookmarkStart w:id="203" w:name="_Toc9249"/>
      <w:bookmarkStart w:id="204" w:name="_Toc22549"/>
      <w:bookmarkStart w:id="205" w:name="_Toc6029"/>
      <w:bookmarkStart w:id="206" w:name="_Toc28058"/>
      <w:r>
        <w:rPr>
          <w:rFonts w:ascii="Times New Roman" w:hAnsi="Times New Roman" w:eastAsia="Times New Roman"/>
          <w:color w:val="auto"/>
          <w:spacing w:val="10"/>
          <w:sz w:val="27"/>
          <w:szCs w:val="27"/>
          <w:highlight w:val="none"/>
        </w:rPr>
        <w:t>3</w:t>
      </w:r>
      <w:r>
        <w:rPr>
          <w:rFonts w:ascii="Times New Roman" w:hAnsi="Times New Roman" w:eastAsia="Times New Roman"/>
          <w:color w:val="auto"/>
          <w:spacing w:val="6"/>
          <w:sz w:val="27"/>
          <w:szCs w:val="27"/>
          <w:highlight w:val="none"/>
        </w:rPr>
        <w:t xml:space="preserve">.7  </w:t>
      </w:r>
      <w:r>
        <w:rPr>
          <w:rFonts w:ascii="黑体" w:hAnsi="黑体" w:eastAsia="黑体"/>
          <w:color w:val="auto"/>
          <w:spacing w:val="6"/>
          <w:sz w:val="27"/>
          <w:szCs w:val="27"/>
          <w:highlight w:val="none"/>
        </w:rPr>
        <w:t>投标文件的编制</w:t>
      </w:r>
      <w:bookmarkEnd w:id="202"/>
      <w:bookmarkEnd w:id="203"/>
      <w:bookmarkEnd w:id="204"/>
      <w:bookmarkEnd w:id="205"/>
      <w:bookmarkEnd w:id="206"/>
    </w:p>
    <w:p w14:paraId="35ECDB14">
      <w:pPr>
        <w:spacing w:before="69" w:line="352" w:lineRule="auto"/>
        <w:ind w:right="43" w:firstLine="421"/>
        <w:rPr>
          <w:rFonts w:ascii="Times New Roman" w:hAnsi="Times New Roman" w:eastAsia="Times New Roman"/>
          <w:color w:val="auto"/>
          <w:spacing w:val="-10"/>
          <w:highlight w:val="none"/>
        </w:rPr>
      </w:pPr>
      <w:r>
        <w:rPr>
          <w:rFonts w:ascii="Times New Roman" w:hAnsi="Times New Roman" w:eastAsia="Times New Roman"/>
          <w:color w:val="auto"/>
          <w:spacing w:val="-10"/>
          <w:highlight w:val="none"/>
        </w:rPr>
        <w:t>3.7.1</w:t>
      </w:r>
      <w:r>
        <w:rPr>
          <w:rFonts w:hint="eastAsia" w:ascii="Times New Roman" w:hAnsi="Times New Roman" w:eastAsia="宋体"/>
          <w:color w:val="auto"/>
          <w:spacing w:val="-10"/>
          <w:highlight w:val="none"/>
        </w:rPr>
        <w:t xml:space="preserve"> </w:t>
      </w:r>
      <w:r>
        <w:rPr>
          <w:rFonts w:ascii="Times New Roman" w:hAnsi="Times New Roman" w:eastAsia="Times New Roman"/>
          <w:color w:val="auto"/>
          <w:spacing w:val="-10"/>
          <w:highlight w:val="none"/>
        </w:rPr>
        <w:t xml:space="preserve"> </w:t>
      </w:r>
      <w:r>
        <w:rPr>
          <w:rFonts w:ascii="Times New Roman" w:hAnsi="Times New Roman" w:eastAsia="Times New Roman"/>
          <w:color w:val="auto"/>
          <w:spacing w:val="-8"/>
          <w:highlight w:val="none"/>
        </w:rPr>
        <w:t xml:space="preserve"> </w:t>
      </w:r>
      <w:r>
        <w:rPr>
          <w:rFonts w:ascii="宋体" w:hAnsi="宋体" w:eastAsia="宋体"/>
          <w:color w:val="auto"/>
          <w:spacing w:val="-5"/>
          <w:highlight w:val="none"/>
        </w:rPr>
        <w:t>投标文件应按第六章</w:t>
      </w:r>
      <w:r>
        <w:rPr>
          <w:rFonts w:ascii="Times New Roman" w:hAnsi="Times New Roman" w:eastAsia="Times New Roman"/>
          <w:color w:val="auto"/>
          <w:spacing w:val="-5"/>
          <w:highlight w:val="none"/>
        </w:rPr>
        <w:t>“</w:t>
      </w:r>
      <w:r>
        <w:rPr>
          <w:rFonts w:ascii="宋体" w:hAnsi="宋体" w:eastAsia="宋体"/>
          <w:color w:val="auto"/>
          <w:spacing w:val="-5"/>
          <w:highlight w:val="none"/>
        </w:rPr>
        <w:t>投标文件格式</w:t>
      </w:r>
      <w:r>
        <w:rPr>
          <w:rFonts w:ascii="Times New Roman" w:hAnsi="Times New Roman" w:eastAsia="Times New Roman"/>
          <w:color w:val="auto"/>
          <w:spacing w:val="-5"/>
          <w:highlight w:val="none"/>
        </w:rPr>
        <w:t>”</w:t>
      </w:r>
      <w:r>
        <w:rPr>
          <w:rFonts w:ascii="宋体" w:hAnsi="宋体" w:eastAsia="宋体"/>
          <w:color w:val="auto"/>
          <w:spacing w:val="-5"/>
          <w:highlight w:val="none"/>
        </w:rPr>
        <w:t>进行编写， 如有必要，可以增加附页， 作为投标</w:t>
      </w:r>
      <w:r>
        <w:rPr>
          <w:rFonts w:ascii="宋体" w:hAnsi="宋体" w:eastAsia="宋体"/>
          <w:color w:val="auto"/>
          <w:spacing w:val="1"/>
          <w:highlight w:val="none"/>
        </w:rPr>
        <w:t>文件的组成部分。其中，投标函附录在</w:t>
      </w:r>
      <w:r>
        <w:rPr>
          <w:rFonts w:ascii="宋体" w:hAnsi="宋体" w:eastAsia="宋体"/>
          <w:color w:val="auto"/>
          <w:highlight w:val="none"/>
        </w:rPr>
        <w:t>满足招标文件实质性要求的基础上，可以提出比招标文</w:t>
      </w:r>
      <w:r>
        <w:rPr>
          <w:rFonts w:ascii="宋体" w:hAnsi="宋体" w:eastAsia="宋体"/>
          <w:color w:val="auto"/>
          <w:spacing w:val="-4"/>
          <w:highlight w:val="none"/>
        </w:rPr>
        <w:t>件要求</w:t>
      </w:r>
      <w:r>
        <w:rPr>
          <w:rFonts w:ascii="宋体" w:hAnsi="宋体" w:eastAsia="宋体"/>
          <w:color w:val="auto"/>
          <w:spacing w:val="-3"/>
          <w:highlight w:val="none"/>
        </w:rPr>
        <w:t>更</w:t>
      </w:r>
      <w:r>
        <w:rPr>
          <w:rFonts w:ascii="宋体" w:hAnsi="宋体" w:eastAsia="宋体"/>
          <w:color w:val="auto"/>
          <w:spacing w:val="-2"/>
          <w:highlight w:val="none"/>
        </w:rPr>
        <w:t>有利于招标人的承诺。</w:t>
      </w:r>
    </w:p>
    <w:p w14:paraId="50225863">
      <w:pPr>
        <w:spacing w:before="2" w:line="351" w:lineRule="auto"/>
        <w:ind w:left="5" w:right="46" w:firstLine="415"/>
        <w:rPr>
          <w:rFonts w:ascii="Times New Roman" w:hAnsi="Times New Roman" w:eastAsia="Times New Roman"/>
          <w:color w:val="auto"/>
          <w:spacing w:val="-2"/>
          <w:highlight w:val="none"/>
        </w:rPr>
      </w:pPr>
      <w:r>
        <w:rPr>
          <w:rFonts w:ascii="Times New Roman" w:hAnsi="Times New Roman" w:eastAsia="Times New Roman"/>
          <w:color w:val="auto"/>
          <w:spacing w:val="-2"/>
          <w:highlight w:val="none"/>
        </w:rPr>
        <w:t xml:space="preserve">3.7.2  </w:t>
      </w:r>
      <w:r>
        <w:rPr>
          <w:rFonts w:hint="eastAsia" w:ascii="Times New Roman" w:hAnsi="Times New Roman" w:eastAsia="宋体"/>
          <w:color w:val="auto"/>
          <w:spacing w:val="-2"/>
          <w:highlight w:val="none"/>
        </w:rPr>
        <w:t xml:space="preserve"> </w:t>
      </w:r>
      <w:r>
        <w:rPr>
          <w:rFonts w:ascii="宋体" w:hAnsi="宋体" w:eastAsia="宋体"/>
          <w:color w:val="auto"/>
          <w:spacing w:val="-2"/>
          <w:highlight w:val="none"/>
        </w:rPr>
        <w:t>投标文件应当对招标文件有关</w:t>
      </w:r>
      <w:r>
        <w:rPr>
          <w:rFonts w:hint="eastAsia" w:ascii="宋体" w:hAnsi="宋体" w:eastAsia="宋体"/>
          <w:color w:val="auto"/>
          <w:spacing w:val="-2"/>
          <w:highlight w:val="none"/>
        </w:rPr>
        <w:t>设计</w:t>
      </w:r>
      <w:r>
        <w:rPr>
          <w:rFonts w:ascii="宋体" w:hAnsi="宋体" w:eastAsia="宋体"/>
          <w:color w:val="auto"/>
          <w:spacing w:val="-2"/>
          <w:highlight w:val="none"/>
        </w:rPr>
        <w:t>服务期限、投标有效期、发包人要求、招标范</w:t>
      </w:r>
      <w:r>
        <w:rPr>
          <w:rFonts w:ascii="宋体" w:hAnsi="宋体" w:eastAsia="宋体"/>
          <w:color w:val="auto"/>
          <w:highlight w:val="none"/>
        </w:rPr>
        <w:t>围</w:t>
      </w:r>
      <w:r>
        <w:rPr>
          <w:rFonts w:hint="eastAsia" w:ascii="Times New Roman" w:hAnsi="Times New Roman" w:eastAsia="Times New Roman"/>
          <w:color w:val="auto"/>
          <w:spacing w:val="-2"/>
          <w:highlight w:val="none"/>
        </w:rPr>
        <w:t>等实质性内容作出响应。</w:t>
      </w:r>
    </w:p>
    <w:p w14:paraId="2D7A838F">
      <w:pPr>
        <w:spacing w:before="2" w:line="351" w:lineRule="auto"/>
        <w:ind w:left="5" w:right="46" w:firstLine="415"/>
        <w:rPr>
          <w:rFonts w:ascii="Times New Roman" w:hAnsi="Times New Roman" w:eastAsia="Times New Roman"/>
          <w:color w:val="auto"/>
          <w:spacing w:val="-2"/>
          <w:highlight w:val="none"/>
        </w:rPr>
      </w:pPr>
      <w:r>
        <w:rPr>
          <w:rFonts w:hint="eastAsia" w:ascii="Times New Roman" w:hAnsi="Times New Roman" w:eastAsia="Times New Roman"/>
          <w:color w:val="auto"/>
          <w:spacing w:val="-2"/>
          <w:highlight w:val="none"/>
        </w:rPr>
        <w:t>3.</w:t>
      </w:r>
      <w:r>
        <w:rPr>
          <w:rFonts w:hint="eastAsia" w:ascii="Times New Roman" w:hAnsi="Times New Roman" w:eastAsia="宋体"/>
          <w:color w:val="auto"/>
          <w:spacing w:val="-2"/>
          <w:highlight w:val="none"/>
        </w:rPr>
        <w:t>7</w:t>
      </w:r>
      <w:r>
        <w:rPr>
          <w:rFonts w:hint="eastAsia" w:ascii="Times New Roman" w:hAnsi="Times New Roman" w:eastAsia="Times New Roman"/>
          <w:color w:val="auto"/>
          <w:spacing w:val="-2"/>
          <w:highlight w:val="none"/>
        </w:rPr>
        <w:t>.</w:t>
      </w:r>
      <w:r>
        <w:rPr>
          <w:rFonts w:hint="eastAsia" w:ascii="Times New Roman" w:hAnsi="Times New Roman" w:eastAsia="宋体"/>
          <w:color w:val="auto"/>
          <w:spacing w:val="-2"/>
          <w:highlight w:val="none"/>
        </w:rPr>
        <w:t xml:space="preserve">3   </w:t>
      </w:r>
      <w:r>
        <w:rPr>
          <w:rFonts w:hint="eastAsia" w:ascii="Times New Roman" w:hAnsi="Times New Roman" w:eastAsia="Times New Roman"/>
          <w:color w:val="auto"/>
          <w:spacing w:val="-2"/>
          <w:highlight w:val="none"/>
        </w:rPr>
        <w:t>投标文件全部采用电子文档，投标文件所附证书证件均为原件扫描件</w:t>
      </w:r>
      <w:r>
        <w:rPr>
          <w:rFonts w:hint="eastAsia" w:ascii="Times New Roman" w:hAnsi="Times New Roman" w:eastAsia="宋体"/>
          <w:color w:val="auto"/>
          <w:spacing w:val="-2"/>
          <w:highlight w:val="none"/>
        </w:rPr>
        <w:t>或电子证书</w:t>
      </w:r>
      <w:r>
        <w:rPr>
          <w:rFonts w:hint="eastAsia" w:ascii="Times New Roman" w:hAnsi="Times New Roman" w:eastAsia="Times New Roman"/>
          <w:color w:val="auto"/>
          <w:spacing w:val="-2"/>
          <w:highlight w:val="none"/>
        </w:rPr>
        <w:t>，并采用单位数字证书，按招标文件要求在相应位置加盖电子印章。投标文件中需个人签字或盖章的，应加盖个人电子印章或在线下完成后扫描上传</w:t>
      </w:r>
      <w:r>
        <w:rPr>
          <w:rFonts w:hint="eastAsia" w:ascii="宋体" w:hAnsi="宋体"/>
          <w:color w:val="auto"/>
          <w:highlight w:val="none"/>
        </w:rPr>
        <w:t>（</w:t>
      </w:r>
      <w:r>
        <w:rPr>
          <w:rFonts w:ascii="Calibri" w:hAnsi="Calibri" w:eastAsia="宋体"/>
          <w:color w:val="auto"/>
          <w:kern w:val="2"/>
          <w:szCs w:val="24"/>
          <w:highlight w:val="none"/>
        </w:rPr>
        <w:t>可靠的电子签名与手写签名或者盖章具有同等的法律效力</w:t>
      </w:r>
      <w:r>
        <w:rPr>
          <w:rFonts w:hint="eastAsia" w:ascii="宋体" w:hAnsi="宋体"/>
          <w:color w:val="auto"/>
          <w:highlight w:val="none"/>
        </w:rPr>
        <w:t>）</w:t>
      </w:r>
      <w:r>
        <w:rPr>
          <w:rFonts w:hint="eastAsia" w:ascii="Times New Roman" w:hAnsi="Times New Roman" w:eastAsia="Times New Roman"/>
          <w:color w:val="auto"/>
          <w:spacing w:val="-2"/>
          <w:highlight w:val="none"/>
        </w:rPr>
        <w:t>。按照</w:t>
      </w:r>
      <w:r>
        <w:rPr>
          <w:rFonts w:hint="eastAsia" w:ascii="Times New Roman" w:hAnsi="Times New Roman" w:eastAsia="宋体"/>
          <w:color w:val="auto"/>
          <w:spacing w:val="-2"/>
          <w:highlight w:val="none"/>
        </w:rPr>
        <w:t>广州交易集团有限公司（广州公共资源交易中心）</w:t>
      </w:r>
      <w:r>
        <w:rPr>
          <w:rFonts w:hint="eastAsia" w:ascii="Times New Roman" w:hAnsi="Times New Roman" w:eastAsia="Times New Roman"/>
          <w:color w:val="auto"/>
          <w:spacing w:val="-2"/>
          <w:highlight w:val="none"/>
        </w:rPr>
        <w:t>网站关于全流程电子化项目的相关指南进行操作。</w:t>
      </w:r>
    </w:p>
    <w:p w14:paraId="256B7DE1">
      <w:pPr>
        <w:spacing w:before="2" w:line="351" w:lineRule="auto"/>
        <w:ind w:left="5" w:right="46" w:firstLine="415"/>
        <w:rPr>
          <w:rFonts w:ascii="Times New Roman" w:hAnsi="Times New Roman" w:eastAsia="Times New Roman"/>
          <w:strike/>
          <w:color w:val="auto"/>
          <w:spacing w:val="-2"/>
          <w:highlight w:val="none"/>
        </w:rPr>
      </w:pPr>
      <w:r>
        <w:rPr>
          <w:rFonts w:hint="eastAsia" w:ascii="Times New Roman" w:hAnsi="Times New Roman" w:eastAsia="Times New Roman"/>
          <w:strike/>
          <w:color w:val="auto"/>
          <w:spacing w:val="-2"/>
          <w:highlight w:val="none"/>
        </w:rPr>
        <w:t>3.</w:t>
      </w:r>
      <w:r>
        <w:rPr>
          <w:rFonts w:hint="eastAsia" w:ascii="Times New Roman" w:hAnsi="Times New Roman" w:eastAsia="宋体"/>
          <w:strike/>
          <w:color w:val="auto"/>
          <w:spacing w:val="-2"/>
          <w:highlight w:val="none"/>
        </w:rPr>
        <w:t>7</w:t>
      </w:r>
      <w:r>
        <w:rPr>
          <w:rFonts w:hint="eastAsia" w:ascii="Times New Roman" w:hAnsi="Times New Roman" w:eastAsia="Times New Roman"/>
          <w:strike/>
          <w:color w:val="auto"/>
          <w:spacing w:val="-2"/>
          <w:highlight w:val="none"/>
        </w:rPr>
        <w:t>.</w:t>
      </w:r>
      <w:r>
        <w:rPr>
          <w:rFonts w:hint="eastAsia" w:ascii="Times New Roman" w:hAnsi="Times New Roman" w:eastAsia="宋体"/>
          <w:strike/>
          <w:color w:val="auto"/>
          <w:spacing w:val="-2"/>
          <w:highlight w:val="none"/>
        </w:rPr>
        <w:t xml:space="preserve">4   </w:t>
      </w:r>
      <w:r>
        <w:rPr>
          <w:rFonts w:hint="eastAsia" w:ascii="Times New Roman" w:hAnsi="Times New Roman" w:eastAsia="Times New Roman"/>
          <w:strike/>
          <w:color w:val="auto"/>
          <w:spacing w:val="-2"/>
          <w:highlight w:val="none"/>
        </w:rPr>
        <w:t>联合体投标时，投标人封面及其他内容落款中的“投标人”应填写联合体各方的单位全称【格式为：（主）XXXX公司（成）XXXX公司】。除联合体共同投标协议需联合体各方按要求共同盖章</w:t>
      </w:r>
      <w:r>
        <w:rPr>
          <w:rFonts w:hint="eastAsia" w:ascii="Times New Roman" w:hAnsi="Times New Roman" w:eastAsia="宋体"/>
          <w:strike/>
          <w:color w:val="auto"/>
          <w:spacing w:val="-2"/>
          <w:highlight w:val="none"/>
        </w:rPr>
        <w:t>或</w:t>
      </w:r>
      <w:r>
        <w:rPr>
          <w:rFonts w:hint="eastAsia" w:ascii="Times New Roman" w:hAnsi="Times New Roman" w:eastAsia="Times New Roman"/>
          <w:strike/>
          <w:color w:val="auto"/>
          <w:spacing w:val="-2"/>
          <w:highlight w:val="none"/>
        </w:rPr>
        <w:t>签字，其余可由联合体</w:t>
      </w:r>
      <w:r>
        <w:rPr>
          <w:rFonts w:hint="eastAsia" w:ascii="Times New Roman" w:hAnsi="Times New Roman" w:eastAsia="宋体"/>
          <w:strike/>
          <w:color w:val="auto"/>
          <w:spacing w:val="-2"/>
          <w:highlight w:val="none"/>
        </w:rPr>
        <w:t>主办方</w:t>
      </w:r>
      <w:r>
        <w:rPr>
          <w:rFonts w:hint="eastAsia" w:ascii="Times New Roman" w:hAnsi="Times New Roman" w:eastAsia="Times New Roman"/>
          <w:strike/>
          <w:color w:val="auto"/>
          <w:spacing w:val="-2"/>
          <w:highlight w:val="none"/>
        </w:rPr>
        <w:t>签字、盖章即可，由联合体</w:t>
      </w:r>
      <w:r>
        <w:rPr>
          <w:rFonts w:hint="eastAsia" w:ascii="Times New Roman" w:hAnsi="Times New Roman" w:eastAsia="宋体"/>
          <w:strike/>
          <w:color w:val="auto"/>
          <w:spacing w:val="-2"/>
          <w:highlight w:val="none"/>
        </w:rPr>
        <w:t>主办方</w:t>
      </w:r>
      <w:r>
        <w:rPr>
          <w:rFonts w:hint="eastAsia" w:ascii="Times New Roman" w:hAnsi="Times New Roman" w:eastAsia="Times New Roman"/>
          <w:strike/>
          <w:color w:val="auto"/>
          <w:spacing w:val="-2"/>
          <w:highlight w:val="none"/>
        </w:rPr>
        <w:t>法人签字的电子投标文件需提供</w:t>
      </w:r>
      <w:r>
        <w:rPr>
          <w:rFonts w:hint="eastAsia" w:ascii="Times New Roman" w:hAnsi="Times New Roman" w:eastAsia="宋体"/>
          <w:strike/>
          <w:color w:val="auto"/>
          <w:spacing w:val="-2"/>
          <w:highlight w:val="none"/>
        </w:rPr>
        <w:t>主办方</w:t>
      </w:r>
      <w:r>
        <w:rPr>
          <w:rFonts w:hint="eastAsia" w:ascii="Times New Roman" w:hAnsi="Times New Roman" w:eastAsia="Times New Roman"/>
          <w:strike/>
          <w:color w:val="auto"/>
          <w:spacing w:val="-2"/>
          <w:highlight w:val="none"/>
        </w:rPr>
        <w:t>法定代表人证明书，若由联合体</w:t>
      </w:r>
      <w:r>
        <w:rPr>
          <w:rFonts w:hint="eastAsia" w:ascii="Times New Roman" w:hAnsi="Times New Roman" w:eastAsia="宋体"/>
          <w:strike/>
          <w:color w:val="auto"/>
          <w:spacing w:val="-2"/>
          <w:highlight w:val="none"/>
        </w:rPr>
        <w:t>主办方</w:t>
      </w:r>
      <w:r>
        <w:rPr>
          <w:rFonts w:hint="eastAsia" w:ascii="Times New Roman" w:hAnsi="Times New Roman" w:eastAsia="Times New Roman"/>
          <w:strike/>
          <w:color w:val="auto"/>
          <w:spacing w:val="-2"/>
          <w:highlight w:val="none"/>
        </w:rPr>
        <w:t>法定代表人授权签字的电子投标文件需提供法定代表人证明书及其授权委托书、授权委托人身份证扫描件。</w:t>
      </w:r>
    </w:p>
    <w:p w14:paraId="34678318">
      <w:pPr>
        <w:spacing w:before="2" w:line="351" w:lineRule="auto"/>
        <w:ind w:left="5" w:right="46" w:firstLine="415"/>
        <w:rPr>
          <w:rFonts w:ascii="Times New Roman" w:hAnsi="Times New Roman" w:eastAsiaTheme="minorEastAsia"/>
          <w:color w:val="auto"/>
          <w:spacing w:val="-2"/>
          <w:highlight w:val="none"/>
        </w:rPr>
      </w:pPr>
      <w:r>
        <w:rPr>
          <w:rFonts w:hint="eastAsia" w:ascii="Times New Roman" w:hAnsi="Times New Roman" w:eastAsia="Times New Roman"/>
          <w:color w:val="auto"/>
          <w:spacing w:val="-2"/>
          <w:highlight w:val="none"/>
        </w:rPr>
        <w:t>3.7.5   投标文件应按照广州交易集团有限公司（广州公共资源交易中心）网站关于全流程电子化项目的相关指南进行编制。如因不按上述编排要求编制而所引起系统无法检索、读取相关信息时，其后果将由投标人自行承担。</w:t>
      </w:r>
    </w:p>
    <w:p w14:paraId="0F01DA5D">
      <w:pPr>
        <w:pStyle w:val="7"/>
        <w:rPr>
          <w:rFonts w:eastAsiaTheme="minorEastAsia"/>
          <w:color w:val="auto"/>
          <w:highlight w:val="none"/>
        </w:rPr>
      </w:pPr>
    </w:p>
    <w:p w14:paraId="7AE02B6B">
      <w:pPr>
        <w:pStyle w:val="25"/>
        <w:spacing w:before="120" w:after="120"/>
        <w:outlineLvl w:val="9"/>
        <w:rPr>
          <w:rFonts w:ascii="Times New Roman" w:hAnsi="Times New Roman" w:eastAsia="Times New Roman"/>
          <w:bCs/>
          <w:color w:val="auto"/>
          <w:spacing w:val="6"/>
          <w:sz w:val="31"/>
          <w:szCs w:val="31"/>
          <w:highlight w:val="none"/>
        </w:rPr>
      </w:pPr>
      <w:bookmarkStart w:id="207" w:name="_Toc21673"/>
      <w:bookmarkStart w:id="208" w:name="_Toc13817"/>
      <w:bookmarkStart w:id="209" w:name="_Toc12551"/>
      <w:bookmarkStart w:id="210" w:name="_Toc8579"/>
      <w:bookmarkStart w:id="211" w:name="_Toc25877"/>
      <w:r>
        <w:rPr>
          <w:rFonts w:ascii="Times New Roman" w:hAnsi="Times New Roman" w:eastAsia="Times New Roman"/>
          <w:bCs/>
          <w:color w:val="auto"/>
          <w:spacing w:val="6"/>
          <w:sz w:val="31"/>
          <w:szCs w:val="31"/>
          <w:highlight w:val="none"/>
        </w:rPr>
        <w:t>4</w:t>
      </w:r>
      <w:r>
        <w:rPr>
          <w:rFonts w:ascii="Times New Roman" w:hAnsi="Times New Roman" w:eastAsia="Times New Roman"/>
          <w:bCs/>
          <w:color w:val="auto"/>
          <w:spacing w:val="4"/>
          <w:sz w:val="31"/>
          <w:szCs w:val="31"/>
          <w:highlight w:val="none"/>
        </w:rPr>
        <w:t>.</w:t>
      </w:r>
      <w:r>
        <w:rPr>
          <w:rFonts w:ascii="Times New Roman" w:hAnsi="Times New Roman" w:eastAsia="Times New Roman"/>
          <w:color w:val="auto"/>
          <w:spacing w:val="4"/>
          <w:sz w:val="31"/>
          <w:szCs w:val="31"/>
          <w:highlight w:val="none"/>
        </w:rPr>
        <w:t xml:space="preserve">  </w:t>
      </w:r>
      <w:r>
        <w:rPr>
          <w:rFonts w:ascii="黑体" w:hAnsi="黑体" w:eastAsia="黑体"/>
          <w:color w:val="auto"/>
          <w:spacing w:val="4"/>
          <w:sz w:val="31"/>
          <w:szCs w:val="31"/>
          <w:highlight w:val="none"/>
        </w:rPr>
        <w:t>投标</w:t>
      </w:r>
      <w:bookmarkEnd w:id="207"/>
      <w:bookmarkEnd w:id="208"/>
      <w:bookmarkEnd w:id="209"/>
      <w:bookmarkEnd w:id="210"/>
      <w:bookmarkEnd w:id="211"/>
    </w:p>
    <w:p w14:paraId="42F040F3">
      <w:pPr>
        <w:rPr>
          <w:rFonts w:ascii="Times New Roman" w:hAnsi="Times New Roman" w:eastAsia="Times New Roman"/>
          <w:color w:val="auto"/>
          <w:spacing w:val="14"/>
          <w:sz w:val="27"/>
          <w:szCs w:val="27"/>
          <w:highlight w:val="none"/>
        </w:rPr>
      </w:pPr>
      <w:bookmarkStart w:id="212" w:name="_Toc26104"/>
      <w:bookmarkStart w:id="213" w:name="_Toc2460"/>
      <w:bookmarkStart w:id="214" w:name="_Toc28705"/>
      <w:bookmarkStart w:id="215" w:name="_Toc26388"/>
      <w:bookmarkStart w:id="216" w:name="_Toc28213"/>
      <w:r>
        <w:rPr>
          <w:rFonts w:ascii="Times New Roman" w:hAnsi="Times New Roman" w:eastAsia="Times New Roman"/>
          <w:color w:val="auto"/>
          <w:spacing w:val="14"/>
          <w:sz w:val="27"/>
          <w:szCs w:val="27"/>
          <w:highlight w:val="none"/>
        </w:rPr>
        <w:t>4</w:t>
      </w:r>
      <w:r>
        <w:rPr>
          <w:rFonts w:ascii="Times New Roman" w:hAnsi="Times New Roman" w:eastAsia="Times New Roman"/>
          <w:color w:val="auto"/>
          <w:spacing w:val="10"/>
          <w:sz w:val="27"/>
          <w:szCs w:val="27"/>
          <w:highlight w:val="none"/>
        </w:rPr>
        <w:t>.</w:t>
      </w:r>
      <w:r>
        <w:rPr>
          <w:rFonts w:ascii="Times New Roman" w:hAnsi="Times New Roman" w:eastAsia="Times New Roman"/>
          <w:color w:val="auto"/>
          <w:spacing w:val="7"/>
          <w:sz w:val="27"/>
          <w:szCs w:val="27"/>
          <w:highlight w:val="none"/>
        </w:rPr>
        <w:t xml:space="preserve">1  </w:t>
      </w:r>
      <w:r>
        <w:rPr>
          <w:rFonts w:ascii="黑体" w:hAnsi="黑体" w:eastAsia="黑体"/>
          <w:color w:val="auto"/>
          <w:spacing w:val="7"/>
          <w:sz w:val="27"/>
          <w:szCs w:val="27"/>
          <w:highlight w:val="none"/>
        </w:rPr>
        <w:t>投标文件的密封和标记</w:t>
      </w:r>
      <w:bookmarkEnd w:id="212"/>
      <w:bookmarkEnd w:id="213"/>
      <w:bookmarkEnd w:id="214"/>
      <w:bookmarkEnd w:id="215"/>
      <w:bookmarkEnd w:id="216"/>
    </w:p>
    <w:p w14:paraId="4FD67F5D">
      <w:pPr>
        <w:spacing w:before="68" w:line="352" w:lineRule="auto"/>
        <w:ind w:left="16" w:right="17" w:firstLine="399" w:firstLineChars="192"/>
        <w:rPr>
          <w:rFonts w:ascii="Times New Roman" w:hAnsi="Times New Roman" w:eastAsia="Times New Roman"/>
          <w:color w:val="auto"/>
          <w:spacing w:val="-1"/>
          <w:highlight w:val="none"/>
        </w:rPr>
      </w:pPr>
      <w:r>
        <w:rPr>
          <w:rFonts w:ascii="Times New Roman" w:hAnsi="Times New Roman" w:eastAsia="Times New Roman"/>
          <w:color w:val="auto"/>
          <w:spacing w:val="-1"/>
          <w:highlight w:val="none"/>
        </w:rPr>
        <w:t xml:space="preserve">4.1.1   </w:t>
      </w:r>
      <w:r>
        <w:rPr>
          <w:rFonts w:hint="eastAsia" w:ascii="Times New Roman" w:hAnsi="Times New Roman" w:eastAsia="Times New Roman"/>
          <w:color w:val="auto"/>
          <w:spacing w:val="-1"/>
          <w:highlight w:val="none"/>
        </w:rPr>
        <w:t>递交的电子投标文件（不含备用光盘）必须进行加密。按照</w:t>
      </w:r>
      <w:r>
        <w:rPr>
          <w:rFonts w:hint="eastAsia" w:ascii="Times New Roman" w:hAnsi="Times New Roman" w:eastAsia="宋体"/>
          <w:color w:val="auto"/>
          <w:spacing w:val="-1"/>
          <w:highlight w:val="none"/>
        </w:rPr>
        <w:t>广州交易集团有限公司（广州公共资源交易中心）</w:t>
      </w:r>
      <w:r>
        <w:rPr>
          <w:rFonts w:hint="eastAsia" w:ascii="Times New Roman" w:hAnsi="Times New Roman" w:eastAsia="Times New Roman"/>
          <w:color w:val="auto"/>
          <w:spacing w:val="-1"/>
          <w:highlight w:val="none"/>
        </w:rPr>
        <w:t>网站关于全流程电子化项目的相关指南进行操作</w:t>
      </w:r>
      <w:r>
        <w:rPr>
          <w:rFonts w:ascii="Times New Roman" w:hAnsi="Times New Roman" w:eastAsia="Times New Roman"/>
          <w:color w:val="auto"/>
          <w:spacing w:val="-1"/>
          <w:highlight w:val="none"/>
        </w:rPr>
        <w:t>。</w:t>
      </w:r>
    </w:p>
    <w:p w14:paraId="1F55B88F">
      <w:pPr>
        <w:spacing w:before="68" w:line="352" w:lineRule="auto"/>
        <w:ind w:left="416" w:right="17"/>
        <w:rPr>
          <w:rFonts w:ascii="Times New Roman" w:hAnsi="Times New Roman" w:eastAsiaTheme="minorEastAsia"/>
          <w:color w:val="auto"/>
          <w:spacing w:val="-1"/>
          <w:highlight w:val="none"/>
        </w:rPr>
      </w:pPr>
      <w:r>
        <w:rPr>
          <w:rFonts w:ascii="Times New Roman" w:hAnsi="Times New Roman" w:eastAsia="Times New Roman"/>
          <w:color w:val="auto"/>
          <w:spacing w:val="-1"/>
          <w:highlight w:val="none"/>
        </w:rPr>
        <w:t xml:space="preserve">4.1.2  </w:t>
      </w:r>
      <w:r>
        <w:rPr>
          <w:rFonts w:hint="eastAsia" w:ascii="Times New Roman" w:hAnsi="Times New Roman" w:eastAsia="Times New Roman"/>
          <w:color w:val="auto"/>
          <w:spacing w:val="-1"/>
          <w:highlight w:val="none"/>
        </w:rPr>
        <w:t>未按要求加密的投标文件，</w:t>
      </w:r>
      <w:r>
        <w:rPr>
          <w:rFonts w:hint="eastAsia" w:ascii="Times New Roman" w:hAnsi="Times New Roman" w:eastAsia="宋体"/>
          <w:color w:val="auto"/>
          <w:spacing w:val="-1"/>
          <w:highlight w:val="none"/>
        </w:rPr>
        <w:t>广州交易集团有限公司（广州公共资源交易中心）</w:t>
      </w:r>
      <w:r>
        <w:rPr>
          <w:rFonts w:hint="eastAsia" w:ascii="Times New Roman" w:hAnsi="Times New Roman" w:eastAsia="Times New Roman"/>
          <w:color w:val="auto"/>
          <w:spacing w:val="-1"/>
          <w:highlight w:val="none"/>
        </w:rPr>
        <w:t>网站交易平台将予以拒收</w:t>
      </w:r>
      <w:r>
        <w:rPr>
          <w:rFonts w:ascii="Times New Roman" w:hAnsi="Times New Roman" w:eastAsia="Times New Roman"/>
          <w:color w:val="auto"/>
          <w:spacing w:val="-1"/>
          <w:highlight w:val="none"/>
        </w:rPr>
        <w:t>。</w:t>
      </w:r>
    </w:p>
    <w:p w14:paraId="3F7D452E">
      <w:pPr>
        <w:pStyle w:val="7"/>
        <w:rPr>
          <w:rFonts w:eastAsiaTheme="minorEastAsia"/>
          <w:color w:val="auto"/>
          <w:highlight w:val="none"/>
        </w:rPr>
      </w:pPr>
    </w:p>
    <w:p w14:paraId="25A45A1D">
      <w:pPr>
        <w:rPr>
          <w:rFonts w:ascii="Times New Roman" w:hAnsi="Times New Roman" w:eastAsia="Times New Roman"/>
          <w:color w:val="auto"/>
          <w:sz w:val="27"/>
          <w:szCs w:val="27"/>
          <w:highlight w:val="none"/>
        </w:rPr>
      </w:pPr>
      <w:bookmarkStart w:id="217" w:name="_Toc14279"/>
      <w:bookmarkStart w:id="218" w:name="_Toc24305"/>
      <w:bookmarkStart w:id="219" w:name="_Toc6297"/>
      <w:bookmarkStart w:id="220" w:name="_Toc17831"/>
      <w:bookmarkStart w:id="221" w:name="_Toc7999"/>
      <w:r>
        <w:rPr>
          <w:rFonts w:ascii="Times New Roman" w:hAnsi="Times New Roman" w:eastAsia="Times New Roman"/>
          <w:color w:val="auto"/>
          <w:sz w:val="27"/>
          <w:szCs w:val="27"/>
          <w:highlight w:val="none"/>
        </w:rPr>
        <w:t xml:space="preserve">4.2  </w:t>
      </w:r>
      <w:r>
        <w:rPr>
          <w:rFonts w:ascii="黑体" w:hAnsi="黑体" w:eastAsia="黑体"/>
          <w:color w:val="auto"/>
          <w:sz w:val="27"/>
          <w:szCs w:val="27"/>
          <w:highlight w:val="none"/>
        </w:rPr>
        <w:t>投标文件的递交</w:t>
      </w:r>
      <w:bookmarkEnd w:id="217"/>
      <w:bookmarkEnd w:id="218"/>
      <w:bookmarkEnd w:id="219"/>
      <w:bookmarkEnd w:id="220"/>
      <w:bookmarkEnd w:id="221"/>
    </w:p>
    <w:p w14:paraId="7ED2BCFA">
      <w:pPr>
        <w:spacing w:before="68" w:line="352" w:lineRule="auto"/>
        <w:ind w:left="16" w:right="17" w:firstLine="403" w:firstLineChars="192"/>
        <w:rPr>
          <w:rFonts w:ascii="Times New Roman" w:hAnsi="Times New Roman" w:eastAsia="Times New Roman"/>
          <w:color w:val="auto"/>
          <w:highlight w:val="none"/>
        </w:rPr>
      </w:pPr>
      <w:r>
        <w:rPr>
          <w:rFonts w:hint="eastAsia" w:ascii="Times New Roman" w:hAnsi="Times New Roman" w:eastAsia="Times New Roman"/>
          <w:color w:val="auto"/>
          <w:highlight w:val="none"/>
        </w:rPr>
        <w:t>4.2.1</w:t>
      </w:r>
      <w:r>
        <w:rPr>
          <w:rFonts w:hint="eastAsia" w:ascii="Times New Roman" w:hAnsi="Times New Roman" w:eastAsia="宋体"/>
          <w:color w:val="auto"/>
          <w:highlight w:val="none"/>
        </w:rPr>
        <w:t xml:space="preserve">  </w:t>
      </w:r>
      <w:r>
        <w:rPr>
          <w:rFonts w:hint="eastAsia" w:ascii="Times New Roman" w:hAnsi="Times New Roman" w:eastAsia="Times New Roman"/>
          <w:color w:val="auto"/>
          <w:highlight w:val="none"/>
        </w:rPr>
        <w:t>投标人</w:t>
      </w:r>
      <w:r>
        <w:rPr>
          <w:rFonts w:hint="eastAsia" w:ascii="Times New Roman" w:hAnsi="Times New Roman" w:eastAsia="宋体"/>
          <w:color w:val="auto"/>
          <w:highlight w:val="none"/>
        </w:rPr>
        <w:t>应在投标人须知前附表规定的投标截止时间前，</w:t>
      </w:r>
      <w:r>
        <w:rPr>
          <w:rFonts w:hint="eastAsia" w:ascii="Times New Roman" w:hAnsi="Times New Roman" w:eastAsia="Times New Roman"/>
          <w:color w:val="auto"/>
          <w:highlight w:val="none"/>
        </w:rPr>
        <w:t>通过</w:t>
      </w:r>
      <w:r>
        <w:rPr>
          <w:rFonts w:hint="eastAsia" w:ascii="Times New Roman" w:hAnsi="Times New Roman" w:eastAsia="宋体"/>
          <w:color w:val="auto"/>
          <w:highlight w:val="none"/>
        </w:rPr>
        <w:t>广州交易集团有限公司（广州公共资源交易中心）</w:t>
      </w:r>
      <w:r>
        <w:rPr>
          <w:rFonts w:hint="eastAsia" w:ascii="Times New Roman" w:hAnsi="Times New Roman" w:eastAsia="Times New Roman"/>
          <w:color w:val="auto"/>
          <w:highlight w:val="none"/>
        </w:rPr>
        <w:t>网站交易平台递交电子投标文件。</w:t>
      </w:r>
    </w:p>
    <w:p w14:paraId="3CC9237B">
      <w:pPr>
        <w:spacing w:before="68" w:line="352" w:lineRule="auto"/>
        <w:ind w:left="16" w:right="17" w:firstLine="403" w:firstLineChars="192"/>
        <w:rPr>
          <w:rFonts w:ascii="Times New Roman" w:hAnsi="Times New Roman" w:eastAsia="Times New Roman"/>
          <w:color w:val="auto"/>
          <w:highlight w:val="none"/>
        </w:rPr>
      </w:pPr>
      <w:r>
        <w:rPr>
          <w:rFonts w:hint="eastAsia" w:ascii="Times New Roman" w:hAnsi="Times New Roman" w:eastAsia="Times New Roman"/>
          <w:color w:val="auto"/>
          <w:highlight w:val="none"/>
        </w:rPr>
        <w:t>4.2.2</w:t>
      </w:r>
      <w:r>
        <w:rPr>
          <w:rFonts w:hint="eastAsia" w:ascii="Times New Roman" w:hAnsi="Times New Roman" w:eastAsia="宋体"/>
          <w:color w:val="auto"/>
          <w:highlight w:val="none"/>
        </w:rPr>
        <w:t xml:space="preserve">  </w:t>
      </w:r>
      <w:r>
        <w:rPr>
          <w:rFonts w:hint="eastAsia" w:ascii="Times New Roman" w:hAnsi="Times New Roman" w:eastAsia="Times New Roman"/>
          <w:color w:val="auto"/>
          <w:highlight w:val="none"/>
        </w:rPr>
        <w:t>投标人完成电子投标文件上传后，</w:t>
      </w:r>
      <w:r>
        <w:rPr>
          <w:rFonts w:hint="eastAsia" w:ascii="Times New Roman" w:hAnsi="Times New Roman" w:eastAsia="宋体"/>
          <w:color w:val="auto"/>
          <w:highlight w:val="none"/>
        </w:rPr>
        <w:t>广州交易集团有限公司（广州公共资源交易中心）</w:t>
      </w:r>
      <w:r>
        <w:rPr>
          <w:rFonts w:hint="eastAsia" w:ascii="Times New Roman" w:hAnsi="Times New Roman" w:eastAsia="Times New Roman"/>
          <w:color w:val="auto"/>
          <w:highlight w:val="none"/>
        </w:rPr>
        <w:t>网站交易平台即时向投标人发出递交回执通知。递交时间以递交回执通知载明的传输完成时间为准。</w:t>
      </w:r>
    </w:p>
    <w:p w14:paraId="053B2C1F">
      <w:pPr>
        <w:spacing w:before="68" w:line="352" w:lineRule="auto"/>
        <w:ind w:left="16" w:right="17" w:firstLine="403" w:firstLineChars="192"/>
        <w:rPr>
          <w:rFonts w:ascii="Times New Roman" w:hAnsi="Times New Roman" w:eastAsia="Times New Roman"/>
          <w:color w:val="auto"/>
          <w:highlight w:val="none"/>
        </w:rPr>
      </w:pPr>
      <w:r>
        <w:rPr>
          <w:rFonts w:hint="eastAsia" w:ascii="Times New Roman" w:hAnsi="Times New Roman" w:eastAsia="Times New Roman"/>
          <w:color w:val="auto"/>
          <w:highlight w:val="none"/>
        </w:rPr>
        <w:t>4.2.3</w:t>
      </w:r>
      <w:r>
        <w:rPr>
          <w:rFonts w:hint="eastAsia" w:ascii="Times New Roman" w:hAnsi="Times New Roman" w:eastAsia="宋体"/>
          <w:color w:val="auto"/>
          <w:highlight w:val="none"/>
        </w:rPr>
        <w:t xml:space="preserve">  </w:t>
      </w:r>
      <w:r>
        <w:rPr>
          <w:rFonts w:hint="eastAsia" w:ascii="Times New Roman" w:hAnsi="Times New Roman" w:eastAsia="Times New Roman"/>
          <w:color w:val="auto"/>
          <w:highlight w:val="none"/>
        </w:rPr>
        <w:t>逾期送达的电子投标文件，</w:t>
      </w:r>
      <w:r>
        <w:rPr>
          <w:rFonts w:hint="eastAsia" w:ascii="Times New Roman" w:hAnsi="Times New Roman" w:eastAsia="宋体"/>
          <w:color w:val="auto"/>
          <w:highlight w:val="none"/>
        </w:rPr>
        <w:t>广州交易集团有限公司（广州公共资源交易中心）</w:t>
      </w:r>
      <w:r>
        <w:rPr>
          <w:rFonts w:hint="eastAsia" w:ascii="Times New Roman" w:hAnsi="Times New Roman" w:eastAsia="Times New Roman"/>
          <w:color w:val="auto"/>
          <w:highlight w:val="none"/>
        </w:rPr>
        <w:t>网站交易平台将予以拒收。</w:t>
      </w:r>
    </w:p>
    <w:p w14:paraId="314176E6">
      <w:pPr>
        <w:spacing w:before="134" w:line="229" w:lineRule="auto"/>
        <w:ind w:firstLine="420" w:firstLineChars="200"/>
        <w:rPr>
          <w:rFonts w:ascii="Times New Roman" w:hAnsi="Times New Roman" w:eastAsia="Times New Roman"/>
          <w:color w:val="auto"/>
          <w:highlight w:val="none"/>
        </w:rPr>
      </w:pPr>
      <w:r>
        <w:rPr>
          <w:rFonts w:hint="eastAsia" w:ascii="Times New Roman" w:hAnsi="Times New Roman" w:eastAsia="Times New Roman"/>
          <w:color w:val="auto"/>
          <w:highlight w:val="none"/>
        </w:rPr>
        <w:t xml:space="preserve">4.2.4 </w:t>
      </w:r>
      <w:r>
        <w:rPr>
          <w:rFonts w:hint="eastAsia" w:ascii="Times New Roman" w:hAnsi="Times New Roman" w:eastAsia="宋体"/>
          <w:color w:val="auto"/>
          <w:highlight w:val="none"/>
        </w:rPr>
        <w:t xml:space="preserve">  </w:t>
      </w:r>
      <w:r>
        <w:rPr>
          <w:rFonts w:hint="eastAsia" w:ascii="Times New Roman" w:hAnsi="Times New Roman" w:eastAsia="Times New Roman"/>
          <w:color w:val="auto"/>
          <w:highlight w:val="none"/>
        </w:rPr>
        <w:t>投标截止前，招标人拒绝接收符合条件的投标文件，投标人可向招标监督机构投诉</w:t>
      </w:r>
      <w:r>
        <w:rPr>
          <w:rFonts w:hint="eastAsia" w:ascii="Times New Roman" w:hAnsi="Times New Roman" w:eastAsia="宋体"/>
          <w:color w:val="auto"/>
          <w:highlight w:val="none"/>
        </w:rPr>
        <w:t>。</w:t>
      </w:r>
    </w:p>
    <w:p w14:paraId="5170C93D">
      <w:pPr>
        <w:spacing w:before="134" w:line="229" w:lineRule="auto"/>
        <w:ind w:left="134"/>
        <w:rPr>
          <w:rFonts w:ascii="Times New Roman" w:hAnsi="Times New Roman" w:eastAsia="宋体"/>
          <w:color w:val="auto"/>
          <w:highlight w:val="none"/>
        </w:rPr>
      </w:pPr>
    </w:p>
    <w:p w14:paraId="62CB18D2">
      <w:pPr>
        <w:rPr>
          <w:rFonts w:ascii="Times New Roman" w:hAnsi="Times New Roman" w:eastAsia="Times New Roman"/>
          <w:color w:val="auto"/>
          <w:sz w:val="27"/>
          <w:szCs w:val="27"/>
          <w:highlight w:val="none"/>
        </w:rPr>
      </w:pPr>
      <w:bookmarkStart w:id="222" w:name="_Toc25623"/>
      <w:bookmarkStart w:id="223" w:name="_Toc6649"/>
      <w:bookmarkStart w:id="224" w:name="_Toc20560"/>
      <w:bookmarkStart w:id="225" w:name="_Toc1278"/>
      <w:bookmarkStart w:id="226" w:name="_Toc8848"/>
      <w:r>
        <w:rPr>
          <w:rFonts w:ascii="Times New Roman" w:hAnsi="Times New Roman" w:eastAsia="Times New Roman"/>
          <w:color w:val="auto"/>
          <w:sz w:val="27"/>
          <w:szCs w:val="27"/>
          <w:highlight w:val="none"/>
        </w:rPr>
        <w:t xml:space="preserve">4.3  </w:t>
      </w:r>
      <w:r>
        <w:rPr>
          <w:rFonts w:ascii="黑体" w:hAnsi="黑体" w:eastAsia="黑体"/>
          <w:color w:val="auto"/>
          <w:sz w:val="27"/>
          <w:szCs w:val="27"/>
          <w:highlight w:val="none"/>
        </w:rPr>
        <w:t>投标文件的修改与撤回</w:t>
      </w:r>
      <w:bookmarkEnd w:id="222"/>
      <w:bookmarkEnd w:id="223"/>
      <w:bookmarkEnd w:id="224"/>
      <w:bookmarkEnd w:id="225"/>
      <w:bookmarkEnd w:id="226"/>
    </w:p>
    <w:p w14:paraId="262A5EFB">
      <w:pPr>
        <w:spacing w:before="68" w:line="352" w:lineRule="auto"/>
        <w:ind w:firstLine="416"/>
        <w:rPr>
          <w:rFonts w:ascii="Times New Roman" w:hAnsi="Times New Roman" w:eastAsia="Times New Roman"/>
          <w:color w:val="auto"/>
          <w:highlight w:val="none"/>
        </w:rPr>
      </w:pPr>
      <w:r>
        <w:rPr>
          <w:rFonts w:ascii="Times New Roman" w:hAnsi="Times New Roman" w:eastAsia="Times New Roman"/>
          <w:color w:val="auto"/>
          <w:highlight w:val="none"/>
        </w:rPr>
        <w:t xml:space="preserve">4.3.1  </w:t>
      </w:r>
      <w:r>
        <w:rPr>
          <w:rFonts w:hint="eastAsia" w:ascii="Times New Roman" w:hAnsi="Times New Roman" w:eastAsia="宋体"/>
          <w:color w:val="auto"/>
          <w:highlight w:val="none"/>
        </w:rPr>
        <w:t xml:space="preserve"> </w:t>
      </w:r>
      <w:r>
        <w:rPr>
          <w:rFonts w:ascii="宋体" w:hAnsi="宋体" w:eastAsia="宋体"/>
          <w:color w:val="auto"/>
          <w:highlight w:val="none"/>
        </w:rPr>
        <w:t>在规定的投标截止时间前， 投标人可以修改或撤回已递交的投标文件， 但应以书面形式通知招标人。</w:t>
      </w:r>
    </w:p>
    <w:p w14:paraId="2FE27101">
      <w:pPr>
        <w:spacing w:before="1" w:line="351" w:lineRule="auto"/>
        <w:ind w:left="1" w:right="60" w:firstLine="415"/>
        <w:rPr>
          <w:rFonts w:ascii="Times New Roman" w:hAnsi="Times New Roman" w:eastAsia="Times New Roman"/>
          <w:color w:val="auto"/>
          <w:highlight w:val="none"/>
        </w:rPr>
      </w:pPr>
      <w:r>
        <w:rPr>
          <w:rFonts w:ascii="Times New Roman" w:hAnsi="Times New Roman" w:eastAsia="Times New Roman"/>
          <w:color w:val="auto"/>
          <w:highlight w:val="none"/>
        </w:rPr>
        <w:t xml:space="preserve">4.3.2   </w:t>
      </w:r>
      <w:r>
        <w:rPr>
          <w:rFonts w:ascii="宋体" w:hAnsi="宋体" w:eastAsia="宋体"/>
          <w:color w:val="auto"/>
          <w:highlight w:val="none"/>
        </w:rPr>
        <w:t>投标人修改或撤回已递交投标文件，</w:t>
      </w:r>
      <w:r>
        <w:rPr>
          <w:rFonts w:hint="eastAsia" w:ascii="宋体" w:hAnsi="宋体" w:eastAsia="宋体"/>
          <w:color w:val="auto"/>
          <w:highlight w:val="none"/>
        </w:rPr>
        <w:t>需在交易平台发出修改或撤回通知，并按要求加盖电子印章</w:t>
      </w:r>
      <w:r>
        <w:rPr>
          <w:rFonts w:ascii="宋体" w:hAnsi="宋体" w:eastAsia="宋体"/>
          <w:color w:val="auto"/>
          <w:highlight w:val="none"/>
        </w:rPr>
        <w:t>。电子招标投标交易平台收到通知后，即时向投标人发出确认回执通知。</w:t>
      </w:r>
    </w:p>
    <w:p w14:paraId="34FE01D6">
      <w:pPr>
        <w:spacing w:before="2" w:line="351" w:lineRule="auto"/>
        <w:ind w:left="18" w:right="60" w:firstLine="397"/>
        <w:rPr>
          <w:rFonts w:ascii="Times New Roman" w:hAnsi="Times New Roman" w:eastAsia="Times New Roman"/>
          <w:color w:val="auto"/>
          <w:highlight w:val="none"/>
        </w:rPr>
      </w:pPr>
      <w:r>
        <w:rPr>
          <w:rFonts w:ascii="Times New Roman" w:hAnsi="Times New Roman" w:eastAsia="Times New Roman"/>
          <w:color w:val="auto"/>
          <w:highlight w:val="none"/>
        </w:rPr>
        <w:t xml:space="preserve">4.3.3 </w:t>
      </w:r>
      <w:r>
        <w:rPr>
          <w:rFonts w:hint="eastAsia" w:ascii="Times New Roman" w:hAnsi="Times New Roman" w:eastAsia="宋体"/>
          <w:color w:val="auto"/>
          <w:highlight w:val="none"/>
        </w:rPr>
        <w:t xml:space="preserve">   </w:t>
      </w:r>
      <w:r>
        <w:rPr>
          <w:rFonts w:hint="eastAsia" w:ascii="宋体" w:hAnsi="宋体" w:eastAsia="宋体"/>
          <w:color w:val="auto"/>
          <w:highlight w:val="none"/>
        </w:rPr>
        <w:t>修改后再次递交的，按第4.2项的规定执行</w:t>
      </w:r>
      <w:r>
        <w:rPr>
          <w:rFonts w:ascii="宋体" w:hAnsi="宋体" w:eastAsia="宋体"/>
          <w:color w:val="auto"/>
          <w:highlight w:val="none"/>
        </w:rPr>
        <w:t>。</w:t>
      </w:r>
    </w:p>
    <w:p w14:paraId="62BA5CC8">
      <w:pPr>
        <w:spacing w:before="2" w:line="351" w:lineRule="auto"/>
        <w:ind w:left="18" w:right="60" w:firstLine="397"/>
        <w:rPr>
          <w:rFonts w:ascii="Times New Roman" w:hAnsi="Times New Roman" w:eastAsia="Times New Roman"/>
          <w:color w:val="auto"/>
          <w:highlight w:val="none"/>
        </w:rPr>
      </w:pPr>
      <w:r>
        <w:rPr>
          <w:rFonts w:ascii="Times New Roman" w:hAnsi="Times New Roman" w:eastAsia="Times New Roman"/>
          <w:color w:val="auto"/>
          <w:highlight w:val="none"/>
        </w:rPr>
        <w:t>4.3.</w:t>
      </w:r>
      <w:r>
        <w:rPr>
          <w:rFonts w:hint="eastAsia" w:ascii="Times New Roman" w:hAnsi="Times New Roman" w:eastAsia="宋体"/>
          <w:color w:val="auto"/>
          <w:highlight w:val="none"/>
        </w:rPr>
        <w:t>4</w:t>
      </w:r>
      <w:r>
        <w:rPr>
          <w:rFonts w:ascii="Times New Roman" w:hAnsi="Times New Roman" w:eastAsia="Times New Roman"/>
          <w:color w:val="auto"/>
          <w:highlight w:val="none"/>
        </w:rPr>
        <w:t xml:space="preserve"> </w:t>
      </w:r>
      <w:r>
        <w:rPr>
          <w:rFonts w:hint="eastAsia" w:ascii="宋体" w:hAnsi="宋体" w:eastAsia="宋体"/>
          <w:color w:val="auto"/>
          <w:highlight w:val="none"/>
        </w:rPr>
        <w:t xml:space="preserve"> 在投标截止时间之后，投标人不得补充、修改和更换投标文件。</w:t>
      </w:r>
    </w:p>
    <w:p w14:paraId="31345857">
      <w:pPr>
        <w:pStyle w:val="25"/>
        <w:spacing w:before="120" w:after="120"/>
        <w:outlineLvl w:val="9"/>
        <w:rPr>
          <w:rFonts w:ascii="Times New Roman" w:hAnsi="Times New Roman" w:eastAsia="Times New Roman"/>
          <w:bCs/>
          <w:color w:val="auto"/>
          <w:sz w:val="31"/>
          <w:szCs w:val="31"/>
          <w:highlight w:val="none"/>
        </w:rPr>
      </w:pPr>
      <w:bookmarkStart w:id="227" w:name="_Toc30468"/>
      <w:bookmarkStart w:id="228" w:name="_Toc13390"/>
      <w:bookmarkStart w:id="229" w:name="_Toc15392"/>
      <w:bookmarkStart w:id="230" w:name="_Toc5844"/>
      <w:bookmarkStart w:id="231" w:name="_Toc9020"/>
      <w:r>
        <w:rPr>
          <w:rFonts w:ascii="Times New Roman" w:hAnsi="Times New Roman" w:eastAsia="Times New Roman"/>
          <w:bCs/>
          <w:color w:val="auto"/>
          <w:sz w:val="31"/>
          <w:szCs w:val="31"/>
          <w:highlight w:val="none"/>
        </w:rPr>
        <w:t>5.</w:t>
      </w:r>
      <w:r>
        <w:rPr>
          <w:rFonts w:ascii="Times New Roman" w:hAnsi="Times New Roman" w:eastAsia="Times New Roman"/>
          <w:color w:val="auto"/>
          <w:sz w:val="31"/>
          <w:szCs w:val="31"/>
          <w:highlight w:val="none"/>
        </w:rPr>
        <w:t xml:space="preserve">  </w:t>
      </w:r>
      <w:r>
        <w:rPr>
          <w:rFonts w:ascii="黑体" w:hAnsi="黑体" w:eastAsia="黑体"/>
          <w:color w:val="auto"/>
          <w:sz w:val="31"/>
          <w:szCs w:val="31"/>
          <w:highlight w:val="none"/>
        </w:rPr>
        <w:t>开标</w:t>
      </w:r>
      <w:bookmarkEnd w:id="227"/>
      <w:bookmarkEnd w:id="228"/>
      <w:bookmarkEnd w:id="229"/>
      <w:bookmarkEnd w:id="230"/>
      <w:bookmarkEnd w:id="231"/>
    </w:p>
    <w:p w14:paraId="4A4F2623">
      <w:pPr>
        <w:rPr>
          <w:rFonts w:ascii="Times New Roman" w:hAnsi="Times New Roman" w:eastAsia="Times New Roman"/>
          <w:color w:val="auto"/>
          <w:sz w:val="27"/>
          <w:szCs w:val="27"/>
          <w:highlight w:val="none"/>
        </w:rPr>
      </w:pPr>
      <w:bookmarkStart w:id="232" w:name="_Toc14670"/>
      <w:bookmarkStart w:id="233" w:name="_Toc19309"/>
      <w:bookmarkStart w:id="234" w:name="_Toc3725"/>
      <w:bookmarkStart w:id="235" w:name="_Toc5053"/>
      <w:bookmarkStart w:id="236" w:name="_Toc22724"/>
      <w:r>
        <w:rPr>
          <w:rFonts w:ascii="Times New Roman" w:hAnsi="Times New Roman" w:eastAsia="Times New Roman"/>
          <w:color w:val="auto"/>
          <w:sz w:val="27"/>
          <w:szCs w:val="27"/>
          <w:highlight w:val="none"/>
        </w:rPr>
        <w:t xml:space="preserve">5.1  </w:t>
      </w:r>
      <w:r>
        <w:rPr>
          <w:rFonts w:ascii="黑体" w:hAnsi="黑体" w:eastAsia="黑体"/>
          <w:color w:val="auto"/>
          <w:sz w:val="27"/>
          <w:szCs w:val="27"/>
          <w:highlight w:val="none"/>
        </w:rPr>
        <w:t>开标时间和地点</w:t>
      </w:r>
      <w:bookmarkEnd w:id="232"/>
      <w:bookmarkEnd w:id="233"/>
      <w:bookmarkEnd w:id="234"/>
      <w:bookmarkEnd w:id="235"/>
      <w:bookmarkEnd w:id="236"/>
    </w:p>
    <w:p w14:paraId="5E266E04">
      <w:pPr>
        <w:spacing w:before="2" w:line="351" w:lineRule="auto"/>
        <w:ind w:left="18" w:right="60" w:firstLine="397"/>
        <w:rPr>
          <w:rFonts w:ascii="Times New Roman" w:hAnsi="Times New Roman" w:eastAsia="Times New Roman"/>
          <w:color w:val="auto"/>
          <w:highlight w:val="none"/>
        </w:rPr>
      </w:pPr>
      <w:r>
        <w:rPr>
          <w:rFonts w:hint="eastAsia" w:ascii="Times New Roman" w:hAnsi="Times New Roman" w:eastAsia="Times New Roman"/>
          <w:color w:val="auto"/>
          <w:highlight w:val="none"/>
        </w:rPr>
        <w:t>5.1.1  招标人按投标须知前附表规定的时间和地点公开开标。截标后，开标开始时间因故推迟的，相关评标信息仍以原定的开标开始时间的信息为准。</w:t>
      </w:r>
    </w:p>
    <w:p w14:paraId="0F848AE0">
      <w:pPr>
        <w:spacing w:before="2" w:line="351" w:lineRule="auto"/>
        <w:ind w:left="18" w:right="60" w:firstLine="397"/>
        <w:rPr>
          <w:rFonts w:ascii="Times New Roman" w:hAnsi="Times New Roman" w:eastAsia="Times New Roman"/>
          <w:color w:val="auto"/>
          <w:highlight w:val="none"/>
        </w:rPr>
      </w:pPr>
      <w:r>
        <w:rPr>
          <w:rFonts w:hint="eastAsia" w:ascii="Times New Roman" w:hAnsi="Times New Roman" w:eastAsia="Times New Roman"/>
          <w:color w:val="auto"/>
          <w:highlight w:val="none"/>
        </w:rPr>
        <w:t>5.1.2  开标方式采用电子开标和现场开标两种模式，投标人可选择在开标室参与开标或准时在线参加开标，也可不参加开标。参加在线开标的投标人登录交易平台实时查看开标、唱标情况。交易平台生成开标记录并向社会公众公布。</w:t>
      </w:r>
    </w:p>
    <w:p w14:paraId="12E3699A">
      <w:pPr>
        <w:pStyle w:val="56"/>
        <w:rPr>
          <w:color w:val="auto"/>
          <w:highlight w:val="none"/>
        </w:rPr>
      </w:pPr>
    </w:p>
    <w:p w14:paraId="61881819">
      <w:pPr>
        <w:rPr>
          <w:rFonts w:ascii="Times New Roman" w:hAnsi="Times New Roman" w:eastAsia="Times New Roman"/>
          <w:color w:val="auto"/>
          <w:sz w:val="27"/>
          <w:szCs w:val="27"/>
          <w:highlight w:val="none"/>
        </w:rPr>
      </w:pPr>
      <w:bookmarkStart w:id="237" w:name="_Toc16400"/>
      <w:bookmarkStart w:id="238" w:name="_Toc695"/>
      <w:bookmarkStart w:id="239" w:name="_Toc8588"/>
      <w:bookmarkStart w:id="240" w:name="_Toc28659"/>
      <w:bookmarkStart w:id="241" w:name="_Toc13348"/>
      <w:r>
        <w:rPr>
          <w:rFonts w:ascii="Times New Roman" w:hAnsi="Times New Roman" w:eastAsia="Times New Roman"/>
          <w:color w:val="auto"/>
          <w:sz w:val="27"/>
          <w:szCs w:val="27"/>
          <w:highlight w:val="none"/>
        </w:rPr>
        <w:t xml:space="preserve">5.2  </w:t>
      </w:r>
      <w:r>
        <w:rPr>
          <w:rFonts w:ascii="黑体" w:hAnsi="黑体" w:eastAsia="黑体"/>
          <w:color w:val="auto"/>
          <w:sz w:val="27"/>
          <w:szCs w:val="27"/>
          <w:highlight w:val="none"/>
        </w:rPr>
        <w:t>开标程序</w:t>
      </w:r>
      <w:bookmarkEnd w:id="237"/>
      <w:bookmarkEnd w:id="238"/>
      <w:bookmarkEnd w:id="239"/>
      <w:bookmarkEnd w:id="240"/>
      <w:bookmarkEnd w:id="241"/>
    </w:p>
    <w:p w14:paraId="32195A0A">
      <w:pPr>
        <w:spacing w:before="2" w:line="351" w:lineRule="auto"/>
        <w:ind w:left="18" w:right="60" w:firstLine="397"/>
        <w:rPr>
          <w:rFonts w:ascii="Times New Roman" w:hAnsi="Times New Roman" w:eastAsia="Times New Roman"/>
          <w:color w:val="auto"/>
          <w:highlight w:val="none"/>
        </w:rPr>
      </w:pPr>
      <w:r>
        <w:rPr>
          <w:rFonts w:hint="eastAsia" w:ascii="Times New Roman" w:hAnsi="Times New Roman" w:eastAsia="Times New Roman"/>
          <w:color w:val="auto"/>
          <w:highlight w:val="none"/>
        </w:rPr>
        <w:t>5.2.1   在投标截止时间后</w:t>
      </w:r>
      <w:r>
        <w:rPr>
          <w:rFonts w:hint="eastAsia" w:ascii="Times New Roman" w:hAnsi="Times New Roman" w:eastAsia="Times New Roman"/>
          <w:color w:val="auto"/>
          <w:highlight w:val="none"/>
          <w:u w:val="single"/>
        </w:rPr>
        <w:t>半小时</w:t>
      </w:r>
      <w:r>
        <w:rPr>
          <w:rFonts w:hint="eastAsia" w:ascii="Times New Roman" w:hAnsi="Times New Roman" w:eastAsia="Times New Roman"/>
          <w:color w:val="auto"/>
          <w:highlight w:val="none"/>
        </w:rPr>
        <w:t>内，投标人通过递交投标文件的交易平台对已递交的电子投标文件进行解密。投标人完成解密后，再由招标人进行解密。解密完成后，公布招标项目名称、投标人名称</w:t>
      </w:r>
      <w:r>
        <w:rPr>
          <w:rFonts w:hint="eastAsia" w:ascii="Times New Roman" w:hAnsi="Times New Roman" w:eastAsia="Times New Roman"/>
          <w:strike/>
          <w:color w:val="auto"/>
          <w:highlight w:val="none"/>
        </w:rPr>
        <w:t>、投标保证金</w:t>
      </w:r>
      <w:r>
        <w:rPr>
          <w:rFonts w:hint="eastAsia" w:ascii="Times New Roman" w:hAnsi="Times New Roman" w:eastAsia="Times New Roman"/>
          <w:color w:val="auto"/>
          <w:highlight w:val="none"/>
        </w:rPr>
        <w:t>的递交情况、投标报价、项目负责人及其他内容。未在规定时间内解密的投标文件不参与开标、评标。</w:t>
      </w:r>
    </w:p>
    <w:p w14:paraId="765BCB02">
      <w:pPr>
        <w:spacing w:before="2" w:line="351" w:lineRule="auto"/>
        <w:ind w:left="18" w:right="60" w:firstLine="397"/>
        <w:rPr>
          <w:rFonts w:ascii="Times New Roman" w:hAnsi="Times New Roman" w:eastAsia="Times New Roman"/>
          <w:color w:val="auto"/>
          <w:highlight w:val="none"/>
        </w:rPr>
      </w:pPr>
      <w:r>
        <w:rPr>
          <w:rFonts w:hint="eastAsia" w:ascii="Times New Roman" w:hAnsi="Times New Roman" w:eastAsia="Times New Roman"/>
          <w:color w:val="auto"/>
          <w:highlight w:val="none"/>
        </w:rPr>
        <w:t>5.2.2  按开标记录表规定的内容进行唱标。</w:t>
      </w:r>
    </w:p>
    <w:p w14:paraId="6CF02EF6">
      <w:pPr>
        <w:spacing w:before="2" w:line="351" w:lineRule="auto"/>
        <w:ind w:left="18" w:right="60" w:firstLine="397"/>
        <w:rPr>
          <w:rFonts w:ascii="Times New Roman" w:hAnsi="Times New Roman" w:eastAsia="Times New Roman"/>
          <w:color w:val="auto"/>
          <w:highlight w:val="none"/>
        </w:rPr>
      </w:pPr>
      <w:r>
        <w:rPr>
          <w:rFonts w:hint="eastAsia" w:ascii="Times New Roman" w:hAnsi="Times New Roman" w:eastAsia="Times New Roman"/>
          <w:color w:val="auto"/>
          <w:highlight w:val="none"/>
        </w:rPr>
        <w:t>5.2.3  投标人代表、招标人代表、监标人、记录人等有关人员在开标记录上签字确认；若有关人员不签字的，不影响开标程序。</w:t>
      </w:r>
    </w:p>
    <w:p w14:paraId="5EFFB678">
      <w:pPr>
        <w:spacing w:before="2" w:line="351" w:lineRule="auto"/>
        <w:ind w:left="18" w:right="60" w:firstLine="397"/>
        <w:rPr>
          <w:rFonts w:ascii="Times New Roman" w:hAnsi="Times New Roman" w:eastAsia="Times New Roman"/>
          <w:color w:val="auto"/>
          <w:highlight w:val="none"/>
        </w:rPr>
      </w:pPr>
      <w:r>
        <w:rPr>
          <w:rFonts w:hint="eastAsia" w:ascii="Times New Roman" w:hAnsi="Times New Roman" w:eastAsia="Times New Roman"/>
          <w:color w:val="auto"/>
          <w:highlight w:val="none"/>
        </w:rPr>
        <w:t>5.2.4  开标结束。</w:t>
      </w:r>
    </w:p>
    <w:p w14:paraId="2C1B1673">
      <w:pPr>
        <w:spacing w:before="2" w:line="351" w:lineRule="auto"/>
        <w:ind w:left="18" w:right="60" w:firstLine="397"/>
        <w:rPr>
          <w:rFonts w:ascii="Times New Roman" w:hAnsi="Times New Roman" w:eastAsia="Times New Roman"/>
          <w:color w:val="auto"/>
          <w:highlight w:val="none"/>
        </w:rPr>
      </w:pPr>
      <w:r>
        <w:rPr>
          <w:rFonts w:hint="eastAsia" w:ascii="Times New Roman" w:hAnsi="Times New Roman" w:eastAsia="Times New Roman"/>
          <w:color w:val="auto"/>
          <w:highlight w:val="none"/>
        </w:rPr>
        <w:t>5.2.5   投标截止时间前未完成投标文件传输的或因投标人之外的原因造成投标文件未解密且未按要求递交备用光盘的，视为投标人撤回投标文件。因投标人原因造成投标文件未解密或未在规定的时间内解密的，视为撤销其投标文件。</w:t>
      </w:r>
    </w:p>
    <w:p w14:paraId="7155A039">
      <w:pPr>
        <w:spacing w:before="2" w:line="351" w:lineRule="auto"/>
        <w:ind w:left="18" w:right="60" w:firstLine="397"/>
        <w:rPr>
          <w:rFonts w:ascii="Times New Roman" w:hAnsi="Times New Roman" w:eastAsia="Times New Roman"/>
          <w:color w:val="auto"/>
          <w:highlight w:val="none"/>
        </w:rPr>
      </w:pPr>
      <w:r>
        <w:rPr>
          <w:rFonts w:hint="eastAsia" w:ascii="Times New Roman" w:hAnsi="Times New Roman" w:eastAsia="Times New Roman"/>
          <w:color w:val="auto"/>
          <w:highlight w:val="none"/>
        </w:rPr>
        <w:t>5.2.6  开标时，两个（含两个）以上的投标人加密打包投标文件电脑机器特征码一致的，不参与下一程序，并由评标委员会否决其投标。</w:t>
      </w:r>
    </w:p>
    <w:p w14:paraId="165A0B73">
      <w:pPr>
        <w:pStyle w:val="56"/>
        <w:rPr>
          <w:color w:val="auto"/>
          <w:highlight w:val="none"/>
        </w:rPr>
      </w:pPr>
    </w:p>
    <w:p w14:paraId="2A2D4AE5">
      <w:pPr>
        <w:rPr>
          <w:rFonts w:ascii="Times New Roman" w:hAnsi="Times New Roman" w:eastAsia="Times New Roman"/>
          <w:color w:val="auto"/>
          <w:spacing w:val="5"/>
          <w:sz w:val="27"/>
          <w:szCs w:val="27"/>
          <w:highlight w:val="none"/>
        </w:rPr>
      </w:pPr>
      <w:bookmarkStart w:id="242" w:name="_Toc1095"/>
      <w:bookmarkStart w:id="243" w:name="_Toc24106"/>
      <w:bookmarkStart w:id="244" w:name="_Toc6534"/>
      <w:bookmarkStart w:id="245" w:name="_Toc8139"/>
      <w:bookmarkStart w:id="246" w:name="_Toc21783"/>
      <w:r>
        <w:rPr>
          <w:rFonts w:ascii="Times New Roman" w:hAnsi="Times New Roman" w:eastAsia="Times New Roman"/>
          <w:color w:val="auto"/>
          <w:spacing w:val="5"/>
          <w:sz w:val="27"/>
          <w:szCs w:val="27"/>
          <w:highlight w:val="none"/>
        </w:rPr>
        <w:t xml:space="preserve">5.3  </w:t>
      </w:r>
      <w:r>
        <w:rPr>
          <w:rFonts w:ascii="黑体" w:hAnsi="黑体" w:eastAsia="黑体"/>
          <w:color w:val="auto"/>
          <w:spacing w:val="5"/>
          <w:sz w:val="27"/>
          <w:szCs w:val="27"/>
          <w:highlight w:val="none"/>
        </w:rPr>
        <w:t>开标异议</w:t>
      </w:r>
      <w:bookmarkEnd w:id="242"/>
      <w:bookmarkEnd w:id="243"/>
      <w:bookmarkEnd w:id="244"/>
      <w:bookmarkEnd w:id="245"/>
      <w:bookmarkEnd w:id="246"/>
    </w:p>
    <w:p w14:paraId="049BC5F9">
      <w:pPr>
        <w:spacing w:before="2" w:line="351" w:lineRule="auto"/>
        <w:ind w:left="18" w:right="60" w:firstLine="397"/>
        <w:rPr>
          <w:rFonts w:ascii="Times New Roman" w:hAnsi="Times New Roman" w:eastAsia="Times New Roman"/>
          <w:color w:val="auto"/>
          <w:highlight w:val="none"/>
        </w:rPr>
      </w:pPr>
      <w:r>
        <w:rPr>
          <w:rFonts w:hint="eastAsia" w:ascii="Times New Roman" w:hAnsi="Times New Roman" w:eastAsia="Times New Roman"/>
          <w:color w:val="auto"/>
          <w:highlight w:val="none"/>
        </w:rPr>
        <w:t>5.3.1  参加现场开标的投标人对开标结果有异议的，应当在开标现场提出，招标人应当当场作出答复，并制作记录。</w:t>
      </w:r>
    </w:p>
    <w:p w14:paraId="26FFD2D9">
      <w:pPr>
        <w:spacing w:before="2" w:line="351" w:lineRule="auto"/>
        <w:ind w:left="18" w:right="60" w:firstLine="397"/>
        <w:rPr>
          <w:rFonts w:ascii="Times New Roman" w:hAnsi="Times New Roman" w:eastAsia="Times New Roman"/>
          <w:color w:val="auto"/>
          <w:highlight w:val="none"/>
        </w:rPr>
      </w:pPr>
      <w:r>
        <w:rPr>
          <w:rFonts w:hint="eastAsia" w:ascii="Times New Roman" w:hAnsi="Times New Roman" w:eastAsia="Times New Roman"/>
          <w:color w:val="auto"/>
          <w:highlight w:val="none"/>
        </w:rPr>
        <w:t>5.3.2  参加在线开标的投标人对开标结果有异议的，应当在唱标结束后的规定时间内、使用单位数字证书登录交易平台后通过交易平台提出。招标人授权招标代理机构工作人员使用招标代理机构数字证书登录交易平台答复异议，异议 答复是招标人真实意思表示。未答复的，开标程序不得结束。</w:t>
      </w:r>
    </w:p>
    <w:p w14:paraId="6178725B">
      <w:pPr>
        <w:spacing w:before="2" w:line="351" w:lineRule="auto"/>
        <w:ind w:left="18" w:right="60" w:firstLine="397"/>
        <w:rPr>
          <w:rFonts w:ascii="Times New Roman" w:hAnsi="Times New Roman" w:eastAsia="Times New Roman"/>
          <w:color w:val="auto"/>
          <w:highlight w:val="none"/>
        </w:rPr>
      </w:pPr>
      <w:r>
        <w:rPr>
          <w:rFonts w:hint="eastAsia" w:ascii="Times New Roman" w:hAnsi="Times New Roman" w:eastAsia="Times New Roman"/>
          <w:color w:val="auto"/>
          <w:highlight w:val="none"/>
        </w:rPr>
        <w:t>5.3.3  投标人未参加开标或在规定的时间内未提出异议的，视为对开标无异议。</w:t>
      </w:r>
    </w:p>
    <w:p w14:paraId="2E1ABDD4">
      <w:pPr>
        <w:pStyle w:val="25"/>
        <w:spacing w:before="120" w:after="120"/>
        <w:outlineLvl w:val="9"/>
        <w:rPr>
          <w:rFonts w:ascii="Times New Roman" w:hAnsi="Times New Roman" w:eastAsia="Times New Roman"/>
          <w:bCs/>
          <w:color w:val="auto"/>
          <w:spacing w:val="4"/>
          <w:sz w:val="31"/>
          <w:szCs w:val="31"/>
          <w:highlight w:val="none"/>
        </w:rPr>
      </w:pPr>
      <w:bookmarkStart w:id="247" w:name="_Toc32000"/>
      <w:bookmarkStart w:id="248" w:name="_Toc10755"/>
      <w:bookmarkStart w:id="249" w:name="_Toc27309"/>
      <w:bookmarkStart w:id="250" w:name="_Toc32638"/>
      <w:bookmarkStart w:id="251" w:name="_Toc6481"/>
      <w:r>
        <w:rPr>
          <w:rFonts w:ascii="Times New Roman" w:hAnsi="Times New Roman" w:eastAsia="Times New Roman"/>
          <w:bCs/>
          <w:color w:val="auto"/>
          <w:spacing w:val="4"/>
          <w:sz w:val="31"/>
          <w:szCs w:val="31"/>
          <w:highlight w:val="none"/>
        </w:rPr>
        <w:t>6.</w:t>
      </w:r>
      <w:r>
        <w:rPr>
          <w:rFonts w:ascii="Times New Roman" w:hAnsi="Times New Roman" w:eastAsia="Times New Roman"/>
          <w:color w:val="auto"/>
          <w:spacing w:val="4"/>
          <w:sz w:val="31"/>
          <w:szCs w:val="31"/>
          <w:highlight w:val="none"/>
        </w:rPr>
        <w:t xml:space="preserve">  </w:t>
      </w:r>
      <w:r>
        <w:rPr>
          <w:rFonts w:ascii="黑体" w:hAnsi="黑体" w:eastAsia="黑体"/>
          <w:color w:val="auto"/>
          <w:spacing w:val="4"/>
          <w:sz w:val="31"/>
          <w:szCs w:val="31"/>
          <w:highlight w:val="none"/>
        </w:rPr>
        <w:t>评</w:t>
      </w:r>
      <w:r>
        <w:rPr>
          <w:rFonts w:ascii="黑体" w:hAnsi="黑体" w:eastAsia="黑体"/>
          <w:color w:val="auto"/>
          <w:spacing w:val="3"/>
          <w:sz w:val="31"/>
          <w:szCs w:val="31"/>
          <w:highlight w:val="none"/>
        </w:rPr>
        <w:t>标</w:t>
      </w:r>
      <w:bookmarkEnd w:id="247"/>
      <w:bookmarkEnd w:id="248"/>
      <w:bookmarkEnd w:id="249"/>
      <w:bookmarkEnd w:id="250"/>
      <w:bookmarkEnd w:id="251"/>
    </w:p>
    <w:p w14:paraId="454FA3FB">
      <w:pPr>
        <w:rPr>
          <w:rFonts w:ascii="Times New Roman" w:hAnsi="Times New Roman" w:eastAsia="Times New Roman"/>
          <w:color w:val="auto"/>
          <w:spacing w:val="10"/>
          <w:sz w:val="27"/>
          <w:szCs w:val="27"/>
          <w:highlight w:val="none"/>
        </w:rPr>
      </w:pPr>
      <w:bookmarkStart w:id="252" w:name="_Toc17470"/>
      <w:bookmarkStart w:id="253" w:name="_Toc25470"/>
      <w:bookmarkStart w:id="254" w:name="_Toc14687"/>
      <w:bookmarkStart w:id="255" w:name="_Toc4252"/>
      <w:bookmarkStart w:id="256" w:name="_Toc1336"/>
      <w:r>
        <w:rPr>
          <w:rFonts w:ascii="Times New Roman" w:hAnsi="Times New Roman" w:eastAsia="Times New Roman"/>
          <w:color w:val="auto"/>
          <w:spacing w:val="10"/>
          <w:sz w:val="27"/>
          <w:szCs w:val="27"/>
          <w:highlight w:val="none"/>
        </w:rPr>
        <w:t>6</w:t>
      </w:r>
      <w:r>
        <w:rPr>
          <w:rFonts w:ascii="Times New Roman" w:hAnsi="Times New Roman" w:eastAsia="Times New Roman"/>
          <w:color w:val="auto"/>
          <w:spacing w:val="5"/>
          <w:sz w:val="27"/>
          <w:szCs w:val="27"/>
          <w:highlight w:val="none"/>
        </w:rPr>
        <w:t xml:space="preserve">.1  </w:t>
      </w:r>
      <w:r>
        <w:rPr>
          <w:rFonts w:ascii="黑体" w:hAnsi="黑体" w:eastAsia="黑体"/>
          <w:color w:val="auto"/>
          <w:spacing w:val="5"/>
          <w:sz w:val="27"/>
          <w:szCs w:val="27"/>
          <w:highlight w:val="none"/>
        </w:rPr>
        <w:t>评标委员会</w:t>
      </w:r>
      <w:bookmarkEnd w:id="252"/>
      <w:bookmarkEnd w:id="253"/>
      <w:bookmarkEnd w:id="254"/>
      <w:bookmarkEnd w:id="255"/>
      <w:bookmarkEnd w:id="256"/>
    </w:p>
    <w:p w14:paraId="01EB5DE5">
      <w:pPr>
        <w:spacing w:line="315" w:lineRule="auto"/>
        <w:rPr>
          <w:color w:val="auto"/>
          <w:highlight w:val="none"/>
        </w:rPr>
      </w:pPr>
    </w:p>
    <w:p w14:paraId="7F40F5B2">
      <w:pPr>
        <w:spacing w:before="69" w:line="352" w:lineRule="auto"/>
        <w:ind w:right="56" w:firstLine="421"/>
        <w:rPr>
          <w:rFonts w:ascii="Times New Roman" w:hAnsi="Times New Roman" w:eastAsia="Times New Roman"/>
          <w:color w:val="auto"/>
          <w:spacing w:val="-2"/>
          <w:highlight w:val="none"/>
        </w:rPr>
      </w:pPr>
      <w:r>
        <w:rPr>
          <w:rFonts w:ascii="Times New Roman" w:hAnsi="Times New Roman" w:eastAsia="Times New Roman"/>
          <w:color w:val="auto"/>
          <w:spacing w:val="-2"/>
          <w:highlight w:val="none"/>
        </w:rPr>
        <w:t xml:space="preserve">6.1.1  </w:t>
      </w:r>
      <w:r>
        <w:rPr>
          <w:rFonts w:hint="eastAsia" w:ascii="宋体" w:hAnsi="宋体" w:eastAsia="宋体"/>
          <w:color w:val="auto"/>
          <w:highlight w:val="none"/>
        </w:rPr>
        <w:t>评标由招标人依法组建的评标委员会负责。评标委员会由有关技术、经济等方面的专家和招标人代表组成，专家从</w:t>
      </w:r>
      <w:r>
        <w:rPr>
          <w:rFonts w:hint="eastAsia" w:ascii="宋体" w:hAnsi="宋体" w:eastAsia="宋体"/>
          <w:color w:val="auto"/>
          <w:highlight w:val="none"/>
          <w:u w:val="single"/>
        </w:rPr>
        <w:t>广东省综合评标评审专家库</w:t>
      </w:r>
      <w:r>
        <w:rPr>
          <w:rFonts w:hint="eastAsia" w:ascii="宋体" w:hAnsi="宋体" w:eastAsia="宋体"/>
          <w:color w:val="auto"/>
          <w:highlight w:val="none"/>
        </w:rPr>
        <w:t>中抽取。评标委员会成员人数以及技术、经济等方面专家的确定方式见投标人须知前附表。</w:t>
      </w:r>
    </w:p>
    <w:p w14:paraId="059FCDE9">
      <w:pPr>
        <w:spacing w:line="216" w:lineRule="auto"/>
        <w:ind w:left="421"/>
        <w:rPr>
          <w:rFonts w:ascii="Times New Roman" w:hAnsi="Times New Roman" w:eastAsia="Times New Roman"/>
          <w:color w:val="auto"/>
          <w:spacing w:val="-2"/>
          <w:highlight w:val="none"/>
        </w:rPr>
      </w:pPr>
      <w:r>
        <w:rPr>
          <w:rFonts w:ascii="Times New Roman" w:hAnsi="Times New Roman" w:eastAsia="Times New Roman"/>
          <w:color w:val="auto"/>
          <w:spacing w:val="-2"/>
          <w:highlight w:val="none"/>
        </w:rPr>
        <w:t xml:space="preserve">6.1.2  </w:t>
      </w:r>
      <w:r>
        <w:rPr>
          <w:rFonts w:ascii="宋体" w:hAnsi="宋体" w:eastAsia="宋体"/>
          <w:color w:val="auto"/>
          <w:spacing w:val="-2"/>
          <w:highlight w:val="none"/>
        </w:rPr>
        <w:t>评标委员会成员有下列情形之一的，应当回避：</w:t>
      </w:r>
    </w:p>
    <w:p w14:paraId="44202D4D">
      <w:pPr>
        <w:spacing w:before="154" w:line="217" w:lineRule="auto"/>
        <w:ind w:left="724"/>
        <w:rPr>
          <w:rFonts w:ascii="宋体" w:hAnsi="宋体" w:eastAsia="宋体"/>
          <w:color w:val="auto"/>
          <w:spacing w:val="14"/>
          <w:highlight w:val="none"/>
        </w:rPr>
      </w:pPr>
      <w:r>
        <w:rPr>
          <w:rFonts w:ascii="宋体" w:hAnsi="宋体" w:eastAsia="宋体"/>
          <w:color w:val="auto"/>
          <w:spacing w:val="14"/>
          <w:highlight w:val="none"/>
        </w:rPr>
        <w:t>(</w:t>
      </w:r>
      <w:r>
        <w:rPr>
          <w:rFonts w:ascii="Times New Roman" w:hAnsi="Times New Roman" w:eastAsia="Times New Roman"/>
          <w:color w:val="auto"/>
          <w:spacing w:val="8"/>
          <w:highlight w:val="none"/>
        </w:rPr>
        <w:t>1</w:t>
      </w:r>
      <w:r>
        <w:rPr>
          <w:rFonts w:ascii="宋体" w:hAnsi="宋体" w:eastAsia="宋体"/>
          <w:color w:val="auto"/>
          <w:spacing w:val="7"/>
          <w:highlight w:val="none"/>
        </w:rPr>
        <w:t>)投标人或投标人主要负责人的近亲属；</w:t>
      </w:r>
    </w:p>
    <w:p w14:paraId="1B2699AB">
      <w:pPr>
        <w:spacing w:before="154" w:line="220" w:lineRule="auto"/>
        <w:ind w:left="724"/>
        <w:rPr>
          <w:rFonts w:ascii="宋体" w:hAnsi="宋体" w:eastAsia="宋体"/>
          <w:color w:val="auto"/>
          <w:spacing w:val="8"/>
          <w:highlight w:val="none"/>
        </w:rPr>
      </w:pPr>
      <w:r>
        <w:rPr>
          <w:rFonts w:ascii="宋体" w:hAnsi="宋体" w:eastAsia="宋体"/>
          <w:color w:val="auto"/>
          <w:spacing w:val="8"/>
          <w:highlight w:val="none"/>
        </w:rPr>
        <w:t>(</w:t>
      </w:r>
      <w:r>
        <w:rPr>
          <w:rFonts w:ascii="Times New Roman" w:hAnsi="Times New Roman" w:eastAsia="Times New Roman"/>
          <w:color w:val="auto"/>
          <w:spacing w:val="7"/>
          <w:highlight w:val="none"/>
        </w:rPr>
        <w:t>2</w:t>
      </w:r>
      <w:r>
        <w:rPr>
          <w:rFonts w:ascii="宋体" w:hAnsi="宋体" w:eastAsia="宋体"/>
          <w:color w:val="auto"/>
          <w:spacing w:val="7"/>
          <w:highlight w:val="none"/>
        </w:rPr>
        <w:t>)项目主管部门或者行政监督部门的人员；</w:t>
      </w:r>
    </w:p>
    <w:p w14:paraId="485331CA">
      <w:pPr>
        <w:spacing w:before="149" w:line="220" w:lineRule="auto"/>
        <w:ind w:left="724"/>
        <w:rPr>
          <w:rFonts w:ascii="宋体" w:hAnsi="宋体" w:eastAsia="宋体"/>
          <w:color w:val="auto"/>
          <w:spacing w:val="10"/>
          <w:highlight w:val="none"/>
        </w:rPr>
      </w:pPr>
      <w:r>
        <w:rPr>
          <w:rFonts w:ascii="宋体" w:hAnsi="宋体" w:eastAsia="宋体"/>
          <w:color w:val="auto"/>
          <w:spacing w:val="10"/>
          <w:highlight w:val="none"/>
        </w:rPr>
        <w:t>(</w:t>
      </w:r>
      <w:r>
        <w:rPr>
          <w:rFonts w:ascii="Times New Roman" w:hAnsi="Times New Roman" w:eastAsia="Times New Roman"/>
          <w:color w:val="auto"/>
          <w:spacing w:val="8"/>
          <w:highlight w:val="none"/>
        </w:rPr>
        <w:t>3</w:t>
      </w:r>
      <w:r>
        <w:rPr>
          <w:rFonts w:ascii="宋体" w:hAnsi="宋体" w:eastAsia="宋体"/>
          <w:color w:val="auto"/>
          <w:spacing w:val="5"/>
          <w:highlight w:val="none"/>
        </w:rPr>
        <w:t>)</w:t>
      </w:r>
      <w:r>
        <w:rPr>
          <w:rFonts w:hint="eastAsia" w:ascii="宋体" w:hAnsi="宋体" w:eastAsia="宋体"/>
          <w:color w:val="auto"/>
          <w:spacing w:val="10"/>
          <w:highlight w:val="none"/>
        </w:rPr>
        <w:t>招标人或投标人的工作人员、退休或离职未满3年的人员；</w:t>
      </w:r>
    </w:p>
    <w:p w14:paraId="443B9B87">
      <w:pPr>
        <w:spacing w:before="149" w:line="220" w:lineRule="auto"/>
        <w:ind w:left="724"/>
        <w:rPr>
          <w:rFonts w:ascii="宋体" w:hAnsi="宋体" w:eastAsia="宋体"/>
          <w:color w:val="auto"/>
          <w:spacing w:val="10"/>
          <w:highlight w:val="none"/>
        </w:rPr>
      </w:pPr>
      <w:r>
        <w:rPr>
          <w:rFonts w:ascii="宋体" w:hAnsi="宋体" w:eastAsia="宋体"/>
          <w:color w:val="auto"/>
          <w:spacing w:val="10"/>
          <w:highlight w:val="none"/>
        </w:rPr>
        <w:t>(</w:t>
      </w:r>
      <w:r>
        <w:rPr>
          <w:rFonts w:hint="eastAsia" w:ascii="Times New Roman" w:hAnsi="Times New Roman" w:eastAsia="宋体"/>
          <w:color w:val="auto"/>
          <w:spacing w:val="8"/>
          <w:highlight w:val="none"/>
        </w:rPr>
        <w:t>4</w:t>
      </w:r>
      <w:r>
        <w:rPr>
          <w:rFonts w:ascii="宋体" w:hAnsi="宋体" w:eastAsia="宋体"/>
          <w:color w:val="auto"/>
          <w:spacing w:val="5"/>
          <w:highlight w:val="none"/>
        </w:rPr>
        <w:t>)与投标人有经济利益关系，可能影响对投标公正评审的；</w:t>
      </w:r>
    </w:p>
    <w:p w14:paraId="7FBE1B78">
      <w:pPr>
        <w:spacing w:before="149" w:line="352" w:lineRule="auto"/>
        <w:ind w:left="3" w:right="64" w:firstLine="720"/>
        <w:rPr>
          <w:rFonts w:ascii="宋体" w:hAnsi="宋体" w:eastAsia="宋体"/>
          <w:color w:val="auto"/>
          <w:spacing w:val="12"/>
          <w:highlight w:val="none"/>
        </w:rPr>
      </w:pPr>
      <w:r>
        <w:rPr>
          <w:rFonts w:ascii="宋体" w:hAnsi="宋体" w:eastAsia="宋体"/>
          <w:color w:val="auto"/>
          <w:spacing w:val="12"/>
          <w:highlight w:val="none"/>
        </w:rPr>
        <w:t>(</w:t>
      </w:r>
      <w:r>
        <w:rPr>
          <w:rFonts w:hint="eastAsia" w:ascii="Times New Roman" w:hAnsi="Times New Roman" w:eastAsia="宋体"/>
          <w:color w:val="auto"/>
          <w:spacing w:val="7"/>
          <w:highlight w:val="none"/>
        </w:rPr>
        <w:t>5</w:t>
      </w:r>
      <w:r>
        <w:rPr>
          <w:rFonts w:ascii="宋体" w:hAnsi="宋体" w:eastAsia="宋体"/>
          <w:color w:val="auto"/>
          <w:spacing w:val="6"/>
          <w:highlight w:val="none"/>
        </w:rPr>
        <w:t>)曾因在招标、评标以及其他与招标投标有关活动中从事违法行为而受过行政处罚</w:t>
      </w:r>
      <w:r>
        <w:rPr>
          <w:rFonts w:ascii="宋体" w:hAnsi="宋体" w:eastAsia="宋体"/>
          <w:color w:val="auto"/>
          <w:spacing w:val="-9"/>
          <w:highlight w:val="none"/>
        </w:rPr>
        <w:t>或</w:t>
      </w:r>
      <w:r>
        <w:rPr>
          <w:rFonts w:ascii="宋体" w:hAnsi="宋体" w:eastAsia="宋体"/>
          <w:color w:val="auto"/>
          <w:spacing w:val="-7"/>
          <w:highlight w:val="none"/>
        </w:rPr>
        <w:t>刑事处罚的；</w:t>
      </w:r>
    </w:p>
    <w:p w14:paraId="6B3C07D1">
      <w:pPr>
        <w:spacing w:line="218" w:lineRule="auto"/>
        <w:ind w:left="724"/>
        <w:rPr>
          <w:rFonts w:ascii="宋体" w:hAnsi="宋体" w:eastAsia="宋体"/>
          <w:color w:val="auto"/>
          <w:spacing w:val="13"/>
          <w:highlight w:val="none"/>
        </w:rPr>
      </w:pPr>
      <w:r>
        <w:rPr>
          <w:rFonts w:ascii="宋体" w:hAnsi="宋体" w:eastAsia="宋体"/>
          <w:color w:val="auto"/>
          <w:spacing w:val="13"/>
          <w:highlight w:val="none"/>
        </w:rPr>
        <w:t>(</w:t>
      </w:r>
      <w:r>
        <w:rPr>
          <w:rFonts w:hint="eastAsia" w:ascii="Times New Roman" w:hAnsi="Times New Roman" w:eastAsia="宋体"/>
          <w:color w:val="auto"/>
          <w:spacing w:val="11"/>
          <w:highlight w:val="none"/>
        </w:rPr>
        <w:t>6</w:t>
      </w:r>
      <w:r>
        <w:rPr>
          <w:rFonts w:ascii="宋体" w:hAnsi="宋体" w:eastAsia="宋体"/>
          <w:color w:val="auto"/>
          <w:spacing w:val="11"/>
          <w:highlight w:val="none"/>
        </w:rPr>
        <w:t>)与投标人有其他利害关系。</w:t>
      </w:r>
    </w:p>
    <w:p w14:paraId="4E28D2EC">
      <w:pPr>
        <w:spacing w:before="152" w:line="358" w:lineRule="auto"/>
        <w:ind w:left="2" w:right="53" w:firstLine="419"/>
        <w:rPr>
          <w:rFonts w:ascii="宋体" w:hAnsi="宋体" w:eastAsia="宋体"/>
          <w:color w:val="auto"/>
          <w:spacing w:val="-4"/>
          <w:highlight w:val="none"/>
        </w:rPr>
      </w:pPr>
      <w:r>
        <w:rPr>
          <w:rFonts w:ascii="Times New Roman" w:hAnsi="Times New Roman" w:eastAsia="Times New Roman"/>
          <w:color w:val="auto"/>
          <w:spacing w:val="-8"/>
          <w:highlight w:val="none"/>
        </w:rPr>
        <w:t>6</w:t>
      </w:r>
      <w:r>
        <w:rPr>
          <w:rFonts w:ascii="Times New Roman" w:hAnsi="Times New Roman" w:eastAsia="Times New Roman"/>
          <w:color w:val="auto"/>
          <w:spacing w:val="-7"/>
          <w:highlight w:val="none"/>
        </w:rPr>
        <w:t>.</w:t>
      </w:r>
      <w:r>
        <w:rPr>
          <w:rFonts w:ascii="Times New Roman" w:hAnsi="Times New Roman" w:eastAsia="Times New Roman"/>
          <w:color w:val="auto"/>
          <w:spacing w:val="-4"/>
          <w:highlight w:val="none"/>
        </w:rPr>
        <w:t xml:space="preserve">1.3  </w:t>
      </w:r>
      <w:r>
        <w:rPr>
          <w:rFonts w:ascii="宋体" w:hAnsi="宋体" w:eastAsia="宋体"/>
          <w:color w:val="auto"/>
          <w:spacing w:val="-4"/>
          <w:highlight w:val="none"/>
        </w:rPr>
        <w:t>评标过程中，评标委员会成员有回避事由、擅离职守或者因健康等原因不能继续评标</w:t>
      </w:r>
      <w:r>
        <w:rPr>
          <w:rFonts w:ascii="宋体" w:hAnsi="宋体" w:eastAsia="宋体"/>
          <w:color w:val="auto"/>
          <w:spacing w:val="1"/>
          <w:highlight w:val="none"/>
        </w:rPr>
        <w:t>的，招标人有权更换。被更换的</w:t>
      </w:r>
      <w:r>
        <w:rPr>
          <w:rFonts w:ascii="宋体" w:hAnsi="宋体" w:eastAsia="宋体"/>
          <w:color w:val="auto"/>
          <w:highlight w:val="none"/>
        </w:rPr>
        <w:t>评标委员会成员作出的评审结论无效，由更换后的评标委员会</w:t>
      </w:r>
      <w:r>
        <w:rPr>
          <w:rFonts w:ascii="宋体" w:hAnsi="宋体" w:eastAsia="宋体"/>
          <w:color w:val="auto"/>
          <w:spacing w:val="-4"/>
          <w:highlight w:val="none"/>
        </w:rPr>
        <w:t>成员重新进行评审。</w:t>
      </w:r>
    </w:p>
    <w:p w14:paraId="23B36658">
      <w:pPr>
        <w:pStyle w:val="7"/>
        <w:rPr>
          <w:rFonts w:eastAsiaTheme="minorEastAsia"/>
          <w:color w:val="auto"/>
          <w:highlight w:val="none"/>
        </w:rPr>
      </w:pPr>
    </w:p>
    <w:p w14:paraId="305EA363">
      <w:pPr>
        <w:rPr>
          <w:rFonts w:ascii="Times New Roman" w:hAnsi="Times New Roman" w:eastAsia="Times New Roman"/>
          <w:color w:val="auto"/>
          <w:spacing w:val="6"/>
          <w:sz w:val="27"/>
          <w:szCs w:val="27"/>
          <w:highlight w:val="none"/>
        </w:rPr>
      </w:pPr>
      <w:bookmarkStart w:id="257" w:name="_Toc17027"/>
      <w:bookmarkStart w:id="258" w:name="_Toc27967"/>
      <w:bookmarkStart w:id="259" w:name="_Toc22628"/>
      <w:bookmarkStart w:id="260" w:name="_Toc8881"/>
      <w:bookmarkStart w:id="261" w:name="_Toc17421"/>
      <w:r>
        <w:rPr>
          <w:rFonts w:ascii="Times New Roman" w:hAnsi="Times New Roman" w:eastAsia="Times New Roman"/>
          <w:color w:val="auto"/>
          <w:spacing w:val="6"/>
          <w:sz w:val="27"/>
          <w:szCs w:val="27"/>
          <w:highlight w:val="none"/>
        </w:rPr>
        <w:t>6</w:t>
      </w:r>
      <w:r>
        <w:rPr>
          <w:rFonts w:ascii="Times New Roman" w:hAnsi="Times New Roman" w:eastAsia="Times New Roman"/>
          <w:color w:val="auto"/>
          <w:spacing w:val="5"/>
          <w:sz w:val="27"/>
          <w:szCs w:val="27"/>
          <w:highlight w:val="none"/>
        </w:rPr>
        <w:t xml:space="preserve">.2  </w:t>
      </w:r>
      <w:r>
        <w:rPr>
          <w:rFonts w:ascii="黑体" w:hAnsi="黑体" w:eastAsia="黑体"/>
          <w:color w:val="auto"/>
          <w:spacing w:val="5"/>
          <w:sz w:val="27"/>
          <w:szCs w:val="27"/>
          <w:highlight w:val="none"/>
        </w:rPr>
        <w:t>评标原则</w:t>
      </w:r>
      <w:bookmarkEnd w:id="257"/>
      <w:bookmarkEnd w:id="258"/>
      <w:bookmarkEnd w:id="259"/>
      <w:bookmarkEnd w:id="260"/>
      <w:bookmarkEnd w:id="261"/>
    </w:p>
    <w:p w14:paraId="3C6ABC77">
      <w:pPr>
        <w:spacing w:before="69" w:line="220" w:lineRule="auto"/>
        <w:ind w:left="420"/>
        <w:rPr>
          <w:rFonts w:ascii="宋体" w:hAnsi="宋体" w:eastAsia="宋体"/>
          <w:color w:val="auto"/>
          <w:spacing w:val="-1"/>
          <w:highlight w:val="none"/>
        </w:rPr>
      </w:pPr>
      <w:r>
        <w:rPr>
          <w:rFonts w:ascii="宋体" w:hAnsi="宋体" w:eastAsia="宋体"/>
          <w:color w:val="auto"/>
          <w:spacing w:val="-2"/>
          <w:highlight w:val="none"/>
        </w:rPr>
        <w:t>评标活动遵循公平、公正、科学和</w:t>
      </w:r>
      <w:r>
        <w:rPr>
          <w:rFonts w:ascii="宋体" w:hAnsi="宋体" w:eastAsia="宋体"/>
          <w:color w:val="auto"/>
          <w:spacing w:val="-1"/>
          <w:highlight w:val="none"/>
        </w:rPr>
        <w:t>择优的原则。</w:t>
      </w:r>
    </w:p>
    <w:p w14:paraId="1ADC9BD6">
      <w:pPr>
        <w:pStyle w:val="7"/>
        <w:rPr>
          <w:rFonts w:eastAsiaTheme="minorEastAsia"/>
          <w:color w:val="auto"/>
          <w:highlight w:val="none"/>
        </w:rPr>
      </w:pPr>
    </w:p>
    <w:p w14:paraId="5E78143F">
      <w:pPr>
        <w:pStyle w:val="56"/>
        <w:rPr>
          <w:color w:val="auto"/>
          <w:highlight w:val="none"/>
        </w:rPr>
      </w:pPr>
    </w:p>
    <w:p w14:paraId="418138DA">
      <w:pPr>
        <w:rPr>
          <w:rFonts w:ascii="Times New Roman" w:hAnsi="Times New Roman" w:eastAsia="Times New Roman"/>
          <w:color w:val="auto"/>
          <w:spacing w:val="6"/>
          <w:sz w:val="27"/>
          <w:szCs w:val="27"/>
          <w:highlight w:val="none"/>
        </w:rPr>
      </w:pPr>
      <w:bookmarkStart w:id="262" w:name="_Toc20620"/>
      <w:bookmarkStart w:id="263" w:name="_Toc21600"/>
      <w:bookmarkStart w:id="264" w:name="_Toc4719"/>
      <w:bookmarkStart w:id="265" w:name="_Toc19586"/>
      <w:bookmarkStart w:id="266" w:name="_Toc20235"/>
      <w:r>
        <w:rPr>
          <w:rFonts w:ascii="Times New Roman" w:hAnsi="Times New Roman" w:eastAsia="Times New Roman"/>
          <w:color w:val="auto"/>
          <w:spacing w:val="6"/>
          <w:sz w:val="27"/>
          <w:szCs w:val="27"/>
          <w:highlight w:val="none"/>
        </w:rPr>
        <w:t>6</w:t>
      </w:r>
      <w:r>
        <w:rPr>
          <w:rFonts w:ascii="Times New Roman" w:hAnsi="Times New Roman" w:eastAsia="Times New Roman"/>
          <w:color w:val="auto"/>
          <w:spacing w:val="3"/>
          <w:sz w:val="27"/>
          <w:szCs w:val="27"/>
          <w:highlight w:val="none"/>
        </w:rPr>
        <w:t xml:space="preserve">.3  </w:t>
      </w:r>
      <w:r>
        <w:rPr>
          <w:rFonts w:ascii="黑体" w:hAnsi="黑体" w:eastAsia="黑体"/>
          <w:color w:val="auto"/>
          <w:spacing w:val="3"/>
          <w:sz w:val="27"/>
          <w:szCs w:val="27"/>
          <w:highlight w:val="none"/>
        </w:rPr>
        <w:t>评标</w:t>
      </w:r>
      <w:bookmarkEnd w:id="262"/>
      <w:bookmarkEnd w:id="263"/>
      <w:bookmarkEnd w:id="264"/>
      <w:bookmarkEnd w:id="265"/>
      <w:bookmarkEnd w:id="266"/>
    </w:p>
    <w:p w14:paraId="6F3BC246">
      <w:pPr>
        <w:spacing w:before="68" w:line="352" w:lineRule="auto"/>
        <w:ind w:left="5" w:right="2" w:firstLine="417"/>
        <w:rPr>
          <w:rFonts w:ascii="Times New Roman" w:hAnsi="Times New Roman" w:eastAsia="Times New Roman"/>
          <w:color w:val="auto"/>
          <w:spacing w:val="-1"/>
          <w:highlight w:val="none"/>
        </w:rPr>
      </w:pPr>
      <w:r>
        <w:rPr>
          <w:rFonts w:ascii="Times New Roman" w:hAnsi="Times New Roman" w:eastAsia="Times New Roman"/>
          <w:color w:val="auto"/>
          <w:spacing w:val="-1"/>
          <w:highlight w:val="none"/>
        </w:rPr>
        <w:t xml:space="preserve">6.3.1 </w:t>
      </w:r>
      <w:r>
        <w:rPr>
          <w:rFonts w:ascii="宋体" w:hAnsi="宋体" w:eastAsia="宋体"/>
          <w:color w:val="auto"/>
          <w:spacing w:val="-1"/>
          <w:highlight w:val="none"/>
        </w:rPr>
        <w:t>评标</w:t>
      </w:r>
      <w:r>
        <w:rPr>
          <w:rFonts w:ascii="宋体" w:hAnsi="宋体" w:eastAsia="宋体"/>
          <w:color w:val="auto"/>
          <w:highlight w:val="none"/>
        </w:rPr>
        <w:t>委员会按照第三章</w:t>
      </w:r>
      <w:r>
        <w:rPr>
          <w:rFonts w:ascii="Times New Roman" w:hAnsi="Times New Roman" w:eastAsia="Times New Roman"/>
          <w:color w:val="auto"/>
          <w:highlight w:val="none"/>
        </w:rPr>
        <w:t>“</w:t>
      </w:r>
      <w:r>
        <w:rPr>
          <w:rFonts w:ascii="宋体" w:hAnsi="宋体" w:eastAsia="宋体"/>
          <w:color w:val="auto"/>
          <w:highlight w:val="none"/>
        </w:rPr>
        <w:t>评标办法</w:t>
      </w:r>
      <w:r>
        <w:rPr>
          <w:rFonts w:ascii="Times New Roman" w:hAnsi="Times New Roman" w:eastAsia="Times New Roman"/>
          <w:color w:val="auto"/>
          <w:highlight w:val="none"/>
        </w:rPr>
        <w:t>”</w:t>
      </w:r>
      <w:r>
        <w:rPr>
          <w:rFonts w:ascii="宋体" w:hAnsi="宋体" w:eastAsia="宋体"/>
          <w:color w:val="auto"/>
          <w:highlight w:val="none"/>
        </w:rPr>
        <w:t>规定的方法、评审因素、标准和程序对投标文件进</w:t>
      </w:r>
      <w:r>
        <w:rPr>
          <w:rFonts w:ascii="宋体" w:hAnsi="宋体" w:eastAsia="宋体"/>
          <w:color w:val="auto"/>
          <w:spacing w:val="-2"/>
          <w:highlight w:val="none"/>
        </w:rPr>
        <w:t>行评审。</w:t>
      </w:r>
      <w:r>
        <w:rPr>
          <w:rFonts w:ascii="宋体" w:hAnsi="宋体" w:eastAsia="宋体"/>
          <w:color w:val="auto"/>
          <w:spacing w:val="-1"/>
          <w:highlight w:val="none"/>
        </w:rPr>
        <w:t>第三章</w:t>
      </w:r>
      <w:r>
        <w:rPr>
          <w:rFonts w:ascii="Times New Roman" w:hAnsi="Times New Roman" w:eastAsia="Times New Roman"/>
          <w:color w:val="auto"/>
          <w:spacing w:val="-1"/>
          <w:highlight w:val="none"/>
        </w:rPr>
        <w:t>“</w:t>
      </w:r>
      <w:r>
        <w:rPr>
          <w:rFonts w:ascii="宋体" w:hAnsi="宋体" w:eastAsia="宋体"/>
          <w:color w:val="auto"/>
          <w:spacing w:val="-1"/>
          <w:highlight w:val="none"/>
        </w:rPr>
        <w:t>评标办法</w:t>
      </w:r>
      <w:r>
        <w:rPr>
          <w:rFonts w:ascii="Times New Roman" w:hAnsi="Times New Roman" w:eastAsia="Times New Roman"/>
          <w:color w:val="auto"/>
          <w:spacing w:val="-1"/>
          <w:highlight w:val="none"/>
        </w:rPr>
        <w:t>”</w:t>
      </w:r>
      <w:r>
        <w:rPr>
          <w:rFonts w:ascii="宋体" w:hAnsi="宋体" w:eastAsia="宋体"/>
          <w:color w:val="auto"/>
          <w:spacing w:val="-1"/>
          <w:highlight w:val="none"/>
        </w:rPr>
        <w:t>没有规定的方法、评审因素和标准，不作为评标依据。</w:t>
      </w:r>
    </w:p>
    <w:p w14:paraId="0D73907C">
      <w:pPr>
        <w:spacing w:before="1" w:line="358" w:lineRule="auto"/>
        <w:ind w:left="9" w:firstLine="412"/>
        <w:rPr>
          <w:rFonts w:ascii="Times New Roman" w:hAnsi="Times New Roman" w:eastAsia="Times New Roman"/>
          <w:color w:val="auto"/>
          <w:spacing w:val="-6"/>
          <w:highlight w:val="none"/>
        </w:rPr>
      </w:pPr>
      <w:r>
        <w:rPr>
          <w:rFonts w:ascii="Times New Roman" w:hAnsi="Times New Roman" w:eastAsia="Times New Roman"/>
          <w:color w:val="auto"/>
          <w:spacing w:val="-6"/>
          <w:highlight w:val="none"/>
        </w:rPr>
        <w:t>6</w:t>
      </w:r>
      <w:r>
        <w:rPr>
          <w:rFonts w:ascii="Times New Roman" w:hAnsi="Times New Roman" w:eastAsia="Times New Roman"/>
          <w:color w:val="auto"/>
          <w:spacing w:val="-3"/>
          <w:highlight w:val="none"/>
        </w:rPr>
        <w:t xml:space="preserve">.3.2 </w:t>
      </w:r>
      <w:r>
        <w:rPr>
          <w:rFonts w:ascii="宋体" w:hAnsi="宋体" w:eastAsia="宋体"/>
          <w:color w:val="auto"/>
          <w:spacing w:val="-3"/>
          <w:highlight w:val="none"/>
        </w:rPr>
        <w:t>评标完成后，评标委员会应当向招标人提交书面评标报告和中标候选人名单。评标委</w:t>
      </w:r>
      <w:r>
        <w:rPr>
          <w:rFonts w:ascii="宋体" w:hAnsi="宋体" w:eastAsia="宋体"/>
          <w:color w:val="auto"/>
          <w:spacing w:val="-2"/>
          <w:highlight w:val="none"/>
        </w:rPr>
        <w:t>员会推荐中标候选人的人数见投标人须知前附表。</w:t>
      </w:r>
    </w:p>
    <w:p w14:paraId="29E8C409">
      <w:pPr>
        <w:pStyle w:val="25"/>
        <w:spacing w:before="120" w:after="120"/>
        <w:outlineLvl w:val="9"/>
        <w:rPr>
          <w:rFonts w:ascii="Times New Roman" w:hAnsi="Times New Roman" w:eastAsia="Times New Roman"/>
          <w:bCs/>
          <w:color w:val="auto"/>
          <w:spacing w:val="10"/>
          <w:sz w:val="31"/>
          <w:szCs w:val="31"/>
          <w:highlight w:val="none"/>
        </w:rPr>
      </w:pPr>
      <w:bookmarkStart w:id="267" w:name="_Toc28945"/>
      <w:bookmarkStart w:id="268" w:name="_Toc6785"/>
      <w:bookmarkStart w:id="269" w:name="_Toc24097"/>
      <w:bookmarkStart w:id="270" w:name="_Toc19815"/>
      <w:bookmarkStart w:id="271" w:name="_Toc8464"/>
      <w:r>
        <w:rPr>
          <w:rFonts w:ascii="Times New Roman" w:hAnsi="Times New Roman" w:eastAsia="Times New Roman"/>
          <w:bCs/>
          <w:color w:val="auto"/>
          <w:spacing w:val="10"/>
          <w:sz w:val="31"/>
          <w:szCs w:val="31"/>
          <w:highlight w:val="none"/>
        </w:rPr>
        <w:t>7</w:t>
      </w:r>
      <w:r>
        <w:rPr>
          <w:rFonts w:ascii="Times New Roman" w:hAnsi="Times New Roman" w:eastAsia="Times New Roman"/>
          <w:bCs/>
          <w:color w:val="auto"/>
          <w:spacing w:val="6"/>
          <w:sz w:val="31"/>
          <w:szCs w:val="31"/>
          <w:highlight w:val="none"/>
        </w:rPr>
        <w:t>.</w:t>
      </w:r>
      <w:r>
        <w:rPr>
          <w:rFonts w:ascii="Times New Roman" w:hAnsi="Times New Roman" w:eastAsia="Times New Roman"/>
          <w:color w:val="auto"/>
          <w:spacing w:val="5"/>
          <w:sz w:val="31"/>
          <w:szCs w:val="31"/>
          <w:highlight w:val="none"/>
        </w:rPr>
        <w:t xml:space="preserve">  </w:t>
      </w:r>
      <w:r>
        <w:rPr>
          <w:rFonts w:ascii="黑体" w:hAnsi="黑体" w:eastAsia="黑体"/>
          <w:color w:val="auto"/>
          <w:spacing w:val="5"/>
          <w:sz w:val="31"/>
          <w:szCs w:val="31"/>
          <w:highlight w:val="none"/>
        </w:rPr>
        <w:t>合同授予</w:t>
      </w:r>
      <w:bookmarkEnd w:id="267"/>
      <w:bookmarkEnd w:id="268"/>
      <w:bookmarkEnd w:id="269"/>
      <w:bookmarkEnd w:id="270"/>
      <w:bookmarkEnd w:id="271"/>
    </w:p>
    <w:p w14:paraId="2FD0237A">
      <w:pPr>
        <w:rPr>
          <w:rFonts w:ascii="Times New Roman" w:hAnsi="Times New Roman" w:eastAsia="Times New Roman"/>
          <w:color w:val="auto"/>
          <w:spacing w:val="12"/>
          <w:sz w:val="27"/>
          <w:szCs w:val="27"/>
          <w:highlight w:val="none"/>
        </w:rPr>
      </w:pPr>
      <w:bookmarkStart w:id="272" w:name="_Toc10561"/>
      <w:bookmarkStart w:id="273" w:name="_Toc15711"/>
      <w:bookmarkStart w:id="274" w:name="_Toc30868"/>
      <w:bookmarkStart w:id="275" w:name="_Toc26925"/>
      <w:bookmarkStart w:id="276" w:name="_Toc27973"/>
      <w:r>
        <w:rPr>
          <w:rFonts w:ascii="Times New Roman" w:hAnsi="Times New Roman" w:eastAsia="Times New Roman"/>
          <w:color w:val="auto"/>
          <w:spacing w:val="12"/>
          <w:sz w:val="27"/>
          <w:szCs w:val="27"/>
          <w:highlight w:val="none"/>
        </w:rPr>
        <w:t>7</w:t>
      </w:r>
      <w:r>
        <w:rPr>
          <w:rFonts w:ascii="Times New Roman" w:hAnsi="Times New Roman" w:eastAsia="Times New Roman"/>
          <w:color w:val="auto"/>
          <w:spacing w:val="6"/>
          <w:sz w:val="27"/>
          <w:szCs w:val="27"/>
          <w:highlight w:val="none"/>
        </w:rPr>
        <w:t xml:space="preserve">.1  </w:t>
      </w:r>
      <w:r>
        <w:rPr>
          <w:rFonts w:ascii="黑体" w:hAnsi="黑体" w:eastAsia="黑体"/>
          <w:color w:val="auto"/>
          <w:spacing w:val="6"/>
          <w:sz w:val="27"/>
          <w:szCs w:val="27"/>
          <w:highlight w:val="none"/>
        </w:rPr>
        <w:t>中标候选人公示</w:t>
      </w:r>
      <w:bookmarkEnd w:id="272"/>
      <w:bookmarkEnd w:id="273"/>
      <w:bookmarkEnd w:id="274"/>
      <w:bookmarkEnd w:id="275"/>
      <w:bookmarkEnd w:id="276"/>
    </w:p>
    <w:p w14:paraId="71D3865C">
      <w:pPr>
        <w:spacing w:before="69" w:line="360" w:lineRule="auto"/>
        <w:ind w:left="21" w:right="4" w:firstLine="401"/>
        <w:rPr>
          <w:rFonts w:ascii="Times New Roman" w:hAnsi="Times New Roman" w:eastAsia="宋体"/>
          <w:color w:val="auto"/>
          <w:spacing w:val="-1"/>
          <w:highlight w:val="none"/>
        </w:rPr>
      </w:pPr>
      <w:r>
        <w:rPr>
          <w:rFonts w:hint="eastAsia" w:ascii="Times New Roman" w:hAnsi="Times New Roman" w:eastAsia="宋体"/>
          <w:color w:val="auto"/>
          <w:spacing w:val="-1"/>
          <w:highlight w:val="none"/>
        </w:rPr>
        <w:t>7.1</w:t>
      </w:r>
      <w:r>
        <w:rPr>
          <w:rFonts w:ascii="Times New Roman" w:hAnsi="Times New Roman" w:eastAsia="Times New Roman"/>
          <w:color w:val="auto"/>
          <w:spacing w:val="-1"/>
          <w:highlight w:val="none"/>
        </w:rPr>
        <w:t>.1</w:t>
      </w:r>
      <w:r>
        <w:rPr>
          <w:rFonts w:hint="eastAsia" w:ascii="Times New Roman" w:hAnsi="Times New Roman" w:eastAsia="宋体"/>
          <w:color w:val="auto"/>
          <w:spacing w:val="-1"/>
          <w:highlight w:val="none"/>
        </w:rPr>
        <w:t xml:space="preserve">  </w:t>
      </w:r>
      <w:r>
        <w:rPr>
          <w:rFonts w:ascii="宋体" w:hAnsi="宋体" w:eastAsia="宋体"/>
          <w:color w:val="auto"/>
          <w:spacing w:val="-1"/>
          <w:highlight w:val="none"/>
        </w:rPr>
        <w:t xml:space="preserve">招标人在收到评标报告之日起 </w:t>
      </w:r>
      <w:r>
        <w:rPr>
          <w:rFonts w:ascii="Times New Roman" w:hAnsi="Times New Roman" w:eastAsia="Times New Roman"/>
          <w:color w:val="auto"/>
          <w:spacing w:val="-1"/>
          <w:highlight w:val="none"/>
        </w:rPr>
        <w:t xml:space="preserve">3 </w:t>
      </w:r>
      <w:r>
        <w:rPr>
          <w:rFonts w:ascii="宋体" w:hAnsi="宋体" w:eastAsia="宋体"/>
          <w:color w:val="auto"/>
          <w:spacing w:val="-1"/>
          <w:highlight w:val="none"/>
        </w:rPr>
        <w:t>日内，按照投标人须知前附表规定的公示</w:t>
      </w:r>
      <w:r>
        <w:rPr>
          <w:rFonts w:ascii="宋体" w:hAnsi="宋体" w:eastAsia="宋体"/>
          <w:color w:val="auto"/>
          <w:highlight w:val="none"/>
        </w:rPr>
        <w:t>媒介和期限公示</w:t>
      </w:r>
      <w:r>
        <w:rPr>
          <w:rFonts w:ascii="宋体" w:hAnsi="宋体" w:eastAsia="宋体"/>
          <w:color w:val="auto"/>
          <w:spacing w:val="-5"/>
          <w:highlight w:val="none"/>
        </w:rPr>
        <w:t>中标候选人，公示期不得少于 3 天</w:t>
      </w:r>
      <w:r>
        <w:rPr>
          <w:rFonts w:hint="eastAsia" w:ascii="宋体" w:hAnsi="宋体" w:eastAsia="宋体"/>
          <w:color w:val="auto"/>
          <w:spacing w:val="-5"/>
          <w:highlight w:val="none"/>
        </w:rPr>
        <w:t>，最后一天应为工作日</w:t>
      </w:r>
      <w:r>
        <w:rPr>
          <w:rFonts w:ascii="宋体" w:hAnsi="宋体" w:eastAsia="宋体"/>
          <w:color w:val="auto"/>
          <w:spacing w:val="-5"/>
          <w:highlight w:val="none"/>
        </w:rPr>
        <w:t>。</w:t>
      </w:r>
    </w:p>
    <w:p w14:paraId="752E5249">
      <w:pPr>
        <w:spacing w:before="69" w:line="360" w:lineRule="auto"/>
        <w:ind w:left="21" w:right="4" w:firstLine="401"/>
        <w:rPr>
          <w:rFonts w:ascii="宋体" w:hAnsi="宋体" w:eastAsia="宋体"/>
          <w:color w:val="auto"/>
          <w:spacing w:val="-1"/>
          <w:highlight w:val="none"/>
        </w:rPr>
      </w:pPr>
      <w:r>
        <w:rPr>
          <w:rFonts w:hint="eastAsia" w:ascii="Times New Roman" w:hAnsi="Times New Roman" w:eastAsia="宋体"/>
          <w:color w:val="auto"/>
          <w:spacing w:val="-1"/>
          <w:highlight w:val="none"/>
        </w:rPr>
        <w:t>7.1</w:t>
      </w:r>
      <w:r>
        <w:rPr>
          <w:rFonts w:ascii="Times New Roman" w:hAnsi="Times New Roman" w:eastAsia="Times New Roman"/>
          <w:color w:val="auto"/>
          <w:spacing w:val="-1"/>
          <w:highlight w:val="none"/>
        </w:rPr>
        <w:t>.</w:t>
      </w:r>
      <w:r>
        <w:rPr>
          <w:rFonts w:hint="eastAsia" w:ascii="Times New Roman" w:hAnsi="Times New Roman" w:eastAsia="宋体"/>
          <w:color w:val="auto"/>
          <w:spacing w:val="-1"/>
          <w:highlight w:val="none"/>
        </w:rPr>
        <w:t xml:space="preserve">2  </w:t>
      </w:r>
      <w:r>
        <w:rPr>
          <w:rFonts w:hint="eastAsia" w:ascii="宋体" w:hAnsi="宋体" w:eastAsia="宋体"/>
          <w:color w:val="auto"/>
          <w:spacing w:val="-1"/>
          <w:highlight w:val="none"/>
        </w:rPr>
        <w:t>在产生中标候选人后，招标人将中标候选人的投标文件商务部分（包括报价清单、人员、业绩、奖项等资料）在广州交易集团有限公司（广州公共资源交易中心）网站和广东省招标投标监管网公开。</w:t>
      </w:r>
    </w:p>
    <w:p w14:paraId="2811A3E0">
      <w:pPr>
        <w:pStyle w:val="7"/>
        <w:rPr>
          <w:rFonts w:eastAsiaTheme="minorEastAsia"/>
          <w:color w:val="auto"/>
          <w:highlight w:val="none"/>
        </w:rPr>
      </w:pPr>
    </w:p>
    <w:p w14:paraId="7E0809AA">
      <w:pPr>
        <w:rPr>
          <w:rFonts w:ascii="Times New Roman" w:hAnsi="Times New Roman" w:eastAsia="Times New Roman"/>
          <w:color w:val="auto"/>
          <w:spacing w:val="8"/>
          <w:sz w:val="27"/>
          <w:szCs w:val="27"/>
          <w:highlight w:val="none"/>
        </w:rPr>
      </w:pPr>
      <w:bookmarkStart w:id="277" w:name="_Toc15182"/>
      <w:bookmarkStart w:id="278" w:name="_Toc31424"/>
      <w:bookmarkStart w:id="279" w:name="_Toc2660"/>
      <w:bookmarkStart w:id="280" w:name="_Toc8357"/>
      <w:bookmarkStart w:id="281" w:name="_Toc12474"/>
      <w:r>
        <w:rPr>
          <w:rFonts w:ascii="Times New Roman" w:hAnsi="Times New Roman" w:eastAsia="Times New Roman"/>
          <w:color w:val="auto"/>
          <w:spacing w:val="8"/>
          <w:sz w:val="27"/>
          <w:szCs w:val="27"/>
          <w:highlight w:val="none"/>
        </w:rPr>
        <w:t>7</w:t>
      </w:r>
      <w:r>
        <w:rPr>
          <w:rFonts w:ascii="Times New Roman" w:hAnsi="Times New Roman" w:eastAsia="Times New Roman"/>
          <w:color w:val="auto"/>
          <w:spacing w:val="6"/>
          <w:sz w:val="27"/>
          <w:szCs w:val="27"/>
          <w:highlight w:val="none"/>
        </w:rPr>
        <w:t xml:space="preserve">.2  </w:t>
      </w:r>
      <w:r>
        <w:rPr>
          <w:rFonts w:ascii="黑体" w:hAnsi="黑体" w:eastAsia="黑体"/>
          <w:color w:val="auto"/>
          <w:spacing w:val="6"/>
          <w:sz w:val="27"/>
          <w:szCs w:val="27"/>
          <w:highlight w:val="none"/>
        </w:rPr>
        <w:t>评标结果异议</w:t>
      </w:r>
      <w:bookmarkEnd w:id="277"/>
      <w:bookmarkEnd w:id="278"/>
      <w:bookmarkEnd w:id="279"/>
      <w:bookmarkEnd w:id="280"/>
      <w:bookmarkEnd w:id="281"/>
    </w:p>
    <w:p w14:paraId="344CC41C">
      <w:pPr>
        <w:spacing w:before="69" w:line="360" w:lineRule="auto"/>
        <w:ind w:left="3" w:right="8" w:firstLine="420"/>
        <w:rPr>
          <w:rFonts w:ascii="宋体" w:hAnsi="宋体" w:eastAsia="宋体"/>
          <w:color w:val="auto"/>
          <w:spacing w:val="1"/>
          <w:highlight w:val="none"/>
        </w:rPr>
      </w:pPr>
      <w:r>
        <w:rPr>
          <w:rFonts w:ascii="宋体" w:hAnsi="宋体" w:eastAsia="宋体"/>
          <w:color w:val="auto"/>
          <w:spacing w:val="1"/>
          <w:highlight w:val="none"/>
        </w:rPr>
        <w:t>投标人或者其他利害关系人对</w:t>
      </w:r>
      <w:r>
        <w:rPr>
          <w:rFonts w:ascii="宋体" w:hAnsi="宋体" w:eastAsia="宋体"/>
          <w:color w:val="auto"/>
          <w:highlight w:val="none"/>
        </w:rPr>
        <w:t>评标结果有异议的，应当在中标候选人公示期间提出。招标</w:t>
      </w:r>
      <w:r>
        <w:rPr>
          <w:rFonts w:ascii="宋体" w:hAnsi="宋体" w:eastAsia="宋体"/>
          <w:color w:val="auto"/>
          <w:spacing w:val="-4"/>
          <w:highlight w:val="none"/>
        </w:rPr>
        <w:t>人将在收到异议之</w:t>
      </w:r>
      <w:r>
        <w:rPr>
          <w:rFonts w:ascii="宋体" w:hAnsi="宋体" w:eastAsia="宋体"/>
          <w:color w:val="auto"/>
          <w:spacing w:val="-3"/>
          <w:highlight w:val="none"/>
        </w:rPr>
        <w:t>日</w:t>
      </w:r>
      <w:r>
        <w:rPr>
          <w:rFonts w:ascii="宋体" w:hAnsi="宋体" w:eastAsia="宋体"/>
          <w:color w:val="auto"/>
          <w:spacing w:val="-2"/>
          <w:highlight w:val="none"/>
        </w:rPr>
        <w:t xml:space="preserve">起 </w:t>
      </w:r>
      <w:r>
        <w:rPr>
          <w:rFonts w:ascii="Times New Roman" w:hAnsi="Times New Roman" w:eastAsia="Times New Roman"/>
          <w:color w:val="auto"/>
          <w:spacing w:val="-2"/>
          <w:highlight w:val="none"/>
        </w:rPr>
        <w:t xml:space="preserve">3 </w:t>
      </w:r>
      <w:r>
        <w:rPr>
          <w:rFonts w:ascii="宋体" w:hAnsi="宋体" w:eastAsia="宋体"/>
          <w:color w:val="auto"/>
          <w:spacing w:val="-2"/>
          <w:highlight w:val="none"/>
        </w:rPr>
        <w:t>日内作出答复；作出答复前，将暂停招标投标活动。</w:t>
      </w:r>
    </w:p>
    <w:p w14:paraId="7C1ABE8D">
      <w:pPr>
        <w:rPr>
          <w:rFonts w:ascii="Times New Roman" w:hAnsi="Times New Roman" w:eastAsiaTheme="minorEastAsia"/>
          <w:color w:val="auto"/>
          <w:spacing w:val="14"/>
          <w:sz w:val="27"/>
          <w:szCs w:val="27"/>
          <w:highlight w:val="none"/>
        </w:rPr>
      </w:pPr>
      <w:bookmarkStart w:id="282" w:name="_Toc24899"/>
      <w:bookmarkStart w:id="283" w:name="_Toc11042"/>
      <w:bookmarkStart w:id="284" w:name="_Toc7359"/>
      <w:bookmarkStart w:id="285" w:name="_Toc31709"/>
      <w:bookmarkStart w:id="286" w:name="_Toc1302"/>
    </w:p>
    <w:p w14:paraId="6FA349C0">
      <w:pPr>
        <w:rPr>
          <w:rFonts w:ascii="Times New Roman" w:hAnsi="Times New Roman" w:eastAsia="Times New Roman"/>
          <w:color w:val="auto"/>
          <w:spacing w:val="14"/>
          <w:sz w:val="27"/>
          <w:szCs w:val="27"/>
          <w:highlight w:val="none"/>
        </w:rPr>
      </w:pPr>
      <w:r>
        <w:rPr>
          <w:rFonts w:ascii="Times New Roman" w:hAnsi="Times New Roman" w:eastAsia="Times New Roman"/>
          <w:color w:val="auto"/>
          <w:spacing w:val="14"/>
          <w:sz w:val="27"/>
          <w:szCs w:val="27"/>
          <w:highlight w:val="none"/>
        </w:rPr>
        <w:t>7</w:t>
      </w:r>
      <w:r>
        <w:rPr>
          <w:rFonts w:ascii="Times New Roman" w:hAnsi="Times New Roman" w:eastAsia="Times New Roman"/>
          <w:color w:val="auto"/>
          <w:spacing w:val="8"/>
          <w:sz w:val="27"/>
          <w:szCs w:val="27"/>
          <w:highlight w:val="none"/>
        </w:rPr>
        <w:t>.</w:t>
      </w:r>
      <w:r>
        <w:rPr>
          <w:rFonts w:ascii="Times New Roman" w:hAnsi="Times New Roman" w:eastAsia="Times New Roman"/>
          <w:color w:val="auto"/>
          <w:spacing w:val="7"/>
          <w:sz w:val="27"/>
          <w:szCs w:val="27"/>
          <w:highlight w:val="none"/>
        </w:rPr>
        <w:t xml:space="preserve">3  </w:t>
      </w:r>
      <w:r>
        <w:rPr>
          <w:rFonts w:ascii="黑体" w:hAnsi="黑体" w:eastAsia="黑体"/>
          <w:color w:val="auto"/>
          <w:spacing w:val="7"/>
          <w:sz w:val="27"/>
          <w:szCs w:val="27"/>
          <w:highlight w:val="none"/>
        </w:rPr>
        <w:t>中标候选人履约能力审查</w:t>
      </w:r>
      <w:bookmarkEnd w:id="282"/>
      <w:bookmarkEnd w:id="283"/>
      <w:bookmarkEnd w:id="284"/>
      <w:bookmarkEnd w:id="285"/>
      <w:bookmarkEnd w:id="286"/>
    </w:p>
    <w:p w14:paraId="365D62BC">
      <w:pPr>
        <w:spacing w:before="68" w:line="358" w:lineRule="auto"/>
        <w:ind w:left="1" w:right="7" w:firstLine="439"/>
        <w:rPr>
          <w:rFonts w:ascii="宋体" w:hAnsi="宋体" w:eastAsia="宋体"/>
          <w:color w:val="auto"/>
          <w:spacing w:val="-9"/>
          <w:highlight w:val="none"/>
        </w:rPr>
      </w:pPr>
      <w:r>
        <w:rPr>
          <w:rFonts w:ascii="宋体" w:hAnsi="宋体" w:eastAsia="宋体"/>
          <w:color w:val="auto"/>
          <w:spacing w:val="-4"/>
          <w:highlight w:val="none"/>
        </w:rPr>
        <w:t>中标候选人的经营、财务状况发</w:t>
      </w:r>
      <w:r>
        <w:rPr>
          <w:rFonts w:ascii="宋体" w:hAnsi="宋体" w:eastAsia="宋体"/>
          <w:color w:val="auto"/>
          <w:spacing w:val="-3"/>
          <w:highlight w:val="none"/>
        </w:rPr>
        <w:t>生</w:t>
      </w:r>
      <w:r>
        <w:rPr>
          <w:rFonts w:ascii="宋体" w:hAnsi="宋体" w:eastAsia="宋体"/>
          <w:color w:val="auto"/>
          <w:spacing w:val="-2"/>
          <w:highlight w:val="none"/>
        </w:rPr>
        <w:t>较大变化或存在违法行为， 招标人认为可能影响其履约</w:t>
      </w:r>
      <w:r>
        <w:rPr>
          <w:rFonts w:ascii="宋体" w:hAnsi="宋体" w:eastAsia="宋体"/>
          <w:color w:val="auto"/>
          <w:spacing w:val="-4"/>
          <w:highlight w:val="none"/>
        </w:rPr>
        <w:t>能力</w:t>
      </w:r>
      <w:r>
        <w:rPr>
          <w:rFonts w:ascii="宋体" w:hAnsi="宋体" w:eastAsia="宋体"/>
          <w:color w:val="auto"/>
          <w:spacing w:val="-3"/>
          <w:highlight w:val="none"/>
        </w:rPr>
        <w:t>的</w:t>
      </w:r>
      <w:r>
        <w:rPr>
          <w:rFonts w:ascii="宋体" w:hAnsi="宋体" w:eastAsia="宋体"/>
          <w:color w:val="auto"/>
          <w:spacing w:val="-2"/>
          <w:highlight w:val="none"/>
        </w:rPr>
        <w:t>， 将在发出中标通知书前提请原评标委员会按照招标文件规定的标准和方法进行审查确</w:t>
      </w:r>
      <w:r>
        <w:rPr>
          <w:rFonts w:ascii="宋体" w:hAnsi="宋体" w:eastAsia="宋体"/>
          <w:color w:val="auto"/>
          <w:spacing w:val="-10"/>
          <w:highlight w:val="none"/>
        </w:rPr>
        <w:t>认</w:t>
      </w:r>
      <w:r>
        <w:rPr>
          <w:rFonts w:ascii="宋体" w:hAnsi="宋体" w:eastAsia="宋体"/>
          <w:color w:val="auto"/>
          <w:spacing w:val="-9"/>
          <w:highlight w:val="none"/>
        </w:rPr>
        <w:t>。</w:t>
      </w:r>
    </w:p>
    <w:p w14:paraId="73A6CFD6">
      <w:pPr>
        <w:pStyle w:val="7"/>
        <w:rPr>
          <w:rFonts w:eastAsiaTheme="minorEastAsia"/>
          <w:color w:val="auto"/>
          <w:highlight w:val="none"/>
        </w:rPr>
      </w:pPr>
    </w:p>
    <w:p w14:paraId="50A4FBB1">
      <w:pPr>
        <w:rPr>
          <w:rFonts w:ascii="Times New Roman" w:hAnsi="Times New Roman" w:eastAsia="Times New Roman"/>
          <w:color w:val="auto"/>
          <w:spacing w:val="6"/>
          <w:sz w:val="27"/>
          <w:szCs w:val="27"/>
          <w:highlight w:val="none"/>
        </w:rPr>
      </w:pPr>
      <w:bookmarkStart w:id="287" w:name="_Toc1563"/>
      <w:bookmarkStart w:id="288" w:name="_Toc26287"/>
      <w:bookmarkStart w:id="289" w:name="_Toc4372"/>
      <w:bookmarkStart w:id="290" w:name="_Toc24845"/>
      <w:bookmarkStart w:id="291" w:name="_Toc7161"/>
      <w:r>
        <w:rPr>
          <w:rFonts w:ascii="Times New Roman" w:hAnsi="Times New Roman" w:eastAsia="Times New Roman"/>
          <w:color w:val="auto"/>
          <w:spacing w:val="6"/>
          <w:sz w:val="27"/>
          <w:szCs w:val="27"/>
          <w:highlight w:val="none"/>
        </w:rPr>
        <w:t>7</w:t>
      </w:r>
      <w:r>
        <w:rPr>
          <w:rFonts w:ascii="Times New Roman" w:hAnsi="Times New Roman" w:eastAsia="Times New Roman"/>
          <w:color w:val="auto"/>
          <w:spacing w:val="5"/>
          <w:sz w:val="27"/>
          <w:szCs w:val="27"/>
          <w:highlight w:val="none"/>
        </w:rPr>
        <w:t>.</w:t>
      </w:r>
      <w:r>
        <w:rPr>
          <w:rFonts w:ascii="Times New Roman" w:hAnsi="Times New Roman" w:eastAsia="Times New Roman"/>
          <w:color w:val="auto"/>
          <w:spacing w:val="3"/>
          <w:sz w:val="27"/>
          <w:szCs w:val="27"/>
          <w:highlight w:val="none"/>
        </w:rPr>
        <w:t xml:space="preserve">4  </w:t>
      </w:r>
      <w:r>
        <w:rPr>
          <w:rFonts w:ascii="黑体" w:hAnsi="黑体" w:eastAsia="黑体"/>
          <w:color w:val="auto"/>
          <w:spacing w:val="3"/>
          <w:sz w:val="27"/>
          <w:szCs w:val="27"/>
          <w:highlight w:val="none"/>
        </w:rPr>
        <w:t>定标</w:t>
      </w:r>
      <w:bookmarkEnd w:id="287"/>
      <w:bookmarkEnd w:id="288"/>
      <w:bookmarkEnd w:id="289"/>
      <w:bookmarkEnd w:id="290"/>
      <w:bookmarkEnd w:id="291"/>
    </w:p>
    <w:p w14:paraId="2C6E8AA7">
      <w:pPr>
        <w:spacing w:before="69" w:line="217" w:lineRule="auto"/>
        <w:ind w:left="423"/>
        <w:rPr>
          <w:rFonts w:ascii="宋体" w:hAnsi="宋体" w:eastAsia="宋体"/>
          <w:color w:val="auto"/>
          <w:spacing w:val="-2"/>
          <w:highlight w:val="none"/>
        </w:rPr>
      </w:pPr>
      <w:r>
        <w:rPr>
          <w:rFonts w:ascii="宋体" w:hAnsi="宋体" w:eastAsia="宋体"/>
          <w:color w:val="auto"/>
          <w:spacing w:val="-2"/>
          <w:highlight w:val="none"/>
        </w:rPr>
        <w:t>按照</w:t>
      </w:r>
      <w:r>
        <w:rPr>
          <w:rFonts w:ascii="宋体" w:hAnsi="宋体" w:eastAsia="宋体"/>
          <w:color w:val="auto"/>
          <w:spacing w:val="-1"/>
          <w:highlight w:val="none"/>
        </w:rPr>
        <w:t>投标人须知前附表的规定，招标人或招标人授权的评标委员会依法确定中标人。</w:t>
      </w:r>
    </w:p>
    <w:p w14:paraId="4E637E31">
      <w:pPr>
        <w:rPr>
          <w:rFonts w:ascii="Times New Roman" w:hAnsi="Times New Roman" w:eastAsia="Times New Roman"/>
          <w:color w:val="auto"/>
          <w:spacing w:val="8"/>
          <w:sz w:val="27"/>
          <w:szCs w:val="27"/>
          <w:highlight w:val="none"/>
        </w:rPr>
      </w:pPr>
      <w:bookmarkStart w:id="292" w:name="_Toc31531"/>
      <w:bookmarkStart w:id="293" w:name="_Toc3434"/>
      <w:bookmarkStart w:id="294" w:name="_Toc24854"/>
      <w:bookmarkStart w:id="295" w:name="_Toc6214"/>
      <w:bookmarkStart w:id="296" w:name="_Toc6635"/>
      <w:r>
        <w:rPr>
          <w:rFonts w:ascii="Times New Roman" w:hAnsi="Times New Roman" w:eastAsia="Times New Roman"/>
          <w:color w:val="auto"/>
          <w:spacing w:val="8"/>
          <w:sz w:val="27"/>
          <w:szCs w:val="27"/>
          <w:highlight w:val="none"/>
        </w:rPr>
        <w:t>7</w:t>
      </w:r>
      <w:r>
        <w:rPr>
          <w:rFonts w:ascii="Times New Roman" w:hAnsi="Times New Roman" w:eastAsia="Times New Roman"/>
          <w:color w:val="auto"/>
          <w:spacing w:val="5"/>
          <w:sz w:val="27"/>
          <w:szCs w:val="27"/>
          <w:highlight w:val="none"/>
        </w:rPr>
        <w:t xml:space="preserve">.5  </w:t>
      </w:r>
      <w:r>
        <w:rPr>
          <w:rFonts w:ascii="黑体" w:hAnsi="黑体" w:eastAsia="黑体"/>
          <w:color w:val="auto"/>
          <w:spacing w:val="5"/>
          <w:sz w:val="27"/>
          <w:szCs w:val="27"/>
          <w:highlight w:val="none"/>
        </w:rPr>
        <w:t>中标通知</w:t>
      </w:r>
      <w:bookmarkEnd w:id="292"/>
      <w:bookmarkEnd w:id="293"/>
      <w:bookmarkEnd w:id="294"/>
      <w:bookmarkEnd w:id="295"/>
      <w:bookmarkEnd w:id="296"/>
    </w:p>
    <w:p w14:paraId="270D084B">
      <w:pPr>
        <w:spacing w:before="69" w:line="360" w:lineRule="auto"/>
        <w:ind w:left="21" w:right="4" w:firstLine="401"/>
        <w:rPr>
          <w:rFonts w:ascii="Times New Roman" w:hAnsi="Times New Roman" w:eastAsia="宋体"/>
          <w:color w:val="auto"/>
          <w:spacing w:val="-1"/>
          <w:highlight w:val="none"/>
        </w:rPr>
      </w:pPr>
      <w:r>
        <w:rPr>
          <w:rFonts w:hint="eastAsia" w:ascii="Times New Roman" w:hAnsi="Times New Roman" w:eastAsia="宋体"/>
          <w:color w:val="auto"/>
          <w:spacing w:val="-1"/>
          <w:highlight w:val="none"/>
        </w:rPr>
        <w:t>7.5.1  在法规规定的时间内，招标人以书面形式向中标人发出中标通知书。在广州交易集团有限公司（广州公共资源交易中心）网和广东省招标投标监管网发布中标信息，视同将中标结果通知未中标的投标人。</w:t>
      </w:r>
    </w:p>
    <w:p w14:paraId="42B0A86C">
      <w:pPr>
        <w:spacing w:before="69" w:line="360" w:lineRule="auto"/>
        <w:ind w:left="21" w:right="4" w:firstLine="401"/>
        <w:rPr>
          <w:rFonts w:ascii="Times New Roman" w:hAnsi="Times New Roman" w:eastAsia="宋体"/>
          <w:color w:val="auto"/>
          <w:spacing w:val="-1"/>
          <w:highlight w:val="none"/>
        </w:rPr>
      </w:pPr>
      <w:r>
        <w:rPr>
          <w:rFonts w:hint="eastAsia" w:ascii="Times New Roman" w:hAnsi="Times New Roman" w:eastAsia="宋体"/>
          <w:color w:val="auto"/>
          <w:spacing w:val="-1"/>
          <w:highlight w:val="none"/>
        </w:rPr>
        <w:t>7.5.2  中标通知书发出前，中标人应未被纳入失信联合惩戒名单，否则招标人将取消其中标资格。失信联合惩戒名单以“信用广州”网站公布的“黑名单”为准。</w:t>
      </w:r>
    </w:p>
    <w:p w14:paraId="411BF4A7">
      <w:pPr>
        <w:spacing w:before="69" w:line="360" w:lineRule="auto"/>
        <w:ind w:right="14" w:firstLine="420"/>
        <w:rPr>
          <w:rFonts w:ascii="宋体" w:hAnsi="宋体" w:eastAsia="宋体"/>
          <w:color w:val="auto"/>
          <w:highlight w:val="none"/>
        </w:rPr>
      </w:pPr>
    </w:p>
    <w:p w14:paraId="3CCB36E3">
      <w:pPr>
        <w:rPr>
          <w:rFonts w:ascii="Times New Roman" w:hAnsi="Times New Roman" w:eastAsia="Times New Roman"/>
          <w:color w:val="auto"/>
          <w:spacing w:val="7"/>
          <w:sz w:val="27"/>
          <w:szCs w:val="27"/>
          <w:highlight w:val="none"/>
        </w:rPr>
      </w:pPr>
      <w:bookmarkStart w:id="297" w:name="_Toc23546"/>
      <w:bookmarkStart w:id="298" w:name="_Toc1332"/>
      <w:bookmarkStart w:id="299" w:name="_Toc274"/>
      <w:bookmarkStart w:id="300" w:name="_Toc32598"/>
      <w:bookmarkStart w:id="301" w:name="_Toc15532"/>
      <w:r>
        <w:rPr>
          <w:rFonts w:ascii="Times New Roman" w:hAnsi="Times New Roman" w:eastAsia="Times New Roman"/>
          <w:color w:val="auto"/>
          <w:spacing w:val="7"/>
          <w:sz w:val="27"/>
          <w:szCs w:val="27"/>
          <w:highlight w:val="none"/>
        </w:rPr>
        <w:t xml:space="preserve">7.6  </w:t>
      </w:r>
      <w:r>
        <w:rPr>
          <w:rFonts w:ascii="黑体" w:hAnsi="黑体" w:eastAsia="黑体"/>
          <w:color w:val="auto"/>
          <w:spacing w:val="7"/>
          <w:sz w:val="27"/>
          <w:szCs w:val="27"/>
          <w:highlight w:val="none"/>
        </w:rPr>
        <w:t>技术成果经济补</w:t>
      </w:r>
      <w:r>
        <w:rPr>
          <w:rFonts w:ascii="黑体" w:hAnsi="黑体" w:eastAsia="黑体"/>
          <w:color w:val="auto"/>
          <w:spacing w:val="5"/>
          <w:sz w:val="27"/>
          <w:szCs w:val="27"/>
          <w:highlight w:val="none"/>
        </w:rPr>
        <w:t>偿</w:t>
      </w:r>
      <w:bookmarkEnd w:id="297"/>
      <w:bookmarkEnd w:id="298"/>
      <w:bookmarkEnd w:id="299"/>
      <w:bookmarkEnd w:id="300"/>
      <w:bookmarkEnd w:id="301"/>
    </w:p>
    <w:p w14:paraId="017C1B4C">
      <w:pPr>
        <w:spacing w:before="232" w:line="360" w:lineRule="auto"/>
        <w:ind w:right="109" w:firstLine="633" w:firstLineChars="299"/>
        <w:rPr>
          <w:rFonts w:ascii="宋体" w:hAnsi="宋体" w:eastAsia="宋体"/>
          <w:color w:val="auto"/>
          <w:spacing w:val="-2"/>
          <w:highlight w:val="none"/>
        </w:rPr>
      </w:pPr>
      <w:r>
        <w:rPr>
          <w:rFonts w:ascii="宋体" w:hAnsi="宋体" w:eastAsia="宋体"/>
          <w:color w:val="auto"/>
          <w:spacing w:val="1"/>
          <w:highlight w:val="none"/>
        </w:rPr>
        <w:t>招标人对符合招标文件规定的未</w:t>
      </w:r>
      <w:r>
        <w:rPr>
          <w:rFonts w:ascii="宋体" w:hAnsi="宋体" w:eastAsia="宋体"/>
          <w:color w:val="auto"/>
          <w:highlight w:val="none"/>
        </w:rPr>
        <w:t>中标人的技术成果进行补偿的，招标人将按投标人须知前</w:t>
      </w:r>
      <w:r>
        <w:rPr>
          <w:rFonts w:ascii="宋体" w:hAnsi="宋体" w:eastAsia="宋体"/>
          <w:color w:val="auto"/>
          <w:spacing w:val="-1"/>
          <w:highlight w:val="none"/>
        </w:rPr>
        <w:t>附表规定的标准给予经济补偿，未中标人在投标文件中声明放弃技术成</w:t>
      </w:r>
      <w:r>
        <w:rPr>
          <w:rFonts w:ascii="宋体" w:hAnsi="宋体" w:eastAsia="宋体"/>
          <w:color w:val="auto"/>
          <w:highlight w:val="none"/>
        </w:rPr>
        <w:t xml:space="preserve">果经济补偿费的除外。 </w:t>
      </w:r>
      <w:r>
        <w:rPr>
          <w:rFonts w:ascii="宋体" w:hAnsi="宋体" w:eastAsia="宋体"/>
          <w:color w:val="auto"/>
          <w:spacing w:val="-4"/>
          <w:highlight w:val="none"/>
        </w:rPr>
        <w:t>招标人将于中标通</w:t>
      </w:r>
      <w:r>
        <w:rPr>
          <w:rFonts w:ascii="宋体" w:hAnsi="宋体" w:eastAsia="宋体"/>
          <w:color w:val="auto"/>
          <w:spacing w:val="-2"/>
          <w:highlight w:val="none"/>
        </w:rPr>
        <w:t xml:space="preserve">知书发出后 </w:t>
      </w:r>
      <w:r>
        <w:rPr>
          <w:rFonts w:ascii="Times New Roman" w:hAnsi="Times New Roman" w:eastAsia="Times New Roman"/>
          <w:color w:val="auto"/>
          <w:spacing w:val="-2"/>
          <w:highlight w:val="none"/>
        </w:rPr>
        <w:t xml:space="preserve">30 </w:t>
      </w:r>
      <w:r>
        <w:rPr>
          <w:rFonts w:ascii="宋体" w:hAnsi="宋体" w:eastAsia="宋体"/>
          <w:color w:val="auto"/>
          <w:spacing w:val="-2"/>
          <w:highlight w:val="none"/>
        </w:rPr>
        <w:t>日内向未中标人支付技术成果经济补偿费。</w:t>
      </w:r>
    </w:p>
    <w:p w14:paraId="19F19995">
      <w:pPr>
        <w:pStyle w:val="7"/>
        <w:rPr>
          <w:rFonts w:eastAsiaTheme="minorEastAsia"/>
          <w:color w:val="auto"/>
          <w:highlight w:val="none"/>
        </w:rPr>
      </w:pPr>
    </w:p>
    <w:p w14:paraId="4BA08E0D">
      <w:pPr>
        <w:rPr>
          <w:rFonts w:ascii="Times New Roman" w:hAnsi="Times New Roman" w:eastAsia="Times New Roman"/>
          <w:color w:val="auto"/>
          <w:spacing w:val="10"/>
          <w:sz w:val="27"/>
          <w:szCs w:val="27"/>
          <w:highlight w:val="none"/>
        </w:rPr>
      </w:pPr>
      <w:bookmarkStart w:id="302" w:name="_Toc27672"/>
      <w:bookmarkStart w:id="303" w:name="_Toc32158"/>
      <w:bookmarkStart w:id="304" w:name="_Toc26550"/>
      <w:bookmarkStart w:id="305" w:name="_Toc6711"/>
      <w:bookmarkStart w:id="306" w:name="_Toc23864"/>
      <w:r>
        <w:rPr>
          <w:rFonts w:ascii="Times New Roman" w:hAnsi="Times New Roman" w:eastAsia="Times New Roman"/>
          <w:color w:val="auto"/>
          <w:spacing w:val="10"/>
          <w:sz w:val="27"/>
          <w:szCs w:val="27"/>
          <w:highlight w:val="none"/>
        </w:rPr>
        <w:t>7</w:t>
      </w:r>
      <w:r>
        <w:rPr>
          <w:rFonts w:ascii="Times New Roman" w:hAnsi="Times New Roman" w:eastAsia="Times New Roman"/>
          <w:color w:val="auto"/>
          <w:spacing w:val="7"/>
          <w:sz w:val="27"/>
          <w:szCs w:val="27"/>
          <w:highlight w:val="none"/>
        </w:rPr>
        <w:t>.</w:t>
      </w:r>
      <w:r>
        <w:rPr>
          <w:rFonts w:ascii="Times New Roman" w:hAnsi="Times New Roman" w:eastAsia="Times New Roman"/>
          <w:color w:val="auto"/>
          <w:spacing w:val="5"/>
          <w:sz w:val="27"/>
          <w:szCs w:val="27"/>
          <w:highlight w:val="none"/>
        </w:rPr>
        <w:t xml:space="preserve">7  </w:t>
      </w:r>
      <w:r>
        <w:rPr>
          <w:rFonts w:ascii="黑体" w:hAnsi="黑体" w:eastAsia="黑体"/>
          <w:color w:val="auto"/>
          <w:spacing w:val="5"/>
          <w:sz w:val="27"/>
          <w:szCs w:val="27"/>
          <w:highlight w:val="none"/>
        </w:rPr>
        <w:t>履约保证金</w:t>
      </w:r>
      <w:bookmarkEnd w:id="302"/>
      <w:bookmarkEnd w:id="303"/>
      <w:bookmarkEnd w:id="304"/>
      <w:bookmarkEnd w:id="305"/>
      <w:bookmarkEnd w:id="306"/>
    </w:p>
    <w:p w14:paraId="7DF6845F">
      <w:pPr>
        <w:spacing w:before="68" w:line="351" w:lineRule="auto"/>
        <w:ind w:left="2" w:right="62" w:firstLine="417"/>
        <w:rPr>
          <w:rFonts w:ascii="Times New Roman" w:hAnsi="Times New Roman" w:eastAsia="Times New Roman"/>
          <w:color w:val="auto"/>
          <w:spacing w:val="-9"/>
          <w:highlight w:val="none"/>
        </w:rPr>
      </w:pPr>
      <w:r>
        <w:rPr>
          <w:rFonts w:ascii="Times New Roman" w:hAnsi="Times New Roman" w:eastAsia="Times New Roman"/>
          <w:color w:val="auto"/>
          <w:spacing w:val="-9"/>
          <w:highlight w:val="none"/>
        </w:rPr>
        <w:t>7</w:t>
      </w:r>
      <w:r>
        <w:rPr>
          <w:rFonts w:ascii="Times New Roman" w:hAnsi="Times New Roman" w:eastAsia="Times New Roman"/>
          <w:color w:val="auto"/>
          <w:spacing w:val="-6"/>
          <w:highlight w:val="none"/>
        </w:rPr>
        <w:t xml:space="preserve">.7.1  </w:t>
      </w:r>
      <w:r>
        <w:rPr>
          <w:rFonts w:hint="eastAsia" w:ascii="Times New Roman" w:hAnsi="Times New Roman" w:eastAsia="宋体"/>
          <w:color w:val="auto"/>
          <w:spacing w:val="-6"/>
          <w:highlight w:val="none"/>
        </w:rPr>
        <w:t xml:space="preserve">   </w:t>
      </w:r>
      <w:r>
        <w:rPr>
          <w:rFonts w:ascii="宋体" w:hAnsi="宋体" w:eastAsia="宋体"/>
          <w:color w:val="auto"/>
          <w:spacing w:val="-6"/>
          <w:highlight w:val="none"/>
        </w:rPr>
        <w:t>在签订合同前</w:t>
      </w:r>
      <w:r>
        <w:rPr>
          <w:rFonts w:hint="eastAsia" w:ascii="宋体" w:hAnsi="宋体" w:eastAsia="宋体"/>
          <w:color w:val="auto"/>
          <w:spacing w:val="-6"/>
          <w:highlight w:val="none"/>
        </w:rPr>
        <w:t>，</w:t>
      </w:r>
      <w:r>
        <w:rPr>
          <w:rFonts w:ascii="宋体" w:hAnsi="宋体" w:eastAsia="宋体"/>
          <w:color w:val="auto"/>
          <w:spacing w:val="-6"/>
          <w:highlight w:val="none"/>
        </w:rPr>
        <w:t>中标人应按投标人须知前附表规定的形式、金额和招标文件第四章</w:t>
      </w:r>
      <w:r>
        <w:rPr>
          <w:rFonts w:hint="eastAsia" w:ascii="Times New Roman" w:hAnsi="Times New Roman" w:eastAsia="宋体"/>
          <w:color w:val="auto"/>
          <w:spacing w:val="-6"/>
          <w:highlight w:val="none"/>
        </w:rPr>
        <w:t>“</w:t>
      </w:r>
      <w:r>
        <w:rPr>
          <w:rFonts w:ascii="宋体" w:hAnsi="宋体" w:eastAsia="宋体"/>
          <w:color w:val="auto"/>
          <w:spacing w:val="-6"/>
          <w:highlight w:val="none"/>
        </w:rPr>
        <w:t>合</w:t>
      </w:r>
      <w:r>
        <w:rPr>
          <w:rFonts w:ascii="宋体" w:hAnsi="宋体" w:eastAsia="宋体"/>
          <w:color w:val="auto"/>
          <w:spacing w:val="6"/>
          <w:highlight w:val="none"/>
        </w:rPr>
        <w:t>同条款及格式</w:t>
      </w:r>
      <w:r>
        <w:rPr>
          <w:rFonts w:hint="eastAsia" w:ascii="Times New Roman" w:hAnsi="Times New Roman" w:eastAsia="宋体"/>
          <w:color w:val="auto"/>
          <w:spacing w:val="-6"/>
          <w:highlight w:val="none"/>
        </w:rPr>
        <w:t>”</w:t>
      </w:r>
      <w:r>
        <w:rPr>
          <w:rFonts w:ascii="宋体" w:hAnsi="宋体" w:eastAsia="宋体"/>
          <w:color w:val="auto"/>
          <w:spacing w:val="6"/>
          <w:highlight w:val="none"/>
        </w:rPr>
        <w:t>规</w:t>
      </w:r>
      <w:r>
        <w:rPr>
          <w:rFonts w:ascii="宋体" w:hAnsi="宋体" w:eastAsia="宋体"/>
          <w:color w:val="auto"/>
          <w:spacing w:val="4"/>
          <w:highlight w:val="none"/>
        </w:rPr>
        <w:t>定</w:t>
      </w:r>
      <w:r>
        <w:rPr>
          <w:rFonts w:ascii="宋体" w:hAnsi="宋体" w:eastAsia="宋体"/>
          <w:color w:val="auto"/>
          <w:spacing w:val="3"/>
          <w:highlight w:val="none"/>
        </w:rPr>
        <w:t>的或者事先经过招标人书面认可的履约保证金格式向招标人提交履约保证</w:t>
      </w:r>
      <w:r>
        <w:rPr>
          <w:rFonts w:ascii="宋体" w:hAnsi="宋体" w:eastAsia="宋体"/>
          <w:color w:val="auto"/>
          <w:spacing w:val="-2"/>
          <w:highlight w:val="none"/>
        </w:rPr>
        <w:t>金。除投标人须知前</w:t>
      </w:r>
      <w:r>
        <w:rPr>
          <w:rFonts w:ascii="宋体" w:hAnsi="宋体" w:eastAsia="宋体"/>
          <w:color w:val="auto"/>
          <w:spacing w:val="-1"/>
          <w:highlight w:val="none"/>
        </w:rPr>
        <w:t xml:space="preserve">附表另有规定外，履约保证金为中标合同金额的 </w:t>
      </w:r>
      <w:r>
        <w:rPr>
          <w:rFonts w:ascii="Times New Roman" w:hAnsi="Times New Roman" w:eastAsia="Times New Roman"/>
          <w:color w:val="auto"/>
          <w:spacing w:val="-1"/>
          <w:highlight w:val="none"/>
        </w:rPr>
        <w:t>10%</w:t>
      </w:r>
      <w:r>
        <w:rPr>
          <w:rFonts w:ascii="宋体" w:hAnsi="宋体" w:eastAsia="宋体"/>
          <w:color w:val="auto"/>
          <w:spacing w:val="-1"/>
          <w:highlight w:val="none"/>
        </w:rPr>
        <w:t>。联合体中标的，其</w:t>
      </w:r>
      <w:r>
        <w:rPr>
          <w:rFonts w:ascii="宋体" w:hAnsi="宋体" w:eastAsia="宋体"/>
          <w:color w:val="auto"/>
          <w:spacing w:val="-2"/>
          <w:highlight w:val="none"/>
        </w:rPr>
        <w:t>履约保证金以联合体各方或</w:t>
      </w:r>
      <w:r>
        <w:rPr>
          <w:rFonts w:ascii="宋体" w:hAnsi="宋体" w:eastAsia="宋体"/>
          <w:color w:val="auto"/>
          <w:spacing w:val="-1"/>
          <w:highlight w:val="none"/>
        </w:rPr>
        <w:t>者联合体中</w:t>
      </w:r>
      <w:r>
        <w:rPr>
          <w:rFonts w:hint="eastAsia" w:ascii="宋体" w:hAnsi="宋体" w:eastAsia="宋体"/>
          <w:color w:val="auto"/>
          <w:spacing w:val="-1"/>
          <w:highlight w:val="none"/>
        </w:rPr>
        <w:t>主办方</w:t>
      </w:r>
      <w:r>
        <w:rPr>
          <w:rFonts w:ascii="宋体" w:hAnsi="宋体" w:eastAsia="宋体"/>
          <w:color w:val="auto"/>
          <w:spacing w:val="-1"/>
          <w:highlight w:val="none"/>
        </w:rPr>
        <w:t>的名义提交。</w:t>
      </w:r>
    </w:p>
    <w:p w14:paraId="3300FDD1">
      <w:pPr>
        <w:spacing w:before="4" w:line="360" w:lineRule="auto"/>
        <w:ind w:left="4" w:right="76" w:firstLine="416"/>
        <w:rPr>
          <w:rFonts w:ascii="宋体" w:hAnsi="宋体" w:eastAsia="宋体"/>
          <w:color w:val="auto"/>
          <w:spacing w:val="-1"/>
          <w:highlight w:val="none"/>
        </w:rPr>
      </w:pPr>
      <w:r>
        <w:rPr>
          <w:rFonts w:ascii="Times New Roman" w:hAnsi="Times New Roman" w:eastAsia="Times New Roman"/>
          <w:color w:val="auto"/>
          <w:spacing w:val="-3"/>
          <w:highlight w:val="none"/>
        </w:rPr>
        <w:t xml:space="preserve">7.7.2  </w:t>
      </w:r>
      <w:r>
        <w:rPr>
          <w:rFonts w:ascii="宋体" w:hAnsi="宋体" w:eastAsia="宋体"/>
          <w:color w:val="auto"/>
          <w:spacing w:val="-3"/>
          <w:highlight w:val="none"/>
        </w:rPr>
        <w:t xml:space="preserve">中标人不能按本章第 </w:t>
      </w:r>
      <w:r>
        <w:rPr>
          <w:rFonts w:ascii="Times New Roman" w:hAnsi="Times New Roman" w:eastAsia="Times New Roman"/>
          <w:color w:val="auto"/>
          <w:spacing w:val="-3"/>
          <w:highlight w:val="none"/>
        </w:rPr>
        <w:t xml:space="preserve">7.7.1 </w:t>
      </w:r>
      <w:r>
        <w:rPr>
          <w:rFonts w:ascii="宋体" w:hAnsi="宋体" w:eastAsia="宋体"/>
          <w:color w:val="auto"/>
          <w:spacing w:val="-3"/>
          <w:highlight w:val="none"/>
        </w:rPr>
        <w:t>项要求提交履约保证金的，视为放弃中标，</w:t>
      </w:r>
      <w:r>
        <w:rPr>
          <w:rFonts w:ascii="宋体" w:hAnsi="宋体" w:eastAsia="宋体"/>
          <w:strike/>
          <w:color w:val="auto"/>
          <w:spacing w:val="-3"/>
          <w:highlight w:val="none"/>
        </w:rPr>
        <w:t>其投标</w:t>
      </w:r>
      <w:r>
        <w:rPr>
          <w:rFonts w:ascii="宋体" w:hAnsi="宋体" w:eastAsia="宋体"/>
          <w:strike/>
          <w:color w:val="auto"/>
          <w:highlight w:val="none"/>
        </w:rPr>
        <w:t xml:space="preserve">保证金 </w:t>
      </w:r>
      <w:r>
        <w:rPr>
          <w:rFonts w:ascii="宋体" w:hAnsi="宋体" w:eastAsia="宋体"/>
          <w:strike/>
          <w:color w:val="auto"/>
          <w:spacing w:val="-1"/>
          <w:highlight w:val="none"/>
        </w:rPr>
        <w:t>不予退还</w:t>
      </w:r>
      <w:r>
        <w:rPr>
          <w:rFonts w:ascii="宋体" w:hAnsi="宋体" w:eastAsia="宋体"/>
          <w:color w:val="auto"/>
          <w:spacing w:val="-1"/>
          <w:highlight w:val="none"/>
        </w:rPr>
        <w:t>，给招标人造成</w:t>
      </w:r>
      <w:r>
        <w:rPr>
          <w:rFonts w:ascii="宋体" w:hAnsi="宋体" w:eastAsia="宋体"/>
          <w:strike/>
          <w:color w:val="auto"/>
          <w:spacing w:val="-1"/>
          <w:highlight w:val="none"/>
        </w:rPr>
        <w:t>的</w:t>
      </w:r>
      <w:r>
        <w:rPr>
          <w:rFonts w:ascii="宋体" w:hAnsi="宋体" w:eastAsia="宋体"/>
          <w:color w:val="auto"/>
          <w:spacing w:val="-1"/>
          <w:highlight w:val="none"/>
        </w:rPr>
        <w:t>损失</w:t>
      </w:r>
      <w:r>
        <w:rPr>
          <w:rFonts w:ascii="宋体" w:hAnsi="宋体" w:eastAsia="宋体"/>
          <w:strike/>
          <w:color w:val="auto"/>
          <w:spacing w:val="-1"/>
          <w:highlight w:val="none"/>
        </w:rPr>
        <w:t>超过投标保证金数额的</w:t>
      </w:r>
      <w:r>
        <w:rPr>
          <w:rFonts w:ascii="宋体" w:hAnsi="宋体" w:eastAsia="宋体"/>
          <w:color w:val="auto"/>
          <w:spacing w:val="-1"/>
          <w:highlight w:val="none"/>
        </w:rPr>
        <w:t>，中标人还应当对超过部分予以赔偿</w:t>
      </w:r>
      <w:r>
        <w:rPr>
          <w:rFonts w:hint="eastAsia" w:ascii="宋体" w:hAnsi="宋体" w:eastAsia="宋体"/>
          <w:color w:val="auto"/>
          <w:spacing w:val="-1"/>
          <w:highlight w:val="none"/>
        </w:rPr>
        <w:t>。</w:t>
      </w:r>
    </w:p>
    <w:p w14:paraId="7164D2D3">
      <w:pPr>
        <w:pStyle w:val="7"/>
        <w:rPr>
          <w:rFonts w:eastAsiaTheme="minorEastAsia"/>
          <w:color w:val="auto"/>
          <w:highlight w:val="none"/>
        </w:rPr>
      </w:pPr>
    </w:p>
    <w:p w14:paraId="0159F873">
      <w:pPr>
        <w:rPr>
          <w:rFonts w:ascii="Times New Roman" w:hAnsi="Times New Roman" w:eastAsia="Times New Roman"/>
          <w:color w:val="auto"/>
          <w:spacing w:val="8"/>
          <w:sz w:val="27"/>
          <w:szCs w:val="27"/>
          <w:highlight w:val="none"/>
        </w:rPr>
      </w:pPr>
      <w:bookmarkStart w:id="307" w:name="_Toc25518"/>
      <w:bookmarkStart w:id="308" w:name="_Toc2899"/>
      <w:bookmarkStart w:id="309" w:name="_Toc12741"/>
      <w:bookmarkStart w:id="310" w:name="_Toc19251"/>
      <w:bookmarkStart w:id="311" w:name="_Toc16196"/>
      <w:r>
        <w:rPr>
          <w:rFonts w:ascii="Times New Roman" w:hAnsi="Times New Roman" w:eastAsia="Times New Roman"/>
          <w:color w:val="auto"/>
          <w:spacing w:val="8"/>
          <w:sz w:val="27"/>
          <w:szCs w:val="27"/>
          <w:highlight w:val="none"/>
        </w:rPr>
        <w:t>7</w:t>
      </w:r>
      <w:r>
        <w:rPr>
          <w:rFonts w:ascii="Times New Roman" w:hAnsi="Times New Roman" w:eastAsia="Times New Roman"/>
          <w:color w:val="auto"/>
          <w:spacing w:val="5"/>
          <w:sz w:val="27"/>
          <w:szCs w:val="27"/>
          <w:highlight w:val="none"/>
        </w:rPr>
        <w:t xml:space="preserve">.8  </w:t>
      </w:r>
      <w:r>
        <w:rPr>
          <w:rFonts w:ascii="黑体" w:hAnsi="黑体" w:eastAsia="黑体"/>
          <w:color w:val="auto"/>
          <w:spacing w:val="5"/>
          <w:sz w:val="27"/>
          <w:szCs w:val="27"/>
          <w:highlight w:val="none"/>
        </w:rPr>
        <w:t>签订合同</w:t>
      </w:r>
      <w:bookmarkEnd w:id="307"/>
      <w:bookmarkEnd w:id="308"/>
      <w:bookmarkEnd w:id="309"/>
      <w:bookmarkEnd w:id="310"/>
      <w:bookmarkEnd w:id="311"/>
    </w:p>
    <w:p w14:paraId="2F22204B">
      <w:pPr>
        <w:spacing w:before="69" w:line="352" w:lineRule="auto"/>
        <w:ind w:right="75" w:firstLine="420"/>
        <w:rPr>
          <w:rFonts w:ascii="Times New Roman" w:hAnsi="Times New Roman" w:eastAsia="Times New Roman"/>
          <w:color w:val="auto"/>
          <w:spacing w:val="-1"/>
          <w:highlight w:val="none"/>
        </w:rPr>
      </w:pPr>
      <w:r>
        <w:rPr>
          <w:rFonts w:ascii="Times New Roman" w:hAnsi="Times New Roman" w:eastAsia="Times New Roman"/>
          <w:color w:val="auto"/>
          <w:spacing w:val="-1"/>
          <w:highlight w:val="none"/>
        </w:rPr>
        <w:t xml:space="preserve">7.8.1  </w:t>
      </w:r>
      <w:r>
        <w:rPr>
          <w:rFonts w:ascii="宋体" w:hAnsi="宋体" w:eastAsia="宋体"/>
          <w:color w:val="auto"/>
          <w:spacing w:val="-1"/>
          <w:highlight w:val="none"/>
        </w:rPr>
        <w:t xml:space="preserve">招标人和中标人应当在中标通知书发出之日起 </w:t>
      </w:r>
      <w:r>
        <w:rPr>
          <w:rFonts w:ascii="Times New Roman" w:hAnsi="Times New Roman" w:eastAsia="Times New Roman"/>
          <w:color w:val="auto"/>
          <w:spacing w:val="-1"/>
          <w:highlight w:val="none"/>
        </w:rPr>
        <w:t xml:space="preserve">30 </w:t>
      </w:r>
      <w:r>
        <w:rPr>
          <w:rFonts w:ascii="宋体" w:hAnsi="宋体" w:eastAsia="宋体"/>
          <w:color w:val="auto"/>
          <w:spacing w:val="-1"/>
          <w:highlight w:val="none"/>
        </w:rPr>
        <w:t>日</w:t>
      </w:r>
      <w:r>
        <w:rPr>
          <w:rFonts w:ascii="宋体" w:hAnsi="宋体" w:eastAsia="宋体"/>
          <w:color w:val="auto"/>
          <w:highlight w:val="none"/>
        </w:rPr>
        <w:t>内，根据招标文件和中标人的投</w:t>
      </w:r>
      <w:r>
        <w:rPr>
          <w:rFonts w:ascii="宋体" w:hAnsi="宋体" w:eastAsia="宋体"/>
          <w:color w:val="auto"/>
          <w:spacing w:val="-4"/>
          <w:highlight w:val="none"/>
        </w:rPr>
        <w:t>标文件订立书</w:t>
      </w:r>
      <w:r>
        <w:rPr>
          <w:rFonts w:ascii="宋体" w:hAnsi="宋体" w:eastAsia="宋体"/>
          <w:color w:val="auto"/>
          <w:spacing w:val="-2"/>
          <w:highlight w:val="none"/>
        </w:rPr>
        <w:t>面合同</w:t>
      </w:r>
      <w:r>
        <w:rPr>
          <w:rFonts w:hint="eastAsia"/>
          <w:color w:val="auto"/>
          <w:highlight w:val="none"/>
        </w:rPr>
        <w:t>，并通过电子交易系统与中标人在线签订合同</w:t>
      </w:r>
      <w:r>
        <w:rPr>
          <w:rFonts w:ascii="宋体" w:hAnsi="宋体" w:eastAsia="宋体"/>
          <w:color w:val="auto"/>
          <w:spacing w:val="-2"/>
          <w:highlight w:val="none"/>
        </w:rPr>
        <w:t>。中标人无正当理由拒签合同， 在签订合同时向招标人提出附加条件</w:t>
      </w:r>
      <w:r>
        <w:rPr>
          <w:rFonts w:hint="eastAsia" w:ascii="宋体" w:hAnsi="宋体" w:eastAsia="宋体"/>
          <w:color w:val="auto"/>
          <w:spacing w:val="-2"/>
          <w:highlight w:val="none"/>
        </w:rPr>
        <w:t>，</w:t>
      </w:r>
      <w:r>
        <w:rPr>
          <w:rFonts w:ascii="宋体" w:hAnsi="宋体" w:eastAsia="宋体"/>
          <w:color w:val="auto"/>
          <w:spacing w:val="-2"/>
          <w:highlight w:val="none"/>
        </w:rPr>
        <w:t>或</w:t>
      </w:r>
      <w:r>
        <w:rPr>
          <w:rFonts w:ascii="宋体" w:hAnsi="宋体" w:eastAsia="宋体"/>
          <w:color w:val="auto"/>
          <w:spacing w:val="-4"/>
          <w:highlight w:val="none"/>
        </w:rPr>
        <w:t>者</w:t>
      </w:r>
      <w:r>
        <w:rPr>
          <w:rFonts w:ascii="宋体" w:hAnsi="宋体" w:eastAsia="宋体"/>
          <w:color w:val="auto"/>
          <w:spacing w:val="-3"/>
          <w:highlight w:val="none"/>
        </w:rPr>
        <w:t>不</w:t>
      </w:r>
      <w:r>
        <w:rPr>
          <w:rFonts w:ascii="宋体" w:hAnsi="宋体" w:eastAsia="宋体"/>
          <w:color w:val="auto"/>
          <w:spacing w:val="-2"/>
          <w:highlight w:val="none"/>
        </w:rPr>
        <w:t>按照招标文件要求提交履约保证金的，招标人有权取消其中标资格</w:t>
      </w:r>
      <w:r>
        <w:rPr>
          <w:rFonts w:ascii="宋体" w:hAnsi="宋体" w:eastAsia="宋体"/>
          <w:strike/>
          <w:color w:val="auto"/>
          <w:spacing w:val="-2"/>
          <w:highlight w:val="none"/>
        </w:rPr>
        <w:t>，其投标保证金不予退</w:t>
      </w:r>
      <w:r>
        <w:rPr>
          <w:rFonts w:ascii="宋体" w:hAnsi="宋体" w:eastAsia="宋体"/>
          <w:strike/>
          <w:color w:val="auto"/>
          <w:spacing w:val="-1"/>
          <w:highlight w:val="none"/>
        </w:rPr>
        <w:t>还</w:t>
      </w:r>
      <w:r>
        <w:rPr>
          <w:rFonts w:ascii="宋体" w:hAnsi="宋体" w:eastAsia="宋体"/>
          <w:color w:val="auto"/>
          <w:spacing w:val="-1"/>
          <w:highlight w:val="none"/>
        </w:rPr>
        <w:t>；给招标人造成的损失</w:t>
      </w:r>
      <w:r>
        <w:rPr>
          <w:rFonts w:ascii="宋体" w:hAnsi="宋体" w:eastAsia="宋体"/>
          <w:strike/>
          <w:color w:val="auto"/>
          <w:spacing w:val="-1"/>
          <w:highlight w:val="none"/>
          <w:u w:val="single"/>
        </w:rPr>
        <w:t>超过投标保证金数额</w:t>
      </w:r>
      <w:r>
        <w:rPr>
          <w:rFonts w:ascii="宋体" w:hAnsi="宋体" w:eastAsia="宋体"/>
          <w:color w:val="auto"/>
          <w:spacing w:val="-1"/>
          <w:highlight w:val="none"/>
          <w:u w:val="single"/>
        </w:rPr>
        <w:t>的</w:t>
      </w:r>
      <w:r>
        <w:rPr>
          <w:rFonts w:ascii="宋体" w:hAnsi="宋体" w:eastAsia="宋体"/>
          <w:color w:val="auto"/>
          <w:spacing w:val="-1"/>
          <w:highlight w:val="none"/>
        </w:rPr>
        <w:t>，中标人还应当</w:t>
      </w:r>
      <w:r>
        <w:rPr>
          <w:rFonts w:ascii="宋体" w:hAnsi="宋体" w:eastAsia="宋体"/>
          <w:strike/>
          <w:color w:val="auto"/>
          <w:spacing w:val="-1"/>
          <w:highlight w:val="none"/>
        </w:rPr>
        <w:t>对超过部分</w:t>
      </w:r>
      <w:r>
        <w:rPr>
          <w:rFonts w:ascii="宋体" w:hAnsi="宋体" w:eastAsia="宋体"/>
          <w:color w:val="auto"/>
          <w:spacing w:val="-1"/>
          <w:highlight w:val="none"/>
        </w:rPr>
        <w:t>予以赔</w:t>
      </w:r>
      <w:r>
        <w:rPr>
          <w:rFonts w:ascii="宋体" w:hAnsi="宋体" w:eastAsia="宋体"/>
          <w:color w:val="auto"/>
          <w:highlight w:val="none"/>
        </w:rPr>
        <w:t>偿。</w:t>
      </w:r>
    </w:p>
    <w:p w14:paraId="0080F573">
      <w:pPr>
        <w:spacing w:before="2" w:line="351" w:lineRule="auto"/>
        <w:ind w:right="72" w:firstLine="419"/>
        <w:rPr>
          <w:rFonts w:ascii="Times New Roman" w:hAnsi="Times New Roman" w:eastAsia="Times New Roman"/>
          <w:color w:val="auto"/>
          <w:spacing w:val="-12"/>
          <w:highlight w:val="none"/>
        </w:rPr>
      </w:pPr>
      <w:r>
        <w:rPr>
          <w:rFonts w:ascii="Times New Roman" w:hAnsi="Times New Roman" w:eastAsia="Times New Roman"/>
          <w:color w:val="auto"/>
          <w:spacing w:val="-12"/>
          <w:highlight w:val="none"/>
        </w:rPr>
        <w:t>7.</w:t>
      </w:r>
      <w:r>
        <w:rPr>
          <w:rFonts w:ascii="Times New Roman" w:hAnsi="Times New Roman" w:eastAsia="Times New Roman"/>
          <w:color w:val="auto"/>
          <w:spacing w:val="-10"/>
          <w:highlight w:val="none"/>
        </w:rPr>
        <w:t>8</w:t>
      </w:r>
      <w:r>
        <w:rPr>
          <w:rFonts w:ascii="Times New Roman" w:hAnsi="Times New Roman" w:eastAsia="Times New Roman"/>
          <w:color w:val="auto"/>
          <w:spacing w:val="-6"/>
          <w:highlight w:val="none"/>
        </w:rPr>
        <w:t xml:space="preserve">.2  </w:t>
      </w:r>
      <w:r>
        <w:rPr>
          <w:rFonts w:ascii="宋体" w:hAnsi="宋体" w:eastAsia="宋体"/>
          <w:color w:val="auto"/>
          <w:spacing w:val="-6"/>
          <w:highlight w:val="none"/>
        </w:rPr>
        <w:t>发出中标通知书后，招标人无正当理由拒签合同，或者在签订合同时向中标人提出附</w:t>
      </w:r>
      <w:r>
        <w:rPr>
          <w:rFonts w:ascii="宋体" w:hAnsi="宋体" w:eastAsia="宋体"/>
          <w:color w:val="auto"/>
          <w:highlight w:val="none"/>
        </w:rPr>
        <w:t xml:space="preserve"> </w:t>
      </w:r>
      <w:r>
        <w:rPr>
          <w:rFonts w:ascii="宋体" w:hAnsi="宋体" w:eastAsia="宋体"/>
          <w:color w:val="auto"/>
          <w:spacing w:val="-1"/>
          <w:highlight w:val="none"/>
        </w:rPr>
        <w:t>加条件的</w:t>
      </w:r>
      <w:r>
        <w:rPr>
          <w:rFonts w:ascii="宋体" w:hAnsi="宋体" w:eastAsia="宋体"/>
          <w:strike/>
          <w:color w:val="auto"/>
          <w:spacing w:val="-1"/>
          <w:highlight w:val="none"/>
        </w:rPr>
        <w:t>，招标人向中标人退还投标保证金；</w:t>
      </w:r>
      <w:r>
        <w:rPr>
          <w:rFonts w:ascii="宋体" w:hAnsi="宋体" w:eastAsia="宋体"/>
          <w:color w:val="auto"/>
          <w:spacing w:val="-1"/>
          <w:highlight w:val="none"/>
        </w:rPr>
        <w:t>给中标人造成损失的，还应当赔偿损失</w:t>
      </w:r>
      <w:r>
        <w:rPr>
          <w:rFonts w:ascii="宋体" w:hAnsi="宋体" w:eastAsia="宋体"/>
          <w:color w:val="auto"/>
          <w:highlight w:val="none"/>
        </w:rPr>
        <w:t>。</w:t>
      </w:r>
    </w:p>
    <w:p w14:paraId="5AB82D46">
      <w:pPr>
        <w:spacing w:line="359" w:lineRule="auto"/>
        <w:ind w:left="4" w:right="70" w:firstLine="416"/>
        <w:rPr>
          <w:rFonts w:ascii="宋体" w:hAnsi="宋体" w:eastAsia="宋体"/>
          <w:color w:val="auto"/>
          <w:spacing w:val="-7"/>
          <w:highlight w:val="none"/>
        </w:rPr>
      </w:pPr>
      <w:r>
        <w:rPr>
          <w:rFonts w:ascii="Times New Roman" w:hAnsi="Times New Roman" w:eastAsia="Times New Roman"/>
          <w:color w:val="auto"/>
          <w:spacing w:val="-1"/>
          <w:highlight w:val="none"/>
        </w:rPr>
        <w:t xml:space="preserve">7.8.3 </w:t>
      </w:r>
      <w:r>
        <w:rPr>
          <w:rFonts w:ascii="宋体" w:hAnsi="宋体" w:eastAsia="宋体"/>
          <w:color w:val="auto"/>
          <w:spacing w:val="-1"/>
          <w:highlight w:val="none"/>
        </w:rPr>
        <w:t>联合体中标的，联合体各方应当共同与招标人签</w:t>
      </w:r>
      <w:r>
        <w:rPr>
          <w:rFonts w:ascii="宋体" w:hAnsi="宋体" w:eastAsia="宋体"/>
          <w:color w:val="auto"/>
          <w:highlight w:val="none"/>
        </w:rPr>
        <w:t>订合同，就中标项目向招标人承担连</w:t>
      </w:r>
      <w:r>
        <w:rPr>
          <w:rFonts w:ascii="宋体" w:hAnsi="宋体" w:eastAsia="宋体"/>
          <w:color w:val="auto"/>
          <w:spacing w:val="-10"/>
          <w:highlight w:val="none"/>
        </w:rPr>
        <w:t>带</w:t>
      </w:r>
      <w:r>
        <w:rPr>
          <w:rFonts w:ascii="宋体" w:hAnsi="宋体" w:eastAsia="宋体"/>
          <w:color w:val="auto"/>
          <w:spacing w:val="-7"/>
          <w:highlight w:val="none"/>
        </w:rPr>
        <w:t>责任。</w:t>
      </w:r>
    </w:p>
    <w:p w14:paraId="2BBC3F6F">
      <w:pPr>
        <w:pStyle w:val="7"/>
        <w:rPr>
          <w:rFonts w:eastAsiaTheme="minorEastAsia"/>
          <w:color w:val="auto"/>
          <w:highlight w:val="none"/>
        </w:rPr>
      </w:pPr>
    </w:p>
    <w:p w14:paraId="1DD0FAC6">
      <w:pPr>
        <w:pStyle w:val="25"/>
        <w:spacing w:before="120" w:after="120"/>
        <w:outlineLvl w:val="9"/>
        <w:rPr>
          <w:rFonts w:ascii="Times New Roman" w:hAnsi="Times New Roman" w:eastAsia="Times New Roman"/>
          <w:bCs/>
          <w:color w:val="auto"/>
          <w:spacing w:val="10"/>
          <w:sz w:val="31"/>
          <w:szCs w:val="31"/>
          <w:highlight w:val="none"/>
        </w:rPr>
      </w:pPr>
      <w:bookmarkStart w:id="312" w:name="_Toc10749"/>
      <w:bookmarkStart w:id="313" w:name="_Toc19030"/>
      <w:bookmarkStart w:id="314" w:name="_Toc23119"/>
      <w:bookmarkStart w:id="315" w:name="_Toc4425"/>
      <w:bookmarkStart w:id="316" w:name="_Toc7779"/>
      <w:r>
        <w:rPr>
          <w:rFonts w:ascii="Times New Roman" w:hAnsi="Times New Roman" w:eastAsia="Times New Roman"/>
          <w:bCs/>
          <w:color w:val="auto"/>
          <w:spacing w:val="10"/>
          <w:sz w:val="31"/>
          <w:szCs w:val="31"/>
          <w:highlight w:val="none"/>
        </w:rPr>
        <w:t>8</w:t>
      </w:r>
      <w:r>
        <w:rPr>
          <w:rFonts w:ascii="Times New Roman" w:hAnsi="Times New Roman" w:eastAsia="Times New Roman"/>
          <w:bCs/>
          <w:color w:val="auto"/>
          <w:spacing w:val="7"/>
          <w:sz w:val="31"/>
          <w:szCs w:val="31"/>
          <w:highlight w:val="none"/>
        </w:rPr>
        <w:t>.</w:t>
      </w:r>
      <w:r>
        <w:rPr>
          <w:rFonts w:ascii="黑体" w:hAnsi="黑体" w:eastAsia="黑体"/>
          <w:color w:val="auto"/>
          <w:spacing w:val="7"/>
          <w:sz w:val="31"/>
          <w:szCs w:val="31"/>
          <w:highlight w:val="none"/>
        </w:rPr>
        <w:t>纪律和监督</w:t>
      </w:r>
      <w:bookmarkEnd w:id="312"/>
      <w:bookmarkEnd w:id="313"/>
      <w:bookmarkEnd w:id="314"/>
      <w:bookmarkEnd w:id="315"/>
      <w:bookmarkEnd w:id="316"/>
    </w:p>
    <w:p w14:paraId="5504CC40">
      <w:pPr>
        <w:rPr>
          <w:rFonts w:ascii="Times New Roman" w:hAnsi="Times New Roman" w:eastAsia="Times New Roman"/>
          <w:color w:val="auto"/>
          <w:spacing w:val="12"/>
          <w:sz w:val="27"/>
          <w:szCs w:val="27"/>
          <w:highlight w:val="none"/>
        </w:rPr>
      </w:pPr>
      <w:bookmarkStart w:id="317" w:name="_Toc18682"/>
      <w:bookmarkStart w:id="318" w:name="_Toc2666"/>
      <w:bookmarkStart w:id="319" w:name="_Toc22300"/>
      <w:bookmarkStart w:id="320" w:name="_Toc31267"/>
      <w:bookmarkStart w:id="321" w:name="_Toc2147"/>
      <w:r>
        <w:rPr>
          <w:rFonts w:ascii="Times New Roman" w:hAnsi="Times New Roman" w:eastAsia="Times New Roman"/>
          <w:color w:val="auto"/>
          <w:spacing w:val="12"/>
          <w:sz w:val="27"/>
          <w:szCs w:val="27"/>
          <w:highlight w:val="none"/>
        </w:rPr>
        <w:t>8</w:t>
      </w:r>
      <w:r>
        <w:rPr>
          <w:rFonts w:ascii="Times New Roman" w:hAnsi="Times New Roman" w:eastAsia="Times New Roman"/>
          <w:color w:val="auto"/>
          <w:spacing w:val="9"/>
          <w:sz w:val="27"/>
          <w:szCs w:val="27"/>
          <w:highlight w:val="none"/>
        </w:rPr>
        <w:t>.</w:t>
      </w:r>
      <w:r>
        <w:rPr>
          <w:rFonts w:ascii="Times New Roman" w:hAnsi="Times New Roman" w:eastAsia="Times New Roman"/>
          <w:color w:val="auto"/>
          <w:spacing w:val="6"/>
          <w:sz w:val="27"/>
          <w:szCs w:val="27"/>
          <w:highlight w:val="none"/>
        </w:rPr>
        <w:t xml:space="preserve">1  </w:t>
      </w:r>
      <w:r>
        <w:rPr>
          <w:rFonts w:ascii="黑体" w:hAnsi="黑体" w:eastAsia="黑体"/>
          <w:color w:val="auto"/>
          <w:spacing w:val="6"/>
          <w:sz w:val="27"/>
          <w:szCs w:val="27"/>
          <w:highlight w:val="none"/>
        </w:rPr>
        <w:t>对招标人的纪律要求</w:t>
      </w:r>
      <w:bookmarkEnd w:id="317"/>
      <w:bookmarkEnd w:id="318"/>
      <w:bookmarkEnd w:id="319"/>
      <w:bookmarkEnd w:id="320"/>
      <w:bookmarkEnd w:id="321"/>
    </w:p>
    <w:p w14:paraId="603E1B57">
      <w:pPr>
        <w:spacing w:before="69" w:line="359" w:lineRule="auto"/>
        <w:ind w:left="2" w:firstLine="419"/>
        <w:rPr>
          <w:rFonts w:ascii="宋体" w:hAnsi="宋体" w:eastAsia="宋体"/>
          <w:color w:val="auto"/>
          <w:spacing w:val="-2"/>
          <w:highlight w:val="none"/>
        </w:rPr>
      </w:pPr>
      <w:r>
        <w:rPr>
          <w:rFonts w:ascii="宋体" w:hAnsi="宋体" w:eastAsia="宋体"/>
          <w:color w:val="auto"/>
          <w:spacing w:val="-10"/>
          <w:highlight w:val="none"/>
        </w:rPr>
        <w:t>招标人</w:t>
      </w:r>
      <w:r>
        <w:rPr>
          <w:rFonts w:ascii="宋体" w:hAnsi="宋体" w:eastAsia="宋体"/>
          <w:color w:val="auto"/>
          <w:spacing w:val="-6"/>
          <w:highlight w:val="none"/>
        </w:rPr>
        <w:t>不</w:t>
      </w:r>
      <w:r>
        <w:rPr>
          <w:rFonts w:ascii="宋体" w:hAnsi="宋体" w:eastAsia="宋体"/>
          <w:color w:val="auto"/>
          <w:spacing w:val="-5"/>
          <w:highlight w:val="none"/>
        </w:rPr>
        <w:t>得泄露招标投标活动中应当保密的情况和资料，不得与投标人串通损害国家利益、</w:t>
      </w:r>
      <w:r>
        <w:rPr>
          <w:rFonts w:ascii="宋体" w:hAnsi="宋体" w:eastAsia="宋体"/>
          <w:color w:val="auto"/>
          <w:highlight w:val="none"/>
        </w:rPr>
        <w:t xml:space="preserve"> </w:t>
      </w:r>
      <w:r>
        <w:rPr>
          <w:rFonts w:ascii="宋体" w:hAnsi="宋体" w:eastAsia="宋体"/>
          <w:color w:val="auto"/>
          <w:spacing w:val="-4"/>
          <w:highlight w:val="none"/>
        </w:rPr>
        <w:t>社会公</w:t>
      </w:r>
      <w:r>
        <w:rPr>
          <w:rFonts w:ascii="宋体" w:hAnsi="宋体" w:eastAsia="宋体"/>
          <w:color w:val="auto"/>
          <w:spacing w:val="-3"/>
          <w:highlight w:val="none"/>
        </w:rPr>
        <w:t>共</w:t>
      </w:r>
      <w:r>
        <w:rPr>
          <w:rFonts w:ascii="宋体" w:hAnsi="宋体" w:eastAsia="宋体"/>
          <w:color w:val="auto"/>
          <w:spacing w:val="-2"/>
          <w:highlight w:val="none"/>
        </w:rPr>
        <w:t>利益或者他人合法权益。</w:t>
      </w:r>
    </w:p>
    <w:p w14:paraId="38790364">
      <w:pPr>
        <w:pStyle w:val="7"/>
        <w:rPr>
          <w:rFonts w:eastAsiaTheme="minorEastAsia"/>
          <w:color w:val="auto"/>
          <w:highlight w:val="none"/>
        </w:rPr>
      </w:pPr>
    </w:p>
    <w:p w14:paraId="09C09137">
      <w:pPr>
        <w:rPr>
          <w:rFonts w:ascii="Times New Roman" w:hAnsi="Times New Roman" w:eastAsia="Times New Roman"/>
          <w:color w:val="auto"/>
          <w:spacing w:val="12"/>
          <w:sz w:val="27"/>
          <w:szCs w:val="27"/>
          <w:highlight w:val="none"/>
        </w:rPr>
      </w:pPr>
      <w:bookmarkStart w:id="322" w:name="_Toc4329"/>
      <w:bookmarkStart w:id="323" w:name="_Toc352"/>
      <w:bookmarkStart w:id="324" w:name="_Toc1223"/>
      <w:bookmarkStart w:id="325" w:name="_Toc26897"/>
      <w:bookmarkStart w:id="326" w:name="_Toc21761"/>
      <w:r>
        <w:rPr>
          <w:rFonts w:ascii="Times New Roman" w:hAnsi="Times New Roman" w:eastAsia="Times New Roman"/>
          <w:color w:val="auto"/>
          <w:spacing w:val="12"/>
          <w:sz w:val="27"/>
          <w:szCs w:val="27"/>
          <w:highlight w:val="none"/>
        </w:rPr>
        <w:t>8</w:t>
      </w:r>
      <w:r>
        <w:rPr>
          <w:rFonts w:ascii="Times New Roman" w:hAnsi="Times New Roman" w:eastAsia="Times New Roman"/>
          <w:color w:val="auto"/>
          <w:spacing w:val="9"/>
          <w:sz w:val="27"/>
          <w:szCs w:val="27"/>
          <w:highlight w:val="none"/>
        </w:rPr>
        <w:t>.</w:t>
      </w:r>
      <w:r>
        <w:rPr>
          <w:rFonts w:ascii="Times New Roman" w:hAnsi="Times New Roman" w:eastAsia="Times New Roman"/>
          <w:color w:val="auto"/>
          <w:spacing w:val="6"/>
          <w:sz w:val="27"/>
          <w:szCs w:val="27"/>
          <w:highlight w:val="none"/>
        </w:rPr>
        <w:t xml:space="preserve">2  </w:t>
      </w:r>
      <w:r>
        <w:rPr>
          <w:rFonts w:ascii="黑体" w:hAnsi="黑体" w:eastAsia="黑体"/>
          <w:color w:val="auto"/>
          <w:spacing w:val="6"/>
          <w:sz w:val="27"/>
          <w:szCs w:val="27"/>
          <w:highlight w:val="none"/>
        </w:rPr>
        <w:t>对投标人的纪律要求</w:t>
      </w:r>
      <w:bookmarkEnd w:id="322"/>
      <w:bookmarkEnd w:id="323"/>
      <w:bookmarkEnd w:id="324"/>
      <w:bookmarkEnd w:id="325"/>
      <w:bookmarkEnd w:id="326"/>
    </w:p>
    <w:p w14:paraId="47FAA05E">
      <w:pPr>
        <w:spacing w:before="68" w:line="358" w:lineRule="auto"/>
        <w:ind w:right="80" w:firstLine="422"/>
        <w:rPr>
          <w:rFonts w:ascii="宋体" w:hAnsi="宋体" w:eastAsia="宋体"/>
          <w:color w:val="auto"/>
          <w:spacing w:val="-3"/>
          <w:highlight w:val="none"/>
        </w:rPr>
      </w:pPr>
      <w:r>
        <w:rPr>
          <w:rFonts w:ascii="宋体" w:hAnsi="宋体" w:eastAsia="宋体"/>
          <w:color w:val="auto"/>
          <w:spacing w:val="1"/>
          <w:highlight w:val="none"/>
        </w:rPr>
        <w:t>投标人不得相互串通投标或者</w:t>
      </w:r>
      <w:r>
        <w:rPr>
          <w:rFonts w:ascii="宋体" w:hAnsi="宋体" w:eastAsia="宋体"/>
          <w:color w:val="auto"/>
          <w:highlight w:val="none"/>
        </w:rPr>
        <w:t>与招标人串通投标，不得向招标人或者评标委员会成员行贿</w:t>
      </w:r>
      <w:r>
        <w:rPr>
          <w:rFonts w:ascii="宋体" w:hAnsi="宋体" w:eastAsia="宋体"/>
          <w:color w:val="auto"/>
          <w:spacing w:val="-4"/>
          <w:highlight w:val="none"/>
        </w:rPr>
        <w:t>谋取中</w:t>
      </w:r>
      <w:r>
        <w:rPr>
          <w:rFonts w:ascii="宋体" w:hAnsi="宋体" w:eastAsia="宋体"/>
          <w:color w:val="auto"/>
          <w:spacing w:val="-2"/>
          <w:highlight w:val="none"/>
        </w:rPr>
        <w:t>标，不得以他人名义投标或者以其他方式弄虚作假骗取中标；投标人不得以任何方式干</w:t>
      </w:r>
      <w:r>
        <w:rPr>
          <w:rFonts w:ascii="宋体" w:hAnsi="宋体" w:eastAsia="宋体"/>
          <w:color w:val="auto"/>
          <w:spacing w:val="-6"/>
          <w:highlight w:val="none"/>
        </w:rPr>
        <w:t>扰、</w:t>
      </w:r>
      <w:r>
        <w:rPr>
          <w:rFonts w:ascii="宋体" w:hAnsi="宋体" w:eastAsia="宋体"/>
          <w:color w:val="auto"/>
          <w:spacing w:val="-4"/>
          <w:highlight w:val="none"/>
        </w:rPr>
        <w:t>影</w:t>
      </w:r>
      <w:r>
        <w:rPr>
          <w:rFonts w:ascii="宋体" w:hAnsi="宋体" w:eastAsia="宋体"/>
          <w:color w:val="auto"/>
          <w:spacing w:val="-3"/>
          <w:highlight w:val="none"/>
        </w:rPr>
        <w:t>响评标工作。</w:t>
      </w:r>
    </w:p>
    <w:p w14:paraId="5424DC31">
      <w:pPr>
        <w:pStyle w:val="7"/>
        <w:rPr>
          <w:rFonts w:eastAsiaTheme="minorEastAsia"/>
          <w:color w:val="auto"/>
          <w:highlight w:val="none"/>
        </w:rPr>
      </w:pPr>
    </w:p>
    <w:p w14:paraId="3C0AFDC3">
      <w:pPr>
        <w:rPr>
          <w:rFonts w:ascii="Times New Roman" w:hAnsi="Times New Roman" w:eastAsia="Times New Roman"/>
          <w:color w:val="auto"/>
          <w:spacing w:val="14"/>
          <w:sz w:val="27"/>
          <w:szCs w:val="27"/>
          <w:highlight w:val="none"/>
        </w:rPr>
      </w:pPr>
      <w:bookmarkStart w:id="327" w:name="_Toc28102"/>
      <w:bookmarkStart w:id="328" w:name="_Toc1811"/>
      <w:bookmarkStart w:id="329" w:name="_Toc13086"/>
      <w:bookmarkStart w:id="330" w:name="_Toc16711"/>
      <w:bookmarkStart w:id="331" w:name="_Toc1587"/>
      <w:r>
        <w:rPr>
          <w:rFonts w:ascii="Times New Roman" w:hAnsi="Times New Roman" w:eastAsia="Times New Roman"/>
          <w:color w:val="auto"/>
          <w:spacing w:val="14"/>
          <w:sz w:val="27"/>
          <w:szCs w:val="27"/>
          <w:highlight w:val="none"/>
        </w:rPr>
        <w:t>8</w:t>
      </w:r>
      <w:r>
        <w:rPr>
          <w:rFonts w:ascii="Times New Roman" w:hAnsi="Times New Roman" w:eastAsia="Times New Roman"/>
          <w:color w:val="auto"/>
          <w:spacing w:val="7"/>
          <w:sz w:val="27"/>
          <w:szCs w:val="27"/>
          <w:highlight w:val="none"/>
        </w:rPr>
        <w:t xml:space="preserve">.3  </w:t>
      </w:r>
      <w:r>
        <w:rPr>
          <w:rFonts w:ascii="黑体" w:hAnsi="黑体" w:eastAsia="黑体"/>
          <w:color w:val="auto"/>
          <w:spacing w:val="7"/>
          <w:sz w:val="27"/>
          <w:szCs w:val="27"/>
          <w:highlight w:val="none"/>
        </w:rPr>
        <w:t>对评标委员会成员的纪律要求</w:t>
      </w:r>
      <w:bookmarkEnd w:id="327"/>
      <w:bookmarkEnd w:id="328"/>
      <w:bookmarkEnd w:id="329"/>
      <w:bookmarkEnd w:id="330"/>
      <w:bookmarkEnd w:id="331"/>
    </w:p>
    <w:p w14:paraId="56BB3CDD">
      <w:pPr>
        <w:spacing w:before="69" w:line="356" w:lineRule="auto"/>
        <w:ind w:right="13" w:firstLine="419"/>
        <w:rPr>
          <w:rFonts w:ascii="宋体" w:hAnsi="宋体" w:eastAsia="宋体"/>
          <w:color w:val="auto"/>
          <w:spacing w:val="-1"/>
          <w:highlight w:val="none"/>
        </w:rPr>
      </w:pPr>
      <w:r>
        <w:rPr>
          <w:rFonts w:ascii="宋体" w:hAnsi="宋体" w:eastAsia="宋体"/>
          <w:color w:val="auto"/>
          <w:spacing w:val="1"/>
          <w:highlight w:val="none"/>
        </w:rPr>
        <w:t>评标委员会成员不得收受他人的财物</w:t>
      </w:r>
      <w:r>
        <w:rPr>
          <w:rFonts w:ascii="宋体" w:hAnsi="宋体" w:eastAsia="宋体"/>
          <w:color w:val="auto"/>
          <w:highlight w:val="none"/>
        </w:rPr>
        <w:t xml:space="preserve">或者其他好处，不得向他人透露对投标文件的评审和 </w:t>
      </w:r>
      <w:r>
        <w:rPr>
          <w:rFonts w:ascii="宋体" w:hAnsi="宋体" w:eastAsia="宋体"/>
          <w:color w:val="auto"/>
          <w:spacing w:val="1"/>
          <w:highlight w:val="none"/>
        </w:rPr>
        <w:t>比较、中标候选人的推荐情况以及</w:t>
      </w:r>
      <w:r>
        <w:rPr>
          <w:rFonts w:ascii="宋体" w:hAnsi="宋体" w:eastAsia="宋体"/>
          <w:color w:val="auto"/>
          <w:highlight w:val="none"/>
        </w:rPr>
        <w:t xml:space="preserve">评标有关的其他情况。在评标活动中，评标委员会成员应当 </w:t>
      </w:r>
      <w:r>
        <w:rPr>
          <w:rFonts w:ascii="宋体" w:hAnsi="宋体" w:eastAsia="宋体"/>
          <w:color w:val="auto"/>
          <w:spacing w:val="-4"/>
          <w:highlight w:val="none"/>
        </w:rPr>
        <w:t>客观、</w:t>
      </w:r>
      <w:r>
        <w:rPr>
          <w:rFonts w:ascii="宋体" w:hAnsi="宋体" w:eastAsia="宋体"/>
          <w:color w:val="auto"/>
          <w:spacing w:val="-2"/>
          <w:highlight w:val="none"/>
        </w:rPr>
        <w:t>公正地履行职责，遵守职业道德，不得擅离职守，影响评标程序正常进行，不得使用第</w:t>
      </w:r>
      <w:r>
        <w:rPr>
          <w:rFonts w:ascii="宋体" w:hAnsi="宋体" w:eastAsia="宋体"/>
          <w:color w:val="auto"/>
          <w:highlight w:val="none"/>
        </w:rPr>
        <w:t xml:space="preserve"> </w:t>
      </w:r>
      <w:r>
        <w:rPr>
          <w:rFonts w:ascii="宋体" w:hAnsi="宋体" w:eastAsia="宋体"/>
          <w:color w:val="auto"/>
          <w:spacing w:val="-2"/>
          <w:highlight w:val="none"/>
        </w:rPr>
        <w:t>三章</w:t>
      </w:r>
      <w:r>
        <w:rPr>
          <w:rFonts w:hint="eastAsia" w:ascii="Times New Roman" w:hAnsi="Times New Roman" w:eastAsia="宋体"/>
          <w:color w:val="auto"/>
          <w:spacing w:val="-2"/>
          <w:highlight w:val="none"/>
        </w:rPr>
        <w:t>“</w:t>
      </w:r>
      <w:r>
        <w:rPr>
          <w:rFonts w:ascii="宋体" w:hAnsi="宋体" w:eastAsia="宋体"/>
          <w:color w:val="auto"/>
          <w:spacing w:val="-2"/>
          <w:highlight w:val="none"/>
        </w:rPr>
        <w:t>评标办法</w:t>
      </w:r>
      <w:r>
        <w:rPr>
          <w:rFonts w:hint="eastAsia" w:ascii="Times New Roman" w:hAnsi="Times New Roman" w:eastAsia="宋体"/>
          <w:color w:val="auto"/>
          <w:spacing w:val="-2"/>
          <w:highlight w:val="none"/>
        </w:rPr>
        <w:t>”</w:t>
      </w:r>
      <w:r>
        <w:rPr>
          <w:rFonts w:ascii="宋体" w:hAnsi="宋体" w:eastAsia="宋体"/>
          <w:color w:val="auto"/>
          <w:spacing w:val="-2"/>
          <w:highlight w:val="none"/>
        </w:rPr>
        <w:t>没有规定</w:t>
      </w:r>
      <w:r>
        <w:rPr>
          <w:rFonts w:ascii="宋体" w:hAnsi="宋体" w:eastAsia="宋体"/>
          <w:color w:val="auto"/>
          <w:spacing w:val="-1"/>
          <w:highlight w:val="none"/>
        </w:rPr>
        <w:t>的评审因素和标准进行评标。</w:t>
      </w:r>
    </w:p>
    <w:p w14:paraId="1B1C60A0">
      <w:pPr>
        <w:pStyle w:val="7"/>
        <w:rPr>
          <w:rFonts w:eastAsiaTheme="minorEastAsia"/>
          <w:color w:val="auto"/>
          <w:highlight w:val="none"/>
        </w:rPr>
      </w:pPr>
    </w:p>
    <w:p w14:paraId="15EBFB5C">
      <w:pPr>
        <w:rPr>
          <w:rFonts w:ascii="Times New Roman" w:hAnsi="Times New Roman" w:eastAsia="Times New Roman"/>
          <w:color w:val="auto"/>
          <w:spacing w:val="9"/>
          <w:sz w:val="27"/>
          <w:szCs w:val="27"/>
          <w:highlight w:val="none"/>
        </w:rPr>
      </w:pPr>
      <w:bookmarkStart w:id="332" w:name="_Toc16896"/>
      <w:bookmarkStart w:id="333" w:name="_Toc23055"/>
      <w:bookmarkStart w:id="334" w:name="_Toc17089"/>
      <w:bookmarkStart w:id="335" w:name="_Toc11797"/>
      <w:bookmarkStart w:id="336" w:name="_Toc23647"/>
      <w:r>
        <w:rPr>
          <w:rFonts w:ascii="Times New Roman" w:hAnsi="Times New Roman" w:eastAsia="Times New Roman"/>
          <w:color w:val="auto"/>
          <w:spacing w:val="9"/>
          <w:sz w:val="27"/>
          <w:szCs w:val="27"/>
          <w:highlight w:val="none"/>
        </w:rPr>
        <w:t>8</w:t>
      </w:r>
      <w:r>
        <w:rPr>
          <w:rFonts w:ascii="Times New Roman" w:hAnsi="Times New Roman" w:eastAsia="Times New Roman"/>
          <w:color w:val="auto"/>
          <w:spacing w:val="8"/>
          <w:sz w:val="27"/>
          <w:szCs w:val="27"/>
          <w:highlight w:val="none"/>
        </w:rPr>
        <w:t xml:space="preserve">.4  </w:t>
      </w:r>
      <w:r>
        <w:rPr>
          <w:rFonts w:ascii="黑体" w:hAnsi="黑体" w:eastAsia="黑体"/>
          <w:color w:val="auto"/>
          <w:spacing w:val="8"/>
          <w:sz w:val="27"/>
          <w:szCs w:val="27"/>
          <w:highlight w:val="none"/>
        </w:rPr>
        <w:t>对与评标活动有关的工作人员的纪律要求</w:t>
      </w:r>
      <w:bookmarkEnd w:id="332"/>
      <w:bookmarkEnd w:id="333"/>
      <w:bookmarkEnd w:id="334"/>
      <w:bookmarkEnd w:id="335"/>
      <w:bookmarkEnd w:id="336"/>
    </w:p>
    <w:p w14:paraId="6A28818B">
      <w:pPr>
        <w:spacing w:before="68" w:line="358" w:lineRule="auto"/>
        <w:ind w:right="13" w:firstLine="425"/>
        <w:rPr>
          <w:rFonts w:ascii="宋体" w:hAnsi="宋体" w:eastAsia="宋体"/>
          <w:color w:val="auto"/>
          <w:spacing w:val="-1"/>
          <w:highlight w:val="none"/>
        </w:rPr>
      </w:pPr>
      <w:r>
        <w:rPr>
          <w:rFonts w:ascii="宋体" w:hAnsi="宋体" w:eastAsia="宋体"/>
          <w:color w:val="auto"/>
          <w:spacing w:val="1"/>
          <w:highlight w:val="none"/>
        </w:rPr>
        <w:t>与评标活动有关的工作人</w:t>
      </w:r>
      <w:r>
        <w:rPr>
          <w:rFonts w:ascii="宋体" w:hAnsi="宋体" w:eastAsia="宋体"/>
          <w:color w:val="auto"/>
          <w:highlight w:val="none"/>
        </w:rPr>
        <w:t xml:space="preserve">员不得收受他人的财物或者其他好处，不得向他人透露对投标文 </w:t>
      </w:r>
      <w:r>
        <w:rPr>
          <w:rFonts w:ascii="宋体" w:hAnsi="宋体" w:eastAsia="宋体"/>
          <w:color w:val="auto"/>
          <w:spacing w:val="1"/>
          <w:highlight w:val="none"/>
        </w:rPr>
        <w:t>件的评审和比较、中标候选人的推荐</w:t>
      </w:r>
      <w:r>
        <w:rPr>
          <w:rFonts w:ascii="宋体" w:hAnsi="宋体" w:eastAsia="宋体"/>
          <w:color w:val="auto"/>
          <w:highlight w:val="none"/>
        </w:rPr>
        <w:t xml:space="preserve">情况以及评标有关的其他情况。在评标活动中，与评标活 </w:t>
      </w:r>
      <w:r>
        <w:rPr>
          <w:rFonts w:ascii="宋体" w:hAnsi="宋体" w:eastAsia="宋体"/>
          <w:color w:val="auto"/>
          <w:spacing w:val="-2"/>
          <w:highlight w:val="none"/>
        </w:rPr>
        <w:t>动有关的工作人员不得</w:t>
      </w:r>
      <w:r>
        <w:rPr>
          <w:rFonts w:ascii="宋体" w:hAnsi="宋体" w:eastAsia="宋体"/>
          <w:color w:val="auto"/>
          <w:spacing w:val="-1"/>
          <w:highlight w:val="none"/>
        </w:rPr>
        <w:t>擅离职守，影响评标程序正常进行。</w:t>
      </w:r>
    </w:p>
    <w:p w14:paraId="2558F6E2">
      <w:pPr>
        <w:pStyle w:val="7"/>
        <w:rPr>
          <w:rFonts w:eastAsiaTheme="minorEastAsia"/>
          <w:color w:val="auto"/>
          <w:highlight w:val="none"/>
        </w:rPr>
      </w:pPr>
    </w:p>
    <w:p w14:paraId="01010CA4">
      <w:pPr>
        <w:rPr>
          <w:rFonts w:ascii="Times New Roman" w:hAnsi="Times New Roman" w:eastAsia="Times New Roman"/>
          <w:color w:val="auto"/>
          <w:spacing w:val="3"/>
          <w:sz w:val="27"/>
          <w:szCs w:val="27"/>
          <w:highlight w:val="none"/>
        </w:rPr>
      </w:pPr>
      <w:bookmarkStart w:id="337" w:name="_Toc17462"/>
      <w:bookmarkStart w:id="338" w:name="_Toc32762"/>
      <w:bookmarkStart w:id="339" w:name="_Toc31393"/>
      <w:bookmarkStart w:id="340" w:name="_Toc10402"/>
      <w:bookmarkStart w:id="341" w:name="_Toc15962"/>
      <w:r>
        <w:rPr>
          <w:rFonts w:ascii="Times New Roman" w:hAnsi="Times New Roman" w:eastAsia="Times New Roman"/>
          <w:color w:val="auto"/>
          <w:spacing w:val="3"/>
          <w:sz w:val="27"/>
          <w:szCs w:val="27"/>
          <w:highlight w:val="none"/>
        </w:rPr>
        <w:t xml:space="preserve">8.5  </w:t>
      </w:r>
      <w:r>
        <w:rPr>
          <w:rFonts w:ascii="黑体" w:hAnsi="黑体" w:eastAsia="黑体"/>
          <w:color w:val="auto"/>
          <w:spacing w:val="3"/>
          <w:sz w:val="27"/>
          <w:szCs w:val="27"/>
          <w:highlight w:val="none"/>
        </w:rPr>
        <w:t>投</w:t>
      </w:r>
      <w:r>
        <w:rPr>
          <w:rFonts w:ascii="黑体" w:hAnsi="黑体" w:eastAsia="黑体"/>
          <w:color w:val="auto"/>
          <w:spacing w:val="1"/>
          <w:sz w:val="27"/>
          <w:szCs w:val="27"/>
          <w:highlight w:val="none"/>
        </w:rPr>
        <w:t>诉</w:t>
      </w:r>
      <w:bookmarkEnd w:id="337"/>
      <w:bookmarkEnd w:id="338"/>
      <w:bookmarkEnd w:id="339"/>
      <w:bookmarkEnd w:id="340"/>
      <w:bookmarkEnd w:id="341"/>
    </w:p>
    <w:p w14:paraId="78731AF6">
      <w:pPr>
        <w:spacing w:before="69" w:line="352" w:lineRule="auto"/>
        <w:ind w:left="5" w:right="6" w:firstLine="420"/>
        <w:rPr>
          <w:rFonts w:ascii="Times New Roman" w:hAnsi="Times New Roman" w:eastAsia="Times New Roman"/>
          <w:color w:val="auto"/>
          <w:spacing w:val="-8"/>
          <w:highlight w:val="none"/>
        </w:rPr>
      </w:pPr>
      <w:r>
        <w:rPr>
          <w:rFonts w:ascii="Times New Roman" w:hAnsi="Times New Roman" w:eastAsia="Times New Roman"/>
          <w:color w:val="auto"/>
          <w:spacing w:val="-8"/>
          <w:highlight w:val="none"/>
        </w:rPr>
        <w:t>8.5</w:t>
      </w:r>
      <w:r>
        <w:rPr>
          <w:rFonts w:ascii="Times New Roman" w:hAnsi="Times New Roman" w:eastAsia="Times New Roman"/>
          <w:color w:val="auto"/>
          <w:spacing w:val="-4"/>
          <w:highlight w:val="none"/>
        </w:rPr>
        <w:t xml:space="preserve">.1  </w:t>
      </w:r>
      <w:r>
        <w:rPr>
          <w:rFonts w:ascii="宋体" w:hAnsi="宋体" w:eastAsia="宋体"/>
          <w:color w:val="auto"/>
          <w:spacing w:val="-4"/>
          <w:highlight w:val="none"/>
        </w:rPr>
        <w:t>投标人或者其他利害关系人认为招标投标活动不符合法律、行政法规规定的， 可以自</w:t>
      </w:r>
      <w:r>
        <w:rPr>
          <w:rFonts w:ascii="宋体" w:hAnsi="宋体" w:eastAsia="宋体"/>
          <w:color w:val="auto"/>
          <w:highlight w:val="none"/>
        </w:rPr>
        <w:t xml:space="preserve"> </w:t>
      </w:r>
      <w:r>
        <w:rPr>
          <w:rFonts w:ascii="宋体" w:hAnsi="宋体" w:eastAsia="宋体"/>
          <w:color w:val="auto"/>
          <w:spacing w:val="-6"/>
          <w:highlight w:val="none"/>
        </w:rPr>
        <w:t>知道</w:t>
      </w:r>
      <w:r>
        <w:rPr>
          <w:rFonts w:ascii="宋体" w:hAnsi="宋体" w:eastAsia="宋体"/>
          <w:color w:val="auto"/>
          <w:spacing w:val="-5"/>
          <w:highlight w:val="none"/>
        </w:rPr>
        <w:t>或</w:t>
      </w:r>
      <w:r>
        <w:rPr>
          <w:rFonts w:ascii="宋体" w:hAnsi="宋体" w:eastAsia="宋体"/>
          <w:color w:val="auto"/>
          <w:spacing w:val="-3"/>
          <w:highlight w:val="none"/>
        </w:rPr>
        <w:t xml:space="preserve">者应当知道之日起 </w:t>
      </w:r>
      <w:r>
        <w:rPr>
          <w:rFonts w:ascii="Times New Roman" w:hAnsi="Times New Roman" w:eastAsia="Times New Roman"/>
          <w:color w:val="auto"/>
          <w:spacing w:val="-3"/>
          <w:highlight w:val="none"/>
        </w:rPr>
        <w:t xml:space="preserve">10 </w:t>
      </w:r>
      <w:r>
        <w:rPr>
          <w:rFonts w:ascii="宋体" w:hAnsi="宋体" w:eastAsia="宋体"/>
          <w:color w:val="auto"/>
          <w:spacing w:val="-3"/>
          <w:highlight w:val="none"/>
        </w:rPr>
        <w:t>日内向有关行政监督部门投诉。投诉应当有明确的请求和必要的证</w:t>
      </w:r>
      <w:r>
        <w:rPr>
          <w:rFonts w:ascii="宋体" w:hAnsi="宋体" w:eastAsia="宋体"/>
          <w:color w:val="auto"/>
          <w:highlight w:val="none"/>
        </w:rPr>
        <w:t xml:space="preserve"> </w:t>
      </w:r>
      <w:r>
        <w:rPr>
          <w:rFonts w:ascii="宋体" w:hAnsi="宋体" w:eastAsia="宋体"/>
          <w:color w:val="auto"/>
          <w:spacing w:val="-8"/>
          <w:highlight w:val="none"/>
        </w:rPr>
        <w:t>明材料。</w:t>
      </w:r>
    </w:p>
    <w:p w14:paraId="53FF5FB6">
      <w:pPr>
        <w:spacing w:before="3" w:line="357" w:lineRule="auto"/>
        <w:ind w:left="2" w:firstLine="422"/>
        <w:rPr>
          <w:rFonts w:ascii="Times New Roman" w:hAnsi="Times New Roman" w:eastAsia="Times New Roman"/>
          <w:color w:val="auto"/>
          <w:spacing w:val="-8"/>
          <w:highlight w:val="none"/>
        </w:rPr>
      </w:pPr>
      <w:r>
        <w:rPr>
          <w:rFonts w:ascii="Times New Roman" w:hAnsi="Times New Roman" w:eastAsia="Times New Roman"/>
          <w:color w:val="auto"/>
          <w:spacing w:val="-8"/>
          <w:highlight w:val="none"/>
        </w:rPr>
        <w:t>8.5</w:t>
      </w:r>
      <w:r>
        <w:rPr>
          <w:rFonts w:ascii="Times New Roman" w:hAnsi="Times New Roman" w:eastAsia="Times New Roman"/>
          <w:color w:val="auto"/>
          <w:spacing w:val="-4"/>
          <w:highlight w:val="none"/>
        </w:rPr>
        <w:t xml:space="preserve">.2  </w:t>
      </w:r>
      <w:r>
        <w:rPr>
          <w:rFonts w:ascii="宋体" w:hAnsi="宋体" w:eastAsia="宋体"/>
          <w:color w:val="auto"/>
          <w:spacing w:val="-4"/>
          <w:highlight w:val="none"/>
        </w:rPr>
        <w:t>投标人或者其他利害关系人对招标文件、开标和评标结果提出投诉的， 应当按照投标</w:t>
      </w:r>
      <w:r>
        <w:rPr>
          <w:rFonts w:ascii="宋体" w:hAnsi="宋体" w:eastAsia="宋体"/>
          <w:color w:val="auto"/>
          <w:highlight w:val="none"/>
        </w:rPr>
        <w:t xml:space="preserve"> </w:t>
      </w:r>
      <w:r>
        <w:rPr>
          <w:rFonts w:ascii="宋体" w:hAnsi="宋体" w:eastAsia="宋体"/>
          <w:color w:val="auto"/>
          <w:spacing w:val="-9"/>
          <w:highlight w:val="none"/>
        </w:rPr>
        <w:t xml:space="preserve">人须知第 </w:t>
      </w:r>
      <w:r>
        <w:rPr>
          <w:rFonts w:ascii="Times New Roman" w:hAnsi="Times New Roman" w:eastAsia="Times New Roman"/>
          <w:color w:val="auto"/>
          <w:spacing w:val="-9"/>
          <w:highlight w:val="none"/>
        </w:rPr>
        <w:t xml:space="preserve">2.4 </w:t>
      </w:r>
      <w:r>
        <w:rPr>
          <w:rFonts w:ascii="宋体" w:hAnsi="宋体" w:eastAsia="宋体"/>
          <w:color w:val="auto"/>
          <w:spacing w:val="-9"/>
          <w:highlight w:val="none"/>
        </w:rPr>
        <w:t xml:space="preserve">款、第 </w:t>
      </w:r>
      <w:r>
        <w:rPr>
          <w:rFonts w:ascii="Times New Roman" w:hAnsi="Times New Roman" w:eastAsia="Times New Roman"/>
          <w:color w:val="auto"/>
          <w:spacing w:val="-9"/>
          <w:highlight w:val="none"/>
        </w:rPr>
        <w:t xml:space="preserve">5.3 </w:t>
      </w:r>
      <w:r>
        <w:rPr>
          <w:rFonts w:ascii="宋体" w:hAnsi="宋体" w:eastAsia="宋体"/>
          <w:color w:val="auto"/>
          <w:spacing w:val="-9"/>
          <w:highlight w:val="none"/>
        </w:rPr>
        <w:t xml:space="preserve">款和第 </w:t>
      </w:r>
      <w:r>
        <w:rPr>
          <w:rFonts w:ascii="Times New Roman" w:hAnsi="Times New Roman" w:eastAsia="Times New Roman"/>
          <w:color w:val="auto"/>
          <w:spacing w:val="-9"/>
          <w:highlight w:val="none"/>
        </w:rPr>
        <w:t xml:space="preserve">7.2 </w:t>
      </w:r>
      <w:r>
        <w:rPr>
          <w:rFonts w:ascii="宋体" w:hAnsi="宋体" w:eastAsia="宋体"/>
          <w:color w:val="auto"/>
          <w:spacing w:val="-9"/>
          <w:highlight w:val="none"/>
        </w:rPr>
        <w:t xml:space="preserve">款的规定先向招标人提出异议。异议答复期间不计算在第 </w:t>
      </w:r>
      <w:r>
        <w:rPr>
          <w:rFonts w:ascii="Times New Roman" w:hAnsi="Times New Roman" w:eastAsia="Times New Roman"/>
          <w:color w:val="auto"/>
          <w:spacing w:val="-9"/>
          <w:highlight w:val="none"/>
        </w:rPr>
        <w:t>8.5.</w:t>
      </w:r>
      <w:r>
        <w:rPr>
          <w:rFonts w:ascii="Times New Roman" w:hAnsi="Times New Roman" w:eastAsia="Times New Roman"/>
          <w:color w:val="auto"/>
          <w:spacing w:val="-3"/>
          <w:highlight w:val="none"/>
        </w:rPr>
        <w:t>1</w:t>
      </w:r>
      <w:r>
        <w:rPr>
          <w:rFonts w:ascii="Times New Roman" w:hAnsi="Times New Roman" w:eastAsia="Times New Roman"/>
          <w:color w:val="auto"/>
          <w:highlight w:val="none"/>
        </w:rPr>
        <w:t xml:space="preserve"> </w:t>
      </w:r>
      <w:r>
        <w:rPr>
          <w:rFonts w:ascii="宋体" w:hAnsi="宋体" w:eastAsia="宋体"/>
          <w:color w:val="auto"/>
          <w:spacing w:val="-7"/>
          <w:highlight w:val="none"/>
        </w:rPr>
        <w:t>项</w:t>
      </w:r>
      <w:r>
        <w:rPr>
          <w:rFonts w:ascii="宋体" w:hAnsi="宋体" w:eastAsia="宋体"/>
          <w:color w:val="auto"/>
          <w:spacing w:val="-4"/>
          <w:highlight w:val="none"/>
        </w:rPr>
        <w:t>规定的期限内。</w:t>
      </w:r>
    </w:p>
    <w:p w14:paraId="258ECFB0">
      <w:pPr>
        <w:pStyle w:val="25"/>
        <w:spacing w:before="120" w:after="120"/>
        <w:outlineLvl w:val="9"/>
        <w:rPr>
          <w:rFonts w:ascii="Times New Roman" w:hAnsi="Times New Roman" w:eastAsia="Times New Roman"/>
          <w:bCs/>
          <w:color w:val="auto"/>
          <w:spacing w:val="10"/>
          <w:sz w:val="31"/>
          <w:szCs w:val="31"/>
          <w:highlight w:val="none"/>
        </w:rPr>
      </w:pPr>
      <w:bookmarkStart w:id="342" w:name="_Toc19261"/>
      <w:bookmarkStart w:id="343" w:name="_Toc15884"/>
      <w:bookmarkStart w:id="344" w:name="_Toc4587"/>
      <w:bookmarkStart w:id="345" w:name="_Toc25410"/>
      <w:bookmarkStart w:id="346" w:name="_Toc19781"/>
      <w:r>
        <w:rPr>
          <w:rFonts w:ascii="Times New Roman" w:hAnsi="Times New Roman" w:eastAsia="Times New Roman"/>
          <w:bCs/>
          <w:color w:val="auto"/>
          <w:spacing w:val="10"/>
          <w:sz w:val="31"/>
          <w:szCs w:val="31"/>
          <w:highlight w:val="none"/>
        </w:rPr>
        <w:t>9</w:t>
      </w:r>
      <w:r>
        <w:rPr>
          <w:rFonts w:ascii="Times New Roman" w:hAnsi="Times New Roman" w:eastAsia="Times New Roman"/>
          <w:bCs/>
          <w:color w:val="auto"/>
          <w:spacing w:val="8"/>
          <w:sz w:val="31"/>
          <w:szCs w:val="31"/>
          <w:highlight w:val="none"/>
        </w:rPr>
        <w:t>.</w:t>
      </w:r>
      <w:r>
        <w:rPr>
          <w:rFonts w:ascii="Times New Roman" w:hAnsi="Times New Roman" w:eastAsia="Times New Roman"/>
          <w:color w:val="auto"/>
          <w:spacing w:val="8"/>
          <w:sz w:val="31"/>
          <w:szCs w:val="31"/>
          <w:highlight w:val="none"/>
        </w:rPr>
        <w:t xml:space="preserve">  </w:t>
      </w:r>
      <w:r>
        <w:rPr>
          <w:rFonts w:ascii="黑体" w:hAnsi="黑体" w:eastAsia="黑体"/>
          <w:color w:val="auto"/>
          <w:spacing w:val="8"/>
          <w:sz w:val="31"/>
          <w:szCs w:val="31"/>
          <w:highlight w:val="none"/>
        </w:rPr>
        <w:t>是否采用电子招标投标</w:t>
      </w:r>
      <w:bookmarkEnd w:id="342"/>
      <w:bookmarkEnd w:id="343"/>
      <w:bookmarkEnd w:id="344"/>
      <w:bookmarkEnd w:id="345"/>
      <w:bookmarkEnd w:id="346"/>
    </w:p>
    <w:p w14:paraId="720C0A61">
      <w:pPr>
        <w:spacing w:before="3" w:line="357" w:lineRule="auto"/>
        <w:ind w:left="2" w:firstLine="422"/>
        <w:rPr>
          <w:rFonts w:ascii="Times New Roman" w:hAnsi="Times New Roman" w:eastAsiaTheme="minorEastAsia"/>
          <w:color w:val="auto"/>
          <w:spacing w:val="-8"/>
          <w:highlight w:val="none"/>
        </w:rPr>
      </w:pPr>
      <w:r>
        <w:rPr>
          <w:rFonts w:ascii="Times New Roman" w:hAnsi="Times New Roman" w:eastAsia="Times New Roman"/>
          <w:color w:val="auto"/>
          <w:spacing w:val="-8"/>
          <w:highlight w:val="none"/>
        </w:rPr>
        <w:t>本招标项目采用电子招标投标方式，</w:t>
      </w:r>
      <w:r>
        <w:rPr>
          <w:rFonts w:hint="eastAsia" w:ascii="Times New Roman" w:hAnsi="Times New Roman" w:eastAsia="Times New Roman"/>
          <w:color w:val="auto"/>
          <w:spacing w:val="-8"/>
          <w:highlight w:val="none"/>
        </w:rPr>
        <w:t>按照</w:t>
      </w:r>
      <w:r>
        <w:rPr>
          <w:rFonts w:hint="eastAsia" w:ascii="Times New Roman" w:hAnsi="Times New Roman" w:eastAsia="宋体"/>
          <w:color w:val="auto"/>
          <w:spacing w:val="-8"/>
          <w:highlight w:val="none"/>
        </w:rPr>
        <w:t>广州交易集团有限公司（广州公共资源交易中心）</w:t>
      </w:r>
      <w:r>
        <w:rPr>
          <w:rFonts w:hint="eastAsia" w:ascii="Times New Roman" w:hAnsi="Times New Roman" w:eastAsia="Times New Roman"/>
          <w:color w:val="auto"/>
          <w:spacing w:val="-8"/>
          <w:highlight w:val="none"/>
        </w:rPr>
        <w:t>网站关于全流程电子化项目的相关指南进行操作。</w:t>
      </w:r>
    </w:p>
    <w:p w14:paraId="7E9E7B0A">
      <w:pPr>
        <w:pStyle w:val="7"/>
        <w:rPr>
          <w:rFonts w:eastAsiaTheme="minorEastAsia"/>
          <w:color w:val="auto"/>
          <w:highlight w:val="none"/>
        </w:rPr>
      </w:pPr>
    </w:p>
    <w:p w14:paraId="06D67A29">
      <w:pPr>
        <w:pStyle w:val="25"/>
        <w:spacing w:before="120" w:after="120"/>
        <w:outlineLvl w:val="9"/>
        <w:rPr>
          <w:rFonts w:ascii="黑体" w:hAnsi="黑体" w:eastAsia="黑体"/>
          <w:color w:val="auto"/>
          <w:spacing w:val="8"/>
          <w:sz w:val="31"/>
          <w:szCs w:val="31"/>
          <w:highlight w:val="none"/>
        </w:rPr>
      </w:pPr>
      <w:r>
        <w:rPr>
          <w:rFonts w:ascii="黑体" w:hAnsi="黑体" w:eastAsia="黑体"/>
          <w:color w:val="auto"/>
          <w:spacing w:val="8"/>
          <w:sz w:val="31"/>
          <w:szCs w:val="31"/>
          <w:highlight w:val="none"/>
        </w:rPr>
        <w:t>10</w:t>
      </w:r>
      <w:r>
        <w:rPr>
          <w:rFonts w:hint="eastAsia" w:ascii="黑体" w:hAnsi="黑体" w:eastAsia="黑体"/>
          <w:color w:val="auto"/>
          <w:spacing w:val="8"/>
          <w:sz w:val="31"/>
          <w:szCs w:val="31"/>
          <w:highlight w:val="none"/>
        </w:rPr>
        <w:t>.</w:t>
      </w:r>
      <w:r>
        <w:rPr>
          <w:rFonts w:ascii="黑体" w:hAnsi="黑体" w:eastAsia="黑体"/>
          <w:color w:val="auto"/>
          <w:spacing w:val="8"/>
          <w:sz w:val="31"/>
          <w:szCs w:val="31"/>
          <w:highlight w:val="none"/>
        </w:rPr>
        <w:t>重新招标情形</w:t>
      </w:r>
    </w:p>
    <w:p w14:paraId="0493C8F3">
      <w:pPr>
        <w:spacing w:before="3" w:line="357" w:lineRule="auto"/>
        <w:ind w:left="2" w:firstLine="422"/>
        <w:rPr>
          <w:rFonts w:ascii="宋体" w:hAnsi="宋体" w:eastAsia="宋体"/>
          <w:color w:val="auto"/>
          <w:spacing w:val="-4"/>
          <w:highlight w:val="none"/>
        </w:rPr>
      </w:pPr>
      <w:r>
        <w:rPr>
          <w:rFonts w:ascii="宋体" w:hAnsi="宋体" w:eastAsia="宋体"/>
          <w:color w:val="auto"/>
          <w:spacing w:val="-4"/>
          <w:highlight w:val="none"/>
        </w:rPr>
        <w:t>在下列情况下，依法必须招标项目的招标人在分析招标失败的原因并采取相应措施后，应当依照本办法重新招标：</w:t>
      </w:r>
    </w:p>
    <w:p w14:paraId="15681D7A">
      <w:pPr>
        <w:spacing w:before="3" w:line="357" w:lineRule="auto"/>
        <w:ind w:left="2" w:firstLine="422"/>
        <w:rPr>
          <w:rFonts w:ascii="宋体" w:hAnsi="宋体" w:eastAsia="宋体"/>
          <w:color w:val="auto"/>
          <w:spacing w:val="-4"/>
          <w:highlight w:val="none"/>
        </w:rPr>
      </w:pPr>
      <w:r>
        <w:rPr>
          <w:rFonts w:ascii="宋体" w:hAnsi="宋体" w:eastAsia="宋体"/>
          <w:color w:val="auto"/>
          <w:spacing w:val="-4"/>
          <w:highlight w:val="none"/>
        </w:rPr>
        <w:t>（一）资格预审合格的潜在投标人不足三个的；</w:t>
      </w:r>
    </w:p>
    <w:p w14:paraId="18867922">
      <w:pPr>
        <w:spacing w:before="3" w:line="357" w:lineRule="auto"/>
        <w:ind w:left="2" w:firstLine="422"/>
        <w:rPr>
          <w:rFonts w:ascii="宋体" w:hAnsi="宋体" w:eastAsia="宋体"/>
          <w:color w:val="auto"/>
          <w:spacing w:val="-4"/>
          <w:highlight w:val="none"/>
        </w:rPr>
      </w:pPr>
      <w:r>
        <w:rPr>
          <w:rFonts w:ascii="宋体" w:hAnsi="宋体" w:eastAsia="宋体"/>
          <w:color w:val="auto"/>
          <w:spacing w:val="-4"/>
          <w:highlight w:val="none"/>
        </w:rPr>
        <w:t>（二）在投标截止时间前提交投标文件的投标人少于三个的；</w:t>
      </w:r>
    </w:p>
    <w:p w14:paraId="00B3BB1F">
      <w:pPr>
        <w:spacing w:before="3" w:line="357" w:lineRule="auto"/>
        <w:ind w:left="2" w:firstLine="422"/>
        <w:rPr>
          <w:rFonts w:ascii="宋体" w:hAnsi="宋体" w:eastAsia="宋体"/>
          <w:color w:val="auto"/>
          <w:spacing w:val="-4"/>
          <w:highlight w:val="none"/>
        </w:rPr>
      </w:pPr>
      <w:r>
        <w:rPr>
          <w:rFonts w:ascii="宋体" w:hAnsi="宋体" w:eastAsia="宋体"/>
          <w:color w:val="auto"/>
          <w:spacing w:val="-4"/>
          <w:highlight w:val="none"/>
        </w:rPr>
        <w:t>（三）所有投标均被否决的；</w:t>
      </w:r>
    </w:p>
    <w:p w14:paraId="3885496C">
      <w:pPr>
        <w:spacing w:before="3" w:line="357" w:lineRule="auto"/>
        <w:ind w:left="2" w:firstLine="422"/>
        <w:rPr>
          <w:rFonts w:ascii="宋体" w:hAnsi="宋体" w:eastAsia="宋体"/>
          <w:color w:val="auto"/>
          <w:spacing w:val="-4"/>
          <w:highlight w:val="none"/>
        </w:rPr>
      </w:pPr>
      <w:r>
        <w:rPr>
          <w:rFonts w:ascii="宋体" w:hAnsi="宋体" w:eastAsia="宋体"/>
          <w:color w:val="auto"/>
          <w:spacing w:val="-4"/>
          <w:highlight w:val="none"/>
        </w:rPr>
        <w:t>（四）评标委员会否决不合格投标后，因有效投标不足三个使得投标明显缺乏竞争，评标委员会决定否决全部投标的；</w:t>
      </w:r>
    </w:p>
    <w:p w14:paraId="5CEC5F9C">
      <w:pPr>
        <w:spacing w:before="3" w:line="357" w:lineRule="auto"/>
        <w:ind w:left="2" w:firstLine="422"/>
        <w:rPr>
          <w:rFonts w:ascii="宋体" w:hAnsi="宋体" w:eastAsia="宋体"/>
          <w:color w:val="auto"/>
          <w:spacing w:val="-4"/>
          <w:highlight w:val="none"/>
        </w:rPr>
      </w:pPr>
      <w:r>
        <w:rPr>
          <w:rFonts w:ascii="宋体" w:hAnsi="宋体" w:eastAsia="宋体"/>
          <w:color w:val="auto"/>
          <w:spacing w:val="-4"/>
          <w:highlight w:val="none"/>
        </w:rPr>
        <w:t>（五）根据</w:t>
      </w:r>
      <w:bookmarkStart w:id="347" w:name="_Toc26088"/>
      <w:r>
        <w:rPr>
          <w:rFonts w:hint="eastAsia" w:ascii="宋体" w:hAnsi="宋体" w:eastAsia="宋体"/>
          <w:color w:val="auto"/>
          <w:spacing w:val="-4"/>
          <w:highlight w:val="none"/>
        </w:rPr>
        <w:t>《</w:t>
      </w:r>
      <w:r>
        <w:rPr>
          <w:rFonts w:hint="eastAsia" w:ascii="宋体" w:hAnsi="宋体" w:eastAsia="宋体"/>
          <w:color w:val="auto"/>
          <w:highlight w:val="none"/>
        </w:rPr>
        <w:t>工程建设项目勘察设计招标投标办法</w:t>
      </w:r>
      <w:bookmarkEnd w:id="347"/>
      <w:r>
        <w:rPr>
          <w:rFonts w:hint="eastAsia" w:ascii="宋体" w:hAnsi="宋体" w:eastAsia="宋体"/>
          <w:color w:val="auto"/>
          <w:highlight w:val="none"/>
        </w:rPr>
        <w:t>》</w:t>
      </w:r>
      <w:r>
        <w:rPr>
          <w:rFonts w:ascii="宋体" w:hAnsi="宋体" w:eastAsia="宋体"/>
          <w:color w:val="auto"/>
          <w:spacing w:val="-4"/>
          <w:highlight w:val="none"/>
        </w:rPr>
        <w:t>第四十六条规定，同意延长投标有效期的投标人少于三个的。</w:t>
      </w:r>
    </w:p>
    <w:p w14:paraId="3630E901">
      <w:pPr>
        <w:pStyle w:val="25"/>
        <w:spacing w:before="120" w:after="120"/>
        <w:outlineLvl w:val="9"/>
        <w:rPr>
          <w:rFonts w:ascii="Times New Roman" w:hAnsi="Times New Roman" w:eastAsia="Times New Roman"/>
          <w:bCs/>
          <w:color w:val="auto"/>
          <w:spacing w:val="7"/>
          <w:sz w:val="31"/>
          <w:szCs w:val="31"/>
          <w:highlight w:val="none"/>
        </w:rPr>
      </w:pPr>
      <w:bookmarkStart w:id="348" w:name="_Toc9782"/>
      <w:bookmarkStart w:id="349" w:name="_Toc22380"/>
      <w:bookmarkStart w:id="350" w:name="_Toc18689"/>
      <w:bookmarkStart w:id="351" w:name="_Toc9611"/>
      <w:bookmarkStart w:id="352" w:name="_Toc4820"/>
      <w:r>
        <w:rPr>
          <w:rFonts w:ascii="Times New Roman" w:hAnsi="Times New Roman" w:eastAsia="Times New Roman"/>
          <w:bCs/>
          <w:color w:val="auto"/>
          <w:spacing w:val="7"/>
          <w:sz w:val="31"/>
          <w:szCs w:val="31"/>
          <w:highlight w:val="none"/>
        </w:rPr>
        <w:t>1</w:t>
      </w:r>
      <w:r>
        <w:rPr>
          <w:rFonts w:hint="eastAsia" w:ascii="Times New Roman" w:hAnsi="Times New Roman"/>
          <w:bCs/>
          <w:color w:val="auto"/>
          <w:spacing w:val="7"/>
          <w:sz w:val="31"/>
          <w:szCs w:val="31"/>
          <w:highlight w:val="none"/>
        </w:rPr>
        <w:t>1</w:t>
      </w:r>
      <w:r>
        <w:rPr>
          <w:rFonts w:ascii="Times New Roman" w:hAnsi="Times New Roman" w:eastAsia="Times New Roman"/>
          <w:bCs/>
          <w:color w:val="auto"/>
          <w:spacing w:val="7"/>
          <w:sz w:val="31"/>
          <w:szCs w:val="31"/>
          <w:highlight w:val="none"/>
        </w:rPr>
        <w:t>.</w:t>
      </w:r>
      <w:r>
        <w:rPr>
          <w:rFonts w:ascii="Times New Roman" w:hAnsi="Times New Roman" w:eastAsia="Times New Roman"/>
          <w:color w:val="auto"/>
          <w:spacing w:val="7"/>
          <w:sz w:val="31"/>
          <w:szCs w:val="31"/>
          <w:highlight w:val="none"/>
        </w:rPr>
        <w:t xml:space="preserve">  </w:t>
      </w:r>
      <w:r>
        <w:rPr>
          <w:rFonts w:ascii="黑体" w:hAnsi="黑体" w:eastAsia="黑体"/>
          <w:color w:val="auto"/>
          <w:spacing w:val="7"/>
          <w:sz w:val="31"/>
          <w:szCs w:val="31"/>
          <w:highlight w:val="none"/>
        </w:rPr>
        <w:t>需要补充的其他内容</w:t>
      </w:r>
      <w:bookmarkEnd w:id="348"/>
      <w:bookmarkEnd w:id="349"/>
      <w:bookmarkEnd w:id="350"/>
      <w:bookmarkEnd w:id="351"/>
      <w:bookmarkEnd w:id="352"/>
    </w:p>
    <w:p w14:paraId="431DAEBF">
      <w:pPr>
        <w:spacing w:line="313" w:lineRule="auto"/>
        <w:rPr>
          <w:color w:val="auto"/>
          <w:highlight w:val="none"/>
        </w:rPr>
      </w:pPr>
    </w:p>
    <w:p w14:paraId="46A11FA8">
      <w:pPr>
        <w:spacing w:before="69" w:line="218" w:lineRule="auto"/>
        <w:ind w:left="430"/>
        <w:rPr>
          <w:rFonts w:ascii="宋体" w:hAnsi="宋体" w:eastAsia="宋体"/>
          <w:color w:val="auto"/>
          <w:spacing w:val="-4"/>
          <w:highlight w:val="none"/>
        </w:rPr>
      </w:pPr>
      <w:r>
        <w:rPr>
          <w:rFonts w:ascii="宋体" w:hAnsi="宋体" w:eastAsia="宋体"/>
          <w:color w:val="auto"/>
          <w:spacing w:val="-4"/>
          <w:highlight w:val="none"/>
        </w:rPr>
        <w:t>需要补</w:t>
      </w:r>
      <w:r>
        <w:rPr>
          <w:rFonts w:ascii="宋体" w:hAnsi="宋体" w:eastAsia="宋体"/>
          <w:color w:val="auto"/>
          <w:spacing w:val="-2"/>
          <w:highlight w:val="none"/>
        </w:rPr>
        <w:t>充的其他内容：见投标人须知前附表。</w:t>
      </w:r>
    </w:p>
    <w:p w14:paraId="18F04DE4">
      <w:pPr>
        <w:rPr>
          <w:color w:val="auto"/>
          <w:highlight w:val="none"/>
        </w:rPr>
        <w:sectPr>
          <w:footerReference r:id="rId10" w:type="default"/>
          <w:pgSz w:w="12240" w:h="15840"/>
          <w:pgMar w:top="1346" w:right="1393" w:bottom="1104" w:left="1807" w:header="0" w:footer="940" w:gutter="0"/>
          <w:cols w:space="720" w:num="1"/>
        </w:sectPr>
      </w:pPr>
    </w:p>
    <w:p w14:paraId="272FE59F">
      <w:pPr>
        <w:spacing w:line="248" w:lineRule="auto"/>
        <w:rPr>
          <w:color w:val="auto"/>
          <w:highlight w:val="none"/>
        </w:rPr>
      </w:pPr>
    </w:p>
    <w:p w14:paraId="16832C7F">
      <w:pPr>
        <w:pStyle w:val="25"/>
        <w:spacing w:before="120" w:after="120"/>
        <w:outlineLvl w:val="9"/>
        <w:rPr>
          <w:rFonts w:ascii="黑体" w:hAnsi="黑体" w:eastAsia="黑体"/>
          <w:color w:val="auto"/>
          <w:spacing w:val="14"/>
          <w:sz w:val="27"/>
          <w:szCs w:val="27"/>
          <w:highlight w:val="none"/>
        </w:rPr>
      </w:pPr>
      <w:bookmarkStart w:id="353" w:name="_Toc7946"/>
      <w:bookmarkStart w:id="354" w:name="_Toc18427"/>
      <w:bookmarkStart w:id="355" w:name="_Toc17042"/>
      <w:bookmarkStart w:id="356" w:name="_Toc16330"/>
      <w:bookmarkStart w:id="357" w:name="_Toc9613"/>
      <w:r>
        <w:rPr>
          <w:rFonts w:ascii="黑体" w:hAnsi="黑体" w:eastAsia="黑体"/>
          <w:color w:val="auto"/>
          <w:spacing w:val="14"/>
          <w:sz w:val="27"/>
          <w:szCs w:val="27"/>
          <w:highlight w:val="none"/>
        </w:rPr>
        <w:t>附</w:t>
      </w:r>
      <w:r>
        <w:rPr>
          <w:rFonts w:ascii="黑体" w:hAnsi="黑体" w:eastAsia="黑体"/>
          <w:color w:val="auto"/>
          <w:spacing w:val="7"/>
          <w:sz w:val="27"/>
          <w:szCs w:val="27"/>
          <w:highlight w:val="none"/>
        </w:rPr>
        <w:t>件</w:t>
      </w:r>
      <w:r>
        <w:rPr>
          <w:rFonts w:hint="eastAsia" w:ascii="黑体" w:hAnsi="黑体" w:eastAsia="黑体"/>
          <w:color w:val="auto"/>
          <w:spacing w:val="7"/>
          <w:sz w:val="27"/>
          <w:szCs w:val="27"/>
          <w:highlight w:val="none"/>
        </w:rPr>
        <w:t>一</w:t>
      </w:r>
      <w:r>
        <w:rPr>
          <w:rFonts w:ascii="黑体" w:hAnsi="黑体" w:eastAsia="黑体"/>
          <w:color w:val="auto"/>
          <w:spacing w:val="7"/>
          <w:sz w:val="27"/>
          <w:szCs w:val="27"/>
          <w:highlight w:val="none"/>
        </w:rPr>
        <w:t>：问题澄清通知</w:t>
      </w:r>
      <w:bookmarkEnd w:id="353"/>
      <w:bookmarkEnd w:id="354"/>
      <w:bookmarkEnd w:id="355"/>
      <w:bookmarkEnd w:id="356"/>
      <w:bookmarkEnd w:id="357"/>
    </w:p>
    <w:p w14:paraId="6CFD6AC8">
      <w:pPr>
        <w:spacing w:line="241" w:lineRule="auto"/>
        <w:rPr>
          <w:color w:val="auto"/>
          <w:highlight w:val="none"/>
        </w:rPr>
      </w:pPr>
    </w:p>
    <w:p w14:paraId="01DF5CAF">
      <w:pPr>
        <w:spacing w:line="241" w:lineRule="auto"/>
        <w:rPr>
          <w:color w:val="auto"/>
          <w:highlight w:val="none"/>
        </w:rPr>
      </w:pPr>
    </w:p>
    <w:p w14:paraId="2884D01D">
      <w:pPr>
        <w:spacing w:line="241" w:lineRule="auto"/>
        <w:rPr>
          <w:color w:val="auto"/>
          <w:highlight w:val="none"/>
        </w:rPr>
      </w:pPr>
    </w:p>
    <w:p w14:paraId="3EB50186">
      <w:pPr>
        <w:spacing w:line="241" w:lineRule="auto"/>
        <w:rPr>
          <w:color w:val="auto"/>
          <w:highlight w:val="none"/>
        </w:rPr>
      </w:pPr>
    </w:p>
    <w:p w14:paraId="698E610A">
      <w:pPr>
        <w:spacing w:before="88" w:line="229" w:lineRule="auto"/>
        <w:ind w:left="3506"/>
        <w:rPr>
          <w:rFonts w:ascii="黑体" w:hAnsi="黑体" w:eastAsia="黑体"/>
          <w:color w:val="auto"/>
          <w:spacing w:val="6"/>
          <w:sz w:val="27"/>
          <w:szCs w:val="27"/>
          <w:highlight w:val="none"/>
        </w:rPr>
      </w:pPr>
      <w:r>
        <w:rPr>
          <w:rFonts w:ascii="黑体" w:hAnsi="黑体" w:eastAsia="黑体"/>
          <w:color w:val="auto"/>
          <w:spacing w:val="6"/>
          <w:sz w:val="27"/>
          <w:szCs w:val="27"/>
          <w:highlight w:val="none"/>
        </w:rPr>
        <w:t>问题澄清通</w:t>
      </w:r>
      <w:r>
        <w:rPr>
          <w:rFonts w:ascii="黑体" w:hAnsi="黑体" w:eastAsia="黑体"/>
          <w:color w:val="auto"/>
          <w:spacing w:val="5"/>
          <w:sz w:val="27"/>
          <w:szCs w:val="27"/>
          <w:highlight w:val="none"/>
        </w:rPr>
        <w:t>知</w:t>
      </w:r>
    </w:p>
    <w:p w14:paraId="597B5623">
      <w:pPr>
        <w:spacing w:before="164" w:line="220" w:lineRule="auto"/>
        <w:ind w:left="2758"/>
        <w:rPr>
          <w:rFonts w:ascii="宋体" w:hAnsi="宋体" w:eastAsia="宋体"/>
          <w:color w:val="auto"/>
          <w:spacing w:val="1"/>
          <w:highlight w:val="none"/>
        </w:rPr>
      </w:pPr>
      <w:r>
        <w:rPr>
          <w:rFonts w:ascii="宋体" w:hAnsi="宋体" w:eastAsia="宋体"/>
          <w:color w:val="auto"/>
          <w:spacing w:val="1"/>
          <w:highlight w:val="none"/>
        </w:rPr>
        <w:t>(编号：</w:t>
      </w:r>
      <w:r>
        <w:rPr>
          <w:rFonts w:ascii="宋体" w:hAnsi="宋体" w:eastAsia="宋体"/>
          <w:color w:val="auto"/>
          <w:spacing w:val="1"/>
          <w:highlight w:val="none"/>
          <w:u w:val="single"/>
        </w:rPr>
        <w:t xml:space="preserve">            </w:t>
      </w:r>
      <w:r>
        <w:rPr>
          <w:rFonts w:ascii="宋体" w:hAnsi="宋体" w:eastAsia="宋体"/>
          <w:color w:val="auto"/>
          <w:highlight w:val="none"/>
          <w:u w:val="single"/>
        </w:rPr>
        <w:t xml:space="preserve">         </w:t>
      </w:r>
      <w:r>
        <w:rPr>
          <w:rFonts w:ascii="宋体" w:hAnsi="宋体" w:eastAsia="宋体"/>
          <w:color w:val="auto"/>
          <w:highlight w:val="none"/>
        </w:rPr>
        <w:t>)</w:t>
      </w:r>
    </w:p>
    <w:p w14:paraId="7DAD67EE">
      <w:pPr>
        <w:spacing w:line="278" w:lineRule="auto"/>
        <w:rPr>
          <w:color w:val="auto"/>
          <w:highlight w:val="none"/>
        </w:rPr>
      </w:pPr>
    </w:p>
    <w:p w14:paraId="222A135E">
      <w:pPr>
        <w:spacing w:line="279" w:lineRule="auto"/>
        <w:rPr>
          <w:color w:val="auto"/>
          <w:highlight w:val="none"/>
        </w:rPr>
      </w:pPr>
    </w:p>
    <w:p w14:paraId="7BE26D87">
      <w:pPr>
        <w:tabs>
          <w:tab w:val="left" w:pos="2323"/>
        </w:tabs>
        <w:spacing w:before="68" w:line="221" w:lineRule="auto"/>
        <w:rPr>
          <w:rFonts w:ascii="宋体" w:hAnsi="宋体" w:eastAsia="宋体"/>
          <w:color w:val="auto"/>
          <w:highlight w:val="none"/>
          <w:u w:val="single"/>
        </w:rPr>
      </w:pPr>
      <w:r>
        <w:rPr>
          <w:rFonts w:ascii="宋体" w:hAnsi="宋体" w:eastAsia="宋体"/>
          <w:color w:val="auto"/>
          <w:highlight w:val="none"/>
          <w:u w:val="single"/>
        </w:rPr>
        <w:tab/>
      </w:r>
      <w:r>
        <w:rPr>
          <w:rFonts w:ascii="宋体" w:hAnsi="宋体" w:eastAsia="宋体"/>
          <w:color w:val="auto"/>
          <w:spacing w:val="-6"/>
          <w:highlight w:val="none"/>
        </w:rPr>
        <w:t>(</w:t>
      </w:r>
      <w:r>
        <w:rPr>
          <w:rFonts w:ascii="宋体" w:hAnsi="宋体" w:eastAsia="宋体"/>
          <w:color w:val="auto"/>
          <w:spacing w:val="-4"/>
          <w:highlight w:val="none"/>
        </w:rPr>
        <w:t>投</w:t>
      </w:r>
      <w:r>
        <w:rPr>
          <w:rFonts w:ascii="宋体" w:hAnsi="宋体" w:eastAsia="宋体"/>
          <w:color w:val="auto"/>
          <w:spacing w:val="-3"/>
          <w:highlight w:val="none"/>
        </w:rPr>
        <w:t>标人名称)：</w:t>
      </w:r>
    </w:p>
    <w:p w14:paraId="2B5D53DB">
      <w:pPr>
        <w:spacing w:line="278" w:lineRule="auto"/>
        <w:rPr>
          <w:color w:val="auto"/>
          <w:highlight w:val="none"/>
        </w:rPr>
      </w:pPr>
    </w:p>
    <w:p w14:paraId="43A99FBB">
      <w:pPr>
        <w:spacing w:line="278" w:lineRule="auto"/>
        <w:rPr>
          <w:color w:val="auto"/>
          <w:highlight w:val="none"/>
        </w:rPr>
      </w:pPr>
    </w:p>
    <w:p w14:paraId="4859222F">
      <w:pPr>
        <w:spacing w:before="68" w:line="394" w:lineRule="auto"/>
        <w:ind w:left="8" w:right="6" w:firstLine="420"/>
        <w:rPr>
          <w:rFonts w:ascii="宋体" w:hAnsi="宋体" w:eastAsia="宋体"/>
          <w:color w:val="auto"/>
          <w:spacing w:val="-4"/>
          <w:highlight w:val="none"/>
        </w:rPr>
      </w:pPr>
      <w:r>
        <w:rPr>
          <w:rFonts w:ascii="宋体" w:hAnsi="宋体" w:eastAsia="宋体"/>
          <w:color w:val="auto"/>
          <w:spacing w:val="-4"/>
          <w:highlight w:val="none"/>
        </w:rPr>
        <w:t>评标委员会</w:t>
      </w:r>
      <w:r>
        <w:rPr>
          <w:rFonts w:ascii="宋体" w:hAnsi="宋体" w:eastAsia="宋体"/>
          <w:color w:val="auto"/>
          <w:spacing w:val="-2"/>
          <w:highlight w:val="none"/>
        </w:rPr>
        <w:t>对你方的投标文件进行了仔细的审查， 现需你方对下列问题以书面形式予以澄</w:t>
      </w:r>
      <w:r>
        <w:rPr>
          <w:rFonts w:ascii="宋体" w:hAnsi="宋体" w:eastAsia="宋体"/>
          <w:color w:val="auto"/>
          <w:highlight w:val="none"/>
        </w:rPr>
        <w:t xml:space="preserve"> </w:t>
      </w:r>
      <w:r>
        <w:rPr>
          <w:rFonts w:ascii="宋体" w:hAnsi="宋体" w:eastAsia="宋体"/>
          <w:color w:val="auto"/>
          <w:spacing w:val="-8"/>
          <w:highlight w:val="none"/>
        </w:rPr>
        <w:t>清</w:t>
      </w:r>
      <w:r>
        <w:rPr>
          <w:rFonts w:ascii="宋体" w:hAnsi="宋体" w:eastAsia="宋体"/>
          <w:color w:val="auto"/>
          <w:spacing w:val="-6"/>
          <w:highlight w:val="none"/>
        </w:rPr>
        <w:t>、说明或补正：</w:t>
      </w:r>
    </w:p>
    <w:p w14:paraId="634BBEBD">
      <w:pPr>
        <w:spacing w:line="400" w:lineRule="auto"/>
        <w:rPr>
          <w:color w:val="auto"/>
          <w:highlight w:val="none"/>
        </w:rPr>
      </w:pPr>
    </w:p>
    <w:p w14:paraId="1D2DDCC1">
      <w:pPr>
        <w:spacing w:before="61" w:line="439" w:lineRule="exact"/>
        <w:ind w:left="444"/>
        <w:rPr>
          <w:rFonts w:ascii="Times New Roman" w:hAnsi="Times New Roman" w:eastAsia="Times New Roman"/>
          <w:color w:val="auto"/>
          <w:spacing w:val="-8"/>
          <w:position w:val="21"/>
          <w:highlight w:val="none"/>
        </w:rPr>
      </w:pPr>
      <w:r>
        <w:rPr>
          <w:rFonts w:ascii="Times New Roman" w:hAnsi="Times New Roman" w:eastAsia="Times New Roman"/>
          <w:color w:val="auto"/>
          <w:spacing w:val="-8"/>
          <w:position w:val="21"/>
          <w:highlight w:val="none"/>
        </w:rPr>
        <w:t>1.</w:t>
      </w:r>
    </w:p>
    <w:p w14:paraId="4796C6AF">
      <w:pPr>
        <w:spacing w:line="186" w:lineRule="auto"/>
        <w:ind w:left="424"/>
        <w:rPr>
          <w:rFonts w:ascii="Times New Roman" w:hAnsi="Times New Roman" w:eastAsia="Times New Roman"/>
          <w:color w:val="auto"/>
          <w:spacing w:val="-2"/>
          <w:highlight w:val="none"/>
        </w:rPr>
      </w:pPr>
      <w:r>
        <w:rPr>
          <w:rFonts w:ascii="Times New Roman" w:hAnsi="Times New Roman" w:eastAsia="Times New Roman"/>
          <w:color w:val="auto"/>
          <w:spacing w:val="-2"/>
          <w:highlight w:val="none"/>
        </w:rPr>
        <w:t>2</w:t>
      </w:r>
      <w:r>
        <w:rPr>
          <w:rFonts w:ascii="Times New Roman" w:hAnsi="Times New Roman" w:eastAsia="Times New Roman"/>
          <w:color w:val="auto"/>
          <w:spacing w:val="-1"/>
          <w:highlight w:val="none"/>
        </w:rPr>
        <w:t>.</w:t>
      </w:r>
    </w:p>
    <w:p w14:paraId="4681703D">
      <w:pPr>
        <w:spacing w:line="312" w:lineRule="auto"/>
        <w:rPr>
          <w:color w:val="auto"/>
          <w:highlight w:val="none"/>
        </w:rPr>
      </w:pPr>
    </w:p>
    <w:p w14:paraId="62B18719">
      <w:pPr>
        <w:spacing w:before="61" w:line="66" w:lineRule="exact"/>
        <w:ind w:left="539"/>
        <w:rPr>
          <w:rFonts w:ascii="Times New Roman" w:hAnsi="Times New Roman" w:eastAsia="Times New Roman"/>
          <w:color w:val="auto"/>
          <w:spacing w:val="-2"/>
          <w:position w:val="1"/>
          <w:highlight w:val="none"/>
        </w:rPr>
      </w:pPr>
      <w:r>
        <w:rPr>
          <w:rFonts w:ascii="Times New Roman" w:hAnsi="Times New Roman" w:eastAsia="Times New Roman"/>
          <w:color w:val="auto"/>
          <w:spacing w:val="-2"/>
          <w:position w:val="1"/>
          <w:highlight w:val="none"/>
        </w:rPr>
        <w:t>......</w:t>
      </w:r>
    </w:p>
    <w:p w14:paraId="5C20F43D">
      <w:pPr>
        <w:spacing w:line="289" w:lineRule="auto"/>
        <w:rPr>
          <w:color w:val="auto"/>
          <w:highlight w:val="none"/>
        </w:rPr>
      </w:pPr>
    </w:p>
    <w:p w14:paraId="4F0D237B">
      <w:pPr>
        <w:spacing w:line="290" w:lineRule="auto"/>
        <w:rPr>
          <w:color w:val="auto"/>
          <w:highlight w:val="none"/>
        </w:rPr>
      </w:pPr>
    </w:p>
    <w:p w14:paraId="6EE3F8CB">
      <w:pPr>
        <w:tabs>
          <w:tab w:val="left" w:pos="778"/>
          <w:tab w:val="left" w:pos="3057"/>
        </w:tabs>
        <w:spacing w:before="69" w:line="391" w:lineRule="auto"/>
        <w:ind w:firstLine="410"/>
        <w:rPr>
          <w:rFonts w:ascii="宋体" w:hAnsi="宋体" w:eastAsia="宋体"/>
          <w:color w:val="auto"/>
          <w:spacing w:val="-4"/>
          <w:highlight w:val="none"/>
        </w:rPr>
      </w:pPr>
      <w:r>
        <w:rPr>
          <w:rFonts w:ascii="宋体" w:hAnsi="宋体" w:eastAsia="宋体"/>
          <w:color w:val="auto"/>
          <w:spacing w:val="-4"/>
          <w:highlight w:val="none"/>
        </w:rPr>
        <w:t>请将上</w:t>
      </w:r>
      <w:r>
        <w:rPr>
          <w:rFonts w:ascii="宋体" w:hAnsi="宋体" w:eastAsia="宋体"/>
          <w:color w:val="auto"/>
          <w:spacing w:val="-2"/>
          <w:highlight w:val="none"/>
        </w:rPr>
        <w:t>述问题的澄清、说明或补正于</w:t>
      </w:r>
      <w:r>
        <w:rPr>
          <w:rFonts w:ascii="宋体" w:hAnsi="宋体" w:eastAsia="宋体"/>
          <w:color w:val="auto"/>
          <w:spacing w:val="-2"/>
          <w:highlight w:val="none"/>
          <w:u w:val="single"/>
        </w:rPr>
        <w:t xml:space="preserve">       </w:t>
      </w:r>
      <w:r>
        <w:rPr>
          <w:rFonts w:ascii="宋体" w:hAnsi="宋体" w:eastAsia="宋体"/>
          <w:color w:val="auto"/>
          <w:spacing w:val="-2"/>
          <w:highlight w:val="none"/>
        </w:rPr>
        <w:t xml:space="preserve"> 年</w:t>
      </w:r>
      <w:r>
        <w:rPr>
          <w:rFonts w:ascii="宋体" w:hAnsi="宋体" w:eastAsia="宋体"/>
          <w:color w:val="auto"/>
          <w:spacing w:val="-2"/>
          <w:highlight w:val="none"/>
          <w:u w:val="single"/>
        </w:rPr>
        <w:t xml:space="preserve">       </w:t>
      </w:r>
      <w:r>
        <w:rPr>
          <w:rFonts w:ascii="宋体" w:hAnsi="宋体" w:eastAsia="宋体"/>
          <w:color w:val="auto"/>
          <w:spacing w:val="-2"/>
          <w:highlight w:val="none"/>
        </w:rPr>
        <w:t>月</w:t>
      </w:r>
      <w:r>
        <w:rPr>
          <w:rFonts w:ascii="宋体" w:hAnsi="宋体" w:eastAsia="宋体"/>
          <w:color w:val="auto"/>
          <w:spacing w:val="-2"/>
          <w:highlight w:val="none"/>
          <w:u w:val="single"/>
        </w:rPr>
        <w:t xml:space="preserve">       </w:t>
      </w:r>
      <w:r>
        <w:rPr>
          <w:rFonts w:ascii="宋体" w:hAnsi="宋体" w:eastAsia="宋体"/>
          <w:color w:val="auto"/>
          <w:spacing w:val="-2"/>
          <w:highlight w:val="none"/>
        </w:rPr>
        <w:t>日</w:t>
      </w:r>
      <w:r>
        <w:rPr>
          <w:rFonts w:ascii="宋体" w:hAnsi="宋体" w:eastAsia="宋体"/>
          <w:color w:val="auto"/>
          <w:spacing w:val="-2"/>
          <w:highlight w:val="none"/>
          <w:u w:val="single"/>
        </w:rPr>
        <w:t xml:space="preserve">       </w:t>
      </w:r>
      <w:r>
        <w:rPr>
          <w:rFonts w:ascii="宋体" w:hAnsi="宋体" w:eastAsia="宋体"/>
          <w:color w:val="auto"/>
          <w:spacing w:val="-2"/>
          <w:highlight w:val="none"/>
        </w:rPr>
        <w:t>时前递交至</w:t>
      </w:r>
      <w:r>
        <w:rPr>
          <w:rFonts w:ascii="宋体" w:hAnsi="宋体" w:eastAsia="宋体"/>
          <w:color w:val="auto"/>
          <w:highlight w:val="none"/>
        </w:rPr>
        <w:t xml:space="preserve">  </w:t>
      </w:r>
      <w:r>
        <w:rPr>
          <w:rFonts w:ascii="宋体" w:hAnsi="宋体" w:eastAsia="宋体"/>
          <w:color w:val="auto"/>
          <w:highlight w:val="none"/>
          <w:u w:val="single"/>
        </w:rPr>
        <w:tab/>
      </w:r>
      <w:r>
        <w:rPr>
          <w:rFonts w:ascii="宋体" w:hAnsi="宋体" w:eastAsia="宋体"/>
          <w:color w:val="auto"/>
          <w:highlight w:val="none"/>
          <w:u w:val="single"/>
        </w:rPr>
        <w:tab/>
      </w:r>
      <w:r>
        <w:rPr>
          <w:rFonts w:ascii="宋体" w:hAnsi="宋体" w:eastAsia="宋体"/>
          <w:color w:val="auto"/>
          <w:spacing w:val="1"/>
          <w:highlight w:val="none"/>
        </w:rPr>
        <w:t>(详细地址) 或传真至</w:t>
      </w:r>
      <w:r>
        <w:rPr>
          <w:rFonts w:ascii="宋体" w:hAnsi="宋体" w:eastAsia="宋体"/>
          <w:color w:val="auto"/>
          <w:spacing w:val="1"/>
          <w:highlight w:val="none"/>
          <w:u w:val="single"/>
        </w:rPr>
        <w:t xml:space="preserve">     </w:t>
      </w:r>
      <w:r>
        <w:rPr>
          <w:rFonts w:ascii="宋体" w:hAnsi="宋体" w:eastAsia="宋体"/>
          <w:color w:val="auto"/>
          <w:highlight w:val="none"/>
          <w:u w:val="single"/>
        </w:rPr>
        <w:t xml:space="preserve">                </w:t>
      </w:r>
      <w:r>
        <w:rPr>
          <w:rFonts w:ascii="宋体" w:hAnsi="宋体" w:eastAsia="宋体"/>
          <w:color w:val="auto"/>
          <w:highlight w:val="none"/>
        </w:rPr>
        <w:t>(传真号码) 或 通过下载招标文件的电子招标交易平台上传。采用传真方式的，应在</w:t>
      </w:r>
      <w:r>
        <w:rPr>
          <w:rFonts w:ascii="宋体" w:hAnsi="宋体" w:eastAsia="宋体"/>
          <w:color w:val="auto"/>
          <w:highlight w:val="none"/>
          <w:u w:val="single"/>
        </w:rPr>
        <w:t xml:space="preserve">       </w:t>
      </w:r>
      <w:r>
        <w:rPr>
          <w:rFonts w:ascii="宋体" w:hAnsi="宋体" w:eastAsia="宋体"/>
          <w:color w:val="auto"/>
          <w:highlight w:val="none"/>
        </w:rPr>
        <w:t>年</w:t>
      </w:r>
      <w:r>
        <w:rPr>
          <w:rFonts w:ascii="宋体" w:hAnsi="宋体" w:eastAsia="宋体"/>
          <w:color w:val="auto"/>
          <w:highlight w:val="none"/>
          <w:u w:val="single"/>
        </w:rPr>
        <w:t xml:space="preserve">       </w:t>
      </w:r>
      <w:r>
        <w:rPr>
          <w:rFonts w:ascii="宋体" w:hAnsi="宋体" w:eastAsia="宋体"/>
          <w:color w:val="auto"/>
          <w:highlight w:val="none"/>
        </w:rPr>
        <w:t xml:space="preserve">月    </w:t>
      </w:r>
      <w:r>
        <w:rPr>
          <w:rFonts w:ascii="宋体" w:hAnsi="宋体" w:eastAsia="宋体"/>
          <w:color w:val="auto"/>
          <w:highlight w:val="none"/>
          <w:u w:val="single"/>
        </w:rPr>
        <w:tab/>
      </w:r>
      <w:r>
        <w:rPr>
          <w:rFonts w:ascii="宋体" w:hAnsi="宋体" w:eastAsia="宋体"/>
          <w:color w:val="auto"/>
          <w:spacing w:val="-2"/>
          <w:highlight w:val="none"/>
        </w:rPr>
        <w:t>日</w:t>
      </w:r>
      <w:r>
        <w:rPr>
          <w:rFonts w:ascii="宋体" w:hAnsi="宋体" w:eastAsia="宋体"/>
          <w:color w:val="auto"/>
          <w:spacing w:val="-2"/>
          <w:highlight w:val="none"/>
          <w:u w:val="single"/>
        </w:rPr>
        <w:t xml:space="preserve">       </w:t>
      </w:r>
      <w:r>
        <w:rPr>
          <w:rFonts w:ascii="宋体" w:hAnsi="宋体" w:eastAsia="宋体"/>
          <w:color w:val="auto"/>
          <w:spacing w:val="-2"/>
          <w:highlight w:val="none"/>
        </w:rPr>
        <w:t>时前将原件</w:t>
      </w:r>
      <w:r>
        <w:rPr>
          <w:rFonts w:ascii="宋体" w:hAnsi="宋体" w:eastAsia="宋体"/>
          <w:color w:val="auto"/>
          <w:spacing w:val="-1"/>
          <w:highlight w:val="none"/>
        </w:rPr>
        <w:t>递交至</w:t>
      </w:r>
      <w:r>
        <w:rPr>
          <w:rFonts w:ascii="宋体" w:hAnsi="宋体" w:eastAsia="宋体"/>
          <w:color w:val="auto"/>
          <w:spacing w:val="-1"/>
          <w:highlight w:val="none"/>
          <w:u w:val="single"/>
        </w:rPr>
        <w:t xml:space="preserve">                      </w:t>
      </w:r>
      <w:r>
        <w:rPr>
          <w:rFonts w:ascii="宋体" w:hAnsi="宋体" w:eastAsia="宋体"/>
          <w:color w:val="auto"/>
          <w:spacing w:val="-1"/>
          <w:highlight w:val="none"/>
        </w:rPr>
        <w:t>(详细地址)。</w:t>
      </w:r>
    </w:p>
    <w:p w14:paraId="0AE72A75">
      <w:pPr>
        <w:spacing w:line="263" w:lineRule="auto"/>
        <w:rPr>
          <w:color w:val="auto"/>
          <w:highlight w:val="none"/>
        </w:rPr>
      </w:pPr>
    </w:p>
    <w:p w14:paraId="7504C648">
      <w:pPr>
        <w:spacing w:line="263" w:lineRule="auto"/>
        <w:rPr>
          <w:color w:val="auto"/>
          <w:highlight w:val="none"/>
        </w:rPr>
      </w:pPr>
    </w:p>
    <w:p w14:paraId="376E8308">
      <w:pPr>
        <w:spacing w:line="263" w:lineRule="auto"/>
        <w:rPr>
          <w:color w:val="auto"/>
          <w:highlight w:val="none"/>
        </w:rPr>
      </w:pPr>
    </w:p>
    <w:p w14:paraId="45E2EB06">
      <w:pPr>
        <w:spacing w:before="69" w:line="217" w:lineRule="auto"/>
        <w:ind w:right="251"/>
        <w:jc w:val="center"/>
        <w:rPr>
          <w:rFonts w:ascii="宋体" w:hAnsi="宋体" w:eastAsia="宋体"/>
          <w:color w:val="auto"/>
          <w:spacing w:val="-6"/>
          <w:highlight w:val="none"/>
        </w:rPr>
      </w:pPr>
      <w:r>
        <w:rPr>
          <w:rFonts w:ascii="宋体" w:hAnsi="宋体" w:eastAsia="宋体"/>
          <w:color w:val="auto"/>
          <w:spacing w:val="-6"/>
          <w:highlight w:val="none"/>
        </w:rPr>
        <w:t>评标委员会</w:t>
      </w:r>
      <w:r>
        <w:rPr>
          <w:rFonts w:hint="eastAsia" w:ascii="宋体" w:hAnsi="宋体" w:eastAsia="宋体"/>
          <w:color w:val="auto"/>
          <w:spacing w:val="-4"/>
          <w:highlight w:val="none"/>
        </w:rPr>
        <w:t>签字</w:t>
      </w:r>
      <w:r>
        <w:rPr>
          <w:rFonts w:ascii="宋体" w:hAnsi="宋体" w:eastAsia="宋体"/>
          <w:color w:val="auto"/>
          <w:spacing w:val="-3"/>
          <w:highlight w:val="none"/>
        </w:rPr>
        <w:t>：</w:t>
      </w:r>
      <w:r>
        <w:rPr>
          <w:rFonts w:ascii="宋体" w:hAnsi="宋体" w:eastAsia="宋体"/>
          <w:color w:val="auto"/>
          <w:spacing w:val="-3"/>
          <w:highlight w:val="none"/>
          <w:u w:val="single"/>
        </w:rPr>
        <w:t xml:space="preserve">   </w:t>
      </w:r>
      <w:r>
        <w:rPr>
          <w:rFonts w:hint="eastAsia" w:ascii="宋体" w:hAnsi="宋体" w:eastAsia="宋体"/>
          <w:color w:val="auto"/>
          <w:spacing w:val="-3"/>
          <w:highlight w:val="none"/>
          <w:u w:val="single"/>
        </w:rPr>
        <w:t xml:space="preserve">             </w:t>
      </w:r>
      <w:r>
        <w:rPr>
          <w:rFonts w:ascii="宋体" w:hAnsi="宋体" w:eastAsia="宋体"/>
          <w:color w:val="auto"/>
          <w:spacing w:val="-3"/>
          <w:highlight w:val="none"/>
          <w:u w:val="single"/>
        </w:rPr>
        <w:t xml:space="preserve">       </w:t>
      </w:r>
    </w:p>
    <w:p w14:paraId="444528D8">
      <w:pPr>
        <w:spacing w:line="281" w:lineRule="auto"/>
        <w:rPr>
          <w:color w:val="auto"/>
          <w:highlight w:val="none"/>
        </w:rPr>
      </w:pPr>
    </w:p>
    <w:p w14:paraId="75AF08DB">
      <w:pPr>
        <w:spacing w:line="281" w:lineRule="auto"/>
        <w:rPr>
          <w:color w:val="auto"/>
          <w:highlight w:val="none"/>
        </w:rPr>
      </w:pPr>
    </w:p>
    <w:p w14:paraId="453330B0">
      <w:pPr>
        <w:tabs>
          <w:tab w:val="left" w:pos="5709"/>
        </w:tabs>
        <w:spacing w:before="69" w:line="220" w:lineRule="auto"/>
        <w:ind w:left="4860"/>
        <w:rPr>
          <w:rFonts w:ascii="宋体" w:hAnsi="宋体" w:eastAsia="宋体"/>
          <w:color w:val="auto"/>
          <w:highlight w:val="none"/>
          <w:u w:val="single"/>
        </w:rPr>
      </w:pPr>
      <w:r>
        <w:rPr>
          <w:rFonts w:ascii="宋体" w:hAnsi="宋体" w:eastAsia="宋体"/>
          <w:color w:val="auto"/>
          <w:highlight w:val="none"/>
          <w:u w:val="single"/>
        </w:rPr>
        <w:tab/>
      </w:r>
      <w:r>
        <w:rPr>
          <w:rFonts w:ascii="宋体" w:hAnsi="宋体" w:eastAsia="宋体"/>
          <w:color w:val="auto"/>
          <w:spacing w:val="3"/>
          <w:highlight w:val="none"/>
        </w:rPr>
        <w:t>年</w:t>
      </w:r>
      <w:r>
        <w:rPr>
          <w:rFonts w:ascii="宋体" w:hAnsi="宋体" w:eastAsia="宋体"/>
          <w:color w:val="auto"/>
          <w:spacing w:val="2"/>
          <w:highlight w:val="none"/>
          <w:u w:val="single"/>
        </w:rPr>
        <w:t xml:space="preserve">       </w:t>
      </w:r>
      <w:r>
        <w:rPr>
          <w:rFonts w:ascii="宋体" w:hAnsi="宋体" w:eastAsia="宋体"/>
          <w:color w:val="auto"/>
          <w:spacing w:val="2"/>
          <w:highlight w:val="none"/>
        </w:rPr>
        <w:t>月</w:t>
      </w:r>
      <w:r>
        <w:rPr>
          <w:rFonts w:ascii="宋体" w:hAnsi="宋体" w:eastAsia="宋体"/>
          <w:color w:val="auto"/>
          <w:spacing w:val="2"/>
          <w:highlight w:val="none"/>
          <w:u w:val="single"/>
        </w:rPr>
        <w:t xml:space="preserve">       </w:t>
      </w:r>
      <w:r>
        <w:rPr>
          <w:rFonts w:ascii="宋体" w:hAnsi="宋体" w:eastAsia="宋体"/>
          <w:color w:val="auto"/>
          <w:spacing w:val="2"/>
          <w:highlight w:val="none"/>
        </w:rPr>
        <w:t>日</w:t>
      </w:r>
    </w:p>
    <w:p w14:paraId="027D383B">
      <w:pPr>
        <w:rPr>
          <w:color w:val="auto"/>
          <w:highlight w:val="none"/>
        </w:rPr>
        <w:sectPr>
          <w:footerReference r:id="rId11" w:type="default"/>
          <w:pgSz w:w="12240" w:h="15840"/>
          <w:pgMar w:top="1346" w:right="1800" w:bottom="1104" w:left="1800" w:header="0" w:footer="940" w:gutter="0"/>
          <w:cols w:space="720" w:num="1"/>
        </w:sectPr>
      </w:pPr>
    </w:p>
    <w:p w14:paraId="0EFEB0A4">
      <w:pPr>
        <w:spacing w:line="352" w:lineRule="auto"/>
        <w:rPr>
          <w:color w:val="auto"/>
          <w:highlight w:val="none"/>
        </w:rPr>
      </w:pPr>
    </w:p>
    <w:p w14:paraId="20E3396F">
      <w:pPr>
        <w:pStyle w:val="25"/>
        <w:spacing w:before="120" w:after="120"/>
        <w:outlineLvl w:val="9"/>
        <w:rPr>
          <w:rFonts w:ascii="黑体" w:hAnsi="黑体" w:eastAsia="黑体"/>
          <w:color w:val="auto"/>
          <w:spacing w:val="10"/>
          <w:sz w:val="27"/>
          <w:szCs w:val="27"/>
          <w:highlight w:val="none"/>
        </w:rPr>
      </w:pPr>
      <w:bookmarkStart w:id="358" w:name="_Toc18312"/>
      <w:bookmarkStart w:id="359" w:name="_Toc24841"/>
      <w:r>
        <w:rPr>
          <w:rFonts w:ascii="黑体" w:hAnsi="黑体" w:eastAsia="黑体"/>
          <w:color w:val="auto"/>
          <w:spacing w:val="10"/>
          <w:sz w:val="27"/>
          <w:szCs w:val="27"/>
          <w:highlight w:val="none"/>
        </w:rPr>
        <w:t>附</w:t>
      </w:r>
      <w:r>
        <w:rPr>
          <w:rFonts w:ascii="黑体" w:hAnsi="黑体" w:eastAsia="黑体"/>
          <w:color w:val="auto"/>
          <w:spacing w:val="7"/>
          <w:sz w:val="27"/>
          <w:szCs w:val="27"/>
          <w:highlight w:val="none"/>
        </w:rPr>
        <w:t>件</w:t>
      </w:r>
      <w:r>
        <w:rPr>
          <w:rFonts w:hint="eastAsia" w:ascii="黑体" w:hAnsi="黑体" w:eastAsia="黑体"/>
          <w:color w:val="auto"/>
          <w:spacing w:val="7"/>
          <w:sz w:val="27"/>
          <w:szCs w:val="27"/>
          <w:highlight w:val="none"/>
        </w:rPr>
        <w:t>二</w:t>
      </w:r>
      <w:r>
        <w:rPr>
          <w:rFonts w:ascii="黑体" w:hAnsi="黑体" w:eastAsia="黑体"/>
          <w:color w:val="auto"/>
          <w:spacing w:val="7"/>
          <w:sz w:val="27"/>
          <w:szCs w:val="27"/>
          <w:highlight w:val="none"/>
        </w:rPr>
        <w:t>：问题的澄清</w:t>
      </w:r>
      <w:bookmarkEnd w:id="358"/>
      <w:bookmarkEnd w:id="359"/>
    </w:p>
    <w:p w14:paraId="511BD278">
      <w:pPr>
        <w:spacing w:line="297" w:lineRule="auto"/>
        <w:rPr>
          <w:color w:val="auto"/>
          <w:highlight w:val="none"/>
        </w:rPr>
      </w:pPr>
    </w:p>
    <w:p w14:paraId="21C3E071">
      <w:pPr>
        <w:spacing w:line="298" w:lineRule="auto"/>
        <w:rPr>
          <w:color w:val="auto"/>
          <w:highlight w:val="none"/>
        </w:rPr>
      </w:pPr>
    </w:p>
    <w:p w14:paraId="1630F688">
      <w:pPr>
        <w:spacing w:line="298" w:lineRule="auto"/>
        <w:rPr>
          <w:color w:val="auto"/>
          <w:highlight w:val="none"/>
        </w:rPr>
      </w:pPr>
    </w:p>
    <w:p w14:paraId="445A6009">
      <w:pPr>
        <w:spacing w:before="87" w:line="229" w:lineRule="auto"/>
        <w:ind w:left="3639"/>
        <w:rPr>
          <w:rFonts w:ascii="黑体" w:hAnsi="黑体" w:eastAsia="黑体"/>
          <w:color w:val="auto"/>
          <w:spacing w:val="5"/>
          <w:sz w:val="27"/>
          <w:szCs w:val="27"/>
          <w:highlight w:val="none"/>
        </w:rPr>
      </w:pPr>
      <w:r>
        <w:rPr>
          <w:rFonts w:ascii="黑体" w:hAnsi="黑体" w:eastAsia="黑体"/>
          <w:color w:val="auto"/>
          <w:spacing w:val="5"/>
          <w:sz w:val="27"/>
          <w:szCs w:val="27"/>
          <w:highlight w:val="none"/>
        </w:rPr>
        <w:t>问题的澄</w:t>
      </w:r>
      <w:r>
        <w:rPr>
          <w:rFonts w:ascii="黑体" w:hAnsi="黑体" w:eastAsia="黑体"/>
          <w:color w:val="auto"/>
          <w:spacing w:val="4"/>
          <w:sz w:val="27"/>
          <w:szCs w:val="27"/>
          <w:highlight w:val="none"/>
        </w:rPr>
        <w:t>清</w:t>
      </w:r>
    </w:p>
    <w:p w14:paraId="76144CEF">
      <w:pPr>
        <w:spacing w:before="123" w:line="220" w:lineRule="auto"/>
        <w:ind w:left="3470"/>
        <w:rPr>
          <w:rFonts w:ascii="宋体" w:hAnsi="宋体" w:eastAsia="宋体"/>
          <w:color w:val="auto"/>
          <w:spacing w:val="-1"/>
          <w:highlight w:val="none"/>
        </w:rPr>
      </w:pPr>
      <w:r>
        <w:rPr>
          <w:rFonts w:ascii="宋体" w:hAnsi="宋体" w:eastAsia="宋体"/>
          <w:color w:val="auto"/>
          <w:spacing w:val="-1"/>
          <w:highlight w:val="none"/>
        </w:rPr>
        <w:t>(编号：</w:t>
      </w:r>
      <w:r>
        <w:rPr>
          <w:rFonts w:ascii="宋体" w:hAnsi="宋体" w:eastAsia="宋体"/>
          <w:color w:val="auto"/>
          <w:spacing w:val="-1"/>
          <w:highlight w:val="none"/>
          <w:u w:val="single"/>
        </w:rPr>
        <w:t xml:space="preserve">              </w:t>
      </w:r>
      <w:r>
        <w:rPr>
          <w:rFonts w:ascii="宋体" w:hAnsi="宋体" w:eastAsia="宋体"/>
          <w:color w:val="auto"/>
          <w:highlight w:val="none"/>
          <w:u w:val="single"/>
        </w:rPr>
        <w:t xml:space="preserve">  </w:t>
      </w:r>
      <w:r>
        <w:rPr>
          <w:rFonts w:ascii="宋体" w:hAnsi="宋体" w:eastAsia="宋体"/>
          <w:color w:val="auto"/>
          <w:highlight w:val="none"/>
        </w:rPr>
        <w:t>)</w:t>
      </w:r>
    </w:p>
    <w:p w14:paraId="05B3F4E9">
      <w:pPr>
        <w:spacing w:line="255" w:lineRule="auto"/>
        <w:rPr>
          <w:color w:val="auto"/>
          <w:highlight w:val="none"/>
        </w:rPr>
      </w:pPr>
    </w:p>
    <w:p w14:paraId="38F21534">
      <w:pPr>
        <w:spacing w:line="255" w:lineRule="auto"/>
        <w:rPr>
          <w:color w:val="auto"/>
          <w:highlight w:val="none"/>
        </w:rPr>
      </w:pPr>
    </w:p>
    <w:p w14:paraId="1514AC48">
      <w:pPr>
        <w:spacing w:before="68" w:line="217" w:lineRule="auto"/>
        <w:rPr>
          <w:rFonts w:ascii="宋体" w:hAnsi="宋体" w:eastAsia="宋体"/>
          <w:color w:val="auto"/>
          <w:spacing w:val="-12"/>
          <w:highlight w:val="none"/>
        </w:rPr>
      </w:pPr>
      <w:r>
        <w:rPr>
          <w:rFonts w:ascii="宋体" w:hAnsi="宋体" w:eastAsia="宋体"/>
          <w:color w:val="auto"/>
          <w:spacing w:val="-12"/>
          <w:highlight w:val="none"/>
        </w:rPr>
        <w:t>评</w:t>
      </w:r>
      <w:r>
        <w:rPr>
          <w:rFonts w:ascii="宋体" w:hAnsi="宋体" w:eastAsia="宋体"/>
          <w:color w:val="auto"/>
          <w:spacing w:val="-7"/>
          <w:highlight w:val="none"/>
        </w:rPr>
        <w:t>标委员会：</w:t>
      </w:r>
    </w:p>
    <w:p w14:paraId="03AD876C">
      <w:pPr>
        <w:spacing w:line="280" w:lineRule="auto"/>
        <w:rPr>
          <w:color w:val="auto"/>
          <w:highlight w:val="none"/>
        </w:rPr>
      </w:pPr>
    </w:p>
    <w:p w14:paraId="4C6C1113">
      <w:pPr>
        <w:spacing w:line="281" w:lineRule="auto"/>
        <w:rPr>
          <w:color w:val="auto"/>
          <w:highlight w:val="none"/>
        </w:rPr>
      </w:pPr>
    </w:p>
    <w:p w14:paraId="415E4F8F">
      <w:pPr>
        <w:spacing w:before="69" w:line="220" w:lineRule="auto"/>
        <w:ind w:left="444"/>
        <w:rPr>
          <w:rFonts w:ascii="宋体" w:hAnsi="宋体" w:eastAsia="宋体"/>
          <w:color w:val="auto"/>
          <w:spacing w:val="1"/>
          <w:highlight w:val="none"/>
        </w:rPr>
      </w:pPr>
      <w:r>
        <w:rPr>
          <w:rFonts w:ascii="宋体" w:hAnsi="宋体" w:eastAsia="宋体"/>
          <w:color w:val="auto"/>
          <w:spacing w:val="1"/>
          <w:highlight w:val="none"/>
        </w:rPr>
        <w:t>问题澄清通知(编号：</w:t>
      </w:r>
      <w:r>
        <w:rPr>
          <w:rFonts w:ascii="宋体" w:hAnsi="宋体" w:eastAsia="宋体"/>
          <w:color w:val="auto"/>
          <w:spacing w:val="1"/>
          <w:highlight w:val="none"/>
          <w:u w:val="single"/>
        </w:rPr>
        <w:t xml:space="preserve">         </w:t>
      </w:r>
      <w:r>
        <w:rPr>
          <w:rFonts w:ascii="宋体" w:hAnsi="宋体" w:eastAsia="宋体"/>
          <w:color w:val="auto"/>
          <w:spacing w:val="1"/>
          <w:highlight w:val="none"/>
        </w:rPr>
        <w:t>)已收悉，</w:t>
      </w:r>
      <w:r>
        <w:rPr>
          <w:rFonts w:ascii="宋体" w:hAnsi="宋体" w:eastAsia="宋体"/>
          <w:color w:val="auto"/>
          <w:highlight w:val="none"/>
        </w:rPr>
        <w:t>现澄清、说明或补正如下：</w:t>
      </w:r>
    </w:p>
    <w:p w14:paraId="23516F22">
      <w:pPr>
        <w:spacing w:before="228" w:line="439" w:lineRule="exact"/>
        <w:ind w:left="751"/>
        <w:rPr>
          <w:rFonts w:ascii="Times New Roman" w:hAnsi="Times New Roman" w:eastAsia="Times New Roman"/>
          <w:color w:val="auto"/>
          <w:spacing w:val="-8"/>
          <w:position w:val="21"/>
          <w:highlight w:val="none"/>
        </w:rPr>
      </w:pPr>
      <w:r>
        <w:rPr>
          <w:rFonts w:ascii="Times New Roman" w:hAnsi="Times New Roman" w:eastAsia="Times New Roman"/>
          <w:color w:val="auto"/>
          <w:spacing w:val="-8"/>
          <w:position w:val="21"/>
          <w:highlight w:val="none"/>
        </w:rPr>
        <w:t>1.</w:t>
      </w:r>
    </w:p>
    <w:p w14:paraId="69C423D0">
      <w:pPr>
        <w:spacing w:line="186" w:lineRule="auto"/>
        <w:ind w:left="731"/>
        <w:rPr>
          <w:rFonts w:ascii="Times New Roman" w:hAnsi="Times New Roman" w:eastAsia="Times New Roman"/>
          <w:color w:val="auto"/>
          <w:spacing w:val="-2"/>
          <w:highlight w:val="none"/>
        </w:rPr>
      </w:pPr>
      <w:r>
        <w:rPr>
          <w:rFonts w:ascii="Times New Roman" w:hAnsi="Times New Roman" w:eastAsia="Times New Roman"/>
          <w:color w:val="auto"/>
          <w:spacing w:val="-2"/>
          <w:highlight w:val="none"/>
        </w:rPr>
        <w:t>2</w:t>
      </w:r>
      <w:r>
        <w:rPr>
          <w:rFonts w:ascii="Times New Roman" w:hAnsi="Times New Roman" w:eastAsia="Times New Roman"/>
          <w:color w:val="auto"/>
          <w:spacing w:val="-1"/>
          <w:highlight w:val="none"/>
        </w:rPr>
        <w:t>.</w:t>
      </w:r>
    </w:p>
    <w:p w14:paraId="1B4112AD">
      <w:pPr>
        <w:spacing w:line="312" w:lineRule="auto"/>
        <w:rPr>
          <w:color w:val="auto"/>
          <w:highlight w:val="none"/>
        </w:rPr>
      </w:pPr>
    </w:p>
    <w:p w14:paraId="5BD8B43C">
      <w:pPr>
        <w:spacing w:before="61" w:line="66" w:lineRule="exact"/>
        <w:ind w:left="637"/>
        <w:rPr>
          <w:rFonts w:ascii="Times New Roman" w:hAnsi="Times New Roman" w:eastAsia="Times New Roman"/>
          <w:color w:val="auto"/>
          <w:spacing w:val="-4"/>
          <w:position w:val="1"/>
          <w:highlight w:val="none"/>
        </w:rPr>
      </w:pPr>
      <w:r>
        <w:rPr>
          <w:rFonts w:ascii="Times New Roman" w:hAnsi="Times New Roman" w:eastAsia="Times New Roman"/>
          <w:color w:val="auto"/>
          <w:spacing w:val="-4"/>
          <w:position w:val="1"/>
          <w:highlight w:val="none"/>
        </w:rPr>
        <w:t>.</w:t>
      </w:r>
      <w:r>
        <w:rPr>
          <w:rFonts w:ascii="Times New Roman" w:hAnsi="Times New Roman" w:eastAsia="Times New Roman"/>
          <w:color w:val="auto"/>
          <w:spacing w:val="-3"/>
          <w:position w:val="1"/>
          <w:highlight w:val="none"/>
        </w:rPr>
        <w:t>.</w:t>
      </w:r>
      <w:r>
        <w:rPr>
          <w:rFonts w:ascii="Times New Roman" w:hAnsi="Times New Roman" w:eastAsia="Times New Roman"/>
          <w:color w:val="auto"/>
          <w:spacing w:val="-2"/>
          <w:position w:val="1"/>
          <w:highlight w:val="none"/>
        </w:rPr>
        <w:t>...</w:t>
      </w:r>
    </w:p>
    <w:p w14:paraId="422B05BA">
      <w:pPr>
        <w:spacing w:line="242" w:lineRule="auto"/>
        <w:rPr>
          <w:color w:val="auto"/>
          <w:highlight w:val="none"/>
        </w:rPr>
      </w:pPr>
    </w:p>
    <w:p w14:paraId="1C5854A1">
      <w:pPr>
        <w:spacing w:line="242" w:lineRule="auto"/>
        <w:rPr>
          <w:color w:val="auto"/>
          <w:highlight w:val="none"/>
        </w:rPr>
      </w:pPr>
    </w:p>
    <w:p w14:paraId="2E47DC57">
      <w:pPr>
        <w:spacing w:line="243" w:lineRule="auto"/>
        <w:rPr>
          <w:color w:val="auto"/>
          <w:highlight w:val="none"/>
        </w:rPr>
      </w:pPr>
    </w:p>
    <w:p w14:paraId="2F448FD7">
      <w:pPr>
        <w:spacing w:line="243" w:lineRule="auto"/>
        <w:rPr>
          <w:color w:val="auto"/>
          <w:highlight w:val="none"/>
        </w:rPr>
      </w:pPr>
    </w:p>
    <w:p w14:paraId="6D267DE6">
      <w:pPr>
        <w:spacing w:line="243" w:lineRule="auto"/>
        <w:rPr>
          <w:color w:val="auto"/>
          <w:highlight w:val="none"/>
        </w:rPr>
      </w:pPr>
    </w:p>
    <w:p w14:paraId="1BBF783D">
      <w:pPr>
        <w:spacing w:line="243" w:lineRule="auto"/>
        <w:rPr>
          <w:color w:val="auto"/>
          <w:highlight w:val="none"/>
        </w:rPr>
      </w:pPr>
    </w:p>
    <w:p w14:paraId="1842288B">
      <w:pPr>
        <w:spacing w:before="68" w:line="394" w:lineRule="auto"/>
        <w:ind w:left="2" w:right="6" w:firstLine="420"/>
        <w:rPr>
          <w:rFonts w:ascii="宋体" w:hAnsi="宋体" w:eastAsia="宋体"/>
          <w:color w:val="auto"/>
          <w:spacing w:val="1"/>
          <w:highlight w:val="none"/>
        </w:rPr>
      </w:pPr>
      <w:r>
        <w:rPr>
          <w:rFonts w:ascii="宋体" w:hAnsi="宋体" w:eastAsia="宋体"/>
          <w:color w:val="auto"/>
          <w:spacing w:val="1"/>
          <w:highlight w:val="none"/>
        </w:rPr>
        <w:t>上述问题澄清、说明或补正，不</w:t>
      </w:r>
      <w:r>
        <w:rPr>
          <w:rFonts w:ascii="宋体" w:hAnsi="宋体" w:eastAsia="宋体"/>
          <w:color w:val="auto"/>
          <w:highlight w:val="none"/>
        </w:rPr>
        <w:t xml:space="preserve">改变我方投标文件的实质性内容，构成我方投标文件的组 </w:t>
      </w:r>
      <w:r>
        <w:rPr>
          <w:rFonts w:ascii="宋体" w:hAnsi="宋体" w:eastAsia="宋体"/>
          <w:color w:val="auto"/>
          <w:spacing w:val="-9"/>
          <w:highlight w:val="none"/>
        </w:rPr>
        <w:t>成</w:t>
      </w:r>
      <w:r>
        <w:rPr>
          <w:rFonts w:ascii="宋体" w:hAnsi="宋体" w:eastAsia="宋体"/>
          <w:color w:val="auto"/>
          <w:spacing w:val="-7"/>
          <w:highlight w:val="none"/>
        </w:rPr>
        <w:t>部分。</w:t>
      </w:r>
    </w:p>
    <w:p w14:paraId="567B0269">
      <w:pPr>
        <w:spacing w:line="325" w:lineRule="auto"/>
        <w:rPr>
          <w:color w:val="auto"/>
          <w:highlight w:val="none"/>
        </w:rPr>
      </w:pPr>
    </w:p>
    <w:p w14:paraId="38E10502">
      <w:pPr>
        <w:spacing w:line="325" w:lineRule="auto"/>
        <w:rPr>
          <w:color w:val="auto"/>
          <w:highlight w:val="none"/>
        </w:rPr>
      </w:pPr>
    </w:p>
    <w:p w14:paraId="308812E5">
      <w:pPr>
        <w:spacing w:before="69" w:line="220" w:lineRule="auto"/>
        <w:ind w:right="110"/>
        <w:jc w:val="right"/>
        <w:rPr>
          <w:rFonts w:ascii="宋体" w:hAnsi="宋体" w:eastAsia="宋体"/>
          <w:color w:val="auto"/>
          <w:spacing w:val="-4"/>
          <w:highlight w:val="none"/>
        </w:rPr>
      </w:pPr>
      <w:r>
        <w:rPr>
          <w:rFonts w:ascii="宋体" w:hAnsi="宋体" w:eastAsia="宋体"/>
          <w:color w:val="auto"/>
          <w:spacing w:val="-4"/>
          <w:highlight w:val="none"/>
        </w:rPr>
        <w:t>投</w:t>
      </w:r>
      <w:r>
        <w:rPr>
          <w:rFonts w:ascii="宋体" w:hAnsi="宋体" w:eastAsia="宋体"/>
          <w:color w:val="auto"/>
          <w:spacing w:val="-2"/>
          <w:highlight w:val="none"/>
        </w:rPr>
        <w:t>标人：</w:t>
      </w:r>
      <w:r>
        <w:rPr>
          <w:rFonts w:ascii="宋体" w:hAnsi="宋体" w:eastAsia="宋体"/>
          <w:color w:val="auto"/>
          <w:spacing w:val="-2"/>
          <w:highlight w:val="none"/>
          <w:u w:val="single"/>
        </w:rPr>
        <w:t xml:space="preserve">                                   </w:t>
      </w:r>
      <w:r>
        <w:rPr>
          <w:rFonts w:ascii="宋体" w:hAnsi="宋体" w:eastAsia="宋体"/>
          <w:color w:val="auto"/>
          <w:spacing w:val="-2"/>
          <w:highlight w:val="none"/>
        </w:rPr>
        <w:t>(盖单位章)</w:t>
      </w:r>
    </w:p>
    <w:p w14:paraId="55B9B57D">
      <w:pPr>
        <w:spacing w:before="295" w:line="217" w:lineRule="auto"/>
        <w:ind w:left="2941"/>
        <w:rPr>
          <w:rFonts w:ascii="宋体" w:hAnsi="宋体" w:eastAsia="宋体"/>
          <w:color w:val="auto"/>
          <w:spacing w:val="-8"/>
          <w:highlight w:val="none"/>
        </w:rPr>
      </w:pPr>
      <w:r>
        <w:rPr>
          <w:rFonts w:ascii="宋体" w:hAnsi="宋体" w:eastAsia="宋体"/>
          <w:color w:val="auto"/>
          <w:spacing w:val="-8"/>
          <w:highlight w:val="none"/>
        </w:rPr>
        <w:t>法定代表</w:t>
      </w:r>
      <w:r>
        <w:rPr>
          <w:rFonts w:ascii="宋体" w:hAnsi="宋体" w:eastAsia="宋体"/>
          <w:color w:val="auto"/>
          <w:spacing w:val="-4"/>
          <w:highlight w:val="none"/>
        </w:rPr>
        <w:t>人或其委托代理人：</w:t>
      </w:r>
      <w:r>
        <w:rPr>
          <w:rFonts w:ascii="宋体" w:hAnsi="宋体" w:eastAsia="宋体"/>
          <w:color w:val="auto"/>
          <w:spacing w:val="-4"/>
          <w:highlight w:val="none"/>
          <w:u w:val="single"/>
        </w:rPr>
        <w:t xml:space="preserve">          </w:t>
      </w:r>
      <w:r>
        <w:rPr>
          <w:rFonts w:ascii="宋体" w:hAnsi="宋体" w:eastAsia="宋体"/>
          <w:color w:val="auto"/>
          <w:spacing w:val="-4"/>
          <w:highlight w:val="none"/>
        </w:rPr>
        <w:t>(签字)</w:t>
      </w:r>
    </w:p>
    <w:p w14:paraId="3C4193AD">
      <w:pPr>
        <w:spacing w:line="268" w:lineRule="auto"/>
        <w:rPr>
          <w:color w:val="auto"/>
          <w:highlight w:val="none"/>
        </w:rPr>
      </w:pPr>
    </w:p>
    <w:p w14:paraId="70C0DE7D">
      <w:pPr>
        <w:spacing w:line="268" w:lineRule="auto"/>
        <w:rPr>
          <w:color w:val="auto"/>
          <w:highlight w:val="none"/>
        </w:rPr>
      </w:pPr>
    </w:p>
    <w:p w14:paraId="011FD5C6">
      <w:pPr>
        <w:spacing w:line="269" w:lineRule="auto"/>
        <w:rPr>
          <w:color w:val="auto"/>
          <w:highlight w:val="none"/>
        </w:rPr>
      </w:pPr>
    </w:p>
    <w:p w14:paraId="12CF5942">
      <w:pPr>
        <w:tabs>
          <w:tab w:val="left" w:pos="6330"/>
        </w:tabs>
        <w:spacing w:before="68" w:line="220" w:lineRule="auto"/>
        <w:ind w:left="5482"/>
        <w:rPr>
          <w:rFonts w:ascii="宋体" w:hAnsi="宋体" w:eastAsia="宋体"/>
          <w:color w:val="auto"/>
          <w:highlight w:val="none"/>
          <w:u w:val="single"/>
        </w:rPr>
      </w:pPr>
      <w:r>
        <w:rPr>
          <w:rFonts w:ascii="宋体" w:hAnsi="宋体" w:eastAsia="宋体"/>
          <w:color w:val="auto"/>
          <w:highlight w:val="none"/>
          <w:u w:val="single"/>
        </w:rPr>
        <w:tab/>
      </w:r>
      <w:r>
        <w:rPr>
          <w:rFonts w:ascii="宋体" w:hAnsi="宋体" w:eastAsia="宋体"/>
          <w:color w:val="auto"/>
          <w:spacing w:val="-1"/>
          <w:highlight w:val="none"/>
        </w:rPr>
        <w:t>年</w:t>
      </w:r>
      <w:r>
        <w:rPr>
          <w:rFonts w:ascii="宋体" w:hAnsi="宋体" w:eastAsia="宋体"/>
          <w:color w:val="auto"/>
          <w:spacing w:val="-1"/>
          <w:highlight w:val="none"/>
          <w:u w:val="single"/>
        </w:rPr>
        <w:t xml:space="preserve">        </w:t>
      </w:r>
      <w:r>
        <w:rPr>
          <w:rFonts w:ascii="宋体" w:hAnsi="宋体" w:eastAsia="宋体"/>
          <w:color w:val="auto"/>
          <w:highlight w:val="none"/>
        </w:rPr>
        <w:t>月</w:t>
      </w:r>
      <w:r>
        <w:rPr>
          <w:rFonts w:ascii="宋体" w:hAnsi="宋体" w:eastAsia="宋体"/>
          <w:color w:val="auto"/>
          <w:highlight w:val="none"/>
          <w:u w:val="single"/>
        </w:rPr>
        <w:t xml:space="preserve">        </w:t>
      </w:r>
      <w:r>
        <w:rPr>
          <w:rFonts w:ascii="宋体" w:hAnsi="宋体" w:eastAsia="宋体"/>
          <w:color w:val="auto"/>
          <w:highlight w:val="none"/>
        </w:rPr>
        <w:t>日</w:t>
      </w:r>
    </w:p>
    <w:p w14:paraId="794CAF2D">
      <w:pPr>
        <w:rPr>
          <w:color w:val="auto"/>
          <w:highlight w:val="none"/>
        </w:rPr>
        <w:sectPr>
          <w:footerReference r:id="rId12" w:type="default"/>
          <w:pgSz w:w="12240" w:h="15840"/>
          <w:pgMar w:top="1346" w:right="1800" w:bottom="1104" w:left="1807" w:header="0" w:footer="940" w:gutter="0"/>
          <w:cols w:space="720" w:num="1"/>
        </w:sectPr>
      </w:pPr>
    </w:p>
    <w:p w14:paraId="5768B417">
      <w:pPr>
        <w:pStyle w:val="24"/>
        <w:rPr>
          <w:rFonts w:ascii="宋体" w:hAnsi="宋体"/>
          <w:color w:val="auto"/>
          <w:spacing w:val="30"/>
          <w:sz w:val="43"/>
          <w:szCs w:val="43"/>
          <w:highlight w:val="none"/>
        </w:rPr>
      </w:pPr>
      <w:bookmarkStart w:id="360" w:name="_Toc183207163"/>
      <w:r>
        <w:rPr>
          <w:rFonts w:ascii="宋体" w:hAnsi="宋体"/>
          <w:color w:val="auto"/>
          <w:spacing w:val="30"/>
          <w:sz w:val="43"/>
          <w:szCs w:val="43"/>
          <w:highlight w:val="none"/>
        </w:rPr>
        <w:t>第</w:t>
      </w:r>
      <w:r>
        <w:rPr>
          <w:rFonts w:ascii="宋体" w:hAnsi="宋体"/>
          <w:color w:val="auto"/>
          <w:spacing w:val="23"/>
          <w:sz w:val="43"/>
          <w:szCs w:val="43"/>
          <w:highlight w:val="none"/>
        </w:rPr>
        <w:t>三章评标办法(综合评估法)</w:t>
      </w:r>
      <w:bookmarkEnd w:id="360"/>
    </w:p>
    <w:p w14:paraId="79230FE6">
      <w:pPr>
        <w:jc w:val="center"/>
        <w:rPr>
          <w:rFonts w:ascii="宋体" w:hAnsi="宋体"/>
          <w:color w:val="auto"/>
          <w:spacing w:val="23"/>
          <w:sz w:val="43"/>
          <w:szCs w:val="43"/>
          <w:highlight w:val="none"/>
        </w:rPr>
      </w:pPr>
      <w:r>
        <w:rPr>
          <w:rFonts w:hint="eastAsia" w:ascii="宋体" w:hAnsi="宋体"/>
          <w:color w:val="auto"/>
          <w:spacing w:val="23"/>
          <w:sz w:val="43"/>
          <w:szCs w:val="43"/>
          <w:highlight w:val="none"/>
        </w:rPr>
        <w:t>（非暗标形式）</w:t>
      </w:r>
    </w:p>
    <w:p w14:paraId="2A206BF3">
      <w:pPr>
        <w:spacing w:line="263" w:lineRule="auto"/>
        <w:rPr>
          <w:color w:val="auto"/>
          <w:highlight w:val="none"/>
        </w:rPr>
      </w:pPr>
    </w:p>
    <w:p w14:paraId="4B3EDF6F">
      <w:pPr>
        <w:spacing w:line="263" w:lineRule="auto"/>
        <w:rPr>
          <w:color w:val="auto"/>
          <w:highlight w:val="none"/>
        </w:rPr>
      </w:pPr>
    </w:p>
    <w:p w14:paraId="1DA8C062">
      <w:pPr>
        <w:spacing w:before="101" w:line="227" w:lineRule="auto"/>
        <w:ind w:left="121"/>
        <w:rPr>
          <w:rFonts w:ascii="黑体" w:hAnsi="黑体" w:eastAsia="黑体"/>
          <w:color w:val="auto"/>
          <w:spacing w:val="13"/>
          <w:sz w:val="31"/>
          <w:szCs w:val="31"/>
          <w:highlight w:val="none"/>
        </w:rPr>
      </w:pPr>
      <w:r>
        <w:rPr>
          <w:rFonts w:ascii="黑体" w:hAnsi="黑体" w:eastAsia="黑体"/>
          <w:color w:val="auto"/>
          <w:spacing w:val="13"/>
          <w:sz w:val="31"/>
          <w:szCs w:val="31"/>
          <w:highlight w:val="none"/>
        </w:rPr>
        <w:t>评</w:t>
      </w:r>
      <w:r>
        <w:rPr>
          <w:rFonts w:ascii="黑体" w:hAnsi="黑体" w:eastAsia="黑体"/>
          <w:color w:val="auto"/>
          <w:spacing w:val="9"/>
          <w:sz w:val="31"/>
          <w:szCs w:val="31"/>
          <w:highlight w:val="none"/>
        </w:rPr>
        <w:t>标办法前附表</w:t>
      </w:r>
    </w:p>
    <w:p w14:paraId="34B585C5">
      <w:pPr>
        <w:rPr>
          <w:color w:val="auto"/>
          <w:highlight w:val="none"/>
        </w:rPr>
      </w:pPr>
    </w:p>
    <w:p w14:paraId="6A4D643C">
      <w:pPr>
        <w:spacing w:line="62" w:lineRule="exact"/>
        <w:rPr>
          <w:color w:val="auto"/>
          <w:highlight w:val="none"/>
        </w:rPr>
      </w:pPr>
    </w:p>
    <w:tbl>
      <w:tblPr>
        <w:tblStyle w:val="19"/>
        <w:tblW w:w="957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4"/>
        <w:gridCol w:w="1124"/>
        <w:gridCol w:w="2035"/>
        <w:gridCol w:w="5515"/>
      </w:tblGrid>
      <w:tr w14:paraId="618D2A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2028" w:type="dxa"/>
            <w:gridSpan w:val="2"/>
          </w:tcPr>
          <w:p w14:paraId="21D0D6D6">
            <w:pPr>
              <w:spacing w:before="174" w:line="220" w:lineRule="auto"/>
              <w:ind w:left="705"/>
              <w:rPr>
                <w:rFonts w:ascii="宋体" w:hAnsi="宋体" w:eastAsia="宋体"/>
                <w:color w:val="auto"/>
                <w:spacing w:val="-3"/>
                <w:highlight w:val="none"/>
              </w:rPr>
            </w:pPr>
            <w:r>
              <w:rPr>
                <w:rFonts w:ascii="宋体" w:hAnsi="宋体" w:eastAsia="宋体"/>
                <w:color w:val="auto"/>
                <w:spacing w:val="-3"/>
                <w:highlight w:val="none"/>
              </w:rPr>
              <w:t>条款号</w:t>
            </w:r>
          </w:p>
        </w:tc>
        <w:tc>
          <w:tcPr>
            <w:tcW w:w="2035" w:type="dxa"/>
          </w:tcPr>
          <w:p w14:paraId="63EECF06">
            <w:pPr>
              <w:spacing w:before="174" w:line="220" w:lineRule="auto"/>
              <w:ind w:left="820"/>
              <w:rPr>
                <w:rFonts w:ascii="宋体" w:hAnsi="宋体" w:eastAsia="宋体"/>
                <w:color w:val="auto"/>
                <w:spacing w:val="-2"/>
                <w:highlight w:val="none"/>
              </w:rPr>
            </w:pPr>
            <w:r>
              <w:rPr>
                <w:rFonts w:ascii="宋体" w:hAnsi="宋体" w:eastAsia="宋体"/>
                <w:color w:val="auto"/>
                <w:spacing w:val="-2"/>
                <w:highlight w:val="none"/>
              </w:rPr>
              <w:t>评</w:t>
            </w:r>
            <w:r>
              <w:rPr>
                <w:rFonts w:ascii="宋体" w:hAnsi="宋体" w:eastAsia="宋体"/>
                <w:color w:val="auto"/>
                <w:spacing w:val="-1"/>
                <w:highlight w:val="none"/>
              </w:rPr>
              <w:t>审因素</w:t>
            </w:r>
          </w:p>
        </w:tc>
        <w:tc>
          <w:tcPr>
            <w:tcW w:w="5515" w:type="dxa"/>
          </w:tcPr>
          <w:p w14:paraId="6BB2ACA0">
            <w:pPr>
              <w:spacing w:before="174" w:line="221" w:lineRule="auto"/>
              <w:ind w:left="1925"/>
              <w:rPr>
                <w:rFonts w:ascii="宋体" w:hAnsi="宋体" w:eastAsia="宋体"/>
                <w:color w:val="auto"/>
                <w:spacing w:val="-2"/>
                <w:highlight w:val="none"/>
              </w:rPr>
            </w:pPr>
            <w:r>
              <w:rPr>
                <w:rFonts w:ascii="宋体" w:hAnsi="宋体" w:eastAsia="宋体"/>
                <w:color w:val="auto"/>
                <w:spacing w:val="-2"/>
                <w:highlight w:val="none"/>
              </w:rPr>
              <w:t>评审标</w:t>
            </w:r>
            <w:r>
              <w:rPr>
                <w:rFonts w:ascii="宋体" w:hAnsi="宋体" w:eastAsia="宋体"/>
                <w:color w:val="auto"/>
                <w:spacing w:val="-1"/>
                <w:highlight w:val="none"/>
              </w:rPr>
              <w:t>准</w:t>
            </w:r>
          </w:p>
        </w:tc>
      </w:tr>
      <w:tr w14:paraId="6BC97A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5" w:hRule="atLeast"/>
        </w:trPr>
        <w:tc>
          <w:tcPr>
            <w:tcW w:w="904" w:type="dxa"/>
            <w:vAlign w:val="center"/>
          </w:tcPr>
          <w:p w14:paraId="2813B431">
            <w:pPr>
              <w:spacing w:before="241"/>
              <w:jc w:val="center"/>
              <w:rPr>
                <w:rFonts w:ascii="Times New Roman" w:hAnsi="Times New Roman" w:eastAsia="Times New Roman"/>
                <w:color w:val="auto"/>
                <w:highlight w:val="none"/>
              </w:rPr>
            </w:pPr>
            <w:r>
              <w:rPr>
                <w:rFonts w:ascii="Times New Roman" w:hAnsi="Times New Roman" w:eastAsia="Times New Roman"/>
                <w:color w:val="auto"/>
                <w:highlight w:val="none"/>
              </w:rPr>
              <w:t>1</w:t>
            </w:r>
          </w:p>
        </w:tc>
        <w:tc>
          <w:tcPr>
            <w:tcW w:w="1124" w:type="dxa"/>
            <w:vAlign w:val="center"/>
          </w:tcPr>
          <w:p w14:paraId="499ACE5D">
            <w:pPr>
              <w:spacing w:before="202"/>
              <w:jc w:val="center"/>
              <w:rPr>
                <w:rFonts w:ascii="宋体" w:hAnsi="宋体" w:eastAsia="宋体"/>
                <w:color w:val="auto"/>
                <w:spacing w:val="-2"/>
                <w:highlight w:val="none"/>
              </w:rPr>
            </w:pPr>
            <w:r>
              <w:rPr>
                <w:rFonts w:ascii="宋体" w:hAnsi="宋体" w:eastAsia="宋体"/>
                <w:color w:val="auto"/>
                <w:spacing w:val="-2"/>
                <w:highlight w:val="none"/>
              </w:rPr>
              <w:t>评标</w:t>
            </w:r>
            <w:r>
              <w:rPr>
                <w:rFonts w:ascii="宋体" w:hAnsi="宋体" w:eastAsia="宋体"/>
                <w:color w:val="auto"/>
                <w:spacing w:val="-1"/>
                <w:highlight w:val="none"/>
              </w:rPr>
              <w:t>方法</w:t>
            </w:r>
          </w:p>
        </w:tc>
        <w:tc>
          <w:tcPr>
            <w:tcW w:w="2035" w:type="dxa"/>
            <w:vAlign w:val="center"/>
          </w:tcPr>
          <w:p w14:paraId="3DDBEF25">
            <w:pPr>
              <w:jc w:val="center"/>
              <w:rPr>
                <w:rFonts w:ascii="宋体" w:hAnsi="宋体" w:eastAsia="宋体"/>
                <w:color w:val="auto"/>
                <w:spacing w:val="-4"/>
                <w:highlight w:val="none"/>
              </w:rPr>
            </w:pPr>
            <w:r>
              <w:rPr>
                <w:rFonts w:ascii="宋体" w:hAnsi="宋体" w:eastAsia="宋体"/>
                <w:color w:val="auto"/>
                <w:spacing w:val="-4"/>
                <w:highlight w:val="none"/>
              </w:rPr>
              <w:t>中标候</w:t>
            </w:r>
            <w:r>
              <w:rPr>
                <w:rFonts w:ascii="宋体" w:hAnsi="宋体" w:eastAsia="宋体"/>
                <w:color w:val="auto"/>
                <w:spacing w:val="-3"/>
                <w:highlight w:val="none"/>
              </w:rPr>
              <w:t>选</w:t>
            </w:r>
            <w:r>
              <w:rPr>
                <w:rFonts w:ascii="宋体" w:hAnsi="宋体" w:eastAsia="宋体"/>
                <w:color w:val="auto"/>
                <w:spacing w:val="-2"/>
                <w:highlight w:val="none"/>
              </w:rPr>
              <w:t>人排序方法</w:t>
            </w:r>
          </w:p>
        </w:tc>
        <w:tc>
          <w:tcPr>
            <w:tcW w:w="5515" w:type="dxa"/>
          </w:tcPr>
          <w:p w14:paraId="7919F1F1">
            <w:pPr>
              <w:pStyle w:val="53"/>
              <w:kinsoku/>
              <w:topLinePunct/>
              <w:spacing w:line="240" w:lineRule="auto"/>
              <w:ind w:left="210" w:leftChars="100" w:right="210" w:rightChars="100" w:firstLine="0" w:firstLineChars="0"/>
              <w:rPr>
                <w:color w:val="auto"/>
                <w:sz w:val="21"/>
                <w:szCs w:val="21"/>
                <w:highlight w:val="none"/>
              </w:rPr>
            </w:pPr>
            <w:r>
              <w:rPr>
                <w:rFonts w:hint="eastAsia"/>
                <w:color w:val="auto"/>
                <w:sz w:val="21"/>
                <w:szCs w:val="21"/>
                <w:highlight w:val="none"/>
              </w:rPr>
              <w:t>将各综合得分由高到低顺序排列，综合得分最高的投标人为第一中标候选人，综合得分次高的投标人为第二中标候选人，以此类推。各标段中标候选人顺序确定方法如下：综合评分相等时，以投标报价低的优先；投标报价也相等的，以设计方案得分高的优先；如果设计方案得分也相等，评标委员会视投标人情况综合比较，投票确定其名次，以“少数服从多数”的原则</w:t>
            </w:r>
            <w:r>
              <w:rPr>
                <w:rFonts w:hint="eastAsia" w:ascii="宋体" w:hAnsi="宋体"/>
                <w:color w:val="auto"/>
                <w:sz w:val="21"/>
                <w:szCs w:val="21"/>
                <w:highlight w:val="none"/>
              </w:rPr>
              <w:t>确定中标候选人的排序。</w:t>
            </w:r>
          </w:p>
        </w:tc>
      </w:tr>
      <w:tr w14:paraId="471B56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904" w:type="dxa"/>
            <w:vMerge w:val="restart"/>
            <w:vAlign w:val="center"/>
          </w:tcPr>
          <w:p w14:paraId="58FAC620">
            <w:pPr>
              <w:spacing w:before="241" w:line="186" w:lineRule="auto"/>
              <w:jc w:val="center"/>
              <w:rPr>
                <w:rFonts w:ascii="Times New Roman" w:hAnsi="Times New Roman" w:eastAsia="Times New Roman"/>
                <w:color w:val="auto"/>
                <w:spacing w:val="-1"/>
                <w:highlight w:val="none"/>
              </w:rPr>
            </w:pPr>
            <w:r>
              <w:rPr>
                <w:rFonts w:ascii="Times New Roman" w:hAnsi="Times New Roman" w:eastAsia="Times New Roman"/>
                <w:color w:val="auto"/>
                <w:spacing w:val="-1"/>
                <w:highlight w:val="none"/>
              </w:rPr>
              <w:t>2.1</w:t>
            </w:r>
            <w:r>
              <w:rPr>
                <w:rFonts w:ascii="Times New Roman" w:hAnsi="Times New Roman" w:eastAsia="Times New Roman"/>
                <w:color w:val="auto"/>
                <w:highlight w:val="none"/>
              </w:rPr>
              <w:t>.1</w:t>
            </w:r>
          </w:p>
        </w:tc>
        <w:tc>
          <w:tcPr>
            <w:tcW w:w="1124" w:type="dxa"/>
            <w:vMerge w:val="restart"/>
            <w:vAlign w:val="center"/>
          </w:tcPr>
          <w:p w14:paraId="2AEB66CD">
            <w:pPr>
              <w:spacing w:before="202" w:line="221" w:lineRule="auto"/>
              <w:jc w:val="center"/>
              <w:rPr>
                <w:rFonts w:ascii="宋体" w:hAnsi="宋体" w:eastAsia="宋体"/>
                <w:color w:val="auto"/>
                <w:spacing w:val="-6"/>
                <w:highlight w:val="none"/>
              </w:rPr>
            </w:pPr>
            <w:r>
              <w:rPr>
                <w:rFonts w:ascii="宋体" w:hAnsi="宋体" w:eastAsia="宋体"/>
                <w:color w:val="auto"/>
                <w:spacing w:val="-6"/>
                <w:highlight w:val="none"/>
              </w:rPr>
              <w:t>资</w:t>
            </w:r>
            <w:r>
              <w:rPr>
                <w:rFonts w:ascii="宋体" w:hAnsi="宋体" w:eastAsia="宋体"/>
                <w:color w:val="auto"/>
                <w:spacing w:val="-4"/>
                <w:highlight w:val="none"/>
              </w:rPr>
              <w:t>格评审</w:t>
            </w:r>
            <w:r>
              <w:rPr>
                <w:rFonts w:ascii="宋体" w:hAnsi="宋体" w:eastAsia="宋体"/>
                <w:color w:val="auto"/>
                <w:highlight w:val="none"/>
              </w:rPr>
              <w:t xml:space="preserve"> </w:t>
            </w:r>
            <w:r>
              <w:rPr>
                <w:rFonts w:ascii="宋体" w:hAnsi="宋体" w:eastAsia="宋体"/>
                <w:color w:val="auto"/>
                <w:spacing w:val="-3"/>
                <w:highlight w:val="none"/>
              </w:rPr>
              <w:t>标</w:t>
            </w:r>
            <w:r>
              <w:rPr>
                <w:rFonts w:ascii="宋体" w:hAnsi="宋体" w:eastAsia="宋体"/>
                <w:color w:val="auto"/>
                <w:spacing w:val="-2"/>
                <w:highlight w:val="none"/>
              </w:rPr>
              <w:t>准</w:t>
            </w:r>
          </w:p>
        </w:tc>
        <w:tc>
          <w:tcPr>
            <w:tcW w:w="2035" w:type="dxa"/>
            <w:vAlign w:val="center"/>
          </w:tcPr>
          <w:p w14:paraId="4608D53B">
            <w:pPr>
              <w:spacing w:line="223" w:lineRule="auto"/>
              <w:jc w:val="center"/>
              <w:rPr>
                <w:rFonts w:ascii="宋体" w:hAnsi="宋体" w:eastAsia="宋体"/>
                <w:color w:val="auto"/>
                <w:spacing w:val="-2"/>
                <w:position w:val="17"/>
                <w:highlight w:val="none"/>
              </w:rPr>
            </w:pPr>
            <w:r>
              <w:rPr>
                <w:rFonts w:ascii="宋体" w:hAnsi="宋体" w:eastAsia="宋体"/>
                <w:color w:val="auto"/>
                <w:spacing w:val="-2"/>
                <w:position w:val="17"/>
                <w:highlight w:val="none"/>
              </w:rPr>
              <w:t>营业执照</w:t>
            </w:r>
          </w:p>
        </w:tc>
        <w:tc>
          <w:tcPr>
            <w:tcW w:w="5515" w:type="dxa"/>
          </w:tcPr>
          <w:p w14:paraId="71C2C79B">
            <w:pPr>
              <w:ind w:left="210" w:leftChars="100" w:right="210" w:rightChars="100"/>
              <w:rPr>
                <w:rFonts w:ascii="宋体" w:hAnsi="宋体" w:eastAsia="宋体"/>
                <w:color w:val="auto"/>
                <w:highlight w:val="none"/>
              </w:rPr>
            </w:pPr>
            <w:r>
              <w:rPr>
                <w:rFonts w:ascii="宋体" w:hAnsi="宋体" w:eastAsia="宋体"/>
                <w:color w:val="auto"/>
                <w:highlight w:val="none"/>
              </w:rPr>
              <w:t>符合第二章“投标人须知”第 3.5.1 项规定， 具备有效的营业执照</w:t>
            </w:r>
          </w:p>
        </w:tc>
      </w:tr>
      <w:tr w14:paraId="62E02D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904" w:type="dxa"/>
            <w:vMerge w:val="continue"/>
          </w:tcPr>
          <w:p w14:paraId="4533A6BC">
            <w:pPr>
              <w:spacing w:before="241" w:line="186" w:lineRule="auto"/>
              <w:ind w:left="420"/>
              <w:rPr>
                <w:rFonts w:ascii="Times New Roman" w:hAnsi="Times New Roman" w:eastAsia="Times New Roman"/>
                <w:color w:val="auto"/>
                <w:highlight w:val="none"/>
              </w:rPr>
            </w:pPr>
          </w:p>
        </w:tc>
        <w:tc>
          <w:tcPr>
            <w:tcW w:w="1124" w:type="dxa"/>
            <w:vMerge w:val="continue"/>
          </w:tcPr>
          <w:p w14:paraId="20B87AA3">
            <w:pPr>
              <w:spacing w:before="202" w:line="221" w:lineRule="auto"/>
              <w:ind w:left="144"/>
              <w:rPr>
                <w:rFonts w:ascii="宋体" w:hAnsi="宋体" w:eastAsia="宋体"/>
                <w:color w:val="auto"/>
                <w:spacing w:val="-2"/>
                <w:highlight w:val="none"/>
              </w:rPr>
            </w:pPr>
          </w:p>
        </w:tc>
        <w:tc>
          <w:tcPr>
            <w:tcW w:w="2035" w:type="dxa"/>
            <w:vAlign w:val="center"/>
          </w:tcPr>
          <w:p w14:paraId="6E66306A">
            <w:pPr>
              <w:spacing w:line="360" w:lineRule="auto"/>
              <w:jc w:val="center"/>
              <w:rPr>
                <w:rFonts w:ascii="宋体" w:hAnsi="宋体" w:eastAsia="宋体"/>
                <w:color w:val="auto"/>
                <w:spacing w:val="-4"/>
                <w:highlight w:val="none"/>
              </w:rPr>
            </w:pPr>
            <w:r>
              <w:rPr>
                <w:rFonts w:ascii="宋体" w:hAnsi="宋体" w:eastAsia="宋体"/>
                <w:color w:val="auto"/>
                <w:spacing w:val="-4"/>
                <w:highlight w:val="none"/>
              </w:rPr>
              <w:t>资</w:t>
            </w:r>
            <w:r>
              <w:rPr>
                <w:rFonts w:ascii="宋体" w:hAnsi="宋体" w:eastAsia="宋体"/>
                <w:color w:val="auto"/>
                <w:spacing w:val="-3"/>
                <w:highlight w:val="none"/>
              </w:rPr>
              <w:t>质要求</w:t>
            </w:r>
          </w:p>
        </w:tc>
        <w:tc>
          <w:tcPr>
            <w:tcW w:w="5515" w:type="dxa"/>
          </w:tcPr>
          <w:p w14:paraId="5639E2F2">
            <w:pPr>
              <w:spacing w:before="174" w:line="220" w:lineRule="auto"/>
              <w:ind w:left="210" w:leftChars="100" w:right="210" w:rightChars="100"/>
              <w:rPr>
                <w:rFonts w:ascii="宋体" w:hAnsi="宋体" w:eastAsia="宋体"/>
                <w:color w:val="auto"/>
                <w:spacing w:val="-4"/>
                <w:highlight w:val="none"/>
              </w:rPr>
            </w:pPr>
            <w:r>
              <w:rPr>
                <w:rFonts w:ascii="宋体" w:hAnsi="宋体" w:eastAsia="宋体"/>
                <w:color w:val="auto"/>
                <w:spacing w:val="-4"/>
                <w:highlight w:val="none"/>
              </w:rPr>
              <w:t>符合第二章</w:t>
            </w:r>
            <w:r>
              <w:rPr>
                <w:rFonts w:ascii="Times New Roman" w:hAnsi="Times New Roman" w:eastAsia="Times New Roman"/>
                <w:color w:val="auto"/>
                <w:spacing w:val="-4"/>
                <w:highlight w:val="none"/>
              </w:rPr>
              <w:t>“</w:t>
            </w:r>
            <w:r>
              <w:rPr>
                <w:rFonts w:ascii="宋体" w:hAnsi="宋体" w:eastAsia="宋体"/>
                <w:color w:val="auto"/>
                <w:spacing w:val="-4"/>
                <w:highlight w:val="none"/>
              </w:rPr>
              <w:t>投</w:t>
            </w:r>
            <w:r>
              <w:rPr>
                <w:rFonts w:ascii="宋体" w:hAnsi="宋体" w:eastAsia="宋体"/>
                <w:color w:val="auto"/>
                <w:spacing w:val="-2"/>
                <w:highlight w:val="none"/>
              </w:rPr>
              <w:t>标人须知</w:t>
            </w:r>
            <w:r>
              <w:rPr>
                <w:rFonts w:ascii="Times New Roman" w:hAnsi="Times New Roman" w:eastAsia="Times New Roman"/>
                <w:color w:val="auto"/>
                <w:spacing w:val="-2"/>
                <w:highlight w:val="none"/>
              </w:rPr>
              <w:t>”</w:t>
            </w:r>
            <w:r>
              <w:rPr>
                <w:rFonts w:ascii="宋体" w:hAnsi="宋体" w:eastAsia="宋体"/>
                <w:color w:val="auto"/>
                <w:spacing w:val="-2"/>
                <w:highlight w:val="none"/>
              </w:rPr>
              <w:t xml:space="preserve">第 </w:t>
            </w:r>
            <w:r>
              <w:rPr>
                <w:rFonts w:ascii="Times New Roman" w:hAnsi="Times New Roman" w:eastAsia="Times New Roman"/>
                <w:color w:val="auto"/>
                <w:spacing w:val="-2"/>
                <w:highlight w:val="none"/>
              </w:rPr>
              <w:t xml:space="preserve">1.4.1 </w:t>
            </w:r>
            <w:r>
              <w:rPr>
                <w:rFonts w:ascii="宋体" w:hAnsi="宋体" w:eastAsia="宋体"/>
                <w:color w:val="auto"/>
                <w:spacing w:val="-2"/>
                <w:highlight w:val="none"/>
              </w:rPr>
              <w:t>项规定</w:t>
            </w:r>
          </w:p>
        </w:tc>
      </w:tr>
      <w:tr w14:paraId="530204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904" w:type="dxa"/>
            <w:vMerge w:val="continue"/>
          </w:tcPr>
          <w:p w14:paraId="75744AED">
            <w:pPr>
              <w:spacing w:before="241" w:line="186" w:lineRule="auto"/>
              <w:ind w:left="420"/>
              <w:rPr>
                <w:rFonts w:ascii="Times New Roman" w:hAnsi="Times New Roman" w:eastAsia="Times New Roman"/>
                <w:color w:val="auto"/>
                <w:highlight w:val="none"/>
              </w:rPr>
            </w:pPr>
          </w:p>
        </w:tc>
        <w:tc>
          <w:tcPr>
            <w:tcW w:w="1124" w:type="dxa"/>
            <w:vMerge w:val="continue"/>
          </w:tcPr>
          <w:p w14:paraId="0541B09D">
            <w:pPr>
              <w:spacing w:before="202" w:line="221" w:lineRule="auto"/>
              <w:ind w:left="144"/>
              <w:rPr>
                <w:rFonts w:ascii="宋体" w:hAnsi="宋体" w:eastAsia="宋体"/>
                <w:color w:val="auto"/>
                <w:spacing w:val="-2"/>
                <w:highlight w:val="none"/>
              </w:rPr>
            </w:pPr>
          </w:p>
        </w:tc>
        <w:tc>
          <w:tcPr>
            <w:tcW w:w="2035" w:type="dxa"/>
            <w:vAlign w:val="center"/>
          </w:tcPr>
          <w:p w14:paraId="3351F31B">
            <w:pPr>
              <w:spacing w:line="360" w:lineRule="auto"/>
              <w:jc w:val="center"/>
              <w:rPr>
                <w:rFonts w:ascii="宋体" w:hAnsi="宋体" w:eastAsia="宋体"/>
                <w:color w:val="auto"/>
                <w:spacing w:val="-2"/>
                <w:highlight w:val="none"/>
              </w:rPr>
            </w:pPr>
            <w:r>
              <w:rPr>
                <w:rFonts w:ascii="宋体" w:hAnsi="宋体" w:eastAsia="宋体"/>
                <w:color w:val="auto"/>
                <w:spacing w:val="-2"/>
                <w:highlight w:val="none"/>
              </w:rPr>
              <w:t>项目负责人</w:t>
            </w:r>
          </w:p>
        </w:tc>
        <w:tc>
          <w:tcPr>
            <w:tcW w:w="5515" w:type="dxa"/>
          </w:tcPr>
          <w:p w14:paraId="31C08932">
            <w:pPr>
              <w:spacing w:before="174" w:line="220" w:lineRule="auto"/>
              <w:ind w:left="210" w:leftChars="100" w:right="210" w:rightChars="100"/>
              <w:rPr>
                <w:rFonts w:ascii="宋体" w:hAnsi="宋体" w:eastAsia="宋体"/>
                <w:color w:val="auto"/>
                <w:spacing w:val="-4"/>
                <w:highlight w:val="none"/>
              </w:rPr>
            </w:pPr>
            <w:r>
              <w:rPr>
                <w:rFonts w:ascii="宋体" w:hAnsi="宋体" w:eastAsia="宋体"/>
                <w:color w:val="auto"/>
                <w:spacing w:val="-4"/>
                <w:highlight w:val="none"/>
              </w:rPr>
              <w:t>符合第二章</w:t>
            </w:r>
            <w:r>
              <w:rPr>
                <w:rFonts w:ascii="Times New Roman" w:hAnsi="Times New Roman" w:eastAsia="Times New Roman"/>
                <w:color w:val="auto"/>
                <w:spacing w:val="-4"/>
                <w:highlight w:val="none"/>
              </w:rPr>
              <w:t>“</w:t>
            </w:r>
            <w:r>
              <w:rPr>
                <w:rFonts w:ascii="宋体" w:hAnsi="宋体" w:eastAsia="宋体"/>
                <w:color w:val="auto"/>
                <w:spacing w:val="-4"/>
                <w:highlight w:val="none"/>
              </w:rPr>
              <w:t>投</w:t>
            </w:r>
            <w:r>
              <w:rPr>
                <w:rFonts w:ascii="宋体" w:hAnsi="宋体" w:eastAsia="宋体"/>
                <w:color w:val="auto"/>
                <w:spacing w:val="-2"/>
                <w:highlight w:val="none"/>
              </w:rPr>
              <w:t>标人须知</w:t>
            </w:r>
            <w:r>
              <w:rPr>
                <w:rFonts w:ascii="Times New Roman" w:hAnsi="Times New Roman" w:eastAsia="Times New Roman"/>
                <w:color w:val="auto"/>
                <w:spacing w:val="-2"/>
                <w:highlight w:val="none"/>
              </w:rPr>
              <w:t>”</w:t>
            </w:r>
            <w:r>
              <w:rPr>
                <w:rFonts w:ascii="宋体" w:hAnsi="宋体" w:eastAsia="宋体"/>
                <w:color w:val="auto"/>
                <w:spacing w:val="-2"/>
                <w:highlight w:val="none"/>
              </w:rPr>
              <w:t xml:space="preserve">第 </w:t>
            </w:r>
            <w:r>
              <w:rPr>
                <w:rFonts w:ascii="Times New Roman" w:hAnsi="Times New Roman" w:eastAsia="Times New Roman"/>
                <w:color w:val="auto"/>
                <w:spacing w:val="-2"/>
                <w:highlight w:val="none"/>
              </w:rPr>
              <w:t xml:space="preserve">1.4.1 </w:t>
            </w:r>
            <w:r>
              <w:rPr>
                <w:rFonts w:ascii="宋体" w:hAnsi="宋体" w:eastAsia="宋体"/>
                <w:color w:val="auto"/>
                <w:spacing w:val="-2"/>
                <w:highlight w:val="none"/>
              </w:rPr>
              <w:t>项规定</w:t>
            </w:r>
          </w:p>
        </w:tc>
      </w:tr>
      <w:tr w14:paraId="54B425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904" w:type="dxa"/>
            <w:vMerge w:val="continue"/>
          </w:tcPr>
          <w:p w14:paraId="2853D46B">
            <w:pPr>
              <w:spacing w:before="241" w:line="186" w:lineRule="auto"/>
              <w:ind w:left="420"/>
              <w:rPr>
                <w:rFonts w:ascii="Times New Roman" w:hAnsi="Times New Roman" w:eastAsia="Times New Roman"/>
                <w:color w:val="auto"/>
                <w:highlight w:val="none"/>
              </w:rPr>
            </w:pPr>
          </w:p>
        </w:tc>
        <w:tc>
          <w:tcPr>
            <w:tcW w:w="1124" w:type="dxa"/>
            <w:vMerge w:val="continue"/>
          </w:tcPr>
          <w:p w14:paraId="21B10F8F">
            <w:pPr>
              <w:spacing w:before="202" w:line="221" w:lineRule="auto"/>
              <w:ind w:left="144"/>
              <w:rPr>
                <w:rFonts w:ascii="宋体" w:hAnsi="宋体" w:eastAsia="宋体"/>
                <w:color w:val="auto"/>
                <w:spacing w:val="-2"/>
                <w:highlight w:val="none"/>
              </w:rPr>
            </w:pPr>
          </w:p>
        </w:tc>
        <w:tc>
          <w:tcPr>
            <w:tcW w:w="2035" w:type="dxa"/>
            <w:vAlign w:val="center"/>
          </w:tcPr>
          <w:p w14:paraId="3EB54461">
            <w:pPr>
              <w:spacing w:line="360" w:lineRule="auto"/>
              <w:jc w:val="center"/>
              <w:rPr>
                <w:rFonts w:ascii="宋体" w:hAnsi="宋体" w:eastAsia="宋体"/>
                <w:color w:val="auto"/>
                <w:spacing w:val="-2"/>
                <w:highlight w:val="none"/>
              </w:rPr>
            </w:pPr>
            <w:r>
              <w:rPr>
                <w:rFonts w:ascii="宋体" w:hAnsi="宋体" w:eastAsia="宋体"/>
                <w:color w:val="auto"/>
                <w:spacing w:val="-2"/>
                <w:highlight w:val="none"/>
              </w:rPr>
              <w:t>联合</w:t>
            </w:r>
            <w:r>
              <w:rPr>
                <w:rFonts w:ascii="宋体" w:hAnsi="宋体" w:eastAsia="宋体"/>
                <w:color w:val="auto"/>
                <w:spacing w:val="-1"/>
                <w:highlight w:val="none"/>
              </w:rPr>
              <w:t>体投标人</w:t>
            </w:r>
          </w:p>
        </w:tc>
        <w:tc>
          <w:tcPr>
            <w:tcW w:w="5515" w:type="dxa"/>
          </w:tcPr>
          <w:p w14:paraId="255B3148">
            <w:pPr>
              <w:spacing w:before="171" w:line="220" w:lineRule="auto"/>
              <w:ind w:left="210" w:leftChars="100" w:right="210" w:rightChars="100"/>
              <w:rPr>
                <w:rFonts w:ascii="宋体" w:hAnsi="宋体" w:eastAsia="宋体"/>
                <w:color w:val="auto"/>
                <w:spacing w:val="-4"/>
                <w:highlight w:val="none"/>
              </w:rPr>
            </w:pPr>
            <w:r>
              <w:rPr>
                <w:rFonts w:ascii="宋体" w:hAnsi="宋体" w:eastAsia="宋体"/>
                <w:color w:val="auto"/>
                <w:spacing w:val="-4"/>
                <w:highlight w:val="none"/>
              </w:rPr>
              <w:t>符合第二章</w:t>
            </w:r>
            <w:r>
              <w:rPr>
                <w:rFonts w:ascii="Times New Roman" w:hAnsi="Times New Roman" w:eastAsia="Times New Roman"/>
                <w:color w:val="auto"/>
                <w:spacing w:val="-4"/>
                <w:highlight w:val="none"/>
              </w:rPr>
              <w:t>“</w:t>
            </w:r>
            <w:r>
              <w:rPr>
                <w:rFonts w:ascii="宋体" w:hAnsi="宋体" w:eastAsia="宋体"/>
                <w:color w:val="auto"/>
                <w:spacing w:val="-4"/>
                <w:highlight w:val="none"/>
              </w:rPr>
              <w:t>投</w:t>
            </w:r>
            <w:r>
              <w:rPr>
                <w:rFonts w:ascii="宋体" w:hAnsi="宋体" w:eastAsia="宋体"/>
                <w:color w:val="auto"/>
                <w:spacing w:val="-2"/>
                <w:highlight w:val="none"/>
              </w:rPr>
              <w:t>标人须知</w:t>
            </w:r>
            <w:r>
              <w:rPr>
                <w:rFonts w:ascii="Times New Roman" w:hAnsi="Times New Roman" w:eastAsia="Times New Roman"/>
                <w:color w:val="auto"/>
                <w:spacing w:val="-2"/>
                <w:highlight w:val="none"/>
              </w:rPr>
              <w:t>”</w:t>
            </w:r>
            <w:r>
              <w:rPr>
                <w:rFonts w:ascii="宋体" w:hAnsi="宋体" w:eastAsia="宋体"/>
                <w:color w:val="auto"/>
                <w:spacing w:val="-2"/>
                <w:highlight w:val="none"/>
              </w:rPr>
              <w:t xml:space="preserve">第 </w:t>
            </w:r>
            <w:r>
              <w:rPr>
                <w:rFonts w:ascii="Times New Roman" w:hAnsi="Times New Roman" w:eastAsia="Times New Roman"/>
                <w:color w:val="auto"/>
                <w:spacing w:val="-2"/>
                <w:highlight w:val="none"/>
              </w:rPr>
              <w:t xml:space="preserve">1.4.2 </w:t>
            </w:r>
            <w:r>
              <w:rPr>
                <w:rFonts w:ascii="宋体" w:hAnsi="宋体" w:eastAsia="宋体"/>
                <w:color w:val="auto"/>
                <w:spacing w:val="-2"/>
                <w:highlight w:val="none"/>
              </w:rPr>
              <w:t>项规定</w:t>
            </w:r>
          </w:p>
        </w:tc>
      </w:tr>
      <w:tr w14:paraId="3E7BB1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8" w:hRule="atLeast"/>
        </w:trPr>
        <w:tc>
          <w:tcPr>
            <w:tcW w:w="904" w:type="dxa"/>
            <w:vMerge w:val="continue"/>
          </w:tcPr>
          <w:p w14:paraId="6B989F23">
            <w:pPr>
              <w:spacing w:before="241" w:line="186" w:lineRule="auto"/>
              <w:ind w:left="420"/>
              <w:rPr>
                <w:rFonts w:ascii="Times New Roman" w:hAnsi="Times New Roman" w:eastAsia="Times New Roman"/>
                <w:color w:val="auto"/>
                <w:highlight w:val="none"/>
              </w:rPr>
            </w:pPr>
          </w:p>
        </w:tc>
        <w:tc>
          <w:tcPr>
            <w:tcW w:w="1124" w:type="dxa"/>
            <w:vMerge w:val="continue"/>
          </w:tcPr>
          <w:p w14:paraId="3A59B4B6">
            <w:pPr>
              <w:spacing w:before="202" w:line="221" w:lineRule="auto"/>
              <w:ind w:left="144"/>
              <w:rPr>
                <w:rFonts w:ascii="宋体" w:hAnsi="宋体" w:eastAsia="宋体"/>
                <w:color w:val="auto"/>
                <w:spacing w:val="-2"/>
                <w:highlight w:val="none"/>
              </w:rPr>
            </w:pPr>
          </w:p>
        </w:tc>
        <w:tc>
          <w:tcPr>
            <w:tcW w:w="2035" w:type="dxa"/>
            <w:vAlign w:val="center"/>
          </w:tcPr>
          <w:p w14:paraId="4D45C923">
            <w:pPr>
              <w:jc w:val="center"/>
              <w:rPr>
                <w:rFonts w:ascii="宋体" w:hAnsi="宋体" w:eastAsia="宋体"/>
                <w:color w:val="auto"/>
                <w:spacing w:val="-2"/>
                <w:highlight w:val="none"/>
              </w:rPr>
            </w:pPr>
            <w:r>
              <w:rPr>
                <w:rFonts w:hint="eastAsia" w:ascii="宋体" w:hAnsi="宋体" w:eastAsia="宋体"/>
                <w:color w:val="auto"/>
                <w:spacing w:val="-2"/>
                <w:highlight w:val="none"/>
              </w:rPr>
              <w:t>未被纳入失信联合惩戒名单且被限制参与相关项目投标的</w:t>
            </w:r>
          </w:p>
        </w:tc>
        <w:tc>
          <w:tcPr>
            <w:tcW w:w="5515" w:type="dxa"/>
            <w:vAlign w:val="center"/>
          </w:tcPr>
          <w:p w14:paraId="6B0BD91D">
            <w:pPr>
              <w:ind w:left="210" w:leftChars="100" w:right="210" w:rightChars="100"/>
              <w:rPr>
                <w:rFonts w:ascii="宋体" w:hAnsi="宋体" w:eastAsia="宋体"/>
                <w:color w:val="auto"/>
                <w:spacing w:val="-4"/>
                <w:highlight w:val="none"/>
              </w:rPr>
            </w:pPr>
            <w:r>
              <w:rPr>
                <w:rFonts w:hint="eastAsia" w:ascii="宋体" w:hAnsi="宋体" w:eastAsia="宋体"/>
                <w:color w:val="auto"/>
                <w:spacing w:val="-4"/>
                <w:highlight w:val="none"/>
              </w:rPr>
              <w:t>失信联合惩戒名单以“信用广州”网站公布的“黑名单”为准。（提供查询结果网页截图，并加盖公章。）</w:t>
            </w:r>
          </w:p>
        </w:tc>
      </w:tr>
      <w:tr w14:paraId="6BCB4E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0" w:hRule="atLeast"/>
        </w:trPr>
        <w:tc>
          <w:tcPr>
            <w:tcW w:w="904" w:type="dxa"/>
            <w:vMerge w:val="continue"/>
          </w:tcPr>
          <w:p w14:paraId="20773CD3">
            <w:pPr>
              <w:spacing w:before="241" w:line="186" w:lineRule="auto"/>
              <w:ind w:left="420"/>
              <w:rPr>
                <w:rFonts w:ascii="Times New Roman" w:hAnsi="Times New Roman" w:eastAsia="Times New Roman"/>
                <w:color w:val="auto"/>
                <w:highlight w:val="none"/>
              </w:rPr>
            </w:pPr>
          </w:p>
        </w:tc>
        <w:tc>
          <w:tcPr>
            <w:tcW w:w="1124" w:type="dxa"/>
            <w:vMerge w:val="continue"/>
          </w:tcPr>
          <w:p w14:paraId="41D5F261">
            <w:pPr>
              <w:spacing w:before="202" w:line="221" w:lineRule="auto"/>
              <w:ind w:left="144"/>
              <w:rPr>
                <w:rFonts w:ascii="宋体" w:hAnsi="宋体" w:eastAsia="宋体"/>
                <w:color w:val="auto"/>
                <w:spacing w:val="-2"/>
                <w:highlight w:val="none"/>
              </w:rPr>
            </w:pPr>
          </w:p>
        </w:tc>
        <w:tc>
          <w:tcPr>
            <w:tcW w:w="2035" w:type="dxa"/>
            <w:vAlign w:val="center"/>
          </w:tcPr>
          <w:p w14:paraId="35682D92">
            <w:pPr>
              <w:jc w:val="center"/>
              <w:rPr>
                <w:rFonts w:ascii="宋体" w:hAnsi="宋体" w:eastAsia="宋体"/>
                <w:color w:val="auto"/>
                <w:spacing w:val="-2"/>
                <w:highlight w:val="none"/>
              </w:rPr>
            </w:pPr>
            <w:r>
              <w:rPr>
                <w:rFonts w:hint="eastAsia" w:ascii="宋体" w:hAnsi="宋体" w:eastAsia="宋体"/>
                <w:color w:val="auto"/>
                <w:spacing w:val="-2"/>
                <w:highlight w:val="none"/>
              </w:rPr>
              <w:t>不存在禁止投标的情形</w:t>
            </w:r>
          </w:p>
        </w:tc>
        <w:tc>
          <w:tcPr>
            <w:tcW w:w="5515" w:type="dxa"/>
            <w:vAlign w:val="center"/>
          </w:tcPr>
          <w:p w14:paraId="08B26BA4">
            <w:pPr>
              <w:ind w:left="210" w:leftChars="100" w:right="210" w:rightChars="100"/>
              <w:rPr>
                <w:rFonts w:ascii="宋体" w:hAnsi="宋体" w:eastAsia="宋体"/>
                <w:color w:val="auto"/>
                <w:spacing w:val="-4"/>
                <w:highlight w:val="none"/>
              </w:rPr>
            </w:pPr>
            <w:r>
              <w:rPr>
                <w:rFonts w:hint="eastAsia" w:ascii="宋体" w:hAnsi="宋体" w:eastAsia="宋体"/>
                <w:color w:val="auto"/>
                <w:spacing w:val="-4"/>
                <w:highlight w:val="none"/>
              </w:rPr>
              <w:t>不存在</w:t>
            </w:r>
            <w:r>
              <w:rPr>
                <w:rFonts w:ascii="宋体" w:hAnsi="宋体" w:eastAsia="宋体"/>
                <w:color w:val="auto"/>
                <w:spacing w:val="-4"/>
                <w:highlight w:val="none"/>
              </w:rPr>
              <w:t>第二章</w:t>
            </w:r>
            <w:r>
              <w:rPr>
                <w:rFonts w:ascii="Times New Roman" w:hAnsi="Times New Roman" w:eastAsia="Times New Roman"/>
                <w:color w:val="auto"/>
                <w:spacing w:val="-4"/>
                <w:highlight w:val="none"/>
              </w:rPr>
              <w:t>“</w:t>
            </w:r>
            <w:r>
              <w:rPr>
                <w:rFonts w:ascii="宋体" w:hAnsi="宋体" w:eastAsia="宋体"/>
                <w:color w:val="auto"/>
                <w:spacing w:val="-4"/>
                <w:highlight w:val="none"/>
              </w:rPr>
              <w:t>投</w:t>
            </w:r>
            <w:r>
              <w:rPr>
                <w:rFonts w:ascii="宋体" w:hAnsi="宋体" w:eastAsia="宋体"/>
                <w:color w:val="auto"/>
                <w:spacing w:val="-2"/>
                <w:highlight w:val="none"/>
              </w:rPr>
              <w:t>标人须知</w:t>
            </w:r>
            <w:r>
              <w:rPr>
                <w:rFonts w:ascii="Times New Roman" w:hAnsi="Times New Roman" w:eastAsia="Times New Roman"/>
                <w:color w:val="auto"/>
                <w:spacing w:val="-2"/>
                <w:highlight w:val="none"/>
              </w:rPr>
              <w:t>”</w:t>
            </w:r>
            <w:r>
              <w:rPr>
                <w:rFonts w:ascii="宋体" w:hAnsi="宋体" w:eastAsia="宋体"/>
                <w:color w:val="auto"/>
                <w:spacing w:val="-2"/>
                <w:highlight w:val="none"/>
              </w:rPr>
              <w:t xml:space="preserve">第 </w:t>
            </w:r>
            <w:r>
              <w:rPr>
                <w:rFonts w:ascii="Times New Roman" w:hAnsi="Times New Roman" w:eastAsia="Times New Roman"/>
                <w:color w:val="auto"/>
                <w:spacing w:val="-2"/>
                <w:highlight w:val="none"/>
              </w:rPr>
              <w:t>1.4.</w:t>
            </w:r>
            <w:r>
              <w:rPr>
                <w:rFonts w:hint="eastAsia" w:ascii="Times New Roman" w:hAnsi="Times New Roman" w:eastAsia="宋体"/>
                <w:color w:val="auto"/>
                <w:spacing w:val="-2"/>
                <w:highlight w:val="none"/>
              </w:rPr>
              <w:t>3</w:t>
            </w:r>
            <w:r>
              <w:rPr>
                <w:rFonts w:ascii="宋体" w:hAnsi="宋体" w:eastAsia="宋体"/>
                <w:color w:val="auto"/>
                <w:spacing w:val="-2"/>
                <w:highlight w:val="none"/>
              </w:rPr>
              <w:t>项规定</w:t>
            </w:r>
            <w:r>
              <w:rPr>
                <w:rFonts w:hint="eastAsia" w:ascii="宋体" w:hAnsi="宋体" w:eastAsia="宋体"/>
                <w:color w:val="auto"/>
                <w:spacing w:val="-2"/>
                <w:highlight w:val="none"/>
              </w:rPr>
              <w:t>的任何一种情形</w:t>
            </w:r>
            <w:r>
              <w:rPr>
                <w:rFonts w:hint="eastAsia" w:ascii="宋体" w:hAnsi="宋体" w:eastAsia="宋体"/>
                <w:color w:val="auto"/>
                <w:spacing w:val="-4"/>
                <w:highlight w:val="none"/>
              </w:rPr>
              <w:t>。</w:t>
            </w:r>
          </w:p>
        </w:tc>
      </w:tr>
      <w:tr w14:paraId="133A97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904" w:type="dxa"/>
            <w:vMerge w:val="restart"/>
          </w:tcPr>
          <w:p w14:paraId="632D66B7">
            <w:pPr>
              <w:spacing w:line="257" w:lineRule="auto"/>
              <w:rPr>
                <w:color w:val="auto"/>
                <w:highlight w:val="none"/>
              </w:rPr>
            </w:pPr>
          </w:p>
          <w:p w14:paraId="6B94A8BA">
            <w:pPr>
              <w:spacing w:line="257" w:lineRule="auto"/>
              <w:rPr>
                <w:color w:val="auto"/>
                <w:highlight w:val="none"/>
              </w:rPr>
            </w:pPr>
          </w:p>
          <w:p w14:paraId="45123503">
            <w:pPr>
              <w:spacing w:line="258" w:lineRule="auto"/>
              <w:rPr>
                <w:color w:val="auto"/>
                <w:highlight w:val="none"/>
              </w:rPr>
            </w:pPr>
          </w:p>
          <w:p w14:paraId="778F5476">
            <w:pPr>
              <w:spacing w:line="258" w:lineRule="auto"/>
              <w:rPr>
                <w:color w:val="auto"/>
                <w:highlight w:val="none"/>
              </w:rPr>
            </w:pPr>
          </w:p>
          <w:p w14:paraId="3C4566CF">
            <w:pPr>
              <w:spacing w:line="258" w:lineRule="auto"/>
              <w:rPr>
                <w:color w:val="auto"/>
                <w:highlight w:val="none"/>
              </w:rPr>
            </w:pPr>
          </w:p>
          <w:p w14:paraId="6EE767DE">
            <w:pPr>
              <w:spacing w:line="258" w:lineRule="auto"/>
              <w:rPr>
                <w:color w:val="auto"/>
                <w:highlight w:val="none"/>
              </w:rPr>
            </w:pPr>
          </w:p>
          <w:p w14:paraId="46693FF5">
            <w:pPr>
              <w:spacing w:line="258" w:lineRule="auto"/>
              <w:rPr>
                <w:color w:val="auto"/>
                <w:highlight w:val="none"/>
              </w:rPr>
            </w:pPr>
          </w:p>
          <w:p w14:paraId="7FF30FA3">
            <w:pPr>
              <w:spacing w:line="258" w:lineRule="auto"/>
              <w:rPr>
                <w:color w:val="auto"/>
                <w:highlight w:val="none"/>
              </w:rPr>
            </w:pPr>
          </w:p>
          <w:p w14:paraId="275B7289">
            <w:pPr>
              <w:spacing w:line="258" w:lineRule="auto"/>
              <w:rPr>
                <w:color w:val="auto"/>
                <w:highlight w:val="none"/>
              </w:rPr>
            </w:pPr>
          </w:p>
          <w:p w14:paraId="55CB283E">
            <w:pPr>
              <w:spacing w:line="258" w:lineRule="auto"/>
              <w:rPr>
                <w:color w:val="auto"/>
                <w:highlight w:val="none"/>
              </w:rPr>
            </w:pPr>
          </w:p>
          <w:p w14:paraId="4929CC76">
            <w:pPr>
              <w:spacing w:before="60" w:line="186" w:lineRule="auto"/>
              <w:ind w:left="244"/>
              <w:rPr>
                <w:rFonts w:ascii="Times New Roman" w:hAnsi="Times New Roman" w:eastAsia="Times New Roman"/>
                <w:color w:val="auto"/>
                <w:spacing w:val="-1"/>
                <w:highlight w:val="none"/>
              </w:rPr>
            </w:pPr>
            <w:r>
              <w:rPr>
                <w:rFonts w:ascii="Times New Roman" w:hAnsi="Times New Roman" w:eastAsia="Times New Roman"/>
                <w:color w:val="auto"/>
                <w:spacing w:val="-1"/>
                <w:highlight w:val="none"/>
              </w:rPr>
              <w:t>2.1</w:t>
            </w:r>
            <w:r>
              <w:rPr>
                <w:rFonts w:ascii="Times New Roman" w:hAnsi="Times New Roman" w:eastAsia="Times New Roman"/>
                <w:color w:val="auto"/>
                <w:highlight w:val="none"/>
              </w:rPr>
              <w:t>.</w:t>
            </w:r>
            <w:r>
              <w:rPr>
                <w:rFonts w:hint="eastAsia" w:ascii="Times New Roman" w:hAnsi="Times New Roman" w:eastAsia="宋体"/>
                <w:color w:val="auto"/>
                <w:highlight w:val="none"/>
              </w:rPr>
              <w:t>2</w:t>
            </w:r>
          </w:p>
        </w:tc>
        <w:tc>
          <w:tcPr>
            <w:tcW w:w="1124" w:type="dxa"/>
            <w:vMerge w:val="restart"/>
          </w:tcPr>
          <w:p w14:paraId="63DC0175">
            <w:pPr>
              <w:spacing w:line="257" w:lineRule="auto"/>
              <w:rPr>
                <w:color w:val="auto"/>
                <w:highlight w:val="none"/>
              </w:rPr>
            </w:pPr>
          </w:p>
          <w:p w14:paraId="52260146">
            <w:pPr>
              <w:spacing w:line="257" w:lineRule="auto"/>
              <w:rPr>
                <w:color w:val="auto"/>
                <w:highlight w:val="none"/>
              </w:rPr>
            </w:pPr>
          </w:p>
          <w:p w14:paraId="10033F46">
            <w:pPr>
              <w:spacing w:line="257" w:lineRule="auto"/>
              <w:rPr>
                <w:color w:val="auto"/>
                <w:highlight w:val="none"/>
              </w:rPr>
            </w:pPr>
          </w:p>
          <w:p w14:paraId="756A59F6">
            <w:pPr>
              <w:spacing w:line="257" w:lineRule="auto"/>
              <w:rPr>
                <w:color w:val="auto"/>
                <w:highlight w:val="none"/>
              </w:rPr>
            </w:pPr>
          </w:p>
          <w:p w14:paraId="48B8A518">
            <w:pPr>
              <w:spacing w:line="257" w:lineRule="auto"/>
              <w:rPr>
                <w:color w:val="auto"/>
                <w:highlight w:val="none"/>
              </w:rPr>
            </w:pPr>
          </w:p>
          <w:p w14:paraId="6CE2B45C">
            <w:pPr>
              <w:spacing w:line="257" w:lineRule="auto"/>
              <w:rPr>
                <w:color w:val="auto"/>
                <w:highlight w:val="none"/>
              </w:rPr>
            </w:pPr>
          </w:p>
          <w:p w14:paraId="15E368CF">
            <w:pPr>
              <w:spacing w:line="257" w:lineRule="auto"/>
              <w:rPr>
                <w:color w:val="auto"/>
                <w:highlight w:val="none"/>
              </w:rPr>
            </w:pPr>
          </w:p>
          <w:p w14:paraId="0E962E50">
            <w:pPr>
              <w:spacing w:line="257" w:lineRule="auto"/>
              <w:rPr>
                <w:color w:val="auto"/>
                <w:highlight w:val="none"/>
              </w:rPr>
            </w:pPr>
          </w:p>
          <w:p w14:paraId="5266FAEF">
            <w:pPr>
              <w:spacing w:before="202" w:line="221" w:lineRule="auto"/>
              <w:jc w:val="center"/>
              <w:rPr>
                <w:rFonts w:ascii="宋体" w:hAnsi="宋体" w:eastAsia="宋体"/>
                <w:color w:val="auto"/>
                <w:spacing w:val="-4"/>
                <w:highlight w:val="none"/>
              </w:rPr>
            </w:pPr>
          </w:p>
          <w:p w14:paraId="3BD71618">
            <w:pPr>
              <w:spacing w:before="202" w:line="221" w:lineRule="auto"/>
              <w:jc w:val="center"/>
              <w:rPr>
                <w:rFonts w:ascii="宋体" w:hAnsi="宋体" w:eastAsia="宋体"/>
                <w:color w:val="auto"/>
                <w:spacing w:val="-4"/>
                <w:highlight w:val="none"/>
              </w:rPr>
            </w:pPr>
            <w:r>
              <w:rPr>
                <w:rFonts w:ascii="宋体" w:hAnsi="宋体" w:eastAsia="宋体"/>
                <w:color w:val="auto"/>
                <w:spacing w:val="-4"/>
                <w:highlight w:val="none"/>
              </w:rPr>
              <w:t xml:space="preserve">形式评审标准 </w:t>
            </w:r>
          </w:p>
        </w:tc>
        <w:tc>
          <w:tcPr>
            <w:tcW w:w="2035" w:type="dxa"/>
            <w:vAlign w:val="center"/>
          </w:tcPr>
          <w:p w14:paraId="06E64E4F">
            <w:pPr>
              <w:spacing w:line="360" w:lineRule="auto"/>
              <w:jc w:val="center"/>
              <w:rPr>
                <w:rFonts w:ascii="宋体" w:hAnsi="宋体" w:eastAsia="宋体"/>
                <w:color w:val="auto"/>
                <w:spacing w:val="-2"/>
                <w:highlight w:val="none"/>
              </w:rPr>
            </w:pPr>
            <w:r>
              <w:rPr>
                <w:rFonts w:ascii="宋体" w:hAnsi="宋体" w:eastAsia="宋体"/>
                <w:color w:val="auto"/>
                <w:spacing w:val="-2"/>
                <w:highlight w:val="none"/>
              </w:rPr>
              <w:t>投标人名</w:t>
            </w:r>
            <w:r>
              <w:rPr>
                <w:rFonts w:ascii="宋体" w:hAnsi="宋体" w:eastAsia="宋体"/>
                <w:color w:val="auto"/>
                <w:spacing w:val="-1"/>
                <w:highlight w:val="none"/>
              </w:rPr>
              <w:t>称</w:t>
            </w:r>
          </w:p>
        </w:tc>
        <w:tc>
          <w:tcPr>
            <w:tcW w:w="5515" w:type="dxa"/>
          </w:tcPr>
          <w:p w14:paraId="5B768F82">
            <w:pPr>
              <w:spacing w:before="171" w:line="219" w:lineRule="auto"/>
              <w:ind w:left="210" w:leftChars="100" w:right="210" w:rightChars="100"/>
              <w:rPr>
                <w:rFonts w:ascii="宋体" w:hAnsi="宋体" w:eastAsia="宋体"/>
                <w:color w:val="auto"/>
                <w:spacing w:val="-1"/>
                <w:highlight w:val="none"/>
              </w:rPr>
            </w:pPr>
            <w:r>
              <w:rPr>
                <w:rFonts w:ascii="宋体" w:hAnsi="宋体" w:eastAsia="宋体"/>
                <w:color w:val="auto"/>
                <w:spacing w:val="-1"/>
                <w:highlight w:val="none"/>
              </w:rPr>
              <w:t>与营业执照、资质证书一致</w:t>
            </w:r>
          </w:p>
        </w:tc>
      </w:tr>
      <w:tr w14:paraId="1EF484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1" w:hRule="atLeast"/>
        </w:trPr>
        <w:tc>
          <w:tcPr>
            <w:tcW w:w="904" w:type="dxa"/>
            <w:vMerge w:val="continue"/>
          </w:tcPr>
          <w:p w14:paraId="4D20BFF7">
            <w:pPr>
              <w:rPr>
                <w:color w:val="auto"/>
                <w:highlight w:val="none"/>
              </w:rPr>
            </w:pPr>
          </w:p>
        </w:tc>
        <w:tc>
          <w:tcPr>
            <w:tcW w:w="1124" w:type="dxa"/>
            <w:vMerge w:val="continue"/>
          </w:tcPr>
          <w:p w14:paraId="33C82F3C">
            <w:pPr>
              <w:rPr>
                <w:color w:val="auto"/>
                <w:highlight w:val="none"/>
              </w:rPr>
            </w:pPr>
          </w:p>
        </w:tc>
        <w:tc>
          <w:tcPr>
            <w:tcW w:w="2035" w:type="dxa"/>
            <w:vAlign w:val="center"/>
          </w:tcPr>
          <w:p w14:paraId="652893E5">
            <w:pPr>
              <w:jc w:val="center"/>
              <w:rPr>
                <w:rFonts w:ascii="宋体" w:hAnsi="宋体" w:eastAsia="宋体"/>
                <w:color w:val="auto"/>
                <w:spacing w:val="-2"/>
                <w:highlight w:val="none"/>
              </w:rPr>
            </w:pPr>
            <w:r>
              <w:rPr>
                <w:rFonts w:ascii="宋体" w:hAnsi="宋体" w:eastAsia="宋体"/>
                <w:color w:val="auto"/>
                <w:spacing w:val="-2"/>
                <w:highlight w:val="none"/>
              </w:rPr>
              <w:t>投标人参加投标的意思表达清楚，投标人代表被授权有效</w:t>
            </w:r>
          </w:p>
        </w:tc>
        <w:tc>
          <w:tcPr>
            <w:tcW w:w="5515" w:type="dxa"/>
            <w:vAlign w:val="center"/>
          </w:tcPr>
          <w:p w14:paraId="6F9B4D9D">
            <w:pPr>
              <w:spacing w:before="1"/>
              <w:ind w:left="210" w:leftChars="100" w:right="210" w:rightChars="100"/>
              <w:rPr>
                <w:rFonts w:ascii="宋体" w:hAnsi="宋体" w:eastAsia="宋体"/>
                <w:color w:val="auto"/>
                <w:spacing w:val="-2"/>
                <w:highlight w:val="none"/>
              </w:rPr>
            </w:pPr>
            <w:r>
              <w:rPr>
                <w:rFonts w:ascii="宋体" w:hAnsi="宋体" w:eastAsia="宋体"/>
                <w:color w:val="auto"/>
                <w:spacing w:val="-2"/>
                <w:highlight w:val="none"/>
              </w:rPr>
              <w:t>投标人声明、廉洁承诺书、法定代表人证明书；委托投标的还应提供法人授权委托证明书</w:t>
            </w:r>
          </w:p>
        </w:tc>
      </w:tr>
      <w:tr w14:paraId="3DD419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c>
          <w:tcPr>
            <w:tcW w:w="904" w:type="dxa"/>
            <w:vMerge w:val="continue"/>
          </w:tcPr>
          <w:p w14:paraId="4A50EA18">
            <w:pPr>
              <w:rPr>
                <w:color w:val="auto"/>
                <w:highlight w:val="none"/>
              </w:rPr>
            </w:pPr>
          </w:p>
        </w:tc>
        <w:tc>
          <w:tcPr>
            <w:tcW w:w="1124" w:type="dxa"/>
            <w:vMerge w:val="continue"/>
          </w:tcPr>
          <w:p w14:paraId="1267EA5E">
            <w:pPr>
              <w:rPr>
                <w:color w:val="auto"/>
                <w:highlight w:val="none"/>
              </w:rPr>
            </w:pPr>
          </w:p>
        </w:tc>
        <w:tc>
          <w:tcPr>
            <w:tcW w:w="2035" w:type="dxa"/>
            <w:vAlign w:val="center"/>
          </w:tcPr>
          <w:p w14:paraId="160E6054">
            <w:pPr>
              <w:spacing w:line="253" w:lineRule="auto"/>
              <w:jc w:val="center"/>
              <w:rPr>
                <w:color w:val="auto"/>
                <w:highlight w:val="none"/>
              </w:rPr>
            </w:pPr>
          </w:p>
          <w:p w14:paraId="6C93D505">
            <w:pPr>
              <w:spacing w:line="360" w:lineRule="auto"/>
              <w:jc w:val="center"/>
              <w:rPr>
                <w:rFonts w:ascii="宋体" w:hAnsi="宋体" w:eastAsia="宋体"/>
                <w:color w:val="auto"/>
                <w:spacing w:val="-2"/>
                <w:highlight w:val="none"/>
              </w:rPr>
            </w:pPr>
            <w:r>
              <w:rPr>
                <w:rFonts w:ascii="宋体" w:hAnsi="宋体" w:eastAsia="宋体"/>
                <w:color w:val="auto"/>
                <w:spacing w:val="-2"/>
                <w:highlight w:val="none"/>
              </w:rPr>
              <w:t>投</w:t>
            </w:r>
            <w:r>
              <w:rPr>
                <w:rFonts w:ascii="宋体" w:hAnsi="宋体" w:eastAsia="宋体"/>
                <w:color w:val="auto"/>
                <w:spacing w:val="-1"/>
                <w:highlight w:val="none"/>
              </w:rPr>
              <w:t>标函及投标函附录签</w:t>
            </w:r>
            <w:r>
              <w:rPr>
                <w:rFonts w:ascii="宋体" w:hAnsi="宋体" w:eastAsia="宋体"/>
                <w:color w:val="auto"/>
                <w:spacing w:val="-3"/>
                <w:highlight w:val="none"/>
              </w:rPr>
              <w:t>字</w:t>
            </w:r>
            <w:r>
              <w:rPr>
                <w:rFonts w:ascii="宋体" w:hAnsi="宋体" w:eastAsia="宋体"/>
                <w:color w:val="auto"/>
                <w:spacing w:val="-2"/>
                <w:highlight w:val="none"/>
              </w:rPr>
              <w:t>盖章</w:t>
            </w:r>
          </w:p>
        </w:tc>
        <w:tc>
          <w:tcPr>
            <w:tcW w:w="5515" w:type="dxa"/>
          </w:tcPr>
          <w:p w14:paraId="6C8CBFFE">
            <w:pPr>
              <w:spacing w:before="171"/>
              <w:ind w:left="210" w:leftChars="100" w:right="210" w:rightChars="100"/>
              <w:rPr>
                <w:rFonts w:ascii="宋体" w:hAnsi="宋体" w:eastAsia="宋体"/>
                <w:color w:val="auto"/>
                <w:spacing w:val="21"/>
                <w:highlight w:val="none"/>
              </w:rPr>
            </w:pPr>
            <w:r>
              <w:rPr>
                <w:rFonts w:ascii="宋体" w:hAnsi="宋体" w:eastAsia="宋体"/>
                <w:color w:val="auto"/>
                <w:spacing w:val="21"/>
                <w:highlight w:val="none"/>
              </w:rPr>
              <w:t>有</w:t>
            </w:r>
            <w:r>
              <w:rPr>
                <w:rFonts w:ascii="宋体" w:hAnsi="宋体" w:eastAsia="宋体"/>
                <w:color w:val="auto"/>
                <w:spacing w:val="12"/>
                <w:highlight w:val="none"/>
              </w:rPr>
              <w:t>法定代表人或其委托代理人签字或加盖单位</w:t>
            </w:r>
            <w:r>
              <w:rPr>
                <w:rFonts w:ascii="宋体" w:hAnsi="宋体" w:eastAsia="宋体"/>
                <w:color w:val="auto"/>
                <w:spacing w:val="2"/>
                <w:highlight w:val="none"/>
              </w:rPr>
              <w:t>章。由法定代表人签字的，应附法定代表人身</w:t>
            </w:r>
            <w:r>
              <w:rPr>
                <w:rFonts w:ascii="宋体" w:hAnsi="宋体" w:eastAsia="宋体"/>
                <w:color w:val="auto"/>
                <w:highlight w:val="none"/>
              </w:rPr>
              <w:t>份</w:t>
            </w:r>
            <w:r>
              <w:rPr>
                <w:rFonts w:ascii="宋体" w:hAnsi="宋体" w:eastAsia="宋体"/>
                <w:color w:val="auto"/>
                <w:spacing w:val="-3"/>
                <w:highlight w:val="none"/>
              </w:rPr>
              <w:t>证明，由代理人签字的，应附授权委托书，身</w:t>
            </w:r>
            <w:r>
              <w:rPr>
                <w:rFonts w:ascii="宋体" w:hAnsi="宋体" w:eastAsia="宋体"/>
                <w:color w:val="auto"/>
                <w:spacing w:val="-2"/>
                <w:highlight w:val="none"/>
              </w:rPr>
              <w:t>份</w:t>
            </w:r>
            <w:r>
              <w:rPr>
                <w:rFonts w:ascii="宋体" w:hAnsi="宋体" w:eastAsia="宋体"/>
                <w:color w:val="auto"/>
                <w:spacing w:val="10"/>
                <w:highlight w:val="none"/>
              </w:rPr>
              <w:t>证</w:t>
            </w:r>
            <w:r>
              <w:rPr>
                <w:rFonts w:ascii="宋体" w:hAnsi="宋体" w:eastAsia="宋体"/>
                <w:color w:val="auto"/>
                <w:spacing w:val="5"/>
                <w:highlight w:val="none"/>
              </w:rPr>
              <w:t>明或授权委托书应符合第六章</w:t>
            </w:r>
            <w:r>
              <w:rPr>
                <w:rFonts w:ascii="Times New Roman" w:hAnsi="Times New Roman" w:eastAsia="Times New Roman"/>
                <w:color w:val="auto"/>
                <w:spacing w:val="5"/>
                <w:highlight w:val="none"/>
              </w:rPr>
              <w:t>“</w:t>
            </w:r>
            <w:r>
              <w:rPr>
                <w:rFonts w:ascii="宋体" w:hAnsi="宋体" w:eastAsia="宋体"/>
                <w:color w:val="auto"/>
                <w:spacing w:val="5"/>
                <w:highlight w:val="none"/>
              </w:rPr>
              <w:t>投标文件格式</w:t>
            </w:r>
            <w:r>
              <w:rPr>
                <w:rFonts w:ascii="Times New Roman" w:hAnsi="Times New Roman" w:eastAsia="Times New Roman"/>
                <w:color w:val="auto"/>
                <w:spacing w:val="5"/>
                <w:highlight w:val="none"/>
              </w:rPr>
              <w:t>”</w:t>
            </w:r>
            <w:r>
              <w:rPr>
                <w:rFonts w:ascii="宋体" w:hAnsi="宋体" w:eastAsia="宋体"/>
                <w:color w:val="auto"/>
                <w:spacing w:val="-7"/>
                <w:highlight w:val="none"/>
              </w:rPr>
              <w:t>的</w:t>
            </w:r>
            <w:r>
              <w:rPr>
                <w:rFonts w:ascii="宋体" w:hAnsi="宋体" w:eastAsia="宋体"/>
                <w:color w:val="auto"/>
                <w:spacing w:val="-5"/>
                <w:highlight w:val="none"/>
              </w:rPr>
              <w:t>规定</w:t>
            </w:r>
          </w:p>
        </w:tc>
      </w:tr>
      <w:tr w14:paraId="31E795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4" w:hRule="atLeast"/>
        </w:trPr>
        <w:tc>
          <w:tcPr>
            <w:tcW w:w="904" w:type="dxa"/>
            <w:vMerge w:val="continue"/>
          </w:tcPr>
          <w:p w14:paraId="02729C21">
            <w:pPr>
              <w:rPr>
                <w:color w:val="auto"/>
                <w:highlight w:val="none"/>
              </w:rPr>
            </w:pPr>
          </w:p>
        </w:tc>
        <w:tc>
          <w:tcPr>
            <w:tcW w:w="1124" w:type="dxa"/>
            <w:vMerge w:val="continue"/>
          </w:tcPr>
          <w:p w14:paraId="6DAB5E60">
            <w:pPr>
              <w:rPr>
                <w:color w:val="auto"/>
                <w:highlight w:val="none"/>
              </w:rPr>
            </w:pPr>
          </w:p>
        </w:tc>
        <w:tc>
          <w:tcPr>
            <w:tcW w:w="2035" w:type="dxa"/>
            <w:vAlign w:val="center"/>
          </w:tcPr>
          <w:p w14:paraId="79D5927A">
            <w:pPr>
              <w:spacing w:line="360" w:lineRule="auto"/>
              <w:jc w:val="center"/>
              <w:rPr>
                <w:rFonts w:ascii="宋体" w:hAnsi="宋体" w:eastAsia="宋体"/>
                <w:color w:val="auto"/>
                <w:spacing w:val="-2"/>
                <w:highlight w:val="none"/>
              </w:rPr>
            </w:pPr>
            <w:r>
              <w:rPr>
                <w:rFonts w:ascii="宋体" w:hAnsi="宋体" w:eastAsia="宋体"/>
                <w:color w:val="auto"/>
                <w:spacing w:val="-2"/>
                <w:highlight w:val="none"/>
              </w:rPr>
              <w:t>投标文</w:t>
            </w:r>
            <w:r>
              <w:rPr>
                <w:rFonts w:ascii="宋体" w:hAnsi="宋体" w:eastAsia="宋体"/>
                <w:color w:val="auto"/>
                <w:spacing w:val="-1"/>
                <w:highlight w:val="none"/>
              </w:rPr>
              <w:t>件格式</w:t>
            </w:r>
          </w:p>
        </w:tc>
        <w:tc>
          <w:tcPr>
            <w:tcW w:w="5515" w:type="dxa"/>
          </w:tcPr>
          <w:p w14:paraId="75519EBF">
            <w:pPr>
              <w:spacing w:before="172" w:line="220" w:lineRule="auto"/>
              <w:ind w:left="210" w:leftChars="100" w:right="210" w:rightChars="100"/>
              <w:rPr>
                <w:rFonts w:ascii="宋体" w:hAnsi="宋体" w:eastAsia="宋体"/>
                <w:color w:val="auto"/>
                <w:spacing w:val="-1"/>
                <w:highlight w:val="none"/>
              </w:rPr>
            </w:pPr>
            <w:r>
              <w:rPr>
                <w:rFonts w:ascii="宋体" w:hAnsi="宋体" w:eastAsia="宋体"/>
                <w:color w:val="auto"/>
                <w:spacing w:val="-1"/>
                <w:highlight w:val="none"/>
              </w:rPr>
              <w:t>符合第六章</w:t>
            </w:r>
            <w:r>
              <w:rPr>
                <w:rFonts w:ascii="Times New Roman" w:hAnsi="Times New Roman" w:eastAsia="Times New Roman"/>
                <w:color w:val="auto"/>
                <w:spacing w:val="-1"/>
                <w:highlight w:val="none"/>
              </w:rPr>
              <w:t>“</w:t>
            </w:r>
            <w:r>
              <w:rPr>
                <w:rFonts w:ascii="宋体" w:hAnsi="宋体" w:eastAsia="宋体"/>
                <w:color w:val="auto"/>
                <w:spacing w:val="-1"/>
                <w:highlight w:val="none"/>
              </w:rPr>
              <w:t>投标文件格</w:t>
            </w:r>
            <w:r>
              <w:rPr>
                <w:rFonts w:ascii="宋体" w:hAnsi="宋体" w:eastAsia="宋体"/>
                <w:color w:val="auto"/>
                <w:highlight w:val="none"/>
              </w:rPr>
              <w:t>式</w:t>
            </w:r>
            <w:r>
              <w:rPr>
                <w:rFonts w:ascii="Times New Roman" w:hAnsi="Times New Roman" w:eastAsia="Times New Roman"/>
                <w:color w:val="auto"/>
                <w:highlight w:val="none"/>
              </w:rPr>
              <w:t>”</w:t>
            </w:r>
            <w:r>
              <w:rPr>
                <w:rFonts w:ascii="宋体" w:hAnsi="宋体" w:eastAsia="宋体"/>
                <w:color w:val="auto"/>
                <w:highlight w:val="none"/>
              </w:rPr>
              <w:t>的规定</w:t>
            </w:r>
          </w:p>
        </w:tc>
      </w:tr>
      <w:tr w14:paraId="276540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trPr>
        <w:tc>
          <w:tcPr>
            <w:tcW w:w="904" w:type="dxa"/>
            <w:vMerge w:val="continue"/>
          </w:tcPr>
          <w:p w14:paraId="25EE1AD7">
            <w:pPr>
              <w:rPr>
                <w:color w:val="auto"/>
                <w:highlight w:val="none"/>
              </w:rPr>
            </w:pPr>
          </w:p>
        </w:tc>
        <w:tc>
          <w:tcPr>
            <w:tcW w:w="1124" w:type="dxa"/>
            <w:vMerge w:val="continue"/>
          </w:tcPr>
          <w:p w14:paraId="5672C58F">
            <w:pPr>
              <w:rPr>
                <w:color w:val="auto"/>
                <w:highlight w:val="none"/>
              </w:rPr>
            </w:pPr>
          </w:p>
        </w:tc>
        <w:tc>
          <w:tcPr>
            <w:tcW w:w="2035" w:type="dxa"/>
            <w:vAlign w:val="center"/>
          </w:tcPr>
          <w:p w14:paraId="6A3F6CD9">
            <w:pPr>
              <w:spacing w:line="360" w:lineRule="auto"/>
              <w:jc w:val="center"/>
              <w:rPr>
                <w:rFonts w:ascii="宋体" w:hAnsi="宋体" w:eastAsia="宋体"/>
                <w:color w:val="auto"/>
                <w:spacing w:val="-2"/>
                <w:highlight w:val="none"/>
              </w:rPr>
            </w:pPr>
            <w:r>
              <w:rPr>
                <w:rFonts w:ascii="宋体" w:hAnsi="宋体" w:eastAsia="宋体"/>
                <w:color w:val="auto"/>
                <w:spacing w:val="-2"/>
                <w:highlight w:val="none"/>
              </w:rPr>
              <w:t>联合</w:t>
            </w:r>
            <w:r>
              <w:rPr>
                <w:rFonts w:ascii="宋体" w:hAnsi="宋体" w:eastAsia="宋体"/>
                <w:color w:val="auto"/>
                <w:spacing w:val="-1"/>
                <w:highlight w:val="none"/>
              </w:rPr>
              <w:t>体投标人</w:t>
            </w:r>
          </w:p>
        </w:tc>
        <w:tc>
          <w:tcPr>
            <w:tcW w:w="5515" w:type="dxa"/>
            <w:vAlign w:val="center"/>
          </w:tcPr>
          <w:p w14:paraId="01298A86">
            <w:pPr>
              <w:spacing w:line="217" w:lineRule="auto"/>
              <w:ind w:left="210" w:leftChars="100" w:right="210" w:rightChars="100"/>
              <w:rPr>
                <w:rFonts w:ascii="宋体" w:hAnsi="宋体" w:eastAsia="宋体"/>
                <w:color w:val="auto"/>
                <w:spacing w:val="2"/>
                <w:position w:val="17"/>
                <w:highlight w:val="none"/>
              </w:rPr>
            </w:pPr>
            <w:r>
              <w:rPr>
                <w:rFonts w:ascii="宋体" w:hAnsi="宋体" w:eastAsia="宋体"/>
                <w:color w:val="auto"/>
                <w:spacing w:val="2"/>
                <w:position w:val="17"/>
                <w:highlight w:val="none"/>
              </w:rPr>
              <w:t>提交符合招标文件要求的联合体协议书</w:t>
            </w:r>
            <w:r>
              <w:rPr>
                <w:rFonts w:hint="eastAsia" w:ascii="宋体" w:hAnsi="宋体" w:eastAsia="宋体"/>
                <w:color w:val="auto"/>
                <w:spacing w:val="2"/>
                <w:position w:val="17"/>
                <w:highlight w:val="none"/>
              </w:rPr>
              <w:t>。</w:t>
            </w:r>
          </w:p>
        </w:tc>
      </w:tr>
      <w:tr w14:paraId="662718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3" w:hRule="atLeast"/>
        </w:trPr>
        <w:tc>
          <w:tcPr>
            <w:tcW w:w="904" w:type="dxa"/>
            <w:vMerge w:val="continue"/>
          </w:tcPr>
          <w:p w14:paraId="404D4395">
            <w:pPr>
              <w:rPr>
                <w:color w:val="auto"/>
                <w:highlight w:val="none"/>
              </w:rPr>
            </w:pPr>
          </w:p>
        </w:tc>
        <w:tc>
          <w:tcPr>
            <w:tcW w:w="1124" w:type="dxa"/>
            <w:vMerge w:val="continue"/>
          </w:tcPr>
          <w:p w14:paraId="10A9FEE4">
            <w:pPr>
              <w:rPr>
                <w:color w:val="auto"/>
                <w:highlight w:val="none"/>
              </w:rPr>
            </w:pPr>
          </w:p>
        </w:tc>
        <w:tc>
          <w:tcPr>
            <w:tcW w:w="2035" w:type="dxa"/>
            <w:vAlign w:val="center"/>
          </w:tcPr>
          <w:p w14:paraId="2D554432">
            <w:pPr>
              <w:spacing w:line="360" w:lineRule="auto"/>
              <w:jc w:val="center"/>
              <w:rPr>
                <w:rFonts w:ascii="宋体" w:hAnsi="宋体" w:eastAsia="宋体"/>
                <w:color w:val="auto"/>
                <w:spacing w:val="-2"/>
                <w:highlight w:val="none"/>
              </w:rPr>
            </w:pPr>
            <w:r>
              <w:rPr>
                <w:rFonts w:ascii="宋体" w:hAnsi="宋体" w:eastAsia="宋体"/>
                <w:color w:val="auto"/>
                <w:spacing w:val="-2"/>
                <w:highlight w:val="none"/>
              </w:rPr>
              <w:t>备选投</w:t>
            </w:r>
            <w:r>
              <w:rPr>
                <w:rFonts w:ascii="宋体" w:hAnsi="宋体" w:eastAsia="宋体"/>
                <w:color w:val="auto"/>
                <w:spacing w:val="-1"/>
                <w:highlight w:val="none"/>
              </w:rPr>
              <w:t>标方案</w:t>
            </w:r>
          </w:p>
        </w:tc>
        <w:tc>
          <w:tcPr>
            <w:tcW w:w="5515" w:type="dxa"/>
          </w:tcPr>
          <w:p w14:paraId="4541AA2F">
            <w:pPr>
              <w:spacing w:before="172" w:line="220" w:lineRule="auto"/>
              <w:ind w:left="210" w:leftChars="100" w:right="210" w:rightChars="100"/>
              <w:rPr>
                <w:rFonts w:ascii="宋体" w:hAnsi="宋体" w:eastAsia="宋体"/>
                <w:color w:val="auto"/>
                <w:spacing w:val="-1"/>
                <w:highlight w:val="none"/>
              </w:rPr>
            </w:pPr>
            <w:r>
              <w:rPr>
                <w:rFonts w:ascii="宋体" w:hAnsi="宋体" w:eastAsia="宋体"/>
                <w:color w:val="auto"/>
                <w:spacing w:val="-1"/>
                <w:highlight w:val="none"/>
              </w:rPr>
              <w:t>除招标文件明确允许提交备选投标方案外，投标人不得提交备选投标方案</w:t>
            </w:r>
          </w:p>
        </w:tc>
      </w:tr>
      <w:tr w14:paraId="2CD4A5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3" w:hRule="atLeast"/>
        </w:trPr>
        <w:tc>
          <w:tcPr>
            <w:tcW w:w="904" w:type="dxa"/>
            <w:vMerge w:val="continue"/>
          </w:tcPr>
          <w:p w14:paraId="230CFC11">
            <w:pPr>
              <w:rPr>
                <w:color w:val="auto"/>
                <w:highlight w:val="none"/>
              </w:rPr>
            </w:pPr>
          </w:p>
        </w:tc>
        <w:tc>
          <w:tcPr>
            <w:tcW w:w="1124" w:type="dxa"/>
            <w:vMerge w:val="continue"/>
          </w:tcPr>
          <w:p w14:paraId="07C7E4A3">
            <w:pPr>
              <w:rPr>
                <w:color w:val="auto"/>
                <w:highlight w:val="none"/>
              </w:rPr>
            </w:pPr>
          </w:p>
        </w:tc>
        <w:tc>
          <w:tcPr>
            <w:tcW w:w="2035" w:type="dxa"/>
            <w:vAlign w:val="center"/>
          </w:tcPr>
          <w:p w14:paraId="7D423526">
            <w:pPr>
              <w:jc w:val="center"/>
              <w:rPr>
                <w:color w:val="auto"/>
                <w:highlight w:val="none"/>
              </w:rPr>
            </w:pPr>
            <w:r>
              <w:rPr>
                <w:rFonts w:hint="eastAsia"/>
                <w:color w:val="auto"/>
                <w:highlight w:val="none"/>
              </w:rPr>
              <w:t>投标人机器码</w:t>
            </w:r>
          </w:p>
        </w:tc>
        <w:tc>
          <w:tcPr>
            <w:tcW w:w="5515" w:type="dxa"/>
            <w:vAlign w:val="center"/>
          </w:tcPr>
          <w:p w14:paraId="54EDA7E6">
            <w:pPr>
              <w:ind w:left="210" w:leftChars="100" w:right="210" w:rightChars="100"/>
              <w:jc w:val="both"/>
              <w:rPr>
                <w:color w:val="auto"/>
                <w:highlight w:val="none"/>
              </w:rPr>
            </w:pPr>
            <w:r>
              <w:rPr>
                <w:rFonts w:hint="eastAsia"/>
                <w:color w:val="auto"/>
                <w:highlight w:val="none"/>
              </w:rPr>
              <w:t>投标人与本项目其他投标人加密打包投标文件电脑机器特征码不一致的(以广州交易集团有限公司（广州公共资源交易中心）交易平台</w:t>
            </w:r>
            <w:r>
              <w:rPr>
                <w:rFonts w:hint="eastAsia" w:eastAsia="宋体"/>
                <w:color w:val="auto"/>
                <w:highlight w:val="none"/>
              </w:rPr>
              <w:t>开标</w:t>
            </w:r>
            <w:r>
              <w:rPr>
                <w:rFonts w:hint="eastAsia"/>
                <w:color w:val="auto"/>
                <w:highlight w:val="none"/>
              </w:rPr>
              <w:t>系统的检索信息为准)</w:t>
            </w:r>
          </w:p>
        </w:tc>
      </w:tr>
      <w:tr w14:paraId="69F1D6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904" w:type="dxa"/>
            <w:vMerge w:val="restart"/>
          </w:tcPr>
          <w:p w14:paraId="3483EF15">
            <w:pPr>
              <w:spacing w:line="269" w:lineRule="auto"/>
              <w:rPr>
                <w:color w:val="auto"/>
                <w:highlight w:val="none"/>
              </w:rPr>
            </w:pPr>
          </w:p>
          <w:p w14:paraId="40BBAA5C">
            <w:pPr>
              <w:spacing w:line="269" w:lineRule="auto"/>
              <w:rPr>
                <w:color w:val="auto"/>
                <w:highlight w:val="none"/>
              </w:rPr>
            </w:pPr>
          </w:p>
          <w:p w14:paraId="69A063C4">
            <w:pPr>
              <w:spacing w:line="269" w:lineRule="auto"/>
              <w:rPr>
                <w:color w:val="auto"/>
                <w:highlight w:val="none"/>
              </w:rPr>
            </w:pPr>
          </w:p>
          <w:p w14:paraId="571E0F25">
            <w:pPr>
              <w:spacing w:line="270" w:lineRule="auto"/>
              <w:rPr>
                <w:color w:val="auto"/>
                <w:highlight w:val="none"/>
              </w:rPr>
            </w:pPr>
          </w:p>
          <w:p w14:paraId="37F8B96C">
            <w:pPr>
              <w:spacing w:line="270" w:lineRule="auto"/>
              <w:rPr>
                <w:color w:val="auto"/>
                <w:highlight w:val="none"/>
              </w:rPr>
            </w:pPr>
          </w:p>
          <w:p w14:paraId="26F876FC">
            <w:pPr>
              <w:spacing w:line="270" w:lineRule="auto"/>
              <w:rPr>
                <w:color w:val="auto"/>
                <w:highlight w:val="none"/>
              </w:rPr>
            </w:pPr>
          </w:p>
          <w:p w14:paraId="6D7A611B">
            <w:pPr>
              <w:spacing w:line="270" w:lineRule="auto"/>
              <w:rPr>
                <w:color w:val="auto"/>
                <w:highlight w:val="none"/>
              </w:rPr>
            </w:pPr>
          </w:p>
          <w:p w14:paraId="0AAF4A04">
            <w:pPr>
              <w:spacing w:line="270" w:lineRule="auto"/>
              <w:rPr>
                <w:color w:val="auto"/>
                <w:highlight w:val="none"/>
              </w:rPr>
            </w:pPr>
          </w:p>
          <w:p w14:paraId="6C7B348A">
            <w:pPr>
              <w:spacing w:before="61" w:line="186" w:lineRule="auto"/>
              <w:ind w:left="244"/>
              <w:rPr>
                <w:rFonts w:ascii="Times New Roman" w:hAnsi="Times New Roman" w:eastAsia="Times New Roman"/>
                <w:color w:val="auto"/>
                <w:spacing w:val="-1"/>
                <w:highlight w:val="none"/>
              </w:rPr>
            </w:pPr>
            <w:r>
              <w:rPr>
                <w:rFonts w:ascii="Times New Roman" w:hAnsi="Times New Roman" w:eastAsia="Times New Roman"/>
                <w:color w:val="auto"/>
                <w:spacing w:val="-1"/>
                <w:highlight w:val="none"/>
              </w:rPr>
              <w:t>2.1</w:t>
            </w:r>
            <w:r>
              <w:rPr>
                <w:rFonts w:ascii="Times New Roman" w:hAnsi="Times New Roman" w:eastAsia="Times New Roman"/>
                <w:color w:val="auto"/>
                <w:highlight w:val="none"/>
              </w:rPr>
              <w:t>.3</w:t>
            </w:r>
          </w:p>
        </w:tc>
        <w:tc>
          <w:tcPr>
            <w:tcW w:w="1124" w:type="dxa"/>
            <w:vMerge w:val="restart"/>
          </w:tcPr>
          <w:p w14:paraId="6308C36C">
            <w:pPr>
              <w:spacing w:line="270" w:lineRule="auto"/>
              <w:rPr>
                <w:color w:val="auto"/>
                <w:highlight w:val="none"/>
              </w:rPr>
            </w:pPr>
          </w:p>
          <w:p w14:paraId="3F206C22">
            <w:pPr>
              <w:spacing w:line="270" w:lineRule="auto"/>
              <w:rPr>
                <w:color w:val="auto"/>
                <w:highlight w:val="none"/>
              </w:rPr>
            </w:pPr>
          </w:p>
          <w:p w14:paraId="67E555C0">
            <w:pPr>
              <w:spacing w:line="270" w:lineRule="auto"/>
              <w:rPr>
                <w:color w:val="auto"/>
                <w:highlight w:val="none"/>
              </w:rPr>
            </w:pPr>
          </w:p>
          <w:p w14:paraId="68BFCDF5">
            <w:pPr>
              <w:spacing w:before="202" w:line="221" w:lineRule="auto"/>
              <w:jc w:val="center"/>
              <w:rPr>
                <w:rFonts w:ascii="宋体" w:hAnsi="宋体" w:eastAsia="宋体"/>
                <w:color w:val="auto"/>
                <w:spacing w:val="-4"/>
                <w:highlight w:val="none"/>
              </w:rPr>
            </w:pPr>
            <w:r>
              <w:rPr>
                <w:rFonts w:ascii="宋体" w:hAnsi="宋体" w:eastAsia="宋体"/>
                <w:color w:val="auto"/>
                <w:spacing w:val="-4"/>
                <w:highlight w:val="none"/>
              </w:rPr>
              <w:t>响应性评 审标准</w:t>
            </w:r>
          </w:p>
        </w:tc>
        <w:tc>
          <w:tcPr>
            <w:tcW w:w="2035" w:type="dxa"/>
            <w:vAlign w:val="center"/>
          </w:tcPr>
          <w:p w14:paraId="60A6E177">
            <w:pPr>
              <w:spacing w:line="360" w:lineRule="auto"/>
              <w:jc w:val="center"/>
              <w:rPr>
                <w:rFonts w:ascii="宋体" w:hAnsi="宋体" w:eastAsia="宋体"/>
                <w:color w:val="auto"/>
                <w:spacing w:val="-3"/>
                <w:highlight w:val="none"/>
              </w:rPr>
            </w:pPr>
            <w:r>
              <w:rPr>
                <w:rFonts w:ascii="宋体" w:hAnsi="宋体" w:eastAsia="宋体"/>
                <w:color w:val="auto"/>
                <w:spacing w:val="-3"/>
                <w:highlight w:val="none"/>
              </w:rPr>
              <w:t>投</w:t>
            </w:r>
            <w:r>
              <w:rPr>
                <w:rFonts w:ascii="宋体" w:hAnsi="宋体" w:eastAsia="宋体"/>
                <w:color w:val="auto"/>
                <w:spacing w:val="-2"/>
                <w:highlight w:val="none"/>
              </w:rPr>
              <w:t>标报价</w:t>
            </w:r>
          </w:p>
        </w:tc>
        <w:tc>
          <w:tcPr>
            <w:tcW w:w="5515" w:type="dxa"/>
          </w:tcPr>
          <w:p w14:paraId="3149B16F">
            <w:pPr>
              <w:spacing w:before="171" w:line="220" w:lineRule="auto"/>
              <w:ind w:left="210" w:leftChars="100" w:right="210" w:rightChars="100"/>
              <w:rPr>
                <w:rFonts w:ascii="宋体" w:hAnsi="宋体" w:eastAsia="宋体"/>
                <w:color w:val="auto"/>
                <w:spacing w:val="-3"/>
                <w:highlight w:val="none"/>
              </w:rPr>
            </w:pPr>
            <w:r>
              <w:rPr>
                <w:rFonts w:ascii="宋体" w:hAnsi="宋体" w:eastAsia="宋体"/>
                <w:color w:val="auto"/>
                <w:spacing w:val="-3"/>
                <w:highlight w:val="none"/>
              </w:rPr>
              <w:t>符合第二章</w:t>
            </w:r>
            <w:r>
              <w:rPr>
                <w:rFonts w:ascii="Times New Roman" w:hAnsi="Times New Roman" w:eastAsia="Times New Roman"/>
                <w:color w:val="auto"/>
                <w:spacing w:val="-3"/>
                <w:highlight w:val="none"/>
              </w:rPr>
              <w:t>“</w:t>
            </w:r>
            <w:r>
              <w:rPr>
                <w:rFonts w:ascii="宋体" w:hAnsi="宋体" w:eastAsia="宋体"/>
                <w:color w:val="auto"/>
                <w:spacing w:val="-3"/>
                <w:highlight w:val="none"/>
              </w:rPr>
              <w:t>投标人须知</w:t>
            </w:r>
            <w:r>
              <w:rPr>
                <w:rFonts w:ascii="Times New Roman" w:hAnsi="Times New Roman" w:eastAsia="Times New Roman"/>
                <w:color w:val="auto"/>
                <w:spacing w:val="-3"/>
                <w:highlight w:val="none"/>
              </w:rPr>
              <w:t>”</w:t>
            </w:r>
            <w:r>
              <w:rPr>
                <w:rFonts w:ascii="宋体" w:hAnsi="宋体" w:eastAsia="宋体"/>
                <w:color w:val="auto"/>
                <w:spacing w:val="-3"/>
                <w:highlight w:val="none"/>
              </w:rPr>
              <w:t xml:space="preserve">第 </w:t>
            </w:r>
            <w:r>
              <w:rPr>
                <w:rFonts w:ascii="Times New Roman" w:hAnsi="Times New Roman" w:eastAsia="Times New Roman"/>
                <w:color w:val="auto"/>
                <w:spacing w:val="-3"/>
                <w:highlight w:val="none"/>
              </w:rPr>
              <w:t xml:space="preserve">3.2 </w:t>
            </w:r>
            <w:r>
              <w:rPr>
                <w:rFonts w:ascii="宋体" w:hAnsi="宋体" w:eastAsia="宋体"/>
                <w:color w:val="auto"/>
                <w:spacing w:val="-3"/>
                <w:highlight w:val="none"/>
              </w:rPr>
              <w:t>款规</w:t>
            </w:r>
            <w:r>
              <w:rPr>
                <w:rFonts w:ascii="宋体" w:hAnsi="宋体" w:eastAsia="宋体"/>
                <w:color w:val="auto"/>
                <w:spacing w:val="-2"/>
                <w:highlight w:val="none"/>
              </w:rPr>
              <w:t>定</w:t>
            </w:r>
          </w:p>
        </w:tc>
      </w:tr>
      <w:tr w14:paraId="67694C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904" w:type="dxa"/>
            <w:vMerge w:val="continue"/>
          </w:tcPr>
          <w:p w14:paraId="3DDE047F">
            <w:pPr>
              <w:rPr>
                <w:color w:val="auto"/>
                <w:highlight w:val="none"/>
              </w:rPr>
            </w:pPr>
          </w:p>
        </w:tc>
        <w:tc>
          <w:tcPr>
            <w:tcW w:w="1124" w:type="dxa"/>
            <w:vMerge w:val="continue"/>
          </w:tcPr>
          <w:p w14:paraId="5B8B2A14">
            <w:pPr>
              <w:rPr>
                <w:color w:val="auto"/>
                <w:highlight w:val="none"/>
              </w:rPr>
            </w:pPr>
          </w:p>
        </w:tc>
        <w:tc>
          <w:tcPr>
            <w:tcW w:w="2035" w:type="dxa"/>
            <w:vAlign w:val="center"/>
          </w:tcPr>
          <w:p w14:paraId="195333CE">
            <w:pPr>
              <w:spacing w:line="360" w:lineRule="auto"/>
              <w:jc w:val="center"/>
              <w:rPr>
                <w:rFonts w:ascii="宋体" w:hAnsi="宋体" w:eastAsia="宋体"/>
                <w:color w:val="auto"/>
                <w:spacing w:val="-3"/>
                <w:highlight w:val="none"/>
              </w:rPr>
            </w:pPr>
            <w:r>
              <w:rPr>
                <w:rFonts w:ascii="宋体" w:hAnsi="宋体" w:eastAsia="宋体"/>
                <w:color w:val="auto"/>
                <w:spacing w:val="-3"/>
                <w:highlight w:val="none"/>
              </w:rPr>
              <w:t>投</w:t>
            </w:r>
            <w:r>
              <w:rPr>
                <w:rFonts w:ascii="宋体" w:hAnsi="宋体" w:eastAsia="宋体"/>
                <w:color w:val="auto"/>
                <w:spacing w:val="-2"/>
                <w:highlight w:val="none"/>
              </w:rPr>
              <w:t>标内容</w:t>
            </w:r>
          </w:p>
        </w:tc>
        <w:tc>
          <w:tcPr>
            <w:tcW w:w="5515" w:type="dxa"/>
          </w:tcPr>
          <w:p w14:paraId="7C2856AB">
            <w:pPr>
              <w:spacing w:before="171" w:line="220" w:lineRule="auto"/>
              <w:ind w:left="210" w:leftChars="100" w:right="210" w:rightChars="100"/>
              <w:rPr>
                <w:rFonts w:ascii="宋体" w:hAnsi="宋体" w:eastAsia="宋体"/>
                <w:color w:val="auto"/>
                <w:spacing w:val="-4"/>
                <w:highlight w:val="none"/>
              </w:rPr>
            </w:pPr>
            <w:r>
              <w:rPr>
                <w:rFonts w:ascii="宋体" w:hAnsi="宋体" w:eastAsia="宋体"/>
                <w:color w:val="auto"/>
                <w:spacing w:val="-4"/>
                <w:highlight w:val="none"/>
              </w:rPr>
              <w:t>符合第二章</w:t>
            </w:r>
            <w:r>
              <w:rPr>
                <w:rFonts w:ascii="Times New Roman" w:hAnsi="Times New Roman" w:eastAsia="Times New Roman"/>
                <w:color w:val="auto"/>
                <w:spacing w:val="-4"/>
                <w:highlight w:val="none"/>
              </w:rPr>
              <w:t>“</w:t>
            </w:r>
            <w:r>
              <w:rPr>
                <w:rFonts w:ascii="宋体" w:hAnsi="宋体" w:eastAsia="宋体"/>
                <w:color w:val="auto"/>
                <w:spacing w:val="-4"/>
                <w:highlight w:val="none"/>
              </w:rPr>
              <w:t>投</w:t>
            </w:r>
            <w:r>
              <w:rPr>
                <w:rFonts w:ascii="宋体" w:hAnsi="宋体" w:eastAsia="宋体"/>
                <w:color w:val="auto"/>
                <w:spacing w:val="-2"/>
                <w:highlight w:val="none"/>
              </w:rPr>
              <w:t>标人须知</w:t>
            </w:r>
            <w:r>
              <w:rPr>
                <w:rFonts w:ascii="Times New Roman" w:hAnsi="Times New Roman" w:eastAsia="Times New Roman"/>
                <w:color w:val="auto"/>
                <w:spacing w:val="-2"/>
                <w:highlight w:val="none"/>
              </w:rPr>
              <w:t>”</w:t>
            </w:r>
            <w:r>
              <w:rPr>
                <w:rFonts w:ascii="宋体" w:hAnsi="宋体" w:eastAsia="宋体"/>
                <w:color w:val="auto"/>
                <w:spacing w:val="-2"/>
                <w:highlight w:val="none"/>
              </w:rPr>
              <w:t xml:space="preserve">第 </w:t>
            </w:r>
            <w:r>
              <w:rPr>
                <w:rFonts w:ascii="Times New Roman" w:hAnsi="Times New Roman" w:eastAsia="Times New Roman"/>
                <w:color w:val="auto"/>
                <w:spacing w:val="-2"/>
                <w:highlight w:val="none"/>
              </w:rPr>
              <w:t xml:space="preserve">1.3.1 </w:t>
            </w:r>
            <w:r>
              <w:rPr>
                <w:rFonts w:ascii="宋体" w:hAnsi="宋体" w:eastAsia="宋体"/>
                <w:color w:val="auto"/>
                <w:spacing w:val="-2"/>
                <w:highlight w:val="none"/>
              </w:rPr>
              <w:t>项规定</w:t>
            </w:r>
          </w:p>
        </w:tc>
      </w:tr>
      <w:tr w14:paraId="6159D5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904" w:type="dxa"/>
            <w:vMerge w:val="continue"/>
          </w:tcPr>
          <w:p w14:paraId="31B7A225">
            <w:pPr>
              <w:rPr>
                <w:color w:val="auto"/>
                <w:highlight w:val="none"/>
              </w:rPr>
            </w:pPr>
          </w:p>
        </w:tc>
        <w:tc>
          <w:tcPr>
            <w:tcW w:w="1124" w:type="dxa"/>
            <w:vMerge w:val="continue"/>
          </w:tcPr>
          <w:p w14:paraId="770A5D56">
            <w:pPr>
              <w:rPr>
                <w:color w:val="auto"/>
                <w:highlight w:val="none"/>
              </w:rPr>
            </w:pPr>
          </w:p>
        </w:tc>
        <w:tc>
          <w:tcPr>
            <w:tcW w:w="2035" w:type="dxa"/>
            <w:vAlign w:val="center"/>
          </w:tcPr>
          <w:p w14:paraId="04AB237B">
            <w:pPr>
              <w:spacing w:line="360" w:lineRule="auto"/>
              <w:jc w:val="center"/>
              <w:rPr>
                <w:rFonts w:ascii="宋体" w:hAnsi="宋体" w:eastAsia="宋体"/>
                <w:color w:val="auto"/>
                <w:spacing w:val="-2"/>
                <w:highlight w:val="none"/>
              </w:rPr>
            </w:pPr>
            <w:r>
              <w:rPr>
                <w:rFonts w:hint="eastAsia" w:ascii="宋体" w:hAnsi="宋体" w:eastAsia="宋体"/>
                <w:color w:val="auto"/>
                <w:spacing w:val="-2"/>
                <w:highlight w:val="none"/>
              </w:rPr>
              <w:t>设计</w:t>
            </w:r>
            <w:r>
              <w:rPr>
                <w:rFonts w:ascii="宋体" w:hAnsi="宋体" w:eastAsia="宋体"/>
                <w:color w:val="auto"/>
                <w:spacing w:val="-2"/>
                <w:highlight w:val="none"/>
              </w:rPr>
              <w:t>服务</w:t>
            </w:r>
            <w:r>
              <w:rPr>
                <w:rFonts w:ascii="宋体" w:hAnsi="宋体" w:eastAsia="宋体"/>
                <w:color w:val="auto"/>
                <w:spacing w:val="-1"/>
                <w:highlight w:val="none"/>
              </w:rPr>
              <w:t>期限</w:t>
            </w:r>
          </w:p>
        </w:tc>
        <w:tc>
          <w:tcPr>
            <w:tcW w:w="5515" w:type="dxa"/>
          </w:tcPr>
          <w:p w14:paraId="09254971">
            <w:pPr>
              <w:spacing w:before="171" w:line="220" w:lineRule="auto"/>
              <w:ind w:left="210" w:leftChars="100" w:right="210" w:rightChars="100"/>
              <w:rPr>
                <w:rFonts w:ascii="宋体" w:hAnsi="宋体" w:eastAsia="宋体"/>
                <w:color w:val="auto"/>
                <w:spacing w:val="-4"/>
                <w:highlight w:val="none"/>
              </w:rPr>
            </w:pPr>
            <w:r>
              <w:rPr>
                <w:rFonts w:ascii="宋体" w:hAnsi="宋体" w:eastAsia="宋体"/>
                <w:color w:val="auto"/>
                <w:spacing w:val="-4"/>
                <w:highlight w:val="none"/>
              </w:rPr>
              <w:t>符合第二章</w:t>
            </w:r>
            <w:r>
              <w:rPr>
                <w:rFonts w:ascii="Times New Roman" w:hAnsi="Times New Roman" w:eastAsia="Times New Roman"/>
                <w:color w:val="auto"/>
                <w:spacing w:val="-4"/>
                <w:highlight w:val="none"/>
              </w:rPr>
              <w:t>“</w:t>
            </w:r>
            <w:r>
              <w:rPr>
                <w:rFonts w:ascii="宋体" w:hAnsi="宋体" w:eastAsia="宋体"/>
                <w:color w:val="auto"/>
                <w:spacing w:val="-4"/>
                <w:highlight w:val="none"/>
              </w:rPr>
              <w:t>投</w:t>
            </w:r>
            <w:r>
              <w:rPr>
                <w:rFonts w:ascii="宋体" w:hAnsi="宋体" w:eastAsia="宋体"/>
                <w:color w:val="auto"/>
                <w:spacing w:val="-2"/>
                <w:highlight w:val="none"/>
              </w:rPr>
              <w:t>标人须知</w:t>
            </w:r>
            <w:r>
              <w:rPr>
                <w:rFonts w:ascii="Times New Roman" w:hAnsi="Times New Roman" w:eastAsia="Times New Roman"/>
                <w:color w:val="auto"/>
                <w:spacing w:val="-2"/>
                <w:highlight w:val="none"/>
              </w:rPr>
              <w:t>”</w:t>
            </w:r>
            <w:r>
              <w:rPr>
                <w:rFonts w:ascii="宋体" w:hAnsi="宋体" w:eastAsia="宋体"/>
                <w:color w:val="auto"/>
                <w:spacing w:val="-2"/>
                <w:highlight w:val="none"/>
              </w:rPr>
              <w:t xml:space="preserve">第 </w:t>
            </w:r>
            <w:r>
              <w:rPr>
                <w:rFonts w:ascii="Times New Roman" w:hAnsi="Times New Roman" w:eastAsia="Times New Roman"/>
                <w:color w:val="auto"/>
                <w:spacing w:val="-2"/>
                <w:highlight w:val="none"/>
              </w:rPr>
              <w:t xml:space="preserve">1.3.2 </w:t>
            </w:r>
            <w:r>
              <w:rPr>
                <w:rFonts w:ascii="宋体" w:hAnsi="宋体" w:eastAsia="宋体"/>
                <w:color w:val="auto"/>
                <w:spacing w:val="-2"/>
                <w:highlight w:val="none"/>
              </w:rPr>
              <w:t>项规定</w:t>
            </w:r>
          </w:p>
        </w:tc>
      </w:tr>
      <w:tr w14:paraId="3F655B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904" w:type="dxa"/>
            <w:vMerge w:val="continue"/>
          </w:tcPr>
          <w:p w14:paraId="082E3C3F">
            <w:pPr>
              <w:rPr>
                <w:color w:val="auto"/>
                <w:highlight w:val="none"/>
              </w:rPr>
            </w:pPr>
          </w:p>
        </w:tc>
        <w:tc>
          <w:tcPr>
            <w:tcW w:w="1124" w:type="dxa"/>
            <w:vMerge w:val="continue"/>
          </w:tcPr>
          <w:p w14:paraId="407C3BC3">
            <w:pPr>
              <w:rPr>
                <w:color w:val="auto"/>
                <w:highlight w:val="none"/>
              </w:rPr>
            </w:pPr>
          </w:p>
        </w:tc>
        <w:tc>
          <w:tcPr>
            <w:tcW w:w="2035" w:type="dxa"/>
            <w:vAlign w:val="center"/>
          </w:tcPr>
          <w:p w14:paraId="5536BF83">
            <w:pPr>
              <w:spacing w:line="360" w:lineRule="auto"/>
              <w:jc w:val="center"/>
              <w:rPr>
                <w:rFonts w:ascii="宋体" w:hAnsi="宋体" w:eastAsia="宋体"/>
                <w:color w:val="auto"/>
                <w:spacing w:val="-2"/>
                <w:highlight w:val="none"/>
              </w:rPr>
            </w:pPr>
            <w:r>
              <w:rPr>
                <w:rFonts w:ascii="宋体" w:hAnsi="宋体" w:eastAsia="宋体"/>
                <w:color w:val="auto"/>
                <w:spacing w:val="-2"/>
                <w:highlight w:val="none"/>
              </w:rPr>
              <w:t>质量标</w:t>
            </w:r>
            <w:r>
              <w:rPr>
                <w:rFonts w:ascii="宋体" w:hAnsi="宋体" w:eastAsia="宋体"/>
                <w:color w:val="auto"/>
                <w:spacing w:val="-1"/>
                <w:highlight w:val="none"/>
              </w:rPr>
              <w:t>准</w:t>
            </w:r>
          </w:p>
        </w:tc>
        <w:tc>
          <w:tcPr>
            <w:tcW w:w="5515" w:type="dxa"/>
          </w:tcPr>
          <w:p w14:paraId="3C2176F9">
            <w:pPr>
              <w:spacing w:before="171" w:line="220" w:lineRule="auto"/>
              <w:ind w:left="210" w:leftChars="100" w:right="210" w:rightChars="100"/>
              <w:rPr>
                <w:rFonts w:ascii="宋体" w:hAnsi="宋体" w:eastAsia="宋体"/>
                <w:color w:val="auto"/>
                <w:spacing w:val="-4"/>
                <w:highlight w:val="none"/>
              </w:rPr>
            </w:pPr>
            <w:r>
              <w:rPr>
                <w:rFonts w:ascii="宋体" w:hAnsi="宋体" w:eastAsia="宋体"/>
                <w:color w:val="auto"/>
                <w:spacing w:val="-4"/>
                <w:highlight w:val="none"/>
              </w:rPr>
              <w:t>符合第二章</w:t>
            </w:r>
            <w:r>
              <w:rPr>
                <w:rFonts w:ascii="Times New Roman" w:hAnsi="Times New Roman" w:eastAsia="Times New Roman"/>
                <w:color w:val="auto"/>
                <w:spacing w:val="-4"/>
                <w:highlight w:val="none"/>
              </w:rPr>
              <w:t>“</w:t>
            </w:r>
            <w:r>
              <w:rPr>
                <w:rFonts w:ascii="宋体" w:hAnsi="宋体" w:eastAsia="宋体"/>
                <w:color w:val="auto"/>
                <w:spacing w:val="-4"/>
                <w:highlight w:val="none"/>
              </w:rPr>
              <w:t>投</w:t>
            </w:r>
            <w:r>
              <w:rPr>
                <w:rFonts w:ascii="宋体" w:hAnsi="宋体" w:eastAsia="宋体"/>
                <w:color w:val="auto"/>
                <w:spacing w:val="-2"/>
                <w:highlight w:val="none"/>
              </w:rPr>
              <w:t>标人须知</w:t>
            </w:r>
            <w:r>
              <w:rPr>
                <w:rFonts w:ascii="Times New Roman" w:hAnsi="Times New Roman" w:eastAsia="Times New Roman"/>
                <w:color w:val="auto"/>
                <w:spacing w:val="-2"/>
                <w:highlight w:val="none"/>
              </w:rPr>
              <w:t>”</w:t>
            </w:r>
            <w:r>
              <w:rPr>
                <w:rFonts w:ascii="宋体" w:hAnsi="宋体" w:eastAsia="宋体"/>
                <w:color w:val="auto"/>
                <w:spacing w:val="-2"/>
                <w:highlight w:val="none"/>
              </w:rPr>
              <w:t xml:space="preserve">第 </w:t>
            </w:r>
            <w:r>
              <w:rPr>
                <w:rFonts w:ascii="Times New Roman" w:hAnsi="Times New Roman" w:eastAsia="Times New Roman"/>
                <w:color w:val="auto"/>
                <w:spacing w:val="-2"/>
                <w:highlight w:val="none"/>
              </w:rPr>
              <w:t xml:space="preserve">1.3.3 </w:t>
            </w:r>
            <w:r>
              <w:rPr>
                <w:rFonts w:ascii="宋体" w:hAnsi="宋体" w:eastAsia="宋体"/>
                <w:color w:val="auto"/>
                <w:spacing w:val="-2"/>
                <w:highlight w:val="none"/>
              </w:rPr>
              <w:t>项规定</w:t>
            </w:r>
          </w:p>
        </w:tc>
      </w:tr>
      <w:tr w14:paraId="4C7778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904" w:type="dxa"/>
            <w:vMerge w:val="continue"/>
          </w:tcPr>
          <w:p w14:paraId="6E5645CF">
            <w:pPr>
              <w:rPr>
                <w:color w:val="auto"/>
                <w:highlight w:val="none"/>
              </w:rPr>
            </w:pPr>
          </w:p>
        </w:tc>
        <w:tc>
          <w:tcPr>
            <w:tcW w:w="1124" w:type="dxa"/>
            <w:vMerge w:val="continue"/>
          </w:tcPr>
          <w:p w14:paraId="35C09DAD">
            <w:pPr>
              <w:rPr>
                <w:color w:val="auto"/>
                <w:highlight w:val="none"/>
              </w:rPr>
            </w:pPr>
          </w:p>
        </w:tc>
        <w:tc>
          <w:tcPr>
            <w:tcW w:w="2035" w:type="dxa"/>
            <w:vAlign w:val="center"/>
          </w:tcPr>
          <w:p w14:paraId="5D51F82D">
            <w:pPr>
              <w:spacing w:line="360" w:lineRule="auto"/>
              <w:jc w:val="center"/>
              <w:rPr>
                <w:rFonts w:ascii="宋体" w:hAnsi="宋体" w:eastAsia="宋体"/>
                <w:color w:val="auto"/>
                <w:spacing w:val="-2"/>
                <w:highlight w:val="none"/>
              </w:rPr>
            </w:pPr>
            <w:r>
              <w:rPr>
                <w:rFonts w:ascii="宋体" w:hAnsi="宋体" w:eastAsia="宋体"/>
                <w:color w:val="auto"/>
                <w:spacing w:val="-2"/>
                <w:highlight w:val="none"/>
              </w:rPr>
              <w:t>投标有效</w:t>
            </w:r>
            <w:r>
              <w:rPr>
                <w:rFonts w:ascii="宋体" w:hAnsi="宋体" w:eastAsia="宋体"/>
                <w:color w:val="auto"/>
                <w:spacing w:val="-1"/>
                <w:highlight w:val="none"/>
              </w:rPr>
              <w:t>期</w:t>
            </w:r>
          </w:p>
        </w:tc>
        <w:tc>
          <w:tcPr>
            <w:tcW w:w="5515" w:type="dxa"/>
          </w:tcPr>
          <w:p w14:paraId="6A7B9CCC">
            <w:pPr>
              <w:spacing w:before="171" w:line="220" w:lineRule="auto"/>
              <w:ind w:left="210" w:leftChars="100" w:right="210" w:rightChars="100"/>
              <w:rPr>
                <w:rFonts w:ascii="宋体" w:hAnsi="宋体" w:eastAsia="宋体"/>
                <w:color w:val="auto"/>
                <w:spacing w:val="-4"/>
                <w:highlight w:val="none"/>
              </w:rPr>
            </w:pPr>
            <w:r>
              <w:rPr>
                <w:rFonts w:ascii="宋体" w:hAnsi="宋体" w:eastAsia="宋体"/>
                <w:color w:val="auto"/>
                <w:spacing w:val="-4"/>
                <w:highlight w:val="none"/>
              </w:rPr>
              <w:t>符合第二章</w:t>
            </w:r>
            <w:r>
              <w:rPr>
                <w:rFonts w:ascii="Times New Roman" w:hAnsi="Times New Roman" w:eastAsia="Times New Roman"/>
                <w:color w:val="auto"/>
                <w:spacing w:val="-4"/>
                <w:highlight w:val="none"/>
              </w:rPr>
              <w:t>“</w:t>
            </w:r>
            <w:r>
              <w:rPr>
                <w:rFonts w:ascii="宋体" w:hAnsi="宋体" w:eastAsia="宋体"/>
                <w:color w:val="auto"/>
                <w:spacing w:val="-4"/>
                <w:highlight w:val="none"/>
              </w:rPr>
              <w:t>投</w:t>
            </w:r>
            <w:r>
              <w:rPr>
                <w:rFonts w:ascii="宋体" w:hAnsi="宋体" w:eastAsia="宋体"/>
                <w:color w:val="auto"/>
                <w:spacing w:val="-2"/>
                <w:highlight w:val="none"/>
              </w:rPr>
              <w:t>标人须知</w:t>
            </w:r>
            <w:r>
              <w:rPr>
                <w:rFonts w:ascii="Times New Roman" w:hAnsi="Times New Roman" w:eastAsia="Times New Roman"/>
                <w:color w:val="auto"/>
                <w:spacing w:val="-2"/>
                <w:highlight w:val="none"/>
              </w:rPr>
              <w:t>”</w:t>
            </w:r>
            <w:r>
              <w:rPr>
                <w:rFonts w:ascii="宋体" w:hAnsi="宋体" w:eastAsia="宋体"/>
                <w:color w:val="auto"/>
                <w:spacing w:val="-2"/>
                <w:highlight w:val="none"/>
              </w:rPr>
              <w:t xml:space="preserve">第 </w:t>
            </w:r>
            <w:r>
              <w:rPr>
                <w:rFonts w:ascii="Times New Roman" w:hAnsi="Times New Roman" w:eastAsia="Times New Roman"/>
                <w:color w:val="auto"/>
                <w:spacing w:val="-2"/>
                <w:highlight w:val="none"/>
              </w:rPr>
              <w:t xml:space="preserve">3.3.1 </w:t>
            </w:r>
            <w:r>
              <w:rPr>
                <w:rFonts w:ascii="宋体" w:hAnsi="宋体" w:eastAsia="宋体"/>
                <w:color w:val="auto"/>
                <w:spacing w:val="-2"/>
                <w:highlight w:val="none"/>
              </w:rPr>
              <w:t>项规定</w:t>
            </w:r>
          </w:p>
        </w:tc>
      </w:tr>
      <w:tr w14:paraId="703025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904" w:type="dxa"/>
            <w:vMerge w:val="continue"/>
          </w:tcPr>
          <w:p w14:paraId="1D761C8F">
            <w:pPr>
              <w:rPr>
                <w:color w:val="auto"/>
                <w:highlight w:val="none"/>
              </w:rPr>
            </w:pPr>
          </w:p>
        </w:tc>
        <w:tc>
          <w:tcPr>
            <w:tcW w:w="1124" w:type="dxa"/>
            <w:vMerge w:val="continue"/>
          </w:tcPr>
          <w:p w14:paraId="623CE039">
            <w:pPr>
              <w:rPr>
                <w:color w:val="auto"/>
                <w:highlight w:val="none"/>
              </w:rPr>
            </w:pPr>
          </w:p>
        </w:tc>
        <w:tc>
          <w:tcPr>
            <w:tcW w:w="2035" w:type="dxa"/>
            <w:vAlign w:val="center"/>
          </w:tcPr>
          <w:p w14:paraId="0EE80F07">
            <w:pPr>
              <w:spacing w:line="360" w:lineRule="auto"/>
              <w:jc w:val="center"/>
              <w:rPr>
                <w:rFonts w:ascii="宋体" w:hAnsi="宋体" w:eastAsia="宋体"/>
                <w:strike/>
                <w:color w:val="auto"/>
                <w:spacing w:val="-2"/>
                <w:highlight w:val="none"/>
              </w:rPr>
            </w:pPr>
            <w:r>
              <w:rPr>
                <w:rFonts w:ascii="宋体" w:hAnsi="宋体" w:eastAsia="宋体"/>
                <w:strike/>
                <w:color w:val="auto"/>
                <w:spacing w:val="-2"/>
                <w:highlight w:val="none"/>
              </w:rPr>
              <w:t>投标保证</w:t>
            </w:r>
            <w:r>
              <w:rPr>
                <w:rFonts w:ascii="宋体" w:hAnsi="宋体" w:eastAsia="宋体"/>
                <w:strike/>
                <w:color w:val="auto"/>
                <w:spacing w:val="-1"/>
                <w:highlight w:val="none"/>
              </w:rPr>
              <w:t>金</w:t>
            </w:r>
          </w:p>
        </w:tc>
        <w:tc>
          <w:tcPr>
            <w:tcW w:w="5515" w:type="dxa"/>
            <w:vAlign w:val="center"/>
          </w:tcPr>
          <w:p w14:paraId="37CFBB3E">
            <w:pPr>
              <w:spacing w:before="172" w:line="220" w:lineRule="auto"/>
              <w:ind w:left="210" w:leftChars="100" w:right="210" w:rightChars="100"/>
              <w:jc w:val="both"/>
              <w:rPr>
                <w:rFonts w:ascii="宋体" w:hAnsi="宋体" w:eastAsia="宋体"/>
                <w:strike/>
                <w:color w:val="auto"/>
                <w:spacing w:val="-4"/>
                <w:highlight w:val="none"/>
              </w:rPr>
            </w:pPr>
            <w:r>
              <w:rPr>
                <w:rFonts w:ascii="宋体" w:hAnsi="宋体" w:eastAsia="宋体"/>
                <w:strike/>
                <w:color w:val="auto"/>
                <w:spacing w:val="-4"/>
                <w:highlight w:val="none"/>
              </w:rPr>
              <w:t>符合第二章</w:t>
            </w:r>
            <w:r>
              <w:rPr>
                <w:rFonts w:ascii="Times New Roman" w:hAnsi="Times New Roman" w:eastAsia="Times New Roman"/>
                <w:strike/>
                <w:color w:val="auto"/>
                <w:spacing w:val="-4"/>
                <w:highlight w:val="none"/>
              </w:rPr>
              <w:t>“</w:t>
            </w:r>
            <w:r>
              <w:rPr>
                <w:rFonts w:ascii="宋体" w:hAnsi="宋体" w:eastAsia="宋体"/>
                <w:strike/>
                <w:color w:val="auto"/>
                <w:spacing w:val="-4"/>
                <w:highlight w:val="none"/>
              </w:rPr>
              <w:t>投</w:t>
            </w:r>
            <w:r>
              <w:rPr>
                <w:rFonts w:ascii="宋体" w:hAnsi="宋体" w:eastAsia="宋体"/>
                <w:strike/>
                <w:color w:val="auto"/>
                <w:spacing w:val="-2"/>
                <w:highlight w:val="none"/>
              </w:rPr>
              <w:t>标人须知</w:t>
            </w:r>
            <w:r>
              <w:rPr>
                <w:rFonts w:ascii="Times New Roman" w:hAnsi="Times New Roman" w:eastAsia="Times New Roman"/>
                <w:strike/>
                <w:color w:val="auto"/>
                <w:spacing w:val="-2"/>
                <w:highlight w:val="none"/>
              </w:rPr>
              <w:t>”</w:t>
            </w:r>
            <w:r>
              <w:rPr>
                <w:rFonts w:ascii="宋体" w:hAnsi="宋体" w:eastAsia="宋体"/>
                <w:strike/>
                <w:color w:val="auto"/>
                <w:spacing w:val="-2"/>
                <w:highlight w:val="none"/>
              </w:rPr>
              <w:t xml:space="preserve">第 </w:t>
            </w:r>
            <w:r>
              <w:rPr>
                <w:rFonts w:ascii="Times New Roman" w:hAnsi="Times New Roman" w:eastAsia="Times New Roman"/>
                <w:strike/>
                <w:color w:val="auto"/>
                <w:spacing w:val="-2"/>
                <w:highlight w:val="none"/>
              </w:rPr>
              <w:t xml:space="preserve">3.4.1 </w:t>
            </w:r>
            <w:r>
              <w:rPr>
                <w:rFonts w:ascii="宋体" w:hAnsi="宋体" w:eastAsia="宋体"/>
                <w:strike/>
                <w:color w:val="auto"/>
                <w:spacing w:val="-2"/>
                <w:highlight w:val="none"/>
              </w:rPr>
              <w:t>项规定</w:t>
            </w:r>
          </w:p>
        </w:tc>
      </w:tr>
      <w:tr w14:paraId="78D6A0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9" w:hRule="atLeast"/>
        </w:trPr>
        <w:tc>
          <w:tcPr>
            <w:tcW w:w="904" w:type="dxa"/>
            <w:vMerge w:val="continue"/>
          </w:tcPr>
          <w:p w14:paraId="3BCC2564">
            <w:pPr>
              <w:rPr>
                <w:color w:val="auto"/>
                <w:highlight w:val="none"/>
              </w:rPr>
            </w:pPr>
          </w:p>
        </w:tc>
        <w:tc>
          <w:tcPr>
            <w:tcW w:w="1124" w:type="dxa"/>
            <w:vMerge w:val="continue"/>
          </w:tcPr>
          <w:p w14:paraId="59AB4A43">
            <w:pPr>
              <w:rPr>
                <w:color w:val="auto"/>
                <w:highlight w:val="none"/>
              </w:rPr>
            </w:pPr>
          </w:p>
        </w:tc>
        <w:tc>
          <w:tcPr>
            <w:tcW w:w="2035" w:type="dxa"/>
            <w:vAlign w:val="center"/>
          </w:tcPr>
          <w:p w14:paraId="449D3B6B">
            <w:pPr>
              <w:jc w:val="center"/>
              <w:rPr>
                <w:color w:val="auto"/>
                <w:highlight w:val="none"/>
              </w:rPr>
            </w:pPr>
            <w:r>
              <w:rPr>
                <w:rFonts w:hint="eastAsia"/>
                <w:color w:val="auto"/>
                <w:highlight w:val="none"/>
              </w:rPr>
              <w:t>其他否决情形</w:t>
            </w:r>
          </w:p>
        </w:tc>
        <w:tc>
          <w:tcPr>
            <w:tcW w:w="5515" w:type="dxa"/>
            <w:vAlign w:val="center"/>
          </w:tcPr>
          <w:p w14:paraId="25EFBFEB">
            <w:pPr>
              <w:ind w:left="210" w:leftChars="100" w:right="210" w:rightChars="100"/>
              <w:jc w:val="both"/>
              <w:rPr>
                <w:color w:val="auto"/>
                <w:highlight w:val="none"/>
              </w:rPr>
            </w:pPr>
            <w:r>
              <w:rPr>
                <w:rFonts w:hint="eastAsia"/>
                <w:color w:val="auto"/>
                <w:highlight w:val="none"/>
              </w:rPr>
              <w:t>‌投标人</w:t>
            </w:r>
            <w:r>
              <w:rPr>
                <w:rFonts w:hint="eastAsia" w:eastAsia="宋体"/>
                <w:color w:val="auto"/>
                <w:highlight w:val="none"/>
              </w:rPr>
              <w:t>不</w:t>
            </w:r>
            <w:r>
              <w:rPr>
                <w:rFonts w:hint="eastAsia"/>
                <w:color w:val="auto"/>
                <w:highlight w:val="none"/>
              </w:rPr>
              <w:t>存在法律法规和招标文件规定的其他否决情形</w:t>
            </w:r>
          </w:p>
        </w:tc>
      </w:tr>
      <w:tr w14:paraId="558E3A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2028" w:type="dxa"/>
            <w:gridSpan w:val="2"/>
          </w:tcPr>
          <w:p w14:paraId="30332A0C">
            <w:pPr>
              <w:spacing w:before="173" w:line="220" w:lineRule="auto"/>
              <w:ind w:left="705"/>
              <w:rPr>
                <w:rFonts w:ascii="宋体" w:hAnsi="宋体" w:eastAsia="宋体"/>
                <w:color w:val="auto"/>
                <w:spacing w:val="-3"/>
                <w:highlight w:val="none"/>
              </w:rPr>
            </w:pPr>
            <w:r>
              <w:rPr>
                <w:rFonts w:ascii="宋体" w:hAnsi="宋体" w:eastAsia="宋体"/>
                <w:color w:val="auto"/>
                <w:spacing w:val="-3"/>
                <w:highlight w:val="none"/>
              </w:rPr>
              <w:t>条款号</w:t>
            </w:r>
          </w:p>
        </w:tc>
        <w:tc>
          <w:tcPr>
            <w:tcW w:w="2035" w:type="dxa"/>
          </w:tcPr>
          <w:p w14:paraId="79AFF570">
            <w:pPr>
              <w:spacing w:before="173" w:line="220" w:lineRule="auto"/>
              <w:ind w:left="823"/>
              <w:rPr>
                <w:rFonts w:ascii="宋体" w:hAnsi="宋体" w:eastAsia="宋体"/>
                <w:color w:val="auto"/>
                <w:spacing w:val="-2"/>
                <w:highlight w:val="none"/>
              </w:rPr>
            </w:pPr>
            <w:r>
              <w:rPr>
                <w:rFonts w:ascii="宋体" w:hAnsi="宋体" w:eastAsia="宋体"/>
                <w:color w:val="auto"/>
                <w:spacing w:val="-2"/>
                <w:highlight w:val="none"/>
              </w:rPr>
              <w:t>条款内容</w:t>
            </w:r>
          </w:p>
        </w:tc>
        <w:tc>
          <w:tcPr>
            <w:tcW w:w="5515" w:type="dxa"/>
          </w:tcPr>
          <w:p w14:paraId="4F73E155">
            <w:pPr>
              <w:spacing w:before="173" w:line="220" w:lineRule="auto"/>
              <w:ind w:left="210" w:leftChars="100" w:right="210" w:rightChars="100"/>
              <w:rPr>
                <w:rFonts w:ascii="宋体" w:hAnsi="宋体" w:eastAsia="宋体"/>
                <w:color w:val="auto"/>
                <w:spacing w:val="-3"/>
                <w:highlight w:val="none"/>
              </w:rPr>
            </w:pPr>
            <w:r>
              <w:rPr>
                <w:rFonts w:ascii="宋体" w:hAnsi="宋体" w:eastAsia="宋体"/>
                <w:color w:val="auto"/>
                <w:spacing w:val="-3"/>
                <w:highlight w:val="none"/>
              </w:rPr>
              <w:t>编</w:t>
            </w:r>
            <w:r>
              <w:rPr>
                <w:rFonts w:ascii="宋体" w:hAnsi="宋体" w:eastAsia="宋体"/>
                <w:color w:val="auto"/>
                <w:spacing w:val="-2"/>
                <w:highlight w:val="none"/>
              </w:rPr>
              <w:t>列内容</w:t>
            </w:r>
          </w:p>
        </w:tc>
      </w:tr>
      <w:tr w14:paraId="35849F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64" w:hRule="atLeast"/>
        </w:trPr>
        <w:tc>
          <w:tcPr>
            <w:tcW w:w="2028" w:type="dxa"/>
            <w:gridSpan w:val="2"/>
          </w:tcPr>
          <w:p w14:paraId="1AE90737">
            <w:pPr>
              <w:spacing w:line="268" w:lineRule="auto"/>
              <w:rPr>
                <w:color w:val="auto"/>
                <w:highlight w:val="none"/>
              </w:rPr>
            </w:pPr>
          </w:p>
          <w:p w14:paraId="2E3032EC">
            <w:pPr>
              <w:spacing w:line="269" w:lineRule="auto"/>
              <w:rPr>
                <w:color w:val="auto"/>
                <w:highlight w:val="none"/>
              </w:rPr>
            </w:pPr>
          </w:p>
          <w:p w14:paraId="62FA6B7F">
            <w:pPr>
              <w:spacing w:line="269" w:lineRule="auto"/>
              <w:rPr>
                <w:color w:val="auto"/>
                <w:highlight w:val="none"/>
              </w:rPr>
            </w:pPr>
          </w:p>
          <w:p w14:paraId="43AF5D1D">
            <w:pPr>
              <w:spacing w:before="61" w:line="186" w:lineRule="auto"/>
              <w:ind w:left="805"/>
              <w:rPr>
                <w:rFonts w:ascii="Times New Roman" w:hAnsi="Times New Roman" w:eastAsia="Times New Roman"/>
                <w:color w:val="auto"/>
                <w:spacing w:val="-1"/>
                <w:highlight w:val="none"/>
              </w:rPr>
            </w:pPr>
            <w:r>
              <w:rPr>
                <w:rFonts w:ascii="Times New Roman" w:hAnsi="Times New Roman" w:eastAsia="Times New Roman"/>
                <w:color w:val="auto"/>
                <w:spacing w:val="-1"/>
                <w:highlight w:val="none"/>
              </w:rPr>
              <w:t>2.2.</w:t>
            </w:r>
            <w:r>
              <w:rPr>
                <w:rFonts w:ascii="Times New Roman" w:hAnsi="Times New Roman" w:eastAsia="Times New Roman"/>
                <w:color w:val="auto"/>
                <w:highlight w:val="none"/>
              </w:rPr>
              <w:t>1</w:t>
            </w:r>
          </w:p>
        </w:tc>
        <w:tc>
          <w:tcPr>
            <w:tcW w:w="2035" w:type="dxa"/>
          </w:tcPr>
          <w:p w14:paraId="0307068D">
            <w:pPr>
              <w:spacing w:line="271" w:lineRule="auto"/>
              <w:rPr>
                <w:color w:val="auto"/>
                <w:highlight w:val="none"/>
              </w:rPr>
            </w:pPr>
          </w:p>
          <w:p w14:paraId="71CAC72C">
            <w:pPr>
              <w:spacing w:line="271" w:lineRule="auto"/>
              <w:rPr>
                <w:color w:val="auto"/>
                <w:highlight w:val="none"/>
              </w:rPr>
            </w:pPr>
          </w:p>
          <w:p w14:paraId="384EFFB3">
            <w:pPr>
              <w:spacing w:before="68" w:line="401" w:lineRule="exact"/>
              <w:jc w:val="center"/>
              <w:rPr>
                <w:rFonts w:ascii="宋体" w:hAnsi="宋体" w:eastAsia="宋体"/>
                <w:color w:val="auto"/>
                <w:spacing w:val="-3"/>
                <w:position w:val="14"/>
                <w:highlight w:val="none"/>
              </w:rPr>
            </w:pPr>
            <w:r>
              <w:rPr>
                <w:rFonts w:ascii="宋体" w:hAnsi="宋体" w:eastAsia="宋体"/>
                <w:color w:val="auto"/>
                <w:spacing w:val="-3"/>
                <w:position w:val="14"/>
                <w:highlight w:val="none"/>
              </w:rPr>
              <w:t>分</w:t>
            </w:r>
            <w:r>
              <w:rPr>
                <w:rFonts w:ascii="宋体" w:hAnsi="宋体" w:eastAsia="宋体"/>
                <w:color w:val="auto"/>
                <w:spacing w:val="-2"/>
                <w:position w:val="14"/>
                <w:highlight w:val="none"/>
              </w:rPr>
              <w:t>值构成</w:t>
            </w:r>
          </w:p>
          <w:p w14:paraId="0B9B04C6">
            <w:pPr>
              <w:spacing w:line="282" w:lineRule="exact"/>
              <w:jc w:val="center"/>
              <w:rPr>
                <w:rFonts w:ascii="Times New Roman" w:hAnsi="Times New Roman" w:eastAsia="Times New Roman"/>
                <w:color w:val="auto"/>
                <w:spacing w:val="-9"/>
                <w:position w:val="2"/>
                <w:highlight w:val="none"/>
              </w:rPr>
            </w:pPr>
            <w:r>
              <w:rPr>
                <w:rFonts w:ascii="Times New Roman" w:hAnsi="Times New Roman" w:eastAsia="Times New Roman"/>
                <w:color w:val="auto"/>
                <w:spacing w:val="-9"/>
                <w:position w:val="2"/>
                <w:highlight w:val="none"/>
              </w:rPr>
              <w:t>(</w:t>
            </w:r>
            <w:r>
              <w:rPr>
                <w:rFonts w:ascii="宋体" w:hAnsi="宋体" w:eastAsia="宋体"/>
                <w:color w:val="auto"/>
                <w:spacing w:val="-6"/>
                <w:position w:val="2"/>
                <w:highlight w:val="none"/>
              </w:rPr>
              <w:t xml:space="preserve">总分 </w:t>
            </w:r>
            <w:r>
              <w:rPr>
                <w:rFonts w:ascii="Times New Roman" w:hAnsi="Times New Roman" w:eastAsia="Times New Roman"/>
                <w:color w:val="auto"/>
                <w:spacing w:val="-6"/>
                <w:position w:val="2"/>
                <w:highlight w:val="none"/>
              </w:rPr>
              <w:t xml:space="preserve">100 </w:t>
            </w:r>
            <w:r>
              <w:rPr>
                <w:rFonts w:ascii="宋体" w:hAnsi="宋体" w:eastAsia="宋体"/>
                <w:color w:val="auto"/>
                <w:spacing w:val="-6"/>
                <w:position w:val="2"/>
                <w:highlight w:val="none"/>
              </w:rPr>
              <w:t>分</w:t>
            </w:r>
            <w:r>
              <w:rPr>
                <w:rFonts w:ascii="Times New Roman" w:hAnsi="Times New Roman" w:eastAsia="Times New Roman"/>
                <w:color w:val="auto"/>
                <w:spacing w:val="-6"/>
                <w:position w:val="2"/>
                <w:highlight w:val="none"/>
              </w:rPr>
              <w:t>)</w:t>
            </w:r>
          </w:p>
        </w:tc>
        <w:tc>
          <w:tcPr>
            <w:tcW w:w="5515" w:type="dxa"/>
          </w:tcPr>
          <w:p w14:paraId="0DA961A8">
            <w:pPr>
              <w:spacing w:before="191" w:line="218" w:lineRule="auto"/>
              <w:ind w:left="210" w:leftChars="100" w:right="210" w:rightChars="100"/>
              <w:rPr>
                <w:rFonts w:ascii="宋体" w:hAnsi="宋体" w:eastAsia="宋体"/>
                <w:color w:val="auto"/>
                <w:spacing w:val="-7"/>
                <w:highlight w:val="none"/>
              </w:rPr>
            </w:pPr>
            <w:r>
              <w:rPr>
                <w:rFonts w:ascii="宋体" w:hAnsi="宋体" w:eastAsia="宋体"/>
                <w:color w:val="auto"/>
                <w:spacing w:val="-7"/>
                <w:highlight w:val="none"/>
              </w:rPr>
              <w:t>资信业绩部分：</w:t>
            </w:r>
            <w:r>
              <w:rPr>
                <w:rFonts w:ascii="宋体" w:hAnsi="宋体" w:eastAsia="宋体"/>
                <w:color w:val="auto"/>
                <w:spacing w:val="-7"/>
                <w:highlight w:val="none"/>
                <w:u w:val="single"/>
              </w:rPr>
              <w:t xml:space="preserve"> </w:t>
            </w:r>
            <w:r>
              <w:rPr>
                <w:rFonts w:hint="eastAsia" w:ascii="宋体" w:hAnsi="宋体" w:eastAsia="宋体"/>
                <w:color w:val="auto"/>
                <w:spacing w:val="-7"/>
                <w:highlight w:val="none"/>
                <w:u w:val="single"/>
              </w:rPr>
              <w:t>30</w:t>
            </w:r>
            <w:r>
              <w:rPr>
                <w:rFonts w:ascii="宋体" w:hAnsi="宋体" w:eastAsia="宋体"/>
                <w:color w:val="auto"/>
                <w:spacing w:val="-7"/>
                <w:highlight w:val="none"/>
                <w:u w:val="single"/>
              </w:rPr>
              <w:t xml:space="preserve"> </w:t>
            </w:r>
            <w:r>
              <w:rPr>
                <w:rFonts w:ascii="宋体" w:hAnsi="宋体" w:eastAsia="宋体"/>
                <w:color w:val="auto"/>
                <w:spacing w:val="-7"/>
                <w:highlight w:val="none"/>
              </w:rPr>
              <w:t>分</w:t>
            </w:r>
          </w:p>
          <w:p w14:paraId="72D75B17">
            <w:pPr>
              <w:spacing w:before="191" w:line="218" w:lineRule="auto"/>
              <w:ind w:left="210" w:leftChars="100" w:right="210" w:rightChars="100"/>
              <w:rPr>
                <w:rFonts w:ascii="宋体" w:hAnsi="宋体" w:eastAsia="宋体"/>
                <w:color w:val="auto"/>
                <w:spacing w:val="-12"/>
                <w:highlight w:val="none"/>
              </w:rPr>
            </w:pPr>
            <w:r>
              <w:rPr>
                <w:rFonts w:hint="eastAsia" w:ascii="宋体" w:hAnsi="宋体" w:eastAsia="宋体"/>
                <w:color w:val="auto"/>
                <w:spacing w:val="-12"/>
                <w:highlight w:val="none"/>
              </w:rPr>
              <w:t>设计</w:t>
            </w:r>
            <w:r>
              <w:rPr>
                <w:rFonts w:ascii="宋体" w:hAnsi="宋体" w:eastAsia="宋体"/>
                <w:color w:val="auto"/>
                <w:spacing w:val="-6"/>
                <w:highlight w:val="none"/>
              </w:rPr>
              <w:t>方案部分：</w:t>
            </w:r>
            <w:r>
              <w:rPr>
                <w:rFonts w:ascii="宋体" w:hAnsi="宋体" w:eastAsia="宋体"/>
                <w:color w:val="auto"/>
                <w:spacing w:val="-6"/>
                <w:highlight w:val="none"/>
                <w:u w:val="single"/>
              </w:rPr>
              <w:t xml:space="preserve"> </w:t>
            </w:r>
            <w:r>
              <w:rPr>
                <w:rFonts w:hint="eastAsia" w:ascii="宋体" w:hAnsi="宋体" w:eastAsia="宋体"/>
                <w:color w:val="auto"/>
                <w:spacing w:val="-6"/>
                <w:highlight w:val="none"/>
                <w:u w:val="single"/>
              </w:rPr>
              <w:t>60</w:t>
            </w:r>
            <w:r>
              <w:rPr>
                <w:rFonts w:ascii="宋体" w:hAnsi="宋体" w:eastAsia="宋体"/>
                <w:color w:val="auto"/>
                <w:spacing w:val="-6"/>
                <w:highlight w:val="none"/>
                <w:u w:val="single"/>
              </w:rPr>
              <w:t xml:space="preserve"> </w:t>
            </w:r>
            <w:r>
              <w:rPr>
                <w:rFonts w:ascii="宋体" w:hAnsi="宋体" w:eastAsia="宋体"/>
                <w:color w:val="auto"/>
                <w:spacing w:val="-6"/>
                <w:highlight w:val="none"/>
              </w:rPr>
              <w:t>分</w:t>
            </w:r>
          </w:p>
          <w:p w14:paraId="37FEDE24">
            <w:pPr>
              <w:spacing w:before="191" w:line="218" w:lineRule="auto"/>
              <w:ind w:left="210" w:leftChars="100" w:right="210" w:rightChars="100"/>
              <w:rPr>
                <w:rFonts w:ascii="宋体" w:hAnsi="宋体" w:eastAsia="宋体"/>
                <w:color w:val="auto"/>
                <w:spacing w:val="-14"/>
                <w:highlight w:val="none"/>
              </w:rPr>
            </w:pPr>
            <w:r>
              <w:rPr>
                <w:rFonts w:ascii="宋体" w:hAnsi="宋体" w:eastAsia="宋体"/>
                <w:color w:val="auto"/>
                <w:spacing w:val="-14"/>
                <w:highlight w:val="none"/>
              </w:rPr>
              <w:t>投</w:t>
            </w:r>
            <w:r>
              <w:rPr>
                <w:rFonts w:ascii="宋体" w:hAnsi="宋体" w:eastAsia="宋体"/>
                <w:color w:val="auto"/>
                <w:spacing w:val="-8"/>
                <w:highlight w:val="none"/>
              </w:rPr>
              <w:t>标</w:t>
            </w:r>
            <w:r>
              <w:rPr>
                <w:rFonts w:ascii="宋体" w:hAnsi="宋体" w:eastAsia="宋体"/>
                <w:color w:val="auto"/>
                <w:spacing w:val="-7"/>
                <w:highlight w:val="none"/>
              </w:rPr>
              <w:t>报价：</w:t>
            </w:r>
            <w:r>
              <w:rPr>
                <w:rFonts w:hint="eastAsia" w:ascii="宋体" w:hAnsi="宋体" w:eastAsia="宋体"/>
                <w:color w:val="auto"/>
                <w:spacing w:val="-7"/>
                <w:highlight w:val="none"/>
                <w:u w:val="single"/>
              </w:rPr>
              <w:t xml:space="preserve"> 10 </w:t>
            </w:r>
            <w:r>
              <w:rPr>
                <w:rFonts w:ascii="宋体" w:hAnsi="宋体" w:eastAsia="宋体"/>
                <w:color w:val="auto"/>
                <w:spacing w:val="-7"/>
                <w:highlight w:val="none"/>
              </w:rPr>
              <w:t>分</w:t>
            </w:r>
          </w:p>
          <w:p w14:paraId="660A604D">
            <w:pPr>
              <w:spacing w:before="191" w:line="218" w:lineRule="auto"/>
              <w:ind w:left="210" w:leftChars="100" w:right="210" w:rightChars="100"/>
              <w:rPr>
                <w:rFonts w:ascii="宋体" w:hAnsi="宋体" w:eastAsia="宋体"/>
                <w:color w:val="auto"/>
                <w:spacing w:val="-2"/>
                <w:highlight w:val="none"/>
              </w:rPr>
            </w:pPr>
            <w:r>
              <w:rPr>
                <w:rFonts w:ascii="宋体" w:hAnsi="宋体" w:eastAsia="宋体"/>
                <w:color w:val="auto"/>
                <w:spacing w:val="-2"/>
                <w:highlight w:val="none"/>
              </w:rPr>
              <w:t>其他评分</w:t>
            </w:r>
            <w:r>
              <w:rPr>
                <w:rFonts w:ascii="宋体" w:hAnsi="宋体" w:eastAsia="宋体"/>
                <w:color w:val="auto"/>
                <w:spacing w:val="-1"/>
                <w:highlight w:val="none"/>
              </w:rPr>
              <w:t>因素：</w:t>
            </w:r>
            <w:r>
              <w:rPr>
                <w:rFonts w:ascii="宋体" w:hAnsi="宋体" w:eastAsia="宋体"/>
                <w:color w:val="auto"/>
                <w:spacing w:val="-1"/>
                <w:highlight w:val="none"/>
                <w:u w:val="single"/>
              </w:rPr>
              <w:t xml:space="preserve"> </w:t>
            </w:r>
            <w:r>
              <w:rPr>
                <w:rFonts w:hint="eastAsia" w:ascii="宋体" w:hAnsi="宋体" w:eastAsia="宋体"/>
                <w:color w:val="auto"/>
                <w:spacing w:val="-1"/>
                <w:highlight w:val="none"/>
                <w:u w:val="single"/>
              </w:rPr>
              <w:t>/</w:t>
            </w:r>
            <w:r>
              <w:rPr>
                <w:rFonts w:ascii="宋体" w:hAnsi="宋体" w:eastAsia="宋体"/>
                <w:color w:val="auto"/>
                <w:spacing w:val="-1"/>
                <w:highlight w:val="none"/>
                <w:u w:val="single"/>
              </w:rPr>
              <w:t xml:space="preserve"> </w:t>
            </w:r>
            <w:r>
              <w:rPr>
                <w:rFonts w:ascii="宋体" w:hAnsi="宋体" w:eastAsia="宋体"/>
                <w:color w:val="auto"/>
                <w:spacing w:val="-1"/>
                <w:highlight w:val="none"/>
              </w:rPr>
              <w:t>分</w:t>
            </w:r>
          </w:p>
        </w:tc>
      </w:tr>
      <w:tr w14:paraId="62B537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2028" w:type="dxa"/>
            <w:gridSpan w:val="2"/>
            <w:vAlign w:val="center"/>
          </w:tcPr>
          <w:p w14:paraId="0B56B784">
            <w:pPr>
              <w:spacing w:before="212" w:line="186" w:lineRule="auto"/>
              <w:ind w:left="805"/>
              <w:jc w:val="both"/>
              <w:rPr>
                <w:rFonts w:ascii="Times New Roman" w:hAnsi="Times New Roman" w:eastAsia="Times New Roman"/>
                <w:color w:val="auto"/>
                <w:spacing w:val="-1"/>
                <w:highlight w:val="none"/>
              </w:rPr>
            </w:pPr>
            <w:r>
              <w:rPr>
                <w:rFonts w:ascii="Times New Roman" w:hAnsi="Times New Roman" w:eastAsia="Times New Roman"/>
                <w:color w:val="auto"/>
                <w:spacing w:val="-1"/>
                <w:highlight w:val="none"/>
              </w:rPr>
              <w:t>2.2.</w:t>
            </w:r>
            <w:r>
              <w:rPr>
                <w:rFonts w:ascii="Times New Roman" w:hAnsi="Times New Roman" w:eastAsia="Times New Roman"/>
                <w:color w:val="auto"/>
                <w:highlight w:val="none"/>
              </w:rPr>
              <w:t>2</w:t>
            </w:r>
          </w:p>
        </w:tc>
        <w:tc>
          <w:tcPr>
            <w:tcW w:w="2035" w:type="dxa"/>
            <w:vAlign w:val="center"/>
          </w:tcPr>
          <w:p w14:paraId="5CB07787">
            <w:pPr>
              <w:spacing w:line="360" w:lineRule="auto"/>
              <w:jc w:val="both"/>
              <w:rPr>
                <w:rFonts w:ascii="宋体" w:hAnsi="宋体" w:eastAsia="宋体" w:cs="宋体"/>
                <w:color w:val="auto"/>
                <w:spacing w:val="-1"/>
                <w:highlight w:val="none"/>
              </w:rPr>
            </w:pPr>
            <w:r>
              <w:rPr>
                <w:rFonts w:hint="eastAsia" w:ascii="宋体" w:hAnsi="宋体" w:eastAsia="宋体" w:cs="宋体"/>
                <w:color w:val="auto"/>
                <w:spacing w:val="-1"/>
                <w:highlight w:val="none"/>
              </w:rPr>
              <w:t>评标基准价计算</w:t>
            </w:r>
            <w:r>
              <w:rPr>
                <w:rFonts w:hint="eastAsia" w:ascii="宋体" w:hAnsi="宋体" w:eastAsia="宋体" w:cs="宋体"/>
                <w:color w:val="auto"/>
                <w:highlight w:val="none"/>
              </w:rPr>
              <w:t>方法</w:t>
            </w:r>
          </w:p>
        </w:tc>
        <w:tc>
          <w:tcPr>
            <w:tcW w:w="5515" w:type="dxa"/>
            <w:vAlign w:val="center"/>
          </w:tcPr>
          <w:p w14:paraId="00707CC1">
            <w:pPr>
              <w:spacing w:line="360" w:lineRule="auto"/>
              <w:ind w:left="210" w:leftChars="100" w:right="210" w:rightChars="100"/>
              <w:rPr>
                <w:rFonts w:ascii="宋体" w:hAnsi="宋体" w:eastAsia="宋体" w:cs="宋体"/>
                <w:color w:val="auto"/>
                <w:highlight w:val="none"/>
              </w:rPr>
            </w:pPr>
            <w:r>
              <w:rPr>
                <w:rFonts w:hint="eastAsia" w:ascii="宋体" w:hAnsi="宋体" w:eastAsia="宋体" w:cs="宋体"/>
                <w:color w:val="auto"/>
                <w:highlight w:val="none"/>
              </w:rPr>
              <w:t>当通过形式评审、资格评审、响应性评审的有效投标人大于或等于5名且投标报价为有效投标价时，去掉一个最高价和一个最低价，取余下有效投标价的算术平均值的作为评标基准价。</w:t>
            </w:r>
          </w:p>
          <w:p w14:paraId="4D0181DB">
            <w:pPr>
              <w:spacing w:line="360" w:lineRule="auto"/>
              <w:ind w:left="210" w:leftChars="100" w:right="210" w:rightChars="100"/>
              <w:jc w:val="both"/>
              <w:rPr>
                <w:rFonts w:ascii="宋体" w:hAnsi="宋体" w:eastAsia="宋体" w:cs="宋体"/>
                <w:color w:val="auto"/>
                <w:highlight w:val="none"/>
              </w:rPr>
            </w:pPr>
            <w:r>
              <w:rPr>
                <w:rFonts w:hint="eastAsia" w:ascii="宋体" w:hAnsi="宋体" w:eastAsia="宋体" w:cs="宋体"/>
                <w:color w:val="auto"/>
                <w:highlight w:val="none"/>
              </w:rPr>
              <w:t>当通过形式评审、资格评审、响应性评审的有效投标人小于5名时，取所有入围的有效投标价的算术平均值的作为评标基准价。</w:t>
            </w:r>
          </w:p>
        </w:tc>
      </w:tr>
      <w:tr w14:paraId="63DD0D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5" w:hRule="atLeast"/>
        </w:trPr>
        <w:tc>
          <w:tcPr>
            <w:tcW w:w="2028" w:type="dxa"/>
            <w:gridSpan w:val="2"/>
          </w:tcPr>
          <w:p w14:paraId="005FC654">
            <w:pPr>
              <w:spacing w:line="381" w:lineRule="auto"/>
              <w:rPr>
                <w:color w:val="auto"/>
                <w:highlight w:val="none"/>
              </w:rPr>
            </w:pPr>
          </w:p>
          <w:p w14:paraId="2F59CFD5">
            <w:pPr>
              <w:spacing w:before="61" w:line="186" w:lineRule="auto"/>
              <w:ind w:left="805"/>
              <w:rPr>
                <w:rFonts w:ascii="Times New Roman" w:hAnsi="Times New Roman" w:eastAsia="Times New Roman"/>
                <w:color w:val="auto"/>
                <w:spacing w:val="-1"/>
                <w:highlight w:val="none"/>
              </w:rPr>
            </w:pPr>
            <w:r>
              <w:rPr>
                <w:rFonts w:ascii="Times New Roman" w:hAnsi="Times New Roman" w:eastAsia="Times New Roman"/>
                <w:color w:val="auto"/>
                <w:spacing w:val="-1"/>
                <w:highlight w:val="none"/>
              </w:rPr>
              <w:t>2.2.</w:t>
            </w:r>
            <w:r>
              <w:rPr>
                <w:rFonts w:ascii="Times New Roman" w:hAnsi="Times New Roman" w:eastAsia="Times New Roman"/>
                <w:color w:val="auto"/>
                <w:highlight w:val="none"/>
              </w:rPr>
              <w:t>3</w:t>
            </w:r>
          </w:p>
        </w:tc>
        <w:tc>
          <w:tcPr>
            <w:tcW w:w="2035" w:type="dxa"/>
            <w:vAlign w:val="center"/>
          </w:tcPr>
          <w:p w14:paraId="3B533D68">
            <w:pPr>
              <w:spacing w:line="360" w:lineRule="auto"/>
              <w:jc w:val="center"/>
              <w:rPr>
                <w:rFonts w:ascii="宋体" w:hAnsi="宋体" w:eastAsia="宋体" w:cs="宋体"/>
                <w:color w:val="auto"/>
                <w:spacing w:val="-2"/>
                <w:position w:val="17"/>
                <w:highlight w:val="none"/>
              </w:rPr>
            </w:pPr>
            <w:r>
              <w:rPr>
                <w:rFonts w:hint="eastAsia" w:ascii="宋体" w:hAnsi="宋体" w:eastAsia="宋体" w:cs="宋体"/>
                <w:color w:val="auto"/>
                <w:spacing w:val="-2"/>
                <w:position w:val="17"/>
                <w:highlight w:val="none"/>
              </w:rPr>
              <w:t>投标</w:t>
            </w:r>
            <w:r>
              <w:rPr>
                <w:rFonts w:hint="eastAsia" w:ascii="宋体" w:hAnsi="宋体" w:eastAsia="宋体" w:cs="宋体"/>
                <w:color w:val="auto"/>
                <w:spacing w:val="-1"/>
                <w:position w:val="17"/>
                <w:highlight w:val="none"/>
              </w:rPr>
              <w:t>报价的偏差率</w:t>
            </w:r>
          </w:p>
          <w:p w14:paraId="056E5ED2">
            <w:pPr>
              <w:spacing w:line="360" w:lineRule="auto"/>
              <w:jc w:val="center"/>
              <w:rPr>
                <w:rFonts w:ascii="宋体" w:hAnsi="宋体" w:eastAsia="宋体" w:cs="宋体"/>
                <w:color w:val="auto"/>
                <w:spacing w:val="-2"/>
                <w:highlight w:val="none"/>
              </w:rPr>
            </w:pPr>
            <w:r>
              <w:rPr>
                <w:rFonts w:hint="eastAsia" w:ascii="宋体" w:hAnsi="宋体" w:eastAsia="宋体" w:cs="宋体"/>
                <w:color w:val="auto"/>
                <w:spacing w:val="-2"/>
                <w:highlight w:val="none"/>
              </w:rPr>
              <w:t>计算公</w:t>
            </w:r>
            <w:r>
              <w:rPr>
                <w:rFonts w:hint="eastAsia" w:ascii="宋体" w:hAnsi="宋体" w:eastAsia="宋体" w:cs="宋体"/>
                <w:color w:val="auto"/>
                <w:spacing w:val="-1"/>
                <w:highlight w:val="none"/>
              </w:rPr>
              <w:t>式</w:t>
            </w:r>
          </w:p>
        </w:tc>
        <w:tc>
          <w:tcPr>
            <w:tcW w:w="5515" w:type="dxa"/>
            <w:vAlign w:val="center"/>
          </w:tcPr>
          <w:p w14:paraId="43DC188C">
            <w:pPr>
              <w:spacing w:before="191" w:line="360" w:lineRule="auto"/>
              <w:ind w:left="210" w:leftChars="100" w:right="210" w:rightChars="100"/>
              <w:jc w:val="both"/>
              <w:rPr>
                <w:rFonts w:ascii="宋体" w:hAnsi="宋体" w:eastAsia="宋体" w:cs="宋体"/>
                <w:color w:val="auto"/>
                <w:highlight w:val="none"/>
              </w:rPr>
            </w:pPr>
            <w:r>
              <w:rPr>
                <w:rFonts w:hint="eastAsia" w:ascii="宋体" w:hAnsi="宋体" w:eastAsia="宋体" w:cs="宋体"/>
                <w:color w:val="auto"/>
                <w:highlight w:val="none"/>
              </w:rPr>
              <w:t>投标报价偏差率=（投标报价-评标基准价）/评标基准价×100%。</w:t>
            </w:r>
          </w:p>
        </w:tc>
      </w:tr>
      <w:tr w14:paraId="565B3E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 w:hRule="atLeast"/>
        </w:trPr>
        <w:tc>
          <w:tcPr>
            <w:tcW w:w="2028" w:type="dxa"/>
            <w:gridSpan w:val="2"/>
            <w:vAlign w:val="center"/>
          </w:tcPr>
          <w:p w14:paraId="30DA5C0F">
            <w:pPr>
              <w:spacing w:line="360" w:lineRule="auto"/>
              <w:jc w:val="center"/>
              <w:rPr>
                <w:rFonts w:ascii="宋体" w:hAnsi="宋体" w:eastAsia="宋体"/>
                <w:color w:val="auto"/>
                <w:spacing w:val="-3"/>
                <w:highlight w:val="none"/>
              </w:rPr>
            </w:pPr>
            <w:r>
              <w:rPr>
                <w:rFonts w:ascii="宋体" w:hAnsi="宋体" w:eastAsia="宋体"/>
                <w:color w:val="auto"/>
                <w:spacing w:val="-3"/>
                <w:highlight w:val="none"/>
              </w:rPr>
              <w:t>条款号</w:t>
            </w:r>
          </w:p>
        </w:tc>
        <w:tc>
          <w:tcPr>
            <w:tcW w:w="2035" w:type="dxa"/>
            <w:vAlign w:val="center"/>
          </w:tcPr>
          <w:p w14:paraId="2E677803">
            <w:pPr>
              <w:spacing w:line="360" w:lineRule="auto"/>
              <w:jc w:val="center"/>
              <w:rPr>
                <w:rFonts w:ascii="宋体" w:hAnsi="宋体" w:eastAsia="宋体" w:cs="宋体"/>
                <w:color w:val="auto"/>
                <w:spacing w:val="14"/>
                <w:highlight w:val="none"/>
              </w:rPr>
            </w:pPr>
            <w:r>
              <w:rPr>
                <w:rFonts w:hint="eastAsia" w:ascii="宋体" w:hAnsi="宋体" w:eastAsia="宋体" w:cs="宋体"/>
                <w:color w:val="auto"/>
                <w:spacing w:val="14"/>
                <w:highlight w:val="none"/>
              </w:rPr>
              <w:t>评</w:t>
            </w:r>
            <w:r>
              <w:rPr>
                <w:rFonts w:hint="eastAsia" w:ascii="宋体" w:hAnsi="宋体" w:eastAsia="宋体" w:cs="宋体"/>
                <w:color w:val="auto"/>
                <w:spacing w:val="11"/>
                <w:highlight w:val="none"/>
              </w:rPr>
              <w:t>分因素(偏差率)</w:t>
            </w:r>
          </w:p>
        </w:tc>
        <w:tc>
          <w:tcPr>
            <w:tcW w:w="5515" w:type="dxa"/>
            <w:vAlign w:val="center"/>
          </w:tcPr>
          <w:p w14:paraId="52D4B985">
            <w:pPr>
              <w:spacing w:line="360" w:lineRule="auto"/>
              <w:ind w:left="210" w:leftChars="100" w:right="210" w:rightChars="100"/>
              <w:jc w:val="center"/>
              <w:rPr>
                <w:rFonts w:ascii="宋体" w:hAnsi="宋体" w:eastAsia="宋体" w:cs="宋体"/>
                <w:color w:val="auto"/>
                <w:spacing w:val="-2"/>
                <w:highlight w:val="none"/>
              </w:rPr>
            </w:pPr>
            <w:r>
              <w:rPr>
                <w:rFonts w:hint="eastAsia" w:ascii="宋体" w:hAnsi="宋体" w:eastAsia="宋体" w:cs="宋体"/>
                <w:color w:val="auto"/>
                <w:spacing w:val="-2"/>
                <w:highlight w:val="none"/>
              </w:rPr>
              <w:t>评分标</w:t>
            </w:r>
            <w:r>
              <w:rPr>
                <w:rFonts w:hint="eastAsia" w:ascii="宋体" w:hAnsi="宋体" w:eastAsia="宋体" w:cs="宋体"/>
                <w:color w:val="auto"/>
                <w:spacing w:val="-1"/>
                <w:highlight w:val="none"/>
              </w:rPr>
              <w:t>准</w:t>
            </w:r>
          </w:p>
        </w:tc>
      </w:tr>
      <w:tr w14:paraId="0B63EA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92" w:hRule="atLeast"/>
        </w:trPr>
        <w:tc>
          <w:tcPr>
            <w:tcW w:w="904" w:type="dxa"/>
            <w:vMerge w:val="restart"/>
            <w:vAlign w:val="center"/>
          </w:tcPr>
          <w:p w14:paraId="0A9FDDF7">
            <w:pPr>
              <w:spacing w:line="292" w:lineRule="auto"/>
              <w:jc w:val="center"/>
              <w:rPr>
                <w:color w:val="auto"/>
                <w:highlight w:val="none"/>
              </w:rPr>
            </w:pPr>
          </w:p>
          <w:p w14:paraId="1B6FBCF5">
            <w:pPr>
              <w:spacing w:line="292" w:lineRule="auto"/>
              <w:jc w:val="center"/>
              <w:rPr>
                <w:color w:val="auto"/>
                <w:highlight w:val="none"/>
              </w:rPr>
            </w:pPr>
          </w:p>
          <w:p w14:paraId="528EE2E3">
            <w:pPr>
              <w:spacing w:line="292" w:lineRule="auto"/>
              <w:jc w:val="center"/>
              <w:rPr>
                <w:color w:val="auto"/>
                <w:highlight w:val="none"/>
              </w:rPr>
            </w:pPr>
          </w:p>
          <w:p w14:paraId="3FFB4609">
            <w:pPr>
              <w:spacing w:before="60" w:line="401" w:lineRule="exact"/>
              <w:ind w:left="244"/>
              <w:jc w:val="center"/>
              <w:rPr>
                <w:rFonts w:ascii="Times New Roman" w:hAnsi="Times New Roman" w:eastAsia="Times New Roman"/>
                <w:color w:val="auto"/>
                <w:spacing w:val="-1"/>
                <w:position w:val="18"/>
                <w:highlight w:val="none"/>
              </w:rPr>
            </w:pPr>
            <w:r>
              <w:rPr>
                <w:rFonts w:ascii="Times New Roman" w:hAnsi="Times New Roman" w:eastAsia="Times New Roman"/>
                <w:color w:val="auto"/>
                <w:spacing w:val="-1"/>
                <w:position w:val="18"/>
                <w:highlight w:val="none"/>
              </w:rPr>
              <w:t>2.2</w:t>
            </w:r>
            <w:r>
              <w:rPr>
                <w:rFonts w:ascii="Times New Roman" w:hAnsi="Times New Roman" w:eastAsia="Times New Roman"/>
                <w:color w:val="auto"/>
                <w:position w:val="18"/>
                <w:highlight w:val="none"/>
              </w:rPr>
              <w:t>.4</w:t>
            </w:r>
          </w:p>
          <w:p w14:paraId="19F3DFBB">
            <w:pPr>
              <w:spacing w:line="223" w:lineRule="auto"/>
              <w:ind w:left="199"/>
              <w:jc w:val="center"/>
              <w:rPr>
                <w:rFonts w:ascii="宋体" w:hAnsi="宋体" w:eastAsia="宋体"/>
                <w:color w:val="auto"/>
                <w:spacing w:val="31"/>
                <w:highlight w:val="none"/>
              </w:rPr>
            </w:pPr>
            <w:r>
              <w:rPr>
                <w:rFonts w:ascii="宋体" w:hAnsi="宋体" w:eastAsia="宋体"/>
                <w:color w:val="auto"/>
                <w:spacing w:val="31"/>
                <w:highlight w:val="none"/>
              </w:rPr>
              <w:t>(</w:t>
            </w:r>
            <w:r>
              <w:rPr>
                <w:rFonts w:ascii="Times New Roman" w:hAnsi="Times New Roman" w:eastAsia="Times New Roman"/>
                <w:color w:val="auto"/>
                <w:spacing w:val="30"/>
                <w:highlight w:val="none"/>
              </w:rPr>
              <w:t>1</w:t>
            </w:r>
            <w:r>
              <w:rPr>
                <w:rFonts w:ascii="宋体" w:hAnsi="宋体" w:eastAsia="宋体"/>
                <w:color w:val="auto"/>
                <w:spacing w:val="30"/>
                <w:highlight w:val="none"/>
              </w:rPr>
              <w:t>)</w:t>
            </w:r>
          </w:p>
        </w:tc>
        <w:tc>
          <w:tcPr>
            <w:tcW w:w="1124" w:type="dxa"/>
            <w:vMerge w:val="restart"/>
            <w:vAlign w:val="center"/>
          </w:tcPr>
          <w:p w14:paraId="3841D892">
            <w:pPr>
              <w:spacing w:line="276" w:lineRule="auto"/>
              <w:jc w:val="center"/>
              <w:rPr>
                <w:color w:val="auto"/>
                <w:highlight w:val="none"/>
              </w:rPr>
            </w:pPr>
          </w:p>
          <w:p w14:paraId="06B17A1F">
            <w:pPr>
              <w:spacing w:line="277" w:lineRule="auto"/>
              <w:jc w:val="center"/>
              <w:rPr>
                <w:color w:val="auto"/>
                <w:highlight w:val="none"/>
              </w:rPr>
            </w:pPr>
          </w:p>
          <w:p w14:paraId="5203E00B">
            <w:pPr>
              <w:spacing w:line="277" w:lineRule="auto"/>
              <w:jc w:val="center"/>
              <w:rPr>
                <w:color w:val="auto"/>
                <w:highlight w:val="none"/>
              </w:rPr>
            </w:pPr>
          </w:p>
          <w:p w14:paraId="4DDECBD0">
            <w:pPr>
              <w:spacing w:before="68" w:line="394" w:lineRule="auto"/>
              <w:ind w:left="144" w:right="141" w:firstLine="9"/>
              <w:jc w:val="center"/>
              <w:rPr>
                <w:rFonts w:ascii="宋体" w:hAnsi="宋体" w:eastAsia="宋体"/>
                <w:color w:val="auto"/>
                <w:spacing w:val="-6"/>
                <w:highlight w:val="none"/>
              </w:rPr>
            </w:pPr>
            <w:r>
              <w:rPr>
                <w:rFonts w:ascii="宋体" w:hAnsi="宋体" w:eastAsia="宋体"/>
                <w:color w:val="auto"/>
                <w:spacing w:val="-6"/>
                <w:highlight w:val="none"/>
              </w:rPr>
              <w:t>资</w:t>
            </w:r>
            <w:r>
              <w:rPr>
                <w:rFonts w:ascii="宋体" w:hAnsi="宋体" w:eastAsia="宋体"/>
                <w:color w:val="auto"/>
                <w:spacing w:val="-4"/>
                <w:highlight w:val="none"/>
              </w:rPr>
              <w:t>信业绩</w:t>
            </w:r>
            <w:r>
              <w:rPr>
                <w:rFonts w:ascii="宋体" w:hAnsi="宋体" w:eastAsia="宋体"/>
                <w:color w:val="auto"/>
                <w:highlight w:val="none"/>
              </w:rPr>
              <w:t xml:space="preserve"> </w:t>
            </w:r>
            <w:r>
              <w:rPr>
                <w:rFonts w:ascii="宋体" w:hAnsi="宋体" w:eastAsia="宋体"/>
                <w:color w:val="auto"/>
                <w:spacing w:val="-2"/>
                <w:highlight w:val="none"/>
              </w:rPr>
              <w:t>评分标准</w:t>
            </w:r>
          </w:p>
          <w:p w14:paraId="582B4BD8">
            <w:pPr>
              <w:spacing w:before="68" w:line="394" w:lineRule="auto"/>
              <w:ind w:left="144" w:right="141"/>
              <w:rPr>
                <w:rFonts w:ascii="宋体" w:hAnsi="宋体" w:eastAsia="宋体"/>
                <w:color w:val="auto"/>
                <w:spacing w:val="-2"/>
                <w:highlight w:val="none"/>
              </w:rPr>
            </w:pPr>
            <w:r>
              <w:rPr>
                <w:rFonts w:hint="eastAsia" w:ascii="宋体" w:hAnsi="宋体" w:eastAsia="宋体"/>
                <w:color w:val="auto"/>
                <w:spacing w:val="-2"/>
                <w:highlight w:val="none"/>
              </w:rPr>
              <w:t>（30分）</w:t>
            </w:r>
          </w:p>
        </w:tc>
        <w:tc>
          <w:tcPr>
            <w:tcW w:w="2035" w:type="dxa"/>
            <w:shd w:val="clear" w:color="auto" w:fill="auto"/>
            <w:vAlign w:val="center"/>
          </w:tcPr>
          <w:p w14:paraId="107A4A6D">
            <w:pPr>
              <w:adjustRightInd w:val="0"/>
              <w:spacing w:line="360" w:lineRule="auto"/>
              <w:jc w:val="center"/>
              <w:rPr>
                <w:rFonts w:ascii="宋体" w:hAnsi="宋体" w:eastAsia="宋体" w:cs="宋体"/>
                <w:color w:val="auto"/>
                <w:highlight w:val="none"/>
                <w:lang w:val="zh-CN"/>
              </w:rPr>
            </w:pPr>
            <w:r>
              <w:rPr>
                <w:rFonts w:hint="eastAsia" w:ascii="宋体" w:hAnsi="宋体" w:eastAsia="宋体" w:cs="宋体"/>
                <w:color w:val="auto"/>
                <w:highlight w:val="none"/>
                <w:lang w:val="zh-CN"/>
              </w:rPr>
              <w:t>设计企业业绩</w:t>
            </w:r>
          </w:p>
          <w:p w14:paraId="41C7CE06">
            <w:pPr>
              <w:adjustRightInd w:val="0"/>
              <w:spacing w:line="360" w:lineRule="auto"/>
              <w:jc w:val="center"/>
              <w:rPr>
                <w:rFonts w:ascii="宋体" w:hAnsi="宋体" w:eastAsia="宋体" w:cs="宋体"/>
                <w:color w:val="auto"/>
                <w:highlight w:val="none"/>
              </w:rPr>
            </w:pPr>
            <w:r>
              <w:rPr>
                <w:rFonts w:hint="eastAsia" w:ascii="宋体" w:hAnsi="宋体" w:eastAsia="宋体" w:cs="宋体"/>
                <w:color w:val="auto"/>
                <w:highlight w:val="none"/>
                <w:lang w:val="zh-CN"/>
              </w:rPr>
              <w:t>（</w:t>
            </w:r>
            <w:r>
              <w:rPr>
                <w:rFonts w:hint="eastAsia" w:ascii="宋体" w:hAnsi="宋体" w:eastAsia="宋体" w:cs="宋体"/>
                <w:color w:val="auto"/>
                <w:highlight w:val="none"/>
              </w:rPr>
              <w:t>3分</w:t>
            </w:r>
            <w:r>
              <w:rPr>
                <w:rFonts w:hint="eastAsia" w:ascii="宋体" w:hAnsi="宋体" w:eastAsia="宋体" w:cs="宋体"/>
                <w:color w:val="auto"/>
                <w:highlight w:val="none"/>
                <w:lang w:val="zh-CN"/>
              </w:rPr>
              <w:t>）</w:t>
            </w:r>
          </w:p>
        </w:tc>
        <w:tc>
          <w:tcPr>
            <w:tcW w:w="5515" w:type="dxa"/>
            <w:shd w:val="clear" w:color="auto" w:fill="auto"/>
            <w:vAlign w:val="center"/>
          </w:tcPr>
          <w:p w14:paraId="12F59404">
            <w:pPr>
              <w:pStyle w:val="74"/>
              <w:wordWrap w:val="0"/>
              <w:topLinePunct/>
              <w:adjustRightInd w:val="0"/>
              <w:spacing w:line="360" w:lineRule="auto"/>
              <w:rPr>
                <w:rFonts w:ascii="宋体" w:hAnsi="宋体" w:cs="宋体"/>
                <w:color w:val="auto"/>
                <w:szCs w:val="21"/>
                <w:highlight w:val="none"/>
                <w:lang w:val="zh-CN"/>
              </w:rPr>
            </w:pPr>
            <w:r>
              <w:rPr>
                <w:rFonts w:hint="eastAsia" w:ascii="宋体" w:hAnsi="宋体" w:cs="宋体"/>
                <w:color w:val="auto"/>
                <w:szCs w:val="21"/>
                <w:highlight w:val="none"/>
                <w:lang w:val="zh-CN"/>
              </w:rPr>
              <w:t>投标人自202</w:t>
            </w:r>
            <w:r>
              <w:rPr>
                <w:rFonts w:hint="eastAsia" w:ascii="宋体" w:hAnsi="宋体" w:cs="宋体"/>
                <w:color w:val="auto"/>
                <w:szCs w:val="21"/>
                <w:highlight w:val="none"/>
              </w:rPr>
              <w:t>0</w:t>
            </w:r>
            <w:r>
              <w:rPr>
                <w:rFonts w:hint="eastAsia" w:ascii="宋体" w:hAnsi="宋体" w:cs="宋体"/>
                <w:color w:val="auto"/>
                <w:szCs w:val="21"/>
                <w:highlight w:val="none"/>
                <w:lang w:val="zh-CN"/>
              </w:rPr>
              <w:t>年1月1日至今完成过</w:t>
            </w:r>
            <w:r>
              <w:rPr>
                <w:rFonts w:hint="eastAsia" w:ascii="宋体" w:hAnsi="宋体" w:cs="宋体"/>
                <w:color w:val="auto"/>
                <w:szCs w:val="21"/>
                <w:highlight w:val="none"/>
              </w:rPr>
              <w:t>总投资大</w:t>
            </w:r>
            <w:r>
              <w:rPr>
                <w:rFonts w:hint="eastAsia" w:ascii="宋体" w:hAnsi="宋体" w:cs="宋体"/>
                <w:color w:val="auto"/>
                <w:szCs w:val="21"/>
                <w:highlight w:val="none"/>
                <w:lang w:val="zh-CN"/>
              </w:rPr>
              <w:t>于或等于</w:t>
            </w:r>
            <w:r>
              <w:rPr>
                <w:rFonts w:hint="eastAsia" w:ascii="宋体" w:hAnsi="宋体" w:cs="宋体"/>
                <w:color w:val="auto"/>
                <w:szCs w:val="21"/>
                <w:highlight w:val="none"/>
              </w:rPr>
              <w:t>14500</w:t>
            </w:r>
            <w:r>
              <w:rPr>
                <w:rFonts w:hint="eastAsia" w:ascii="宋体" w:hAnsi="宋体" w:cs="宋体"/>
                <w:color w:val="auto"/>
                <w:szCs w:val="21"/>
                <w:highlight w:val="none"/>
                <w:lang w:val="zh-CN"/>
              </w:rPr>
              <w:t>万元的市政排水工程设计</w:t>
            </w:r>
            <w:r>
              <w:rPr>
                <w:rFonts w:hint="eastAsia" w:ascii="宋体" w:hAnsi="宋体" w:cs="宋体"/>
                <w:color w:val="auto"/>
                <w:szCs w:val="21"/>
                <w:highlight w:val="none"/>
              </w:rPr>
              <w:t>业绩</w:t>
            </w:r>
            <w:r>
              <w:rPr>
                <w:rFonts w:hint="eastAsia" w:ascii="宋体" w:hAnsi="宋体" w:cs="宋体"/>
                <w:color w:val="auto"/>
                <w:szCs w:val="21"/>
                <w:highlight w:val="none"/>
                <w:lang w:val="zh-CN"/>
              </w:rPr>
              <w:t>（含工程总承包等发包方式的设计工作）：每项得1分，最多得3分，没有不得分。</w:t>
            </w:r>
          </w:p>
          <w:p w14:paraId="5EB75D9E">
            <w:pPr>
              <w:pStyle w:val="74"/>
              <w:wordWrap w:val="0"/>
              <w:topLinePunct/>
              <w:adjustRightInd w:val="0"/>
              <w:spacing w:line="360" w:lineRule="auto"/>
              <w:rPr>
                <w:rFonts w:ascii="宋体" w:hAnsi="宋体" w:cs="宋体"/>
                <w:color w:val="auto"/>
                <w:szCs w:val="21"/>
                <w:highlight w:val="none"/>
              </w:rPr>
            </w:pPr>
            <w:r>
              <w:rPr>
                <w:rFonts w:hint="eastAsia" w:ascii="宋体" w:hAnsi="宋体" w:cs="宋体"/>
                <w:color w:val="auto"/>
                <w:szCs w:val="21"/>
                <w:highlight w:val="none"/>
                <w:lang w:val="zh-CN"/>
              </w:rPr>
              <w:t>注：同一项目不得重复计分。需提供相关业绩的中标通知书或项目审批部门出具的免招标的相关证明、合同关键页加盖投标人公章，时间以合同签订时间为准、投资额以合同为准（若合同中没有注明的应提供其他有效的证明资料）。</w:t>
            </w:r>
          </w:p>
        </w:tc>
      </w:tr>
      <w:tr w14:paraId="450444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92" w:hRule="atLeast"/>
        </w:trPr>
        <w:tc>
          <w:tcPr>
            <w:tcW w:w="904" w:type="dxa"/>
            <w:vMerge w:val="continue"/>
            <w:vAlign w:val="center"/>
          </w:tcPr>
          <w:p w14:paraId="5ADC4B04">
            <w:pPr>
              <w:spacing w:line="223" w:lineRule="auto"/>
              <w:ind w:left="199"/>
              <w:jc w:val="center"/>
              <w:rPr>
                <w:rFonts w:ascii="宋体" w:hAnsi="宋体" w:eastAsia="宋体"/>
                <w:color w:val="auto"/>
                <w:spacing w:val="31"/>
                <w:highlight w:val="none"/>
              </w:rPr>
            </w:pPr>
          </w:p>
        </w:tc>
        <w:tc>
          <w:tcPr>
            <w:tcW w:w="1124" w:type="dxa"/>
            <w:vMerge w:val="continue"/>
            <w:vAlign w:val="center"/>
          </w:tcPr>
          <w:p w14:paraId="2577EA20">
            <w:pPr>
              <w:spacing w:before="68" w:line="394" w:lineRule="auto"/>
              <w:ind w:left="144" w:right="141" w:firstLine="9"/>
              <w:jc w:val="center"/>
              <w:rPr>
                <w:rFonts w:ascii="宋体" w:hAnsi="宋体" w:eastAsia="宋体"/>
                <w:color w:val="auto"/>
                <w:spacing w:val="-6"/>
                <w:highlight w:val="none"/>
              </w:rPr>
            </w:pPr>
          </w:p>
        </w:tc>
        <w:tc>
          <w:tcPr>
            <w:tcW w:w="2035" w:type="dxa"/>
            <w:shd w:val="clear" w:color="auto" w:fill="auto"/>
            <w:vAlign w:val="center"/>
          </w:tcPr>
          <w:p w14:paraId="711E1C62">
            <w:pPr>
              <w:adjustRightInd w:val="0"/>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设计企业奖项</w:t>
            </w:r>
          </w:p>
          <w:p w14:paraId="3DE25814">
            <w:pPr>
              <w:adjustRightInd w:val="0"/>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（1</w:t>
            </w:r>
            <w:r>
              <w:rPr>
                <w:rFonts w:ascii="宋体" w:hAnsi="宋体" w:eastAsia="宋体" w:cs="宋体"/>
                <w:color w:val="auto"/>
                <w:highlight w:val="none"/>
              </w:rPr>
              <w:t>4</w:t>
            </w:r>
            <w:r>
              <w:rPr>
                <w:rFonts w:hint="eastAsia" w:ascii="宋体" w:hAnsi="宋体" w:eastAsia="宋体" w:cs="宋体"/>
                <w:color w:val="auto"/>
                <w:highlight w:val="none"/>
              </w:rPr>
              <w:t>分）</w:t>
            </w:r>
          </w:p>
        </w:tc>
        <w:tc>
          <w:tcPr>
            <w:tcW w:w="5515" w:type="dxa"/>
            <w:shd w:val="clear" w:color="auto" w:fill="auto"/>
            <w:vAlign w:val="center"/>
          </w:tcPr>
          <w:p w14:paraId="7EC2D2EC">
            <w:pPr>
              <w:pStyle w:val="74"/>
              <w:wordWrap w:val="0"/>
              <w:topLinePunct/>
              <w:adjustRightInd w:val="0"/>
              <w:spacing w:line="360" w:lineRule="auto"/>
              <w:rPr>
                <w:rFonts w:ascii="宋体" w:hAnsi="宋体" w:cs="宋体"/>
                <w:color w:val="auto"/>
                <w:szCs w:val="21"/>
                <w:highlight w:val="none"/>
                <w:lang w:val="zh-CN"/>
              </w:rPr>
            </w:pPr>
            <w:r>
              <w:rPr>
                <w:rFonts w:hint="eastAsia" w:ascii="宋体" w:hAnsi="宋体" w:cs="宋体"/>
                <w:color w:val="auto"/>
                <w:szCs w:val="21"/>
                <w:highlight w:val="none"/>
                <w:lang w:val="zh-CN"/>
              </w:rPr>
              <w:t>投标人自</w:t>
            </w:r>
            <w:r>
              <w:rPr>
                <w:rFonts w:hint="eastAsia" w:ascii="宋体" w:hAnsi="宋体" w:cs="宋体"/>
                <w:color w:val="auto"/>
                <w:szCs w:val="21"/>
                <w:highlight w:val="none"/>
              </w:rPr>
              <w:t>2020</w:t>
            </w:r>
            <w:r>
              <w:rPr>
                <w:rFonts w:hint="eastAsia" w:ascii="宋体" w:hAnsi="宋体" w:cs="宋体"/>
                <w:color w:val="auto"/>
                <w:szCs w:val="21"/>
                <w:highlight w:val="none"/>
                <w:lang w:val="zh-CN"/>
              </w:rPr>
              <w:t>年1月1日至今承接过的市政</w:t>
            </w:r>
            <w:r>
              <w:rPr>
                <w:rFonts w:hint="eastAsia" w:ascii="宋体" w:hAnsi="宋体" w:cs="宋体"/>
                <w:color w:val="auto"/>
                <w:kern w:val="0"/>
                <w:szCs w:val="21"/>
                <w:highlight w:val="none"/>
              </w:rPr>
              <w:t>排水工程</w:t>
            </w:r>
            <w:r>
              <w:rPr>
                <w:rFonts w:hint="eastAsia" w:ascii="宋体" w:hAnsi="宋体" w:cs="宋体"/>
                <w:color w:val="auto"/>
                <w:szCs w:val="21"/>
                <w:highlight w:val="none"/>
                <w:lang w:val="zh-CN"/>
              </w:rPr>
              <w:t>设计项目获奖情况：获得国家级奖项，每项得1分；获得省级奖项，每项得</w:t>
            </w:r>
            <w:r>
              <w:rPr>
                <w:rFonts w:hint="eastAsia" w:ascii="宋体" w:hAnsi="宋体" w:cs="宋体"/>
                <w:color w:val="auto"/>
                <w:szCs w:val="21"/>
                <w:highlight w:val="none"/>
              </w:rPr>
              <w:t>0.8</w:t>
            </w:r>
            <w:r>
              <w:rPr>
                <w:rFonts w:hint="eastAsia" w:ascii="宋体" w:hAnsi="宋体" w:cs="宋体"/>
                <w:color w:val="auto"/>
                <w:szCs w:val="21"/>
                <w:highlight w:val="none"/>
                <w:lang w:val="zh-CN"/>
              </w:rPr>
              <w:t>分；获得市级（含副省级）奖项，每项得</w:t>
            </w:r>
            <w:r>
              <w:rPr>
                <w:rFonts w:hint="eastAsia" w:ascii="宋体" w:hAnsi="宋体" w:cs="宋体"/>
                <w:color w:val="auto"/>
                <w:szCs w:val="21"/>
                <w:highlight w:val="none"/>
              </w:rPr>
              <w:t>0.5</w:t>
            </w:r>
            <w:r>
              <w:rPr>
                <w:rFonts w:hint="eastAsia" w:ascii="宋体" w:hAnsi="宋体" w:cs="宋体"/>
                <w:color w:val="auto"/>
                <w:szCs w:val="21"/>
                <w:highlight w:val="none"/>
                <w:lang w:val="zh-CN"/>
              </w:rPr>
              <w:t>分；本小项最高得</w:t>
            </w:r>
            <w:r>
              <w:rPr>
                <w:rFonts w:hint="eastAsia" w:ascii="宋体" w:hAnsi="宋体" w:cs="宋体"/>
                <w:color w:val="auto"/>
                <w:szCs w:val="21"/>
                <w:highlight w:val="none"/>
              </w:rPr>
              <w:t>1</w:t>
            </w:r>
            <w:r>
              <w:rPr>
                <w:rFonts w:ascii="宋体" w:hAnsi="宋体" w:cs="宋体"/>
                <w:color w:val="auto"/>
                <w:szCs w:val="21"/>
                <w:highlight w:val="none"/>
              </w:rPr>
              <w:t>4</w:t>
            </w:r>
            <w:r>
              <w:rPr>
                <w:rFonts w:hint="eastAsia" w:ascii="宋体" w:hAnsi="宋体" w:cs="宋体"/>
                <w:color w:val="auto"/>
                <w:szCs w:val="21"/>
                <w:highlight w:val="none"/>
                <w:lang w:val="zh-CN"/>
              </w:rPr>
              <w:t>分。</w:t>
            </w:r>
          </w:p>
          <w:p w14:paraId="63B33086">
            <w:pPr>
              <w:spacing w:line="360" w:lineRule="auto"/>
              <w:rPr>
                <w:rFonts w:ascii="宋体" w:hAnsi="宋体" w:eastAsia="宋体" w:cs="宋体"/>
                <w:color w:val="auto"/>
                <w:highlight w:val="none"/>
              </w:rPr>
            </w:pPr>
            <w:r>
              <w:rPr>
                <w:rFonts w:hint="eastAsia" w:ascii="宋体" w:hAnsi="宋体" w:eastAsia="宋体" w:cs="宋体"/>
                <w:color w:val="auto"/>
                <w:highlight w:val="none"/>
              </w:rPr>
              <w:t>注：业绩获奖按最高奖项只计算一次，同一项目获奖不得重复计分。须提供相关获奖证书的扫描件并加盖投标人的电子印章。时间以获奖证书为准。（若颁发机构</w:t>
            </w:r>
            <w:r>
              <w:rPr>
                <w:rFonts w:hint="eastAsia" w:ascii="宋体" w:hAnsi="宋体" w:cs="宋体"/>
                <w:color w:val="auto"/>
                <w:highlight w:val="none"/>
                <w:lang w:val="zh-CN"/>
              </w:rPr>
              <w:t>行业协会（学会）</w:t>
            </w:r>
            <w:r>
              <w:rPr>
                <w:rFonts w:hint="eastAsia" w:ascii="宋体" w:hAnsi="宋体" w:eastAsia="宋体" w:cs="宋体"/>
                <w:color w:val="auto"/>
                <w:highlight w:val="none"/>
              </w:rPr>
              <w:t>，须提供该组织在中国社会组织政务服务平台（网址：https://chinanpo.mca.gov.cn/）“全国社会组织信用信息公示平台”栏查询结果打印页，查询结果“状态”栏必须为“正常”）。不符合上述条件或未提供上述资料的不得分。</w:t>
            </w:r>
          </w:p>
        </w:tc>
      </w:tr>
      <w:tr w14:paraId="5FC1CB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904" w:type="dxa"/>
            <w:vMerge w:val="continue"/>
          </w:tcPr>
          <w:p w14:paraId="7E309D71">
            <w:pPr>
              <w:rPr>
                <w:color w:val="auto"/>
                <w:highlight w:val="none"/>
              </w:rPr>
            </w:pPr>
          </w:p>
        </w:tc>
        <w:tc>
          <w:tcPr>
            <w:tcW w:w="1124" w:type="dxa"/>
            <w:vMerge w:val="continue"/>
          </w:tcPr>
          <w:p w14:paraId="54A23618">
            <w:pPr>
              <w:rPr>
                <w:color w:val="auto"/>
                <w:highlight w:val="none"/>
              </w:rPr>
            </w:pPr>
          </w:p>
        </w:tc>
        <w:tc>
          <w:tcPr>
            <w:tcW w:w="2035" w:type="dxa"/>
            <w:shd w:val="clear" w:color="auto" w:fill="auto"/>
            <w:vAlign w:val="center"/>
          </w:tcPr>
          <w:p w14:paraId="508D1EE9">
            <w:pPr>
              <w:spacing w:line="360" w:lineRule="auto"/>
              <w:rPr>
                <w:rFonts w:ascii="宋体" w:hAnsi="宋体" w:eastAsia="宋体" w:cs="宋体"/>
                <w:color w:val="auto"/>
                <w:highlight w:val="none"/>
              </w:rPr>
            </w:pPr>
            <w:r>
              <w:rPr>
                <w:rFonts w:hint="eastAsia" w:ascii="宋体" w:hAnsi="宋体" w:eastAsia="宋体" w:cs="宋体"/>
                <w:color w:val="auto"/>
                <w:highlight w:val="none"/>
                <w:lang w:val="zh-CN"/>
              </w:rPr>
              <w:t>人员配备及技术水平</w:t>
            </w:r>
            <w:r>
              <w:rPr>
                <w:rFonts w:hint="eastAsia" w:ascii="宋体" w:hAnsi="宋体" w:eastAsia="宋体" w:cs="宋体"/>
                <w:color w:val="auto"/>
                <w:highlight w:val="none"/>
              </w:rPr>
              <w:t>（9分）</w:t>
            </w:r>
          </w:p>
        </w:tc>
        <w:tc>
          <w:tcPr>
            <w:tcW w:w="5515" w:type="dxa"/>
            <w:shd w:val="clear" w:color="auto" w:fill="auto"/>
            <w:vAlign w:val="center"/>
          </w:tcPr>
          <w:p w14:paraId="57F1AA91">
            <w:pPr>
              <w:spacing w:line="360" w:lineRule="auto"/>
              <w:rPr>
                <w:rFonts w:ascii="宋体" w:hAnsi="宋体" w:eastAsia="宋体" w:cs="宋体"/>
                <w:color w:val="auto"/>
                <w:highlight w:val="none"/>
              </w:rPr>
            </w:pPr>
            <w:r>
              <w:rPr>
                <w:rFonts w:hint="eastAsia" w:ascii="宋体" w:hAnsi="宋体" w:eastAsia="宋体" w:cs="宋体"/>
                <w:color w:val="auto"/>
                <w:highlight w:val="none"/>
              </w:rPr>
              <w:t>投标人拟投入项目管理团队：</w:t>
            </w:r>
          </w:p>
          <w:p w14:paraId="2D5838D4">
            <w:pPr>
              <w:spacing w:line="360" w:lineRule="auto"/>
              <w:rPr>
                <w:rFonts w:ascii="宋体" w:hAnsi="宋体" w:eastAsia="宋体" w:cs="宋体"/>
                <w:color w:val="auto"/>
                <w:highlight w:val="none"/>
                <w:lang w:val="zh-CN"/>
              </w:rPr>
            </w:pPr>
            <w:r>
              <w:rPr>
                <w:rFonts w:hint="eastAsia" w:ascii="宋体" w:hAnsi="宋体" w:eastAsia="宋体" w:cs="宋体"/>
                <w:color w:val="auto"/>
                <w:highlight w:val="none"/>
                <w:lang w:val="zh-CN"/>
              </w:rPr>
              <w:t>1、项目设计负责人设计经历及业务能力:</w:t>
            </w:r>
          </w:p>
          <w:p w14:paraId="5C1D86AC">
            <w:pPr>
              <w:adjustRightInd w:val="0"/>
              <w:spacing w:line="360" w:lineRule="auto"/>
              <w:rPr>
                <w:rFonts w:ascii="宋体" w:hAnsi="宋体" w:eastAsia="宋体" w:cs="宋体"/>
                <w:color w:val="auto"/>
                <w:highlight w:val="none"/>
                <w:lang w:val="zh-CN"/>
              </w:rPr>
            </w:pPr>
            <w:r>
              <w:rPr>
                <w:rFonts w:hint="eastAsia" w:ascii="宋体" w:hAnsi="宋体" w:eastAsia="宋体" w:cs="宋体"/>
                <w:color w:val="auto"/>
                <w:highlight w:val="none"/>
              </w:rPr>
              <w:t>（1）</w:t>
            </w:r>
            <w:r>
              <w:rPr>
                <w:rFonts w:hint="eastAsia" w:ascii="宋体" w:hAnsi="宋体" w:eastAsia="宋体"/>
                <w:color w:val="auto"/>
                <w:highlight w:val="none"/>
              </w:rPr>
              <w:t>具备</w:t>
            </w:r>
            <w:r>
              <w:rPr>
                <w:rFonts w:hint="eastAsia" w:ascii="宋体" w:hAnsi="宋体" w:eastAsia="宋体" w:cs="宋体"/>
                <w:color w:val="auto"/>
                <w:highlight w:val="none"/>
              </w:rPr>
              <w:t>注册公用设备工程师（给水排水）</w:t>
            </w:r>
            <w:r>
              <w:rPr>
                <w:rFonts w:hint="eastAsia" w:ascii="宋体" w:hAnsi="宋体" w:eastAsia="宋体"/>
                <w:color w:val="auto"/>
                <w:highlight w:val="none"/>
              </w:rPr>
              <w:t>资格，得1分。</w:t>
            </w:r>
            <w:r>
              <w:rPr>
                <w:rFonts w:hint="eastAsia" w:ascii="宋体" w:hAnsi="宋体" w:eastAsia="宋体"/>
                <w:b/>
                <w:bCs/>
                <w:color w:val="auto"/>
                <w:highlight w:val="none"/>
              </w:rPr>
              <w:t>须提供相关资格证书</w:t>
            </w:r>
            <w:r>
              <w:rPr>
                <w:rFonts w:hint="eastAsia" w:ascii="宋体" w:hAnsi="宋体" w:eastAsia="宋体"/>
                <w:color w:val="auto"/>
                <w:highlight w:val="none"/>
              </w:rPr>
              <w:t>。</w:t>
            </w:r>
          </w:p>
          <w:p w14:paraId="0278B964">
            <w:pPr>
              <w:adjustRightInd w:val="0"/>
              <w:spacing w:line="360" w:lineRule="auto"/>
              <w:rPr>
                <w:rFonts w:ascii="宋体" w:hAnsi="宋体" w:eastAsia="宋体" w:cs="宋体"/>
                <w:color w:val="auto"/>
                <w:highlight w:val="none"/>
                <w:lang w:val="zh-CN"/>
              </w:rPr>
            </w:pPr>
            <w:r>
              <w:rPr>
                <w:rFonts w:hint="eastAsia" w:ascii="宋体" w:hAnsi="宋体" w:eastAsia="宋体" w:cs="宋体"/>
                <w:color w:val="auto"/>
                <w:highlight w:val="none"/>
              </w:rPr>
              <w:t>（2）设计负责人自2020年1月1日至今参与</w:t>
            </w:r>
            <w:r>
              <w:rPr>
                <w:rFonts w:hint="eastAsia" w:ascii="宋体" w:hAnsi="宋体" w:eastAsia="宋体" w:cs="宋体"/>
                <w:color w:val="auto"/>
                <w:highlight w:val="none"/>
                <w:lang w:val="zh-CN"/>
              </w:rPr>
              <w:t>设计的市政排</w:t>
            </w:r>
            <w:r>
              <w:rPr>
                <w:rFonts w:hint="eastAsia" w:ascii="宋体" w:hAnsi="宋体" w:eastAsia="宋体" w:cs="宋体"/>
                <w:color w:val="auto"/>
                <w:highlight w:val="none"/>
              </w:rPr>
              <w:t>水</w:t>
            </w:r>
            <w:r>
              <w:rPr>
                <w:rFonts w:hint="eastAsia" w:ascii="宋体" w:hAnsi="宋体" w:eastAsia="宋体" w:cs="宋体"/>
                <w:color w:val="auto"/>
                <w:highlight w:val="none"/>
                <w:lang w:val="zh-CN"/>
              </w:rPr>
              <w:t>工程设计项目</w:t>
            </w:r>
            <w:r>
              <w:rPr>
                <w:rFonts w:hint="eastAsia" w:ascii="宋体" w:hAnsi="宋体" w:eastAsia="宋体" w:cs="宋体"/>
                <w:color w:val="auto"/>
                <w:highlight w:val="none"/>
              </w:rPr>
              <w:t>获奖情况：</w:t>
            </w:r>
            <w:r>
              <w:rPr>
                <w:rFonts w:hint="eastAsia" w:ascii="宋体" w:hAnsi="宋体" w:eastAsia="宋体" w:cs="宋体"/>
                <w:color w:val="auto"/>
                <w:highlight w:val="none"/>
                <w:lang w:val="zh-CN"/>
              </w:rPr>
              <w:t>获国家级奖项</w:t>
            </w:r>
            <w:r>
              <w:rPr>
                <w:rFonts w:hint="eastAsia" w:ascii="宋体" w:hAnsi="宋体" w:eastAsia="宋体" w:cs="宋体"/>
                <w:color w:val="auto"/>
                <w:highlight w:val="none"/>
              </w:rPr>
              <w:t>的，</w:t>
            </w:r>
            <w:r>
              <w:rPr>
                <w:rFonts w:hint="eastAsia" w:ascii="宋体" w:hAnsi="宋体" w:eastAsia="宋体" w:cs="宋体"/>
                <w:color w:val="auto"/>
                <w:highlight w:val="none"/>
                <w:lang w:val="zh-CN"/>
              </w:rPr>
              <w:t>每项得</w:t>
            </w:r>
            <w:r>
              <w:rPr>
                <w:rFonts w:hint="eastAsia" w:ascii="宋体" w:hAnsi="宋体" w:eastAsia="宋体" w:cs="宋体"/>
                <w:color w:val="auto"/>
                <w:highlight w:val="none"/>
              </w:rPr>
              <w:t>0.5</w:t>
            </w:r>
            <w:r>
              <w:rPr>
                <w:rFonts w:hint="eastAsia" w:ascii="宋体" w:hAnsi="宋体" w:eastAsia="宋体" w:cs="宋体"/>
                <w:color w:val="auto"/>
                <w:highlight w:val="none"/>
                <w:lang w:val="zh-CN"/>
              </w:rPr>
              <w:t>分；获省级奖项的，每项得</w:t>
            </w:r>
            <w:r>
              <w:rPr>
                <w:rFonts w:hint="eastAsia" w:ascii="宋体" w:hAnsi="宋体" w:eastAsia="宋体" w:cs="宋体"/>
                <w:color w:val="auto"/>
                <w:highlight w:val="none"/>
              </w:rPr>
              <w:t>0.25</w:t>
            </w:r>
            <w:r>
              <w:rPr>
                <w:rFonts w:hint="eastAsia" w:ascii="宋体" w:hAnsi="宋体" w:eastAsia="宋体" w:cs="宋体"/>
                <w:color w:val="auto"/>
                <w:highlight w:val="none"/>
                <w:lang w:val="zh-CN"/>
              </w:rPr>
              <w:t>分；获市</w:t>
            </w:r>
            <w:r>
              <w:rPr>
                <w:rFonts w:hint="eastAsia" w:ascii="宋体" w:hAnsi="宋体" w:eastAsia="宋体" w:cs="宋体"/>
                <w:color w:val="auto"/>
                <w:highlight w:val="none"/>
              </w:rPr>
              <w:t>级（含副省级）</w:t>
            </w:r>
            <w:r>
              <w:rPr>
                <w:rFonts w:hint="eastAsia" w:ascii="宋体" w:hAnsi="宋体" w:eastAsia="宋体" w:cs="宋体"/>
                <w:color w:val="auto"/>
                <w:highlight w:val="none"/>
                <w:lang w:val="zh-CN"/>
              </w:rPr>
              <w:t>奖项，每项得</w:t>
            </w:r>
            <w:r>
              <w:rPr>
                <w:rFonts w:hint="eastAsia" w:ascii="宋体" w:hAnsi="宋体" w:eastAsia="宋体" w:cs="宋体"/>
                <w:color w:val="auto"/>
                <w:highlight w:val="none"/>
              </w:rPr>
              <w:t>0.1</w:t>
            </w:r>
            <w:r>
              <w:rPr>
                <w:rFonts w:hint="eastAsia" w:ascii="宋体" w:hAnsi="宋体" w:eastAsia="宋体" w:cs="宋体"/>
                <w:color w:val="auto"/>
                <w:highlight w:val="none"/>
                <w:lang w:val="zh-CN"/>
              </w:rPr>
              <w:t>分；</w:t>
            </w:r>
            <w:r>
              <w:rPr>
                <w:rFonts w:hint="eastAsia" w:ascii="宋体" w:hAnsi="宋体" w:eastAsia="宋体" w:cs="宋体"/>
                <w:color w:val="auto"/>
                <w:highlight w:val="none"/>
              </w:rPr>
              <w:t>本小项最高得4分。</w:t>
            </w:r>
          </w:p>
          <w:p w14:paraId="6C2EFD35">
            <w:pPr>
              <w:pStyle w:val="74"/>
              <w:wordWrap w:val="0"/>
              <w:topLinePunct/>
              <w:autoSpaceDE w:val="0"/>
              <w:autoSpaceDN w:val="0"/>
              <w:adjustRightInd w:val="0"/>
              <w:spacing w:line="360" w:lineRule="auto"/>
              <w:rPr>
                <w:rFonts w:ascii="宋体" w:hAnsi="宋体" w:cs="宋体"/>
                <w:color w:val="auto"/>
                <w:szCs w:val="21"/>
                <w:highlight w:val="none"/>
                <w:lang w:val="zh-CN"/>
              </w:rPr>
            </w:pPr>
            <w:r>
              <w:rPr>
                <w:rFonts w:hint="eastAsia" w:ascii="宋体" w:hAnsi="宋体" w:cs="宋体"/>
                <w:color w:val="auto"/>
                <w:szCs w:val="21"/>
                <w:highlight w:val="none"/>
                <w:lang w:val="zh-CN"/>
              </w:rPr>
              <w:t>注:</w:t>
            </w:r>
            <w:r>
              <w:rPr>
                <w:rFonts w:hint="eastAsia" w:ascii="宋体" w:hAnsi="宋体" w:cs="宋体"/>
                <w:color w:val="auto"/>
                <w:szCs w:val="21"/>
                <w:highlight w:val="none"/>
              </w:rPr>
              <w:t>①</w:t>
            </w:r>
            <w:r>
              <w:rPr>
                <w:rFonts w:hint="eastAsia" w:ascii="宋体" w:hAnsi="宋体" w:cs="宋体"/>
                <w:color w:val="auto"/>
                <w:highlight w:val="none"/>
                <w:lang w:val="zh-CN"/>
              </w:rPr>
              <w:t>行业协会（学会）</w:t>
            </w:r>
            <w:r>
              <w:rPr>
                <w:rFonts w:hint="eastAsia" w:ascii="宋体" w:hAnsi="宋体" w:cs="宋体"/>
                <w:color w:val="auto"/>
                <w:szCs w:val="21"/>
                <w:highlight w:val="none"/>
              </w:rPr>
              <w:t>，须提供该组织在中国社会组织政务服务平台（网址：https://chinanpo.mca.gov.cn/）“全国社会组织信用信息公示平台”栏查询结果打印页，查询结果“状态”栏必须为“正常”。上述证明材料必须加盖投标人公章，不提供或不齐全均不得分。</w:t>
            </w:r>
          </w:p>
          <w:p w14:paraId="191E6652">
            <w:pPr>
              <w:adjustRightInd w:val="0"/>
              <w:spacing w:line="360" w:lineRule="auto"/>
              <w:rPr>
                <w:rFonts w:ascii="宋体" w:hAnsi="宋体" w:eastAsia="宋体" w:cs="宋体"/>
                <w:color w:val="auto"/>
                <w:highlight w:val="none"/>
                <w:lang w:val="zh-CN"/>
              </w:rPr>
            </w:pPr>
            <w:r>
              <w:rPr>
                <w:rFonts w:hint="eastAsia" w:ascii="宋体" w:hAnsi="宋体" w:eastAsia="宋体" w:cs="宋体"/>
                <w:color w:val="auto"/>
                <w:highlight w:val="none"/>
              </w:rPr>
              <w:t>②</w:t>
            </w:r>
            <w:r>
              <w:rPr>
                <w:rFonts w:hint="eastAsia" w:ascii="宋体" w:hAnsi="宋体" w:eastAsia="宋体" w:cs="宋体"/>
                <w:color w:val="auto"/>
                <w:highlight w:val="none"/>
                <w:lang w:val="zh-CN"/>
              </w:rPr>
              <w:t>项目设计负责人需提供</w:t>
            </w:r>
            <w:r>
              <w:rPr>
                <w:rFonts w:hint="eastAsia" w:ascii="宋体" w:hAnsi="宋体" w:eastAsia="宋体" w:cs="宋体"/>
                <w:color w:val="auto"/>
                <w:highlight w:val="none"/>
              </w:rPr>
              <w:t>职称</w:t>
            </w:r>
            <w:r>
              <w:rPr>
                <w:rFonts w:hint="eastAsia" w:ascii="宋体" w:hAnsi="宋体" w:eastAsia="宋体" w:cs="宋体"/>
                <w:color w:val="auto"/>
                <w:highlight w:val="none"/>
                <w:lang w:val="zh-CN"/>
              </w:rPr>
              <w:t>证书</w:t>
            </w:r>
            <w:r>
              <w:rPr>
                <w:rFonts w:hint="eastAsia" w:ascii="宋体" w:hAnsi="宋体" w:eastAsia="宋体" w:cs="宋体"/>
                <w:color w:val="auto"/>
                <w:highlight w:val="none"/>
              </w:rPr>
              <w:t>（如有）</w:t>
            </w:r>
            <w:r>
              <w:rPr>
                <w:rFonts w:hint="eastAsia" w:ascii="宋体" w:hAnsi="宋体" w:eastAsia="宋体" w:cs="宋体"/>
                <w:color w:val="auto"/>
                <w:highlight w:val="none"/>
                <w:lang w:val="zh-CN"/>
              </w:rPr>
              <w:t>，</w:t>
            </w:r>
            <w:r>
              <w:rPr>
                <w:rFonts w:hint="eastAsia" w:ascii="宋体" w:hAnsi="宋体" w:eastAsia="宋体" w:cs="宋体"/>
                <w:color w:val="auto"/>
                <w:highlight w:val="none"/>
              </w:rPr>
              <w:t>注册证书（如有）</w:t>
            </w:r>
            <w:r>
              <w:rPr>
                <w:rFonts w:hint="eastAsia" w:ascii="宋体" w:hAnsi="宋体" w:eastAsia="宋体" w:cs="宋体"/>
                <w:color w:val="auto"/>
                <w:highlight w:val="none"/>
                <w:lang w:val="zh-CN"/>
              </w:rPr>
              <w:t>、毕业证书、</w:t>
            </w:r>
            <w:r>
              <w:rPr>
                <w:rFonts w:hint="eastAsia" w:ascii="宋体" w:hAnsi="宋体" w:eastAsia="宋体" w:cs="宋体"/>
                <w:color w:val="auto"/>
                <w:highlight w:val="none"/>
              </w:rPr>
              <w:t>获奖证书或获奖文件证明材料网页截图（并提供查询路径）并按招标文件要求加盖电子印章。获奖时间以证书颁发时间或网站公布时间为准，同一项目如获得多个奖项，按最高级别计算一次得分。</w:t>
            </w:r>
          </w:p>
          <w:p w14:paraId="6CEEB9BA">
            <w:pPr>
              <w:adjustRightInd w:val="0"/>
              <w:spacing w:line="360" w:lineRule="auto"/>
              <w:rPr>
                <w:rFonts w:ascii="宋体" w:hAnsi="宋体" w:eastAsia="宋体" w:cs="宋体"/>
                <w:color w:val="auto"/>
                <w:highlight w:val="none"/>
                <w:lang w:val="zh-CN"/>
              </w:rPr>
            </w:pPr>
            <w:r>
              <w:rPr>
                <w:rFonts w:hint="eastAsia" w:ascii="宋体" w:hAnsi="宋体" w:eastAsia="宋体" w:cs="宋体"/>
                <w:color w:val="auto"/>
                <w:highlight w:val="none"/>
                <w:lang w:val="zh-CN"/>
              </w:rPr>
              <w:t>2、项目组人员经历及业务能力:</w:t>
            </w:r>
          </w:p>
          <w:p w14:paraId="04CC1469">
            <w:pPr>
              <w:spacing w:line="360" w:lineRule="auto"/>
              <w:rPr>
                <w:rFonts w:ascii="宋体" w:hAnsi="宋体" w:eastAsia="宋体" w:cs="宋体"/>
                <w:color w:val="auto"/>
                <w:highlight w:val="none"/>
              </w:rPr>
            </w:pPr>
            <w:r>
              <w:rPr>
                <w:rFonts w:hint="eastAsia" w:ascii="宋体" w:hAnsi="宋体" w:eastAsia="宋体" w:cs="宋体"/>
                <w:color w:val="auto"/>
                <w:highlight w:val="none"/>
                <w:lang w:val="zh-CN"/>
              </w:rPr>
              <w:t>各专业负责人（</w:t>
            </w:r>
            <w:r>
              <w:rPr>
                <w:rFonts w:hint="eastAsia" w:ascii="宋体" w:hAnsi="宋体" w:eastAsia="宋体" w:cs="宋体"/>
                <w:color w:val="auto"/>
                <w:highlight w:val="none"/>
              </w:rPr>
              <w:t>给水排水、结构、电气、造价</w:t>
            </w:r>
            <w:r>
              <w:rPr>
                <w:rFonts w:hint="eastAsia" w:ascii="宋体" w:hAnsi="宋体" w:eastAsia="宋体" w:cs="宋体"/>
                <w:color w:val="auto"/>
                <w:highlight w:val="none"/>
                <w:lang w:val="zh-CN"/>
              </w:rPr>
              <w:t>），共</w:t>
            </w:r>
            <w:r>
              <w:rPr>
                <w:rFonts w:hint="eastAsia" w:ascii="宋体" w:hAnsi="宋体" w:eastAsia="宋体" w:cs="宋体"/>
                <w:color w:val="auto"/>
                <w:highlight w:val="none"/>
              </w:rPr>
              <w:t>4</w:t>
            </w:r>
            <w:r>
              <w:rPr>
                <w:rFonts w:hint="eastAsia" w:ascii="宋体" w:hAnsi="宋体" w:eastAsia="宋体" w:cs="宋体"/>
                <w:color w:val="auto"/>
                <w:highlight w:val="none"/>
                <w:lang w:val="zh-CN"/>
              </w:rPr>
              <w:t>个专业负责人:</w:t>
            </w:r>
          </w:p>
          <w:p w14:paraId="3EA4A9DE">
            <w:pPr>
              <w:adjustRightInd w:val="0"/>
              <w:spacing w:line="360" w:lineRule="auto"/>
              <w:rPr>
                <w:rFonts w:ascii="宋体" w:hAnsi="宋体" w:eastAsia="宋体" w:cs="宋体"/>
                <w:color w:val="auto"/>
                <w:highlight w:val="none"/>
              </w:rPr>
            </w:pPr>
            <w:r>
              <w:rPr>
                <w:rFonts w:hint="eastAsia" w:ascii="宋体" w:hAnsi="宋体" w:eastAsia="宋体" w:cs="宋体"/>
                <w:color w:val="auto"/>
                <w:highlight w:val="none"/>
              </w:rPr>
              <w:t>（1）具备相关专业的高级（或以上）技术职称或其对应专业注册执业资格的，每个专业得0.5分；本小项最高得2分。</w:t>
            </w:r>
          </w:p>
          <w:p w14:paraId="271D5A26">
            <w:pPr>
              <w:adjustRightInd w:val="0"/>
              <w:spacing w:line="360" w:lineRule="auto"/>
              <w:rPr>
                <w:rFonts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val="zh-CN"/>
              </w:rPr>
              <w:t>各专业负责人</w:t>
            </w:r>
            <w:r>
              <w:rPr>
                <w:rFonts w:hint="eastAsia" w:ascii="宋体" w:hAnsi="宋体" w:eastAsia="宋体" w:cs="宋体"/>
                <w:color w:val="auto"/>
                <w:highlight w:val="none"/>
              </w:rPr>
              <w:t>自2020年1月1日至今参与</w:t>
            </w:r>
            <w:r>
              <w:rPr>
                <w:rFonts w:hint="eastAsia" w:ascii="宋体" w:hAnsi="宋体" w:eastAsia="宋体" w:cs="宋体"/>
                <w:color w:val="auto"/>
                <w:highlight w:val="none"/>
                <w:lang w:val="zh-CN"/>
              </w:rPr>
              <w:t>设计的市政排</w:t>
            </w:r>
            <w:r>
              <w:rPr>
                <w:rFonts w:hint="eastAsia" w:ascii="宋体" w:hAnsi="宋体" w:eastAsia="宋体" w:cs="宋体"/>
                <w:color w:val="auto"/>
                <w:highlight w:val="none"/>
              </w:rPr>
              <w:t>水</w:t>
            </w:r>
            <w:r>
              <w:rPr>
                <w:rFonts w:hint="eastAsia" w:ascii="宋体" w:hAnsi="宋体" w:eastAsia="宋体" w:cs="宋体"/>
                <w:color w:val="auto"/>
                <w:highlight w:val="none"/>
                <w:lang w:val="zh-CN"/>
              </w:rPr>
              <w:t>工程设计项目</w:t>
            </w:r>
            <w:r>
              <w:rPr>
                <w:rFonts w:hint="eastAsia" w:ascii="宋体" w:hAnsi="宋体" w:eastAsia="宋体" w:cs="宋体"/>
                <w:color w:val="auto"/>
                <w:highlight w:val="none"/>
              </w:rPr>
              <w:t>获奖情况：</w:t>
            </w:r>
            <w:r>
              <w:rPr>
                <w:rFonts w:hint="eastAsia" w:ascii="宋体" w:hAnsi="宋体" w:eastAsia="宋体" w:cs="宋体"/>
                <w:color w:val="auto"/>
                <w:highlight w:val="none"/>
                <w:lang w:val="zh-CN"/>
              </w:rPr>
              <w:t>获国家级奖项</w:t>
            </w:r>
            <w:r>
              <w:rPr>
                <w:rFonts w:hint="eastAsia" w:ascii="宋体" w:hAnsi="宋体" w:eastAsia="宋体" w:cs="宋体"/>
                <w:color w:val="auto"/>
                <w:highlight w:val="none"/>
              </w:rPr>
              <w:t>的，</w:t>
            </w:r>
            <w:r>
              <w:rPr>
                <w:rFonts w:hint="eastAsia" w:ascii="宋体" w:hAnsi="宋体" w:eastAsia="宋体" w:cs="宋体"/>
                <w:color w:val="auto"/>
                <w:highlight w:val="none"/>
                <w:lang w:val="zh-CN"/>
              </w:rPr>
              <w:t>每项得</w:t>
            </w:r>
            <w:r>
              <w:rPr>
                <w:rFonts w:hint="eastAsia" w:ascii="宋体" w:hAnsi="宋体" w:eastAsia="宋体" w:cs="宋体"/>
                <w:color w:val="auto"/>
                <w:highlight w:val="none"/>
              </w:rPr>
              <w:t>0.5</w:t>
            </w:r>
            <w:r>
              <w:rPr>
                <w:rFonts w:hint="eastAsia" w:ascii="宋体" w:hAnsi="宋体" w:eastAsia="宋体" w:cs="宋体"/>
                <w:color w:val="auto"/>
                <w:highlight w:val="none"/>
                <w:lang w:val="zh-CN"/>
              </w:rPr>
              <w:t>分；获省级奖项的，每项得</w:t>
            </w:r>
            <w:r>
              <w:rPr>
                <w:rFonts w:hint="eastAsia" w:ascii="宋体" w:hAnsi="宋体" w:eastAsia="宋体" w:cs="宋体"/>
                <w:color w:val="auto"/>
                <w:highlight w:val="none"/>
              </w:rPr>
              <w:t>0.25</w:t>
            </w:r>
            <w:r>
              <w:rPr>
                <w:rFonts w:hint="eastAsia" w:ascii="宋体" w:hAnsi="宋体" w:eastAsia="宋体" w:cs="宋体"/>
                <w:color w:val="auto"/>
                <w:highlight w:val="none"/>
                <w:lang w:val="zh-CN"/>
              </w:rPr>
              <w:t>分；获市</w:t>
            </w:r>
            <w:r>
              <w:rPr>
                <w:rFonts w:hint="eastAsia" w:ascii="宋体" w:hAnsi="宋体" w:eastAsia="宋体" w:cs="宋体"/>
                <w:color w:val="auto"/>
                <w:highlight w:val="none"/>
              </w:rPr>
              <w:t>级（含副省级）</w:t>
            </w:r>
            <w:r>
              <w:rPr>
                <w:rFonts w:hint="eastAsia" w:ascii="宋体" w:hAnsi="宋体" w:eastAsia="宋体" w:cs="宋体"/>
                <w:color w:val="auto"/>
                <w:highlight w:val="none"/>
                <w:lang w:val="zh-CN"/>
              </w:rPr>
              <w:t>奖项，每项得</w:t>
            </w:r>
            <w:r>
              <w:rPr>
                <w:rFonts w:hint="eastAsia" w:ascii="宋体" w:hAnsi="宋体" w:eastAsia="宋体" w:cs="宋体"/>
                <w:color w:val="auto"/>
                <w:highlight w:val="none"/>
              </w:rPr>
              <w:t>0.1</w:t>
            </w:r>
            <w:r>
              <w:rPr>
                <w:rFonts w:hint="eastAsia" w:ascii="宋体" w:hAnsi="宋体" w:eastAsia="宋体" w:cs="宋体"/>
                <w:color w:val="auto"/>
                <w:highlight w:val="none"/>
                <w:lang w:val="zh-CN"/>
              </w:rPr>
              <w:t>分；</w:t>
            </w:r>
            <w:r>
              <w:rPr>
                <w:rFonts w:hint="eastAsia" w:ascii="宋体" w:hAnsi="宋体" w:eastAsia="宋体" w:cs="宋体"/>
                <w:color w:val="auto"/>
                <w:highlight w:val="none"/>
              </w:rPr>
              <w:t>本小项最高得2分。</w:t>
            </w:r>
          </w:p>
          <w:p w14:paraId="715FFA30">
            <w:pPr>
              <w:spacing w:line="360" w:lineRule="auto"/>
              <w:rPr>
                <w:rFonts w:ascii="宋体" w:hAnsi="宋体" w:eastAsia="宋体" w:cs="宋体"/>
                <w:color w:val="auto"/>
                <w:highlight w:val="none"/>
              </w:rPr>
            </w:pPr>
            <w:r>
              <w:rPr>
                <w:rFonts w:hint="eastAsia" w:ascii="宋体" w:hAnsi="宋体" w:eastAsia="宋体" w:cs="宋体"/>
                <w:color w:val="auto"/>
                <w:highlight w:val="none"/>
              </w:rPr>
              <w:t>注:①</w:t>
            </w:r>
            <w:r>
              <w:rPr>
                <w:rFonts w:hint="eastAsia" w:ascii="宋体" w:hAnsi="宋体" w:eastAsia="宋体" w:cs="宋体"/>
                <w:color w:val="auto"/>
                <w:highlight w:val="none"/>
                <w:lang w:val="zh-CN"/>
              </w:rPr>
              <w:t>各专业负责人</w:t>
            </w:r>
            <w:r>
              <w:rPr>
                <w:rFonts w:hint="eastAsia" w:ascii="宋体" w:hAnsi="宋体" w:eastAsia="宋体" w:cs="宋体"/>
                <w:color w:val="auto"/>
                <w:highlight w:val="none"/>
              </w:rPr>
              <w:t>不得兼任，投标人须提供职称证书（如有）、注册证书（如有）及2025年3月有效参保的社保证明，社保证明需能反映参保人在该投标单位（或其分支机构）缴纳，否则不予计算得分。②</w:t>
            </w:r>
            <w:r>
              <w:rPr>
                <w:rFonts w:hint="eastAsia" w:ascii="宋体" w:hAnsi="宋体" w:eastAsia="宋体" w:cs="宋体"/>
                <w:color w:val="auto"/>
                <w:highlight w:val="none"/>
                <w:lang w:val="zh-CN"/>
              </w:rPr>
              <w:t>各专业负责人</w:t>
            </w:r>
            <w:r>
              <w:rPr>
                <w:rFonts w:hint="eastAsia" w:ascii="宋体" w:hAnsi="宋体" w:eastAsia="宋体" w:cs="宋体"/>
                <w:color w:val="auto"/>
                <w:highlight w:val="none"/>
              </w:rPr>
              <w:t>获奖需提供获奖证书扫描件或获奖文件证明材料网页截图（并提供查询路径）并按招标文件要求加盖电子印章。获奖时间以证书颁发时间或网站公布时间为准，同一项目按最高级别奖项计算，</w:t>
            </w:r>
            <w:r>
              <w:rPr>
                <w:rFonts w:hint="eastAsia" w:ascii="宋体" w:hAnsi="宋体" w:eastAsia="宋体" w:cs="宋体"/>
                <w:color w:val="auto"/>
                <w:highlight w:val="none"/>
                <w:lang w:val="zh-CN"/>
              </w:rPr>
              <w:t>人员可重复计分</w:t>
            </w:r>
            <w:r>
              <w:rPr>
                <w:rFonts w:hint="eastAsia" w:ascii="宋体" w:hAnsi="宋体" w:eastAsia="宋体" w:cs="宋体"/>
                <w:color w:val="auto"/>
                <w:highlight w:val="none"/>
              </w:rPr>
              <w:t>。若颁发机构为</w:t>
            </w:r>
            <w:r>
              <w:rPr>
                <w:rFonts w:hint="eastAsia" w:ascii="宋体" w:hAnsi="宋体" w:cs="宋体"/>
                <w:color w:val="auto"/>
                <w:highlight w:val="none"/>
                <w:lang w:val="zh-CN"/>
              </w:rPr>
              <w:t>行业协会（学会）</w:t>
            </w:r>
            <w:r>
              <w:rPr>
                <w:rFonts w:hint="eastAsia" w:ascii="宋体" w:hAnsi="宋体" w:eastAsia="宋体" w:cs="宋体"/>
                <w:color w:val="auto"/>
                <w:highlight w:val="none"/>
              </w:rPr>
              <w:t>，须提供该组织在中国社会组织政务服务平台（网址：https://chinanpo.mca.gov.cn/）“全国社会组织信用信息公示平台”栏查询结果打印页，查询结果“状态”栏必须为“正常”。上述证明材料必须加盖投标人公章，不提供或不齐全均不得分。</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 3 \* GB3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③</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t>有效的注册造价工程师指根据原人事部、原建设部发布的《造价工程师执业资格制度暂行规定》（人发〔1996〕77号）取得的造价工程师执业资格，并经注册且在有效期内；有效的注册一级造价工程师资格指根据住房城乡建设部、交通运输部、水利部、人力资源社会保障部发布的《造价工程师职业资格制度规定》《造价工程师职业资格考试实施办法》（建人〔2018〕]67号）取得的一级造价工程师职业资格，并经注册且在有效期内。</w:t>
            </w:r>
          </w:p>
        </w:tc>
      </w:tr>
      <w:tr w14:paraId="3D4172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c>
          <w:tcPr>
            <w:tcW w:w="904" w:type="dxa"/>
            <w:vMerge w:val="continue"/>
          </w:tcPr>
          <w:p w14:paraId="762FDBB4">
            <w:pPr>
              <w:rPr>
                <w:color w:val="auto"/>
                <w:highlight w:val="none"/>
              </w:rPr>
            </w:pPr>
          </w:p>
        </w:tc>
        <w:tc>
          <w:tcPr>
            <w:tcW w:w="1124" w:type="dxa"/>
            <w:vMerge w:val="continue"/>
          </w:tcPr>
          <w:p w14:paraId="3E1955FA">
            <w:pPr>
              <w:rPr>
                <w:color w:val="auto"/>
                <w:highlight w:val="none"/>
              </w:rPr>
            </w:pPr>
          </w:p>
        </w:tc>
        <w:tc>
          <w:tcPr>
            <w:tcW w:w="2035" w:type="dxa"/>
            <w:shd w:val="clear" w:color="auto" w:fill="auto"/>
            <w:vAlign w:val="center"/>
          </w:tcPr>
          <w:p w14:paraId="01889975">
            <w:pPr>
              <w:spacing w:line="360" w:lineRule="auto"/>
              <w:rPr>
                <w:rFonts w:ascii="宋体" w:hAnsi="宋体" w:eastAsia="宋体" w:cs="宋体"/>
                <w:color w:val="auto"/>
                <w:highlight w:val="none"/>
              </w:rPr>
            </w:pPr>
            <w:r>
              <w:rPr>
                <w:rFonts w:hint="eastAsia" w:ascii="宋体" w:hAnsi="宋体" w:eastAsia="宋体" w:cs="宋体"/>
                <w:color w:val="auto"/>
                <w:highlight w:val="none"/>
              </w:rPr>
              <w:t>第三方评价（4分）</w:t>
            </w:r>
          </w:p>
        </w:tc>
        <w:tc>
          <w:tcPr>
            <w:tcW w:w="5515" w:type="dxa"/>
            <w:shd w:val="clear" w:color="auto" w:fill="auto"/>
            <w:vAlign w:val="center"/>
          </w:tcPr>
          <w:p w14:paraId="4D6423A0">
            <w:pPr>
              <w:spacing w:line="360" w:lineRule="auto"/>
              <w:rPr>
                <w:rFonts w:ascii="宋体" w:hAnsi="宋体" w:eastAsia="宋体" w:cs="宋体"/>
                <w:color w:val="auto"/>
                <w:highlight w:val="none"/>
              </w:rPr>
            </w:pPr>
            <w:r>
              <w:rPr>
                <w:rFonts w:hint="eastAsia" w:ascii="宋体" w:hAnsi="宋体" w:eastAsia="宋体" w:cs="宋体"/>
                <w:color w:val="auto"/>
                <w:highlight w:val="none"/>
              </w:rPr>
              <w:t>投标人同时具备有效期内的质量管理类认证、职业健康安全管理类认证、环境管理类认证的得4分，具备其中任意</w:t>
            </w:r>
            <w:r>
              <w:rPr>
                <w:rFonts w:ascii="宋体" w:hAnsi="宋体" w:eastAsia="宋体" w:cs="宋体"/>
                <w:color w:val="auto"/>
                <w:highlight w:val="none"/>
              </w:rPr>
              <w:t>2</w:t>
            </w:r>
            <w:r>
              <w:rPr>
                <w:rFonts w:hint="eastAsia" w:ascii="宋体" w:hAnsi="宋体" w:eastAsia="宋体" w:cs="宋体"/>
                <w:color w:val="auto"/>
                <w:highlight w:val="none"/>
              </w:rPr>
              <w:t>类的得2分；具备其中任意</w:t>
            </w:r>
            <w:r>
              <w:rPr>
                <w:rFonts w:ascii="宋体" w:hAnsi="宋体" w:eastAsia="宋体" w:cs="宋体"/>
                <w:color w:val="auto"/>
                <w:highlight w:val="none"/>
              </w:rPr>
              <w:t>1</w:t>
            </w:r>
            <w:r>
              <w:rPr>
                <w:rFonts w:hint="eastAsia" w:ascii="宋体" w:hAnsi="宋体" w:eastAsia="宋体" w:cs="宋体"/>
                <w:color w:val="auto"/>
                <w:highlight w:val="none"/>
              </w:rPr>
              <w:t>类的得</w:t>
            </w:r>
            <w:r>
              <w:rPr>
                <w:rFonts w:ascii="宋体" w:hAnsi="宋体" w:eastAsia="宋体" w:cs="宋体"/>
                <w:color w:val="auto"/>
                <w:highlight w:val="none"/>
              </w:rPr>
              <w:t>1</w:t>
            </w:r>
            <w:r>
              <w:rPr>
                <w:rFonts w:hint="eastAsia" w:ascii="宋体" w:hAnsi="宋体" w:eastAsia="宋体" w:cs="宋体"/>
                <w:color w:val="auto"/>
                <w:highlight w:val="none"/>
              </w:rPr>
              <w:t>分，其他不得分。</w:t>
            </w:r>
          </w:p>
          <w:p w14:paraId="75B6EE46">
            <w:pPr>
              <w:spacing w:line="360" w:lineRule="auto"/>
              <w:rPr>
                <w:rFonts w:ascii="宋体" w:hAnsi="宋体" w:eastAsia="宋体" w:cs="宋体"/>
                <w:color w:val="auto"/>
                <w:highlight w:val="none"/>
              </w:rPr>
            </w:pPr>
            <w:r>
              <w:rPr>
                <w:rFonts w:hint="eastAsia" w:ascii="宋体" w:hAnsi="宋体" w:eastAsia="宋体" w:cs="宋体"/>
                <w:color w:val="auto"/>
                <w:highlight w:val="none"/>
              </w:rPr>
              <w:t>注：需提供有效的认证证书扫描件和全国认证认可信息公共服务平台网（http://cx.cnca.cn/）查询结果为有效的截图。</w:t>
            </w:r>
          </w:p>
        </w:tc>
      </w:tr>
      <w:tr w14:paraId="018DE7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41" w:hRule="atLeast"/>
        </w:trPr>
        <w:tc>
          <w:tcPr>
            <w:tcW w:w="904" w:type="dxa"/>
            <w:vMerge w:val="restart"/>
            <w:vAlign w:val="center"/>
          </w:tcPr>
          <w:p w14:paraId="45F6C489">
            <w:pPr>
              <w:spacing w:before="60" w:line="401" w:lineRule="exact"/>
              <w:ind w:left="244"/>
              <w:jc w:val="center"/>
              <w:rPr>
                <w:rFonts w:ascii="Times New Roman" w:hAnsi="Times New Roman" w:eastAsia="Times New Roman"/>
                <w:color w:val="auto"/>
                <w:spacing w:val="-1"/>
                <w:position w:val="18"/>
                <w:highlight w:val="none"/>
              </w:rPr>
            </w:pPr>
            <w:r>
              <w:rPr>
                <w:rFonts w:ascii="Times New Roman" w:hAnsi="Times New Roman" w:eastAsia="Times New Roman"/>
                <w:color w:val="auto"/>
                <w:spacing w:val="-1"/>
                <w:position w:val="18"/>
                <w:highlight w:val="none"/>
              </w:rPr>
              <w:t>2.2.4</w:t>
            </w:r>
          </w:p>
          <w:p w14:paraId="5DC10352">
            <w:pPr>
              <w:spacing w:before="60" w:line="401" w:lineRule="exact"/>
              <w:ind w:left="244"/>
              <w:jc w:val="center"/>
              <w:rPr>
                <w:color w:val="auto"/>
                <w:highlight w:val="none"/>
              </w:rPr>
            </w:pPr>
            <w:r>
              <w:rPr>
                <w:rFonts w:ascii="Times New Roman" w:hAnsi="Times New Roman" w:eastAsia="Times New Roman"/>
                <w:color w:val="auto"/>
                <w:spacing w:val="-1"/>
                <w:position w:val="18"/>
                <w:highlight w:val="none"/>
              </w:rPr>
              <w:t>(2)</w:t>
            </w:r>
          </w:p>
        </w:tc>
        <w:tc>
          <w:tcPr>
            <w:tcW w:w="1124" w:type="dxa"/>
            <w:vMerge w:val="restart"/>
            <w:vAlign w:val="center"/>
          </w:tcPr>
          <w:p w14:paraId="364724CA">
            <w:pPr>
              <w:spacing w:before="68" w:line="394" w:lineRule="auto"/>
              <w:ind w:left="144" w:right="141" w:firstLine="9"/>
              <w:jc w:val="center"/>
              <w:rPr>
                <w:rFonts w:ascii="宋体" w:hAnsi="宋体" w:eastAsia="宋体"/>
                <w:color w:val="auto"/>
                <w:spacing w:val="-4"/>
                <w:highlight w:val="none"/>
              </w:rPr>
            </w:pPr>
            <w:r>
              <w:rPr>
                <w:rFonts w:hint="eastAsia" w:ascii="宋体" w:hAnsi="宋体" w:eastAsia="宋体"/>
                <w:color w:val="auto"/>
                <w:spacing w:val="-4"/>
                <w:highlight w:val="none"/>
              </w:rPr>
              <w:t>技术评审评分标准</w:t>
            </w:r>
          </w:p>
          <w:p w14:paraId="7CFD8C78">
            <w:pPr>
              <w:jc w:val="center"/>
              <w:rPr>
                <w:color w:val="auto"/>
                <w:highlight w:val="none"/>
              </w:rPr>
            </w:pPr>
            <w:r>
              <w:rPr>
                <w:rFonts w:hint="eastAsia" w:ascii="宋体" w:hAnsi="宋体" w:eastAsia="宋体"/>
                <w:color w:val="auto"/>
                <w:spacing w:val="-4"/>
                <w:highlight w:val="none"/>
              </w:rPr>
              <w:t>（60分）</w:t>
            </w:r>
          </w:p>
        </w:tc>
        <w:tc>
          <w:tcPr>
            <w:tcW w:w="2035" w:type="dxa"/>
            <w:vAlign w:val="center"/>
          </w:tcPr>
          <w:p w14:paraId="7F768147">
            <w:pPr>
              <w:pStyle w:val="51"/>
              <w:overflowPunct w:val="0"/>
              <w:snapToGrid w:val="0"/>
              <w:spacing w:line="360" w:lineRule="auto"/>
              <w:ind w:left="210" w:leftChars="100" w:right="210" w:rightChars="100"/>
              <w:jc w:val="center"/>
              <w:rPr>
                <w:rFonts w:ascii="宋体" w:hAnsi="宋体" w:eastAsia="宋体"/>
                <w:color w:val="auto"/>
                <w:szCs w:val="21"/>
                <w:highlight w:val="none"/>
                <w:lang w:val="zh-CN"/>
              </w:rPr>
            </w:pPr>
            <w:r>
              <w:rPr>
                <w:rFonts w:hint="eastAsia" w:eastAsia="宋体"/>
                <w:color w:val="auto"/>
                <w:szCs w:val="21"/>
                <w:highlight w:val="none"/>
                <w:lang w:val="zh-CN" w:bidi="ar"/>
              </w:rPr>
              <w:t>投标文件的符合性</w:t>
            </w:r>
            <w:r>
              <w:rPr>
                <w:rFonts w:hint="eastAsia" w:ascii="宋体" w:hAnsi="宋体" w:eastAsia="宋体"/>
                <w:color w:val="auto"/>
                <w:szCs w:val="21"/>
                <w:highlight w:val="none"/>
                <w:lang w:val="zh-CN"/>
              </w:rPr>
              <w:t>（</w:t>
            </w:r>
            <w:r>
              <w:rPr>
                <w:rFonts w:hint="eastAsia" w:ascii="宋体" w:hAnsi="宋体" w:eastAsia="宋体"/>
                <w:color w:val="auto"/>
                <w:szCs w:val="21"/>
                <w:highlight w:val="none"/>
              </w:rPr>
              <w:t>6</w:t>
            </w:r>
            <w:r>
              <w:rPr>
                <w:rFonts w:hint="eastAsia" w:ascii="宋体" w:hAnsi="宋体" w:eastAsia="宋体"/>
                <w:color w:val="auto"/>
                <w:szCs w:val="21"/>
                <w:highlight w:val="none"/>
                <w:lang w:val="zh-CN"/>
              </w:rPr>
              <w:t>分）</w:t>
            </w:r>
          </w:p>
        </w:tc>
        <w:tc>
          <w:tcPr>
            <w:tcW w:w="5515" w:type="dxa"/>
            <w:vAlign w:val="center"/>
          </w:tcPr>
          <w:p w14:paraId="5364FF70">
            <w:pPr>
              <w:pStyle w:val="51"/>
              <w:overflowPunct w:val="0"/>
              <w:snapToGrid w:val="0"/>
              <w:spacing w:line="360" w:lineRule="auto"/>
              <w:ind w:left="210" w:leftChars="100" w:right="210" w:rightChars="100"/>
              <w:rPr>
                <w:rFonts w:ascii="宋体" w:hAnsi="宋体" w:eastAsia="宋体"/>
                <w:color w:val="auto"/>
                <w:szCs w:val="21"/>
                <w:highlight w:val="none"/>
                <w:lang w:val="zh-CN"/>
              </w:rPr>
            </w:pPr>
            <w:r>
              <w:rPr>
                <w:rFonts w:hint="eastAsia" w:eastAsia="宋体"/>
                <w:color w:val="auto"/>
                <w:szCs w:val="21"/>
                <w:highlight w:val="none"/>
                <w:lang w:val="zh-CN" w:bidi="ar"/>
              </w:rPr>
              <w:t>整个设计内容符合招标文件要求，内容全面，设计总说明书文字表达清楚、思路清晰、重点和难点突出、图纸及文卷质量高。（优得</w:t>
            </w:r>
            <w:r>
              <w:rPr>
                <w:rFonts w:hint="eastAsia"/>
                <w:color w:val="auto"/>
                <w:szCs w:val="21"/>
                <w:highlight w:val="none"/>
                <w:lang w:bidi="ar"/>
              </w:rPr>
              <w:t>6</w:t>
            </w:r>
            <w:r>
              <w:rPr>
                <w:rFonts w:hint="eastAsia" w:eastAsia="宋体"/>
                <w:color w:val="auto"/>
                <w:szCs w:val="21"/>
                <w:highlight w:val="none"/>
                <w:lang w:val="zh-CN" w:bidi="ar"/>
              </w:rPr>
              <w:t>分；良得</w:t>
            </w:r>
            <w:r>
              <w:rPr>
                <w:rFonts w:hint="eastAsia" w:eastAsia="宋体"/>
                <w:color w:val="auto"/>
                <w:szCs w:val="21"/>
                <w:highlight w:val="none"/>
                <w:lang w:bidi="ar"/>
              </w:rPr>
              <w:t>4.8</w:t>
            </w:r>
            <w:r>
              <w:rPr>
                <w:rFonts w:hint="eastAsia" w:eastAsia="宋体"/>
                <w:color w:val="auto"/>
                <w:szCs w:val="21"/>
                <w:highlight w:val="none"/>
                <w:lang w:val="zh-CN" w:bidi="ar"/>
              </w:rPr>
              <w:t>分；差得</w:t>
            </w:r>
            <w:r>
              <w:rPr>
                <w:rFonts w:hint="eastAsia" w:eastAsia="宋体"/>
                <w:color w:val="auto"/>
                <w:szCs w:val="21"/>
                <w:highlight w:val="none"/>
                <w:lang w:bidi="ar"/>
              </w:rPr>
              <w:t>3.6</w:t>
            </w:r>
            <w:r>
              <w:rPr>
                <w:rFonts w:hint="eastAsia" w:eastAsia="宋体"/>
                <w:color w:val="auto"/>
                <w:szCs w:val="21"/>
                <w:highlight w:val="none"/>
                <w:lang w:val="zh-CN" w:bidi="ar"/>
              </w:rPr>
              <w:t>分；无得0分）。</w:t>
            </w:r>
          </w:p>
        </w:tc>
      </w:tr>
      <w:tr w14:paraId="40B32C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904" w:type="dxa"/>
            <w:vMerge w:val="continue"/>
          </w:tcPr>
          <w:p w14:paraId="7D9050D8">
            <w:pPr>
              <w:rPr>
                <w:color w:val="auto"/>
                <w:highlight w:val="none"/>
              </w:rPr>
            </w:pPr>
          </w:p>
        </w:tc>
        <w:tc>
          <w:tcPr>
            <w:tcW w:w="1124" w:type="dxa"/>
            <w:vMerge w:val="continue"/>
          </w:tcPr>
          <w:p w14:paraId="49B083A5">
            <w:pPr>
              <w:rPr>
                <w:color w:val="auto"/>
                <w:highlight w:val="none"/>
              </w:rPr>
            </w:pPr>
          </w:p>
        </w:tc>
        <w:tc>
          <w:tcPr>
            <w:tcW w:w="2035" w:type="dxa"/>
            <w:vAlign w:val="center"/>
          </w:tcPr>
          <w:p w14:paraId="75C7D487">
            <w:pPr>
              <w:pStyle w:val="51"/>
              <w:overflowPunct w:val="0"/>
              <w:snapToGrid w:val="0"/>
              <w:spacing w:line="360" w:lineRule="auto"/>
              <w:ind w:left="210" w:leftChars="100" w:right="210" w:rightChars="100"/>
              <w:jc w:val="center"/>
              <w:rPr>
                <w:rFonts w:ascii="宋体" w:hAnsi="宋体" w:eastAsia="宋体"/>
                <w:color w:val="auto"/>
                <w:szCs w:val="21"/>
                <w:highlight w:val="none"/>
                <w:lang w:val="zh-CN"/>
              </w:rPr>
            </w:pPr>
            <w:r>
              <w:rPr>
                <w:rFonts w:hint="eastAsia" w:ascii="宋体" w:hAnsi="宋体" w:eastAsia="宋体" w:cs="宋体"/>
                <w:color w:val="auto"/>
                <w:szCs w:val="21"/>
                <w:highlight w:val="none"/>
                <w:lang w:bidi="ar"/>
              </w:rPr>
              <w:t>总体思路</w:t>
            </w:r>
            <w:r>
              <w:rPr>
                <w:rFonts w:hint="eastAsia" w:ascii="宋体" w:hAnsi="宋体" w:eastAsia="宋体"/>
                <w:color w:val="auto"/>
                <w:szCs w:val="21"/>
                <w:highlight w:val="none"/>
                <w:lang w:val="zh-CN"/>
              </w:rPr>
              <w:t>（</w:t>
            </w:r>
            <w:r>
              <w:rPr>
                <w:rFonts w:hint="eastAsia" w:ascii="宋体" w:hAnsi="宋体" w:eastAsia="宋体"/>
                <w:color w:val="auto"/>
                <w:szCs w:val="21"/>
                <w:highlight w:val="none"/>
              </w:rPr>
              <w:t>6</w:t>
            </w:r>
            <w:r>
              <w:rPr>
                <w:rFonts w:hint="eastAsia" w:ascii="宋体" w:hAnsi="宋体" w:eastAsia="宋体"/>
                <w:color w:val="auto"/>
                <w:szCs w:val="21"/>
                <w:highlight w:val="none"/>
                <w:lang w:val="zh-CN"/>
              </w:rPr>
              <w:t>分）</w:t>
            </w:r>
          </w:p>
        </w:tc>
        <w:tc>
          <w:tcPr>
            <w:tcW w:w="5515" w:type="dxa"/>
            <w:vAlign w:val="center"/>
          </w:tcPr>
          <w:p w14:paraId="3DADFDFF">
            <w:pPr>
              <w:pStyle w:val="51"/>
              <w:overflowPunct w:val="0"/>
              <w:snapToGrid w:val="0"/>
              <w:spacing w:line="360" w:lineRule="auto"/>
              <w:ind w:left="210" w:leftChars="100" w:right="210" w:rightChars="100"/>
              <w:rPr>
                <w:rFonts w:ascii="宋体" w:hAnsi="宋体" w:eastAsia="宋体"/>
                <w:color w:val="auto"/>
                <w:szCs w:val="21"/>
                <w:highlight w:val="none"/>
                <w:lang w:val="zh-CN"/>
              </w:rPr>
            </w:pPr>
            <w:r>
              <w:rPr>
                <w:rFonts w:hint="eastAsia" w:eastAsia="宋体"/>
                <w:color w:val="auto"/>
                <w:szCs w:val="21"/>
                <w:highlight w:val="none"/>
                <w:lang w:val="zh-CN" w:bidi="ar"/>
              </w:rPr>
              <w:t>总体设计思路清晰，采用的标准正确合理，</w:t>
            </w:r>
            <w:r>
              <w:rPr>
                <w:rFonts w:hint="eastAsia" w:eastAsia="宋体"/>
                <w:color w:val="auto"/>
                <w:szCs w:val="21"/>
                <w:highlight w:val="none"/>
                <w:lang w:bidi="ar"/>
              </w:rPr>
              <w:t>工程目标合理且可行，</w:t>
            </w:r>
            <w:r>
              <w:rPr>
                <w:rFonts w:hint="eastAsia" w:eastAsia="宋体"/>
                <w:color w:val="auto"/>
                <w:szCs w:val="21"/>
                <w:highlight w:val="none"/>
                <w:lang w:val="zh-CN" w:bidi="ar"/>
              </w:rPr>
              <w:t>内容全面、操作性强。（优得</w:t>
            </w:r>
            <w:r>
              <w:rPr>
                <w:rFonts w:hint="eastAsia"/>
                <w:color w:val="auto"/>
                <w:szCs w:val="21"/>
                <w:highlight w:val="none"/>
                <w:lang w:bidi="ar"/>
              </w:rPr>
              <w:t>6</w:t>
            </w:r>
            <w:r>
              <w:rPr>
                <w:rFonts w:hint="eastAsia" w:eastAsia="宋体"/>
                <w:color w:val="auto"/>
                <w:szCs w:val="21"/>
                <w:highlight w:val="none"/>
                <w:lang w:val="zh-CN" w:bidi="ar"/>
              </w:rPr>
              <w:t>分；良得</w:t>
            </w:r>
            <w:r>
              <w:rPr>
                <w:rFonts w:hint="eastAsia"/>
                <w:color w:val="auto"/>
                <w:szCs w:val="21"/>
                <w:highlight w:val="none"/>
                <w:lang w:bidi="ar"/>
              </w:rPr>
              <w:t>4.8</w:t>
            </w:r>
            <w:r>
              <w:rPr>
                <w:rFonts w:hint="eastAsia" w:eastAsia="宋体"/>
                <w:color w:val="auto"/>
                <w:szCs w:val="21"/>
                <w:highlight w:val="none"/>
                <w:lang w:val="zh-CN" w:bidi="ar"/>
              </w:rPr>
              <w:t>分；差得</w:t>
            </w:r>
            <w:r>
              <w:rPr>
                <w:rFonts w:hint="eastAsia" w:eastAsia="宋体"/>
                <w:color w:val="auto"/>
                <w:szCs w:val="21"/>
                <w:highlight w:val="none"/>
                <w:lang w:bidi="ar"/>
              </w:rPr>
              <w:t>3.6</w:t>
            </w:r>
            <w:r>
              <w:rPr>
                <w:rFonts w:hint="eastAsia" w:eastAsia="宋体"/>
                <w:color w:val="auto"/>
                <w:szCs w:val="21"/>
                <w:highlight w:val="none"/>
                <w:lang w:val="zh-CN" w:bidi="ar"/>
              </w:rPr>
              <w:t>分；无得0分）。</w:t>
            </w:r>
          </w:p>
        </w:tc>
      </w:tr>
      <w:tr w14:paraId="337A15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904" w:type="dxa"/>
            <w:vMerge w:val="continue"/>
          </w:tcPr>
          <w:p w14:paraId="2C9F13F2">
            <w:pPr>
              <w:rPr>
                <w:color w:val="auto"/>
                <w:highlight w:val="none"/>
              </w:rPr>
            </w:pPr>
          </w:p>
        </w:tc>
        <w:tc>
          <w:tcPr>
            <w:tcW w:w="1124" w:type="dxa"/>
            <w:vMerge w:val="continue"/>
          </w:tcPr>
          <w:p w14:paraId="0E4A6D58">
            <w:pPr>
              <w:rPr>
                <w:color w:val="auto"/>
                <w:highlight w:val="none"/>
              </w:rPr>
            </w:pPr>
          </w:p>
        </w:tc>
        <w:tc>
          <w:tcPr>
            <w:tcW w:w="2035" w:type="dxa"/>
            <w:vAlign w:val="center"/>
          </w:tcPr>
          <w:p w14:paraId="0E72813F">
            <w:pPr>
              <w:adjustRightInd w:val="0"/>
              <w:spacing w:line="360" w:lineRule="auto"/>
              <w:jc w:val="center"/>
              <w:rPr>
                <w:rFonts w:eastAsia="宋体"/>
                <w:color w:val="auto"/>
                <w:highlight w:val="none"/>
              </w:rPr>
            </w:pPr>
            <w:r>
              <w:rPr>
                <w:rFonts w:hint="eastAsia" w:eastAsia="宋体"/>
                <w:color w:val="auto"/>
                <w:highlight w:val="none"/>
                <w:lang w:val="zh-CN" w:bidi="ar"/>
              </w:rPr>
              <w:t>设计方案</w:t>
            </w:r>
            <w:r>
              <w:rPr>
                <w:rFonts w:hint="eastAsia" w:eastAsia="宋体"/>
                <w:color w:val="auto"/>
                <w:highlight w:val="none"/>
                <w:lang w:bidi="ar"/>
              </w:rPr>
              <w:t>大纲</w:t>
            </w:r>
          </w:p>
          <w:p w14:paraId="6C3E949C">
            <w:pPr>
              <w:pStyle w:val="51"/>
              <w:overflowPunct w:val="0"/>
              <w:snapToGrid w:val="0"/>
              <w:spacing w:line="360" w:lineRule="auto"/>
              <w:ind w:left="210" w:leftChars="100" w:right="210" w:rightChars="100"/>
              <w:jc w:val="center"/>
              <w:rPr>
                <w:rFonts w:ascii="宋体" w:hAnsi="宋体" w:eastAsia="宋体"/>
                <w:color w:val="auto"/>
                <w:szCs w:val="21"/>
                <w:highlight w:val="none"/>
                <w:lang w:val="zh-CN"/>
              </w:rPr>
            </w:pPr>
            <w:r>
              <w:rPr>
                <w:rFonts w:hint="eastAsia" w:ascii="宋体" w:hAnsi="宋体" w:eastAsia="宋体"/>
                <w:color w:val="auto"/>
                <w:szCs w:val="21"/>
                <w:highlight w:val="none"/>
                <w:lang w:val="zh-CN"/>
              </w:rPr>
              <w:t>（</w:t>
            </w:r>
            <w:r>
              <w:rPr>
                <w:rFonts w:hint="eastAsia" w:ascii="宋体" w:hAnsi="宋体" w:eastAsia="宋体"/>
                <w:color w:val="auto"/>
                <w:szCs w:val="21"/>
                <w:highlight w:val="none"/>
              </w:rPr>
              <w:t>36</w:t>
            </w:r>
            <w:r>
              <w:rPr>
                <w:rFonts w:hint="eastAsia" w:ascii="宋体" w:hAnsi="宋体" w:eastAsia="宋体"/>
                <w:color w:val="auto"/>
                <w:szCs w:val="21"/>
                <w:highlight w:val="none"/>
                <w:lang w:val="zh-CN"/>
              </w:rPr>
              <w:t>分）</w:t>
            </w:r>
          </w:p>
        </w:tc>
        <w:tc>
          <w:tcPr>
            <w:tcW w:w="5515" w:type="dxa"/>
            <w:vAlign w:val="center"/>
          </w:tcPr>
          <w:p w14:paraId="01F8B587">
            <w:pPr>
              <w:adjustRightInd w:val="0"/>
              <w:spacing w:line="360" w:lineRule="auto"/>
              <w:jc w:val="both"/>
              <w:rPr>
                <w:rFonts w:eastAsia="宋体"/>
                <w:color w:val="auto"/>
                <w:highlight w:val="none"/>
                <w:lang w:val="zh-CN" w:bidi="ar"/>
              </w:rPr>
            </w:pPr>
            <w:r>
              <w:rPr>
                <w:rFonts w:hint="eastAsia" w:eastAsia="宋体"/>
                <w:color w:val="auto"/>
                <w:highlight w:val="none"/>
                <w:lang w:val="zh-CN" w:bidi="ar"/>
              </w:rPr>
              <w:t>1、对项目理解透彻，熟悉本项目所在区域特点，内容明确具体。（优得</w:t>
            </w:r>
            <w:r>
              <w:rPr>
                <w:rFonts w:hint="eastAsia"/>
                <w:color w:val="auto"/>
                <w:highlight w:val="none"/>
                <w:lang w:bidi="ar"/>
              </w:rPr>
              <w:t>6</w:t>
            </w:r>
            <w:r>
              <w:rPr>
                <w:rFonts w:hint="eastAsia" w:eastAsia="宋体"/>
                <w:color w:val="auto"/>
                <w:highlight w:val="none"/>
                <w:lang w:val="zh-CN" w:bidi="ar"/>
              </w:rPr>
              <w:t>分；良得</w:t>
            </w:r>
            <w:r>
              <w:rPr>
                <w:rFonts w:hint="eastAsia"/>
                <w:color w:val="auto"/>
                <w:highlight w:val="none"/>
                <w:lang w:bidi="ar"/>
              </w:rPr>
              <w:t>4</w:t>
            </w:r>
            <w:r>
              <w:rPr>
                <w:rFonts w:hint="eastAsia" w:eastAsia="宋体"/>
                <w:color w:val="auto"/>
                <w:highlight w:val="none"/>
                <w:lang w:bidi="ar"/>
              </w:rPr>
              <w:t>.8</w:t>
            </w:r>
            <w:r>
              <w:rPr>
                <w:rFonts w:hint="eastAsia" w:eastAsia="宋体"/>
                <w:color w:val="auto"/>
                <w:highlight w:val="none"/>
                <w:lang w:val="zh-CN" w:bidi="ar"/>
              </w:rPr>
              <w:t>分；差得</w:t>
            </w:r>
            <w:r>
              <w:rPr>
                <w:rFonts w:hint="eastAsia" w:eastAsia="宋体"/>
                <w:color w:val="auto"/>
                <w:highlight w:val="none"/>
                <w:lang w:bidi="ar"/>
              </w:rPr>
              <w:t>3.6</w:t>
            </w:r>
            <w:r>
              <w:rPr>
                <w:rFonts w:hint="eastAsia" w:eastAsia="宋体"/>
                <w:color w:val="auto"/>
                <w:highlight w:val="none"/>
                <w:lang w:val="zh-CN" w:bidi="ar"/>
              </w:rPr>
              <w:t>分；无得0分）。</w:t>
            </w:r>
          </w:p>
          <w:p w14:paraId="5C858CD2">
            <w:pPr>
              <w:adjustRightInd w:val="0"/>
              <w:spacing w:line="360" w:lineRule="auto"/>
              <w:jc w:val="both"/>
              <w:rPr>
                <w:rFonts w:eastAsia="宋体"/>
                <w:color w:val="auto"/>
                <w:highlight w:val="none"/>
                <w:lang w:val="zh-CN" w:bidi="ar"/>
              </w:rPr>
            </w:pPr>
            <w:r>
              <w:rPr>
                <w:rFonts w:hint="eastAsia" w:eastAsia="宋体"/>
                <w:color w:val="auto"/>
                <w:highlight w:val="none"/>
                <w:lang w:val="zh-CN" w:bidi="ar"/>
              </w:rPr>
              <w:t>2、对工程范围内的排水现状（含系统管道运行状况分析、错混接点分析）充分掌握，熟悉周边排水情况</w:t>
            </w:r>
            <w:r>
              <w:rPr>
                <w:rFonts w:hint="eastAsia"/>
                <w:color w:val="auto"/>
                <w:highlight w:val="none"/>
                <w:lang w:val="zh-CN" w:bidi="ar"/>
              </w:rPr>
              <w:t>，</w:t>
            </w:r>
            <w:r>
              <w:rPr>
                <w:rFonts w:hint="eastAsia"/>
                <w:color w:val="auto"/>
                <w:highlight w:val="none"/>
                <w:lang w:bidi="ar"/>
              </w:rPr>
              <w:t>片区划分合理</w:t>
            </w:r>
            <w:r>
              <w:rPr>
                <w:rFonts w:hint="eastAsia" w:eastAsia="宋体"/>
                <w:color w:val="auto"/>
                <w:highlight w:val="none"/>
                <w:lang w:val="zh-CN" w:bidi="ar"/>
              </w:rPr>
              <w:t>（优得</w:t>
            </w:r>
            <w:r>
              <w:rPr>
                <w:rFonts w:hint="eastAsia"/>
                <w:color w:val="auto"/>
                <w:highlight w:val="none"/>
                <w:lang w:bidi="ar"/>
              </w:rPr>
              <w:t>6</w:t>
            </w:r>
            <w:r>
              <w:rPr>
                <w:rFonts w:hint="eastAsia" w:eastAsia="宋体"/>
                <w:color w:val="auto"/>
                <w:highlight w:val="none"/>
                <w:lang w:val="zh-CN" w:bidi="ar"/>
              </w:rPr>
              <w:t>分；良得</w:t>
            </w:r>
            <w:r>
              <w:rPr>
                <w:rFonts w:hint="eastAsia"/>
                <w:color w:val="auto"/>
                <w:highlight w:val="none"/>
                <w:lang w:bidi="ar"/>
              </w:rPr>
              <w:t>4</w:t>
            </w:r>
            <w:r>
              <w:rPr>
                <w:rFonts w:hint="eastAsia" w:eastAsia="宋体"/>
                <w:color w:val="auto"/>
                <w:highlight w:val="none"/>
                <w:lang w:bidi="ar"/>
              </w:rPr>
              <w:t>.8</w:t>
            </w:r>
            <w:r>
              <w:rPr>
                <w:rFonts w:hint="eastAsia" w:eastAsia="宋体"/>
                <w:color w:val="auto"/>
                <w:highlight w:val="none"/>
                <w:lang w:val="zh-CN" w:bidi="ar"/>
              </w:rPr>
              <w:t>分；差得</w:t>
            </w:r>
            <w:r>
              <w:rPr>
                <w:rFonts w:hint="eastAsia" w:eastAsia="宋体"/>
                <w:color w:val="auto"/>
                <w:highlight w:val="none"/>
                <w:lang w:bidi="ar"/>
              </w:rPr>
              <w:t>3.6</w:t>
            </w:r>
            <w:r>
              <w:rPr>
                <w:rFonts w:hint="eastAsia" w:eastAsia="宋体"/>
                <w:color w:val="auto"/>
                <w:highlight w:val="none"/>
                <w:lang w:val="zh-CN" w:bidi="ar"/>
              </w:rPr>
              <w:t>分；无得0分）。</w:t>
            </w:r>
          </w:p>
          <w:p w14:paraId="77B49C78">
            <w:pPr>
              <w:adjustRightInd w:val="0"/>
              <w:spacing w:line="360" w:lineRule="auto"/>
              <w:jc w:val="both"/>
              <w:rPr>
                <w:rFonts w:eastAsia="宋体"/>
                <w:color w:val="auto"/>
                <w:highlight w:val="none"/>
                <w:lang w:val="zh-CN" w:bidi="ar"/>
              </w:rPr>
            </w:pPr>
            <w:r>
              <w:rPr>
                <w:rFonts w:hint="eastAsia" w:eastAsia="宋体"/>
                <w:color w:val="auto"/>
                <w:highlight w:val="none"/>
                <w:lang w:val="zh-CN" w:bidi="ar"/>
              </w:rPr>
              <w:t>3、设计方案、进度计划合理可行，内容全面完善，</w:t>
            </w:r>
            <w:r>
              <w:rPr>
                <w:rFonts w:hint="eastAsia"/>
                <w:color w:val="auto"/>
                <w:highlight w:val="none"/>
                <w:lang w:bidi="ar"/>
              </w:rPr>
              <w:t>监测点布置合理，</w:t>
            </w:r>
            <w:r>
              <w:rPr>
                <w:rFonts w:hint="eastAsia" w:eastAsia="宋体"/>
                <w:color w:val="auto"/>
                <w:highlight w:val="none"/>
                <w:lang w:val="zh-CN" w:bidi="ar"/>
              </w:rPr>
              <w:t>结合现状提出针对性的措施，对</w:t>
            </w:r>
            <w:r>
              <w:rPr>
                <w:rFonts w:hint="eastAsia"/>
                <w:color w:val="auto"/>
                <w:highlight w:val="none"/>
                <w:lang w:bidi="ar"/>
              </w:rPr>
              <w:t>各子项方案</w:t>
            </w:r>
            <w:r>
              <w:rPr>
                <w:rFonts w:hint="eastAsia" w:eastAsia="宋体"/>
                <w:color w:val="auto"/>
                <w:highlight w:val="none"/>
                <w:lang w:val="zh-CN" w:bidi="ar"/>
              </w:rPr>
              <w:t>有详细的方案设计（含</w:t>
            </w:r>
            <w:r>
              <w:rPr>
                <w:rFonts w:hint="eastAsia"/>
                <w:color w:val="auto"/>
                <w:highlight w:val="none"/>
                <w:lang w:bidi="ar"/>
              </w:rPr>
              <w:t>管线平面设计图</w:t>
            </w:r>
            <w:r>
              <w:rPr>
                <w:rFonts w:hint="eastAsia" w:eastAsia="宋体"/>
                <w:color w:val="auto"/>
                <w:highlight w:val="none"/>
                <w:lang w:val="zh-CN" w:bidi="ar"/>
              </w:rPr>
              <w:t>等）（优得</w:t>
            </w:r>
            <w:r>
              <w:rPr>
                <w:rFonts w:hint="eastAsia"/>
                <w:color w:val="auto"/>
                <w:highlight w:val="none"/>
                <w:lang w:bidi="ar"/>
              </w:rPr>
              <w:t>6</w:t>
            </w:r>
            <w:r>
              <w:rPr>
                <w:rFonts w:hint="eastAsia" w:eastAsia="宋体"/>
                <w:color w:val="auto"/>
                <w:highlight w:val="none"/>
                <w:lang w:val="zh-CN" w:bidi="ar"/>
              </w:rPr>
              <w:t>分；良得</w:t>
            </w:r>
            <w:r>
              <w:rPr>
                <w:rFonts w:hint="eastAsia"/>
                <w:color w:val="auto"/>
                <w:highlight w:val="none"/>
                <w:lang w:bidi="ar"/>
              </w:rPr>
              <w:t>4</w:t>
            </w:r>
            <w:r>
              <w:rPr>
                <w:rFonts w:hint="eastAsia" w:eastAsia="宋体"/>
                <w:color w:val="auto"/>
                <w:highlight w:val="none"/>
                <w:lang w:bidi="ar"/>
              </w:rPr>
              <w:t>.8</w:t>
            </w:r>
            <w:r>
              <w:rPr>
                <w:rFonts w:hint="eastAsia" w:eastAsia="宋体"/>
                <w:color w:val="auto"/>
                <w:highlight w:val="none"/>
                <w:lang w:val="zh-CN" w:bidi="ar"/>
              </w:rPr>
              <w:t>分；差得</w:t>
            </w:r>
            <w:r>
              <w:rPr>
                <w:rFonts w:hint="eastAsia" w:eastAsia="宋体"/>
                <w:color w:val="auto"/>
                <w:highlight w:val="none"/>
                <w:lang w:bidi="ar"/>
              </w:rPr>
              <w:t>3.6</w:t>
            </w:r>
            <w:r>
              <w:rPr>
                <w:rFonts w:hint="eastAsia" w:eastAsia="宋体"/>
                <w:color w:val="auto"/>
                <w:highlight w:val="none"/>
                <w:lang w:val="zh-CN" w:bidi="ar"/>
              </w:rPr>
              <w:t>分；无得0分）。</w:t>
            </w:r>
          </w:p>
          <w:p w14:paraId="439EBD7F">
            <w:pPr>
              <w:adjustRightInd w:val="0"/>
              <w:spacing w:line="360" w:lineRule="auto"/>
              <w:jc w:val="both"/>
              <w:rPr>
                <w:rFonts w:eastAsia="宋体"/>
                <w:color w:val="auto"/>
                <w:highlight w:val="none"/>
                <w:lang w:val="zh-CN" w:bidi="ar"/>
              </w:rPr>
            </w:pPr>
            <w:r>
              <w:rPr>
                <w:rFonts w:hint="eastAsia" w:eastAsia="宋体"/>
                <w:color w:val="auto"/>
                <w:highlight w:val="none"/>
                <w:lang w:bidi="ar"/>
              </w:rPr>
              <w:t>4</w:t>
            </w:r>
            <w:r>
              <w:rPr>
                <w:rFonts w:hint="eastAsia" w:eastAsia="宋体"/>
                <w:color w:val="auto"/>
                <w:highlight w:val="none"/>
                <w:lang w:val="zh-CN" w:bidi="ar"/>
              </w:rPr>
              <w:t>、分析本项目工作开展过程中的难点和重点，并提出针对性解决措施。（优得</w:t>
            </w:r>
            <w:r>
              <w:rPr>
                <w:rFonts w:hint="eastAsia"/>
                <w:color w:val="auto"/>
                <w:highlight w:val="none"/>
                <w:lang w:bidi="ar"/>
              </w:rPr>
              <w:t>6</w:t>
            </w:r>
            <w:r>
              <w:rPr>
                <w:rFonts w:hint="eastAsia" w:eastAsia="宋体"/>
                <w:color w:val="auto"/>
                <w:highlight w:val="none"/>
                <w:lang w:val="zh-CN" w:bidi="ar"/>
              </w:rPr>
              <w:t>分；良得</w:t>
            </w:r>
            <w:r>
              <w:rPr>
                <w:rFonts w:hint="eastAsia"/>
                <w:color w:val="auto"/>
                <w:highlight w:val="none"/>
                <w:lang w:bidi="ar"/>
              </w:rPr>
              <w:t>4</w:t>
            </w:r>
            <w:r>
              <w:rPr>
                <w:rFonts w:hint="eastAsia" w:eastAsia="宋体"/>
                <w:color w:val="auto"/>
                <w:highlight w:val="none"/>
                <w:lang w:bidi="ar"/>
              </w:rPr>
              <w:t>.8</w:t>
            </w:r>
            <w:r>
              <w:rPr>
                <w:rFonts w:hint="eastAsia" w:eastAsia="宋体"/>
                <w:color w:val="auto"/>
                <w:highlight w:val="none"/>
                <w:lang w:val="zh-CN" w:bidi="ar"/>
              </w:rPr>
              <w:t>分；差得</w:t>
            </w:r>
            <w:r>
              <w:rPr>
                <w:rFonts w:hint="eastAsia" w:eastAsia="宋体"/>
                <w:color w:val="auto"/>
                <w:highlight w:val="none"/>
                <w:lang w:bidi="ar"/>
              </w:rPr>
              <w:t>3.6</w:t>
            </w:r>
            <w:r>
              <w:rPr>
                <w:rFonts w:hint="eastAsia" w:eastAsia="宋体"/>
                <w:color w:val="auto"/>
                <w:highlight w:val="none"/>
                <w:lang w:val="zh-CN" w:bidi="ar"/>
              </w:rPr>
              <w:t>分；无得0分）。</w:t>
            </w:r>
          </w:p>
          <w:p w14:paraId="3B1F77B0">
            <w:pPr>
              <w:adjustRightInd w:val="0"/>
              <w:spacing w:line="360" w:lineRule="auto"/>
              <w:jc w:val="both"/>
              <w:rPr>
                <w:rFonts w:eastAsia="宋体"/>
                <w:color w:val="auto"/>
                <w:highlight w:val="none"/>
                <w:lang w:val="zh-CN" w:bidi="ar"/>
              </w:rPr>
            </w:pPr>
            <w:r>
              <w:rPr>
                <w:rFonts w:hint="eastAsia" w:eastAsia="宋体"/>
                <w:color w:val="auto"/>
                <w:highlight w:val="none"/>
                <w:lang w:val="zh-CN" w:bidi="ar"/>
              </w:rPr>
              <w:t>5、具有科学、合理、可行及具体措施的合理化建议，内容明确具体。（优得</w:t>
            </w:r>
            <w:r>
              <w:rPr>
                <w:rFonts w:hint="eastAsia"/>
                <w:color w:val="auto"/>
                <w:highlight w:val="none"/>
                <w:lang w:bidi="ar"/>
              </w:rPr>
              <w:t>6</w:t>
            </w:r>
            <w:r>
              <w:rPr>
                <w:rFonts w:hint="eastAsia" w:eastAsia="宋体"/>
                <w:color w:val="auto"/>
                <w:highlight w:val="none"/>
                <w:lang w:val="zh-CN" w:bidi="ar"/>
              </w:rPr>
              <w:t>分；良得</w:t>
            </w:r>
            <w:r>
              <w:rPr>
                <w:rFonts w:hint="eastAsia"/>
                <w:color w:val="auto"/>
                <w:highlight w:val="none"/>
                <w:lang w:bidi="ar"/>
              </w:rPr>
              <w:t>4</w:t>
            </w:r>
            <w:r>
              <w:rPr>
                <w:rFonts w:hint="eastAsia" w:eastAsia="宋体"/>
                <w:color w:val="auto"/>
                <w:highlight w:val="none"/>
                <w:lang w:bidi="ar"/>
              </w:rPr>
              <w:t>.8</w:t>
            </w:r>
            <w:r>
              <w:rPr>
                <w:rFonts w:hint="eastAsia" w:eastAsia="宋体"/>
                <w:color w:val="auto"/>
                <w:highlight w:val="none"/>
                <w:lang w:val="zh-CN" w:bidi="ar"/>
              </w:rPr>
              <w:t>分；差得</w:t>
            </w:r>
            <w:r>
              <w:rPr>
                <w:rFonts w:hint="eastAsia" w:eastAsia="宋体"/>
                <w:color w:val="auto"/>
                <w:highlight w:val="none"/>
                <w:lang w:bidi="ar"/>
              </w:rPr>
              <w:t>3.6</w:t>
            </w:r>
            <w:r>
              <w:rPr>
                <w:rFonts w:hint="eastAsia" w:eastAsia="宋体"/>
                <w:color w:val="auto"/>
                <w:highlight w:val="none"/>
                <w:lang w:val="zh-CN" w:bidi="ar"/>
              </w:rPr>
              <w:t>分；无得0分）。</w:t>
            </w:r>
          </w:p>
          <w:p w14:paraId="5E959AE3">
            <w:pPr>
              <w:adjustRightInd w:val="0"/>
              <w:spacing w:line="360" w:lineRule="auto"/>
              <w:jc w:val="both"/>
              <w:rPr>
                <w:rFonts w:eastAsia="宋体"/>
                <w:color w:val="auto"/>
                <w:highlight w:val="none"/>
                <w:lang w:bidi="ar"/>
              </w:rPr>
            </w:pPr>
            <w:r>
              <w:rPr>
                <w:rFonts w:hint="eastAsia"/>
                <w:color w:val="auto"/>
                <w:highlight w:val="none"/>
                <w:lang w:bidi="ar"/>
              </w:rPr>
              <w:t>6</w:t>
            </w:r>
            <w:r>
              <w:rPr>
                <w:rFonts w:hint="eastAsia" w:eastAsia="宋体"/>
                <w:color w:val="auto"/>
                <w:highlight w:val="none"/>
                <w:lang w:val="zh-CN" w:bidi="ar"/>
              </w:rPr>
              <w:t>、图纸设计内容反映全面，布置结合实际，设计合理，数据准确，图面清晰。图纸能针对性的配合技术文件的文字表述（优得</w:t>
            </w:r>
            <w:r>
              <w:rPr>
                <w:rFonts w:hint="eastAsia"/>
                <w:color w:val="auto"/>
                <w:highlight w:val="none"/>
                <w:lang w:bidi="ar"/>
              </w:rPr>
              <w:t>6</w:t>
            </w:r>
            <w:r>
              <w:rPr>
                <w:rFonts w:hint="eastAsia" w:eastAsia="宋体"/>
                <w:color w:val="auto"/>
                <w:highlight w:val="none"/>
                <w:lang w:val="zh-CN" w:bidi="ar"/>
              </w:rPr>
              <w:t>分；良得</w:t>
            </w:r>
            <w:r>
              <w:rPr>
                <w:rFonts w:hint="eastAsia"/>
                <w:color w:val="auto"/>
                <w:highlight w:val="none"/>
                <w:lang w:bidi="ar"/>
              </w:rPr>
              <w:t>5</w:t>
            </w:r>
            <w:r>
              <w:rPr>
                <w:rFonts w:hint="eastAsia" w:eastAsia="宋体"/>
                <w:color w:val="auto"/>
                <w:highlight w:val="none"/>
                <w:lang w:bidi="ar"/>
              </w:rPr>
              <w:t>.4</w:t>
            </w:r>
            <w:r>
              <w:rPr>
                <w:rFonts w:hint="eastAsia" w:eastAsia="宋体"/>
                <w:color w:val="auto"/>
                <w:highlight w:val="none"/>
                <w:lang w:val="zh-CN" w:bidi="ar"/>
              </w:rPr>
              <w:t>分；一般得</w:t>
            </w:r>
            <w:r>
              <w:rPr>
                <w:rFonts w:hint="eastAsia"/>
                <w:color w:val="auto"/>
                <w:highlight w:val="none"/>
                <w:lang w:bidi="ar"/>
              </w:rPr>
              <w:t>4</w:t>
            </w:r>
            <w:r>
              <w:rPr>
                <w:rFonts w:hint="eastAsia" w:eastAsia="宋体"/>
                <w:color w:val="auto"/>
                <w:highlight w:val="none"/>
                <w:lang w:bidi="ar"/>
              </w:rPr>
              <w:t>.5</w:t>
            </w:r>
            <w:r>
              <w:rPr>
                <w:rFonts w:hint="eastAsia" w:eastAsia="宋体"/>
                <w:color w:val="auto"/>
                <w:highlight w:val="none"/>
                <w:lang w:val="zh-CN" w:bidi="ar"/>
              </w:rPr>
              <w:t>分；差得</w:t>
            </w:r>
            <w:r>
              <w:rPr>
                <w:rFonts w:hint="eastAsia" w:eastAsia="宋体"/>
                <w:color w:val="auto"/>
                <w:highlight w:val="none"/>
                <w:lang w:bidi="ar"/>
              </w:rPr>
              <w:t>3.6</w:t>
            </w:r>
            <w:r>
              <w:rPr>
                <w:rFonts w:hint="eastAsia" w:eastAsia="宋体"/>
                <w:color w:val="auto"/>
                <w:highlight w:val="none"/>
                <w:lang w:val="zh-CN" w:bidi="ar"/>
              </w:rPr>
              <w:t>分；无得0分）。</w:t>
            </w:r>
          </w:p>
        </w:tc>
      </w:tr>
      <w:tr w14:paraId="20D56D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904" w:type="dxa"/>
            <w:vMerge w:val="continue"/>
          </w:tcPr>
          <w:p w14:paraId="2D7AC6E5">
            <w:pPr>
              <w:rPr>
                <w:color w:val="auto"/>
                <w:highlight w:val="none"/>
              </w:rPr>
            </w:pPr>
          </w:p>
        </w:tc>
        <w:tc>
          <w:tcPr>
            <w:tcW w:w="1124" w:type="dxa"/>
            <w:vMerge w:val="continue"/>
          </w:tcPr>
          <w:p w14:paraId="6E3CA7FF">
            <w:pPr>
              <w:rPr>
                <w:color w:val="auto"/>
                <w:highlight w:val="none"/>
              </w:rPr>
            </w:pPr>
          </w:p>
        </w:tc>
        <w:tc>
          <w:tcPr>
            <w:tcW w:w="2035" w:type="dxa"/>
            <w:vAlign w:val="center"/>
          </w:tcPr>
          <w:p w14:paraId="0A7845B9">
            <w:pPr>
              <w:pStyle w:val="51"/>
              <w:overflowPunct w:val="0"/>
              <w:snapToGrid w:val="0"/>
              <w:spacing w:line="360" w:lineRule="auto"/>
              <w:ind w:left="210" w:leftChars="100" w:right="210" w:rightChars="100"/>
              <w:jc w:val="center"/>
              <w:rPr>
                <w:rFonts w:ascii="宋体" w:hAnsi="宋体" w:eastAsia="宋体"/>
                <w:color w:val="auto"/>
                <w:szCs w:val="21"/>
                <w:highlight w:val="none"/>
                <w:lang w:val="zh-CN"/>
              </w:rPr>
            </w:pPr>
            <w:r>
              <w:rPr>
                <w:rFonts w:ascii="宋体" w:hAnsi="宋体" w:eastAsia="宋体"/>
                <w:color w:val="auto"/>
                <w:kern w:val="0"/>
                <w:szCs w:val="21"/>
                <w:highlight w:val="none"/>
                <w:lang w:val="zh-CN"/>
              </w:rPr>
              <w:t>设计质量与进度保障措施</w:t>
            </w:r>
            <w:r>
              <w:rPr>
                <w:rFonts w:hint="eastAsia" w:ascii="宋体" w:hAnsi="宋体" w:eastAsia="宋体"/>
                <w:color w:val="auto"/>
                <w:szCs w:val="21"/>
                <w:highlight w:val="none"/>
                <w:lang w:val="zh-CN"/>
              </w:rPr>
              <w:t>（</w:t>
            </w:r>
            <w:r>
              <w:rPr>
                <w:rFonts w:hint="eastAsia" w:ascii="宋体" w:hAnsi="宋体" w:eastAsia="宋体"/>
                <w:color w:val="auto"/>
                <w:szCs w:val="21"/>
                <w:highlight w:val="none"/>
              </w:rPr>
              <w:t>6</w:t>
            </w:r>
            <w:r>
              <w:rPr>
                <w:rFonts w:hint="eastAsia" w:ascii="宋体" w:hAnsi="宋体" w:eastAsia="宋体"/>
                <w:color w:val="auto"/>
                <w:szCs w:val="21"/>
                <w:highlight w:val="none"/>
                <w:lang w:val="zh-CN"/>
              </w:rPr>
              <w:t>分）</w:t>
            </w:r>
          </w:p>
        </w:tc>
        <w:tc>
          <w:tcPr>
            <w:tcW w:w="5515" w:type="dxa"/>
            <w:vAlign w:val="center"/>
          </w:tcPr>
          <w:p w14:paraId="6E8172A9">
            <w:pPr>
              <w:pStyle w:val="51"/>
              <w:overflowPunct w:val="0"/>
              <w:snapToGrid w:val="0"/>
              <w:spacing w:line="360" w:lineRule="auto"/>
              <w:ind w:left="210" w:leftChars="100" w:right="210" w:rightChars="100"/>
              <w:rPr>
                <w:rFonts w:ascii="宋体" w:hAnsi="宋体" w:eastAsia="宋体"/>
                <w:color w:val="auto"/>
                <w:szCs w:val="21"/>
                <w:highlight w:val="none"/>
                <w:lang w:val="zh-CN"/>
              </w:rPr>
            </w:pPr>
            <w:r>
              <w:rPr>
                <w:rFonts w:ascii="宋体" w:hAnsi="宋体" w:eastAsia="宋体" w:cs="宋体"/>
                <w:color w:val="auto"/>
                <w:szCs w:val="21"/>
                <w:highlight w:val="none"/>
                <w:lang w:val="zh-CN" w:bidi="ar"/>
              </w:rPr>
              <w:t>设计质量</w:t>
            </w:r>
            <w:r>
              <w:rPr>
                <w:rFonts w:hint="eastAsia" w:ascii="宋体" w:hAnsi="宋体" w:eastAsia="宋体" w:cs="宋体"/>
                <w:color w:val="auto"/>
                <w:szCs w:val="21"/>
                <w:highlight w:val="none"/>
                <w:lang w:bidi="ar"/>
              </w:rPr>
              <w:t>与进度保障</w:t>
            </w:r>
            <w:r>
              <w:rPr>
                <w:rFonts w:ascii="宋体" w:hAnsi="宋体" w:eastAsia="宋体" w:cs="宋体"/>
                <w:color w:val="auto"/>
                <w:szCs w:val="21"/>
                <w:highlight w:val="none"/>
                <w:lang w:val="zh-CN" w:bidi="ar"/>
              </w:rPr>
              <w:t>措施明确、具体、可行，后续后期服务承诺及响应安排合理。</w:t>
            </w:r>
            <w:r>
              <w:rPr>
                <w:rFonts w:hint="eastAsia" w:eastAsia="宋体"/>
                <w:color w:val="auto"/>
                <w:szCs w:val="21"/>
                <w:highlight w:val="none"/>
                <w:lang w:val="zh-CN" w:bidi="ar"/>
              </w:rPr>
              <w:t>（优得</w:t>
            </w:r>
            <w:r>
              <w:rPr>
                <w:rFonts w:hint="eastAsia"/>
                <w:color w:val="auto"/>
                <w:szCs w:val="21"/>
                <w:highlight w:val="none"/>
                <w:lang w:bidi="ar"/>
              </w:rPr>
              <w:t>6</w:t>
            </w:r>
            <w:r>
              <w:rPr>
                <w:rFonts w:hint="eastAsia" w:eastAsia="宋体"/>
                <w:color w:val="auto"/>
                <w:szCs w:val="21"/>
                <w:highlight w:val="none"/>
                <w:lang w:val="zh-CN" w:bidi="ar"/>
              </w:rPr>
              <w:t>分；良得</w:t>
            </w:r>
            <w:r>
              <w:rPr>
                <w:rFonts w:hint="eastAsia" w:eastAsia="宋体"/>
                <w:color w:val="auto"/>
                <w:szCs w:val="21"/>
                <w:highlight w:val="none"/>
                <w:lang w:bidi="ar"/>
              </w:rPr>
              <w:t>4.8</w:t>
            </w:r>
            <w:r>
              <w:rPr>
                <w:rFonts w:hint="eastAsia" w:eastAsia="宋体"/>
                <w:color w:val="auto"/>
                <w:szCs w:val="21"/>
                <w:highlight w:val="none"/>
                <w:lang w:val="zh-CN" w:bidi="ar"/>
              </w:rPr>
              <w:t>分；差得</w:t>
            </w:r>
            <w:r>
              <w:rPr>
                <w:rFonts w:hint="eastAsia" w:eastAsia="宋体"/>
                <w:color w:val="auto"/>
                <w:szCs w:val="21"/>
                <w:highlight w:val="none"/>
                <w:lang w:bidi="ar"/>
              </w:rPr>
              <w:t>3.6</w:t>
            </w:r>
            <w:r>
              <w:rPr>
                <w:rFonts w:hint="eastAsia" w:eastAsia="宋体"/>
                <w:color w:val="auto"/>
                <w:szCs w:val="21"/>
                <w:highlight w:val="none"/>
                <w:lang w:val="zh-CN" w:bidi="ar"/>
              </w:rPr>
              <w:t>分；无得0分）。</w:t>
            </w:r>
          </w:p>
        </w:tc>
      </w:tr>
      <w:tr w14:paraId="36A964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904" w:type="dxa"/>
            <w:vMerge w:val="continue"/>
          </w:tcPr>
          <w:p w14:paraId="1E5346C1">
            <w:pPr>
              <w:rPr>
                <w:color w:val="auto"/>
                <w:highlight w:val="none"/>
              </w:rPr>
            </w:pPr>
          </w:p>
        </w:tc>
        <w:tc>
          <w:tcPr>
            <w:tcW w:w="1124" w:type="dxa"/>
            <w:vMerge w:val="continue"/>
          </w:tcPr>
          <w:p w14:paraId="0D367061">
            <w:pPr>
              <w:rPr>
                <w:color w:val="auto"/>
                <w:highlight w:val="none"/>
              </w:rPr>
            </w:pPr>
          </w:p>
        </w:tc>
        <w:tc>
          <w:tcPr>
            <w:tcW w:w="2035" w:type="dxa"/>
            <w:vAlign w:val="center"/>
          </w:tcPr>
          <w:p w14:paraId="01A7CCD0">
            <w:pPr>
              <w:pStyle w:val="51"/>
              <w:overflowPunct w:val="0"/>
              <w:snapToGrid w:val="0"/>
              <w:spacing w:line="360" w:lineRule="auto"/>
              <w:ind w:left="210" w:leftChars="100" w:right="210" w:rightChars="100"/>
              <w:jc w:val="center"/>
              <w:rPr>
                <w:rFonts w:ascii="宋体" w:hAnsi="宋体" w:eastAsia="宋体"/>
                <w:color w:val="auto"/>
                <w:szCs w:val="21"/>
                <w:highlight w:val="none"/>
                <w:lang w:val="zh-CN"/>
              </w:rPr>
            </w:pPr>
            <w:r>
              <w:rPr>
                <w:rFonts w:hint="eastAsia" w:eastAsia="宋体"/>
                <w:color w:val="auto"/>
                <w:szCs w:val="21"/>
                <w:highlight w:val="none"/>
                <w:lang w:val="zh-CN" w:bidi="ar"/>
              </w:rPr>
              <w:t>投资控制</w:t>
            </w:r>
            <w:r>
              <w:rPr>
                <w:rFonts w:hint="eastAsia" w:ascii="宋体" w:hAnsi="宋体" w:eastAsia="宋体"/>
                <w:color w:val="auto"/>
                <w:szCs w:val="21"/>
                <w:highlight w:val="none"/>
                <w:lang w:val="zh-CN"/>
              </w:rPr>
              <w:t>（</w:t>
            </w:r>
            <w:r>
              <w:rPr>
                <w:rFonts w:hint="eastAsia" w:ascii="宋体" w:hAnsi="宋体" w:eastAsia="宋体"/>
                <w:color w:val="auto"/>
                <w:szCs w:val="21"/>
                <w:highlight w:val="none"/>
              </w:rPr>
              <w:t>6</w:t>
            </w:r>
            <w:r>
              <w:rPr>
                <w:rFonts w:hint="eastAsia" w:ascii="宋体" w:hAnsi="宋体" w:eastAsia="宋体"/>
                <w:color w:val="auto"/>
                <w:szCs w:val="21"/>
                <w:highlight w:val="none"/>
                <w:lang w:val="zh-CN"/>
              </w:rPr>
              <w:t>分）</w:t>
            </w:r>
          </w:p>
        </w:tc>
        <w:tc>
          <w:tcPr>
            <w:tcW w:w="5515" w:type="dxa"/>
            <w:vAlign w:val="center"/>
          </w:tcPr>
          <w:p w14:paraId="20DFF104">
            <w:pPr>
              <w:pStyle w:val="51"/>
              <w:numPr>
                <w:ilvl w:val="0"/>
                <w:numId w:val="1"/>
              </w:numPr>
              <w:overflowPunct w:val="0"/>
              <w:snapToGrid w:val="0"/>
              <w:spacing w:line="360" w:lineRule="auto"/>
              <w:ind w:left="210" w:leftChars="100" w:right="210" w:rightChars="100"/>
              <w:rPr>
                <w:rFonts w:eastAsia="宋体"/>
                <w:color w:val="auto"/>
                <w:szCs w:val="21"/>
                <w:highlight w:val="none"/>
                <w:lang w:val="zh-CN" w:bidi="ar"/>
              </w:rPr>
            </w:pPr>
            <w:r>
              <w:rPr>
                <w:rFonts w:hint="eastAsia" w:eastAsia="宋体"/>
                <w:color w:val="auto"/>
                <w:szCs w:val="21"/>
                <w:highlight w:val="none"/>
                <w:lang w:val="zh-CN" w:bidi="ar"/>
              </w:rPr>
              <w:t>工程总投资合理，节约工程总投资的措施及理由合理、可信、可行。（优得</w:t>
            </w:r>
            <w:r>
              <w:rPr>
                <w:rFonts w:hint="eastAsia"/>
                <w:color w:val="auto"/>
                <w:szCs w:val="21"/>
                <w:highlight w:val="none"/>
                <w:lang w:bidi="ar"/>
              </w:rPr>
              <w:t>3</w:t>
            </w:r>
            <w:r>
              <w:rPr>
                <w:rFonts w:hint="eastAsia" w:eastAsia="宋体"/>
                <w:color w:val="auto"/>
                <w:szCs w:val="21"/>
                <w:highlight w:val="none"/>
                <w:lang w:val="zh-CN" w:bidi="ar"/>
              </w:rPr>
              <w:t>分；良得</w:t>
            </w:r>
            <w:r>
              <w:rPr>
                <w:rFonts w:hint="eastAsia"/>
                <w:color w:val="auto"/>
                <w:szCs w:val="21"/>
                <w:highlight w:val="none"/>
                <w:lang w:bidi="ar"/>
              </w:rPr>
              <w:t>2.4</w:t>
            </w:r>
            <w:r>
              <w:rPr>
                <w:rFonts w:hint="eastAsia" w:eastAsia="宋体"/>
                <w:color w:val="auto"/>
                <w:szCs w:val="21"/>
                <w:highlight w:val="none"/>
                <w:lang w:val="zh-CN" w:bidi="ar"/>
              </w:rPr>
              <w:t>分；差得</w:t>
            </w:r>
            <w:r>
              <w:rPr>
                <w:rFonts w:hint="eastAsia"/>
                <w:color w:val="auto"/>
                <w:szCs w:val="21"/>
                <w:highlight w:val="none"/>
                <w:lang w:bidi="ar"/>
              </w:rPr>
              <w:t>1.8</w:t>
            </w:r>
            <w:r>
              <w:rPr>
                <w:rFonts w:hint="eastAsia" w:eastAsia="宋体"/>
                <w:color w:val="auto"/>
                <w:szCs w:val="21"/>
                <w:highlight w:val="none"/>
                <w:lang w:val="zh-CN" w:bidi="ar"/>
              </w:rPr>
              <w:t>分；无得0分）。</w:t>
            </w:r>
          </w:p>
          <w:p w14:paraId="3095E7A0">
            <w:pPr>
              <w:pStyle w:val="51"/>
              <w:numPr>
                <w:ilvl w:val="0"/>
                <w:numId w:val="1"/>
              </w:numPr>
              <w:overflowPunct w:val="0"/>
              <w:snapToGrid w:val="0"/>
              <w:spacing w:line="360" w:lineRule="auto"/>
              <w:ind w:left="210" w:leftChars="100" w:right="210" w:rightChars="100"/>
              <w:rPr>
                <w:rFonts w:eastAsia="宋体"/>
                <w:color w:val="auto"/>
                <w:szCs w:val="21"/>
                <w:highlight w:val="none"/>
                <w:lang w:val="zh-CN" w:bidi="ar"/>
              </w:rPr>
            </w:pPr>
            <w:r>
              <w:rPr>
                <w:rFonts w:hint="eastAsia" w:eastAsia="宋体"/>
                <w:color w:val="auto"/>
                <w:szCs w:val="21"/>
                <w:highlight w:val="none"/>
                <w:lang w:val="zh-CN" w:bidi="ar"/>
              </w:rPr>
              <w:t>投资</w:t>
            </w:r>
            <w:r>
              <w:rPr>
                <w:rFonts w:hint="eastAsia" w:eastAsia="宋体"/>
                <w:color w:val="auto"/>
                <w:szCs w:val="21"/>
                <w:highlight w:val="none"/>
                <w:lang w:bidi="ar"/>
              </w:rPr>
              <w:t>概算</w:t>
            </w:r>
            <w:r>
              <w:rPr>
                <w:rFonts w:hint="eastAsia" w:eastAsia="宋体"/>
                <w:color w:val="auto"/>
                <w:szCs w:val="21"/>
                <w:highlight w:val="none"/>
                <w:lang w:val="zh-CN" w:bidi="ar"/>
              </w:rPr>
              <w:t>编制依据正确，达到相应的深度要求，编制质量高。（优得</w:t>
            </w:r>
            <w:r>
              <w:rPr>
                <w:rFonts w:hint="eastAsia"/>
                <w:color w:val="auto"/>
                <w:szCs w:val="21"/>
                <w:highlight w:val="none"/>
                <w:lang w:bidi="ar"/>
              </w:rPr>
              <w:t>3</w:t>
            </w:r>
            <w:r>
              <w:rPr>
                <w:rFonts w:hint="eastAsia" w:eastAsia="宋体"/>
                <w:color w:val="auto"/>
                <w:szCs w:val="21"/>
                <w:highlight w:val="none"/>
                <w:lang w:val="zh-CN" w:bidi="ar"/>
              </w:rPr>
              <w:t>分；良得</w:t>
            </w:r>
            <w:r>
              <w:rPr>
                <w:rFonts w:hint="eastAsia"/>
                <w:color w:val="auto"/>
                <w:szCs w:val="21"/>
                <w:highlight w:val="none"/>
                <w:lang w:bidi="ar"/>
              </w:rPr>
              <w:t>2.4</w:t>
            </w:r>
            <w:r>
              <w:rPr>
                <w:rFonts w:hint="eastAsia" w:eastAsia="宋体"/>
                <w:color w:val="auto"/>
                <w:szCs w:val="21"/>
                <w:highlight w:val="none"/>
                <w:lang w:val="zh-CN" w:bidi="ar"/>
              </w:rPr>
              <w:t>分；差得</w:t>
            </w:r>
            <w:r>
              <w:rPr>
                <w:rFonts w:hint="eastAsia"/>
                <w:color w:val="auto"/>
                <w:szCs w:val="21"/>
                <w:highlight w:val="none"/>
                <w:lang w:bidi="ar"/>
              </w:rPr>
              <w:t>1.8</w:t>
            </w:r>
            <w:r>
              <w:rPr>
                <w:rFonts w:hint="eastAsia" w:eastAsia="宋体"/>
                <w:color w:val="auto"/>
                <w:szCs w:val="21"/>
                <w:highlight w:val="none"/>
                <w:lang w:val="zh-CN" w:bidi="ar"/>
              </w:rPr>
              <w:t>分；无得0分）。</w:t>
            </w:r>
          </w:p>
        </w:tc>
      </w:tr>
      <w:tr w14:paraId="4FBFED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1" w:hRule="atLeast"/>
        </w:trPr>
        <w:tc>
          <w:tcPr>
            <w:tcW w:w="904" w:type="dxa"/>
            <w:vMerge w:val="restart"/>
            <w:vAlign w:val="center"/>
          </w:tcPr>
          <w:p w14:paraId="139F61FA">
            <w:pPr>
              <w:spacing w:before="60" w:line="401" w:lineRule="exact"/>
              <w:ind w:left="244"/>
              <w:jc w:val="center"/>
              <w:rPr>
                <w:rFonts w:ascii="Times New Roman" w:hAnsi="Times New Roman" w:eastAsia="Times New Roman"/>
                <w:color w:val="auto"/>
                <w:spacing w:val="-1"/>
                <w:position w:val="18"/>
                <w:highlight w:val="none"/>
              </w:rPr>
            </w:pPr>
            <w:r>
              <w:rPr>
                <w:rFonts w:ascii="Times New Roman" w:hAnsi="Times New Roman" w:eastAsia="Times New Roman"/>
                <w:color w:val="auto"/>
                <w:spacing w:val="-1"/>
                <w:position w:val="18"/>
                <w:highlight w:val="none"/>
              </w:rPr>
              <w:t>2.2.4</w:t>
            </w:r>
          </w:p>
          <w:p w14:paraId="3595D5D0">
            <w:pPr>
              <w:spacing w:before="60" w:line="401" w:lineRule="exact"/>
              <w:ind w:left="244"/>
              <w:jc w:val="center"/>
              <w:rPr>
                <w:rFonts w:ascii="Times New Roman" w:hAnsi="Times New Roman" w:eastAsia="Times New Roman"/>
                <w:color w:val="auto"/>
                <w:spacing w:val="-1"/>
                <w:position w:val="18"/>
                <w:highlight w:val="none"/>
              </w:rPr>
            </w:pPr>
            <w:r>
              <w:rPr>
                <w:rFonts w:ascii="Times New Roman" w:hAnsi="Times New Roman" w:eastAsia="Times New Roman"/>
                <w:color w:val="auto"/>
                <w:spacing w:val="-1"/>
                <w:position w:val="18"/>
                <w:highlight w:val="none"/>
              </w:rPr>
              <w:t>(3)</w:t>
            </w:r>
          </w:p>
        </w:tc>
        <w:tc>
          <w:tcPr>
            <w:tcW w:w="1124" w:type="dxa"/>
            <w:vMerge w:val="restart"/>
            <w:vAlign w:val="center"/>
          </w:tcPr>
          <w:p w14:paraId="48406C5C">
            <w:pPr>
              <w:jc w:val="center"/>
              <w:rPr>
                <w:color w:val="auto"/>
                <w:highlight w:val="none"/>
              </w:rPr>
            </w:pPr>
            <w:r>
              <w:rPr>
                <w:rFonts w:hint="eastAsia" w:ascii="宋体" w:hAnsi="宋体" w:eastAsia="宋体" w:cs="宋体"/>
                <w:color w:val="auto"/>
                <w:highlight w:val="none"/>
              </w:rPr>
              <w:t>投标报价</w:t>
            </w:r>
          </w:p>
          <w:p w14:paraId="2B725FCE">
            <w:pPr>
              <w:jc w:val="center"/>
              <w:rPr>
                <w:rFonts w:ascii="宋体" w:hAnsi="宋体" w:eastAsia="宋体" w:cs="宋体"/>
                <w:color w:val="auto"/>
                <w:highlight w:val="none"/>
              </w:rPr>
            </w:pPr>
            <w:r>
              <w:rPr>
                <w:rFonts w:hint="eastAsia"/>
                <w:color w:val="auto"/>
                <w:highlight w:val="none"/>
              </w:rPr>
              <w:t>评分标</w:t>
            </w:r>
            <w:r>
              <w:rPr>
                <w:rFonts w:hint="eastAsia" w:ascii="宋体" w:hAnsi="宋体" w:eastAsia="宋体" w:cs="宋体"/>
                <w:color w:val="auto"/>
                <w:highlight w:val="none"/>
              </w:rPr>
              <w:t>准</w:t>
            </w:r>
          </w:p>
          <w:p w14:paraId="535072E0">
            <w:pPr>
              <w:pStyle w:val="7"/>
              <w:rPr>
                <w:rFonts w:eastAsiaTheme="minorEastAsia"/>
                <w:color w:val="auto"/>
                <w:highlight w:val="none"/>
              </w:rPr>
            </w:pPr>
            <w:r>
              <w:rPr>
                <w:rFonts w:hint="eastAsia" w:eastAsiaTheme="minorEastAsia"/>
                <w:color w:val="auto"/>
                <w:highlight w:val="none"/>
              </w:rPr>
              <w:t>（</w:t>
            </w:r>
            <w:r>
              <w:rPr>
                <w:rFonts w:eastAsiaTheme="minorEastAsia"/>
                <w:color w:val="auto"/>
                <w:highlight w:val="none"/>
              </w:rPr>
              <w:t xml:space="preserve"> 10 </w:t>
            </w:r>
            <w:r>
              <w:rPr>
                <w:rFonts w:hint="eastAsia" w:eastAsiaTheme="minorEastAsia"/>
                <w:color w:val="auto"/>
                <w:highlight w:val="none"/>
              </w:rPr>
              <w:t>分）</w:t>
            </w:r>
          </w:p>
        </w:tc>
        <w:tc>
          <w:tcPr>
            <w:tcW w:w="2035" w:type="dxa"/>
            <w:vAlign w:val="center"/>
          </w:tcPr>
          <w:p w14:paraId="57312DCF">
            <w:pPr>
              <w:pStyle w:val="51"/>
              <w:overflowPunct w:val="0"/>
              <w:snapToGrid w:val="0"/>
              <w:spacing w:line="360" w:lineRule="auto"/>
              <w:ind w:left="210" w:leftChars="100" w:right="210" w:rightChars="100"/>
              <w:jc w:val="center"/>
              <w:rPr>
                <w:rFonts w:ascii="宋体" w:hAnsi="宋体" w:eastAsia="宋体"/>
                <w:color w:val="auto"/>
                <w:szCs w:val="21"/>
                <w:highlight w:val="none"/>
                <w:lang w:val="zh-CN"/>
              </w:rPr>
            </w:pPr>
            <w:r>
              <w:rPr>
                <w:rFonts w:hint="eastAsia" w:ascii="宋体" w:hAnsi="宋体" w:eastAsia="宋体"/>
                <w:color w:val="auto"/>
                <w:szCs w:val="21"/>
                <w:highlight w:val="none"/>
                <w:lang w:val="zh-CN"/>
              </w:rPr>
              <w:t>偏差率</w:t>
            </w:r>
          </w:p>
        </w:tc>
        <w:tc>
          <w:tcPr>
            <w:tcW w:w="5515" w:type="dxa"/>
            <w:vAlign w:val="center"/>
          </w:tcPr>
          <w:p w14:paraId="654C6871">
            <w:pPr>
              <w:pStyle w:val="51"/>
              <w:overflowPunct w:val="0"/>
              <w:snapToGrid w:val="0"/>
              <w:spacing w:line="360" w:lineRule="auto"/>
              <w:ind w:left="210" w:leftChars="100" w:right="210" w:rightChars="100"/>
              <w:rPr>
                <w:rFonts w:ascii="宋体" w:hAnsi="宋体" w:eastAsia="宋体"/>
                <w:color w:val="auto"/>
                <w:szCs w:val="21"/>
                <w:highlight w:val="none"/>
                <w:lang w:val="zh-CN"/>
              </w:rPr>
            </w:pPr>
            <w:r>
              <w:rPr>
                <w:rFonts w:hint="eastAsia" w:ascii="宋体" w:hAnsi="宋体" w:eastAsia="宋体"/>
                <w:color w:val="auto"/>
                <w:szCs w:val="21"/>
                <w:highlight w:val="none"/>
                <w:lang w:val="zh-CN"/>
              </w:rPr>
              <w:t>投标报价偏差率</w:t>
            </w:r>
            <w:r>
              <w:rPr>
                <w:rFonts w:ascii="宋体" w:hAnsi="宋体" w:eastAsia="宋体"/>
                <w:color w:val="auto"/>
                <w:szCs w:val="21"/>
                <w:highlight w:val="none"/>
                <w:lang w:val="zh-CN"/>
              </w:rPr>
              <w:t>=</w:t>
            </w:r>
            <w:r>
              <w:rPr>
                <w:rFonts w:hint="eastAsia" w:ascii="宋体" w:hAnsi="宋体" w:eastAsia="宋体"/>
                <w:color w:val="auto"/>
                <w:szCs w:val="21"/>
                <w:highlight w:val="none"/>
                <w:lang w:val="zh-CN"/>
              </w:rPr>
              <w:t>（投标报价</w:t>
            </w:r>
            <w:r>
              <w:rPr>
                <w:rFonts w:ascii="宋体" w:hAnsi="宋体" w:eastAsia="宋体"/>
                <w:color w:val="auto"/>
                <w:szCs w:val="21"/>
                <w:highlight w:val="none"/>
                <w:lang w:val="zh-CN"/>
              </w:rPr>
              <w:t>-</w:t>
            </w:r>
            <w:r>
              <w:rPr>
                <w:rFonts w:hint="eastAsia" w:ascii="宋体" w:hAnsi="宋体" w:eastAsia="宋体"/>
                <w:color w:val="auto"/>
                <w:szCs w:val="21"/>
                <w:highlight w:val="none"/>
                <w:lang w:val="zh-CN"/>
              </w:rPr>
              <w:t>评标基准价）</w:t>
            </w:r>
            <w:r>
              <w:rPr>
                <w:rFonts w:ascii="宋体" w:hAnsi="宋体" w:eastAsia="宋体"/>
                <w:color w:val="auto"/>
                <w:szCs w:val="21"/>
                <w:highlight w:val="none"/>
                <w:lang w:val="zh-CN"/>
              </w:rPr>
              <w:t>/</w:t>
            </w:r>
            <w:r>
              <w:rPr>
                <w:rFonts w:hint="eastAsia" w:ascii="宋体" w:hAnsi="宋体" w:eastAsia="宋体"/>
                <w:color w:val="auto"/>
                <w:szCs w:val="21"/>
                <w:highlight w:val="none"/>
                <w:lang w:val="zh-CN"/>
              </w:rPr>
              <w:t>评标基准价×</w:t>
            </w:r>
            <w:r>
              <w:rPr>
                <w:rFonts w:ascii="宋体" w:hAnsi="宋体" w:eastAsia="宋体"/>
                <w:color w:val="auto"/>
                <w:szCs w:val="21"/>
                <w:highlight w:val="none"/>
                <w:lang w:val="zh-CN"/>
              </w:rPr>
              <w:t>100%</w:t>
            </w:r>
            <w:r>
              <w:rPr>
                <w:rFonts w:hint="eastAsia" w:ascii="宋体" w:hAnsi="宋体" w:eastAsia="宋体"/>
                <w:color w:val="auto"/>
                <w:szCs w:val="21"/>
                <w:highlight w:val="none"/>
                <w:lang w:val="zh-CN"/>
              </w:rPr>
              <w:t>。</w:t>
            </w:r>
          </w:p>
        </w:tc>
      </w:tr>
      <w:tr w14:paraId="0B3321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92" w:hRule="atLeast"/>
        </w:trPr>
        <w:tc>
          <w:tcPr>
            <w:tcW w:w="904" w:type="dxa"/>
            <w:vMerge w:val="continue"/>
          </w:tcPr>
          <w:p w14:paraId="79A4DC12">
            <w:pPr>
              <w:spacing w:before="60" w:line="401" w:lineRule="exact"/>
              <w:ind w:left="244"/>
              <w:jc w:val="center"/>
              <w:rPr>
                <w:rFonts w:ascii="Times New Roman" w:hAnsi="Times New Roman" w:eastAsia="Times New Roman"/>
                <w:color w:val="auto"/>
                <w:spacing w:val="-1"/>
                <w:position w:val="18"/>
                <w:highlight w:val="none"/>
              </w:rPr>
            </w:pPr>
          </w:p>
        </w:tc>
        <w:tc>
          <w:tcPr>
            <w:tcW w:w="1124" w:type="dxa"/>
            <w:vMerge w:val="continue"/>
          </w:tcPr>
          <w:p w14:paraId="6D92CC84">
            <w:pPr>
              <w:rPr>
                <w:color w:val="auto"/>
                <w:highlight w:val="none"/>
              </w:rPr>
            </w:pPr>
          </w:p>
        </w:tc>
        <w:tc>
          <w:tcPr>
            <w:tcW w:w="2035" w:type="dxa"/>
            <w:vAlign w:val="center"/>
          </w:tcPr>
          <w:p w14:paraId="5A28B38A">
            <w:pPr>
              <w:pStyle w:val="51"/>
              <w:overflowPunct w:val="0"/>
              <w:snapToGrid w:val="0"/>
              <w:spacing w:line="360" w:lineRule="auto"/>
              <w:ind w:left="210" w:leftChars="100" w:right="210" w:rightChars="100"/>
              <w:jc w:val="center"/>
              <w:rPr>
                <w:rFonts w:ascii="宋体" w:hAnsi="宋体" w:eastAsia="宋体"/>
                <w:color w:val="auto"/>
                <w:szCs w:val="21"/>
                <w:highlight w:val="none"/>
                <w:lang w:val="zh-CN"/>
              </w:rPr>
            </w:pPr>
          </w:p>
          <w:p w14:paraId="1002D122">
            <w:pPr>
              <w:pStyle w:val="51"/>
              <w:overflowPunct w:val="0"/>
              <w:snapToGrid w:val="0"/>
              <w:spacing w:line="360" w:lineRule="auto"/>
              <w:ind w:left="210" w:leftChars="100" w:right="210" w:rightChars="100"/>
              <w:jc w:val="center"/>
              <w:rPr>
                <w:rFonts w:ascii="宋体" w:hAnsi="宋体" w:eastAsia="宋体"/>
                <w:color w:val="auto"/>
                <w:szCs w:val="21"/>
                <w:highlight w:val="none"/>
                <w:lang w:val="zh-CN"/>
              </w:rPr>
            </w:pPr>
            <w:r>
              <w:rPr>
                <w:rFonts w:hint="eastAsia" w:ascii="宋体" w:hAnsi="宋体" w:eastAsia="宋体"/>
                <w:color w:val="auto"/>
                <w:szCs w:val="21"/>
                <w:highlight w:val="none"/>
                <w:lang w:val="zh-CN"/>
              </w:rPr>
              <w:t>投标报价评审</w:t>
            </w:r>
          </w:p>
          <w:p w14:paraId="4384BA95">
            <w:pPr>
              <w:pStyle w:val="51"/>
              <w:overflowPunct w:val="0"/>
              <w:snapToGrid w:val="0"/>
              <w:spacing w:line="360" w:lineRule="auto"/>
              <w:ind w:left="210" w:leftChars="100" w:right="210" w:rightChars="100"/>
              <w:jc w:val="center"/>
              <w:rPr>
                <w:rFonts w:ascii="宋体" w:hAnsi="宋体" w:eastAsia="宋体"/>
                <w:color w:val="auto"/>
                <w:szCs w:val="21"/>
                <w:highlight w:val="none"/>
                <w:lang w:val="zh-CN"/>
              </w:rPr>
            </w:pPr>
            <w:r>
              <w:rPr>
                <w:rFonts w:hint="eastAsia" w:ascii="宋体" w:hAnsi="宋体" w:eastAsia="宋体"/>
                <w:color w:val="auto"/>
                <w:szCs w:val="21"/>
                <w:highlight w:val="none"/>
                <w:lang w:val="zh-CN"/>
              </w:rPr>
              <w:t>（ 10 分）</w:t>
            </w:r>
          </w:p>
        </w:tc>
        <w:tc>
          <w:tcPr>
            <w:tcW w:w="5515" w:type="dxa"/>
            <w:vAlign w:val="center"/>
          </w:tcPr>
          <w:p w14:paraId="06994440">
            <w:pPr>
              <w:pStyle w:val="51"/>
              <w:overflowPunct w:val="0"/>
              <w:snapToGrid w:val="0"/>
              <w:spacing w:line="360" w:lineRule="auto"/>
              <w:ind w:left="210" w:leftChars="100" w:right="210" w:rightChars="100"/>
              <w:rPr>
                <w:rFonts w:ascii="宋体" w:hAnsi="宋体" w:eastAsia="宋体"/>
                <w:color w:val="auto"/>
                <w:szCs w:val="21"/>
                <w:highlight w:val="none"/>
                <w:lang w:val="zh-CN"/>
              </w:rPr>
            </w:pPr>
            <w:r>
              <w:rPr>
                <w:rFonts w:ascii="宋体" w:hAnsi="宋体" w:eastAsia="宋体"/>
                <w:color w:val="auto"/>
                <w:szCs w:val="21"/>
                <w:highlight w:val="none"/>
                <w:lang w:val="zh-CN"/>
              </w:rPr>
              <w:t>投标人的投标报价等于评标基准价的得10分，投标报价比评标基准价每高1%扣</w:t>
            </w:r>
            <w:r>
              <w:rPr>
                <w:rFonts w:hint="eastAsia" w:ascii="宋体" w:hAnsi="宋体" w:eastAsia="宋体"/>
                <w:color w:val="auto"/>
                <w:szCs w:val="21"/>
                <w:highlight w:val="none"/>
                <w:lang w:val="zh-CN"/>
              </w:rPr>
              <w:t>0.</w:t>
            </w:r>
            <w:r>
              <w:rPr>
                <w:rFonts w:ascii="宋体" w:hAnsi="宋体" w:eastAsia="宋体"/>
                <w:color w:val="auto"/>
                <w:szCs w:val="21"/>
                <w:highlight w:val="none"/>
                <w:lang w:val="zh-CN"/>
              </w:rPr>
              <w:t xml:space="preserve">2分；每低1%扣 </w:t>
            </w:r>
            <w:r>
              <w:rPr>
                <w:rFonts w:hint="eastAsia" w:ascii="宋体" w:hAnsi="宋体" w:eastAsia="宋体"/>
                <w:color w:val="auto"/>
                <w:szCs w:val="21"/>
                <w:highlight w:val="none"/>
                <w:lang w:val="zh-CN"/>
              </w:rPr>
              <w:t>0.</w:t>
            </w:r>
            <w:r>
              <w:rPr>
                <w:rFonts w:ascii="宋体" w:hAnsi="宋体" w:eastAsia="宋体"/>
                <w:color w:val="auto"/>
                <w:szCs w:val="21"/>
                <w:highlight w:val="none"/>
                <w:lang w:val="zh-CN"/>
              </w:rPr>
              <w:t>1 分，扣至0分为止。</w:t>
            </w:r>
          </w:p>
        </w:tc>
      </w:tr>
      <w:tr w14:paraId="7E3E46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904" w:type="dxa"/>
            <w:vAlign w:val="center"/>
          </w:tcPr>
          <w:p w14:paraId="13CF6BFC">
            <w:pPr>
              <w:spacing w:before="60" w:line="401" w:lineRule="exact"/>
              <w:ind w:left="244"/>
              <w:jc w:val="center"/>
              <w:rPr>
                <w:rFonts w:ascii="Times New Roman" w:hAnsi="Times New Roman" w:eastAsia="Times New Roman"/>
                <w:color w:val="auto"/>
                <w:spacing w:val="-1"/>
                <w:position w:val="18"/>
                <w:highlight w:val="none"/>
              </w:rPr>
            </w:pPr>
            <w:r>
              <w:rPr>
                <w:rFonts w:ascii="Times New Roman" w:hAnsi="Times New Roman" w:eastAsia="Times New Roman"/>
                <w:color w:val="auto"/>
                <w:spacing w:val="-1"/>
                <w:position w:val="18"/>
                <w:highlight w:val="none"/>
              </w:rPr>
              <w:t>2.2.4</w:t>
            </w:r>
          </w:p>
          <w:p w14:paraId="5422FD82">
            <w:pPr>
              <w:spacing w:before="60" w:line="401" w:lineRule="exact"/>
              <w:ind w:left="244"/>
              <w:jc w:val="center"/>
              <w:rPr>
                <w:rFonts w:ascii="Times New Roman" w:hAnsi="Times New Roman" w:eastAsia="Times New Roman"/>
                <w:color w:val="auto"/>
                <w:spacing w:val="-1"/>
                <w:position w:val="18"/>
                <w:highlight w:val="none"/>
              </w:rPr>
            </w:pPr>
            <w:r>
              <w:rPr>
                <w:rFonts w:ascii="Times New Roman" w:hAnsi="Times New Roman" w:eastAsia="Times New Roman"/>
                <w:color w:val="auto"/>
                <w:spacing w:val="-1"/>
                <w:position w:val="18"/>
                <w:highlight w:val="none"/>
              </w:rPr>
              <w:t>(4)</w:t>
            </w:r>
          </w:p>
        </w:tc>
        <w:tc>
          <w:tcPr>
            <w:tcW w:w="1124" w:type="dxa"/>
            <w:vAlign w:val="center"/>
          </w:tcPr>
          <w:p w14:paraId="64C7841A">
            <w:pPr>
              <w:jc w:val="center"/>
              <w:rPr>
                <w:rFonts w:ascii="宋体" w:hAnsi="宋体" w:eastAsia="宋体" w:cs="宋体"/>
                <w:color w:val="auto"/>
                <w:highlight w:val="none"/>
              </w:rPr>
            </w:pPr>
            <w:r>
              <w:rPr>
                <w:rFonts w:ascii="宋体" w:hAnsi="宋体" w:eastAsia="宋体" w:cs="宋体"/>
                <w:color w:val="auto"/>
                <w:highlight w:val="none"/>
              </w:rPr>
              <w:t>其他因素</w:t>
            </w:r>
          </w:p>
          <w:p w14:paraId="2160D102">
            <w:pPr>
              <w:jc w:val="center"/>
              <w:rPr>
                <w:color w:val="auto"/>
                <w:highlight w:val="none"/>
              </w:rPr>
            </w:pPr>
            <w:r>
              <w:rPr>
                <w:rFonts w:ascii="宋体" w:hAnsi="宋体" w:eastAsia="宋体" w:cs="宋体"/>
                <w:color w:val="auto"/>
                <w:highlight w:val="none"/>
              </w:rPr>
              <w:t>评分标准</w:t>
            </w:r>
          </w:p>
        </w:tc>
        <w:tc>
          <w:tcPr>
            <w:tcW w:w="2035" w:type="dxa"/>
            <w:vAlign w:val="center"/>
          </w:tcPr>
          <w:p w14:paraId="636A3164">
            <w:pPr>
              <w:spacing w:line="360" w:lineRule="auto"/>
              <w:jc w:val="center"/>
              <w:rPr>
                <w:rFonts w:eastAsia="宋体"/>
                <w:color w:val="auto"/>
                <w:highlight w:val="none"/>
              </w:rPr>
            </w:pPr>
            <w:r>
              <w:rPr>
                <w:rFonts w:hint="eastAsia" w:eastAsia="宋体"/>
                <w:color w:val="auto"/>
                <w:highlight w:val="none"/>
              </w:rPr>
              <w:t>/</w:t>
            </w:r>
          </w:p>
        </w:tc>
        <w:tc>
          <w:tcPr>
            <w:tcW w:w="5515" w:type="dxa"/>
            <w:vAlign w:val="center"/>
          </w:tcPr>
          <w:p w14:paraId="6ACDCE06">
            <w:pPr>
              <w:spacing w:line="360" w:lineRule="auto"/>
              <w:jc w:val="center"/>
              <w:rPr>
                <w:rFonts w:eastAsia="宋体"/>
                <w:color w:val="auto"/>
                <w:highlight w:val="none"/>
              </w:rPr>
            </w:pPr>
            <w:r>
              <w:rPr>
                <w:rFonts w:hint="eastAsia" w:eastAsia="宋体"/>
                <w:color w:val="auto"/>
                <w:highlight w:val="none"/>
              </w:rPr>
              <w:t>/</w:t>
            </w:r>
          </w:p>
        </w:tc>
      </w:tr>
    </w:tbl>
    <w:p w14:paraId="10D41B52">
      <w:pPr>
        <w:rPr>
          <w:vanish/>
          <w:color w:val="auto"/>
          <w:highlight w:val="none"/>
        </w:rPr>
      </w:pPr>
    </w:p>
    <w:p w14:paraId="7DD2A336">
      <w:pPr>
        <w:rPr>
          <w:vanish/>
          <w:color w:val="auto"/>
          <w:highlight w:val="none"/>
        </w:rPr>
      </w:pPr>
    </w:p>
    <w:p w14:paraId="7056B452">
      <w:pPr>
        <w:pStyle w:val="53"/>
        <w:ind w:firstLine="0" w:firstLineChars="0"/>
        <w:rPr>
          <w:color w:val="auto"/>
          <w:highlight w:val="none"/>
        </w:rPr>
        <w:sectPr>
          <w:footerReference r:id="rId13" w:type="default"/>
          <w:pgSz w:w="12240" w:h="15840"/>
          <w:pgMar w:top="1346" w:right="1360" w:bottom="1104" w:left="1689" w:header="0" w:footer="940" w:gutter="0"/>
          <w:cols w:space="720" w:num="1"/>
        </w:sectPr>
      </w:pPr>
    </w:p>
    <w:p w14:paraId="7CAEDC9C">
      <w:pPr>
        <w:pStyle w:val="53"/>
        <w:ind w:firstLine="0" w:firstLineChars="0"/>
        <w:rPr>
          <w:color w:val="auto"/>
          <w:highlight w:val="none"/>
        </w:rPr>
      </w:pPr>
    </w:p>
    <w:p w14:paraId="216A665C">
      <w:pPr>
        <w:spacing w:line="360" w:lineRule="auto"/>
        <w:ind w:firstLine="560" w:firstLineChars="200"/>
        <w:jc w:val="center"/>
        <w:rPr>
          <w:rFonts w:ascii="黑体" w:hAnsi="黑体" w:eastAsia="黑体"/>
          <w:color w:val="auto"/>
          <w:sz w:val="28"/>
          <w:szCs w:val="27"/>
          <w:highlight w:val="none"/>
        </w:rPr>
      </w:pPr>
      <w:r>
        <w:rPr>
          <w:rFonts w:hint="eastAsia" w:ascii="黑体" w:hAnsi="黑体" w:eastAsia="黑体"/>
          <w:color w:val="auto"/>
          <w:sz w:val="28"/>
          <w:szCs w:val="27"/>
          <w:highlight w:val="none"/>
        </w:rPr>
        <w:t>评标办法修改表</w:t>
      </w:r>
    </w:p>
    <w:p w14:paraId="5C6BCFEC">
      <w:pPr>
        <w:pStyle w:val="45"/>
        <w:spacing w:after="0" w:line="360" w:lineRule="auto"/>
        <w:rPr>
          <w:rFonts w:ascii="宋体" w:hAnsi="宋体" w:eastAsia="宋体"/>
          <w:color w:val="auto"/>
          <w:sz w:val="24"/>
          <w:szCs w:val="24"/>
          <w:highlight w:val="none"/>
        </w:rPr>
      </w:pPr>
      <w:r>
        <w:rPr>
          <w:rFonts w:hint="eastAsia" w:ascii="宋体" w:hAnsi="宋体" w:eastAsia="宋体"/>
          <w:color w:val="auto"/>
          <w:sz w:val="24"/>
          <w:highlight w:val="none"/>
        </w:rPr>
        <w:t>声明：本评标办法使用</w:t>
      </w:r>
      <w:r>
        <w:rPr>
          <w:rFonts w:hint="eastAsia" w:ascii="仿宋_GB2312" w:hAnsi="宋体" w:eastAsia="仿宋_GB2312"/>
          <w:color w:val="auto"/>
          <w:sz w:val="24"/>
          <w:szCs w:val="24"/>
          <w:highlight w:val="none"/>
        </w:rPr>
        <w:t>SWZB2024-11</w:t>
      </w:r>
      <w:r>
        <w:rPr>
          <w:rFonts w:hint="eastAsia" w:ascii="宋体" w:hAnsi="宋体" w:eastAsia="宋体"/>
          <w:color w:val="auto"/>
          <w:sz w:val="24"/>
          <w:szCs w:val="24"/>
          <w:highlight w:val="none"/>
        </w:rPr>
        <w:t>招标文件范本的评标办法条款，与该条款不同之处，均在本表中列明，并以现文为准，原文不再有效。</w:t>
      </w:r>
    </w:p>
    <w:p w14:paraId="6C456477">
      <w:pPr>
        <w:spacing w:line="480" w:lineRule="auto"/>
        <w:ind w:firstLine="540" w:firstLineChars="224"/>
        <w:rPr>
          <w:rFonts w:ascii="宋体" w:hAnsi="宋体" w:eastAsia="宋体"/>
          <w:color w:val="auto"/>
          <w:sz w:val="24"/>
          <w:szCs w:val="24"/>
          <w:highlight w:val="none"/>
        </w:rPr>
      </w:pPr>
      <w:r>
        <w:rPr>
          <w:rFonts w:ascii="宋体" w:hAnsi="宋体" w:eastAsia="宋体"/>
          <w:b/>
          <w:bCs/>
          <w:color w:val="auto"/>
          <w:sz w:val="24"/>
          <w:szCs w:val="24"/>
          <w:highlight w:val="none"/>
        </w:rPr>
        <w:t>条款号</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评标办法</w:t>
      </w:r>
      <w:r>
        <w:rPr>
          <w:rFonts w:ascii="宋体" w:hAnsi="宋体" w:eastAsia="宋体"/>
          <w:color w:val="auto"/>
          <w:sz w:val="24"/>
          <w:szCs w:val="24"/>
          <w:highlight w:val="none"/>
        </w:rPr>
        <w:t>(</w:t>
      </w:r>
      <w:r>
        <w:rPr>
          <w:rFonts w:hint="eastAsia" w:ascii="宋体" w:hAnsi="宋体" w:eastAsia="宋体"/>
          <w:color w:val="auto"/>
          <w:sz w:val="24"/>
          <w:szCs w:val="24"/>
          <w:highlight w:val="none"/>
        </w:rPr>
        <w:t>综合评估法</w:t>
      </w:r>
      <w:r>
        <w:rPr>
          <w:rFonts w:ascii="宋体" w:hAnsi="宋体" w:eastAsia="宋体"/>
          <w:color w:val="auto"/>
          <w:sz w:val="24"/>
          <w:szCs w:val="24"/>
          <w:highlight w:val="none"/>
        </w:rPr>
        <w:t>)</w:t>
      </w:r>
      <w:r>
        <w:rPr>
          <w:rFonts w:hint="eastAsia" w:ascii="宋体" w:hAnsi="宋体" w:eastAsia="宋体"/>
          <w:color w:val="auto"/>
          <w:sz w:val="24"/>
          <w:szCs w:val="24"/>
          <w:highlight w:val="none"/>
        </w:rPr>
        <w:t>（暗标形式）</w:t>
      </w:r>
      <w:r>
        <w:rPr>
          <w:rFonts w:ascii="宋体" w:hAnsi="宋体" w:eastAsia="宋体"/>
          <w:color w:val="auto"/>
          <w:sz w:val="24"/>
          <w:szCs w:val="24"/>
          <w:highlight w:val="none"/>
        </w:rPr>
        <w:t xml:space="preserve">   </w:t>
      </w:r>
      <w:r>
        <w:rPr>
          <w:rFonts w:ascii="宋体" w:hAnsi="宋体" w:eastAsia="宋体"/>
          <w:b/>
          <w:bCs/>
          <w:color w:val="auto"/>
          <w:sz w:val="24"/>
          <w:szCs w:val="24"/>
          <w:highlight w:val="none"/>
        </w:rPr>
        <w:t xml:space="preserve"> 修改类型：删除</w:t>
      </w:r>
    </w:p>
    <w:p w14:paraId="420E1449">
      <w:pPr>
        <w:spacing w:line="480" w:lineRule="auto"/>
        <w:ind w:firstLine="538" w:firstLineChars="224"/>
        <w:rPr>
          <w:rFonts w:ascii="宋体" w:hAnsi="宋体"/>
          <w:b/>
          <w:bCs/>
          <w:color w:val="auto"/>
          <w:sz w:val="24"/>
          <w:highlight w:val="none"/>
        </w:rPr>
      </w:pPr>
      <w:r>
        <w:rPr>
          <w:rFonts w:hint="eastAsia" w:ascii="宋体" w:hAnsi="宋体"/>
          <w:b/>
          <w:bCs/>
          <w:color w:val="auto"/>
          <w:sz w:val="24"/>
          <w:highlight w:val="none"/>
        </w:rPr>
        <w:t>条款号</w:t>
      </w:r>
      <w:r>
        <w:rPr>
          <w:rFonts w:hint="eastAsia" w:ascii="宋体" w:hAnsi="宋体"/>
          <w:color w:val="auto"/>
          <w:sz w:val="24"/>
          <w:highlight w:val="none"/>
        </w:rPr>
        <w:t>：</w:t>
      </w:r>
      <w:r>
        <w:rPr>
          <w:rFonts w:hint="eastAsia" w:ascii="宋体" w:hAnsi="宋体" w:eastAsia="宋体"/>
          <w:color w:val="auto"/>
          <w:sz w:val="24"/>
          <w:highlight w:val="none"/>
        </w:rPr>
        <w:t>3.2.1</w:t>
      </w:r>
      <w:r>
        <w:rPr>
          <w:rFonts w:hint="eastAsia" w:ascii="宋体" w:hAnsi="宋体"/>
          <w:color w:val="auto"/>
          <w:sz w:val="24"/>
          <w:highlight w:val="none"/>
        </w:rPr>
        <w:t xml:space="preserve">             </w:t>
      </w:r>
      <w:r>
        <w:rPr>
          <w:rFonts w:hint="eastAsia" w:ascii="宋体" w:hAnsi="宋体"/>
          <w:b/>
          <w:bCs/>
          <w:color w:val="auto"/>
          <w:sz w:val="24"/>
          <w:highlight w:val="none"/>
        </w:rPr>
        <w:t>修改类型：修改</w:t>
      </w:r>
    </w:p>
    <w:p w14:paraId="64EB3273">
      <w:pPr>
        <w:tabs>
          <w:tab w:val="left" w:pos="532"/>
        </w:tabs>
        <w:spacing w:before="69" w:line="352" w:lineRule="auto"/>
        <w:ind w:left="428" w:hanging="5"/>
        <w:rPr>
          <w:rFonts w:ascii="宋体" w:hAnsi="宋体"/>
          <w:b/>
          <w:bCs/>
          <w:color w:val="auto"/>
          <w:sz w:val="24"/>
          <w:highlight w:val="none"/>
        </w:rPr>
      </w:pPr>
      <w:r>
        <w:rPr>
          <w:rFonts w:hint="eastAsia" w:ascii="宋体" w:hAnsi="宋体"/>
          <w:b/>
          <w:bCs/>
          <w:color w:val="auto"/>
          <w:sz w:val="24"/>
          <w:highlight w:val="none"/>
        </w:rPr>
        <w:t>原文</w:t>
      </w:r>
      <w:r>
        <w:rPr>
          <w:rFonts w:hint="eastAsia" w:ascii="宋体" w:hAnsi="宋体"/>
          <w:color w:val="auto"/>
          <w:sz w:val="24"/>
          <w:highlight w:val="none"/>
        </w:rPr>
        <w:t>：</w:t>
      </w:r>
      <w:r>
        <w:rPr>
          <w:rFonts w:ascii="宋体" w:hAnsi="宋体" w:eastAsia="宋体"/>
          <w:color w:val="auto"/>
          <w:spacing w:val="4"/>
          <w:highlight w:val="none"/>
        </w:rPr>
        <w:t>(</w:t>
      </w:r>
      <w:r>
        <w:rPr>
          <w:rFonts w:ascii="Times New Roman" w:hAnsi="Times New Roman" w:eastAsia="Times New Roman"/>
          <w:color w:val="auto"/>
          <w:spacing w:val="4"/>
          <w:highlight w:val="none"/>
        </w:rPr>
        <w:t>1</w:t>
      </w:r>
      <w:r>
        <w:rPr>
          <w:rFonts w:ascii="宋体" w:hAnsi="宋体" w:eastAsia="宋体"/>
          <w:color w:val="auto"/>
          <w:spacing w:val="3"/>
          <w:highlight w:val="none"/>
        </w:rPr>
        <w:t>)</w:t>
      </w:r>
      <w:r>
        <w:rPr>
          <w:rFonts w:ascii="宋体" w:hAnsi="宋体" w:eastAsia="宋体"/>
          <w:color w:val="auto"/>
          <w:spacing w:val="2"/>
          <w:highlight w:val="none"/>
        </w:rPr>
        <w:t xml:space="preserve">按本章第 </w:t>
      </w:r>
      <w:r>
        <w:rPr>
          <w:rFonts w:ascii="Times New Roman" w:hAnsi="Times New Roman" w:eastAsia="Times New Roman"/>
          <w:color w:val="auto"/>
          <w:spacing w:val="2"/>
          <w:highlight w:val="none"/>
        </w:rPr>
        <w:t xml:space="preserve">2.2.4  </w:t>
      </w:r>
      <w:r>
        <w:rPr>
          <w:rFonts w:ascii="宋体" w:hAnsi="宋体" w:eastAsia="宋体"/>
          <w:color w:val="auto"/>
          <w:spacing w:val="2"/>
          <w:highlight w:val="none"/>
        </w:rPr>
        <w:t>(</w:t>
      </w:r>
      <w:r>
        <w:rPr>
          <w:rFonts w:ascii="Times New Roman" w:hAnsi="Times New Roman" w:eastAsia="Times New Roman"/>
          <w:color w:val="auto"/>
          <w:spacing w:val="2"/>
          <w:highlight w:val="none"/>
        </w:rPr>
        <w:t>1</w:t>
      </w:r>
      <w:r>
        <w:rPr>
          <w:rFonts w:ascii="宋体" w:hAnsi="宋体" w:eastAsia="宋体"/>
          <w:color w:val="auto"/>
          <w:spacing w:val="2"/>
          <w:highlight w:val="none"/>
        </w:rPr>
        <w:t>)目规定的评审因素和分值对资信业绩部分计算出得分</w:t>
      </w:r>
      <w:r>
        <w:rPr>
          <w:rFonts w:ascii="Times New Roman" w:hAnsi="Times New Roman" w:eastAsia="Times New Roman"/>
          <w:color w:val="auto"/>
          <w:highlight w:val="none"/>
        </w:rPr>
        <w:t>A</w:t>
      </w:r>
      <w:r>
        <w:rPr>
          <w:rFonts w:hint="eastAsia" w:ascii="Times New Roman" w:hAnsi="Times New Roman" w:eastAsia="宋体"/>
          <w:color w:val="auto"/>
          <w:highlight w:val="none"/>
        </w:rPr>
        <w:t>，</w:t>
      </w:r>
      <w:r>
        <w:rPr>
          <w:color w:val="auto"/>
          <w:highlight w:val="none"/>
          <w:u w:val="single"/>
        </w:rPr>
        <w:t>资信业绩部分评审得分A为各评标专家打分的算术平均值</w:t>
      </w:r>
      <w:r>
        <w:rPr>
          <w:rFonts w:ascii="宋体" w:hAnsi="宋体" w:eastAsia="宋体"/>
          <w:color w:val="auto"/>
          <w:spacing w:val="2"/>
          <w:highlight w:val="none"/>
        </w:rPr>
        <w:t>；</w:t>
      </w:r>
    </w:p>
    <w:p w14:paraId="2A16645A">
      <w:pPr>
        <w:tabs>
          <w:tab w:val="left" w:pos="532"/>
        </w:tabs>
        <w:spacing w:before="69" w:line="352" w:lineRule="auto"/>
        <w:ind w:left="428" w:hanging="5"/>
        <w:rPr>
          <w:rFonts w:ascii="宋体" w:hAnsi="宋体" w:eastAsia="宋体"/>
          <w:color w:val="auto"/>
          <w:spacing w:val="2"/>
          <w:highlight w:val="none"/>
        </w:rPr>
      </w:pPr>
      <w:r>
        <w:rPr>
          <w:rFonts w:ascii="宋体" w:hAnsi="宋体" w:eastAsia="宋体"/>
          <w:color w:val="auto"/>
          <w:spacing w:val="2"/>
          <w:highlight w:val="none"/>
        </w:rPr>
        <w:t>(</w:t>
      </w:r>
      <w:r>
        <w:rPr>
          <w:rFonts w:ascii="Times New Roman" w:hAnsi="Times New Roman" w:eastAsia="Times New Roman"/>
          <w:color w:val="auto"/>
          <w:spacing w:val="2"/>
          <w:highlight w:val="none"/>
        </w:rPr>
        <w:t>2</w:t>
      </w:r>
      <w:r>
        <w:rPr>
          <w:rFonts w:ascii="宋体" w:hAnsi="宋体" w:eastAsia="宋体"/>
          <w:color w:val="auto"/>
          <w:spacing w:val="2"/>
          <w:highlight w:val="none"/>
        </w:rPr>
        <w:t xml:space="preserve">)按本章第 </w:t>
      </w:r>
      <w:r>
        <w:rPr>
          <w:rFonts w:ascii="Times New Roman" w:hAnsi="Times New Roman" w:eastAsia="Times New Roman"/>
          <w:color w:val="auto"/>
          <w:spacing w:val="2"/>
          <w:highlight w:val="none"/>
        </w:rPr>
        <w:t xml:space="preserve">2.2.4  </w:t>
      </w:r>
      <w:r>
        <w:rPr>
          <w:rFonts w:ascii="宋体" w:hAnsi="宋体" w:eastAsia="宋体"/>
          <w:color w:val="auto"/>
          <w:spacing w:val="2"/>
          <w:highlight w:val="none"/>
        </w:rPr>
        <w:t>(</w:t>
      </w:r>
      <w:r>
        <w:rPr>
          <w:rFonts w:ascii="Times New Roman" w:hAnsi="Times New Roman" w:eastAsia="Times New Roman"/>
          <w:color w:val="auto"/>
          <w:spacing w:val="2"/>
          <w:highlight w:val="none"/>
        </w:rPr>
        <w:t>2</w:t>
      </w:r>
      <w:r>
        <w:rPr>
          <w:rFonts w:ascii="宋体" w:hAnsi="宋体" w:eastAsia="宋体"/>
          <w:color w:val="auto"/>
          <w:spacing w:val="2"/>
          <w:highlight w:val="none"/>
        </w:rPr>
        <w:t>)目规定</w:t>
      </w:r>
      <w:r>
        <w:rPr>
          <w:rFonts w:ascii="宋体" w:hAnsi="宋体" w:eastAsia="宋体"/>
          <w:color w:val="auto"/>
          <w:spacing w:val="1"/>
          <w:highlight w:val="none"/>
        </w:rPr>
        <w:t>的评审因素和分值对</w:t>
      </w:r>
      <w:r>
        <w:rPr>
          <w:rFonts w:hint="eastAsia" w:ascii="宋体" w:hAnsi="宋体" w:eastAsia="宋体"/>
          <w:color w:val="auto"/>
          <w:spacing w:val="1"/>
          <w:highlight w:val="none"/>
        </w:rPr>
        <w:t>设计</w:t>
      </w:r>
      <w:r>
        <w:rPr>
          <w:rFonts w:ascii="宋体" w:hAnsi="宋体" w:eastAsia="宋体"/>
          <w:color w:val="auto"/>
          <w:spacing w:val="1"/>
          <w:highlight w:val="none"/>
        </w:rPr>
        <w:t>方案部分计算出得分</w:t>
      </w:r>
      <w:r>
        <w:rPr>
          <w:rFonts w:ascii="Times New Roman" w:hAnsi="Times New Roman" w:eastAsia="Times New Roman"/>
          <w:color w:val="auto"/>
          <w:highlight w:val="none"/>
        </w:rPr>
        <w:t>B</w:t>
      </w:r>
      <w:r>
        <w:rPr>
          <w:color w:val="auto"/>
          <w:highlight w:val="none"/>
        </w:rPr>
        <w:t>，</w:t>
      </w:r>
      <w:r>
        <w:rPr>
          <w:color w:val="auto"/>
          <w:highlight w:val="none"/>
          <w:u w:val="single"/>
        </w:rPr>
        <w:fldChar w:fldCharType="begin"/>
      </w:r>
      <w:r>
        <w:rPr>
          <w:color w:val="auto"/>
          <w:highlight w:val="none"/>
          <w:u w:val="single"/>
        </w:rPr>
        <w:instrText xml:space="preserve"> = 1 \* GB3 \* MERGEFORMAT </w:instrText>
      </w:r>
      <w:r>
        <w:rPr>
          <w:color w:val="auto"/>
          <w:highlight w:val="none"/>
          <w:u w:val="single"/>
        </w:rPr>
        <w:fldChar w:fldCharType="separate"/>
      </w:r>
      <w:r>
        <w:rPr>
          <w:color w:val="auto"/>
          <w:highlight w:val="none"/>
          <w:u w:val="single"/>
        </w:rPr>
        <w:t>①</w:t>
      </w:r>
      <w:r>
        <w:rPr>
          <w:color w:val="auto"/>
          <w:highlight w:val="none"/>
          <w:u w:val="single"/>
        </w:rPr>
        <w:fldChar w:fldCharType="end"/>
      </w:r>
      <w:r>
        <w:rPr>
          <w:rFonts w:hint="eastAsia" w:eastAsia="宋体"/>
          <w:color w:val="auto"/>
          <w:highlight w:val="none"/>
          <w:u w:val="single"/>
        </w:rPr>
        <w:t>设计</w:t>
      </w:r>
      <w:r>
        <w:rPr>
          <w:rFonts w:hint="eastAsia"/>
          <w:color w:val="auto"/>
          <w:highlight w:val="none"/>
          <w:u w:val="single"/>
        </w:rPr>
        <w:t>方案</w:t>
      </w:r>
      <w:r>
        <w:rPr>
          <w:color w:val="auto"/>
          <w:highlight w:val="none"/>
          <w:u w:val="single"/>
        </w:rPr>
        <w:t>部分评审得分</w:t>
      </w:r>
      <w:r>
        <w:rPr>
          <w:color w:val="auto"/>
          <w:highlight w:val="none"/>
        </w:rPr>
        <w:t>B</w:t>
      </w:r>
      <w:r>
        <w:rPr>
          <w:color w:val="auto"/>
          <w:highlight w:val="none"/>
          <w:u w:val="single"/>
        </w:rPr>
        <w:t>为从各评标专家打分中去掉一个最高分和去掉一个最低分后的剩余评标专家打分的算术平均值或</w:t>
      </w:r>
      <w:r>
        <w:rPr>
          <w:color w:val="auto"/>
          <w:highlight w:val="none"/>
          <w:u w:val="single"/>
        </w:rPr>
        <w:fldChar w:fldCharType="begin"/>
      </w:r>
      <w:r>
        <w:rPr>
          <w:color w:val="auto"/>
          <w:highlight w:val="none"/>
          <w:u w:val="single"/>
        </w:rPr>
        <w:instrText xml:space="preserve"> = 2 \* GB3 \* MERGEFORMAT </w:instrText>
      </w:r>
      <w:r>
        <w:rPr>
          <w:color w:val="auto"/>
          <w:highlight w:val="none"/>
          <w:u w:val="single"/>
        </w:rPr>
        <w:fldChar w:fldCharType="separate"/>
      </w:r>
      <w:r>
        <w:rPr>
          <w:color w:val="auto"/>
          <w:highlight w:val="none"/>
          <w:u w:val="single"/>
        </w:rPr>
        <w:t>②</w:t>
      </w:r>
      <w:r>
        <w:rPr>
          <w:color w:val="auto"/>
          <w:highlight w:val="none"/>
          <w:u w:val="single"/>
        </w:rPr>
        <w:fldChar w:fldCharType="end"/>
      </w:r>
      <w:r>
        <w:rPr>
          <w:rFonts w:hint="eastAsia" w:eastAsia="宋体"/>
          <w:color w:val="auto"/>
          <w:highlight w:val="none"/>
          <w:u w:val="single"/>
        </w:rPr>
        <w:t>设计</w:t>
      </w:r>
      <w:r>
        <w:rPr>
          <w:rFonts w:hint="eastAsia"/>
          <w:color w:val="auto"/>
          <w:highlight w:val="none"/>
          <w:u w:val="single"/>
        </w:rPr>
        <w:t>方案</w:t>
      </w:r>
      <w:r>
        <w:rPr>
          <w:color w:val="auto"/>
          <w:highlight w:val="none"/>
          <w:u w:val="single"/>
        </w:rPr>
        <w:t>部分评审得分</w:t>
      </w:r>
      <w:r>
        <w:rPr>
          <w:color w:val="auto"/>
          <w:highlight w:val="none"/>
        </w:rPr>
        <w:t>B</w:t>
      </w:r>
      <w:r>
        <w:rPr>
          <w:color w:val="auto"/>
          <w:highlight w:val="none"/>
          <w:u w:val="single"/>
        </w:rPr>
        <w:t>为各评标专家打分的算术平均值</w:t>
      </w:r>
      <w:r>
        <w:rPr>
          <w:i/>
          <w:iCs/>
          <w:color w:val="auto"/>
          <w:highlight w:val="none"/>
          <w:u w:val="single"/>
        </w:rPr>
        <w:t>（二选一，招标人自行选择）</w:t>
      </w:r>
      <w:r>
        <w:rPr>
          <w:rFonts w:ascii="Times New Roman" w:hAnsi="Times New Roman" w:eastAsia="Times New Roman"/>
          <w:color w:val="auto"/>
          <w:spacing w:val="1"/>
          <w:highlight w:val="none"/>
        </w:rPr>
        <w:t xml:space="preserve"> </w:t>
      </w:r>
      <w:r>
        <w:rPr>
          <w:rFonts w:ascii="宋体" w:hAnsi="宋体" w:eastAsia="宋体"/>
          <w:color w:val="auto"/>
          <w:spacing w:val="1"/>
          <w:highlight w:val="none"/>
        </w:rPr>
        <w:t>；</w:t>
      </w:r>
    </w:p>
    <w:p w14:paraId="56CD81F2">
      <w:pPr>
        <w:tabs>
          <w:tab w:val="left" w:pos="532"/>
        </w:tabs>
        <w:spacing w:before="69" w:line="352" w:lineRule="auto"/>
        <w:ind w:left="428" w:hanging="5"/>
        <w:rPr>
          <w:rFonts w:ascii="宋体" w:hAnsi="宋体" w:eastAsia="宋体"/>
          <w:color w:val="auto"/>
          <w:spacing w:val="4"/>
          <w:highlight w:val="none"/>
        </w:rPr>
      </w:pPr>
      <w:r>
        <w:rPr>
          <w:rFonts w:ascii="宋体" w:hAnsi="宋体" w:eastAsia="宋体"/>
          <w:color w:val="auto"/>
          <w:spacing w:val="4"/>
          <w:highlight w:val="none"/>
        </w:rPr>
        <w:t>(</w:t>
      </w:r>
      <w:r>
        <w:rPr>
          <w:rFonts w:ascii="Times New Roman" w:hAnsi="Times New Roman" w:eastAsia="Times New Roman"/>
          <w:color w:val="auto"/>
          <w:spacing w:val="4"/>
          <w:highlight w:val="none"/>
        </w:rPr>
        <w:t>3</w:t>
      </w:r>
      <w:r>
        <w:rPr>
          <w:rFonts w:ascii="宋体" w:hAnsi="宋体" w:eastAsia="宋体"/>
          <w:color w:val="auto"/>
          <w:spacing w:val="4"/>
          <w:highlight w:val="none"/>
        </w:rPr>
        <w:t>)按</w:t>
      </w:r>
      <w:r>
        <w:rPr>
          <w:rFonts w:ascii="宋体" w:hAnsi="宋体" w:eastAsia="宋体"/>
          <w:color w:val="auto"/>
          <w:spacing w:val="3"/>
          <w:highlight w:val="none"/>
        </w:rPr>
        <w:t>本</w:t>
      </w:r>
      <w:r>
        <w:rPr>
          <w:rFonts w:ascii="宋体" w:hAnsi="宋体" w:eastAsia="宋体"/>
          <w:color w:val="auto"/>
          <w:spacing w:val="2"/>
          <w:highlight w:val="none"/>
        </w:rPr>
        <w:t xml:space="preserve">章第 </w:t>
      </w:r>
      <w:r>
        <w:rPr>
          <w:rFonts w:ascii="Times New Roman" w:hAnsi="Times New Roman" w:eastAsia="Times New Roman"/>
          <w:color w:val="auto"/>
          <w:spacing w:val="2"/>
          <w:highlight w:val="none"/>
        </w:rPr>
        <w:t xml:space="preserve">2.2.4  </w:t>
      </w:r>
      <w:r>
        <w:rPr>
          <w:rFonts w:ascii="宋体" w:hAnsi="宋体" w:eastAsia="宋体"/>
          <w:color w:val="auto"/>
          <w:spacing w:val="2"/>
          <w:highlight w:val="none"/>
        </w:rPr>
        <w:t>(</w:t>
      </w:r>
      <w:r>
        <w:rPr>
          <w:rFonts w:ascii="Times New Roman" w:hAnsi="Times New Roman" w:eastAsia="Times New Roman"/>
          <w:color w:val="auto"/>
          <w:spacing w:val="2"/>
          <w:highlight w:val="none"/>
        </w:rPr>
        <w:t>3</w:t>
      </w:r>
      <w:r>
        <w:rPr>
          <w:rFonts w:ascii="宋体" w:hAnsi="宋体" w:eastAsia="宋体"/>
          <w:color w:val="auto"/>
          <w:spacing w:val="2"/>
          <w:highlight w:val="none"/>
        </w:rPr>
        <w:t>)目规定的评审因素和分值对投标报价计算出得分</w:t>
      </w:r>
      <w:r>
        <w:rPr>
          <w:rFonts w:ascii="Times New Roman" w:hAnsi="Times New Roman" w:eastAsia="Times New Roman"/>
          <w:color w:val="auto"/>
          <w:highlight w:val="none"/>
        </w:rPr>
        <w:t>C</w:t>
      </w:r>
      <w:r>
        <w:rPr>
          <w:rFonts w:ascii="宋体" w:hAnsi="宋体" w:eastAsia="宋体"/>
          <w:color w:val="auto"/>
          <w:spacing w:val="2"/>
          <w:highlight w:val="none"/>
        </w:rPr>
        <w:t>；</w:t>
      </w:r>
      <w:r>
        <w:rPr>
          <w:rFonts w:ascii="宋体" w:hAnsi="宋体" w:eastAsia="宋体"/>
          <w:color w:val="auto"/>
          <w:highlight w:val="none"/>
        </w:rPr>
        <w:t xml:space="preserve">           </w:t>
      </w:r>
    </w:p>
    <w:p w14:paraId="6B003EC2">
      <w:pPr>
        <w:tabs>
          <w:tab w:val="left" w:pos="532"/>
        </w:tabs>
        <w:spacing w:before="69" w:line="352" w:lineRule="auto"/>
        <w:ind w:left="428" w:hanging="5"/>
        <w:rPr>
          <w:rFonts w:ascii="宋体" w:hAnsi="宋体" w:eastAsia="宋体"/>
          <w:color w:val="auto"/>
          <w:spacing w:val="8"/>
          <w:highlight w:val="none"/>
        </w:rPr>
      </w:pPr>
      <w:r>
        <w:rPr>
          <w:rFonts w:ascii="宋体" w:hAnsi="宋体" w:eastAsia="宋体"/>
          <w:color w:val="auto"/>
          <w:spacing w:val="8"/>
          <w:highlight w:val="none"/>
        </w:rPr>
        <w:t>(</w:t>
      </w:r>
      <w:r>
        <w:rPr>
          <w:rFonts w:ascii="Times New Roman" w:hAnsi="Times New Roman" w:eastAsia="Times New Roman"/>
          <w:color w:val="auto"/>
          <w:spacing w:val="8"/>
          <w:highlight w:val="none"/>
        </w:rPr>
        <w:t>4</w:t>
      </w:r>
      <w:r>
        <w:rPr>
          <w:rFonts w:ascii="宋体" w:hAnsi="宋体" w:eastAsia="宋体"/>
          <w:color w:val="auto"/>
          <w:spacing w:val="8"/>
          <w:highlight w:val="none"/>
        </w:rPr>
        <w:t>)按本章第</w:t>
      </w:r>
      <w:r>
        <w:rPr>
          <w:rFonts w:ascii="宋体" w:hAnsi="宋体" w:eastAsia="宋体"/>
          <w:color w:val="auto"/>
          <w:spacing w:val="7"/>
          <w:highlight w:val="none"/>
        </w:rPr>
        <w:t xml:space="preserve"> </w:t>
      </w:r>
      <w:r>
        <w:rPr>
          <w:rFonts w:ascii="Times New Roman" w:hAnsi="Times New Roman" w:eastAsia="Times New Roman"/>
          <w:color w:val="auto"/>
          <w:spacing w:val="4"/>
          <w:highlight w:val="none"/>
        </w:rPr>
        <w:t xml:space="preserve">2.2.4  </w:t>
      </w:r>
      <w:r>
        <w:rPr>
          <w:rFonts w:ascii="宋体" w:hAnsi="宋体" w:eastAsia="宋体"/>
          <w:color w:val="auto"/>
          <w:spacing w:val="4"/>
          <w:highlight w:val="none"/>
        </w:rPr>
        <w:t>(</w:t>
      </w:r>
      <w:r>
        <w:rPr>
          <w:rFonts w:ascii="Times New Roman" w:hAnsi="Times New Roman" w:eastAsia="Times New Roman"/>
          <w:color w:val="auto"/>
          <w:spacing w:val="4"/>
          <w:highlight w:val="none"/>
        </w:rPr>
        <w:t>4</w:t>
      </w:r>
      <w:r>
        <w:rPr>
          <w:rFonts w:ascii="宋体" w:hAnsi="宋体" w:eastAsia="宋体"/>
          <w:color w:val="auto"/>
          <w:spacing w:val="4"/>
          <w:highlight w:val="none"/>
        </w:rPr>
        <w:t>)目规定的评审因素和分值对其他部分计算出得分</w:t>
      </w:r>
      <w:r>
        <w:rPr>
          <w:rFonts w:ascii="Times New Roman" w:hAnsi="Times New Roman" w:eastAsia="Times New Roman"/>
          <w:color w:val="auto"/>
          <w:highlight w:val="none"/>
        </w:rPr>
        <w:t>D</w:t>
      </w:r>
      <w:r>
        <w:rPr>
          <w:rFonts w:ascii="宋体" w:hAnsi="宋体" w:eastAsia="宋体"/>
          <w:color w:val="auto"/>
          <w:spacing w:val="4"/>
          <w:highlight w:val="none"/>
        </w:rPr>
        <w:t>。</w:t>
      </w:r>
    </w:p>
    <w:p w14:paraId="3B308303">
      <w:pPr>
        <w:spacing w:before="1" w:line="220" w:lineRule="auto"/>
        <w:ind w:left="423"/>
        <w:rPr>
          <w:rFonts w:ascii="Times New Roman" w:hAnsi="Times New Roman" w:eastAsia="Times New Roman"/>
          <w:color w:val="auto"/>
          <w:spacing w:val="-1"/>
          <w:highlight w:val="none"/>
        </w:rPr>
      </w:pPr>
      <w:r>
        <w:rPr>
          <w:rFonts w:ascii="Times New Roman" w:hAnsi="Times New Roman" w:eastAsia="Times New Roman"/>
          <w:color w:val="auto"/>
          <w:spacing w:val="-1"/>
          <w:highlight w:val="none"/>
        </w:rPr>
        <w:t xml:space="preserve">3.2.2  </w:t>
      </w:r>
      <w:r>
        <w:rPr>
          <w:rFonts w:ascii="宋体" w:hAnsi="宋体" w:eastAsia="宋体"/>
          <w:color w:val="auto"/>
          <w:spacing w:val="-1"/>
          <w:highlight w:val="none"/>
        </w:rPr>
        <w:t>评分</w:t>
      </w:r>
      <w:r>
        <w:rPr>
          <w:rFonts w:ascii="宋体" w:hAnsi="宋体" w:eastAsia="宋体"/>
          <w:color w:val="auto"/>
          <w:highlight w:val="none"/>
        </w:rPr>
        <w:t>分值计算保留小数点后两位，小数点后第三位</w:t>
      </w:r>
      <w:r>
        <w:rPr>
          <w:rFonts w:ascii="Times New Roman" w:hAnsi="Times New Roman" w:eastAsia="Times New Roman"/>
          <w:color w:val="auto"/>
          <w:highlight w:val="none"/>
        </w:rPr>
        <w:t>“</w:t>
      </w:r>
      <w:r>
        <w:rPr>
          <w:rFonts w:ascii="宋体" w:hAnsi="宋体" w:eastAsia="宋体"/>
          <w:color w:val="auto"/>
          <w:highlight w:val="none"/>
        </w:rPr>
        <w:t>四舍五入</w:t>
      </w:r>
      <w:r>
        <w:rPr>
          <w:rFonts w:ascii="Times New Roman" w:hAnsi="Times New Roman" w:eastAsia="Times New Roman"/>
          <w:color w:val="auto"/>
          <w:highlight w:val="none"/>
        </w:rPr>
        <w:t>”</w:t>
      </w:r>
      <w:r>
        <w:rPr>
          <w:rFonts w:ascii="宋体" w:hAnsi="宋体" w:eastAsia="宋体"/>
          <w:color w:val="auto"/>
          <w:highlight w:val="none"/>
        </w:rPr>
        <w:t>。</w:t>
      </w:r>
    </w:p>
    <w:p w14:paraId="17AA3AAF">
      <w:pPr>
        <w:spacing w:before="150" w:line="220" w:lineRule="auto"/>
        <w:ind w:left="423"/>
        <w:rPr>
          <w:rFonts w:ascii="Times New Roman" w:hAnsi="Times New Roman" w:eastAsia="Times New Roman"/>
          <w:color w:val="auto"/>
          <w:spacing w:val="-1"/>
          <w:highlight w:val="none"/>
        </w:rPr>
      </w:pPr>
      <w:r>
        <w:rPr>
          <w:rFonts w:ascii="Times New Roman" w:hAnsi="Times New Roman" w:eastAsia="Times New Roman"/>
          <w:color w:val="auto"/>
          <w:spacing w:val="-1"/>
          <w:highlight w:val="none"/>
        </w:rPr>
        <w:t xml:space="preserve">3.2.3  </w:t>
      </w:r>
      <w:r>
        <w:rPr>
          <w:rFonts w:ascii="宋体" w:hAnsi="宋体" w:eastAsia="宋体"/>
          <w:color w:val="auto"/>
          <w:spacing w:val="-1"/>
          <w:highlight w:val="none"/>
        </w:rPr>
        <w:t>投标</w:t>
      </w:r>
      <w:r>
        <w:rPr>
          <w:rFonts w:ascii="宋体" w:hAnsi="宋体" w:eastAsia="宋体"/>
          <w:color w:val="auto"/>
          <w:highlight w:val="none"/>
        </w:rPr>
        <w:t>人得分</w:t>
      </w:r>
      <w:r>
        <w:rPr>
          <w:rFonts w:ascii="Times New Roman" w:hAnsi="Times New Roman" w:eastAsia="Times New Roman"/>
          <w:color w:val="auto"/>
          <w:highlight w:val="none"/>
        </w:rPr>
        <w:t>=A+B+C+D</w:t>
      </w:r>
      <w:r>
        <w:rPr>
          <w:rFonts w:ascii="宋体" w:hAnsi="宋体" w:eastAsia="宋体"/>
          <w:color w:val="auto"/>
          <w:highlight w:val="none"/>
        </w:rPr>
        <w:t>。</w:t>
      </w:r>
    </w:p>
    <w:p w14:paraId="546AC05D">
      <w:pPr>
        <w:tabs>
          <w:tab w:val="left" w:pos="532"/>
        </w:tabs>
        <w:spacing w:before="69" w:line="352" w:lineRule="auto"/>
        <w:ind w:left="428" w:hanging="5"/>
        <w:rPr>
          <w:rFonts w:ascii="宋体" w:hAnsi="宋体"/>
          <w:b/>
          <w:bCs/>
          <w:color w:val="auto"/>
          <w:sz w:val="24"/>
          <w:highlight w:val="none"/>
        </w:rPr>
      </w:pPr>
      <w:r>
        <w:rPr>
          <w:rFonts w:hint="eastAsia" w:ascii="宋体" w:hAnsi="宋体"/>
          <w:b/>
          <w:bCs/>
          <w:color w:val="auto"/>
          <w:sz w:val="24"/>
          <w:highlight w:val="none"/>
        </w:rPr>
        <w:t>现文</w:t>
      </w:r>
      <w:r>
        <w:rPr>
          <w:rFonts w:hint="eastAsia" w:ascii="宋体" w:hAnsi="宋体"/>
          <w:color w:val="auto"/>
          <w:sz w:val="24"/>
          <w:highlight w:val="none"/>
        </w:rPr>
        <w:t>：</w:t>
      </w:r>
      <w:r>
        <w:rPr>
          <w:rFonts w:ascii="宋体" w:hAnsi="宋体" w:eastAsia="宋体"/>
          <w:color w:val="auto"/>
          <w:spacing w:val="4"/>
          <w:highlight w:val="none"/>
        </w:rPr>
        <w:t>(</w:t>
      </w:r>
      <w:r>
        <w:rPr>
          <w:rFonts w:ascii="Times New Roman" w:hAnsi="Times New Roman" w:eastAsia="Times New Roman"/>
          <w:color w:val="auto"/>
          <w:spacing w:val="4"/>
          <w:highlight w:val="none"/>
        </w:rPr>
        <w:t>1</w:t>
      </w:r>
      <w:r>
        <w:rPr>
          <w:rFonts w:ascii="宋体" w:hAnsi="宋体" w:eastAsia="宋体"/>
          <w:color w:val="auto"/>
          <w:spacing w:val="3"/>
          <w:highlight w:val="none"/>
        </w:rPr>
        <w:t>)</w:t>
      </w:r>
      <w:r>
        <w:rPr>
          <w:rFonts w:ascii="宋体" w:hAnsi="宋体" w:eastAsia="宋体"/>
          <w:color w:val="auto"/>
          <w:spacing w:val="2"/>
          <w:highlight w:val="none"/>
        </w:rPr>
        <w:t xml:space="preserve">按本章第 </w:t>
      </w:r>
      <w:r>
        <w:rPr>
          <w:rFonts w:ascii="Times New Roman" w:hAnsi="Times New Roman" w:eastAsia="Times New Roman"/>
          <w:color w:val="auto"/>
          <w:spacing w:val="2"/>
          <w:highlight w:val="none"/>
        </w:rPr>
        <w:t xml:space="preserve">2.2.4  </w:t>
      </w:r>
      <w:r>
        <w:rPr>
          <w:rFonts w:ascii="宋体" w:hAnsi="宋体" w:eastAsia="宋体"/>
          <w:color w:val="auto"/>
          <w:spacing w:val="2"/>
          <w:highlight w:val="none"/>
        </w:rPr>
        <w:t>(</w:t>
      </w:r>
      <w:r>
        <w:rPr>
          <w:rFonts w:ascii="Times New Roman" w:hAnsi="Times New Roman" w:eastAsia="Times New Roman"/>
          <w:color w:val="auto"/>
          <w:spacing w:val="2"/>
          <w:highlight w:val="none"/>
        </w:rPr>
        <w:t>1</w:t>
      </w:r>
      <w:r>
        <w:rPr>
          <w:rFonts w:ascii="宋体" w:hAnsi="宋体" w:eastAsia="宋体"/>
          <w:color w:val="auto"/>
          <w:spacing w:val="2"/>
          <w:highlight w:val="none"/>
        </w:rPr>
        <w:t>)目规定的评审因素和分值对资信业绩部分计算出得分</w:t>
      </w:r>
      <w:r>
        <w:rPr>
          <w:rFonts w:ascii="Times New Roman" w:hAnsi="Times New Roman" w:eastAsia="Times New Roman"/>
          <w:color w:val="auto"/>
          <w:highlight w:val="none"/>
        </w:rPr>
        <w:t>A</w:t>
      </w:r>
      <w:r>
        <w:rPr>
          <w:rFonts w:hint="eastAsia" w:ascii="Times New Roman" w:hAnsi="Times New Roman" w:eastAsia="宋体"/>
          <w:color w:val="auto"/>
          <w:highlight w:val="none"/>
        </w:rPr>
        <w:t>，</w:t>
      </w:r>
      <w:r>
        <w:rPr>
          <w:color w:val="auto"/>
          <w:highlight w:val="none"/>
          <w:u w:val="single"/>
        </w:rPr>
        <w:t>资信业绩部分评审得分A为各评标专家打分的算术平均值</w:t>
      </w:r>
      <w:r>
        <w:rPr>
          <w:rFonts w:ascii="宋体" w:hAnsi="宋体" w:eastAsia="宋体"/>
          <w:color w:val="auto"/>
          <w:spacing w:val="2"/>
          <w:highlight w:val="none"/>
        </w:rPr>
        <w:t>；</w:t>
      </w:r>
    </w:p>
    <w:p w14:paraId="22A02938">
      <w:pPr>
        <w:tabs>
          <w:tab w:val="left" w:pos="532"/>
        </w:tabs>
        <w:spacing w:before="69" w:line="352" w:lineRule="auto"/>
        <w:ind w:left="428" w:hanging="5"/>
        <w:rPr>
          <w:rFonts w:ascii="宋体" w:hAnsi="宋体" w:eastAsia="宋体"/>
          <w:color w:val="auto"/>
          <w:spacing w:val="2"/>
          <w:highlight w:val="none"/>
        </w:rPr>
      </w:pPr>
      <w:r>
        <w:rPr>
          <w:rFonts w:ascii="宋体" w:hAnsi="宋体" w:eastAsia="宋体"/>
          <w:color w:val="auto"/>
          <w:spacing w:val="2"/>
          <w:highlight w:val="none"/>
        </w:rPr>
        <w:t>(</w:t>
      </w:r>
      <w:r>
        <w:rPr>
          <w:rFonts w:ascii="Times New Roman" w:hAnsi="Times New Roman" w:eastAsia="Times New Roman"/>
          <w:color w:val="auto"/>
          <w:spacing w:val="2"/>
          <w:highlight w:val="none"/>
        </w:rPr>
        <w:t>2</w:t>
      </w:r>
      <w:r>
        <w:rPr>
          <w:rFonts w:ascii="宋体" w:hAnsi="宋体" w:eastAsia="宋体"/>
          <w:color w:val="auto"/>
          <w:spacing w:val="2"/>
          <w:highlight w:val="none"/>
        </w:rPr>
        <w:t xml:space="preserve">)按本章第 </w:t>
      </w:r>
      <w:r>
        <w:rPr>
          <w:rFonts w:ascii="Times New Roman" w:hAnsi="Times New Roman" w:eastAsia="Times New Roman"/>
          <w:color w:val="auto"/>
          <w:spacing w:val="2"/>
          <w:highlight w:val="none"/>
        </w:rPr>
        <w:t xml:space="preserve">2.2.4  </w:t>
      </w:r>
      <w:r>
        <w:rPr>
          <w:rFonts w:ascii="宋体" w:hAnsi="宋体" w:eastAsia="宋体"/>
          <w:color w:val="auto"/>
          <w:spacing w:val="2"/>
          <w:highlight w:val="none"/>
        </w:rPr>
        <w:t>(</w:t>
      </w:r>
      <w:r>
        <w:rPr>
          <w:rFonts w:ascii="Times New Roman" w:hAnsi="Times New Roman" w:eastAsia="Times New Roman"/>
          <w:color w:val="auto"/>
          <w:spacing w:val="2"/>
          <w:highlight w:val="none"/>
        </w:rPr>
        <w:t>2</w:t>
      </w:r>
      <w:r>
        <w:rPr>
          <w:rFonts w:ascii="宋体" w:hAnsi="宋体" w:eastAsia="宋体"/>
          <w:color w:val="auto"/>
          <w:spacing w:val="2"/>
          <w:highlight w:val="none"/>
        </w:rPr>
        <w:t>)目规定</w:t>
      </w:r>
      <w:r>
        <w:rPr>
          <w:rFonts w:ascii="宋体" w:hAnsi="宋体" w:eastAsia="宋体"/>
          <w:color w:val="auto"/>
          <w:spacing w:val="1"/>
          <w:highlight w:val="none"/>
        </w:rPr>
        <w:t>的评审因素和分值对</w:t>
      </w:r>
      <w:r>
        <w:rPr>
          <w:rFonts w:hint="eastAsia" w:ascii="宋体" w:hAnsi="宋体" w:eastAsia="宋体"/>
          <w:color w:val="auto"/>
          <w:spacing w:val="1"/>
          <w:highlight w:val="none"/>
        </w:rPr>
        <w:t>设计</w:t>
      </w:r>
      <w:r>
        <w:rPr>
          <w:rFonts w:ascii="宋体" w:hAnsi="宋体" w:eastAsia="宋体"/>
          <w:color w:val="auto"/>
          <w:spacing w:val="1"/>
          <w:highlight w:val="none"/>
        </w:rPr>
        <w:t>方案部分计算出得分</w:t>
      </w:r>
      <w:r>
        <w:rPr>
          <w:rFonts w:ascii="Times New Roman" w:hAnsi="Times New Roman" w:eastAsia="Times New Roman"/>
          <w:color w:val="auto"/>
          <w:highlight w:val="none"/>
        </w:rPr>
        <w:t>B</w:t>
      </w:r>
      <w:r>
        <w:rPr>
          <w:color w:val="auto"/>
          <w:highlight w:val="none"/>
        </w:rPr>
        <w:t>，</w:t>
      </w:r>
      <w:r>
        <w:rPr>
          <w:rFonts w:hint="eastAsia" w:eastAsia="宋体"/>
          <w:color w:val="auto"/>
          <w:highlight w:val="none"/>
          <w:u w:val="single"/>
        </w:rPr>
        <w:t>设计</w:t>
      </w:r>
      <w:r>
        <w:rPr>
          <w:rFonts w:hint="eastAsia"/>
          <w:color w:val="auto"/>
          <w:highlight w:val="none"/>
          <w:u w:val="single"/>
        </w:rPr>
        <w:t>方案</w:t>
      </w:r>
      <w:r>
        <w:rPr>
          <w:color w:val="auto"/>
          <w:highlight w:val="none"/>
          <w:u w:val="single"/>
        </w:rPr>
        <w:t>部分评审得分</w:t>
      </w:r>
      <w:r>
        <w:rPr>
          <w:color w:val="auto"/>
          <w:highlight w:val="none"/>
        </w:rPr>
        <w:t>B</w:t>
      </w:r>
      <w:r>
        <w:rPr>
          <w:color w:val="auto"/>
          <w:highlight w:val="none"/>
          <w:u w:val="single"/>
        </w:rPr>
        <w:t>为从各评标专家打分中去掉一个最高分和去掉一个最低分后的剩余评标专家打分的算术平均值</w:t>
      </w:r>
      <w:r>
        <w:rPr>
          <w:rFonts w:ascii="宋体" w:hAnsi="宋体" w:eastAsia="宋体"/>
          <w:color w:val="auto"/>
          <w:spacing w:val="1"/>
          <w:highlight w:val="none"/>
        </w:rPr>
        <w:t>；</w:t>
      </w:r>
    </w:p>
    <w:p w14:paraId="30124B78">
      <w:pPr>
        <w:tabs>
          <w:tab w:val="left" w:pos="532"/>
        </w:tabs>
        <w:spacing w:before="69" w:line="352" w:lineRule="auto"/>
        <w:ind w:left="428" w:hanging="5"/>
        <w:rPr>
          <w:rFonts w:ascii="宋体" w:hAnsi="宋体" w:eastAsia="宋体"/>
          <w:color w:val="auto"/>
          <w:spacing w:val="4"/>
          <w:highlight w:val="none"/>
        </w:rPr>
      </w:pPr>
      <w:r>
        <w:rPr>
          <w:rFonts w:ascii="宋体" w:hAnsi="宋体" w:eastAsia="宋体"/>
          <w:color w:val="auto"/>
          <w:spacing w:val="4"/>
          <w:highlight w:val="none"/>
        </w:rPr>
        <w:t>(</w:t>
      </w:r>
      <w:r>
        <w:rPr>
          <w:rFonts w:ascii="Times New Roman" w:hAnsi="Times New Roman" w:eastAsia="Times New Roman"/>
          <w:color w:val="auto"/>
          <w:spacing w:val="4"/>
          <w:highlight w:val="none"/>
        </w:rPr>
        <w:t>3</w:t>
      </w:r>
      <w:r>
        <w:rPr>
          <w:rFonts w:ascii="宋体" w:hAnsi="宋体" w:eastAsia="宋体"/>
          <w:color w:val="auto"/>
          <w:spacing w:val="4"/>
          <w:highlight w:val="none"/>
        </w:rPr>
        <w:t>)按</w:t>
      </w:r>
      <w:r>
        <w:rPr>
          <w:rFonts w:ascii="宋体" w:hAnsi="宋体" w:eastAsia="宋体"/>
          <w:color w:val="auto"/>
          <w:spacing w:val="3"/>
          <w:highlight w:val="none"/>
        </w:rPr>
        <w:t>本</w:t>
      </w:r>
      <w:r>
        <w:rPr>
          <w:rFonts w:ascii="宋体" w:hAnsi="宋体" w:eastAsia="宋体"/>
          <w:color w:val="auto"/>
          <w:spacing w:val="2"/>
          <w:highlight w:val="none"/>
        </w:rPr>
        <w:t xml:space="preserve">章第 </w:t>
      </w:r>
      <w:r>
        <w:rPr>
          <w:rFonts w:ascii="Times New Roman" w:hAnsi="Times New Roman" w:eastAsia="Times New Roman"/>
          <w:color w:val="auto"/>
          <w:spacing w:val="2"/>
          <w:highlight w:val="none"/>
        </w:rPr>
        <w:t xml:space="preserve">2.2.4  </w:t>
      </w:r>
      <w:r>
        <w:rPr>
          <w:rFonts w:ascii="宋体" w:hAnsi="宋体" w:eastAsia="宋体"/>
          <w:color w:val="auto"/>
          <w:spacing w:val="2"/>
          <w:highlight w:val="none"/>
        </w:rPr>
        <w:t>(</w:t>
      </w:r>
      <w:r>
        <w:rPr>
          <w:rFonts w:ascii="Times New Roman" w:hAnsi="Times New Roman" w:eastAsia="Times New Roman"/>
          <w:color w:val="auto"/>
          <w:spacing w:val="2"/>
          <w:highlight w:val="none"/>
        </w:rPr>
        <w:t>3</w:t>
      </w:r>
      <w:r>
        <w:rPr>
          <w:rFonts w:ascii="宋体" w:hAnsi="宋体" w:eastAsia="宋体"/>
          <w:color w:val="auto"/>
          <w:spacing w:val="2"/>
          <w:highlight w:val="none"/>
        </w:rPr>
        <w:t>)目规定的评审因素和分值对投标报价计算出得分</w:t>
      </w:r>
      <w:r>
        <w:rPr>
          <w:rFonts w:ascii="Times New Roman" w:hAnsi="Times New Roman" w:eastAsia="Times New Roman"/>
          <w:color w:val="auto"/>
          <w:highlight w:val="none"/>
        </w:rPr>
        <w:t>C</w:t>
      </w:r>
      <w:r>
        <w:rPr>
          <w:rFonts w:ascii="宋体" w:hAnsi="宋体" w:eastAsia="宋体"/>
          <w:color w:val="auto"/>
          <w:spacing w:val="2"/>
          <w:highlight w:val="none"/>
        </w:rPr>
        <w:t>；</w:t>
      </w:r>
      <w:r>
        <w:rPr>
          <w:rFonts w:ascii="宋体" w:hAnsi="宋体" w:eastAsia="宋体"/>
          <w:color w:val="auto"/>
          <w:highlight w:val="none"/>
        </w:rPr>
        <w:t xml:space="preserve">           </w:t>
      </w:r>
    </w:p>
    <w:p w14:paraId="66C7A301">
      <w:pPr>
        <w:tabs>
          <w:tab w:val="left" w:pos="532"/>
        </w:tabs>
        <w:spacing w:before="69" w:line="352" w:lineRule="auto"/>
        <w:ind w:left="428" w:hanging="5"/>
        <w:rPr>
          <w:rFonts w:ascii="宋体" w:hAnsi="宋体" w:eastAsia="宋体"/>
          <w:strike/>
          <w:color w:val="auto"/>
          <w:spacing w:val="8"/>
          <w:highlight w:val="none"/>
        </w:rPr>
      </w:pPr>
      <w:r>
        <w:rPr>
          <w:rFonts w:ascii="宋体" w:hAnsi="宋体" w:eastAsia="宋体"/>
          <w:strike/>
          <w:color w:val="auto"/>
          <w:spacing w:val="8"/>
          <w:highlight w:val="none"/>
        </w:rPr>
        <w:t>(</w:t>
      </w:r>
      <w:r>
        <w:rPr>
          <w:rFonts w:ascii="Times New Roman" w:hAnsi="Times New Roman" w:eastAsia="Times New Roman"/>
          <w:strike/>
          <w:color w:val="auto"/>
          <w:spacing w:val="8"/>
          <w:highlight w:val="none"/>
        </w:rPr>
        <w:t>4</w:t>
      </w:r>
      <w:r>
        <w:rPr>
          <w:rFonts w:ascii="宋体" w:hAnsi="宋体" w:eastAsia="宋体"/>
          <w:strike/>
          <w:color w:val="auto"/>
          <w:spacing w:val="8"/>
          <w:highlight w:val="none"/>
        </w:rPr>
        <w:t>)按本章第</w:t>
      </w:r>
      <w:r>
        <w:rPr>
          <w:rFonts w:ascii="宋体" w:hAnsi="宋体" w:eastAsia="宋体"/>
          <w:strike/>
          <w:color w:val="auto"/>
          <w:spacing w:val="7"/>
          <w:highlight w:val="none"/>
        </w:rPr>
        <w:t xml:space="preserve"> </w:t>
      </w:r>
      <w:r>
        <w:rPr>
          <w:rFonts w:ascii="Times New Roman" w:hAnsi="Times New Roman" w:eastAsia="Times New Roman"/>
          <w:strike/>
          <w:color w:val="auto"/>
          <w:spacing w:val="4"/>
          <w:highlight w:val="none"/>
        </w:rPr>
        <w:t xml:space="preserve">2.2.4  </w:t>
      </w:r>
      <w:r>
        <w:rPr>
          <w:rFonts w:ascii="宋体" w:hAnsi="宋体" w:eastAsia="宋体"/>
          <w:strike/>
          <w:color w:val="auto"/>
          <w:spacing w:val="4"/>
          <w:highlight w:val="none"/>
        </w:rPr>
        <w:t>(</w:t>
      </w:r>
      <w:r>
        <w:rPr>
          <w:rFonts w:ascii="Times New Roman" w:hAnsi="Times New Roman" w:eastAsia="Times New Roman"/>
          <w:strike/>
          <w:color w:val="auto"/>
          <w:spacing w:val="4"/>
          <w:highlight w:val="none"/>
        </w:rPr>
        <w:t>4</w:t>
      </w:r>
      <w:r>
        <w:rPr>
          <w:rFonts w:ascii="宋体" w:hAnsi="宋体" w:eastAsia="宋体"/>
          <w:strike/>
          <w:color w:val="auto"/>
          <w:spacing w:val="4"/>
          <w:highlight w:val="none"/>
        </w:rPr>
        <w:t>)目规定的评审因素和分值对其他部分计算出得分</w:t>
      </w:r>
      <w:r>
        <w:rPr>
          <w:rFonts w:ascii="Times New Roman" w:hAnsi="Times New Roman" w:eastAsia="Times New Roman"/>
          <w:strike/>
          <w:color w:val="auto"/>
          <w:highlight w:val="none"/>
        </w:rPr>
        <w:t>D</w:t>
      </w:r>
      <w:r>
        <w:rPr>
          <w:rFonts w:ascii="宋体" w:hAnsi="宋体" w:eastAsia="宋体"/>
          <w:strike/>
          <w:color w:val="auto"/>
          <w:spacing w:val="4"/>
          <w:highlight w:val="none"/>
        </w:rPr>
        <w:t>。</w:t>
      </w:r>
    </w:p>
    <w:p w14:paraId="23D135F4">
      <w:pPr>
        <w:spacing w:before="1" w:line="220" w:lineRule="auto"/>
        <w:ind w:left="423"/>
        <w:rPr>
          <w:rFonts w:ascii="Times New Roman" w:hAnsi="Times New Roman" w:eastAsia="Times New Roman"/>
          <w:color w:val="auto"/>
          <w:spacing w:val="-1"/>
          <w:highlight w:val="none"/>
        </w:rPr>
      </w:pPr>
      <w:r>
        <w:rPr>
          <w:rFonts w:ascii="Times New Roman" w:hAnsi="Times New Roman" w:eastAsia="Times New Roman"/>
          <w:color w:val="auto"/>
          <w:spacing w:val="-1"/>
          <w:highlight w:val="none"/>
        </w:rPr>
        <w:t xml:space="preserve">3.2.2  </w:t>
      </w:r>
      <w:r>
        <w:rPr>
          <w:rFonts w:ascii="宋体" w:hAnsi="宋体" w:eastAsia="宋体"/>
          <w:color w:val="auto"/>
          <w:spacing w:val="-1"/>
          <w:highlight w:val="none"/>
        </w:rPr>
        <w:t>评分</w:t>
      </w:r>
      <w:r>
        <w:rPr>
          <w:rFonts w:ascii="宋体" w:hAnsi="宋体" w:eastAsia="宋体"/>
          <w:color w:val="auto"/>
          <w:highlight w:val="none"/>
        </w:rPr>
        <w:t>分值计算保留小数点后两位，小数点后第三位</w:t>
      </w:r>
      <w:r>
        <w:rPr>
          <w:rFonts w:ascii="Times New Roman" w:hAnsi="Times New Roman" w:eastAsia="Times New Roman"/>
          <w:color w:val="auto"/>
          <w:highlight w:val="none"/>
        </w:rPr>
        <w:t>“</w:t>
      </w:r>
      <w:r>
        <w:rPr>
          <w:rFonts w:ascii="宋体" w:hAnsi="宋体" w:eastAsia="宋体"/>
          <w:color w:val="auto"/>
          <w:highlight w:val="none"/>
        </w:rPr>
        <w:t>四舍五入</w:t>
      </w:r>
      <w:r>
        <w:rPr>
          <w:rFonts w:ascii="Times New Roman" w:hAnsi="Times New Roman" w:eastAsia="Times New Roman"/>
          <w:color w:val="auto"/>
          <w:highlight w:val="none"/>
        </w:rPr>
        <w:t>”</w:t>
      </w:r>
      <w:r>
        <w:rPr>
          <w:rFonts w:ascii="宋体" w:hAnsi="宋体" w:eastAsia="宋体"/>
          <w:color w:val="auto"/>
          <w:highlight w:val="none"/>
        </w:rPr>
        <w:t>。</w:t>
      </w:r>
    </w:p>
    <w:p w14:paraId="3C92CDAC">
      <w:pPr>
        <w:spacing w:before="150" w:line="220" w:lineRule="auto"/>
        <w:ind w:left="423"/>
        <w:rPr>
          <w:rFonts w:ascii="Times New Roman" w:hAnsi="Times New Roman" w:eastAsia="Times New Roman"/>
          <w:color w:val="auto"/>
          <w:spacing w:val="-1"/>
          <w:highlight w:val="none"/>
        </w:rPr>
      </w:pPr>
      <w:r>
        <w:rPr>
          <w:rFonts w:ascii="Times New Roman" w:hAnsi="Times New Roman" w:eastAsia="Times New Roman"/>
          <w:color w:val="auto"/>
          <w:spacing w:val="-1"/>
          <w:highlight w:val="none"/>
        </w:rPr>
        <w:t xml:space="preserve">3.2.3  </w:t>
      </w:r>
      <w:r>
        <w:rPr>
          <w:rFonts w:ascii="宋体" w:hAnsi="宋体" w:eastAsia="宋体"/>
          <w:color w:val="auto"/>
          <w:spacing w:val="-1"/>
          <w:highlight w:val="none"/>
        </w:rPr>
        <w:t>投标</w:t>
      </w:r>
      <w:r>
        <w:rPr>
          <w:rFonts w:ascii="宋体" w:hAnsi="宋体" w:eastAsia="宋体"/>
          <w:color w:val="auto"/>
          <w:highlight w:val="none"/>
        </w:rPr>
        <w:t>人得分</w:t>
      </w:r>
      <w:r>
        <w:rPr>
          <w:rFonts w:ascii="Times New Roman" w:hAnsi="Times New Roman" w:eastAsia="Times New Roman"/>
          <w:color w:val="auto"/>
          <w:highlight w:val="none"/>
        </w:rPr>
        <w:t>=</w:t>
      </w:r>
      <w:r>
        <w:rPr>
          <w:rFonts w:ascii="Times New Roman" w:hAnsi="Times New Roman" w:eastAsia="Times New Roman"/>
          <w:color w:val="auto"/>
          <w:highlight w:val="none"/>
          <w:u w:val="single"/>
        </w:rPr>
        <w:t>A+B+C</w:t>
      </w:r>
      <w:r>
        <w:rPr>
          <w:rFonts w:ascii="宋体" w:hAnsi="宋体" w:eastAsia="宋体"/>
          <w:color w:val="auto"/>
          <w:highlight w:val="none"/>
        </w:rPr>
        <w:t>。</w:t>
      </w:r>
    </w:p>
    <w:p w14:paraId="0A43E36E">
      <w:pPr>
        <w:pBdr>
          <w:bottom w:val="single" w:color="auto" w:sz="6" w:space="1"/>
        </w:pBdr>
        <w:spacing w:line="480" w:lineRule="auto"/>
        <w:ind w:firstLine="537" w:firstLineChars="224"/>
        <w:rPr>
          <w:rFonts w:ascii="宋体" w:hAnsi="宋体"/>
          <w:color w:val="auto"/>
          <w:sz w:val="24"/>
          <w:highlight w:val="none"/>
        </w:rPr>
      </w:pPr>
    </w:p>
    <w:p w14:paraId="26A37407">
      <w:pPr>
        <w:spacing w:line="480" w:lineRule="auto"/>
        <w:ind w:firstLine="538" w:firstLineChars="224"/>
        <w:rPr>
          <w:rFonts w:ascii="宋体" w:hAnsi="宋体"/>
          <w:b/>
          <w:bCs/>
          <w:color w:val="auto"/>
          <w:sz w:val="24"/>
          <w:highlight w:val="none"/>
        </w:rPr>
      </w:pPr>
      <w:r>
        <w:rPr>
          <w:rFonts w:hint="eastAsia" w:ascii="宋体" w:hAnsi="宋体"/>
          <w:b/>
          <w:bCs/>
          <w:color w:val="auto"/>
          <w:sz w:val="24"/>
          <w:highlight w:val="none"/>
        </w:rPr>
        <w:t>注：以上修改，仅限于本范本中有可供选择条款的情形。</w:t>
      </w:r>
    </w:p>
    <w:p w14:paraId="4C08E0A6">
      <w:pPr>
        <w:spacing w:line="480" w:lineRule="auto"/>
        <w:ind w:firstLine="538" w:firstLineChars="224"/>
        <w:rPr>
          <w:rFonts w:ascii="宋体" w:hAnsi="宋体"/>
          <w:b/>
          <w:bCs/>
          <w:color w:val="auto"/>
          <w:sz w:val="24"/>
          <w:highlight w:val="none"/>
        </w:rPr>
      </w:pPr>
      <w:r>
        <w:rPr>
          <w:rFonts w:hint="eastAsia" w:ascii="宋体" w:hAnsi="宋体"/>
          <w:b/>
          <w:bCs/>
          <w:color w:val="auto"/>
          <w:sz w:val="24"/>
          <w:highlight w:val="none"/>
        </w:rPr>
        <w:t>（以下无正文）</w:t>
      </w:r>
    </w:p>
    <w:p w14:paraId="040B8A09">
      <w:pPr>
        <w:pStyle w:val="25"/>
        <w:spacing w:before="120" w:after="120"/>
        <w:outlineLvl w:val="9"/>
        <w:rPr>
          <w:color w:val="auto"/>
          <w:sz w:val="24"/>
          <w:szCs w:val="21"/>
          <w:highlight w:val="none"/>
        </w:rPr>
      </w:pPr>
      <w:r>
        <w:rPr>
          <w:color w:val="auto"/>
          <w:sz w:val="24"/>
          <w:szCs w:val="21"/>
          <w:highlight w:val="none"/>
        </w:rPr>
        <w:br w:type="page"/>
      </w:r>
      <w:bookmarkStart w:id="361" w:name="_Toc11950"/>
      <w:bookmarkStart w:id="362" w:name="_Toc4571"/>
      <w:bookmarkStart w:id="363" w:name="_Toc31416"/>
      <w:bookmarkStart w:id="364" w:name="_Toc14199"/>
      <w:bookmarkStart w:id="365" w:name="_Toc7569"/>
      <w:r>
        <w:rPr>
          <w:rFonts w:ascii="Times New Roman" w:hAnsi="Times New Roman" w:eastAsia="Times New Roman"/>
          <w:bCs/>
          <w:color w:val="auto"/>
          <w:spacing w:val="7"/>
          <w:sz w:val="31"/>
          <w:szCs w:val="31"/>
          <w:highlight w:val="none"/>
        </w:rPr>
        <w:t>1</w:t>
      </w:r>
      <w:r>
        <w:rPr>
          <w:rFonts w:ascii="Times New Roman" w:hAnsi="Times New Roman" w:eastAsia="Times New Roman"/>
          <w:bCs/>
          <w:color w:val="auto"/>
          <w:spacing w:val="4"/>
          <w:sz w:val="31"/>
          <w:szCs w:val="31"/>
          <w:highlight w:val="none"/>
        </w:rPr>
        <w:t>.</w:t>
      </w:r>
      <w:r>
        <w:rPr>
          <w:rFonts w:ascii="Times New Roman" w:hAnsi="Times New Roman" w:eastAsia="Times New Roman"/>
          <w:color w:val="auto"/>
          <w:spacing w:val="4"/>
          <w:sz w:val="31"/>
          <w:szCs w:val="31"/>
          <w:highlight w:val="none"/>
        </w:rPr>
        <w:t xml:space="preserve">  </w:t>
      </w:r>
      <w:r>
        <w:rPr>
          <w:rFonts w:ascii="黑体" w:hAnsi="黑体" w:eastAsia="黑体"/>
          <w:color w:val="auto"/>
          <w:spacing w:val="4"/>
          <w:sz w:val="31"/>
          <w:szCs w:val="31"/>
          <w:highlight w:val="none"/>
        </w:rPr>
        <w:t>评标方法</w:t>
      </w:r>
      <w:bookmarkEnd w:id="361"/>
      <w:bookmarkEnd w:id="362"/>
      <w:bookmarkEnd w:id="363"/>
      <w:bookmarkEnd w:id="364"/>
      <w:bookmarkEnd w:id="365"/>
    </w:p>
    <w:p w14:paraId="7C8EA406">
      <w:pPr>
        <w:spacing w:line="250" w:lineRule="auto"/>
        <w:rPr>
          <w:color w:val="auto"/>
          <w:highlight w:val="none"/>
        </w:rPr>
      </w:pPr>
    </w:p>
    <w:p w14:paraId="5D0F03C9">
      <w:pPr>
        <w:spacing w:before="69" w:line="363" w:lineRule="auto"/>
        <w:ind w:firstLine="421"/>
        <w:rPr>
          <w:rFonts w:ascii="宋体" w:hAnsi="宋体" w:eastAsia="宋体"/>
          <w:color w:val="auto"/>
          <w:spacing w:val="1"/>
          <w:highlight w:val="none"/>
        </w:rPr>
      </w:pPr>
      <w:r>
        <w:rPr>
          <w:rFonts w:ascii="宋体" w:hAnsi="宋体" w:eastAsia="宋体"/>
          <w:color w:val="auto"/>
          <w:spacing w:val="1"/>
          <w:highlight w:val="none"/>
        </w:rPr>
        <w:t>本次评标采用综合评估法。评标</w:t>
      </w:r>
      <w:r>
        <w:rPr>
          <w:rFonts w:ascii="宋体" w:hAnsi="宋体" w:eastAsia="宋体"/>
          <w:color w:val="auto"/>
          <w:highlight w:val="none"/>
        </w:rPr>
        <w:t xml:space="preserve">委员会对满足招标文件实质性要求的投标文件，按照本章 </w:t>
      </w:r>
      <w:r>
        <w:rPr>
          <w:rFonts w:ascii="宋体" w:hAnsi="宋体" w:eastAsia="宋体"/>
          <w:color w:val="auto"/>
          <w:spacing w:val="-4"/>
          <w:highlight w:val="none"/>
        </w:rPr>
        <w:t xml:space="preserve">第 </w:t>
      </w:r>
      <w:r>
        <w:rPr>
          <w:rFonts w:ascii="Times New Roman" w:hAnsi="Times New Roman" w:eastAsia="Times New Roman"/>
          <w:color w:val="auto"/>
          <w:spacing w:val="-4"/>
          <w:highlight w:val="none"/>
        </w:rPr>
        <w:t>2</w:t>
      </w:r>
      <w:r>
        <w:rPr>
          <w:rFonts w:ascii="Times New Roman" w:hAnsi="Times New Roman" w:eastAsia="Times New Roman"/>
          <w:color w:val="auto"/>
          <w:spacing w:val="-2"/>
          <w:highlight w:val="none"/>
        </w:rPr>
        <w:t xml:space="preserve">.2 </w:t>
      </w:r>
      <w:r>
        <w:rPr>
          <w:rFonts w:ascii="宋体" w:hAnsi="宋体" w:eastAsia="宋体"/>
          <w:color w:val="auto"/>
          <w:spacing w:val="-2"/>
          <w:highlight w:val="none"/>
        </w:rPr>
        <w:t>款规定的评分标准进行打分， 并按得分由高到低顺序推荐中标候选人，或根据招标人授</w:t>
      </w:r>
      <w:r>
        <w:rPr>
          <w:rFonts w:ascii="宋体" w:hAnsi="宋体" w:eastAsia="宋体"/>
          <w:color w:val="auto"/>
          <w:highlight w:val="none"/>
        </w:rPr>
        <w:t xml:space="preserve"> </w:t>
      </w:r>
      <w:r>
        <w:rPr>
          <w:rFonts w:ascii="宋体" w:hAnsi="宋体" w:eastAsia="宋体"/>
          <w:color w:val="auto"/>
          <w:spacing w:val="-4"/>
          <w:highlight w:val="none"/>
        </w:rPr>
        <w:t>权直接</w:t>
      </w:r>
      <w:r>
        <w:rPr>
          <w:rFonts w:ascii="宋体" w:hAnsi="宋体" w:eastAsia="宋体"/>
          <w:color w:val="auto"/>
          <w:spacing w:val="-2"/>
          <w:highlight w:val="none"/>
        </w:rPr>
        <w:t>确定中标人，但投标报价低于其成本的除外。综合评分相等时， 以投标报价低的优先；</w:t>
      </w:r>
      <w:r>
        <w:rPr>
          <w:rFonts w:ascii="宋体" w:hAnsi="宋体" w:eastAsia="宋体"/>
          <w:color w:val="auto"/>
          <w:highlight w:val="none"/>
        </w:rPr>
        <w:t xml:space="preserve"> </w:t>
      </w:r>
      <w:r>
        <w:rPr>
          <w:rFonts w:ascii="宋体" w:hAnsi="宋体" w:eastAsia="宋体"/>
          <w:color w:val="auto"/>
          <w:spacing w:val="1"/>
          <w:highlight w:val="none"/>
        </w:rPr>
        <w:t>投标报价也相等的，以</w:t>
      </w:r>
      <w:r>
        <w:rPr>
          <w:rFonts w:hint="eastAsia" w:ascii="宋体" w:hAnsi="宋体" w:eastAsia="宋体"/>
          <w:color w:val="auto"/>
          <w:spacing w:val="1"/>
          <w:highlight w:val="none"/>
        </w:rPr>
        <w:t>设计</w:t>
      </w:r>
      <w:r>
        <w:rPr>
          <w:rFonts w:ascii="宋体" w:hAnsi="宋体" w:eastAsia="宋体"/>
          <w:color w:val="auto"/>
          <w:spacing w:val="1"/>
          <w:highlight w:val="none"/>
        </w:rPr>
        <w:t>方案得分</w:t>
      </w:r>
      <w:r>
        <w:rPr>
          <w:rFonts w:ascii="宋体" w:hAnsi="宋体" w:eastAsia="宋体"/>
          <w:color w:val="auto"/>
          <w:highlight w:val="none"/>
        </w:rPr>
        <w:t>高的优先；如果</w:t>
      </w:r>
      <w:r>
        <w:rPr>
          <w:rFonts w:hint="eastAsia" w:ascii="宋体" w:hAnsi="宋体" w:eastAsia="宋体"/>
          <w:color w:val="auto"/>
          <w:spacing w:val="1"/>
          <w:highlight w:val="none"/>
        </w:rPr>
        <w:t>设计</w:t>
      </w:r>
      <w:r>
        <w:rPr>
          <w:rFonts w:ascii="宋体" w:hAnsi="宋体" w:eastAsia="宋体"/>
          <w:color w:val="auto"/>
          <w:highlight w:val="none"/>
        </w:rPr>
        <w:t>方案得分也相等，按照评标办法前附</w:t>
      </w:r>
      <w:r>
        <w:rPr>
          <w:rFonts w:ascii="宋体" w:hAnsi="宋体" w:eastAsia="宋体"/>
          <w:color w:val="auto"/>
          <w:spacing w:val="-4"/>
          <w:highlight w:val="none"/>
        </w:rPr>
        <w:t>表的规</w:t>
      </w:r>
      <w:r>
        <w:rPr>
          <w:rFonts w:ascii="宋体" w:hAnsi="宋体" w:eastAsia="宋体"/>
          <w:color w:val="auto"/>
          <w:spacing w:val="-3"/>
          <w:highlight w:val="none"/>
        </w:rPr>
        <w:t>定</w:t>
      </w:r>
      <w:r>
        <w:rPr>
          <w:rFonts w:ascii="宋体" w:hAnsi="宋体" w:eastAsia="宋体"/>
          <w:color w:val="auto"/>
          <w:spacing w:val="-2"/>
          <w:highlight w:val="none"/>
        </w:rPr>
        <w:t>确定中标候选人顺序。</w:t>
      </w:r>
    </w:p>
    <w:p w14:paraId="28312644">
      <w:pPr>
        <w:pStyle w:val="25"/>
        <w:spacing w:before="120" w:after="120"/>
        <w:outlineLvl w:val="9"/>
        <w:rPr>
          <w:rFonts w:ascii="Times New Roman" w:hAnsi="Times New Roman" w:eastAsia="Times New Roman"/>
          <w:bCs/>
          <w:color w:val="auto"/>
          <w:spacing w:val="7"/>
          <w:sz w:val="31"/>
          <w:szCs w:val="31"/>
          <w:highlight w:val="none"/>
        </w:rPr>
      </w:pPr>
      <w:bookmarkStart w:id="366" w:name="_Toc583"/>
      <w:bookmarkStart w:id="367" w:name="_Toc23823"/>
      <w:bookmarkStart w:id="368" w:name="_Toc32401"/>
      <w:bookmarkStart w:id="369" w:name="_Toc21752"/>
      <w:bookmarkStart w:id="370" w:name="_Toc20461"/>
      <w:r>
        <w:rPr>
          <w:rFonts w:ascii="Times New Roman" w:hAnsi="Times New Roman" w:eastAsia="Times New Roman"/>
          <w:bCs/>
          <w:color w:val="auto"/>
          <w:spacing w:val="7"/>
          <w:sz w:val="31"/>
          <w:szCs w:val="31"/>
          <w:highlight w:val="none"/>
        </w:rPr>
        <w:t>2</w:t>
      </w:r>
      <w:r>
        <w:rPr>
          <w:rFonts w:ascii="Times New Roman" w:hAnsi="Times New Roman" w:eastAsia="Times New Roman"/>
          <w:bCs/>
          <w:color w:val="auto"/>
          <w:spacing w:val="6"/>
          <w:sz w:val="31"/>
          <w:szCs w:val="31"/>
          <w:highlight w:val="none"/>
        </w:rPr>
        <w:t>.</w:t>
      </w:r>
      <w:r>
        <w:rPr>
          <w:rFonts w:ascii="Times New Roman" w:hAnsi="Times New Roman" w:eastAsia="Times New Roman"/>
          <w:color w:val="auto"/>
          <w:spacing w:val="6"/>
          <w:sz w:val="31"/>
          <w:szCs w:val="31"/>
          <w:highlight w:val="none"/>
        </w:rPr>
        <w:t xml:space="preserve">  </w:t>
      </w:r>
      <w:r>
        <w:rPr>
          <w:rFonts w:ascii="黑体" w:hAnsi="黑体" w:eastAsia="黑体"/>
          <w:color w:val="auto"/>
          <w:spacing w:val="6"/>
          <w:sz w:val="31"/>
          <w:szCs w:val="31"/>
          <w:highlight w:val="none"/>
        </w:rPr>
        <w:t>评审标准</w:t>
      </w:r>
      <w:bookmarkEnd w:id="366"/>
      <w:bookmarkEnd w:id="367"/>
      <w:bookmarkEnd w:id="368"/>
      <w:bookmarkEnd w:id="369"/>
      <w:bookmarkEnd w:id="370"/>
    </w:p>
    <w:p w14:paraId="110D3E62">
      <w:pPr>
        <w:spacing w:line="247" w:lineRule="auto"/>
        <w:rPr>
          <w:color w:val="auto"/>
          <w:highlight w:val="none"/>
        </w:rPr>
      </w:pPr>
    </w:p>
    <w:p w14:paraId="4A30070B">
      <w:pPr>
        <w:rPr>
          <w:rFonts w:ascii="Times New Roman" w:hAnsi="Times New Roman" w:eastAsia="Times New Roman"/>
          <w:color w:val="auto"/>
          <w:spacing w:val="12"/>
          <w:sz w:val="27"/>
          <w:szCs w:val="27"/>
          <w:highlight w:val="none"/>
        </w:rPr>
      </w:pPr>
      <w:bookmarkStart w:id="371" w:name="_Toc26285"/>
      <w:bookmarkStart w:id="372" w:name="_Toc19634"/>
      <w:bookmarkStart w:id="373" w:name="_Toc29338"/>
      <w:bookmarkStart w:id="374" w:name="_Toc28896"/>
      <w:bookmarkStart w:id="375" w:name="_Toc31870"/>
      <w:r>
        <w:rPr>
          <w:rFonts w:ascii="Times New Roman" w:hAnsi="Times New Roman" w:eastAsia="Times New Roman"/>
          <w:color w:val="auto"/>
          <w:spacing w:val="12"/>
          <w:sz w:val="27"/>
          <w:szCs w:val="27"/>
          <w:highlight w:val="none"/>
        </w:rPr>
        <w:t>2</w:t>
      </w:r>
      <w:r>
        <w:rPr>
          <w:rFonts w:ascii="Times New Roman" w:hAnsi="Times New Roman" w:eastAsia="Times New Roman"/>
          <w:color w:val="auto"/>
          <w:spacing w:val="7"/>
          <w:sz w:val="27"/>
          <w:szCs w:val="27"/>
          <w:highlight w:val="none"/>
        </w:rPr>
        <w:t>.</w:t>
      </w:r>
      <w:r>
        <w:rPr>
          <w:rFonts w:ascii="Times New Roman" w:hAnsi="Times New Roman" w:eastAsia="Times New Roman"/>
          <w:color w:val="auto"/>
          <w:spacing w:val="6"/>
          <w:sz w:val="27"/>
          <w:szCs w:val="27"/>
          <w:highlight w:val="none"/>
        </w:rPr>
        <w:t xml:space="preserve">1  </w:t>
      </w:r>
      <w:r>
        <w:rPr>
          <w:rFonts w:ascii="黑体" w:hAnsi="黑体" w:eastAsia="黑体"/>
          <w:color w:val="auto"/>
          <w:spacing w:val="6"/>
          <w:sz w:val="27"/>
          <w:szCs w:val="27"/>
          <w:highlight w:val="none"/>
        </w:rPr>
        <w:t>初步评审标准</w:t>
      </w:r>
      <w:bookmarkEnd w:id="371"/>
      <w:bookmarkEnd w:id="372"/>
      <w:bookmarkEnd w:id="373"/>
      <w:bookmarkEnd w:id="374"/>
      <w:bookmarkEnd w:id="375"/>
    </w:p>
    <w:p w14:paraId="7C2A264B">
      <w:pPr>
        <w:spacing w:line="315" w:lineRule="auto"/>
        <w:rPr>
          <w:color w:val="auto"/>
          <w:highlight w:val="none"/>
        </w:rPr>
      </w:pPr>
    </w:p>
    <w:p w14:paraId="5BB72892">
      <w:pPr>
        <w:spacing w:before="69" w:line="399" w:lineRule="exact"/>
        <w:ind w:left="417"/>
        <w:rPr>
          <w:rFonts w:ascii="Times New Roman" w:hAnsi="Times New Roman" w:eastAsia="Times New Roman"/>
          <w:color w:val="auto"/>
          <w:spacing w:val="-2"/>
          <w:position w:val="14"/>
          <w:highlight w:val="none"/>
        </w:rPr>
      </w:pPr>
      <w:r>
        <w:rPr>
          <w:rFonts w:ascii="Times New Roman" w:hAnsi="Times New Roman" w:eastAsia="Times New Roman"/>
          <w:color w:val="auto"/>
          <w:spacing w:val="-2"/>
          <w:position w:val="14"/>
          <w:highlight w:val="none"/>
        </w:rPr>
        <w:t xml:space="preserve">2.1.1  </w:t>
      </w:r>
      <w:r>
        <w:rPr>
          <w:rFonts w:hint="eastAsia" w:ascii="宋体" w:hAnsi="宋体" w:eastAsia="宋体"/>
          <w:color w:val="auto"/>
          <w:spacing w:val="-2"/>
          <w:position w:val="14"/>
          <w:highlight w:val="none"/>
        </w:rPr>
        <w:t>资格</w:t>
      </w:r>
      <w:r>
        <w:rPr>
          <w:rFonts w:ascii="宋体" w:hAnsi="宋体" w:eastAsia="宋体"/>
          <w:color w:val="auto"/>
          <w:spacing w:val="-2"/>
          <w:position w:val="14"/>
          <w:highlight w:val="none"/>
        </w:rPr>
        <w:t>评</w:t>
      </w:r>
      <w:r>
        <w:rPr>
          <w:rFonts w:ascii="宋体" w:hAnsi="宋体" w:eastAsia="宋体"/>
          <w:color w:val="auto"/>
          <w:spacing w:val="-1"/>
          <w:position w:val="14"/>
          <w:highlight w:val="none"/>
        </w:rPr>
        <w:t>审标准：见评标办法前附表。</w:t>
      </w:r>
    </w:p>
    <w:p w14:paraId="7D18BDD8">
      <w:pPr>
        <w:spacing w:before="1" w:line="218" w:lineRule="auto"/>
        <w:ind w:left="417"/>
        <w:rPr>
          <w:rFonts w:ascii="Times New Roman" w:hAnsi="Times New Roman" w:eastAsia="Times New Roman"/>
          <w:color w:val="auto"/>
          <w:spacing w:val="-2"/>
          <w:highlight w:val="none"/>
        </w:rPr>
      </w:pPr>
      <w:r>
        <w:rPr>
          <w:rFonts w:ascii="Times New Roman" w:hAnsi="Times New Roman" w:eastAsia="Times New Roman"/>
          <w:color w:val="auto"/>
          <w:spacing w:val="-2"/>
          <w:highlight w:val="none"/>
        </w:rPr>
        <w:t xml:space="preserve">2.1.2  </w:t>
      </w:r>
      <w:r>
        <w:rPr>
          <w:rFonts w:hint="eastAsia" w:ascii="宋体" w:hAnsi="宋体" w:eastAsia="宋体"/>
          <w:color w:val="auto"/>
          <w:spacing w:val="-2"/>
          <w:highlight w:val="none"/>
        </w:rPr>
        <w:t>形式</w:t>
      </w:r>
      <w:r>
        <w:rPr>
          <w:rFonts w:ascii="宋体" w:hAnsi="宋体" w:eastAsia="宋体"/>
          <w:color w:val="auto"/>
          <w:spacing w:val="-1"/>
          <w:highlight w:val="none"/>
        </w:rPr>
        <w:t>评审标准：见评标办法前附表。</w:t>
      </w:r>
    </w:p>
    <w:p w14:paraId="2115505B">
      <w:pPr>
        <w:spacing w:before="152" w:line="220" w:lineRule="auto"/>
        <w:ind w:left="417"/>
        <w:rPr>
          <w:rFonts w:ascii="Times New Roman" w:hAnsi="Times New Roman" w:eastAsia="Times New Roman"/>
          <w:color w:val="auto"/>
          <w:spacing w:val="-2"/>
          <w:highlight w:val="none"/>
        </w:rPr>
      </w:pPr>
      <w:r>
        <w:rPr>
          <w:rFonts w:ascii="Times New Roman" w:hAnsi="Times New Roman" w:eastAsia="Times New Roman"/>
          <w:color w:val="auto"/>
          <w:spacing w:val="-2"/>
          <w:highlight w:val="none"/>
        </w:rPr>
        <w:t xml:space="preserve">2.1.3  </w:t>
      </w:r>
      <w:r>
        <w:rPr>
          <w:rFonts w:ascii="宋体" w:hAnsi="宋体" w:eastAsia="宋体"/>
          <w:color w:val="auto"/>
          <w:spacing w:val="-2"/>
          <w:highlight w:val="none"/>
        </w:rPr>
        <w:t>响</w:t>
      </w:r>
      <w:r>
        <w:rPr>
          <w:rFonts w:ascii="宋体" w:hAnsi="宋体" w:eastAsia="宋体"/>
          <w:color w:val="auto"/>
          <w:spacing w:val="-1"/>
          <w:highlight w:val="none"/>
        </w:rPr>
        <w:t>应性评审标准：见评标办法前附表。</w:t>
      </w:r>
    </w:p>
    <w:p w14:paraId="496FC06A">
      <w:pPr>
        <w:rPr>
          <w:rFonts w:ascii="Times New Roman" w:hAnsi="Times New Roman" w:eastAsiaTheme="minorEastAsia"/>
          <w:color w:val="auto"/>
          <w:spacing w:val="13"/>
          <w:sz w:val="27"/>
          <w:szCs w:val="27"/>
          <w:highlight w:val="none"/>
        </w:rPr>
      </w:pPr>
      <w:bookmarkStart w:id="376" w:name="_Toc4858"/>
      <w:bookmarkStart w:id="377" w:name="_Toc32223"/>
      <w:bookmarkStart w:id="378" w:name="_Toc7108"/>
      <w:bookmarkStart w:id="379" w:name="_Toc7416"/>
      <w:bookmarkStart w:id="380" w:name="_Toc17564"/>
    </w:p>
    <w:p w14:paraId="4ED50C86">
      <w:pPr>
        <w:rPr>
          <w:rFonts w:ascii="Times New Roman" w:hAnsi="Times New Roman" w:eastAsia="Times New Roman"/>
          <w:color w:val="auto"/>
          <w:spacing w:val="13"/>
          <w:sz w:val="27"/>
          <w:szCs w:val="27"/>
          <w:highlight w:val="none"/>
        </w:rPr>
      </w:pPr>
      <w:r>
        <w:rPr>
          <w:rFonts w:ascii="Times New Roman" w:hAnsi="Times New Roman" w:eastAsia="Times New Roman"/>
          <w:color w:val="auto"/>
          <w:spacing w:val="13"/>
          <w:sz w:val="27"/>
          <w:szCs w:val="27"/>
          <w:highlight w:val="none"/>
        </w:rPr>
        <w:t>2</w:t>
      </w:r>
      <w:r>
        <w:rPr>
          <w:rFonts w:ascii="Times New Roman" w:hAnsi="Times New Roman" w:eastAsia="Times New Roman"/>
          <w:color w:val="auto"/>
          <w:spacing w:val="7"/>
          <w:sz w:val="27"/>
          <w:szCs w:val="27"/>
          <w:highlight w:val="none"/>
        </w:rPr>
        <w:t xml:space="preserve">.2  </w:t>
      </w:r>
      <w:r>
        <w:rPr>
          <w:rFonts w:ascii="黑体" w:hAnsi="黑体" w:eastAsia="黑体"/>
          <w:color w:val="auto"/>
          <w:spacing w:val="7"/>
          <w:sz w:val="27"/>
          <w:szCs w:val="27"/>
          <w:highlight w:val="none"/>
        </w:rPr>
        <w:t>分值构成与评分标准</w:t>
      </w:r>
      <w:bookmarkEnd w:id="376"/>
      <w:bookmarkEnd w:id="377"/>
      <w:bookmarkEnd w:id="378"/>
      <w:bookmarkEnd w:id="379"/>
      <w:bookmarkEnd w:id="380"/>
    </w:p>
    <w:p w14:paraId="59443E16">
      <w:pPr>
        <w:spacing w:line="315" w:lineRule="auto"/>
        <w:rPr>
          <w:color w:val="auto"/>
          <w:highlight w:val="none"/>
        </w:rPr>
      </w:pPr>
    </w:p>
    <w:p w14:paraId="533E6F2F">
      <w:pPr>
        <w:spacing w:before="69" w:line="399" w:lineRule="exact"/>
        <w:ind w:left="417"/>
        <w:rPr>
          <w:rFonts w:ascii="Times New Roman" w:hAnsi="Times New Roman" w:eastAsia="Times New Roman"/>
          <w:color w:val="auto"/>
          <w:spacing w:val="-1"/>
          <w:position w:val="14"/>
          <w:highlight w:val="none"/>
        </w:rPr>
      </w:pPr>
      <w:r>
        <w:rPr>
          <w:rFonts w:ascii="Times New Roman" w:hAnsi="Times New Roman" w:eastAsia="Times New Roman"/>
          <w:color w:val="auto"/>
          <w:spacing w:val="-1"/>
          <w:position w:val="14"/>
          <w:highlight w:val="none"/>
        </w:rPr>
        <w:t>2.2</w:t>
      </w:r>
      <w:r>
        <w:rPr>
          <w:rFonts w:ascii="Times New Roman" w:hAnsi="Times New Roman" w:eastAsia="Times New Roman"/>
          <w:color w:val="auto"/>
          <w:position w:val="14"/>
          <w:highlight w:val="none"/>
        </w:rPr>
        <w:t xml:space="preserve">.1  </w:t>
      </w:r>
      <w:r>
        <w:rPr>
          <w:rFonts w:ascii="宋体" w:hAnsi="宋体" w:eastAsia="宋体"/>
          <w:color w:val="auto"/>
          <w:position w:val="14"/>
          <w:highlight w:val="none"/>
        </w:rPr>
        <w:t>分值构成</w:t>
      </w:r>
    </w:p>
    <w:p w14:paraId="3627C536">
      <w:pPr>
        <w:spacing w:before="1" w:line="217" w:lineRule="auto"/>
        <w:ind w:left="426"/>
        <w:rPr>
          <w:rFonts w:ascii="宋体" w:hAnsi="宋体" w:eastAsia="宋体"/>
          <w:color w:val="auto"/>
          <w:spacing w:val="14"/>
          <w:highlight w:val="none"/>
        </w:rPr>
      </w:pPr>
      <w:r>
        <w:rPr>
          <w:rFonts w:ascii="宋体" w:hAnsi="宋体" w:eastAsia="宋体"/>
          <w:color w:val="auto"/>
          <w:spacing w:val="14"/>
          <w:highlight w:val="none"/>
        </w:rPr>
        <w:t>(</w:t>
      </w:r>
      <w:r>
        <w:rPr>
          <w:rFonts w:ascii="Times New Roman" w:hAnsi="Times New Roman" w:eastAsia="Times New Roman"/>
          <w:color w:val="auto"/>
          <w:spacing w:val="14"/>
          <w:highlight w:val="none"/>
        </w:rPr>
        <w:t>1</w:t>
      </w:r>
      <w:r>
        <w:rPr>
          <w:rFonts w:ascii="宋体" w:hAnsi="宋体" w:eastAsia="宋体"/>
          <w:color w:val="auto"/>
          <w:spacing w:val="7"/>
          <w:highlight w:val="none"/>
        </w:rPr>
        <w:t>)资信业绩部分：见评标办法前附表；</w:t>
      </w:r>
    </w:p>
    <w:p w14:paraId="6F5D7D22">
      <w:pPr>
        <w:spacing w:before="153" w:line="220" w:lineRule="auto"/>
        <w:ind w:left="426"/>
        <w:rPr>
          <w:rFonts w:ascii="宋体" w:hAnsi="宋体" w:eastAsia="宋体"/>
          <w:color w:val="auto"/>
          <w:spacing w:val="14"/>
          <w:highlight w:val="none"/>
        </w:rPr>
      </w:pPr>
      <w:r>
        <w:rPr>
          <w:rFonts w:ascii="宋体" w:hAnsi="宋体" w:eastAsia="宋体"/>
          <w:color w:val="auto"/>
          <w:spacing w:val="14"/>
          <w:highlight w:val="none"/>
        </w:rPr>
        <w:t>(</w:t>
      </w:r>
      <w:r>
        <w:rPr>
          <w:rFonts w:ascii="Times New Roman" w:hAnsi="Times New Roman" w:eastAsia="Times New Roman"/>
          <w:color w:val="auto"/>
          <w:spacing w:val="14"/>
          <w:highlight w:val="none"/>
        </w:rPr>
        <w:t>2</w:t>
      </w:r>
      <w:r>
        <w:rPr>
          <w:rFonts w:ascii="宋体" w:hAnsi="宋体" w:eastAsia="宋体"/>
          <w:color w:val="auto"/>
          <w:spacing w:val="7"/>
          <w:highlight w:val="none"/>
        </w:rPr>
        <w:t>)</w:t>
      </w:r>
      <w:r>
        <w:rPr>
          <w:rFonts w:hint="eastAsia" w:ascii="宋体" w:hAnsi="宋体" w:eastAsia="宋体"/>
          <w:color w:val="auto"/>
          <w:spacing w:val="7"/>
          <w:highlight w:val="none"/>
        </w:rPr>
        <w:t>设计</w:t>
      </w:r>
      <w:r>
        <w:rPr>
          <w:rFonts w:ascii="宋体" w:hAnsi="宋体" w:eastAsia="宋体"/>
          <w:color w:val="auto"/>
          <w:spacing w:val="7"/>
          <w:highlight w:val="none"/>
        </w:rPr>
        <w:t>方案部分：见评标办法前附表；</w:t>
      </w:r>
    </w:p>
    <w:p w14:paraId="1B7EACA2">
      <w:pPr>
        <w:spacing w:before="150" w:line="219" w:lineRule="auto"/>
        <w:ind w:left="426"/>
        <w:rPr>
          <w:rFonts w:ascii="宋体" w:hAnsi="宋体" w:eastAsia="宋体"/>
          <w:color w:val="auto"/>
          <w:spacing w:val="16"/>
          <w:highlight w:val="none"/>
        </w:rPr>
      </w:pPr>
      <w:r>
        <w:rPr>
          <w:rFonts w:ascii="宋体" w:hAnsi="宋体" w:eastAsia="宋体"/>
          <w:color w:val="auto"/>
          <w:spacing w:val="16"/>
          <w:highlight w:val="none"/>
        </w:rPr>
        <w:t>(</w:t>
      </w:r>
      <w:r>
        <w:rPr>
          <w:rFonts w:ascii="Times New Roman" w:hAnsi="Times New Roman" w:eastAsia="Times New Roman"/>
          <w:color w:val="auto"/>
          <w:spacing w:val="11"/>
          <w:highlight w:val="none"/>
        </w:rPr>
        <w:t>3</w:t>
      </w:r>
      <w:r>
        <w:rPr>
          <w:rFonts w:ascii="宋体" w:hAnsi="宋体" w:eastAsia="宋体"/>
          <w:color w:val="auto"/>
          <w:spacing w:val="8"/>
          <w:highlight w:val="none"/>
        </w:rPr>
        <w:t>)投标报价：见评标办法前附表；</w:t>
      </w:r>
    </w:p>
    <w:p w14:paraId="7014B417">
      <w:pPr>
        <w:spacing w:before="150" w:line="218" w:lineRule="auto"/>
        <w:ind w:left="426"/>
        <w:rPr>
          <w:rFonts w:ascii="宋体" w:hAnsi="宋体" w:eastAsia="宋体"/>
          <w:color w:val="auto"/>
          <w:spacing w:val="16"/>
          <w:highlight w:val="none"/>
        </w:rPr>
      </w:pPr>
      <w:r>
        <w:rPr>
          <w:rFonts w:ascii="宋体" w:hAnsi="宋体" w:eastAsia="宋体"/>
          <w:color w:val="auto"/>
          <w:spacing w:val="16"/>
          <w:highlight w:val="none"/>
        </w:rPr>
        <w:t>(</w:t>
      </w:r>
      <w:r>
        <w:rPr>
          <w:rFonts w:ascii="Times New Roman" w:hAnsi="Times New Roman" w:eastAsia="Times New Roman"/>
          <w:color w:val="auto"/>
          <w:spacing w:val="13"/>
          <w:highlight w:val="none"/>
        </w:rPr>
        <w:t>4</w:t>
      </w:r>
      <w:r>
        <w:rPr>
          <w:rFonts w:ascii="宋体" w:hAnsi="宋体" w:eastAsia="宋体"/>
          <w:color w:val="auto"/>
          <w:spacing w:val="8"/>
          <w:highlight w:val="none"/>
        </w:rPr>
        <w:t>)其他评分因素：见评标办法前附表。</w:t>
      </w:r>
    </w:p>
    <w:p w14:paraId="79D20ACF">
      <w:pPr>
        <w:spacing w:before="153" w:line="219" w:lineRule="auto"/>
        <w:ind w:left="417"/>
        <w:rPr>
          <w:rFonts w:ascii="Times New Roman" w:hAnsi="Times New Roman" w:eastAsia="Times New Roman"/>
          <w:color w:val="auto"/>
          <w:spacing w:val="-1"/>
          <w:highlight w:val="none"/>
        </w:rPr>
      </w:pPr>
      <w:r>
        <w:rPr>
          <w:rFonts w:ascii="Times New Roman" w:hAnsi="Times New Roman" w:eastAsia="Times New Roman"/>
          <w:color w:val="auto"/>
          <w:spacing w:val="-1"/>
          <w:highlight w:val="none"/>
        </w:rPr>
        <w:t>2.2.</w:t>
      </w:r>
      <w:r>
        <w:rPr>
          <w:rFonts w:ascii="Times New Roman" w:hAnsi="Times New Roman" w:eastAsia="Times New Roman"/>
          <w:color w:val="auto"/>
          <w:highlight w:val="none"/>
        </w:rPr>
        <w:t xml:space="preserve">2  </w:t>
      </w:r>
      <w:r>
        <w:rPr>
          <w:rFonts w:ascii="宋体" w:hAnsi="宋体" w:eastAsia="宋体"/>
          <w:color w:val="auto"/>
          <w:highlight w:val="none"/>
        </w:rPr>
        <w:t>评标基准价计算</w:t>
      </w:r>
    </w:p>
    <w:p w14:paraId="5BF693F2">
      <w:pPr>
        <w:spacing w:before="151" w:line="399" w:lineRule="exact"/>
        <w:ind w:left="420"/>
        <w:rPr>
          <w:rFonts w:ascii="宋体" w:hAnsi="宋体" w:eastAsia="宋体"/>
          <w:color w:val="auto"/>
          <w:spacing w:val="-2"/>
          <w:position w:val="14"/>
          <w:highlight w:val="none"/>
        </w:rPr>
      </w:pPr>
      <w:r>
        <w:rPr>
          <w:rFonts w:ascii="宋体" w:hAnsi="宋体" w:eastAsia="宋体"/>
          <w:color w:val="auto"/>
          <w:spacing w:val="-2"/>
          <w:position w:val="14"/>
          <w:highlight w:val="none"/>
        </w:rPr>
        <w:t>评标基准价计算方法：见评标办法前附表</w:t>
      </w:r>
      <w:r>
        <w:rPr>
          <w:rFonts w:ascii="宋体" w:hAnsi="宋体" w:eastAsia="宋体"/>
          <w:color w:val="auto"/>
          <w:position w:val="14"/>
          <w:highlight w:val="none"/>
        </w:rPr>
        <w:t>。</w:t>
      </w:r>
    </w:p>
    <w:p w14:paraId="554428E2">
      <w:pPr>
        <w:spacing w:before="1" w:line="218" w:lineRule="auto"/>
        <w:ind w:left="417"/>
        <w:rPr>
          <w:rFonts w:ascii="Times New Roman" w:hAnsi="Times New Roman" w:eastAsia="Times New Roman"/>
          <w:color w:val="auto"/>
          <w:spacing w:val="-1"/>
          <w:highlight w:val="none"/>
        </w:rPr>
      </w:pPr>
      <w:r>
        <w:rPr>
          <w:rFonts w:ascii="Times New Roman" w:hAnsi="Times New Roman" w:eastAsia="Times New Roman"/>
          <w:color w:val="auto"/>
          <w:spacing w:val="-1"/>
          <w:highlight w:val="none"/>
        </w:rPr>
        <w:t>2.2.</w:t>
      </w:r>
      <w:r>
        <w:rPr>
          <w:rFonts w:ascii="Times New Roman" w:hAnsi="Times New Roman" w:eastAsia="Times New Roman"/>
          <w:color w:val="auto"/>
          <w:highlight w:val="none"/>
        </w:rPr>
        <w:t xml:space="preserve">3  </w:t>
      </w:r>
      <w:r>
        <w:rPr>
          <w:rFonts w:ascii="宋体" w:hAnsi="宋体" w:eastAsia="宋体"/>
          <w:color w:val="auto"/>
          <w:highlight w:val="none"/>
        </w:rPr>
        <w:t>投标报价的偏差率计算</w:t>
      </w:r>
    </w:p>
    <w:p w14:paraId="0FA60F54">
      <w:pPr>
        <w:spacing w:before="152" w:line="400" w:lineRule="exact"/>
        <w:ind w:left="423"/>
        <w:rPr>
          <w:rFonts w:ascii="宋体" w:hAnsi="宋体" w:eastAsia="宋体"/>
          <w:color w:val="auto"/>
          <w:spacing w:val="-2"/>
          <w:position w:val="14"/>
          <w:highlight w:val="none"/>
        </w:rPr>
      </w:pPr>
      <w:r>
        <w:rPr>
          <w:rFonts w:ascii="宋体" w:hAnsi="宋体" w:eastAsia="宋体"/>
          <w:color w:val="auto"/>
          <w:spacing w:val="-2"/>
          <w:position w:val="14"/>
          <w:highlight w:val="none"/>
        </w:rPr>
        <w:t>投标报价的偏差率计算公式：见评标办</w:t>
      </w:r>
      <w:r>
        <w:rPr>
          <w:rFonts w:ascii="宋体" w:hAnsi="宋体" w:eastAsia="宋体"/>
          <w:color w:val="auto"/>
          <w:spacing w:val="-1"/>
          <w:position w:val="14"/>
          <w:highlight w:val="none"/>
        </w:rPr>
        <w:t>法前附表。</w:t>
      </w:r>
    </w:p>
    <w:p w14:paraId="3B777E55">
      <w:pPr>
        <w:spacing w:before="1" w:line="220" w:lineRule="auto"/>
        <w:ind w:left="417"/>
        <w:rPr>
          <w:rFonts w:ascii="Times New Roman" w:hAnsi="Times New Roman" w:eastAsia="Times New Roman"/>
          <w:color w:val="auto"/>
          <w:spacing w:val="-1"/>
          <w:highlight w:val="none"/>
        </w:rPr>
      </w:pPr>
      <w:r>
        <w:rPr>
          <w:rFonts w:ascii="Times New Roman" w:hAnsi="Times New Roman" w:eastAsia="Times New Roman"/>
          <w:color w:val="auto"/>
          <w:spacing w:val="-1"/>
          <w:highlight w:val="none"/>
        </w:rPr>
        <w:t>2.2.</w:t>
      </w:r>
      <w:r>
        <w:rPr>
          <w:rFonts w:ascii="Times New Roman" w:hAnsi="Times New Roman" w:eastAsia="Times New Roman"/>
          <w:color w:val="auto"/>
          <w:highlight w:val="none"/>
        </w:rPr>
        <w:t xml:space="preserve">4  </w:t>
      </w:r>
      <w:r>
        <w:rPr>
          <w:rFonts w:ascii="宋体" w:hAnsi="宋体" w:eastAsia="宋体"/>
          <w:color w:val="auto"/>
          <w:highlight w:val="none"/>
        </w:rPr>
        <w:t>评分标准</w:t>
      </w:r>
    </w:p>
    <w:p w14:paraId="0E9BE142">
      <w:pPr>
        <w:spacing w:before="148" w:line="217" w:lineRule="auto"/>
        <w:ind w:left="426"/>
        <w:rPr>
          <w:rFonts w:ascii="宋体" w:hAnsi="宋体" w:eastAsia="宋体"/>
          <w:color w:val="auto"/>
          <w:spacing w:val="7"/>
          <w:highlight w:val="none"/>
        </w:rPr>
      </w:pPr>
      <w:r>
        <w:rPr>
          <w:rFonts w:ascii="宋体" w:hAnsi="宋体" w:eastAsia="宋体"/>
          <w:color w:val="auto"/>
          <w:spacing w:val="7"/>
          <w:highlight w:val="none"/>
        </w:rPr>
        <w:t>(</w:t>
      </w:r>
      <w:r>
        <w:rPr>
          <w:rFonts w:ascii="Times New Roman" w:hAnsi="Times New Roman" w:eastAsia="Times New Roman"/>
          <w:color w:val="auto"/>
          <w:spacing w:val="7"/>
          <w:highlight w:val="none"/>
        </w:rPr>
        <w:t>1</w:t>
      </w:r>
      <w:r>
        <w:rPr>
          <w:rFonts w:ascii="宋体" w:hAnsi="宋体" w:eastAsia="宋体"/>
          <w:color w:val="auto"/>
          <w:spacing w:val="7"/>
          <w:highlight w:val="none"/>
        </w:rPr>
        <w:t>)资信业绩评分标准：见评标办法前附表；</w:t>
      </w:r>
    </w:p>
    <w:p w14:paraId="472508E2">
      <w:pPr>
        <w:spacing w:before="153" w:line="220" w:lineRule="auto"/>
        <w:ind w:left="426"/>
        <w:rPr>
          <w:rFonts w:ascii="宋体" w:hAnsi="宋体" w:eastAsia="宋体"/>
          <w:color w:val="auto"/>
          <w:spacing w:val="7"/>
          <w:highlight w:val="none"/>
        </w:rPr>
      </w:pPr>
      <w:r>
        <w:rPr>
          <w:rFonts w:ascii="宋体" w:hAnsi="宋体" w:eastAsia="宋体"/>
          <w:color w:val="auto"/>
          <w:spacing w:val="7"/>
          <w:highlight w:val="none"/>
        </w:rPr>
        <w:t>(</w:t>
      </w:r>
      <w:r>
        <w:rPr>
          <w:rFonts w:ascii="Times New Roman" w:hAnsi="Times New Roman" w:eastAsia="Times New Roman"/>
          <w:color w:val="auto"/>
          <w:spacing w:val="7"/>
          <w:highlight w:val="none"/>
        </w:rPr>
        <w:t>2</w:t>
      </w:r>
      <w:r>
        <w:rPr>
          <w:rFonts w:ascii="宋体" w:hAnsi="宋体" w:eastAsia="宋体"/>
          <w:color w:val="auto"/>
          <w:spacing w:val="7"/>
          <w:highlight w:val="none"/>
        </w:rPr>
        <w:t>)</w:t>
      </w:r>
      <w:r>
        <w:rPr>
          <w:rFonts w:hint="eastAsia" w:ascii="宋体" w:hAnsi="宋体" w:eastAsia="宋体"/>
          <w:color w:val="auto"/>
          <w:spacing w:val="7"/>
          <w:highlight w:val="none"/>
        </w:rPr>
        <w:t>设计</w:t>
      </w:r>
      <w:r>
        <w:rPr>
          <w:rFonts w:ascii="宋体" w:hAnsi="宋体" w:eastAsia="宋体"/>
          <w:color w:val="auto"/>
          <w:spacing w:val="7"/>
          <w:highlight w:val="none"/>
        </w:rPr>
        <w:t>方案评分标准：见评标办法前附表；</w:t>
      </w:r>
    </w:p>
    <w:p w14:paraId="698CB973">
      <w:pPr>
        <w:spacing w:before="150" w:line="219" w:lineRule="auto"/>
        <w:ind w:left="426"/>
        <w:rPr>
          <w:rFonts w:ascii="宋体" w:hAnsi="宋体" w:eastAsia="宋体"/>
          <w:color w:val="auto"/>
          <w:spacing w:val="7"/>
          <w:highlight w:val="none"/>
        </w:rPr>
      </w:pPr>
      <w:r>
        <w:rPr>
          <w:rFonts w:ascii="宋体" w:hAnsi="宋体" w:eastAsia="宋体"/>
          <w:color w:val="auto"/>
          <w:spacing w:val="7"/>
          <w:highlight w:val="none"/>
        </w:rPr>
        <w:t>(</w:t>
      </w:r>
      <w:r>
        <w:rPr>
          <w:rFonts w:ascii="Times New Roman" w:hAnsi="Times New Roman" w:eastAsia="Times New Roman"/>
          <w:color w:val="auto"/>
          <w:spacing w:val="7"/>
          <w:highlight w:val="none"/>
        </w:rPr>
        <w:t>3</w:t>
      </w:r>
      <w:r>
        <w:rPr>
          <w:rFonts w:ascii="宋体" w:hAnsi="宋体" w:eastAsia="宋体"/>
          <w:color w:val="auto"/>
          <w:spacing w:val="7"/>
          <w:highlight w:val="none"/>
        </w:rPr>
        <w:t>)投标报价评分标准：见评标办法前附表；</w:t>
      </w:r>
    </w:p>
    <w:p w14:paraId="2B1907B5">
      <w:pPr>
        <w:spacing w:before="232" w:line="218" w:lineRule="auto"/>
        <w:ind w:left="428"/>
        <w:rPr>
          <w:rFonts w:ascii="宋体" w:hAnsi="宋体" w:eastAsia="宋体"/>
          <w:color w:val="auto"/>
          <w:spacing w:val="8"/>
          <w:highlight w:val="none"/>
        </w:rPr>
      </w:pPr>
      <w:r>
        <w:rPr>
          <w:rFonts w:ascii="宋体" w:hAnsi="宋体" w:eastAsia="宋体"/>
          <w:color w:val="auto"/>
          <w:spacing w:val="8"/>
          <w:highlight w:val="none"/>
        </w:rPr>
        <w:t>(</w:t>
      </w:r>
      <w:r>
        <w:rPr>
          <w:rFonts w:ascii="Times New Roman" w:hAnsi="Times New Roman" w:eastAsia="Times New Roman"/>
          <w:color w:val="auto"/>
          <w:spacing w:val="8"/>
          <w:highlight w:val="none"/>
        </w:rPr>
        <w:t>4</w:t>
      </w:r>
      <w:r>
        <w:rPr>
          <w:rFonts w:ascii="宋体" w:hAnsi="宋体" w:eastAsia="宋体"/>
          <w:color w:val="auto"/>
          <w:spacing w:val="8"/>
          <w:highlight w:val="none"/>
        </w:rPr>
        <w:t>)其他因素评分标准：见评标办法前附表</w:t>
      </w:r>
      <w:r>
        <w:rPr>
          <w:rFonts w:ascii="宋体" w:hAnsi="宋体" w:eastAsia="宋体"/>
          <w:color w:val="auto"/>
          <w:spacing w:val="5"/>
          <w:highlight w:val="none"/>
        </w:rPr>
        <w:t>。</w:t>
      </w:r>
    </w:p>
    <w:p w14:paraId="36601F93">
      <w:pPr>
        <w:pStyle w:val="25"/>
        <w:spacing w:before="120" w:after="120"/>
        <w:outlineLvl w:val="9"/>
        <w:rPr>
          <w:rFonts w:ascii="Times New Roman" w:hAnsi="Times New Roman" w:eastAsiaTheme="minorEastAsia"/>
          <w:bCs/>
          <w:color w:val="auto"/>
          <w:spacing w:val="9"/>
          <w:sz w:val="31"/>
          <w:szCs w:val="31"/>
          <w:highlight w:val="none"/>
        </w:rPr>
      </w:pPr>
      <w:bookmarkStart w:id="381" w:name="_Toc6084"/>
      <w:bookmarkStart w:id="382" w:name="_Toc14114"/>
      <w:bookmarkStart w:id="383" w:name="_Toc16620"/>
      <w:bookmarkStart w:id="384" w:name="_Toc24443"/>
      <w:bookmarkStart w:id="385" w:name="_Toc15057"/>
    </w:p>
    <w:p w14:paraId="3C440C32">
      <w:pPr>
        <w:pStyle w:val="25"/>
        <w:spacing w:before="120" w:after="120"/>
        <w:outlineLvl w:val="9"/>
        <w:rPr>
          <w:rFonts w:ascii="Times New Roman" w:hAnsi="Times New Roman" w:eastAsia="Times New Roman"/>
          <w:bCs/>
          <w:color w:val="auto"/>
          <w:spacing w:val="9"/>
          <w:sz w:val="31"/>
          <w:szCs w:val="31"/>
          <w:highlight w:val="none"/>
        </w:rPr>
      </w:pPr>
      <w:r>
        <w:rPr>
          <w:rFonts w:ascii="Times New Roman" w:hAnsi="Times New Roman" w:eastAsia="Times New Roman"/>
          <w:bCs/>
          <w:color w:val="auto"/>
          <w:spacing w:val="9"/>
          <w:sz w:val="31"/>
          <w:szCs w:val="31"/>
          <w:highlight w:val="none"/>
        </w:rPr>
        <w:t>3</w:t>
      </w:r>
      <w:r>
        <w:rPr>
          <w:rFonts w:ascii="Times New Roman" w:hAnsi="Times New Roman" w:eastAsia="Times New Roman"/>
          <w:bCs/>
          <w:color w:val="auto"/>
          <w:spacing w:val="6"/>
          <w:sz w:val="31"/>
          <w:szCs w:val="31"/>
          <w:highlight w:val="none"/>
        </w:rPr>
        <w:t>.</w:t>
      </w:r>
      <w:r>
        <w:rPr>
          <w:rFonts w:ascii="Times New Roman" w:hAnsi="Times New Roman" w:eastAsia="Times New Roman"/>
          <w:color w:val="auto"/>
          <w:spacing w:val="6"/>
          <w:sz w:val="31"/>
          <w:szCs w:val="31"/>
          <w:highlight w:val="none"/>
        </w:rPr>
        <w:t xml:space="preserve">  </w:t>
      </w:r>
      <w:r>
        <w:rPr>
          <w:rFonts w:ascii="黑体" w:hAnsi="黑体" w:eastAsia="黑体"/>
          <w:color w:val="auto"/>
          <w:spacing w:val="6"/>
          <w:sz w:val="31"/>
          <w:szCs w:val="31"/>
          <w:highlight w:val="none"/>
        </w:rPr>
        <w:t>评标程序</w:t>
      </w:r>
      <w:bookmarkEnd w:id="381"/>
      <w:bookmarkEnd w:id="382"/>
      <w:bookmarkEnd w:id="383"/>
      <w:bookmarkEnd w:id="384"/>
      <w:bookmarkEnd w:id="385"/>
    </w:p>
    <w:p w14:paraId="4F8426AA">
      <w:pPr>
        <w:spacing w:line="247" w:lineRule="auto"/>
        <w:rPr>
          <w:color w:val="auto"/>
          <w:highlight w:val="none"/>
        </w:rPr>
      </w:pPr>
    </w:p>
    <w:p w14:paraId="40721DBE">
      <w:pPr>
        <w:rPr>
          <w:rFonts w:ascii="Times New Roman" w:hAnsi="Times New Roman" w:eastAsia="Times New Roman"/>
          <w:color w:val="auto"/>
          <w:spacing w:val="7"/>
          <w:sz w:val="27"/>
          <w:szCs w:val="27"/>
          <w:highlight w:val="none"/>
        </w:rPr>
      </w:pPr>
      <w:bookmarkStart w:id="386" w:name="_Toc12442"/>
      <w:bookmarkStart w:id="387" w:name="_Toc6976"/>
      <w:bookmarkStart w:id="388" w:name="_Toc18050"/>
      <w:bookmarkStart w:id="389" w:name="_Toc15440"/>
      <w:bookmarkStart w:id="390" w:name="_Toc27749"/>
      <w:r>
        <w:rPr>
          <w:rFonts w:ascii="Times New Roman" w:hAnsi="Times New Roman" w:eastAsia="Times New Roman"/>
          <w:color w:val="auto"/>
          <w:spacing w:val="7"/>
          <w:sz w:val="27"/>
          <w:szCs w:val="27"/>
          <w:highlight w:val="none"/>
        </w:rPr>
        <w:t>3</w:t>
      </w:r>
      <w:r>
        <w:rPr>
          <w:rFonts w:ascii="Times New Roman" w:hAnsi="Times New Roman" w:eastAsia="Times New Roman"/>
          <w:color w:val="auto"/>
          <w:spacing w:val="5"/>
          <w:sz w:val="27"/>
          <w:szCs w:val="27"/>
          <w:highlight w:val="none"/>
        </w:rPr>
        <w:t xml:space="preserve">.1  </w:t>
      </w:r>
      <w:r>
        <w:rPr>
          <w:rFonts w:ascii="黑体" w:hAnsi="黑体" w:eastAsia="黑体"/>
          <w:color w:val="auto"/>
          <w:spacing w:val="5"/>
          <w:sz w:val="27"/>
          <w:szCs w:val="27"/>
          <w:highlight w:val="none"/>
        </w:rPr>
        <w:t>初步评审</w:t>
      </w:r>
      <w:bookmarkEnd w:id="386"/>
      <w:bookmarkEnd w:id="387"/>
      <w:bookmarkEnd w:id="388"/>
      <w:bookmarkEnd w:id="389"/>
      <w:bookmarkEnd w:id="390"/>
    </w:p>
    <w:p w14:paraId="7F99E25E">
      <w:pPr>
        <w:spacing w:line="314" w:lineRule="auto"/>
        <w:rPr>
          <w:color w:val="auto"/>
          <w:highlight w:val="none"/>
        </w:rPr>
      </w:pPr>
    </w:p>
    <w:p w14:paraId="6A5E341C">
      <w:pPr>
        <w:spacing w:before="68" w:line="352" w:lineRule="auto"/>
        <w:ind w:left="2" w:right="67" w:firstLine="421"/>
        <w:rPr>
          <w:rFonts w:ascii="Times New Roman" w:hAnsi="Times New Roman" w:eastAsia="Times New Roman"/>
          <w:color w:val="auto"/>
          <w:spacing w:val="-2"/>
          <w:highlight w:val="none"/>
        </w:rPr>
      </w:pPr>
      <w:r>
        <w:rPr>
          <w:rFonts w:ascii="Times New Roman" w:hAnsi="Times New Roman" w:eastAsia="Times New Roman"/>
          <w:color w:val="auto"/>
          <w:spacing w:val="-2"/>
          <w:highlight w:val="none"/>
        </w:rPr>
        <w:t xml:space="preserve">3.1.1  </w:t>
      </w:r>
      <w:r>
        <w:rPr>
          <w:rFonts w:ascii="宋体" w:hAnsi="宋体" w:eastAsia="宋体"/>
          <w:color w:val="auto"/>
          <w:spacing w:val="-2"/>
          <w:highlight w:val="none"/>
        </w:rPr>
        <w:t>评</w:t>
      </w:r>
      <w:r>
        <w:rPr>
          <w:rFonts w:ascii="宋体" w:hAnsi="宋体" w:eastAsia="宋体"/>
          <w:color w:val="auto"/>
          <w:spacing w:val="-1"/>
          <w:highlight w:val="none"/>
        </w:rPr>
        <w:t>标委员会可以要求投标人提交第二章</w:t>
      </w:r>
      <w:r>
        <w:rPr>
          <w:rFonts w:ascii="Times New Roman" w:hAnsi="Times New Roman" w:eastAsia="Times New Roman"/>
          <w:color w:val="auto"/>
          <w:spacing w:val="-1"/>
          <w:highlight w:val="none"/>
        </w:rPr>
        <w:t>“</w:t>
      </w:r>
      <w:r>
        <w:rPr>
          <w:rFonts w:ascii="宋体" w:hAnsi="宋体" w:eastAsia="宋体"/>
          <w:color w:val="auto"/>
          <w:spacing w:val="-1"/>
          <w:highlight w:val="none"/>
        </w:rPr>
        <w:t>投标人须知</w:t>
      </w:r>
      <w:r>
        <w:rPr>
          <w:rFonts w:ascii="Times New Roman" w:hAnsi="Times New Roman" w:eastAsia="Times New Roman"/>
          <w:color w:val="auto"/>
          <w:spacing w:val="-1"/>
          <w:highlight w:val="none"/>
        </w:rPr>
        <w:t>”</w:t>
      </w:r>
      <w:r>
        <w:rPr>
          <w:rFonts w:ascii="宋体" w:hAnsi="宋体" w:eastAsia="宋体"/>
          <w:color w:val="auto"/>
          <w:spacing w:val="-1"/>
          <w:highlight w:val="none"/>
        </w:rPr>
        <w:t>规定的有关证明和证件的原件，</w:t>
      </w:r>
      <w:r>
        <w:rPr>
          <w:rFonts w:ascii="宋体" w:hAnsi="宋体" w:eastAsia="宋体"/>
          <w:color w:val="auto"/>
          <w:highlight w:val="none"/>
        </w:rPr>
        <w:t xml:space="preserve"> </w:t>
      </w:r>
      <w:r>
        <w:rPr>
          <w:rFonts w:ascii="宋体" w:hAnsi="宋体" w:eastAsia="宋体"/>
          <w:color w:val="auto"/>
          <w:spacing w:val="1"/>
          <w:highlight w:val="none"/>
        </w:rPr>
        <w:t>以便核验。评标委员会依据本章</w:t>
      </w:r>
      <w:r>
        <w:rPr>
          <w:rFonts w:ascii="宋体" w:hAnsi="宋体" w:eastAsia="宋体"/>
          <w:color w:val="auto"/>
          <w:highlight w:val="none"/>
        </w:rPr>
        <w:t>第</w:t>
      </w:r>
      <w:r>
        <w:rPr>
          <w:rFonts w:ascii="Times New Roman" w:hAnsi="Times New Roman" w:eastAsia="Times New Roman"/>
          <w:color w:val="auto"/>
          <w:highlight w:val="none"/>
        </w:rPr>
        <w:t xml:space="preserve">2.1 </w:t>
      </w:r>
      <w:r>
        <w:rPr>
          <w:rFonts w:ascii="宋体" w:hAnsi="宋体" w:eastAsia="宋体"/>
          <w:color w:val="auto"/>
          <w:highlight w:val="none"/>
        </w:rPr>
        <w:t>款规定的标准对投标文件进行初步评审。有一项不符合</w:t>
      </w:r>
      <w:r>
        <w:rPr>
          <w:rFonts w:ascii="宋体" w:hAnsi="宋体" w:eastAsia="宋体"/>
          <w:color w:val="auto"/>
          <w:spacing w:val="-2"/>
          <w:highlight w:val="none"/>
        </w:rPr>
        <w:t>评审标准的，评标委员会应当否决其投标</w:t>
      </w:r>
      <w:r>
        <w:rPr>
          <w:rFonts w:ascii="宋体" w:hAnsi="宋体" w:eastAsia="宋体"/>
          <w:color w:val="auto"/>
          <w:highlight w:val="none"/>
        </w:rPr>
        <w:t>。</w:t>
      </w:r>
    </w:p>
    <w:p w14:paraId="0BEA2AFF">
      <w:pPr>
        <w:spacing w:before="1" w:line="216" w:lineRule="auto"/>
        <w:ind w:left="423"/>
        <w:rPr>
          <w:rFonts w:ascii="Times New Roman" w:hAnsi="Times New Roman" w:eastAsia="Times New Roman"/>
          <w:color w:val="auto"/>
          <w:spacing w:val="-2"/>
          <w:highlight w:val="none"/>
        </w:rPr>
      </w:pPr>
      <w:r>
        <w:rPr>
          <w:rFonts w:ascii="Times New Roman" w:hAnsi="Times New Roman" w:eastAsia="Times New Roman"/>
          <w:color w:val="auto"/>
          <w:spacing w:val="-2"/>
          <w:highlight w:val="none"/>
        </w:rPr>
        <w:t xml:space="preserve">3.1.2  </w:t>
      </w:r>
      <w:r>
        <w:rPr>
          <w:rFonts w:ascii="宋体" w:hAnsi="宋体" w:eastAsia="宋体"/>
          <w:color w:val="auto"/>
          <w:spacing w:val="-2"/>
          <w:highlight w:val="none"/>
        </w:rPr>
        <w:t>投标人有以下情形之一的，评标委员会</w:t>
      </w:r>
      <w:r>
        <w:rPr>
          <w:rFonts w:ascii="宋体" w:hAnsi="宋体" w:eastAsia="宋体"/>
          <w:color w:val="auto"/>
          <w:spacing w:val="-1"/>
          <w:highlight w:val="none"/>
        </w:rPr>
        <w:t>应当否决其投标：</w:t>
      </w:r>
    </w:p>
    <w:p w14:paraId="57BCEF7D">
      <w:pPr>
        <w:spacing w:before="152" w:line="352" w:lineRule="auto"/>
        <w:ind w:left="3" w:right="74" w:firstLine="424"/>
        <w:rPr>
          <w:rFonts w:ascii="宋体" w:hAnsi="宋体" w:eastAsia="宋体"/>
          <w:color w:val="auto"/>
          <w:spacing w:val="1"/>
          <w:highlight w:val="none"/>
        </w:rPr>
      </w:pPr>
      <w:r>
        <w:rPr>
          <w:rFonts w:ascii="宋体" w:hAnsi="宋体" w:eastAsia="宋体"/>
          <w:color w:val="auto"/>
          <w:spacing w:val="1"/>
          <w:highlight w:val="none"/>
        </w:rPr>
        <w:t>(</w:t>
      </w:r>
      <w:r>
        <w:rPr>
          <w:rFonts w:ascii="Times New Roman" w:hAnsi="Times New Roman" w:eastAsia="Times New Roman"/>
          <w:color w:val="auto"/>
          <w:spacing w:val="1"/>
          <w:highlight w:val="none"/>
        </w:rPr>
        <w:t>1</w:t>
      </w:r>
      <w:r>
        <w:rPr>
          <w:rFonts w:ascii="宋体" w:hAnsi="宋体" w:eastAsia="宋体"/>
          <w:color w:val="auto"/>
          <w:spacing w:val="1"/>
          <w:highlight w:val="none"/>
        </w:rPr>
        <w:t>) 投标文件没有对招标文件的</w:t>
      </w:r>
      <w:r>
        <w:rPr>
          <w:rFonts w:ascii="宋体" w:hAnsi="宋体" w:eastAsia="宋体"/>
          <w:color w:val="auto"/>
          <w:highlight w:val="none"/>
        </w:rPr>
        <w:t xml:space="preserve">实质性要求和条件作出响应，或者对招标文件的偏差超出 </w:t>
      </w:r>
      <w:r>
        <w:rPr>
          <w:rFonts w:ascii="宋体" w:hAnsi="宋体" w:eastAsia="宋体"/>
          <w:color w:val="auto"/>
          <w:spacing w:val="-6"/>
          <w:highlight w:val="none"/>
        </w:rPr>
        <w:t>招</w:t>
      </w:r>
      <w:r>
        <w:rPr>
          <w:rFonts w:ascii="宋体" w:hAnsi="宋体" w:eastAsia="宋体"/>
          <w:color w:val="auto"/>
          <w:spacing w:val="-3"/>
          <w:highlight w:val="none"/>
        </w:rPr>
        <w:t>标文件规定的偏差范围或最高项数；</w:t>
      </w:r>
    </w:p>
    <w:p w14:paraId="7089D7FA">
      <w:pPr>
        <w:spacing w:before="1" w:line="219" w:lineRule="auto"/>
        <w:ind w:left="428"/>
        <w:rPr>
          <w:rFonts w:ascii="宋体" w:hAnsi="宋体" w:eastAsia="宋体"/>
          <w:color w:val="auto"/>
          <w:spacing w:val="14"/>
          <w:highlight w:val="none"/>
        </w:rPr>
      </w:pPr>
      <w:r>
        <w:rPr>
          <w:rFonts w:ascii="宋体" w:hAnsi="宋体" w:eastAsia="宋体"/>
          <w:color w:val="auto"/>
          <w:spacing w:val="14"/>
          <w:highlight w:val="none"/>
        </w:rPr>
        <w:t>(</w:t>
      </w:r>
      <w:r>
        <w:rPr>
          <w:rFonts w:ascii="Times New Roman" w:hAnsi="Times New Roman" w:eastAsia="Times New Roman"/>
          <w:color w:val="auto"/>
          <w:spacing w:val="11"/>
          <w:highlight w:val="none"/>
        </w:rPr>
        <w:t>2</w:t>
      </w:r>
      <w:r>
        <w:rPr>
          <w:rFonts w:ascii="宋体" w:hAnsi="宋体" w:eastAsia="宋体"/>
          <w:color w:val="auto"/>
          <w:spacing w:val="7"/>
          <w:highlight w:val="none"/>
        </w:rPr>
        <w:t>)有</w:t>
      </w:r>
      <w:r>
        <w:rPr>
          <w:rFonts w:hint="eastAsia" w:ascii="宋体" w:hAnsi="宋体" w:eastAsia="宋体"/>
          <w:color w:val="auto"/>
          <w:spacing w:val="7"/>
          <w:highlight w:val="none"/>
        </w:rPr>
        <w:t>以他人名义投标、</w:t>
      </w:r>
      <w:r>
        <w:rPr>
          <w:rFonts w:ascii="宋体" w:hAnsi="宋体" w:eastAsia="宋体"/>
          <w:color w:val="auto"/>
          <w:spacing w:val="7"/>
          <w:highlight w:val="none"/>
        </w:rPr>
        <w:t>串通投标、弄虚作假、行贿等违法行为。</w:t>
      </w:r>
    </w:p>
    <w:p w14:paraId="3798E824">
      <w:pPr>
        <w:spacing w:before="152" w:line="352" w:lineRule="auto"/>
        <w:ind w:left="3" w:right="74" w:firstLine="424"/>
        <w:rPr>
          <w:rFonts w:ascii="宋体" w:hAnsi="宋体" w:eastAsia="宋体"/>
          <w:color w:val="auto"/>
          <w:spacing w:val="1"/>
          <w:highlight w:val="none"/>
        </w:rPr>
      </w:pPr>
      <w:r>
        <w:rPr>
          <w:rFonts w:ascii="宋体" w:hAnsi="宋体" w:eastAsia="宋体"/>
          <w:color w:val="auto"/>
          <w:spacing w:val="1"/>
          <w:highlight w:val="none"/>
        </w:rPr>
        <w:t>（3）以向招标人或者评标委员会成员行贿的手段谋取中标</w:t>
      </w:r>
      <w:r>
        <w:rPr>
          <w:rFonts w:hint="eastAsia" w:ascii="宋体" w:hAnsi="宋体" w:eastAsia="宋体"/>
          <w:color w:val="auto"/>
          <w:spacing w:val="1"/>
          <w:highlight w:val="none"/>
        </w:rPr>
        <w:t>。</w:t>
      </w:r>
    </w:p>
    <w:p w14:paraId="65CF5EAD">
      <w:pPr>
        <w:spacing w:before="149" w:line="352" w:lineRule="auto"/>
        <w:ind w:left="6" w:right="74" w:firstLine="417"/>
        <w:rPr>
          <w:rFonts w:ascii="Times New Roman" w:hAnsi="Times New Roman" w:eastAsia="Times New Roman"/>
          <w:color w:val="auto"/>
          <w:spacing w:val="-8"/>
          <w:highlight w:val="none"/>
        </w:rPr>
      </w:pPr>
      <w:r>
        <w:rPr>
          <w:rFonts w:ascii="Times New Roman" w:hAnsi="Times New Roman" w:eastAsia="Times New Roman"/>
          <w:color w:val="auto"/>
          <w:spacing w:val="-8"/>
          <w:highlight w:val="none"/>
        </w:rPr>
        <w:t>3.</w:t>
      </w:r>
      <w:r>
        <w:rPr>
          <w:rFonts w:ascii="Times New Roman" w:hAnsi="Times New Roman" w:eastAsia="Times New Roman"/>
          <w:color w:val="auto"/>
          <w:spacing w:val="-5"/>
          <w:highlight w:val="none"/>
        </w:rPr>
        <w:t>1</w:t>
      </w:r>
      <w:r>
        <w:rPr>
          <w:rFonts w:ascii="Times New Roman" w:hAnsi="Times New Roman" w:eastAsia="Times New Roman"/>
          <w:color w:val="auto"/>
          <w:spacing w:val="-4"/>
          <w:highlight w:val="none"/>
        </w:rPr>
        <w:t xml:space="preserve">.3  </w:t>
      </w:r>
      <w:r>
        <w:rPr>
          <w:rFonts w:ascii="宋体" w:hAnsi="宋体" w:eastAsia="宋体"/>
          <w:color w:val="auto"/>
          <w:spacing w:val="-4"/>
          <w:highlight w:val="none"/>
        </w:rPr>
        <w:t>投标报价有算术错误及其他错误的，评标委员会按以下原则要求投标人对投标报价进</w:t>
      </w:r>
      <w:r>
        <w:rPr>
          <w:rFonts w:ascii="宋体" w:hAnsi="宋体" w:eastAsia="宋体"/>
          <w:color w:val="auto"/>
          <w:spacing w:val="-2"/>
          <w:highlight w:val="none"/>
        </w:rPr>
        <w:t>行修正，并要求投标人书面澄清确认。投</w:t>
      </w:r>
      <w:r>
        <w:rPr>
          <w:rFonts w:ascii="宋体" w:hAnsi="宋体" w:eastAsia="宋体"/>
          <w:color w:val="auto"/>
          <w:spacing w:val="-1"/>
          <w:highlight w:val="none"/>
        </w:rPr>
        <w:t>标人拒不澄清确认的，评标委员会应当否决其投标：</w:t>
      </w:r>
    </w:p>
    <w:p w14:paraId="157E719C">
      <w:pPr>
        <w:spacing w:before="1" w:line="218" w:lineRule="auto"/>
        <w:ind w:left="428"/>
        <w:rPr>
          <w:rFonts w:ascii="宋体" w:hAnsi="宋体" w:eastAsia="宋体"/>
          <w:color w:val="auto"/>
          <w:spacing w:val="8"/>
          <w:highlight w:val="none"/>
        </w:rPr>
      </w:pPr>
      <w:r>
        <w:rPr>
          <w:rFonts w:ascii="宋体" w:hAnsi="宋体" w:eastAsia="宋体"/>
          <w:color w:val="auto"/>
          <w:spacing w:val="8"/>
          <w:highlight w:val="none"/>
        </w:rPr>
        <w:t>(</w:t>
      </w:r>
      <w:r>
        <w:rPr>
          <w:rFonts w:ascii="Times New Roman" w:hAnsi="Times New Roman" w:eastAsia="Times New Roman"/>
          <w:color w:val="auto"/>
          <w:spacing w:val="8"/>
          <w:highlight w:val="none"/>
        </w:rPr>
        <w:t>1</w:t>
      </w:r>
      <w:r>
        <w:rPr>
          <w:rFonts w:ascii="宋体" w:hAnsi="宋体" w:eastAsia="宋体"/>
          <w:color w:val="auto"/>
          <w:spacing w:val="8"/>
          <w:highlight w:val="none"/>
        </w:rPr>
        <w:t>)投标</w:t>
      </w:r>
      <w:r>
        <w:rPr>
          <w:rFonts w:ascii="宋体" w:hAnsi="宋体" w:eastAsia="宋体"/>
          <w:color w:val="auto"/>
          <w:spacing w:val="7"/>
          <w:highlight w:val="none"/>
        </w:rPr>
        <w:t>文</w:t>
      </w:r>
      <w:r>
        <w:rPr>
          <w:rFonts w:ascii="宋体" w:hAnsi="宋体" w:eastAsia="宋体"/>
          <w:color w:val="auto"/>
          <w:spacing w:val="4"/>
          <w:highlight w:val="none"/>
        </w:rPr>
        <w:t>件中的大写金额与小写金额不一致的，以大写金额为准；</w:t>
      </w:r>
    </w:p>
    <w:p w14:paraId="10AC5ECF">
      <w:pPr>
        <w:spacing w:before="151" w:line="362" w:lineRule="auto"/>
        <w:ind w:left="7" w:right="74" w:firstLine="421"/>
        <w:rPr>
          <w:rFonts w:ascii="宋体" w:hAnsi="宋体" w:eastAsia="宋体"/>
          <w:color w:val="auto"/>
          <w:spacing w:val="-10"/>
          <w:highlight w:val="none"/>
        </w:rPr>
      </w:pPr>
      <w:r>
        <w:rPr>
          <w:rFonts w:ascii="宋体" w:hAnsi="宋体" w:eastAsia="宋体"/>
          <w:color w:val="auto"/>
          <w:spacing w:val="-8"/>
          <w:highlight w:val="none"/>
        </w:rPr>
        <w:t>(</w:t>
      </w:r>
      <w:r>
        <w:rPr>
          <w:rFonts w:ascii="Times New Roman" w:hAnsi="Times New Roman" w:eastAsia="Times New Roman"/>
          <w:color w:val="auto"/>
          <w:spacing w:val="-8"/>
          <w:highlight w:val="none"/>
        </w:rPr>
        <w:t>2</w:t>
      </w:r>
      <w:r>
        <w:rPr>
          <w:rFonts w:ascii="宋体" w:hAnsi="宋体" w:eastAsia="宋体"/>
          <w:color w:val="auto"/>
          <w:spacing w:val="-8"/>
          <w:highlight w:val="none"/>
        </w:rPr>
        <w:t>) 总</w:t>
      </w:r>
      <w:r>
        <w:rPr>
          <w:rFonts w:ascii="宋体" w:hAnsi="宋体" w:eastAsia="宋体"/>
          <w:color w:val="auto"/>
          <w:spacing w:val="-6"/>
          <w:highlight w:val="none"/>
        </w:rPr>
        <w:t>价</w:t>
      </w:r>
      <w:r>
        <w:rPr>
          <w:rFonts w:ascii="宋体" w:hAnsi="宋体" w:eastAsia="宋体"/>
          <w:color w:val="auto"/>
          <w:spacing w:val="-4"/>
          <w:highlight w:val="none"/>
        </w:rPr>
        <w:t>金额与单价金额不一致的，以单价金额为准，但单价金额小数点有明显错误的除</w:t>
      </w:r>
      <w:r>
        <w:rPr>
          <w:rFonts w:ascii="宋体" w:hAnsi="宋体" w:eastAsia="宋体"/>
          <w:color w:val="auto"/>
          <w:spacing w:val="-11"/>
          <w:highlight w:val="none"/>
        </w:rPr>
        <w:t>外</w:t>
      </w:r>
      <w:r>
        <w:rPr>
          <w:rFonts w:ascii="宋体" w:hAnsi="宋体" w:eastAsia="宋体"/>
          <w:color w:val="auto"/>
          <w:spacing w:val="-10"/>
          <w:highlight w:val="none"/>
        </w:rPr>
        <w:t>。</w:t>
      </w:r>
    </w:p>
    <w:p w14:paraId="1A50DED9">
      <w:pPr>
        <w:pStyle w:val="7"/>
        <w:rPr>
          <w:rFonts w:eastAsiaTheme="minorEastAsia"/>
          <w:color w:val="auto"/>
          <w:highlight w:val="none"/>
        </w:rPr>
      </w:pPr>
    </w:p>
    <w:p w14:paraId="3C3CFB05">
      <w:pPr>
        <w:rPr>
          <w:rFonts w:ascii="Times New Roman" w:hAnsi="Times New Roman" w:eastAsia="Times New Roman"/>
          <w:color w:val="auto"/>
          <w:spacing w:val="7"/>
          <w:sz w:val="27"/>
          <w:szCs w:val="27"/>
          <w:highlight w:val="none"/>
        </w:rPr>
      </w:pPr>
      <w:bookmarkStart w:id="391" w:name="_Toc23010"/>
      <w:bookmarkStart w:id="392" w:name="_Toc28201"/>
      <w:bookmarkStart w:id="393" w:name="_Toc11953"/>
      <w:bookmarkStart w:id="394" w:name="_Toc22441"/>
      <w:bookmarkStart w:id="395" w:name="_Toc6309"/>
      <w:r>
        <w:rPr>
          <w:rFonts w:ascii="Times New Roman" w:hAnsi="Times New Roman" w:eastAsia="Times New Roman"/>
          <w:color w:val="auto"/>
          <w:spacing w:val="7"/>
          <w:sz w:val="27"/>
          <w:szCs w:val="27"/>
          <w:highlight w:val="none"/>
        </w:rPr>
        <w:t>3</w:t>
      </w:r>
      <w:r>
        <w:rPr>
          <w:rFonts w:ascii="Times New Roman" w:hAnsi="Times New Roman" w:eastAsia="Times New Roman"/>
          <w:color w:val="auto"/>
          <w:spacing w:val="5"/>
          <w:sz w:val="27"/>
          <w:szCs w:val="27"/>
          <w:highlight w:val="none"/>
        </w:rPr>
        <w:t xml:space="preserve">.2  </w:t>
      </w:r>
      <w:r>
        <w:rPr>
          <w:rFonts w:ascii="黑体" w:hAnsi="黑体" w:eastAsia="黑体"/>
          <w:color w:val="auto"/>
          <w:spacing w:val="5"/>
          <w:sz w:val="27"/>
          <w:szCs w:val="27"/>
          <w:highlight w:val="none"/>
        </w:rPr>
        <w:t>详细评审</w:t>
      </w:r>
      <w:bookmarkEnd w:id="391"/>
      <w:bookmarkEnd w:id="392"/>
      <w:bookmarkEnd w:id="393"/>
      <w:bookmarkEnd w:id="394"/>
      <w:bookmarkEnd w:id="395"/>
    </w:p>
    <w:p w14:paraId="7C1C20DF">
      <w:pPr>
        <w:spacing w:line="312" w:lineRule="auto"/>
        <w:rPr>
          <w:color w:val="auto"/>
          <w:highlight w:val="none"/>
        </w:rPr>
      </w:pPr>
    </w:p>
    <w:p w14:paraId="0B8B7DFD">
      <w:pPr>
        <w:tabs>
          <w:tab w:val="left" w:pos="532"/>
        </w:tabs>
        <w:spacing w:before="69" w:line="352" w:lineRule="auto"/>
        <w:ind w:left="428" w:hanging="5"/>
        <w:rPr>
          <w:rFonts w:ascii="Times New Roman" w:hAnsi="Times New Roman" w:eastAsia="Times New Roman"/>
          <w:color w:val="auto"/>
          <w:spacing w:val="-8"/>
          <w:highlight w:val="none"/>
        </w:rPr>
      </w:pPr>
      <w:r>
        <w:rPr>
          <w:rFonts w:ascii="Times New Roman" w:hAnsi="Times New Roman" w:eastAsia="Times New Roman"/>
          <w:color w:val="auto"/>
          <w:spacing w:val="-8"/>
          <w:highlight w:val="none"/>
        </w:rPr>
        <w:t xml:space="preserve">3.2.1 </w:t>
      </w:r>
      <w:r>
        <w:rPr>
          <w:rFonts w:ascii="Times New Roman" w:hAnsi="Times New Roman" w:eastAsia="Times New Roman"/>
          <w:color w:val="auto"/>
          <w:spacing w:val="-7"/>
          <w:highlight w:val="none"/>
        </w:rPr>
        <w:t xml:space="preserve"> </w:t>
      </w:r>
      <w:r>
        <w:rPr>
          <w:rFonts w:ascii="宋体" w:hAnsi="宋体" w:eastAsia="宋体"/>
          <w:color w:val="auto"/>
          <w:spacing w:val="-4"/>
          <w:highlight w:val="none"/>
        </w:rPr>
        <w:t xml:space="preserve">评标委员会按本章第 </w:t>
      </w:r>
      <w:r>
        <w:rPr>
          <w:rFonts w:ascii="Times New Roman" w:hAnsi="Times New Roman" w:eastAsia="Times New Roman"/>
          <w:color w:val="auto"/>
          <w:spacing w:val="-4"/>
          <w:highlight w:val="none"/>
        </w:rPr>
        <w:t xml:space="preserve">2.2 </w:t>
      </w:r>
      <w:r>
        <w:rPr>
          <w:rFonts w:ascii="宋体" w:hAnsi="宋体" w:eastAsia="宋体"/>
          <w:color w:val="auto"/>
          <w:spacing w:val="-4"/>
          <w:highlight w:val="none"/>
        </w:rPr>
        <w:t>款规定的量化因素和分值进行打分，并计算出综合评估得分。</w:t>
      </w:r>
      <w:r>
        <w:rPr>
          <w:rFonts w:ascii="宋体" w:hAnsi="宋体" w:eastAsia="宋体"/>
          <w:color w:val="auto"/>
          <w:highlight w:val="none"/>
        </w:rPr>
        <w:t xml:space="preserve"> </w:t>
      </w:r>
      <w:r>
        <w:rPr>
          <w:rFonts w:ascii="宋体" w:hAnsi="宋体" w:eastAsia="宋体"/>
          <w:color w:val="auto"/>
          <w:highlight w:val="none"/>
        </w:rPr>
        <w:tab/>
      </w:r>
      <w:r>
        <w:rPr>
          <w:rFonts w:ascii="宋体" w:hAnsi="宋体" w:eastAsia="宋体"/>
          <w:color w:val="auto"/>
          <w:spacing w:val="4"/>
          <w:highlight w:val="none"/>
        </w:rPr>
        <w:t>(</w:t>
      </w:r>
      <w:r>
        <w:rPr>
          <w:rFonts w:ascii="Times New Roman" w:hAnsi="Times New Roman" w:eastAsia="Times New Roman"/>
          <w:color w:val="auto"/>
          <w:spacing w:val="4"/>
          <w:highlight w:val="none"/>
        </w:rPr>
        <w:t>1</w:t>
      </w:r>
      <w:r>
        <w:rPr>
          <w:rFonts w:ascii="宋体" w:hAnsi="宋体" w:eastAsia="宋体"/>
          <w:color w:val="auto"/>
          <w:spacing w:val="3"/>
          <w:highlight w:val="none"/>
        </w:rPr>
        <w:t>)</w:t>
      </w:r>
      <w:r>
        <w:rPr>
          <w:rFonts w:ascii="宋体" w:hAnsi="宋体" w:eastAsia="宋体"/>
          <w:color w:val="auto"/>
          <w:spacing w:val="2"/>
          <w:highlight w:val="none"/>
        </w:rPr>
        <w:t xml:space="preserve">按本章第 </w:t>
      </w:r>
      <w:r>
        <w:rPr>
          <w:rFonts w:ascii="Times New Roman" w:hAnsi="Times New Roman" w:eastAsia="Times New Roman"/>
          <w:color w:val="auto"/>
          <w:spacing w:val="2"/>
          <w:highlight w:val="none"/>
        </w:rPr>
        <w:t xml:space="preserve">2.2.4  </w:t>
      </w:r>
      <w:r>
        <w:rPr>
          <w:rFonts w:ascii="宋体" w:hAnsi="宋体" w:eastAsia="宋体"/>
          <w:color w:val="auto"/>
          <w:spacing w:val="2"/>
          <w:highlight w:val="none"/>
        </w:rPr>
        <w:t>(</w:t>
      </w:r>
      <w:r>
        <w:rPr>
          <w:rFonts w:ascii="Times New Roman" w:hAnsi="Times New Roman" w:eastAsia="Times New Roman"/>
          <w:color w:val="auto"/>
          <w:spacing w:val="2"/>
          <w:highlight w:val="none"/>
        </w:rPr>
        <w:t>1</w:t>
      </w:r>
      <w:r>
        <w:rPr>
          <w:rFonts w:ascii="宋体" w:hAnsi="宋体" w:eastAsia="宋体"/>
          <w:color w:val="auto"/>
          <w:spacing w:val="2"/>
          <w:highlight w:val="none"/>
        </w:rPr>
        <w:t>)目规定的评审因素和分值对资信业绩部分计算出得分</w:t>
      </w:r>
      <w:r>
        <w:rPr>
          <w:rFonts w:ascii="Times New Roman" w:hAnsi="Times New Roman" w:eastAsia="Times New Roman"/>
          <w:color w:val="auto"/>
          <w:highlight w:val="none"/>
        </w:rPr>
        <w:t>A</w:t>
      </w:r>
      <w:r>
        <w:rPr>
          <w:rFonts w:hint="eastAsia" w:ascii="Times New Roman" w:hAnsi="Times New Roman" w:eastAsia="宋体"/>
          <w:color w:val="auto"/>
          <w:highlight w:val="none"/>
        </w:rPr>
        <w:t>，</w:t>
      </w:r>
      <w:r>
        <w:rPr>
          <w:rFonts w:hint="eastAsia" w:ascii="宋体" w:hAnsi="宋体" w:eastAsia="宋体"/>
          <w:color w:val="auto"/>
          <w:highlight w:val="none"/>
          <w:u w:val="single"/>
        </w:rPr>
        <w:t>资信业绩部分评审得分</w:t>
      </w:r>
      <w:r>
        <w:rPr>
          <w:color w:val="auto"/>
          <w:highlight w:val="none"/>
          <w:u w:val="single"/>
        </w:rPr>
        <w:t>A</w:t>
      </w:r>
      <w:r>
        <w:rPr>
          <w:rFonts w:hint="eastAsia"/>
          <w:color w:val="auto"/>
          <w:highlight w:val="none"/>
          <w:u w:val="single"/>
        </w:rPr>
        <w:t>为各评标专家打分的算术平均</w:t>
      </w:r>
      <w:r>
        <w:rPr>
          <w:rFonts w:hint="eastAsia" w:ascii="宋体" w:hAnsi="宋体" w:eastAsia="宋体"/>
          <w:color w:val="auto"/>
          <w:highlight w:val="none"/>
          <w:u w:val="single"/>
        </w:rPr>
        <w:t>值</w:t>
      </w:r>
      <w:r>
        <w:rPr>
          <w:rFonts w:ascii="宋体" w:hAnsi="宋体" w:eastAsia="宋体"/>
          <w:color w:val="auto"/>
          <w:spacing w:val="2"/>
          <w:highlight w:val="none"/>
        </w:rPr>
        <w:t>；</w:t>
      </w:r>
    </w:p>
    <w:p w14:paraId="07854419">
      <w:pPr>
        <w:tabs>
          <w:tab w:val="left" w:pos="532"/>
        </w:tabs>
        <w:spacing w:before="69" w:line="352" w:lineRule="auto"/>
        <w:ind w:left="428" w:hanging="5"/>
        <w:rPr>
          <w:rFonts w:ascii="宋体" w:hAnsi="宋体" w:eastAsia="宋体"/>
          <w:color w:val="auto"/>
          <w:spacing w:val="2"/>
          <w:highlight w:val="none"/>
        </w:rPr>
      </w:pPr>
      <w:r>
        <w:rPr>
          <w:rFonts w:ascii="宋体" w:hAnsi="宋体" w:eastAsia="宋体"/>
          <w:color w:val="auto"/>
          <w:spacing w:val="2"/>
          <w:highlight w:val="none"/>
        </w:rPr>
        <w:t>(</w:t>
      </w:r>
      <w:r>
        <w:rPr>
          <w:rFonts w:ascii="Times New Roman" w:hAnsi="Times New Roman" w:eastAsia="Times New Roman"/>
          <w:color w:val="auto"/>
          <w:spacing w:val="2"/>
          <w:highlight w:val="none"/>
        </w:rPr>
        <w:t>2</w:t>
      </w:r>
      <w:r>
        <w:rPr>
          <w:rFonts w:ascii="宋体" w:hAnsi="宋体" w:eastAsia="宋体"/>
          <w:color w:val="auto"/>
          <w:spacing w:val="2"/>
          <w:highlight w:val="none"/>
        </w:rPr>
        <w:t xml:space="preserve">)按本章第 </w:t>
      </w:r>
      <w:r>
        <w:rPr>
          <w:rFonts w:ascii="Times New Roman" w:hAnsi="Times New Roman" w:eastAsia="Times New Roman"/>
          <w:color w:val="auto"/>
          <w:spacing w:val="2"/>
          <w:highlight w:val="none"/>
        </w:rPr>
        <w:t xml:space="preserve">2.2.4  </w:t>
      </w:r>
      <w:r>
        <w:rPr>
          <w:rFonts w:ascii="宋体" w:hAnsi="宋体" w:eastAsia="宋体"/>
          <w:color w:val="auto"/>
          <w:spacing w:val="2"/>
          <w:highlight w:val="none"/>
        </w:rPr>
        <w:t>(</w:t>
      </w:r>
      <w:r>
        <w:rPr>
          <w:rFonts w:ascii="Times New Roman" w:hAnsi="Times New Roman" w:eastAsia="Times New Roman"/>
          <w:color w:val="auto"/>
          <w:spacing w:val="2"/>
          <w:highlight w:val="none"/>
        </w:rPr>
        <w:t>2</w:t>
      </w:r>
      <w:r>
        <w:rPr>
          <w:rFonts w:ascii="宋体" w:hAnsi="宋体" w:eastAsia="宋体"/>
          <w:color w:val="auto"/>
          <w:spacing w:val="2"/>
          <w:highlight w:val="none"/>
        </w:rPr>
        <w:t>)目规定</w:t>
      </w:r>
      <w:r>
        <w:rPr>
          <w:rFonts w:ascii="宋体" w:hAnsi="宋体" w:eastAsia="宋体"/>
          <w:color w:val="auto"/>
          <w:spacing w:val="1"/>
          <w:highlight w:val="none"/>
        </w:rPr>
        <w:t>的评审因素和分值对</w:t>
      </w:r>
      <w:r>
        <w:rPr>
          <w:rFonts w:hint="eastAsia" w:ascii="宋体" w:hAnsi="宋体" w:eastAsia="宋体"/>
          <w:color w:val="auto"/>
          <w:spacing w:val="1"/>
          <w:highlight w:val="none"/>
        </w:rPr>
        <w:t>设计</w:t>
      </w:r>
      <w:r>
        <w:rPr>
          <w:rFonts w:ascii="宋体" w:hAnsi="宋体" w:eastAsia="宋体"/>
          <w:color w:val="auto"/>
          <w:spacing w:val="1"/>
          <w:highlight w:val="none"/>
        </w:rPr>
        <w:t>方案部分计算出得分</w:t>
      </w:r>
      <w:r>
        <w:rPr>
          <w:rFonts w:ascii="Times New Roman" w:hAnsi="Times New Roman" w:eastAsia="Times New Roman"/>
          <w:color w:val="auto"/>
          <w:highlight w:val="none"/>
        </w:rPr>
        <w:t>B</w:t>
      </w:r>
      <w:r>
        <w:rPr>
          <w:color w:val="auto"/>
          <w:highlight w:val="none"/>
        </w:rPr>
        <w:t>，</w:t>
      </w:r>
      <w:r>
        <w:rPr>
          <w:rFonts w:hint="eastAsia" w:eastAsia="宋体"/>
          <w:color w:val="auto"/>
          <w:highlight w:val="none"/>
          <w:u w:val="single"/>
        </w:rPr>
        <w:t>设计</w:t>
      </w:r>
      <w:r>
        <w:rPr>
          <w:rFonts w:hint="eastAsia"/>
          <w:color w:val="auto"/>
          <w:highlight w:val="none"/>
          <w:u w:val="single"/>
        </w:rPr>
        <w:t>方案</w:t>
      </w:r>
      <w:r>
        <w:rPr>
          <w:color w:val="auto"/>
          <w:highlight w:val="none"/>
          <w:u w:val="single"/>
        </w:rPr>
        <w:t>部分评审得分</w:t>
      </w:r>
      <w:r>
        <w:rPr>
          <w:color w:val="auto"/>
          <w:highlight w:val="none"/>
        </w:rPr>
        <w:t>B</w:t>
      </w:r>
      <w:r>
        <w:rPr>
          <w:color w:val="auto"/>
          <w:highlight w:val="none"/>
          <w:u w:val="single"/>
        </w:rPr>
        <w:t>为从各评标专家打分中去掉一个最高分和去掉一个最低分后的剩余评标专家打分的算术平均值</w:t>
      </w:r>
      <w:r>
        <w:rPr>
          <w:rFonts w:ascii="宋体" w:hAnsi="宋体" w:eastAsia="宋体"/>
          <w:color w:val="auto"/>
          <w:spacing w:val="1"/>
          <w:highlight w:val="none"/>
        </w:rPr>
        <w:t>；</w:t>
      </w:r>
    </w:p>
    <w:p w14:paraId="672BED14">
      <w:pPr>
        <w:tabs>
          <w:tab w:val="left" w:pos="532"/>
        </w:tabs>
        <w:spacing w:before="69" w:line="352" w:lineRule="auto"/>
        <w:ind w:left="428" w:hanging="5"/>
        <w:rPr>
          <w:rFonts w:ascii="宋体" w:hAnsi="宋体" w:eastAsia="宋体"/>
          <w:color w:val="auto"/>
          <w:spacing w:val="4"/>
          <w:highlight w:val="none"/>
        </w:rPr>
      </w:pPr>
      <w:r>
        <w:rPr>
          <w:rFonts w:ascii="宋体" w:hAnsi="宋体" w:eastAsia="宋体"/>
          <w:color w:val="auto"/>
          <w:spacing w:val="4"/>
          <w:highlight w:val="none"/>
        </w:rPr>
        <w:t>(</w:t>
      </w:r>
      <w:r>
        <w:rPr>
          <w:rFonts w:ascii="Times New Roman" w:hAnsi="Times New Roman" w:eastAsia="Times New Roman"/>
          <w:color w:val="auto"/>
          <w:spacing w:val="4"/>
          <w:highlight w:val="none"/>
        </w:rPr>
        <w:t>3</w:t>
      </w:r>
      <w:r>
        <w:rPr>
          <w:rFonts w:ascii="宋体" w:hAnsi="宋体" w:eastAsia="宋体"/>
          <w:color w:val="auto"/>
          <w:spacing w:val="4"/>
          <w:highlight w:val="none"/>
        </w:rPr>
        <w:t>)按</w:t>
      </w:r>
      <w:r>
        <w:rPr>
          <w:rFonts w:ascii="宋体" w:hAnsi="宋体" w:eastAsia="宋体"/>
          <w:color w:val="auto"/>
          <w:spacing w:val="3"/>
          <w:highlight w:val="none"/>
        </w:rPr>
        <w:t>本</w:t>
      </w:r>
      <w:r>
        <w:rPr>
          <w:rFonts w:ascii="宋体" w:hAnsi="宋体" w:eastAsia="宋体"/>
          <w:color w:val="auto"/>
          <w:spacing w:val="2"/>
          <w:highlight w:val="none"/>
        </w:rPr>
        <w:t xml:space="preserve">章第 </w:t>
      </w:r>
      <w:r>
        <w:rPr>
          <w:rFonts w:ascii="Times New Roman" w:hAnsi="Times New Roman" w:eastAsia="Times New Roman"/>
          <w:color w:val="auto"/>
          <w:spacing w:val="2"/>
          <w:highlight w:val="none"/>
        </w:rPr>
        <w:t xml:space="preserve">2.2.4  </w:t>
      </w:r>
      <w:r>
        <w:rPr>
          <w:rFonts w:ascii="宋体" w:hAnsi="宋体" w:eastAsia="宋体"/>
          <w:color w:val="auto"/>
          <w:spacing w:val="2"/>
          <w:highlight w:val="none"/>
        </w:rPr>
        <w:t>(</w:t>
      </w:r>
      <w:r>
        <w:rPr>
          <w:rFonts w:ascii="Times New Roman" w:hAnsi="Times New Roman" w:eastAsia="Times New Roman"/>
          <w:color w:val="auto"/>
          <w:spacing w:val="2"/>
          <w:highlight w:val="none"/>
        </w:rPr>
        <w:t>3</w:t>
      </w:r>
      <w:r>
        <w:rPr>
          <w:rFonts w:ascii="宋体" w:hAnsi="宋体" w:eastAsia="宋体"/>
          <w:color w:val="auto"/>
          <w:spacing w:val="2"/>
          <w:highlight w:val="none"/>
        </w:rPr>
        <w:t>)目规定的评审因素和分值对投标报价计算出得分</w:t>
      </w:r>
      <w:r>
        <w:rPr>
          <w:rFonts w:ascii="Times New Roman" w:hAnsi="Times New Roman" w:eastAsia="Times New Roman"/>
          <w:color w:val="auto"/>
          <w:highlight w:val="none"/>
        </w:rPr>
        <w:t>C</w:t>
      </w:r>
      <w:r>
        <w:rPr>
          <w:rFonts w:ascii="宋体" w:hAnsi="宋体" w:eastAsia="宋体"/>
          <w:color w:val="auto"/>
          <w:spacing w:val="2"/>
          <w:highlight w:val="none"/>
        </w:rPr>
        <w:t>；</w:t>
      </w:r>
      <w:r>
        <w:rPr>
          <w:rFonts w:ascii="宋体" w:hAnsi="宋体" w:eastAsia="宋体"/>
          <w:color w:val="auto"/>
          <w:highlight w:val="none"/>
        </w:rPr>
        <w:t xml:space="preserve">           </w:t>
      </w:r>
    </w:p>
    <w:p w14:paraId="1B455DBA">
      <w:pPr>
        <w:tabs>
          <w:tab w:val="left" w:pos="532"/>
        </w:tabs>
        <w:spacing w:before="69" w:line="352" w:lineRule="auto"/>
        <w:ind w:left="428" w:hanging="5"/>
        <w:rPr>
          <w:rFonts w:ascii="宋体" w:hAnsi="宋体" w:eastAsia="宋体"/>
          <w:strike/>
          <w:color w:val="auto"/>
          <w:spacing w:val="8"/>
          <w:highlight w:val="none"/>
        </w:rPr>
      </w:pPr>
      <w:r>
        <w:rPr>
          <w:rFonts w:ascii="宋体" w:hAnsi="宋体" w:eastAsia="宋体"/>
          <w:strike/>
          <w:color w:val="auto"/>
          <w:spacing w:val="8"/>
          <w:highlight w:val="none"/>
        </w:rPr>
        <w:t>(</w:t>
      </w:r>
      <w:r>
        <w:rPr>
          <w:rFonts w:ascii="Times New Roman" w:hAnsi="Times New Roman" w:eastAsia="Times New Roman"/>
          <w:strike/>
          <w:color w:val="auto"/>
          <w:spacing w:val="8"/>
          <w:highlight w:val="none"/>
        </w:rPr>
        <w:t>4</w:t>
      </w:r>
      <w:r>
        <w:rPr>
          <w:rFonts w:ascii="宋体" w:hAnsi="宋体" w:eastAsia="宋体"/>
          <w:strike/>
          <w:color w:val="auto"/>
          <w:spacing w:val="8"/>
          <w:highlight w:val="none"/>
        </w:rPr>
        <w:t>)按本章第</w:t>
      </w:r>
      <w:r>
        <w:rPr>
          <w:rFonts w:ascii="宋体" w:hAnsi="宋体" w:eastAsia="宋体"/>
          <w:strike/>
          <w:color w:val="auto"/>
          <w:spacing w:val="7"/>
          <w:highlight w:val="none"/>
        </w:rPr>
        <w:t xml:space="preserve"> </w:t>
      </w:r>
      <w:r>
        <w:rPr>
          <w:rFonts w:ascii="Times New Roman" w:hAnsi="Times New Roman" w:eastAsia="Times New Roman"/>
          <w:strike/>
          <w:color w:val="auto"/>
          <w:spacing w:val="4"/>
          <w:highlight w:val="none"/>
        </w:rPr>
        <w:t xml:space="preserve">2.2.4  </w:t>
      </w:r>
      <w:r>
        <w:rPr>
          <w:rFonts w:ascii="宋体" w:hAnsi="宋体" w:eastAsia="宋体"/>
          <w:strike/>
          <w:color w:val="auto"/>
          <w:spacing w:val="4"/>
          <w:highlight w:val="none"/>
        </w:rPr>
        <w:t>(</w:t>
      </w:r>
      <w:r>
        <w:rPr>
          <w:rFonts w:ascii="Times New Roman" w:hAnsi="Times New Roman" w:eastAsia="Times New Roman"/>
          <w:strike/>
          <w:color w:val="auto"/>
          <w:spacing w:val="4"/>
          <w:highlight w:val="none"/>
        </w:rPr>
        <w:t>4</w:t>
      </w:r>
      <w:r>
        <w:rPr>
          <w:rFonts w:ascii="宋体" w:hAnsi="宋体" w:eastAsia="宋体"/>
          <w:strike/>
          <w:color w:val="auto"/>
          <w:spacing w:val="4"/>
          <w:highlight w:val="none"/>
        </w:rPr>
        <w:t>)目规定的评审因素和分值对其他部分计算出得分</w:t>
      </w:r>
      <w:r>
        <w:rPr>
          <w:rFonts w:ascii="Times New Roman" w:hAnsi="Times New Roman" w:eastAsia="Times New Roman"/>
          <w:strike/>
          <w:color w:val="auto"/>
          <w:highlight w:val="none"/>
        </w:rPr>
        <w:t>D</w:t>
      </w:r>
      <w:r>
        <w:rPr>
          <w:rFonts w:ascii="宋体" w:hAnsi="宋体" w:eastAsia="宋体"/>
          <w:strike/>
          <w:color w:val="auto"/>
          <w:spacing w:val="4"/>
          <w:highlight w:val="none"/>
        </w:rPr>
        <w:t>。</w:t>
      </w:r>
    </w:p>
    <w:p w14:paraId="5DF09A16">
      <w:pPr>
        <w:spacing w:before="1" w:line="220" w:lineRule="auto"/>
        <w:ind w:left="423"/>
        <w:rPr>
          <w:rFonts w:ascii="Times New Roman" w:hAnsi="Times New Roman" w:eastAsia="Times New Roman"/>
          <w:color w:val="auto"/>
          <w:spacing w:val="-1"/>
          <w:highlight w:val="none"/>
        </w:rPr>
      </w:pPr>
      <w:r>
        <w:rPr>
          <w:rFonts w:ascii="Times New Roman" w:hAnsi="Times New Roman" w:eastAsia="Times New Roman"/>
          <w:color w:val="auto"/>
          <w:spacing w:val="-1"/>
          <w:highlight w:val="none"/>
        </w:rPr>
        <w:t xml:space="preserve">3.2.2  </w:t>
      </w:r>
      <w:r>
        <w:rPr>
          <w:rFonts w:ascii="宋体" w:hAnsi="宋体" w:eastAsia="宋体"/>
          <w:color w:val="auto"/>
          <w:spacing w:val="-1"/>
          <w:highlight w:val="none"/>
        </w:rPr>
        <w:t>评分</w:t>
      </w:r>
      <w:r>
        <w:rPr>
          <w:rFonts w:ascii="宋体" w:hAnsi="宋体" w:eastAsia="宋体"/>
          <w:color w:val="auto"/>
          <w:highlight w:val="none"/>
        </w:rPr>
        <w:t>分值计算保留小数点后两位，小数点后第三位</w:t>
      </w:r>
      <w:r>
        <w:rPr>
          <w:rFonts w:ascii="Times New Roman" w:hAnsi="Times New Roman" w:eastAsia="Times New Roman"/>
          <w:color w:val="auto"/>
          <w:highlight w:val="none"/>
        </w:rPr>
        <w:t>“</w:t>
      </w:r>
      <w:r>
        <w:rPr>
          <w:rFonts w:ascii="宋体" w:hAnsi="宋体" w:eastAsia="宋体"/>
          <w:color w:val="auto"/>
          <w:highlight w:val="none"/>
        </w:rPr>
        <w:t>四舍五入</w:t>
      </w:r>
      <w:r>
        <w:rPr>
          <w:rFonts w:ascii="Times New Roman" w:hAnsi="Times New Roman" w:eastAsia="Times New Roman"/>
          <w:color w:val="auto"/>
          <w:highlight w:val="none"/>
        </w:rPr>
        <w:t>”</w:t>
      </w:r>
      <w:r>
        <w:rPr>
          <w:rFonts w:ascii="宋体" w:hAnsi="宋体" w:eastAsia="宋体"/>
          <w:color w:val="auto"/>
          <w:highlight w:val="none"/>
        </w:rPr>
        <w:t>。</w:t>
      </w:r>
    </w:p>
    <w:p w14:paraId="1EB2B02F">
      <w:pPr>
        <w:spacing w:before="150" w:line="220" w:lineRule="auto"/>
        <w:ind w:left="423"/>
        <w:rPr>
          <w:rFonts w:ascii="Times New Roman" w:hAnsi="Times New Roman" w:eastAsia="Times New Roman"/>
          <w:color w:val="auto"/>
          <w:spacing w:val="-1"/>
          <w:highlight w:val="none"/>
        </w:rPr>
      </w:pPr>
      <w:r>
        <w:rPr>
          <w:rFonts w:ascii="Times New Roman" w:hAnsi="Times New Roman" w:eastAsia="Times New Roman"/>
          <w:color w:val="auto"/>
          <w:spacing w:val="-1"/>
          <w:highlight w:val="none"/>
        </w:rPr>
        <w:t xml:space="preserve">3.2.3  </w:t>
      </w:r>
      <w:r>
        <w:rPr>
          <w:rFonts w:ascii="宋体" w:hAnsi="宋体" w:eastAsia="宋体"/>
          <w:color w:val="auto"/>
          <w:spacing w:val="-1"/>
          <w:highlight w:val="none"/>
        </w:rPr>
        <w:t>投标</w:t>
      </w:r>
      <w:r>
        <w:rPr>
          <w:rFonts w:ascii="宋体" w:hAnsi="宋体" w:eastAsia="宋体"/>
          <w:color w:val="auto"/>
          <w:highlight w:val="none"/>
        </w:rPr>
        <w:t>人得分</w:t>
      </w:r>
      <w:r>
        <w:rPr>
          <w:rFonts w:ascii="Times New Roman" w:hAnsi="Times New Roman" w:eastAsia="Times New Roman"/>
          <w:color w:val="auto"/>
          <w:highlight w:val="none"/>
        </w:rPr>
        <w:t>=</w:t>
      </w:r>
      <w:r>
        <w:rPr>
          <w:rFonts w:ascii="Times New Roman" w:hAnsi="Times New Roman" w:eastAsia="Times New Roman"/>
          <w:color w:val="auto"/>
          <w:highlight w:val="none"/>
          <w:u w:val="single"/>
        </w:rPr>
        <w:t>A+B+C</w:t>
      </w:r>
      <w:r>
        <w:rPr>
          <w:rFonts w:ascii="宋体" w:hAnsi="宋体" w:eastAsia="宋体"/>
          <w:color w:val="auto"/>
          <w:highlight w:val="none"/>
        </w:rPr>
        <w:t>。</w:t>
      </w:r>
    </w:p>
    <w:p w14:paraId="5BD57AC2">
      <w:pPr>
        <w:spacing w:before="148" w:line="357" w:lineRule="auto"/>
        <w:ind w:left="5" w:firstLine="417"/>
        <w:rPr>
          <w:rFonts w:ascii="宋体" w:hAnsi="宋体" w:eastAsia="宋体"/>
          <w:color w:val="auto"/>
          <w:spacing w:val="-7"/>
          <w:highlight w:val="none"/>
        </w:rPr>
      </w:pPr>
      <w:r>
        <w:rPr>
          <w:rFonts w:ascii="Times New Roman" w:hAnsi="Times New Roman" w:eastAsia="Times New Roman"/>
          <w:color w:val="auto"/>
          <w:spacing w:val="-8"/>
          <w:highlight w:val="none"/>
        </w:rPr>
        <w:t>3.</w:t>
      </w:r>
      <w:r>
        <w:rPr>
          <w:rFonts w:ascii="Times New Roman" w:hAnsi="Times New Roman" w:eastAsia="Times New Roman"/>
          <w:color w:val="auto"/>
          <w:spacing w:val="-5"/>
          <w:highlight w:val="none"/>
        </w:rPr>
        <w:t>2</w:t>
      </w:r>
      <w:r>
        <w:rPr>
          <w:rFonts w:ascii="Times New Roman" w:hAnsi="Times New Roman" w:eastAsia="Times New Roman"/>
          <w:color w:val="auto"/>
          <w:spacing w:val="-4"/>
          <w:highlight w:val="none"/>
        </w:rPr>
        <w:t xml:space="preserve">.4  </w:t>
      </w:r>
      <w:r>
        <w:rPr>
          <w:rFonts w:ascii="宋体" w:hAnsi="宋体" w:eastAsia="宋体"/>
          <w:color w:val="auto"/>
          <w:spacing w:val="-4"/>
          <w:highlight w:val="none"/>
        </w:rPr>
        <w:t>评标委员会发现投标人的报价明显低于其他投标报价， 使得其投标报价可能低于其个</w:t>
      </w:r>
      <w:r>
        <w:rPr>
          <w:rFonts w:ascii="宋体" w:hAnsi="宋体" w:eastAsia="宋体"/>
          <w:color w:val="auto"/>
          <w:highlight w:val="none"/>
        </w:rPr>
        <w:t xml:space="preserve"> </w:t>
      </w:r>
      <w:r>
        <w:rPr>
          <w:rFonts w:ascii="宋体" w:hAnsi="宋体" w:eastAsia="宋体"/>
          <w:color w:val="auto"/>
          <w:spacing w:val="1"/>
          <w:highlight w:val="none"/>
        </w:rPr>
        <w:t>别成本的，应当要求该投标人</w:t>
      </w:r>
      <w:r>
        <w:rPr>
          <w:rFonts w:ascii="宋体" w:hAnsi="宋体" w:eastAsia="宋体"/>
          <w:color w:val="auto"/>
          <w:highlight w:val="none"/>
        </w:rPr>
        <w:t xml:space="preserve">作出书面说明并提供相应的证明材料。投标人不能合理说明或者 </w:t>
      </w:r>
      <w:r>
        <w:rPr>
          <w:rFonts w:ascii="宋体" w:hAnsi="宋体" w:eastAsia="宋体"/>
          <w:color w:val="auto"/>
          <w:spacing w:val="-14"/>
          <w:highlight w:val="none"/>
        </w:rPr>
        <w:t>不能</w:t>
      </w:r>
      <w:r>
        <w:rPr>
          <w:rFonts w:ascii="宋体" w:hAnsi="宋体" w:eastAsia="宋体"/>
          <w:color w:val="auto"/>
          <w:spacing w:val="-11"/>
          <w:highlight w:val="none"/>
        </w:rPr>
        <w:t>提</w:t>
      </w:r>
      <w:r>
        <w:rPr>
          <w:rFonts w:ascii="宋体" w:hAnsi="宋体" w:eastAsia="宋体"/>
          <w:color w:val="auto"/>
          <w:spacing w:val="-7"/>
          <w:highlight w:val="none"/>
        </w:rPr>
        <w:t>供相应证明材料的，评标委员会应当认定该投标人以低于成本报价竞标，并否决其投标。</w:t>
      </w:r>
    </w:p>
    <w:p w14:paraId="40D1ABF5">
      <w:pPr>
        <w:pStyle w:val="7"/>
        <w:rPr>
          <w:rFonts w:eastAsiaTheme="minorEastAsia"/>
          <w:color w:val="auto"/>
          <w:highlight w:val="none"/>
        </w:rPr>
      </w:pPr>
    </w:p>
    <w:p w14:paraId="0067EAA7">
      <w:pPr>
        <w:rPr>
          <w:rFonts w:ascii="Times New Roman" w:hAnsi="Times New Roman" w:eastAsia="Times New Roman"/>
          <w:color w:val="auto"/>
          <w:spacing w:val="10"/>
          <w:sz w:val="27"/>
          <w:szCs w:val="27"/>
          <w:highlight w:val="none"/>
        </w:rPr>
      </w:pPr>
      <w:bookmarkStart w:id="396" w:name="_Toc19706"/>
      <w:bookmarkStart w:id="397" w:name="_Toc6194"/>
      <w:bookmarkStart w:id="398" w:name="_Toc31386"/>
      <w:bookmarkStart w:id="399" w:name="_Toc4481"/>
      <w:bookmarkStart w:id="400" w:name="_Toc28101"/>
      <w:r>
        <w:rPr>
          <w:rFonts w:ascii="Times New Roman" w:hAnsi="Times New Roman" w:eastAsia="Times New Roman"/>
          <w:color w:val="auto"/>
          <w:spacing w:val="10"/>
          <w:sz w:val="27"/>
          <w:szCs w:val="27"/>
          <w:highlight w:val="none"/>
        </w:rPr>
        <w:t>3</w:t>
      </w:r>
      <w:r>
        <w:rPr>
          <w:rFonts w:ascii="Times New Roman" w:hAnsi="Times New Roman" w:eastAsia="Times New Roman"/>
          <w:color w:val="auto"/>
          <w:spacing w:val="6"/>
          <w:sz w:val="27"/>
          <w:szCs w:val="27"/>
          <w:highlight w:val="none"/>
        </w:rPr>
        <w:t xml:space="preserve">.3  </w:t>
      </w:r>
      <w:r>
        <w:rPr>
          <w:rFonts w:ascii="黑体" w:hAnsi="黑体" w:eastAsia="黑体"/>
          <w:color w:val="auto"/>
          <w:spacing w:val="6"/>
          <w:sz w:val="27"/>
          <w:szCs w:val="27"/>
          <w:highlight w:val="none"/>
        </w:rPr>
        <w:t>投标文件的澄清</w:t>
      </w:r>
      <w:bookmarkEnd w:id="396"/>
      <w:bookmarkEnd w:id="397"/>
      <w:bookmarkEnd w:id="398"/>
      <w:bookmarkEnd w:id="399"/>
      <w:bookmarkEnd w:id="400"/>
    </w:p>
    <w:p w14:paraId="2281B216">
      <w:pPr>
        <w:spacing w:line="314" w:lineRule="auto"/>
        <w:rPr>
          <w:color w:val="auto"/>
          <w:highlight w:val="none"/>
        </w:rPr>
      </w:pPr>
    </w:p>
    <w:p w14:paraId="1E10D240">
      <w:pPr>
        <w:spacing w:before="68" w:line="352" w:lineRule="auto"/>
        <w:ind w:right="73" w:firstLine="420"/>
        <w:rPr>
          <w:rFonts w:ascii="Times New Roman" w:hAnsi="Times New Roman" w:eastAsia="Times New Roman"/>
          <w:color w:val="auto"/>
          <w:spacing w:val="-8"/>
          <w:highlight w:val="none"/>
        </w:rPr>
      </w:pPr>
      <w:r>
        <w:rPr>
          <w:rFonts w:ascii="Times New Roman" w:hAnsi="Times New Roman" w:eastAsia="Times New Roman"/>
          <w:color w:val="auto"/>
          <w:spacing w:val="-8"/>
          <w:highlight w:val="none"/>
        </w:rPr>
        <w:t>3.</w:t>
      </w:r>
      <w:r>
        <w:rPr>
          <w:rFonts w:ascii="Times New Roman" w:hAnsi="Times New Roman" w:eastAsia="Times New Roman"/>
          <w:color w:val="auto"/>
          <w:spacing w:val="-4"/>
          <w:highlight w:val="none"/>
        </w:rPr>
        <w:t xml:space="preserve">3.1  </w:t>
      </w:r>
      <w:r>
        <w:rPr>
          <w:rFonts w:ascii="宋体" w:hAnsi="宋体" w:eastAsia="宋体"/>
          <w:color w:val="auto"/>
          <w:spacing w:val="-4"/>
          <w:highlight w:val="none"/>
        </w:rPr>
        <w:t>在评标过程中，</w:t>
      </w:r>
      <w:r>
        <w:rPr>
          <w:rFonts w:hint="eastAsia" w:ascii="宋体" w:hAnsi="宋体" w:eastAsia="宋体"/>
          <w:color w:val="auto"/>
          <w:highlight w:val="none"/>
        </w:rPr>
        <w:t>经评标委员会中两人以上（含两人）以书面形式提出动议，评标委员会</w:t>
      </w:r>
      <w:r>
        <w:rPr>
          <w:rFonts w:ascii="宋体" w:hAnsi="宋体" w:eastAsia="宋体"/>
          <w:color w:val="auto"/>
          <w:spacing w:val="-4"/>
          <w:highlight w:val="none"/>
        </w:rPr>
        <w:t>可以书面形式要求投标人对投标文件中含义不明确、对同</w:t>
      </w:r>
      <w:r>
        <w:rPr>
          <w:rFonts w:ascii="宋体" w:hAnsi="宋体" w:eastAsia="宋体"/>
          <w:color w:val="auto"/>
          <w:highlight w:val="none"/>
        </w:rPr>
        <w:t xml:space="preserve"> </w:t>
      </w:r>
      <w:r>
        <w:rPr>
          <w:rFonts w:ascii="宋体" w:hAnsi="宋体" w:eastAsia="宋体"/>
          <w:color w:val="auto"/>
          <w:spacing w:val="1"/>
          <w:highlight w:val="none"/>
        </w:rPr>
        <w:t>类问题表述不一致或者有明显文字</w:t>
      </w:r>
      <w:r>
        <w:rPr>
          <w:rFonts w:ascii="宋体" w:hAnsi="宋体" w:eastAsia="宋体"/>
          <w:color w:val="auto"/>
          <w:highlight w:val="none"/>
        </w:rPr>
        <w:t xml:space="preserve">和计算错误的内容作必要的澄清、说明或补正。澄清、说明 </w:t>
      </w:r>
      <w:r>
        <w:rPr>
          <w:rFonts w:ascii="宋体" w:hAnsi="宋体" w:eastAsia="宋体"/>
          <w:color w:val="auto"/>
          <w:spacing w:val="-1"/>
          <w:highlight w:val="none"/>
        </w:rPr>
        <w:t>或补正应以书面方式进行。评标委员会不接受投标人主动提出的澄清、说明或补正。</w:t>
      </w:r>
    </w:p>
    <w:p w14:paraId="7A10B388">
      <w:pPr>
        <w:spacing w:before="1" w:line="351" w:lineRule="auto"/>
        <w:ind w:left="1" w:right="73" w:firstLine="418"/>
        <w:rPr>
          <w:rFonts w:ascii="Times New Roman" w:hAnsi="Times New Roman" w:eastAsia="Times New Roman"/>
          <w:color w:val="auto"/>
          <w:spacing w:val="-8"/>
          <w:highlight w:val="none"/>
        </w:rPr>
      </w:pPr>
      <w:r>
        <w:rPr>
          <w:rFonts w:ascii="Times New Roman" w:hAnsi="Times New Roman" w:eastAsia="Times New Roman"/>
          <w:color w:val="auto"/>
          <w:spacing w:val="-8"/>
          <w:highlight w:val="none"/>
        </w:rPr>
        <w:t>3.</w:t>
      </w:r>
      <w:r>
        <w:rPr>
          <w:rFonts w:ascii="Times New Roman" w:hAnsi="Times New Roman" w:eastAsia="Times New Roman"/>
          <w:color w:val="auto"/>
          <w:spacing w:val="-4"/>
          <w:highlight w:val="none"/>
        </w:rPr>
        <w:t xml:space="preserve">3.2  </w:t>
      </w:r>
      <w:r>
        <w:rPr>
          <w:rFonts w:ascii="宋体" w:hAnsi="宋体" w:eastAsia="宋体"/>
          <w:color w:val="auto"/>
          <w:spacing w:val="-4"/>
          <w:highlight w:val="none"/>
        </w:rPr>
        <w:t>澄清、说明或补正不得超出投标文件的范围且不得改变投标文件的实质性内容， 并构</w:t>
      </w:r>
      <w:r>
        <w:rPr>
          <w:rFonts w:ascii="宋体" w:hAnsi="宋体" w:eastAsia="宋体"/>
          <w:color w:val="auto"/>
          <w:highlight w:val="none"/>
        </w:rPr>
        <w:t xml:space="preserve"> </w:t>
      </w:r>
      <w:r>
        <w:rPr>
          <w:rFonts w:ascii="宋体" w:hAnsi="宋体" w:eastAsia="宋体"/>
          <w:color w:val="auto"/>
          <w:spacing w:val="-6"/>
          <w:highlight w:val="none"/>
        </w:rPr>
        <w:t>成</w:t>
      </w:r>
      <w:r>
        <w:rPr>
          <w:rFonts w:ascii="宋体" w:hAnsi="宋体" w:eastAsia="宋体"/>
          <w:color w:val="auto"/>
          <w:spacing w:val="-3"/>
          <w:highlight w:val="none"/>
        </w:rPr>
        <w:t>投标文件的组成部分。</w:t>
      </w:r>
    </w:p>
    <w:p w14:paraId="5D5DC223">
      <w:pPr>
        <w:spacing w:before="1" w:line="358" w:lineRule="auto"/>
        <w:ind w:left="2" w:firstLine="417"/>
        <w:rPr>
          <w:rFonts w:ascii="Times New Roman" w:hAnsi="Times New Roman" w:eastAsia="Times New Roman"/>
          <w:color w:val="auto"/>
          <w:spacing w:val="-9"/>
          <w:highlight w:val="none"/>
        </w:rPr>
      </w:pPr>
      <w:r>
        <w:rPr>
          <w:rFonts w:ascii="Times New Roman" w:hAnsi="Times New Roman" w:eastAsia="Times New Roman"/>
          <w:color w:val="auto"/>
          <w:spacing w:val="-9"/>
          <w:highlight w:val="none"/>
        </w:rPr>
        <w:t>3</w:t>
      </w:r>
      <w:r>
        <w:rPr>
          <w:rFonts w:ascii="Times New Roman" w:hAnsi="Times New Roman" w:eastAsia="Times New Roman"/>
          <w:color w:val="auto"/>
          <w:spacing w:val="-7"/>
          <w:highlight w:val="none"/>
        </w:rPr>
        <w:t xml:space="preserve">.3.3  </w:t>
      </w:r>
      <w:r>
        <w:rPr>
          <w:rFonts w:ascii="宋体" w:hAnsi="宋体" w:eastAsia="宋体"/>
          <w:color w:val="auto"/>
          <w:spacing w:val="-7"/>
          <w:highlight w:val="none"/>
        </w:rPr>
        <w:t>评标委员会对投标人提交的澄清、说明或补正有疑问的，可以要求投标人进一步澄清、</w:t>
      </w:r>
      <w:r>
        <w:rPr>
          <w:rFonts w:ascii="宋体" w:hAnsi="宋体" w:eastAsia="宋体"/>
          <w:color w:val="auto"/>
          <w:highlight w:val="none"/>
        </w:rPr>
        <w:t xml:space="preserve"> </w:t>
      </w:r>
      <w:r>
        <w:rPr>
          <w:rFonts w:ascii="宋体" w:hAnsi="宋体" w:eastAsia="宋体"/>
          <w:color w:val="auto"/>
          <w:spacing w:val="-3"/>
          <w:highlight w:val="none"/>
        </w:rPr>
        <w:t>说</w:t>
      </w:r>
      <w:r>
        <w:rPr>
          <w:rFonts w:ascii="宋体" w:hAnsi="宋体" w:eastAsia="宋体"/>
          <w:color w:val="auto"/>
          <w:spacing w:val="-2"/>
          <w:highlight w:val="none"/>
        </w:rPr>
        <w:t>明或补正，直至满足评标委员会的要求。</w:t>
      </w:r>
    </w:p>
    <w:p w14:paraId="0DEA977D">
      <w:pPr>
        <w:rPr>
          <w:rFonts w:ascii="Times New Roman" w:hAnsi="Times New Roman" w:eastAsiaTheme="minorEastAsia"/>
          <w:color w:val="auto"/>
          <w:spacing w:val="7"/>
          <w:sz w:val="27"/>
          <w:szCs w:val="27"/>
          <w:highlight w:val="none"/>
        </w:rPr>
      </w:pPr>
      <w:bookmarkStart w:id="401" w:name="_Toc19969"/>
      <w:bookmarkStart w:id="402" w:name="_Toc15725"/>
      <w:bookmarkStart w:id="403" w:name="_Toc17553"/>
      <w:bookmarkStart w:id="404" w:name="_Toc12541"/>
      <w:bookmarkStart w:id="405" w:name="_Toc22248"/>
    </w:p>
    <w:p w14:paraId="2B82F776">
      <w:pPr>
        <w:rPr>
          <w:rFonts w:ascii="Times New Roman" w:hAnsi="Times New Roman" w:eastAsia="Times New Roman"/>
          <w:color w:val="auto"/>
          <w:spacing w:val="7"/>
          <w:sz w:val="27"/>
          <w:szCs w:val="27"/>
          <w:highlight w:val="none"/>
        </w:rPr>
      </w:pPr>
      <w:r>
        <w:rPr>
          <w:rFonts w:ascii="Times New Roman" w:hAnsi="Times New Roman" w:eastAsia="Times New Roman"/>
          <w:color w:val="auto"/>
          <w:spacing w:val="7"/>
          <w:sz w:val="27"/>
          <w:szCs w:val="27"/>
          <w:highlight w:val="none"/>
        </w:rPr>
        <w:t>3</w:t>
      </w:r>
      <w:r>
        <w:rPr>
          <w:rFonts w:ascii="Times New Roman" w:hAnsi="Times New Roman" w:eastAsia="Times New Roman"/>
          <w:color w:val="auto"/>
          <w:spacing w:val="5"/>
          <w:sz w:val="27"/>
          <w:szCs w:val="27"/>
          <w:highlight w:val="none"/>
        </w:rPr>
        <w:t xml:space="preserve">.4  </w:t>
      </w:r>
      <w:r>
        <w:rPr>
          <w:rFonts w:ascii="黑体" w:hAnsi="黑体" w:eastAsia="黑体"/>
          <w:color w:val="auto"/>
          <w:spacing w:val="5"/>
          <w:sz w:val="27"/>
          <w:szCs w:val="27"/>
          <w:highlight w:val="none"/>
        </w:rPr>
        <w:t>评标结果</w:t>
      </w:r>
      <w:bookmarkEnd w:id="401"/>
      <w:bookmarkEnd w:id="402"/>
      <w:bookmarkEnd w:id="403"/>
      <w:bookmarkEnd w:id="404"/>
      <w:bookmarkEnd w:id="405"/>
    </w:p>
    <w:p w14:paraId="6A8054C3">
      <w:pPr>
        <w:spacing w:line="315" w:lineRule="auto"/>
        <w:rPr>
          <w:color w:val="auto"/>
          <w:highlight w:val="none"/>
        </w:rPr>
      </w:pPr>
    </w:p>
    <w:p w14:paraId="2F88E157">
      <w:pPr>
        <w:spacing w:before="68" w:line="352" w:lineRule="auto"/>
        <w:ind w:left="17" w:right="72" w:firstLine="403"/>
        <w:rPr>
          <w:rFonts w:ascii="Times New Roman" w:hAnsi="Times New Roman" w:eastAsia="Times New Roman"/>
          <w:color w:val="auto"/>
          <w:spacing w:val="-2"/>
          <w:highlight w:val="none"/>
        </w:rPr>
      </w:pPr>
      <w:r>
        <w:rPr>
          <w:rFonts w:ascii="Times New Roman" w:hAnsi="Times New Roman" w:eastAsia="Times New Roman"/>
          <w:color w:val="auto"/>
          <w:spacing w:val="-2"/>
          <w:highlight w:val="none"/>
        </w:rPr>
        <w:t xml:space="preserve">3.4.1  </w:t>
      </w:r>
      <w:r>
        <w:rPr>
          <w:rFonts w:ascii="宋体" w:hAnsi="宋体" w:eastAsia="宋体"/>
          <w:color w:val="auto"/>
          <w:spacing w:val="-2"/>
          <w:highlight w:val="none"/>
        </w:rPr>
        <w:t>除第二章</w:t>
      </w:r>
      <w:r>
        <w:rPr>
          <w:rFonts w:ascii="Times New Roman" w:hAnsi="Times New Roman" w:eastAsia="Times New Roman"/>
          <w:color w:val="auto"/>
          <w:spacing w:val="-2"/>
          <w:highlight w:val="none"/>
        </w:rPr>
        <w:t>“</w:t>
      </w:r>
      <w:r>
        <w:rPr>
          <w:rFonts w:ascii="宋体" w:hAnsi="宋体" w:eastAsia="宋体"/>
          <w:color w:val="auto"/>
          <w:spacing w:val="-2"/>
          <w:highlight w:val="none"/>
        </w:rPr>
        <w:t>投</w:t>
      </w:r>
      <w:r>
        <w:rPr>
          <w:rFonts w:ascii="宋体" w:hAnsi="宋体" w:eastAsia="宋体"/>
          <w:color w:val="auto"/>
          <w:spacing w:val="-1"/>
          <w:highlight w:val="none"/>
        </w:rPr>
        <w:t>标人须知</w:t>
      </w:r>
      <w:r>
        <w:rPr>
          <w:rFonts w:ascii="Times New Roman" w:hAnsi="Times New Roman" w:eastAsia="Times New Roman"/>
          <w:color w:val="auto"/>
          <w:spacing w:val="-1"/>
          <w:highlight w:val="none"/>
        </w:rPr>
        <w:t>”</w:t>
      </w:r>
      <w:r>
        <w:rPr>
          <w:rFonts w:ascii="宋体" w:hAnsi="宋体" w:eastAsia="宋体"/>
          <w:color w:val="auto"/>
          <w:spacing w:val="-1"/>
          <w:highlight w:val="none"/>
        </w:rPr>
        <w:t>前附表授权直接确定中标人外，评标委员会按照得分由高到低</w:t>
      </w:r>
      <w:r>
        <w:rPr>
          <w:rFonts w:ascii="宋体" w:hAnsi="宋体" w:eastAsia="宋体"/>
          <w:color w:val="auto"/>
          <w:highlight w:val="none"/>
        </w:rPr>
        <w:t xml:space="preserve"> </w:t>
      </w:r>
      <w:r>
        <w:rPr>
          <w:rFonts w:ascii="宋体" w:hAnsi="宋体" w:eastAsia="宋体"/>
          <w:color w:val="auto"/>
          <w:spacing w:val="-4"/>
          <w:highlight w:val="none"/>
        </w:rPr>
        <w:t>的</w:t>
      </w:r>
      <w:r>
        <w:rPr>
          <w:rFonts w:ascii="宋体" w:hAnsi="宋体" w:eastAsia="宋体"/>
          <w:color w:val="auto"/>
          <w:spacing w:val="-3"/>
          <w:highlight w:val="none"/>
        </w:rPr>
        <w:t>顺序推荐中标候选人，并标明排序。</w:t>
      </w:r>
    </w:p>
    <w:p w14:paraId="3473E59A">
      <w:pPr>
        <w:spacing w:before="1" w:line="216" w:lineRule="auto"/>
        <w:ind w:left="420"/>
        <w:rPr>
          <w:rFonts w:ascii="Times New Roman" w:hAnsi="Times New Roman" w:eastAsia="Times New Roman"/>
          <w:color w:val="auto"/>
          <w:spacing w:val="-1"/>
          <w:highlight w:val="none"/>
        </w:rPr>
        <w:sectPr>
          <w:footerReference r:id="rId14" w:type="default"/>
          <w:pgSz w:w="12240" w:h="15840"/>
          <w:pgMar w:top="1346" w:right="1467" w:bottom="1104" w:left="1808" w:header="0" w:footer="940" w:gutter="0"/>
          <w:cols w:space="720" w:num="1"/>
        </w:sectPr>
      </w:pPr>
      <w:r>
        <w:rPr>
          <w:rFonts w:ascii="Times New Roman" w:hAnsi="Times New Roman" w:eastAsia="Times New Roman"/>
          <w:color w:val="auto"/>
          <w:spacing w:val="-1"/>
          <w:highlight w:val="none"/>
        </w:rPr>
        <w:t xml:space="preserve">3.4.2  </w:t>
      </w:r>
      <w:r>
        <w:rPr>
          <w:rFonts w:ascii="宋体" w:hAnsi="宋体" w:eastAsia="宋体"/>
          <w:color w:val="auto"/>
          <w:spacing w:val="-1"/>
          <w:highlight w:val="none"/>
        </w:rPr>
        <w:t>评标委员会完成评标后，应当向招标人提交书面评标报告和中标候选人</w:t>
      </w:r>
      <w:r>
        <w:rPr>
          <w:rFonts w:ascii="宋体" w:hAnsi="宋体" w:eastAsia="宋体"/>
          <w:color w:val="auto"/>
          <w:highlight w:val="none"/>
        </w:rPr>
        <w:t>名单。</w:t>
      </w:r>
    </w:p>
    <w:p w14:paraId="739AA08A">
      <w:pPr>
        <w:pStyle w:val="24"/>
        <w:rPr>
          <w:rFonts w:ascii="宋体" w:hAnsi="宋体"/>
          <w:color w:val="auto"/>
          <w:spacing w:val="11"/>
          <w:sz w:val="43"/>
          <w:szCs w:val="43"/>
          <w:highlight w:val="none"/>
        </w:rPr>
      </w:pPr>
      <w:bookmarkStart w:id="406" w:name="_Toc183207164"/>
      <w:bookmarkStart w:id="407" w:name="_Toc96"/>
      <w:bookmarkStart w:id="408" w:name="_Toc29015"/>
      <w:bookmarkStart w:id="409" w:name="_Toc32495"/>
      <w:r>
        <w:rPr>
          <w:rFonts w:ascii="宋体" w:hAnsi="宋体"/>
          <w:color w:val="auto"/>
          <w:spacing w:val="11"/>
          <w:sz w:val="43"/>
          <w:szCs w:val="43"/>
          <w:highlight w:val="none"/>
        </w:rPr>
        <w:t>第</w:t>
      </w:r>
      <w:r>
        <w:rPr>
          <w:rFonts w:ascii="宋体" w:hAnsi="宋体"/>
          <w:color w:val="auto"/>
          <w:spacing w:val="10"/>
          <w:sz w:val="43"/>
          <w:szCs w:val="43"/>
          <w:highlight w:val="none"/>
        </w:rPr>
        <w:t>四章合同条款及格式</w:t>
      </w:r>
      <w:bookmarkEnd w:id="406"/>
      <w:bookmarkEnd w:id="407"/>
      <w:bookmarkEnd w:id="408"/>
      <w:bookmarkEnd w:id="409"/>
    </w:p>
    <w:p w14:paraId="148FA1FE">
      <w:pPr>
        <w:jc w:val="center"/>
        <w:rPr>
          <w:color w:val="auto"/>
          <w:highlight w:val="none"/>
        </w:rPr>
      </w:pPr>
      <w:r>
        <w:rPr>
          <w:rFonts w:hint="eastAsia"/>
          <w:color w:val="auto"/>
          <w:highlight w:val="none"/>
        </w:rPr>
        <w:t>（本合同条款及格式仅供参考使用，不作为最终签订版本）</w:t>
      </w:r>
    </w:p>
    <w:p w14:paraId="33481C99">
      <w:pPr>
        <w:spacing w:line="298" w:lineRule="auto"/>
        <w:rPr>
          <w:color w:val="auto"/>
          <w:highlight w:val="none"/>
        </w:rPr>
      </w:pPr>
    </w:p>
    <w:p w14:paraId="59E2FDEE">
      <w:pPr>
        <w:kinsoku/>
        <w:autoSpaceDE/>
        <w:autoSpaceDN/>
        <w:snapToGrid/>
        <w:rPr>
          <w:rFonts w:ascii="宋体" w:hAnsi="宋体" w:eastAsia="宋体"/>
          <w:b/>
          <w:bCs/>
          <w:color w:val="auto"/>
          <w:spacing w:val="5"/>
          <w:kern w:val="44"/>
          <w:sz w:val="52"/>
          <w:szCs w:val="52"/>
          <w:highlight w:val="none"/>
        </w:rPr>
      </w:pPr>
      <w:bookmarkStart w:id="410" w:name="_Toc183207165"/>
      <w:r>
        <w:rPr>
          <w:rFonts w:ascii="宋体" w:hAnsi="宋体"/>
          <w:color w:val="auto"/>
          <w:spacing w:val="5"/>
          <w:sz w:val="52"/>
          <w:szCs w:val="52"/>
          <w:highlight w:val="none"/>
        </w:rPr>
        <w:br w:type="page"/>
      </w:r>
    </w:p>
    <w:p w14:paraId="41CE5AD4">
      <w:pPr>
        <w:kinsoku/>
        <w:wordWrap w:val="0"/>
        <w:topLinePunct/>
        <w:autoSpaceDE/>
        <w:autoSpaceDN/>
        <w:adjustRightInd w:val="0"/>
        <w:spacing w:line="480" w:lineRule="exact"/>
        <w:jc w:val="center"/>
        <w:rPr>
          <w:rFonts w:ascii="仿宋_GB2312" w:hAnsi="宋体" w:eastAsia="仿宋_GB2312"/>
          <w:b/>
          <w:color w:val="auto"/>
          <w:kern w:val="2"/>
          <w:sz w:val="44"/>
          <w:szCs w:val="44"/>
          <w:highlight w:val="none"/>
          <w:u w:val="single"/>
        </w:rPr>
      </w:pPr>
    </w:p>
    <w:p w14:paraId="0030591A">
      <w:pPr>
        <w:kinsoku/>
        <w:wordWrap w:val="0"/>
        <w:topLinePunct/>
        <w:autoSpaceDE/>
        <w:autoSpaceDN/>
        <w:adjustRightInd w:val="0"/>
        <w:spacing w:line="480" w:lineRule="exact"/>
        <w:jc w:val="center"/>
        <w:rPr>
          <w:rFonts w:ascii="仿宋_GB2312" w:hAnsi="宋体" w:eastAsia="仿宋_GB2312"/>
          <w:b/>
          <w:color w:val="auto"/>
          <w:kern w:val="2"/>
          <w:sz w:val="44"/>
          <w:szCs w:val="44"/>
          <w:highlight w:val="none"/>
          <w:u w:val="single"/>
        </w:rPr>
      </w:pPr>
    </w:p>
    <w:p w14:paraId="6007F45D">
      <w:pPr>
        <w:kinsoku/>
        <w:wordWrap w:val="0"/>
        <w:topLinePunct/>
        <w:autoSpaceDE/>
        <w:autoSpaceDN/>
        <w:adjustRightInd w:val="0"/>
        <w:spacing w:line="480" w:lineRule="exact"/>
        <w:jc w:val="center"/>
        <w:rPr>
          <w:rFonts w:ascii="仿宋_GB2312" w:hAnsi="宋体" w:eastAsia="仿宋_GB2312"/>
          <w:b/>
          <w:color w:val="auto"/>
          <w:kern w:val="2"/>
          <w:sz w:val="48"/>
          <w:szCs w:val="48"/>
          <w:highlight w:val="none"/>
          <w:u w:val="single"/>
        </w:rPr>
      </w:pPr>
    </w:p>
    <w:p w14:paraId="153D3C67">
      <w:pPr>
        <w:widowControl w:val="0"/>
        <w:kinsoku/>
        <w:autoSpaceDE/>
        <w:autoSpaceDN/>
        <w:snapToGrid/>
        <w:spacing w:line="360" w:lineRule="auto"/>
        <w:jc w:val="center"/>
        <w:rPr>
          <w:rFonts w:ascii="宋体" w:hAnsi="宋体" w:eastAsia="宋体" w:cs="宋体"/>
          <w:b/>
          <w:color w:val="auto"/>
          <w:spacing w:val="11"/>
          <w:sz w:val="44"/>
          <w:szCs w:val="44"/>
          <w:highlight w:val="none"/>
        </w:rPr>
      </w:pPr>
      <w:r>
        <w:rPr>
          <w:rFonts w:hint="eastAsia" w:ascii="宋体" w:hAnsi="宋体" w:eastAsia="宋体" w:cs="宋体"/>
          <w:color w:val="auto"/>
          <w:kern w:val="2"/>
          <w:sz w:val="44"/>
          <w:szCs w:val="44"/>
          <w:highlight w:val="none"/>
        </w:rPr>
        <w:t>广州东部中心地下管网完善工程—新塘镇排水系统更新改造提升工程（北部片区）</w:t>
      </w:r>
    </w:p>
    <w:p w14:paraId="63C1D612">
      <w:pPr>
        <w:widowControl w:val="0"/>
        <w:kinsoku/>
        <w:autoSpaceDE/>
        <w:autoSpaceDN/>
        <w:snapToGrid/>
        <w:jc w:val="center"/>
        <w:rPr>
          <w:rFonts w:ascii="宋体" w:hAnsi="宋体" w:eastAsia="宋体" w:cs="宋体"/>
          <w:b/>
          <w:bCs/>
          <w:color w:val="auto"/>
          <w:spacing w:val="110"/>
          <w:kern w:val="2"/>
          <w:sz w:val="72"/>
          <w:szCs w:val="72"/>
          <w:highlight w:val="none"/>
        </w:rPr>
      </w:pPr>
    </w:p>
    <w:p w14:paraId="3BAC8009">
      <w:pPr>
        <w:widowControl w:val="0"/>
        <w:kinsoku/>
        <w:autoSpaceDE/>
        <w:autoSpaceDN/>
        <w:snapToGrid/>
        <w:jc w:val="center"/>
        <w:rPr>
          <w:rFonts w:ascii="宋体" w:hAnsi="宋体" w:eastAsia="宋体" w:cs="宋体"/>
          <w:b/>
          <w:bCs/>
          <w:color w:val="auto"/>
          <w:spacing w:val="110"/>
          <w:kern w:val="2"/>
          <w:sz w:val="72"/>
          <w:szCs w:val="72"/>
          <w:highlight w:val="none"/>
        </w:rPr>
      </w:pPr>
      <w:r>
        <w:rPr>
          <w:rFonts w:hint="eastAsia" w:ascii="宋体" w:hAnsi="宋体" w:eastAsia="宋体" w:cs="宋体"/>
          <w:b/>
          <w:bCs/>
          <w:color w:val="auto"/>
          <w:spacing w:val="110"/>
          <w:kern w:val="2"/>
          <w:sz w:val="72"/>
          <w:szCs w:val="72"/>
          <w:highlight w:val="none"/>
        </w:rPr>
        <w:t>设计合同</w:t>
      </w:r>
    </w:p>
    <w:p w14:paraId="1AED15F6">
      <w:pPr>
        <w:widowControl w:val="0"/>
        <w:kinsoku/>
        <w:autoSpaceDE/>
        <w:autoSpaceDN/>
        <w:snapToGrid/>
        <w:jc w:val="center"/>
        <w:rPr>
          <w:rFonts w:ascii="宋体" w:hAnsi="宋体" w:eastAsia="宋体" w:cs="宋体"/>
          <w:color w:val="auto"/>
          <w:kern w:val="2"/>
          <w:sz w:val="24"/>
          <w:szCs w:val="24"/>
          <w:highlight w:val="none"/>
        </w:rPr>
      </w:pPr>
    </w:p>
    <w:p w14:paraId="184E02E4">
      <w:pPr>
        <w:widowControl w:val="0"/>
        <w:kinsoku/>
        <w:autoSpaceDE/>
        <w:autoSpaceDN/>
        <w:snapToGrid/>
        <w:ind w:firstLine="2240" w:firstLineChars="800"/>
        <w:jc w:val="both"/>
        <w:rPr>
          <w:rFonts w:ascii="宋体" w:hAnsi="宋体" w:eastAsia="宋体" w:cs="宋体"/>
          <w:color w:val="auto"/>
          <w:kern w:val="2"/>
          <w:sz w:val="28"/>
          <w:szCs w:val="28"/>
          <w:highlight w:val="none"/>
        </w:rPr>
      </w:pPr>
    </w:p>
    <w:p w14:paraId="31CA0748">
      <w:pPr>
        <w:widowControl w:val="0"/>
        <w:kinsoku/>
        <w:autoSpaceDE/>
        <w:autoSpaceDN/>
        <w:snapToGrid/>
        <w:ind w:firstLine="2240" w:firstLineChars="800"/>
        <w:jc w:val="both"/>
        <w:rPr>
          <w:rFonts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rPr>
        <w:t>合同编号：</w:t>
      </w:r>
    </w:p>
    <w:p w14:paraId="34A90EBF">
      <w:pPr>
        <w:kinsoku/>
        <w:wordWrap w:val="0"/>
        <w:topLinePunct/>
        <w:autoSpaceDE/>
        <w:autoSpaceDN/>
        <w:adjustRightInd w:val="0"/>
        <w:spacing w:line="480" w:lineRule="exact"/>
        <w:jc w:val="both"/>
        <w:rPr>
          <w:rFonts w:ascii="宋体" w:hAnsi="宋体" w:eastAsia="宋体" w:cs="宋体"/>
          <w:b/>
          <w:color w:val="auto"/>
          <w:kern w:val="2"/>
          <w:sz w:val="44"/>
          <w:szCs w:val="44"/>
          <w:highlight w:val="none"/>
          <w:u w:val="single"/>
        </w:rPr>
      </w:pPr>
    </w:p>
    <w:p w14:paraId="70313B1C">
      <w:pPr>
        <w:tabs>
          <w:tab w:val="left" w:pos="1276"/>
        </w:tabs>
        <w:kinsoku/>
        <w:wordWrap w:val="0"/>
        <w:topLinePunct/>
        <w:autoSpaceDE/>
        <w:autoSpaceDN/>
        <w:adjustRightInd w:val="0"/>
        <w:spacing w:line="480" w:lineRule="exact"/>
        <w:jc w:val="center"/>
        <w:rPr>
          <w:rFonts w:ascii="宋体" w:hAnsi="宋体" w:eastAsia="宋体" w:cs="宋体"/>
          <w:b/>
          <w:color w:val="auto"/>
          <w:kern w:val="2"/>
          <w:sz w:val="44"/>
          <w:szCs w:val="44"/>
          <w:highlight w:val="none"/>
          <w:u w:val="single"/>
        </w:rPr>
      </w:pPr>
    </w:p>
    <w:p w14:paraId="6235BC4F">
      <w:pPr>
        <w:tabs>
          <w:tab w:val="left" w:pos="1276"/>
        </w:tabs>
        <w:kinsoku/>
        <w:wordWrap w:val="0"/>
        <w:topLinePunct/>
        <w:autoSpaceDE/>
        <w:autoSpaceDN/>
        <w:adjustRightInd w:val="0"/>
        <w:spacing w:line="480" w:lineRule="exact"/>
        <w:jc w:val="center"/>
        <w:rPr>
          <w:rFonts w:ascii="宋体" w:hAnsi="宋体" w:eastAsia="宋体" w:cs="宋体"/>
          <w:b/>
          <w:color w:val="auto"/>
          <w:kern w:val="2"/>
          <w:sz w:val="44"/>
          <w:szCs w:val="44"/>
          <w:highlight w:val="none"/>
          <w:u w:val="single"/>
        </w:rPr>
      </w:pPr>
    </w:p>
    <w:p w14:paraId="42E2CE62">
      <w:pPr>
        <w:tabs>
          <w:tab w:val="left" w:pos="1276"/>
        </w:tabs>
        <w:kinsoku/>
        <w:wordWrap w:val="0"/>
        <w:topLinePunct/>
        <w:autoSpaceDE/>
        <w:autoSpaceDN/>
        <w:adjustRightInd w:val="0"/>
        <w:spacing w:line="480" w:lineRule="exact"/>
        <w:jc w:val="center"/>
        <w:rPr>
          <w:rFonts w:ascii="宋体" w:hAnsi="宋体" w:eastAsia="宋体" w:cs="宋体"/>
          <w:b/>
          <w:color w:val="auto"/>
          <w:kern w:val="2"/>
          <w:sz w:val="44"/>
          <w:szCs w:val="44"/>
          <w:highlight w:val="none"/>
          <w:u w:val="single"/>
        </w:rPr>
      </w:pPr>
    </w:p>
    <w:p w14:paraId="2A026304">
      <w:pPr>
        <w:kinsoku/>
        <w:wordWrap w:val="0"/>
        <w:topLinePunct/>
        <w:autoSpaceDE/>
        <w:autoSpaceDN/>
        <w:adjustRightInd w:val="0"/>
        <w:spacing w:line="480" w:lineRule="exact"/>
        <w:jc w:val="center"/>
        <w:rPr>
          <w:rFonts w:ascii="宋体" w:hAnsi="宋体" w:eastAsia="宋体" w:cs="宋体"/>
          <w:b/>
          <w:color w:val="auto"/>
          <w:kern w:val="2"/>
          <w:sz w:val="44"/>
          <w:szCs w:val="44"/>
          <w:highlight w:val="none"/>
          <w:u w:val="single"/>
        </w:rPr>
      </w:pPr>
    </w:p>
    <w:p w14:paraId="21FC7C10">
      <w:pPr>
        <w:widowControl w:val="0"/>
        <w:kinsoku/>
        <w:autoSpaceDE/>
        <w:autoSpaceDN/>
        <w:snapToGrid/>
        <w:spacing w:line="360" w:lineRule="auto"/>
        <w:jc w:val="both"/>
        <w:rPr>
          <w:rFonts w:ascii="宋体" w:hAnsi="宋体" w:eastAsia="宋体" w:cs="宋体"/>
          <w:color w:val="auto"/>
          <w:kern w:val="2"/>
          <w:sz w:val="28"/>
          <w:szCs w:val="28"/>
          <w:highlight w:val="none"/>
          <w:u w:val="single"/>
        </w:rPr>
      </w:pPr>
      <w:r>
        <w:rPr>
          <w:rFonts w:hint="eastAsia" w:ascii="宋体" w:hAnsi="宋体" w:eastAsia="宋体" w:cs="宋体"/>
          <w:color w:val="auto"/>
          <w:kern w:val="2"/>
          <w:sz w:val="28"/>
          <w:szCs w:val="28"/>
          <w:highlight w:val="none"/>
        </w:rPr>
        <w:t xml:space="preserve">      项目名称：  </w:t>
      </w:r>
      <w:r>
        <w:rPr>
          <w:rFonts w:hint="eastAsia" w:ascii="宋体" w:hAnsi="宋体" w:eastAsia="宋体" w:cs="宋体"/>
          <w:color w:val="auto"/>
          <w:kern w:val="2"/>
          <w:sz w:val="28"/>
          <w:szCs w:val="28"/>
          <w:highlight w:val="none"/>
          <w:u w:val="single"/>
        </w:rPr>
        <w:t xml:space="preserve">                                      </w:t>
      </w:r>
    </w:p>
    <w:p w14:paraId="04A68DDB">
      <w:pPr>
        <w:widowControl w:val="0"/>
        <w:kinsoku/>
        <w:autoSpaceDE/>
        <w:autoSpaceDN/>
        <w:snapToGrid/>
        <w:spacing w:line="360" w:lineRule="auto"/>
        <w:jc w:val="both"/>
        <w:rPr>
          <w:rFonts w:ascii="宋体" w:hAnsi="宋体" w:eastAsia="宋体" w:cs="宋体"/>
          <w:color w:val="auto"/>
          <w:kern w:val="2"/>
          <w:sz w:val="28"/>
          <w:szCs w:val="28"/>
          <w:highlight w:val="none"/>
          <w:u w:val="single"/>
        </w:rPr>
      </w:pPr>
      <w:r>
        <w:rPr>
          <w:rFonts w:hint="eastAsia" w:ascii="宋体" w:hAnsi="宋体" w:eastAsia="宋体" w:cs="宋体"/>
          <w:color w:val="auto"/>
          <w:kern w:val="2"/>
          <w:sz w:val="28"/>
          <w:szCs w:val="28"/>
          <w:highlight w:val="none"/>
        </w:rPr>
        <w:t xml:space="preserve">      发  包  人： </w:t>
      </w:r>
      <w:r>
        <w:rPr>
          <w:rFonts w:hint="eastAsia" w:ascii="宋体" w:hAnsi="宋体" w:eastAsia="宋体" w:cs="宋体"/>
          <w:color w:val="auto"/>
          <w:kern w:val="2"/>
          <w:sz w:val="28"/>
          <w:szCs w:val="28"/>
          <w:highlight w:val="none"/>
          <w:u w:val="single"/>
        </w:rPr>
        <w:t xml:space="preserve">     广州市增城区新塘镇人民政府      </w:t>
      </w:r>
    </w:p>
    <w:p w14:paraId="33A786D9">
      <w:pPr>
        <w:widowControl w:val="0"/>
        <w:kinsoku/>
        <w:autoSpaceDE/>
        <w:autoSpaceDN/>
        <w:spacing w:line="360" w:lineRule="auto"/>
        <w:ind w:firstLine="840" w:firstLineChars="300"/>
        <w:jc w:val="both"/>
        <w:rPr>
          <w:rFonts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rPr>
        <w:t xml:space="preserve">勘  察  人： </w:t>
      </w:r>
      <w:r>
        <w:rPr>
          <w:rFonts w:hint="eastAsia" w:ascii="宋体" w:hAnsi="宋体" w:eastAsia="宋体" w:cs="宋体"/>
          <w:color w:val="auto"/>
          <w:kern w:val="2"/>
          <w:sz w:val="28"/>
          <w:szCs w:val="28"/>
          <w:highlight w:val="none"/>
          <w:u w:val="single"/>
        </w:rPr>
        <w:t xml:space="preserve">                                     </w:t>
      </w:r>
    </w:p>
    <w:p w14:paraId="798F742E">
      <w:pPr>
        <w:widowControl w:val="0"/>
        <w:kinsoku/>
        <w:autoSpaceDE/>
        <w:autoSpaceDN/>
        <w:spacing w:line="360" w:lineRule="auto"/>
        <w:ind w:firstLine="840" w:firstLineChars="300"/>
        <w:jc w:val="both"/>
        <w:rPr>
          <w:rFonts w:ascii="宋体" w:hAnsi="宋体" w:eastAsia="宋体" w:cs="宋体"/>
          <w:color w:val="auto"/>
          <w:kern w:val="2"/>
          <w:sz w:val="28"/>
          <w:szCs w:val="28"/>
          <w:highlight w:val="none"/>
          <w:u w:val="single"/>
        </w:rPr>
      </w:pPr>
      <w:r>
        <w:rPr>
          <w:rFonts w:hint="eastAsia" w:ascii="宋体" w:hAnsi="宋体" w:eastAsia="宋体" w:cs="宋体"/>
          <w:color w:val="auto"/>
          <w:kern w:val="2"/>
          <w:sz w:val="28"/>
          <w:szCs w:val="28"/>
          <w:highlight w:val="none"/>
        </w:rPr>
        <w:t xml:space="preserve">设  计  人： </w:t>
      </w:r>
      <w:r>
        <w:rPr>
          <w:rFonts w:hint="eastAsia" w:ascii="宋体" w:hAnsi="宋体" w:eastAsia="宋体" w:cs="宋体"/>
          <w:color w:val="auto"/>
          <w:kern w:val="2"/>
          <w:sz w:val="28"/>
          <w:szCs w:val="28"/>
          <w:highlight w:val="none"/>
          <w:u w:val="single"/>
        </w:rPr>
        <w:t xml:space="preserve">                                     </w:t>
      </w:r>
    </w:p>
    <w:p w14:paraId="2C8539B5">
      <w:pPr>
        <w:widowControl w:val="0"/>
        <w:kinsoku/>
        <w:autoSpaceDE/>
        <w:autoSpaceDN/>
        <w:spacing w:line="360" w:lineRule="auto"/>
        <w:jc w:val="both"/>
        <w:rPr>
          <w:rFonts w:ascii="宋体" w:hAnsi="宋体" w:eastAsia="宋体" w:cs="宋体"/>
          <w:color w:val="auto"/>
          <w:kern w:val="2"/>
          <w:sz w:val="28"/>
          <w:szCs w:val="28"/>
          <w:highlight w:val="none"/>
          <w:u w:val="single"/>
        </w:rPr>
      </w:pPr>
      <w:r>
        <w:rPr>
          <w:rFonts w:hint="eastAsia" w:ascii="宋体" w:hAnsi="宋体" w:eastAsia="宋体" w:cs="宋体"/>
          <w:color w:val="auto"/>
          <w:kern w:val="2"/>
          <w:sz w:val="28"/>
          <w:szCs w:val="28"/>
          <w:highlight w:val="none"/>
        </w:rPr>
        <w:t xml:space="preserve">      合同签订日期：</w:t>
      </w:r>
      <w:r>
        <w:rPr>
          <w:rFonts w:hint="eastAsia" w:ascii="宋体" w:hAnsi="宋体" w:eastAsia="宋体" w:cs="宋体"/>
          <w:color w:val="auto"/>
          <w:kern w:val="2"/>
          <w:sz w:val="28"/>
          <w:szCs w:val="28"/>
          <w:highlight w:val="none"/>
          <w:u w:val="single"/>
        </w:rPr>
        <w:t xml:space="preserve">     年  月  日        </w:t>
      </w:r>
    </w:p>
    <w:p w14:paraId="4186A037">
      <w:pPr>
        <w:widowControl w:val="0"/>
        <w:kinsoku/>
        <w:autoSpaceDE/>
        <w:autoSpaceDN/>
        <w:snapToGrid/>
        <w:spacing w:line="360" w:lineRule="auto"/>
        <w:jc w:val="both"/>
        <w:rPr>
          <w:rFonts w:ascii="宋体" w:hAnsi="宋体" w:eastAsia="宋体" w:cs="宋体"/>
          <w:color w:val="auto"/>
          <w:kern w:val="2"/>
          <w:sz w:val="28"/>
          <w:szCs w:val="28"/>
          <w:highlight w:val="none"/>
          <w:u w:val="single"/>
        </w:rPr>
      </w:pPr>
      <w:r>
        <w:rPr>
          <w:rFonts w:hint="eastAsia" w:ascii="宋体" w:hAnsi="宋体" w:eastAsia="宋体" w:cs="宋体"/>
          <w:color w:val="auto"/>
          <w:kern w:val="2"/>
          <w:sz w:val="28"/>
          <w:szCs w:val="28"/>
          <w:highlight w:val="none"/>
        </w:rPr>
        <w:t xml:space="preserve">      签 订 地 点：</w:t>
      </w:r>
      <w:r>
        <w:rPr>
          <w:rFonts w:hint="eastAsia" w:ascii="宋体" w:hAnsi="宋体" w:eastAsia="宋体" w:cs="宋体"/>
          <w:color w:val="auto"/>
          <w:kern w:val="2"/>
          <w:sz w:val="28"/>
          <w:szCs w:val="28"/>
          <w:highlight w:val="none"/>
          <w:u w:val="single"/>
        </w:rPr>
        <w:t xml:space="preserve">  广州市增城区新塘镇   </w:t>
      </w:r>
    </w:p>
    <w:p w14:paraId="760FD118">
      <w:pPr>
        <w:widowControl w:val="0"/>
        <w:kinsoku/>
        <w:autoSpaceDE/>
        <w:autoSpaceDN/>
        <w:snapToGrid/>
        <w:spacing w:line="480" w:lineRule="exact"/>
        <w:jc w:val="center"/>
        <w:rPr>
          <w:rFonts w:ascii="宋体" w:hAnsi="宋体" w:eastAsia="宋体"/>
          <w:color w:val="auto"/>
          <w:kern w:val="2"/>
          <w:szCs w:val="24"/>
          <w:highlight w:val="none"/>
        </w:rPr>
      </w:pPr>
    </w:p>
    <w:p w14:paraId="7F509803">
      <w:pPr>
        <w:kinsoku/>
        <w:wordWrap w:val="0"/>
        <w:topLinePunct/>
        <w:autoSpaceDE/>
        <w:autoSpaceDN/>
        <w:adjustRightInd w:val="0"/>
        <w:spacing w:line="480" w:lineRule="exact"/>
        <w:jc w:val="center"/>
        <w:rPr>
          <w:rFonts w:ascii="仿宋_GB2312" w:hAnsi="宋体" w:eastAsia="仿宋_GB2312"/>
          <w:b/>
          <w:color w:val="auto"/>
          <w:kern w:val="2"/>
          <w:sz w:val="44"/>
          <w:szCs w:val="44"/>
          <w:highlight w:val="none"/>
          <w:u w:val="single"/>
        </w:rPr>
      </w:pPr>
    </w:p>
    <w:p w14:paraId="07269ED1">
      <w:pPr>
        <w:kinsoku/>
        <w:wordWrap w:val="0"/>
        <w:topLinePunct/>
        <w:autoSpaceDE/>
        <w:autoSpaceDN/>
        <w:adjustRightInd w:val="0"/>
        <w:spacing w:line="480" w:lineRule="exact"/>
        <w:jc w:val="center"/>
        <w:rPr>
          <w:rFonts w:ascii="仿宋_GB2312" w:hAnsi="宋体" w:eastAsia="仿宋_GB2312"/>
          <w:b/>
          <w:color w:val="auto"/>
          <w:kern w:val="2"/>
          <w:sz w:val="44"/>
          <w:szCs w:val="44"/>
          <w:highlight w:val="none"/>
          <w:u w:val="single"/>
        </w:rPr>
      </w:pPr>
    </w:p>
    <w:p w14:paraId="7D558790">
      <w:pPr>
        <w:kinsoku/>
        <w:wordWrap w:val="0"/>
        <w:topLinePunct/>
        <w:autoSpaceDE/>
        <w:autoSpaceDN/>
        <w:adjustRightInd w:val="0"/>
        <w:spacing w:line="480" w:lineRule="exact"/>
        <w:jc w:val="center"/>
        <w:rPr>
          <w:rFonts w:ascii="宋体" w:hAnsi="宋体" w:eastAsia="宋体" w:cs="宋体"/>
          <w:b/>
          <w:bCs/>
          <w:color w:val="auto"/>
          <w:spacing w:val="110"/>
          <w:kern w:val="2"/>
          <w:sz w:val="44"/>
          <w:szCs w:val="44"/>
          <w:highlight w:val="none"/>
        </w:rPr>
      </w:pPr>
      <w:r>
        <w:rPr>
          <w:rFonts w:hint="eastAsia" w:ascii="宋体" w:hAnsi="宋体" w:eastAsia="宋体" w:cs="宋体"/>
          <w:b/>
          <w:bCs/>
          <w:color w:val="auto"/>
          <w:spacing w:val="110"/>
          <w:kern w:val="2"/>
          <w:sz w:val="44"/>
          <w:szCs w:val="44"/>
          <w:highlight w:val="none"/>
        </w:rPr>
        <w:t>一、协议书</w:t>
      </w:r>
    </w:p>
    <w:p w14:paraId="65C46D0B">
      <w:pPr>
        <w:kinsoku/>
        <w:wordWrap w:val="0"/>
        <w:topLinePunct/>
        <w:autoSpaceDE/>
        <w:autoSpaceDN/>
        <w:adjustRightInd w:val="0"/>
        <w:spacing w:line="480" w:lineRule="exact"/>
        <w:jc w:val="both"/>
        <w:rPr>
          <w:rFonts w:ascii="宋体" w:hAnsi="宋体" w:eastAsia="宋体" w:cs="宋体"/>
          <w:color w:val="auto"/>
          <w:kern w:val="2"/>
          <w:szCs w:val="24"/>
          <w:highlight w:val="none"/>
        </w:rPr>
      </w:pPr>
    </w:p>
    <w:p w14:paraId="036A861D">
      <w:pPr>
        <w:kinsoku/>
        <w:wordWrap w:val="0"/>
        <w:topLinePunct/>
        <w:autoSpaceDE/>
        <w:autoSpaceDN/>
        <w:adjustRightInd w:val="0"/>
        <w:spacing w:line="480" w:lineRule="auto"/>
        <w:ind w:left="2" w:leftChars="1" w:firstLine="480" w:firstLineChars="200"/>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发包人</w:t>
      </w:r>
      <w:r>
        <w:rPr>
          <w:rFonts w:hint="eastAsia" w:ascii="宋体" w:hAnsi="宋体" w:eastAsia="宋体" w:cs="宋体"/>
          <w:color w:val="auto"/>
          <w:kern w:val="2"/>
          <w:sz w:val="24"/>
          <w:szCs w:val="24"/>
          <w:highlight w:val="none"/>
          <w:u w:val="single"/>
        </w:rPr>
        <w:t>广州市增城区新塘镇人民政府</w:t>
      </w:r>
      <w:r>
        <w:rPr>
          <w:rFonts w:hint="eastAsia" w:ascii="宋体" w:hAnsi="宋体" w:eastAsia="宋体" w:cs="宋体"/>
          <w:color w:val="auto"/>
          <w:kern w:val="2"/>
          <w:sz w:val="24"/>
          <w:szCs w:val="24"/>
          <w:highlight w:val="none"/>
        </w:rPr>
        <w:t>与设计人</w:t>
      </w:r>
      <w:r>
        <w:rPr>
          <w:rFonts w:hint="eastAsia" w:ascii="宋体" w:hAnsi="宋体" w:eastAsia="宋体" w:cs="宋体"/>
          <w:color w:val="auto"/>
          <w:kern w:val="2"/>
          <w:sz w:val="28"/>
          <w:szCs w:val="28"/>
          <w:highlight w:val="none"/>
          <w:u w:val="single"/>
        </w:rPr>
        <w:t xml:space="preserve">           </w:t>
      </w:r>
      <w:r>
        <w:rPr>
          <w:rFonts w:hint="eastAsia" w:ascii="宋体" w:hAnsi="宋体" w:eastAsia="宋体" w:cs="宋体"/>
          <w:color w:val="auto"/>
          <w:kern w:val="2"/>
          <w:sz w:val="24"/>
          <w:szCs w:val="24"/>
          <w:highlight w:val="none"/>
        </w:rPr>
        <w:t xml:space="preserve"> 经过双方协商一致，签订本合同。</w:t>
      </w:r>
    </w:p>
    <w:p w14:paraId="1DFE13EC">
      <w:pPr>
        <w:kinsoku/>
        <w:wordWrap w:val="0"/>
        <w:topLinePunct/>
        <w:autoSpaceDE/>
        <w:autoSpaceDN/>
        <w:adjustRightInd w:val="0"/>
        <w:spacing w:line="480" w:lineRule="auto"/>
        <w:ind w:firstLine="360" w:firstLineChars="150"/>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一、下列文件均为本合同的组成部分。</w:t>
      </w:r>
    </w:p>
    <w:p w14:paraId="3A9E580E">
      <w:pPr>
        <w:kinsoku/>
        <w:wordWrap w:val="0"/>
        <w:topLinePunct/>
        <w:autoSpaceDE/>
        <w:autoSpaceDN/>
        <w:adjustRightInd w:val="0"/>
        <w:spacing w:line="480" w:lineRule="auto"/>
        <w:ind w:firstLine="360" w:firstLineChars="150"/>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（1）中标通知书；</w:t>
      </w:r>
    </w:p>
    <w:p w14:paraId="1546B410">
      <w:pPr>
        <w:kinsoku/>
        <w:wordWrap w:val="0"/>
        <w:topLinePunct/>
        <w:autoSpaceDE/>
        <w:autoSpaceDN/>
        <w:adjustRightInd w:val="0"/>
        <w:spacing w:line="480" w:lineRule="auto"/>
        <w:ind w:firstLine="360" w:firstLineChars="150"/>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（2）协议书；</w:t>
      </w:r>
    </w:p>
    <w:p w14:paraId="453E0A09">
      <w:pPr>
        <w:kinsoku/>
        <w:wordWrap w:val="0"/>
        <w:topLinePunct/>
        <w:autoSpaceDE/>
        <w:autoSpaceDN/>
        <w:adjustRightInd w:val="0"/>
        <w:spacing w:line="480" w:lineRule="auto"/>
        <w:ind w:firstLine="360" w:firstLineChars="150"/>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（3）设计合同；</w:t>
      </w:r>
    </w:p>
    <w:p w14:paraId="58B2135D">
      <w:pPr>
        <w:kinsoku/>
        <w:wordWrap w:val="0"/>
        <w:topLinePunct/>
        <w:autoSpaceDE/>
        <w:autoSpaceDN/>
        <w:adjustRightInd w:val="0"/>
        <w:spacing w:line="480" w:lineRule="auto"/>
        <w:ind w:firstLine="360" w:firstLineChars="150"/>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（4）建设工程勘察设计廉政责任书合同；</w:t>
      </w:r>
    </w:p>
    <w:p w14:paraId="24243D3F">
      <w:pPr>
        <w:kinsoku/>
        <w:wordWrap w:val="0"/>
        <w:topLinePunct/>
        <w:autoSpaceDE/>
        <w:autoSpaceDN/>
        <w:adjustRightInd w:val="0"/>
        <w:spacing w:line="480" w:lineRule="auto"/>
        <w:ind w:firstLine="360" w:firstLineChars="150"/>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（5）在实施过程中双方共同签署的补充与修正文件。</w:t>
      </w:r>
    </w:p>
    <w:p w14:paraId="7E763780">
      <w:pPr>
        <w:kinsoku/>
        <w:wordWrap w:val="0"/>
        <w:topLinePunct/>
        <w:autoSpaceDE/>
        <w:autoSpaceDN/>
        <w:adjustRightInd w:val="0"/>
        <w:spacing w:line="480" w:lineRule="auto"/>
        <w:ind w:firstLine="482"/>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二、本合同暂定价款</w:t>
      </w:r>
      <w:r>
        <w:rPr>
          <w:rFonts w:hint="eastAsia" w:ascii="宋体" w:hAnsi="宋体" w:eastAsia="宋体" w:cs="宋体"/>
          <w:color w:val="auto"/>
          <w:kern w:val="2"/>
          <w:sz w:val="28"/>
          <w:szCs w:val="28"/>
          <w:highlight w:val="none"/>
          <w:u w:val="single"/>
        </w:rPr>
        <w:t xml:space="preserve">      </w:t>
      </w:r>
      <w:r>
        <w:rPr>
          <w:rFonts w:hint="eastAsia" w:ascii="宋体" w:hAnsi="宋体" w:eastAsia="宋体" w:cs="宋体"/>
          <w:color w:val="auto"/>
          <w:kern w:val="2"/>
          <w:sz w:val="24"/>
          <w:szCs w:val="24"/>
          <w:highlight w:val="none"/>
        </w:rPr>
        <w:t>万元。</w:t>
      </w:r>
    </w:p>
    <w:p w14:paraId="791E18DD">
      <w:pPr>
        <w:widowControl w:val="0"/>
        <w:kinsoku/>
        <w:autoSpaceDE/>
        <w:autoSpaceDN/>
        <w:snapToGrid/>
        <w:spacing w:line="480" w:lineRule="auto"/>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xml:space="preserve">    三、如本合同需缴纳合同印花税，勘察、设计人需在有关税务部门规定期限及结清本合同费用前，按规定缴纳全部费用，全部费用由设计人承担。</w:t>
      </w:r>
    </w:p>
    <w:p w14:paraId="11660AE0">
      <w:pPr>
        <w:kinsoku/>
        <w:wordWrap w:val="0"/>
        <w:topLinePunct/>
        <w:autoSpaceDE/>
        <w:autoSpaceDN/>
        <w:adjustRightInd w:val="0"/>
        <w:spacing w:line="480" w:lineRule="auto"/>
        <w:ind w:firstLine="480" w:firstLineChars="200"/>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四、本合同自发包人及设计人签字盖章后生效，发包人及设计人履行完合同约定的义务后，本合同终止。</w:t>
      </w:r>
    </w:p>
    <w:p w14:paraId="3A7886EB">
      <w:pPr>
        <w:kinsoku/>
        <w:wordWrap w:val="0"/>
        <w:topLinePunct/>
        <w:autoSpaceDE/>
        <w:autoSpaceDN/>
        <w:adjustRightInd w:val="0"/>
        <w:spacing w:line="480" w:lineRule="auto"/>
        <w:ind w:firstLine="480" w:firstLineChars="200"/>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五、本合同一式十份，各份具同等法律效力。其中正本</w:t>
      </w:r>
      <w:r>
        <w:rPr>
          <w:rFonts w:hint="eastAsia" w:ascii="宋体" w:hAnsi="宋体" w:eastAsia="宋体" w:cs="宋体"/>
          <w:color w:val="auto"/>
          <w:kern w:val="2"/>
          <w:sz w:val="28"/>
          <w:szCs w:val="28"/>
          <w:highlight w:val="none"/>
          <w:u w:val="single"/>
        </w:rPr>
        <w:t xml:space="preserve">   </w:t>
      </w:r>
      <w:r>
        <w:rPr>
          <w:rFonts w:hint="eastAsia" w:ascii="宋体" w:hAnsi="宋体" w:eastAsia="宋体" w:cs="宋体"/>
          <w:color w:val="auto"/>
          <w:kern w:val="2"/>
          <w:sz w:val="24"/>
          <w:szCs w:val="24"/>
          <w:highlight w:val="none"/>
        </w:rPr>
        <w:t>份，双方各执</w:t>
      </w:r>
      <w:r>
        <w:rPr>
          <w:rFonts w:hint="eastAsia" w:ascii="宋体" w:hAnsi="宋体" w:eastAsia="宋体" w:cs="宋体"/>
          <w:color w:val="auto"/>
          <w:kern w:val="2"/>
          <w:sz w:val="28"/>
          <w:szCs w:val="28"/>
          <w:highlight w:val="none"/>
          <w:u w:val="single"/>
        </w:rPr>
        <w:t xml:space="preserve">   </w:t>
      </w:r>
      <w:r>
        <w:rPr>
          <w:rFonts w:hint="eastAsia" w:ascii="宋体" w:hAnsi="宋体" w:eastAsia="宋体" w:cs="宋体"/>
          <w:color w:val="auto"/>
          <w:kern w:val="2"/>
          <w:sz w:val="24"/>
          <w:szCs w:val="24"/>
          <w:highlight w:val="none"/>
        </w:rPr>
        <w:t>份；副本</w:t>
      </w:r>
      <w:r>
        <w:rPr>
          <w:rFonts w:hint="eastAsia" w:ascii="宋体" w:hAnsi="宋体" w:eastAsia="宋体" w:cs="宋体"/>
          <w:color w:val="auto"/>
          <w:kern w:val="2"/>
          <w:sz w:val="28"/>
          <w:szCs w:val="28"/>
          <w:highlight w:val="none"/>
          <w:u w:val="single"/>
        </w:rPr>
        <w:t xml:space="preserve">   </w:t>
      </w:r>
      <w:r>
        <w:rPr>
          <w:rFonts w:hint="eastAsia" w:ascii="宋体" w:hAnsi="宋体" w:eastAsia="宋体" w:cs="宋体"/>
          <w:color w:val="auto"/>
          <w:kern w:val="2"/>
          <w:sz w:val="24"/>
          <w:szCs w:val="24"/>
          <w:highlight w:val="none"/>
        </w:rPr>
        <w:t>份，发包人（建设单位）</w:t>
      </w:r>
      <w:r>
        <w:rPr>
          <w:rFonts w:hint="eastAsia" w:ascii="宋体" w:hAnsi="宋体" w:eastAsia="宋体" w:cs="宋体"/>
          <w:color w:val="auto"/>
          <w:kern w:val="2"/>
          <w:sz w:val="28"/>
          <w:szCs w:val="28"/>
          <w:highlight w:val="none"/>
          <w:u w:val="single"/>
        </w:rPr>
        <w:t xml:space="preserve">   </w:t>
      </w:r>
      <w:r>
        <w:rPr>
          <w:rFonts w:hint="eastAsia" w:ascii="宋体" w:hAnsi="宋体" w:eastAsia="宋体" w:cs="宋体"/>
          <w:color w:val="auto"/>
          <w:kern w:val="2"/>
          <w:sz w:val="24"/>
          <w:szCs w:val="24"/>
          <w:highlight w:val="none"/>
        </w:rPr>
        <w:t>份，设计人执</w:t>
      </w:r>
      <w:r>
        <w:rPr>
          <w:rFonts w:hint="eastAsia" w:ascii="宋体" w:hAnsi="宋体" w:eastAsia="宋体" w:cs="宋体"/>
          <w:color w:val="auto"/>
          <w:kern w:val="2"/>
          <w:sz w:val="28"/>
          <w:szCs w:val="28"/>
          <w:highlight w:val="none"/>
          <w:u w:val="single"/>
        </w:rPr>
        <w:t xml:space="preserve">   </w:t>
      </w:r>
      <w:r>
        <w:rPr>
          <w:rFonts w:hint="eastAsia" w:ascii="宋体" w:hAnsi="宋体" w:eastAsia="宋体" w:cs="宋体"/>
          <w:color w:val="auto"/>
          <w:kern w:val="2"/>
          <w:sz w:val="24"/>
          <w:szCs w:val="24"/>
          <w:highlight w:val="none"/>
        </w:rPr>
        <w:t>份。</w:t>
      </w:r>
    </w:p>
    <w:p w14:paraId="6E13DC51">
      <w:pPr>
        <w:kinsoku/>
        <w:wordWrap w:val="0"/>
        <w:topLinePunct/>
        <w:autoSpaceDE/>
        <w:autoSpaceDN/>
        <w:adjustRightInd w:val="0"/>
        <w:spacing w:line="480" w:lineRule="exact"/>
        <w:ind w:firstLine="480" w:firstLineChars="200"/>
        <w:jc w:val="both"/>
        <w:rPr>
          <w:rFonts w:ascii="宋体" w:hAnsi="宋体" w:eastAsia="宋体" w:cs="宋体"/>
          <w:color w:val="auto"/>
          <w:kern w:val="2"/>
          <w:sz w:val="24"/>
          <w:szCs w:val="24"/>
          <w:highlight w:val="none"/>
        </w:rPr>
      </w:pPr>
    </w:p>
    <w:p w14:paraId="0D2024E3">
      <w:pPr>
        <w:kinsoku/>
        <w:wordWrap w:val="0"/>
        <w:topLinePunct/>
        <w:autoSpaceDE/>
        <w:autoSpaceDN/>
        <w:adjustRightInd w:val="0"/>
        <w:spacing w:line="480" w:lineRule="exact"/>
        <w:jc w:val="both"/>
        <w:rPr>
          <w:rFonts w:ascii="宋体" w:hAnsi="宋体" w:eastAsia="宋体" w:cs="宋体"/>
          <w:color w:val="auto"/>
          <w:kern w:val="2"/>
          <w:szCs w:val="24"/>
          <w:highlight w:val="none"/>
        </w:rPr>
      </w:pPr>
    </w:p>
    <w:p w14:paraId="307F828E">
      <w:pPr>
        <w:kinsoku/>
        <w:wordWrap w:val="0"/>
        <w:topLinePunct/>
        <w:autoSpaceDE/>
        <w:autoSpaceDN/>
        <w:adjustRightInd w:val="0"/>
        <w:spacing w:line="480" w:lineRule="exact"/>
        <w:jc w:val="both"/>
        <w:rPr>
          <w:rFonts w:ascii="宋体" w:hAnsi="宋体" w:eastAsia="宋体" w:cs="宋体"/>
          <w:color w:val="auto"/>
          <w:kern w:val="2"/>
          <w:highlight w:val="none"/>
        </w:rPr>
      </w:pPr>
    </w:p>
    <w:p w14:paraId="380E709B">
      <w:pPr>
        <w:kinsoku/>
        <w:wordWrap w:val="0"/>
        <w:topLinePunct/>
        <w:autoSpaceDE/>
        <w:autoSpaceDN/>
        <w:adjustRightInd w:val="0"/>
        <w:spacing w:line="480" w:lineRule="exact"/>
        <w:jc w:val="both"/>
        <w:rPr>
          <w:rFonts w:ascii="宋体" w:hAnsi="宋体" w:eastAsia="宋体" w:cs="宋体"/>
          <w:color w:val="auto"/>
          <w:kern w:val="2"/>
          <w:highlight w:val="none"/>
        </w:rPr>
      </w:pPr>
    </w:p>
    <w:p w14:paraId="574F10F7">
      <w:pPr>
        <w:kinsoku/>
        <w:wordWrap w:val="0"/>
        <w:topLinePunct/>
        <w:autoSpaceDE/>
        <w:autoSpaceDN/>
        <w:adjustRightInd w:val="0"/>
        <w:spacing w:line="480" w:lineRule="exact"/>
        <w:jc w:val="both"/>
        <w:rPr>
          <w:rFonts w:ascii="宋体" w:hAnsi="宋体" w:eastAsia="宋体" w:cs="宋体"/>
          <w:color w:val="auto"/>
          <w:kern w:val="2"/>
          <w:highlight w:val="none"/>
        </w:rPr>
      </w:pPr>
    </w:p>
    <w:p w14:paraId="25816BD5">
      <w:pPr>
        <w:kinsoku/>
        <w:wordWrap w:val="0"/>
        <w:topLinePunct/>
        <w:autoSpaceDE/>
        <w:autoSpaceDN/>
        <w:adjustRightInd w:val="0"/>
        <w:spacing w:line="480" w:lineRule="exact"/>
        <w:jc w:val="both"/>
        <w:rPr>
          <w:rFonts w:ascii="宋体" w:hAnsi="宋体" w:eastAsia="宋体" w:cs="宋体"/>
          <w:color w:val="auto"/>
          <w:kern w:val="2"/>
          <w:highlight w:val="none"/>
        </w:rPr>
      </w:pPr>
    </w:p>
    <w:p w14:paraId="24A18854">
      <w:pPr>
        <w:widowControl w:val="0"/>
        <w:kinsoku/>
        <w:autoSpaceDE/>
        <w:autoSpaceDN/>
        <w:snapToGrid/>
        <w:jc w:val="both"/>
        <w:rPr>
          <w:rFonts w:ascii="宋体" w:hAnsi="宋体" w:eastAsia="宋体" w:cs="宋体"/>
          <w:color w:val="auto"/>
          <w:kern w:val="2"/>
          <w:highlight w:val="none"/>
        </w:rPr>
      </w:pPr>
      <w:r>
        <w:rPr>
          <w:rFonts w:hint="eastAsia" w:ascii="宋体" w:hAnsi="宋体" w:eastAsia="宋体" w:cs="宋体"/>
          <w:color w:val="auto"/>
          <w:kern w:val="2"/>
          <w:highlight w:val="none"/>
        </w:rPr>
        <w:t>（本页无正文）</w:t>
      </w:r>
    </w:p>
    <w:p w14:paraId="001BC9EC">
      <w:pPr>
        <w:widowControl w:val="0"/>
        <w:kinsoku/>
        <w:autoSpaceDE/>
        <w:autoSpaceDN/>
        <w:snapToGrid/>
        <w:ind w:firstLine="420" w:firstLineChars="200"/>
        <w:jc w:val="both"/>
        <w:rPr>
          <w:rFonts w:ascii="宋体" w:hAnsi="宋体" w:eastAsia="宋体" w:cs="宋体"/>
          <w:color w:val="auto"/>
          <w:kern w:val="2"/>
          <w:highlight w:val="none"/>
        </w:rPr>
      </w:pPr>
    </w:p>
    <w:p w14:paraId="533B921A">
      <w:pPr>
        <w:kinsoku/>
        <w:wordWrap w:val="0"/>
        <w:topLinePunct/>
        <w:autoSpaceDE/>
        <w:autoSpaceDN/>
        <w:adjustRightInd w:val="0"/>
        <w:spacing w:line="480" w:lineRule="exact"/>
        <w:jc w:val="both"/>
        <w:rPr>
          <w:rFonts w:ascii="宋体" w:hAnsi="宋体" w:eastAsia="宋体" w:cs="宋体"/>
          <w:color w:val="auto"/>
          <w:kern w:val="2"/>
          <w:highlight w:val="none"/>
        </w:rPr>
      </w:pPr>
    </w:p>
    <w:p w14:paraId="56978DE8">
      <w:pPr>
        <w:kinsoku/>
        <w:wordWrap w:val="0"/>
        <w:topLinePunct/>
        <w:autoSpaceDE/>
        <w:autoSpaceDN/>
        <w:adjustRightInd w:val="0"/>
        <w:spacing w:line="480" w:lineRule="exact"/>
        <w:jc w:val="both"/>
        <w:rPr>
          <w:rFonts w:ascii="宋体" w:hAnsi="宋体" w:eastAsia="宋体" w:cs="宋体"/>
          <w:color w:val="auto"/>
          <w:kern w:val="2"/>
          <w:highlight w:val="none"/>
        </w:rPr>
      </w:pPr>
    </w:p>
    <w:p w14:paraId="0F5D163F">
      <w:pPr>
        <w:widowControl w:val="0"/>
        <w:kinsoku/>
        <w:autoSpaceDE/>
        <w:autoSpaceDN/>
        <w:snapToGrid/>
        <w:jc w:val="both"/>
        <w:rPr>
          <w:rFonts w:ascii="宋体" w:hAnsi="宋体" w:eastAsia="宋体" w:cs="宋体"/>
          <w:color w:val="auto"/>
          <w:kern w:val="2"/>
          <w:highlight w:val="none"/>
        </w:rPr>
      </w:pPr>
    </w:p>
    <w:p w14:paraId="055EE377">
      <w:pPr>
        <w:kinsoku/>
        <w:wordWrap w:val="0"/>
        <w:topLinePunct/>
        <w:autoSpaceDE/>
        <w:autoSpaceDN/>
        <w:adjustRightInd w:val="0"/>
        <w:spacing w:line="360" w:lineRule="auto"/>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发  包  人：                          设计人：</w:t>
      </w:r>
    </w:p>
    <w:p w14:paraId="2A6F46DF">
      <w:pPr>
        <w:widowControl w:val="0"/>
        <w:kinsoku/>
        <w:autoSpaceDE/>
        <w:autoSpaceDN/>
        <w:spacing w:line="360" w:lineRule="auto"/>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xml:space="preserve">                              </w:t>
      </w:r>
    </w:p>
    <w:p w14:paraId="41790B6E">
      <w:pPr>
        <w:widowControl w:val="0"/>
        <w:kinsoku/>
        <w:autoSpaceDE/>
        <w:autoSpaceDN/>
        <w:spacing w:line="360" w:lineRule="auto"/>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xml:space="preserve">           （盖章）                         （盖章）</w:t>
      </w:r>
    </w:p>
    <w:p w14:paraId="08FDFAB9">
      <w:pPr>
        <w:widowControl w:val="0"/>
        <w:kinsoku/>
        <w:autoSpaceDE/>
        <w:autoSpaceDN/>
        <w:jc w:val="both"/>
        <w:rPr>
          <w:rFonts w:ascii="宋体" w:hAnsi="宋体" w:eastAsia="宋体" w:cs="宋体"/>
          <w:color w:val="auto"/>
          <w:kern w:val="2"/>
          <w:sz w:val="24"/>
          <w:szCs w:val="24"/>
          <w:highlight w:val="none"/>
        </w:rPr>
      </w:pPr>
    </w:p>
    <w:p w14:paraId="79477E05">
      <w:pPr>
        <w:kinsoku/>
        <w:wordWrap w:val="0"/>
        <w:topLinePunct/>
        <w:autoSpaceDE/>
        <w:autoSpaceDN/>
        <w:adjustRightInd w:val="0"/>
        <w:spacing w:line="360" w:lineRule="auto"/>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住  所：                              住 所：</w:t>
      </w:r>
    </w:p>
    <w:p w14:paraId="754FBC69">
      <w:pPr>
        <w:kinsoku/>
        <w:wordWrap w:val="0"/>
        <w:topLinePunct/>
        <w:autoSpaceDE/>
        <w:autoSpaceDN/>
        <w:adjustRightInd w:val="0"/>
        <w:spacing w:line="360" w:lineRule="auto"/>
        <w:ind w:left="5102" w:hanging="5102" w:hangingChars="2126"/>
        <w:jc w:val="both"/>
        <w:rPr>
          <w:rFonts w:ascii="宋体" w:hAnsi="宋体" w:eastAsia="宋体" w:cs="宋体"/>
          <w:color w:val="auto"/>
          <w:kern w:val="2"/>
          <w:sz w:val="24"/>
          <w:szCs w:val="24"/>
          <w:highlight w:val="none"/>
        </w:rPr>
      </w:pPr>
    </w:p>
    <w:p w14:paraId="7F6BDA55">
      <w:pPr>
        <w:widowControl w:val="0"/>
        <w:kinsoku/>
        <w:autoSpaceDE/>
        <w:autoSpaceDN/>
        <w:spacing w:line="480" w:lineRule="auto"/>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xml:space="preserve">法定代表人：                          法定代表人：         </w:t>
      </w:r>
    </w:p>
    <w:p w14:paraId="52777820">
      <w:pPr>
        <w:widowControl w:val="0"/>
        <w:kinsoku/>
        <w:autoSpaceDE/>
        <w:autoSpaceDN/>
        <w:spacing w:line="480" w:lineRule="auto"/>
        <w:ind w:firstLine="460" w:firstLineChars="192"/>
        <w:jc w:val="both"/>
        <w:rPr>
          <w:rFonts w:ascii="宋体" w:hAnsi="宋体" w:eastAsia="宋体" w:cs="宋体"/>
          <w:color w:val="auto"/>
          <w:kern w:val="2"/>
          <w:sz w:val="24"/>
          <w:szCs w:val="24"/>
          <w:highlight w:val="none"/>
        </w:rPr>
      </w:pPr>
    </w:p>
    <w:p w14:paraId="45571137">
      <w:pPr>
        <w:widowControl w:val="0"/>
        <w:kinsoku/>
        <w:autoSpaceDE/>
        <w:autoSpaceDN/>
        <w:spacing w:line="480" w:lineRule="auto"/>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xml:space="preserve">委托代理人：                          委托代理人：       </w:t>
      </w:r>
    </w:p>
    <w:p w14:paraId="7D5DB674">
      <w:pPr>
        <w:widowControl w:val="0"/>
        <w:kinsoku/>
        <w:autoSpaceDE/>
        <w:autoSpaceDN/>
        <w:spacing w:line="480" w:lineRule="auto"/>
        <w:ind w:firstLine="460" w:firstLineChars="192"/>
        <w:jc w:val="both"/>
        <w:rPr>
          <w:rFonts w:ascii="宋体" w:hAnsi="宋体" w:eastAsia="宋体" w:cs="宋体"/>
          <w:color w:val="auto"/>
          <w:kern w:val="2"/>
          <w:sz w:val="24"/>
          <w:szCs w:val="24"/>
          <w:highlight w:val="none"/>
        </w:rPr>
      </w:pPr>
    </w:p>
    <w:p w14:paraId="7B23718A">
      <w:pPr>
        <w:kinsoku/>
        <w:wordWrap w:val="0"/>
        <w:topLinePunct/>
        <w:autoSpaceDE/>
        <w:autoSpaceDN/>
        <w:adjustRightInd w:val="0"/>
        <w:spacing w:line="480" w:lineRule="auto"/>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电    话：                            电    话：</w:t>
      </w:r>
    </w:p>
    <w:p w14:paraId="6EA79AEA">
      <w:pPr>
        <w:widowControl w:val="0"/>
        <w:kinsoku/>
        <w:autoSpaceDE/>
        <w:autoSpaceDN/>
        <w:spacing w:line="480" w:lineRule="auto"/>
        <w:ind w:firstLine="5760" w:firstLineChars="2400"/>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xml:space="preserve">            </w:t>
      </w:r>
    </w:p>
    <w:p w14:paraId="58936A57">
      <w:pPr>
        <w:kinsoku/>
        <w:wordWrap w:val="0"/>
        <w:topLinePunct/>
        <w:autoSpaceDE/>
        <w:autoSpaceDN/>
        <w:adjustRightInd w:val="0"/>
        <w:spacing w:line="480" w:lineRule="auto"/>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传    真：                            传    真：</w:t>
      </w:r>
    </w:p>
    <w:p w14:paraId="0288E58F">
      <w:pPr>
        <w:kinsoku/>
        <w:wordWrap w:val="0"/>
        <w:topLinePunct/>
        <w:autoSpaceDE/>
        <w:autoSpaceDN/>
        <w:adjustRightInd w:val="0"/>
        <w:spacing w:line="480" w:lineRule="auto"/>
        <w:jc w:val="both"/>
        <w:rPr>
          <w:rFonts w:ascii="宋体" w:hAnsi="宋体" w:eastAsia="宋体" w:cs="宋体"/>
          <w:color w:val="auto"/>
          <w:kern w:val="2"/>
          <w:sz w:val="24"/>
          <w:szCs w:val="24"/>
          <w:highlight w:val="none"/>
        </w:rPr>
      </w:pPr>
    </w:p>
    <w:p w14:paraId="2733F875">
      <w:pPr>
        <w:kinsoku/>
        <w:wordWrap w:val="0"/>
        <w:topLinePunct/>
        <w:autoSpaceDE/>
        <w:autoSpaceDN/>
        <w:adjustRightInd w:val="0"/>
        <w:spacing w:line="480" w:lineRule="exact"/>
        <w:jc w:val="both"/>
        <w:rPr>
          <w:rFonts w:ascii="宋体" w:hAnsi="宋体" w:eastAsia="宋体" w:cs="宋体"/>
          <w:b/>
          <w:color w:val="auto"/>
          <w:kern w:val="2"/>
          <w:sz w:val="44"/>
          <w:szCs w:val="44"/>
          <w:highlight w:val="none"/>
          <w:u w:val="single"/>
        </w:rPr>
      </w:pPr>
      <w:r>
        <w:rPr>
          <w:rFonts w:hint="eastAsia" w:ascii="宋体" w:hAnsi="宋体" w:eastAsia="宋体" w:cs="宋体"/>
          <w:color w:val="auto"/>
          <w:kern w:val="2"/>
          <w:sz w:val="24"/>
          <w:szCs w:val="24"/>
          <w:highlight w:val="none"/>
        </w:rPr>
        <w:t>订立时间：</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rPr>
        <w:t>年</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rPr>
        <w:t>月</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rPr>
        <w:t>日，签订地点：</w:t>
      </w:r>
      <w:r>
        <w:rPr>
          <w:rFonts w:hint="eastAsia" w:ascii="宋体" w:hAnsi="宋体" w:eastAsia="宋体" w:cs="宋体"/>
          <w:color w:val="auto"/>
          <w:kern w:val="2"/>
          <w:sz w:val="24"/>
          <w:szCs w:val="24"/>
          <w:highlight w:val="none"/>
          <w:u w:val="single"/>
        </w:rPr>
        <w:t>广州市增城区新塘镇</w:t>
      </w:r>
    </w:p>
    <w:p w14:paraId="4F45E51A">
      <w:pPr>
        <w:kinsoku/>
        <w:wordWrap w:val="0"/>
        <w:topLinePunct/>
        <w:autoSpaceDE/>
        <w:autoSpaceDN/>
        <w:adjustRightInd w:val="0"/>
        <w:spacing w:line="480" w:lineRule="exact"/>
        <w:jc w:val="center"/>
        <w:rPr>
          <w:rFonts w:ascii="宋体" w:hAnsi="宋体" w:eastAsia="宋体" w:cs="宋体"/>
          <w:b/>
          <w:color w:val="auto"/>
          <w:kern w:val="2"/>
          <w:sz w:val="44"/>
          <w:szCs w:val="44"/>
          <w:highlight w:val="none"/>
          <w:u w:val="single"/>
        </w:rPr>
      </w:pPr>
    </w:p>
    <w:p w14:paraId="2933E193">
      <w:pPr>
        <w:rPr>
          <w:rFonts w:ascii="宋体" w:hAnsi="宋体" w:eastAsia="宋体" w:cs="宋体"/>
          <w:b/>
          <w:bCs/>
          <w:color w:val="auto"/>
          <w:spacing w:val="110"/>
          <w:kern w:val="2"/>
          <w:sz w:val="44"/>
          <w:szCs w:val="44"/>
          <w:highlight w:val="none"/>
        </w:rPr>
      </w:pPr>
      <w:r>
        <w:rPr>
          <w:rFonts w:hint="eastAsia" w:ascii="宋体" w:hAnsi="宋体" w:eastAsia="宋体" w:cs="宋体"/>
          <w:b/>
          <w:bCs/>
          <w:color w:val="auto"/>
          <w:spacing w:val="110"/>
          <w:kern w:val="2"/>
          <w:sz w:val="44"/>
          <w:szCs w:val="44"/>
          <w:highlight w:val="none"/>
        </w:rPr>
        <w:br w:type="page"/>
      </w:r>
    </w:p>
    <w:p w14:paraId="5EBD7D57">
      <w:pPr>
        <w:kinsoku/>
        <w:wordWrap w:val="0"/>
        <w:topLinePunct/>
        <w:autoSpaceDE/>
        <w:autoSpaceDN/>
        <w:adjustRightInd w:val="0"/>
        <w:spacing w:line="480" w:lineRule="exact"/>
        <w:ind w:firstLine="1323" w:firstLineChars="200"/>
        <w:jc w:val="both"/>
        <w:rPr>
          <w:rFonts w:ascii="宋体" w:hAnsi="宋体" w:eastAsia="宋体" w:cs="宋体"/>
          <w:b/>
          <w:bCs/>
          <w:color w:val="auto"/>
          <w:spacing w:val="110"/>
          <w:kern w:val="2"/>
          <w:sz w:val="44"/>
          <w:szCs w:val="44"/>
          <w:highlight w:val="none"/>
        </w:rPr>
      </w:pPr>
      <w:r>
        <w:rPr>
          <w:rFonts w:hint="eastAsia" w:ascii="宋体" w:hAnsi="宋体" w:eastAsia="宋体" w:cs="宋体"/>
          <w:b/>
          <w:bCs/>
          <w:color w:val="auto"/>
          <w:spacing w:val="110"/>
          <w:kern w:val="2"/>
          <w:sz w:val="44"/>
          <w:szCs w:val="44"/>
          <w:highlight w:val="none"/>
        </w:rPr>
        <w:t>二、设计合同</w:t>
      </w:r>
    </w:p>
    <w:p w14:paraId="405C7CE4">
      <w:pPr>
        <w:kinsoku/>
        <w:wordWrap w:val="0"/>
        <w:topLinePunct/>
        <w:autoSpaceDE/>
        <w:autoSpaceDN/>
        <w:adjustRightInd w:val="0"/>
        <w:spacing w:line="480" w:lineRule="exact"/>
        <w:jc w:val="center"/>
        <w:rPr>
          <w:rFonts w:ascii="宋体" w:hAnsi="宋体" w:eastAsia="宋体" w:cs="宋体"/>
          <w:color w:val="auto"/>
          <w:kern w:val="2"/>
          <w:sz w:val="24"/>
          <w:szCs w:val="24"/>
          <w:highlight w:val="none"/>
        </w:rPr>
      </w:pPr>
    </w:p>
    <w:p w14:paraId="3875FFE1">
      <w:pPr>
        <w:kinsoku/>
        <w:wordWrap w:val="0"/>
        <w:topLinePunct/>
        <w:autoSpaceDE/>
        <w:autoSpaceDN/>
        <w:adjustRightInd w:val="0"/>
        <w:spacing w:line="480" w:lineRule="exact"/>
        <w:jc w:val="both"/>
        <w:rPr>
          <w:rFonts w:ascii="宋体" w:hAnsi="宋体" w:eastAsia="宋体" w:cs="宋体"/>
          <w:color w:val="auto"/>
          <w:kern w:val="2"/>
          <w:szCs w:val="24"/>
          <w:highlight w:val="none"/>
        </w:rPr>
      </w:pPr>
    </w:p>
    <w:tbl>
      <w:tblPr>
        <w:tblStyle w:val="19"/>
        <w:tblW w:w="6912" w:type="dxa"/>
        <w:jc w:val="center"/>
        <w:tblLayout w:type="fixed"/>
        <w:tblCellMar>
          <w:top w:w="0" w:type="dxa"/>
          <w:left w:w="108" w:type="dxa"/>
          <w:bottom w:w="0" w:type="dxa"/>
          <w:right w:w="108" w:type="dxa"/>
        </w:tblCellMar>
      </w:tblPr>
      <w:tblGrid>
        <w:gridCol w:w="2093"/>
        <w:gridCol w:w="4819"/>
      </w:tblGrid>
      <w:tr w14:paraId="4A5A781F">
        <w:tblPrEx>
          <w:tblCellMar>
            <w:top w:w="0" w:type="dxa"/>
            <w:left w:w="108" w:type="dxa"/>
            <w:bottom w:w="0" w:type="dxa"/>
            <w:right w:w="108" w:type="dxa"/>
          </w:tblCellMar>
        </w:tblPrEx>
        <w:trPr>
          <w:trHeight w:val="1021" w:hRule="atLeast"/>
          <w:jc w:val="center"/>
        </w:trPr>
        <w:tc>
          <w:tcPr>
            <w:tcW w:w="2093" w:type="dxa"/>
            <w:vAlign w:val="center"/>
          </w:tcPr>
          <w:p w14:paraId="70FDB6AD">
            <w:pPr>
              <w:kinsoku/>
              <w:topLinePunct/>
              <w:autoSpaceDE/>
              <w:autoSpaceDN/>
              <w:adjustRightInd w:val="0"/>
              <w:spacing w:line="480" w:lineRule="exact"/>
              <w:jc w:val="both"/>
              <w:rPr>
                <w:rFonts w:ascii="宋体" w:hAnsi="宋体" w:eastAsia="宋体" w:cs="宋体"/>
                <w:color w:val="auto"/>
                <w:kern w:val="2"/>
                <w:szCs w:val="24"/>
                <w:highlight w:val="none"/>
              </w:rPr>
            </w:pPr>
            <w:r>
              <w:rPr>
                <w:rFonts w:hint="eastAsia" w:ascii="宋体" w:hAnsi="宋体" w:eastAsia="宋体" w:cs="宋体"/>
                <w:color w:val="auto"/>
                <w:kern w:val="2"/>
                <w:sz w:val="28"/>
                <w:szCs w:val="24"/>
                <w:highlight w:val="none"/>
              </w:rPr>
              <w:t>工程名称：</w:t>
            </w:r>
          </w:p>
        </w:tc>
        <w:tc>
          <w:tcPr>
            <w:tcW w:w="4819" w:type="dxa"/>
            <w:vAlign w:val="center"/>
          </w:tcPr>
          <w:p w14:paraId="06E176D7">
            <w:pPr>
              <w:widowControl w:val="0"/>
              <w:kinsoku/>
              <w:autoSpaceDE/>
              <w:autoSpaceDN/>
              <w:snapToGrid/>
              <w:spacing w:line="360" w:lineRule="auto"/>
              <w:jc w:val="both"/>
              <w:rPr>
                <w:rFonts w:ascii="宋体" w:hAnsi="宋体" w:eastAsia="宋体" w:cs="宋体"/>
                <w:color w:val="auto"/>
                <w:kern w:val="2"/>
                <w:highlight w:val="none"/>
              </w:rPr>
            </w:pPr>
          </w:p>
        </w:tc>
      </w:tr>
      <w:tr w14:paraId="28D48F54">
        <w:tblPrEx>
          <w:tblCellMar>
            <w:top w:w="0" w:type="dxa"/>
            <w:left w:w="108" w:type="dxa"/>
            <w:bottom w:w="0" w:type="dxa"/>
            <w:right w:w="108" w:type="dxa"/>
          </w:tblCellMar>
        </w:tblPrEx>
        <w:trPr>
          <w:trHeight w:val="1021" w:hRule="atLeast"/>
          <w:jc w:val="center"/>
        </w:trPr>
        <w:tc>
          <w:tcPr>
            <w:tcW w:w="2093" w:type="dxa"/>
            <w:vAlign w:val="center"/>
          </w:tcPr>
          <w:p w14:paraId="72917545">
            <w:pPr>
              <w:kinsoku/>
              <w:wordWrap w:val="0"/>
              <w:topLinePunct/>
              <w:autoSpaceDE/>
              <w:autoSpaceDN/>
              <w:adjustRightInd w:val="0"/>
              <w:spacing w:line="480" w:lineRule="exact"/>
              <w:jc w:val="both"/>
              <w:rPr>
                <w:rFonts w:ascii="宋体" w:hAnsi="宋体" w:eastAsia="宋体" w:cs="宋体"/>
                <w:color w:val="auto"/>
                <w:kern w:val="2"/>
                <w:szCs w:val="24"/>
                <w:highlight w:val="none"/>
              </w:rPr>
            </w:pPr>
            <w:r>
              <w:rPr>
                <w:rFonts w:hint="eastAsia" w:ascii="宋体" w:hAnsi="宋体" w:eastAsia="宋体" w:cs="宋体"/>
                <w:color w:val="auto"/>
                <w:kern w:val="2"/>
                <w:sz w:val="28"/>
                <w:szCs w:val="24"/>
                <w:highlight w:val="none"/>
              </w:rPr>
              <w:t>工程地点:</w:t>
            </w:r>
          </w:p>
        </w:tc>
        <w:tc>
          <w:tcPr>
            <w:tcW w:w="4819" w:type="dxa"/>
            <w:vAlign w:val="center"/>
          </w:tcPr>
          <w:p w14:paraId="73A5EB45">
            <w:pPr>
              <w:kinsoku/>
              <w:wordWrap w:val="0"/>
              <w:topLinePunct/>
              <w:autoSpaceDE/>
              <w:autoSpaceDN/>
              <w:adjustRightInd w:val="0"/>
              <w:spacing w:line="480" w:lineRule="exact"/>
              <w:jc w:val="both"/>
              <w:rPr>
                <w:rFonts w:ascii="宋体" w:hAnsi="宋体" w:eastAsia="宋体" w:cs="宋体"/>
                <w:color w:val="auto"/>
                <w:kern w:val="2"/>
                <w:highlight w:val="none"/>
              </w:rPr>
            </w:pPr>
            <w:r>
              <w:rPr>
                <w:rFonts w:hint="eastAsia" w:ascii="宋体" w:hAnsi="宋体" w:eastAsia="宋体" w:cs="宋体"/>
                <w:color w:val="auto"/>
                <w:kern w:val="2"/>
                <w:sz w:val="24"/>
                <w:szCs w:val="24"/>
                <w:highlight w:val="none"/>
                <w:u w:val="single"/>
              </w:rPr>
              <w:t>广州增城区新塘镇</w:t>
            </w:r>
          </w:p>
        </w:tc>
      </w:tr>
      <w:tr w14:paraId="0CDE567F">
        <w:tblPrEx>
          <w:tblCellMar>
            <w:top w:w="0" w:type="dxa"/>
            <w:left w:w="108" w:type="dxa"/>
            <w:bottom w:w="0" w:type="dxa"/>
            <w:right w:w="108" w:type="dxa"/>
          </w:tblCellMar>
        </w:tblPrEx>
        <w:trPr>
          <w:trHeight w:val="1021" w:hRule="atLeast"/>
          <w:jc w:val="center"/>
        </w:trPr>
        <w:tc>
          <w:tcPr>
            <w:tcW w:w="2093" w:type="dxa"/>
            <w:vAlign w:val="center"/>
          </w:tcPr>
          <w:p w14:paraId="18B7F28F">
            <w:pPr>
              <w:kinsoku/>
              <w:wordWrap w:val="0"/>
              <w:topLinePunct/>
              <w:autoSpaceDE/>
              <w:autoSpaceDN/>
              <w:adjustRightInd w:val="0"/>
              <w:spacing w:line="480" w:lineRule="exact"/>
              <w:jc w:val="both"/>
              <w:rPr>
                <w:rFonts w:ascii="宋体" w:hAnsi="宋体" w:eastAsia="宋体" w:cs="宋体"/>
                <w:color w:val="auto"/>
                <w:kern w:val="2"/>
                <w:szCs w:val="24"/>
                <w:highlight w:val="none"/>
              </w:rPr>
            </w:pPr>
            <w:r>
              <w:rPr>
                <w:rFonts w:hint="eastAsia" w:ascii="宋体" w:hAnsi="宋体" w:eastAsia="宋体" w:cs="宋体"/>
                <w:color w:val="auto"/>
                <w:kern w:val="2"/>
                <w:sz w:val="28"/>
                <w:szCs w:val="24"/>
                <w:highlight w:val="none"/>
              </w:rPr>
              <w:t>设计证书等级：</w:t>
            </w:r>
          </w:p>
        </w:tc>
        <w:tc>
          <w:tcPr>
            <w:tcW w:w="4819" w:type="dxa"/>
            <w:vAlign w:val="center"/>
          </w:tcPr>
          <w:p w14:paraId="28DD06DE">
            <w:pPr>
              <w:kinsoku/>
              <w:wordWrap w:val="0"/>
              <w:topLinePunct/>
              <w:autoSpaceDE/>
              <w:autoSpaceDN/>
              <w:adjustRightInd w:val="0"/>
              <w:spacing w:line="480" w:lineRule="exact"/>
              <w:jc w:val="both"/>
              <w:rPr>
                <w:rFonts w:ascii="宋体" w:hAnsi="宋体" w:eastAsia="宋体" w:cs="宋体"/>
                <w:color w:val="auto"/>
                <w:kern w:val="2"/>
                <w:szCs w:val="24"/>
                <w:highlight w:val="none"/>
              </w:rPr>
            </w:pPr>
          </w:p>
        </w:tc>
      </w:tr>
      <w:tr w14:paraId="5C437E2B">
        <w:tblPrEx>
          <w:tblCellMar>
            <w:top w:w="0" w:type="dxa"/>
            <w:left w:w="108" w:type="dxa"/>
            <w:bottom w:w="0" w:type="dxa"/>
            <w:right w:w="108" w:type="dxa"/>
          </w:tblCellMar>
        </w:tblPrEx>
        <w:trPr>
          <w:trHeight w:val="1021" w:hRule="atLeast"/>
          <w:jc w:val="center"/>
        </w:trPr>
        <w:tc>
          <w:tcPr>
            <w:tcW w:w="2093" w:type="dxa"/>
            <w:vAlign w:val="center"/>
          </w:tcPr>
          <w:p w14:paraId="2403E099">
            <w:pPr>
              <w:kinsoku/>
              <w:wordWrap w:val="0"/>
              <w:topLinePunct/>
              <w:autoSpaceDE/>
              <w:autoSpaceDN/>
              <w:adjustRightInd w:val="0"/>
              <w:spacing w:line="480" w:lineRule="exact"/>
              <w:jc w:val="both"/>
              <w:rPr>
                <w:rFonts w:ascii="宋体" w:hAnsi="宋体" w:eastAsia="宋体" w:cs="宋体"/>
                <w:color w:val="auto"/>
                <w:kern w:val="2"/>
                <w:szCs w:val="24"/>
                <w:highlight w:val="none"/>
              </w:rPr>
            </w:pPr>
            <w:r>
              <w:rPr>
                <w:rFonts w:hint="eastAsia" w:ascii="宋体" w:hAnsi="宋体" w:eastAsia="宋体" w:cs="宋体"/>
                <w:color w:val="auto"/>
                <w:kern w:val="2"/>
                <w:sz w:val="28"/>
                <w:szCs w:val="24"/>
                <w:highlight w:val="none"/>
              </w:rPr>
              <w:t>发包人：</w:t>
            </w:r>
          </w:p>
        </w:tc>
        <w:tc>
          <w:tcPr>
            <w:tcW w:w="4819" w:type="dxa"/>
            <w:vAlign w:val="center"/>
          </w:tcPr>
          <w:p w14:paraId="48471BDA">
            <w:pPr>
              <w:kinsoku/>
              <w:wordWrap w:val="0"/>
              <w:topLinePunct/>
              <w:autoSpaceDE/>
              <w:autoSpaceDN/>
              <w:adjustRightInd w:val="0"/>
              <w:spacing w:line="480" w:lineRule="exact"/>
              <w:jc w:val="both"/>
              <w:rPr>
                <w:rFonts w:ascii="宋体" w:hAnsi="宋体" w:eastAsia="宋体" w:cs="宋体"/>
                <w:color w:val="auto"/>
                <w:kern w:val="2"/>
                <w:szCs w:val="24"/>
                <w:highlight w:val="none"/>
              </w:rPr>
            </w:pPr>
          </w:p>
        </w:tc>
      </w:tr>
      <w:tr w14:paraId="38D52369">
        <w:tblPrEx>
          <w:tblCellMar>
            <w:top w:w="0" w:type="dxa"/>
            <w:left w:w="108" w:type="dxa"/>
            <w:bottom w:w="0" w:type="dxa"/>
            <w:right w:w="108" w:type="dxa"/>
          </w:tblCellMar>
        </w:tblPrEx>
        <w:trPr>
          <w:trHeight w:val="1021" w:hRule="atLeast"/>
          <w:jc w:val="center"/>
        </w:trPr>
        <w:tc>
          <w:tcPr>
            <w:tcW w:w="2093" w:type="dxa"/>
            <w:vAlign w:val="center"/>
          </w:tcPr>
          <w:p w14:paraId="725A697B">
            <w:pPr>
              <w:kinsoku/>
              <w:wordWrap w:val="0"/>
              <w:topLinePunct/>
              <w:autoSpaceDE/>
              <w:autoSpaceDN/>
              <w:adjustRightInd w:val="0"/>
              <w:spacing w:line="480" w:lineRule="exact"/>
              <w:jc w:val="both"/>
              <w:rPr>
                <w:rFonts w:ascii="宋体" w:hAnsi="宋体" w:eastAsia="宋体" w:cs="宋体"/>
                <w:color w:val="auto"/>
                <w:kern w:val="2"/>
                <w:szCs w:val="24"/>
                <w:highlight w:val="none"/>
              </w:rPr>
            </w:pPr>
            <w:r>
              <w:rPr>
                <w:rFonts w:hint="eastAsia" w:ascii="宋体" w:hAnsi="宋体" w:eastAsia="宋体" w:cs="宋体"/>
                <w:color w:val="auto"/>
                <w:kern w:val="2"/>
                <w:sz w:val="28"/>
                <w:szCs w:val="24"/>
                <w:highlight w:val="none"/>
              </w:rPr>
              <w:t>设计人：</w:t>
            </w:r>
          </w:p>
        </w:tc>
        <w:tc>
          <w:tcPr>
            <w:tcW w:w="4819" w:type="dxa"/>
            <w:vAlign w:val="center"/>
          </w:tcPr>
          <w:p w14:paraId="6B2779BE">
            <w:pPr>
              <w:kinsoku/>
              <w:wordWrap w:val="0"/>
              <w:topLinePunct/>
              <w:autoSpaceDE/>
              <w:autoSpaceDN/>
              <w:adjustRightInd w:val="0"/>
              <w:spacing w:line="480" w:lineRule="exact"/>
              <w:jc w:val="both"/>
              <w:rPr>
                <w:rFonts w:ascii="宋体" w:hAnsi="宋体" w:eastAsia="宋体" w:cs="宋体"/>
                <w:color w:val="auto"/>
                <w:kern w:val="2"/>
                <w:sz w:val="24"/>
                <w:szCs w:val="24"/>
                <w:highlight w:val="none"/>
                <w:u w:val="single"/>
              </w:rPr>
            </w:pPr>
          </w:p>
        </w:tc>
      </w:tr>
    </w:tbl>
    <w:p w14:paraId="271F17C2">
      <w:pPr>
        <w:kinsoku/>
        <w:wordWrap w:val="0"/>
        <w:topLinePunct/>
        <w:autoSpaceDE/>
        <w:autoSpaceDN/>
        <w:adjustRightInd w:val="0"/>
        <w:spacing w:line="480" w:lineRule="exact"/>
        <w:jc w:val="both"/>
        <w:rPr>
          <w:rFonts w:ascii="宋体" w:hAnsi="宋体" w:eastAsia="宋体" w:cs="宋体"/>
          <w:b/>
          <w:bCs/>
          <w:color w:val="auto"/>
          <w:spacing w:val="110"/>
          <w:kern w:val="2"/>
          <w:sz w:val="28"/>
          <w:szCs w:val="28"/>
          <w:highlight w:val="none"/>
        </w:rPr>
      </w:pPr>
    </w:p>
    <w:p w14:paraId="18634441">
      <w:pPr>
        <w:widowControl w:val="0"/>
        <w:kinsoku/>
        <w:autoSpaceDE/>
        <w:autoSpaceDN/>
        <w:snapToGrid/>
        <w:spacing w:line="288" w:lineRule="auto"/>
        <w:jc w:val="both"/>
        <w:rPr>
          <w:rFonts w:ascii="宋体" w:hAnsi="宋体" w:eastAsia="宋体" w:cs="宋体"/>
          <w:color w:val="auto"/>
          <w:kern w:val="2"/>
          <w:szCs w:val="24"/>
          <w:highlight w:val="none"/>
        </w:rPr>
      </w:pPr>
      <w:r>
        <w:rPr>
          <w:rFonts w:hint="eastAsia" w:ascii="宋体" w:hAnsi="宋体" w:eastAsia="宋体" w:cs="宋体"/>
          <w:color w:val="auto"/>
          <w:kern w:val="2"/>
          <w:sz w:val="24"/>
          <w:szCs w:val="24"/>
          <w:highlight w:val="none"/>
        </w:rPr>
        <w:br w:type="page"/>
      </w:r>
      <w:r>
        <w:rPr>
          <w:rFonts w:hint="eastAsia" w:ascii="宋体" w:hAnsi="宋体" w:eastAsia="宋体" w:cs="宋体"/>
          <w:color w:val="auto"/>
          <w:kern w:val="2"/>
          <w:sz w:val="24"/>
          <w:szCs w:val="24"/>
          <w:highlight w:val="none"/>
        </w:rPr>
        <w:t>发包人（招标人、建设单位）：</w:t>
      </w:r>
      <w:r>
        <w:rPr>
          <w:rFonts w:hint="eastAsia" w:ascii="宋体" w:hAnsi="宋体" w:eastAsia="宋体" w:cs="宋体"/>
          <w:color w:val="auto"/>
          <w:kern w:val="2"/>
          <w:sz w:val="24"/>
          <w:szCs w:val="24"/>
          <w:highlight w:val="none"/>
          <w:u w:val="single"/>
          <w:lang w:bidi="ar"/>
        </w:rPr>
        <w:t xml:space="preserve">              </w:t>
      </w:r>
    </w:p>
    <w:p w14:paraId="76AE9E8B">
      <w:pPr>
        <w:widowControl w:val="0"/>
        <w:kinsoku/>
        <w:autoSpaceDE/>
        <w:autoSpaceDN/>
        <w:snapToGrid/>
        <w:spacing w:line="288" w:lineRule="auto"/>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设计人：</w:t>
      </w:r>
      <w:r>
        <w:rPr>
          <w:rFonts w:hint="eastAsia" w:ascii="宋体" w:hAnsi="宋体" w:eastAsia="宋体" w:cs="宋体"/>
          <w:color w:val="auto"/>
          <w:kern w:val="2"/>
          <w:sz w:val="24"/>
          <w:szCs w:val="24"/>
          <w:highlight w:val="none"/>
          <w:u w:val="single"/>
          <w:lang w:bidi="ar"/>
        </w:rPr>
        <w:t xml:space="preserve">                                    </w:t>
      </w:r>
    </w:p>
    <w:p w14:paraId="33F5FFB5">
      <w:pPr>
        <w:widowControl w:val="0"/>
        <w:kinsoku/>
        <w:autoSpaceDE/>
        <w:autoSpaceDN/>
        <w:snapToGrid/>
        <w:spacing w:line="288" w:lineRule="auto"/>
        <w:ind w:firstLine="480" w:firstLineChars="200"/>
        <w:jc w:val="both"/>
        <w:rPr>
          <w:rFonts w:ascii="宋体" w:hAnsi="宋体" w:eastAsia="宋体" w:cs="宋体"/>
          <w:color w:val="auto"/>
          <w:kern w:val="2"/>
          <w:sz w:val="24"/>
          <w:szCs w:val="24"/>
          <w:highlight w:val="none"/>
        </w:rPr>
      </w:pPr>
    </w:p>
    <w:p w14:paraId="3624FC51">
      <w:pPr>
        <w:widowControl w:val="0"/>
        <w:kinsoku/>
        <w:autoSpaceDE/>
        <w:autoSpaceDN/>
        <w:snapToGrid/>
        <w:spacing w:line="288" w:lineRule="auto"/>
        <w:ind w:firstLine="480" w:firstLineChars="200"/>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2025年  月  日，经公开招标，设计人被评定为中标人。现发包人（建设单位）委托设计人承担</w:t>
      </w:r>
      <w:r>
        <w:rPr>
          <w:rFonts w:hint="eastAsia" w:ascii="宋体" w:hAnsi="宋体" w:eastAsia="宋体" w:cs="宋体"/>
          <w:color w:val="auto"/>
          <w:kern w:val="2"/>
          <w:sz w:val="24"/>
          <w:szCs w:val="24"/>
          <w:highlight w:val="none"/>
          <w:u w:val="single"/>
        </w:rPr>
        <w:t>广州东部中心地下管网完善工程—新塘镇排水系统更新改造提升工程（北部片区）设计服务</w:t>
      </w:r>
      <w:r>
        <w:rPr>
          <w:rFonts w:hint="eastAsia" w:ascii="宋体" w:hAnsi="宋体" w:eastAsia="宋体" w:cs="宋体"/>
          <w:color w:val="auto"/>
          <w:kern w:val="2"/>
          <w:sz w:val="24"/>
          <w:szCs w:val="24"/>
          <w:highlight w:val="none"/>
        </w:rPr>
        <w:t>，工程地点为</w:t>
      </w:r>
      <w:r>
        <w:rPr>
          <w:rFonts w:hint="eastAsia" w:ascii="宋体" w:hAnsi="宋体" w:eastAsia="宋体" w:cs="宋体"/>
          <w:color w:val="auto"/>
          <w:kern w:val="2"/>
          <w:sz w:val="24"/>
          <w:szCs w:val="24"/>
          <w:highlight w:val="none"/>
          <w:u w:val="single"/>
          <w:lang w:bidi="ar"/>
        </w:rPr>
        <w:t xml:space="preserve"> </w:t>
      </w:r>
      <w:r>
        <w:rPr>
          <w:rFonts w:hint="eastAsia" w:ascii="宋体" w:hAnsi="宋体" w:eastAsia="宋体" w:cs="宋体"/>
          <w:color w:val="auto"/>
          <w:kern w:val="2"/>
          <w:sz w:val="24"/>
          <w:szCs w:val="24"/>
          <w:highlight w:val="none"/>
          <w:u w:val="single"/>
        </w:rPr>
        <w:t>广州市增城区新塘镇</w:t>
      </w:r>
      <w:r>
        <w:rPr>
          <w:rFonts w:hint="eastAsia" w:ascii="宋体" w:hAnsi="宋体" w:eastAsia="宋体" w:cs="宋体"/>
          <w:color w:val="auto"/>
          <w:kern w:val="2"/>
          <w:sz w:val="24"/>
          <w:szCs w:val="24"/>
          <w:highlight w:val="none"/>
          <w:u w:val="single"/>
          <w:lang w:bidi="ar"/>
        </w:rPr>
        <w:t xml:space="preserve"> </w:t>
      </w:r>
      <w:r>
        <w:rPr>
          <w:rFonts w:hint="eastAsia" w:ascii="宋体" w:hAnsi="宋体" w:eastAsia="宋体" w:cs="宋体"/>
          <w:color w:val="auto"/>
          <w:kern w:val="2"/>
          <w:sz w:val="24"/>
          <w:szCs w:val="24"/>
          <w:highlight w:val="none"/>
        </w:rPr>
        <w:t>，经发包人（建设单位）、</w:t>
      </w:r>
      <w:r>
        <w:rPr>
          <w:rFonts w:hint="eastAsia" w:ascii="宋体" w:hAnsi="宋体" w:eastAsia="宋体" w:cs="宋体"/>
          <w:color w:val="auto"/>
          <w:kern w:val="2"/>
          <w:sz w:val="24"/>
          <w:szCs w:val="20"/>
          <w:highlight w:val="none"/>
        </w:rPr>
        <w:t>设计人</w:t>
      </w:r>
      <w:r>
        <w:rPr>
          <w:rFonts w:hint="eastAsia" w:ascii="宋体" w:hAnsi="宋体" w:eastAsia="宋体" w:cs="宋体"/>
          <w:color w:val="auto"/>
          <w:kern w:val="2"/>
          <w:sz w:val="24"/>
          <w:szCs w:val="24"/>
          <w:highlight w:val="none"/>
        </w:rPr>
        <w:t>协商一致，签订本合同，共同执行。</w:t>
      </w:r>
    </w:p>
    <w:p w14:paraId="7C4381AD">
      <w:pPr>
        <w:widowControl w:val="0"/>
        <w:kinsoku/>
        <w:autoSpaceDE/>
        <w:autoSpaceDN/>
        <w:snapToGrid/>
        <w:spacing w:line="288" w:lineRule="auto"/>
        <w:jc w:val="both"/>
        <w:rPr>
          <w:rFonts w:ascii="宋体" w:hAnsi="宋体" w:eastAsia="宋体" w:cs="宋体"/>
          <w:b/>
          <w:color w:val="auto"/>
          <w:kern w:val="2"/>
          <w:sz w:val="24"/>
          <w:szCs w:val="24"/>
          <w:highlight w:val="none"/>
        </w:rPr>
      </w:pPr>
    </w:p>
    <w:p w14:paraId="72E38C10">
      <w:pPr>
        <w:widowControl w:val="0"/>
        <w:kinsoku/>
        <w:autoSpaceDE/>
        <w:autoSpaceDN/>
        <w:snapToGrid/>
        <w:spacing w:line="288" w:lineRule="auto"/>
        <w:jc w:val="both"/>
        <w:rPr>
          <w:rFonts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第一条</w:t>
      </w:r>
      <w:r>
        <w:rPr>
          <w:rFonts w:hint="eastAsia" w:ascii="宋体" w:hAnsi="宋体" w:eastAsia="宋体" w:cs="宋体"/>
          <w:color w:val="auto"/>
          <w:kern w:val="2"/>
          <w:sz w:val="24"/>
          <w:szCs w:val="24"/>
          <w:highlight w:val="none"/>
        </w:rPr>
        <w:tab/>
      </w:r>
      <w:r>
        <w:rPr>
          <w:rFonts w:hint="eastAsia" w:ascii="宋体" w:hAnsi="宋体" w:eastAsia="宋体" w:cs="宋体"/>
          <w:color w:val="auto"/>
          <w:kern w:val="2"/>
          <w:sz w:val="24"/>
          <w:szCs w:val="24"/>
          <w:highlight w:val="none"/>
        </w:rPr>
        <w:t>本合同签订依据。</w:t>
      </w:r>
    </w:p>
    <w:p w14:paraId="079278C7">
      <w:pPr>
        <w:widowControl w:val="0"/>
        <w:kinsoku/>
        <w:autoSpaceDE/>
        <w:autoSpaceDN/>
        <w:snapToGrid/>
        <w:spacing w:line="288" w:lineRule="auto"/>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xml:space="preserve">    1.1《中华人民共和国民法典》及国家有关法规规定。</w:t>
      </w:r>
    </w:p>
    <w:p w14:paraId="4FBA97DF">
      <w:pPr>
        <w:widowControl w:val="0"/>
        <w:kinsoku/>
        <w:autoSpaceDE/>
        <w:autoSpaceDN/>
        <w:snapToGrid/>
        <w:spacing w:line="288" w:lineRule="auto"/>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xml:space="preserve">    1.2国家及地方有关建设工程勘察设计管理法规和规章。国家计委﹑建设部关于发布《工程勘察设计收费管理规定》的通知（计价格［2002］10号）。</w:t>
      </w:r>
    </w:p>
    <w:p w14:paraId="24979858">
      <w:pPr>
        <w:widowControl w:val="0"/>
        <w:kinsoku/>
        <w:autoSpaceDE/>
        <w:autoSpaceDN/>
        <w:snapToGrid/>
        <w:spacing w:line="288" w:lineRule="auto"/>
        <w:ind w:firstLine="480"/>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1.3建设工程批准文件。</w:t>
      </w:r>
    </w:p>
    <w:p w14:paraId="1D6324ED">
      <w:pPr>
        <w:widowControl w:val="0"/>
        <w:kinsoku/>
        <w:autoSpaceDE/>
        <w:autoSpaceDN/>
        <w:snapToGrid/>
        <w:spacing w:line="288" w:lineRule="auto"/>
        <w:jc w:val="both"/>
        <w:rPr>
          <w:rFonts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第二条</w:t>
      </w:r>
      <w:r>
        <w:rPr>
          <w:rFonts w:hint="eastAsia" w:ascii="宋体" w:hAnsi="宋体" w:eastAsia="宋体" w:cs="宋体"/>
          <w:b/>
          <w:color w:val="auto"/>
          <w:kern w:val="2"/>
          <w:sz w:val="24"/>
          <w:szCs w:val="24"/>
          <w:highlight w:val="none"/>
        </w:rPr>
        <w:tab/>
      </w:r>
      <w:r>
        <w:rPr>
          <w:rFonts w:hint="eastAsia" w:ascii="宋体" w:hAnsi="宋体" w:eastAsia="宋体" w:cs="宋体"/>
          <w:color w:val="auto"/>
          <w:kern w:val="2"/>
          <w:sz w:val="24"/>
          <w:szCs w:val="24"/>
          <w:highlight w:val="none"/>
        </w:rPr>
        <w:t>设计依据</w:t>
      </w:r>
    </w:p>
    <w:p w14:paraId="7EB2C9AA">
      <w:pPr>
        <w:widowControl w:val="0"/>
        <w:kinsoku/>
        <w:autoSpaceDE/>
        <w:autoSpaceDN/>
        <w:snapToGrid/>
        <w:spacing w:line="288" w:lineRule="auto"/>
        <w:ind w:firstLine="420"/>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2.1发包人（建设单位）给设计人的委托书/中标通知书</w:t>
      </w:r>
    </w:p>
    <w:p w14:paraId="159CB70A">
      <w:pPr>
        <w:widowControl w:val="0"/>
        <w:kinsoku/>
        <w:autoSpaceDE/>
        <w:autoSpaceDN/>
        <w:snapToGrid/>
        <w:spacing w:line="288" w:lineRule="auto"/>
        <w:ind w:firstLine="420"/>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2.2发包人（建设单位）提交的基础资料</w:t>
      </w:r>
    </w:p>
    <w:p w14:paraId="3C19139F">
      <w:pPr>
        <w:widowControl w:val="0"/>
        <w:kinsoku/>
        <w:autoSpaceDE/>
        <w:autoSpaceDN/>
        <w:snapToGrid/>
        <w:spacing w:line="288" w:lineRule="auto"/>
        <w:ind w:firstLine="420"/>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2.3设计人采用的主要技术标准包括：国家或本地区其它相关规范。</w:t>
      </w:r>
    </w:p>
    <w:p w14:paraId="03B7F202">
      <w:pPr>
        <w:widowControl w:val="0"/>
        <w:kinsoku/>
        <w:autoSpaceDE/>
        <w:autoSpaceDN/>
        <w:snapToGrid/>
        <w:spacing w:line="288" w:lineRule="auto"/>
        <w:jc w:val="both"/>
        <w:rPr>
          <w:rFonts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第三条</w:t>
      </w:r>
      <w:r>
        <w:rPr>
          <w:rFonts w:hint="eastAsia" w:ascii="宋体" w:hAnsi="宋体" w:eastAsia="宋体" w:cs="宋体"/>
          <w:color w:val="auto"/>
          <w:kern w:val="2"/>
          <w:sz w:val="24"/>
          <w:szCs w:val="24"/>
          <w:highlight w:val="none"/>
        </w:rPr>
        <w:tab/>
      </w:r>
      <w:r>
        <w:rPr>
          <w:rFonts w:hint="eastAsia" w:ascii="宋体" w:hAnsi="宋体" w:eastAsia="宋体" w:cs="宋体"/>
          <w:color w:val="auto"/>
          <w:kern w:val="2"/>
          <w:sz w:val="24"/>
          <w:szCs w:val="24"/>
          <w:highlight w:val="none"/>
        </w:rPr>
        <w:t>合同文件的优先次序</w:t>
      </w:r>
    </w:p>
    <w:p w14:paraId="680034C2">
      <w:pPr>
        <w:widowControl w:val="0"/>
        <w:kinsoku/>
        <w:autoSpaceDE/>
        <w:autoSpaceDN/>
        <w:snapToGrid/>
        <w:spacing w:line="288" w:lineRule="auto"/>
        <w:ind w:firstLine="480" w:firstLineChars="200"/>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构成本合同的文件可视为是能互相说明的，如果合同文件存在歧义或不一致，则根据如下优先次序来判断：</w:t>
      </w:r>
    </w:p>
    <w:p w14:paraId="32E68D5A">
      <w:pPr>
        <w:widowControl w:val="0"/>
        <w:kinsoku/>
        <w:autoSpaceDE/>
        <w:autoSpaceDN/>
        <w:snapToGrid/>
        <w:spacing w:line="288" w:lineRule="auto"/>
        <w:ind w:firstLine="570"/>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3.1 合同书</w:t>
      </w:r>
    </w:p>
    <w:p w14:paraId="79EEAEE2">
      <w:pPr>
        <w:widowControl w:val="0"/>
        <w:kinsoku/>
        <w:autoSpaceDE/>
        <w:autoSpaceDN/>
        <w:snapToGrid/>
        <w:spacing w:line="288" w:lineRule="auto"/>
        <w:ind w:firstLine="570"/>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3.2 中标通知书/委托书</w:t>
      </w:r>
    </w:p>
    <w:p w14:paraId="40DDC45C">
      <w:pPr>
        <w:widowControl w:val="0"/>
        <w:kinsoku/>
        <w:autoSpaceDE/>
        <w:autoSpaceDN/>
        <w:snapToGrid/>
        <w:spacing w:line="288" w:lineRule="auto"/>
        <w:ind w:firstLine="570"/>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3.3 发包人的要求</w:t>
      </w:r>
    </w:p>
    <w:p w14:paraId="3F602D80">
      <w:pPr>
        <w:widowControl w:val="0"/>
        <w:kinsoku/>
        <w:autoSpaceDE/>
        <w:autoSpaceDN/>
        <w:snapToGrid/>
        <w:spacing w:line="288" w:lineRule="auto"/>
        <w:ind w:firstLine="570"/>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3.4 技术规范</w:t>
      </w:r>
    </w:p>
    <w:p w14:paraId="41281836">
      <w:pPr>
        <w:widowControl w:val="0"/>
        <w:kinsoku/>
        <w:autoSpaceDE/>
        <w:autoSpaceDN/>
        <w:snapToGrid/>
        <w:spacing w:line="288" w:lineRule="auto"/>
        <w:ind w:firstLine="570"/>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3.5 招标文件</w:t>
      </w:r>
    </w:p>
    <w:p w14:paraId="11A66EC6">
      <w:pPr>
        <w:widowControl w:val="0"/>
        <w:kinsoku/>
        <w:autoSpaceDE/>
        <w:autoSpaceDN/>
        <w:snapToGrid/>
        <w:spacing w:line="288" w:lineRule="auto"/>
        <w:ind w:firstLine="570"/>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3.6 投标文件</w:t>
      </w:r>
    </w:p>
    <w:p w14:paraId="674BC3FC">
      <w:pPr>
        <w:widowControl w:val="0"/>
        <w:kinsoku/>
        <w:autoSpaceDE/>
        <w:autoSpaceDN/>
        <w:snapToGrid/>
        <w:spacing w:line="288" w:lineRule="auto"/>
        <w:jc w:val="both"/>
        <w:rPr>
          <w:rFonts w:ascii="宋体" w:hAnsi="宋体" w:eastAsia="宋体" w:cs="宋体"/>
          <w:b/>
          <w:color w:val="auto"/>
          <w:kern w:val="2"/>
          <w:sz w:val="24"/>
          <w:szCs w:val="20"/>
          <w:highlight w:val="none"/>
        </w:rPr>
      </w:pPr>
      <w:r>
        <w:rPr>
          <w:rFonts w:hint="eastAsia" w:ascii="宋体" w:hAnsi="宋体" w:eastAsia="宋体" w:cs="宋体"/>
          <w:b/>
          <w:color w:val="auto"/>
          <w:kern w:val="2"/>
          <w:sz w:val="24"/>
          <w:szCs w:val="20"/>
          <w:highlight w:val="none"/>
        </w:rPr>
        <w:t xml:space="preserve">第四条 </w:t>
      </w:r>
      <w:r>
        <w:rPr>
          <w:rFonts w:hint="eastAsia" w:ascii="宋体" w:hAnsi="宋体" w:eastAsia="宋体" w:cs="宋体"/>
          <w:color w:val="auto"/>
          <w:kern w:val="2"/>
          <w:sz w:val="24"/>
          <w:szCs w:val="20"/>
          <w:highlight w:val="none"/>
        </w:rPr>
        <w:t>本合同项目的名称、规模、设计阶段、投资及设计内容:</w:t>
      </w:r>
    </w:p>
    <w:p w14:paraId="2FF2A3F7">
      <w:pPr>
        <w:widowControl w:val="0"/>
        <w:kinsoku/>
        <w:autoSpaceDE/>
        <w:autoSpaceDN/>
        <w:snapToGrid/>
        <w:spacing w:line="288" w:lineRule="auto"/>
        <w:ind w:firstLine="420"/>
        <w:jc w:val="both"/>
        <w:rPr>
          <w:rFonts w:ascii="宋体" w:hAnsi="宋体" w:eastAsia="宋体" w:cs="宋体"/>
          <w:color w:val="auto"/>
          <w:kern w:val="2"/>
          <w:sz w:val="24"/>
          <w:szCs w:val="20"/>
          <w:highlight w:val="none"/>
        </w:rPr>
      </w:pPr>
      <w:r>
        <w:rPr>
          <w:rFonts w:hint="eastAsia" w:ascii="宋体" w:hAnsi="宋体" w:eastAsia="宋体" w:cs="宋体"/>
          <w:color w:val="auto"/>
          <w:kern w:val="2"/>
          <w:sz w:val="24"/>
          <w:szCs w:val="20"/>
          <w:highlight w:val="none"/>
        </w:rPr>
        <w:t xml:space="preserve"> </w:t>
      </w:r>
      <w:r>
        <w:rPr>
          <w:rFonts w:hint="eastAsia" w:ascii="宋体" w:hAnsi="宋体" w:eastAsia="宋体" w:cs="宋体"/>
          <w:color w:val="auto"/>
          <w:kern w:val="2"/>
          <w:sz w:val="24"/>
          <w:szCs w:val="24"/>
          <w:highlight w:val="none"/>
        </w:rPr>
        <w:t>工程概况：</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color w:val="auto"/>
          <w:kern w:val="2"/>
          <w:sz w:val="24"/>
          <w:szCs w:val="24"/>
          <w:highlight w:val="none"/>
        </w:rPr>
        <w:t>。</w:t>
      </w:r>
    </w:p>
    <w:p w14:paraId="265E7BCA">
      <w:pPr>
        <w:widowControl w:val="0"/>
        <w:kinsoku/>
        <w:autoSpaceDE/>
        <w:autoSpaceDN/>
        <w:snapToGrid/>
        <w:spacing w:line="288" w:lineRule="auto"/>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xml:space="preserve">     </w:t>
      </w:r>
      <w:r>
        <w:rPr>
          <w:rFonts w:hint="eastAsia" w:ascii="宋体" w:hAnsi="宋体" w:eastAsia="宋体" w:cs="宋体"/>
          <w:color w:val="auto"/>
          <w:kern w:val="2"/>
          <w:sz w:val="24"/>
          <w:szCs w:val="24"/>
          <w:highlight w:val="none"/>
          <w:u w:val="single"/>
          <w:lang w:bidi="ar"/>
        </w:rPr>
        <w:t>工作</w:t>
      </w:r>
      <w:r>
        <w:rPr>
          <w:rFonts w:hint="eastAsia" w:ascii="宋体" w:hAnsi="宋体" w:eastAsia="宋体" w:cs="宋体"/>
          <w:color w:val="auto"/>
          <w:kern w:val="2"/>
          <w:sz w:val="24"/>
          <w:szCs w:val="24"/>
          <w:highlight w:val="none"/>
          <w:u w:val="single"/>
        </w:rPr>
        <w:t xml:space="preserve">主要内容包括（但不限于）：     </w:t>
      </w:r>
    </w:p>
    <w:p w14:paraId="59CDFAD6">
      <w:pPr>
        <w:widowControl w:val="0"/>
        <w:kinsoku/>
        <w:autoSpaceDE/>
        <w:autoSpaceDN/>
        <w:snapToGrid/>
        <w:spacing w:line="288" w:lineRule="auto"/>
        <w:jc w:val="both"/>
        <w:rPr>
          <w:rFonts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第五条</w:t>
      </w:r>
      <w:r>
        <w:rPr>
          <w:rFonts w:hint="eastAsia" w:ascii="宋体" w:hAnsi="宋体" w:eastAsia="宋体" w:cs="宋体"/>
          <w:b/>
          <w:color w:val="auto"/>
          <w:kern w:val="2"/>
          <w:sz w:val="24"/>
          <w:szCs w:val="24"/>
          <w:highlight w:val="none"/>
        </w:rPr>
        <w:tab/>
      </w:r>
      <w:r>
        <w:rPr>
          <w:rFonts w:hint="eastAsia" w:ascii="宋体" w:hAnsi="宋体" w:eastAsia="宋体" w:cs="宋体"/>
          <w:b/>
          <w:color w:val="auto"/>
          <w:kern w:val="2"/>
          <w:sz w:val="24"/>
          <w:szCs w:val="24"/>
          <w:highlight w:val="none"/>
        </w:rPr>
        <w:t>发包人（建设单位）向设计人提交的有关资料、文件及时间</w:t>
      </w:r>
    </w:p>
    <w:tbl>
      <w:tblPr>
        <w:tblStyle w:val="19"/>
        <w:tblW w:w="8877" w:type="dxa"/>
        <w:tblInd w:w="-2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86"/>
        <w:gridCol w:w="3146"/>
        <w:gridCol w:w="654"/>
        <w:gridCol w:w="1704"/>
        <w:gridCol w:w="2687"/>
      </w:tblGrid>
      <w:tr w14:paraId="03549A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686" w:type="dxa"/>
          </w:tcPr>
          <w:p w14:paraId="266AC641">
            <w:pPr>
              <w:widowControl w:val="0"/>
              <w:kinsoku/>
              <w:autoSpaceDE/>
              <w:autoSpaceDN/>
              <w:snapToGrid/>
              <w:spacing w:line="288" w:lineRule="auto"/>
              <w:jc w:val="center"/>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序号</w:t>
            </w:r>
          </w:p>
        </w:tc>
        <w:tc>
          <w:tcPr>
            <w:tcW w:w="3146" w:type="dxa"/>
          </w:tcPr>
          <w:p w14:paraId="26ADC383">
            <w:pPr>
              <w:widowControl w:val="0"/>
              <w:kinsoku/>
              <w:autoSpaceDE/>
              <w:autoSpaceDN/>
              <w:snapToGrid/>
              <w:spacing w:line="288" w:lineRule="auto"/>
              <w:jc w:val="center"/>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资料及文件名称</w:t>
            </w:r>
          </w:p>
        </w:tc>
        <w:tc>
          <w:tcPr>
            <w:tcW w:w="654" w:type="dxa"/>
          </w:tcPr>
          <w:p w14:paraId="0200F81D">
            <w:pPr>
              <w:widowControl w:val="0"/>
              <w:kinsoku/>
              <w:autoSpaceDE/>
              <w:autoSpaceDN/>
              <w:snapToGrid/>
              <w:spacing w:line="288" w:lineRule="auto"/>
              <w:jc w:val="center"/>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份数</w:t>
            </w:r>
          </w:p>
        </w:tc>
        <w:tc>
          <w:tcPr>
            <w:tcW w:w="1704" w:type="dxa"/>
          </w:tcPr>
          <w:p w14:paraId="499C170C">
            <w:pPr>
              <w:widowControl w:val="0"/>
              <w:kinsoku/>
              <w:autoSpaceDE/>
              <w:autoSpaceDN/>
              <w:snapToGrid/>
              <w:spacing w:line="288" w:lineRule="auto"/>
              <w:jc w:val="center"/>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内容要求</w:t>
            </w:r>
          </w:p>
        </w:tc>
        <w:tc>
          <w:tcPr>
            <w:tcW w:w="2687" w:type="dxa"/>
          </w:tcPr>
          <w:p w14:paraId="150CE5D8">
            <w:pPr>
              <w:widowControl w:val="0"/>
              <w:kinsoku/>
              <w:autoSpaceDE/>
              <w:autoSpaceDN/>
              <w:snapToGrid/>
              <w:spacing w:line="288" w:lineRule="auto"/>
              <w:jc w:val="center"/>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提交时间</w:t>
            </w:r>
          </w:p>
        </w:tc>
      </w:tr>
      <w:tr w14:paraId="4CFBF9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686" w:type="dxa"/>
          </w:tcPr>
          <w:p w14:paraId="663B3530">
            <w:pPr>
              <w:widowControl w:val="0"/>
              <w:kinsoku/>
              <w:autoSpaceDE/>
              <w:autoSpaceDN/>
              <w:snapToGrid/>
              <w:spacing w:line="288" w:lineRule="auto"/>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xml:space="preserve">  1</w:t>
            </w:r>
          </w:p>
        </w:tc>
        <w:tc>
          <w:tcPr>
            <w:tcW w:w="3146" w:type="dxa"/>
          </w:tcPr>
          <w:p w14:paraId="22352795">
            <w:pPr>
              <w:widowControl w:val="0"/>
              <w:kinsoku/>
              <w:autoSpaceDE/>
              <w:autoSpaceDN/>
              <w:snapToGrid/>
              <w:spacing w:line="288" w:lineRule="auto"/>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中标通知书/委托书</w:t>
            </w:r>
          </w:p>
        </w:tc>
        <w:tc>
          <w:tcPr>
            <w:tcW w:w="654" w:type="dxa"/>
          </w:tcPr>
          <w:p w14:paraId="660CF81E">
            <w:pPr>
              <w:widowControl w:val="0"/>
              <w:kinsoku/>
              <w:autoSpaceDE/>
              <w:autoSpaceDN/>
              <w:snapToGrid/>
              <w:spacing w:line="288" w:lineRule="auto"/>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xml:space="preserve">  1</w:t>
            </w:r>
          </w:p>
        </w:tc>
        <w:tc>
          <w:tcPr>
            <w:tcW w:w="1704" w:type="dxa"/>
          </w:tcPr>
          <w:p w14:paraId="4A168C18">
            <w:pPr>
              <w:widowControl w:val="0"/>
              <w:kinsoku/>
              <w:autoSpaceDE/>
              <w:autoSpaceDN/>
              <w:snapToGrid/>
              <w:spacing w:line="288" w:lineRule="auto"/>
              <w:jc w:val="center"/>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w:t>
            </w:r>
          </w:p>
        </w:tc>
        <w:tc>
          <w:tcPr>
            <w:tcW w:w="2687" w:type="dxa"/>
          </w:tcPr>
          <w:p w14:paraId="7E0DB6A4">
            <w:pPr>
              <w:widowControl w:val="0"/>
              <w:kinsoku/>
              <w:autoSpaceDE/>
              <w:autoSpaceDN/>
              <w:snapToGrid/>
              <w:spacing w:line="288" w:lineRule="auto"/>
              <w:jc w:val="center"/>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合同签订日起  天内</w:t>
            </w:r>
          </w:p>
        </w:tc>
      </w:tr>
      <w:tr w14:paraId="2C9986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686" w:type="dxa"/>
          </w:tcPr>
          <w:p w14:paraId="162758F9">
            <w:pPr>
              <w:widowControl w:val="0"/>
              <w:kinsoku/>
              <w:autoSpaceDE/>
              <w:autoSpaceDN/>
              <w:snapToGrid/>
              <w:spacing w:line="288" w:lineRule="auto"/>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xml:space="preserve">  2</w:t>
            </w:r>
          </w:p>
        </w:tc>
        <w:tc>
          <w:tcPr>
            <w:tcW w:w="3146" w:type="dxa"/>
          </w:tcPr>
          <w:p w14:paraId="373C8D29">
            <w:pPr>
              <w:widowControl w:val="0"/>
              <w:kinsoku/>
              <w:autoSpaceDE/>
              <w:autoSpaceDN/>
              <w:snapToGrid/>
              <w:spacing w:line="288" w:lineRule="auto"/>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1/500地形图及电子文件</w:t>
            </w:r>
          </w:p>
        </w:tc>
        <w:tc>
          <w:tcPr>
            <w:tcW w:w="654" w:type="dxa"/>
          </w:tcPr>
          <w:p w14:paraId="718168D5">
            <w:pPr>
              <w:widowControl w:val="0"/>
              <w:kinsoku/>
              <w:autoSpaceDE/>
              <w:autoSpaceDN/>
              <w:snapToGrid/>
              <w:spacing w:line="288" w:lineRule="auto"/>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xml:space="preserve">  1</w:t>
            </w:r>
          </w:p>
        </w:tc>
        <w:tc>
          <w:tcPr>
            <w:tcW w:w="1704" w:type="dxa"/>
          </w:tcPr>
          <w:p w14:paraId="3F1F563E">
            <w:pPr>
              <w:widowControl w:val="0"/>
              <w:kinsoku/>
              <w:autoSpaceDE/>
              <w:autoSpaceDN/>
              <w:snapToGrid/>
              <w:spacing w:line="288" w:lineRule="auto"/>
              <w:jc w:val="center"/>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w:t>
            </w:r>
          </w:p>
        </w:tc>
        <w:tc>
          <w:tcPr>
            <w:tcW w:w="2687" w:type="dxa"/>
          </w:tcPr>
          <w:p w14:paraId="586EB551">
            <w:pPr>
              <w:widowControl w:val="0"/>
              <w:kinsoku/>
              <w:autoSpaceDE/>
              <w:autoSpaceDN/>
              <w:snapToGrid/>
              <w:spacing w:line="288" w:lineRule="auto"/>
              <w:jc w:val="center"/>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合同签订日起  天内</w:t>
            </w:r>
          </w:p>
        </w:tc>
      </w:tr>
      <w:tr w14:paraId="1FC610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686" w:type="dxa"/>
          </w:tcPr>
          <w:p w14:paraId="367340AC">
            <w:pPr>
              <w:widowControl w:val="0"/>
              <w:kinsoku/>
              <w:autoSpaceDE/>
              <w:autoSpaceDN/>
              <w:snapToGrid/>
              <w:spacing w:line="288" w:lineRule="auto"/>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xml:space="preserve">  3</w:t>
            </w:r>
          </w:p>
        </w:tc>
        <w:tc>
          <w:tcPr>
            <w:tcW w:w="3146" w:type="dxa"/>
          </w:tcPr>
          <w:p w14:paraId="0A4AAC4D">
            <w:pPr>
              <w:widowControl w:val="0"/>
              <w:kinsoku/>
              <w:autoSpaceDE/>
              <w:autoSpaceDN/>
              <w:snapToGrid/>
              <w:spacing w:line="288" w:lineRule="auto"/>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1/2000地形图及电子文件</w:t>
            </w:r>
          </w:p>
        </w:tc>
        <w:tc>
          <w:tcPr>
            <w:tcW w:w="654" w:type="dxa"/>
          </w:tcPr>
          <w:p w14:paraId="710E0BAB">
            <w:pPr>
              <w:widowControl w:val="0"/>
              <w:kinsoku/>
              <w:autoSpaceDE/>
              <w:autoSpaceDN/>
              <w:snapToGrid/>
              <w:spacing w:line="288" w:lineRule="auto"/>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xml:space="preserve">  1</w:t>
            </w:r>
          </w:p>
        </w:tc>
        <w:tc>
          <w:tcPr>
            <w:tcW w:w="1704" w:type="dxa"/>
          </w:tcPr>
          <w:p w14:paraId="11F945BA">
            <w:pPr>
              <w:widowControl w:val="0"/>
              <w:kinsoku/>
              <w:autoSpaceDE/>
              <w:autoSpaceDN/>
              <w:snapToGrid/>
              <w:spacing w:line="288" w:lineRule="auto"/>
              <w:jc w:val="center"/>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w:t>
            </w:r>
          </w:p>
        </w:tc>
        <w:tc>
          <w:tcPr>
            <w:tcW w:w="2687" w:type="dxa"/>
          </w:tcPr>
          <w:p w14:paraId="6CA492E4">
            <w:pPr>
              <w:widowControl w:val="0"/>
              <w:kinsoku/>
              <w:autoSpaceDE/>
              <w:autoSpaceDN/>
              <w:snapToGrid/>
              <w:spacing w:line="288" w:lineRule="auto"/>
              <w:jc w:val="center"/>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合同签订日起  天内</w:t>
            </w:r>
          </w:p>
        </w:tc>
      </w:tr>
    </w:tbl>
    <w:p w14:paraId="4C7BFA1F">
      <w:pPr>
        <w:widowControl w:val="0"/>
        <w:kinsoku/>
        <w:autoSpaceDE/>
        <w:autoSpaceDN/>
        <w:snapToGrid/>
        <w:spacing w:line="288" w:lineRule="auto"/>
        <w:jc w:val="both"/>
        <w:rPr>
          <w:rFonts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第六条</w:t>
      </w:r>
      <w:r>
        <w:rPr>
          <w:rFonts w:hint="eastAsia" w:ascii="宋体" w:hAnsi="宋体" w:eastAsia="宋体" w:cs="宋体"/>
          <w:color w:val="auto"/>
          <w:kern w:val="2"/>
          <w:sz w:val="24"/>
          <w:szCs w:val="24"/>
          <w:highlight w:val="none"/>
        </w:rPr>
        <w:tab/>
      </w:r>
      <w:r>
        <w:rPr>
          <w:rFonts w:hint="eastAsia" w:ascii="宋体" w:hAnsi="宋体" w:eastAsia="宋体" w:cs="宋体"/>
          <w:color w:val="auto"/>
          <w:kern w:val="2"/>
          <w:sz w:val="24"/>
          <w:szCs w:val="24"/>
          <w:highlight w:val="none"/>
        </w:rPr>
        <w:t>设计人向发包人（建设单位）交付的设计文件、份数及时间</w:t>
      </w:r>
    </w:p>
    <w:tbl>
      <w:tblPr>
        <w:tblStyle w:val="19"/>
        <w:tblW w:w="8880" w:type="dxa"/>
        <w:tblInd w:w="-2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58"/>
        <w:gridCol w:w="2892"/>
        <w:gridCol w:w="591"/>
        <w:gridCol w:w="1841"/>
        <w:gridCol w:w="2898"/>
      </w:tblGrid>
      <w:tr w14:paraId="0313E8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658" w:type="dxa"/>
            <w:vAlign w:val="center"/>
          </w:tcPr>
          <w:p w14:paraId="4CB883A4">
            <w:pPr>
              <w:widowControl w:val="0"/>
              <w:kinsoku/>
              <w:autoSpaceDE/>
              <w:autoSpaceDN/>
              <w:snapToGrid/>
              <w:spacing w:line="288" w:lineRule="auto"/>
              <w:jc w:val="center"/>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序号</w:t>
            </w:r>
          </w:p>
        </w:tc>
        <w:tc>
          <w:tcPr>
            <w:tcW w:w="2892" w:type="dxa"/>
            <w:vAlign w:val="center"/>
          </w:tcPr>
          <w:p w14:paraId="1F96B68C">
            <w:pPr>
              <w:widowControl w:val="0"/>
              <w:kinsoku/>
              <w:autoSpaceDE/>
              <w:autoSpaceDN/>
              <w:snapToGrid/>
              <w:spacing w:line="288" w:lineRule="auto"/>
              <w:jc w:val="center"/>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资料及文件名称</w:t>
            </w:r>
          </w:p>
        </w:tc>
        <w:tc>
          <w:tcPr>
            <w:tcW w:w="591" w:type="dxa"/>
            <w:vAlign w:val="center"/>
          </w:tcPr>
          <w:p w14:paraId="04E74B0F">
            <w:pPr>
              <w:widowControl w:val="0"/>
              <w:kinsoku/>
              <w:autoSpaceDE/>
              <w:autoSpaceDN/>
              <w:snapToGrid/>
              <w:spacing w:line="288" w:lineRule="auto"/>
              <w:jc w:val="center"/>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份数</w:t>
            </w:r>
          </w:p>
        </w:tc>
        <w:tc>
          <w:tcPr>
            <w:tcW w:w="1841" w:type="dxa"/>
            <w:vAlign w:val="center"/>
          </w:tcPr>
          <w:p w14:paraId="06F417D5">
            <w:pPr>
              <w:widowControl w:val="0"/>
              <w:kinsoku/>
              <w:autoSpaceDE/>
              <w:autoSpaceDN/>
              <w:snapToGrid/>
              <w:spacing w:line="288" w:lineRule="auto"/>
              <w:jc w:val="center"/>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内容要求</w:t>
            </w:r>
          </w:p>
        </w:tc>
        <w:tc>
          <w:tcPr>
            <w:tcW w:w="2898" w:type="dxa"/>
            <w:vAlign w:val="center"/>
          </w:tcPr>
          <w:p w14:paraId="55E88A24">
            <w:pPr>
              <w:widowControl w:val="0"/>
              <w:kinsoku/>
              <w:autoSpaceDE/>
              <w:autoSpaceDN/>
              <w:snapToGrid/>
              <w:spacing w:line="288" w:lineRule="auto"/>
              <w:jc w:val="center"/>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提交时间</w:t>
            </w:r>
          </w:p>
        </w:tc>
      </w:tr>
      <w:tr w14:paraId="466966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658" w:type="dxa"/>
            <w:vAlign w:val="center"/>
          </w:tcPr>
          <w:p w14:paraId="6AFFBB5F">
            <w:pPr>
              <w:widowControl w:val="0"/>
              <w:kinsoku/>
              <w:autoSpaceDE/>
              <w:autoSpaceDN/>
              <w:snapToGrid/>
              <w:spacing w:line="288" w:lineRule="auto"/>
              <w:jc w:val="center"/>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w:t>
            </w:r>
          </w:p>
        </w:tc>
        <w:tc>
          <w:tcPr>
            <w:tcW w:w="2892" w:type="dxa"/>
            <w:vAlign w:val="center"/>
          </w:tcPr>
          <w:p w14:paraId="761D5F74">
            <w:pPr>
              <w:widowControl w:val="0"/>
              <w:kinsoku/>
              <w:autoSpaceDE/>
              <w:autoSpaceDN/>
              <w:snapToGrid/>
              <w:spacing w:line="288" w:lineRule="auto"/>
              <w:jc w:val="center"/>
              <w:rPr>
                <w:rFonts w:ascii="宋体" w:hAnsi="宋体" w:eastAsia="宋体" w:cs="宋体"/>
                <w:color w:val="auto"/>
                <w:kern w:val="2"/>
                <w:szCs w:val="24"/>
                <w:highlight w:val="none"/>
              </w:rPr>
            </w:pPr>
            <w:r>
              <w:rPr>
                <w:rFonts w:hint="eastAsia" w:ascii="宋体" w:hAnsi="宋体" w:eastAsia="宋体" w:cs="宋体"/>
                <w:color w:val="auto"/>
                <w:kern w:val="2"/>
                <w:szCs w:val="24"/>
                <w:highlight w:val="none"/>
              </w:rPr>
              <w:t>初步设计报告、图纸及概算</w:t>
            </w:r>
          </w:p>
        </w:tc>
        <w:tc>
          <w:tcPr>
            <w:tcW w:w="591" w:type="dxa"/>
            <w:vAlign w:val="center"/>
          </w:tcPr>
          <w:p w14:paraId="3ED08A49">
            <w:pPr>
              <w:widowControl w:val="0"/>
              <w:kinsoku/>
              <w:autoSpaceDE/>
              <w:autoSpaceDN/>
              <w:snapToGrid/>
              <w:spacing w:line="288" w:lineRule="auto"/>
              <w:jc w:val="center"/>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8</w:t>
            </w:r>
          </w:p>
        </w:tc>
        <w:tc>
          <w:tcPr>
            <w:tcW w:w="1841" w:type="dxa"/>
            <w:vAlign w:val="center"/>
          </w:tcPr>
          <w:p w14:paraId="6F7D2DEC">
            <w:pPr>
              <w:widowControl w:val="0"/>
              <w:kinsoku/>
              <w:autoSpaceDE/>
              <w:autoSpaceDN/>
              <w:snapToGrid/>
              <w:spacing w:line="288" w:lineRule="auto"/>
              <w:jc w:val="center"/>
              <w:rPr>
                <w:rFonts w:ascii="宋体" w:hAnsi="宋体" w:eastAsia="宋体" w:cs="宋体"/>
                <w:color w:val="auto"/>
                <w:kern w:val="2"/>
                <w:szCs w:val="24"/>
                <w:highlight w:val="none"/>
              </w:rPr>
            </w:pPr>
            <w:r>
              <w:rPr>
                <w:rFonts w:hint="eastAsia" w:ascii="宋体" w:hAnsi="宋体" w:eastAsia="宋体" w:cs="宋体"/>
                <w:color w:val="auto"/>
                <w:kern w:val="2"/>
                <w:szCs w:val="24"/>
                <w:highlight w:val="none"/>
              </w:rPr>
              <w:t>满足国家现行规范规程编制要求</w:t>
            </w:r>
          </w:p>
        </w:tc>
        <w:tc>
          <w:tcPr>
            <w:tcW w:w="2898" w:type="dxa"/>
            <w:vAlign w:val="center"/>
          </w:tcPr>
          <w:p w14:paraId="2AEA89D5">
            <w:pPr>
              <w:widowControl w:val="0"/>
              <w:kinsoku/>
              <w:autoSpaceDE/>
              <w:autoSpaceDN/>
              <w:snapToGrid/>
              <w:spacing w:line="288" w:lineRule="auto"/>
              <w:jc w:val="center"/>
              <w:rPr>
                <w:rFonts w:ascii="宋体" w:hAnsi="宋体" w:eastAsia="宋体" w:cs="宋体"/>
                <w:color w:val="auto"/>
                <w:kern w:val="2"/>
                <w:szCs w:val="24"/>
                <w:highlight w:val="none"/>
              </w:rPr>
            </w:pPr>
            <w:r>
              <w:rPr>
                <w:rFonts w:hint="eastAsia" w:ascii="宋体" w:hAnsi="宋体" w:eastAsia="宋体" w:cs="宋体"/>
                <w:color w:val="auto"/>
                <w:kern w:val="2"/>
                <w:szCs w:val="24"/>
                <w:highlight w:val="none"/>
              </w:rPr>
              <w:t>合同签订日起30天内</w:t>
            </w:r>
          </w:p>
        </w:tc>
      </w:tr>
      <w:tr w14:paraId="490BCA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658" w:type="dxa"/>
            <w:vAlign w:val="center"/>
          </w:tcPr>
          <w:p w14:paraId="70B68095">
            <w:pPr>
              <w:widowControl w:val="0"/>
              <w:kinsoku/>
              <w:autoSpaceDE/>
              <w:autoSpaceDN/>
              <w:snapToGrid/>
              <w:spacing w:line="288" w:lineRule="auto"/>
              <w:jc w:val="center"/>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w:t>
            </w:r>
          </w:p>
        </w:tc>
        <w:tc>
          <w:tcPr>
            <w:tcW w:w="2892" w:type="dxa"/>
            <w:vAlign w:val="center"/>
          </w:tcPr>
          <w:p w14:paraId="3DAB1A05">
            <w:pPr>
              <w:widowControl w:val="0"/>
              <w:kinsoku/>
              <w:autoSpaceDE/>
              <w:autoSpaceDN/>
              <w:snapToGrid/>
              <w:spacing w:line="288" w:lineRule="auto"/>
              <w:jc w:val="center"/>
              <w:rPr>
                <w:rFonts w:ascii="宋体" w:hAnsi="宋体" w:eastAsia="宋体" w:cs="宋体"/>
                <w:color w:val="auto"/>
                <w:kern w:val="2"/>
                <w:szCs w:val="24"/>
                <w:highlight w:val="none"/>
              </w:rPr>
            </w:pPr>
            <w:r>
              <w:rPr>
                <w:rFonts w:hint="eastAsia" w:ascii="宋体" w:hAnsi="宋体" w:eastAsia="宋体" w:cs="宋体"/>
                <w:color w:val="auto"/>
                <w:kern w:val="2"/>
                <w:szCs w:val="24"/>
                <w:highlight w:val="none"/>
              </w:rPr>
              <w:t>施工设计图纸</w:t>
            </w:r>
          </w:p>
        </w:tc>
        <w:tc>
          <w:tcPr>
            <w:tcW w:w="591" w:type="dxa"/>
            <w:vAlign w:val="center"/>
          </w:tcPr>
          <w:p w14:paraId="6817FA85">
            <w:pPr>
              <w:widowControl w:val="0"/>
              <w:kinsoku/>
              <w:autoSpaceDE/>
              <w:autoSpaceDN/>
              <w:snapToGrid/>
              <w:spacing w:line="288" w:lineRule="auto"/>
              <w:jc w:val="center"/>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8</w:t>
            </w:r>
          </w:p>
        </w:tc>
        <w:tc>
          <w:tcPr>
            <w:tcW w:w="1841" w:type="dxa"/>
            <w:vAlign w:val="center"/>
          </w:tcPr>
          <w:p w14:paraId="09A37DF4">
            <w:pPr>
              <w:widowControl w:val="0"/>
              <w:kinsoku/>
              <w:autoSpaceDE/>
              <w:autoSpaceDN/>
              <w:snapToGrid/>
              <w:spacing w:line="288" w:lineRule="auto"/>
              <w:jc w:val="center"/>
              <w:rPr>
                <w:rFonts w:ascii="宋体" w:hAnsi="宋体" w:eastAsia="宋体" w:cs="宋体"/>
                <w:color w:val="auto"/>
                <w:kern w:val="2"/>
                <w:szCs w:val="24"/>
                <w:highlight w:val="none"/>
              </w:rPr>
            </w:pPr>
            <w:r>
              <w:rPr>
                <w:rFonts w:hint="eastAsia" w:ascii="宋体" w:hAnsi="宋体" w:eastAsia="宋体" w:cs="宋体"/>
                <w:color w:val="auto"/>
                <w:kern w:val="2"/>
                <w:szCs w:val="24"/>
                <w:highlight w:val="none"/>
              </w:rPr>
              <w:t>满足国家现行规范规程编制要求</w:t>
            </w:r>
          </w:p>
        </w:tc>
        <w:tc>
          <w:tcPr>
            <w:tcW w:w="2898" w:type="dxa"/>
            <w:vAlign w:val="center"/>
          </w:tcPr>
          <w:p w14:paraId="7F521AC2">
            <w:pPr>
              <w:widowControl w:val="0"/>
              <w:kinsoku/>
              <w:autoSpaceDE/>
              <w:autoSpaceDN/>
              <w:snapToGrid/>
              <w:spacing w:line="288" w:lineRule="auto"/>
              <w:jc w:val="center"/>
              <w:rPr>
                <w:rFonts w:ascii="宋体" w:hAnsi="宋体" w:eastAsia="宋体" w:cs="宋体"/>
                <w:color w:val="auto"/>
                <w:kern w:val="2"/>
                <w:szCs w:val="24"/>
                <w:highlight w:val="none"/>
                <w:lang w:bidi="ar"/>
              </w:rPr>
            </w:pPr>
            <w:r>
              <w:rPr>
                <w:rFonts w:hint="eastAsia" w:ascii="宋体" w:hAnsi="宋体" w:eastAsia="宋体" w:cs="宋体"/>
                <w:color w:val="auto"/>
                <w:kern w:val="2"/>
                <w:szCs w:val="24"/>
                <w:highlight w:val="none"/>
                <w:lang w:bidi="ar"/>
              </w:rPr>
              <w:t>初步设计审查批准后</w:t>
            </w:r>
            <w:r>
              <w:rPr>
                <w:rFonts w:hint="eastAsia" w:ascii="宋体" w:hAnsi="宋体" w:eastAsia="宋体" w:cs="宋体"/>
                <w:color w:val="auto"/>
                <w:kern w:val="2"/>
                <w:szCs w:val="24"/>
                <w:highlight w:val="none"/>
              </w:rPr>
              <w:t>15天内</w:t>
            </w:r>
          </w:p>
        </w:tc>
      </w:tr>
      <w:tr w14:paraId="432802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658" w:type="dxa"/>
          </w:tcPr>
          <w:p w14:paraId="503BEE4C">
            <w:pPr>
              <w:widowControl w:val="0"/>
              <w:kinsoku/>
              <w:autoSpaceDE/>
              <w:autoSpaceDN/>
              <w:snapToGrid/>
              <w:spacing w:line="288" w:lineRule="auto"/>
              <w:jc w:val="center"/>
              <w:rPr>
                <w:rFonts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备注</w:t>
            </w:r>
          </w:p>
        </w:tc>
        <w:tc>
          <w:tcPr>
            <w:tcW w:w="8222" w:type="dxa"/>
            <w:gridSpan w:val="4"/>
          </w:tcPr>
          <w:p w14:paraId="53A2E0A9">
            <w:pPr>
              <w:widowControl w:val="0"/>
              <w:kinsoku/>
              <w:autoSpaceDE/>
              <w:autoSpaceDN/>
              <w:snapToGrid/>
              <w:spacing w:line="288" w:lineRule="auto"/>
              <w:jc w:val="both"/>
              <w:rPr>
                <w:rFonts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 xml:space="preserve">以上成果及图纸份数为通过评审后的提供给发包人的份数。评审过程中需要的图纸由设计人按需要提供。成果提交时间应满足业主需求。 </w:t>
            </w:r>
          </w:p>
        </w:tc>
      </w:tr>
    </w:tbl>
    <w:p w14:paraId="30CFF9A3">
      <w:pPr>
        <w:widowControl w:val="0"/>
        <w:kinsoku/>
        <w:autoSpaceDE/>
        <w:autoSpaceDN/>
        <w:snapToGrid/>
        <w:spacing w:line="288" w:lineRule="auto"/>
        <w:jc w:val="both"/>
        <w:rPr>
          <w:rFonts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第七条</w:t>
      </w:r>
      <w:r>
        <w:rPr>
          <w:rFonts w:hint="eastAsia" w:ascii="宋体" w:hAnsi="宋体" w:eastAsia="宋体" w:cs="宋体"/>
          <w:color w:val="auto"/>
          <w:kern w:val="2"/>
          <w:sz w:val="24"/>
          <w:szCs w:val="24"/>
          <w:highlight w:val="none"/>
        </w:rPr>
        <w:tab/>
      </w:r>
      <w:r>
        <w:rPr>
          <w:rFonts w:hint="eastAsia" w:ascii="宋体" w:hAnsi="宋体" w:eastAsia="宋体" w:cs="宋体"/>
          <w:bCs/>
          <w:color w:val="auto"/>
          <w:kern w:val="2"/>
          <w:sz w:val="24"/>
          <w:szCs w:val="24"/>
          <w:highlight w:val="none"/>
        </w:rPr>
        <w:t>费用</w:t>
      </w:r>
    </w:p>
    <w:p w14:paraId="050AD51F">
      <w:pPr>
        <w:widowControl w:val="0"/>
        <w:kinsoku/>
        <w:autoSpaceDE/>
        <w:autoSpaceDN/>
        <w:snapToGrid/>
        <w:spacing w:line="288" w:lineRule="auto"/>
        <w:ind w:firstLine="480" w:firstLineChars="200"/>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7.1本合同的设计费为人民币   万元（大写  元）。中标下浮率为     %。</w:t>
      </w:r>
    </w:p>
    <w:p w14:paraId="44530D95">
      <w:pPr>
        <w:widowControl w:val="0"/>
        <w:kinsoku/>
        <w:autoSpaceDE/>
        <w:autoSpaceDN/>
        <w:snapToGrid/>
        <w:spacing w:line="288" w:lineRule="auto"/>
        <w:ind w:firstLine="480" w:firstLineChars="200"/>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设计费总额包含本合同项目的全部设计费用、设计文件修改费用、招标配合费用、驻场服务费用、配合发包人进行报审及验收工作费用等设计人为完成本项目设计工作所发生的所有费用及税金。工程设计费参照国家发展计划委员会、建设部2002年颁布的《工程勘察设计收费标准》计算，费用浮动幅度为（1-中标下浮率）。在合同实施期间设计费按建设规模和设计工作量调整，但费率浮动幅度不变。国家和地方没有规定的，由双方商定。且该中标价包括专家评审费等。</w:t>
      </w:r>
    </w:p>
    <w:p w14:paraId="7FE62000">
      <w:pPr>
        <w:widowControl w:val="0"/>
        <w:kinsoku/>
        <w:autoSpaceDE/>
        <w:autoSpaceDN/>
        <w:snapToGrid/>
        <w:spacing w:line="288" w:lineRule="auto"/>
        <w:ind w:firstLine="480" w:firstLineChars="200"/>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第八条</w:t>
      </w:r>
      <w:r>
        <w:rPr>
          <w:rFonts w:hint="eastAsia" w:ascii="宋体" w:hAnsi="宋体" w:eastAsia="宋体" w:cs="宋体"/>
          <w:color w:val="auto"/>
          <w:kern w:val="2"/>
          <w:sz w:val="24"/>
          <w:szCs w:val="24"/>
          <w:highlight w:val="none"/>
        </w:rPr>
        <w:tab/>
      </w:r>
      <w:r>
        <w:rPr>
          <w:rFonts w:hint="eastAsia" w:ascii="宋体" w:hAnsi="宋体" w:eastAsia="宋体" w:cs="宋体"/>
          <w:color w:val="auto"/>
          <w:kern w:val="2"/>
          <w:sz w:val="24"/>
          <w:szCs w:val="24"/>
          <w:highlight w:val="none"/>
        </w:rPr>
        <w:t>支付方式</w:t>
      </w:r>
    </w:p>
    <w:p w14:paraId="6CC0EDBA">
      <w:pPr>
        <w:widowControl w:val="0"/>
        <w:kinsoku/>
        <w:autoSpaceDE/>
        <w:autoSpaceDN/>
        <w:snapToGrid/>
        <w:spacing w:line="288" w:lineRule="auto"/>
        <w:ind w:firstLine="480" w:firstLineChars="200"/>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8.1设计费支付办法:本合同生效后，发包人(建设单位)按合同约定向设计人支付设计费。</w:t>
      </w:r>
    </w:p>
    <w:p w14:paraId="3CB9CFCD">
      <w:pPr>
        <w:widowControl w:val="0"/>
        <w:kinsoku/>
        <w:autoSpaceDE/>
        <w:autoSpaceDN/>
        <w:snapToGrid/>
        <w:spacing w:line="288" w:lineRule="auto"/>
        <w:ind w:firstLine="480" w:firstLineChars="200"/>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8.2本合同生效后，发包人(建设单位)以工程项目设计任务书形式下达任务后向设计人支付工程暂定设计费的30%作为预付款。</w:t>
      </w:r>
    </w:p>
    <w:p w14:paraId="632C7151">
      <w:pPr>
        <w:widowControl w:val="0"/>
        <w:kinsoku/>
        <w:autoSpaceDE/>
        <w:autoSpaceDN/>
        <w:snapToGrid/>
        <w:spacing w:line="288" w:lineRule="auto"/>
        <w:ind w:firstLine="480" w:firstLineChars="200"/>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8.3设计费按照工作完成阶段予以支付:</w:t>
      </w:r>
    </w:p>
    <w:p w14:paraId="46510B83">
      <w:pPr>
        <w:widowControl w:val="0"/>
        <w:kinsoku/>
        <w:autoSpaceDE/>
        <w:autoSpaceDN/>
        <w:snapToGrid/>
        <w:spacing w:line="288" w:lineRule="auto"/>
        <w:ind w:firstLine="480" w:firstLineChars="200"/>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8.3.1 设计人完成工程初步设计，经过行政主管部门批复同意，发包人(建设单位)将支付工程设计费用至工程设计合同价的50%。</w:t>
      </w:r>
    </w:p>
    <w:p w14:paraId="78BEF8AB">
      <w:pPr>
        <w:widowControl w:val="0"/>
        <w:kinsoku/>
        <w:autoSpaceDE/>
        <w:autoSpaceDN/>
        <w:snapToGrid/>
        <w:spacing w:line="288" w:lineRule="auto"/>
        <w:ind w:firstLine="480" w:firstLineChars="200"/>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8.3.2 设计人完成工程施工图设计，且其概算经财政部门(或评审机构)评审后，发包人(建设单位)将根据中标单位投标时所报下浮率支付工程设计费用至概算评审价和工程设计合同价之中低者的75%。</w:t>
      </w:r>
    </w:p>
    <w:p w14:paraId="6D7DC76C">
      <w:pPr>
        <w:widowControl w:val="0"/>
        <w:kinsoku/>
        <w:autoSpaceDE/>
        <w:autoSpaceDN/>
        <w:snapToGrid/>
        <w:spacing w:line="288" w:lineRule="auto"/>
        <w:ind w:firstLine="480" w:firstLineChars="200"/>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8.3.3设计人配合现场施工，完成全部设计工作，工程竣工验收后，发包人(建设单位)将根据中标单位投标时所报下浮率支付工程设计费用至概算评审价和工程设计合同价之中低者的90%。</w:t>
      </w:r>
    </w:p>
    <w:p w14:paraId="6457FCDC">
      <w:pPr>
        <w:widowControl w:val="0"/>
        <w:kinsoku/>
        <w:autoSpaceDE/>
        <w:autoSpaceDN/>
        <w:snapToGrid/>
        <w:spacing w:line="288" w:lineRule="auto"/>
        <w:ind w:firstLine="480" w:firstLineChars="200"/>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8.3.4 工程完成结算评审后，发包人(建设单位)向设计人下达结算通知，结合财政部门施工结算价的核减比例进行下浮，作为最终结算价支付至结算价的100%。</w:t>
      </w:r>
    </w:p>
    <w:p w14:paraId="07362C1B">
      <w:pPr>
        <w:widowControl w:val="0"/>
        <w:kinsoku/>
        <w:autoSpaceDE/>
        <w:autoSpaceDN/>
        <w:snapToGrid/>
        <w:spacing w:line="288" w:lineRule="auto"/>
        <w:ind w:firstLine="480" w:firstLineChars="200"/>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8.4双方委托银行代付代收有关费用。</w:t>
      </w:r>
    </w:p>
    <w:p w14:paraId="403BD4C2">
      <w:pPr>
        <w:widowControl w:val="0"/>
        <w:kinsoku/>
        <w:autoSpaceDE/>
        <w:autoSpaceDN/>
        <w:snapToGrid/>
        <w:spacing w:line="288" w:lineRule="auto"/>
        <w:ind w:firstLine="480" w:firstLineChars="200"/>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8.5每次付款前，设计人应提供正式等额有效发票向发包人申请付款，否则发包人有权延期付款且不承担违约责任。</w:t>
      </w:r>
    </w:p>
    <w:p w14:paraId="7A4D2BA2">
      <w:pPr>
        <w:widowControl w:val="0"/>
        <w:kinsoku/>
        <w:autoSpaceDE/>
        <w:autoSpaceDN/>
        <w:snapToGrid/>
        <w:spacing w:line="288" w:lineRule="auto"/>
        <w:ind w:firstLine="480" w:firstLineChars="200"/>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8.6 因发包人使用的是财政资金，按前述规定时间向财政部门提交付款申请视为按期支付。</w:t>
      </w:r>
    </w:p>
    <w:p w14:paraId="3C97B1E2">
      <w:pPr>
        <w:widowControl w:val="0"/>
        <w:kinsoku/>
        <w:autoSpaceDE/>
        <w:autoSpaceDN/>
        <w:snapToGrid/>
        <w:spacing w:line="288" w:lineRule="auto"/>
        <w:jc w:val="both"/>
        <w:rPr>
          <w:rFonts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第九条</w:t>
      </w:r>
      <w:r>
        <w:rPr>
          <w:rFonts w:hint="eastAsia" w:ascii="宋体" w:hAnsi="宋体" w:eastAsia="宋体" w:cs="宋体"/>
          <w:color w:val="auto"/>
          <w:kern w:val="2"/>
          <w:sz w:val="24"/>
          <w:szCs w:val="24"/>
          <w:highlight w:val="none"/>
        </w:rPr>
        <w:tab/>
      </w:r>
      <w:r>
        <w:rPr>
          <w:rFonts w:hint="eastAsia" w:ascii="宋体" w:hAnsi="宋体" w:eastAsia="宋体" w:cs="宋体"/>
          <w:color w:val="auto"/>
          <w:kern w:val="2"/>
          <w:sz w:val="24"/>
          <w:szCs w:val="24"/>
          <w:highlight w:val="none"/>
        </w:rPr>
        <w:t>双方责任</w:t>
      </w:r>
    </w:p>
    <w:p w14:paraId="3B1AE80A">
      <w:pPr>
        <w:widowControl w:val="0"/>
        <w:kinsoku/>
        <w:autoSpaceDE/>
        <w:autoSpaceDN/>
        <w:snapToGrid/>
        <w:spacing w:line="288" w:lineRule="auto"/>
        <w:ind w:firstLine="420"/>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9.1发包人（建设单位）责任</w:t>
      </w:r>
    </w:p>
    <w:p w14:paraId="7FC401E7">
      <w:pPr>
        <w:widowControl w:val="0"/>
        <w:kinsoku/>
        <w:autoSpaceDE/>
        <w:autoSpaceDN/>
        <w:snapToGrid/>
        <w:spacing w:line="288" w:lineRule="auto"/>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xml:space="preserve">   9.1.1发包人（建设单位）按本合同第五条规定的内容，在规定的时间内向设计人提交基础资料及文件，并对其完整性、正确性及时限负责。发包人（建设单位）不得要求设计人违反国家有关标准进行设计。发包人（建设单位）提交上述资料及文件超过规定期限10工作日以内，设计人按本合同第六条规定的交付设计文件时间顺延；发包人（建设单位）交付上述资料及文件超过规定期限10工作日以上时，设计人有权重新确定提交设计文件的时间。</w:t>
      </w:r>
    </w:p>
    <w:p w14:paraId="601D27BE">
      <w:pPr>
        <w:widowControl w:val="0"/>
        <w:kinsoku/>
        <w:autoSpaceDE/>
        <w:autoSpaceDN/>
        <w:snapToGrid/>
        <w:spacing w:line="288" w:lineRule="auto"/>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xml:space="preserve">    9.1.2发包人（建设单位）变更委托设计项目、规模、条件或因提交的资料错误，或所提交资料作较大修改，以致造成设计人设计返工时，按发包人（建设单位）设计变更管理办法等相关规定执行。</w:t>
      </w:r>
    </w:p>
    <w:p w14:paraId="227463EB">
      <w:pPr>
        <w:widowControl w:val="0"/>
        <w:kinsoku/>
        <w:autoSpaceDE/>
        <w:autoSpaceDN/>
        <w:snapToGrid/>
        <w:spacing w:line="288" w:lineRule="auto"/>
        <w:ind w:firstLine="480" w:firstLineChars="200"/>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在未签订合同前发包人已同意，设计人为发包人（建设单位）所做的各项设计工作，发包人（建设单位）应支付相应设计费。</w:t>
      </w:r>
    </w:p>
    <w:p w14:paraId="79F3F76A">
      <w:pPr>
        <w:widowControl w:val="0"/>
        <w:kinsoku/>
        <w:autoSpaceDE/>
        <w:autoSpaceDN/>
        <w:snapToGrid/>
        <w:spacing w:line="288" w:lineRule="auto"/>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xml:space="preserve">    9.1.3在合同履行期间，发包人（建设单位）要求终止或解除合同，已开始设计工作的，发包人（建设单位）根据设计人已进行的实际工作量按实进行结算。</w:t>
      </w:r>
    </w:p>
    <w:p w14:paraId="6E5EB3D5">
      <w:pPr>
        <w:widowControl w:val="0"/>
        <w:kinsoku/>
        <w:autoSpaceDE/>
        <w:autoSpaceDN/>
        <w:snapToGrid/>
        <w:spacing w:line="288" w:lineRule="auto"/>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xml:space="preserve">        9.1.4发包人（建设单位）要求设计人比合同规定时间提前交付设计文件时，须征得设计人同意，不得严重背离合理设计周期。</w:t>
      </w:r>
    </w:p>
    <w:p w14:paraId="051D2A34">
      <w:pPr>
        <w:widowControl w:val="0"/>
        <w:kinsoku/>
        <w:autoSpaceDE/>
        <w:autoSpaceDN/>
        <w:snapToGrid/>
        <w:spacing w:line="288" w:lineRule="auto"/>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xml:space="preserve">    9.2设计人责任</w:t>
      </w:r>
    </w:p>
    <w:p w14:paraId="6CEA8DC8">
      <w:pPr>
        <w:widowControl w:val="0"/>
        <w:kinsoku/>
        <w:autoSpaceDE/>
        <w:autoSpaceDN/>
        <w:snapToGrid/>
        <w:spacing w:line="288" w:lineRule="auto"/>
        <w:ind w:firstLine="480" w:firstLineChars="200"/>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9.2.1设计人应按合同约定的技术规范、标准进行设计，按本合同第六条规定的内容、时间及份数向发包人（建设单位）交付设计文件（出现9.1.1、9.1.2规定有关交付设计文件顺延的情况除外）。</w:t>
      </w:r>
    </w:p>
    <w:p w14:paraId="1B75E8B0">
      <w:pPr>
        <w:widowControl w:val="0"/>
        <w:kinsoku/>
        <w:autoSpaceDE/>
        <w:autoSpaceDN/>
        <w:snapToGrid/>
        <w:spacing w:line="288" w:lineRule="auto"/>
        <w:ind w:firstLine="480" w:firstLineChars="200"/>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初步设计审查应在发包人（建设单位）要求时间内完成，施工期间的设计变更应在发包人（建设单位）要求的时间内完成，原则上不影响施工进度。</w:t>
      </w:r>
    </w:p>
    <w:p w14:paraId="0BB1434E">
      <w:pPr>
        <w:widowControl w:val="0"/>
        <w:kinsoku/>
        <w:autoSpaceDE/>
        <w:autoSpaceDN/>
        <w:snapToGrid/>
        <w:spacing w:line="288" w:lineRule="auto"/>
        <w:ind w:firstLine="480" w:firstLineChars="200"/>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设计人在完成全部的设计工作后，应提供三份完整的未加密的可编辑的施工图设计电子版给发包人（建设单位）。同时按照发包人（建设单位）的要求提供相应的施工图设计文件。</w:t>
      </w:r>
    </w:p>
    <w:p w14:paraId="7EB1B957">
      <w:pPr>
        <w:widowControl w:val="0"/>
        <w:kinsoku/>
        <w:autoSpaceDE/>
        <w:autoSpaceDN/>
        <w:snapToGrid/>
        <w:spacing w:line="288" w:lineRule="auto"/>
        <w:ind w:firstLine="480" w:firstLineChars="200"/>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设计人应按照发包人（建设单位）的书面要求予以设计变更。</w:t>
      </w:r>
    </w:p>
    <w:p w14:paraId="0711D268">
      <w:pPr>
        <w:widowControl w:val="0"/>
        <w:kinsoku/>
        <w:autoSpaceDE/>
        <w:autoSpaceDN/>
        <w:snapToGrid/>
        <w:spacing w:line="288" w:lineRule="auto"/>
        <w:ind w:firstLine="480" w:firstLineChars="200"/>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在召开设计变更审查会议后的5个日历天内，设计人必须完成设计变更图纸。未按时提交图纸或图纸质量不符合要求的，处以1万元/日历天罚款，并在进度款中扣除。</w:t>
      </w:r>
    </w:p>
    <w:p w14:paraId="6C4C6C4F">
      <w:pPr>
        <w:widowControl w:val="0"/>
        <w:kinsoku/>
        <w:autoSpaceDE/>
        <w:autoSpaceDN/>
        <w:snapToGrid/>
        <w:spacing w:line="288" w:lineRule="auto"/>
        <w:ind w:firstLine="480" w:firstLineChars="200"/>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补充设计变更后，设计人应及时编制变更设计预算，作为调整概算的依据，工程完工验收后，如实际发生工程费用超过原审批概算，则设计人需按发包人（建设单位）要求调整概算。</w:t>
      </w:r>
    </w:p>
    <w:p w14:paraId="63D21341">
      <w:pPr>
        <w:widowControl w:val="0"/>
        <w:kinsoku/>
        <w:autoSpaceDE/>
        <w:autoSpaceDN/>
        <w:snapToGrid/>
        <w:spacing w:line="288" w:lineRule="auto"/>
        <w:ind w:firstLine="420"/>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9.2.2设计合理使用年限按国家及地方有关技术规范。</w:t>
      </w:r>
    </w:p>
    <w:p w14:paraId="13967591">
      <w:pPr>
        <w:widowControl w:val="0"/>
        <w:kinsoku/>
        <w:autoSpaceDE/>
        <w:autoSpaceDN/>
        <w:snapToGrid/>
        <w:spacing w:line="288" w:lineRule="auto"/>
        <w:ind w:firstLine="420"/>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9.2．3设计人对设计文件出现的遗漏或错误负责修改或补充。由于设计人设计错误造成工程质量事故损失，设计人除负责采取补救措施外，应免收受损失部分的设计费，并根据损失程度向发包人（建设单位）支付赔偿金，</w:t>
      </w:r>
      <w:r>
        <w:rPr>
          <w:rFonts w:hint="eastAsia" w:ascii="宋体" w:hAnsi="宋体" w:eastAsia="宋体" w:cs="宋体"/>
          <w:color w:val="auto"/>
          <w:kern w:val="2"/>
          <w:sz w:val="24"/>
          <w:szCs w:val="24"/>
          <w:highlight w:val="none"/>
          <w:u w:val="single"/>
        </w:rPr>
        <w:t>赔偿金数额为直接受损部分的设计费的50%。直至扣除全部设计费为止。</w:t>
      </w:r>
    </w:p>
    <w:p w14:paraId="3ADAD3BF">
      <w:pPr>
        <w:widowControl w:val="0"/>
        <w:kinsoku/>
        <w:autoSpaceDE/>
        <w:autoSpaceDN/>
        <w:snapToGrid/>
        <w:spacing w:line="288" w:lineRule="auto"/>
        <w:ind w:firstLine="420"/>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由于设计人原因造成的设计不能实施的部分，发包人（建设单位）将扣除相应的设计费用；由于设计人对现场勘察不详等原因造成的设计变更每次扣罚1%的设计费。</w:t>
      </w:r>
    </w:p>
    <w:p w14:paraId="5A6936DD">
      <w:pPr>
        <w:widowControl w:val="0"/>
        <w:kinsoku/>
        <w:autoSpaceDE/>
        <w:autoSpaceDN/>
        <w:snapToGrid/>
        <w:spacing w:line="288" w:lineRule="auto"/>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xml:space="preserve">    9.2.4</w:t>
      </w:r>
      <w:r>
        <w:rPr>
          <w:rFonts w:hint="eastAsia" w:ascii="宋体" w:hAnsi="宋体" w:eastAsia="宋体" w:cs="宋体"/>
          <w:color w:val="auto"/>
          <w:kern w:val="2"/>
          <w:sz w:val="24"/>
          <w:szCs w:val="24"/>
          <w:highlight w:val="none"/>
          <w:u w:val="single"/>
          <w:lang w:bidi="ar"/>
        </w:rPr>
        <w:t>设计人</w:t>
      </w:r>
      <w:r>
        <w:rPr>
          <w:rFonts w:hint="eastAsia" w:ascii="宋体" w:hAnsi="宋体" w:eastAsia="宋体" w:cs="宋体"/>
          <w:bCs/>
          <w:color w:val="auto"/>
          <w:kern w:val="2"/>
          <w:sz w:val="24"/>
          <w:szCs w:val="24"/>
          <w:highlight w:val="none"/>
          <w:u w:val="single"/>
        </w:rPr>
        <w:t>应在设计合同签订后30日历天内完成初步设计，初步设计审查批准后15日历天内完成施工图设计，施工图设计文件经审查发现问题后5日历天内完成补充、修改，施工图设计文件补充完善后10日历天</w:t>
      </w:r>
      <w:r>
        <w:rPr>
          <w:rFonts w:hint="eastAsia" w:ascii="宋体" w:hAnsi="宋体" w:eastAsia="宋体" w:cs="宋体"/>
          <w:color w:val="auto"/>
          <w:kern w:val="2"/>
          <w:sz w:val="24"/>
          <w:szCs w:val="24"/>
          <w:highlight w:val="none"/>
          <w:u w:val="single"/>
          <w:lang w:bidi="ar"/>
        </w:rPr>
        <w:t>通过最终审查</w:t>
      </w:r>
      <w:r>
        <w:rPr>
          <w:rFonts w:hint="eastAsia" w:ascii="宋体" w:hAnsi="宋体" w:eastAsia="宋体" w:cs="宋体"/>
          <w:bCs/>
          <w:color w:val="auto"/>
          <w:kern w:val="2"/>
          <w:sz w:val="24"/>
          <w:szCs w:val="24"/>
          <w:highlight w:val="none"/>
          <w:u w:val="single"/>
        </w:rPr>
        <w:t>。如果延误工期，承包人向发包人</w:t>
      </w:r>
      <w:r>
        <w:rPr>
          <w:rFonts w:hint="eastAsia" w:ascii="宋体" w:hAnsi="宋体" w:eastAsia="宋体" w:cs="宋体"/>
          <w:color w:val="auto"/>
          <w:kern w:val="2"/>
          <w:sz w:val="24"/>
          <w:szCs w:val="24"/>
          <w:highlight w:val="none"/>
          <w:u w:val="single"/>
          <w:lang w:bidi="ar"/>
        </w:rPr>
        <w:t>支付的误期损害赔偿费每天为最终合同价格的0.1%；误期损害赔偿费的最高限额为最终合同价格的20%。</w:t>
      </w:r>
    </w:p>
    <w:p w14:paraId="66744C60">
      <w:pPr>
        <w:widowControl w:val="0"/>
        <w:kinsoku/>
        <w:autoSpaceDE/>
        <w:autoSpaceDN/>
        <w:snapToGrid/>
        <w:spacing w:line="288" w:lineRule="auto"/>
        <w:ind w:firstLine="420"/>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9.2.5合同生效后，设计人不履行或要求终止或解除合同，设计人须返还双倍已支付的设计费。</w:t>
      </w:r>
    </w:p>
    <w:p w14:paraId="4D1E6CD7">
      <w:pPr>
        <w:widowControl w:val="0"/>
        <w:kinsoku/>
        <w:autoSpaceDE/>
        <w:autoSpaceDN/>
        <w:snapToGrid/>
        <w:spacing w:line="288" w:lineRule="auto"/>
        <w:ind w:firstLine="420"/>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9.2.6设计人交付设计文件后，按规定参加有关上级的设计审查，并根据审查结论负责不超出原定范围的内容做必要调整补充。设计人按合同规定时限交付设计文件，负责向发包人（建设单位）及施工单位进行设计交底、处理有关设计问题和参加竣工验收。</w:t>
      </w:r>
    </w:p>
    <w:p w14:paraId="0F3D152E">
      <w:pPr>
        <w:widowControl w:val="0"/>
        <w:kinsoku/>
        <w:autoSpaceDE/>
        <w:autoSpaceDN/>
        <w:snapToGrid/>
        <w:spacing w:line="288" w:lineRule="auto"/>
        <w:ind w:firstLine="420"/>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9.2.7对于工程设计变更相关事宜,设计人应严格按照本合同的规定执行。</w:t>
      </w:r>
    </w:p>
    <w:p w14:paraId="248E706E">
      <w:pPr>
        <w:widowControl w:val="0"/>
        <w:kinsoku/>
        <w:autoSpaceDE/>
        <w:autoSpaceDN/>
        <w:snapToGrid/>
        <w:spacing w:line="288" w:lineRule="auto"/>
        <w:ind w:firstLine="420"/>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9.2.8 对于深基坑和负责编制大型临时工程的施工图纸，如大规模的导水、改水、围堰方案、交通疏导、改道方案、建构筑物的特殊支护、大型的施工便道、便桥等，设计人需按照上级行政部门的要求完成审查程序,并提供满足施工要求的设计图给发包人（建设单位）。</w:t>
      </w:r>
    </w:p>
    <w:p w14:paraId="6357793D">
      <w:pPr>
        <w:widowControl w:val="0"/>
        <w:kinsoku/>
        <w:autoSpaceDE/>
        <w:autoSpaceDN/>
        <w:snapToGrid/>
        <w:spacing w:line="288" w:lineRule="auto"/>
        <w:ind w:firstLine="420"/>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9.2.9设计人需配合招标工作，按发包人的要求提供满足招标使用的图纸、技术文件，并且初步设计概算应报送市财政部门进行财政投资评审，评审结果作为招标的参考依据。费用包括在投标报价中。</w:t>
      </w:r>
    </w:p>
    <w:p w14:paraId="53B25BAB">
      <w:pPr>
        <w:widowControl w:val="0"/>
        <w:kinsoku/>
        <w:autoSpaceDE/>
        <w:autoSpaceDN/>
        <w:snapToGrid/>
        <w:spacing w:line="288" w:lineRule="auto"/>
        <w:ind w:firstLine="420"/>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9.2.10按发包人（建设单位）要求派驻项目负责人驻场，项目负责人作为现场代表驻场的费用已包含在设计费中，若现场代表未按业主要求按时处理现场问题，发包人（建设单位）有权扣减设计费的0.05％/月。</w:t>
      </w:r>
    </w:p>
    <w:p w14:paraId="60A7EF39">
      <w:pPr>
        <w:widowControl w:val="0"/>
        <w:kinsoku/>
        <w:autoSpaceDE/>
        <w:autoSpaceDN/>
        <w:snapToGrid/>
        <w:spacing w:line="288" w:lineRule="auto"/>
        <w:ind w:firstLine="420"/>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9.2.11本设计项目施工过程中，设计人必须派出合适人员参与按有关规定须有设计人参加的各部位的验收，若发现设计人不到场，根据对发包人（建设单位）的影响程度，每次不到场罚款1万元。</w:t>
      </w:r>
    </w:p>
    <w:p w14:paraId="7108B7F0">
      <w:pPr>
        <w:widowControl w:val="0"/>
        <w:kinsoku/>
        <w:autoSpaceDE/>
        <w:autoSpaceDN/>
        <w:snapToGrid/>
        <w:spacing w:line="288" w:lineRule="auto"/>
        <w:ind w:firstLine="420"/>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9.2.12本设计项目由设计人负责配合建设单位开展报建工作。</w:t>
      </w:r>
    </w:p>
    <w:p w14:paraId="2A164FCE">
      <w:pPr>
        <w:widowControl w:val="0"/>
        <w:kinsoku/>
        <w:autoSpaceDE/>
        <w:autoSpaceDN/>
        <w:snapToGrid/>
        <w:spacing w:line="288" w:lineRule="auto"/>
        <w:ind w:firstLine="420"/>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9.2.13在整个工作期间，无论是在工作现场之内或之外，设计人都必须严格遵守国家、各级政府及工作所在地有关部门制定的关于环境保护、安全、保卫工作等方面的条例，并承担由此而引起的一切财务损失、人身伤害的经济和法律责任。</w:t>
      </w:r>
    </w:p>
    <w:p w14:paraId="1701B8F0">
      <w:pPr>
        <w:widowControl w:val="0"/>
        <w:kinsoku/>
        <w:autoSpaceDE/>
        <w:autoSpaceDN/>
        <w:snapToGrid/>
        <w:spacing w:line="288" w:lineRule="auto"/>
        <w:ind w:firstLine="420"/>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9.2.14设计人应为与本工程相关的咨询工作提供技术协助；应派专人长期驻施工现场进行配合与解决有关问题，并为其进出工作现场的人员提供必要的劳动保护装备及交通便利（相关费用已包括在设计费中）。</w:t>
      </w:r>
    </w:p>
    <w:p w14:paraId="28BC977B">
      <w:pPr>
        <w:widowControl w:val="0"/>
        <w:kinsoku/>
        <w:autoSpaceDE/>
        <w:autoSpaceDN/>
        <w:snapToGrid/>
        <w:spacing w:line="288" w:lineRule="auto"/>
        <w:ind w:firstLine="420"/>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9.2.15设计人在进行主体工程设计的同时，应对安全设施进行设计，并满足国家的有关规定、规范要求。</w:t>
      </w:r>
    </w:p>
    <w:p w14:paraId="620F7333">
      <w:pPr>
        <w:widowControl w:val="0"/>
        <w:kinsoku/>
        <w:autoSpaceDE/>
        <w:autoSpaceDN/>
        <w:snapToGrid/>
        <w:spacing w:line="288" w:lineRule="auto"/>
        <w:ind w:firstLine="420"/>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9.2.16设计人应对多个备选的设计方案进行技术经济比选，并详细摸查工程实施地点的地质条件和征地借地施工可行性等情况。</w:t>
      </w:r>
    </w:p>
    <w:p w14:paraId="56FE566E">
      <w:pPr>
        <w:widowControl w:val="0"/>
        <w:kinsoku/>
        <w:autoSpaceDE/>
        <w:autoSpaceDN/>
        <w:snapToGrid/>
        <w:spacing w:line="288" w:lineRule="auto"/>
        <w:ind w:firstLine="420"/>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9.2.17设计人应对设计方案的投资进行控制，初步设计概算总投资（包括工程费用、征地拆迁费用等，除征地拆迁费用因按照政府部门提高补偿标准外）不能超过可行性研究的估算总投资；施工图设计（含设计变更）应控制在概算的工程费内（如有非设计人原因造成的重大设计变更，双方再行协商签订补充协议）。</w:t>
      </w:r>
    </w:p>
    <w:p w14:paraId="188591E2">
      <w:pPr>
        <w:widowControl w:val="0"/>
        <w:kinsoku/>
        <w:autoSpaceDE/>
        <w:autoSpaceDN/>
        <w:snapToGrid/>
        <w:spacing w:line="288" w:lineRule="auto"/>
        <w:ind w:firstLine="420"/>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9.2.18设计人在履行合同过程中应严格执行其投标文件中的任何承诺，发包人（建设单位）不接受设计人低于发包人（建设单位）要求的承诺。设计人承诺投入人员配备标准满足招标文件附录3且须按发包人（建设单位）提供相关办公设备及巡查车辆等。</w:t>
      </w:r>
    </w:p>
    <w:p w14:paraId="1F4B5D35">
      <w:pPr>
        <w:widowControl w:val="0"/>
        <w:kinsoku/>
        <w:autoSpaceDE/>
        <w:autoSpaceDN/>
        <w:snapToGrid/>
        <w:spacing w:line="288" w:lineRule="auto"/>
        <w:ind w:firstLine="420"/>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9.2.19设计人违约责任的承诺：承包人向发包人承诺：承包人在工程建设中如违反了相关法律、法规、规章、规程等，或者本项目被区级以上行政管理部门书面通报三次或以上的，或者所承接的增城区不同水务项目一年内被区级以上行政管理部门书面通报三次或以上的，承包人无条件接受发包人上报行业行政管理部门两年内不得承接广州市增城区各级财政投资的水务建设项目，并向社会予以公开。</w:t>
      </w:r>
    </w:p>
    <w:p w14:paraId="671BC875">
      <w:pPr>
        <w:widowControl w:val="0"/>
        <w:kinsoku/>
        <w:autoSpaceDE/>
        <w:autoSpaceDN/>
        <w:snapToGrid/>
        <w:spacing w:line="288" w:lineRule="auto"/>
        <w:ind w:firstLine="420"/>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9.2.20（一）如被发现过度设计的问题，承包人无条件接受发包人不予支付设计费用的处罚，并且三年内不再参与广州市增城区各级财政投资的水务工程的设计工作。（二）设计报告在提交主管部门后，区水务技术中心发出三次（或以上）修改完善通知书的，发包人可单方面解除合同，并要求承包人赔偿损失。</w:t>
      </w:r>
    </w:p>
    <w:p w14:paraId="115A3661">
      <w:pPr>
        <w:widowControl w:val="0"/>
        <w:kinsoku/>
        <w:autoSpaceDE/>
        <w:autoSpaceDN/>
        <w:snapToGrid/>
        <w:spacing w:line="288" w:lineRule="auto"/>
        <w:ind w:firstLine="420"/>
        <w:jc w:val="both"/>
        <w:rPr>
          <w:rFonts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第十条</w:t>
      </w:r>
      <w:r>
        <w:rPr>
          <w:rFonts w:hint="eastAsia" w:ascii="宋体" w:hAnsi="宋体" w:eastAsia="宋体" w:cs="宋体"/>
          <w:color w:val="auto"/>
          <w:kern w:val="2"/>
          <w:sz w:val="24"/>
          <w:szCs w:val="24"/>
          <w:highlight w:val="none"/>
        </w:rPr>
        <w:tab/>
      </w:r>
      <w:r>
        <w:rPr>
          <w:rFonts w:hint="eastAsia" w:ascii="宋体" w:hAnsi="宋体" w:eastAsia="宋体" w:cs="宋体"/>
          <w:color w:val="auto"/>
          <w:kern w:val="2"/>
          <w:sz w:val="24"/>
          <w:szCs w:val="24"/>
          <w:highlight w:val="none"/>
        </w:rPr>
        <w:t>保密</w:t>
      </w:r>
    </w:p>
    <w:p w14:paraId="0F460DC6">
      <w:pPr>
        <w:widowControl w:val="0"/>
        <w:kinsoku/>
        <w:autoSpaceDE/>
        <w:autoSpaceDN/>
        <w:snapToGrid/>
        <w:spacing w:line="288" w:lineRule="auto"/>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双方均应保护对方的知识产权，未经对方同意，任何一方均不得对对方的资料及文件擅自修改、复制或向第三人转让或用于本合同项目外的项目。如发生以上情况，泄密方承担一切由此引起的后果并承担赔偿责任。</w:t>
      </w:r>
    </w:p>
    <w:p w14:paraId="337E196B">
      <w:pPr>
        <w:widowControl w:val="0"/>
        <w:kinsoku/>
        <w:autoSpaceDE/>
        <w:autoSpaceDN/>
        <w:snapToGrid/>
        <w:spacing w:line="288" w:lineRule="auto"/>
        <w:ind w:firstLine="420"/>
        <w:jc w:val="both"/>
        <w:rPr>
          <w:rFonts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第十一条</w:t>
      </w:r>
      <w:r>
        <w:rPr>
          <w:rFonts w:hint="eastAsia" w:ascii="宋体" w:hAnsi="宋体" w:eastAsia="宋体" w:cs="宋体"/>
          <w:color w:val="auto"/>
          <w:kern w:val="2"/>
          <w:sz w:val="24"/>
          <w:szCs w:val="24"/>
          <w:highlight w:val="none"/>
        </w:rPr>
        <w:tab/>
      </w:r>
      <w:r>
        <w:rPr>
          <w:rFonts w:hint="eastAsia" w:ascii="宋体" w:hAnsi="宋体" w:eastAsia="宋体" w:cs="宋体"/>
          <w:color w:val="auto"/>
          <w:kern w:val="2"/>
          <w:sz w:val="24"/>
          <w:szCs w:val="24"/>
          <w:highlight w:val="none"/>
        </w:rPr>
        <w:t>仲裁、起诉</w:t>
      </w:r>
    </w:p>
    <w:p w14:paraId="21A01C89">
      <w:pPr>
        <w:widowControl w:val="0"/>
        <w:kinsoku/>
        <w:autoSpaceDE/>
        <w:autoSpaceDN/>
        <w:snapToGrid/>
        <w:spacing w:line="288" w:lineRule="auto"/>
        <w:ind w:firstLine="420"/>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本合同履行过程中发生争议，由双方当事人协商解决。调解不成的按下列第二种方式解决。</w:t>
      </w:r>
    </w:p>
    <w:p w14:paraId="16C70EA1">
      <w:pPr>
        <w:widowControl w:val="0"/>
        <w:kinsoku/>
        <w:autoSpaceDE/>
        <w:autoSpaceDN/>
        <w:snapToGrid/>
        <w:spacing w:line="288" w:lineRule="auto"/>
        <w:ind w:firstLine="420"/>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（一）提交广州仲裁委员会仲裁；</w:t>
      </w:r>
    </w:p>
    <w:p w14:paraId="27DD9581">
      <w:pPr>
        <w:widowControl w:val="0"/>
        <w:kinsoku/>
        <w:autoSpaceDE/>
        <w:autoSpaceDN/>
        <w:snapToGrid/>
        <w:spacing w:line="288" w:lineRule="auto"/>
        <w:ind w:firstLine="420"/>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（二）依法向发包人所在地的人民法院起诉。</w:t>
      </w:r>
    </w:p>
    <w:p w14:paraId="05D4D3A6">
      <w:pPr>
        <w:widowControl w:val="0"/>
        <w:kinsoku/>
        <w:autoSpaceDE/>
        <w:autoSpaceDN/>
        <w:snapToGrid/>
        <w:spacing w:line="288" w:lineRule="auto"/>
        <w:jc w:val="both"/>
        <w:rPr>
          <w:rFonts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第十二条</w:t>
      </w:r>
      <w:r>
        <w:rPr>
          <w:rFonts w:hint="eastAsia" w:ascii="宋体" w:hAnsi="宋体" w:eastAsia="宋体" w:cs="宋体"/>
          <w:color w:val="auto"/>
          <w:kern w:val="2"/>
          <w:sz w:val="24"/>
          <w:szCs w:val="24"/>
          <w:highlight w:val="none"/>
        </w:rPr>
        <w:tab/>
      </w:r>
      <w:r>
        <w:rPr>
          <w:rFonts w:hint="eastAsia" w:ascii="宋体" w:hAnsi="宋体" w:eastAsia="宋体" w:cs="宋体"/>
          <w:color w:val="auto"/>
          <w:kern w:val="2"/>
          <w:sz w:val="24"/>
          <w:szCs w:val="24"/>
          <w:highlight w:val="none"/>
        </w:rPr>
        <w:t>合同生效及其他</w:t>
      </w:r>
    </w:p>
    <w:p w14:paraId="080F6CB4">
      <w:pPr>
        <w:widowControl w:val="0"/>
        <w:kinsoku/>
        <w:autoSpaceDE/>
        <w:autoSpaceDN/>
        <w:snapToGrid/>
        <w:spacing w:line="288" w:lineRule="auto"/>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xml:space="preserve">    12.1发包人（建设单位）要求设计人派专人长期驻施工现场进行配合与解决有关问题时，设计人应无条件同意。</w:t>
      </w:r>
    </w:p>
    <w:p w14:paraId="50FCDCDF">
      <w:pPr>
        <w:widowControl w:val="0"/>
        <w:kinsoku/>
        <w:autoSpaceDE/>
        <w:autoSpaceDN/>
        <w:snapToGrid/>
        <w:spacing w:line="288" w:lineRule="auto"/>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xml:space="preserve">    12.2设计人为本合同项目的服务至项目竣工验收结束为止。</w:t>
      </w:r>
    </w:p>
    <w:p w14:paraId="49E07FA9">
      <w:pPr>
        <w:widowControl w:val="0"/>
        <w:kinsoku/>
        <w:autoSpaceDE/>
        <w:autoSpaceDN/>
        <w:snapToGrid/>
        <w:spacing w:line="288" w:lineRule="auto"/>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xml:space="preserve">    12.3本工程项目中，设计人不得指定建筑材料、设备的生产厂或供货商。发包人（建设单位）需要设计人配合建筑材料、设备的加工订货时，所需费用由发包人（建设单位）人承担。</w:t>
      </w:r>
    </w:p>
    <w:p w14:paraId="2BCADCB9">
      <w:pPr>
        <w:widowControl w:val="0"/>
        <w:kinsoku/>
        <w:autoSpaceDE/>
        <w:autoSpaceDN/>
        <w:snapToGrid/>
        <w:spacing w:line="288" w:lineRule="auto"/>
        <w:ind w:firstLine="420"/>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12.4发包人（建设单位）委托设计人配合引进项目的设计任务，从询价、对外谈判、国内外技术考察直至建成投产的各个阶段，应通知有关设计任务的设计人员参加。</w:t>
      </w:r>
    </w:p>
    <w:p w14:paraId="04C13C48">
      <w:pPr>
        <w:widowControl w:val="0"/>
        <w:kinsoku/>
        <w:autoSpaceDE/>
        <w:autoSpaceDN/>
        <w:snapToGrid/>
        <w:spacing w:line="288" w:lineRule="auto"/>
        <w:ind w:firstLine="420"/>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12.5发包人（建设单位）委托设计人承担本合同内容以外的工作服务，另行签订协议并支付费用。</w:t>
      </w:r>
    </w:p>
    <w:p w14:paraId="7551BAAA">
      <w:pPr>
        <w:widowControl w:val="0"/>
        <w:kinsoku/>
        <w:autoSpaceDE/>
        <w:autoSpaceDN/>
        <w:snapToGrid/>
        <w:spacing w:line="288" w:lineRule="auto"/>
        <w:ind w:firstLine="420"/>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12.6当项目的建设业主变更时，发包人（建设单位）应书面通知设计人并协商合同终止或变更事宜。</w:t>
      </w:r>
    </w:p>
    <w:p w14:paraId="6729E608">
      <w:pPr>
        <w:widowControl w:val="0"/>
        <w:kinsoku/>
        <w:autoSpaceDE/>
        <w:autoSpaceDN/>
        <w:snapToGrid/>
        <w:spacing w:line="288" w:lineRule="auto"/>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xml:space="preserve">    12.7由于不可抗力因素致使合同无法履行时，双方应及时协商解决。</w:t>
      </w:r>
    </w:p>
    <w:p w14:paraId="3C73F4C2">
      <w:pPr>
        <w:widowControl w:val="0"/>
        <w:kinsoku/>
        <w:autoSpaceDE/>
        <w:autoSpaceDN/>
        <w:snapToGrid/>
        <w:spacing w:line="288" w:lineRule="auto"/>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xml:space="preserve">    12.8本合同双方签字盖章即生效，一共</w:t>
      </w:r>
      <w:r>
        <w:rPr>
          <w:rFonts w:hint="eastAsia" w:ascii="宋体" w:hAnsi="宋体" w:eastAsia="宋体" w:cs="宋体"/>
          <w:color w:val="auto"/>
          <w:kern w:val="2"/>
          <w:sz w:val="24"/>
          <w:szCs w:val="24"/>
          <w:highlight w:val="none"/>
          <w:u w:val="single"/>
        </w:rPr>
        <w:t xml:space="preserve"> 10 </w:t>
      </w:r>
      <w:r>
        <w:rPr>
          <w:rFonts w:hint="eastAsia" w:ascii="宋体" w:hAnsi="宋体" w:eastAsia="宋体" w:cs="宋体"/>
          <w:color w:val="auto"/>
          <w:kern w:val="2"/>
          <w:sz w:val="24"/>
          <w:szCs w:val="24"/>
          <w:highlight w:val="none"/>
        </w:rPr>
        <w:t>份, 发包人（建设单位）</w:t>
      </w:r>
      <w:r>
        <w:rPr>
          <w:rFonts w:hint="eastAsia" w:ascii="宋体" w:hAnsi="宋体" w:eastAsia="宋体" w:cs="宋体"/>
          <w:color w:val="auto"/>
          <w:kern w:val="2"/>
          <w:sz w:val="24"/>
          <w:szCs w:val="24"/>
          <w:highlight w:val="none"/>
          <w:u w:val="single"/>
        </w:rPr>
        <w:t xml:space="preserve"> 5 </w:t>
      </w:r>
      <w:r>
        <w:rPr>
          <w:rFonts w:hint="eastAsia" w:ascii="宋体" w:hAnsi="宋体" w:eastAsia="宋体" w:cs="宋体"/>
          <w:color w:val="auto"/>
          <w:kern w:val="2"/>
          <w:sz w:val="24"/>
          <w:szCs w:val="24"/>
          <w:highlight w:val="none"/>
        </w:rPr>
        <w:t>份，设计人</w:t>
      </w:r>
      <w:r>
        <w:rPr>
          <w:rFonts w:hint="eastAsia" w:ascii="宋体" w:hAnsi="宋体" w:eastAsia="宋体" w:cs="宋体"/>
          <w:color w:val="auto"/>
          <w:kern w:val="2"/>
          <w:sz w:val="24"/>
          <w:szCs w:val="24"/>
          <w:highlight w:val="none"/>
          <w:u w:val="single"/>
        </w:rPr>
        <w:t xml:space="preserve"> 5 </w:t>
      </w:r>
      <w:r>
        <w:rPr>
          <w:rFonts w:hint="eastAsia" w:ascii="宋体" w:hAnsi="宋体" w:eastAsia="宋体" w:cs="宋体"/>
          <w:color w:val="auto"/>
          <w:kern w:val="2"/>
          <w:sz w:val="24"/>
          <w:szCs w:val="24"/>
          <w:highlight w:val="none"/>
        </w:rPr>
        <w:t>份,其中双方各执正本一份，其余为副本。</w:t>
      </w:r>
    </w:p>
    <w:p w14:paraId="70940D40">
      <w:pPr>
        <w:widowControl w:val="0"/>
        <w:kinsoku/>
        <w:autoSpaceDE/>
        <w:autoSpaceDN/>
        <w:snapToGrid/>
        <w:spacing w:line="288" w:lineRule="auto"/>
        <w:ind w:firstLine="420"/>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12．9双方履行完合同规定的义务后，本合同即行终止。</w:t>
      </w:r>
    </w:p>
    <w:p w14:paraId="009D6183">
      <w:pPr>
        <w:widowControl w:val="0"/>
        <w:kinsoku/>
        <w:autoSpaceDE/>
        <w:autoSpaceDN/>
        <w:snapToGrid/>
        <w:spacing w:line="288" w:lineRule="auto"/>
        <w:ind w:firstLine="420"/>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12．10双方认可的来往电报、传真、会议纪要等，均为合同的组成部分，与本合同具有同等法律效力。</w:t>
      </w:r>
    </w:p>
    <w:p w14:paraId="0F7AF26B">
      <w:pPr>
        <w:widowControl w:val="0"/>
        <w:kinsoku/>
        <w:autoSpaceDE/>
        <w:autoSpaceDN/>
        <w:snapToGrid/>
        <w:spacing w:line="288" w:lineRule="auto"/>
        <w:ind w:firstLine="420"/>
        <w:jc w:val="both"/>
        <w:rPr>
          <w:rFonts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12．11未尽事宜，经双方协商一致，签订补充协议，补充协议与本合同具有同等效力。</w:t>
      </w:r>
    </w:p>
    <w:p w14:paraId="02CF4442">
      <w:pPr>
        <w:widowControl w:val="0"/>
        <w:kinsoku/>
        <w:autoSpaceDE/>
        <w:autoSpaceDN/>
        <w:snapToGrid/>
        <w:ind w:firstLine="480" w:firstLineChars="200"/>
        <w:jc w:val="both"/>
        <w:rPr>
          <w:rFonts w:ascii="宋体" w:hAnsi="宋体" w:eastAsia="宋体" w:cs="宋体"/>
          <w:color w:val="auto"/>
          <w:kern w:val="2"/>
          <w:sz w:val="24"/>
          <w:szCs w:val="24"/>
          <w:highlight w:val="none"/>
        </w:rPr>
      </w:pPr>
    </w:p>
    <w:p w14:paraId="6B5AC5E4">
      <w:pPr>
        <w:widowControl w:val="0"/>
        <w:kinsoku/>
        <w:autoSpaceDE/>
        <w:autoSpaceDN/>
        <w:snapToGrid/>
        <w:ind w:firstLine="480" w:firstLineChars="200"/>
        <w:jc w:val="both"/>
        <w:rPr>
          <w:rFonts w:ascii="仿宋" w:hAnsi="仿宋" w:eastAsia="仿宋" w:cs="仿宋"/>
          <w:color w:val="auto"/>
          <w:kern w:val="2"/>
          <w:sz w:val="24"/>
          <w:szCs w:val="24"/>
          <w:highlight w:val="none"/>
        </w:rPr>
      </w:pPr>
    </w:p>
    <w:p w14:paraId="083BDEB0">
      <w:pPr>
        <w:widowControl w:val="0"/>
        <w:kinsoku/>
        <w:autoSpaceDE/>
        <w:autoSpaceDN/>
        <w:snapToGrid/>
        <w:ind w:firstLine="480" w:firstLineChars="200"/>
        <w:jc w:val="both"/>
        <w:rPr>
          <w:rFonts w:ascii="仿宋" w:hAnsi="仿宋" w:eastAsia="仿宋" w:cs="仿宋"/>
          <w:color w:val="auto"/>
          <w:kern w:val="2"/>
          <w:sz w:val="24"/>
          <w:szCs w:val="24"/>
          <w:highlight w:val="none"/>
        </w:rPr>
      </w:pPr>
    </w:p>
    <w:p w14:paraId="4F997DDC">
      <w:pPr>
        <w:widowControl w:val="0"/>
        <w:kinsoku/>
        <w:autoSpaceDE/>
        <w:autoSpaceDN/>
        <w:snapToGrid/>
        <w:ind w:firstLine="480" w:firstLineChars="200"/>
        <w:jc w:val="both"/>
        <w:rPr>
          <w:rFonts w:ascii="仿宋" w:hAnsi="仿宋" w:eastAsia="仿宋" w:cs="仿宋"/>
          <w:color w:val="auto"/>
          <w:kern w:val="2"/>
          <w:sz w:val="24"/>
          <w:szCs w:val="24"/>
          <w:highlight w:val="none"/>
        </w:rPr>
      </w:pPr>
    </w:p>
    <w:p w14:paraId="19BA8297">
      <w:pPr>
        <w:widowControl w:val="0"/>
        <w:kinsoku/>
        <w:autoSpaceDE/>
        <w:autoSpaceDN/>
        <w:snapToGrid/>
        <w:ind w:firstLine="480" w:firstLineChars="200"/>
        <w:jc w:val="both"/>
        <w:rPr>
          <w:rFonts w:ascii="仿宋" w:hAnsi="仿宋" w:eastAsia="仿宋" w:cs="仿宋"/>
          <w:color w:val="auto"/>
          <w:kern w:val="2"/>
          <w:sz w:val="24"/>
          <w:szCs w:val="24"/>
          <w:highlight w:val="none"/>
        </w:rPr>
      </w:pPr>
    </w:p>
    <w:p w14:paraId="51B782A3">
      <w:pPr>
        <w:pStyle w:val="23"/>
        <w:spacing w:before="3600" w:line="579" w:lineRule="auto"/>
        <w:rPr>
          <w:rFonts w:ascii="宋体" w:hAnsi="宋体"/>
          <w:color w:val="auto"/>
          <w:spacing w:val="5"/>
          <w:sz w:val="52"/>
          <w:szCs w:val="52"/>
          <w:highlight w:val="none"/>
        </w:rPr>
      </w:pPr>
    </w:p>
    <w:p w14:paraId="765F16CE">
      <w:pPr>
        <w:pStyle w:val="23"/>
        <w:autoSpaceDE/>
        <w:autoSpaceDN/>
        <w:spacing w:before="4000" w:line="579" w:lineRule="auto"/>
        <w:rPr>
          <w:rFonts w:ascii="宋体" w:hAnsi="宋体"/>
          <w:color w:val="auto"/>
          <w:spacing w:val="5"/>
          <w:sz w:val="52"/>
          <w:szCs w:val="52"/>
          <w:highlight w:val="none"/>
        </w:rPr>
      </w:pPr>
      <w:r>
        <w:rPr>
          <w:rFonts w:ascii="宋体" w:hAnsi="宋体"/>
          <w:color w:val="auto"/>
          <w:spacing w:val="5"/>
          <w:sz w:val="52"/>
          <w:szCs w:val="52"/>
          <w:highlight w:val="none"/>
        </w:rPr>
        <w:t>第二卷</w:t>
      </w:r>
      <w:bookmarkEnd w:id="410"/>
    </w:p>
    <w:p w14:paraId="23278590">
      <w:pPr>
        <w:pStyle w:val="23"/>
        <w:spacing w:before="5280"/>
        <w:rPr>
          <w:rFonts w:ascii="宋体" w:hAnsi="宋体"/>
          <w:color w:val="auto"/>
          <w:spacing w:val="5"/>
          <w:sz w:val="52"/>
          <w:szCs w:val="52"/>
          <w:highlight w:val="none"/>
        </w:rPr>
        <w:sectPr>
          <w:footerReference r:id="rId15" w:type="default"/>
          <w:pgSz w:w="12240" w:h="15840"/>
          <w:pgMar w:top="1346" w:right="1836" w:bottom="1104" w:left="1836" w:header="0" w:footer="940" w:gutter="0"/>
          <w:cols w:space="720" w:num="1"/>
        </w:sectPr>
      </w:pPr>
    </w:p>
    <w:p w14:paraId="5CE6DA87">
      <w:pPr>
        <w:spacing w:line="279" w:lineRule="auto"/>
        <w:rPr>
          <w:color w:val="auto"/>
          <w:highlight w:val="none"/>
        </w:rPr>
      </w:pPr>
    </w:p>
    <w:p w14:paraId="308251A9">
      <w:pPr>
        <w:spacing w:line="280" w:lineRule="auto"/>
        <w:rPr>
          <w:color w:val="auto"/>
          <w:highlight w:val="none"/>
        </w:rPr>
      </w:pPr>
    </w:p>
    <w:p w14:paraId="7428BA5B">
      <w:pPr>
        <w:spacing w:line="280" w:lineRule="auto"/>
        <w:rPr>
          <w:color w:val="auto"/>
          <w:highlight w:val="none"/>
        </w:rPr>
      </w:pPr>
    </w:p>
    <w:p w14:paraId="1731F5AD">
      <w:pPr>
        <w:spacing w:before="140" w:line="224" w:lineRule="auto"/>
        <w:ind w:left="2537"/>
        <w:outlineLvl w:val="0"/>
        <w:rPr>
          <w:rFonts w:ascii="宋体" w:hAnsi="宋体" w:eastAsia="宋体"/>
          <w:color w:val="auto"/>
          <w:spacing w:val="14"/>
          <w:sz w:val="43"/>
          <w:szCs w:val="43"/>
          <w:highlight w:val="none"/>
        </w:rPr>
      </w:pPr>
      <w:bookmarkStart w:id="411" w:name="_Toc10009"/>
      <w:bookmarkStart w:id="412" w:name="_Toc2562"/>
      <w:bookmarkStart w:id="413" w:name="_Toc22402"/>
      <w:bookmarkStart w:id="414" w:name="_Toc183207166"/>
      <w:r>
        <w:rPr>
          <w:rFonts w:ascii="宋体" w:hAnsi="宋体" w:eastAsia="宋体"/>
          <w:color w:val="auto"/>
          <w:spacing w:val="14"/>
          <w:sz w:val="43"/>
          <w:szCs w:val="43"/>
          <w:highlight w:val="none"/>
        </w:rPr>
        <w:t>第</w:t>
      </w:r>
      <w:r>
        <w:rPr>
          <w:rFonts w:ascii="宋体" w:hAnsi="宋体" w:eastAsia="宋体"/>
          <w:color w:val="auto"/>
          <w:spacing w:val="9"/>
          <w:sz w:val="43"/>
          <w:szCs w:val="43"/>
          <w:highlight w:val="none"/>
        </w:rPr>
        <w:t>五章发包人要求</w:t>
      </w:r>
      <w:bookmarkEnd w:id="411"/>
      <w:bookmarkEnd w:id="412"/>
      <w:bookmarkEnd w:id="413"/>
      <w:bookmarkEnd w:id="414"/>
    </w:p>
    <w:p w14:paraId="47709FEE">
      <w:pPr>
        <w:pStyle w:val="24"/>
        <w:rPr>
          <w:color w:val="auto"/>
          <w:highlight w:val="none"/>
        </w:rPr>
        <w:sectPr>
          <w:footerReference r:id="rId16" w:type="default"/>
          <w:pgSz w:w="12240" w:h="15840"/>
          <w:pgMar w:top="1346" w:right="1836" w:bottom="1104" w:left="1836" w:header="0" w:footer="940" w:gutter="0"/>
          <w:cols w:space="720" w:num="1"/>
        </w:sectPr>
      </w:pPr>
    </w:p>
    <w:p w14:paraId="60023F1D">
      <w:pPr>
        <w:spacing w:before="100" w:line="227" w:lineRule="auto"/>
        <w:ind w:left="3526"/>
        <w:rPr>
          <w:rFonts w:ascii="宋体" w:hAnsi="宋体" w:eastAsia="宋体"/>
          <w:b/>
          <w:bCs/>
          <w:color w:val="auto"/>
          <w:spacing w:val="10"/>
          <w:sz w:val="31"/>
          <w:szCs w:val="31"/>
          <w:highlight w:val="none"/>
        </w:rPr>
      </w:pPr>
      <w:r>
        <w:rPr>
          <w:rFonts w:ascii="宋体" w:hAnsi="宋体" w:eastAsia="宋体"/>
          <w:b/>
          <w:bCs/>
          <w:color w:val="auto"/>
          <w:spacing w:val="10"/>
          <w:sz w:val="31"/>
          <w:szCs w:val="31"/>
          <w:highlight w:val="none"/>
        </w:rPr>
        <w:t>发</w:t>
      </w:r>
      <w:r>
        <w:rPr>
          <w:rFonts w:ascii="宋体" w:hAnsi="宋体" w:eastAsia="宋体"/>
          <w:b/>
          <w:bCs/>
          <w:color w:val="auto"/>
          <w:spacing w:val="7"/>
          <w:sz w:val="31"/>
          <w:szCs w:val="31"/>
          <w:highlight w:val="none"/>
        </w:rPr>
        <w:t>包人要求</w:t>
      </w:r>
    </w:p>
    <w:p w14:paraId="2A0B91B9">
      <w:pPr>
        <w:spacing w:line="360" w:lineRule="auto"/>
        <w:ind w:firstLine="423"/>
        <w:rPr>
          <w:rFonts w:ascii="宋体" w:hAnsi="宋体" w:eastAsia="宋体"/>
          <w:color w:val="auto"/>
          <w:highlight w:val="none"/>
        </w:rPr>
      </w:pPr>
    </w:p>
    <w:p w14:paraId="2596269F">
      <w:pPr>
        <w:spacing w:line="360" w:lineRule="auto"/>
        <w:ind w:left="423"/>
        <w:rPr>
          <w:rFonts w:ascii="宋体" w:hAnsi="宋体" w:eastAsia="宋体"/>
          <w:color w:val="auto"/>
          <w:highlight w:val="none"/>
        </w:rPr>
      </w:pPr>
    </w:p>
    <w:p w14:paraId="72A5EE5D">
      <w:pPr>
        <w:spacing w:line="360" w:lineRule="auto"/>
        <w:rPr>
          <w:rFonts w:ascii="宋体" w:hAnsi="宋体" w:eastAsia="宋体"/>
          <w:b/>
          <w:bCs/>
          <w:color w:val="auto"/>
          <w:spacing w:val="11"/>
          <w:sz w:val="24"/>
          <w:szCs w:val="24"/>
          <w:highlight w:val="none"/>
        </w:rPr>
      </w:pPr>
      <w:bookmarkStart w:id="415" w:name="_Toc25710"/>
      <w:bookmarkStart w:id="416" w:name="_Toc24059"/>
      <w:bookmarkStart w:id="417" w:name="_Toc22385"/>
      <w:bookmarkStart w:id="418" w:name="_Toc8002"/>
      <w:bookmarkStart w:id="419" w:name="_Toc7187"/>
      <w:bookmarkStart w:id="420" w:name="_Toc14544"/>
      <w:r>
        <w:rPr>
          <w:rFonts w:hint="eastAsia" w:ascii="宋体" w:hAnsi="宋体" w:eastAsia="宋体"/>
          <w:b/>
          <w:bCs/>
          <w:color w:val="auto"/>
          <w:spacing w:val="11"/>
          <w:sz w:val="24"/>
          <w:szCs w:val="24"/>
          <w:highlight w:val="none"/>
        </w:rPr>
        <w:t>一</w:t>
      </w:r>
      <w:r>
        <w:rPr>
          <w:rFonts w:hint="eastAsia" w:ascii="宋体" w:hAnsi="宋体" w:eastAsia="宋体"/>
          <w:b/>
          <w:bCs/>
          <w:color w:val="auto"/>
          <w:spacing w:val="7"/>
          <w:sz w:val="24"/>
          <w:szCs w:val="24"/>
          <w:highlight w:val="none"/>
        </w:rPr>
        <w:t>、设计要求</w:t>
      </w:r>
      <w:bookmarkEnd w:id="415"/>
      <w:bookmarkEnd w:id="416"/>
      <w:bookmarkEnd w:id="417"/>
      <w:bookmarkEnd w:id="418"/>
      <w:bookmarkEnd w:id="419"/>
      <w:bookmarkEnd w:id="420"/>
    </w:p>
    <w:p w14:paraId="6C1910F1">
      <w:pPr>
        <w:spacing w:line="360" w:lineRule="auto"/>
        <w:ind w:firstLine="472" w:firstLineChars="200"/>
        <w:rPr>
          <w:rFonts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1.项目概况</w:t>
      </w:r>
    </w:p>
    <w:p w14:paraId="6C52548D">
      <w:pPr>
        <w:pStyle w:val="63"/>
        <w:spacing w:line="360" w:lineRule="auto"/>
        <w:rPr>
          <w:rFonts w:ascii="宋体" w:hAnsi="宋体" w:cs="宋体"/>
          <w:color w:val="auto"/>
          <w:highlight w:val="none"/>
          <w:lang w:bidi="ar"/>
        </w:rPr>
      </w:pPr>
      <w:r>
        <w:rPr>
          <w:rFonts w:hint="eastAsia" w:ascii="宋体" w:hAnsi="宋体" w:cs="宋体"/>
          <w:color w:val="auto"/>
          <w:highlight w:val="none"/>
          <w:u w:val="single"/>
        </w:rPr>
        <w:t>本工程估算总投资22067.89万元。项目位于增城区新塘镇北部片区。主要建设内容为:新建污水管DN100-600长度共22.63km,新建 DN300-1500雨水管长度共11.80km，公共管网结构性缺陷修复 932 处，合流渠箱治理巩固提升14条，区域污涝同治5处，排水单元巩固提升135.07ha，新建水质、流量和液位监测点26处以及新建智能溢流井12处，现状泵站改造29处，渠箱清清障和配套建设检查井、雨水篦子以及路面破除修复等。</w:t>
      </w:r>
    </w:p>
    <w:p w14:paraId="04304894">
      <w:pPr>
        <w:spacing w:line="360" w:lineRule="auto"/>
        <w:ind w:left="359"/>
        <w:rPr>
          <w:rFonts w:ascii="宋体" w:hAnsi="宋体" w:eastAsia="宋体" w:cs="宋体"/>
          <w:color w:val="auto"/>
          <w:spacing w:val="-2"/>
          <w:sz w:val="24"/>
          <w:szCs w:val="24"/>
          <w:highlight w:val="none"/>
        </w:rPr>
      </w:pPr>
    </w:p>
    <w:p w14:paraId="47557775">
      <w:pPr>
        <w:spacing w:line="360" w:lineRule="auto"/>
        <w:ind w:firstLine="472" w:firstLineChars="200"/>
        <w:rPr>
          <w:rFonts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2.设计范围及内容</w:t>
      </w:r>
    </w:p>
    <w:p w14:paraId="57279F18">
      <w:pPr>
        <w:pStyle w:val="63"/>
        <w:spacing w:line="360" w:lineRule="auto"/>
        <w:rPr>
          <w:rFonts w:ascii="宋体" w:hAnsi="宋体" w:cs="宋体"/>
          <w:color w:val="auto"/>
          <w:highlight w:val="none"/>
          <w:u w:val="single"/>
        </w:rPr>
      </w:pPr>
      <w:r>
        <w:rPr>
          <w:rFonts w:hint="eastAsia" w:ascii="宋体" w:hAnsi="宋体" w:cs="宋体"/>
          <w:color w:val="auto"/>
          <w:highlight w:val="none"/>
        </w:rPr>
        <w:t xml:space="preserve">2.1 </w:t>
      </w:r>
      <w:r>
        <w:rPr>
          <w:rFonts w:hint="eastAsia" w:ascii="宋体" w:hAnsi="宋体" w:cs="宋体"/>
          <w:color w:val="auto"/>
          <w:highlight w:val="none"/>
          <w:u w:val="single"/>
        </w:rPr>
        <w:t>主要工作内容包括：完成项目的初步设计及概算编制、招标设计及预算编制、施工图设计及工程施工期间设计服务（不包含各专题）；并协助建设单位办理相关前期报建手续、现场指导与服务、协助编制竣工图。</w:t>
      </w:r>
    </w:p>
    <w:p w14:paraId="6CFD5B86">
      <w:pPr>
        <w:pStyle w:val="63"/>
        <w:spacing w:line="360" w:lineRule="auto"/>
        <w:rPr>
          <w:rFonts w:ascii="宋体" w:hAnsi="宋体" w:cs="宋体"/>
          <w:color w:val="auto"/>
          <w:highlight w:val="none"/>
          <w:u w:val="single"/>
        </w:rPr>
      </w:pPr>
      <w:r>
        <w:rPr>
          <w:rFonts w:hint="eastAsia" w:ascii="宋体" w:hAnsi="宋体" w:cs="宋体"/>
          <w:color w:val="auto"/>
          <w:highlight w:val="none"/>
          <w:u w:val="single"/>
        </w:rPr>
        <w:t xml:space="preserve">2.2 </w:t>
      </w:r>
      <w:r>
        <w:rPr>
          <w:rFonts w:hint="eastAsia" w:ascii="宋体" w:hAnsi="宋体" w:cs="宋体"/>
          <w:color w:val="auto"/>
          <w:highlight w:val="none"/>
        </w:rPr>
        <w:t>主要工程效果：城镇生活污水集中收集率达到95%以上；污水处理厂进出水浓度满足市水务局“一厂一策”的浓度考核要求，永和污水处理厂进水BOD年平均浓度大于102.08mg/L；全口径排水单元达标率达到95%以上；公共排水管网覆盖率100%，更替问题老旧排水管道，解决雨污水管网错混接问题，修复现状病害排水管网，提高排水管网健康运行率；推进合流渠箱清污分流，恢复渠箱排洪功能，实现渠箱智慧化管理，打开截污闸；消除区域水浸点；消除劣五类河涌，确保晴雨天河涌水质稳定，助力东江北干流断面水质满足上级考核要求。</w:t>
      </w:r>
    </w:p>
    <w:p w14:paraId="4B0E81C4">
      <w:pPr>
        <w:rPr>
          <w:color w:val="auto"/>
          <w:highlight w:val="none"/>
        </w:rPr>
      </w:pPr>
    </w:p>
    <w:p w14:paraId="34AB7D8E">
      <w:pPr>
        <w:spacing w:before="5280"/>
        <w:rPr>
          <w:color w:val="auto"/>
          <w:highlight w:val="none"/>
        </w:rPr>
      </w:pPr>
    </w:p>
    <w:p w14:paraId="6979E68E">
      <w:pPr>
        <w:pStyle w:val="23"/>
        <w:spacing w:before="5280"/>
        <w:rPr>
          <w:rFonts w:ascii="宋体" w:hAnsi="宋体"/>
          <w:color w:val="auto"/>
          <w:spacing w:val="5"/>
          <w:sz w:val="52"/>
          <w:szCs w:val="52"/>
          <w:highlight w:val="none"/>
        </w:rPr>
      </w:pPr>
      <w:bookmarkStart w:id="421" w:name="_Toc183207167"/>
      <w:r>
        <w:rPr>
          <w:rFonts w:ascii="宋体" w:hAnsi="宋体"/>
          <w:color w:val="auto"/>
          <w:spacing w:val="5"/>
          <w:sz w:val="52"/>
          <w:szCs w:val="52"/>
          <w:highlight w:val="none"/>
        </w:rPr>
        <w:t>第三卷</w:t>
      </w:r>
      <w:bookmarkEnd w:id="421"/>
    </w:p>
    <w:p w14:paraId="08D8EB0A">
      <w:pPr>
        <w:pStyle w:val="23"/>
        <w:spacing w:before="5280"/>
        <w:rPr>
          <w:rFonts w:ascii="宋体" w:hAnsi="宋体"/>
          <w:color w:val="auto"/>
          <w:spacing w:val="5"/>
          <w:sz w:val="52"/>
          <w:szCs w:val="52"/>
          <w:highlight w:val="none"/>
        </w:rPr>
        <w:sectPr>
          <w:footerReference r:id="rId17" w:type="default"/>
          <w:pgSz w:w="12240" w:h="15840"/>
          <w:pgMar w:top="1346" w:right="1836" w:bottom="1103" w:left="1836" w:header="0" w:footer="940" w:gutter="0"/>
          <w:cols w:space="720" w:num="1"/>
        </w:sectPr>
      </w:pPr>
    </w:p>
    <w:p w14:paraId="070B8E9E">
      <w:pPr>
        <w:spacing w:line="250" w:lineRule="auto"/>
        <w:rPr>
          <w:color w:val="auto"/>
          <w:highlight w:val="none"/>
        </w:rPr>
      </w:pPr>
    </w:p>
    <w:p w14:paraId="715AFCEC">
      <w:pPr>
        <w:spacing w:line="251" w:lineRule="auto"/>
        <w:rPr>
          <w:color w:val="auto"/>
          <w:highlight w:val="none"/>
        </w:rPr>
      </w:pPr>
    </w:p>
    <w:p w14:paraId="5B927B1B">
      <w:pPr>
        <w:spacing w:line="251" w:lineRule="auto"/>
        <w:rPr>
          <w:color w:val="auto"/>
          <w:highlight w:val="none"/>
        </w:rPr>
      </w:pPr>
    </w:p>
    <w:p w14:paraId="2C0EE299">
      <w:pPr>
        <w:pStyle w:val="24"/>
        <w:rPr>
          <w:rFonts w:ascii="宋体" w:hAnsi="宋体"/>
          <w:color w:val="auto"/>
          <w:spacing w:val="10"/>
          <w:sz w:val="43"/>
          <w:szCs w:val="43"/>
          <w:highlight w:val="none"/>
        </w:rPr>
      </w:pPr>
      <w:bookmarkStart w:id="422" w:name="_Toc18917"/>
      <w:bookmarkStart w:id="423" w:name="_Toc31817"/>
      <w:bookmarkStart w:id="424" w:name="_Toc183207168"/>
      <w:bookmarkStart w:id="425" w:name="_Toc27544"/>
      <w:r>
        <w:rPr>
          <w:rFonts w:ascii="宋体" w:hAnsi="宋体"/>
          <w:color w:val="auto"/>
          <w:spacing w:val="10"/>
          <w:sz w:val="43"/>
          <w:szCs w:val="43"/>
          <w:highlight w:val="none"/>
        </w:rPr>
        <w:t>第六章投标文件格</w:t>
      </w:r>
      <w:r>
        <w:rPr>
          <w:rFonts w:ascii="宋体" w:hAnsi="宋体"/>
          <w:color w:val="auto"/>
          <w:spacing w:val="8"/>
          <w:sz w:val="43"/>
          <w:szCs w:val="43"/>
          <w:highlight w:val="none"/>
        </w:rPr>
        <w:t>式</w:t>
      </w:r>
      <w:bookmarkEnd w:id="422"/>
      <w:bookmarkEnd w:id="423"/>
      <w:bookmarkEnd w:id="424"/>
      <w:bookmarkEnd w:id="425"/>
    </w:p>
    <w:p w14:paraId="207143B6">
      <w:pPr>
        <w:rPr>
          <w:color w:val="auto"/>
          <w:highlight w:val="none"/>
        </w:rPr>
        <w:sectPr>
          <w:footerReference r:id="rId18" w:type="default"/>
          <w:pgSz w:w="12240" w:h="15840"/>
          <w:pgMar w:top="1346" w:right="1836" w:bottom="1104" w:left="1836" w:header="0" w:footer="940" w:gutter="0"/>
          <w:cols w:space="720" w:num="1"/>
        </w:sectPr>
      </w:pPr>
    </w:p>
    <w:p w14:paraId="60BF9A16">
      <w:pPr>
        <w:spacing w:line="279" w:lineRule="auto"/>
        <w:rPr>
          <w:color w:val="auto"/>
          <w:highlight w:val="none"/>
        </w:rPr>
      </w:pPr>
    </w:p>
    <w:p w14:paraId="118D1727">
      <w:pPr>
        <w:spacing w:line="279" w:lineRule="auto"/>
        <w:rPr>
          <w:color w:val="auto"/>
          <w:highlight w:val="none"/>
        </w:rPr>
      </w:pPr>
    </w:p>
    <w:p w14:paraId="5D82F5DB">
      <w:pPr>
        <w:spacing w:line="279" w:lineRule="auto"/>
        <w:rPr>
          <w:color w:val="auto"/>
          <w:highlight w:val="none"/>
        </w:rPr>
      </w:pPr>
    </w:p>
    <w:p w14:paraId="746C6D6E">
      <w:pPr>
        <w:spacing w:line="279" w:lineRule="auto"/>
        <w:rPr>
          <w:color w:val="auto"/>
          <w:highlight w:val="none"/>
        </w:rPr>
      </w:pPr>
    </w:p>
    <w:p w14:paraId="22B75D47">
      <w:pPr>
        <w:spacing w:line="280" w:lineRule="auto"/>
        <w:rPr>
          <w:color w:val="auto"/>
          <w:highlight w:val="none"/>
        </w:rPr>
      </w:pPr>
    </w:p>
    <w:p w14:paraId="00192B0C">
      <w:pPr>
        <w:spacing w:line="280" w:lineRule="auto"/>
        <w:rPr>
          <w:color w:val="auto"/>
          <w:highlight w:val="none"/>
        </w:rPr>
      </w:pPr>
    </w:p>
    <w:p w14:paraId="76565F4C">
      <w:pPr>
        <w:tabs>
          <w:tab w:val="left" w:pos="3332"/>
        </w:tabs>
        <w:spacing w:before="88" w:line="229" w:lineRule="auto"/>
        <w:ind w:left="1480"/>
        <w:rPr>
          <w:rFonts w:ascii="黑体" w:hAnsi="黑体" w:eastAsia="黑体"/>
          <w:color w:val="auto"/>
          <w:sz w:val="32"/>
          <w:szCs w:val="32"/>
          <w:highlight w:val="none"/>
          <w:u w:val="single"/>
        </w:rPr>
      </w:pPr>
      <w:r>
        <w:rPr>
          <w:rFonts w:ascii="黑体" w:hAnsi="黑体" w:eastAsia="黑体"/>
          <w:color w:val="auto"/>
          <w:sz w:val="32"/>
          <w:szCs w:val="32"/>
          <w:highlight w:val="none"/>
          <w:u w:val="single"/>
        </w:rPr>
        <w:tab/>
      </w:r>
      <w:r>
        <w:rPr>
          <w:rFonts w:ascii="黑体" w:hAnsi="黑体" w:eastAsia="黑体"/>
          <w:color w:val="auto"/>
          <w:spacing w:val="16"/>
          <w:sz w:val="32"/>
          <w:szCs w:val="32"/>
          <w:highlight w:val="none"/>
          <w:u w:val="single"/>
        </w:rPr>
        <w:t>(</w:t>
      </w:r>
      <w:r>
        <w:rPr>
          <w:rFonts w:ascii="黑体" w:hAnsi="黑体" w:eastAsia="黑体"/>
          <w:color w:val="auto"/>
          <w:spacing w:val="15"/>
          <w:sz w:val="32"/>
          <w:szCs w:val="32"/>
          <w:highlight w:val="none"/>
          <w:u w:val="single"/>
        </w:rPr>
        <w:t>项目名称)</w:t>
      </w:r>
      <w:r>
        <w:rPr>
          <w:rFonts w:hint="eastAsia" w:ascii="黑体" w:hAnsi="黑体" w:eastAsia="黑体"/>
          <w:color w:val="auto"/>
          <w:spacing w:val="15"/>
          <w:sz w:val="32"/>
          <w:szCs w:val="32"/>
          <w:highlight w:val="none"/>
          <w:u w:val="single"/>
        </w:rPr>
        <w:t xml:space="preserve">   </w:t>
      </w:r>
    </w:p>
    <w:p w14:paraId="374DDD28">
      <w:pPr>
        <w:pStyle w:val="56"/>
        <w:rPr>
          <w:color w:val="auto"/>
          <w:highlight w:val="none"/>
        </w:rPr>
      </w:pPr>
    </w:p>
    <w:p w14:paraId="288E1296">
      <w:pPr>
        <w:spacing w:line="368" w:lineRule="auto"/>
        <w:rPr>
          <w:color w:val="auto"/>
          <w:highlight w:val="none"/>
        </w:rPr>
      </w:pPr>
    </w:p>
    <w:p w14:paraId="097B87E3">
      <w:pPr>
        <w:pStyle w:val="56"/>
        <w:rPr>
          <w:color w:val="auto"/>
          <w:highlight w:val="none"/>
        </w:rPr>
      </w:pPr>
    </w:p>
    <w:p w14:paraId="5E310B77">
      <w:pPr>
        <w:pStyle w:val="56"/>
        <w:rPr>
          <w:color w:val="auto"/>
          <w:highlight w:val="none"/>
        </w:rPr>
      </w:pPr>
    </w:p>
    <w:p w14:paraId="56582FA5">
      <w:pPr>
        <w:spacing w:before="140" w:line="226" w:lineRule="auto"/>
        <w:ind w:left="2100"/>
        <w:rPr>
          <w:rFonts w:ascii="黑体" w:hAnsi="黑体" w:eastAsia="黑体"/>
          <w:color w:val="auto"/>
          <w:spacing w:val="8"/>
          <w:sz w:val="84"/>
          <w:szCs w:val="84"/>
          <w:highlight w:val="none"/>
        </w:rPr>
      </w:pPr>
      <w:r>
        <w:rPr>
          <w:rFonts w:ascii="黑体" w:hAnsi="黑体" w:eastAsia="黑体"/>
          <w:color w:val="auto"/>
          <w:spacing w:val="8"/>
          <w:sz w:val="84"/>
          <w:szCs w:val="84"/>
          <w:highlight w:val="none"/>
        </w:rPr>
        <w:t>投</w:t>
      </w:r>
      <w:r>
        <w:rPr>
          <w:rFonts w:ascii="黑体" w:hAnsi="黑体" w:eastAsia="黑体"/>
          <w:color w:val="auto"/>
          <w:spacing w:val="6"/>
          <w:sz w:val="84"/>
          <w:szCs w:val="84"/>
          <w:highlight w:val="none"/>
        </w:rPr>
        <w:t>标文件</w:t>
      </w:r>
    </w:p>
    <w:p w14:paraId="46A291F0">
      <w:pPr>
        <w:spacing w:line="246" w:lineRule="auto"/>
        <w:rPr>
          <w:color w:val="auto"/>
          <w:highlight w:val="none"/>
        </w:rPr>
      </w:pPr>
    </w:p>
    <w:p w14:paraId="32F90EF1">
      <w:pPr>
        <w:spacing w:line="246" w:lineRule="auto"/>
        <w:rPr>
          <w:color w:val="auto"/>
          <w:highlight w:val="none"/>
        </w:rPr>
      </w:pPr>
    </w:p>
    <w:p w14:paraId="7AD0D3EA">
      <w:pPr>
        <w:spacing w:line="246" w:lineRule="auto"/>
        <w:rPr>
          <w:color w:val="auto"/>
          <w:highlight w:val="none"/>
        </w:rPr>
      </w:pPr>
    </w:p>
    <w:p w14:paraId="70B559A5">
      <w:pPr>
        <w:spacing w:line="246" w:lineRule="auto"/>
        <w:rPr>
          <w:color w:val="auto"/>
          <w:highlight w:val="none"/>
        </w:rPr>
      </w:pPr>
    </w:p>
    <w:p w14:paraId="305003A7">
      <w:pPr>
        <w:spacing w:line="246" w:lineRule="auto"/>
        <w:rPr>
          <w:color w:val="auto"/>
          <w:highlight w:val="none"/>
        </w:rPr>
      </w:pPr>
    </w:p>
    <w:p w14:paraId="6F03E8D6">
      <w:pPr>
        <w:spacing w:line="246" w:lineRule="auto"/>
        <w:rPr>
          <w:color w:val="auto"/>
          <w:highlight w:val="none"/>
        </w:rPr>
      </w:pPr>
    </w:p>
    <w:p w14:paraId="5A3FF767">
      <w:pPr>
        <w:spacing w:line="246" w:lineRule="auto"/>
        <w:rPr>
          <w:color w:val="auto"/>
          <w:highlight w:val="none"/>
        </w:rPr>
      </w:pPr>
    </w:p>
    <w:p w14:paraId="5ACF2F8F">
      <w:pPr>
        <w:spacing w:line="247" w:lineRule="auto"/>
        <w:rPr>
          <w:color w:val="auto"/>
          <w:highlight w:val="none"/>
        </w:rPr>
      </w:pPr>
    </w:p>
    <w:p w14:paraId="786DAB25">
      <w:pPr>
        <w:spacing w:line="247" w:lineRule="auto"/>
        <w:rPr>
          <w:color w:val="auto"/>
          <w:highlight w:val="none"/>
        </w:rPr>
      </w:pPr>
    </w:p>
    <w:p w14:paraId="0B70C22B">
      <w:pPr>
        <w:spacing w:line="247" w:lineRule="auto"/>
        <w:rPr>
          <w:color w:val="auto"/>
          <w:highlight w:val="none"/>
        </w:rPr>
      </w:pPr>
    </w:p>
    <w:p w14:paraId="5C926885">
      <w:pPr>
        <w:spacing w:line="247" w:lineRule="auto"/>
        <w:rPr>
          <w:color w:val="auto"/>
          <w:highlight w:val="none"/>
        </w:rPr>
      </w:pPr>
    </w:p>
    <w:p w14:paraId="468A0461">
      <w:pPr>
        <w:spacing w:line="247" w:lineRule="auto"/>
        <w:rPr>
          <w:color w:val="auto"/>
          <w:highlight w:val="none"/>
        </w:rPr>
      </w:pPr>
    </w:p>
    <w:p w14:paraId="7BF7366D">
      <w:pPr>
        <w:spacing w:line="247" w:lineRule="auto"/>
        <w:rPr>
          <w:color w:val="auto"/>
          <w:highlight w:val="none"/>
        </w:rPr>
      </w:pPr>
    </w:p>
    <w:p w14:paraId="2246EB59">
      <w:pPr>
        <w:spacing w:line="247" w:lineRule="auto"/>
        <w:rPr>
          <w:color w:val="auto"/>
          <w:highlight w:val="none"/>
        </w:rPr>
      </w:pPr>
    </w:p>
    <w:p w14:paraId="0710DE2C">
      <w:pPr>
        <w:spacing w:line="247" w:lineRule="auto"/>
        <w:rPr>
          <w:color w:val="auto"/>
          <w:highlight w:val="none"/>
        </w:rPr>
      </w:pPr>
    </w:p>
    <w:p w14:paraId="4E8F79E5">
      <w:pPr>
        <w:spacing w:line="247" w:lineRule="auto"/>
        <w:rPr>
          <w:color w:val="auto"/>
          <w:highlight w:val="none"/>
        </w:rPr>
      </w:pPr>
    </w:p>
    <w:p w14:paraId="60F0B764">
      <w:pPr>
        <w:spacing w:line="247" w:lineRule="auto"/>
        <w:rPr>
          <w:color w:val="auto"/>
          <w:highlight w:val="none"/>
        </w:rPr>
      </w:pPr>
    </w:p>
    <w:p w14:paraId="25DC9975">
      <w:pPr>
        <w:spacing w:line="247" w:lineRule="auto"/>
        <w:rPr>
          <w:color w:val="auto"/>
          <w:highlight w:val="none"/>
        </w:rPr>
      </w:pPr>
    </w:p>
    <w:p w14:paraId="4B7BC643">
      <w:pPr>
        <w:spacing w:line="247" w:lineRule="auto"/>
        <w:rPr>
          <w:color w:val="auto"/>
          <w:highlight w:val="none"/>
        </w:rPr>
      </w:pPr>
    </w:p>
    <w:p w14:paraId="11778239">
      <w:pPr>
        <w:spacing w:line="247" w:lineRule="auto"/>
        <w:rPr>
          <w:color w:val="auto"/>
          <w:highlight w:val="none"/>
        </w:rPr>
      </w:pPr>
    </w:p>
    <w:p w14:paraId="288E0894">
      <w:pPr>
        <w:spacing w:line="247" w:lineRule="auto"/>
        <w:rPr>
          <w:color w:val="auto"/>
          <w:highlight w:val="none"/>
        </w:rPr>
      </w:pPr>
    </w:p>
    <w:p w14:paraId="09DB4ABF">
      <w:pPr>
        <w:spacing w:line="247" w:lineRule="auto"/>
        <w:rPr>
          <w:color w:val="auto"/>
          <w:highlight w:val="none"/>
        </w:rPr>
      </w:pPr>
    </w:p>
    <w:p w14:paraId="2163B9EF">
      <w:pPr>
        <w:spacing w:line="247" w:lineRule="auto"/>
        <w:rPr>
          <w:color w:val="auto"/>
          <w:highlight w:val="none"/>
        </w:rPr>
      </w:pPr>
    </w:p>
    <w:p w14:paraId="16919046">
      <w:pPr>
        <w:spacing w:line="247" w:lineRule="auto"/>
        <w:rPr>
          <w:color w:val="auto"/>
          <w:highlight w:val="none"/>
        </w:rPr>
      </w:pPr>
    </w:p>
    <w:p w14:paraId="587CD05F">
      <w:pPr>
        <w:spacing w:before="88" w:line="380" w:lineRule="auto"/>
        <w:ind w:left="1096" w:right="97" w:hanging="4"/>
        <w:rPr>
          <w:rFonts w:ascii="黑体" w:hAnsi="黑体" w:eastAsia="黑体"/>
          <w:color w:val="auto"/>
          <w:spacing w:val="-2"/>
          <w:sz w:val="28"/>
          <w:szCs w:val="28"/>
          <w:highlight w:val="none"/>
        </w:rPr>
      </w:pPr>
      <w:r>
        <w:rPr>
          <w:rFonts w:ascii="黑体" w:hAnsi="黑体" w:eastAsia="黑体"/>
          <w:color w:val="auto"/>
          <w:spacing w:val="-2"/>
          <w:sz w:val="28"/>
          <w:szCs w:val="28"/>
          <w:highlight w:val="none"/>
        </w:rPr>
        <w:t>投</w:t>
      </w:r>
      <w:r>
        <w:rPr>
          <w:rFonts w:ascii="黑体" w:hAnsi="黑体" w:eastAsia="黑体"/>
          <w:color w:val="auto"/>
          <w:spacing w:val="-1"/>
          <w:sz w:val="28"/>
          <w:szCs w:val="28"/>
          <w:highlight w:val="none"/>
        </w:rPr>
        <w:t>标人：</w:t>
      </w:r>
      <w:r>
        <w:rPr>
          <w:rFonts w:ascii="黑体" w:hAnsi="黑体" w:eastAsia="黑体"/>
          <w:color w:val="auto"/>
          <w:spacing w:val="-1"/>
          <w:sz w:val="28"/>
          <w:szCs w:val="28"/>
          <w:highlight w:val="none"/>
          <w:u w:val="single"/>
        </w:rPr>
        <w:t xml:space="preserve">                               </w:t>
      </w:r>
      <w:r>
        <w:rPr>
          <w:rFonts w:ascii="黑体" w:hAnsi="黑体" w:eastAsia="黑体"/>
          <w:color w:val="auto"/>
          <w:spacing w:val="-1"/>
          <w:sz w:val="28"/>
          <w:szCs w:val="28"/>
          <w:highlight w:val="none"/>
        </w:rPr>
        <w:t>(盖单位章)</w:t>
      </w:r>
      <w:r>
        <w:rPr>
          <w:rFonts w:ascii="黑体" w:hAnsi="黑体" w:eastAsia="黑体"/>
          <w:color w:val="auto"/>
          <w:sz w:val="28"/>
          <w:szCs w:val="28"/>
          <w:highlight w:val="none"/>
        </w:rPr>
        <w:t xml:space="preserve"> </w:t>
      </w:r>
    </w:p>
    <w:p w14:paraId="29263D3E">
      <w:pPr>
        <w:spacing w:before="88" w:line="380" w:lineRule="auto"/>
        <w:ind w:left="1096" w:right="97" w:hanging="4"/>
        <w:rPr>
          <w:rFonts w:ascii="黑体" w:hAnsi="黑体" w:eastAsia="黑体"/>
          <w:color w:val="auto"/>
          <w:spacing w:val="-6"/>
          <w:sz w:val="28"/>
          <w:szCs w:val="28"/>
          <w:highlight w:val="none"/>
        </w:rPr>
      </w:pPr>
      <w:r>
        <w:rPr>
          <w:rFonts w:ascii="黑体" w:hAnsi="黑体" w:eastAsia="黑体"/>
          <w:color w:val="auto"/>
          <w:spacing w:val="-6"/>
          <w:sz w:val="28"/>
          <w:szCs w:val="28"/>
          <w:highlight w:val="none"/>
        </w:rPr>
        <w:t>法定</w:t>
      </w:r>
      <w:r>
        <w:rPr>
          <w:rFonts w:ascii="黑体" w:hAnsi="黑体" w:eastAsia="黑体"/>
          <w:color w:val="auto"/>
          <w:spacing w:val="-3"/>
          <w:sz w:val="28"/>
          <w:szCs w:val="28"/>
          <w:highlight w:val="none"/>
        </w:rPr>
        <w:t>代表人或其委托代理人：</w:t>
      </w:r>
      <w:r>
        <w:rPr>
          <w:rFonts w:ascii="黑体" w:hAnsi="黑体" w:eastAsia="黑体"/>
          <w:color w:val="auto"/>
          <w:spacing w:val="-3"/>
          <w:sz w:val="28"/>
          <w:szCs w:val="28"/>
          <w:highlight w:val="none"/>
          <w:u w:val="single"/>
        </w:rPr>
        <w:t xml:space="preserve">       </w:t>
      </w:r>
      <w:r>
        <w:rPr>
          <w:rFonts w:hint="eastAsia" w:ascii="黑体" w:hAnsi="黑体" w:eastAsia="黑体"/>
          <w:color w:val="auto"/>
          <w:spacing w:val="-3"/>
          <w:sz w:val="28"/>
          <w:szCs w:val="28"/>
          <w:highlight w:val="none"/>
          <w:u w:val="single"/>
        </w:rPr>
        <w:t xml:space="preserve">   </w:t>
      </w:r>
      <w:r>
        <w:rPr>
          <w:rFonts w:ascii="黑体" w:hAnsi="黑体" w:eastAsia="黑体"/>
          <w:color w:val="auto"/>
          <w:spacing w:val="-3"/>
          <w:sz w:val="28"/>
          <w:szCs w:val="28"/>
          <w:highlight w:val="none"/>
          <w:u w:val="single"/>
        </w:rPr>
        <w:t xml:space="preserve"> </w:t>
      </w:r>
      <w:r>
        <w:rPr>
          <w:rFonts w:ascii="黑体" w:hAnsi="黑体" w:eastAsia="黑体"/>
          <w:color w:val="auto"/>
          <w:spacing w:val="-3"/>
          <w:sz w:val="28"/>
          <w:szCs w:val="28"/>
          <w:highlight w:val="none"/>
        </w:rPr>
        <w:t>(签字</w:t>
      </w:r>
      <w:r>
        <w:rPr>
          <w:rFonts w:hint="eastAsia" w:ascii="黑体" w:hAnsi="黑体" w:eastAsia="黑体"/>
          <w:color w:val="auto"/>
          <w:spacing w:val="-3"/>
          <w:sz w:val="28"/>
          <w:szCs w:val="28"/>
          <w:highlight w:val="none"/>
        </w:rPr>
        <w:t>或盖章</w:t>
      </w:r>
      <w:r>
        <w:rPr>
          <w:rFonts w:ascii="黑体" w:hAnsi="黑体" w:eastAsia="黑体"/>
          <w:color w:val="auto"/>
          <w:spacing w:val="-3"/>
          <w:sz w:val="28"/>
          <w:szCs w:val="28"/>
          <w:highlight w:val="none"/>
        </w:rPr>
        <w:t>)</w:t>
      </w:r>
    </w:p>
    <w:p w14:paraId="06B86BB7">
      <w:pPr>
        <w:spacing w:line="249" w:lineRule="auto"/>
        <w:rPr>
          <w:color w:val="auto"/>
          <w:sz w:val="28"/>
          <w:szCs w:val="28"/>
          <w:highlight w:val="none"/>
        </w:rPr>
      </w:pPr>
    </w:p>
    <w:p w14:paraId="3186338F">
      <w:pPr>
        <w:tabs>
          <w:tab w:val="left" w:pos="3507"/>
        </w:tabs>
        <w:spacing w:before="87" w:line="230" w:lineRule="auto"/>
        <w:ind w:left="2761"/>
        <w:rPr>
          <w:rFonts w:ascii="黑体" w:hAnsi="黑体" w:eastAsia="黑体"/>
          <w:color w:val="auto"/>
          <w:sz w:val="28"/>
          <w:szCs w:val="28"/>
          <w:highlight w:val="none"/>
          <w:u w:val="single"/>
        </w:rPr>
      </w:pPr>
      <w:r>
        <w:rPr>
          <w:rFonts w:ascii="黑体" w:hAnsi="黑体" w:eastAsia="黑体"/>
          <w:color w:val="auto"/>
          <w:sz w:val="28"/>
          <w:szCs w:val="28"/>
          <w:highlight w:val="none"/>
          <w:u w:val="single"/>
        </w:rPr>
        <w:tab/>
      </w:r>
      <w:r>
        <w:rPr>
          <w:rFonts w:ascii="黑体" w:hAnsi="黑体" w:eastAsia="黑体"/>
          <w:color w:val="auto"/>
          <w:spacing w:val="6"/>
          <w:sz w:val="28"/>
          <w:szCs w:val="28"/>
          <w:highlight w:val="none"/>
        </w:rPr>
        <w:t>年</w:t>
      </w:r>
      <w:r>
        <w:rPr>
          <w:rFonts w:ascii="黑体" w:hAnsi="黑体" w:eastAsia="黑体"/>
          <w:color w:val="auto"/>
          <w:spacing w:val="6"/>
          <w:sz w:val="28"/>
          <w:szCs w:val="28"/>
          <w:highlight w:val="none"/>
          <w:u w:val="single"/>
        </w:rPr>
        <w:t xml:space="preserve"> </w:t>
      </w:r>
      <w:r>
        <w:rPr>
          <w:rFonts w:ascii="黑体" w:hAnsi="黑体" w:eastAsia="黑体"/>
          <w:color w:val="auto"/>
          <w:spacing w:val="3"/>
          <w:sz w:val="28"/>
          <w:szCs w:val="28"/>
          <w:highlight w:val="none"/>
          <w:u w:val="single"/>
        </w:rPr>
        <w:t xml:space="preserve">    </w:t>
      </w:r>
      <w:r>
        <w:rPr>
          <w:rFonts w:ascii="黑体" w:hAnsi="黑体" w:eastAsia="黑体"/>
          <w:color w:val="auto"/>
          <w:spacing w:val="3"/>
          <w:sz w:val="28"/>
          <w:szCs w:val="28"/>
          <w:highlight w:val="none"/>
        </w:rPr>
        <w:t>月</w:t>
      </w:r>
      <w:r>
        <w:rPr>
          <w:rFonts w:ascii="黑体" w:hAnsi="黑体" w:eastAsia="黑体"/>
          <w:color w:val="auto"/>
          <w:spacing w:val="3"/>
          <w:sz w:val="28"/>
          <w:szCs w:val="28"/>
          <w:highlight w:val="none"/>
          <w:u w:val="single"/>
        </w:rPr>
        <w:t xml:space="preserve">     </w:t>
      </w:r>
      <w:r>
        <w:rPr>
          <w:rFonts w:ascii="黑体" w:hAnsi="黑体" w:eastAsia="黑体"/>
          <w:color w:val="auto"/>
          <w:spacing w:val="3"/>
          <w:sz w:val="28"/>
          <w:szCs w:val="28"/>
          <w:highlight w:val="none"/>
        </w:rPr>
        <w:t>日</w:t>
      </w:r>
    </w:p>
    <w:p w14:paraId="59406953">
      <w:pPr>
        <w:rPr>
          <w:color w:val="auto"/>
          <w:highlight w:val="none"/>
        </w:rPr>
        <w:sectPr>
          <w:footerReference r:id="rId19" w:type="default"/>
          <w:pgSz w:w="12240" w:h="15840"/>
          <w:pgMar w:top="1346" w:right="1836" w:bottom="1104" w:left="1836" w:header="0" w:footer="940" w:gutter="0"/>
          <w:cols w:space="720" w:num="1"/>
        </w:sectPr>
      </w:pPr>
    </w:p>
    <w:p w14:paraId="60F8FAD5">
      <w:pPr>
        <w:spacing w:line="347" w:lineRule="auto"/>
        <w:rPr>
          <w:color w:val="auto"/>
          <w:highlight w:val="none"/>
        </w:rPr>
      </w:pPr>
    </w:p>
    <w:p w14:paraId="2227EDF1">
      <w:pPr>
        <w:spacing w:before="101" w:line="228" w:lineRule="auto"/>
        <w:ind w:left="4043"/>
        <w:rPr>
          <w:rFonts w:ascii="黑体" w:hAnsi="黑体" w:eastAsia="黑体"/>
          <w:color w:val="auto"/>
          <w:spacing w:val="-9"/>
          <w:sz w:val="31"/>
          <w:szCs w:val="31"/>
          <w:highlight w:val="none"/>
        </w:rPr>
      </w:pPr>
      <w:r>
        <w:rPr>
          <w:rFonts w:ascii="黑体" w:hAnsi="黑体" w:eastAsia="黑体"/>
          <w:color w:val="auto"/>
          <w:spacing w:val="-9"/>
          <w:sz w:val="31"/>
          <w:szCs w:val="31"/>
          <w:highlight w:val="none"/>
        </w:rPr>
        <w:t>目</w:t>
      </w:r>
      <w:r>
        <w:rPr>
          <w:rFonts w:ascii="黑体" w:hAnsi="黑体" w:eastAsia="黑体"/>
          <w:color w:val="auto"/>
          <w:spacing w:val="-7"/>
          <w:sz w:val="31"/>
          <w:szCs w:val="31"/>
          <w:highlight w:val="none"/>
        </w:rPr>
        <w:t>录</w:t>
      </w:r>
    </w:p>
    <w:p w14:paraId="7B7AE0B2">
      <w:pPr>
        <w:spacing w:line="251" w:lineRule="auto"/>
        <w:rPr>
          <w:color w:val="auto"/>
          <w:highlight w:val="none"/>
        </w:rPr>
      </w:pPr>
    </w:p>
    <w:p w14:paraId="1FDA04B4">
      <w:pPr>
        <w:spacing w:line="251" w:lineRule="auto"/>
        <w:rPr>
          <w:color w:val="auto"/>
          <w:highlight w:val="none"/>
        </w:rPr>
      </w:pPr>
    </w:p>
    <w:p w14:paraId="056E556F">
      <w:pPr>
        <w:spacing w:line="251" w:lineRule="auto"/>
        <w:rPr>
          <w:color w:val="auto"/>
          <w:highlight w:val="none"/>
        </w:rPr>
      </w:pPr>
    </w:p>
    <w:p w14:paraId="474F1898">
      <w:pPr>
        <w:spacing w:line="251" w:lineRule="auto"/>
        <w:rPr>
          <w:color w:val="auto"/>
          <w:highlight w:val="none"/>
        </w:rPr>
      </w:pPr>
    </w:p>
    <w:p w14:paraId="5CAE0F81">
      <w:pPr>
        <w:spacing w:line="252" w:lineRule="auto"/>
        <w:rPr>
          <w:color w:val="auto"/>
          <w:highlight w:val="none"/>
        </w:rPr>
      </w:pPr>
    </w:p>
    <w:p w14:paraId="58236195">
      <w:pPr>
        <w:spacing w:before="69" w:line="220" w:lineRule="auto"/>
        <w:ind w:left="4"/>
        <w:rPr>
          <w:rFonts w:ascii="宋体" w:hAnsi="宋体" w:eastAsia="宋体"/>
          <w:color w:val="auto"/>
          <w:spacing w:val="-1"/>
          <w:highlight w:val="none"/>
        </w:rPr>
      </w:pPr>
      <w:r>
        <w:rPr>
          <w:rFonts w:ascii="宋体" w:hAnsi="宋体" w:eastAsia="宋体"/>
          <w:color w:val="auto"/>
          <w:spacing w:val="-1"/>
          <w:highlight w:val="none"/>
        </w:rPr>
        <w:t>一、投标函及投标函附录</w:t>
      </w:r>
    </w:p>
    <w:p w14:paraId="7ADFC818">
      <w:pPr>
        <w:spacing w:before="293" w:line="217" w:lineRule="auto"/>
        <w:ind w:left="4"/>
        <w:rPr>
          <w:rFonts w:ascii="宋体" w:hAnsi="宋体" w:eastAsia="宋体"/>
          <w:color w:val="auto"/>
          <w:spacing w:val="6"/>
          <w:highlight w:val="none"/>
        </w:rPr>
      </w:pPr>
      <w:r>
        <w:rPr>
          <w:rFonts w:ascii="宋体" w:hAnsi="宋体" w:eastAsia="宋体"/>
          <w:color w:val="auto"/>
          <w:spacing w:val="6"/>
          <w:highlight w:val="none"/>
        </w:rPr>
        <w:t>二</w:t>
      </w:r>
      <w:r>
        <w:rPr>
          <w:rFonts w:ascii="宋体" w:hAnsi="宋体" w:eastAsia="宋体"/>
          <w:color w:val="auto"/>
          <w:spacing w:val="4"/>
          <w:highlight w:val="none"/>
        </w:rPr>
        <w:t>、</w:t>
      </w:r>
      <w:r>
        <w:rPr>
          <w:rFonts w:ascii="宋体" w:hAnsi="宋体" w:eastAsia="宋体"/>
          <w:color w:val="auto"/>
          <w:spacing w:val="3"/>
          <w:highlight w:val="none"/>
        </w:rPr>
        <w:t>法定代表人身份证明</w:t>
      </w:r>
      <w:r>
        <w:rPr>
          <w:rFonts w:hint="eastAsia" w:ascii="宋体" w:hAnsi="宋体" w:eastAsia="宋体"/>
          <w:color w:val="auto"/>
          <w:spacing w:val="3"/>
          <w:highlight w:val="none"/>
        </w:rPr>
        <w:t>及</w:t>
      </w:r>
      <w:r>
        <w:rPr>
          <w:rFonts w:ascii="宋体" w:hAnsi="宋体" w:eastAsia="宋体"/>
          <w:color w:val="auto"/>
          <w:spacing w:val="6"/>
          <w:highlight w:val="none"/>
        </w:rPr>
        <w:t>授权委</w:t>
      </w:r>
      <w:r>
        <w:rPr>
          <w:rFonts w:ascii="宋体" w:hAnsi="宋体" w:eastAsia="宋体"/>
          <w:color w:val="auto"/>
          <w:spacing w:val="4"/>
          <w:highlight w:val="none"/>
        </w:rPr>
        <w:t>托</w:t>
      </w:r>
      <w:r>
        <w:rPr>
          <w:rFonts w:ascii="宋体" w:hAnsi="宋体" w:eastAsia="宋体"/>
          <w:color w:val="auto"/>
          <w:spacing w:val="3"/>
          <w:highlight w:val="none"/>
        </w:rPr>
        <w:t>书(适用于有委托代理人的情况)</w:t>
      </w:r>
    </w:p>
    <w:p w14:paraId="12869FAF">
      <w:pPr>
        <w:spacing w:before="293" w:line="220" w:lineRule="auto"/>
        <w:rPr>
          <w:rFonts w:ascii="宋体" w:hAnsi="宋体" w:eastAsia="宋体"/>
          <w:strike/>
          <w:color w:val="auto"/>
          <w:spacing w:val="-1"/>
          <w:highlight w:val="none"/>
        </w:rPr>
      </w:pPr>
      <w:r>
        <w:rPr>
          <w:rFonts w:ascii="宋体" w:hAnsi="宋体" w:eastAsia="宋体"/>
          <w:strike/>
          <w:color w:val="auto"/>
          <w:spacing w:val="-1"/>
          <w:highlight w:val="none"/>
        </w:rPr>
        <w:t>三、联合体协议书</w:t>
      </w:r>
    </w:p>
    <w:p w14:paraId="7BD7647E">
      <w:pPr>
        <w:spacing w:before="290" w:line="221" w:lineRule="auto"/>
        <w:ind w:left="20"/>
        <w:rPr>
          <w:rFonts w:ascii="宋体" w:hAnsi="宋体" w:eastAsia="宋体"/>
          <w:color w:val="auto"/>
          <w:spacing w:val="-6"/>
          <w:highlight w:val="none"/>
        </w:rPr>
      </w:pPr>
      <w:r>
        <w:rPr>
          <w:rFonts w:ascii="宋体" w:hAnsi="宋体" w:eastAsia="宋体"/>
          <w:color w:val="auto"/>
          <w:spacing w:val="-6"/>
          <w:highlight w:val="none"/>
        </w:rPr>
        <w:t>四</w:t>
      </w:r>
      <w:r>
        <w:rPr>
          <w:rFonts w:ascii="宋体" w:hAnsi="宋体" w:eastAsia="宋体"/>
          <w:color w:val="auto"/>
          <w:spacing w:val="-3"/>
          <w:highlight w:val="none"/>
        </w:rPr>
        <w:t>、</w:t>
      </w:r>
      <w:r>
        <w:rPr>
          <w:rFonts w:ascii="宋体" w:hAnsi="宋体" w:eastAsia="宋体"/>
          <w:strike/>
          <w:color w:val="auto"/>
          <w:spacing w:val="-3"/>
          <w:highlight w:val="none"/>
        </w:rPr>
        <w:t>投标保证金</w:t>
      </w:r>
    </w:p>
    <w:p w14:paraId="27C228EC">
      <w:pPr>
        <w:spacing w:before="288" w:line="220" w:lineRule="auto"/>
        <w:ind w:left="4"/>
        <w:rPr>
          <w:rFonts w:ascii="宋体" w:hAnsi="宋体" w:eastAsia="宋体"/>
          <w:color w:val="auto"/>
          <w:spacing w:val="-2"/>
          <w:highlight w:val="none"/>
        </w:rPr>
      </w:pPr>
      <w:r>
        <w:rPr>
          <w:rFonts w:ascii="宋体" w:hAnsi="宋体" w:eastAsia="宋体"/>
          <w:color w:val="auto"/>
          <w:spacing w:val="-2"/>
          <w:highlight w:val="none"/>
        </w:rPr>
        <w:t>五、</w:t>
      </w:r>
      <w:r>
        <w:rPr>
          <w:rFonts w:hint="eastAsia" w:ascii="宋体" w:hAnsi="宋体" w:eastAsia="宋体"/>
          <w:color w:val="auto"/>
          <w:spacing w:val="-2"/>
          <w:highlight w:val="none"/>
        </w:rPr>
        <w:t>设计</w:t>
      </w:r>
      <w:r>
        <w:rPr>
          <w:rFonts w:ascii="宋体" w:hAnsi="宋体" w:eastAsia="宋体"/>
          <w:color w:val="auto"/>
          <w:spacing w:val="-1"/>
          <w:highlight w:val="none"/>
        </w:rPr>
        <w:t>费</w:t>
      </w:r>
      <w:r>
        <w:rPr>
          <w:rFonts w:hint="eastAsia" w:ascii="宋体" w:hAnsi="宋体" w:eastAsia="宋体"/>
          <w:color w:val="auto"/>
          <w:spacing w:val="-1"/>
          <w:highlight w:val="none"/>
        </w:rPr>
        <w:t>报价表</w:t>
      </w:r>
    </w:p>
    <w:p w14:paraId="391C747D">
      <w:pPr>
        <w:spacing w:before="290" w:line="219" w:lineRule="auto"/>
        <w:ind w:left="2"/>
        <w:rPr>
          <w:rFonts w:ascii="宋体" w:hAnsi="宋体" w:eastAsia="宋体"/>
          <w:color w:val="auto"/>
          <w:spacing w:val="-2"/>
          <w:highlight w:val="none"/>
        </w:rPr>
      </w:pPr>
      <w:r>
        <w:rPr>
          <w:rFonts w:ascii="宋体" w:hAnsi="宋体" w:eastAsia="宋体"/>
          <w:color w:val="auto"/>
          <w:spacing w:val="-2"/>
          <w:highlight w:val="none"/>
        </w:rPr>
        <w:t>六</w:t>
      </w:r>
      <w:r>
        <w:rPr>
          <w:rFonts w:ascii="宋体" w:hAnsi="宋体" w:eastAsia="宋体"/>
          <w:color w:val="auto"/>
          <w:spacing w:val="-1"/>
          <w:highlight w:val="none"/>
        </w:rPr>
        <w:t>、资格审查资料</w:t>
      </w:r>
    </w:p>
    <w:p w14:paraId="7BCF098B">
      <w:pPr>
        <w:spacing w:before="291" w:line="221" w:lineRule="auto"/>
        <w:rPr>
          <w:rFonts w:ascii="宋体" w:hAnsi="宋体" w:eastAsia="宋体"/>
          <w:color w:val="auto"/>
          <w:spacing w:val="-2"/>
          <w:highlight w:val="none"/>
        </w:rPr>
      </w:pPr>
      <w:r>
        <w:rPr>
          <w:rFonts w:ascii="宋体" w:hAnsi="宋体" w:eastAsia="宋体"/>
          <w:color w:val="auto"/>
          <w:spacing w:val="-2"/>
          <w:highlight w:val="none"/>
        </w:rPr>
        <w:t>七</w:t>
      </w:r>
      <w:r>
        <w:rPr>
          <w:rFonts w:ascii="宋体" w:hAnsi="宋体" w:eastAsia="宋体"/>
          <w:color w:val="auto"/>
          <w:spacing w:val="-1"/>
          <w:highlight w:val="none"/>
        </w:rPr>
        <w:t>、</w:t>
      </w:r>
      <w:r>
        <w:rPr>
          <w:rFonts w:hint="eastAsia" w:ascii="宋体" w:hAnsi="宋体" w:eastAsia="宋体"/>
          <w:color w:val="auto"/>
          <w:spacing w:val="-1"/>
          <w:highlight w:val="none"/>
        </w:rPr>
        <w:t>设计</w:t>
      </w:r>
      <w:r>
        <w:rPr>
          <w:rFonts w:ascii="宋体" w:hAnsi="宋体" w:eastAsia="宋体"/>
          <w:color w:val="auto"/>
          <w:spacing w:val="-1"/>
          <w:highlight w:val="none"/>
        </w:rPr>
        <w:t>方案</w:t>
      </w:r>
    </w:p>
    <w:p w14:paraId="1D958D2B">
      <w:pPr>
        <w:spacing w:before="288" w:line="218" w:lineRule="auto"/>
        <w:ind w:left="4"/>
        <w:rPr>
          <w:rFonts w:ascii="宋体" w:hAnsi="宋体" w:eastAsia="宋体"/>
          <w:color w:val="auto"/>
          <w:spacing w:val="-2"/>
          <w:highlight w:val="none"/>
        </w:rPr>
      </w:pPr>
      <w:r>
        <w:rPr>
          <w:rFonts w:ascii="宋体" w:hAnsi="宋体" w:eastAsia="宋体"/>
          <w:color w:val="auto"/>
          <w:spacing w:val="-2"/>
          <w:highlight w:val="none"/>
        </w:rPr>
        <w:t>八、其他</w:t>
      </w:r>
      <w:r>
        <w:rPr>
          <w:rFonts w:ascii="宋体" w:hAnsi="宋体" w:eastAsia="宋体"/>
          <w:color w:val="auto"/>
          <w:spacing w:val="-1"/>
          <w:highlight w:val="none"/>
        </w:rPr>
        <w:t>资料</w:t>
      </w:r>
    </w:p>
    <w:p w14:paraId="2D389803">
      <w:pPr>
        <w:rPr>
          <w:color w:val="auto"/>
          <w:highlight w:val="none"/>
        </w:rPr>
        <w:sectPr>
          <w:footerReference r:id="rId20" w:type="default"/>
          <w:pgSz w:w="12240" w:h="15840"/>
          <w:pgMar w:top="1346" w:right="1836" w:bottom="1103" w:left="1807" w:header="0" w:footer="940" w:gutter="0"/>
          <w:cols w:space="720" w:num="1"/>
        </w:sectPr>
      </w:pPr>
    </w:p>
    <w:p w14:paraId="5B0D2857">
      <w:pPr>
        <w:spacing w:line="278" w:lineRule="auto"/>
        <w:rPr>
          <w:color w:val="auto"/>
          <w:highlight w:val="none"/>
        </w:rPr>
      </w:pPr>
    </w:p>
    <w:p w14:paraId="01F4FA07">
      <w:pPr>
        <w:pStyle w:val="25"/>
        <w:spacing w:before="120" w:after="120"/>
        <w:jc w:val="center"/>
        <w:outlineLvl w:val="9"/>
        <w:rPr>
          <w:rFonts w:ascii="黑体" w:hAnsi="黑体" w:eastAsia="黑体"/>
          <w:color w:val="auto"/>
          <w:spacing w:val="10"/>
          <w:sz w:val="31"/>
          <w:szCs w:val="31"/>
          <w:highlight w:val="none"/>
        </w:rPr>
      </w:pPr>
      <w:bookmarkStart w:id="426" w:name="_Toc28826"/>
      <w:bookmarkStart w:id="427" w:name="_Toc9600"/>
      <w:bookmarkStart w:id="428" w:name="_Toc5060"/>
      <w:bookmarkStart w:id="429" w:name="_Toc19895"/>
      <w:bookmarkStart w:id="430" w:name="_Toc5146"/>
      <w:r>
        <w:rPr>
          <w:rFonts w:ascii="黑体" w:hAnsi="黑体" w:eastAsia="黑体"/>
          <w:color w:val="auto"/>
          <w:spacing w:val="10"/>
          <w:sz w:val="31"/>
          <w:szCs w:val="31"/>
          <w:highlight w:val="none"/>
        </w:rPr>
        <w:t>一、投标函及投标函附</w:t>
      </w:r>
      <w:r>
        <w:rPr>
          <w:rFonts w:ascii="黑体" w:hAnsi="黑体" w:eastAsia="黑体"/>
          <w:color w:val="auto"/>
          <w:spacing w:val="7"/>
          <w:sz w:val="31"/>
          <w:szCs w:val="31"/>
          <w:highlight w:val="none"/>
        </w:rPr>
        <w:t>录</w:t>
      </w:r>
      <w:bookmarkEnd w:id="426"/>
      <w:bookmarkEnd w:id="427"/>
      <w:bookmarkEnd w:id="428"/>
      <w:bookmarkEnd w:id="429"/>
      <w:bookmarkEnd w:id="430"/>
    </w:p>
    <w:p w14:paraId="41B06AF7">
      <w:pPr>
        <w:spacing w:line="247" w:lineRule="auto"/>
        <w:rPr>
          <w:color w:val="auto"/>
          <w:highlight w:val="none"/>
        </w:rPr>
      </w:pPr>
    </w:p>
    <w:p w14:paraId="435DEE0D">
      <w:pPr>
        <w:spacing w:line="247" w:lineRule="auto"/>
        <w:rPr>
          <w:color w:val="auto"/>
          <w:highlight w:val="none"/>
        </w:rPr>
      </w:pPr>
    </w:p>
    <w:p w14:paraId="764BA39E">
      <w:pPr>
        <w:rPr>
          <w:rFonts w:ascii="黑体" w:hAnsi="黑体" w:eastAsia="黑体"/>
          <w:color w:val="auto"/>
          <w:spacing w:val="52"/>
          <w:sz w:val="27"/>
          <w:szCs w:val="27"/>
          <w:highlight w:val="none"/>
        </w:rPr>
      </w:pPr>
      <w:bookmarkStart w:id="431" w:name="_Toc31094"/>
      <w:bookmarkStart w:id="432" w:name="_Toc12396"/>
      <w:bookmarkStart w:id="433" w:name="_Toc13536"/>
      <w:bookmarkStart w:id="434" w:name="_Toc8025"/>
      <w:bookmarkStart w:id="435" w:name="_Toc20818"/>
      <w:r>
        <w:rPr>
          <w:rFonts w:ascii="黑体" w:hAnsi="黑体" w:eastAsia="黑体"/>
          <w:color w:val="auto"/>
          <w:spacing w:val="52"/>
          <w:sz w:val="27"/>
          <w:szCs w:val="27"/>
          <w:highlight w:val="none"/>
        </w:rPr>
        <w:t>(</w:t>
      </w:r>
      <w:r>
        <w:rPr>
          <w:rFonts w:ascii="黑体" w:hAnsi="黑体" w:eastAsia="黑体"/>
          <w:color w:val="auto"/>
          <w:spacing w:val="49"/>
          <w:sz w:val="27"/>
          <w:szCs w:val="27"/>
          <w:highlight w:val="none"/>
        </w:rPr>
        <w:t>一)投标函</w:t>
      </w:r>
      <w:bookmarkEnd w:id="431"/>
      <w:bookmarkEnd w:id="432"/>
      <w:bookmarkEnd w:id="433"/>
      <w:bookmarkEnd w:id="434"/>
      <w:bookmarkEnd w:id="435"/>
    </w:p>
    <w:p w14:paraId="50183DDC">
      <w:pPr>
        <w:spacing w:line="302" w:lineRule="auto"/>
        <w:rPr>
          <w:color w:val="auto"/>
          <w:highlight w:val="none"/>
        </w:rPr>
      </w:pPr>
    </w:p>
    <w:p w14:paraId="4CEFA584">
      <w:pPr>
        <w:spacing w:line="302" w:lineRule="auto"/>
        <w:rPr>
          <w:color w:val="auto"/>
          <w:highlight w:val="none"/>
        </w:rPr>
      </w:pPr>
    </w:p>
    <w:p w14:paraId="22549364">
      <w:pPr>
        <w:tabs>
          <w:tab w:val="left" w:pos="2048"/>
        </w:tabs>
        <w:spacing w:line="360" w:lineRule="auto"/>
        <w:ind w:left="39"/>
        <w:rPr>
          <w:rFonts w:ascii="宋体" w:hAnsi="宋体" w:eastAsia="宋体"/>
          <w:color w:val="auto"/>
          <w:highlight w:val="none"/>
          <w:u w:val="single"/>
        </w:rPr>
      </w:pPr>
      <w:r>
        <w:rPr>
          <w:rFonts w:ascii="宋体" w:hAnsi="宋体" w:eastAsia="宋体"/>
          <w:color w:val="auto"/>
          <w:highlight w:val="none"/>
          <w:u w:val="single"/>
        </w:rPr>
        <w:tab/>
      </w:r>
      <w:r>
        <w:rPr>
          <w:rFonts w:ascii="宋体" w:hAnsi="宋体" w:eastAsia="宋体"/>
          <w:color w:val="auto"/>
          <w:spacing w:val="-6"/>
          <w:highlight w:val="none"/>
        </w:rPr>
        <w:t>(</w:t>
      </w:r>
      <w:r>
        <w:rPr>
          <w:rFonts w:ascii="宋体" w:hAnsi="宋体" w:eastAsia="宋体"/>
          <w:color w:val="auto"/>
          <w:spacing w:val="-4"/>
          <w:highlight w:val="none"/>
        </w:rPr>
        <w:t>招</w:t>
      </w:r>
      <w:r>
        <w:rPr>
          <w:rFonts w:ascii="宋体" w:hAnsi="宋体" w:eastAsia="宋体"/>
          <w:color w:val="auto"/>
          <w:spacing w:val="-3"/>
          <w:highlight w:val="none"/>
        </w:rPr>
        <w:t>标人名称)：</w:t>
      </w:r>
    </w:p>
    <w:p w14:paraId="1062EB0B">
      <w:pPr>
        <w:spacing w:line="360" w:lineRule="auto"/>
        <w:ind w:left="49" w:firstLine="419"/>
        <w:rPr>
          <w:rFonts w:ascii="Times New Roman" w:hAnsi="Times New Roman" w:eastAsia="Times New Roman"/>
          <w:color w:val="auto"/>
          <w:spacing w:val="-4"/>
          <w:highlight w:val="none"/>
        </w:rPr>
      </w:pPr>
      <w:r>
        <w:rPr>
          <w:rFonts w:ascii="Times New Roman" w:hAnsi="Times New Roman" w:eastAsia="Times New Roman"/>
          <w:color w:val="auto"/>
          <w:spacing w:val="-4"/>
          <w:highlight w:val="none"/>
        </w:rPr>
        <w:t>1</w:t>
      </w:r>
      <w:r>
        <w:rPr>
          <w:rFonts w:ascii="宋体" w:hAnsi="宋体" w:eastAsia="宋体"/>
          <w:color w:val="auto"/>
          <w:spacing w:val="-4"/>
          <w:highlight w:val="none"/>
        </w:rPr>
        <w:t>．我方已仔细研究了</w:t>
      </w:r>
      <w:r>
        <w:rPr>
          <w:rFonts w:ascii="宋体" w:hAnsi="宋体" w:eastAsia="宋体"/>
          <w:color w:val="auto"/>
          <w:spacing w:val="-4"/>
          <w:highlight w:val="none"/>
          <w:u w:val="single"/>
        </w:rPr>
        <w:t xml:space="preserve">    </w:t>
      </w:r>
      <w:r>
        <w:rPr>
          <w:rFonts w:ascii="宋体" w:hAnsi="宋体" w:eastAsia="宋体"/>
          <w:color w:val="auto"/>
          <w:spacing w:val="-2"/>
          <w:highlight w:val="none"/>
          <w:u w:val="single"/>
        </w:rPr>
        <w:t xml:space="preserve">         (项目名称)     </w:t>
      </w:r>
      <w:r>
        <w:rPr>
          <w:rFonts w:ascii="宋体" w:hAnsi="宋体" w:eastAsia="宋体"/>
          <w:color w:val="auto"/>
          <w:spacing w:val="-2"/>
          <w:highlight w:val="none"/>
        </w:rPr>
        <w:t xml:space="preserve"> </w:t>
      </w:r>
      <w:r>
        <w:rPr>
          <w:rFonts w:hint="eastAsia" w:ascii="宋体" w:hAnsi="宋体" w:eastAsia="宋体"/>
          <w:color w:val="auto"/>
          <w:spacing w:val="-2"/>
          <w:highlight w:val="none"/>
        </w:rPr>
        <w:t>招标项目的</w:t>
      </w:r>
      <w:r>
        <w:rPr>
          <w:rFonts w:ascii="宋体" w:hAnsi="宋体" w:eastAsia="宋体"/>
          <w:color w:val="auto"/>
          <w:spacing w:val="-2"/>
          <w:highlight w:val="none"/>
        </w:rPr>
        <w:t>招标文件</w:t>
      </w:r>
      <w:r>
        <w:rPr>
          <w:rFonts w:hint="eastAsia" w:ascii="宋体" w:hAnsi="宋体" w:eastAsia="宋体"/>
          <w:color w:val="auto"/>
          <w:spacing w:val="-2"/>
          <w:highlight w:val="none"/>
        </w:rPr>
        <w:t>、合同条件、招标人要求、资料表、附件、补充文件和技术规范等文件</w:t>
      </w:r>
      <w:r>
        <w:rPr>
          <w:rFonts w:ascii="宋体" w:hAnsi="宋体" w:eastAsia="宋体"/>
          <w:color w:val="auto"/>
          <w:spacing w:val="-2"/>
          <w:highlight w:val="none"/>
        </w:rPr>
        <w:t>，</w:t>
      </w:r>
      <w:r>
        <w:rPr>
          <w:rFonts w:ascii="宋体" w:hAnsi="宋体" w:eastAsia="宋体"/>
          <w:color w:val="auto"/>
          <w:spacing w:val="-1"/>
          <w:highlight w:val="none"/>
        </w:rPr>
        <w:t>愿意以人民币(大写)</w:t>
      </w:r>
      <w:r>
        <w:rPr>
          <w:rFonts w:ascii="宋体" w:hAnsi="宋体" w:eastAsia="宋体"/>
          <w:color w:val="auto"/>
          <w:spacing w:val="-1"/>
          <w:highlight w:val="none"/>
          <w:u w:val="single"/>
        </w:rPr>
        <w:t xml:space="preserve">              </w:t>
      </w:r>
      <w:r>
        <w:rPr>
          <w:rFonts w:ascii="宋体" w:hAnsi="宋体" w:eastAsia="宋体"/>
          <w:color w:val="auto"/>
          <w:spacing w:val="-1"/>
          <w:highlight w:val="none"/>
        </w:rPr>
        <w:t>(</w:t>
      </w:r>
      <w:r>
        <w:rPr>
          <w:rFonts w:ascii="Times New Roman" w:hAnsi="Times New Roman" w:eastAsia="Times New Roman"/>
          <w:color w:val="auto"/>
          <w:spacing w:val="-1"/>
          <w:highlight w:val="none"/>
        </w:rPr>
        <w:t>¥</w:t>
      </w:r>
      <w:r>
        <w:rPr>
          <w:rFonts w:ascii="Times New Roman" w:hAnsi="Times New Roman" w:eastAsia="Times New Roman"/>
          <w:color w:val="auto"/>
          <w:spacing w:val="-1"/>
          <w:highlight w:val="none"/>
          <w:u w:val="single"/>
        </w:rPr>
        <w:t xml:space="preserve"> </w:t>
      </w:r>
      <w:r>
        <w:rPr>
          <w:rFonts w:ascii="Times New Roman" w:hAnsi="Times New Roman" w:eastAsia="Times New Roman"/>
          <w:color w:val="auto"/>
          <w:highlight w:val="none"/>
          <w:u w:val="single"/>
        </w:rPr>
        <w:t xml:space="preserve">                 </w:t>
      </w:r>
      <w:r>
        <w:rPr>
          <w:rFonts w:ascii="Times New Roman" w:hAnsi="Times New Roman" w:eastAsia="Times New Roman"/>
          <w:color w:val="auto"/>
          <w:highlight w:val="none"/>
        </w:rPr>
        <w:t xml:space="preserve"> </w:t>
      </w:r>
      <w:r>
        <w:rPr>
          <w:rFonts w:ascii="宋体" w:hAnsi="宋体" w:eastAsia="宋体"/>
          <w:color w:val="auto"/>
          <w:highlight w:val="none"/>
        </w:rPr>
        <w:t>) 的投标总报价</w:t>
      </w:r>
      <w:r>
        <w:rPr>
          <w:rFonts w:ascii="宋体" w:hAnsi="宋体" w:eastAsia="宋体" w:cs="宋体"/>
          <w:color w:val="auto"/>
          <w:spacing w:val="-5"/>
          <w:highlight w:val="none"/>
        </w:rPr>
        <w:t>按合同约定完成</w:t>
      </w:r>
      <w:r>
        <w:rPr>
          <w:rFonts w:hint="eastAsia" w:ascii="宋体" w:hAnsi="宋体" w:eastAsia="宋体" w:cs="宋体"/>
          <w:color w:val="auto"/>
          <w:spacing w:val="-5"/>
          <w:highlight w:val="none"/>
        </w:rPr>
        <w:t>设计</w:t>
      </w:r>
      <w:r>
        <w:rPr>
          <w:rFonts w:ascii="宋体" w:hAnsi="宋体" w:eastAsia="宋体" w:cs="宋体"/>
          <w:color w:val="auto"/>
          <w:spacing w:val="-5"/>
          <w:highlight w:val="none"/>
        </w:rPr>
        <w:t>工作</w:t>
      </w:r>
      <w:r>
        <w:rPr>
          <w:rFonts w:ascii="宋体" w:hAnsi="宋体" w:eastAsia="宋体"/>
          <w:color w:val="auto"/>
          <w:spacing w:val="-5"/>
          <w:highlight w:val="none"/>
        </w:rPr>
        <w:t>。</w:t>
      </w:r>
      <w:r>
        <w:rPr>
          <w:rFonts w:hint="eastAsia" w:ascii="宋体" w:hAnsi="宋体" w:eastAsia="宋体"/>
          <w:color w:val="auto"/>
          <w:spacing w:val="-5"/>
          <w:highlight w:val="none"/>
        </w:rPr>
        <w:t>我方</w:t>
      </w:r>
      <w:r>
        <w:rPr>
          <w:rFonts w:hint="eastAsia" w:ascii="宋体" w:hAnsi="宋体" w:eastAsia="宋体"/>
          <w:color w:val="auto"/>
          <w:highlight w:val="none"/>
        </w:rPr>
        <w:t>项目负责人是</w:t>
      </w:r>
      <w:r>
        <w:rPr>
          <w:rFonts w:ascii="宋体" w:hAnsi="宋体" w:eastAsia="宋体"/>
          <w:color w:val="auto"/>
          <w:spacing w:val="-5"/>
          <w:highlight w:val="none"/>
          <w:u w:val="single"/>
        </w:rPr>
        <w:t xml:space="preserve">  </w:t>
      </w:r>
      <w:r>
        <w:rPr>
          <w:rFonts w:hint="eastAsia" w:ascii="宋体" w:hAnsi="宋体" w:eastAsia="宋体"/>
          <w:color w:val="auto"/>
          <w:spacing w:val="-5"/>
          <w:highlight w:val="none"/>
          <w:u w:val="single"/>
        </w:rPr>
        <w:t xml:space="preserve">   </w:t>
      </w:r>
      <w:r>
        <w:rPr>
          <w:rFonts w:ascii="宋体" w:hAnsi="宋体" w:eastAsia="宋体"/>
          <w:color w:val="auto"/>
          <w:spacing w:val="-5"/>
          <w:highlight w:val="none"/>
          <w:u w:val="single"/>
        </w:rPr>
        <w:t xml:space="preserve">   </w:t>
      </w:r>
      <w:r>
        <w:rPr>
          <w:rFonts w:hint="eastAsia" w:ascii="宋体" w:hAnsi="宋体" w:eastAsia="宋体"/>
          <w:color w:val="auto"/>
          <w:spacing w:val="-5"/>
          <w:highlight w:val="none"/>
        </w:rPr>
        <w:t>。</w:t>
      </w:r>
    </w:p>
    <w:p w14:paraId="3990A487">
      <w:pPr>
        <w:spacing w:line="360" w:lineRule="auto"/>
        <w:ind w:left="464"/>
        <w:rPr>
          <w:rFonts w:ascii="Times New Roman" w:hAnsi="Times New Roman" w:eastAsia="Times New Roman"/>
          <w:color w:val="auto"/>
          <w:spacing w:val="-4"/>
          <w:highlight w:val="none"/>
        </w:rPr>
      </w:pPr>
      <w:r>
        <w:rPr>
          <w:rFonts w:ascii="Times New Roman" w:hAnsi="Times New Roman" w:eastAsia="Times New Roman"/>
          <w:color w:val="auto"/>
          <w:spacing w:val="-4"/>
          <w:highlight w:val="none"/>
        </w:rPr>
        <w:t xml:space="preserve">2.  </w:t>
      </w:r>
      <w:r>
        <w:rPr>
          <w:rFonts w:ascii="宋体" w:hAnsi="宋体" w:eastAsia="宋体"/>
          <w:color w:val="auto"/>
          <w:spacing w:val="-4"/>
          <w:highlight w:val="none"/>
        </w:rPr>
        <w:t>我方的</w:t>
      </w:r>
      <w:r>
        <w:rPr>
          <w:rFonts w:ascii="宋体" w:hAnsi="宋体" w:eastAsia="宋体"/>
          <w:color w:val="auto"/>
          <w:spacing w:val="-2"/>
          <w:highlight w:val="none"/>
        </w:rPr>
        <w:t>投标文件包括下列内容：</w:t>
      </w:r>
    </w:p>
    <w:p w14:paraId="46143C3B">
      <w:pPr>
        <w:spacing w:line="360" w:lineRule="auto"/>
        <w:ind w:left="457"/>
        <w:rPr>
          <w:rFonts w:ascii="宋体" w:hAnsi="宋体" w:eastAsia="宋体"/>
          <w:color w:val="auto"/>
          <w:spacing w:val="16"/>
          <w:highlight w:val="none"/>
        </w:rPr>
      </w:pPr>
      <w:r>
        <w:rPr>
          <w:rFonts w:ascii="宋体" w:hAnsi="宋体" w:eastAsia="宋体"/>
          <w:color w:val="auto"/>
          <w:spacing w:val="16"/>
          <w:highlight w:val="none"/>
        </w:rPr>
        <w:t>(</w:t>
      </w:r>
      <w:r>
        <w:rPr>
          <w:rFonts w:ascii="Times New Roman" w:hAnsi="Times New Roman" w:eastAsia="Times New Roman"/>
          <w:color w:val="auto"/>
          <w:spacing w:val="11"/>
          <w:highlight w:val="none"/>
        </w:rPr>
        <w:t>1</w:t>
      </w:r>
      <w:r>
        <w:rPr>
          <w:rFonts w:ascii="宋体" w:hAnsi="宋体" w:eastAsia="宋体"/>
          <w:color w:val="auto"/>
          <w:spacing w:val="11"/>
          <w:highlight w:val="none"/>
        </w:rPr>
        <w:t>)投标函及投标函附录；</w:t>
      </w:r>
    </w:p>
    <w:p w14:paraId="130F3972">
      <w:pPr>
        <w:spacing w:line="360" w:lineRule="auto"/>
        <w:ind w:left="457"/>
        <w:rPr>
          <w:rFonts w:ascii="宋体" w:hAnsi="宋体" w:eastAsia="宋体"/>
          <w:color w:val="auto"/>
          <w:spacing w:val="8"/>
          <w:highlight w:val="none"/>
        </w:rPr>
      </w:pPr>
      <w:r>
        <w:rPr>
          <w:rFonts w:ascii="宋体" w:hAnsi="宋体" w:eastAsia="宋体"/>
          <w:color w:val="auto"/>
          <w:spacing w:val="8"/>
          <w:highlight w:val="none"/>
        </w:rPr>
        <w:t>(2)法定代表人身份证明</w:t>
      </w:r>
      <w:r>
        <w:rPr>
          <w:rFonts w:hint="eastAsia" w:ascii="宋体" w:hAnsi="宋体" w:eastAsia="宋体"/>
          <w:color w:val="auto"/>
          <w:spacing w:val="8"/>
          <w:highlight w:val="none"/>
        </w:rPr>
        <w:t>或附有法定代表人身份证明的授权委托书</w:t>
      </w:r>
      <w:r>
        <w:rPr>
          <w:rFonts w:ascii="宋体" w:hAnsi="宋体" w:eastAsia="宋体"/>
          <w:color w:val="auto"/>
          <w:spacing w:val="8"/>
          <w:highlight w:val="none"/>
        </w:rPr>
        <w:t>；</w:t>
      </w:r>
    </w:p>
    <w:p w14:paraId="1592AFD2">
      <w:pPr>
        <w:spacing w:line="360" w:lineRule="auto"/>
        <w:ind w:left="457"/>
        <w:rPr>
          <w:rFonts w:ascii="宋体" w:hAnsi="宋体" w:eastAsia="宋体"/>
          <w:color w:val="auto"/>
          <w:spacing w:val="27"/>
          <w:highlight w:val="none"/>
        </w:rPr>
      </w:pPr>
      <w:r>
        <w:rPr>
          <w:rFonts w:ascii="宋体" w:hAnsi="宋体" w:eastAsia="宋体"/>
          <w:color w:val="auto"/>
          <w:spacing w:val="27"/>
          <w:highlight w:val="none"/>
        </w:rPr>
        <w:t>(</w:t>
      </w:r>
      <w:r>
        <w:rPr>
          <w:rFonts w:ascii="Times New Roman" w:hAnsi="Times New Roman" w:eastAsia="Times New Roman"/>
          <w:color w:val="auto"/>
          <w:spacing w:val="20"/>
          <w:highlight w:val="none"/>
        </w:rPr>
        <w:t>3</w:t>
      </w:r>
      <w:r>
        <w:rPr>
          <w:rFonts w:ascii="宋体" w:hAnsi="宋体" w:eastAsia="宋体"/>
          <w:color w:val="auto"/>
          <w:spacing w:val="20"/>
          <w:highlight w:val="none"/>
        </w:rPr>
        <w:t>)联合体协议书(如有)；</w:t>
      </w:r>
    </w:p>
    <w:p w14:paraId="17B6F266">
      <w:pPr>
        <w:spacing w:line="360" w:lineRule="auto"/>
        <w:ind w:left="457"/>
        <w:rPr>
          <w:rFonts w:ascii="宋体" w:hAnsi="宋体" w:eastAsia="宋体"/>
          <w:color w:val="auto"/>
          <w:spacing w:val="23"/>
          <w:highlight w:val="none"/>
        </w:rPr>
      </w:pPr>
      <w:r>
        <w:rPr>
          <w:rFonts w:ascii="宋体" w:hAnsi="宋体" w:eastAsia="宋体"/>
          <w:color w:val="auto"/>
          <w:spacing w:val="23"/>
          <w:highlight w:val="none"/>
        </w:rPr>
        <w:t>(</w:t>
      </w:r>
      <w:r>
        <w:rPr>
          <w:rFonts w:ascii="Times New Roman" w:hAnsi="Times New Roman" w:eastAsia="Times New Roman"/>
          <w:color w:val="auto"/>
          <w:spacing w:val="22"/>
          <w:highlight w:val="none"/>
        </w:rPr>
        <w:t>4</w:t>
      </w:r>
      <w:r>
        <w:rPr>
          <w:rFonts w:ascii="宋体" w:hAnsi="宋体" w:eastAsia="宋体"/>
          <w:color w:val="auto"/>
          <w:spacing w:val="22"/>
          <w:highlight w:val="none"/>
        </w:rPr>
        <w:t>)</w:t>
      </w:r>
      <w:r>
        <w:rPr>
          <w:rFonts w:ascii="宋体" w:hAnsi="宋体" w:eastAsia="宋体"/>
          <w:strike/>
          <w:color w:val="auto"/>
          <w:spacing w:val="22"/>
          <w:highlight w:val="none"/>
        </w:rPr>
        <w:t>投标保证金</w:t>
      </w:r>
      <w:r>
        <w:rPr>
          <w:rFonts w:ascii="宋体" w:hAnsi="宋体" w:eastAsia="宋体"/>
          <w:color w:val="auto"/>
          <w:spacing w:val="22"/>
          <w:highlight w:val="none"/>
        </w:rPr>
        <w:t>；</w:t>
      </w:r>
    </w:p>
    <w:p w14:paraId="36672A93">
      <w:pPr>
        <w:spacing w:line="360" w:lineRule="auto"/>
        <w:ind w:left="457"/>
        <w:rPr>
          <w:rFonts w:ascii="宋体" w:hAnsi="宋体" w:eastAsia="宋体"/>
          <w:color w:val="auto"/>
          <w:spacing w:val="15"/>
          <w:highlight w:val="none"/>
        </w:rPr>
      </w:pPr>
      <w:r>
        <w:rPr>
          <w:rFonts w:ascii="宋体" w:hAnsi="宋体" w:eastAsia="宋体"/>
          <w:color w:val="auto"/>
          <w:spacing w:val="15"/>
          <w:highlight w:val="none"/>
        </w:rPr>
        <w:t>(</w:t>
      </w:r>
      <w:r>
        <w:rPr>
          <w:rFonts w:ascii="Times New Roman" w:hAnsi="Times New Roman" w:eastAsia="Times New Roman"/>
          <w:color w:val="auto"/>
          <w:spacing w:val="15"/>
          <w:highlight w:val="none"/>
        </w:rPr>
        <w:t>5</w:t>
      </w:r>
      <w:r>
        <w:rPr>
          <w:rFonts w:ascii="宋体" w:hAnsi="宋体" w:eastAsia="宋体"/>
          <w:color w:val="auto"/>
          <w:spacing w:val="15"/>
          <w:highlight w:val="none"/>
        </w:rPr>
        <w:t>)</w:t>
      </w:r>
      <w:r>
        <w:rPr>
          <w:rFonts w:hint="eastAsia" w:ascii="宋体" w:hAnsi="宋体" w:eastAsia="宋体"/>
          <w:color w:val="auto"/>
          <w:spacing w:val="15"/>
          <w:highlight w:val="none"/>
        </w:rPr>
        <w:t>设计</w:t>
      </w:r>
      <w:r>
        <w:rPr>
          <w:rFonts w:ascii="宋体" w:hAnsi="宋体" w:eastAsia="宋体"/>
          <w:color w:val="auto"/>
          <w:spacing w:val="15"/>
          <w:highlight w:val="none"/>
        </w:rPr>
        <w:t>费</w:t>
      </w:r>
      <w:r>
        <w:rPr>
          <w:rFonts w:hint="eastAsia" w:ascii="宋体" w:hAnsi="宋体" w:eastAsia="宋体"/>
          <w:color w:val="auto"/>
          <w:spacing w:val="15"/>
          <w:highlight w:val="none"/>
        </w:rPr>
        <w:t>报价表</w:t>
      </w:r>
      <w:r>
        <w:rPr>
          <w:rFonts w:ascii="宋体" w:hAnsi="宋体" w:eastAsia="宋体"/>
          <w:color w:val="auto"/>
          <w:spacing w:val="13"/>
          <w:highlight w:val="none"/>
        </w:rPr>
        <w:t>；</w:t>
      </w:r>
    </w:p>
    <w:p w14:paraId="179F64BB">
      <w:pPr>
        <w:spacing w:line="360" w:lineRule="auto"/>
        <w:ind w:left="457"/>
        <w:rPr>
          <w:rFonts w:ascii="宋体" w:hAnsi="宋体" w:eastAsia="宋体"/>
          <w:color w:val="auto"/>
          <w:spacing w:val="15"/>
          <w:highlight w:val="none"/>
        </w:rPr>
      </w:pPr>
      <w:r>
        <w:rPr>
          <w:rFonts w:ascii="宋体" w:hAnsi="宋体" w:eastAsia="宋体"/>
          <w:color w:val="auto"/>
          <w:spacing w:val="15"/>
          <w:highlight w:val="none"/>
        </w:rPr>
        <w:t>(</w:t>
      </w:r>
      <w:r>
        <w:rPr>
          <w:rFonts w:ascii="Times New Roman" w:hAnsi="Times New Roman" w:eastAsia="Times New Roman"/>
          <w:color w:val="auto"/>
          <w:spacing w:val="15"/>
          <w:highlight w:val="none"/>
        </w:rPr>
        <w:t>6</w:t>
      </w:r>
      <w:r>
        <w:rPr>
          <w:rFonts w:ascii="宋体" w:hAnsi="宋体" w:eastAsia="宋体"/>
          <w:color w:val="auto"/>
          <w:spacing w:val="15"/>
          <w:highlight w:val="none"/>
        </w:rPr>
        <w:t>)资格审查资料</w:t>
      </w:r>
      <w:r>
        <w:rPr>
          <w:rFonts w:ascii="宋体" w:hAnsi="宋体" w:eastAsia="宋体"/>
          <w:color w:val="auto"/>
          <w:spacing w:val="13"/>
          <w:highlight w:val="none"/>
        </w:rPr>
        <w:t>；</w:t>
      </w:r>
    </w:p>
    <w:p w14:paraId="25668C67">
      <w:pPr>
        <w:spacing w:line="360" w:lineRule="auto"/>
        <w:ind w:left="457"/>
        <w:rPr>
          <w:rFonts w:ascii="宋体" w:hAnsi="宋体" w:eastAsia="宋体"/>
          <w:color w:val="auto"/>
          <w:spacing w:val="22"/>
          <w:highlight w:val="none"/>
        </w:rPr>
      </w:pPr>
      <w:r>
        <w:rPr>
          <w:rFonts w:ascii="宋体" w:hAnsi="宋体" w:eastAsia="宋体"/>
          <w:color w:val="auto"/>
          <w:spacing w:val="22"/>
          <w:highlight w:val="none"/>
        </w:rPr>
        <w:t>(</w:t>
      </w:r>
      <w:r>
        <w:rPr>
          <w:rFonts w:ascii="Times New Roman" w:hAnsi="Times New Roman" w:eastAsia="Times New Roman"/>
          <w:color w:val="auto"/>
          <w:spacing w:val="18"/>
          <w:highlight w:val="none"/>
        </w:rPr>
        <w:t>7</w:t>
      </w:r>
      <w:r>
        <w:rPr>
          <w:rFonts w:ascii="宋体" w:hAnsi="宋体" w:eastAsia="宋体"/>
          <w:color w:val="auto"/>
          <w:spacing w:val="18"/>
          <w:highlight w:val="none"/>
        </w:rPr>
        <w:t>)</w:t>
      </w:r>
      <w:r>
        <w:rPr>
          <w:rFonts w:hint="eastAsia" w:ascii="宋体" w:hAnsi="宋体" w:eastAsia="宋体"/>
          <w:color w:val="auto"/>
          <w:spacing w:val="18"/>
          <w:highlight w:val="none"/>
        </w:rPr>
        <w:t>设计</w:t>
      </w:r>
      <w:r>
        <w:rPr>
          <w:rFonts w:ascii="宋体" w:hAnsi="宋体" w:eastAsia="宋体"/>
          <w:color w:val="auto"/>
          <w:spacing w:val="18"/>
          <w:highlight w:val="none"/>
        </w:rPr>
        <w:t>方案；</w:t>
      </w:r>
    </w:p>
    <w:p w14:paraId="265296E6">
      <w:pPr>
        <w:spacing w:line="360" w:lineRule="auto"/>
        <w:ind w:left="470"/>
        <w:rPr>
          <w:rFonts w:ascii="宋体" w:hAnsi="宋体" w:eastAsia="宋体"/>
          <w:color w:val="auto"/>
          <w:spacing w:val="-2"/>
          <w:highlight w:val="none"/>
        </w:rPr>
      </w:pPr>
      <w:r>
        <w:rPr>
          <w:rFonts w:ascii="宋体" w:hAnsi="宋体" w:eastAsia="宋体"/>
          <w:color w:val="auto"/>
          <w:spacing w:val="-2"/>
          <w:highlight w:val="none"/>
        </w:rPr>
        <w:t>投标文件的上述组成部分</w:t>
      </w:r>
      <w:r>
        <w:rPr>
          <w:rFonts w:ascii="宋体" w:hAnsi="宋体" w:eastAsia="宋体"/>
          <w:color w:val="auto"/>
          <w:spacing w:val="-1"/>
          <w:highlight w:val="none"/>
        </w:rPr>
        <w:t>如存在内容不一致的，以投标函为准。</w:t>
      </w:r>
    </w:p>
    <w:p w14:paraId="1702D805">
      <w:pPr>
        <w:spacing w:line="360" w:lineRule="auto"/>
        <w:ind w:left="468"/>
        <w:rPr>
          <w:rFonts w:ascii="Times New Roman" w:hAnsi="Times New Roman" w:eastAsia="Times New Roman"/>
          <w:color w:val="auto"/>
          <w:spacing w:val="-6"/>
          <w:highlight w:val="none"/>
        </w:rPr>
      </w:pPr>
      <w:r>
        <w:rPr>
          <w:rFonts w:ascii="Times New Roman" w:hAnsi="Times New Roman" w:eastAsia="Times New Roman"/>
          <w:color w:val="auto"/>
          <w:spacing w:val="-6"/>
          <w:highlight w:val="none"/>
        </w:rPr>
        <w:t>3</w:t>
      </w:r>
      <w:r>
        <w:rPr>
          <w:rFonts w:ascii="Times New Roman" w:hAnsi="Times New Roman" w:eastAsia="Times New Roman"/>
          <w:color w:val="auto"/>
          <w:spacing w:val="-3"/>
          <w:highlight w:val="none"/>
        </w:rPr>
        <w:t xml:space="preserve"> </w:t>
      </w:r>
      <w:r>
        <w:rPr>
          <w:rFonts w:ascii="宋体" w:hAnsi="宋体" w:eastAsia="宋体"/>
          <w:color w:val="auto"/>
          <w:spacing w:val="-3"/>
          <w:highlight w:val="none"/>
        </w:rPr>
        <w:t>．我方承诺在招标文件规定的投标有效期内不撤销投标文件。</w:t>
      </w:r>
    </w:p>
    <w:p w14:paraId="3792E845">
      <w:pPr>
        <w:spacing w:line="360" w:lineRule="auto"/>
        <w:ind w:left="463"/>
        <w:rPr>
          <w:rFonts w:ascii="Times New Roman" w:hAnsi="Times New Roman" w:eastAsia="Times New Roman"/>
          <w:color w:val="auto"/>
          <w:spacing w:val="-8"/>
          <w:highlight w:val="none"/>
        </w:rPr>
      </w:pPr>
      <w:r>
        <w:rPr>
          <w:rFonts w:ascii="Times New Roman" w:hAnsi="Times New Roman" w:eastAsia="Times New Roman"/>
          <w:color w:val="auto"/>
          <w:spacing w:val="-8"/>
          <w:highlight w:val="none"/>
        </w:rPr>
        <w:t>4</w:t>
      </w:r>
      <w:r>
        <w:rPr>
          <w:rFonts w:ascii="Times New Roman" w:hAnsi="Times New Roman" w:eastAsia="Times New Roman"/>
          <w:color w:val="auto"/>
          <w:spacing w:val="-7"/>
          <w:highlight w:val="none"/>
        </w:rPr>
        <w:t xml:space="preserve"> </w:t>
      </w:r>
      <w:r>
        <w:rPr>
          <w:rFonts w:ascii="宋体" w:hAnsi="宋体" w:eastAsia="宋体"/>
          <w:color w:val="auto"/>
          <w:spacing w:val="-7"/>
          <w:highlight w:val="none"/>
        </w:rPr>
        <w:t>．如我方中标，我方承诺：</w:t>
      </w:r>
    </w:p>
    <w:p w14:paraId="2DF6AE35">
      <w:pPr>
        <w:spacing w:line="360" w:lineRule="auto"/>
        <w:ind w:left="893"/>
        <w:rPr>
          <w:rFonts w:ascii="宋体" w:hAnsi="宋体" w:eastAsia="宋体"/>
          <w:color w:val="auto"/>
          <w:spacing w:val="8"/>
          <w:highlight w:val="none"/>
        </w:rPr>
      </w:pPr>
      <w:r>
        <w:rPr>
          <w:rFonts w:ascii="宋体" w:hAnsi="宋体" w:eastAsia="宋体"/>
          <w:color w:val="auto"/>
          <w:spacing w:val="8"/>
          <w:highlight w:val="none"/>
        </w:rPr>
        <w:t>(</w:t>
      </w:r>
      <w:r>
        <w:rPr>
          <w:rFonts w:ascii="Times New Roman" w:hAnsi="Times New Roman" w:eastAsia="Times New Roman"/>
          <w:color w:val="auto"/>
          <w:spacing w:val="8"/>
          <w:highlight w:val="none"/>
        </w:rPr>
        <w:t>1</w:t>
      </w:r>
      <w:r>
        <w:rPr>
          <w:rFonts w:ascii="宋体" w:hAnsi="宋体" w:eastAsia="宋体"/>
          <w:color w:val="auto"/>
          <w:spacing w:val="8"/>
          <w:highlight w:val="none"/>
        </w:rPr>
        <w:t>)</w:t>
      </w:r>
      <w:r>
        <w:rPr>
          <w:rFonts w:ascii="宋体" w:hAnsi="宋体" w:eastAsia="宋体"/>
          <w:color w:val="auto"/>
          <w:spacing w:val="7"/>
          <w:highlight w:val="none"/>
        </w:rPr>
        <w:t>在</w:t>
      </w:r>
      <w:r>
        <w:rPr>
          <w:rFonts w:ascii="宋体" w:hAnsi="宋体" w:eastAsia="宋体"/>
          <w:color w:val="auto"/>
          <w:spacing w:val="4"/>
          <w:highlight w:val="none"/>
        </w:rPr>
        <w:t>收到中标通知书后，在中标通知书规定的期限内与你方签订合同；</w:t>
      </w:r>
    </w:p>
    <w:p w14:paraId="537ACB19">
      <w:pPr>
        <w:spacing w:line="360" w:lineRule="auto"/>
        <w:ind w:left="893"/>
        <w:rPr>
          <w:rFonts w:ascii="宋体" w:hAnsi="宋体" w:eastAsia="宋体"/>
          <w:color w:val="auto"/>
          <w:spacing w:val="14"/>
          <w:highlight w:val="none"/>
        </w:rPr>
      </w:pPr>
      <w:r>
        <w:rPr>
          <w:rFonts w:ascii="宋体" w:hAnsi="宋体" w:eastAsia="宋体"/>
          <w:color w:val="auto"/>
          <w:spacing w:val="14"/>
          <w:highlight w:val="none"/>
        </w:rPr>
        <w:t>(</w:t>
      </w:r>
      <w:r>
        <w:rPr>
          <w:rFonts w:ascii="Times New Roman" w:hAnsi="Times New Roman" w:eastAsia="Times New Roman"/>
          <w:color w:val="auto"/>
          <w:spacing w:val="7"/>
          <w:highlight w:val="none"/>
        </w:rPr>
        <w:t>2</w:t>
      </w:r>
      <w:r>
        <w:rPr>
          <w:rFonts w:ascii="宋体" w:hAnsi="宋体" w:eastAsia="宋体"/>
          <w:color w:val="auto"/>
          <w:spacing w:val="7"/>
          <w:highlight w:val="none"/>
        </w:rPr>
        <w:t>)在签订合同时不向你方提出附加条件；</w:t>
      </w:r>
    </w:p>
    <w:p w14:paraId="12AB7054">
      <w:pPr>
        <w:spacing w:line="360" w:lineRule="auto"/>
        <w:ind w:left="893"/>
        <w:rPr>
          <w:rFonts w:ascii="宋体" w:hAnsi="宋体" w:eastAsia="宋体"/>
          <w:color w:val="auto"/>
          <w:spacing w:val="14"/>
          <w:highlight w:val="none"/>
        </w:rPr>
      </w:pPr>
      <w:r>
        <w:rPr>
          <w:rFonts w:ascii="宋体" w:hAnsi="宋体" w:eastAsia="宋体"/>
          <w:color w:val="auto"/>
          <w:spacing w:val="14"/>
          <w:highlight w:val="none"/>
        </w:rPr>
        <w:t>(</w:t>
      </w:r>
      <w:r>
        <w:rPr>
          <w:rFonts w:ascii="Times New Roman" w:hAnsi="Times New Roman" w:eastAsia="Times New Roman"/>
          <w:color w:val="auto"/>
          <w:spacing w:val="14"/>
          <w:highlight w:val="none"/>
        </w:rPr>
        <w:t>3</w:t>
      </w:r>
      <w:r>
        <w:rPr>
          <w:rFonts w:ascii="宋体" w:hAnsi="宋体" w:eastAsia="宋体"/>
          <w:color w:val="auto"/>
          <w:spacing w:val="7"/>
          <w:highlight w:val="none"/>
        </w:rPr>
        <w:t>)按照招标文件要求提交履约保证金；</w:t>
      </w:r>
    </w:p>
    <w:p w14:paraId="72791E94">
      <w:pPr>
        <w:spacing w:line="360" w:lineRule="auto"/>
        <w:ind w:left="893"/>
        <w:rPr>
          <w:rFonts w:ascii="宋体" w:hAnsi="宋体" w:eastAsia="宋体"/>
          <w:color w:val="auto"/>
          <w:spacing w:val="7"/>
          <w:highlight w:val="none"/>
        </w:rPr>
      </w:pPr>
      <w:r>
        <w:rPr>
          <w:rFonts w:ascii="宋体" w:hAnsi="宋体" w:eastAsia="宋体"/>
          <w:color w:val="auto"/>
          <w:spacing w:val="7"/>
          <w:highlight w:val="none"/>
        </w:rPr>
        <w:t>(</w:t>
      </w:r>
      <w:r>
        <w:rPr>
          <w:rFonts w:ascii="Times New Roman" w:hAnsi="Times New Roman" w:eastAsia="Times New Roman"/>
          <w:color w:val="auto"/>
          <w:spacing w:val="7"/>
          <w:highlight w:val="none"/>
        </w:rPr>
        <w:t>4</w:t>
      </w:r>
      <w:r>
        <w:rPr>
          <w:rFonts w:ascii="宋体" w:hAnsi="宋体" w:eastAsia="宋体"/>
          <w:color w:val="auto"/>
          <w:spacing w:val="7"/>
          <w:highlight w:val="none"/>
        </w:rPr>
        <w:t>)在合同约定的期限内完成合同规定的全部义务</w:t>
      </w:r>
      <w:r>
        <w:rPr>
          <w:rFonts w:ascii="宋体" w:hAnsi="宋体" w:eastAsia="宋体"/>
          <w:color w:val="auto"/>
          <w:spacing w:val="4"/>
          <w:highlight w:val="none"/>
        </w:rPr>
        <w:t>。</w:t>
      </w:r>
    </w:p>
    <w:p w14:paraId="6B3F27DF">
      <w:pPr>
        <w:spacing w:line="360" w:lineRule="auto"/>
        <w:ind w:left="469"/>
        <w:rPr>
          <w:rFonts w:ascii="Times New Roman" w:hAnsi="Times New Roman" w:eastAsia="Times New Roman"/>
          <w:color w:val="auto"/>
          <w:spacing w:val="-2"/>
          <w:highlight w:val="none"/>
        </w:rPr>
      </w:pPr>
      <w:r>
        <w:rPr>
          <w:rFonts w:ascii="Times New Roman" w:hAnsi="Times New Roman" w:eastAsia="Times New Roman"/>
          <w:color w:val="auto"/>
          <w:spacing w:val="-7"/>
          <w:highlight w:val="none"/>
        </w:rPr>
        <w:t>5</w:t>
      </w:r>
      <w:r>
        <w:rPr>
          <w:rFonts w:ascii="宋体" w:hAnsi="宋体" w:eastAsia="宋体"/>
          <w:color w:val="auto"/>
          <w:spacing w:val="-7"/>
          <w:highlight w:val="none"/>
        </w:rPr>
        <w:t>．我方在此声明， 所递交的投标文件及有关资料内容完整、真实和准确， 且不存在第二章</w:t>
      </w:r>
      <w:r>
        <w:rPr>
          <w:rFonts w:ascii="Times New Roman" w:hAnsi="Times New Roman" w:eastAsia="Times New Roman"/>
          <w:color w:val="auto"/>
          <w:spacing w:val="-2"/>
          <w:highlight w:val="none"/>
        </w:rPr>
        <w:t>“</w:t>
      </w:r>
      <w:r>
        <w:rPr>
          <w:rFonts w:ascii="宋体" w:hAnsi="宋体" w:eastAsia="宋体"/>
          <w:color w:val="auto"/>
          <w:spacing w:val="-2"/>
          <w:highlight w:val="none"/>
        </w:rPr>
        <w:t>投标人须知</w:t>
      </w:r>
      <w:r>
        <w:rPr>
          <w:rFonts w:ascii="Times New Roman" w:hAnsi="Times New Roman" w:eastAsia="Times New Roman"/>
          <w:color w:val="auto"/>
          <w:spacing w:val="-2"/>
          <w:highlight w:val="none"/>
        </w:rPr>
        <w:t>”</w:t>
      </w:r>
      <w:r>
        <w:rPr>
          <w:rFonts w:ascii="宋体" w:hAnsi="宋体" w:eastAsia="宋体"/>
          <w:color w:val="auto"/>
          <w:spacing w:val="-2"/>
          <w:highlight w:val="none"/>
        </w:rPr>
        <w:t xml:space="preserve">第 </w:t>
      </w:r>
      <w:r>
        <w:rPr>
          <w:rFonts w:ascii="Times New Roman" w:hAnsi="Times New Roman" w:eastAsia="Times New Roman"/>
          <w:color w:val="auto"/>
          <w:spacing w:val="-2"/>
          <w:highlight w:val="none"/>
        </w:rPr>
        <w:t>1.4.3</w:t>
      </w:r>
      <w:r>
        <w:rPr>
          <w:rFonts w:ascii="Times New Roman" w:hAnsi="Times New Roman" w:eastAsia="Times New Roman"/>
          <w:color w:val="auto"/>
          <w:spacing w:val="-1"/>
          <w:highlight w:val="none"/>
        </w:rPr>
        <w:t xml:space="preserve"> </w:t>
      </w:r>
      <w:r>
        <w:rPr>
          <w:rFonts w:ascii="宋体" w:hAnsi="宋体" w:eastAsia="宋体"/>
          <w:color w:val="auto"/>
          <w:spacing w:val="-1"/>
          <w:highlight w:val="none"/>
        </w:rPr>
        <w:t>项规定的任何一种情形。</w:t>
      </w:r>
    </w:p>
    <w:p w14:paraId="738965DE">
      <w:pPr>
        <w:spacing w:line="360" w:lineRule="auto"/>
        <w:ind w:left="468"/>
        <w:rPr>
          <w:rFonts w:ascii="Times New Roman" w:hAnsi="Times New Roman" w:eastAsia="Times New Roman"/>
          <w:color w:val="auto"/>
          <w:spacing w:val="-8"/>
          <w:highlight w:val="none"/>
        </w:rPr>
      </w:pPr>
      <w:r>
        <w:rPr>
          <w:rFonts w:ascii="Times New Roman" w:hAnsi="Times New Roman" w:eastAsia="Times New Roman"/>
          <w:color w:val="auto"/>
          <w:spacing w:val="-8"/>
          <w:highlight w:val="none"/>
        </w:rPr>
        <w:t xml:space="preserve">6 </w:t>
      </w:r>
      <w:r>
        <w:rPr>
          <w:rFonts w:ascii="宋体" w:hAnsi="宋体" w:eastAsia="宋体"/>
          <w:color w:val="auto"/>
          <w:spacing w:val="-5"/>
          <w:highlight w:val="none"/>
        </w:rPr>
        <w:t>．</w:t>
      </w:r>
      <w:r>
        <w:rPr>
          <w:rFonts w:ascii="宋体" w:hAnsi="宋体" w:eastAsia="宋体"/>
          <w:color w:val="auto"/>
          <w:spacing w:val="-4"/>
          <w:highlight w:val="none"/>
          <w:u w:val="single"/>
        </w:rPr>
        <w:t xml:space="preserve">               </w:t>
      </w:r>
      <w:r>
        <w:rPr>
          <w:rFonts w:hint="eastAsia" w:ascii="宋体" w:hAnsi="宋体" w:eastAsia="宋体"/>
          <w:color w:val="auto"/>
          <w:spacing w:val="-4"/>
          <w:highlight w:val="none"/>
          <w:u w:val="single"/>
        </w:rPr>
        <w:t>/</w:t>
      </w:r>
      <w:r>
        <w:rPr>
          <w:rFonts w:ascii="宋体" w:hAnsi="宋体" w:eastAsia="宋体"/>
          <w:color w:val="auto"/>
          <w:spacing w:val="-4"/>
          <w:highlight w:val="none"/>
          <w:u w:val="single"/>
        </w:rPr>
        <w:t xml:space="preserve">                </w:t>
      </w:r>
      <w:r>
        <w:rPr>
          <w:rFonts w:ascii="宋体" w:hAnsi="宋体" w:eastAsia="宋体"/>
          <w:color w:val="auto"/>
          <w:spacing w:val="-4"/>
          <w:highlight w:val="none"/>
        </w:rPr>
        <w:t>(其他补充说明)。</w:t>
      </w:r>
    </w:p>
    <w:p w14:paraId="37F2CF2B">
      <w:pPr>
        <w:rPr>
          <w:color w:val="auto"/>
          <w:highlight w:val="none"/>
        </w:rPr>
      </w:pPr>
    </w:p>
    <w:p w14:paraId="3BEBA1D3">
      <w:pPr>
        <w:spacing w:line="360" w:lineRule="auto"/>
        <w:ind w:left="2493" w:right="253" w:firstLine="1"/>
        <w:rPr>
          <w:rFonts w:ascii="宋体" w:hAnsi="宋体" w:eastAsia="宋体"/>
          <w:color w:val="auto"/>
          <w:spacing w:val="-4"/>
          <w:highlight w:val="none"/>
        </w:rPr>
      </w:pPr>
      <w:r>
        <w:rPr>
          <w:rFonts w:ascii="宋体" w:hAnsi="宋体" w:eastAsia="宋体"/>
          <w:color w:val="auto"/>
          <w:spacing w:val="-4"/>
          <w:highlight w:val="none"/>
        </w:rPr>
        <w:t>投 标 人：</w:t>
      </w:r>
      <w:r>
        <w:rPr>
          <w:rFonts w:ascii="宋体" w:hAnsi="宋体" w:eastAsia="宋体"/>
          <w:color w:val="auto"/>
          <w:spacing w:val="-4"/>
          <w:highlight w:val="none"/>
          <w:u w:val="single"/>
        </w:rPr>
        <w:t xml:space="preserve">           </w:t>
      </w:r>
      <w:r>
        <w:rPr>
          <w:rFonts w:ascii="宋体" w:hAnsi="宋体" w:eastAsia="宋体"/>
          <w:color w:val="auto"/>
          <w:spacing w:val="-2"/>
          <w:highlight w:val="none"/>
          <w:u w:val="single"/>
        </w:rPr>
        <w:t xml:space="preserve">                         </w:t>
      </w:r>
      <w:r>
        <w:rPr>
          <w:rFonts w:ascii="宋体" w:hAnsi="宋体" w:eastAsia="宋体"/>
          <w:color w:val="auto"/>
          <w:spacing w:val="-2"/>
          <w:highlight w:val="none"/>
        </w:rPr>
        <w:t>(盖单位章)</w:t>
      </w:r>
      <w:r>
        <w:rPr>
          <w:rFonts w:ascii="宋体" w:hAnsi="宋体" w:eastAsia="宋体"/>
          <w:color w:val="auto"/>
          <w:highlight w:val="none"/>
        </w:rPr>
        <w:t xml:space="preserve"> </w:t>
      </w:r>
      <w:r>
        <w:rPr>
          <w:rFonts w:ascii="宋体" w:hAnsi="宋体" w:eastAsia="宋体"/>
          <w:color w:val="auto"/>
          <w:spacing w:val="-8"/>
          <w:highlight w:val="none"/>
        </w:rPr>
        <w:t>法定</w:t>
      </w:r>
      <w:r>
        <w:rPr>
          <w:rFonts w:ascii="宋体" w:hAnsi="宋体" w:eastAsia="宋体"/>
          <w:color w:val="auto"/>
          <w:spacing w:val="-4"/>
          <w:highlight w:val="none"/>
        </w:rPr>
        <w:t>代表人</w:t>
      </w:r>
      <w:r>
        <w:rPr>
          <w:rFonts w:hint="eastAsia" w:ascii="宋体" w:hAnsi="宋体" w:eastAsia="宋体"/>
          <w:color w:val="auto"/>
          <w:spacing w:val="-4"/>
          <w:highlight w:val="none"/>
        </w:rPr>
        <w:t>：</w:t>
      </w:r>
      <w:r>
        <w:rPr>
          <w:rFonts w:ascii="宋体" w:hAnsi="宋体" w:eastAsia="宋体"/>
          <w:color w:val="auto"/>
          <w:spacing w:val="-4"/>
          <w:highlight w:val="none"/>
          <w:u w:val="single"/>
        </w:rPr>
        <w:t xml:space="preserve">            </w:t>
      </w:r>
      <w:r>
        <w:rPr>
          <w:rFonts w:ascii="宋体" w:hAnsi="宋体" w:eastAsia="宋体"/>
          <w:color w:val="auto"/>
          <w:spacing w:val="-4"/>
          <w:highlight w:val="none"/>
        </w:rPr>
        <w:t>(签字</w:t>
      </w:r>
      <w:r>
        <w:rPr>
          <w:rFonts w:hint="eastAsia" w:ascii="宋体" w:hAnsi="宋体" w:eastAsia="宋体"/>
          <w:color w:val="auto"/>
          <w:spacing w:val="-4"/>
          <w:highlight w:val="none"/>
        </w:rPr>
        <w:t>或盖章</w:t>
      </w:r>
      <w:r>
        <w:rPr>
          <w:rFonts w:ascii="宋体" w:hAnsi="宋体" w:eastAsia="宋体"/>
          <w:color w:val="auto"/>
          <w:spacing w:val="-4"/>
          <w:highlight w:val="none"/>
        </w:rPr>
        <w:t>)</w:t>
      </w:r>
    </w:p>
    <w:p w14:paraId="760EC436">
      <w:pPr>
        <w:spacing w:line="360" w:lineRule="auto"/>
        <w:ind w:left="2493" w:right="253" w:firstLine="1"/>
        <w:rPr>
          <w:rFonts w:ascii="宋体" w:hAnsi="宋体" w:eastAsia="宋体"/>
          <w:color w:val="auto"/>
          <w:spacing w:val="-4"/>
          <w:highlight w:val="none"/>
        </w:rPr>
      </w:pPr>
      <w:r>
        <w:rPr>
          <w:rFonts w:ascii="宋体" w:hAnsi="宋体" w:eastAsia="宋体"/>
          <w:color w:val="auto"/>
          <w:spacing w:val="-4"/>
          <w:highlight w:val="none"/>
        </w:rPr>
        <w:t>委托代理人：</w:t>
      </w:r>
      <w:r>
        <w:rPr>
          <w:rFonts w:ascii="宋体" w:hAnsi="宋体" w:eastAsia="宋体"/>
          <w:color w:val="auto"/>
          <w:spacing w:val="-4"/>
          <w:highlight w:val="none"/>
          <w:u w:val="single"/>
        </w:rPr>
        <w:t xml:space="preserve">            </w:t>
      </w:r>
      <w:r>
        <w:rPr>
          <w:rFonts w:ascii="宋体" w:hAnsi="宋体" w:eastAsia="宋体"/>
          <w:color w:val="auto"/>
          <w:spacing w:val="-4"/>
          <w:highlight w:val="none"/>
        </w:rPr>
        <w:t>(签字)</w:t>
      </w:r>
    </w:p>
    <w:p w14:paraId="6CA3C868">
      <w:pPr>
        <w:pStyle w:val="56"/>
        <w:spacing w:line="360" w:lineRule="auto"/>
        <w:ind w:left="2520" w:leftChars="1200"/>
        <w:jc w:val="left"/>
        <w:rPr>
          <w:rFonts w:ascii="宋体" w:hAnsi="宋体" w:eastAsia="宋体"/>
          <w:b w:val="0"/>
          <w:color w:val="auto"/>
          <w:spacing w:val="-4"/>
          <w:highlight w:val="none"/>
        </w:rPr>
      </w:pPr>
      <w:r>
        <w:rPr>
          <w:rFonts w:hint="eastAsia" w:ascii="宋体" w:hAnsi="宋体" w:eastAsia="宋体"/>
          <w:b w:val="0"/>
          <w:color w:val="auto"/>
          <w:spacing w:val="-4"/>
          <w:highlight w:val="none"/>
        </w:rPr>
        <w:t>项目负责人：</w:t>
      </w:r>
      <w:r>
        <w:rPr>
          <w:rFonts w:ascii="宋体" w:hAnsi="宋体" w:eastAsia="宋体"/>
          <w:color w:val="auto"/>
          <w:spacing w:val="-4"/>
          <w:highlight w:val="none"/>
          <w:u w:val="single"/>
        </w:rPr>
        <w:t xml:space="preserve">          </w:t>
      </w:r>
      <w:r>
        <w:rPr>
          <w:rFonts w:hint="eastAsia" w:ascii="宋体" w:hAnsi="宋体" w:eastAsia="宋体"/>
          <w:color w:val="auto"/>
          <w:spacing w:val="-4"/>
          <w:highlight w:val="none"/>
          <w:u w:val="single"/>
        </w:rPr>
        <w:t xml:space="preserve">    </w:t>
      </w:r>
      <w:r>
        <w:rPr>
          <w:rFonts w:ascii="宋体" w:hAnsi="宋体" w:eastAsia="宋体"/>
          <w:color w:val="auto"/>
          <w:spacing w:val="-4"/>
          <w:highlight w:val="none"/>
          <w:u w:val="single"/>
        </w:rPr>
        <w:t xml:space="preserve">  </w:t>
      </w:r>
      <w:r>
        <w:rPr>
          <w:rFonts w:ascii="宋体" w:hAnsi="宋体" w:eastAsia="宋体"/>
          <w:b w:val="0"/>
          <w:bCs/>
          <w:color w:val="auto"/>
          <w:spacing w:val="-4"/>
          <w:highlight w:val="none"/>
        </w:rPr>
        <w:t>(签字)</w:t>
      </w:r>
    </w:p>
    <w:p w14:paraId="58920052">
      <w:pPr>
        <w:spacing w:line="360" w:lineRule="auto"/>
        <w:ind w:left="2490" w:right="239" w:firstLine="1"/>
        <w:rPr>
          <w:rFonts w:ascii="宋体" w:hAnsi="宋体" w:eastAsia="宋体"/>
          <w:color w:val="auto"/>
          <w:spacing w:val="-4"/>
          <w:highlight w:val="none"/>
        </w:rPr>
      </w:pPr>
      <w:r>
        <w:rPr>
          <w:rFonts w:ascii="宋体" w:hAnsi="宋体" w:eastAsia="宋体"/>
          <w:color w:val="auto"/>
          <w:spacing w:val="-4"/>
          <w:highlight w:val="none"/>
        </w:rPr>
        <w:t xml:space="preserve">地  </w:t>
      </w:r>
      <w:r>
        <w:rPr>
          <w:rFonts w:ascii="宋体" w:hAnsi="宋体" w:eastAsia="宋体"/>
          <w:color w:val="auto"/>
          <w:spacing w:val="-2"/>
          <w:highlight w:val="none"/>
        </w:rPr>
        <w:t xml:space="preserve">  址：</w:t>
      </w:r>
      <w:r>
        <w:rPr>
          <w:rFonts w:ascii="宋体" w:hAnsi="宋体" w:eastAsia="宋体"/>
          <w:color w:val="auto"/>
          <w:spacing w:val="-2"/>
          <w:highlight w:val="none"/>
          <w:u w:val="single"/>
        </w:rPr>
        <w:t xml:space="preserve">                                               </w:t>
      </w:r>
      <w:r>
        <w:rPr>
          <w:rFonts w:ascii="宋体" w:hAnsi="宋体" w:eastAsia="宋体"/>
          <w:color w:val="auto"/>
          <w:highlight w:val="none"/>
        </w:rPr>
        <w:t xml:space="preserve"> </w:t>
      </w:r>
      <w:r>
        <w:rPr>
          <w:rFonts w:ascii="宋体" w:hAnsi="宋体" w:eastAsia="宋体"/>
          <w:color w:val="auto"/>
          <w:spacing w:val="-4"/>
          <w:highlight w:val="none"/>
        </w:rPr>
        <w:t xml:space="preserve">网 </w:t>
      </w:r>
      <w:r>
        <w:rPr>
          <w:rFonts w:ascii="宋体" w:hAnsi="宋体" w:eastAsia="宋体"/>
          <w:color w:val="auto"/>
          <w:spacing w:val="-2"/>
          <w:highlight w:val="none"/>
        </w:rPr>
        <w:t xml:space="preserve">   址：</w:t>
      </w:r>
      <w:r>
        <w:rPr>
          <w:rFonts w:ascii="宋体" w:hAnsi="宋体" w:eastAsia="宋体"/>
          <w:color w:val="auto"/>
          <w:spacing w:val="-2"/>
          <w:highlight w:val="none"/>
          <w:u w:val="single"/>
        </w:rPr>
        <w:t xml:space="preserve">                                               </w:t>
      </w:r>
      <w:r>
        <w:rPr>
          <w:rFonts w:ascii="宋体" w:hAnsi="宋体" w:eastAsia="宋体"/>
          <w:color w:val="auto"/>
          <w:highlight w:val="none"/>
        </w:rPr>
        <w:t xml:space="preserve"> </w:t>
      </w:r>
      <w:r>
        <w:rPr>
          <w:rFonts w:ascii="宋体" w:hAnsi="宋体" w:eastAsia="宋体"/>
          <w:color w:val="auto"/>
          <w:spacing w:val="-4"/>
          <w:highlight w:val="none"/>
        </w:rPr>
        <w:t xml:space="preserve">电 </w:t>
      </w:r>
      <w:r>
        <w:rPr>
          <w:rFonts w:ascii="宋体" w:hAnsi="宋体" w:eastAsia="宋体"/>
          <w:color w:val="auto"/>
          <w:spacing w:val="-2"/>
          <w:highlight w:val="none"/>
        </w:rPr>
        <w:t xml:space="preserve">   话：</w:t>
      </w:r>
      <w:r>
        <w:rPr>
          <w:rFonts w:ascii="宋体" w:hAnsi="宋体" w:eastAsia="宋体"/>
          <w:color w:val="auto"/>
          <w:spacing w:val="-2"/>
          <w:highlight w:val="none"/>
          <w:u w:val="single"/>
        </w:rPr>
        <w:t xml:space="preserve">                                               </w:t>
      </w:r>
      <w:r>
        <w:rPr>
          <w:rFonts w:ascii="宋体" w:hAnsi="宋体" w:eastAsia="宋体"/>
          <w:color w:val="auto"/>
          <w:highlight w:val="none"/>
        </w:rPr>
        <w:t xml:space="preserve"> </w:t>
      </w:r>
      <w:r>
        <w:rPr>
          <w:rFonts w:ascii="宋体" w:hAnsi="宋体" w:eastAsia="宋体"/>
          <w:color w:val="auto"/>
          <w:spacing w:val="-4"/>
          <w:highlight w:val="none"/>
        </w:rPr>
        <w:t xml:space="preserve">传 </w:t>
      </w:r>
      <w:r>
        <w:rPr>
          <w:rFonts w:ascii="宋体" w:hAnsi="宋体" w:eastAsia="宋体"/>
          <w:color w:val="auto"/>
          <w:spacing w:val="-2"/>
          <w:highlight w:val="none"/>
        </w:rPr>
        <w:t xml:space="preserve">   真：</w:t>
      </w:r>
      <w:r>
        <w:rPr>
          <w:rFonts w:ascii="宋体" w:hAnsi="宋体" w:eastAsia="宋体"/>
          <w:color w:val="auto"/>
          <w:spacing w:val="-2"/>
          <w:highlight w:val="none"/>
          <w:u w:val="single"/>
        </w:rPr>
        <w:t xml:space="preserve">                                               </w:t>
      </w:r>
      <w:r>
        <w:rPr>
          <w:rFonts w:ascii="宋体" w:hAnsi="宋体" w:eastAsia="宋体"/>
          <w:color w:val="auto"/>
          <w:highlight w:val="none"/>
        </w:rPr>
        <w:t xml:space="preserve"> </w:t>
      </w:r>
      <w:r>
        <w:rPr>
          <w:rFonts w:ascii="宋体" w:hAnsi="宋体" w:eastAsia="宋体"/>
          <w:color w:val="auto"/>
          <w:spacing w:val="-28"/>
          <w:highlight w:val="none"/>
        </w:rPr>
        <w:t>邮</w:t>
      </w:r>
      <w:r>
        <w:rPr>
          <w:rFonts w:ascii="宋体" w:hAnsi="宋体" w:eastAsia="宋体"/>
          <w:color w:val="auto"/>
          <w:spacing w:val="-25"/>
          <w:highlight w:val="none"/>
        </w:rPr>
        <w:t>政编码：</w:t>
      </w:r>
      <w:r>
        <w:rPr>
          <w:rFonts w:ascii="宋体" w:hAnsi="宋体" w:eastAsia="宋体"/>
          <w:color w:val="auto"/>
          <w:highlight w:val="none"/>
          <w:u w:val="single"/>
        </w:rPr>
        <w:t xml:space="preserve">                                               </w:t>
      </w:r>
    </w:p>
    <w:p w14:paraId="729ACE69">
      <w:pPr>
        <w:tabs>
          <w:tab w:val="left" w:pos="6722"/>
        </w:tabs>
        <w:spacing w:line="360" w:lineRule="auto"/>
        <w:ind w:left="6084"/>
        <w:rPr>
          <w:rFonts w:ascii="宋体" w:hAnsi="宋体" w:eastAsia="宋体"/>
          <w:color w:val="auto"/>
          <w:highlight w:val="none"/>
          <w:u w:val="single"/>
        </w:rPr>
      </w:pPr>
      <w:r>
        <w:rPr>
          <w:rFonts w:ascii="宋体" w:hAnsi="宋体" w:eastAsia="宋体"/>
          <w:color w:val="auto"/>
          <w:highlight w:val="none"/>
          <w:u w:val="single"/>
        </w:rPr>
        <w:tab/>
      </w:r>
      <w:r>
        <w:rPr>
          <w:rFonts w:ascii="宋体" w:hAnsi="宋体" w:eastAsia="宋体"/>
          <w:color w:val="auto"/>
          <w:spacing w:val="-1"/>
          <w:highlight w:val="none"/>
        </w:rPr>
        <w:t>年</w:t>
      </w:r>
      <w:r>
        <w:rPr>
          <w:rFonts w:ascii="宋体" w:hAnsi="宋体" w:eastAsia="宋体"/>
          <w:color w:val="auto"/>
          <w:spacing w:val="-1"/>
          <w:highlight w:val="none"/>
          <w:u w:val="single"/>
        </w:rPr>
        <w:t xml:space="preserve">      </w:t>
      </w:r>
      <w:r>
        <w:rPr>
          <w:rFonts w:ascii="宋体" w:hAnsi="宋体" w:eastAsia="宋体"/>
          <w:color w:val="auto"/>
          <w:spacing w:val="-1"/>
          <w:highlight w:val="none"/>
        </w:rPr>
        <w:t>月</w:t>
      </w:r>
      <w:r>
        <w:rPr>
          <w:rFonts w:ascii="宋体" w:hAnsi="宋体" w:eastAsia="宋体"/>
          <w:color w:val="auto"/>
          <w:spacing w:val="-1"/>
          <w:highlight w:val="none"/>
          <w:u w:val="single"/>
        </w:rPr>
        <w:t xml:space="preserve">  </w:t>
      </w:r>
      <w:r>
        <w:rPr>
          <w:rFonts w:ascii="宋体" w:hAnsi="宋体" w:eastAsia="宋体"/>
          <w:color w:val="auto"/>
          <w:highlight w:val="none"/>
          <w:u w:val="single"/>
        </w:rPr>
        <w:t xml:space="preserve">    </w:t>
      </w:r>
      <w:r>
        <w:rPr>
          <w:rFonts w:ascii="宋体" w:hAnsi="宋体" w:eastAsia="宋体"/>
          <w:color w:val="auto"/>
          <w:highlight w:val="none"/>
        </w:rPr>
        <w:t>日</w:t>
      </w:r>
    </w:p>
    <w:p w14:paraId="121584E0">
      <w:pPr>
        <w:spacing w:line="360" w:lineRule="auto"/>
        <w:rPr>
          <w:color w:val="auto"/>
          <w:highlight w:val="none"/>
        </w:rPr>
        <w:sectPr>
          <w:footerReference r:id="rId21" w:type="default"/>
          <w:pgSz w:w="12240" w:h="15840"/>
          <w:pgMar w:top="1346" w:right="1800" w:bottom="1104" w:left="1836" w:header="0" w:footer="940" w:gutter="0"/>
          <w:cols w:space="720" w:num="1"/>
        </w:sectPr>
      </w:pPr>
    </w:p>
    <w:p w14:paraId="2E973327">
      <w:pPr>
        <w:spacing w:line="247" w:lineRule="auto"/>
        <w:rPr>
          <w:color w:val="auto"/>
          <w:highlight w:val="none"/>
        </w:rPr>
      </w:pPr>
    </w:p>
    <w:p w14:paraId="514D6C92">
      <w:pPr>
        <w:rPr>
          <w:rFonts w:ascii="黑体" w:hAnsi="黑体" w:eastAsia="黑体"/>
          <w:color w:val="auto"/>
          <w:spacing w:val="44"/>
          <w:sz w:val="27"/>
          <w:szCs w:val="27"/>
          <w:highlight w:val="none"/>
        </w:rPr>
      </w:pPr>
      <w:bookmarkStart w:id="436" w:name="_Toc23934"/>
      <w:bookmarkStart w:id="437" w:name="_Toc164"/>
      <w:bookmarkStart w:id="438" w:name="_Toc8334"/>
      <w:bookmarkStart w:id="439" w:name="_Toc30357"/>
      <w:bookmarkStart w:id="440" w:name="_Toc20683"/>
      <w:r>
        <w:rPr>
          <w:rFonts w:ascii="黑体" w:hAnsi="黑体" w:eastAsia="黑体"/>
          <w:color w:val="auto"/>
          <w:spacing w:val="44"/>
          <w:sz w:val="27"/>
          <w:szCs w:val="27"/>
          <w:highlight w:val="none"/>
        </w:rPr>
        <w:t>(</w:t>
      </w:r>
      <w:r>
        <w:rPr>
          <w:rFonts w:ascii="黑体" w:hAnsi="黑体" w:eastAsia="黑体"/>
          <w:color w:val="auto"/>
          <w:spacing w:val="39"/>
          <w:sz w:val="27"/>
          <w:szCs w:val="27"/>
          <w:highlight w:val="none"/>
        </w:rPr>
        <w:t>二)投标函附录</w:t>
      </w:r>
      <w:bookmarkEnd w:id="436"/>
      <w:bookmarkEnd w:id="437"/>
      <w:bookmarkEnd w:id="438"/>
      <w:bookmarkEnd w:id="439"/>
      <w:bookmarkEnd w:id="440"/>
    </w:p>
    <w:p w14:paraId="57D5885B">
      <w:pPr>
        <w:spacing w:line="269" w:lineRule="auto"/>
        <w:rPr>
          <w:color w:val="auto"/>
          <w:highlight w:val="none"/>
        </w:rPr>
      </w:pPr>
    </w:p>
    <w:tbl>
      <w:tblPr>
        <w:tblStyle w:val="19"/>
        <w:tblW w:w="89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2108"/>
        <w:gridCol w:w="6245"/>
      </w:tblGrid>
      <w:tr w14:paraId="63A19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2753" w:type="dxa"/>
            <w:gridSpan w:val="2"/>
            <w:vAlign w:val="center"/>
          </w:tcPr>
          <w:p w14:paraId="55968913">
            <w:pPr>
              <w:pStyle w:val="56"/>
              <w:widowControl w:val="0"/>
              <w:rPr>
                <w:rFonts w:ascii="宋体" w:hAnsi="宋体" w:eastAsia="宋体"/>
                <w:b w:val="0"/>
                <w:bCs/>
                <w:color w:val="auto"/>
                <w:highlight w:val="none"/>
              </w:rPr>
            </w:pPr>
            <w:r>
              <w:rPr>
                <w:rFonts w:hint="eastAsia" w:ascii="宋体" w:hAnsi="宋体" w:eastAsia="宋体"/>
                <w:b w:val="0"/>
                <w:bCs/>
                <w:color w:val="auto"/>
                <w:highlight w:val="none"/>
              </w:rPr>
              <w:t>项目名称</w:t>
            </w:r>
          </w:p>
        </w:tc>
        <w:tc>
          <w:tcPr>
            <w:tcW w:w="6245" w:type="dxa"/>
            <w:vAlign w:val="center"/>
          </w:tcPr>
          <w:p w14:paraId="2DADEAB2">
            <w:pPr>
              <w:pStyle w:val="56"/>
              <w:widowControl w:val="0"/>
              <w:ind w:firstLine="480"/>
              <w:rPr>
                <w:rFonts w:ascii="宋体" w:hAnsi="宋体" w:eastAsia="宋体"/>
                <w:b w:val="0"/>
                <w:bCs/>
                <w:color w:val="auto"/>
                <w:highlight w:val="none"/>
              </w:rPr>
            </w:pPr>
          </w:p>
        </w:tc>
      </w:tr>
      <w:tr w14:paraId="79683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2753" w:type="dxa"/>
            <w:gridSpan w:val="2"/>
            <w:vAlign w:val="center"/>
          </w:tcPr>
          <w:p w14:paraId="787F2988">
            <w:pPr>
              <w:pStyle w:val="56"/>
              <w:widowControl w:val="0"/>
              <w:rPr>
                <w:rFonts w:ascii="宋体" w:hAnsi="宋体" w:eastAsia="宋体"/>
                <w:b w:val="0"/>
                <w:bCs/>
                <w:color w:val="auto"/>
                <w:highlight w:val="none"/>
              </w:rPr>
            </w:pPr>
            <w:r>
              <w:rPr>
                <w:rFonts w:hint="eastAsia" w:ascii="宋体" w:hAnsi="宋体" w:eastAsia="宋体"/>
                <w:b w:val="0"/>
                <w:bCs/>
                <w:color w:val="auto"/>
                <w:highlight w:val="none"/>
              </w:rPr>
              <w:t>投标总报价（元）</w:t>
            </w:r>
          </w:p>
        </w:tc>
        <w:tc>
          <w:tcPr>
            <w:tcW w:w="6245" w:type="dxa"/>
            <w:vAlign w:val="center"/>
          </w:tcPr>
          <w:p w14:paraId="13305F3F">
            <w:pPr>
              <w:pStyle w:val="56"/>
              <w:widowControl w:val="0"/>
              <w:ind w:firstLine="480"/>
              <w:rPr>
                <w:rFonts w:ascii="宋体" w:hAnsi="宋体" w:eastAsia="宋体"/>
                <w:b w:val="0"/>
                <w:bCs/>
                <w:color w:val="auto"/>
                <w:highlight w:val="none"/>
              </w:rPr>
            </w:pPr>
          </w:p>
        </w:tc>
      </w:tr>
      <w:tr w14:paraId="193BB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45" w:type="dxa"/>
            <w:vMerge w:val="restart"/>
            <w:vAlign w:val="center"/>
          </w:tcPr>
          <w:p w14:paraId="4EBF0702">
            <w:pPr>
              <w:pStyle w:val="56"/>
              <w:widowControl w:val="0"/>
              <w:jc w:val="left"/>
              <w:rPr>
                <w:rFonts w:ascii="宋体" w:hAnsi="宋体" w:eastAsia="宋体"/>
                <w:b w:val="0"/>
                <w:bCs/>
                <w:color w:val="auto"/>
                <w:highlight w:val="none"/>
              </w:rPr>
            </w:pPr>
            <w:r>
              <w:rPr>
                <w:rFonts w:hint="eastAsia" w:ascii="宋体" w:hAnsi="宋体" w:eastAsia="宋体"/>
                <w:b w:val="0"/>
                <w:bCs/>
                <w:color w:val="auto"/>
                <w:highlight w:val="none"/>
              </w:rPr>
              <w:t>其中</w:t>
            </w:r>
          </w:p>
        </w:tc>
        <w:tc>
          <w:tcPr>
            <w:tcW w:w="2108" w:type="dxa"/>
            <w:vAlign w:val="center"/>
          </w:tcPr>
          <w:p w14:paraId="39AF980F">
            <w:pPr>
              <w:pStyle w:val="56"/>
              <w:widowControl w:val="0"/>
              <w:jc w:val="left"/>
              <w:rPr>
                <w:rFonts w:ascii="宋体" w:hAnsi="宋体" w:eastAsia="宋体"/>
                <w:b w:val="0"/>
                <w:bCs/>
                <w:color w:val="auto"/>
                <w:highlight w:val="none"/>
              </w:rPr>
            </w:pPr>
            <w:r>
              <w:rPr>
                <w:rFonts w:hint="eastAsia" w:ascii="宋体" w:hAnsi="宋体" w:eastAsia="宋体"/>
                <w:b w:val="0"/>
                <w:bCs/>
                <w:color w:val="auto"/>
                <w:highlight w:val="none"/>
              </w:rPr>
              <w:t>设计费报价（元）</w:t>
            </w:r>
          </w:p>
        </w:tc>
        <w:tc>
          <w:tcPr>
            <w:tcW w:w="6245" w:type="dxa"/>
            <w:vAlign w:val="center"/>
          </w:tcPr>
          <w:p w14:paraId="64BC9D31">
            <w:pPr>
              <w:pStyle w:val="56"/>
              <w:widowControl w:val="0"/>
              <w:ind w:firstLine="480"/>
              <w:rPr>
                <w:rFonts w:ascii="宋体" w:hAnsi="宋体" w:eastAsia="宋体"/>
                <w:b w:val="0"/>
                <w:bCs/>
                <w:color w:val="auto"/>
                <w:highlight w:val="none"/>
              </w:rPr>
            </w:pPr>
          </w:p>
        </w:tc>
      </w:tr>
      <w:tr w14:paraId="58854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645" w:type="dxa"/>
            <w:vMerge w:val="continue"/>
            <w:vAlign w:val="center"/>
          </w:tcPr>
          <w:p w14:paraId="29715380">
            <w:pPr>
              <w:pStyle w:val="56"/>
              <w:widowControl w:val="0"/>
              <w:ind w:firstLine="480"/>
              <w:rPr>
                <w:rFonts w:ascii="宋体" w:hAnsi="宋体" w:eastAsia="宋体"/>
                <w:b w:val="0"/>
                <w:bCs/>
                <w:color w:val="auto"/>
                <w:highlight w:val="none"/>
              </w:rPr>
            </w:pPr>
          </w:p>
        </w:tc>
        <w:tc>
          <w:tcPr>
            <w:tcW w:w="2108" w:type="dxa"/>
            <w:vAlign w:val="center"/>
          </w:tcPr>
          <w:p w14:paraId="7286A46A">
            <w:pPr>
              <w:pStyle w:val="56"/>
              <w:widowControl w:val="0"/>
              <w:jc w:val="left"/>
              <w:rPr>
                <w:rFonts w:ascii="宋体" w:hAnsi="宋体" w:eastAsia="宋体"/>
                <w:b w:val="0"/>
                <w:bCs/>
                <w:color w:val="auto"/>
                <w:highlight w:val="none"/>
              </w:rPr>
            </w:pPr>
            <w:r>
              <w:rPr>
                <w:rFonts w:hint="eastAsia" w:ascii="宋体" w:hAnsi="宋体" w:eastAsia="宋体"/>
                <w:b w:val="0"/>
                <w:bCs/>
                <w:color w:val="auto"/>
                <w:highlight w:val="none"/>
              </w:rPr>
              <w:t>设计费投标下浮率</w:t>
            </w:r>
          </w:p>
        </w:tc>
        <w:tc>
          <w:tcPr>
            <w:tcW w:w="6245" w:type="dxa"/>
            <w:vAlign w:val="center"/>
          </w:tcPr>
          <w:p w14:paraId="67E6B11C">
            <w:pPr>
              <w:pStyle w:val="56"/>
              <w:ind w:firstLine="420"/>
              <w:jc w:val="left"/>
              <w:rPr>
                <w:rFonts w:ascii="宋体" w:hAnsi="宋体" w:eastAsia="宋体"/>
                <w:b w:val="0"/>
                <w:bCs/>
                <w:color w:val="auto"/>
                <w:highlight w:val="none"/>
                <w:u w:val="single"/>
              </w:rPr>
            </w:pPr>
            <w:r>
              <w:rPr>
                <w:rFonts w:hint="eastAsia" w:ascii="宋体" w:hAnsi="宋体" w:eastAsia="宋体"/>
                <w:b w:val="0"/>
                <w:bCs/>
                <w:color w:val="auto"/>
                <w:highlight w:val="none"/>
                <w:u w:val="single"/>
              </w:rPr>
              <w:t xml:space="preserve">       </w:t>
            </w:r>
            <w:r>
              <w:rPr>
                <w:rFonts w:hint="eastAsia" w:ascii="宋体" w:hAnsi="宋体" w:eastAsia="宋体"/>
                <w:b w:val="0"/>
                <w:bCs/>
                <w:color w:val="auto"/>
                <w:highlight w:val="none"/>
              </w:rPr>
              <w:t xml:space="preserve"> %</w:t>
            </w:r>
          </w:p>
        </w:tc>
      </w:tr>
      <w:tr w14:paraId="29EB9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2753" w:type="dxa"/>
            <w:gridSpan w:val="2"/>
            <w:vAlign w:val="center"/>
          </w:tcPr>
          <w:p w14:paraId="32FACA8A">
            <w:pPr>
              <w:pStyle w:val="56"/>
              <w:widowControl w:val="0"/>
              <w:rPr>
                <w:rFonts w:ascii="宋体" w:hAnsi="宋体" w:eastAsia="宋体"/>
                <w:b w:val="0"/>
                <w:bCs/>
                <w:color w:val="auto"/>
                <w:highlight w:val="none"/>
              </w:rPr>
            </w:pPr>
            <w:r>
              <w:rPr>
                <w:rFonts w:hint="eastAsia" w:ascii="宋体" w:hAnsi="宋体" w:eastAsia="宋体"/>
                <w:b w:val="0"/>
                <w:bCs/>
                <w:color w:val="auto"/>
                <w:highlight w:val="none"/>
              </w:rPr>
              <w:t>设计服务期限</w:t>
            </w:r>
          </w:p>
        </w:tc>
        <w:tc>
          <w:tcPr>
            <w:tcW w:w="6245" w:type="dxa"/>
            <w:vAlign w:val="center"/>
          </w:tcPr>
          <w:p w14:paraId="6332F96D">
            <w:pPr>
              <w:pStyle w:val="56"/>
              <w:widowControl w:val="0"/>
              <w:ind w:firstLine="480"/>
              <w:rPr>
                <w:rFonts w:ascii="宋体" w:hAnsi="宋体" w:eastAsia="宋体"/>
                <w:b w:val="0"/>
                <w:bCs/>
                <w:color w:val="auto"/>
                <w:highlight w:val="none"/>
              </w:rPr>
            </w:pPr>
          </w:p>
        </w:tc>
      </w:tr>
      <w:tr w14:paraId="4C3D5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trPr>
        <w:tc>
          <w:tcPr>
            <w:tcW w:w="2753" w:type="dxa"/>
            <w:gridSpan w:val="2"/>
            <w:vAlign w:val="center"/>
          </w:tcPr>
          <w:p w14:paraId="0471CF9E">
            <w:pPr>
              <w:pStyle w:val="56"/>
              <w:widowControl w:val="0"/>
              <w:rPr>
                <w:rFonts w:ascii="宋体" w:hAnsi="宋体" w:eastAsia="宋体"/>
                <w:b w:val="0"/>
                <w:bCs/>
                <w:color w:val="auto"/>
                <w:highlight w:val="none"/>
              </w:rPr>
            </w:pPr>
            <w:r>
              <w:rPr>
                <w:rFonts w:hint="eastAsia" w:ascii="宋体" w:hAnsi="宋体" w:eastAsia="宋体"/>
                <w:b w:val="0"/>
                <w:bCs/>
                <w:color w:val="auto"/>
                <w:highlight w:val="none"/>
              </w:rPr>
              <w:t>项目负责人</w:t>
            </w:r>
          </w:p>
        </w:tc>
        <w:tc>
          <w:tcPr>
            <w:tcW w:w="6245" w:type="dxa"/>
            <w:vAlign w:val="center"/>
          </w:tcPr>
          <w:p w14:paraId="16E8DD83">
            <w:pPr>
              <w:pStyle w:val="56"/>
              <w:widowControl w:val="0"/>
              <w:spacing w:line="360" w:lineRule="auto"/>
              <w:ind w:firstLine="420"/>
              <w:jc w:val="left"/>
              <w:rPr>
                <w:rFonts w:ascii="宋体" w:hAnsi="宋体" w:eastAsia="宋体"/>
                <w:b w:val="0"/>
                <w:bCs/>
                <w:color w:val="auto"/>
                <w:highlight w:val="none"/>
              </w:rPr>
            </w:pPr>
            <w:r>
              <w:rPr>
                <w:rFonts w:hint="eastAsia" w:ascii="宋体" w:hAnsi="宋体" w:eastAsia="宋体"/>
                <w:b w:val="0"/>
                <w:bCs/>
                <w:color w:val="auto"/>
                <w:highlight w:val="none"/>
              </w:rPr>
              <w:t>姓名：</w:t>
            </w:r>
          </w:p>
          <w:p w14:paraId="6FC0DDE4">
            <w:pPr>
              <w:pStyle w:val="56"/>
              <w:widowControl w:val="0"/>
              <w:spacing w:line="360" w:lineRule="auto"/>
              <w:ind w:firstLine="420"/>
              <w:jc w:val="left"/>
              <w:rPr>
                <w:rFonts w:ascii="宋体" w:hAnsi="宋体" w:eastAsia="宋体"/>
                <w:b w:val="0"/>
                <w:bCs/>
                <w:color w:val="auto"/>
                <w:highlight w:val="none"/>
              </w:rPr>
            </w:pPr>
            <w:r>
              <w:rPr>
                <w:rFonts w:hint="eastAsia" w:ascii="宋体" w:hAnsi="宋体" w:eastAsia="宋体"/>
                <w:b w:val="0"/>
                <w:bCs/>
                <w:color w:val="auto"/>
                <w:highlight w:val="none"/>
              </w:rPr>
              <w:t>证书编号：</w:t>
            </w:r>
          </w:p>
        </w:tc>
      </w:tr>
    </w:tbl>
    <w:p w14:paraId="3C906950">
      <w:pPr>
        <w:pStyle w:val="56"/>
        <w:rPr>
          <w:color w:val="auto"/>
          <w:highlight w:val="none"/>
        </w:rPr>
      </w:pPr>
    </w:p>
    <w:p w14:paraId="5A688F39">
      <w:pPr>
        <w:pStyle w:val="56"/>
        <w:rPr>
          <w:color w:val="auto"/>
          <w:highlight w:val="none"/>
        </w:rPr>
      </w:pPr>
    </w:p>
    <w:p w14:paraId="4616F67E">
      <w:pPr>
        <w:pStyle w:val="56"/>
        <w:rPr>
          <w:color w:val="auto"/>
          <w:highlight w:val="none"/>
        </w:rPr>
      </w:pPr>
    </w:p>
    <w:p w14:paraId="49031E69">
      <w:pPr>
        <w:pStyle w:val="56"/>
        <w:jc w:val="left"/>
        <w:rPr>
          <w:color w:val="auto"/>
          <w:highlight w:val="none"/>
        </w:rPr>
      </w:pPr>
    </w:p>
    <w:p w14:paraId="68510924">
      <w:pPr>
        <w:spacing w:before="68" w:line="387" w:lineRule="auto"/>
        <w:ind w:left="2599" w:right="324" w:firstLine="1"/>
        <w:rPr>
          <w:rFonts w:ascii="宋体" w:hAnsi="宋体" w:eastAsia="宋体"/>
          <w:color w:val="auto"/>
          <w:spacing w:val="-4"/>
          <w:highlight w:val="none"/>
        </w:rPr>
      </w:pPr>
    </w:p>
    <w:p w14:paraId="71C7E328">
      <w:pPr>
        <w:spacing w:before="68" w:line="387" w:lineRule="auto"/>
        <w:ind w:left="2599" w:right="324" w:firstLine="1"/>
        <w:rPr>
          <w:rFonts w:ascii="宋体" w:hAnsi="宋体" w:eastAsia="宋体"/>
          <w:color w:val="auto"/>
          <w:spacing w:val="-4"/>
          <w:highlight w:val="none"/>
        </w:rPr>
      </w:pPr>
      <w:r>
        <w:rPr>
          <w:rFonts w:ascii="宋体" w:hAnsi="宋体" w:eastAsia="宋体"/>
          <w:color w:val="auto"/>
          <w:spacing w:val="-4"/>
          <w:highlight w:val="none"/>
        </w:rPr>
        <w:t>投 标 人：</w:t>
      </w:r>
      <w:r>
        <w:rPr>
          <w:rFonts w:ascii="宋体" w:hAnsi="宋体" w:eastAsia="宋体"/>
          <w:color w:val="auto"/>
          <w:spacing w:val="-4"/>
          <w:highlight w:val="none"/>
          <w:u w:val="single"/>
        </w:rPr>
        <w:t xml:space="preserve">           </w:t>
      </w:r>
      <w:r>
        <w:rPr>
          <w:rFonts w:ascii="宋体" w:hAnsi="宋体" w:eastAsia="宋体"/>
          <w:color w:val="auto"/>
          <w:spacing w:val="-2"/>
          <w:highlight w:val="none"/>
          <w:u w:val="single"/>
        </w:rPr>
        <w:t xml:space="preserve">                         </w:t>
      </w:r>
      <w:r>
        <w:rPr>
          <w:rFonts w:ascii="宋体" w:hAnsi="宋体" w:eastAsia="宋体"/>
          <w:color w:val="auto"/>
          <w:spacing w:val="-2"/>
          <w:highlight w:val="none"/>
        </w:rPr>
        <w:t>(盖单位章)</w:t>
      </w:r>
      <w:r>
        <w:rPr>
          <w:rFonts w:ascii="宋体" w:hAnsi="宋体" w:eastAsia="宋体"/>
          <w:color w:val="auto"/>
          <w:highlight w:val="none"/>
        </w:rPr>
        <w:t xml:space="preserve"> </w:t>
      </w:r>
      <w:r>
        <w:rPr>
          <w:rFonts w:ascii="宋体" w:hAnsi="宋体" w:eastAsia="宋体"/>
          <w:color w:val="auto"/>
          <w:spacing w:val="-8"/>
          <w:highlight w:val="none"/>
        </w:rPr>
        <w:t>法定</w:t>
      </w:r>
      <w:r>
        <w:rPr>
          <w:rFonts w:ascii="宋体" w:hAnsi="宋体" w:eastAsia="宋体"/>
          <w:color w:val="auto"/>
          <w:spacing w:val="-4"/>
          <w:highlight w:val="none"/>
        </w:rPr>
        <w:t>代表人或其委托代理人：</w:t>
      </w:r>
      <w:r>
        <w:rPr>
          <w:rFonts w:ascii="宋体" w:hAnsi="宋体" w:eastAsia="宋体"/>
          <w:color w:val="auto"/>
          <w:spacing w:val="-4"/>
          <w:highlight w:val="none"/>
          <w:u w:val="single"/>
        </w:rPr>
        <w:t xml:space="preserve">            </w:t>
      </w:r>
      <w:r>
        <w:rPr>
          <w:rFonts w:ascii="宋体" w:hAnsi="宋体" w:eastAsia="宋体"/>
          <w:color w:val="auto"/>
          <w:spacing w:val="-4"/>
          <w:highlight w:val="none"/>
        </w:rPr>
        <w:t>(签字</w:t>
      </w:r>
      <w:r>
        <w:rPr>
          <w:rFonts w:hint="eastAsia" w:ascii="宋体" w:hAnsi="宋体" w:eastAsia="宋体"/>
          <w:color w:val="auto"/>
          <w:spacing w:val="-4"/>
          <w:highlight w:val="none"/>
        </w:rPr>
        <w:t>或盖章</w:t>
      </w:r>
      <w:r>
        <w:rPr>
          <w:rFonts w:ascii="宋体" w:hAnsi="宋体" w:eastAsia="宋体"/>
          <w:color w:val="auto"/>
          <w:spacing w:val="-4"/>
          <w:highlight w:val="none"/>
        </w:rPr>
        <w:t>)</w:t>
      </w:r>
    </w:p>
    <w:p w14:paraId="1D920092">
      <w:pPr>
        <w:tabs>
          <w:tab w:val="left" w:pos="6829"/>
        </w:tabs>
        <w:spacing w:line="220" w:lineRule="auto"/>
        <w:ind w:left="6190"/>
        <w:rPr>
          <w:rFonts w:ascii="宋体" w:hAnsi="宋体" w:eastAsia="宋体"/>
          <w:color w:val="auto"/>
          <w:highlight w:val="none"/>
          <w:u w:val="single"/>
        </w:rPr>
      </w:pPr>
      <w:r>
        <w:rPr>
          <w:rFonts w:ascii="宋体" w:hAnsi="宋体" w:eastAsia="宋体"/>
          <w:color w:val="auto"/>
          <w:highlight w:val="none"/>
          <w:u w:val="single"/>
        </w:rPr>
        <w:tab/>
      </w:r>
      <w:r>
        <w:rPr>
          <w:rFonts w:ascii="宋体" w:hAnsi="宋体" w:eastAsia="宋体"/>
          <w:color w:val="auto"/>
          <w:spacing w:val="4"/>
          <w:highlight w:val="none"/>
        </w:rPr>
        <w:t>年</w:t>
      </w:r>
      <w:r>
        <w:rPr>
          <w:rFonts w:ascii="宋体" w:hAnsi="宋体" w:eastAsia="宋体"/>
          <w:color w:val="auto"/>
          <w:spacing w:val="4"/>
          <w:highlight w:val="none"/>
          <w:u w:val="single"/>
        </w:rPr>
        <w:t xml:space="preserve">  </w:t>
      </w:r>
      <w:r>
        <w:rPr>
          <w:rFonts w:ascii="宋体" w:hAnsi="宋体" w:eastAsia="宋体"/>
          <w:color w:val="auto"/>
          <w:spacing w:val="2"/>
          <w:highlight w:val="none"/>
          <w:u w:val="single"/>
        </w:rPr>
        <w:t xml:space="preserve">    </w:t>
      </w:r>
      <w:r>
        <w:rPr>
          <w:rFonts w:ascii="宋体" w:hAnsi="宋体" w:eastAsia="宋体"/>
          <w:color w:val="auto"/>
          <w:spacing w:val="2"/>
          <w:highlight w:val="none"/>
        </w:rPr>
        <w:t>月</w:t>
      </w:r>
      <w:r>
        <w:rPr>
          <w:rFonts w:ascii="宋体" w:hAnsi="宋体" w:eastAsia="宋体"/>
          <w:color w:val="auto"/>
          <w:spacing w:val="2"/>
          <w:highlight w:val="none"/>
          <w:u w:val="single"/>
        </w:rPr>
        <w:t xml:space="preserve">      </w:t>
      </w:r>
      <w:r>
        <w:rPr>
          <w:rFonts w:ascii="宋体" w:hAnsi="宋体" w:eastAsia="宋体"/>
          <w:color w:val="auto"/>
          <w:spacing w:val="2"/>
          <w:highlight w:val="none"/>
        </w:rPr>
        <w:t>日</w:t>
      </w:r>
    </w:p>
    <w:p w14:paraId="5BABBC19">
      <w:pPr>
        <w:rPr>
          <w:color w:val="auto"/>
          <w:highlight w:val="none"/>
        </w:rPr>
        <w:sectPr>
          <w:footerReference r:id="rId22" w:type="default"/>
          <w:pgSz w:w="12240" w:h="15840"/>
          <w:pgMar w:top="1346" w:right="1729" w:bottom="1102" w:left="1729" w:header="0" w:footer="940" w:gutter="0"/>
          <w:cols w:space="720" w:num="1"/>
        </w:sectPr>
      </w:pPr>
    </w:p>
    <w:p w14:paraId="790E9194">
      <w:pPr>
        <w:spacing w:line="245" w:lineRule="auto"/>
        <w:rPr>
          <w:color w:val="auto"/>
          <w:highlight w:val="none"/>
        </w:rPr>
      </w:pPr>
    </w:p>
    <w:p w14:paraId="2420E51F">
      <w:pPr>
        <w:pStyle w:val="25"/>
        <w:spacing w:before="120" w:after="120"/>
        <w:jc w:val="center"/>
        <w:outlineLvl w:val="9"/>
        <w:rPr>
          <w:rFonts w:ascii="黑体" w:hAnsi="黑体" w:eastAsia="黑体"/>
          <w:color w:val="auto"/>
          <w:spacing w:val="10"/>
          <w:sz w:val="31"/>
          <w:szCs w:val="31"/>
          <w:highlight w:val="none"/>
        </w:rPr>
      </w:pPr>
      <w:bookmarkStart w:id="441" w:name="_Toc7326"/>
      <w:bookmarkStart w:id="442" w:name="_Toc20211"/>
      <w:bookmarkStart w:id="443" w:name="_Toc16241"/>
      <w:bookmarkStart w:id="444" w:name="_Toc30933"/>
      <w:bookmarkStart w:id="445" w:name="_Toc18738"/>
      <w:r>
        <w:rPr>
          <w:rFonts w:ascii="黑体" w:hAnsi="黑体" w:eastAsia="黑体"/>
          <w:color w:val="auto"/>
          <w:spacing w:val="10"/>
          <w:sz w:val="31"/>
          <w:szCs w:val="31"/>
          <w:highlight w:val="none"/>
        </w:rPr>
        <w:t>二、法定代表人身份证</w:t>
      </w:r>
      <w:r>
        <w:rPr>
          <w:rFonts w:ascii="黑体" w:hAnsi="黑体" w:eastAsia="黑体"/>
          <w:color w:val="auto"/>
          <w:spacing w:val="7"/>
          <w:sz w:val="31"/>
          <w:szCs w:val="31"/>
          <w:highlight w:val="none"/>
        </w:rPr>
        <w:t>明</w:t>
      </w:r>
      <w:bookmarkEnd w:id="441"/>
      <w:bookmarkEnd w:id="442"/>
      <w:bookmarkEnd w:id="443"/>
      <w:bookmarkEnd w:id="444"/>
      <w:bookmarkEnd w:id="445"/>
      <w:r>
        <w:rPr>
          <w:rFonts w:hint="eastAsia" w:ascii="黑体" w:hAnsi="黑体" w:eastAsia="黑体"/>
          <w:color w:val="auto"/>
          <w:spacing w:val="7"/>
          <w:sz w:val="31"/>
          <w:szCs w:val="31"/>
          <w:highlight w:val="none"/>
        </w:rPr>
        <w:t>及</w:t>
      </w:r>
      <w:r>
        <w:rPr>
          <w:rFonts w:ascii="黑体" w:hAnsi="黑体" w:eastAsia="黑体"/>
          <w:color w:val="auto"/>
          <w:spacing w:val="8"/>
          <w:sz w:val="31"/>
          <w:szCs w:val="31"/>
          <w:highlight w:val="none"/>
        </w:rPr>
        <w:t>授权委托书</w:t>
      </w:r>
    </w:p>
    <w:p w14:paraId="77AF1DF6">
      <w:pPr>
        <w:spacing w:line="252" w:lineRule="auto"/>
        <w:rPr>
          <w:color w:val="auto"/>
          <w:highlight w:val="none"/>
        </w:rPr>
      </w:pPr>
    </w:p>
    <w:p w14:paraId="4DCB86EC">
      <w:pPr>
        <w:spacing w:line="252" w:lineRule="auto"/>
        <w:rPr>
          <w:color w:val="auto"/>
          <w:highlight w:val="none"/>
        </w:rPr>
      </w:pPr>
    </w:p>
    <w:p w14:paraId="23DE4D11">
      <w:pPr>
        <w:spacing w:line="253" w:lineRule="auto"/>
        <w:jc w:val="center"/>
        <w:rPr>
          <w:rFonts w:ascii="黑体" w:hAnsi="黑体" w:eastAsia="黑体"/>
          <w:color w:val="auto"/>
          <w:spacing w:val="10"/>
          <w:sz w:val="31"/>
          <w:szCs w:val="31"/>
          <w:highlight w:val="none"/>
        </w:rPr>
      </w:pPr>
      <w:r>
        <w:rPr>
          <w:rFonts w:ascii="黑体" w:hAnsi="黑体" w:eastAsia="黑体"/>
          <w:color w:val="auto"/>
          <w:spacing w:val="10"/>
          <w:sz w:val="31"/>
          <w:szCs w:val="31"/>
          <w:highlight w:val="none"/>
        </w:rPr>
        <w:t>法定代表人身份证</w:t>
      </w:r>
      <w:r>
        <w:rPr>
          <w:rFonts w:ascii="黑体" w:hAnsi="黑体" w:eastAsia="黑体"/>
          <w:color w:val="auto"/>
          <w:spacing w:val="7"/>
          <w:sz w:val="31"/>
          <w:szCs w:val="31"/>
          <w:highlight w:val="none"/>
        </w:rPr>
        <w:t>明</w:t>
      </w:r>
    </w:p>
    <w:p w14:paraId="3B09C534">
      <w:pPr>
        <w:spacing w:line="253" w:lineRule="auto"/>
        <w:rPr>
          <w:color w:val="auto"/>
          <w:highlight w:val="none"/>
        </w:rPr>
      </w:pPr>
    </w:p>
    <w:p w14:paraId="27E67BC1">
      <w:pPr>
        <w:spacing w:line="253" w:lineRule="auto"/>
        <w:rPr>
          <w:color w:val="auto"/>
          <w:highlight w:val="none"/>
        </w:rPr>
      </w:pPr>
    </w:p>
    <w:p w14:paraId="75B86952">
      <w:pPr>
        <w:spacing w:line="253" w:lineRule="auto"/>
        <w:rPr>
          <w:color w:val="auto"/>
          <w:highlight w:val="none"/>
        </w:rPr>
      </w:pPr>
    </w:p>
    <w:p w14:paraId="7744282C">
      <w:pPr>
        <w:spacing w:before="68" w:line="221" w:lineRule="auto"/>
        <w:ind w:left="2"/>
        <w:rPr>
          <w:rFonts w:ascii="宋体" w:hAnsi="宋体" w:eastAsia="宋体"/>
          <w:color w:val="auto"/>
          <w:spacing w:val="-30"/>
          <w:highlight w:val="none"/>
        </w:rPr>
      </w:pPr>
      <w:r>
        <w:rPr>
          <w:rFonts w:ascii="宋体" w:hAnsi="宋体" w:eastAsia="宋体"/>
          <w:color w:val="auto"/>
          <w:spacing w:val="-30"/>
          <w:highlight w:val="none"/>
        </w:rPr>
        <w:t>投</w:t>
      </w:r>
      <w:r>
        <w:rPr>
          <w:rFonts w:ascii="宋体" w:hAnsi="宋体" w:eastAsia="宋体"/>
          <w:color w:val="auto"/>
          <w:spacing w:val="-27"/>
          <w:highlight w:val="none"/>
        </w:rPr>
        <w:t>标人名称：</w:t>
      </w:r>
      <w:r>
        <w:rPr>
          <w:rFonts w:ascii="宋体" w:hAnsi="宋体" w:eastAsia="宋体"/>
          <w:color w:val="auto"/>
          <w:highlight w:val="none"/>
          <w:u w:val="single"/>
        </w:rPr>
        <w:t xml:space="preserve">                         </w:t>
      </w:r>
    </w:p>
    <w:p w14:paraId="40C21007">
      <w:pPr>
        <w:spacing w:before="189" w:line="386" w:lineRule="auto"/>
        <w:rPr>
          <w:rFonts w:ascii="宋体" w:hAnsi="宋体" w:eastAsia="宋体"/>
          <w:color w:val="auto"/>
          <w:spacing w:val="-9"/>
          <w:highlight w:val="none"/>
        </w:rPr>
      </w:pPr>
      <w:r>
        <w:rPr>
          <w:rFonts w:ascii="宋体" w:hAnsi="宋体" w:eastAsia="宋体"/>
          <w:color w:val="auto"/>
          <w:spacing w:val="-9"/>
          <w:highlight w:val="none"/>
        </w:rPr>
        <w:t>姓名：</w:t>
      </w:r>
      <w:r>
        <w:rPr>
          <w:rFonts w:ascii="宋体" w:hAnsi="宋体" w:eastAsia="宋体"/>
          <w:color w:val="auto"/>
          <w:spacing w:val="-9"/>
          <w:highlight w:val="none"/>
          <w:u w:val="single"/>
        </w:rPr>
        <w:t xml:space="preserve">          </w:t>
      </w:r>
      <w:r>
        <w:rPr>
          <w:rFonts w:ascii="宋体" w:hAnsi="宋体" w:eastAsia="宋体"/>
          <w:color w:val="auto"/>
          <w:spacing w:val="-9"/>
          <w:highlight w:val="none"/>
        </w:rPr>
        <w:t>性别：</w:t>
      </w:r>
      <w:r>
        <w:rPr>
          <w:rFonts w:ascii="宋体" w:hAnsi="宋体" w:eastAsia="宋体"/>
          <w:color w:val="auto"/>
          <w:spacing w:val="-9"/>
          <w:highlight w:val="none"/>
          <w:u w:val="single"/>
        </w:rPr>
        <w:t xml:space="preserve">         </w:t>
      </w:r>
      <w:r>
        <w:rPr>
          <w:rFonts w:ascii="宋体" w:hAnsi="宋体" w:eastAsia="宋体"/>
          <w:color w:val="auto"/>
          <w:spacing w:val="-9"/>
          <w:highlight w:val="none"/>
        </w:rPr>
        <w:t>年龄：</w:t>
      </w:r>
      <w:r>
        <w:rPr>
          <w:rFonts w:ascii="宋体" w:hAnsi="宋体" w:eastAsia="宋体"/>
          <w:color w:val="auto"/>
          <w:spacing w:val="-9"/>
          <w:highlight w:val="none"/>
          <w:u w:val="single"/>
        </w:rPr>
        <w:t xml:space="preserve">         </w:t>
      </w:r>
      <w:r>
        <w:rPr>
          <w:rFonts w:ascii="宋体" w:hAnsi="宋体" w:eastAsia="宋体"/>
          <w:color w:val="auto"/>
          <w:spacing w:val="-9"/>
          <w:highlight w:val="none"/>
        </w:rPr>
        <w:t>职务：</w:t>
      </w:r>
      <w:r>
        <w:rPr>
          <w:rFonts w:ascii="宋体" w:hAnsi="宋体" w:eastAsia="宋体"/>
          <w:color w:val="auto"/>
          <w:highlight w:val="none"/>
          <w:u w:val="single"/>
        </w:rPr>
        <w:t xml:space="preserve">         </w:t>
      </w:r>
      <w:r>
        <w:rPr>
          <w:rFonts w:hint="eastAsia" w:ascii="宋体" w:hAnsi="宋体" w:eastAsia="宋体"/>
          <w:color w:val="auto"/>
          <w:highlight w:val="none"/>
        </w:rPr>
        <w:t>身份证号码：</w:t>
      </w:r>
      <w:r>
        <w:rPr>
          <w:rFonts w:hint="eastAsia" w:ascii="宋体" w:hAnsi="宋体" w:eastAsia="宋体"/>
          <w:color w:val="auto"/>
          <w:highlight w:val="none"/>
          <w:u w:val="single"/>
        </w:rPr>
        <w:t xml:space="preserve">       </w:t>
      </w:r>
    </w:p>
    <w:p w14:paraId="267AB8B1">
      <w:pPr>
        <w:spacing w:line="218" w:lineRule="auto"/>
        <w:ind w:left="4"/>
        <w:rPr>
          <w:rFonts w:ascii="宋体" w:hAnsi="宋体" w:eastAsia="宋体"/>
          <w:color w:val="auto"/>
          <w:spacing w:val="2"/>
          <w:highlight w:val="none"/>
        </w:rPr>
      </w:pPr>
      <w:r>
        <w:rPr>
          <w:rFonts w:ascii="宋体" w:hAnsi="宋体" w:eastAsia="宋体"/>
          <w:color w:val="auto"/>
          <w:spacing w:val="2"/>
          <w:highlight w:val="none"/>
        </w:rPr>
        <w:t>系</w:t>
      </w:r>
      <w:r>
        <w:rPr>
          <w:rFonts w:ascii="宋体" w:hAnsi="宋体" w:eastAsia="宋体"/>
          <w:color w:val="auto"/>
          <w:spacing w:val="2"/>
          <w:highlight w:val="none"/>
          <w:u w:val="single"/>
        </w:rPr>
        <w:t xml:space="preserve">                     </w:t>
      </w:r>
      <w:r>
        <w:rPr>
          <w:rFonts w:ascii="宋体" w:hAnsi="宋体" w:eastAsia="宋体"/>
          <w:color w:val="auto"/>
          <w:spacing w:val="1"/>
          <w:highlight w:val="none"/>
          <w:u w:val="single"/>
        </w:rPr>
        <w:t xml:space="preserve">    </w:t>
      </w:r>
      <w:r>
        <w:rPr>
          <w:rFonts w:ascii="宋体" w:hAnsi="宋体" w:eastAsia="宋体"/>
          <w:color w:val="auto"/>
          <w:spacing w:val="1"/>
          <w:highlight w:val="none"/>
        </w:rPr>
        <w:t>(投标人名称)的法定代表人。</w:t>
      </w:r>
    </w:p>
    <w:p w14:paraId="28CB3318">
      <w:pPr>
        <w:spacing w:before="191" w:line="220" w:lineRule="auto"/>
        <w:ind w:left="420"/>
        <w:rPr>
          <w:rFonts w:ascii="宋体" w:hAnsi="宋体" w:eastAsia="宋体"/>
          <w:color w:val="auto"/>
          <w:spacing w:val="-7"/>
          <w:highlight w:val="none"/>
        </w:rPr>
      </w:pPr>
      <w:r>
        <w:rPr>
          <w:rFonts w:ascii="宋体" w:hAnsi="宋体" w:eastAsia="宋体"/>
          <w:color w:val="auto"/>
          <w:spacing w:val="-7"/>
          <w:highlight w:val="none"/>
        </w:rPr>
        <w:t>特</w:t>
      </w:r>
      <w:r>
        <w:rPr>
          <w:rFonts w:ascii="宋体" w:hAnsi="宋体" w:eastAsia="宋体"/>
          <w:color w:val="auto"/>
          <w:spacing w:val="-6"/>
          <w:highlight w:val="none"/>
        </w:rPr>
        <w:t>此证明。</w:t>
      </w:r>
    </w:p>
    <w:p w14:paraId="24BEE792">
      <w:pPr>
        <w:spacing w:line="278" w:lineRule="auto"/>
        <w:rPr>
          <w:color w:val="auto"/>
          <w:highlight w:val="none"/>
        </w:rPr>
      </w:pPr>
    </w:p>
    <w:p w14:paraId="16441181">
      <w:pPr>
        <w:spacing w:line="279" w:lineRule="auto"/>
        <w:rPr>
          <w:color w:val="auto"/>
          <w:highlight w:val="none"/>
        </w:rPr>
      </w:pPr>
    </w:p>
    <w:p w14:paraId="6636D28B">
      <w:pPr>
        <w:spacing w:before="69" w:line="219" w:lineRule="auto"/>
        <w:ind w:left="16"/>
        <w:rPr>
          <w:rFonts w:ascii="宋体" w:hAnsi="宋体" w:eastAsia="宋体"/>
          <w:color w:val="auto"/>
          <w:spacing w:val="-6"/>
          <w:highlight w:val="none"/>
        </w:rPr>
      </w:pPr>
      <w:r>
        <w:rPr>
          <w:rFonts w:ascii="宋体" w:hAnsi="宋体" w:eastAsia="宋体"/>
          <w:color w:val="auto"/>
          <w:spacing w:val="-6"/>
          <w:highlight w:val="none"/>
        </w:rPr>
        <w:t>附：法</w:t>
      </w:r>
      <w:r>
        <w:rPr>
          <w:rFonts w:ascii="宋体" w:hAnsi="宋体" w:eastAsia="宋体"/>
          <w:color w:val="auto"/>
          <w:spacing w:val="-3"/>
          <w:highlight w:val="none"/>
        </w:rPr>
        <w:t>定代表人身份证</w:t>
      </w:r>
      <w:r>
        <w:rPr>
          <w:rFonts w:hint="eastAsia" w:ascii="宋体" w:hAnsi="宋体" w:eastAsia="宋体"/>
          <w:color w:val="auto"/>
          <w:spacing w:val="-3"/>
          <w:highlight w:val="none"/>
        </w:rPr>
        <w:t>正反面扫描</w:t>
      </w:r>
      <w:r>
        <w:rPr>
          <w:rFonts w:ascii="宋体" w:hAnsi="宋体" w:eastAsia="宋体"/>
          <w:color w:val="auto"/>
          <w:spacing w:val="-3"/>
          <w:highlight w:val="none"/>
        </w:rPr>
        <w:t>件。</w:t>
      </w:r>
    </w:p>
    <w:p w14:paraId="73DA5288">
      <w:pPr>
        <w:spacing w:line="279" w:lineRule="auto"/>
        <w:rPr>
          <w:color w:val="auto"/>
          <w:highlight w:val="none"/>
        </w:rPr>
      </w:pPr>
    </w:p>
    <w:p w14:paraId="326E6DD6">
      <w:pPr>
        <w:spacing w:line="280" w:lineRule="auto"/>
        <w:rPr>
          <w:color w:val="auto"/>
          <w:highlight w:val="none"/>
        </w:rPr>
      </w:pPr>
    </w:p>
    <w:p w14:paraId="3806EC7B">
      <w:pPr>
        <w:spacing w:line="248" w:lineRule="auto"/>
        <w:rPr>
          <w:color w:val="auto"/>
          <w:highlight w:val="none"/>
        </w:rPr>
      </w:pPr>
    </w:p>
    <w:p w14:paraId="75127186">
      <w:pPr>
        <w:spacing w:line="249" w:lineRule="auto"/>
        <w:rPr>
          <w:color w:val="auto"/>
          <w:highlight w:val="none"/>
        </w:rPr>
      </w:pPr>
    </w:p>
    <w:p w14:paraId="2B2AABF7">
      <w:pPr>
        <w:spacing w:line="249" w:lineRule="auto"/>
        <w:rPr>
          <w:color w:val="auto"/>
          <w:highlight w:val="none"/>
        </w:rPr>
      </w:pPr>
    </w:p>
    <w:p w14:paraId="55D010C4">
      <w:pPr>
        <w:spacing w:line="249" w:lineRule="auto"/>
        <w:rPr>
          <w:color w:val="auto"/>
          <w:highlight w:val="none"/>
        </w:rPr>
      </w:pPr>
    </w:p>
    <w:p w14:paraId="2D52FC0E">
      <w:pPr>
        <w:spacing w:before="68" w:line="220" w:lineRule="auto"/>
        <w:ind w:left="4112"/>
        <w:rPr>
          <w:rFonts w:ascii="宋体" w:hAnsi="宋体" w:eastAsia="宋体"/>
          <w:color w:val="auto"/>
          <w:spacing w:val="-5"/>
          <w:highlight w:val="none"/>
        </w:rPr>
      </w:pPr>
      <w:r>
        <w:rPr>
          <w:rFonts w:ascii="宋体" w:hAnsi="宋体" w:eastAsia="宋体"/>
          <w:color w:val="auto"/>
          <w:spacing w:val="-5"/>
          <w:highlight w:val="none"/>
        </w:rPr>
        <w:t>投标人：</w:t>
      </w:r>
      <w:r>
        <w:rPr>
          <w:rFonts w:ascii="宋体" w:hAnsi="宋体" w:eastAsia="宋体"/>
          <w:color w:val="auto"/>
          <w:spacing w:val="-5"/>
          <w:highlight w:val="none"/>
          <w:u w:val="single"/>
        </w:rPr>
        <w:t xml:space="preserve">                </w:t>
      </w:r>
      <w:r>
        <w:rPr>
          <w:rFonts w:ascii="宋体" w:hAnsi="宋体" w:eastAsia="宋体"/>
          <w:color w:val="auto"/>
          <w:spacing w:val="-5"/>
          <w:highlight w:val="none"/>
        </w:rPr>
        <w:t>(盖单位章</w:t>
      </w:r>
      <w:r>
        <w:rPr>
          <w:rFonts w:ascii="宋体" w:hAnsi="宋体" w:eastAsia="宋体"/>
          <w:color w:val="auto"/>
          <w:spacing w:val="-2"/>
          <w:highlight w:val="none"/>
        </w:rPr>
        <w:t>)</w:t>
      </w:r>
    </w:p>
    <w:p w14:paraId="05A12DB0">
      <w:pPr>
        <w:spacing w:line="279" w:lineRule="auto"/>
        <w:rPr>
          <w:color w:val="auto"/>
          <w:highlight w:val="none"/>
        </w:rPr>
      </w:pPr>
    </w:p>
    <w:p w14:paraId="26E89D5E">
      <w:pPr>
        <w:spacing w:line="279" w:lineRule="auto"/>
        <w:rPr>
          <w:color w:val="auto"/>
          <w:highlight w:val="none"/>
        </w:rPr>
      </w:pPr>
    </w:p>
    <w:p w14:paraId="6CE4CF19">
      <w:pPr>
        <w:tabs>
          <w:tab w:val="left" w:pos="5250"/>
        </w:tabs>
        <w:spacing w:before="69" w:line="220" w:lineRule="auto"/>
        <w:ind w:left="4611"/>
        <w:rPr>
          <w:rFonts w:ascii="宋体" w:hAnsi="宋体" w:eastAsia="宋体"/>
          <w:color w:val="auto"/>
          <w:highlight w:val="none"/>
          <w:u w:val="single"/>
        </w:rPr>
      </w:pPr>
      <w:r>
        <w:rPr>
          <w:rFonts w:ascii="宋体" w:hAnsi="宋体" w:eastAsia="宋体"/>
          <w:color w:val="auto"/>
          <w:highlight w:val="none"/>
          <w:u w:val="single"/>
        </w:rPr>
        <w:tab/>
      </w:r>
      <w:r>
        <w:rPr>
          <w:rFonts w:ascii="宋体" w:hAnsi="宋体" w:eastAsia="宋体"/>
          <w:color w:val="auto"/>
          <w:spacing w:val="4"/>
          <w:highlight w:val="none"/>
        </w:rPr>
        <w:t>年</w:t>
      </w:r>
      <w:r>
        <w:rPr>
          <w:rFonts w:ascii="宋体" w:hAnsi="宋体" w:eastAsia="宋体"/>
          <w:color w:val="auto"/>
          <w:spacing w:val="4"/>
          <w:highlight w:val="none"/>
          <w:u w:val="single"/>
        </w:rPr>
        <w:t xml:space="preserve">  </w:t>
      </w:r>
      <w:r>
        <w:rPr>
          <w:rFonts w:ascii="宋体" w:hAnsi="宋体" w:eastAsia="宋体"/>
          <w:color w:val="auto"/>
          <w:spacing w:val="2"/>
          <w:highlight w:val="none"/>
          <w:u w:val="single"/>
        </w:rPr>
        <w:t xml:space="preserve">    </w:t>
      </w:r>
      <w:r>
        <w:rPr>
          <w:rFonts w:ascii="宋体" w:hAnsi="宋体" w:eastAsia="宋体"/>
          <w:color w:val="auto"/>
          <w:spacing w:val="2"/>
          <w:highlight w:val="none"/>
        </w:rPr>
        <w:t>月</w:t>
      </w:r>
      <w:r>
        <w:rPr>
          <w:rFonts w:ascii="宋体" w:hAnsi="宋体" w:eastAsia="宋体"/>
          <w:color w:val="auto"/>
          <w:spacing w:val="2"/>
          <w:highlight w:val="none"/>
          <w:u w:val="single"/>
        </w:rPr>
        <w:t xml:space="preserve">      </w:t>
      </w:r>
      <w:r>
        <w:rPr>
          <w:rFonts w:ascii="宋体" w:hAnsi="宋体" w:eastAsia="宋体"/>
          <w:color w:val="auto"/>
          <w:spacing w:val="2"/>
          <w:highlight w:val="none"/>
        </w:rPr>
        <w:t>日</w:t>
      </w:r>
    </w:p>
    <w:p w14:paraId="4AE1F569">
      <w:pPr>
        <w:rPr>
          <w:color w:val="auto"/>
          <w:highlight w:val="none"/>
        </w:rPr>
        <w:sectPr>
          <w:footerReference r:id="rId23" w:type="default"/>
          <w:pgSz w:w="12240" w:h="15840"/>
          <w:pgMar w:top="1346" w:right="1836" w:bottom="1104" w:left="1808" w:header="0" w:footer="940" w:gutter="0"/>
          <w:cols w:space="720" w:num="1"/>
        </w:sectPr>
      </w:pPr>
    </w:p>
    <w:p w14:paraId="68EB6F18">
      <w:pPr>
        <w:spacing w:line="268" w:lineRule="auto"/>
        <w:jc w:val="center"/>
        <w:rPr>
          <w:rFonts w:ascii="黑体" w:hAnsi="黑体" w:eastAsia="黑体"/>
          <w:color w:val="auto"/>
          <w:spacing w:val="8"/>
          <w:sz w:val="31"/>
          <w:szCs w:val="31"/>
          <w:highlight w:val="none"/>
        </w:rPr>
      </w:pPr>
      <w:r>
        <w:rPr>
          <w:rFonts w:ascii="黑体" w:hAnsi="黑体" w:eastAsia="黑体"/>
          <w:color w:val="auto"/>
          <w:spacing w:val="8"/>
          <w:sz w:val="31"/>
          <w:szCs w:val="31"/>
          <w:highlight w:val="none"/>
        </w:rPr>
        <w:t>授权委托书</w:t>
      </w:r>
    </w:p>
    <w:p w14:paraId="6D709E32">
      <w:pPr>
        <w:spacing w:line="269" w:lineRule="auto"/>
        <w:rPr>
          <w:color w:val="auto"/>
          <w:highlight w:val="none"/>
        </w:rPr>
      </w:pPr>
    </w:p>
    <w:p w14:paraId="59153FFF">
      <w:pPr>
        <w:spacing w:line="269" w:lineRule="auto"/>
        <w:rPr>
          <w:color w:val="auto"/>
          <w:highlight w:val="none"/>
        </w:rPr>
      </w:pPr>
    </w:p>
    <w:p w14:paraId="1FA20A80">
      <w:pPr>
        <w:spacing w:line="269" w:lineRule="auto"/>
        <w:rPr>
          <w:color w:val="auto"/>
          <w:highlight w:val="none"/>
        </w:rPr>
      </w:pPr>
    </w:p>
    <w:p w14:paraId="6545E3CA">
      <w:pPr>
        <w:spacing w:before="68" w:line="387" w:lineRule="auto"/>
        <w:ind w:right="2" w:firstLine="421"/>
        <w:rPr>
          <w:rFonts w:ascii="宋体" w:hAnsi="宋体" w:eastAsia="宋体"/>
          <w:color w:val="auto"/>
          <w:spacing w:val="4"/>
          <w:highlight w:val="none"/>
        </w:rPr>
      </w:pPr>
      <w:r>
        <w:rPr>
          <w:rFonts w:ascii="宋体" w:hAnsi="宋体" w:eastAsia="宋体"/>
          <w:color w:val="auto"/>
          <w:spacing w:val="4"/>
          <w:highlight w:val="none"/>
        </w:rPr>
        <w:t>本人</w:t>
      </w:r>
      <w:r>
        <w:rPr>
          <w:rFonts w:ascii="宋体" w:hAnsi="宋体" w:eastAsia="宋体"/>
          <w:color w:val="auto"/>
          <w:spacing w:val="3"/>
          <w:highlight w:val="none"/>
          <w:u w:val="single"/>
        </w:rPr>
        <w:t xml:space="preserve"> </w:t>
      </w:r>
      <w:r>
        <w:rPr>
          <w:rFonts w:ascii="宋体" w:hAnsi="宋体" w:eastAsia="宋体"/>
          <w:color w:val="auto"/>
          <w:spacing w:val="2"/>
          <w:highlight w:val="none"/>
          <w:u w:val="single"/>
        </w:rPr>
        <w:t xml:space="preserve">              </w:t>
      </w:r>
      <w:r>
        <w:rPr>
          <w:rFonts w:ascii="宋体" w:hAnsi="宋体" w:eastAsia="宋体"/>
          <w:color w:val="auto"/>
          <w:spacing w:val="2"/>
          <w:highlight w:val="none"/>
        </w:rPr>
        <w:t>(姓名) 系</w:t>
      </w:r>
      <w:r>
        <w:rPr>
          <w:rFonts w:ascii="宋体" w:hAnsi="宋体" w:eastAsia="宋体"/>
          <w:color w:val="auto"/>
          <w:spacing w:val="2"/>
          <w:highlight w:val="none"/>
          <w:u w:val="single"/>
        </w:rPr>
        <w:t xml:space="preserve">                     </w:t>
      </w:r>
      <w:r>
        <w:rPr>
          <w:rFonts w:ascii="宋体" w:hAnsi="宋体" w:eastAsia="宋体"/>
          <w:color w:val="auto"/>
          <w:spacing w:val="2"/>
          <w:highlight w:val="none"/>
        </w:rPr>
        <w:t>(投标人名称)的法定代表人，现</w:t>
      </w:r>
      <w:r>
        <w:rPr>
          <w:rFonts w:ascii="宋体" w:hAnsi="宋体" w:eastAsia="宋体"/>
          <w:color w:val="auto"/>
          <w:highlight w:val="none"/>
        </w:rPr>
        <w:t xml:space="preserve"> </w:t>
      </w:r>
      <w:r>
        <w:rPr>
          <w:rFonts w:ascii="宋体" w:hAnsi="宋体" w:eastAsia="宋体"/>
          <w:color w:val="auto"/>
          <w:spacing w:val="4"/>
          <w:highlight w:val="none"/>
        </w:rPr>
        <w:t>委托</w:t>
      </w:r>
      <w:r>
        <w:rPr>
          <w:rFonts w:ascii="宋体" w:hAnsi="宋体" w:eastAsia="宋体"/>
          <w:color w:val="auto"/>
          <w:spacing w:val="4"/>
          <w:highlight w:val="none"/>
          <w:u w:val="single"/>
        </w:rPr>
        <w:t xml:space="preserve">      </w:t>
      </w:r>
      <w:r>
        <w:rPr>
          <w:rFonts w:ascii="宋体" w:hAnsi="宋体" w:eastAsia="宋体"/>
          <w:color w:val="auto"/>
          <w:spacing w:val="3"/>
          <w:highlight w:val="none"/>
          <w:u w:val="single"/>
        </w:rPr>
        <w:t xml:space="preserve"> </w:t>
      </w:r>
      <w:r>
        <w:rPr>
          <w:rFonts w:ascii="宋体" w:hAnsi="宋体" w:eastAsia="宋体"/>
          <w:color w:val="auto"/>
          <w:spacing w:val="2"/>
          <w:highlight w:val="none"/>
          <w:u w:val="single"/>
        </w:rPr>
        <w:t xml:space="preserve">      </w:t>
      </w:r>
      <w:r>
        <w:rPr>
          <w:rFonts w:ascii="宋体" w:hAnsi="宋体" w:eastAsia="宋体"/>
          <w:color w:val="auto"/>
          <w:spacing w:val="2"/>
          <w:highlight w:val="none"/>
        </w:rPr>
        <w:t>(姓名)为我方代理人。代理人根据授权，以我方名义签署、澄清确认、递</w:t>
      </w:r>
      <w:r>
        <w:rPr>
          <w:rFonts w:ascii="宋体" w:hAnsi="宋体" w:eastAsia="宋体"/>
          <w:color w:val="auto"/>
          <w:highlight w:val="none"/>
        </w:rPr>
        <w:t xml:space="preserve"> </w:t>
      </w:r>
      <w:r>
        <w:rPr>
          <w:rFonts w:ascii="宋体" w:hAnsi="宋体" w:eastAsia="宋体"/>
          <w:color w:val="auto"/>
          <w:spacing w:val="-1"/>
          <w:highlight w:val="none"/>
        </w:rPr>
        <w:t>交、撤回、修改设计招标项目投标文件、签订合同和处理有关事宜，其法律后果由我</w:t>
      </w:r>
      <w:r>
        <w:rPr>
          <w:rFonts w:ascii="宋体" w:hAnsi="宋体" w:eastAsia="宋体"/>
          <w:color w:val="auto"/>
          <w:highlight w:val="none"/>
        </w:rPr>
        <w:t xml:space="preserve">方承担。 </w:t>
      </w:r>
      <w:r>
        <w:rPr>
          <w:rFonts w:ascii="宋体" w:hAnsi="宋体" w:eastAsia="宋体"/>
          <w:color w:val="auto"/>
          <w:spacing w:val="-6"/>
          <w:highlight w:val="none"/>
        </w:rPr>
        <w:t>委托期限：</w:t>
      </w:r>
      <w:r>
        <w:rPr>
          <w:rFonts w:ascii="宋体" w:hAnsi="宋体" w:eastAsia="宋体"/>
          <w:color w:val="auto"/>
          <w:spacing w:val="-6"/>
          <w:highlight w:val="none"/>
          <w:u w:val="single"/>
        </w:rPr>
        <w:t xml:space="preserve">  </w:t>
      </w:r>
      <w:r>
        <w:rPr>
          <w:rFonts w:ascii="宋体" w:hAnsi="宋体" w:eastAsia="宋体"/>
          <w:color w:val="auto"/>
          <w:spacing w:val="-5"/>
          <w:highlight w:val="none"/>
          <w:u w:val="single"/>
        </w:rPr>
        <w:t xml:space="preserve"> </w:t>
      </w:r>
      <w:r>
        <w:rPr>
          <w:rFonts w:ascii="宋体" w:hAnsi="宋体" w:eastAsia="宋体"/>
          <w:color w:val="auto"/>
          <w:spacing w:val="-3"/>
          <w:highlight w:val="none"/>
          <w:u w:val="single"/>
        </w:rPr>
        <w:t xml:space="preserve">                     </w:t>
      </w:r>
      <w:r>
        <w:rPr>
          <w:rFonts w:ascii="宋体" w:hAnsi="宋体" w:eastAsia="宋体"/>
          <w:color w:val="auto"/>
          <w:spacing w:val="-3"/>
          <w:highlight w:val="none"/>
        </w:rPr>
        <w:t>。</w:t>
      </w:r>
    </w:p>
    <w:p w14:paraId="43743204">
      <w:pPr>
        <w:spacing w:before="68" w:line="387" w:lineRule="auto"/>
        <w:ind w:right="2" w:firstLine="421"/>
        <w:rPr>
          <w:rFonts w:ascii="宋体" w:hAnsi="宋体" w:eastAsia="宋体"/>
          <w:color w:val="auto"/>
          <w:spacing w:val="-1"/>
          <w:highlight w:val="none"/>
        </w:rPr>
      </w:pPr>
      <w:r>
        <w:rPr>
          <w:rFonts w:ascii="宋体" w:hAnsi="宋体" w:eastAsia="宋体"/>
          <w:color w:val="auto"/>
          <w:spacing w:val="-1"/>
          <w:highlight w:val="none"/>
        </w:rPr>
        <w:t>代理人无转委托权。代理人为投标人正式职工，必须具有在本投标单位缴纳的2025年</w:t>
      </w:r>
      <w:r>
        <w:rPr>
          <w:rFonts w:hint="eastAsia" w:ascii="宋体" w:hAnsi="宋体" w:eastAsia="宋体"/>
          <w:color w:val="auto"/>
          <w:spacing w:val="-1"/>
          <w:highlight w:val="none"/>
        </w:rPr>
        <w:t>3</w:t>
      </w:r>
      <w:r>
        <w:rPr>
          <w:rFonts w:ascii="宋体" w:hAnsi="宋体" w:eastAsia="宋体"/>
          <w:color w:val="auto"/>
          <w:spacing w:val="-1"/>
          <w:highlight w:val="none"/>
        </w:rPr>
        <w:t>月有效的社保证明文件。</w:t>
      </w:r>
    </w:p>
    <w:p w14:paraId="3A13D274">
      <w:pPr>
        <w:spacing w:line="280" w:lineRule="auto"/>
        <w:rPr>
          <w:color w:val="auto"/>
          <w:highlight w:val="none"/>
        </w:rPr>
      </w:pPr>
    </w:p>
    <w:p w14:paraId="76786E3A">
      <w:pPr>
        <w:spacing w:line="281" w:lineRule="auto"/>
        <w:rPr>
          <w:color w:val="auto"/>
          <w:highlight w:val="none"/>
        </w:rPr>
      </w:pPr>
    </w:p>
    <w:p w14:paraId="22DD92F9">
      <w:pPr>
        <w:spacing w:line="280" w:lineRule="auto"/>
        <w:rPr>
          <w:color w:val="auto"/>
          <w:highlight w:val="none"/>
        </w:rPr>
      </w:pPr>
    </w:p>
    <w:p w14:paraId="767523DC">
      <w:pPr>
        <w:spacing w:before="69" w:line="220" w:lineRule="auto"/>
        <w:ind w:right="251"/>
        <w:jc w:val="right"/>
        <w:rPr>
          <w:rFonts w:ascii="宋体" w:hAnsi="宋体" w:eastAsia="宋体"/>
          <w:color w:val="auto"/>
          <w:spacing w:val="-2"/>
          <w:highlight w:val="none"/>
        </w:rPr>
      </w:pPr>
      <w:r>
        <w:rPr>
          <w:rFonts w:ascii="宋体" w:hAnsi="宋体" w:eastAsia="宋体"/>
          <w:color w:val="auto"/>
          <w:spacing w:val="-2"/>
          <w:highlight w:val="none"/>
        </w:rPr>
        <w:t>投  标  人：</w:t>
      </w:r>
      <w:r>
        <w:rPr>
          <w:rFonts w:ascii="宋体" w:hAnsi="宋体" w:eastAsia="宋体"/>
          <w:color w:val="auto"/>
          <w:spacing w:val="-2"/>
          <w:highlight w:val="none"/>
          <w:u w:val="single"/>
        </w:rPr>
        <w:t xml:space="preserve">                                </w:t>
      </w:r>
      <w:r>
        <w:rPr>
          <w:rFonts w:ascii="宋体" w:hAnsi="宋体" w:eastAsia="宋体"/>
          <w:color w:val="auto"/>
          <w:spacing w:val="-2"/>
          <w:highlight w:val="none"/>
        </w:rPr>
        <w:t>(盖单位</w:t>
      </w:r>
      <w:r>
        <w:rPr>
          <w:rFonts w:ascii="宋体" w:hAnsi="宋体" w:eastAsia="宋体"/>
          <w:color w:val="auto"/>
          <w:spacing w:val="-1"/>
          <w:highlight w:val="none"/>
        </w:rPr>
        <w:t>章</w:t>
      </w:r>
      <w:r>
        <w:rPr>
          <w:rFonts w:ascii="宋体" w:hAnsi="宋体" w:eastAsia="宋体"/>
          <w:color w:val="auto"/>
          <w:highlight w:val="none"/>
        </w:rPr>
        <w:t>)</w:t>
      </w:r>
    </w:p>
    <w:p w14:paraId="5020684E">
      <w:pPr>
        <w:spacing w:line="278" w:lineRule="auto"/>
        <w:rPr>
          <w:color w:val="auto"/>
          <w:highlight w:val="none"/>
        </w:rPr>
      </w:pPr>
    </w:p>
    <w:p w14:paraId="7DF496D0">
      <w:pPr>
        <w:spacing w:line="279" w:lineRule="auto"/>
        <w:rPr>
          <w:color w:val="auto"/>
          <w:highlight w:val="none"/>
        </w:rPr>
      </w:pPr>
    </w:p>
    <w:p w14:paraId="382E960A">
      <w:pPr>
        <w:spacing w:before="70" w:line="219" w:lineRule="auto"/>
        <w:ind w:left="2692"/>
        <w:rPr>
          <w:rFonts w:ascii="宋体" w:hAnsi="宋体" w:eastAsia="宋体"/>
          <w:color w:val="auto"/>
          <w:spacing w:val="-4"/>
          <w:highlight w:val="none"/>
        </w:rPr>
      </w:pPr>
      <w:r>
        <w:rPr>
          <w:rFonts w:ascii="宋体" w:hAnsi="宋体" w:eastAsia="宋体"/>
          <w:color w:val="auto"/>
          <w:spacing w:val="-4"/>
          <w:highlight w:val="none"/>
        </w:rPr>
        <w:t>法定代表人：</w:t>
      </w:r>
      <w:r>
        <w:rPr>
          <w:rFonts w:ascii="宋体" w:hAnsi="宋体" w:eastAsia="宋体"/>
          <w:color w:val="auto"/>
          <w:spacing w:val="-4"/>
          <w:highlight w:val="none"/>
          <w:u w:val="single"/>
        </w:rPr>
        <w:t xml:space="preserve">  </w:t>
      </w:r>
      <w:r>
        <w:rPr>
          <w:rFonts w:ascii="宋体" w:hAnsi="宋体" w:eastAsia="宋体"/>
          <w:color w:val="auto"/>
          <w:spacing w:val="-2"/>
          <w:highlight w:val="none"/>
          <w:u w:val="single"/>
        </w:rPr>
        <w:t xml:space="preserve">                      </w:t>
      </w:r>
      <w:r>
        <w:rPr>
          <w:rFonts w:ascii="宋体" w:hAnsi="宋体" w:eastAsia="宋体"/>
          <w:color w:val="auto"/>
          <w:spacing w:val="-2"/>
          <w:highlight w:val="none"/>
        </w:rPr>
        <w:t>(签字</w:t>
      </w:r>
      <w:r>
        <w:rPr>
          <w:rFonts w:hint="eastAsia" w:ascii="宋体" w:hAnsi="宋体" w:eastAsia="宋体"/>
          <w:color w:val="auto"/>
          <w:spacing w:val="-2"/>
          <w:highlight w:val="none"/>
        </w:rPr>
        <w:t>或盖章</w:t>
      </w:r>
      <w:r>
        <w:rPr>
          <w:rFonts w:ascii="宋体" w:hAnsi="宋体" w:eastAsia="宋体"/>
          <w:color w:val="auto"/>
          <w:spacing w:val="-2"/>
          <w:highlight w:val="none"/>
        </w:rPr>
        <w:t>)</w:t>
      </w:r>
    </w:p>
    <w:p w14:paraId="29E8B1FC">
      <w:pPr>
        <w:spacing w:line="280" w:lineRule="auto"/>
        <w:rPr>
          <w:color w:val="auto"/>
          <w:highlight w:val="none"/>
        </w:rPr>
      </w:pPr>
    </w:p>
    <w:p w14:paraId="4ECB8F63">
      <w:pPr>
        <w:spacing w:line="280" w:lineRule="auto"/>
        <w:rPr>
          <w:color w:val="auto"/>
          <w:highlight w:val="none"/>
        </w:rPr>
      </w:pPr>
    </w:p>
    <w:p w14:paraId="0DC8127E">
      <w:pPr>
        <w:spacing w:before="68" w:line="220" w:lineRule="auto"/>
        <w:ind w:left="2698"/>
        <w:rPr>
          <w:rFonts w:ascii="宋体" w:hAnsi="宋体" w:eastAsia="宋体"/>
          <w:color w:val="auto"/>
          <w:spacing w:val="-28"/>
          <w:highlight w:val="none"/>
        </w:rPr>
      </w:pPr>
      <w:r>
        <w:rPr>
          <w:rFonts w:ascii="宋体" w:hAnsi="宋体" w:eastAsia="宋体"/>
          <w:color w:val="auto"/>
          <w:spacing w:val="-28"/>
          <w:highlight w:val="none"/>
        </w:rPr>
        <w:t>身份证号码：</w:t>
      </w:r>
      <w:r>
        <w:rPr>
          <w:rFonts w:ascii="宋体" w:hAnsi="宋体" w:eastAsia="宋体"/>
          <w:color w:val="auto"/>
          <w:highlight w:val="none"/>
          <w:u w:val="single"/>
        </w:rPr>
        <w:t xml:space="preserve">                                           </w:t>
      </w:r>
    </w:p>
    <w:p w14:paraId="13930155">
      <w:pPr>
        <w:spacing w:line="278" w:lineRule="auto"/>
        <w:rPr>
          <w:color w:val="auto"/>
          <w:highlight w:val="none"/>
        </w:rPr>
      </w:pPr>
    </w:p>
    <w:p w14:paraId="08242F54">
      <w:pPr>
        <w:spacing w:line="278" w:lineRule="auto"/>
        <w:rPr>
          <w:color w:val="auto"/>
          <w:highlight w:val="none"/>
        </w:rPr>
      </w:pPr>
    </w:p>
    <w:p w14:paraId="3A44BA1C">
      <w:pPr>
        <w:spacing w:before="70" w:line="217" w:lineRule="auto"/>
        <w:ind w:right="249"/>
        <w:jc w:val="right"/>
        <w:rPr>
          <w:rFonts w:ascii="宋体" w:hAnsi="宋体" w:eastAsia="宋体"/>
          <w:color w:val="auto"/>
          <w:spacing w:val="-2"/>
          <w:highlight w:val="none"/>
        </w:rPr>
      </w:pPr>
      <w:r>
        <w:rPr>
          <w:rFonts w:ascii="宋体" w:hAnsi="宋体" w:eastAsia="宋体"/>
          <w:color w:val="auto"/>
          <w:spacing w:val="-2"/>
          <w:highlight w:val="none"/>
        </w:rPr>
        <w:t>委托代理人：</w:t>
      </w:r>
      <w:r>
        <w:rPr>
          <w:rFonts w:ascii="宋体" w:hAnsi="宋体" w:eastAsia="宋体"/>
          <w:color w:val="auto"/>
          <w:spacing w:val="-2"/>
          <w:highlight w:val="none"/>
          <w:u w:val="single"/>
        </w:rPr>
        <w:t xml:space="preserve">                                    </w:t>
      </w:r>
      <w:r>
        <w:rPr>
          <w:rFonts w:ascii="宋体" w:hAnsi="宋体" w:eastAsia="宋体"/>
          <w:color w:val="auto"/>
          <w:highlight w:val="none"/>
        </w:rPr>
        <w:t>(签字)</w:t>
      </w:r>
    </w:p>
    <w:p w14:paraId="5A8B1689">
      <w:pPr>
        <w:spacing w:line="280" w:lineRule="auto"/>
        <w:rPr>
          <w:color w:val="auto"/>
          <w:highlight w:val="none"/>
        </w:rPr>
      </w:pPr>
    </w:p>
    <w:p w14:paraId="7F51C5E3">
      <w:pPr>
        <w:spacing w:line="281" w:lineRule="auto"/>
        <w:rPr>
          <w:color w:val="auto"/>
          <w:highlight w:val="none"/>
        </w:rPr>
      </w:pPr>
    </w:p>
    <w:p w14:paraId="4F8AEA23">
      <w:pPr>
        <w:spacing w:before="69" w:line="220" w:lineRule="auto"/>
        <w:ind w:left="2698"/>
        <w:rPr>
          <w:rFonts w:ascii="宋体" w:hAnsi="宋体" w:eastAsia="宋体"/>
          <w:color w:val="auto"/>
          <w:spacing w:val="-28"/>
          <w:highlight w:val="none"/>
        </w:rPr>
      </w:pPr>
      <w:r>
        <w:rPr>
          <w:rFonts w:ascii="宋体" w:hAnsi="宋体" w:eastAsia="宋体"/>
          <w:color w:val="auto"/>
          <w:spacing w:val="-28"/>
          <w:highlight w:val="none"/>
        </w:rPr>
        <w:t>身份证号码：</w:t>
      </w:r>
      <w:r>
        <w:rPr>
          <w:rFonts w:ascii="宋体" w:hAnsi="宋体" w:eastAsia="宋体"/>
          <w:color w:val="auto"/>
          <w:highlight w:val="none"/>
          <w:u w:val="single"/>
        </w:rPr>
        <w:t xml:space="preserve">                                           </w:t>
      </w:r>
    </w:p>
    <w:p w14:paraId="45F2BCB2">
      <w:pPr>
        <w:spacing w:line="248" w:lineRule="auto"/>
        <w:rPr>
          <w:color w:val="auto"/>
          <w:highlight w:val="none"/>
        </w:rPr>
      </w:pPr>
    </w:p>
    <w:p w14:paraId="4C3A89CB">
      <w:pPr>
        <w:spacing w:line="249" w:lineRule="auto"/>
        <w:rPr>
          <w:color w:val="auto"/>
          <w:highlight w:val="none"/>
        </w:rPr>
      </w:pPr>
    </w:p>
    <w:p w14:paraId="299283B3">
      <w:pPr>
        <w:spacing w:line="249" w:lineRule="auto"/>
        <w:rPr>
          <w:color w:val="auto"/>
          <w:highlight w:val="none"/>
        </w:rPr>
      </w:pPr>
    </w:p>
    <w:p w14:paraId="39A6C2FD">
      <w:pPr>
        <w:spacing w:line="249" w:lineRule="auto"/>
        <w:rPr>
          <w:color w:val="auto"/>
          <w:highlight w:val="none"/>
        </w:rPr>
      </w:pPr>
    </w:p>
    <w:p w14:paraId="06017C06">
      <w:pPr>
        <w:tabs>
          <w:tab w:val="left" w:pos="6540"/>
        </w:tabs>
        <w:spacing w:before="68" w:line="220" w:lineRule="auto"/>
        <w:ind w:left="5797"/>
        <w:rPr>
          <w:rFonts w:ascii="宋体" w:hAnsi="宋体" w:eastAsia="宋体"/>
          <w:color w:val="auto"/>
          <w:highlight w:val="none"/>
          <w:u w:val="single"/>
        </w:rPr>
      </w:pPr>
      <w:r>
        <w:rPr>
          <w:rFonts w:ascii="宋体" w:hAnsi="宋体" w:eastAsia="宋体"/>
          <w:color w:val="auto"/>
          <w:highlight w:val="none"/>
          <w:u w:val="single"/>
        </w:rPr>
        <w:tab/>
      </w:r>
      <w:r>
        <w:rPr>
          <w:rFonts w:ascii="宋体" w:hAnsi="宋体" w:eastAsia="宋体"/>
          <w:color w:val="auto"/>
          <w:spacing w:val="-1"/>
          <w:highlight w:val="none"/>
        </w:rPr>
        <w:t>年</w:t>
      </w:r>
      <w:r>
        <w:rPr>
          <w:rFonts w:ascii="宋体" w:hAnsi="宋体" w:eastAsia="宋体"/>
          <w:color w:val="auto"/>
          <w:spacing w:val="-1"/>
          <w:highlight w:val="none"/>
          <w:u w:val="single"/>
        </w:rPr>
        <w:t xml:space="preserve">       </w:t>
      </w:r>
      <w:r>
        <w:rPr>
          <w:rFonts w:ascii="宋体" w:hAnsi="宋体" w:eastAsia="宋体"/>
          <w:color w:val="auto"/>
          <w:spacing w:val="-1"/>
          <w:highlight w:val="none"/>
        </w:rPr>
        <w:t>月</w:t>
      </w:r>
      <w:r>
        <w:rPr>
          <w:rFonts w:ascii="宋体" w:hAnsi="宋体" w:eastAsia="宋体"/>
          <w:color w:val="auto"/>
          <w:highlight w:val="none"/>
          <w:u w:val="single"/>
        </w:rPr>
        <w:t xml:space="preserve">       </w:t>
      </w:r>
      <w:r>
        <w:rPr>
          <w:rFonts w:ascii="宋体" w:hAnsi="宋体" w:eastAsia="宋体"/>
          <w:color w:val="auto"/>
          <w:highlight w:val="none"/>
        </w:rPr>
        <w:t>日</w:t>
      </w:r>
    </w:p>
    <w:p w14:paraId="26592354">
      <w:pPr>
        <w:rPr>
          <w:color w:val="auto"/>
          <w:highlight w:val="none"/>
        </w:rPr>
      </w:pPr>
    </w:p>
    <w:p w14:paraId="25645E6A">
      <w:pPr>
        <w:spacing w:before="68" w:line="217" w:lineRule="auto"/>
        <w:ind w:left="17"/>
        <w:rPr>
          <w:rFonts w:ascii="宋体" w:hAnsi="宋体" w:eastAsia="宋体"/>
          <w:color w:val="auto"/>
          <w:spacing w:val="-1"/>
          <w:highlight w:val="none"/>
        </w:rPr>
      </w:pPr>
    </w:p>
    <w:p w14:paraId="4B806D66">
      <w:pPr>
        <w:spacing w:before="68" w:line="217" w:lineRule="auto"/>
        <w:ind w:left="17"/>
        <w:rPr>
          <w:rFonts w:ascii="宋体" w:hAnsi="宋体" w:eastAsia="宋体"/>
          <w:color w:val="auto"/>
          <w:spacing w:val="-1"/>
          <w:highlight w:val="none"/>
        </w:rPr>
      </w:pPr>
      <w:r>
        <w:rPr>
          <w:rFonts w:ascii="宋体" w:hAnsi="宋体" w:eastAsia="宋体"/>
          <w:color w:val="auto"/>
          <w:spacing w:val="-1"/>
          <w:highlight w:val="none"/>
        </w:rPr>
        <w:t>附：</w:t>
      </w:r>
      <w:r>
        <w:rPr>
          <w:rFonts w:hint="eastAsia"/>
          <w:color w:val="auto"/>
          <w:highlight w:val="none"/>
        </w:rPr>
        <w:t>委托代理人身份证正反面和社保证明扫描件</w:t>
      </w:r>
      <w:r>
        <w:rPr>
          <w:rFonts w:hint="eastAsia" w:eastAsia="宋体"/>
          <w:color w:val="auto"/>
          <w:highlight w:val="none"/>
        </w:rPr>
        <w:t>。</w:t>
      </w:r>
    </w:p>
    <w:p w14:paraId="4920C546">
      <w:pPr>
        <w:rPr>
          <w:color w:val="auto"/>
          <w:highlight w:val="none"/>
        </w:rPr>
        <w:sectPr>
          <w:footerReference r:id="rId24" w:type="default"/>
          <w:pgSz w:w="12240" w:h="15840"/>
          <w:pgMar w:top="1346" w:right="1800" w:bottom="1104" w:left="1807" w:header="0" w:footer="940" w:gutter="0"/>
          <w:cols w:space="720" w:num="1"/>
        </w:sectPr>
      </w:pPr>
    </w:p>
    <w:p w14:paraId="704EF6E2">
      <w:pPr>
        <w:pStyle w:val="25"/>
        <w:spacing w:before="120" w:after="120"/>
        <w:jc w:val="center"/>
        <w:outlineLvl w:val="9"/>
        <w:rPr>
          <w:rFonts w:ascii="黑体" w:hAnsi="黑体" w:eastAsia="黑体"/>
          <w:color w:val="auto"/>
          <w:spacing w:val="9"/>
          <w:sz w:val="31"/>
          <w:szCs w:val="31"/>
          <w:highlight w:val="none"/>
        </w:rPr>
      </w:pPr>
      <w:bookmarkStart w:id="446" w:name="_Toc11767"/>
      <w:bookmarkStart w:id="447" w:name="_Toc23897"/>
      <w:bookmarkStart w:id="448" w:name="_Toc27563"/>
      <w:bookmarkStart w:id="449" w:name="_Toc23163"/>
      <w:bookmarkStart w:id="450" w:name="_Toc29507"/>
      <w:r>
        <w:rPr>
          <w:rFonts w:ascii="黑体" w:hAnsi="黑体" w:eastAsia="黑体"/>
          <w:strike/>
          <w:color w:val="auto"/>
          <w:spacing w:val="9"/>
          <w:sz w:val="31"/>
          <w:szCs w:val="31"/>
          <w:highlight w:val="none"/>
        </w:rPr>
        <w:t>三、联合体协议</w:t>
      </w:r>
      <w:r>
        <w:rPr>
          <w:rFonts w:ascii="黑体" w:hAnsi="黑体" w:eastAsia="黑体"/>
          <w:strike/>
          <w:color w:val="auto"/>
          <w:spacing w:val="8"/>
          <w:sz w:val="31"/>
          <w:szCs w:val="31"/>
          <w:highlight w:val="none"/>
        </w:rPr>
        <w:t>书</w:t>
      </w:r>
      <w:bookmarkEnd w:id="446"/>
      <w:bookmarkEnd w:id="447"/>
      <w:bookmarkEnd w:id="448"/>
      <w:bookmarkEnd w:id="449"/>
      <w:bookmarkEnd w:id="450"/>
      <w:r>
        <w:rPr>
          <w:rFonts w:hint="eastAsia" w:ascii="黑体" w:hAnsi="黑体" w:eastAsia="黑体"/>
          <w:color w:val="auto"/>
          <w:spacing w:val="8"/>
          <w:sz w:val="31"/>
          <w:szCs w:val="31"/>
          <w:highlight w:val="none"/>
        </w:rPr>
        <w:t>（无）</w:t>
      </w:r>
    </w:p>
    <w:p w14:paraId="4BE6473C">
      <w:pPr>
        <w:spacing w:line="320" w:lineRule="auto"/>
        <w:rPr>
          <w:color w:val="auto"/>
          <w:highlight w:val="none"/>
        </w:rPr>
      </w:pPr>
    </w:p>
    <w:p w14:paraId="140C518D">
      <w:pPr>
        <w:tabs>
          <w:tab w:val="left" w:pos="2210"/>
        </w:tabs>
        <w:spacing w:line="360" w:lineRule="auto"/>
        <w:ind w:left="1" w:right="29" w:firstLine="410"/>
        <w:rPr>
          <w:rFonts w:ascii="宋体" w:hAnsi="宋体" w:eastAsia="宋体"/>
          <w:color w:val="auto"/>
          <w:highlight w:val="none"/>
          <w:u w:val="single"/>
        </w:rPr>
      </w:pPr>
      <w:r>
        <w:rPr>
          <w:rFonts w:hint="eastAsia" w:ascii="宋体" w:hAnsi="宋体" w:eastAsia="宋体"/>
          <w:color w:val="auto"/>
          <w:highlight w:val="none"/>
          <w:u w:val="single"/>
        </w:rPr>
        <w:tab/>
      </w:r>
      <w:r>
        <w:rPr>
          <w:rFonts w:hint="eastAsia" w:ascii="宋体" w:hAnsi="宋体" w:eastAsia="宋体"/>
          <w:color w:val="auto"/>
          <w:spacing w:val="-1"/>
          <w:highlight w:val="none"/>
        </w:rPr>
        <w:t>(所有成员</w:t>
      </w:r>
      <w:r>
        <w:rPr>
          <w:rFonts w:hint="eastAsia" w:ascii="宋体" w:hAnsi="宋体" w:eastAsia="宋体"/>
          <w:color w:val="auto"/>
          <w:highlight w:val="none"/>
        </w:rPr>
        <w:t>单位名称) 自愿组成</w:t>
      </w:r>
      <w:r>
        <w:rPr>
          <w:rFonts w:hint="eastAsia" w:ascii="宋体" w:hAnsi="宋体" w:eastAsia="宋体"/>
          <w:color w:val="auto"/>
          <w:highlight w:val="none"/>
          <w:u w:val="single"/>
        </w:rPr>
        <w:t xml:space="preserve">         </w:t>
      </w:r>
      <w:r>
        <w:rPr>
          <w:rFonts w:hint="eastAsia" w:ascii="宋体" w:hAnsi="宋体" w:eastAsia="宋体"/>
          <w:color w:val="auto"/>
          <w:highlight w:val="none"/>
        </w:rPr>
        <w:t>(联合体名称) 联合体，共同</w:t>
      </w:r>
      <w:r>
        <w:rPr>
          <w:rFonts w:hint="eastAsia" w:ascii="宋体" w:hAnsi="宋体" w:eastAsia="宋体"/>
          <w:color w:val="auto"/>
          <w:spacing w:val="6"/>
          <w:highlight w:val="none"/>
        </w:rPr>
        <w:t>参加</w:t>
      </w:r>
      <w:r>
        <w:rPr>
          <w:rFonts w:hint="eastAsia" w:ascii="宋体" w:hAnsi="宋体" w:eastAsia="宋体"/>
          <w:color w:val="auto"/>
          <w:spacing w:val="6"/>
          <w:highlight w:val="none"/>
          <w:u w:val="single"/>
        </w:rPr>
        <w:t xml:space="preserve">    </w:t>
      </w:r>
      <w:r>
        <w:rPr>
          <w:rFonts w:hint="eastAsia" w:ascii="宋体" w:hAnsi="宋体" w:eastAsia="宋体"/>
          <w:color w:val="auto"/>
          <w:spacing w:val="4"/>
          <w:highlight w:val="none"/>
          <w:u w:val="single"/>
        </w:rPr>
        <w:t xml:space="preserve"> </w:t>
      </w:r>
      <w:r>
        <w:rPr>
          <w:rFonts w:hint="eastAsia" w:ascii="宋体" w:hAnsi="宋体" w:eastAsia="宋体"/>
          <w:color w:val="auto"/>
          <w:spacing w:val="3"/>
          <w:highlight w:val="none"/>
          <w:u w:val="single"/>
        </w:rPr>
        <w:t xml:space="preserve">           </w:t>
      </w:r>
      <w:r>
        <w:rPr>
          <w:rFonts w:hint="eastAsia" w:ascii="宋体" w:hAnsi="宋体" w:eastAsia="宋体"/>
          <w:color w:val="auto"/>
          <w:spacing w:val="3"/>
          <w:highlight w:val="none"/>
        </w:rPr>
        <w:t xml:space="preserve"> (项目名称)招标项目投标。现就联合体投标事宜订立如下协议。</w:t>
      </w:r>
    </w:p>
    <w:p w14:paraId="54223922">
      <w:pPr>
        <w:spacing w:line="360" w:lineRule="auto"/>
        <w:ind w:left="436"/>
        <w:rPr>
          <w:rFonts w:ascii="宋体" w:hAnsi="宋体" w:eastAsia="宋体"/>
          <w:color w:val="auto"/>
          <w:spacing w:val="4"/>
          <w:highlight w:val="none"/>
        </w:rPr>
      </w:pPr>
      <w:r>
        <w:rPr>
          <w:rFonts w:hint="eastAsia" w:ascii="宋体" w:hAnsi="宋体" w:eastAsia="宋体"/>
          <w:color w:val="auto"/>
          <w:spacing w:val="4"/>
          <w:highlight w:val="none"/>
        </w:rPr>
        <w:t>1.</w:t>
      </w:r>
      <w:r>
        <w:rPr>
          <w:rFonts w:hint="eastAsia" w:ascii="宋体" w:hAnsi="宋体" w:eastAsia="宋体"/>
          <w:color w:val="auto"/>
          <w:spacing w:val="4"/>
          <w:highlight w:val="none"/>
          <w:u w:val="single"/>
        </w:rPr>
        <w:t xml:space="preserve">   </w:t>
      </w:r>
      <w:r>
        <w:rPr>
          <w:rFonts w:hint="eastAsia" w:ascii="宋体" w:hAnsi="宋体" w:eastAsia="宋体"/>
          <w:color w:val="auto"/>
          <w:spacing w:val="2"/>
          <w:highlight w:val="none"/>
          <w:u w:val="single"/>
        </w:rPr>
        <w:t xml:space="preserve">                                     </w:t>
      </w:r>
      <w:r>
        <w:rPr>
          <w:rFonts w:hint="eastAsia" w:ascii="宋体" w:hAnsi="宋体" w:eastAsia="宋体"/>
          <w:color w:val="auto"/>
          <w:spacing w:val="2"/>
          <w:highlight w:val="none"/>
        </w:rPr>
        <w:t>(某成员单位名称)为</w:t>
      </w:r>
      <w:r>
        <w:rPr>
          <w:rFonts w:hint="eastAsia" w:ascii="宋体" w:hAnsi="宋体" w:eastAsia="宋体"/>
          <w:color w:val="auto"/>
          <w:spacing w:val="2"/>
          <w:highlight w:val="none"/>
          <w:u w:val="single"/>
        </w:rPr>
        <w:t xml:space="preserve">         </w:t>
      </w:r>
      <w:r>
        <w:rPr>
          <w:rFonts w:hint="eastAsia" w:ascii="宋体" w:hAnsi="宋体" w:eastAsia="宋体"/>
          <w:color w:val="auto"/>
          <w:spacing w:val="2"/>
          <w:highlight w:val="none"/>
        </w:rPr>
        <w:t>(联合体名称)主办方。</w:t>
      </w:r>
    </w:p>
    <w:p w14:paraId="1A0025BA">
      <w:pPr>
        <w:spacing w:line="360" w:lineRule="auto"/>
        <w:ind w:firstLine="416"/>
        <w:rPr>
          <w:rFonts w:ascii="宋体" w:hAnsi="宋体" w:eastAsia="宋体"/>
          <w:color w:val="auto"/>
          <w:spacing w:val="-10"/>
          <w:highlight w:val="none"/>
        </w:rPr>
      </w:pPr>
      <w:r>
        <w:rPr>
          <w:rFonts w:hint="eastAsia" w:ascii="宋体" w:hAnsi="宋体" w:eastAsia="宋体"/>
          <w:color w:val="auto"/>
          <w:spacing w:val="-10"/>
          <w:highlight w:val="none"/>
        </w:rPr>
        <w:t>2</w:t>
      </w:r>
      <w:r>
        <w:rPr>
          <w:rFonts w:hint="eastAsia" w:ascii="宋体" w:hAnsi="宋体" w:eastAsia="宋体"/>
          <w:color w:val="auto"/>
          <w:spacing w:val="-6"/>
          <w:highlight w:val="none"/>
        </w:rPr>
        <w:t>.联合体各成员授权主办方代表联合体参加投标活动，签署文件，提交和接收相关的资料、</w:t>
      </w:r>
      <w:r>
        <w:rPr>
          <w:rFonts w:hint="eastAsia" w:ascii="宋体" w:hAnsi="宋体" w:eastAsia="宋体"/>
          <w:color w:val="auto"/>
          <w:highlight w:val="none"/>
        </w:rPr>
        <w:t xml:space="preserve"> </w:t>
      </w:r>
      <w:r>
        <w:rPr>
          <w:rFonts w:hint="eastAsia" w:ascii="宋体" w:hAnsi="宋体" w:eastAsia="宋体"/>
          <w:color w:val="auto"/>
          <w:spacing w:val="-8"/>
          <w:highlight w:val="none"/>
        </w:rPr>
        <w:t>信息及指示</w:t>
      </w:r>
      <w:r>
        <w:rPr>
          <w:rFonts w:hint="eastAsia" w:ascii="宋体" w:hAnsi="宋体" w:eastAsia="宋体"/>
          <w:color w:val="auto"/>
          <w:spacing w:val="-7"/>
          <w:highlight w:val="none"/>
        </w:rPr>
        <w:t>，</w:t>
      </w:r>
      <w:r>
        <w:rPr>
          <w:rFonts w:hint="eastAsia" w:ascii="宋体" w:hAnsi="宋体" w:eastAsia="宋体"/>
          <w:color w:val="auto"/>
          <w:spacing w:val="-4"/>
          <w:highlight w:val="none"/>
        </w:rPr>
        <w:t>进行合同谈判活动，负责合同实施阶段的组织和协调工作，以及处理与本招标项</w:t>
      </w:r>
      <w:r>
        <w:rPr>
          <w:rFonts w:hint="eastAsia" w:ascii="宋体" w:hAnsi="宋体" w:eastAsia="宋体"/>
          <w:color w:val="auto"/>
          <w:highlight w:val="none"/>
        </w:rPr>
        <w:t xml:space="preserve"> </w:t>
      </w:r>
      <w:r>
        <w:rPr>
          <w:rFonts w:hint="eastAsia" w:ascii="宋体" w:hAnsi="宋体" w:eastAsia="宋体"/>
          <w:color w:val="auto"/>
          <w:spacing w:val="-6"/>
          <w:highlight w:val="none"/>
        </w:rPr>
        <w:t>目有</w:t>
      </w:r>
      <w:r>
        <w:rPr>
          <w:rFonts w:hint="eastAsia" w:ascii="宋体" w:hAnsi="宋体" w:eastAsia="宋体"/>
          <w:color w:val="auto"/>
          <w:spacing w:val="-4"/>
          <w:highlight w:val="none"/>
        </w:rPr>
        <w:t>关</w:t>
      </w:r>
      <w:r>
        <w:rPr>
          <w:rFonts w:hint="eastAsia" w:ascii="宋体" w:hAnsi="宋体" w:eastAsia="宋体"/>
          <w:color w:val="auto"/>
          <w:spacing w:val="-3"/>
          <w:highlight w:val="none"/>
        </w:rPr>
        <w:t>的一切事宜。</w:t>
      </w:r>
    </w:p>
    <w:p w14:paraId="2C51A7ED">
      <w:pPr>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3.联合体主办方在本项目中签署的一切文件和处理的一切事宜，联合体各成员均予以承 认。联合体各成员将严格按照招标文件、投标文件和合同的要求全面履行义务，并向招标人承担连带责任。</w:t>
      </w:r>
    </w:p>
    <w:p w14:paraId="1C4D110E">
      <w:pPr>
        <w:spacing w:line="360" w:lineRule="auto"/>
        <w:ind w:right="70" w:firstLine="420"/>
        <w:rPr>
          <w:rFonts w:ascii="宋体" w:hAnsi="宋体" w:eastAsia="宋体"/>
          <w:color w:val="auto"/>
          <w:spacing w:val="8"/>
          <w:highlight w:val="none"/>
        </w:rPr>
      </w:pPr>
      <w:r>
        <w:rPr>
          <w:rFonts w:hint="eastAsia" w:ascii="宋体" w:hAnsi="宋体" w:eastAsia="宋体"/>
          <w:color w:val="auto"/>
          <w:spacing w:val="8"/>
          <w:highlight w:val="none"/>
        </w:rPr>
        <w:t>4.</w:t>
      </w:r>
      <w:r>
        <w:rPr>
          <w:rFonts w:hint="eastAsia" w:ascii="宋体" w:hAnsi="宋体" w:eastAsia="宋体"/>
          <w:color w:val="auto"/>
          <w:spacing w:val="-4"/>
          <w:highlight w:val="none"/>
        </w:rPr>
        <w:t>联合体各成员单位内部的</w:t>
      </w:r>
      <w:r>
        <w:rPr>
          <w:rFonts w:hint="eastAsia" w:ascii="宋体" w:hAnsi="宋体" w:eastAsia="宋体"/>
          <w:color w:val="auto"/>
          <w:spacing w:val="-3"/>
          <w:highlight w:val="none"/>
        </w:rPr>
        <w:t>职</w:t>
      </w:r>
      <w:r>
        <w:rPr>
          <w:rFonts w:hint="eastAsia" w:ascii="宋体" w:hAnsi="宋体" w:eastAsia="宋体"/>
          <w:color w:val="auto"/>
          <w:spacing w:val="-2"/>
          <w:highlight w:val="none"/>
        </w:rPr>
        <w:t>责分工如下：</w:t>
      </w:r>
      <w:r>
        <w:rPr>
          <w:rFonts w:hint="eastAsia" w:ascii="宋体" w:hAnsi="宋体" w:eastAsia="宋体"/>
          <w:color w:val="auto"/>
          <w:spacing w:val="-2"/>
          <w:highlight w:val="none"/>
          <w:u w:val="single"/>
        </w:rPr>
        <w:t xml:space="preserve">                </w:t>
      </w:r>
      <w:r>
        <w:rPr>
          <w:rFonts w:hint="eastAsia" w:ascii="宋体" w:hAnsi="宋体" w:eastAsia="宋体"/>
          <w:color w:val="auto"/>
          <w:spacing w:val="8"/>
          <w:highlight w:val="none"/>
        </w:rPr>
        <w:t>。</w:t>
      </w:r>
    </w:p>
    <w:p w14:paraId="3947B66C">
      <w:pPr>
        <w:spacing w:line="360" w:lineRule="auto"/>
        <w:ind w:right="70" w:firstLine="420"/>
        <w:rPr>
          <w:rFonts w:ascii="宋体" w:hAnsi="宋体" w:eastAsia="宋体"/>
          <w:color w:val="auto"/>
          <w:spacing w:val="-6"/>
          <w:highlight w:val="none"/>
        </w:rPr>
      </w:pPr>
      <w:r>
        <w:rPr>
          <w:rFonts w:hint="eastAsia" w:ascii="宋体" w:hAnsi="宋体" w:eastAsia="宋体"/>
          <w:color w:val="auto"/>
          <w:spacing w:val="-6"/>
          <w:highlight w:val="none"/>
        </w:rPr>
        <w:t>5.</w:t>
      </w:r>
      <w:r>
        <w:rPr>
          <w:rFonts w:hint="eastAsia" w:ascii="宋体" w:hAnsi="宋体" w:eastAsia="宋体"/>
          <w:color w:val="auto"/>
          <w:spacing w:val="-3"/>
          <w:highlight w:val="none"/>
        </w:rPr>
        <w:t>本协议书自所有成员单位法定代表人或其委托代理人签字或盖单位章之日起生效， 合同</w:t>
      </w:r>
      <w:r>
        <w:rPr>
          <w:rFonts w:hint="eastAsia" w:ascii="宋体" w:hAnsi="宋体" w:eastAsia="宋体"/>
          <w:color w:val="auto"/>
          <w:spacing w:val="-6"/>
          <w:highlight w:val="none"/>
        </w:rPr>
        <w:t>履行</w:t>
      </w:r>
      <w:r>
        <w:rPr>
          <w:rFonts w:hint="eastAsia" w:ascii="宋体" w:hAnsi="宋体" w:eastAsia="宋体"/>
          <w:color w:val="auto"/>
          <w:spacing w:val="-5"/>
          <w:highlight w:val="none"/>
        </w:rPr>
        <w:t>完</w:t>
      </w:r>
      <w:r>
        <w:rPr>
          <w:rFonts w:hint="eastAsia" w:ascii="宋体" w:hAnsi="宋体" w:eastAsia="宋体"/>
          <w:color w:val="auto"/>
          <w:spacing w:val="-3"/>
          <w:highlight w:val="none"/>
        </w:rPr>
        <w:t>毕后自动失效。</w:t>
      </w:r>
    </w:p>
    <w:p w14:paraId="2826EB2E">
      <w:pPr>
        <w:spacing w:line="360" w:lineRule="auto"/>
        <w:ind w:right="70" w:firstLine="420"/>
        <w:rPr>
          <w:rFonts w:ascii="宋体" w:hAnsi="宋体" w:eastAsia="宋体"/>
          <w:color w:val="auto"/>
          <w:spacing w:val="-6"/>
          <w:highlight w:val="none"/>
        </w:rPr>
      </w:pPr>
      <w:bookmarkStart w:id="451" w:name="_Toc16142"/>
      <w:bookmarkStart w:id="452" w:name="_Toc10851"/>
      <w:bookmarkStart w:id="453" w:name="_Toc21878"/>
      <w:bookmarkStart w:id="454" w:name="_Toc29005"/>
      <w:bookmarkStart w:id="455" w:name="_Toc9934"/>
      <w:bookmarkStart w:id="456" w:name="_Toc14217"/>
      <w:r>
        <w:rPr>
          <w:rFonts w:hint="eastAsia" w:ascii="宋体" w:hAnsi="宋体" w:eastAsia="宋体"/>
          <w:color w:val="auto"/>
          <w:spacing w:val="-6"/>
          <w:highlight w:val="none"/>
        </w:rPr>
        <w:t>6.本协议书一式</w:t>
      </w:r>
      <w:r>
        <w:rPr>
          <w:rFonts w:hint="eastAsia" w:ascii="宋体" w:hAnsi="宋体" w:eastAsia="宋体"/>
          <w:color w:val="auto"/>
          <w:spacing w:val="-6"/>
          <w:highlight w:val="none"/>
          <w:u w:val="single"/>
        </w:rPr>
        <w:t xml:space="preserve"> </w:t>
      </w:r>
      <w:r>
        <w:rPr>
          <w:rFonts w:ascii="宋体" w:hAnsi="宋体" w:eastAsia="宋体"/>
          <w:color w:val="auto"/>
          <w:spacing w:val="-6"/>
          <w:highlight w:val="none"/>
          <w:u w:val="single"/>
        </w:rPr>
        <w:t xml:space="preserve"> </w:t>
      </w:r>
      <w:r>
        <w:rPr>
          <w:rFonts w:hint="eastAsia" w:ascii="宋体" w:hAnsi="宋体" w:eastAsia="宋体"/>
          <w:color w:val="auto"/>
          <w:spacing w:val="-6"/>
          <w:highlight w:val="none"/>
          <w:u w:val="single"/>
        </w:rPr>
        <w:t xml:space="preserve">叁 </w:t>
      </w:r>
      <w:r>
        <w:rPr>
          <w:rFonts w:hint="eastAsia" w:ascii="宋体" w:hAnsi="宋体" w:eastAsia="宋体"/>
          <w:color w:val="auto"/>
          <w:spacing w:val="-6"/>
          <w:highlight w:val="none"/>
        </w:rPr>
        <w:t>份，联合体成员及招标人各执一份。</w:t>
      </w:r>
      <w:bookmarkEnd w:id="451"/>
      <w:bookmarkEnd w:id="452"/>
      <w:bookmarkEnd w:id="453"/>
      <w:bookmarkEnd w:id="454"/>
      <w:bookmarkEnd w:id="455"/>
      <w:bookmarkEnd w:id="456"/>
    </w:p>
    <w:p w14:paraId="715A0B2E">
      <w:pPr>
        <w:spacing w:line="360" w:lineRule="auto"/>
        <w:rPr>
          <w:rFonts w:ascii="宋体" w:hAnsi="宋体" w:eastAsia="宋体"/>
          <w:color w:val="auto"/>
          <w:highlight w:val="none"/>
        </w:rPr>
      </w:pPr>
    </w:p>
    <w:p w14:paraId="14DBC1CC">
      <w:pPr>
        <w:spacing w:line="360" w:lineRule="auto"/>
        <w:ind w:right="327"/>
        <w:jc w:val="right"/>
        <w:rPr>
          <w:rFonts w:ascii="宋体" w:hAnsi="宋体" w:eastAsia="宋体"/>
          <w:color w:val="auto"/>
          <w:highlight w:val="none"/>
        </w:rPr>
      </w:pPr>
      <w:r>
        <w:rPr>
          <w:rFonts w:hint="eastAsia" w:ascii="宋体" w:hAnsi="宋体" w:eastAsia="宋体"/>
          <w:color w:val="auto"/>
          <w:spacing w:val="-4"/>
          <w:highlight w:val="none"/>
        </w:rPr>
        <w:t>联合体主办方名称：</w:t>
      </w:r>
      <w:r>
        <w:rPr>
          <w:rFonts w:hint="eastAsia" w:ascii="宋体" w:hAnsi="宋体" w:eastAsia="宋体"/>
          <w:color w:val="auto"/>
          <w:spacing w:val="-4"/>
          <w:highlight w:val="none"/>
          <w:u w:val="single"/>
        </w:rPr>
        <w:t xml:space="preserve">        </w:t>
      </w:r>
      <w:r>
        <w:rPr>
          <w:rFonts w:hint="eastAsia" w:ascii="宋体" w:hAnsi="宋体" w:eastAsia="宋体"/>
          <w:color w:val="auto"/>
          <w:spacing w:val="-2"/>
          <w:highlight w:val="none"/>
          <w:u w:val="single"/>
        </w:rPr>
        <w:t xml:space="preserve">                     </w:t>
      </w:r>
      <w:r>
        <w:rPr>
          <w:rFonts w:hint="eastAsia" w:ascii="宋体" w:hAnsi="宋体" w:eastAsia="宋体"/>
          <w:color w:val="auto"/>
          <w:spacing w:val="-2"/>
          <w:highlight w:val="none"/>
        </w:rPr>
        <w:t>(盖单位章)</w:t>
      </w:r>
      <w:r>
        <w:rPr>
          <w:rFonts w:hint="eastAsia" w:ascii="宋体" w:hAnsi="宋体" w:eastAsia="宋体"/>
          <w:color w:val="auto"/>
          <w:highlight w:val="none"/>
        </w:rPr>
        <w:t xml:space="preserve"> </w:t>
      </w:r>
    </w:p>
    <w:p w14:paraId="576EE48E">
      <w:pPr>
        <w:spacing w:line="360" w:lineRule="auto"/>
        <w:ind w:right="327"/>
        <w:jc w:val="right"/>
        <w:rPr>
          <w:rFonts w:ascii="宋体" w:hAnsi="宋体" w:eastAsia="宋体"/>
          <w:color w:val="auto"/>
          <w:spacing w:val="-4"/>
          <w:highlight w:val="none"/>
        </w:rPr>
      </w:pPr>
      <w:r>
        <w:rPr>
          <w:rFonts w:hint="eastAsia" w:ascii="宋体" w:hAnsi="宋体" w:eastAsia="宋体"/>
          <w:color w:val="auto"/>
          <w:spacing w:val="-4"/>
          <w:highlight w:val="none"/>
        </w:rPr>
        <w:t>法定代表人：</w:t>
      </w:r>
      <w:r>
        <w:rPr>
          <w:rFonts w:hint="eastAsia" w:ascii="宋体" w:hAnsi="宋体" w:eastAsia="宋体"/>
          <w:color w:val="auto"/>
          <w:spacing w:val="-4"/>
          <w:highlight w:val="none"/>
          <w:u w:val="single"/>
        </w:rPr>
        <w:t xml:space="preserve">                 </w:t>
      </w:r>
      <w:r>
        <w:rPr>
          <w:rFonts w:hint="eastAsia" w:ascii="宋体" w:hAnsi="宋体" w:eastAsia="宋体"/>
          <w:color w:val="auto"/>
          <w:spacing w:val="-4"/>
          <w:highlight w:val="none"/>
        </w:rPr>
        <w:t>(签字或盖章</w:t>
      </w:r>
      <w:r>
        <w:rPr>
          <w:rFonts w:hint="eastAsia" w:ascii="宋体" w:hAnsi="宋体" w:eastAsia="宋体"/>
          <w:color w:val="auto"/>
          <w:spacing w:val="-1"/>
          <w:highlight w:val="none"/>
        </w:rPr>
        <w:t>)</w:t>
      </w:r>
    </w:p>
    <w:p w14:paraId="7E180B83">
      <w:pPr>
        <w:spacing w:line="360" w:lineRule="auto"/>
        <w:jc w:val="right"/>
        <w:rPr>
          <w:rFonts w:ascii="宋体" w:hAnsi="宋体" w:eastAsia="宋体"/>
          <w:color w:val="auto"/>
          <w:highlight w:val="none"/>
        </w:rPr>
      </w:pPr>
    </w:p>
    <w:p w14:paraId="5DB271C6">
      <w:pPr>
        <w:spacing w:line="360" w:lineRule="auto"/>
        <w:ind w:right="327"/>
        <w:jc w:val="right"/>
        <w:rPr>
          <w:rFonts w:ascii="宋体" w:hAnsi="宋体" w:eastAsia="宋体"/>
          <w:color w:val="auto"/>
          <w:highlight w:val="none"/>
        </w:rPr>
      </w:pPr>
      <w:r>
        <w:rPr>
          <w:rFonts w:hint="eastAsia" w:ascii="宋体" w:hAnsi="宋体" w:eastAsia="宋体"/>
          <w:color w:val="auto"/>
          <w:spacing w:val="-4"/>
          <w:highlight w:val="none"/>
        </w:rPr>
        <w:t>联合体成员名称：</w:t>
      </w:r>
      <w:r>
        <w:rPr>
          <w:rFonts w:hint="eastAsia" w:ascii="宋体" w:hAnsi="宋体" w:eastAsia="宋体"/>
          <w:color w:val="auto"/>
          <w:spacing w:val="-4"/>
          <w:highlight w:val="none"/>
          <w:u w:val="single"/>
        </w:rPr>
        <w:t xml:space="preserve">        </w:t>
      </w:r>
      <w:r>
        <w:rPr>
          <w:rFonts w:hint="eastAsia" w:ascii="宋体" w:hAnsi="宋体" w:eastAsia="宋体"/>
          <w:color w:val="auto"/>
          <w:spacing w:val="-2"/>
          <w:highlight w:val="none"/>
          <w:u w:val="single"/>
        </w:rPr>
        <w:t xml:space="preserve">                       </w:t>
      </w:r>
      <w:r>
        <w:rPr>
          <w:rFonts w:hint="eastAsia" w:ascii="宋体" w:hAnsi="宋体" w:eastAsia="宋体"/>
          <w:color w:val="auto"/>
          <w:spacing w:val="-2"/>
          <w:highlight w:val="none"/>
        </w:rPr>
        <w:t>(盖单位章)</w:t>
      </w:r>
      <w:r>
        <w:rPr>
          <w:rFonts w:hint="eastAsia" w:ascii="宋体" w:hAnsi="宋体" w:eastAsia="宋体"/>
          <w:color w:val="auto"/>
          <w:highlight w:val="none"/>
        </w:rPr>
        <w:t xml:space="preserve"> </w:t>
      </w:r>
    </w:p>
    <w:p w14:paraId="7AB7EF32">
      <w:pPr>
        <w:spacing w:line="360" w:lineRule="auto"/>
        <w:ind w:right="327"/>
        <w:jc w:val="right"/>
        <w:rPr>
          <w:rFonts w:ascii="宋体" w:hAnsi="宋体" w:eastAsia="宋体"/>
          <w:color w:val="auto"/>
          <w:spacing w:val="-4"/>
          <w:highlight w:val="none"/>
        </w:rPr>
      </w:pPr>
      <w:r>
        <w:rPr>
          <w:rFonts w:hint="eastAsia" w:ascii="宋体" w:hAnsi="宋体" w:eastAsia="宋体"/>
          <w:color w:val="auto"/>
          <w:spacing w:val="-8"/>
          <w:highlight w:val="none"/>
        </w:rPr>
        <w:t>法定</w:t>
      </w:r>
      <w:r>
        <w:rPr>
          <w:rFonts w:hint="eastAsia" w:ascii="宋体" w:hAnsi="宋体" w:eastAsia="宋体"/>
          <w:color w:val="auto"/>
          <w:spacing w:val="-7"/>
          <w:highlight w:val="none"/>
        </w:rPr>
        <w:t>代</w:t>
      </w:r>
      <w:r>
        <w:rPr>
          <w:rFonts w:hint="eastAsia" w:ascii="宋体" w:hAnsi="宋体" w:eastAsia="宋体"/>
          <w:color w:val="auto"/>
          <w:spacing w:val="-4"/>
          <w:highlight w:val="none"/>
        </w:rPr>
        <w:t>表人：</w:t>
      </w:r>
      <w:r>
        <w:rPr>
          <w:rFonts w:hint="eastAsia" w:ascii="宋体" w:hAnsi="宋体" w:eastAsia="宋体"/>
          <w:color w:val="auto"/>
          <w:spacing w:val="-4"/>
          <w:highlight w:val="none"/>
          <w:u w:val="single"/>
        </w:rPr>
        <w:t xml:space="preserve">           </w:t>
      </w:r>
      <w:r>
        <w:rPr>
          <w:rFonts w:hint="eastAsia" w:ascii="宋体" w:hAnsi="宋体" w:eastAsia="宋体"/>
          <w:color w:val="auto"/>
          <w:spacing w:val="-4"/>
          <w:highlight w:val="none"/>
        </w:rPr>
        <w:t>(签字或盖章)</w:t>
      </w:r>
    </w:p>
    <w:p w14:paraId="70AFEE0B">
      <w:pPr>
        <w:spacing w:line="360" w:lineRule="auto"/>
        <w:rPr>
          <w:rFonts w:ascii="宋体" w:hAnsi="宋体" w:eastAsia="宋体"/>
          <w:color w:val="auto"/>
          <w:highlight w:val="none"/>
        </w:rPr>
      </w:pPr>
    </w:p>
    <w:p w14:paraId="7D9EAB59">
      <w:pPr>
        <w:spacing w:line="360" w:lineRule="auto"/>
        <w:rPr>
          <w:rFonts w:ascii="宋体" w:hAnsi="宋体" w:eastAsia="宋体"/>
          <w:color w:val="auto"/>
          <w:highlight w:val="none"/>
        </w:rPr>
      </w:pPr>
    </w:p>
    <w:p w14:paraId="0D1F6F90">
      <w:pPr>
        <w:tabs>
          <w:tab w:val="left" w:pos="4407"/>
        </w:tabs>
        <w:spacing w:line="360" w:lineRule="auto"/>
        <w:ind w:left="3663"/>
        <w:rPr>
          <w:rFonts w:ascii="宋体" w:hAnsi="宋体" w:eastAsia="宋体"/>
          <w:color w:val="auto"/>
          <w:highlight w:val="none"/>
          <w:u w:val="single"/>
        </w:rPr>
      </w:pPr>
      <w:r>
        <w:rPr>
          <w:rFonts w:hint="eastAsia" w:ascii="宋体" w:hAnsi="宋体" w:eastAsia="宋体"/>
          <w:color w:val="auto"/>
          <w:highlight w:val="none"/>
          <w:u w:val="single"/>
        </w:rPr>
        <w:tab/>
      </w:r>
      <w:r>
        <w:rPr>
          <w:rFonts w:hint="eastAsia" w:ascii="宋体" w:hAnsi="宋体" w:eastAsia="宋体"/>
          <w:color w:val="auto"/>
          <w:spacing w:val="3"/>
          <w:highlight w:val="none"/>
        </w:rPr>
        <w:t>年</w:t>
      </w:r>
      <w:r>
        <w:rPr>
          <w:rFonts w:hint="eastAsia" w:ascii="宋体" w:hAnsi="宋体" w:eastAsia="宋体"/>
          <w:color w:val="auto"/>
          <w:spacing w:val="2"/>
          <w:highlight w:val="none"/>
          <w:u w:val="single"/>
        </w:rPr>
        <w:t xml:space="preserve">       </w:t>
      </w:r>
      <w:r>
        <w:rPr>
          <w:rFonts w:hint="eastAsia" w:ascii="宋体" w:hAnsi="宋体" w:eastAsia="宋体"/>
          <w:color w:val="auto"/>
          <w:spacing w:val="2"/>
          <w:highlight w:val="none"/>
        </w:rPr>
        <w:t>月</w:t>
      </w:r>
      <w:r>
        <w:rPr>
          <w:rFonts w:hint="eastAsia" w:ascii="宋体" w:hAnsi="宋体" w:eastAsia="宋体"/>
          <w:color w:val="auto"/>
          <w:spacing w:val="2"/>
          <w:highlight w:val="none"/>
          <w:u w:val="single"/>
        </w:rPr>
        <w:t xml:space="preserve">       </w:t>
      </w:r>
      <w:r>
        <w:rPr>
          <w:rFonts w:hint="eastAsia" w:ascii="宋体" w:hAnsi="宋体" w:eastAsia="宋体"/>
          <w:color w:val="auto"/>
          <w:spacing w:val="2"/>
          <w:highlight w:val="none"/>
        </w:rPr>
        <w:t>日</w:t>
      </w:r>
    </w:p>
    <w:p w14:paraId="5D01F206">
      <w:pPr>
        <w:spacing w:line="360" w:lineRule="auto"/>
        <w:rPr>
          <w:rFonts w:ascii="宋体" w:hAnsi="宋体" w:eastAsia="宋体"/>
          <w:color w:val="auto"/>
          <w:highlight w:val="none"/>
        </w:rPr>
        <w:sectPr>
          <w:footerReference r:id="rId25" w:type="default"/>
          <w:pgSz w:w="12240" w:h="15840"/>
          <w:pgMar w:top="1346" w:right="1836" w:bottom="1104" w:left="1836" w:header="0" w:footer="940" w:gutter="0"/>
          <w:cols w:space="720" w:num="1"/>
        </w:sectPr>
      </w:pPr>
    </w:p>
    <w:p w14:paraId="23E53D0C">
      <w:pPr>
        <w:spacing w:line="245" w:lineRule="auto"/>
        <w:rPr>
          <w:color w:val="auto"/>
          <w:highlight w:val="none"/>
        </w:rPr>
      </w:pPr>
    </w:p>
    <w:p w14:paraId="0672D4DA">
      <w:pPr>
        <w:pStyle w:val="25"/>
        <w:spacing w:before="120" w:after="120"/>
        <w:jc w:val="center"/>
        <w:outlineLvl w:val="9"/>
        <w:rPr>
          <w:rFonts w:ascii="黑体" w:hAnsi="黑体" w:eastAsia="黑体"/>
          <w:strike/>
          <w:color w:val="auto"/>
          <w:spacing w:val="11"/>
          <w:sz w:val="31"/>
          <w:szCs w:val="31"/>
          <w:highlight w:val="none"/>
        </w:rPr>
      </w:pPr>
      <w:bookmarkStart w:id="457" w:name="_Toc8141"/>
      <w:bookmarkStart w:id="458" w:name="_Toc24451"/>
      <w:bookmarkStart w:id="459" w:name="_Toc18191"/>
      <w:bookmarkStart w:id="460" w:name="_Toc14508"/>
      <w:bookmarkStart w:id="461" w:name="_Toc28678"/>
      <w:r>
        <w:rPr>
          <w:rFonts w:ascii="黑体" w:hAnsi="黑体" w:eastAsia="黑体"/>
          <w:strike/>
          <w:color w:val="auto"/>
          <w:spacing w:val="11"/>
          <w:sz w:val="31"/>
          <w:szCs w:val="31"/>
          <w:highlight w:val="none"/>
        </w:rPr>
        <w:t>四</w:t>
      </w:r>
      <w:r>
        <w:rPr>
          <w:rFonts w:ascii="黑体" w:hAnsi="黑体" w:eastAsia="黑体"/>
          <w:strike/>
          <w:color w:val="auto"/>
          <w:spacing w:val="6"/>
          <w:sz w:val="31"/>
          <w:szCs w:val="31"/>
          <w:highlight w:val="none"/>
        </w:rPr>
        <w:t>、投标保证金</w:t>
      </w:r>
      <w:bookmarkEnd w:id="457"/>
      <w:bookmarkEnd w:id="458"/>
      <w:bookmarkEnd w:id="459"/>
      <w:bookmarkEnd w:id="460"/>
      <w:bookmarkEnd w:id="461"/>
    </w:p>
    <w:p w14:paraId="63A7260F">
      <w:pPr>
        <w:spacing w:line="319" w:lineRule="auto"/>
        <w:rPr>
          <w:color w:val="auto"/>
          <w:highlight w:val="none"/>
        </w:rPr>
      </w:pPr>
    </w:p>
    <w:p w14:paraId="5C64F2F8">
      <w:pPr>
        <w:spacing w:line="320" w:lineRule="auto"/>
        <w:rPr>
          <w:color w:val="auto"/>
          <w:highlight w:val="none"/>
        </w:rPr>
      </w:pPr>
    </w:p>
    <w:p w14:paraId="4CDD472B">
      <w:pPr>
        <w:spacing w:line="360" w:lineRule="auto"/>
        <w:ind w:left="416" w:leftChars="198" w:firstLine="3"/>
        <w:rPr>
          <w:rFonts w:ascii="宋体" w:hAnsi="宋体"/>
          <w:color w:val="auto"/>
          <w:highlight w:val="none"/>
          <w:u w:val="single"/>
          <w:lang w:bidi="ar"/>
        </w:rPr>
      </w:pPr>
    </w:p>
    <w:p w14:paraId="70BC862F">
      <w:pPr>
        <w:spacing w:line="360" w:lineRule="auto"/>
        <w:rPr>
          <w:rFonts w:ascii="宋体" w:hAnsi="宋体"/>
          <w:color w:val="auto"/>
          <w:highlight w:val="none"/>
          <w:u w:val="single"/>
          <w:lang w:bidi="ar"/>
        </w:rPr>
        <w:sectPr>
          <w:footerReference r:id="rId26" w:type="default"/>
          <w:pgSz w:w="12240" w:h="15840"/>
          <w:pgMar w:top="1346" w:right="1797" w:bottom="1104" w:left="1800" w:header="0" w:footer="940" w:gutter="0"/>
          <w:cols w:space="720" w:num="1"/>
        </w:sectPr>
      </w:pPr>
    </w:p>
    <w:p w14:paraId="45794F29">
      <w:pPr>
        <w:spacing w:line="245" w:lineRule="auto"/>
        <w:rPr>
          <w:color w:val="auto"/>
          <w:highlight w:val="none"/>
        </w:rPr>
      </w:pPr>
    </w:p>
    <w:p w14:paraId="77F6AC65">
      <w:pPr>
        <w:pStyle w:val="25"/>
        <w:spacing w:before="120" w:after="120"/>
        <w:jc w:val="center"/>
        <w:outlineLvl w:val="9"/>
        <w:rPr>
          <w:rFonts w:ascii="黑体" w:hAnsi="黑体" w:eastAsia="黑体"/>
          <w:color w:val="auto"/>
          <w:spacing w:val="13"/>
          <w:sz w:val="31"/>
          <w:szCs w:val="31"/>
          <w:highlight w:val="none"/>
        </w:rPr>
      </w:pPr>
      <w:bookmarkStart w:id="462" w:name="_Toc7200"/>
      <w:bookmarkStart w:id="463" w:name="_Toc18526"/>
      <w:bookmarkStart w:id="464" w:name="_Toc13037"/>
      <w:bookmarkStart w:id="465" w:name="_Toc30528"/>
      <w:bookmarkStart w:id="466" w:name="_Toc10176"/>
      <w:r>
        <w:rPr>
          <w:rFonts w:ascii="黑体" w:hAnsi="黑体" w:eastAsia="黑体"/>
          <w:color w:val="auto"/>
          <w:spacing w:val="13"/>
          <w:sz w:val="31"/>
          <w:szCs w:val="31"/>
          <w:highlight w:val="none"/>
        </w:rPr>
        <w:t>五</w:t>
      </w:r>
      <w:r>
        <w:rPr>
          <w:rFonts w:ascii="黑体" w:hAnsi="黑体" w:eastAsia="黑体"/>
          <w:color w:val="auto"/>
          <w:spacing w:val="8"/>
          <w:sz w:val="31"/>
          <w:szCs w:val="31"/>
          <w:highlight w:val="none"/>
        </w:rPr>
        <w:t>、</w:t>
      </w:r>
      <w:r>
        <w:rPr>
          <w:rFonts w:hint="eastAsia" w:ascii="黑体" w:hAnsi="黑体" w:eastAsia="黑体"/>
          <w:color w:val="auto"/>
          <w:spacing w:val="8"/>
          <w:sz w:val="31"/>
          <w:szCs w:val="31"/>
          <w:highlight w:val="none"/>
        </w:rPr>
        <w:t>设计</w:t>
      </w:r>
      <w:r>
        <w:rPr>
          <w:rFonts w:ascii="黑体" w:hAnsi="黑体" w:eastAsia="黑体"/>
          <w:color w:val="auto"/>
          <w:spacing w:val="8"/>
          <w:sz w:val="31"/>
          <w:szCs w:val="31"/>
          <w:highlight w:val="none"/>
        </w:rPr>
        <w:t>费</w:t>
      </w:r>
      <w:r>
        <w:rPr>
          <w:rFonts w:hint="eastAsia" w:ascii="黑体" w:hAnsi="黑体" w:eastAsia="黑体"/>
          <w:color w:val="auto"/>
          <w:spacing w:val="8"/>
          <w:sz w:val="31"/>
          <w:szCs w:val="31"/>
          <w:highlight w:val="none"/>
        </w:rPr>
        <w:t>报价表</w:t>
      </w:r>
      <w:bookmarkEnd w:id="462"/>
      <w:bookmarkEnd w:id="463"/>
      <w:bookmarkEnd w:id="464"/>
      <w:bookmarkEnd w:id="465"/>
      <w:bookmarkEnd w:id="466"/>
    </w:p>
    <w:p w14:paraId="0054677C">
      <w:pPr>
        <w:spacing w:line="320" w:lineRule="auto"/>
        <w:rPr>
          <w:color w:val="auto"/>
          <w:highlight w:val="none"/>
        </w:rPr>
      </w:pPr>
    </w:p>
    <w:p w14:paraId="79F33ED2">
      <w:pPr>
        <w:spacing w:line="320" w:lineRule="auto"/>
        <w:rPr>
          <w:color w:val="auto"/>
          <w:highlight w:val="none"/>
        </w:rPr>
      </w:pPr>
    </w:p>
    <w:p w14:paraId="1E0B4EBD">
      <w:pPr>
        <w:spacing w:line="360" w:lineRule="auto"/>
        <w:jc w:val="center"/>
        <w:rPr>
          <w:rFonts w:ascii="宋体" w:hAnsi="宋体"/>
          <w:b/>
          <w:color w:val="auto"/>
          <w:sz w:val="30"/>
          <w:szCs w:val="30"/>
          <w:highlight w:val="none"/>
        </w:rPr>
      </w:pPr>
      <w:r>
        <w:rPr>
          <w:rFonts w:hint="eastAsia" w:ascii="宋体" w:hAnsi="宋体" w:eastAsia="宋体"/>
          <w:b/>
          <w:color w:val="auto"/>
          <w:sz w:val="30"/>
          <w:szCs w:val="30"/>
          <w:highlight w:val="none"/>
        </w:rPr>
        <w:t>设计</w:t>
      </w:r>
      <w:r>
        <w:rPr>
          <w:rFonts w:hint="eastAsia" w:ascii="宋体" w:hAnsi="宋体"/>
          <w:b/>
          <w:color w:val="auto"/>
          <w:sz w:val="30"/>
          <w:szCs w:val="30"/>
          <w:highlight w:val="none"/>
        </w:rPr>
        <w:t>费报价表</w:t>
      </w:r>
    </w:p>
    <w:p w14:paraId="5C2C174E">
      <w:pPr>
        <w:spacing w:after="120" w:line="540" w:lineRule="atLeast"/>
        <w:rPr>
          <w:rFonts w:ascii="宋体" w:hAnsi="宋体"/>
          <w:color w:val="auto"/>
          <w:highlight w:val="none"/>
        </w:rPr>
      </w:pPr>
      <w:r>
        <w:rPr>
          <w:rFonts w:hint="eastAsia" w:ascii="宋体" w:hAnsi="宋体"/>
          <w:color w:val="auto"/>
          <w:highlight w:val="none"/>
        </w:rPr>
        <w:t>项目名称：</w:t>
      </w:r>
      <w:r>
        <w:rPr>
          <w:rFonts w:hint="eastAsia" w:ascii="宋体" w:hAnsi="宋体"/>
          <w:color w:val="auto"/>
          <w:highlight w:val="none"/>
          <w:u w:val="single"/>
        </w:rPr>
        <w:t xml:space="preserve">                       </w:t>
      </w:r>
    </w:p>
    <w:tbl>
      <w:tblPr>
        <w:tblStyle w:val="19"/>
        <w:tblpPr w:leftFromText="180" w:rightFromText="180" w:vertAnchor="text" w:horzAnchor="page" w:tblpX="833" w:tblpY="720"/>
        <w:tblOverlap w:val="never"/>
        <w:tblW w:w="96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98"/>
        <w:gridCol w:w="2370"/>
        <w:gridCol w:w="1894"/>
        <w:gridCol w:w="1279"/>
        <w:gridCol w:w="2304"/>
        <w:gridCol w:w="10"/>
        <w:gridCol w:w="1085"/>
      </w:tblGrid>
      <w:tr w14:paraId="0D142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43" w:hRule="atLeast"/>
        </w:trPr>
        <w:tc>
          <w:tcPr>
            <w:tcW w:w="698" w:type="dxa"/>
            <w:vAlign w:val="center"/>
          </w:tcPr>
          <w:p w14:paraId="5CB08AD6">
            <w:pPr>
              <w:jc w:val="center"/>
              <w:rPr>
                <w:color w:val="auto"/>
                <w:highlight w:val="none"/>
              </w:rPr>
            </w:pPr>
            <w:r>
              <w:rPr>
                <w:rFonts w:hint="eastAsia"/>
                <w:color w:val="auto"/>
                <w:highlight w:val="none"/>
              </w:rPr>
              <w:t>序号</w:t>
            </w:r>
          </w:p>
        </w:tc>
        <w:tc>
          <w:tcPr>
            <w:tcW w:w="2370" w:type="dxa"/>
            <w:vAlign w:val="center"/>
          </w:tcPr>
          <w:p w14:paraId="2C55A90D">
            <w:pPr>
              <w:jc w:val="center"/>
              <w:rPr>
                <w:color w:val="auto"/>
                <w:highlight w:val="none"/>
              </w:rPr>
            </w:pPr>
            <w:r>
              <w:rPr>
                <w:rFonts w:hint="eastAsia"/>
                <w:color w:val="auto"/>
                <w:highlight w:val="none"/>
              </w:rPr>
              <w:t>项目费用名称</w:t>
            </w:r>
          </w:p>
        </w:tc>
        <w:tc>
          <w:tcPr>
            <w:tcW w:w="1894" w:type="dxa"/>
            <w:vAlign w:val="center"/>
          </w:tcPr>
          <w:p w14:paraId="3D897233">
            <w:pPr>
              <w:jc w:val="center"/>
              <w:rPr>
                <w:color w:val="auto"/>
                <w:highlight w:val="none"/>
              </w:rPr>
            </w:pPr>
            <w:r>
              <w:rPr>
                <w:rFonts w:hint="eastAsia"/>
                <w:color w:val="auto"/>
                <w:highlight w:val="none"/>
              </w:rPr>
              <w:t>费用（元）</w:t>
            </w:r>
          </w:p>
        </w:tc>
        <w:tc>
          <w:tcPr>
            <w:tcW w:w="1279" w:type="dxa"/>
            <w:vAlign w:val="center"/>
          </w:tcPr>
          <w:p w14:paraId="0FB25672">
            <w:pPr>
              <w:jc w:val="center"/>
              <w:rPr>
                <w:color w:val="auto"/>
                <w:highlight w:val="none"/>
              </w:rPr>
            </w:pPr>
            <w:r>
              <w:rPr>
                <w:rFonts w:hint="eastAsia"/>
                <w:color w:val="auto"/>
                <w:highlight w:val="none"/>
              </w:rPr>
              <w:t>投标下浮率</w:t>
            </w:r>
          </w:p>
        </w:tc>
        <w:tc>
          <w:tcPr>
            <w:tcW w:w="2304" w:type="dxa"/>
            <w:vAlign w:val="center"/>
          </w:tcPr>
          <w:p w14:paraId="37E76B08">
            <w:pPr>
              <w:jc w:val="center"/>
              <w:rPr>
                <w:color w:val="auto"/>
                <w:highlight w:val="none"/>
              </w:rPr>
            </w:pPr>
            <w:r>
              <w:rPr>
                <w:rFonts w:hint="eastAsia"/>
                <w:color w:val="auto"/>
                <w:highlight w:val="none"/>
              </w:rPr>
              <w:t>投标报价（元）</w:t>
            </w:r>
          </w:p>
          <w:p w14:paraId="20EA5B30">
            <w:pPr>
              <w:jc w:val="center"/>
              <w:rPr>
                <w:color w:val="auto"/>
                <w:highlight w:val="none"/>
              </w:rPr>
            </w:pPr>
            <w:r>
              <w:rPr>
                <w:rFonts w:hint="eastAsia"/>
                <w:color w:val="auto"/>
                <w:highlight w:val="none"/>
              </w:rPr>
              <w:t>（下浮后费用）</w:t>
            </w:r>
          </w:p>
        </w:tc>
        <w:tc>
          <w:tcPr>
            <w:tcW w:w="1095" w:type="dxa"/>
            <w:gridSpan w:val="2"/>
            <w:vAlign w:val="center"/>
          </w:tcPr>
          <w:p w14:paraId="49505E86">
            <w:pPr>
              <w:jc w:val="center"/>
              <w:rPr>
                <w:rFonts w:eastAsia="宋体"/>
                <w:color w:val="auto"/>
                <w:highlight w:val="none"/>
              </w:rPr>
            </w:pPr>
            <w:r>
              <w:rPr>
                <w:rFonts w:hint="eastAsia" w:eastAsia="宋体"/>
                <w:color w:val="auto"/>
                <w:highlight w:val="none"/>
              </w:rPr>
              <w:t>备注</w:t>
            </w:r>
          </w:p>
        </w:tc>
      </w:tr>
      <w:tr w14:paraId="6CD9C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30" w:hRule="atLeast"/>
        </w:trPr>
        <w:tc>
          <w:tcPr>
            <w:tcW w:w="698" w:type="dxa"/>
            <w:vAlign w:val="center"/>
          </w:tcPr>
          <w:p w14:paraId="4E778BF9">
            <w:pPr>
              <w:jc w:val="center"/>
              <w:rPr>
                <w:bCs/>
                <w:color w:val="auto"/>
                <w:highlight w:val="none"/>
              </w:rPr>
            </w:pPr>
            <w:r>
              <w:rPr>
                <w:rFonts w:hint="eastAsia"/>
                <w:bCs/>
                <w:color w:val="auto"/>
                <w:highlight w:val="none"/>
              </w:rPr>
              <w:t>2</w:t>
            </w:r>
          </w:p>
        </w:tc>
        <w:tc>
          <w:tcPr>
            <w:tcW w:w="2370" w:type="dxa"/>
            <w:vAlign w:val="center"/>
          </w:tcPr>
          <w:p w14:paraId="5A860D56">
            <w:pPr>
              <w:rPr>
                <w:color w:val="auto"/>
                <w:highlight w:val="none"/>
              </w:rPr>
            </w:pPr>
            <w:r>
              <w:rPr>
                <w:rFonts w:hint="eastAsia"/>
                <w:color w:val="auto"/>
                <w:highlight w:val="none"/>
              </w:rPr>
              <w:t>设计费</w:t>
            </w:r>
          </w:p>
        </w:tc>
        <w:tc>
          <w:tcPr>
            <w:tcW w:w="1894" w:type="dxa"/>
            <w:vAlign w:val="center"/>
          </w:tcPr>
          <w:p w14:paraId="64AB4728">
            <w:pPr>
              <w:jc w:val="center"/>
              <w:rPr>
                <w:rFonts w:eastAsiaTheme="minorEastAsia"/>
                <w:bCs/>
                <w:color w:val="auto"/>
                <w:highlight w:val="none"/>
              </w:rPr>
            </w:pPr>
            <w:r>
              <w:rPr>
                <w:rFonts w:hint="eastAsia" w:eastAsiaTheme="minorEastAsia"/>
                <w:bCs/>
                <w:color w:val="auto"/>
                <w:highlight w:val="none"/>
              </w:rPr>
              <w:t>6777400</w:t>
            </w:r>
          </w:p>
        </w:tc>
        <w:tc>
          <w:tcPr>
            <w:tcW w:w="1279" w:type="dxa"/>
            <w:vAlign w:val="center"/>
          </w:tcPr>
          <w:p w14:paraId="243F0135">
            <w:pPr>
              <w:jc w:val="center"/>
              <w:rPr>
                <w:bCs/>
                <w:color w:val="auto"/>
                <w:highlight w:val="none"/>
                <w:u w:val="single"/>
              </w:rPr>
            </w:pPr>
            <w:r>
              <w:rPr>
                <w:rFonts w:hint="eastAsia"/>
                <w:bCs/>
                <w:color w:val="auto"/>
                <w:highlight w:val="none"/>
                <w:u w:val="single"/>
              </w:rPr>
              <w:t xml:space="preserve">           </w:t>
            </w:r>
            <w:r>
              <w:rPr>
                <w:rFonts w:hint="eastAsia"/>
                <w:bCs/>
                <w:color w:val="auto"/>
                <w:highlight w:val="none"/>
              </w:rPr>
              <w:t>%</w:t>
            </w:r>
          </w:p>
        </w:tc>
        <w:tc>
          <w:tcPr>
            <w:tcW w:w="2304" w:type="dxa"/>
            <w:vAlign w:val="center"/>
          </w:tcPr>
          <w:p w14:paraId="50F64E4A">
            <w:pPr>
              <w:jc w:val="center"/>
              <w:rPr>
                <w:bCs/>
                <w:color w:val="auto"/>
                <w:highlight w:val="none"/>
              </w:rPr>
            </w:pPr>
          </w:p>
        </w:tc>
        <w:tc>
          <w:tcPr>
            <w:tcW w:w="1095" w:type="dxa"/>
            <w:gridSpan w:val="2"/>
            <w:vAlign w:val="center"/>
          </w:tcPr>
          <w:p w14:paraId="7A548C8B">
            <w:pPr>
              <w:jc w:val="center"/>
              <w:rPr>
                <w:bCs/>
                <w:color w:val="auto"/>
                <w:highlight w:val="none"/>
              </w:rPr>
            </w:pPr>
          </w:p>
        </w:tc>
      </w:tr>
      <w:tr w14:paraId="2AF1E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32" w:hRule="atLeast"/>
        </w:trPr>
        <w:tc>
          <w:tcPr>
            <w:tcW w:w="6241" w:type="dxa"/>
            <w:gridSpan w:val="4"/>
            <w:vAlign w:val="center"/>
          </w:tcPr>
          <w:p w14:paraId="61D70AA6">
            <w:pPr>
              <w:jc w:val="center"/>
              <w:rPr>
                <w:color w:val="auto"/>
                <w:highlight w:val="none"/>
              </w:rPr>
            </w:pPr>
            <w:r>
              <w:rPr>
                <w:rFonts w:hint="eastAsia"/>
                <w:color w:val="auto"/>
                <w:highlight w:val="none"/>
              </w:rPr>
              <w:t>合计</w:t>
            </w:r>
            <w:r>
              <w:rPr>
                <w:rFonts w:hint="eastAsia" w:eastAsia="宋体"/>
                <w:color w:val="auto"/>
                <w:highlight w:val="none"/>
              </w:rPr>
              <w:t>（元）</w:t>
            </w:r>
          </w:p>
        </w:tc>
        <w:tc>
          <w:tcPr>
            <w:tcW w:w="2314" w:type="dxa"/>
            <w:gridSpan w:val="2"/>
            <w:vAlign w:val="center"/>
          </w:tcPr>
          <w:p w14:paraId="06008CC2">
            <w:pPr>
              <w:jc w:val="center"/>
              <w:rPr>
                <w:color w:val="auto"/>
                <w:highlight w:val="none"/>
              </w:rPr>
            </w:pPr>
          </w:p>
        </w:tc>
        <w:tc>
          <w:tcPr>
            <w:tcW w:w="1085" w:type="dxa"/>
            <w:vAlign w:val="center"/>
          </w:tcPr>
          <w:p w14:paraId="22CDEAED">
            <w:pPr>
              <w:jc w:val="center"/>
              <w:rPr>
                <w:color w:val="auto"/>
                <w:highlight w:val="none"/>
              </w:rPr>
            </w:pPr>
          </w:p>
        </w:tc>
      </w:tr>
    </w:tbl>
    <w:p w14:paraId="35E9692C">
      <w:pPr>
        <w:ind w:firstLine="360" w:firstLineChars="150"/>
        <w:rPr>
          <w:rFonts w:ascii="宋体" w:hAnsi="宋体"/>
          <w:bCs/>
          <w:color w:val="auto"/>
          <w:sz w:val="24"/>
          <w:highlight w:val="none"/>
        </w:rPr>
      </w:pPr>
    </w:p>
    <w:p w14:paraId="5459C86A">
      <w:pPr>
        <w:rPr>
          <w:rFonts w:ascii="宋体" w:hAnsi="宋体" w:eastAsia="宋体"/>
          <w:color w:val="auto"/>
          <w:highlight w:val="none"/>
        </w:rPr>
      </w:pPr>
    </w:p>
    <w:p w14:paraId="66FD9666">
      <w:pPr>
        <w:rPr>
          <w:rFonts w:ascii="宋体" w:hAnsi="宋体" w:eastAsia="宋体"/>
          <w:color w:val="auto"/>
          <w:highlight w:val="none"/>
        </w:rPr>
      </w:pPr>
      <w:r>
        <w:rPr>
          <w:rFonts w:hint="eastAsia" w:ascii="宋体" w:hAnsi="宋体" w:eastAsia="宋体"/>
          <w:color w:val="auto"/>
          <w:highlight w:val="none"/>
        </w:rPr>
        <w:t>注：1、投标报价填报保留到小数点后</w:t>
      </w:r>
      <w:r>
        <w:rPr>
          <w:rFonts w:hint="eastAsia" w:ascii="宋体" w:hAnsi="宋体" w:eastAsia="宋体"/>
          <w:color w:val="auto"/>
          <w:highlight w:val="none"/>
          <w:u w:val="single"/>
        </w:rPr>
        <w:t>两</w:t>
      </w:r>
      <w:r>
        <w:rPr>
          <w:rFonts w:hint="eastAsia" w:ascii="宋体" w:hAnsi="宋体" w:eastAsia="宋体"/>
          <w:color w:val="auto"/>
          <w:highlight w:val="none"/>
        </w:rPr>
        <w:t>位。</w:t>
      </w:r>
    </w:p>
    <w:p w14:paraId="1383291F">
      <w:pPr>
        <w:ind w:firstLine="420" w:firstLineChars="200"/>
        <w:rPr>
          <w:rFonts w:ascii="宋体" w:hAnsi="宋体" w:eastAsia="宋体"/>
          <w:color w:val="auto"/>
          <w:highlight w:val="none"/>
        </w:rPr>
      </w:pPr>
      <w:r>
        <w:rPr>
          <w:rFonts w:hint="eastAsia" w:ascii="宋体" w:hAnsi="宋体" w:eastAsia="宋体"/>
          <w:color w:val="auto"/>
          <w:highlight w:val="none"/>
        </w:rPr>
        <w:t>2、</w:t>
      </w:r>
      <w:r>
        <w:rPr>
          <w:rFonts w:hint="eastAsia" w:ascii="宋体" w:hAnsi="宋体" w:eastAsia="宋体"/>
          <w:color w:val="auto"/>
          <w:highlight w:val="none"/>
          <w:lang w:val="zh-CN"/>
        </w:rPr>
        <w:t>投标下浮率以百分比为单位，保留到小数点后</w:t>
      </w:r>
      <w:r>
        <w:rPr>
          <w:rFonts w:hint="eastAsia" w:ascii="宋体" w:hAnsi="宋体" w:eastAsia="宋体"/>
          <w:color w:val="auto"/>
          <w:highlight w:val="none"/>
          <w:u w:val="single"/>
        </w:rPr>
        <w:t>两</w:t>
      </w:r>
      <w:r>
        <w:rPr>
          <w:rFonts w:hint="eastAsia" w:ascii="宋体" w:hAnsi="宋体" w:eastAsia="宋体"/>
          <w:color w:val="auto"/>
          <w:highlight w:val="none"/>
          <w:lang w:val="zh-CN"/>
        </w:rPr>
        <w:t>位。</w:t>
      </w:r>
      <w:r>
        <w:rPr>
          <w:rFonts w:hint="eastAsia" w:ascii="宋体" w:hAnsi="宋体" w:eastAsia="宋体"/>
          <w:color w:val="auto"/>
          <w:highlight w:val="none"/>
        </w:rPr>
        <w:t>投标报价与投标下浮率不符时，以投标下浮率为准修正总价。</w:t>
      </w:r>
    </w:p>
    <w:p w14:paraId="3307DD5C">
      <w:pPr>
        <w:ind w:firstLine="420" w:firstLineChars="200"/>
        <w:rPr>
          <w:rFonts w:ascii="宋体" w:hAnsi="宋体" w:eastAsia="宋体"/>
          <w:color w:val="auto"/>
          <w:highlight w:val="none"/>
        </w:rPr>
      </w:pPr>
    </w:p>
    <w:p w14:paraId="487CAF28">
      <w:pPr>
        <w:ind w:firstLine="420" w:firstLineChars="200"/>
        <w:rPr>
          <w:rFonts w:ascii="宋体" w:hAnsi="宋体" w:eastAsia="宋体"/>
          <w:color w:val="auto"/>
          <w:highlight w:val="none"/>
        </w:rPr>
      </w:pPr>
    </w:p>
    <w:p w14:paraId="13773C72">
      <w:pPr>
        <w:spacing w:line="366" w:lineRule="exact"/>
        <w:rPr>
          <w:rFonts w:ascii="宋体" w:hAnsi="宋体"/>
          <w:color w:val="auto"/>
          <w:highlight w:val="none"/>
        </w:rPr>
      </w:pPr>
      <w:r>
        <w:rPr>
          <w:rFonts w:hint="eastAsia" w:ascii="宋体" w:hAnsi="宋体"/>
          <w:color w:val="auto"/>
          <w:highlight w:val="none"/>
        </w:rPr>
        <w:t>附表：</w:t>
      </w:r>
      <w:r>
        <w:rPr>
          <w:rFonts w:ascii="宋体" w:hAnsi="宋体"/>
          <w:color w:val="auto"/>
          <w:highlight w:val="none"/>
        </w:rPr>
        <w:t>设计费用清单</w:t>
      </w:r>
    </w:p>
    <w:p w14:paraId="69FD91B0">
      <w:pPr>
        <w:rPr>
          <w:rFonts w:ascii="宋体" w:hAnsi="宋体"/>
          <w:color w:val="auto"/>
          <w:highlight w:val="none"/>
        </w:rPr>
      </w:pPr>
      <w:r>
        <w:rPr>
          <w:rFonts w:ascii="宋体" w:hAnsi="宋体"/>
          <w:color w:val="auto"/>
          <w:highlight w:val="none"/>
        </w:rPr>
        <w:br w:type="page"/>
      </w:r>
    </w:p>
    <w:p w14:paraId="45820CBA">
      <w:pPr>
        <w:pStyle w:val="25"/>
        <w:spacing w:before="120" w:after="120"/>
        <w:jc w:val="center"/>
        <w:outlineLvl w:val="9"/>
        <w:rPr>
          <w:rFonts w:ascii="黑体" w:hAnsi="黑体" w:eastAsia="黑体"/>
          <w:color w:val="auto"/>
          <w:spacing w:val="11"/>
          <w:sz w:val="31"/>
          <w:szCs w:val="31"/>
          <w:highlight w:val="none"/>
        </w:rPr>
      </w:pPr>
      <w:bookmarkStart w:id="467" w:name="_Toc32085"/>
      <w:bookmarkStart w:id="468" w:name="_Toc22077"/>
      <w:bookmarkStart w:id="469" w:name="_Toc11187"/>
      <w:bookmarkStart w:id="470" w:name="_Toc55"/>
      <w:bookmarkStart w:id="471" w:name="_Toc24354"/>
      <w:r>
        <w:rPr>
          <w:rFonts w:ascii="黑体" w:hAnsi="黑体" w:eastAsia="黑体"/>
          <w:color w:val="auto"/>
          <w:spacing w:val="11"/>
          <w:sz w:val="31"/>
          <w:szCs w:val="31"/>
          <w:highlight w:val="none"/>
        </w:rPr>
        <w:t>六</w:t>
      </w:r>
      <w:r>
        <w:rPr>
          <w:rFonts w:ascii="黑体" w:hAnsi="黑体" w:eastAsia="黑体"/>
          <w:color w:val="auto"/>
          <w:spacing w:val="8"/>
          <w:sz w:val="31"/>
          <w:szCs w:val="31"/>
          <w:highlight w:val="none"/>
        </w:rPr>
        <w:t>、资格审查资料</w:t>
      </w:r>
      <w:bookmarkEnd w:id="467"/>
      <w:bookmarkEnd w:id="468"/>
      <w:bookmarkEnd w:id="469"/>
      <w:bookmarkEnd w:id="470"/>
      <w:bookmarkEnd w:id="471"/>
    </w:p>
    <w:p w14:paraId="677002D7">
      <w:pPr>
        <w:spacing w:line="255" w:lineRule="auto"/>
        <w:rPr>
          <w:color w:val="auto"/>
          <w:highlight w:val="none"/>
        </w:rPr>
      </w:pPr>
    </w:p>
    <w:p w14:paraId="3FC1E874">
      <w:pPr>
        <w:rPr>
          <w:rFonts w:ascii="黑体" w:hAnsi="黑体" w:eastAsia="黑体"/>
          <w:color w:val="auto"/>
          <w:spacing w:val="44"/>
          <w:sz w:val="27"/>
          <w:szCs w:val="27"/>
          <w:highlight w:val="none"/>
        </w:rPr>
      </w:pPr>
      <w:bookmarkStart w:id="472" w:name="_Toc12157"/>
      <w:bookmarkStart w:id="473" w:name="_Toc11958"/>
      <w:bookmarkStart w:id="474" w:name="_Toc27883"/>
      <w:bookmarkStart w:id="475" w:name="_Toc11798"/>
      <w:bookmarkStart w:id="476" w:name="_Toc4472"/>
      <w:r>
        <w:rPr>
          <w:rFonts w:ascii="黑体" w:hAnsi="黑体" w:eastAsia="黑体"/>
          <w:color w:val="auto"/>
          <w:spacing w:val="44"/>
          <w:sz w:val="27"/>
          <w:szCs w:val="27"/>
          <w:highlight w:val="none"/>
        </w:rPr>
        <w:t>(</w:t>
      </w:r>
      <w:r>
        <w:rPr>
          <w:rFonts w:ascii="黑体" w:hAnsi="黑体" w:eastAsia="黑体"/>
          <w:color w:val="auto"/>
          <w:spacing w:val="39"/>
          <w:sz w:val="27"/>
          <w:szCs w:val="27"/>
          <w:highlight w:val="none"/>
        </w:rPr>
        <w:t>一)基本情况表</w:t>
      </w:r>
      <w:bookmarkEnd w:id="472"/>
      <w:bookmarkEnd w:id="473"/>
      <w:bookmarkEnd w:id="474"/>
      <w:bookmarkEnd w:id="475"/>
      <w:bookmarkEnd w:id="476"/>
    </w:p>
    <w:p w14:paraId="4AEAD1F1">
      <w:pPr>
        <w:rPr>
          <w:color w:val="auto"/>
          <w:highlight w:val="none"/>
        </w:rPr>
      </w:pPr>
    </w:p>
    <w:p w14:paraId="7AF1A850">
      <w:pPr>
        <w:spacing w:line="49" w:lineRule="auto"/>
        <w:rPr>
          <w:color w:val="auto"/>
          <w:sz w:val="2"/>
          <w:highlight w:val="none"/>
        </w:rPr>
      </w:pPr>
    </w:p>
    <w:tbl>
      <w:tblPr>
        <w:tblStyle w:val="19"/>
        <w:tblW w:w="889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50"/>
        <w:gridCol w:w="897"/>
        <w:gridCol w:w="1025"/>
        <w:gridCol w:w="1287"/>
        <w:gridCol w:w="414"/>
        <w:gridCol w:w="872"/>
        <w:gridCol w:w="827"/>
        <w:gridCol w:w="284"/>
        <w:gridCol w:w="1234"/>
      </w:tblGrid>
      <w:tr w14:paraId="652D23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2050" w:type="dxa"/>
          </w:tcPr>
          <w:p w14:paraId="0FAB8E56">
            <w:pPr>
              <w:spacing w:before="174" w:line="221" w:lineRule="auto"/>
              <w:ind w:left="507"/>
              <w:rPr>
                <w:rFonts w:ascii="宋体" w:hAnsi="宋体" w:eastAsia="宋体"/>
                <w:color w:val="auto"/>
                <w:spacing w:val="-2"/>
                <w:highlight w:val="none"/>
              </w:rPr>
            </w:pPr>
            <w:r>
              <w:rPr>
                <w:rFonts w:ascii="宋体" w:hAnsi="宋体" w:eastAsia="宋体"/>
                <w:color w:val="auto"/>
                <w:spacing w:val="-2"/>
                <w:highlight w:val="none"/>
              </w:rPr>
              <w:t>投标人名</w:t>
            </w:r>
            <w:r>
              <w:rPr>
                <w:rFonts w:ascii="宋体" w:hAnsi="宋体" w:eastAsia="宋体"/>
                <w:color w:val="auto"/>
                <w:spacing w:val="-1"/>
                <w:highlight w:val="none"/>
              </w:rPr>
              <w:t>称</w:t>
            </w:r>
          </w:p>
        </w:tc>
        <w:tc>
          <w:tcPr>
            <w:tcW w:w="6840" w:type="dxa"/>
            <w:gridSpan w:val="8"/>
          </w:tcPr>
          <w:p w14:paraId="6A975831">
            <w:pPr>
              <w:rPr>
                <w:color w:val="auto"/>
                <w:highlight w:val="none"/>
              </w:rPr>
            </w:pPr>
          </w:p>
        </w:tc>
      </w:tr>
      <w:tr w14:paraId="289213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2050" w:type="dxa"/>
          </w:tcPr>
          <w:p w14:paraId="7F42C7A8">
            <w:pPr>
              <w:spacing w:before="170" w:line="222" w:lineRule="auto"/>
              <w:ind w:left="610"/>
              <w:rPr>
                <w:rFonts w:ascii="宋体" w:hAnsi="宋体" w:eastAsia="宋体"/>
                <w:color w:val="auto"/>
                <w:spacing w:val="-2"/>
                <w:highlight w:val="none"/>
              </w:rPr>
            </w:pPr>
            <w:r>
              <w:rPr>
                <w:rFonts w:ascii="宋体" w:hAnsi="宋体" w:eastAsia="宋体"/>
                <w:color w:val="auto"/>
                <w:spacing w:val="-2"/>
                <w:highlight w:val="none"/>
              </w:rPr>
              <w:t>注册地</w:t>
            </w:r>
            <w:r>
              <w:rPr>
                <w:rFonts w:ascii="宋体" w:hAnsi="宋体" w:eastAsia="宋体"/>
                <w:color w:val="auto"/>
                <w:spacing w:val="-1"/>
                <w:highlight w:val="none"/>
              </w:rPr>
              <w:t>址</w:t>
            </w:r>
          </w:p>
        </w:tc>
        <w:tc>
          <w:tcPr>
            <w:tcW w:w="3209" w:type="dxa"/>
            <w:gridSpan w:val="3"/>
          </w:tcPr>
          <w:p w14:paraId="79E23719">
            <w:pPr>
              <w:rPr>
                <w:color w:val="auto"/>
                <w:highlight w:val="none"/>
              </w:rPr>
            </w:pPr>
          </w:p>
        </w:tc>
        <w:tc>
          <w:tcPr>
            <w:tcW w:w="1286" w:type="dxa"/>
            <w:gridSpan w:val="2"/>
          </w:tcPr>
          <w:p w14:paraId="2BD47DD3">
            <w:pPr>
              <w:spacing w:before="170" w:line="220" w:lineRule="auto"/>
              <w:ind w:left="243"/>
              <w:rPr>
                <w:rFonts w:ascii="宋体" w:hAnsi="宋体" w:eastAsia="宋体"/>
                <w:color w:val="auto"/>
                <w:spacing w:val="-6"/>
                <w:highlight w:val="none"/>
              </w:rPr>
            </w:pPr>
            <w:r>
              <w:rPr>
                <w:rFonts w:ascii="宋体" w:hAnsi="宋体" w:eastAsia="宋体"/>
                <w:color w:val="auto"/>
                <w:spacing w:val="-6"/>
                <w:highlight w:val="none"/>
              </w:rPr>
              <w:t>邮</w:t>
            </w:r>
            <w:r>
              <w:rPr>
                <w:rFonts w:ascii="宋体" w:hAnsi="宋体" w:eastAsia="宋体"/>
                <w:color w:val="auto"/>
                <w:spacing w:val="-4"/>
                <w:highlight w:val="none"/>
              </w:rPr>
              <w:t>政编码</w:t>
            </w:r>
          </w:p>
        </w:tc>
        <w:tc>
          <w:tcPr>
            <w:tcW w:w="2345" w:type="dxa"/>
            <w:gridSpan w:val="3"/>
          </w:tcPr>
          <w:p w14:paraId="2DEA67E4">
            <w:pPr>
              <w:rPr>
                <w:color w:val="auto"/>
                <w:highlight w:val="none"/>
              </w:rPr>
            </w:pPr>
          </w:p>
        </w:tc>
      </w:tr>
      <w:tr w14:paraId="3A2E89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2050" w:type="dxa"/>
            <w:vMerge w:val="restart"/>
          </w:tcPr>
          <w:p w14:paraId="5E5452C3">
            <w:pPr>
              <w:spacing w:line="325" w:lineRule="auto"/>
              <w:rPr>
                <w:color w:val="auto"/>
                <w:highlight w:val="none"/>
              </w:rPr>
            </w:pPr>
          </w:p>
          <w:p w14:paraId="3900239E">
            <w:pPr>
              <w:spacing w:before="68" w:line="220" w:lineRule="auto"/>
              <w:ind w:left="611"/>
              <w:rPr>
                <w:rFonts w:ascii="宋体" w:hAnsi="宋体" w:eastAsia="宋体"/>
                <w:color w:val="auto"/>
                <w:spacing w:val="-2"/>
                <w:highlight w:val="none"/>
              </w:rPr>
            </w:pPr>
            <w:r>
              <w:rPr>
                <w:rFonts w:ascii="宋体" w:hAnsi="宋体" w:eastAsia="宋体"/>
                <w:color w:val="auto"/>
                <w:spacing w:val="-2"/>
                <w:highlight w:val="none"/>
              </w:rPr>
              <w:t>联系方</w:t>
            </w:r>
            <w:r>
              <w:rPr>
                <w:rFonts w:ascii="宋体" w:hAnsi="宋体" w:eastAsia="宋体"/>
                <w:color w:val="auto"/>
                <w:spacing w:val="-1"/>
                <w:highlight w:val="none"/>
              </w:rPr>
              <w:t>式</w:t>
            </w:r>
          </w:p>
        </w:tc>
        <w:tc>
          <w:tcPr>
            <w:tcW w:w="897" w:type="dxa"/>
          </w:tcPr>
          <w:p w14:paraId="5DBC874A">
            <w:pPr>
              <w:spacing w:before="172" w:line="222" w:lineRule="auto"/>
              <w:ind w:left="138"/>
              <w:rPr>
                <w:rFonts w:ascii="宋体" w:hAnsi="宋体" w:eastAsia="宋体"/>
                <w:color w:val="auto"/>
                <w:spacing w:val="-3"/>
                <w:highlight w:val="none"/>
              </w:rPr>
            </w:pPr>
            <w:r>
              <w:rPr>
                <w:rFonts w:ascii="宋体" w:hAnsi="宋体" w:eastAsia="宋体"/>
                <w:color w:val="auto"/>
                <w:spacing w:val="-3"/>
                <w:highlight w:val="none"/>
              </w:rPr>
              <w:t>联</w:t>
            </w:r>
            <w:r>
              <w:rPr>
                <w:rFonts w:ascii="宋体" w:hAnsi="宋体" w:eastAsia="宋体"/>
                <w:color w:val="auto"/>
                <w:spacing w:val="-2"/>
                <w:highlight w:val="none"/>
              </w:rPr>
              <w:t>系人</w:t>
            </w:r>
          </w:p>
        </w:tc>
        <w:tc>
          <w:tcPr>
            <w:tcW w:w="2312" w:type="dxa"/>
            <w:gridSpan w:val="2"/>
          </w:tcPr>
          <w:p w14:paraId="239FE3B1">
            <w:pPr>
              <w:rPr>
                <w:color w:val="auto"/>
                <w:highlight w:val="none"/>
              </w:rPr>
            </w:pPr>
          </w:p>
        </w:tc>
        <w:tc>
          <w:tcPr>
            <w:tcW w:w="1286" w:type="dxa"/>
            <w:gridSpan w:val="2"/>
          </w:tcPr>
          <w:p w14:paraId="49A594A8">
            <w:pPr>
              <w:spacing w:before="172" w:line="222" w:lineRule="auto"/>
              <w:ind w:left="411"/>
              <w:rPr>
                <w:rFonts w:ascii="宋体" w:hAnsi="宋体" w:eastAsia="宋体"/>
                <w:color w:val="auto"/>
                <w:spacing w:val="-10"/>
                <w:highlight w:val="none"/>
              </w:rPr>
            </w:pPr>
            <w:r>
              <w:rPr>
                <w:rFonts w:ascii="宋体" w:hAnsi="宋体" w:eastAsia="宋体"/>
                <w:color w:val="auto"/>
                <w:spacing w:val="-10"/>
                <w:highlight w:val="none"/>
              </w:rPr>
              <w:t>电</w:t>
            </w:r>
            <w:r>
              <w:rPr>
                <w:rFonts w:ascii="宋体" w:hAnsi="宋体" w:eastAsia="宋体"/>
                <w:color w:val="auto"/>
                <w:spacing w:val="-8"/>
                <w:highlight w:val="none"/>
              </w:rPr>
              <w:t xml:space="preserve"> 话</w:t>
            </w:r>
          </w:p>
        </w:tc>
        <w:tc>
          <w:tcPr>
            <w:tcW w:w="2345" w:type="dxa"/>
            <w:gridSpan w:val="3"/>
          </w:tcPr>
          <w:p w14:paraId="4ADAAE1B">
            <w:pPr>
              <w:rPr>
                <w:color w:val="auto"/>
                <w:highlight w:val="none"/>
              </w:rPr>
            </w:pPr>
          </w:p>
        </w:tc>
      </w:tr>
      <w:tr w14:paraId="7CD580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2050" w:type="dxa"/>
            <w:vMerge w:val="continue"/>
          </w:tcPr>
          <w:p w14:paraId="63407101">
            <w:pPr>
              <w:rPr>
                <w:color w:val="auto"/>
                <w:highlight w:val="none"/>
              </w:rPr>
            </w:pPr>
          </w:p>
        </w:tc>
        <w:tc>
          <w:tcPr>
            <w:tcW w:w="897" w:type="dxa"/>
          </w:tcPr>
          <w:p w14:paraId="175D33C2">
            <w:pPr>
              <w:spacing w:before="171" w:line="217" w:lineRule="auto"/>
              <w:ind w:left="135"/>
              <w:rPr>
                <w:rFonts w:ascii="宋体" w:hAnsi="宋体" w:eastAsia="宋体"/>
                <w:color w:val="auto"/>
                <w:spacing w:val="1"/>
                <w:highlight w:val="none"/>
              </w:rPr>
            </w:pPr>
            <w:r>
              <w:rPr>
                <w:rFonts w:ascii="宋体" w:hAnsi="宋体" w:eastAsia="宋体"/>
                <w:color w:val="auto"/>
                <w:spacing w:val="1"/>
                <w:highlight w:val="none"/>
              </w:rPr>
              <w:t>传  真</w:t>
            </w:r>
          </w:p>
        </w:tc>
        <w:tc>
          <w:tcPr>
            <w:tcW w:w="2312" w:type="dxa"/>
            <w:gridSpan w:val="2"/>
          </w:tcPr>
          <w:p w14:paraId="4B0159E2">
            <w:pPr>
              <w:rPr>
                <w:color w:val="auto"/>
                <w:highlight w:val="none"/>
              </w:rPr>
            </w:pPr>
          </w:p>
        </w:tc>
        <w:tc>
          <w:tcPr>
            <w:tcW w:w="1286" w:type="dxa"/>
            <w:gridSpan w:val="2"/>
          </w:tcPr>
          <w:p w14:paraId="6AED838B">
            <w:pPr>
              <w:spacing w:before="171" w:line="225" w:lineRule="auto"/>
              <w:ind w:left="402"/>
              <w:rPr>
                <w:rFonts w:ascii="宋体" w:hAnsi="宋体" w:eastAsia="宋体"/>
                <w:color w:val="auto"/>
                <w:spacing w:val="-7"/>
                <w:highlight w:val="none"/>
              </w:rPr>
            </w:pPr>
            <w:r>
              <w:rPr>
                <w:rFonts w:ascii="宋体" w:hAnsi="宋体" w:eastAsia="宋体"/>
                <w:color w:val="auto"/>
                <w:spacing w:val="-7"/>
                <w:highlight w:val="none"/>
              </w:rPr>
              <w:t>网</w:t>
            </w:r>
            <w:r>
              <w:rPr>
                <w:rFonts w:ascii="宋体" w:hAnsi="宋体" w:eastAsia="宋体"/>
                <w:color w:val="auto"/>
                <w:spacing w:val="-5"/>
                <w:highlight w:val="none"/>
              </w:rPr>
              <w:t xml:space="preserve"> 址</w:t>
            </w:r>
          </w:p>
        </w:tc>
        <w:tc>
          <w:tcPr>
            <w:tcW w:w="2345" w:type="dxa"/>
            <w:gridSpan w:val="3"/>
          </w:tcPr>
          <w:p w14:paraId="6305E1BB">
            <w:pPr>
              <w:rPr>
                <w:color w:val="auto"/>
                <w:highlight w:val="none"/>
              </w:rPr>
            </w:pPr>
          </w:p>
        </w:tc>
      </w:tr>
      <w:tr w14:paraId="3D76DE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2050" w:type="dxa"/>
          </w:tcPr>
          <w:p w14:paraId="6A263CE1">
            <w:pPr>
              <w:spacing w:before="171" w:line="219" w:lineRule="auto"/>
              <w:ind w:left="505"/>
              <w:rPr>
                <w:rFonts w:ascii="宋体" w:hAnsi="宋体" w:eastAsia="宋体"/>
                <w:color w:val="auto"/>
                <w:spacing w:val="-2"/>
                <w:highlight w:val="none"/>
              </w:rPr>
            </w:pPr>
            <w:r>
              <w:rPr>
                <w:rFonts w:ascii="宋体" w:hAnsi="宋体" w:eastAsia="宋体"/>
                <w:color w:val="auto"/>
                <w:spacing w:val="-2"/>
                <w:highlight w:val="none"/>
              </w:rPr>
              <w:t>法定代</w:t>
            </w:r>
            <w:r>
              <w:rPr>
                <w:rFonts w:ascii="宋体" w:hAnsi="宋体" w:eastAsia="宋体"/>
                <w:color w:val="auto"/>
                <w:spacing w:val="-1"/>
                <w:highlight w:val="none"/>
              </w:rPr>
              <w:t>表人</w:t>
            </w:r>
          </w:p>
        </w:tc>
        <w:tc>
          <w:tcPr>
            <w:tcW w:w="897" w:type="dxa"/>
          </w:tcPr>
          <w:p w14:paraId="564F0AB9">
            <w:pPr>
              <w:spacing w:before="171" w:line="220" w:lineRule="auto"/>
              <w:ind w:left="242"/>
              <w:rPr>
                <w:rFonts w:ascii="宋体" w:hAnsi="宋体" w:eastAsia="宋体"/>
                <w:color w:val="auto"/>
                <w:spacing w:val="-3"/>
                <w:highlight w:val="none"/>
              </w:rPr>
            </w:pPr>
            <w:r>
              <w:rPr>
                <w:rFonts w:ascii="宋体" w:hAnsi="宋体" w:eastAsia="宋体"/>
                <w:color w:val="auto"/>
                <w:spacing w:val="-3"/>
                <w:highlight w:val="none"/>
              </w:rPr>
              <w:t>姓</w:t>
            </w:r>
            <w:r>
              <w:rPr>
                <w:rFonts w:ascii="宋体" w:hAnsi="宋体" w:eastAsia="宋体"/>
                <w:color w:val="auto"/>
                <w:spacing w:val="-2"/>
                <w:highlight w:val="none"/>
              </w:rPr>
              <w:t>名</w:t>
            </w:r>
          </w:p>
        </w:tc>
        <w:tc>
          <w:tcPr>
            <w:tcW w:w="1025" w:type="dxa"/>
          </w:tcPr>
          <w:p w14:paraId="0C7920A2">
            <w:pPr>
              <w:rPr>
                <w:color w:val="auto"/>
                <w:highlight w:val="none"/>
              </w:rPr>
            </w:pPr>
          </w:p>
        </w:tc>
        <w:tc>
          <w:tcPr>
            <w:tcW w:w="1287" w:type="dxa"/>
          </w:tcPr>
          <w:p w14:paraId="722121BD">
            <w:pPr>
              <w:spacing w:before="171" w:line="220" w:lineRule="auto"/>
              <w:ind w:left="229"/>
              <w:rPr>
                <w:rFonts w:ascii="宋体" w:hAnsi="宋体" w:eastAsia="宋体"/>
                <w:color w:val="auto"/>
                <w:spacing w:val="-2"/>
                <w:highlight w:val="none"/>
              </w:rPr>
            </w:pPr>
            <w:r>
              <w:rPr>
                <w:rFonts w:ascii="宋体" w:hAnsi="宋体" w:eastAsia="宋体"/>
                <w:color w:val="auto"/>
                <w:spacing w:val="-2"/>
                <w:highlight w:val="none"/>
              </w:rPr>
              <w:t>技术职</w:t>
            </w:r>
            <w:r>
              <w:rPr>
                <w:rFonts w:ascii="宋体" w:hAnsi="宋体" w:eastAsia="宋体"/>
                <w:color w:val="auto"/>
                <w:spacing w:val="-1"/>
                <w:highlight w:val="none"/>
              </w:rPr>
              <w:t>称</w:t>
            </w:r>
          </w:p>
        </w:tc>
        <w:tc>
          <w:tcPr>
            <w:tcW w:w="1286" w:type="dxa"/>
            <w:gridSpan w:val="2"/>
          </w:tcPr>
          <w:p w14:paraId="008BE3CA">
            <w:pPr>
              <w:rPr>
                <w:color w:val="auto"/>
                <w:highlight w:val="none"/>
              </w:rPr>
            </w:pPr>
          </w:p>
        </w:tc>
        <w:tc>
          <w:tcPr>
            <w:tcW w:w="1111" w:type="dxa"/>
            <w:gridSpan w:val="2"/>
          </w:tcPr>
          <w:p w14:paraId="26FBF7C0">
            <w:pPr>
              <w:spacing w:before="172" w:line="222" w:lineRule="auto"/>
              <w:ind w:left="376"/>
              <w:rPr>
                <w:rFonts w:ascii="宋体" w:hAnsi="宋体" w:eastAsia="宋体"/>
                <w:color w:val="auto"/>
                <w:spacing w:val="-9"/>
                <w:highlight w:val="none"/>
              </w:rPr>
            </w:pPr>
            <w:r>
              <w:rPr>
                <w:rFonts w:ascii="宋体" w:hAnsi="宋体" w:eastAsia="宋体"/>
                <w:color w:val="auto"/>
                <w:spacing w:val="-9"/>
                <w:highlight w:val="none"/>
              </w:rPr>
              <w:t>电</w:t>
            </w:r>
            <w:r>
              <w:rPr>
                <w:rFonts w:ascii="宋体" w:hAnsi="宋体" w:eastAsia="宋体"/>
                <w:color w:val="auto"/>
                <w:spacing w:val="-8"/>
                <w:highlight w:val="none"/>
              </w:rPr>
              <w:t>话</w:t>
            </w:r>
          </w:p>
        </w:tc>
        <w:tc>
          <w:tcPr>
            <w:tcW w:w="1234" w:type="dxa"/>
          </w:tcPr>
          <w:p w14:paraId="40DA9EC7">
            <w:pPr>
              <w:rPr>
                <w:color w:val="auto"/>
                <w:highlight w:val="none"/>
              </w:rPr>
            </w:pPr>
          </w:p>
        </w:tc>
      </w:tr>
      <w:tr w14:paraId="4292C0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2050" w:type="dxa"/>
          </w:tcPr>
          <w:p w14:paraId="4414D873">
            <w:pPr>
              <w:spacing w:before="172" w:line="217" w:lineRule="auto"/>
              <w:ind w:left="505"/>
              <w:rPr>
                <w:rFonts w:ascii="宋体" w:hAnsi="宋体" w:eastAsia="宋体"/>
                <w:color w:val="auto"/>
                <w:spacing w:val="-2"/>
                <w:highlight w:val="none"/>
              </w:rPr>
            </w:pPr>
            <w:r>
              <w:rPr>
                <w:rFonts w:ascii="宋体" w:hAnsi="宋体" w:eastAsia="宋体"/>
                <w:color w:val="auto"/>
                <w:spacing w:val="-2"/>
                <w:highlight w:val="none"/>
              </w:rPr>
              <w:t>技术负</w:t>
            </w:r>
            <w:r>
              <w:rPr>
                <w:rFonts w:ascii="宋体" w:hAnsi="宋体" w:eastAsia="宋体"/>
                <w:color w:val="auto"/>
                <w:spacing w:val="-1"/>
                <w:highlight w:val="none"/>
              </w:rPr>
              <w:t>责人</w:t>
            </w:r>
          </w:p>
        </w:tc>
        <w:tc>
          <w:tcPr>
            <w:tcW w:w="897" w:type="dxa"/>
          </w:tcPr>
          <w:p w14:paraId="7C296209">
            <w:pPr>
              <w:spacing w:before="171" w:line="220" w:lineRule="auto"/>
              <w:ind w:left="242"/>
              <w:rPr>
                <w:rFonts w:ascii="宋体" w:hAnsi="宋体" w:eastAsia="宋体"/>
                <w:color w:val="auto"/>
                <w:spacing w:val="-3"/>
                <w:highlight w:val="none"/>
              </w:rPr>
            </w:pPr>
            <w:r>
              <w:rPr>
                <w:rFonts w:ascii="宋体" w:hAnsi="宋体" w:eastAsia="宋体"/>
                <w:color w:val="auto"/>
                <w:spacing w:val="-3"/>
                <w:highlight w:val="none"/>
              </w:rPr>
              <w:t>姓</w:t>
            </w:r>
            <w:r>
              <w:rPr>
                <w:rFonts w:ascii="宋体" w:hAnsi="宋体" w:eastAsia="宋体"/>
                <w:color w:val="auto"/>
                <w:spacing w:val="-2"/>
                <w:highlight w:val="none"/>
              </w:rPr>
              <w:t>名</w:t>
            </w:r>
          </w:p>
        </w:tc>
        <w:tc>
          <w:tcPr>
            <w:tcW w:w="1025" w:type="dxa"/>
          </w:tcPr>
          <w:p w14:paraId="3937F7ED">
            <w:pPr>
              <w:rPr>
                <w:color w:val="auto"/>
                <w:highlight w:val="none"/>
              </w:rPr>
            </w:pPr>
          </w:p>
        </w:tc>
        <w:tc>
          <w:tcPr>
            <w:tcW w:w="1287" w:type="dxa"/>
          </w:tcPr>
          <w:p w14:paraId="182092A6">
            <w:pPr>
              <w:spacing w:before="171" w:line="220" w:lineRule="auto"/>
              <w:ind w:left="229"/>
              <w:rPr>
                <w:rFonts w:ascii="宋体" w:hAnsi="宋体" w:eastAsia="宋体"/>
                <w:color w:val="auto"/>
                <w:spacing w:val="-2"/>
                <w:highlight w:val="none"/>
              </w:rPr>
            </w:pPr>
            <w:r>
              <w:rPr>
                <w:rFonts w:ascii="宋体" w:hAnsi="宋体" w:eastAsia="宋体"/>
                <w:color w:val="auto"/>
                <w:spacing w:val="-2"/>
                <w:highlight w:val="none"/>
              </w:rPr>
              <w:t>技术职</w:t>
            </w:r>
            <w:r>
              <w:rPr>
                <w:rFonts w:ascii="宋体" w:hAnsi="宋体" w:eastAsia="宋体"/>
                <w:color w:val="auto"/>
                <w:spacing w:val="-1"/>
                <w:highlight w:val="none"/>
              </w:rPr>
              <w:t>称</w:t>
            </w:r>
          </w:p>
        </w:tc>
        <w:tc>
          <w:tcPr>
            <w:tcW w:w="1286" w:type="dxa"/>
            <w:gridSpan w:val="2"/>
          </w:tcPr>
          <w:p w14:paraId="34052404">
            <w:pPr>
              <w:rPr>
                <w:color w:val="auto"/>
                <w:highlight w:val="none"/>
              </w:rPr>
            </w:pPr>
          </w:p>
        </w:tc>
        <w:tc>
          <w:tcPr>
            <w:tcW w:w="1111" w:type="dxa"/>
            <w:gridSpan w:val="2"/>
          </w:tcPr>
          <w:p w14:paraId="6C059AD2">
            <w:pPr>
              <w:spacing w:before="172" w:line="222" w:lineRule="auto"/>
              <w:ind w:left="376"/>
              <w:rPr>
                <w:rFonts w:ascii="宋体" w:hAnsi="宋体" w:eastAsia="宋体"/>
                <w:color w:val="auto"/>
                <w:spacing w:val="-9"/>
                <w:highlight w:val="none"/>
              </w:rPr>
            </w:pPr>
            <w:r>
              <w:rPr>
                <w:rFonts w:ascii="宋体" w:hAnsi="宋体" w:eastAsia="宋体"/>
                <w:color w:val="auto"/>
                <w:spacing w:val="-9"/>
                <w:highlight w:val="none"/>
              </w:rPr>
              <w:t>电</w:t>
            </w:r>
            <w:r>
              <w:rPr>
                <w:rFonts w:ascii="宋体" w:hAnsi="宋体" w:eastAsia="宋体"/>
                <w:color w:val="auto"/>
                <w:spacing w:val="-8"/>
                <w:highlight w:val="none"/>
              </w:rPr>
              <w:t>话</w:t>
            </w:r>
          </w:p>
        </w:tc>
        <w:tc>
          <w:tcPr>
            <w:tcW w:w="1234" w:type="dxa"/>
          </w:tcPr>
          <w:p w14:paraId="715D2859">
            <w:pPr>
              <w:rPr>
                <w:color w:val="auto"/>
                <w:highlight w:val="none"/>
              </w:rPr>
            </w:pPr>
          </w:p>
        </w:tc>
      </w:tr>
      <w:tr w14:paraId="13D22F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2050" w:type="dxa"/>
          </w:tcPr>
          <w:p w14:paraId="5CD12A4F">
            <w:pPr>
              <w:spacing w:before="171" w:line="219" w:lineRule="auto"/>
              <w:ind w:left="193"/>
              <w:rPr>
                <w:rFonts w:ascii="宋体" w:hAnsi="宋体" w:eastAsia="宋体"/>
                <w:color w:val="auto"/>
                <w:spacing w:val="-2"/>
                <w:highlight w:val="none"/>
              </w:rPr>
            </w:pPr>
            <w:r>
              <w:rPr>
                <w:rFonts w:ascii="宋体" w:hAnsi="宋体" w:eastAsia="宋体"/>
                <w:color w:val="auto"/>
                <w:spacing w:val="-2"/>
                <w:highlight w:val="none"/>
              </w:rPr>
              <w:t>企业设</w:t>
            </w:r>
            <w:r>
              <w:rPr>
                <w:rFonts w:ascii="宋体" w:hAnsi="宋体" w:eastAsia="宋体"/>
                <w:color w:val="auto"/>
                <w:spacing w:val="-1"/>
                <w:highlight w:val="none"/>
              </w:rPr>
              <w:t>计资质证书</w:t>
            </w:r>
          </w:p>
        </w:tc>
        <w:tc>
          <w:tcPr>
            <w:tcW w:w="1922" w:type="dxa"/>
            <w:gridSpan w:val="2"/>
          </w:tcPr>
          <w:p w14:paraId="7296F619">
            <w:pPr>
              <w:spacing w:before="171" w:line="220" w:lineRule="auto"/>
              <w:ind w:left="1060"/>
              <w:rPr>
                <w:rFonts w:ascii="宋体" w:hAnsi="宋体" w:eastAsia="宋体"/>
                <w:color w:val="auto"/>
                <w:spacing w:val="-14"/>
                <w:highlight w:val="none"/>
              </w:rPr>
            </w:pPr>
            <w:r>
              <w:rPr>
                <w:rFonts w:ascii="宋体" w:hAnsi="宋体" w:eastAsia="宋体"/>
                <w:color w:val="auto"/>
                <w:spacing w:val="-14"/>
                <w:highlight w:val="none"/>
              </w:rPr>
              <w:t>类</w:t>
            </w:r>
            <w:r>
              <w:rPr>
                <w:rFonts w:ascii="宋体" w:hAnsi="宋体" w:eastAsia="宋体"/>
                <w:color w:val="auto"/>
                <w:spacing w:val="-12"/>
                <w:highlight w:val="none"/>
              </w:rPr>
              <w:t>型：</w:t>
            </w:r>
          </w:p>
        </w:tc>
        <w:tc>
          <w:tcPr>
            <w:tcW w:w="4918" w:type="dxa"/>
            <w:gridSpan w:val="6"/>
          </w:tcPr>
          <w:p w14:paraId="49CF4C57">
            <w:pPr>
              <w:spacing w:before="171" w:line="220" w:lineRule="auto"/>
              <w:ind w:left="1872"/>
              <w:rPr>
                <w:rFonts w:ascii="宋体" w:hAnsi="宋体" w:eastAsia="宋体"/>
                <w:color w:val="auto"/>
                <w:spacing w:val="-20"/>
                <w:highlight w:val="none"/>
              </w:rPr>
            </w:pPr>
            <w:r>
              <w:rPr>
                <w:rFonts w:ascii="宋体" w:hAnsi="宋体" w:eastAsia="宋体"/>
                <w:color w:val="auto"/>
                <w:spacing w:val="-20"/>
                <w:highlight w:val="none"/>
              </w:rPr>
              <w:t>等</w:t>
            </w:r>
            <w:r>
              <w:rPr>
                <w:rFonts w:ascii="宋体" w:hAnsi="宋体" w:eastAsia="宋体"/>
                <w:color w:val="auto"/>
                <w:spacing w:val="-10"/>
                <w:highlight w:val="none"/>
              </w:rPr>
              <w:t>级：       证书号：</w:t>
            </w:r>
          </w:p>
        </w:tc>
      </w:tr>
      <w:tr w14:paraId="2169F2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trPr>
        <w:tc>
          <w:tcPr>
            <w:tcW w:w="2050" w:type="dxa"/>
          </w:tcPr>
          <w:p w14:paraId="07F17D17">
            <w:pPr>
              <w:spacing w:before="171" w:line="220" w:lineRule="auto"/>
              <w:ind w:left="191"/>
              <w:rPr>
                <w:rFonts w:ascii="宋体" w:hAnsi="宋体" w:eastAsia="宋体"/>
                <w:color w:val="auto"/>
                <w:spacing w:val="-1"/>
                <w:highlight w:val="none"/>
              </w:rPr>
            </w:pPr>
            <w:r>
              <w:rPr>
                <w:rFonts w:ascii="宋体" w:hAnsi="宋体" w:eastAsia="宋体"/>
                <w:color w:val="auto"/>
                <w:spacing w:val="-1"/>
                <w:highlight w:val="none"/>
              </w:rPr>
              <w:t>质量管理体系证书</w:t>
            </w:r>
          </w:p>
          <w:p w14:paraId="6132167C">
            <w:pPr>
              <w:spacing w:before="189" w:line="221" w:lineRule="auto"/>
              <w:ind w:left="563"/>
              <w:rPr>
                <w:rFonts w:ascii="宋体" w:hAnsi="宋体" w:eastAsia="宋体"/>
                <w:color w:val="auto"/>
                <w:spacing w:val="20"/>
                <w:highlight w:val="none"/>
              </w:rPr>
            </w:pPr>
            <w:r>
              <w:rPr>
                <w:rFonts w:ascii="宋体" w:hAnsi="宋体" w:eastAsia="宋体"/>
                <w:color w:val="auto"/>
                <w:spacing w:val="20"/>
                <w:highlight w:val="none"/>
              </w:rPr>
              <w:t>(</w:t>
            </w:r>
            <w:r>
              <w:rPr>
                <w:rFonts w:ascii="宋体" w:hAnsi="宋体" w:eastAsia="宋体"/>
                <w:color w:val="auto"/>
                <w:spacing w:val="19"/>
                <w:highlight w:val="none"/>
              </w:rPr>
              <w:t>如有)</w:t>
            </w:r>
          </w:p>
        </w:tc>
        <w:tc>
          <w:tcPr>
            <w:tcW w:w="1922" w:type="dxa"/>
            <w:gridSpan w:val="2"/>
          </w:tcPr>
          <w:p w14:paraId="2F7C8F0B">
            <w:pPr>
              <w:spacing w:line="321" w:lineRule="auto"/>
              <w:rPr>
                <w:color w:val="auto"/>
                <w:highlight w:val="none"/>
              </w:rPr>
            </w:pPr>
          </w:p>
          <w:p w14:paraId="4201A77A">
            <w:pPr>
              <w:spacing w:before="68" w:line="220" w:lineRule="auto"/>
              <w:ind w:left="1060"/>
              <w:rPr>
                <w:rFonts w:ascii="宋体" w:hAnsi="宋体" w:eastAsia="宋体"/>
                <w:color w:val="auto"/>
                <w:spacing w:val="-14"/>
                <w:highlight w:val="none"/>
              </w:rPr>
            </w:pPr>
            <w:r>
              <w:rPr>
                <w:rFonts w:ascii="宋体" w:hAnsi="宋体" w:eastAsia="宋体"/>
                <w:color w:val="auto"/>
                <w:spacing w:val="-14"/>
                <w:highlight w:val="none"/>
              </w:rPr>
              <w:t>类</w:t>
            </w:r>
            <w:r>
              <w:rPr>
                <w:rFonts w:ascii="宋体" w:hAnsi="宋体" w:eastAsia="宋体"/>
                <w:color w:val="auto"/>
                <w:spacing w:val="-12"/>
                <w:highlight w:val="none"/>
              </w:rPr>
              <w:t>型：</w:t>
            </w:r>
          </w:p>
        </w:tc>
        <w:tc>
          <w:tcPr>
            <w:tcW w:w="4918" w:type="dxa"/>
            <w:gridSpan w:val="6"/>
          </w:tcPr>
          <w:p w14:paraId="59DEEF10">
            <w:pPr>
              <w:spacing w:line="320" w:lineRule="auto"/>
              <w:rPr>
                <w:color w:val="auto"/>
                <w:highlight w:val="none"/>
              </w:rPr>
            </w:pPr>
          </w:p>
          <w:p w14:paraId="50E1C14A">
            <w:pPr>
              <w:spacing w:before="68" w:line="220" w:lineRule="auto"/>
              <w:ind w:left="1872"/>
              <w:rPr>
                <w:rFonts w:ascii="宋体" w:hAnsi="宋体" w:eastAsia="宋体"/>
                <w:color w:val="auto"/>
                <w:spacing w:val="-20"/>
                <w:highlight w:val="none"/>
              </w:rPr>
            </w:pPr>
            <w:r>
              <w:rPr>
                <w:rFonts w:ascii="宋体" w:hAnsi="宋体" w:eastAsia="宋体"/>
                <w:color w:val="auto"/>
                <w:spacing w:val="-20"/>
                <w:highlight w:val="none"/>
              </w:rPr>
              <w:t>等</w:t>
            </w:r>
            <w:r>
              <w:rPr>
                <w:rFonts w:ascii="宋体" w:hAnsi="宋体" w:eastAsia="宋体"/>
                <w:color w:val="auto"/>
                <w:spacing w:val="-10"/>
                <w:highlight w:val="none"/>
              </w:rPr>
              <w:t>级：       证书号：</w:t>
            </w:r>
          </w:p>
        </w:tc>
      </w:tr>
      <w:tr w14:paraId="6C08A3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2050" w:type="dxa"/>
          </w:tcPr>
          <w:p w14:paraId="0D85EEE9">
            <w:pPr>
              <w:spacing w:before="171" w:line="220" w:lineRule="auto"/>
              <w:ind w:left="511"/>
              <w:rPr>
                <w:rFonts w:ascii="宋体" w:hAnsi="宋体" w:eastAsia="宋体"/>
                <w:color w:val="auto"/>
                <w:spacing w:val="-4"/>
                <w:highlight w:val="none"/>
              </w:rPr>
            </w:pPr>
            <w:r>
              <w:rPr>
                <w:rFonts w:ascii="宋体" w:hAnsi="宋体" w:eastAsia="宋体"/>
                <w:color w:val="auto"/>
                <w:spacing w:val="-4"/>
                <w:highlight w:val="none"/>
              </w:rPr>
              <w:t>营</w:t>
            </w:r>
            <w:r>
              <w:rPr>
                <w:rFonts w:ascii="宋体" w:hAnsi="宋体" w:eastAsia="宋体"/>
                <w:color w:val="auto"/>
                <w:spacing w:val="-2"/>
                <w:highlight w:val="none"/>
              </w:rPr>
              <w:t>业执照号</w:t>
            </w:r>
          </w:p>
        </w:tc>
        <w:tc>
          <w:tcPr>
            <w:tcW w:w="3209" w:type="dxa"/>
            <w:gridSpan w:val="3"/>
          </w:tcPr>
          <w:p w14:paraId="01536F8B">
            <w:pPr>
              <w:rPr>
                <w:color w:val="auto"/>
                <w:highlight w:val="none"/>
              </w:rPr>
            </w:pPr>
          </w:p>
        </w:tc>
        <w:tc>
          <w:tcPr>
            <w:tcW w:w="3631" w:type="dxa"/>
            <w:gridSpan w:val="5"/>
          </w:tcPr>
          <w:p w14:paraId="4D4D6E34">
            <w:pPr>
              <w:spacing w:before="171" w:line="220" w:lineRule="auto"/>
              <w:ind w:left="1197"/>
              <w:rPr>
                <w:rFonts w:ascii="宋体" w:hAnsi="宋体" w:eastAsia="宋体"/>
                <w:color w:val="auto"/>
                <w:spacing w:val="-9"/>
                <w:highlight w:val="none"/>
              </w:rPr>
            </w:pPr>
            <w:r>
              <w:rPr>
                <w:rFonts w:ascii="宋体" w:hAnsi="宋体" w:eastAsia="宋体"/>
                <w:color w:val="auto"/>
                <w:spacing w:val="-9"/>
                <w:highlight w:val="none"/>
              </w:rPr>
              <w:t>员工总人数：</w:t>
            </w:r>
          </w:p>
        </w:tc>
      </w:tr>
      <w:tr w14:paraId="652BF9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2050" w:type="dxa"/>
          </w:tcPr>
          <w:p w14:paraId="0E42DA36">
            <w:pPr>
              <w:spacing w:before="170" w:line="219" w:lineRule="auto"/>
              <w:ind w:left="610"/>
              <w:rPr>
                <w:rFonts w:ascii="宋体" w:hAnsi="宋体" w:eastAsia="宋体"/>
                <w:color w:val="auto"/>
                <w:spacing w:val="-2"/>
                <w:highlight w:val="none"/>
              </w:rPr>
            </w:pPr>
            <w:r>
              <w:rPr>
                <w:rFonts w:ascii="宋体" w:hAnsi="宋体" w:eastAsia="宋体"/>
                <w:color w:val="auto"/>
                <w:spacing w:val="-2"/>
                <w:highlight w:val="none"/>
              </w:rPr>
              <w:t>注册资</w:t>
            </w:r>
            <w:r>
              <w:rPr>
                <w:rFonts w:ascii="宋体" w:hAnsi="宋体" w:eastAsia="宋体"/>
                <w:color w:val="auto"/>
                <w:spacing w:val="-1"/>
                <w:highlight w:val="none"/>
              </w:rPr>
              <w:t>本</w:t>
            </w:r>
          </w:p>
        </w:tc>
        <w:tc>
          <w:tcPr>
            <w:tcW w:w="3209" w:type="dxa"/>
            <w:gridSpan w:val="3"/>
          </w:tcPr>
          <w:p w14:paraId="4B067503">
            <w:pPr>
              <w:rPr>
                <w:color w:val="auto"/>
                <w:highlight w:val="none"/>
              </w:rPr>
            </w:pPr>
          </w:p>
        </w:tc>
        <w:tc>
          <w:tcPr>
            <w:tcW w:w="414" w:type="dxa"/>
            <w:vMerge w:val="restart"/>
            <w:textDirection w:val="tbRlV"/>
          </w:tcPr>
          <w:p w14:paraId="45CDE3E1">
            <w:pPr>
              <w:spacing w:before="94" w:line="205" w:lineRule="auto"/>
              <w:ind w:left="625"/>
              <w:rPr>
                <w:rFonts w:ascii="宋体" w:hAnsi="宋体" w:eastAsia="宋体"/>
                <w:color w:val="auto"/>
                <w:spacing w:val="6"/>
                <w:highlight w:val="none"/>
              </w:rPr>
            </w:pPr>
            <w:r>
              <w:rPr>
                <w:rFonts w:ascii="宋体" w:hAnsi="宋体" w:eastAsia="宋体"/>
                <w:color w:val="auto"/>
                <w:spacing w:val="6"/>
                <w:highlight w:val="none"/>
              </w:rPr>
              <w:t>其</w:t>
            </w:r>
            <w:r>
              <w:rPr>
                <w:rFonts w:ascii="宋体" w:hAnsi="宋体" w:eastAsia="宋体"/>
                <w:color w:val="auto"/>
                <w:spacing w:val="5"/>
                <w:highlight w:val="none"/>
              </w:rPr>
              <w:t xml:space="preserve">  中</w:t>
            </w:r>
          </w:p>
        </w:tc>
        <w:tc>
          <w:tcPr>
            <w:tcW w:w="1699" w:type="dxa"/>
            <w:gridSpan w:val="2"/>
          </w:tcPr>
          <w:p w14:paraId="782BE350">
            <w:pPr>
              <w:spacing w:before="171" w:line="220" w:lineRule="auto"/>
              <w:ind w:left="231"/>
              <w:rPr>
                <w:rFonts w:ascii="宋体" w:hAnsi="宋体" w:eastAsia="宋体"/>
                <w:color w:val="auto"/>
                <w:spacing w:val="-2"/>
                <w:highlight w:val="none"/>
              </w:rPr>
            </w:pPr>
            <w:r>
              <w:rPr>
                <w:rFonts w:ascii="宋体" w:hAnsi="宋体" w:eastAsia="宋体"/>
                <w:color w:val="auto"/>
                <w:spacing w:val="-2"/>
                <w:highlight w:val="none"/>
              </w:rPr>
              <w:t>高级职称人员</w:t>
            </w:r>
          </w:p>
        </w:tc>
        <w:tc>
          <w:tcPr>
            <w:tcW w:w="1518" w:type="dxa"/>
            <w:gridSpan w:val="2"/>
          </w:tcPr>
          <w:p w14:paraId="121884E1">
            <w:pPr>
              <w:rPr>
                <w:color w:val="auto"/>
                <w:highlight w:val="none"/>
              </w:rPr>
            </w:pPr>
          </w:p>
        </w:tc>
      </w:tr>
      <w:tr w14:paraId="32A590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2050" w:type="dxa"/>
          </w:tcPr>
          <w:p w14:paraId="0731417B">
            <w:pPr>
              <w:spacing w:before="170" w:line="221" w:lineRule="auto"/>
              <w:ind w:left="612"/>
              <w:rPr>
                <w:rFonts w:ascii="宋体" w:hAnsi="宋体" w:eastAsia="宋体"/>
                <w:color w:val="auto"/>
                <w:spacing w:val="-2"/>
                <w:highlight w:val="none"/>
              </w:rPr>
            </w:pPr>
            <w:r>
              <w:rPr>
                <w:rFonts w:ascii="宋体" w:hAnsi="宋体" w:eastAsia="宋体"/>
                <w:color w:val="auto"/>
                <w:spacing w:val="-2"/>
                <w:highlight w:val="none"/>
              </w:rPr>
              <w:t>成立日期</w:t>
            </w:r>
          </w:p>
        </w:tc>
        <w:tc>
          <w:tcPr>
            <w:tcW w:w="3209" w:type="dxa"/>
            <w:gridSpan w:val="3"/>
          </w:tcPr>
          <w:p w14:paraId="548E9345">
            <w:pPr>
              <w:rPr>
                <w:color w:val="auto"/>
                <w:highlight w:val="none"/>
              </w:rPr>
            </w:pPr>
          </w:p>
        </w:tc>
        <w:tc>
          <w:tcPr>
            <w:tcW w:w="414" w:type="dxa"/>
            <w:vMerge w:val="continue"/>
            <w:textDirection w:val="tbRlV"/>
          </w:tcPr>
          <w:p w14:paraId="62956B88">
            <w:pPr>
              <w:rPr>
                <w:color w:val="auto"/>
                <w:highlight w:val="none"/>
              </w:rPr>
            </w:pPr>
          </w:p>
        </w:tc>
        <w:tc>
          <w:tcPr>
            <w:tcW w:w="1699" w:type="dxa"/>
            <w:gridSpan w:val="2"/>
          </w:tcPr>
          <w:p w14:paraId="0C8BC6FD">
            <w:pPr>
              <w:spacing w:before="170" w:line="221" w:lineRule="auto"/>
              <w:ind w:left="245"/>
              <w:rPr>
                <w:rFonts w:ascii="宋体" w:hAnsi="宋体" w:eastAsia="宋体"/>
                <w:color w:val="auto"/>
                <w:spacing w:val="-4"/>
                <w:highlight w:val="none"/>
              </w:rPr>
            </w:pPr>
            <w:r>
              <w:rPr>
                <w:rFonts w:ascii="宋体" w:hAnsi="宋体" w:eastAsia="宋体"/>
                <w:color w:val="auto"/>
                <w:spacing w:val="-4"/>
                <w:highlight w:val="none"/>
              </w:rPr>
              <w:t>中级职称人员</w:t>
            </w:r>
          </w:p>
        </w:tc>
        <w:tc>
          <w:tcPr>
            <w:tcW w:w="1518" w:type="dxa"/>
            <w:gridSpan w:val="2"/>
          </w:tcPr>
          <w:p w14:paraId="13640E19">
            <w:pPr>
              <w:rPr>
                <w:color w:val="auto"/>
                <w:highlight w:val="none"/>
              </w:rPr>
            </w:pPr>
          </w:p>
        </w:tc>
      </w:tr>
      <w:tr w14:paraId="1501F0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2050" w:type="dxa"/>
          </w:tcPr>
          <w:p w14:paraId="2DA63FAC">
            <w:pPr>
              <w:spacing w:before="170" w:line="220" w:lineRule="auto"/>
              <w:ind w:left="190"/>
              <w:rPr>
                <w:rFonts w:ascii="宋体" w:hAnsi="宋体" w:eastAsia="宋体"/>
                <w:color w:val="auto"/>
                <w:spacing w:val="-1"/>
                <w:highlight w:val="none"/>
              </w:rPr>
            </w:pPr>
            <w:r>
              <w:rPr>
                <w:rFonts w:ascii="宋体" w:hAnsi="宋体" w:eastAsia="宋体"/>
                <w:color w:val="auto"/>
                <w:spacing w:val="-1"/>
                <w:highlight w:val="none"/>
              </w:rPr>
              <w:t>基本账户开户银行</w:t>
            </w:r>
          </w:p>
        </w:tc>
        <w:tc>
          <w:tcPr>
            <w:tcW w:w="3209" w:type="dxa"/>
            <w:gridSpan w:val="3"/>
          </w:tcPr>
          <w:p w14:paraId="1A861A51">
            <w:pPr>
              <w:rPr>
                <w:color w:val="auto"/>
                <w:highlight w:val="none"/>
              </w:rPr>
            </w:pPr>
          </w:p>
        </w:tc>
        <w:tc>
          <w:tcPr>
            <w:tcW w:w="414" w:type="dxa"/>
            <w:vMerge w:val="continue"/>
            <w:textDirection w:val="tbRlV"/>
          </w:tcPr>
          <w:p w14:paraId="541A9ABC">
            <w:pPr>
              <w:rPr>
                <w:color w:val="auto"/>
                <w:highlight w:val="none"/>
              </w:rPr>
            </w:pPr>
          </w:p>
        </w:tc>
        <w:tc>
          <w:tcPr>
            <w:tcW w:w="1699" w:type="dxa"/>
            <w:gridSpan w:val="2"/>
          </w:tcPr>
          <w:p w14:paraId="03AF5029">
            <w:pPr>
              <w:spacing w:before="171" w:line="220" w:lineRule="auto"/>
              <w:ind w:left="226"/>
              <w:rPr>
                <w:rFonts w:ascii="宋体" w:hAnsi="宋体" w:eastAsia="宋体"/>
                <w:color w:val="auto"/>
                <w:spacing w:val="-2"/>
                <w:highlight w:val="none"/>
              </w:rPr>
            </w:pPr>
            <w:r>
              <w:rPr>
                <w:rFonts w:ascii="宋体" w:hAnsi="宋体" w:eastAsia="宋体"/>
                <w:color w:val="auto"/>
                <w:spacing w:val="-2"/>
                <w:highlight w:val="none"/>
              </w:rPr>
              <w:t>技术</w:t>
            </w:r>
            <w:r>
              <w:rPr>
                <w:rFonts w:ascii="宋体" w:hAnsi="宋体" w:eastAsia="宋体"/>
                <w:color w:val="auto"/>
                <w:spacing w:val="-1"/>
                <w:highlight w:val="none"/>
              </w:rPr>
              <w:t>人员数量</w:t>
            </w:r>
          </w:p>
        </w:tc>
        <w:tc>
          <w:tcPr>
            <w:tcW w:w="1518" w:type="dxa"/>
            <w:gridSpan w:val="2"/>
          </w:tcPr>
          <w:p w14:paraId="7D0A4B7F">
            <w:pPr>
              <w:rPr>
                <w:color w:val="auto"/>
                <w:highlight w:val="none"/>
              </w:rPr>
            </w:pPr>
          </w:p>
        </w:tc>
      </w:tr>
      <w:tr w14:paraId="4E0287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2050" w:type="dxa"/>
          </w:tcPr>
          <w:p w14:paraId="6F1EF9E1">
            <w:pPr>
              <w:spacing w:before="170" w:line="220" w:lineRule="auto"/>
              <w:ind w:left="190"/>
              <w:rPr>
                <w:rFonts w:ascii="宋体" w:hAnsi="宋体" w:eastAsia="宋体"/>
                <w:color w:val="auto"/>
                <w:spacing w:val="-1"/>
                <w:highlight w:val="none"/>
              </w:rPr>
            </w:pPr>
            <w:r>
              <w:rPr>
                <w:rFonts w:ascii="宋体" w:hAnsi="宋体" w:eastAsia="宋体"/>
                <w:color w:val="auto"/>
                <w:spacing w:val="-1"/>
                <w:highlight w:val="none"/>
              </w:rPr>
              <w:t>基本账户银行账号</w:t>
            </w:r>
          </w:p>
        </w:tc>
        <w:tc>
          <w:tcPr>
            <w:tcW w:w="3209" w:type="dxa"/>
            <w:gridSpan w:val="3"/>
          </w:tcPr>
          <w:p w14:paraId="53DCC00D">
            <w:pPr>
              <w:rPr>
                <w:color w:val="auto"/>
                <w:highlight w:val="none"/>
              </w:rPr>
            </w:pPr>
          </w:p>
        </w:tc>
        <w:tc>
          <w:tcPr>
            <w:tcW w:w="414" w:type="dxa"/>
            <w:vMerge w:val="continue"/>
            <w:textDirection w:val="tbRlV"/>
          </w:tcPr>
          <w:p w14:paraId="63579534">
            <w:pPr>
              <w:rPr>
                <w:color w:val="auto"/>
                <w:highlight w:val="none"/>
              </w:rPr>
            </w:pPr>
          </w:p>
        </w:tc>
        <w:tc>
          <w:tcPr>
            <w:tcW w:w="1699" w:type="dxa"/>
            <w:gridSpan w:val="2"/>
          </w:tcPr>
          <w:p w14:paraId="2495D5FE">
            <w:pPr>
              <w:spacing w:before="171" w:line="220" w:lineRule="auto"/>
              <w:ind w:left="228"/>
              <w:rPr>
                <w:rFonts w:ascii="宋体" w:hAnsi="宋体" w:eastAsia="宋体"/>
                <w:color w:val="auto"/>
                <w:spacing w:val="-2"/>
                <w:highlight w:val="none"/>
              </w:rPr>
            </w:pPr>
            <w:r>
              <w:rPr>
                <w:rFonts w:ascii="宋体" w:hAnsi="宋体" w:eastAsia="宋体"/>
                <w:color w:val="auto"/>
                <w:spacing w:val="-2"/>
                <w:highlight w:val="none"/>
              </w:rPr>
              <w:t>各类注</w:t>
            </w:r>
            <w:r>
              <w:rPr>
                <w:rFonts w:ascii="宋体" w:hAnsi="宋体" w:eastAsia="宋体"/>
                <w:color w:val="auto"/>
                <w:spacing w:val="-1"/>
                <w:highlight w:val="none"/>
              </w:rPr>
              <w:t>册人员</w:t>
            </w:r>
          </w:p>
        </w:tc>
        <w:tc>
          <w:tcPr>
            <w:tcW w:w="1518" w:type="dxa"/>
            <w:gridSpan w:val="2"/>
          </w:tcPr>
          <w:p w14:paraId="5BE66F35">
            <w:pPr>
              <w:rPr>
                <w:color w:val="auto"/>
                <w:highlight w:val="none"/>
              </w:rPr>
            </w:pPr>
          </w:p>
        </w:tc>
      </w:tr>
      <w:tr w14:paraId="244E29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1" w:hRule="atLeast"/>
        </w:trPr>
        <w:tc>
          <w:tcPr>
            <w:tcW w:w="2050" w:type="dxa"/>
            <w:vAlign w:val="center"/>
          </w:tcPr>
          <w:p w14:paraId="46AE882B">
            <w:pPr>
              <w:spacing w:before="170" w:line="221" w:lineRule="auto"/>
              <w:jc w:val="center"/>
              <w:rPr>
                <w:rFonts w:ascii="宋体" w:hAnsi="宋体" w:eastAsia="宋体"/>
                <w:color w:val="auto"/>
                <w:spacing w:val="-1"/>
                <w:highlight w:val="none"/>
              </w:rPr>
            </w:pPr>
            <w:r>
              <w:rPr>
                <w:rFonts w:ascii="宋体" w:hAnsi="宋体" w:eastAsia="宋体"/>
                <w:color w:val="auto"/>
                <w:spacing w:val="-1"/>
                <w:highlight w:val="none"/>
              </w:rPr>
              <w:t>经营范围</w:t>
            </w:r>
          </w:p>
        </w:tc>
        <w:tc>
          <w:tcPr>
            <w:tcW w:w="6840" w:type="dxa"/>
            <w:gridSpan w:val="8"/>
          </w:tcPr>
          <w:p w14:paraId="4B79754D">
            <w:pPr>
              <w:rPr>
                <w:color w:val="auto"/>
                <w:highlight w:val="none"/>
              </w:rPr>
            </w:pPr>
          </w:p>
        </w:tc>
      </w:tr>
      <w:tr w14:paraId="214814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92" w:hRule="atLeast"/>
        </w:trPr>
        <w:tc>
          <w:tcPr>
            <w:tcW w:w="2050" w:type="dxa"/>
            <w:vAlign w:val="center"/>
          </w:tcPr>
          <w:p w14:paraId="393E93C3">
            <w:pPr>
              <w:spacing w:before="170" w:line="221" w:lineRule="auto"/>
              <w:jc w:val="center"/>
              <w:rPr>
                <w:rFonts w:ascii="宋体" w:hAnsi="宋体" w:eastAsia="宋体"/>
                <w:color w:val="auto"/>
                <w:spacing w:val="-1"/>
                <w:highlight w:val="none"/>
              </w:rPr>
            </w:pPr>
            <w:r>
              <w:rPr>
                <w:rFonts w:hint="eastAsia" w:ascii="宋体" w:hAnsi="宋体" w:eastAsia="宋体"/>
                <w:color w:val="auto"/>
                <w:spacing w:val="-1"/>
                <w:highlight w:val="none"/>
              </w:rPr>
              <w:t>投标人关联企业情</w:t>
            </w:r>
          </w:p>
          <w:p w14:paraId="2125B00D">
            <w:pPr>
              <w:spacing w:before="170" w:line="221" w:lineRule="auto"/>
              <w:jc w:val="center"/>
              <w:rPr>
                <w:rFonts w:ascii="宋体" w:hAnsi="宋体" w:eastAsia="宋体"/>
                <w:color w:val="auto"/>
                <w:spacing w:val="-1"/>
                <w:highlight w:val="none"/>
              </w:rPr>
            </w:pPr>
            <w:r>
              <w:rPr>
                <w:rFonts w:hint="eastAsia" w:ascii="宋体" w:hAnsi="宋体" w:eastAsia="宋体"/>
                <w:color w:val="auto"/>
                <w:spacing w:val="-1"/>
                <w:highlight w:val="none"/>
              </w:rPr>
              <w:t>况</w:t>
            </w:r>
            <w:r>
              <w:rPr>
                <w:color w:val="auto"/>
                <w:spacing w:val="-1"/>
                <w:highlight w:val="none"/>
              </w:rPr>
              <w:t>(</w:t>
            </w:r>
            <w:r>
              <w:rPr>
                <w:rFonts w:hint="eastAsia" w:ascii="宋体" w:hAnsi="宋体" w:eastAsia="宋体"/>
                <w:color w:val="auto"/>
                <w:spacing w:val="-1"/>
                <w:highlight w:val="none"/>
              </w:rPr>
              <w:t>包括但不限于与</w:t>
            </w:r>
          </w:p>
          <w:p w14:paraId="15D8205C">
            <w:pPr>
              <w:spacing w:before="170" w:line="221" w:lineRule="auto"/>
              <w:jc w:val="center"/>
              <w:rPr>
                <w:rFonts w:ascii="宋体" w:hAnsi="宋体" w:eastAsia="宋体"/>
                <w:color w:val="auto"/>
                <w:spacing w:val="-1"/>
                <w:highlight w:val="none"/>
              </w:rPr>
            </w:pPr>
            <w:r>
              <w:rPr>
                <w:rFonts w:hint="eastAsia" w:ascii="宋体" w:hAnsi="宋体" w:eastAsia="宋体"/>
                <w:color w:val="auto"/>
                <w:spacing w:val="-1"/>
                <w:highlight w:val="none"/>
              </w:rPr>
              <w:t>投标人法定代表人</w:t>
            </w:r>
          </w:p>
          <w:p w14:paraId="2DC73691">
            <w:pPr>
              <w:spacing w:before="170" w:line="221" w:lineRule="auto"/>
              <w:jc w:val="center"/>
              <w:rPr>
                <w:rFonts w:ascii="宋体" w:hAnsi="宋体" w:eastAsia="宋体"/>
                <w:color w:val="auto"/>
                <w:spacing w:val="-1"/>
                <w:highlight w:val="none"/>
              </w:rPr>
            </w:pPr>
            <w:r>
              <w:rPr>
                <w:rFonts w:hint="eastAsia" w:ascii="宋体" w:hAnsi="宋体" w:eastAsia="宋体"/>
                <w:color w:val="auto"/>
                <w:spacing w:val="-1"/>
                <w:highlight w:val="none"/>
              </w:rPr>
              <w:t>为同一人或者存在</w:t>
            </w:r>
          </w:p>
          <w:p w14:paraId="0741061E">
            <w:pPr>
              <w:spacing w:before="170" w:line="221" w:lineRule="auto"/>
              <w:jc w:val="center"/>
              <w:rPr>
                <w:rFonts w:ascii="宋体" w:hAnsi="宋体" w:eastAsia="宋体"/>
                <w:color w:val="auto"/>
                <w:spacing w:val="-1"/>
                <w:highlight w:val="none"/>
              </w:rPr>
            </w:pPr>
            <w:r>
              <w:rPr>
                <w:rFonts w:hint="eastAsia" w:ascii="宋体" w:hAnsi="宋体" w:eastAsia="宋体"/>
                <w:color w:val="auto"/>
                <w:spacing w:val="-1"/>
                <w:highlight w:val="none"/>
              </w:rPr>
              <w:t>控股、管理关系的不</w:t>
            </w:r>
          </w:p>
          <w:p w14:paraId="0732B644">
            <w:pPr>
              <w:spacing w:before="170" w:line="221" w:lineRule="auto"/>
              <w:jc w:val="center"/>
              <w:rPr>
                <w:rFonts w:ascii="宋体" w:hAnsi="宋体" w:eastAsia="宋体"/>
                <w:color w:val="auto"/>
                <w:spacing w:val="-1"/>
                <w:highlight w:val="none"/>
              </w:rPr>
            </w:pPr>
            <w:r>
              <w:rPr>
                <w:rFonts w:hint="eastAsia" w:ascii="宋体" w:hAnsi="宋体" w:eastAsia="宋体"/>
                <w:color w:val="auto"/>
                <w:spacing w:val="-1"/>
                <w:highlight w:val="none"/>
              </w:rPr>
              <w:t>同单位</w:t>
            </w:r>
            <w:r>
              <w:rPr>
                <w:color w:val="auto"/>
                <w:spacing w:val="-1"/>
                <w:highlight w:val="none"/>
              </w:rPr>
              <w:t>)</w:t>
            </w:r>
          </w:p>
        </w:tc>
        <w:tc>
          <w:tcPr>
            <w:tcW w:w="6840" w:type="dxa"/>
            <w:gridSpan w:val="8"/>
          </w:tcPr>
          <w:p w14:paraId="0D49F953">
            <w:pPr>
              <w:rPr>
                <w:color w:val="auto"/>
                <w:highlight w:val="none"/>
              </w:rPr>
            </w:pPr>
          </w:p>
        </w:tc>
      </w:tr>
      <w:tr w14:paraId="32646B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2050" w:type="dxa"/>
          </w:tcPr>
          <w:p w14:paraId="7E1D8A8F">
            <w:pPr>
              <w:spacing w:before="174" w:line="222" w:lineRule="auto"/>
              <w:ind w:left="822"/>
              <w:rPr>
                <w:rFonts w:ascii="宋体" w:hAnsi="宋体" w:eastAsia="宋体"/>
                <w:color w:val="auto"/>
                <w:spacing w:val="-4"/>
                <w:highlight w:val="none"/>
              </w:rPr>
            </w:pPr>
            <w:r>
              <w:rPr>
                <w:rFonts w:ascii="宋体" w:hAnsi="宋体" w:eastAsia="宋体"/>
                <w:color w:val="auto"/>
                <w:spacing w:val="-4"/>
                <w:highlight w:val="none"/>
              </w:rPr>
              <w:t>备</w:t>
            </w:r>
            <w:r>
              <w:rPr>
                <w:rFonts w:ascii="宋体" w:hAnsi="宋体" w:eastAsia="宋体"/>
                <w:color w:val="auto"/>
                <w:spacing w:val="-2"/>
                <w:highlight w:val="none"/>
              </w:rPr>
              <w:t>注</w:t>
            </w:r>
          </w:p>
        </w:tc>
        <w:tc>
          <w:tcPr>
            <w:tcW w:w="6840" w:type="dxa"/>
            <w:gridSpan w:val="8"/>
          </w:tcPr>
          <w:p w14:paraId="6C0C7946">
            <w:pPr>
              <w:rPr>
                <w:color w:val="auto"/>
                <w:highlight w:val="none"/>
              </w:rPr>
            </w:pPr>
          </w:p>
        </w:tc>
      </w:tr>
    </w:tbl>
    <w:p w14:paraId="0B1D7291">
      <w:pPr>
        <w:spacing w:before="134" w:line="228" w:lineRule="auto"/>
        <w:ind w:left="135"/>
        <w:rPr>
          <w:rFonts w:ascii="宋体" w:hAnsi="宋体" w:eastAsia="宋体"/>
          <w:color w:val="auto"/>
          <w:highlight w:val="none"/>
        </w:rPr>
      </w:pPr>
      <w:r>
        <w:rPr>
          <w:rFonts w:hint="eastAsia" w:ascii="宋体" w:hAnsi="宋体" w:eastAsia="宋体"/>
          <w:color w:val="auto"/>
          <w:highlight w:val="none"/>
        </w:rPr>
        <w:t>注：投标人应根据投标人须知第3.5.1项的要求在本表后附相关证明材料。</w:t>
      </w:r>
    </w:p>
    <w:p w14:paraId="6F2C96E5">
      <w:pPr>
        <w:spacing w:before="134" w:line="228" w:lineRule="auto"/>
        <w:ind w:left="135"/>
        <w:rPr>
          <w:rFonts w:ascii="黑体" w:hAnsi="黑体" w:eastAsia="黑体"/>
          <w:color w:val="auto"/>
          <w:spacing w:val="34"/>
          <w:sz w:val="27"/>
          <w:szCs w:val="27"/>
          <w:highlight w:val="none"/>
        </w:rPr>
      </w:pPr>
      <w:r>
        <w:rPr>
          <w:rFonts w:ascii="黑体" w:hAnsi="黑体" w:eastAsia="黑体"/>
          <w:color w:val="auto"/>
          <w:spacing w:val="34"/>
          <w:sz w:val="27"/>
          <w:szCs w:val="27"/>
          <w:highlight w:val="none"/>
        </w:rPr>
        <w:br w:type="page"/>
      </w:r>
    </w:p>
    <w:p w14:paraId="0E52BB18">
      <w:pPr>
        <w:rPr>
          <w:rFonts w:ascii="黑体" w:hAnsi="黑体" w:eastAsia="黑体"/>
          <w:color w:val="auto"/>
          <w:spacing w:val="34"/>
          <w:sz w:val="27"/>
          <w:szCs w:val="27"/>
          <w:highlight w:val="none"/>
        </w:rPr>
      </w:pPr>
      <w:bookmarkStart w:id="477" w:name="_Toc17885"/>
      <w:bookmarkStart w:id="478" w:name="_Toc31959"/>
      <w:bookmarkStart w:id="479" w:name="_Toc22738"/>
      <w:bookmarkStart w:id="480" w:name="_Toc25484"/>
      <w:bookmarkStart w:id="481" w:name="_Toc22530"/>
      <w:r>
        <w:rPr>
          <w:rFonts w:ascii="黑体" w:hAnsi="黑体" w:eastAsia="黑体"/>
          <w:color w:val="auto"/>
          <w:spacing w:val="34"/>
          <w:sz w:val="27"/>
          <w:szCs w:val="27"/>
          <w:highlight w:val="none"/>
        </w:rPr>
        <w:t>(二)</w:t>
      </w:r>
      <w:r>
        <w:rPr>
          <w:rFonts w:hint="eastAsia" w:ascii="黑体" w:hAnsi="黑体" w:eastAsia="黑体"/>
          <w:color w:val="auto"/>
          <w:spacing w:val="34"/>
          <w:sz w:val="27"/>
          <w:szCs w:val="27"/>
          <w:highlight w:val="none"/>
        </w:rPr>
        <w:t>投标人声明</w:t>
      </w:r>
      <w:bookmarkEnd w:id="477"/>
      <w:bookmarkEnd w:id="478"/>
      <w:bookmarkEnd w:id="479"/>
      <w:bookmarkEnd w:id="480"/>
      <w:bookmarkEnd w:id="481"/>
    </w:p>
    <w:p w14:paraId="2E3F5C17">
      <w:pPr>
        <w:spacing w:line="303" w:lineRule="auto"/>
        <w:rPr>
          <w:color w:val="auto"/>
          <w:highlight w:val="none"/>
        </w:rPr>
      </w:pPr>
    </w:p>
    <w:p w14:paraId="7C6BBE1A">
      <w:pPr>
        <w:spacing w:line="303" w:lineRule="auto"/>
        <w:rPr>
          <w:color w:val="auto"/>
          <w:highlight w:val="none"/>
        </w:rPr>
      </w:pPr>
    </w:p>
    <w:p w14:paraId="2633C19C">
      <w:pPr>
        <w:spacing w:line="360" w:lineRule="auto"/>
        <w:rPr>
          <w:rFonts w:ascii="宋体" w:hAnsi="宋体"/>
          <w:color w:val="auto"/>
          <w:highlight w:val="none"/>
        </w:rPr>
      </w:pPr>
    </w:p>
    <w:p w14:paraId="3FA325B3">
      <w:pPr>
        <w:jc w:val="center"/>
        <w:rPr>
          <w:rFonts w:ascii="宋体" w:hAnsi="宋体"/>
          <w:b/>
          <w:color w:val="auto"/>
          <w:sz w:val="32"/>
          <w:highlight w:val="none"/>
        </w:rPr>
      </w:pPr>
      <w:r>
        <w:rPr>
          <w:rFonts w:hint="eastAsia" w:ascii="宋体" w:hAnsi="宋体"/>
          <w:b/>
          <w:color w:val="auto"/>
          <w:sz w:val="32"/>
          <w:highlight w:val="none"/>
        </w:rPr>
        <w:t>投标人声明（参考格式）</w:t>
      </w:r>
    </w:p>
    <w:p w14:paraId="50ED7D8A">
      <w:pPr>
        <w:pStyle w:val="57"/>
        <w:spacing w:line="400" w:lineRule="exact"/>
        <w:ind w:firstLine="480"/>
        <w:rPr>
          <w:rFonts w:ascii="宋体" w:hAnsi="宋体" w:eastAsia="宋体"/>
          <w:color w:val="auto"/>
          <w:sz w:val="24"/>
          <w:szCs w:val="24"/>
          <w:highlight w:val="none"/>
        </w:rPr>
      </w:pPr>
    </w:p>
    <w:p w14:paraId="0851778B">
      <w:pPr>
        <w:pStyle w:val="57"/>
        <w:spacing w:line="400" w:lineRule="exact"/>
        <w:ind w:firstLine="0"/>
        <w:rPr>
          <w:rFonts w:ascii="宋体" w:hAnsi="宋体" w:eastAsia="宋体"/>
          <w:color w:val="auto"/>
          <w:sz w:val="21"/>
          <w:szCs w:val="21"/>
          <w:highlight w:val="none"/>
        </w:rPr>
      </w:pPr>
      <w:r>
        <w:rPr>
          <w:rFonts w:hint="eastAsia" w:ascii="宋体" w:hAnsi="宋体" w:eastAsia="宋体"/>
          <w:color w:val="auto"/>
          <w:sz w:val="21"/>
          <w:szCs w:val="21"/>
          <w:highlight w:val="none"/>
        </w:rPr>
        <w:t>广州市水务局、本招标项目招标人及招标监管机构：</w:t>
      </w:r>
    </w:p>
    <w:p w14:paraId="7F641329">
      <w:pPr>
        <w:pStyle w:val="57"/>
        <w:spacing w:line="400" w:lineRule="exact"/>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本公司就参加</w:t>
      </w:r>
      <w:r>
        <w:rPr>
          <w:rFonts w:hint="eastAsia"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 xml:space="preserve">投标工作，作出郑重声明：我方与招标人过去3年内无合同履约纠纷，不存在第二章“投标人须知”第1.4.3项规定的任何一种情形。 </w:t>
      </w:r>
    </w:p>
    <w:p w14:paraId="793E1339">
      <w:pPr>
        <w:pStyle w:val="57"/>
        <w:spacing w:line="400" w:lineRule="exact"/>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本公司积极响应广州市关于投身“百千万工程”的号召，主动参与政府投资类建设工程施工项目的建筑业结对帮扶等活动（市属国有企业投资项目参照执行）。</w:t>
      </w:r>
    </w:p>
    <w:p w14:paraId="7F5D9311">
      <w:pPr>
        <w:pStyle w:val="57"/>
        <w:spacing w:line="400" w:lineRule="exact"/>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特此声明。</w:t>
      </w:r>
    </w:p>
    <w:p w14:paraId="0B1F3C47">
      <w:pPr>
        <w:pStyle w:val="57"/>
        <w:spacing w:line="400" w:lineRule="exact"/>
        <w:rPr>
          <w:rFonts w:ascii="宋体" w:hAnsi="宋体" w:eastAsia="宋体"/>
          <w:color w:val="auto"/>
          <w:sz w:val="21"/>
          <w:szCs w:val="21"/>
          <w:highlight w:val="none"/>
        </w:rPr>
      </w:pPr>
    </w:p>
    <w:p w14:paraId="4761D05B">
      <w:pPr>
        <w:pStyle w:val="58"/>
        <w:spacing w:line="400" w:lineRule="exact"/>
        <w:ind w:left="0" w:right="1449" w:firstLine="3570" w:firstLineChars="1700"/>
        <w:jc w:val="both"/>
        <w:rPr>
          <w:rFonts w:ascii="宋体" w:hAnsi="宋体" w:eastAsia="宋体"/>
          <w:color w:val="auto"/>
          <w:sz w:val="21"/>
          <w:szCs w:val="21"/>
          <w:highlight w:val="none"/>
        </w:rPr>
      </w:pPr>
      <w:r>
        <w:rPr>
          <w:rFonts w:hint="eastAsia" w:ascii="宋体" w:hAnsi="宋体" w:eastAsia="宋体"/>
          <w:color w:val="auto"/>
          <w:sz w:val="21"/>
          <w:szCs w:val="21"/>
          <w:highlight w:val="none"/>
        </w:rPr>
        <w:t>投标人：(盖章)</w:t>
      </w:r>
    </w:p>
    <w:p w14:paraId="32F1E90E">
      <w:pPr>
        <w:pStyle w:val="57"/>
        <w:spacing w:line="400" w:lineRule="exact"/>
        <w:ind w:right="1449" w:firstLine="420"/>
        <w:jc w:val="center"/>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                        法定代表人：（签字或盖章）                  </w:t>
      </w:r>
    </w:p>
    <w:p w14:paraId="3C0A9488">
      <w:pPr>
        <w:pStyle w:val="57"/>
        <w:spacing w:line="400" w:lineRule="exact"/>
        <w:ind w:right="2079" w:firstLine="1890" w:firstLineChars="900"/>
        <w:jc w:val="right"/>
        <w:rPr>
          <w:rFonts w:ascii="宋体" w:hAnsi="宋体" w:eastAsia="宋体"/>
          <w:color w:val="auto"/>
          <w:sz w:val="21"/>
          <w:szCs w:val="21"/>
          <w:highlight w:val="none"/>
        </w:rPr>
      </w:pPr>
      <w:r>
        <w:rPr>
          <w:rFonts w:hint="eastAsia" w:ascii="宋体" w:hAnsi="宋体" w:eastAsia="宋体"/>
          <w:color w:val="auto"/>
          <w:sz w:val="21"/>
          <w:szCs w:val="21"/>
          <w:highlight w:val="none"/>
        </w:rPr>
        <w:t>年   月   日</w:t>
      </w:r>
    </w:p>
    <w:p w14:paraId="5440B9C6">
      <w:pPr>
        <w:rPr>
          <w:rFonts w:ascii="宋体" w:hAnsi="宋体"/>
          <w:color w:val="auto"/>
          <w:highlight w:val="none"/>
        </w:rPr>
      </w:pPr>
    </w:p>
    <w:p w14:paraId="568F9199">
      <w:pPr>
        <w:rPr>
          <w:rFonts w:ascii="宋体" w:hAnsi="宋体"/>
          <w:color w:val="auto"/>
          <w:highlight w:val="none"/>
        </w:rPr>
        <w:sectPr>
          <w:footerReference r:id="rId27" w:type="default"/>
          <w:pgSz w:w="12240" w:h="15840"/>
          <w:pgMar w:top="1346" w:right="1836" w:bottom="1104" w:left="1836" w:header="0" w:footer="940" w:gutter="0"/>
          <w:cols w:space="720" w:num="1"/>
        </w:sectPr>
      </w:pPr>
    </w:p>
    <w:p w14:paraId="28E7C7AD">
      <w:pPr>
        <w:rPr>
          <w:rFonts w:ascii="黑体" w:hAnsi="黑体" w:eastAsia="黑体"/>
          <w:color w:val="auto"/>
          <w:spacing w:val="34"/>
          <w:sz w:val="27"/>
          <w:szCs w:val="27"/>
          <w:highlight w:val="none"/>
        </w:rPr>
      </w:pPr>
      <w:r>
        <w:rPr>
          <w:rFonts w:ascii="黑体" w:hAnsi="黑体" w:eastAsia="黑体"/>
          <w:color w:val="auto"/>
          <w:spacing w:val="34"/>
          <w:sz w:val="27"/>
          <w:szCs w:val="27"/>
          <w:highlight w:val="none"/>
        </w:rPr>
        <w:t>(</w:t>
      </w:r>
      <w:r>
        <w:rPr>
          <w:rFonts w:hint="eastAsia" w:ascii="黑体" w:hAnsi="黑体" w:eastAsia="黑体"/>
          <w:color w:val="auto"/>
          <w:spacing w:val="34"/>
          <w:sz w:val="27"/>
          <w:szCs w:val="27"/>
          <w:highlight w:val="none"/>
        </w:rPr>
        <w:t>三</w:t>
      </w:r>
      <w:r>
        <w:rPr>
          <w:rFonts w:ascii="黑体" w:hAnsi="黑体" w:eastAsia="黑体"/>
          <w:color w:val="auto"/>
          <w:spacing w:val="34"/>
          <w:sz w:val="27"/>
          <w:szCs w:val="27"/>
          <w:highlight w:val="none"/>
        </w:rPr>
        <w:t>)投标人廉洁承诺书</w:t>
      </w:r>
    </w:p>
    <w:p w14:paraId="29EEDAB4">
      <w:pPr>
        <w:pStyle w:val="44"/>
        <w:spacing w:before="120" w:after="120" w:line="360" w:lineRule="auto"/>
        <w:ind w:firstLine="482"/>
        <w:jc w:val="center"/>
        <w:rPr>
          <w:rFonts w:ascii="宋体" w:hAnsi="宋体" w:eastAsia="宋体"/>
          <w:b/>
          <w:bCs/>
          <w:color w:val="auto"/>
          <w:sz w:val="32"/>
          <w:szCs w:val="32"/>
          <w:highlight w:val="none"/>
        </w:rPr>
      </w:pPr>
      <w:r>
        <w:rPr>
          <w:rFonts w:hint="eastAsia" w:ascii="宋体" w:hAnsi="宋体" w:eastAsia="宋体"/>
          <w:b/>
          <w:bCs/>
          <w:color w:val="auto"/>
          <w:sz w:val="32"/>
          <w:szCs w:val="32"/>
          <w:highlight w:val="none"/>
        </w:rPr>
        <w:t>投标人廉洁承诺书</w:t>
      </w:r>
    </w:p>
    <w:p w14:paraId="16B305BC">
      <w:pPr>
        <w:pStyle w:val="44"/>
        <w:shd w:val="clear" w:color="auto" w:fill="FFFFFF"/>
        <w:spacing w:before="0" w:beforeAutospacing="0" w:after="0" w:afterAutospacing="0" w:line="360" w:lineRule="auto"/>
        <w:rPr>
          <w:rFonts w:ascii="宋体" w:hAnsi="宋体" w:eastAsia="宋体"/>
          <w:color w:val="auto"/>
          <w:sz w:val="21"/>
          <w:highlight w:val="none"/>
        </w:rPr>
      </w:pPr>
      <w:r>
        <w:rPr>
          <w:rFonts w:hint="eastAsia" w:ascii="宋体" w:hAnsi="宋体" w:eastAsia="宋体"/>
          <w:color w:val="auto"/>
          <w:sz w:val="21"/>
          <w:highlight w:val="none"/>
        </w:rPr>
        <w:t>广州市水务局、本招标项目招标人及招标监管机构：</w:t>
      </w:r>
    </w:p>
    <w:p w14:paraId="046D3765">
      <w:pPr>
        <w:pStyle w:val="37"/>
        <w:spacing w:line="360" w:lineRule="auto"/>
        <w:ind w:right="420" w:firstLine="420" w:firstLineChars="200"/>
        <w:jc w:val="both"/>
        <w:rPr>
          <w:rFonts w:hAnsi="宋体" w:eastAsia="宋体"/>
          <w:color w:val="auto"/>
          <w:szCs w:val="21"/>
          <w:highlight w:val="none"/>
        </w:rPr>
      </w:pPr>
      <w:r>
        <w:rPr>
          <w:rFonts w:hint="eastAsia" w:hAnsi="宋体" w:eastAsia="宋体"/>
          <w:color w:val="auto"/>
          <w:szCs w:val="21"/>
          <w:highlight w:val="none"/>
        </w:rPr>
        <w:t>本公司参加了</w:t>
      </w:r>
      <w:r>
        <w:rPr>
          <w:rFonts w:hint="eastAsia" w:hAnsi="宋体" w:eastAsia="宋体"/>
          <w:color w:val="auto"/>
          <w:szCs w:val="21"/>
          <w:highlight w:val="none"/>
          <w:u w:val="single"/>
        </w:rPr>
        <w:t xml:space="preserve">   （项目名称/标段名称）    </w:t>
      </w:r>
      <w:r>
        <w:rPr>
          <w:rFonts w:hint="eastAsia" w:hAnsi="宋体" w:eastAsia="宋体"/>
          <w:color w:val="auto"/>
          <w:szCs w:val="21"/>
          <w:highlight w:val="none"/>
        </w:rPr>
        <w:t>投标， 为确保招标工作的公平、公正、公开、有序进行，我们保证遵守《中华人民共和国招标投标法》、《中华人民共和国招标投标法实施条例》、《广东省实施&lt;中华人民共和国招标投标法&gt;办法》等法律法规，特承诺如下事项：</w:t>
      </w:r>
    </w:p>
    <w:p w14:paraId="0A677D31">
      <w:pPr>
        <w:pStyle w:val="37"/>
        <w:spacing w:line="360" w:lineRule="auto"/>
        <w:ind w:right="420" w:firstLine="420" w:firstLineChars="200"/>
        <w:rPr>
          <w:rFonts w:hAnsi="宋体" w:eastAsia="宋体"/>
          <w:color w:val="auto"/>
          <w:szCs w:val="21"/>
          <w:highlight w:val="none"/>
        </w:rPr>
      </w:pPr>
      <w:r>
        <w:rPr>
          <w:rFonts w:hint="eastAsia" w:hAnsi="宋体" w:eastAsia="宋体"/>
          <w:color w:val="auto"/>
          <w:szCs w:val="21"/>
          <w:highlight w:val="none"/>
        </w:rPr>
        <w:t>一、自觉遵守国家有关法律法规及廉洁规定。</w:t>
      </w:r>
    </w:p>
    <w:p w14:paraId="37CB03BC">
      <w:pPr>
        <w:pStyle w:val="37"/>
        <w:spacing w:line="360" w:lineRule="auto"/>
        <w:ind w:right="420" w:firstLine="420" w:firstLineChars="200"/>
        <w:jc w:val="both"/>
        <w:rPr>
          <w:rFonts w:hAnsi="宋体" w:eastAsia="宋体"/>
          <w:color w:val="auto"/>
          <w:szCs w:val="21"/>
          <w:highlight w:val="none"/>
        </w:rPr>
      </w:pPr>
      <w:r>
        <w:rPr>
          <w:rFonts w:hint="eastAsia" w:hAnsi="宋体" w:eastAsia="宋体"/>
          <w:color w:val="auto"/>
          <w:szCs w:val="21"/>
          <w:highlight w:val="none"/>
        </w:rPr>
        <w:t>二、不与招标单位工作人员串通投标，损害国家利益、企业利益以及他人的合法利益；</w:t>
      </w:r>
    </w:p>
    <w:p w14:paraId="0FF26725">
      <w:pPr>
        <w:pStyle w:val="37"/>
        <w:spacing w:line="360" w:lineRule="auto"/>
        <w:ind w:right="420" w:firstLine="420" w:firstLineChars="200"/>
        <w:jc w:val="both"/>
        <w:rPr>
          <w:rFonts w:hAnsi="宋体" w:eastAsia="宋体"/>
          <w:color w:val="auto"/>
          <w:szCs w:val="21"/>
          <w:highlight w:val="none"/>
        </w:rPr>
      </w:pPr>
      <w:r>
        <w:rPr>
          <w:rFonts w:hint="eastAsia" w:hAnsi="宋体" w:eastAsia="宋体"/>
          <w:color w:val="auto"/>
          <w:szCs w:val="21"/>
          <w:highlight w:val="none"/>
        </w:rPr>
        <w:t>三、不与其他单位围标、串标，不出让投标资格，不向招标人或评标委员会成员行贿。</w:t>
      </w:r>
    </w:p>
    <w:p w14:paraId="3AA5CD00">
      <w:pPr>
        <w:pStyle w:val="37"/>
        <w:spacing w:line="360" w:lineRule="auto"/>
        <w:ind w:right="420" w:firstLine="420" w:firstLineChars="200"/>
        <w:jc w:val="both"/>
        <w:rPr>
          <w:rFonts w:hAnsi="宋体" w:eastAsia="宋体"/>
          <w:color w:val="auto"/>
          <w:szCs w:val="21"/>
          <w:highlight w:val="none"/>
        </w:rPr>
      </w:pPr>
      <w:r>
        <w:rPr>
          <w:rFonts w:hint="eastAsia" w:hAnsi="宋体" w:eastAsia="宋体"/>
          <w:color w:val="auto"/>
          <w:szCs w:val="21"/>
          <w:highlight w:val="none"/>
        </w:rPr>
        <w:t xml:space="preserve">四、不以任何名义向参与招标、评标工作的有关人员提供高消费宴请及娱乐活动和赠送回扣、红包、礼金、购物卡、有价证券、贵重物品和好处费、感谢费等； </w:t>
      </w:r>
    </w:p>
    <w:p w14:paraId="4F659CBF">
      <w:pPr>
        <w:pStyle w:val="37"/>
        <w:spacing w:line="360" w:lineRule="auto"/>
        <w:ind w:right="420" w:firstLine="420" w:firstLineChars="200"/>
        <w:jc w:val="both"/>
        <w:rPr>
          <w:rFonts w:hAnsi="宋体" w:eastAsia="宋体"/>
          <w:color w:val="auto"/>
          <w:szCs w:val="21"/>
          <w:highlight w:val="none"/>
        </w:rPr>
      </w:pPr>
      <w:r>
        <w:rPr>
          <w:rFonts w:hint="eastAsia" w:hAnsi="宋体" w:eastAsia="宋体"/>
          <w:color w:val="auto"/>
          <w:szCs w:val="21"/>
          <w:highlight w:val="none"/>
        </w:rPr>
        <w:t>五、不以任何名义为参与招标、评标工作的有关人员装修住房、婚丧嫁取、配偶子女的工作安排以及境内外旅游等提供方便；</w:t>
      </w:r>
    </w:p>
    <w:p w14:paraId="008D3434">
      <w:pPr>
        <w:pStyle w:val="37"/>
        <w:spacing w:line="360" w:lineRule="auto"/>
        <w:ind w:right="420" w:firstLine="420" w:firstLineChars="200"/>
        <w:rPr>
          <w:rFonts w:hAnsi="宋体" w:eastAsia="宋体"/>
          <w:color w:val="auto"/>
          <w:szCs w:val="21"/>
          <w:highlight w:val="none"/>
        </w:rPr>
      </w:pPr>
      <w:r>
        <w:rPr>
          <w:rFonts w:hint="eastAsia" w:hAnsi="宋体" w:eastAsia="宋体"/>
          <w:color w:val="auto"/>
          <w:szCs w:val="21"/>
          <w:highlight w:val="none"/>
        </w:rPr>
        <w:t>六、不以谋取非正当利益为目的，擅自与参与招标、评标工作的有关人员就业务问题进行私下商谈或者达成利益默契。</w:t>
      </w:r>
    </w:p>
    <w:p w14:paraId="306C03E7">
      <w:pPr>
        <w:pStyle w:val="44"/>
        <w:shd w:val="clear" w:color="auto" w:fill="FFFFFF"/>
        <w:spacing w:before="0" w:beforeAutospacing="0" w:after="0" w:afterAutospacing="0" w:line="360" w:lineRule="auto"/>
        <w:ind w:firstLine="420" w:firstLineChars="200"/>
        <w:rPr>
          <w:rFonts w:ascii="宋体" w:hAnsi="宋体" w:eastAsia="宋体"/>
          <w:color w:val="auto"/>
          <w:sz w:val="21"/>
          <w:highlight w:val="none"/>
        </w:rPr>
      </w:pPr>
      <w:r>
        <w:rPr>
          <w:rFonts w:hint="eastAsia" w:ascii="宋体" w:hAnsi="宋体" w:eastAsia="宋体"/>
          <w:color w:val="auto"/>
          <w:sz w:val="21"/>
          <w:highlight w:val="none"/>
        </w:rPr>
        <w:t>本公司违反上述承诺，或本承诺陈述与事实不符，经查实，本公司愿意接受公开通报，承担由此带来的法律后果。</w:t>
      </w:r>
    </w:p>
    <w:p w14:paraId="04ACEA68">
      <w:pPr>
        <w:pStyle w:val="44"/>
        <w:shd w:val="clear" w:color="auto" w:fill="FFFFFF"/>
        <w:spacing w:before="0" w:beforeAutospacing="0" w:after="0" w:afterAutospacing="0" w:line="360" w:lineRule="auto"/>
        <w:ind w:firstLine="420" w:firstLineChars="200"/>
        <w:rPr>
          <w:rFonts w:ascii="宋体" w:hAnsi="宋体" w:eastAsia="宋体"/>
          <w:color w:val="auto"/>
          <w:sz w:val="21"/>
          <w:highlight w:val="none"/>
        </w:rPr>
      </w:pPr>
      <w:r>
        <w:rPr>
          <w:rFonts w:hint="eastAsia" w:ascii="宋体" w:hAnsi="宋体" w:eastAsia="宋体"/>
          <w:color w:val="auto"/>
          <w:sz w:val="21"/>
          <w:highlight w:val="none"/>
        </w:rPr>
        <w:t>特此承诺。</w:t>
      </w:r>
    </w:p>
    <w:p w14:paraId="2BCFBE00">
      <w:pPr>
        <w:pStyle w:val="44"/>
        <w:shd w:val="clear" w:color="auto" w:fill="FFFFFF"/>
        <w:spacing w:before="0" w:beforeAutospacing="0" w:after="0" w:afterAutospacing="0" w:line="360" w:lineRule="auto"/>
        <w:ind w:right="1455" w:firstLine="2880"/>
        <w:jc w:val="right"/>
        <w:rPr>
          <w:rFonts w:ascii="宋体" w:hAnsi="宋体" w:eastAsia="宋体"/>
          <w:color w:val="auto"/>
          <w:sz w:val="21"/>
          <w:highlight w:val="none"/>
        </w:rPr>
      </w:pPr>
      <w:r>
        <w:rPr>
          <w:rFonts w:hint="eastAsia" w:ascii="宋体" w:hAnsi="宋体" w:eastAsia="宋体"/>
          <w:color w:val="auto"/>
          <w:sz w:val="21"/>
          <w:highlight w:val="none"/>
        </w:rPr>
        <w:t>承诺企业（</w:t>
      </w:r>
      <w:r>
        <w:rPr>
          <w:rFonts w:hint="eastAsia" w:ascii="宋体" w:hAnsi="宋体"/>
          <w:color w:val="auto"/>
          <w:sz w:val="21"/>
          <w:highlight w:val="none"/>
        </w:rPr>
        <w:t>盖</w:t>
      </w:r>
      <w:r>
        <w:rPr>
          <w:rFonts w:hint="eastAsia" w:ascii="宋体" w:hAnsi="宋体" w:eastAsia="宋体"/>
          <w:color w:val="auto"/>
          <w:sz w:val="21"/>
          <w:highlight w:val="none"/>
        </w:rPr>
        <w:t>单位章）：      </w:t>
      </w:r>
    </w:p>
    <w:p w14:paraId="469DDB0D">
      <w:pPr>
        <w:pStyle w:val="44"/>
        <w:shd w:val="clear" w:color="auto" w:fill="FFFFFF"/>
        <w:spacing w:before="0" w:beforeAutospacing="0" w:after="0" w:afterAutospacing="0" w:line="360" w:lineRule="auto"/>
        <w:ind w:firstLine="480"/>
        <w:jc w:val="right"/>
        <w:rPr>
          <w:rFonts w:ascii="宋体" w:hAnsi="宋体" w:eastAsia="宋体"/>
          <w:color w:val="auto"/>
          <w:sz w:val="21"/>
          <w:highlight w:val="none"/>
        </w:rPr>
      </w:pPr>
      <w:r>
        <w:rPr>
          <w:rFonts w:hint="eastAsia" w:ascii="宋体" w:hAnsi="宋体" w:eastAsia="宋体"/>
          <w:color w:val="auto"/>
          <w:sz w:val="21"/>
          <w:highlight w:val="none"/>
        </w:rPr>
        <w:t>法定代表人签字：</w:t>
      </w:r>
      <w:r>
        <w:rPr>
          <w:rFonts w:hint="eastAsia" w:ascii="宋体" w:hAnsi="宋体"/>
          <w:color w:val="auto"/>
          <w:sz w:val="21"/>
          <w:highlight w:val="none"/>
        </w:rPr>
        <w:t xml:space="preserve">           </w:t>
      </w:r>
    </w:p>
    <w:p w14:paraId="70460D5D">
      <w:pPr>
        <w:pStyle w:val="44"/>
        <w:shd w:val="clear" w:color="auto" w:fill="FFFFFF"/>
        <w:ind w:firstLine="480"/>
        <w:jc w:val="right"/>
        <w:rPr>
          <w:rFonts w:ascii="宋体" w:hAnsi="宋体" w:eastAsia="宋体"/>
          <w:color w:val="auto"/>
          <w:sz w:val="21"/>
          <w:highlight w:val="none"/>
        </w:rPr>
      </w:pPr>
      <w:r>
        <w:rPr>
          <w:rFonts w:hint="eastAsia" w:ascii="宋体" w:hAnsi="宋体" w:eastAsia="宋体"/>
          <w:color w:val="auto"/>
          <w:sz w:val="21"/>
          <w:highlight w:val="none"/>
        </w:rPr>
        <w:t>年   月   日</w:t>
      </w:r>
      <w:bookmarkStart w:id="482" w:name="bookmark193"/>
      <w:bookmarkEnd w:id="482"/>
    </w:p>
    <w:p w14:paraId="79DECE0C">
      <w:pPr>
        <w:pStyle w:val="44"/>
        <w:shd w:val="clear" w:color="auto" w:fill="FFFFFF"/>
        <w:spacing w:before="0" w:line="228" w:lineRule="auto"/>
        <w:ind w:left="163" w:firstLine="480"/>
        <w:jc w:val="right"/>
        <w:rPr>
          <w:rFonts w:ascii="黑体" w:hAnsi="黑体" w:eastAsia="黑体"/>
          <w:color w:val="auto"/>
          <w:spacing w:val="30"/>
          <w:sz w:val="27"/>
          <w:szCs w:val="27"/>
          <w:highlight w:val="none"/>
        </w:rPr>
        <w:sectPr>
          <w:footerReference r:id="rId28" w:type="default"/>
          <w:pgSz w:w="12240" w:h="15840"/>
          <w:pgMar w:top="1346" w:right="1836" w:bottom="1104" w:left="1808" w:header="0" w:footer="940" w:gutter="0"/>
          <w:cols w:space="720" w:num="1"/>
        </w:sectPr>
      </w:pPr>
    </w:p>
    <w:p w14:paraId="331B6F2E">
      <w:pPr>
        <w:rPr>
          <w:rFonts w:ascii="黑体" w:hAnsi="黑体" w:eastAsia="黑体"/>
          <w:color w:val="auto"/>
          <w:spacing w:val="30"/>
          <w:sz w:val="27"/>
          <w:szCs w:val="27"/>
          <w:highlight w:val="none"/>
        </w:rPr>
      </w:pPr>
      <w:r>
        <w:rPr>
          <w:rFonts w:ascii="黑体" w:hAnsi="黑体" w:eastAsia="黑体"/>
          <w:color w:val="auto"/>
          <w:spacing w:val="30"/>
          <w:sz w:val="27"/>
          <w:szCs w:val="27"/>
          <w:highlight w:val="none"/>
        </w:rPr>
        <w:t>(</w:t>
      </w:r>
      <w:r>
        <w:rPr>
          <w:rFonts w:hint="eastAsia" w:ascii="黑体" w:hAnsi="黑体" w:eastAsia="黑体"/>
          <w:color w:val="auto"/>
          <w:spacing w:val="25"/>
          <w:sz w:val="27"/>
          <w:szCs w:val="27"/>
          <w:highlight w:val="none"/>
        </w:rPr>
        <w:t>四</w:t>
      </w:r>
      <w:r>
        <w:rPr>
          <w:rFonts w:ascii="黑体" w:hAnsi="黑体" w:eastAsia="黑体"/>
          <w:color w:val="auto"/>
          <w:spacing w:val="25"/>
          <w:sz w:val="27"/>
          <w:szCs w:val="27"/>
          <w:highlight w:val="none"/>
        </w:rPr>
        <w:t>)近年完成的类似项目情况表</w:t>
      </w:r>
    </w:p>
    <w:p w14:paraId="42D34090">
      <w:pPr>
        <w:rPr>
          <w:color w:val="auto"/>
          <w:highlight w:val="none"/>
        </w:rPr>
      </w:pPr>
    </w:p>
    <w:p w14:paraId="7DB65DFC">
      <w:pPr>
        <w:rPr>
          <w:color w:val="auto"/>
          <w:highlight w:val="none"/>
        </w:rPr>
      </w:pPr>
    </w:p>
    <w:p w14:paraId="0B1C9BAE">
      <w:pPr>
        <w:spacing w:line="26" w:lineRule="exact"/>
        <w:rPr>
          <w:color w:val="auto"/>
          <w:highlight w:val="none"/>
        </w:rPr>
      </w:pPr>
    </w:p>
    <w:tbl>
      <w:tblPr>
        <w:tblStyle w:val="19"/>
        <w:tblW w:w="8525" w:type="dxa"/>
        <w:tblInd w:w="4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71"/>
        <w:gridCol w:w="6254"/>
      </w:tblGrid>
      <w:tr w14:paraId="3BDD46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trPr>
        <w:tc>
          <w:tcPr>
            <w:tcW w:w="2271" w:type="dxa"/>
          </w:tcPr>
          <w:p w14:paraId="55A50E9D">
            <w:pPr>
              <w:spacing w:before="290" w:line="220" w:lineRule="auto"/>
              <w:ind w:left="724"/>
              <w:rPr>
                <w:rFonts w:ascii="宋体" w:hAnsi="宋体" w:eastAsia="宋体"/>
                <w:color w:val="auto"/>
                <w:spacing w:val="-3"/>
                <w:highlight w:val="none"/>
              </w:rPr>
            </w:pPr>
            <w:r>
              <w:rPr>
                <w:rFonts w:ascii="宋体" w:hAnsi="宋体" w:eastAsia="宋体"/>
                <w:color w:val="auto"/>
                <w:spacing w:val="-3"/>
                <w:highlight w:val="none"/>
              </w:rPr>
              <w:t>项</w:t>
            </w:r>
            <w:r>
              <w:rPr>
                <w:rFonts w:ascii="宋体" w:hAnsi="宋体" w:eastAsia="宋体"/>
                <w:color w:val="auto"/>
                <w:spacing w:val="-2"/>
                <w:highlight w:val="none"/>
              </w:rPr>
              <w:t>目名称</w:t>
            </w:r>
          </w:p>
        </w:tc>
        <w:tc>
          <w:tcPr>
            <w:tcW w:w="6254" w:type="dxa"/>
          </w:tcPr>
          <w:p w14:paraId="097F345A">
            <w:pPr>
              <w:rPr>
                <w:color w:val="auto"/>
                <w:highlight w:val="none"/>
              </w:rPr>
            </w:pPr>
          </w:p>
        </w:tc>
      </w:tr>
      <w:tr w14:paraId="410B1F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2271" w:type="dxa"/>
          </w:tcPr>
          <w:p w14:paraId="5841FC6E">
            <w:pPr>
              <w:spacing w:before="285" w:line="220" w:lineRule="auto"/>
              <w:ind w:left="619"/>
              <w:rPr>
                <w:rFonts w:ascii="宋体" w:hAnsi="宋体" w:eastAsia="宋体"/>
                <w:color w:val="auto"/>
                <w:spacing w:val="-2"/>
                <w:highlight w:val="none"/>
              </w:rPr>
            </w:pPr>
            <w:r>
              <w:rPr>
                <w:rFonts w:ascii="宋体" w:hAnsi="宋体" w:eastAsia="宋体"/>
                <w:color w:val="auto"/>
                <w:spacing w:val="-2"/>
                <w:highlight w:val="none"/>
              </w:rPr>
              <w:t>项目所在地</w:t>
            </w:r>
          </w:p>
        </w:tc>
        <w:tc>
          <w:tcPr>
            <w:tcW w:w="6254" w:type="dxa"/>
          </w:tcPr>
          <w:p w14:paraId="13680E9D">
            <w:pPr>
              <w:rPr>
                <w:color w:val="auto"/>
                <w:highlight w:val="none"/>
              </w:rPr>
            </w:pPr>
          </w:p>
        </w:tc>
      </w:tr>
      <w:tr w14:paraId="41E61E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2271" w:type="dxa"/>
          </w:tcPr>
          <w:p w14:paraId="7A451B57">
            <w:pPr>
              <w:spacing w:before="285" w:line="221" w:lineRule="auto"/>
              <w:ind w:left="619"/>
              <w:rPr>
                <w:rFonts w:ascii="宋体" w:hAnsi="宋体" w:eastAsia="宋体"/>
                <w:color w:val="auto"/>
                <w:spacing w:val="-2"/>
                <w:highlight w:val="none"/>
              </w:rPr>
            </w:pPr>
            <w:r>
              <w:rPr>
                <w:rFonts w:ascii="宋体" w:hAnsi="宋体" w:eastAsia="宋体"/>
                <w:color w:val="auto"/>
                <w:spacing w:val="-2"/>
                <w:highlight w:val="none"/>
              </w:rPr>
              <w:t>发包人名称</w:t>
            </w:r>
          </w:p>
        </w:tc>
        <w:tc>
          <w:tcPr>
            <w:tcW w:w="6254" w:type="dxa"/>
          </w:tcPr>
          <w:p w14:paraId="5CFDB311">
            <w:pPr>
              <w:rPr>
                <w:color w:val="auto"/>
                <w:highlight w:val="none"/>
              </w:rPr>
            </w:pPr>
          </w:p>
        </w:tc>
      </w:tr>
      <w:tr w14:paraId="0BA653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2271" w:type="dxa"/>
          </w:tcPr>
          <w:p w14:paraId="4317F4BF">
            <w:pPr>
              <w:spacing w:before="285" w:line="221" w:lineRule="auto"/>
              <w:ind w:left="619"/>
              <w:rPr>
                <w:rFonts w:ascii="宋体" w:hAnsi="宋体" w:eastAsia="宋体"/>
                <w:color w:val="auto"/>
                <w:spacing w:val="-2"/>
                <w:highlight w:val="none"/>
              </w:rPr>
            </w:pPr>
            <w:r>
              <w:rPr>
                <w:rFonts w:ascii="宋体" w:hAnsi="宋体" w:eastAsia="宋体"/>
                <w:color w:val="auto"/>
                <w:spacing w:val="-2"/>
                <w:highlight w:val="none"/>
              </w:rPr>
              <w:t>发包人地址</w:t>
            </w:r>
          </w:p>
        </w:tc>
        <w:tc>
          <w:tcPr>
            <w:tcW w:w="6254" w:type="dxa"/>
          </w:tcPr>
          <w:p w14:paraId="7FD15AEC">
            <w:pPr>
              <w:rPr>
                <w:color w:val="auto"/>
                <w:highlight w:val="none"/>
              </w:rPr>
            </w:pPr>
          </w:p>
        </w:tc>
      </w:tr>
      <w:tr w14:paraId="4E8294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2271" w:type="dxa"/>
          </w:tcPr>
          <w:p w14:paraId="640EBEF3">
            <w:pPr>
              <w:spacing w:before="285" w:line="221" w:lineRule="auto"/>
              <w:ind w:left="619"/>
              <w:rPr>
                <w:rFonts w:ascii="宋体" w:hAnsi="宋体" w:eastAsia="宋体"/>
                <w:color w:val="auto"/>
                <w:spacing w:val="-2"/>
                <w:highlight w:val="none"/>
              </w:rPr>
            </w:pPr>
            <w:r>
              <w:rPr>
                <w:rFonts w:ascii="宋体" w:hAnsi="宋体" w:eastAsia="宋体"/>
                <w:color w:val="auto"/>
                <w:spacing w:val="-2"/>
                <w:highlight w:val="none"/>
              </w:rPr>
              <w:t>发包人电话</w:t>
            </w:r>
          </w:p>
        </w:tc>
        <w:tc>
          <w:tcPr>
            <w:tcW w:w="6254" w:type="dxa"/>
          </w:tcPr>
          <w:p w14:paraId="3B837664">
            <w:pPr>
              <w:rPr>
                <w:color w:val="auto"/>
                <w:highlight w:val="none"/>
              </w:rPr>
            </w:pPr>
          </w:p>
        </w:tc>
      </w:tr>
      <w:tr w14:paraId="04CC24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2271" w:type="dxa"/>
          </w:tcPr>
          <w:p w14:paraId="70EB4D69">
            <w:pPr>
              <w:spacing w:before="286" w:line="219" w:lineRule="auto"/>
              <w:ind w:left="721"/>
              <w:rPr>
                <w:rFonts w:ascii="宋体" w:hAnsi="宋体" w:eastAsia="宋体"/>
                <w:color w:val="auto"/>
                <w:spacing w:val="-2"/>
                <w:highlight w:val="none"/>
              </w:rPr>
            </w:pPr>
            <w:r>
              <w:rPr>
                <w:rFonts w:ascii="宋体" w:hAnsi="宋体" w:eastAsia="宋体"/>
                <w:color w:val="auto"/>
                <w:spacing w:val="-2"/>
                <w:highlight w:val="none"/>
              </w:rPr>
              <w:t>合同价</w:t>
            </w:r>
            <w:r>
              <w:rPr>
                <w:rFonts w:ascii="宋体" w:hAnsi="宋体" w:eastAsia="宋体"/>
                <w:color w:val="auto"/>
                <w:spacing w:val="-1"/>
                <w:highlight w:val="none"/>
              </w:rPr>
              <w:t>格</w:t>
            </w:r>
          </w:p>
        </w:tc>
        <w:tc>
          <w:tcPr>
            <w:tcW w:w="6254" w:type="dxa"/>
          </w:tcPr>
          <w:p w14:paraId="72F24095">
            <w:pPr>
              <w:rPr>
                <w:color w:val="auto"/>
                <w:highlight w:val="none"/>
              </w:rPr>
            </w:pPr>
          </w:p>
        </w:tc>
      </w:tr>
      <w:tr w14:paraId="0497AB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2271" w:type="dxa"/>
          </w:tcPr>
          <w:p w14:paraId="65C339AF">
            <w:pPr>
              <w:spacing w:before="287" w:line="220" w:lineRule="auto"/>
              <w:ind w:left="514"/>
              <w:rPr>
                <w:rFonts w:ascii="宋体" w:hAnsi="宋体" w:eastAsia="宋体"/>
                <w:color w:val="auto"/>
                <w:spacing w:val="-2"/>
                <w:highlight w:val="none"/>
              </w:rPr>
            </w:pPr>
            <w:r>
              <w:rPr>
                <w:rFonts w:ascii="宋体" w:hAnsi="宋体" w:eastAsia="宋体"/>
                <w:color w:val="auto"/>
                <w:spacing w:val="-2"/>
                <w:highlight w:val="none"/>
              </w:rPr>
              <w:t>服务</w:t>
            </w:r>
            <w:r>
              <w:rPr>
                <w:rFonts w:ascii="宋体" w:hAnsi="宋体" w:eastAsia="宋体"/>
                <w:color w:val="auto"/>
                <w:spacing w:val="-1"/>
                <w:highlight w:val="none"/>
              </w:rPr>
              <w:t>期限</w:t>
            </w:r>
          </w:p>
        </w:tc>
        <w:tc>
          <w:tcPr>
            <w:tcW w:w="6254" w:type="dxa"/>
          </w:tcPr>
          <w:p w14:paraId="70631B06">
            <w:pPr>
              <w:rPr>
                <w:color w:val="auto"/>
                <w:highlight w:val="none"/>
              </w:rPr>
            </w:pPr>
          </w:p>
        </w:tc>
      </w:tr>
      <w:tr w14:paraId="6C5C50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2271" w:type="dxa"/>
          </w:tcPr>
          <w:p w14:paraId="7A72F40C">
            <w:pPr>
              <w:spacing w:before="287" w:line="220" w:lineRule="auto"/>
              <w:ind w:left="724"/>
              <w:rPr>
                <w:rFonts w:ascii="宋体" w:hAnsi="宋体" w:eastAsia="宋体"/>
                <w:color w:val="auto"/>
                <w:spacing w:val="-2"/>
                <w:highlight w:val="none"/>
              </w:rPr>
            </w:pPr>
            <w:r>
              <w:rPr>
                <w:rFonts w:hint="eastAsia" w:ascii="宋体" w:hAnsi="宋体" w:eastAsia="宋体"/>
                <w:color w:val="auto"/>
                <w:spacing w:val="-2"/>
                <w:highlight w:val="none"/>
              </w:rPr>
              <w:t>设计</w:t>
            </w:r>
            <w:r>
              <w:rPr>
                <w:rFonts w:ascii="宋体" w:hAnsi="宋体" w:eastAsia="宋体"/>
                <w:color w:val="auto"/>
                <w:spacing w:val="-2"/>
                <w:highlight w:val="none"/>
              </w:rPr>
              <w:t>内容</w:t>
            </w:r>
          </w:p>
        </w:tc>
        <w:tc>
          <w:tcPr>
            <w:tcW w:w="6254" w:type="dxa"/>
          </w:tcPr>
          <w:p w14:paraId="04D5C7AD">
            <w:pPr>
              <w:rPr>
                <w:color w:val="auto"/>
                <w:highlight w:val="none"/>
              </w:rPr>
            </w:pPr>
          </w:p>
        </w:tc>
      </w:tr>
      <w:tr w14:paraId="21F70A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2271" w:type="dxa"/>
          </w:tcPr>
          <w:p w14:paraId="5EB8C6FF">
            <w:pPr>
              <w:spacing w:before="287" w:line="217" w:lineRule="auto"/>
              <w:ind w:left="619"/>
              <w:rPr>
                <w:rFonts w:ascii="宋体" w:hAnsi="宋体" w:eastAsia="宋体"/>
                <w:color w:val="auto"/>
                <w:spacing w:val="-2"/>
                <w:highlight w:val="none"/>
              </w:rPr>
            </w:pPr>
            <w:r>
              <w:rPr>
                <w:rFonts w:ascii="宋体" w:hAnsi="宋体" w:eastAsia="宋体"/>
                <w:color w:val="auto"/>
                <w:spacing w:val="-2"/>
                <w:highlight w:val="none"/>
              </w:rPr>
              <w:t>项目负责人</w:t>
            </w:r>
          </w:p>
        </w:tc>
        <w:tc>
          <w:tcPr>
            <w:tcW w:w="6254" w:type="dxa"/>
          </w:tcPr>
          <w:p w14:paraId="11921F9D">
            <w:pPr>
              <w:rPr>
                <w:color w:val="auto"/>
                <w:highlight w:val="none"/>
              </w:rPr>
            </w:pPr>
          </w:p>
        </w:tc>
      </w:tr>
      <w:tr w14:paraId="12171B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3" w:hRule="atLeast"/>
        </w:trPr>
        <w:tc>
          <w:tcPr>
            <w:tcW w:w="2271" w:type="dxa"/>
          </w:tcPr>
          <w:p w14:paraId="4BACCF85">
            <w:pPr>
              <w:spacing w:line="283" w:lineRule="auto"/>
              <w:rPr>
                <w:color w:val="auto"/>
                <w:highlight w:val="none"/>
              </w:rPr>
            </w:pPr>
          </w:p>
          <w:p w14:paraId="575B7864">
            <w:pPr>
              <w:spacing w:line="283" w:lineRule="auto"/>
              <w:rPr>
                <w:color w:val="auto"/>
                <w:highlight w:val="none"/>
              </w:rPr>
            </w:pPr>
          </w:p>
          <w:p w14:paraId="00E6FC6C">
            <w:pPr>
              <w:spacing w:line="283" w:lineRule="auto"/>
              <w:rPr>
                <w:color w:val="auto"/>
                <w:highlight w:val="none"/>
              </w:rPr>
            </w:pPr>
          </w:p>
          <w:p w14:paraId="41C08FA0">
            <w:pPr>
              <w:spacing w:line="283" w:lineRule="auto"/>
              <w:rPr>
                <w:color w:val="auto"/>
                <w:highlight w:val="none"/>
              </w:rPr>
            </w:pPr>
          </w:p>
          <w:p w14:paraId="27089820">
            <w:pPr>
              <w:spacing w:line="283" w:lineRule="auto"/>
              <w:rPr>
                <w:color w:val="auto"/>
                <w:highlight w:val="none"/>
              </w:rPr>
            </w:pPr>
          </w:p>
          <w:p w14:paraId="17AE9997">
            <w:pPr>
              <w:spacing w:before="69" w:line="220" w:lineRule="auto"/>
              <w:ind w:left="724"/>
              <w:rPr>
                <w:rFonts w:ascii="宋体" w:hAnsi="宋体" w:eastAsia="宋体"/>
                <w:color w:val="auto"/>
                <w:spacing w:val="-3"/>
                <w:highlight w:val="none"/>
              </w:rPr>
            </w:pPr>
            <w:r>
              <w:rPr>
                <w:rFonts w:ascii="宋体" w:hAnsi="宋体" w:eastAsia="宋体"/>
                <w:color w:val="auto"/>
                <w:spacing w:val="-3"/>
                <w:highlight w:val="none"/>
              </w:rPr>
              <w:t>项</w:t>
            </w:r>
            <w:r>
              <w:rPr>
                <w:rFonts w:ascii="宋体" w:hAnsi="宋体" w:eastAsia="宋体"/>
                <w:color w:val="auto"/>
                <w:spacing w:val="-2"/>
                <w:highlight w:val="none"/>
              </w:rPr>
              <w:t>目描述</w:t>
            </w:r>
          </w:p>
        </w:tc>
        <w:tc>
          <w:tcPr>
            <w:tcW w:w="6254" w:type="dxa"/>
          </w:tcPr>
          <w:p w14:paraId="38ACD25B">
            <w:pPr>
              <w:rPr>
                <w:color w:val="auto"/>
                <w:highlight w:val="none"/>
              </w:rPr>
            </w:pPr>
          </w:p>
        </w:tc>
      </w:tr>
      <w:tr w14:paraId="42A750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8" w:hRule="atLeast"/>
        </w:trPr>
        <w:tc>
          <w:tcPr>
            <w:tcW w:w="2271" w:type="dxa"/>
          </w:tcPr>
          <w:p w14:paraId="334C87AD">
            <w:pPr>
              <w:spacing w:before="289" w:line="222" w:lineRule="auto"/>
              <w:ind w:left="933"/>
              <w:rPr>
                <w:rFonts w:ascii="宋体" w:hAnsi="宋体" w:eastAsia="宋体"/>
                <w:color w:val="auto"/>
                <w:spacing w:val="-4"/>
                <w:highlight w:val="none"/>
              </w:rPr>
            </w:pPr>
            <w:r>
              <w:rPr>
                <w:rFonts w:ascii="宋体" w:hAnsi="宋体" w:eastAsia="宋体"/>
                <w:color w:val="auto"/>
                <w:spacing w:val="-4"/>
                <w:highlight w:val="none"/>
              </w:rPr>
              <w:t>备</w:t>
            </w:r>
            <w:r>
              <w:rPr>
                <w:rFonts w:ascii="宋体" w:hAnsi="宋体" w:eastAsia="宋体"/>
                <w:color w:val="auto"/>
                <w:spacing w:val="-2"/>
                <w:highlight w:val="none"/>
              </w:rPr>
              <w:t>注</w:t>
            </w:r>
          </w:p>
        </w:tc>
        <w:tc>
          <w:tcPr>
            <w:tcW w:w="6254" w:type="dxa"/>
          </w:tcPr>
          <w:p w14:paraId="6D15368F">
            <w:pPr>
              <w:rPr>
                <w:color w:val="auto"/>
                <w:highlight w:val="none"/>
              </w:rPr>
            </w:pPr>
          </w:p>
        </w:tc>
      </w:tr>
    </w:tbl>
    <w:p w14:paraId="6D3C1589">
      <w:pPr>
        <w:rPr>
          <w:color w:val="auto"/>
          <w:highlight w:val="none"/>
        </w:rPr>
        <w:sectPr>
          <w:pgSz w:w="12240" w:h="15840"/>
          <w:pgMar w:top="1346" w:right="1836" w:bottom="1104" w:left="1808" w:header="0" w:footer="940" w:gutter="0"/>
          <w:cols w:space="720" w:num="1"/>
        </w:sectPr>
      </w:pPr>
    </w:p>
    <w:p w14:paraId="680DE51C">
      <w:pPr>
        <w:rPr>
          <w:rFonts w:ascii="黑体" w:hAnsi="黑体" w:eastAsia="黑体"/>
          <w:color w:val="auto"/>
          <w:spacing w:val="31"/>
          <w:sz w:val="27"/>
          <w:szCs w:val="27"/>
          <w:highlight w:val="none"/>
        </w:rPr>
      </w:pPr>
      <w:r>
        <w:rPr>
          <w:rFonts w:ascii="黑体" w:hAnsi="黑体" w:eastAsia="黑体"/>
          <w:color w:val="auto"/>
          <w:spacing w:val="31"/>
          <w:sz w:val="27"/>
          <w:szCs w:val="27"/>
          <w:highlight w:val="none"/>
        </w:rPr>
        <w:t>(</w:t>
      </w:r>
      <w:r>
        <w:rPr>
          <w:rFonts w:hint="eastAsia" w:ascii="黑体" w:hAnsi="黑体" w:eastAsia="黑体"/>
          <w:color w:val="auto"/>
          <w:spacing w:val="26"/>
          <w:sz w:val="27"/>
          <w:szCs w:val="27"/>
          <w:highlight w:val="none"/>
        </w:rPr>
        <w:t>五</w:t>
      </w:r>
      <w:r>
        <w:rPr>
          <w:rFonts w:ascii="黑体" w:hAnsi="黑体" w:eastAsia="黑体"/>
          <w:color w:val="auto"/>
          <w:spacing w:val="26"/>
          <w:sz w:val="27"/>
          <w:szCs w:val="27"/>
          <w:highlight w:val="none"/>
        </w:rPr>
        <w:t>)拟委任的主要人员汇总表</w:t>
      </w:r>
    </w:p>
    <w:p w14:paraId="0DB5BCCB">
      <w:pPr>
        <w:rPr>
          <w:color w:val="auto"/>
          <w:highlight w:val="none"/>
        </w:rPr>
      </w:pPr>
    </w:p>
    <w:p w14:paraId="0549A84C">
      <w:pPr>
        <w:rPr>
          <w:color w:val="auto"/>
          <w:highlight w:val="none"/>
        </w:rPr>
      </w:pPr>
    </w:p>
    <w:p w14:paraId="0F0814C8">
      <w:pPr>
        <w:spacing w:line="26" w:lineRule="exact"/>
        <w:rPr>
          <w:color w:val="auto"/>
          <w:highlight w:val="none"/>
        </w:rPr>
      </w:pPr>
    </w:p>
    <w:tbl>
      <w:tblPr>
        <w:tblStyle w:val="19"/>
        <w:tblW w:w="8026" w:type="dxa"/>
        <w:tblInd w:w="27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0"/>
        <w:gridCol w:w="1273"/>
        <w:gridCol w:w="992"/>
        <w:gridCol w:w="603"/>
        <w:gridCol w:w="487"/>
        <w:gridCol w:w="1133"/>
        <w:gridCol w:w="709"/>
        <w:gridCol w:w="871"/>
        <w:gridCol w:w="1138"/>
      </w:tblGrid>
      <w:tr w14:paraId="27601A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820" w:type="dxa"/>
            <w:vMerge w:val="restart"/>
          </w:tcPr>
          <w:p w14:paraId="383215F1">
            <w:pPr>
              <w:spacing w:line="329" w:lineRule="auto"/>
              <w:rPr>
                <w:color w:val="auto"/>
                <w:highlight w:val="none"/>
              </w:rPr>
            </w:pPr>
          </w:p>
          <w:p w14:paraId="29E395A3">
            <w:pPr>
              <w:spacing w:before="68" w:line="222" w:lineRule="auto"/>
              <w:ind w:left="203"/>
              <w:rPr>
                <w:rFonts w:ascii="宋体" w:hAnsi="宋体" w:eastAsia="宋体"/>
                <w:color w:val="auto"/>
                <w:spacing w:val="-2"/>
                <w:highlight w:val="none"/>
              </w:rPr>
            </w:pPr>
            <w:r>
              <w:rPr>
                <w:rFonts w:ascii="宋体" w:hAnsi="宋体" w:eastAsia="宋体"/>
                <w:color w:val="auto"/>
                <w:spacing w:val="-2"/>
                <w:highlight w:val="none"/>
              </w:rPr>
              <w:t>序号</w:t>
            </w:r>
          </w:p>
        </w:tc>
        <w:tc>
          <w:tcPr>
            <w:tcW w:w="1273" w:type="dxa"/>
            <w:vMerge w:val="restart"/>
          </w:tcPr>
          <w:p w14:paraId="1E147FCA">
            <w:pPr>
              <w:spacing w:line="329" w:lineRule="auto"/>
              <w:rPr>
                <w:color w:val="auto"/>
                <w:highlight w:val="none"/>
              </w:rPr>
            </w:pPr>
          </w:p>
          <w:p w14:paraId="0D350978">
            <w:pPr>
              <w:spacing w:before="68" w:line="220" w:lineRule="auto"/>
              <w:ind w:left="116"/>
              <w:rPr>
                <w:rFonts w:ascii="宋体" w:hAnsi="宋体" w:eastAsia="宋体"/>
                <w:color w:val="auto"/>
                <w:spacing w:val="-2"/>
                <w:highlight w:val="none"/>
              </w:rPr>
            </w:pPr>
            <w:r>
              <w:rPr>
                <w:rFonts w:ascii="宋体" w:hAnsi="宋体" w:eastAsia="宋体"/>
                <w:color w:val="auto"/>
                <w:spacing w:val="-2"/>
                <w:highlight w:val="none"/>
              </w:rPr>
              <w:t>本项目</w:t>
            </w:r>
            <w:r>
              <w:rPr>
                <w:rFonts w:ascii="宋体" w:hAnsi="宋体" w:eastAsia="宋体"/>
                <w:color w:val="auto"/>
                <w:spacing w:val="-1"/>
                <w:highlight w:val="none"/>
              </w:rPr>
              <w:t>任职</w:t>
            </w:r>
          </w:p>
        </w:tc>
        <w:tc>
          <w:tcPr>
            <w:tcW w:w="992" w:type="dxa"/>
            <w:vMerge w:val="restart"/>
          </w:tcPr>
          <w:p w14:paraId="3F43DBA6">
            <w:pPr>
              <w:spacing w:line="330" w:lineRule="auto"/>
              <w:rPr>
                <w:color w:val="auto"/>
                <w:highlight w:val="none"/>
              </w:rPr>
            </w:pPr>
          </w:p>
          <w:p w14:paraId="1C74DAE4">
            <w:pPr>
              <w:spacing w:before="68" w:line="220" w:lineRule="auto"/>
              <w:ind w:left="290"/>
              <w:rPr>
                <w:rFonts w:ascii="宋体" w:hAnsi="宋体" w:eastAsia="宋体"/>
                <w:color w:val="auto"/>
                <w:spacing w:val="-3"/>
                <w:highlight w:val="none"/>
              </w:rPr>
            </w:pPr>
            <w:r>
              <w:rPr>
                <w:rFonts w:ascii="宋体" w:hAnsi="宋体" w:eastAsia="宋体"/>
                <w:color w:val="auto"/>
                <w:spacing w:val="-3"/>
                <w:highlight w:val="none"/>
              </w:rPr>
              <w:t>姓</w:t>
            </w:r>
            <w:r>
              <w:rPr>
                <w:rFonts w:ascii="宋体" w:hAnsi="宋体" w:eastAsia="宋体"/>
                <w:color w:val="auto"/>
                <w:spacing w:val="-2"/>
                <w:highlight w:val="none"/>
              </w:rPr>
              <w:t>名</w:t>
            </w:r>
          </w:p>
        </w:tc>
        <w:tc>
          <w:tcPr>
            <w:tcW w:w="603" w:type="dxa"/>
            <w:vMerge w:val="restart"/>
            <w:textDirection w:val="tbRlV"/>
          </w:tcPr>
          <w:p w14:paraId="71FE8BB9">
            <w:pPr>
              <w:spacing w:before="194" w:line="211" w:lineRule="auto"/>
              <w:ind w:left="180"/>
              <w:rPr>
                <w:rFonts w:ascii="宋体" w:hAnsi="宋体" w:eastAsia="宋体"/>
                <w:color w:val="auto"/>
                <w:spacing w:val="5"/>
                <w:highlight w:val="none"/>
              </w:rPr>
            </w:pPr>
            <w:r>
              <w:rPr>
                <w:rFonts w:ascii="宋体" w:hAnsi="宋体" w:eastAsia="宋体"/>
                <w:color w:val="auto"/>
                <w:spacing w:val="5"/>
                <w:highlight w:val="none"/>
              </w:rPr>
              <w:t>职  称</w:t>
            </w:r>
          </w:p>
        </w:tc>
        <w:tc>
          <w:tcPr>
            <w:tcW w:w="487" w:type="dxa"/>
            <w:vMerge w:val="restart"/>
            <w:textDirection w:val="tbRlV"/>
          </w:tcPr>
          <w:p w14:paraId="3BF8351D">
            <w:pPr>
              <w:spacing w:before="135" w:line="207" w:lineRule="auto"/>
              <w:ind w:left="180"/>
              <w:rPr>
                <w:rFonts w:ascii="宋体" w:hAnsi="宋体" w:eastAsia="宋体"/>
                <w:color w:val="auto"/>
                <w:spacing w:val="5"/>
                <w:highlight w:val="none"/>
              </w:rPr>
            </w:pPr>
            <w:r>
              <w:rPr>
                <w:rFonts w:ascii="宋体" w:hAnsi="宋体" w:eastAsia="宋体"/>
                <w:color w:val="auto"/>
                <w:spacing w:val="5"/>
                <w:highlight w:val="none"/>
              </w:rPr>
              <w:t>专  业</w:t>
            </w:r>
          </w:p>
        </w:tc>
        <w:tc>
          <w:tcPr>
            <w:tcW w:w="2713" w:type="dxa"/>
            <w:gridSpan w:val="3"/>
          </w:tcPr>
          <w:p w14:paraId="791D86F3">
            <w:pPr>
              <w:spacing w:before="175" w:line="219" w:lineRule="auto"/>
              <w:ind w:left="418"/>
              <w:rPr>
                <w:rFonts w:ascii="宋体" w:hAnsi="宋体" w:eastAsia="宋体"/>
                <w:color w:val="auto"/>
                <w:spacing w:val="-1"/>
                <w:highlight w:val="none"/>
              </w:rPr>
            </w:pPr>
            <w:r>
              <w:rPr>
                <w:rFonts w:ascii="宋体" w:hAnsi="宋体" w:eastAsia="宋体"/>
                <w:color w:val="auto"/>
                <w:spacing w:val="-1"/>
                <w:highlight w:val="none"/>
              </w:rPr>
              <w:t>执业或职业资格证</w:t>
            </w:r>
            <w:r>
              <w:rPr>
                <w:rFonts w:ascii="宋体" w:hAnsi="宋体" w:eastAsia="宋体"/>
                <w:color w:val="auto"/>
                <w:highlight w:val="none"/>
              </w:rPr>
              <w:t>明</w:t>
            </w:r>
          </w:p>
        </w:tc>
        <w:tc>
          <w:tcPr>
            <w:tcW w:w="1138" w:type="dxa"/>
          </w:tcPr>
          <w:p w14:paraId="026A7F97">
            <w:pPr>
              <w:spacing w:before="175" w:line="222" w:lineRule="auto"/>
              <w:ind w:left="366"/>
              <w:rPr>
                <w:rFonts w:ascii="宋体" w:hAnsi="宋体" w:eastAsia="宋体"/>
                <w:color w:val="auto"/>
                <w:spacing w:val="-4"/>
                <w:highlight w:val="none"/>
              </w:rPr>
            </w:pPr>
            <w:r>
              <w:rPr>
                <w:rFonts w:ascii="宋体" w:hAnsi="宋体" w:eastAsia="宋体"/>
                <w:color w:val="auto"/>
                <w:spacing w:val="-4"/>
                <w:highlight w:val="none"/>
              </w:rPr>
              <w:t>备</w:t>
            </w:r>
            <w:r>
              <w:rPr>
                <w:rFonts w:ascii="宋体" w:hAnsi="宋体" w:eastAsia="宋体"/>
                <w:color w:val="auto"/>
                <w:spacing w:val="-2"/>
                <w:highlight w:val="none"/>
              </w:rPr>
              <w:t>注</w:t>
            </w:r>
          </w:p>
        </w:tc>
      </w:tr>
      <w:tr w14:paraId="639115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0" w:type="dxa"/>
            <w:vMerge w:val="continue"/>
          </w:tcPr>
          <w:p w14:paraId="02DA54E1">
            <w:pPr>
              <w:rPr>
                <w:color w:val="auto"/>
                <w:highlight w:val="none"/>
              </w:rPr>
            </w:pPr>
          </w:p>
        </w:tc>
        <w:tc>
          <w:tcPr>
            <w:tcW w:w="1273" w:type="dxa"/>
            <w:vMerge w:val="continue"/>
          </w:tcPr>
          <w:p w14:paraId="00C736E7">
            <w:pPr>
              <w:rPr>
                <w:color w:val="auto"/>
                <w:highlight w:val="none"/>
              </w:rPr>
            </w:pPr>
          </w:p>
        </w:tc>
        <w:tc>
          <w:tcPr>
            <w:tcW w:w="992" w:type="dxa"/>
            <w:vMerge w:val="continue"/>
          </w:tcPr>
          <w:p w14:paraId="158FB16B">
            <w:pPr>
              <w:rPr>
                <w:color w:val="auto"/>
                <w:highlight w:val="none"/>
              </w:rPr>
            </w:pPr>
          </w:p>
        </w:tc>
        <w:tc>
          <w:tcPr>
            <w:tcW w:w="603" w:type="dxa"/>
            <w:vMerge w:val="continue"/>
            <w:textDirection w:val="tbRlV"/>
          </w:tcPr>
          <w:p w14:paraId="41CC6A34">
            <w:pPr>
              <w:rPr>
                <w:color w:val="auto"/>
                <w:highlight w:val="none"/>
              </w:rPr>
            </w:pPr>
          </w:p>
        </w:tc>
        <w:tc>
          <w:tcPr>
            <w:tcW w:w="487" w:type="dxa"/>
            <w:vMerge w:val="continue"/>
            <w:textDirection w:val="tbRlV"/>
          </w:tcPr>
          <w:p w14:paraId="7AAE0B46">
            <w:pPr>
              <w:rPr>
                <w:color w:val="auto"/>
                <w:highlight w:val="none"/>
              </w:rPr>
            </w:pPr>
          </w:p>
        </w:tc>
        <w:tc>
          <w:tcPr>
            <w:tcW w:w="1133" w:type="dxa"/>
          </w:tcPr>
          <w:p w14:paraId="0F7E289A">
            <w:pPr>
              <w:spacing w:before="171" w:line="220" w:lineRule="auto"/>
              <w:ind w:left="152"/>
              <w:rPr>
                <w:rFonts w:ascii="宋体" w:hAnsi="宋体" w:eastAsia="宋体"/>
                <w:color w:val="auto"/>
                <w:spacing w:val="-2"/>
                <w:highlight w:val="none"/>
              </w:rPr>
            </w:pPr>
            <w:r>
              <w:rPr>
                <w:rFonts w:ascii="宋体" w:hAnsi="宋体" w:eastAsia="宋体"/>
                <w:color w:val="auto"/>
                <w:spacing w:val="-2"/>
                <w:highlight w:val="none"/>
              </w:rPr>
              <w:t>证书名</w:t>
            </w:r>
            <w:r>
              <w:rPr>
                <w:rFonts w:ascii="宋体" w:hAnsi="宋体" w:eastAsia="宋体"/>
                <w:color w:val="auto"/>
                <w:spacing w:val="-1"/>
                <w:highlight w:val="none"/>
              </w:rPr>
              <w:t>称</w:t>
            </w:r>
          </w:p>
        </w:tc>
        <w:tc>
          <w:tcPr>
            <w:tcW w:w="709" w:type="dxa"/>
          </w:tcPr>
          <w:p w14:paraId="722C4ECB">
            <w:pPr>
              <w:spacing w:before="171" w:line="221" w:lineRule="auto"/>
              <w:ind w:left="154"/>
              <w:rPr>
                <w:rFonts w:ascii="宋体" w:hAnsi="宋体" w:eastAsia="宋体"/>
                <w:color w:val="auto"/>
                <w:spacing w:val="-3"/>
                <w:highlight w:val="none"/>
              </w:rPr>
            </w:pPr>
            <w:r>
              <w:rPr>
                <w:rFonts w:ascii="宋体" w:hAnsi="宋体" w:eastAsia="宋体"/>
                <w:color w:val="auto"/>
                <w:spacing w:val="-3"/>
                <w:highlight w:val="none"/>
              </w:rPr>
              <w:t>级别</w:t>
            </w:r>
          </w:p>
        </w:tc>
        <w:tc>
          <w:tcPr>
            <w:tcW w:w="871" w:type="dxa"/>
          </w:tcPr>
          <w:p w14:paraId="3BA8EE47">
            <w:pPr>
              <w:spacing w:before="171" w:line="222" w:lineRule="auto"/>
              <w:ind w:left="232"/>
              <w:rPr>
                <w:rFonts w:ascii="宋体" w:hAnsi="宋体" w:eastAsia="宋体"/>
                <w:color w:val="auto"/>
                <w:spacing w:val="-3"/>
                <w:highlight w:val="none"/>
              </w:rPr>
            </w:pPr>
            <w:r>
              <w:rPr>
                <w:rFonts w:ascii="宋体" w:hAnsi="宋体" w:eastAsia="宋体"/>
                <w:color w:val="auto"/>
                <w:spacing w:val="-3"/>
                <w:highlight w:val="none"/>
              </w:rPr>
              <w:t>证</w:t>
            </w:r>
            <w:r>
              <w:rPr>
                <w:rFonts w:ascii="宋体" w:hAnsi="宋体" w:eastAsia="宋体"/>
                <w:color w:val="auto"/>
                <w:spacing w:val="-2"/>
                <w:highlight w:val="none"/>
              </w:rPr>
              <w:t>号</w:t>
            </w:r>
          </w:p>
        </w:tc>
        <w:tc>
          <w:tcPr>
            <w:tcW w:w="1138" w:type="dxa"/>
          </w:tcPr>
          <w:p w14:paraId="70C13781">
            <w:pPr>
              <w:rPr>
                <w:color w:val="auto"/>
                <w:highlight w:val="none"/>
              </w:rPr>
            </w:pPr>
          </w:p>
        </w:tc>
      </w:tr>
      <w:tr w14:paraId="0BB3D1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0" w:type="dxa"/>
          </w:tcPr>
          <w:p w14:paraId="1F1A58B1">
            <w:pPr>
              <w:rPr>
                <w:color w:val="auto"/>
                <w:highlight w:val="none"/>
              </w:rPr>
            </w:pPr>
          </w:p>
        </w:tc>
        <w:tc>
          <w:tcPr>
            <w:tcW w:w="1273" w:type="dxa"/>
          </w:tcPr>
          <w:p w14:paraId="09C8A0CE">
            <w:pPr>
              <w:rPr>
                <w:color w:val="auto"/>
                <w:highlight w:val="none"/>
              </w:rPr>
            </w:pPr>
          </w:p>
        </w:tc>
        <w:tc>
          <w:tcPr>
            <w:tcW w:w="992" w:type="dxa"/>
          </w:tcPr>
          <w:p w14:paraId="2CA65FDA">
            <w:pPr>
              <w:rPr>
                <w:color w:val="auto"/>
                <w:highlight w:val="none"/>
              </w:rPr>
            </w:pPr>
          </w:p>
        </w:tc>
        <w:tc>
          <w:tcPr>
            <w:tcW w:w="603" w:type="dxa"/>
          </w:tcPr>
          <w:p w14:paraId="16F0AE6F">
            <w:pPr>
              <w:rPr>
                <w:color w:val="auto"/>
                <w:highlight w:val="none"/>
              </w:rPr>
            </w:pPr>
          </w:p>
        </w:tc>
        <w:tc>
          <w:tcPr>
            <w:tcW w:w="487" w:type="dxa"/>
          </w:tcPr>
          <w:p w14:paraId="760F3D54">
            <w:pPr>
              <w:rPr>
                <w:color w:val="auto"/>
                <w:highlight w:val="none"/>
              </w:rPr>
            </w:pPr>
          </w:p>
        </w:tc>
        <w:tc>
          <w:tcPr>
            <w:tcW w:w="1133" w:type="dxa"/>
          </w:tcPr>
          <w:p w14:paraId="75971EDF">
            <w:pPr>
              <w:rPr>
                <w:color w:val="auto"/>
                <w:highlight w:val="none"/>
              </w:rPr>
            </w:pPr>
          </w:p>
        </w:tc>
        <w:tc>
          <w:tcPr>
            <w:tcW w:w="709" w:type="dxa"/>
          </w:tcPr>
          <w:p w14:paraId="1112829E">
            <w:pPr>
              <w:rPr>
                <w:color w:val="auto"/>
                <w:highlight w:val="none"/>
              </w:rPr>
            </w:pPr>
          </w:p>
        </w:tc>
        <w:tc>
          <w:tcPr>
            <w:tcW w:w="871" w:type="dxa"/>
          </w:tcPr>
          <w:p w14:paraId="230E1AB2">
            <w:pPr>
              <w:rPr>
                <w:color w:val="auto"/>
                <w:highlight w:val="none"/>
              </w:rPr>
            </w:pPr>
          </w:p>
        </w:tc>
        <w:tc>
          <w:tcPr>
            <w:tcW w:w="1138" w:type="dxa"/>
          </w:tcPr>
          <w:p w14:paraId="6981FC57">
            <w:pPr>
              <w:rPr>
                <w:color w:val="auto"/>
                <w:highlight w:val="none"/>
              </w:rPr>
            </w:pPr>
          </w:p>
        </w:tc>
      </w:tr>
      <w:tr w14:paraId="47A21A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0" w:type="dxa"/>
          </w:tcPr>
          <w:p w14:paraId="14D482C5">
            <w:pPr>
              <w:rPr>
                <w:color w:val="auto"/>
                <w:highlight w:val="none"/>
              </w:rPr>
            </w:pPr>
          </w:p>
        </w:tc>
        <w:tc>
          <w:tcPr>
            <w:tcW w:w="1273" w:type="dxa"/>
          </w:tcPr>
          <w:p w14:paraId="743A9CE1">
            <w:pPr>
              <w:rPr>
                <w:color w:val="auto"/>
                <w:highlight w:val="none"/>
              </w:rPr>
            </w:pPr>
          </w:p>
        </w:tc>
        <w:tc>
          <w:tcPr>
            <w:tcW w:w="992" w:type="dxa"/>
          </w:tcPr>
          <w:p w14:paraId="7E16A808">
            <w:pPr>
              <w:rPr>
                <w:color w:val="auto"/>
                <w:highlight w:val="none"/>
              </w:rPr>
            </w:pPr>
          </w:p>
        </w:tc>
        <w:tc>
          <w:tcPr>
            <w:tcW w:w="603" w:type="dxa"/>
          </w:tcPr>
          <w:p w14:paraId="0E528BF3">
            <w:pPr>
              <w:rPr>
                <w:color w:val="auto"/>
                <w:highlight w:val="none"/>
              </w:rPr>
            </w:pPr>
          </w:p>
        </w:tc>
        <w:tc>
          <w:tcPr>
            <w:tcW w:w="487" w:type="dxa"/>
          </w:tcPr>
          <w:p w14:paraId="684B04B5">
            <w:pPr>
              <w:rPr>
                <w:color w:val="auto"/>
                <w:highlight w:val="none"/>
              </w:rPr>
            </w:pPr>
          </w:p>
        </w:tc>
        <w:tc>
          <w:tcPr>
            <w:tcW w:w="1133" w:type="dxa"/>
          </w:tcPr>
          <w:p w14:paraId="5859FB74">
            <w:pPr>
              <w:rPr>
                <w:color w:val="auto"/>
                <w:highlight w:val="none"/>
              </w:rPr>
            </w:pPr>
          </w:p>
        </w:tc>
        <w:tc>
          <w:tcPr>
            <w:tcW w:w="709" w:type="dxa"/>
          </w:tcPr>
          <w:p w14:paraId="08B5C598">
            <w:pPr>
              <w:rPr>
                <w:color w:val="auto"/>
                <w:highlight w:val="none"/>
              </w:rPr>
            </w:pPr>
          </w:p>
        </w:tc>
        <w:tc>
          <w:tcPr>
            <w:tcW w:w="871" w:type="dxa"/>
          </w:tcPr>
          <w:p w14:paraId="3C706424">
            <w:pPr>
              <w:rPr>
                <w:color w:val="auto"/>
                <w:highlight w:val="none"/>
              </w:rPr>
            </w:pPr>
          </w:p>
        </w:tc>
        <w:tc>
          <w:tcPr>
            <w:tcW w:w="1138" w:type="dxa"/>
          </w:tcPr>
          <w:p w14:paraId="3A6CCA17">
            <w:pPr>
              <w:rPr>
                <w:color w:val="auto"/>
                <w:highlight w:val="none"/>
              </w:rPr>
            </w:pPr>
          </w:p>
        </w:tc>
      </w:tr>
      <w:tr w14:paraId="27939D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0" w:type="dxa"/>
          </w:tcPr>
          <w:p w14:paraId="6A21DA76">
            <w:pPr>
              <w:rPr>
                <w:color w:val="auto"/>
                <w:highlight w:val="none"/>
              </w:rPr>
            </w:pPr>
          </w:p>
        </w:tc>
        <w:tc>
          <w:tcPr>
            <w:tcW w:w="1273" w:type="dxa"/>
          </w:tcPr>
          <w:p w14:paraId="673A3C9B">
            <w:pPr>
              <w:rPr>
                <w:color w:val="auto"/>
                <w:highlight w:val="none"/>
              </w:rPr>
            </w:pPr>
          </w:p>
        </w:tc>
        <w:tc>
          <w:tcPr>
            <w:tcW w:w="992" w:type="dxa"/>
          </w:tcPr>
          <w:p w14:paraId="4E574D63">
            <w:pPr>
              <w:rPr>
                <w:color w:val="auto"/>
                <w:highlight w:val="none"/>
              </w:rPr>
            </w:pPr>
          </w:p>
        </w:tc>
        <w:tc>
          <w:tcPr>
            <w:tcW w:w="603" w:type="dxa"/>
          </w:tcPr>
          <w:p w14:paraId="1AAAD02D">
            <w:pPr>
              <w:rPr>
                <w:color w:val="auto"/>
                <w:highlight w:val="none"/>
              </w:rPr>
            </w:pPr>
          </w:p>
        </w:tc>
        <w:tc>
          <w:tcPr>
            <w:tcW w:w="487" w:type="dxa"/>
          </w:tcPr>
          <w:p w14:paraId="4D3F7AB9">
            <w:pPr>
              <w:rPr>
                <w:color w:val="auto"/>
                <w:highlight w:val="none"/>
              </w:rPr>
            </w:pPr>
          </w:p>
        </w:tc>
        <w:tc>
          <w:tcPr>
            <w:tcW w:w="1133" w:type="dxa"/>
          </w:tcPr>
          <w:p w14:paraId="5A9C004D">
            <w:pPr>
              <w:rPr>
                <w:color w:val="auto"/>
                <w:highlight w:val="none"/>
              </w:rPr>
            </w:pPr>
          </w:p>
        </w:tc>
        <w:tc>
          <w:tcPr>
            <w:tcW w:w="709" w:type="dxa"/>
          </w:tcPr>
          <w:p w14:paraId="444B3368">
            <w:pPr>
              <w:rPr>
                <w:color w:val="auto"/>
                <w:highlight w:val="none"/>
              </w:rPr>
            </w:pPr>
          </w:p>
        </w:tc>
        <w:tc>
          <w:tcPr>
            <w:tcW w:w="871" w:type="dxa"/>
          </w:tcPr>
          <w:p w14:paraId="2480296B">
            <w:pPr>
              <w:rPr>
                <w:color w:val="auto"/>
                <w:highlight w:val="none"/>
              </w:rPr>
            </w:pPr>
          </w:p>
        </w:tc>
        <w:tc>
          <w:tcPr>
            <w:tcW w:w="1138" w:type="dxa"/>
          </w:tcPr>
          <w:p w14:paraId="1DD261CF">
            <w:pPr>
              <w:rPr>
                <w:color w:val="auto"/>
                <w:highlight w:val="none"/>
              </w:rPr>
            </w:pPr>
          </w:p>
        </w:tc>
      </w:tr>
      <w:tr w14:paraId="3B87A0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820" w:type="dxa"/>
          </w:tcPr>
          <w:p w14:paraId="00F3E4CB">
            <w:pPr>
              <w:rPr>
                <w:color w:val="auto"/>
                <w:highlight w:val="none"/>
              </w:rPr>
            </w:pPr>
          </w:p>
        </w:tc>
        <w:tc>
          <w:tcPr>
            <w:tcW w:w="1273" w:type="dxa"/>
          </w:tcPr>
          <w:p w14:paraId="22B46778">
            <w:pPr>
              <w:rPr>
                <w:color w:val="auto"/>
                <w:highlight w:val="none"/>
              </w:rPr>
            </w:pPr>
          </w:p>
        </w:tc>
        <w:tc>
          <w:tcPr>
            <w:tcW w:w="992" w:type="dxa"/>
          </w:tcPr>
          <w:p w14:paraId="2BD12DD4">
            <w:pPr>
              <w:rPr>
                <w:color w:val="auto"/>
                <w:highlight w:val="none"/>
              </w:rPr>
            </w:pPr>
          </w:p>
        </w:tc>
        <w:tc>
          <w:tcPr>
            <w:tcW w:w="603" w:type="dxa"/>
          </w:tcPr>
          <w:p w14:paraId="08DB1942">
            <w:pPr>
              <w:rPr>
                <w:color w:val="auto"/>
                <w:highlight w:val="none"/>
              </w:rPr>
            </w:pPr>
          </w:p>
        </w:tc>
        <w:tc>
          <w:tcPr>
            <w:tcW w:w="487" w:type="dxa"/>
          </w:tcPr>
          <w:p w14:paraId="56FB41A7">
            <w:pPr>
              <w:rPr>
                <w:color w:val="auto"/>
                <w:highlight w:val="none"/>
              </w:rPr>
            </w:pPr>
          </w:p>
        </w:tc>
        <w:tc>
          <w:tcPr>
            <w:tcW w:w="1133" w:type="dxa"/>
          </w:tcPr>
          <w:p w14:paraId="0042F8EE">
            <w:pPr>
              <w:rPr>
                <w:color w:val="auto"/>
                <w:highlight w:val="none"/>
              </w:rPr>
            </w:pPr>
          </w:p>
        </w:tc>
        <w:tc>
          <w:tcPr>
            <w:tcW w:w="709" w:type="dxa"/>
          </w:tcPr>
          <w:p w14:paraId="41DE6239">
            <w:pPr>
              <w:rPr>
                <w:color w:val="auto"/>
                <w:highlight w:val="none"/>
              </w:rPr>
            </w:pPr>
          </w:p>
        </w:tc>
        <w:tc>
          <w:tcPr>
            <w:tcW w:w="871" w:type="dxa"/>
          </w:tcPr>
          <w:p w14:paraId="49DB0C0E">
            <w:pPr>
              <w:rPr>
                <w:color w:val="auto"/>
                <w:highlight w:val="none"/>
              </w:rPr>
            </w:pPr>
          </w:p>
        </w:tc>
        <w:tc>
          <w:tcPr>
            <w:tcW w:w="1138" w:type="dxa"/>
          </w:tcPr>
          <w:p w14:paraId="6E9C9228">
            <w:pPr>
              <w:rPr>
                <w:color w:val="auto"/>
                <w:highlight w:val="none"/>
              </w:rPr>
            </w:pPr>
          </w:p>
        </w:tc>
      </w:tr>
      <w:tr w14:paraId="30B3CC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820" w:type="dxa"/>
          </w:tcPr>
          <w:p w14:paraId="2621542E">
            <w:pPr>
              <w:rPr>
                <w:color w:val="auto"/>
                <w:highlight w:val="none"/>
              </w:rPr>
            </w:pPr>
          </w:p>
        </w:tc>
        <w:tc>
          <w:tcPr>
            <w:tcW w:w="1273" w:type="dxa"/>
          </w:tcPr>
          <w:p w14:paraId="580A8AE0">
            <w:pPr>
              <w:rPr>
                <w:color w:val="auto"/>
                <w:highlight w:val="none"/>
              </w:rPr>
            </w:pPr>
          </w:p>
        </w:tc>
        <w:tc>
          <w:tcPr>
            <w:tcW w:w="992" w:type="dxa"/>
          </w:tcPr>
          <w:p w14:paraId="5A9D7CC4">
            <w:pPr>
              <w:rPr>
                <w:color w:val="auto"/>
                <w:highlight w:val="none"/>
              </w:rPr>
            </w:pPr>
          </w:p>
        </w:tc>
        <w:tc>
          <w:tcPr>
            <w:tcW w:w="603" w:type="dxa"/>
          </w:tcPr>
          <w:p w14:paraId="2CD3F35F">
            <w:pPr>
              <w:rPr>
                <w:color w:val="auto"/>
                <w:highlight w:val="none"/>
              </w:rPr>
            </w:pPr>
          </w:p>
        </w:tc>
        <w:tc>
          <w:tcPr>
            <w:tcW w:w="487" w:type="dxa"/>
          </w:tcPr>
          <w:p w14:paraId="061F3255">
            <w:pPr>
              <w:rPr>
                <w:color w:val="auto"/>
                <w:highlight w:val="none"/>
              </w:rPr>
            </w:pPr>
          </w:p>
        </w:tc>
        <w:tc>
          <w:tcPr>
            <w:tcW w:w="1133" w:type="dxa"/>
          </w:tcPr>
          <w:p w14:paraId="091A6550">
            <w:pPr>
              <w:rPr>
                <w:color w:val="auto"/>
                <w:highlight w:val="none"/>
              </w:rPr>
            </w:pPr>
          </w:p>
        </w:tc>
        <w:tc>
          <w:tcPr>
            <w:tcW w:w="709" w:type="dxa"/>
          </w:tcPr>
          <w:p w14:paraId="7FE73750">
            <w:pPr>
              <w:rPr>
                <w:color w:val="auto"/>
                <w:highlight w:val="none"/>
              </w:rPr>
            </w:pPr>
          </w:p>
        </w:tc>
        <w:tc>
          <w:tcPr>
            <w:tcW w:w="871" w:type="dxa"/>
          </w:tcPr>
          <w:p w14:paraId="31624137">
            <w:pPr>
              <w:rPr>
                <w:color w:val="auto"/>
                <w:highlight w:val="none"/>
              </w:rPr>
            </w:pPr>
          </w:p>
        </w:tc>
        <w:tc>
          <w:tcPr>
            <w:tcW w:w="1138" w:type="dxa"/>
          </w:tcPr>
          <w:p w14:paraId="1FACD146">
            <w:pPr>
              <w:rPr>
                <w:color w:val="auto"/>
                <w:highlight w:val="none"/>
              </w:rPr>
            </w:pPr>
          </w:p>
        </w:tc>
      </w:tr>
      <w:tr w14:paraId="0DCADC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820" w:type="dxa"/>
          </w:tcPr>
          <w:p w14:paraId="1B91B8DD">
            <w:pPr>
              <w:rPr>
                <w:color w:val="auto"/>
                <w:highlight w:val="none"/>
              </w:rPr>
            </w:pPr>
          </w:p>
        </w:tc>
        <w:tc>
          <w:tcPr>
            <w:tcW w:w="1273" w:type="dxa"/>
          </w:tcPr>
          <w:p w14:paraId="3D0C8CD5">
            <w:pPr>
              <w:rPr>
                <w:color w:val="auto"/>
                <w:highlight w:val="none"/>
              </w:rPr>
            </w:pPr>
          </w:p>
        </w:tc>
        <w:tc>
          <w:tcPr>
            <w:tcW w:w="992" w:type="dxa"/>
          </w:tcPr>
          <w:p w14:paraId="514400FA">
            <w:pPr>
              <w:rPr>
                <w:color w:val="auto"/>
                <w:highlight w:val="none"/>
              </w:rPr>
            </w:pPr>
          </w:p>
        </w:tc>
        <w:tc>
          <w:tcPr>
            <w:tcW w:w="603" w:type="dxa"/>
          </w:tcPr>
          <w:p w14:paraId="47C7E9C2">
            <w:pPr>
              <w:rPr>
                <w:color w:val="auto"/>
                <w:highlight w:val="none"/>
              </w:rPr>
            </w:pPr>
          </w:p>
        </w:tc>
        <w:tc>
          <w:tcPr>
            <w:tcW w:w="487" w:type="dxa"/>
          </w:tcPr>
          <w:p w14:paraId="7EA3375C">
            <w:pPr>
              <w:rPr>
                <w:color w:val="auto"/>
                <w:highlight w:val="none"/>
              </w:rPr>
            </w:pPr>
          </w:p>
        </w:tc>
        <w:tc>
          <w:tcPr>
            <w:tcW w:w="1133" w:type="dxa"/>
          </w:tcPr>
          <w:p w14:paraId="7C4C6175">
            <w:pPr>
              <w:rPr>
                <w:color w:val="auto"/>
                <w:highlight w:val="none"/>
              </w:rPr>
            </w:pPr>
          </w:p>
        </w:tc>
        <w:tc>
          <w:tcPr>
            <w:tcW w:w="709" w:type="dxa"/>
          </w:tcPr>
          <w:p w14:paraId="101CECA2">
            <w:pPr>
              <w:rPr>
                <w:color w:val="auto"/>
                <w:highlight w:val="none"/>
              </w:rPr>
            </w:pPr>
          </w:p>
        </w:tc>
        <w:tc>
          <w:tcPr>
            <w:tcW w:w="871" w:type="dxa"/>
          </w:tcPr>
          <w:p w14:paraId="721C9E75">
            <w:pPr>
              <w:rPr>
                <w:color w:val="auto"/>
                <w:highlight w:val="none"/>
              </w:rPr>
            </w:pPr>
          </w:p>
        </w:tc>
        <w:tc>
          <w:tcPr>
            <w:tcW w:w="1138" w:type="dxa"/>
          </w:tcPr>
          <w:p w14:paraId="0A04D86E">
            <w:pPr>
              <w:rPr>
                <w:color w:val="auto"/>
                <w:highlight w:val="none"/>
              </w:rPr>
            </w:pPr>
          </w:p>
        </w:tc>
      </w:tr>
      <w:tr w14:paraId="6F6B33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820" w:type="dxa"/>
          </w:tcPr>
          <w:p w14:paraId="2F0063D1">
            <w:pPr>
              <w:rPr>
                <w:color w:val="auto"/>
                <w:highlight w:val="none"/>
              </w:rPr>
            </w:pPr>
          </w:p>
        </w:tc>
        <w:tc>
          <w:tcPr>
            <w:tcW w:w="1273" w:type="dxa"/>
          </w:tcPr>
          <w:p w14:paraId="1167DF81">
            <w:pPr>
              <w:rPr>
                <w:color w:val="auto"/>
                <w:highlight w:val="none"/>
              </w:rPr>
            </w:pPr>
          </w:p>
        </w:tc>
        <w:tc>
          <w:tcPr>
            <w:tcW w:w="992" w:type="dxa"/>
          </w:tcPr>
          <w:p w14:paraId="50221C8C">
            <w:pPr>
              <w:rPr>
                <w:color w:val="auto"/>
                <w:highlight w:val="none"/>
              </w:rPr>
            </w:pPr>
          </w:p>
        </w:tc>
        <w:tc>
          <w:tcPr>
            <w:tcW w:w="603" w:type="dxa"/>
          </w:tcPr>
          <w:p w14:paraId="1CB84AB1">
            <w:pPr>
              <w:rPr>
                <w:color w:val="auto"/>
                <w:highlight w:val="none"/>
              </w:rPr>
            </w:pPr>
          </w:p>
        </w:tc>
        <w:tc>
          <w:tcPr>
            <w:tcW w:w="487" w:type="dxa"/>
          </w:tcPr>
          <w:p w14:paraId="59C38DA0">
            <w:pPr>
              <w:rPr>
                <w:color w:val="auto"/>
                <w:highlight w:val="none"/>
              </w:rPr>
            </w:pPr>
          </w:p>
        </w:tc>
        <w:tc>
          <w:tcPr>
            <w:tcW w:w="1133" w:type="dxa"/>
          </w:tcPr>
          <w:p w14:paraId="41641AD9">
            <w:pPr>
              <w:rPr>
                <w:color w:val="auto"/>
                <w:highlight w:val="none"/>
              </w:rPr>
            </w:pPr>
          </w:p>
        </w:tc>
        <w:tc>
          <w:tcPr>
            <w:tcW w:w="709" w:type="dxa"/>
          </w:tcPr>
          <w:p w14:paraId="2E42F05D">
            <w:pPr>
              <w:rPr>
                <w:color w:val="auto"/>
                <w:highlight w:val="none"/>
              </w:rPr>
            </w:pPr>
          </w:p>
        </w:tc>
        <w:tc>
          <w:tcPr>
            <w:tcW w:w="871" w:type="dxa"/>
          </w:tcPr>
          <w:p w14:paraId="6C825DA9">
            <w:pPr>
              <w:rPr>
                <w:color w:val="auto"/>
                <w:highlight w:val="none"/>
              </w:rPr>
            </w:pPr>
          </w:p>
        </w:tc>
        <w:tc>
          <w:tcPr>
            <w:tcW w:w="1138" w:type="dxa"/>
          </w:tcPr>
          <w:p w14:paraId="1C7825E3">
            <w:pPr>
              <w:rPr>
                <w:color w:val="auto"/>
                <w:highlight w:val="none"/>
              </w:rPr>
            </w:pPr>
          </w:p>
        </w:tc>
      </w:tr>
      <w:tr w14:paraId="3DEFC5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820" w:type="dxa"/>
          </w:tcPr>
          <w:p w14:paraId="6468EED2">
            <w:pPr>
              <w:rPr>
                <w:color w:val="auto"/>
                <w:highlight w:val="none"/>
              </w:rPr>
            </w:pPr>
          </w:p>
        </w:tc>
        <w:tc>
          <w:tcPr>
            <w:tcW w:w="1273" w:type="dxa"/>
          </w:tcPr>
          <w:p w14:paraId="283C7BE9">
            <w:pPr>
              <w:rPr>
                <w:color w:val="auto"/>
                <w:highlight w:val="none"/>
              </w:rPr>
            </w:pPr>
          </w:p>
        </w:tc>
        <w:tc>
          <w:tcPr>
            <w:tcW w:w="992" w:type="dxa"/>
          </w:tcPr>
          <w:p w14:paraId="2DDCFEC9">
            <w:pPr>
              <w:rPr>
                <w:color w:val="auto"/>
                <w:highlight w:val="none"/>
              </w:rPr>
            </w:pPr>
          </w:p>
        </w:tc>
        <w:tc>
          <w:tcPr>
            <w:tcW w:w="603" w:type="dxa"/>
          </w:tcPr>
          <w:p w14:paraId="6ACE2C1B">
            <w:pPr>
              <w:rPr>
                <w:color w:val="auto"/>
                <w:highlight w:val="none"/>
              </w:rPr>
            </w:pPr>
          </w:p>
        </w:tc>
        <w:tc>
          <w:tcPr>
            <w:tcW w:w="487" w:type="dxa"/>
          </w:tcPr>
          <w:p w14:paraId="1900C428">
            <w:pPr>
              <w:rPr>
                <w:color w:val="auto"/>
                <w:highlight w:val="none"/>
              </w:rPr>
            </w:pPr>
          </w:p>
        </w:tc>
        <w:tc>
          <w:tcPr>
            <w:tcW w:w="1133" w:type="dxa"/>
          </w:tcPr>
          <w:p w14:paraId="0FBB1226">
            <w:pPr>
              <w:rPr>
                <w:color w:val="auto"/>
                <w:highlight w:val="none"/>
              </w:rPr>
            </w:pPr>
          </w:p>
        </w:tc>
        <w:tc>
          <w:tcPr>
            <w:tcW w:w="709" w:type="dxa"/>
          </w:tcPr>
          <w:p w14:paraId="2A363220">
            <w:pPr>
              <w:rPr>
                <w:color w:val="auto"/>
                <w:highlight w:val="none"/>
              </w:rPr>
            </w:pPr>
          </w:p>
        </w:tc>
        <w:tc>
          <w:tcPr>
            <w:tcW w:w="871" w:type="dxa"/>
          </w:tcPr>
          <w:p w14:paraId="11042616">
            <w:pPr>
              <w:rPr>
                <w:color w:val="auto"/>
                <w:highlight w:val="none"/>
              </w:rPr>
            </w:pPr>
          </w:p>
        </w:tc>
        <w:tc>
          <w:tcPr>
            <w:tcW w:w="1138" w:type="dxa"/>
          </w:tcPr>
          <w:p w14:paraId="09399B3A">
            <w:pPr>
              <w:rPr>
                <w:color w:val="auto"/>
                <w:highlight w:val="none"/>
              </w:rPr>
            </w:pPr>
          </w:p>
        </w:tc>
      </w:tr>
      <w:tr w14:paraId="672C90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820" w:type="dxa"/>
          </w:tcPr>
          <w:p w14:paraId="73EAE7B2">
            <w:pPr>
              <w:rPr>
                <w:color w:val="auto"/>
                <w:highlight w:val="none"/>
              </w:rPr>
            </w:pPr>
          </w:p>
        </w:tc>
        <w:tc>
          <w:tcPr>
            <w:tcW w:w="1273" w:type="dxa"/>
          </w:tcPr>
          <w:p w14:paraId="236C748E">
            <w:pPr>
              <w:rPr>
                <w:color w:val="auto"/>
                <w:highlight w:val="none"/>
              </w:rPr>
            </w:pPr>
          </w:p>
        </w:tc>
        <w:tc>
          <w:tcPr>
            <w:tcW w:w="992" w:type="dxa"/>
          </w:tcPr>
          <w:p w14:paraId="6C0A15F4">
            <w:pPr>
              <w:rPr>
                <w:color w:val="auto"/>
                <w:highlight w:val="none"/>
              </w:rPr>
            </w:pPr>
          </w:p>
        </w:tc>
        <w:tc>
          <w:tcPr>
            <w:tcW w:w="603" w:type="dxa"/>
          </w:tcPr>
          <w:p w14:paraId="5CEF6193">
            <w:pPr>
              <w:rPr>
                <w:color w:val="auto"/>
                <w:highlight w:val="none"/>
              </w:rPr>
            </w:pPr>
          </w:p>
        </w:tc>
        <w:tc>
          <w:tcPr>
            <w:tcW w:w="487" w:type="dxa"/>
          </w:tcPr>
          <w:p w14:paraId="26E74CCC">
            <w:pPr>
              <w:rPr>
                <w:color w:val="auto"/>
                <w:highlight w:val="none"/>
              </w:rPr>
            </w:pPr>
          </w:p>
        </w:tc>
        <w:tc>
          <w:tcPr>
            <w:tcW w:w="1133" w:type="dxa"/>
          </w:tcPr>
          <w:p w14:paraId="267A794A">
            <w:pPr>
              <w:rPr>
                <w:color w:val="auto"/>
                <w:highlight w:val="none"/>
              </w:rPr>
            </w:pPr>
          </w:p>
        </w:tc>
        <w:tc>
          <w:tcPr>
            <w:tcW w:w="709" w:type="dxa"/>
          </w:tcPr>
          <w:p w14:paraId="474F3371">
            <w:pPr>
              <w:rPr>
                <w:color w:val="auto"/>
                <w:highlight w:val="none"/>
              </w:rPr>
            </w:pPr>
          </w:p>
        </w:tc>
        <w:tc>
          <w:tcPr>
            <w:tcW w:w="871" w:type="dxa"/>
          </w:tcPr>
          <w:p w14:paraId="53562C0F">
            <w:pPr>
              <w:rPr>
                <w:color w:val="auto"/>
                <w:highlight w:val="none"/>
              </w:rPr>
            </w:pPr>
          </w:p>
        </w:tc>
        <w:tc>
          <w:tcPr>
            <w:tcW w:w="1138" w:type="dxa"/>
          </w:tcPr>
          <w:p w14:paraId="5707547B">
            <w:pPr>
              <w:rPr>
                <w:color w:val="auto"/>
                <w:highlight w:val="none"/>
              </w:rPr>
            </w:pPr>
          </w:p>
        </w:tc>
      </w:tr>
      <w:tr w14:paraId="210FDD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820" w:type="dxa"/>
          </w:tcPr>
          <w:p w14:paraId="159FB6A9">
            <w:pPr>
              <w:rPr>
                <w:color w:val="auto"/>
                <w:highlight w:val="none"/>
              </w:rPr>
            </w:pPr>
          </w:p>
        </w:tc>
        <w:tc>
          <w:tcPr>
            <w:tcW w:w="1273" w:type="dxa"/>
          </w:tcPr>
          <w:p w14:paraId="458A10C1">
            <w:pPr>
              <w:rPr>
                <w:color w:val="auto"/>
                <w:highlight w:val="none"/>
              </w:rPr>
            </w:pPr>
          </w:p>
        </w:tc>
        <w:tc>
          <w:tcPr>
            <w:tcW w:w="992" w:type="dxa"/>
          </w:tcPr>
          <w:p w14:paraId="56F47C76">
            <w:pPr>
              <w:rPr>
                <w:color w:val="auto"/>
                <w:highlight w:val="none"/>
              </w:rPr>
            </w:pPr>
          </w:p>
        </w:tc>
        <w:tc>
          <w:tcPr>
            <w:tcW w:w="603" w:type="dxa"/>
          </w:tcPr>
          <w:p w14:paraId="028A6DA6">
            <w:pPr>
              <w:rPr>
                <w:color w:val="auto"/>
                <w:highlight w:val="none"/>
              </w:rPr>
            </w:pPr>
          </w:p>
        </w:tc>
        <w:tc>
          <w:tcPr>
            <w:tcW w:w="487" w:type="dxa"/>
          </w:tcPr>
          <w:p w14:paraId="7B2CAC72">
            <w:pPr>
              <w:rPr>
                <w:color w:val="auto"/>
                <w:highlight w:val="none"/>
              </w:rPr>
            </w:pPr>
          </w:p>
        </w:tc>
        <w:tc>
          <w:tcPr>
            <w:tcW w:w="1133" w:type="dxa"/>
          </w:tcPr>
          <w:p w14:paraId="3BAD50D9">
            <w:pPr>
              <w:rPr>
                <w:color w:val="auto"/>
                <w:highlight w:val="none"/>
              </w:rPr>
            </w:pPr>
          </w:p>
        </w:tc>
        <w:tc>
          <w:tcPr>
            <w:tcW w:w="709" w:type="dxa"/>
          </w:tcPr>
          <w:p w14:paraId="6646D588">
            <w:pPr>
              <w:rPr>
                <w:color w:val="auto"/>
                <w:highlight w:val="none"/>
              </w:rPr>
            </w:pPr>
          </w:p>
        </w:tc>
        <w:tc>
          <w:tcPr>
            <w:tcW w:w="871" w:type="dxa"/>
          </w:tcPr>
          <w:p w14:paraId="62A576AE">
            <w:pPr>
              <w:rPr>
                <w:color w:val="auto"/>
                <w:highlight w:val="none"/>
              </w:rPr>
            </w:pPr>
          </w:p>
        </w:tc>
        <w:tc>
          <w:tcPr>
            <w:tcW w:w="1138" w:type="dxa"/>
          </w:tcPr>
          <w:p w14:paraId="61E003F7">
            <w:pPr>
              <w:rPr>
                <w:color w:val="auto"/>
                <w:highlight w:val="none"/>
              </w:rPr>
            </w:pPr>
          </w:p>
        </w:tc>
      </w:tr>
      <w:tr w14:paraId="2ABB62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820" w:type="dxa"/>
          </w:tcPr>
          <w:p w14:paraId="013CDF76">
            <w:pPr>
              <w:rPr>
                <w:color w:val="auto"/>
                <w:highlight w:val="none"/>
              </w:rPr>
            </w:pPr>
          </w:p>
        </w:tc>
        <w:tc>
          <w:tcPr>
            <w:tcW w:w="1273" w:type="dxa"/>
          </w:tcPr>
          <w:p w14:paraId="1532E495">
            <w:pPr>
              <w:rPr>
                <w:color w:val="auto"/>
                <w:highlight w:val="none"/>
              </w:rPr>
            </w:pPr>
          </w:p>
        </w:tc>
        <w:tc>
          <w:tcPr>
            <w:tcW w:w="992" w:type="dxa"/>
          </w:tcPr>
          <w:p w14:paraId="4D5A4150">
            <w:pPr>
              <w:rPr>
                <w:color w:val="auto"/>
                <w:highlight w:val="none"/>
              </w:rPr>
            </w:pPr>
          </w:p>
        </w:tc>
        <w:tc>
          <w:tcPr>
            <w:tcW w:w="603" w:type="dxa"/>
          </w:tcPr>
          <w:p w14:paraId="15186199">
            <w:pPr>
              <w:rPr>
                <w:color w:val="auto"/>
                <w:highlight w:val="none"/>
              </w:rPr>
            </w:pPr>
          </w:p>
        </w:tc>
        <w:tc>
          <w:tcPr>
            <w:tcW w:w="487" w:type="dxa"/>
          </w:tcPr>
          <w:p w14:paraId="3B6C61EF">
            <w:pPr>
              <w:rPr>
                <w:color w:val="auto"/>
                <w:highlight w:val="none"/>
              </w:rPr>
            </w:pPr>
          </w:p>
        </w:tc>
        <w:tc>
          <w:tcPr>
            <w:tcW w:w="1133" w:type="dxa"/>
          </w:tcPr>
          <w:p w14:paraId="5C97EAAB">
            <w:pPr>
              <w:rPr>
                <w:color w:val="auto"/>
                <w:highlight w:val="none"/>
              </w:rPr>
            </w:pPr>
          </w:p>
        </w:tc>
        <w:tc>
          <w:tcPr>
            <w:tcW w:w="709" w:type="dxa"/>
          </w:tcPr>
          <w:p w14:paraId="538983CA">
            <w:pPr>
              <w:rPr>
                <w:color w:val="auto"/>
                <w:highlight w:val="none"/>
              </w:rPr>
            </w:pPr>
          </w:p>
        </w:tc>
        <w:tc>
          <w:tcPr>
            <w:tcW w:w="871" w:type="dxa"/>
          </w:tcPr>
          <w:p w14:paraId="20BBFFD4">
            <w:pPr>
              <w:rPr>
                <w:color w:val="auto"/>
                <w:highlight w:val="none"/>
              </w:rPr>
            </w:pPr>
          </w:p>
        </w:tc>
        <w:tc>
          <w:tcPr>
            <w:tcW w:w="1138" w:type="dxa"/>
          </w:tcPr>
          <w:p w14:paraId="3F7D4A17">
            <w:pPr>
              <w:rPr>
                <w:color w:val="auto"/>
                <w:highlight w:val="none"/>
              </w:rPr>
            </w:pPr>
          </w:p>
        </w:tc>
      </w:tr>
      <w:tr w14:paraId="5DE8D0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820" w:type="dxa"/>
          </w:tcPr>
          <w:p w14:paraId="7295B707">
            <w:pPr>
              <w:rPr>
                <w:color w:val="auto"/>
                <w:highlight w:val="none"/>
              </w:rPr>
            </w:pPr>
          </w:p>
        </w:tc>
        <w:tc>
          <w:tcPr>
            <w:tcW w:w="1273" w:type="dxa"/>
          </w:tcPr>
          <w:p w14:paraId="3DFDBAA6">
            <w:pPr>
              <w:rPr>
                <w:color w:val="auto"/>
                <w:highlight w:val="none"/>
              </w:rPr>
            </w:pPr>
          </w:p>
        </w:tc>
        <w:tc>
          <w:tcPr>
            <w:tcW w:w="992" w:type="dxa"/>
          </w:tcPr>
          <w:p w14:paraId="4AEC3CD6">
            <w:pPr>
              <w:rPr>
                <w:color w:val="auto"/>
                <w:highlight w:val="none"/>
              </w:rPr>
            </w:pPr>
          </w:p>
        </w:tc>
        <w:tc>
          <w:tcPr>
            <w:tcW w:w="603" w:type="dxa"/>
          </w:tcPr>
          <w:p w14:paraId="6806C31D">
            <w:pPr>
              <w:rPr>
                <w:color w:val="auto"/>
                <w:highlight w:val="none"/>
              </w:rPr>
            </w:pPr>
          </w:p>
        </w:tc>
        <w:tc>
          <w:tcPr>
            <w:tcW w:w="487" w:type="dxa"/>
          </w:tcPr>
          <w:p w14:paraId="29805131">
            <w:pPr>
              <w:rPr>
                <w:color w:val="auto"/>
                <w:highlight w:val="none"/>
              </w:rPr>
            </w:pPr>
          </w:p>
        </w:tc>
        <w:tc>
          <w:tcPr>
            <w:tcW w:w="1133" w:type="dxa"/>
          </w:tcPr>
          <w:p w14:paraId="586DCAEE">
            <w:pPr>
              <w:rPr>
                <w:color w:val="auto"/>
                <w:highlight w:val="none"/>
              </w:rPr>
            </w:pPr>
          </w:p>
        </w:tc>
        <w:tc>
          <w:tcPr>
            <w:tcW w:w="709" w:type="dxa"/>
          </w:tcPr>
          <w:p w14:paraId="2F769365">
            <w:pPr>
              <w:rPr>
                <w:color w:val="auto"/>
                <w:highlight w:val="none"/>
              </w:rPr>
            </w:pPr>
          </w:p>
        </w:tc>
        <w:tc>
          <w:tcPr>
            <w:tcW w:w="871" w:type="dxa"/>
          </w:tcPr>
          <w:p w14:paraId="2C1161B2">
            <w:pPr>
              <w:rPr>
                <w:color w:val="auto"/>
                <w:highlight w:val="none"/>
              </w:rPr>
            </w:pPr>
          </w:p>
        </w:tc>
        <w:tc>
          <w:tcPr>
            <w:tcW w:w="1138" w:type="dxa"/>
          </w:tcPr>
          <w:p w14:paraId="27E0E0DB">
            <w:pPr>
              <w:rPr>
                <w:color w:val="auto"/>
                <w:highlight w:val="none"/>
              </w:rPr>
            </w:pPr>
          </w:p>
        </w:tc>
      </w:tr>
      <w:tr w14:paraId="604723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820" w:type="dxa"/>
          </w:tcPr>
          <w:p w14:paraId="21F2000B">
            <w:pPr>
              <w:rPr>
                <w:color w:val="auto"/>
                <w:highlight w:val="none"/>
              </w:rPr>
            </w:pPr>
          </w:p>
        </w:tc>
        <w:tc>
          <w:tcPr>
            <w:tcW w:w="1273" w:type="dxa"/>
          </w:tcPr>
          <w:p w14:paraId="38B14907">
            <w:pPr>
              <w:rPr>
                <w:color w:val="auto"/>
                <w:highlight w:val="none"/>
              </w:rPr>
            </w:pPr>
          </w:p>
        </w:tc>
        <w:tc>
          <w:tcPr>
            <w:tcW w:w="992" w:type="dxa"/>
          </w:tcPr>
          <w:p w14:paraId="04C7BF34">
            <w:pPr>
              <w:rPr>
                <w:color w:val="auto"/>
                <w:highlight w:val="none"/>
              </w:rPr>
            </w:pPr>
          </w:p>
        </w:tc>
        <w:tc>
          <w:tcPr>
            <w:tcW w:w="603" w:type="dxa"/>
          </w:tcPr>
          <w:p w14:paraId="4E81B8D5">
            <w:pPr>
              <w:rPr>
                <w:color w:val="auto"/>
                <w:highlight w:val="none"/>
              </w:rPr>
            </w:pPr>
          </w:p>
        </w:tc>
        <w:tc>
          <w:tcPr>
            <w:tcW w:w="487" w:type="dxa"/>
          </w:tcPr>
          <w:p w14:paraId="05E84E9F">
            <w:pPr>
              <w:rPr>
                <w:color w:val="auto"/>
                <w:highlight w:val="none"/>
              </w:rPr>
            </w:pPr>
          </w:p>
        </w:tc>
        <w:tc>
          <w:tcPr>
            <w:tcW w:w="1133" w:type="dxa"/>
          </w:tcPr>
          <w:p w14:paraId="46D19740">
            <w:pPr>
              <w:rPr>
                <w:color w:val="auto"/>
                <w:highlight w:val="none"/>
              </w:rPr>
            </w:pPr>
          </w:p>
        </w:tc>
        <w:tc>
          <w:tcPr>
            <w:tcW w:w="709" w:type="dxa"/>
          </w:tcPr>
          <w:p w14:paraId="09185D77">
            <w:pPr>
              <w:rPr>
                <w:color w:val="auto"/>
                <w:highlight w:val="none"/>
              </w:rPr>
            </w:pPr>
          </w:p>
        </w:tc>
        <w:tc>
          <w:tcPr>
            <w:tcW w:w="871" w:type="dxa"/>
          </w:tcPr>
          <w:p w14:paraId="79A5C51C">
            <w:pPr>
              <w:rPr>
                <w:color w:val="auto"/>
                <w:highlight w:val="none"/>
              </w:rPr>
            </w:pPr>
          </w:p>
        </w:tc>
        <w:tc>
          <w:tcPr>
            <w:tcW w:w="1138" w:type="dxa"/>
          </w:tcPr>
          <w:p w14:paraId="616AAAC0">
            <w:pPr>
              <w:rPr>
                <w:color w:val="auto"/>
                <w:highlight w:val="none"/>
              </w:rPr>
            </w:pPr>
          </w:p>
        </w:tc>
      </w:tr>
      <w:tr w14:paraId="144492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820" w:type="dxa"/>
          </w:tcPr>
          <w:p w14:paraId="3575AE78">
            <w:pPr>
              <w:rPr>
                <w:color w:val="auto"/>
                <w:highlight w:val="none"/>
              </w:rPr>
            </w:pPr>
          </w:p>
        </w:tc>
        <w:tc>
          <w:tcPr>
            <w:tcW w:w="1273" w:type="dxa"/>
          </w:tcPr>
          <w:p w14:paraId="7D86B709">
            <w:pPr>
              <w:rPr>
                <w:color w:val="auto"/>
                <w:highlight w:val="none"/>
              </w:rPr>
            </w:pPr>
          </w:p>
        </w:tc>
        <w:tc>
          <w:tcPr>
            <w:tcW w:w="992" w:type="dxa"/>
          </w:tcPr>
          <w:p w14:paraId="484BCDF9">
            <w:pPr>
              <w:rPr>
                <w:color w:val="auto"/>
                <w:highlight w:val="none"/>
              </w:rPr>
            </w:pPr>
          </w:p>
        </w:tc>
        <w:tc>
          <w:tcPr>
            <w:tcW w:w="603" w:type="dxa"/>
          </w:tcPr>
          <w:p w14:paraId="69AADF17">
            <w:pPr>
              <w:rPr>
                <w:color w:val="auto"/>
                <w:highlight w:val="none"/>
              </w:rPr>
            </w:pPr>
          </w:p>
        </w:tc>
        <w:tc>
          <w:tcPr>
            <w:tcW w:w="487" w:type="dxa"/>
          </w:tcPr>
          <w:p w14:paraId="46E25BC4">
            <w:pPr>
              <w:rPr>
                <w:color w:val="auto"/>
                <w:highlight w:val="none"/>
              </w:rPr>
            </w:pPr>
          </w:p>
        </w:tc>
        <w:tc>
          <w:tcPr>
            <w:tcW w:w="1133" w:type="dxa"/>
          </w:tcPr>
          <w:p w14:paraId="687CDC08">
            <w:pPr>
              <w:rPr>
                <w:color w:val="auto"/>
                <w:highlight w:val="none"/>
              </w:rPr>
            </w:pPr>
          </w:p>
        </w:tc>
        <w:tc>
          <w:tcPr>
            <w:tcW w:w="709" w:type="dxa"/>
          </w:tcPr>
          <w:p w14:paraId="0ADE9C5E">
            <w:pPr>
              <w:rPr>
                <w:color w:val="auto"/>
                <w:highlight w:val="none"/>
              </w:rPr>
            </w:pPr>
          </w:p>
        </w:tc>
        <w:tc>
          <w:tcPr>
            <w:tcW w:w="871" w:type="dxa"/>
          </w:tcPr>
          <w:p w14:paraId="7DA6059C">
            <w:pPr>
              <w:rPr>
                <w:color w:val="auto"/>
                <w:highlight w:val="none"/>
              </w:rPr>
            </w:pPr>
          </w:p>
        </w:tc>
        <w:tc>
          <w:tcPr>
            <w:tcW w:w="1138" w:type="dxa"/>
          </w:tcPr>
          <w:p w14:paraId="6CCFEF04">
            <w:pPr>
              <w:rPr>
                <w:color w:val="auto"/>
                <w:highlight w:val="none"/>
              </w:rPr>
            </w:pPr>
          </w:p>
        </w:tc>
      </w:tr>
      <w:tr w14:paraId="394BAD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820" w:type="dxa"/>
          </w:tcPr>
          <w:p w14:paraId="25518625">
            <w:pPr>
              <w:rPr>
                <w:color w:val="auto"/>
                <w:highlight w:val="none"/>
              </w:rPr>
            </w:pPr>
          </w:p>
        </w:tc>
        <w:tc>
          <w:tcPr>
            <w:tcW w:w="1273" w:type="dxa"/>
          </w:tcPr>
          <w:p w14:paraId="436DAA18">
            <w:pPr>
              <w:rPr>
                <w:color w:val="auto"/>
                <w:highlight w:val="none"/>
              </w:rPr>
            </w:pPr>
          </w:p>
        </w:tc>
        <w:tc>
          <w:tcPr>
            <w:tcW w:w="992" w:type="dxa"/>
          </w:tcPr>
          <w:p w14:paraId="0C6B1DFE">
            <w:pPr>
              <w:rPr>
                <w:color w:val="auto"/>
                <w:highlight w:val="none"/>
              </w:rPr>
            </w:pPr>
          </w:p>
        </w:tc>
        <w:tc>
          <w:tcPr>
            <w:tcW w:w="603" w:type="dxa"/>
          </w:tcPr>
          <w:p w14:paraId="1B16EEF2">
            <w:pPr>
              <w:rPr>
                <w:color w:val="auto"/>
                <w:highlight w:val="none"/>
              </w:rPr>
            </w:pPr>
          </w:p>
        </w:tc>
        <w:tc>
          <w:tcPr>
            <w:tcW w:w="487" w:type="dxa"/>
          </w:tcPr>
          <w:p w14:paraId="6504C145">
            <w:pPr>
              <w:rPr>
                <w:color w:val="auto"/>
                <w:highlight w:val="none"/>
              </w:rPr>
            </w:pPr>
          </w:p>
        </w:tc>
        <w:tc>
          <w:tcPr>
            <w:tcW w:w="1133" w:type="dxa"/>
          </w:tcPr>
          <w:p w14:paraId="665CE53C">
            <w:pPr>
              <w:rPr>
                <w:color w:val="auto"/>
                <w:highlight w:val="none"/>
              </w:rPr>
            </w:pPr>
          </w:p>
        </w:tc>
        <w:tc>
          <w:tcPr>
            <w:tcW w:w="709" w:type="dxa"/>
          </w:tcPr>
          <w:p w14:paraId="2198561B">
            <w:pPr>
              <w:rPr>
                <w:color w:val="auto"/>
                <w:highlight w:val="none"/>
              </w:rPr>
            </w:pPr>
          </w:p>
        </w:tc>
        <w:tc>
          <w:tcPr>
            <w:tcW w:w="871" w:type="dxa"/>
          </w:tcPr>
          <w:p w14:paraId="4227F96E">
            <w:pPr>
              <w:rPr>
                <w:color w:val="auto"/>
                <w:highlight w:val="none"/>
              </w:rPr>
            </w:pPr>
          </w:p>
        </w:tc>
        <w:tc>
          <w:tcPr>
            <w:tcW w:w="1138" w:type="dxa"/>
          </w:tcPr>
          <w:p w14:paraId="4FB0AEF2">
            <w:pPr>
              <w:rPr>
                <w:color w:val="auto"/>
                <w:highlight w:val="none"/>
              </w:rPr>
            </w:pPr>
          </w:p>
        </w:tc>
      </w:tr>
      <w:tr w14:paraId="592611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820" w:type="dxa"/>
          </w:tcPr>
          <w:p w14:paraId="75E3C99C">
            <w:pPr>
              <w:rPr>
                <w:color w:val="auto"/>
                <w:highlight w:val="none"/>
              </w:rPr>
            </w:pPr>
          </w:p>
        </w:tc>
        <w:tc>
          <w:tcPr>
            <w:tcW w:w="1273" w:type="dxa"/>
          </w:tcPr>
          <w:p w14:paraId="0DE6A19C">
            <w:pPr>
              <w:rPr>
                <w:color w:val="auto"/>
                <w:highlight w:val="none"/>
              </w:rPr>
            </w:pPr>
          </w:p>
        </w:tc>
        <w:tc>
          <w:tcPr>
            <w:tcW w:w="992" w:type="dxa"/>
          </w:tcPr>
          <w:p w14:paraId="62FDFC66">
            <w:pPr>
              <w:rPr>
                <w:color w:val="auto"/>
                <w:highlight w:val="none"/>
              </w:rPr>
            </w:pPr>
          </w:p>
        </w:tc>
        <w:tc>
          <w:tcPr>
            <w:tcW w:w="603" w:type="dxa"/>
          </w:tcPr>
          <w:p w14:paraId="29EDC99E">
            <w:pPr>
              <w:rPr>
                <w:color w:val="auto"/>
                <w:highlight w:val="none"/>
              </w:rPr>
            </w:pPr>
          </w:p>
        </w:tc>
        <w:tc>
          <w:tcPr>
            <w:tcW w:w="487" w:type="dxa"/>
          </w:tcPr>
          <w:p w14:paraId="3B1D5B20">
            <w:pPr>
              <w:rPr>
                <w:color w:val="auto"/>
                <w:highlight w:val="none"/>
              </w:rPr>
            </w:pPr>
          </w:p>
        </w:tc>
        <w:tc>
          <w:tcPr>
            <w:tcW w:w="1133" w:type="dxa"/>
          </w:tcPr>
          <w:p w14:paraId="1230651D">
            <w:pPr>
              <w:rPr>
                <w:color w:val="auto"/>
                <w:highlight w:val="none"/>
              </w:rPr>
            </w:pPr>
          </w:p>
        </w:tc>
        <w:tc>
          <w:tcPr>
            <w:tcW w:w="709" w:type="dxa"/>
          </w:tcPr>
          <w:p w14:paraId="53289FDB">
            <w:pPr>
              <w:rPr>
                <w:color w:val="auto"/>
                <w:highlight w:val="none"/>
              </w:rPr>
            </w:pPr>
          </w:p>
        </w:tc>
        <w:tc>
          <w:tcPr>
            <w:tcW w:w="871" w:type="dxa"/>
          </w:tcPr>
          <w:p w14:paraId="5520BB4F">
            <w:pPr>
              <w:rPr>
                <w:color w:val="auto"/>
                <w:highlight w:val="none"/>
              </w:rPr>
            </w:pPr>
          </w:p>
        </w:tc>
        <w:tc>
          <w:tcPr>
            <w:tcW w:w="1138" w:type="dxa"/>
          </w:tcPr>
          <w:p w14:paraId="059F4D63">
            <w:pPr>
              <w:rPr>
                <w:color w:val="auto"/>
                <w:highlight w:val="none"/>
              </w:rPr>
            </w:pPr>
          </w:p>
        </w:tc>
      </w:tr>
      <w:tr w14:paraId="5F31FE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820" w:type="dxa"/>
          </w:tcPr>
          <w:p w14:paraId="5DF87FD4">
            <w:pPr>
              <w:rPr>
                <w:color w:val="auto"/>
                <w:highlight w:val="none"/>
              </w:rPr>
            </w:pPr>
          </w:p>
        </w:tc>
        <w:tc>
          <w:tcPr>
            <w:tcW w:w="1273" w:type="dxa"/>
          </w:tcPr>
          <w:p w14:paraId="2DBCE8CA">
            <w:pPr>
              <w:rPr>
                <w:color w:val="auto"/>
                <w:highlight w:val="none"/>
              </w:rPr>
            </w:pPr>
          </w:p>
        </w:tc>
        <w:tc>
          <w:tcPr>
            <w:tcW w:w="992" w:type="dxa"/>
          </w:tcPr>
          <w:p w14:paraId="12DEBA0C">
            <w:pPr>
              <w:rPr>
                <w:color w:val="auto"/>
                <w:highlight w:val="none"/>
              </w:rPr>
            </w:pPr>
          </w:p>
        </w:tc>
        <w:tc>
          <w:tcPr>
            <w:tcW w:w="603" w:type="dxa"/>
          </w:tcPr>
          <w:p w14:paraId="3B9ED28A">
            <w:pPr>
              <w:rPr>
                <w:color w:val="auto"/>
                <w:highlight w:val="none"/>
              </w:rPr>
            </w:pPr>
          </w:p>
        </w:tc>
        <w:tc>
          <w:tcPr>
            <w:tcW w:w="487" w:type="dxa"/>
          </w:tcPr>
          <w:p w14:paraId="6E0C2349">
            <w:pPr>
              <w:rPr>
                <w:color w:val="auto"/>
                <w:highlight w:val="none"/>
              </w:rPr>
            </w:pPr>
          </w:p>
        </w:tc>
        <w:tc>
          <w:tcPr>
            <w:tcW w:w="1133" w:type="dxa"/>
          </w:tcPr>
          <w:p w14:paraId="05215BCC">
            <w:pPr>
              <w:rPr>
                <w:color w:val="auto"/>
                <w:highlight w:val="none"/>
              </w:rPr>
            </w:pPr>
          </w:p>
        </w:tc>
        <w:tc>
          <w:tcPr>
            <w:tcW w:w="709" w:type="dxa"/>
          </w:tcPr>
          <w:p w14:paraId="10F24765">
            <w:pPr>
              <w:rPr>
                <w:color w:val="auto"/>
                <w:highlight w:val="none"/>
              </w:rPr>
            </w:pPr>
          </w:p>
        </w:tc>
        <w:tc>
          <w:tcPr>
            <w:tcW w:w="871" w:type="dxa"/>
          </w:tcPr>
          <w:p w14:paraId="28E51405">
            <w:pPr>
              <w:rPr>
                <w:color w:val="auto"/>
                <w:highlight w:val="none"/>
              </w:rPr>
            </w:pPr>
          </w:p>
        </w:tc>
        <w:tc>
          <w:tcPr>
            <w:tcW w:w="1138" w:type="dxa"/>
          </w:tcPr>
          <w:p w14:paraId="1B0279D3">
            <w:pPr>
              <w:rPr>
                <w:color w:val="auto"/>
                <w:highlight w:val="none"/>
              </w:rPr>
            </w:pPr>
          </w:p>
        </w:tc>
      </w:tr>
      <w:tr w14:paraId="4F50CA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820" w:type="dxa"/>
          </w:tcPr>
          <w:p w14:paraId="191AFED4">
            <w:pPr>
              <w:rPr>
                <w:color w:val="auto"/>
                <w:highlight w:val="none"/>
              </w:rPr>
            </w:pPr>
          </w:p>
        </w:tc>
        <w:tc>
          <w:tcPr>
            <w:tcW w:w="1273" w:type="dxa"/>
          </w:tcPr>
          <w:p w14:paraId="2E91EDD9">
            <w:pPr>
              <w:rPr>
                <w:color w:val="auto"/>
                <w:highlight w:val="none"/>
              </w:rPr>
            </w:pPr>
          </w:p>
        </w:tc>
        <w:tc>
          <w:tcPr>
            <w:tcW w:w="992" w:type="dxa"/>
          </w:tcPr>
          <w:p w14:paraId="1A66B2B1">
            <w:pPr>
              <w:rPr>
                <w:color w:val="auto"/>
                <w:highlight w:val="none"/>
              </w:rPr>
            </w:pPr>
          </w:p>
        </w:tc>
        <w:tc>
          <w:tcPr>
            <w:tcW w:w="603" w:type="dxa"/>
          </w:tcPr>
          <w:p w14:paraId="4ACAFA9A">
            <w:pPr>
              <w:rPr>
                <w:color w:val="auto"/>
                <w:highlight w:val="none"/>
              </w:rPr>
            </w:pPr>
          </w:p>
        </w:tc>
        <w:tc>
          <w:tcPr>
            <w:tcW w:w="487" w:type="dxa"/>
          </w:tcPr>
          <w:p w14:paraId="54A00CC5">
            <w:pPr>
              <w:rPr>
                <w:color w:val="auto"/>
                <w:highlight w:val="none"/>
              </w:rPr>
            </w:pPr>
          </w:p>
        </w:tc>
        <w:tc>
          <w:tcPr>
            <w:tcW w:w="1133" w:type="dxa"/>
          </w:tcPr>
          <w:p w14:paraId="29140038">
            <w:pPr>
              <w:rPr>
                <w:color w:val="auto"/>
                <w:highlight w:val="none"/>
              </w:rPr>
            </w:pPr>
          </w:p>
        </w:tc>
        <w:tc>
          <w:tcPr>
            <w:tcW w:w="709" w:type="dxa"/>
          </w:tcPr>
          <w:p w14:paraId="2FE4BA97">
            <w:pPr>
              <w:rPr>
                <w:color w:val="auto"/>
                <w:highlight w:val="none"/>
              </w:rPr>
            </w:pPr>
          </w:p>
        </w:tc>
        <w:tc>
          <w:tcPr>
            <w:tcW w:w="871" w:type="dxa"/>
          </w:tcPr>
          <w:p w14:paraId="52B60013">
            <w:pPr>
              <w:rPr>
                <w:color w:val="auto"/>
                <w:highlight w:val="none"/>
              </w:rPr>
            </w:pPr>
          </w:p>
        </w:tc>
        <w:tc>
          <w:tcPr>
            <w:tcW w:w="1138" w:type="dxa"/>
          </w:tcPr>
          <w:p w14:paraId="359E0303">
            <w:pPr>
              <w:rPr>
                <w:color w:val="auto"/>
                <w:highlight w:val="none"/>
              </w:rPr>
            </w:pPr>
          </w:p>
        </w:tc>
      </w:tr>
      <w:tr w14:paraId="78A106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820" w:type="dxa"/>
          </w:tcPr>
          <w:p w14:paraId="35150C55">
            <w:pPr>
              <w:rPr>
                <w:color w:val="auto"/>
                <w:highlight w:val="none"/>
              </w:rPr>
            </w:pPr>
          </w:p>
        </w:tc>
        <w:tc>
          <w:tcPr>
            <w:tcW w:w="1273" w:type="dxa"/>
          </w:tcPr>
          <w:p w14:paraId="0DD178B5">
            <w:pPr>
              <w:rPr>
                <w:color w:val="auto"/>
                <w:highlight w:val="none"/>
              </w:rPr>
            </w:pPr>
          </w:p>
        </w:tc>
        <w:tc>
          <w:tcPr>
            <w:tcW w:w="992" w:type="dxa"/>
          </w:tcPr>
          <w:p w14:paraId="609FAF4E">
            <w:pPr>
              <w:rPr>
                <w:color w:val="auto"/>
                <w:highlight w:val="none"/>
              </w:rPr>
            </w:pPr>
          </w:p>
        </w:tc>
        <w:tc>
          <w:tcPr>
            <w:tcW w:w="603" w:type="dxa"/>
          </w:tcPr>
          <w:p w14:paraId="2A552C2A">
            <w:pPr>
              <w:rPr>
                <w:color w:val="auto"/>
                <w:highlight w:val="none"/>
              </w:rPr>
            </w:pPr>
          </w:p>
        </w:tc>
        <w:tc>
          <w:tcPr>
            <w:tcW w:w="487" w:type="dxa"/>
          </w:tcPr>
          <w:p w14:paraId="799D31BF">
            <w:pPr>
              <w:rPr>
                <w:color w:val="auto"/>
                <w:highlight w:val="none"/>
              </w:rPr>
            </w:pPr>
          </w:p>
        </w:tc>
        <w:tc>
          <w:tcPr>
            <w:tcW w:w="1133" w:type="dxa"/>
          </w:tcPr>
          <w:p w14:paraId="05E674F4">
            <w:pPr>
              <w:rPr>
                <w:color w:val="auto"/>
                <w:highlight w:val="none"/>
              </w:rPr>
            </w:pPr>
          </w:p>
        </w:tc>
        <w:tc>
          <w:tcPr>
            <w:tcW w:w="709" w:type="dxa"/>
          </w:tcPr>
          <w:p w14:paraId="2BDEA527">
            <w:pPr>
              <w:rPr>
                <w:color w:val="auto"/>
                <w:highlight w:val="none"/>
              </w:rPr>
            </w:pPr>
          </w:p>
        </w:tc>
        <w:tc>
          <w:tcPr>
            <w:tcW w:w="871" w:type="dxa"/>
          </w:tcPr>
          <w:p w14:paraId="240B0D1F">
            <w:pPr>
              <w:rPr>
                <w:color w:val="auto"/>
                <w:highlight w:val="none"/>
              </w:rPr>
            </w:pPr>
          </w:p>
        </w:tc>
        <w:tc>
          <w:tcPr>
            <w:tcW w:w="1138" w:type="dxa"/>
          </w:tcPr>
          <w:p w14:paraId="1D02A7D3">
            <w:pPr>
              <w:rPr>
                <w:color w:val="auto"/>
                <w:highlight w:val="none"/>
              </w:rPr>
            </w:pPr>
          </w:p>
        </w:tc>
      </w:tr>
      <w:tr w14:paraId="12B13F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820" w:type="dxa"/>
          </w:tcPr>
          <w:p w14:paraId="568D3CBD">
            <w:pPr>
              <w:rPr>
                <w:color w:val="auto"/>
                <w:highlight w:val="none"/>
              </w:rPr>
            </w:pPr>
          </w:p>
        </w:tc>
        <w:tc>
          <w:tcPr>
            <w:tcW w:w="1273" w:type="dxa"/>
          </w:tcPr>
          <w:p w14:paraId="4C45E35A">
            <w:pPr>
              <w:rPr>
                <w:color w:val="auto"/>
                <w:highlight w:val="none"/>
              </w:rPr>
            </w:pPr>
          </w:p>
        </w:tc>
        <w:tc>
          <w:tcPr>
            <w:tcW w:w="992" w:type="dxa"/>
          </w:tcPr>
          <w:p w14:paraId="38DBC320">
            <w:pPr>
              <w:rPr>
                <w:color w:val="auto"/>
                <w:highlight w:val="none"/>
              </w:rPr>
            </w:pPr>
          </w:p>
        </w:tc>
        <w:tc>
          <w:tcPr>
            <w:tcW w:w="603" w:type="dxa"/>
          </w:tcPr>
          <w:p w14:paraId="04882085">
            <w:pPr>
              <w:rPr>
                <w:color w:val="auto"/>
                <w:highlight w:val="none"/>
              </w:rPr>
            </w:pPr>
          </w:p>
        </w:tc>
        <w:tc>
          <w:tcPr>
            <w:tcW w:w="487" w:type="dxa"/>
          </w:tcPr>
          <w:p w14:paraId="6A1D6FDE">
            <w:pPr>
              <w:rPr>
                <w:color w:val="auto"/>
                <w:highlight w:val="none"/>
              </w:rPr>
            </w:pPr>
          </w:p>
        </w:tc>
        <w:tc>
          <w:tcPr>
            <w:tcW w:w="1133" w:type="dxa"/>
          </w:tcPr>
          <w:p w14:paraId="12895B1F">
            <w:pPr>
              <w:rPr>
                <w:color w:val="auto"/>
                <w:highlight w:val="none"/>
              </w:rPr>
            </w:pPr>
          </w:p>
        </w:tc>
        <w:tc>
          <w:tcPr>
            <w:tcW w:w="709" w:type="dxa"/>
          </w:tcPr>
          <w:p w14:paraId="2F4F3859">
            <w:pPr>
              <w:rPr>
                <w:color w:val="auto"/>
                <w:highlight w:val="none"/>
              </w:rPr>
            </w:pPr>
          </w:p>
        </w:tc>
        <w:tc>
          <w:tcPr>
            <w:tcW w:w="871" w:type="dxa"/>
          </w:tcPr>
          <w:p w14:paraId="24AC6ABB">
            <w:pPr>
              <w:rPr>
                <w:color w:val="auto"/>
                <w:highlight w:val="none"/>
              </w:rPr>
            </w:pPr>
          </w:p>
        </w:tc>
        <w:tc>
          <w:tcPr>
            <w:tcW w:w="1138" w:type="dxa"/>
          </w:tcPr>
          <w:p w14:paraId="1093B46B">
            <w:pPr>
              <w:rPr>
                <w:color w:val="auto"/>
                <w:highlight w:val="none"/>
              </w:rPr>
            </w:pPr>
          </w:p>
        </w:tc>
      </w:tr>
      <w:tr w14:paraId="46F558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820" w:type="dxa"/>
          </w:tcPr>
          <w:p w14:paraId="4FB00916">
            <w:pPr>
              <w:rPr>
                <w:color w:val="auto"/>
                <w:highlight w:val="none"/>
              </w:rPr>
            </w:pPr>
          </w:p>
        </w:tc>
        <w:tc>
          <w:tcPr>
            <w:tcW w:w="1273" w:type="dxa"/>
          </w:tcPr>
          <w:p w14:paraId="4F6335E5">
            <w:pPr>
              <w:rPr>
                <w:color w:val="auto"/>
                <w:highlight w:val="none"/>
              </w:rPr>
            </w:pPr>
          </w:p>
        </w:tc>
        <w:tc>
          <w:tcPr>
            <w:tcW w:w="992" w:type="dxa"/>
          </w:tcPr>
          <w:p w14:paraId="65C75301">
            <w:pPr>
              <w:rPr>
                <w:color w:val="auto"/>
                <w:highlight w:val="none"/>
              </w:rPr>
            </w:pPr>
          </w:p>
        </w:tc>
        <w:tc>
          <w:tcPr>
            <w:tcW w:w="603" w:type="dxa"/>
          </w:tcPr>
          <w:p w14:paraId="7282577F">
            <w:pPr>
              <w:rPr>
                <w:color w:val="auto"/>
                <w:highlight w:val="none"/>
              </w:rPr>
            </w:pPr>
          </w:p>
        </w:tc>
        <w:tc>
          <w:tcPr>
            <w:tcW w:w="487" w:type="dxa"/>
          </w:tcPr>
          <w:p w14:paraId="7FFE0B1A">
            <w:pPr>
              <w:rPr>
                <w:color w:val="auto"/>
                <w:highlight w:val="none"/>
              </w:rPr>
            </w:pPr>
          </w:p>
        </w:tc>
        <w:tc>
          <w:tcPr>
            <w:tcW w:w="1133" w:type="dxa"/>
          </w:tcPr>
          <w:p w14:paraId="7E2BDEF9">
            <w:pPr>
              <w:rPr>
                <w:color w:val="auto"/>
                <w:highlight w:val="none"/>
              </w:rPr>
            </w:pPr>
          </w:p>
        </w:tc>
        <w:tc>
          <w:tcPr>
            <w:tcW w:w="709" w:type="dxa"/>
          </w:tcPr>
          <w:p w14:paraId="2BF7F2FC">
            <w:pPr>
              <w:rPr>
                <w:color w:val="auto"/>
                <w:highlight w:val="none"/>
              </w:rPr>
            </w:pPr>
          </w:p>
        </w:tc>
        <w:tc>
          <w:tcPr>
            <w:tcW w:w="871" w:type="dxa"/>
          </w:tcPr>
          <w:p w14:paraId="35E528E4">
            <w:pPr>
              <w:rPr>
                <w:color w:val="auto"/>
                <w:highlight w:val="none"/>
              </w:rPr>
            </w:pPr>
          </w:p>
        </w:tc>
        <w:tc>
          <w:tcPr>
            <w:tcW w:w="1138" w:type="dxa"/>
          </w:tcPr>
          <w:p w14:paraId="6F1859E8">
            <w:pPr>
              <w:rPr>
                <w:color w:val="auto"/>
                <w:highlight w:val="none"/>
              </w:rPr>
            </w:pPr>
          </w:p>
        </w:tc>
      </w:tr>
    </w:tbl>
    <w:p w14:paraId="528D1E1C">
      <w:pPr>
        <w:rPr>
          <w:color w:val="auto"/>
          <w:highlight w:val="none"/>
        </w:rPr>
      </w:pPr>
    </w:p>
    <w:p w14:paraId="60FB7C47">
      <w:pPr>
        <w:rPr>
          <w:color w:val="auto"/>
          <w:highlight w:val="none"/>
        </w:rPr>
        <w:sectPr>
          <w:footerReference r:id="rId29" w:type="default"/>
          <w:pgSz w:w="12240" w:h="15840"/>
          <w:pgMar w:top="1346" w:right="1836" w:bottom="1104" w:left="1834" w:header="0" w:footer="940" w:gutter="0"/>
          <w:cols w:space="720" w:num="1"/>
        </w:sectPr>
      </w:pPr>
    </w:p>
    <w:p w14:paraId="1594B256">
      <w:pPr>
        <w:rPr>
          <w:rFonts w:ascii="黑体" w:hAnsi="黑体" w:eastAsia="黑体"/>
          <w:color w:val="auto"/>
          <w:spacing w:val="33"/>
          <w:sz w:val="27"/>
          <w:szCs w:val="27"/>
          <w:highlight w:val="none"/>
        </w:rPr>
      </w:pPr>
      <w:r>
        <w:rPr>
          <w:rFonts w:ascii="黑体" w:hAnsi="黑体" w:eastAsia="黑体"/>
          <w:color w:val="auto"/>
          <w:spacing w:val="34"/>
          <w:sz w:val="27"/>
          <w:szCs w:val="27"/>
          <w:highlight w:val="none"/>
        </w:rPr>
        <w:t>(</w:t>
      </w:r>
      <w:r>
        <w:rPr>
          <w:rFonts w:hint="eastAsia" w:ascii="黑体" w:hAnsi="黑体" w:eastAsia="黑体"/>
          <w:color w:val="auto"/>
          <w:spacing w:val="34"/>
          <w:sz w:val="27"/>
          <w:szCs w:val="27"/>
          <w:highlight w:val="none"/>
        </w:rPr>
        <w:t>六</w:t>
      </w:r>
      <w:r>
        <w:rPr>
          <w:rFonts w:ascii="黑体" w:hAnsi="黑体" w:eastAsia="黑体"/>
          <w:color w:val="auto"/>
          <w:spacing w:val="34"/>
          <w:sz w:val="27"/>
          <w:szCs w:val="27"/>
          <w:highlight w:val="none"/>
        </w:rPr>
        <w:t>)主要人员简历</w:t>
      </w:r>
      <w:r>
        <w:rPr>
          <w:rFonts w:ascii="黑体" w:hAnsi="黑体" w:eastAsia="黑体"/>
          <w:color w:val="auto"/>
          <w:spacing w:val="33"/>
          <w:sz w:val="27"/>
          <w:szCs w:val="27"/>
          <w:highlight w:val="none"/>
        </w:rPr>
        <w:t>表</w:t>
      </w:r>
    </w:p>
    <w:p w14:paraId="75B9F4C4">
      <w:pPr>
        <w:jc w:val="center"/>
        <w:rPr>
          <w:rFonts w:ascii="黑体" w:hAnsi="黑体" w:eastAsia="黑体"/>
          <w:color w:val="auto"/>
          <w:spacing w:val="33"/>
          <w:sz w:val="27"/>
          <w:szCs w:val="27"/>
          <w:highlight w:val="none"/>
        </w:rPr>
      </w:pPr>
    </w:p>
    <w:tbl>
      <w:tblPr>
        <w:tblStyle w:val="19"/>
        <w:tblW w:w="8525" w:type="dxa"/>
        <w:tblInd w:w="4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91"/>
        <w:gridCol w:w="356"/>
        <w:gridCol w:w="691"/>
        <w:gridCol w:w="957"/>
        <w:gridCol w:w="1065"/>
        <w:gridCol w:w="705"/>
        <w:gridCol w:w="1260"/>
        <w:gridCol w:w="400"/>
        <w:gridCol w:w="1900"/>
      </w:tblGrid>
      <w:tr w14:paraId="1CD485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0" w:hRule="atLeast"/>
        </w:trPr>
        <w:tc>
          <w:tcPr>
            <w:tcW w:w="1191" w:type="dxa"/>
          </w:tcPr>
          <w:p w14:paraId="7E3975C5">
            <w:pPr>
              <w:spacing w:line="325" w:lineRule="auto"/>
              <w:rPr>
                <w:color w:val="auto"/>
                <w:highlight w:val="none"/>
              </w:rPr>
            </w:pPr>
          </w:p>
          <w:p w14:paraId="44318064">
            <w:pPr>
              <w:spacing w:before="68" w:line="220" w:lineRule="auto"/>
              <w:ind w:left="285"/>
              <w:rPr>
                <w:rFonts w:ascii="宋体" w:hAnsi="宋体" w:eastAsia="宋体"/>
                <w:color w:val="auto"/>
                <w:spacing w:val="1"/>
                <w:highlight w:val="none"/>
              </w:rPr>
            </w:pPr>
            <w:r>
              <w:rPr>
                <w:rFonts w:ascii="宋体" w:hAnsi="宋体" w:eastAsia="宋体"/>
                <w:color w:val="auto"/>
                <w:spacing w:val="1"/>
                <w:highlight w:val="none"/>
              </w:rPr>
              <w:t xml:space="preserve">姓 </w:t>
            </w:r>
            <w:r>
              <w:rPr>
                <w:rFonts w:ascii="宋体" w:hAnsi="宋体" w:eastAsia="宋体"/>
                <w:color w:val="auto"/>
                <w:highlight w:val="none"/>
              </w:rPr>
              <w:t xml:space="preserve"> 名</w:t>
            </w:r>
          </w:p>
        </w:tc>
        <w:tc>
          <w:tcPr>
            <w:tcW w:w="1047" w:type="dxa"/>
            <w:gridSpan w:val="2"/>
          </w:tcPr>
          <w:p w14:paraId="125ABE55">
            <w:pPr>
              <w:rPr>
                <w:color w:val="auto"/>
                <w:highlight w:val="none"/>
              </w:rPr>
            </w:pPr>
          </w:p>
        </w:tc>
        <w:tc>
          <w:tcPr>
            <w:tcW w:w="957" w:type="dxa"/>
          </w:tcPr>
          <w:p w14:paraId="317A59B2">
            <w:pPr>
              <w:spacing w:line="324" w:lineRule="auto"/>
              <w:rPr>
                <w:color w:val="auto"/>
                <w:highlight w:val="none"/>
              </w:rPr>
            </w:pPr>
          </w:p>
          <w:p w14:paraId="42D2618B">
            <w:pPr>
              <w:spacing w:before="68" w:line="220" w:lineRule="auto"/>
              <w:ind w:left="274"/>
              <w:rPr>
                <w:rFonts w:ascii="宋体" w:hAnsi="宋体" w:eastAsia="宋体"/>
                <w:color w:val="auto"/>
                <w:spacing w:val="-6"/>
                <w:highlight w:val="none"/>
              </w:rPr>
            </w:pPr>
            <w:r>
              <w:rPr>
                <w:rFonts w:ascii="宋体" w:hAnsi="宋体" w:eastAsia="宋体"/>
                <w:color w:val="auto"/>
                <w:spacing w:val="-6"/>
                <w:highlight w:val="none"/>
              </w:rPr>
              <w:t>年</w:t>
            </w:r>
            <w:r>
              <w:rPr>
                <w:rFonts w:ascii="宋体" w:hAnsi="宋体" w:eastAsia="宋体"/>
                <w:color w:val="auto"/>
                <w:spacing w:val="-4"/>
                <w:highlight w:val="none"/>
              </w:rPr>
              <w:t>龄</w:t>
            </w:r>
          </w:p>
        </w:tc>
        <w:tc>
          <w:tcPr>
            <w:tcW w:w="1065" w:type="dxa"/>
          </w:tcPr>
          <w:p w14:paraId="07B8BE84">
            <w:pPr>
              <w:rPr>
                <w:color w:val="auto"/>
                <w:highlight w:val="none"/>
              </w:rPr>
            </w:pPr>
          </w:p>
        </w:tc>
        <w:tc>
          <w:tcPr>
            <w:tcW w:w="2365" w:type="dxa"/>
            <w:gridSpan w:val="3"/>
          </w:tcPr>
          <w:p w14:paraId="5D18C362">
            <w:pPr>
              <w:spacing w:before="175" w:line="440" w:lineRule="exact"/>
              <w:ind w:left="138"/>
              <w:rPr>
                <w:rFonts w:ascii="宋体" w:hAnsi="宋体" w:eastAsia="宋体"/>
                <w:color w:val="auto"/>
                <w:spacing w:val="15"/>
                <w:position w:val="17"/>
                <w:highlight w:val="none"/>
              </w:rPr>
            </w:pPr>
            <w:r>
              <w:rPr>
                <w:rFonts w:ascii="宋体" w:hAnsi="宋体" w:eastAsia="宋体"/>
                <w:color w:val="auto"/>
                <w:spacing w:val="15"/>
                <w:position w:val="17"/>
                <w:highlight w:val="none"/>
              </w:rPr>
              <w:t>执</w:t>
            </w:r>
            <w:r>
              <w:rPr>
                <w:rFonts w:ascii="宋体" w:hAnsi="宋体" w:eastAsia="宋体"/>
                <w:color w:val="auto"/>
                <w:spacing w:val="9"/>
                <w:position w:val="17"/>
                <w:highlight w:val="none"/>
              </w:rPr>
              <w:t>业资格证书(或上岗</w:t>
            </w:r>
          </w:p>
          <w:p w14:paraId="7B5AF4DA">
            <w:pPr>
              <w:spacing w:line="219" w:lineRule="auto"/>
              <w:ind w:left="664"/>
              <w:rPr>
                <w:rFonts w:ascii="宋体" w:hAnsi="宋体" w:eastAsia="宋体"/>
                <w:color w:val="auto"/>
                <w:spacing w:val="20"/>
                <w:highlight w:val="none"/>
              </w:rPr>
            </w:pPr>
            <w:r>
              <w:rPr>
                <w:rFonts w:ascii="宋体" w:hAnsi="宋体" w:eastAsia="宋体"/>
                <w:color w:val="auto"/>
                <w:spacing w:val="20"/>
                <w:highlight w:val="none"/>
              </w:rPr>
              <w:t>证</w:t>
            </w:r>
            <w:r>
              <w:rPr>
                <w:rFonts w:ascii="宋体" w:hAnsi="宋体" w:eastAsia="宋体"/>
                <w:color w:val="auto"/>
                <w:spacing w:val="19"/>
                <w:highlight w:val="none"/>
              </w:rPr>
              <w:t>书)名称</w:t>
            </w:r>
          </w:p>
        </w:tc>
        <w:tc>
          <w:tcPr>
            <w:tcW w:w="1900" w:type="dxa"/>
          </w:tcPr>
          <w:p w14:paraId="66530164">
            <w:pPr>
              <w:rPr>
                <w:color w:val="auto"/>
                <w:highlight w:val="none"/>
              </w:rPr>
            </w:pPr>
          </w:p>
        </w:tc>
      </w:tr>
      <w:tr w14:paraId="3D5244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3" w:hRule="atLeast"/>
        </w:trPr>
        <w:tc>
          <w:tcPr>
            <w:tcW w:w="1191" w:type="dxa"/>
          </w:tcPr>
          <w:p w14:paraId="7E418751">
            <w:pPr>
              <w:spacing w:before="295" w:line="222" w:lineRule="auto"/>
              <w:ind w:left="286"/>
              <w:rPr>
                <w:rFonts w:ascii="宋体" w:hAnsi="宋体" w:eastAsia="宋体"/>
                <w:color w:val="auto"/>
                <w:spacing w:val="-1"/>
                <w:highlight w:val="none"/>
              </w:rPr>
            </w:pPr>
            <w:r>
              <w:rPr>
                <w:rFonts w:ascii="宋体" w:hAnsi="宋体" w:eastAsia="宋体"/>
                <w:color w:val="auto"/>
                <w:spacing w:val="-1"/>
                <w:highlight w:val="none"/>
              </w:rPr>
              <w:t xml:space="preserve">职 </w:t>
            </w:r>
            <w:r>
              <w:rPr>
                <w:rFonts w:ascii="宋体" w:hAnsi="宋体" w:eastAsia="宋体"/>
                <w:color w:val="auto"/>
                <w:highlight w:val="none"/>
              </w:rPr>
              <w:t xml:space="preserve"> 称</w:t>
            </w:r>
          </w:p>
        </w:tc>
        <w:tc>
          <w:tcPr>
            <w:tcW w:w="1047" w:type="dxa"/>
            <w:gridSpan w:val="2"/>
          </w:tcPr>
          <w:p w14:paraId="189208A2">
            <w:pPr>
              <w:rPr>
                <w:color w:val="auto"/>
                <w:highlight w:val="none"/>
              </w:rPr>
            </w:pPr>
          </w:p>
        </w:tc>
        <w:tc>
          <w:tcPr>
            <w:tcW w:w="957" w:type="dxa"/>
          </w:tcPr>
          <w:p w14:paraId="314AEC0F">
            <w:pPr>
              <w:spacing w:before="294" w:line="222" w:lineRule="auto"/>
              <w:ind w:left="277"/>
              <w:rPr>
                <w:rFonts w:ascii="宋体" w:hAnsi="宋体" w:eastAsia="宋体"/>
                <w:color w:val="auto"/>
                <w:spacing w:val="-4"/>
                <w:highlight w:val="none"/>
              </w:rPr>
            </w:pPr>
            <w:r>
              <w:rPr>
                <w:rFonts w:ascii="宋体" w:hAnsi="宋体" w:eastAsia="宋体"/>
                <w:color w:val="auto"/>
                <w:spacing w:val="-4"/>
                <w:highlight w:val="none"/>
              </w:rPr>
              <w:t>学</w:t>
            </w:r>
            <w:r>
              <w:rPr>
                <w:rFonts w:ascii="宋体" w:hAnsi="宋体" w:eastAsia="宋体"/>
                <w:color w:val="auto"/>
                <w:spacing w:val="-3"/>
                <w:highlight w:val="none"/>
              </w:rPr>
              <w:t>历</w:t>
            </w:r>
          </w:p>
        </w:tc>
        <w:tc>
          <w:tcPr>
            <w:tcW w:w="1065" w:type="dxa"/>
          </w:tcPr>
          <w:p w14:paraId="4A70821D">
            <w:pPr>
              <w:rPr>
                <w:color w:val="auto"/>
                <w:highlight w:val="none"/>
              </w:rPr>
            </w:pPr>
          </w:p>
        </w:tc>
        <w:tc>
          <w:tcPr>
            <w:tcW w:w="2365" w:type="dxa"/>
            <w:gridSpan w:val="3"/>
          </w:tcPr>
          <w:p w14:paraId="4A272EF0">
            <w:pPr>
              <w:spacing w:before="294" w:line="220" w:lineRule="auto"/>
              <w:ind w:left="454"/>
              <w:rPr>
                <w:rFonts w:ascii="宋体" w:hAnsi="宋体" w:eastAsia="宋体"/>
                <w:color w:val="auto"/>
                <w:spacing w:val="-2"/>
                <w:highlight w:val="none"/>
              </w:rPr>
            </w:pPr>
            <w:r>
              <w:rPr>
                <w:rFonts w:ascii="宋体" w:hAnsi="宋体" w:eastAsia="宋体"/>
                <w:color w:val="auto"/>
                <w:spacing w:val="-2"/>
                <w:highlight w:val="none"/>
              </w:rPr>
              <w:t>拟</w:t>
            </w:r>
            <w:r>
              <w:rPr>
                <w:rFonts w:ascii="宋体" w:hAnsi="宋体" w:eastAsia="宋体"/>
                <w:color w:val="auto"/>
                <w:spacing w:val="-1"/>
                <w:highlight w:val="none"/>
              </w:rPr>
              <w:t>在本项目任职</w:t>
            </w:r>
          </w:p>
        </w:tc>
        <w:tc>
          <w:tcPr>
            <w:tcW w:w="1900" w:type="dxa"/>
          </w:tcPr>
          <w:p w14:paraId="20AD9832">
            <w:pPr>
              <w:rPr>
                <w:color w:val="auto"/>
                <w:highlight w:val="none"/>
              </w:rPr>
            </w:pPr>
          </w:p>
        </w:tc>
      </w:tr>
      <w:tr w14:paraId="68C2E8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1191" w:type="dxa"/>
          </w:tcPr>
          <w:p w14:paraId="3F84B31D">
            <w:pPr>
              <w:spacing w:before="295" w:line="220" w:lineRule="auto"/>
              <w:ind w:left="182"/>
              <w:rPr>
                <w:rFonts w:ascii="宋体" w:hAnsi="宋体" w:eastAsia="宋体"/>
                <w:color w:val="auto"/>
                <w:spacing w:val="-3"/>
                <w:highlight w:val="none"/>
              </w:rPr>
            </w:pPr>
            <w:r>
              <w:rPr>
                <w:rFonts w:ascii="宋体" w:hAnsi="宋体" w:eastAsia="宋体"/>
                <w:color w:val="auto"/>
                <w:spacing w:val="-3"/>
                <w:highlight w:val="none"/>
              </w:rPr>
              <w:t>工</w:t>
            </w:r>
            <w:r>
              <w:rPr>
                <w:rFonts w:ascii="宋体" w:hAnsi="宋体" w:eastAsia="宋体"/>
                <w:color w:val="auto"/>
                <w:spacing w:val="-2"/>
                <w:highlight w:val="none"/>
              </w:rPr>
              <w:t>作年限</w:t>
            </w:r>
          </w:p>
        </w:tc>
        <w:tc>
          <w:tcPr>
            <w:tcW w:w="3069" w:type="dxa"/>
            <w:gridSpan w:val="4"/>
          </w:tcPr>
          <w:p w14:paraId="39579C2F">
            <w:pPr>
              <w:rPr>
                <w:color w:val="auto"/>
                <w:highlight w:val="none"/>
              </w:rPr>
            </w:pPr>
          </w:p>
        </w:tc>
        <w:tc>
          <w:tcPr>
            <w:tcW w:w="2365" w:type="dxa"/>
            <w:gridSpan w:val="3"/>
          </w:tcPr>
          <w:p w14:paraId="717DFFE1">
            <w:pPr>
              <w:spacing w:before="295" w:line="220" w:lineRule="auto"/>
              <w:ind w:left="351"/>
              <w:rPr>
                <w:rFonts w:ascii="宋体" w:hAnsi="宋体" w:eastAsia="宋体"/>
                <w:color w:val="auto"/>
                <w:spacing w:val="-2"/>
                <w:highlight w:val="none"/>
              </w:rPr>
            </w:pPr>
            <w:r>
              <w:rPr>
                <w:rFonts w:ascii="宋体" w:hAnsi="宋体" w:eastAsia="宋体"/>
                <w:color w:val="auto"/>
                <w:spacing w:val="-2"/>
                <w:highlight w:val="none"/>
              </w:rPr>
              <w:t>从事</w:t>
            </w:r>
            <w:r>
              <w:rPr>
                <w:rFonts w:ascii="宋体" w:hAnsi="宋体" w:eastAsia="宋体"/>
                <w:color w:val="auto"/>
                <w:spacing w:val="-1"/>
                <w:highlight w:val="none"/>
              </w:rPr>
              <w:t>设计工作年限</w:t>
            </w:r>
          </w:p>
        </w:tc>
        <w:tc>
          <w:tcPr>
            <w:tcW w:w="1900" w:type="dxa"/>
          </w:tcPr>
          <w:p w14:paraId="4A42B8FE">
            <w:pPr>
              <w:rPr>
                <w:color w:val="auto"/>
                <w:highlight w:val="none"/>
              </w:rPr>
            </w:pPr>
          </w:p>
        </w:tc>
      </w:tr>
      <w:tr w14:paraId="62BE8A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8525" w:type="dxa"/>
            <w:gridSpan w:val="9"/>
          </w:tcPr>
          <w:p w14:paraId="5FCC4600">
            <w:pPr>
              <w:spacing w:before="293" w:line="221" w:lineRule="auto"/>
              <w:ind w:left="116"/>
              <w:rPr>
                <w:rFonts w:ascii="宋体" w:hAnsi="宋体" w:eastAsia="宋体"/>
                <w:color w:val="auto"/>
                <w:spacing w:val="-2"/>
                <w:highlight w:val="none"/>
              </w:rPr>
            </w:pPr>
            <w:r>
              <w:rPr>
                <w:rFonts w:ascii="宋体" w:hAnsi="宋体" w:eastAsia="宋体"/>
                <w:color w:val="auto"/>
                <w:spacing w:val="-2"/>
                <w:highlight w:val="none"/>
              </w:rPr>
              <w:t>主要工</w:t>
            </w:r>
            <w:r>
              <w:rPr>
                <w:rFonts w:ascii="宋体" w:hAnsi="宋体" w:eastAsia="宋体"/>
                <w:color w:val="auto"/>
                <w:spacing w:val="-1"/>
                <w:highlight w:val="none"/>
              </w:rPr>
              <w:t>作经历</w:t>
            </w:r>
          </w:p>
        </w:tc>
      </w:tr>
      <w:tr w14:paraId="6335B3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1" w:hRule="atLeast"/>
        </w:trPr>
        <w:tc>
          <w:tcPr>
            <w:tcW w:w="1547" w:type="dxa"/>
            <w:gridSpan w:val="2"/>
          </w:tcPr>
          <w:p w14:paraId="64842856">
            <w:pPr>
              <w:spacing w:before="304" w:line="222" w:lineRule="auto"/>
              <w:ind w:left="473"/>
              <w:rPr>
                <w:rFonts w:ascii="宋体" w:hAnsi="宋体" w:eastAsia="宋体"/>
                <w:color w:val="auto"/>
                <w:spacing w:val="2"/>
                <w:highlight w:val="none"/>
              </w:rPr>
            </w:pPr>
            <w:r>
              <w:rPr>
                <w:rFonts w:ascii="宋体" w:hAnsi="宋体" w:eastAsia="宋体"/>
                <w:color w:val="auto"/>
                <w:spacing w:val="2"/>
                <w:highlight w:val="none"/>
              </w:rPr>
              <w:t xml:space="preserve">时 </w:t>
            </w:r>
            <w:r>
              <w:rPr>
                <w:rFonts w:ascii="宋体" w:hAnsi="宋体" w:eastAsia="宋体"/>
                <w:color w:val="auto"/>
                <w:spacing w:val="1"/>
                <w:highlight w:val="none"/>
              </w:rPr>
              <w:t xml:space="preserve"> 间</w:t>
            </w:r>
          </w:p>
        </w:tc>
        <w:tc>
          <w:tcPr>
            <w:tcW w:w="3418" w:type="dxa"/>
            <w:gridSpan w:val="4"/>
          </w:tcPr>
          <w:p w14:paraId="589E9821">
            <w:pPr>
              <w:spacing w:before="304" w:line="220" w:lineRule="auto"/>
              <w:ind w:left="875"/>
              <w:rPr>
                <w:rFonts w:ascii="宋体" w:hAnsi="宋体" w:eastAsia="宋体"/>
                <w:color w:val="auto"/>
                <w:spacing w:val="-2"/>
                <w:highlight w:val="none"/>
              </w:rPr>
            </w:pPr>
            <w:r>
              <w:rPr>
                <w:rFonts w:ascii="宋体" w:hAnsi="宋体" w:eastAsia="宋体"/>
                <w:color w:val="auto"/>
                <w:spacing w:val="-2"/>
                <w:highlight w:val="none"/>
              </w:rPr>
              <w:t>参</w:t>
            </w:r>
            <w:r>
              <w:rPr>
                <w:rFonts w:ascii="宋体" w:hAnsi="宋体" w:eastAsia="宋体"/>
                <w:color w:val="auto"/>
                <w:spacing w:val="-1"/>
                <w:highlight w:val="none"/>
              </w:rPr>
              <w:t>加过的类似项目</w:t>
            </w:r>
          </w:p>
        </w:tc>
        <w:tc>
          <w:tcPr>
            <w:tcW w:w="1260" w:type="dxa"/>
          </w:tcPr>
          <w:p w14:paraId="008DCB77">
            <w:pPr>
              <w:spacing w:before="304" w:line="220" w:lineRule="auto"/>
              <w:ind w:left="217"/>
              <w:rPr>
                <w:rFonts w:ascii="宋体" w:hAnsi="宋体" w:eastAsia="宋体"/>
                <w:color w:val="auto"/>
                <w:spacing w:val="-2"/>
                <w:highlight w:val="none"/>
              </w:rPr>
            </w:pPr>
            <w:r>
              <w:rPr>
                <w:rFonts w:ascii="宋体" w:hAnsi="宋体" w:eastAsia="宋体"/>
                <w:color w:val="auto"/>
                <w:spacing w:val="-2"/>
                <w:highlight w:val="none"/>
              </w:rPr>
              <w:t>担任职</w:t>
            </w:r>
            <w:r>
              <w:rPr>
                <w:rFonts w:ascii="宋体" w:hAnsi="宋体" w:eastAsia="宋体"/>
                <w:color w:val="auto"/>
                <w:spacing w:val="-1"/>
                <w:highlight w:val="none"/>
              </w:rPr>
              <w:t>务</w:t>
            </w:r>
          </w:p>
        </w:tc>
        <w:tc>
          <w:tcPr>
            <w:tcW w:w="2300" w:type="dxa"/>
            <w:gridSpan w:val="2"/>
          </w:tcPr>
          <w:p w14:paraId="7658CB83">
            <w:pPr>
              <w:spacing w:before="304" w:line="221" w:lineRule="auto"/>
              <w:ind w:left="317"/>
              <w:rPr>
                <w:rFonts w:ascii="宋体" w:hAnsi="宋体" w:eastAsia="宋体"/>
                <w:color w:val="auto"/>
                <w:spacing w:val="-2"/>
                <w:highlight w:val="none"/>
              </w:rPr>
            </w:pPr>
            <w:r>
              <w:rPr>
                <w:rFonts w:ascii="宋体" w:hAnsi="宋体" w:eastAsia="宋体"/>
                <w:color w:val="auto"/>
                <w:spacing w:val="-2"/>
                <w:highlight w:val="none"/>
              </w:rPr>
              <w:t>发包人</w:t>
            </w:r>
            <w:r>
              <w:rPr>
                <w:rFonts w:ascii="宋体" w:hAnsi="宋体" w:eastAsia="宋体"/>
                <w:color w:val="auto"/>
                <w:spacing w:val="-1"/>
                <w:highlight w:val="none"/>
              </w:rPr>
              <w:t>及联系电话</w:t>
            </w:r>
          </w:p>
        </w:tc>
      </w:tr>
      <w:tr w14:paraId="359AD4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6" w:hRule="atLeast"/>
        </w:trPr>
        <w:tc>
          <w:tcPr>
            <w:tcW w:w="1547" w:type="dxa"/>
            <w:gridSpan w:val="2"/>
          </w:tcPr>
          <w:p w14:paraId="7747E1BF">
            <w:pPr>
              <w:rPr>
                <w:color w:val="auto"/>
                <w:highlight w:val="none"/>
              </w:rPr>
            </w:pPr>
          </w:p>
        </w:tc>
        <w:tc>
          <w:tcPr>
            <w:tcW w:w="3418" w:type="dxa"/>
            <w:gridSpan w:val="4"/>
          </w:tcPr>
          <w:p w14:paraId="73B0A37B">
            <w:pPr>
              <w:rPr>
                <w:color w:val="auto"/>
                <w:highlight w:val="none"/>
              </w:rPr>
            </w:pPr>
          </w:p>
        </w:tc>
        <w:tc>
          <w:tcPr>
            <w:tcW w:w="1260" w:type="dxa"/>
          </w:tcPr>
          <w:p w14:paraId="65512D71">
            <w:pPr>
              <w:rPr>
                <w:color w:val="auto"/>
                <w:highlight w:val="none"/>
              </w:rPr>
            </w:pPr>
          </w:p>
        </w:tc>
        <w:tc>
          <w:tcPr>
            <w:tcW w:w="2300" w:type="dxa"/>
            <w:gridSpan w:val="2"/>
          </w:tcPr>
          <w:p w14:paraId="5735228D">
            <w:pPr>
              <w:rPr>
                <w:color w:val="auto"/>
                <w:highlight w:val="none"/>
              </w:rPr>
            </w:pPr>
          </w:p>
        </w:tc>
      </w:tr>
      <w:tr w14:paraId="15B0AA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1547" w:type="dxa"/>
            <w:gridSpan w:val="2"/>
          </w:tcPr>
          <w:p w14:paraId="685DC408">
            <w:pPr>
              <w:rPr>
                <w:color w:val="auto"/>
                <w:highlight w:val="none"/>
              </w:rPr>
            </w:pPr>
          </w:p>
        </w:tc>
        <w:tc>
          <w:tcPr>
            <w:tcW w:w="3418" w:type="dxa"/>
            <w:gridSpan w:val="4"/>
          </w:tcPr>
          <w:p w14:paraId="6C0EEC3A">
            <w:pPr>
              <w:rPr>
                <w:color w:val="auto"/>
                <w:highlight w:val="none"/>
              </w:rPr>
            </w:pPr>
          </w:p>
        </w:tc>
        <w:tc>
          <w:tcPr>
            <w:tcW w:w="1260" w:type="dxa"/>
          </w:tcPr>
          <w:p w14:paraId="2A4BC3D8">
            <w:pPr>
              <w:rPr>
                <w:color w:val="auto"/>
                <w:highlight w:val="none"/>
              </w:rPr>
            </w:pPr>
          </w:p>
        </w:tc>
        <w:tc>
          <w:tcPr>
            <w:tcW w:w="2300" w:type="dxa"/>
            <w:gridSpan w:val="2"/>
          </w:tcPr>
          <w:p w14:paraId="20B9B46E">
            <w:pPr>
              <w:rPr>
                <w:color w:val="auto"/>
                <w:highlight w:val="none"/>
              </w:rPr>
            </w:pPr>
          </w:p>
        </w:tc>
      </w:tr>
      <w:tr w14:paraId="262624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1547" w:type="dxa"/>
            <w:gridSpan w:val="2"/>
          </w:tcPr>
          <w:p w14:paraId="06E44519">
            <w:pPr>
              <w:rPr>
                <w:color w:val="auto"/>
                <w:highlight w:val="none"/>
              </w:rPr>
            </w:pPr>
          </w:p>
        </w:tc>
        <w:tc>
          <w:tcPr>
            <w:tcW w:w="3418" w:type="dxa"/>
            <w:gridSpan w:val="4"/>
          </w:tcPr>
          <w:p w14:paraId="63622B40">
            <w:pPr>
              <w:rPr>
                <w:color w:val="auto"/>
                <w:highlight w:val="none"/>
              </w:rPr>
            </w:pPr>
          </w:p>
        </w:tc>
        <w:tc>
          <w:tcPr>
            <w:tcW w:w="1260" w:type="dxa"/>
          </w:tcPr>
          <w:p w14:paraId="50194D4A">
            <w:pPr>
              <w:rPr>
                <w:color w:val="auto"/>
                <w:highlight w:val="none"/>
              </w:rPr>
            </w:pPr>
          </w:p>
        </w:tc>
        <w:tc>
          <w:tcPr>
            <w:tcW w:w="2300" w:type="dxa"/>
            <w:gridSpan w:val="2"/>
          </w:tcPr>
          <w:p w14:paraId="294E1FF0">
            <w:pPr>
              <w:rPr>
                <w:color w:val="auto"/>
                <w:highlight w:val="none"/>
              </w:rPr>
            </w:pPr>
          </w:p>
        </w:tc>
      </w:tr>
      <w:tr w14:paraId="539673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1547" w:type="dxa"/>
            <w:gridSpan w:val="2"/>
          </w:tcPr>
          <w:p w14:paraId="0B6A9628">
            <w:pPr>
              <w:rPr>
                <w:color w:val="auto"/>
                <w:highlight w:val="none"/>
              </w:rPr>
            </w:pPr>
          </w:p>
        </w:tc>
        <w:tc>
          <w:tcPr>
            <w:tcW w:w="3418" w:type="dxa"/>
            <w:gridSpan w:val="4"/>
          </w:tcPr>
          <w:p w14:paraId="39C150D5">
            <w:pPr>
              <w:rPr>
                <w:color w:val="auto"/>
                <w:highlight w:val="none"/>
              </w:rPr>
            </w:pPr>
          </w:p>
        </w:tc>
        <w:tc>
          <w:tcPr>
            <w:tcW w:w="1260" w:type="dxa"/>
          </w:tcPr>
          <w:p w14:paraId="42BBF861">
            <w:pPr>
              <w:rPr>
                <w:color w:val="auto"/>
                <w:highlight w:val="none"/>
              </w:rPr>
            </w:pPr>
          </w:p>
        </w:tc>
        <w:tc>
          <w:tcPr>
            <w:tcW w:w="2300" w:type="dxa"/>
            <w:gridSpan w:val="2"/>
          </w:tcPr>
          <w:p w14:paraId="3FA9F171">
            <w:pPr>
              <w:rPr>
                <w:color w:val="auto"/>
                <w:highlight w:val="none"/>
              </w:rPr>
            </w:pPr>
          </w:p>
        </w:tc>
      </w:tr>
      <w:tr w14:paraId="5DF82A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1547" w:type="dxa"/>
            <w:gridSpan w:val="2"/>
          </w:tcPr>
          <w:p w14:paraId="6F73EBF9">
            <w:pPr>
              <w:rPr>
                <w:color w:val="auto"/>
                <w:highlight w:val="none"/>
              </w:rPr>
            </w:pPr>
          </w:p>
        </w:tc>
        <w:tc>
          <w:tcPr>
            <w:tcW w:w="3418" w:type="dxa"/>
            <w:gridSpan w:val="4"/>
          </w:tcPr>
          <w:p w14:paraId="52E80B38">
            <w:pPr>
              <w:rPr>
                <w:color w:val="auto"/>
                <w:highlight w:val="none"/>
              </w:rPr>
            </w:pPr>
          </w:p>
        </w:tc>
        <w:tc>
          <w:tcPr>
            <w:tcW w:w="1260" w:type="dxa"/>
          </w:tcPr>
          <w:p w14:paraId="167EBE24">
            <w:pPr>
              <w:rPr>
                <w:color w:val="auto"/>
                <w:highlight w:val="none"/>
              </w:rPr>
            </w:pPr>
          </w:p>
        </w:tc>
        <w:tc>
          <w:tcPr>
            <w:tcW w:w="2300" w:type="dxa"/>
            <w:gridSpan w:val="2"/>
          </w:tcPr>
          <w:p w14:paraId="70BDEE64">
            <w:pPr>
              <w:rPr>
                <w:color w:val="auto"/>
                <w:highlight w:val="none"/>
              </w:rPr>
            </w:pPr>
          </w:p>
        </w:tc>
      </w:tr>
      <w:tr w14:paraId="37E853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1547" w:type="dxa"/>
            <w:gridSpan w:val="2"/>
          </w:tcPr>
          <w:p w14:paraId="2CBE985D">
            <w:pPr>
              <w:rPr>
                <w:color w:val="auto"/>
                <w:highlight w:val="none"/>
              </w:rPr>
            </w:pPr>
          </w:p>
        </w:tc>
        <w:tc>
          <w:tcPr>
            <w:tcW w:w="3418" w:type="dxa"/>
            <w:gridSpan w:val="4"/>
          </w:tcPr>
          <w:p w14:paraId="6FC2897A">
            <w:pPr>
              <w:rPr>
                <w:color w:val="auto"/>
                <w:highlight w:val="none"/>
              </w:rPr>
            </w:pPr>
          </w:p>
        </w:tc>
        <w:tc>
          <w:tcPr>
            <w:tcW w:w="1260" w:type="dxa"/>
          </w:tcPr>
          <w:p w14:paraId="31AE5AE2">
            <w:pPr>
              <w:rPr>
                <w:color w:val="auto"/>
                <w:highlight w:val="none"/>
              </w:rPr>
            </w:pPr>
          </w:p>
        </w:tc>
        <w:tc>
          <w:tcPr>
            <w:tcW w:w="2300" w:type="dxa"/>
            <w:gridSpan w:val="2"/>
          </w:tcPr>
          <w:p w14:paraId="2B75599D">
            <w:pPr>
              <w:rPr>
                <w:color w:val="auto"/>
                <w:highlight w:val="none"/>
              </w:rPr>
            </w:pPr>
          </w:p>
        </w:tc>
      </w:tr>
      <w:tr w14:paraId="12E073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0" w:hRule="atLeast"/>
        </w:trPr>
        <w:tc>
          <w:tcPr>
            <w:tcW w:w="1547" w:type="dxa"/>
            <w:gridSpan w:val="2"/>
          </w:tcPr>
          <w:p w14:paraId="1BB3D80E">
            <w:pPr>
              <w:rPr>
                <w:color w:val="auto"/>
                <w:highlight w:val="none"/>
              </w:rPr>
            </w:pPr>
          </w:p>
        </w:tc>
        <w:tc>
          <w:tcPr>
            <w:tcW w:w="3418" w:type="dxa"/>
            <w:gridSpan w:val="4"/>
          </w:tcPr>
          <w:p w14:paraId="07F1A940">
            <w:pPr>
              <w:rPr>
                <w:color w:val="auto"/>
                <w:highlight w:val="none"/>
              </w:rPr>
            </w:pPr>
          </w:p>
        </w:tc>
        <w:tc>
          <w:tcPr>
            <w:tcW w:w="1260" w:type="dxa"/>
          </w:tcPr>
          <w:p w14:paraId="22CAEBFA">
            <w:pPr>
              <w:rPr>
                <w:color w:val="auto"/>
                <w:highlight w:val="none"/>
              </w:rPr>
            </w:pPr>
          </w:p>
        </w:tc>
        <w:tc>
          <w:tcPr>
            <w:tcW w:w="2300" w:type="dxa"/>
            <w:gridSpan w:val="2"/>
          </w:tcPr>
          <w:p w14:paraId="3017278C">
            <w:pPr>
              <w:rPr>
                <w:color w:val="auto"/>
                <w:highlight w:val="none"/>
              </w:rPr>
            </w:pPr>
          </w:p>
        </w:tc>
      </w:tr>
    </w:tbl>
    <w:p w14:paraId="6CDD38E2">
      <w:pPr>
        <w:spacing w:line="245" w:lineRule="auto"/>
        <w:rPr>
          <w:color w:val="auto"/>
          <w:highlight w:val="none"/>
        </w:rPr>
      </w:pPr>
    </w:p>
    <w:p w14:paraId="7866AD4C">
      <w:pPr>
        <w:pStyle w:val="56"/>
        <w:rPr>
          <w:color w:val="auto"/>
          <w:highlight w:val="none"/>
        </w:rPr>
      </w:pPr>
    </w:p>
    <w:p w14:paraId="5BB7FC87">
      <w:pPr>
        <w:pStyle w:val="56"/>
        <w:rPr>
          <w:color w:val="auto"/>
          <w:highlight w:val="none"/>
        </w:rPr>
      </w:pPr>
    </w:p>
    <w:p w14:paraId="0753E178">
      <w:pPr>
        <w:pStyle w:val="56"/>
        <w:rPr>
          <w:color w:val="auto"/>
          <w:highlight w:val="none"/>
        </w:rPr>
      </w:pPr>
    </w:p>
    <w:p w14:paraId="47D346F3">
      <w:pPr>
        <w:pStyle w:val="56"/>
        <w:rPr>
          <w:color w:val="auto"/>
          <w:highlight w:val="none"/>
        </w:rPr>
      </w:pPr>
    </w:p>
    <w:p w14:paraId="183E4226">
      <w:pPr>
        <w:spacing w:line="245" w:lineRule="auto"/>
        <w:rPr>
          <w:color w:val="auto"/>
          <w:highlight w:val="none"/>
        </w:rPr>
      </w:pPr>
    </w:p>
    <w:p w14:paraId="251E47C2">
      <w:pPr>
        <w:spacing w:line="245" w:lineRule="auto"/>
        <w:rPr>
          <w:color w:val="auto"/>
          <w:highlight w:val="none"/>
        </w:rPr>
        <w:sectPr>
          <w:footerReference r:id="rId30" w:type="default"/>
          <w:pgSz w:w="12240" w:h="15840"/>
          <w:pgMar w:top="1346" w:right="1836" w:bottom="1104" w:left="1836" w:header="0" w:footer="940" w:gutter="0"/>
          <w:cols w:space="720" w:num="1"/>
        </w:sectPr>
      </w:pPr>
    </w:p>
    <w:p w14:paraId="3BBF930F">
      <w:pPr>
        <w:pStyle w:val="25"/>
        <w:spacing w:before="120" w:after="120"/>
        <w:jc w:val="center"/>
        <w:outlineLvl w:val="9"/>
        <w:rPr>
          <w:rFonts w:ascii="黑体" w:hAnsi="黑体" w:eastAsia="黑体"/>
          <w:color w:val="auto"/>
          <w:spacing w:val="11"/>
          <w:sz w:val="31"/>
          <w:szCs w:val="31"/>
          <w:highlight w:val="none"/>
        </w:rPr>
      </w:pPr>
      <w:bookmarkStart w:id="483" w:name="_Toc5163"/>
      <w:bookmarkStart w:id="484" w:name="_Toc25099"/>
      <w:bookmarkStart w:id="485" w:name="_Toc27620"/>
      <w:bookmarkStart w:id="486" w:name="_Toc25925"/>
      <w:bookmarkStart w:id="487" w:name="_Toc3515"/>
      <w:r>
        <w:rPr>
          <w:rFonts w:ascii="黑体" w:hAnsi="黑体" w:eastAsia="黑体"/>
          <w:color w:val="auto"/>
          <w:spacing w:val="11"/>
          <w:sz w:val="31"/>
          <w:szCs w:val="31"/>
          <w:highlight w:val="none"/>
        </w:rPr>
        <w:t>七</w:t>
      </w:r>
      <w:r>
        <w:rPr>
          <w:rFonts w:ascii="黑体" w:hAnsi="黑体" w:eastAsia="黑体"/>
          <w:color w:val="auto"/>
          <w:spacing w:val="9"/>
          <w:sz w:val="31"/>
          <w:szCs w:val="31"/>
          <w:highlight w:val="none"/>
        </w:rPr>
        <w:t>、</w:t>
      </w:r>
      <w:r>
        <w:rPr>
          <w:rFonts w:hint="eastAsia" w:ascii="黑体" w:hAnsi="黑体" w:eastAsia="黑体"/>
          <w:color w:val="auto"/>
          <w:spacing w:val="9"/>
          <w:sz w:val="31"/>
          <w:szCs w:val="31"/>
          <w:highlight w:val="none"/>
        </w:rPr>
        <w:t>设计</w:t>
      </w:r>
      <w:r>
        <w:rPr>
          <w:rFonts w:ascii="黑体" w:hAnsi="黑体" w:eastAsia="黑体"/>
          <w:color w:val="auto"/>
          <w:spacing w:val="9"/>
          <w:sz w:val="31"/>
          <w:szCs w:val="31"/>
          <w:highlight w:val="none"/>
        </w:rPr>
        <w:t>方案</w:t>
      </w:r>
      <w:bookmarkEnd w:id="483"/>
      <w:bookmarkEnd w:id="484"/>
      <w:bookmarkEnd w:id="485"/>
      <w:bookmarkEnd w:id="486"/>
      <w:bookmarkEnd w:id="487"/>
    </w:p>
    <w:p w14:paraId="3D4612E7">
      <w:pPr>
        <w:spacing w:line="244" w:lineRule="auto"/>
        <w:rPr>
          <w:color w:val="auto"/>
          <w:highlight w:val="none"/>
        </w:rPr>
      </w:pPr>
    </w:p>
    <w:p w14:paraId="723A002B">
      <w:pPr>
        <w:spacing w:line="360" w:lineRule="auto"/>
        <w:rPr>
          <w:rFonts w:ascii="宋体" w:hAnsi="宋体" w:eastAsia="宋体"/>
          <w:color w:val="auto"/>
          <w:spacing w:val="13"/>
          <w:sz w:val="24"/>
          <w:szCs w:val="24"/>
          <w:highlight w:val="none"/>
        </w:rPr>
      </w:pPr>
      <w:r>
        <w:rPr>
          <w:rFonts w:hint="eastAsia" w:ascii="宋体" w:hAnsi="宋体" w:eastAsia="宋体"/>
          <w:color w:val="auto"/>
          <w:spacing w:val="13"/>
          <w:sz w:val="24"/>
          <w:szCs w:val="24"/>
          <w:highlight w:val="none"/>
        </w:rPr>
        <w:t>设计方案应包括(但不限于)下列内容：</w:t>
      </w:r>
    </w:p>
    <w:p w14:paraId="313D8E3C">
      <w:pPr>
        <w:spacing w:line="360" w:lineRule="auto"/>
        <w:rPr>
          <w:rFonts w:ascii="宋体" w:hAnsi="宋体" w:eastAsia="宋体"/>
          <w:color w:val="auto"/>
          <w:spacing w:val="13"/>
          <w:sz w:val="24"/>
          <w:szCs w:val="24"/>
          <w:highlight w:val="none"/>
        </w:rPr>
      </w:pPr>
      <w:r>
        <w:rPr>
          <w:rFonts w:hint="eastAsia" w:ascii="宋体" w:hAnsi="宋体" w:eastAsia="宋体"/>
          <w:color w:val="auto"/>
          <w:spacing w:val="13"/>
          <w:sz w:val="24"/>
          <w:szCs w:val="24"/>
          <w:highlight w:val="none"/>
        </w:rPr>
        <w:t>一、设计工程概况；</w:t>
      </w:r>
    </w:p>
    <w:p w14:paraId="2CFCE2FB">
      <w:pPr>
        <w:spacing w:line="360" w:lineRule="auto"/>
        <w:rPr>
          <w:rFonts w:ascii="宋体" w:hAnsi="宋体" w:eastAsia="宋体"/>
          <w:color w:val="auto"/>
          <w:spacing w:val="13"/>
          <w:sz w:val="24"/>
          <w:szCs w:val="24"/>
          <w:highlight w:val="none"/>
        </w:rPr>
      </w:pPr>
      <w:r>
        <w:rPr>
          <w:rFonts w:hint="eastAsia" w:ascii="宋体" w:hAnsi="宋体" w:eastAsia="宋体"/>
          <w:color w:val="auto"/>
          <w:spacing w:val="13"/>
          <w:sz w:val="24"/>
          <w:szCs w:val="24"/>
          <w:highlight w:val="none"/>
        </w:rPr>
        <w:t>二、设计范围、设计内容；</w:t>
      </w:r>
    </w:p>
    <w:p w14:paraId="64F8F176">
      <w:pPr>
        <w:spacing w:line="360" w:lineRule="auto"/>
        <w:rPr>
          <w:rFonts w:ascii="宋体" w:hAnsi="宋体" w:eastAsia="宋体"/>
          <w:color w:val="auto"/>
          <w:spacing w:val="13"/>
          <w:sz w:val="24"/>
          <w:szCs w:val="24"/>
          <w:highlight w:val="none"/>
        </w:rPr>
      </w:pPr>
      <w:r>
        <w:rPr>
          <w:rFonts w:hint="eastAsia" w:ascii="宋体" w:hAnsi="宋体" w:eastAsia="宋体"/>
          <w:color w:val="auto"/>
          <w:spacing w:val="13"/>
          <w:sz w:val="24"/>
          <w:szCs w:val="24"/>
          <w:highlight w:val="none"/>
        </w:rPr>
        <w:t>三、设计依据、设计工作目标；</w:t>
      </w:r>
    </w:p>
    <w:p w14:paraId="009E88A4">
      <w:pPr>
        <w:spacing w:line="360" w:lineRule="auto"/>
        <w:rPr>
          <w:rFonts w:ascii="宋体" w:hAnsi="宋体" w:eastAsia="宋体"/>
          <w:strike/>
          <w:color w:val="auto"/>
          <w:spacing w:val="13"/>
          <w:sz w:val="24"/>
          <w:szCs w:val="24"/>
          <w:highlight w:val="none"/>
        </w:rPr>
      </w:pPr>
      <w:r>
        <w:rPr>
          <w:rFonts w:hint="eastAsia" w:ascii="宋体" w:hAnsi="宋体" w:eastAsia="宋体"/>
          <w:strike/>
          <w:color w:val="auto"/>
          <w:spacing w:val="13"/>
          <w:sz w:val="24"/>
          <w:szCs w:val="24"/>
          <w:highlight w:val="none"/>
        </w:rPr>
        <w:t>四、勘察机构设置</w:t>
      </w:r>
      <w:r>
        <w:rPr>
          <w:rFonts w:ascii="宋体" w:hAnsi="宋体" w:eastAsia="宋体"/>
          <w:strike/>
          <w:color w:val="auto"/>
          <w:spacing w:val="13"/>
          <w:sz w:val="24"/>
          <w:szCs w:val="24"/>
          <w:highlight w:val="none"/>
        </w:rPr>
        <w:t>(框图)、岗位职责；（技术标是暗标时，该项可不提供）；</w:t>
      </w:r>
    </w:p>
    <w:p w14:paraId="27226256">
      <w:pPr>
        <w:spacing w:line="360" w:lineRule="auto"/>
        <w:rPr>
          <w:rFonts w:ascii="宋体" w:hAnsi="宋体" w:eastAsia="宋体"/>
          <w:color w:val="auto"/>
          <w:spacing w:val="13"/>
          <w:sz w:val="24"/>
          <w:szCs w:val="24"/>
          <w:highlight w:val="none"/>
        </w:rPr>
      </w:pPr>
      <w:r>
        <w:rPr>
          <w:rFonts w:hint="eastAsia" w:ascii="宋体" w:hAnsi="宋体" w:eastAsia="宋体"/>
          <w:color w:val="auto"/>
          <w:spacing w:val="13"/>
          <w:sz w:val="24"/>
          <w:szCs w:val="24"/>
          <w:highlight w:val="none"/>
        </w:rPr>
        <w:t>五、设计说明和设计方案；</w:t>
      </w:r>
    </w:p>
    <w:p w14:paraId="52BC462F">
      <w:pPr>
        <w:spacing w:line="360" w:lineRule="auto"/>
        <w:rPr>
          <w:rFonts w:ascii="宋体" w:hAnsi="宋体" w:eastAsia="宋体"/>
          <w:color w:val="auto"/>
          <w:spacing w:val="13"/>
          <w:sz w:val="24"/>
          <w:szCs w:val="24"/>
          <w:highlight w:val="none"/>
        </w:rPr>
      </w:pPr>
      <w:r>
        <w:rPr>
          <w:rFonts w:hint="eastAsia" w:ascii="宋体" w:hAnsi="宋体" w:eastAsia="宋体"/>
          <w:color w:val="auto"/>
          <w:spacing w:val="13"/>
          <w:sz w:val="24"/>
          <w:szCs w:val="24"/>
          <w:highlight w:val="none"/>
        </w:rPr>
        <w:t>六、拟投入的设计人员；（技术标是暗标时，该项可不提供）；</w:t>
      </w:r>
    </w:p>
    <w:p w14:paraId="51313A50">
      <w:pPr>
        <w:spacing w:line="360" w:lineRule="auto"/>
        <w:rPr>
          <w:rFonts w:ascii="宋体" w:hAnsi="宋体" w:eastAsia="宋体"/>
          <w:color w:val="auto"/>
          <w:spacing w:val="13"/>
          <w:sz w:val="24"/>
          <w:szCs w:val="24"/>
          <w:highlight w:val="none"/>
        </w:rPr>
      </w:pPr>
      <w:r>
        <w:rPr>
          <w:rFonts w:hint="eastAsia" w:ascii="宋体" w:hAnsi="宋体" w:eastAsia="宋体"/>
          <w:color w:val="auto"/>
          <w:spacing w:val="13"/>
          <w:sz w:val="24"/>
          <w:szCs w:val="24"/>
          <w:highlight w:val="none"/>
        </w:rPr>
        <w:t>七、设计质量、进度、保密等保证措施；</w:t>
      </w:r>
    </w:p>
    <w:p w14:paraId="2624271F">
      <w:pPr>
        <w:spacing w:line="360" w:lineRule="auto"/>
        <w:rPr>
          <w:rFonts w:ascii="宋体" w:hAnsi="宋体" w:eastAsia="宋体"/>
          <w:color w:val="auto"/>
          <w:spacing w:val="13"/>
          <w:sz w:val="24"/>
          <w:szCs w:val="24"/>
          <w:highlight w:val="none"/>
        </w:rPr>
      </w:pPr>
      <w:r>
        <w:rPr>
          <w:rFonts w:hint="eastAsia" w:ascii="宋体" w:hAnsi="宋体" w:eastAsia="宋体"/>
          <w:color w:val="auto"/>
          <w:spacing w:val="13"/>
          <w:sz w:val="24"/>
          <w:szCs w:val="24"/>
          <w:highlight w:val="none"/>
        </w:rPr>
        <w:t>八、设计安全保证措施；</w:t>
      </w:r>
    </w:p>
    <w:p w14:paraId="748798CB">
      <w:pPr>
        <w:spacing w:line="360" w:lineRule="auto"/>
        <w:rPr>
          <w:rFonts w:ascii="宋体" w:hAnsi="宋体" w:eastAsia="宋体"/>
          <w:color w:val="auto"/>
          <w:spacing w:val="13"/>
          <w:sz w:val="24"/>
          <w:szCs w:val="24"/>
          <w:highlight w:val="none"/>
        </w:rPr>
      </w:pPr>
      <w:r>
        <w:rPr>
          <w:rFonts w:hint="eastAsia" w:ascii="宋体" w:hAnsi="宋体" w:eastAsia="宋体"/>
          <w:color w:val="auto"/>
          <w:spacing w:val="13"/>
          <w:sz w:val="24"/>
          <w:szCs w:val="24"/>
          <w:highlight w:val="none"/>
        </w:rPr>
        <w:t>九、设计工作重点、难点分析；</w:t>
      </w:r>
    </w:p>
    <w:p w14:paraId="22C5268B">
      <w:pPr>
        <w:kinsoku/>
        <w:autoSpaceDE/>
        <w:autoSpaceDN/>
        <w:snapToGrid/>
        <w:rPr>
          <w:rFonts w:ascii="黑体" w:hAnsi="黑体" w:eastAsia="黑体"/>
          <w:b/>
          <w:color w:val="auto"/>
          <w:spacing w:val="10"/>
          <w:sz w:val="31"/>
          <w:szCs w:val="31"/>
          <w:highlight w:val="none"/>
        </w:rPr>
      </w:pPr>
      <w:r>
        <w:rPr>
          <w:rFonts w:hint="eastAsia" w:ascii="宋体" w:hAnsi="宋体" w:eastAsia="宋体"/>
          <w:color w:val="auto"/>
          <w:spacing w:val="13"/>
          <w:sz w:val="24"/>
          <w:szCs w:val="24"/>
          <w:highlight w:val="none"/>
        </w:rPr>
        <w:t>十、对本工程设计的合理化建议。</w:t>
      </w:r>
      <w:r>
        <w:rPr>
          <w:rFonts w:hint="eastAsia" w:ascii="黑体" w:hAnsi="黑体" w:eastAsia="黑体"/>
          <w:color w:val="auto"/>
          <w:spacing w:val="10"/>
          <w:sz w:val="31"/>
          <w:szCs w:val="31"/>
          <w:highlight w:val="none"/>
        </w:rPr>
        <w:br w:type="page"/>
      </w:r>
    </w:p>
    <w:p w14:paraId="09F6CAB9">
      <w:pPr>
        <w:pStyle w:val="25"/>
        <w:spacing w:before="120" w:after="120"/>
        <w:jc w:val="center"/>
        <w:outlineLvl w:val="9"/>
        <w:rPr>
          <w:rFonts w:ascii="黑体" w:hAnsi="黑体" w:eastAsia="黑体"/>
          <w:color w:val="auto"/>
          <w:spacing w:val="10"/>
          <w:sz w:val="31"/>
          <w:szCs w:val="31"/>
          <w:highlight w:val="none"/>
        </w:rPr>
        <w:sectPr>
          <w:footerReference r:id="rId31" w:type="default"/>
          <w:pgSz w:w="12240" w:h="15840"/>
          <w:pgMar w:top="1346" w:right="1836" w:bottom="1104" w:left="1836" w:header="0" w:footer="940" w:gutter="0"/>
          <w:cols w:space="720" w:num="1"/>
        </w:sectPr>
      </w:pPr>
      <w:r>
        <w:rPr>
          <w:rFonts w:ascii="黑体" w:hAnsi="黑体" w:eastAsia="黑体"/>
          <w:color w:val="auto"/>
          <w:spacing w:val="10"/>
          <w:sz w:val="31"/>
          <w:szCs w:val="31"/>
          <w:highlight w:val="none"/>
        </w:rPr>
        <w:t>八</w:t>
      </w:r>
      <w:r>
        <w:rPr>
          <w:rFonts w:ascii="黑体" w:hAnsi="黑体" w:eastAsia="黑体"/>
          <w:color w:val="auto"/>
          <w:spacing w:val="9"/>
          <w:sz w:val="31"/>
          <w:szCs w:val="31"/>
          <w:highlight w:val="none"/>
        </w:rPr>
        <w:t>、其他资料</w:t>
      </w:r>
    </w:p>
    <w:p w14:paraId="4E48B15C">
      <w:pPr>
        <w:pStyle w:val="24"/>
        <w:spacing w:after="0"/>
        <w:rPr>
          <w:rFonts w:ascii="Arial" w:hAnsi="Arial"/>
          <w:color w:val="auto"/>
          <w:highlight w:val="none"/>
        </w:rPr>
      </w:pPr>
      <w:bookmarkStart w:id="488" w:name="_Toc183207169"/>
      <w:r>
        <w:rPr>
          <w:rFonts w:hint="eastAsia" w:ascii="Arial" w:hAnsi="Arial"/>
          <w:color w:val="auto"/>
          <w:highlight w:val="none"/>
        </w:rPr>
        <w:t>第七章</w:t>
      </w:r>
      <w:r>
        <w:rPr>
          <w:rFonts w:ascii="Arial" w:hAnsi="Arial"/>
          <w:color w:val="auto"/>
          <w:highlight w:val="none"/>
        </w:rPr>
        <w:t>否决性条款汇总</w:t>
      </w:r>
      <w:bookmarkEnd w:id="488"/>
    </w:p>
    <w:p w14:paraId="12D74DF4">
      <w:pPr>
        <w:spacing w:line="360" w:lineRule="auto"/>
        <w:rPr>
          <w:rFonts w:ascii="宋体" w:hAnsi="宋体" w:eastAsia="宋体"/>
          <w:b/>
          <w:bCs/>
          <w:color w:val="auto"/>
          <w:highlight w:val="none"/>
        </w:rPr>
      </w:pPr>
      <w:r>
        <w:rPr>
          <w:rFonts w:hint="eastAsia" w:ascii="宋体" w:hAnsi="宋体" w:eastAsia="宋体"/>
          <w:b/>
          <w:bCs/>
          <w:color w:val="auto"/>
          <w:highlight w:val="none"/>
        </w:rPr>
        <w:t>1、</w:t>
      </w:r>
      <w:r>
        <w:rPr>
          <w:rFonts w:eastAsia="宋体"/>
          <w:b/>
          <w:bCs/>
          <w:color w:val="auto"/>
          <w:highlight w:val="none"/>
        </w:rPr>
        <w:t>否决性条款</w:t>
      </w:r>
    </w:p>
    <w:p w14:paraId="237ED4D1">
      <w:pPr>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1.1  投标人有下列情况之一的，招标人（或招标代理机构）将拒绝接收投标人的投标文件或投标文件光盘（备用）：</w:t>
      </w:r>
    </w:p>
    <w:p w14:paraId="0C12AFBC">
      <w:pPr>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(a) 在投标截止期后逾期或未在指定交易平台递交电子投标文件的，招标人（或招标代理）拒绝接收其电子投标文件。</w:t>
      </w:r>
    </w:p>
    <w:p w14:paraId="44314719">
      <w:pPr>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 xml:space="preserve">(b)到现场提交电子文件的投标人，未在招标公告规定的时间和地点，投标人代表未凭法定代表人证明书原件（格式见招标文件附录）、法定代表人授权委托书原件（非法定代表人递交投标文件光盘时提供，格式见招标文件附录）、本人身份证复印件（提供原件核对）在招标公告规定的时间和地点递交投标文件光盘（备用）。或电子光盘未按招标文件规定封装的，招标人（或招标代理）拒绝接收其投标文件光盘（备用）。   </w:t>
      </w:r>
    </w:p>
    <w:p w14:paraId="2C6B9285">
      <w:pPr>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1.2  商务投标文件有下列情况之一的，由评标委员会确定其为废标：</w:t>
      </w:r>
    </w:p>
    <w:p w14:paraId="12B3AB13">
      <w:pPr>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（a）投标人与招标人、评标委员会成员或者其他投标人串通投标。</w:t>
      </w:r>
    </w:p>
    <w:p w14:paraId="23E502D1">
      <w:pPr>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 xml:space="preserve">（b）投标人与其他投标人加密打包投标文件电脑机器特征码一致的。 </w:t>
      </w:r>
    </w:p>
    <w:p w14:paraId="56B7362D">
      <w:pPr>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 xml:space="preserve">（c）《设计费报价表》及《投标书》未加盖投标人公章。 </w:t>
      </w:r>
    </w:p>
    <w:p w14:paraId="0E4D7D70">
      <w:pPr>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 xml:space="preserve">（d）《设计费报价表》及《投标书》未经法定代表人或者其授权代表签名。 </w:t>
      </w:r>
    </w:p>
    <w:p w14:paraId="14A86143">
      <w:pPr>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（e）《设计费报价表》及《投标书》包含有招标人不能接受的偏差，并且投标人拒绝书面撤回偏差。</w:t>
      </w:r>
    </w:p>
    <w:p w14:paraId="248BB60E">
      <w:pPr>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（f）《设计费报价表》及《投标书》未按招标文件规定的格式填写，内容不全或者关键字迹模糊无法辨认的。</w:t>
      </w:r>
    </w:p>
    <w:p w14:paraId="6B27FB2C">
      <w:pPr>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（g）证明材料有弄虚作假者。</w:t>
      </w:r>
    </w:p>
    <w:p w14:paraId="19F8C2B9">
      <w:pPr>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（h）不按第六章投标文件编制要求编制的投标文件。</w:t>
      </w:r>
    </w:p>
    <w:p w14:paraId="345BB97C">
      <w:pPr>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（i）不按照要求对投标文件进行澄清、说明或者补正的。</w:t>
      </w:r>
    </w:p>
    <w:p w14:paraId="307BACAD">
      <w:pPr>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1.3  技术文件（设计方案）有下列情况之一的，由评标委员会确定其为废标：</w:t>
      </w:r>
    </w:p>
    <w:p w14:paraId="78641A5A">
      <w:pPr>
        <w:spacing w:line="360" w:lineRule="auto"/>
        <w:ind w:firstLine="420" w:firstLineChars="200"/>
        <w:rPr>
          <w:rFonts w:ascii="宋体" w:hAnsi="宋体" w:eastAsia="宋体"/>
          <w:strike/>
          <w:color w:val="auto"/>
          <w:highlight w:val="none"/>
        </w:rPr>
      </w:pPr>
      <w:r>
        <w:rPr>
          <w:rFonts w:hint="eastAsia" w:ascii="宋体" w:hAnsi="宋体" w:eastAsia="宋体"/>
          <w:strike/>
          <w:color w:val="auto"/>
          <w:highlight w:val="none"/>
        </w:rPr>
        <w:t>（</w:t>
      </w:r>
      <w:r>
        <w:rPr>
          <w:rFonts w:ascii="宋体" w:hAnsi="宋体" w:eastAsia="宋体"/>
          <w:strike/>
          <w:color w:val="auto"/>
          <w:highlight w:val="none"/>
        </w:rPr>
        <w:t>a</w:t>
      </w:r>
      <w:r>
        <w:rPr>
          <w:rFonts w:hint="eastAsia" w:ascii="宋体" w:hAnsi="宋体" w:eastAsia="宋体"/>
          <w:strike/>
          <w:color w:val="auto"/>
          <w:highlight w:val="none"/>
        </w:rPr>
        <w:t xml:space="preserve">）投标人在技术文件（勘察设计方案）上标注名称、印章、商标等记认符号或显示投标报价信息，使人辨认出投标人或其专业技术人员的身份。 </w:t>
      </w:r>
    </w:p>
    <w:p w14:paraId="1AF587DE">
      <w:pPr>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 xml:space="preserve">（b）有互相雷同或串通投标的。 </w:t>
      </w:r>
    </w:p>
    <w:p w14:paraId="362D5DA0">
      <w:pPr>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 xml:space="preserve">（c）有明显抄袭行为。 </w:t>
      </w:r>
    </w:p>
    <w:p w14:paraId="00F41ADA">
      <w:pPr>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（d）侵犯他人著作权和特许权。</w:t>
      </w:r>
    </w:p>
    <w:p w14:paraId="63BEBF9A">
      <w:pPr>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（e）不按第六章投标文件编制要求编制投标文件。</w:t>
      </w:r>
    </w:p>
    <w:p w14:paraId="75BCEDC5">
      <w:pPr>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1.4  投标人有下列情况之一的，视为串通投标：</w:t>
      </w:r>
    </w:p>
    <w:p w14:paraId="6D89CE84">
      <w:pPr>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(a) 递交投标文件前，投标人私下向招标人或其雇员出示或告知投标文件内容；</w:t>
      </w:r>
    </w:p>
    <w:p w14:paraId="370D8EE1">
      <w:pPr>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(b) 评标表决结束前，投标人私下向评标委员会成员出示或告知投标文件内容；</w:t>
      </w:r>
    </w:p>
    <w:p w14:paraId="15BC6A72">
      <w:pPr>
        <w:spacing w:line="360" w:lineRule="auto"/>
        <w:ind w:firstLine="420" w:firstLineChars="200"/>
        <w:rPr>
          <w:rFonts w:ascii="宋体" w:hAnsi="宋体" w:eastAsia="宋体"/>
          <w:color w:val="auto"/>
          <w:highlight w:val="none"/>
        </w:rPr>
      </w:pPr>
      <w:r>
        <w:rPr>
          <w:rFonts w:hint="eastAsia" w:ascii="宋体" w:hAnsi="宋体" w:eastAsia="宋体"/>
          <w:color w:val="auto"/>
          <w:highlight w:val="none"/>
        </w:rPr>
        <w:t>(c) 评标结果揭晓前，投标人与招标人就投标价格、投标方案等实质性内容进行谈判。</w:t>
      </w:r>
    </w:p>
    <w:sectPr>
      <w:pgSz w:w="12240" w:h="15840"/>
      <w:pgMar w:top="1346" w:right="1836" w:bottom="1104" w:left="1836" w:header="0" w:footer="94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方正楷体_GB2312">
    <w:altName w:val="宋体"/>
    <w:panose1 w:val="00000000000000000000"/>
    <w:charset w:val="86"/>
    <w:family w:val="auto"/>
    <w:pitch w:val="default"/>
    <w:sig w:usb0="00000000" w:usb1="00000000" w:usb2="00000012" w:usb3="00000000" w:csb0="00040001"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00" w:usb3="00000000" w:csb0="00040000" w:csb1="00000000"/>
  </w:font>
  <w:font w:name="Calisto MT">
    <w:altName w:val="Segoe Print"/>
    <w:panose1 w:val="02040603050505030304"/>
    <w:charset w:val="00"/>
    <w:family w:val="roman"/>
    <w:pitch w:val="default"/>
    <w:sig w:usb0="00000000" w:usb1="00000000" w:usb2="00000000" w:usb3="00000000" w:csb0="00000001" w:csb1="00000000"/>
  </w:font>
  <w:font w:name="Wingdings 2">
    <w:altName w:val="Wingdings"/>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Kingsoft UE">
    <w:panose1 w:val="02000100010000000000"/>
    <w:charset w:val="00"/>
    <w:family w:val="auto"/>
    <w:pitch w:val="default"/>
    <w:sig w:usb0="00000001" w:usb1="00004000" w:usb2="00000000" w:usb3="00000000" w:csb0="0000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75290565"/>
    </w:sdtPr>
    <w:sdtContent>
      <w:p w14:paraId="2D8A1959">
        <w:pPr>
          <w:pStyle w:val="11"/>
          <w:jc w:val="center"/>
        </w:pPr>
        <w:r>
          <w:fldChar w:fldCharType="begin"/>
        </w:r>
        <w:r>
          <w:instrText xml:space="preserve">PAGE   \* MERGEFORMAT</w:instrText>
        </w:r>
        <w:r>
          <w:fldChar w:fldCharType="separate"/>
        </w:r>
        <w:r>
          <w:rPr>
            <w:lang w:val="zh-CN"/>
          </w:rPr>
          <w:t>1</w:t>
        </w:r>
        <w:r>
          <w:fldChar w:fldCharType="end"/>
        </w:r>
      </w:p>
    </w:sdtContent>
  </w:sdt>
  <w:p w14:paraId="3E24E3F6">
    <w:pPr>
      <w:spacing w:line="177" w:lineRule="auto"/>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32522603"/>
    </w:sdtPr>
    <w:sdtContent>
      <w:p w14:paraId="051CA120">
        <w:pPr>
          <w:pStyle w:val="11"/>
          <w:jc w:val="center"/>
        </w:pPr>
        <w:r>
          <w:fldChar w:fldCharType="begin"/>
        </w:r>
        <w:r>
          <w:instrText xml:space="preserve">PAGE   \* MERGEFORMAT</w:instrText>
        </w:r>
        <w:r>
          <w:fldChar w:fldCharType="separate"/>
        </w:r>
        <w:r>
          <w:rPr>
            <w:lang w:val="zh-CN"/>
          </w:rPr>
          <w:t>38</w:t>
        </w:r>
        <w:r>
          <w:fldChar w:fldCharType="end"/>
        </w:r>
      </w:p>
    </w:sdtContent>
  </w:sdt>
  <w:p w14:paraId="53176A69">
    <w:pPr>
      <w:spacing w:line="178" w:lineRule="auto"/>
      <w:ind w:left="4348"/>
      <w:rPr>
        <w:sz w:val="18"/>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87081046"/>
    </w:sdtPr>
    <w:sdtContent>
      <w:p w14:paraId="67093063">
        <w:pPr>
          <w:pStyle w:val="11"/>
          <w:jc w:val="center"/>
        </w:pPr>
        <w:r>
          <w:fldChar w:fldCharType="begin"/>
        </w:r>
        <w:r>
          <w:instrText xml:space="preserve">PAGE   \* MERGEFORMAT</w:instrText>
        </w:r>
        <w:r>
          <w:fldChar w:fldCharType="separate"/>
        </w:r>
        <w:r>
          <w:rPr>
            <w:lang w:val="zh-CN"/>
          </w:rPr>
          <w:t>44</w:t>
        </w:r>
        <w:r>
          <w:fldChar w:fldCharType="end"/>
        </w:r>
      </w:p>
    </w:sdtContent>
  </w:sdt>
  <w:p w14:paraId="69F8731D">
    <w:pPr>
      <w:spacing w:line="178" w:lineRule="auto"/>
      <w:ind w:left="4229"/>
      <w:rPr>
        <w:sz w:val="18"/>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40882429"/>
    </w:sdtPr>
    <w:sdtContent>
      <w:p w14:paraId="3DE13B5B">
        <w:pPr>
          <w:pStyle w:val="11"/>
          <w:jc w:val="center"/>
        </w:pPr>
        <w:r>
          <w:fldChar w:fldCharType="begin"/>
        </w:r>
        <w:r>
          <w:instrText xml:space="preserve">PAGE   \* MERGEFORMAT</w:instrText>
        </w:r>
        <w:r>
          <w:fldChar w:fldCharType="separate"/>
        </w:r>
        <w:r>
          <w:rPr>
            <w:lang w:val="zh-CN"/>
          </w:rPr>
          <w:t>46</w:t>
        </w:r>
        <w:r>
          <w:fldChar w:fldCharType="end"/>
        </w:r>
      </w:p>
    </w:sdtContent>
  </w:sdt>
  <w:p w14:paraId="756FBFC3">
    <w:pPr>
      <w:spacing w:line="178" w:lineRule="auto"/>
      <w:ind w:left="4202"/>
      <w:rPr>
        <w:sz w:val="18"/>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96286479"/>
    </w:sdtPr>
    <w:sdtContent>
      <w:p w14:paraId="356D626E">
        <w:pPr>
          <w:pStyle w:val="11"/>
          <w:jc w:val="center"/>
        </w:pPr>
        <w:r>
          <w:fldChar w:fldCharType="begin"/>
        </w:r>
        <w:r>
          <w:instrText xml:space="preserve">PAGE   \* MERGEFORMAT</w:instrText>
        </w:r>
        <w:r>
          <w:fldChar w:fldCharType="separate"/>
        </w:r>
        <w:r>
          <w:rPr>
            <w:lang w:val="zh-CN"/>
          </w:rPr>
          <w:t>57</w:t>
        </w:r>
        <w:r>
          <w:fldChar w:fldCharType="end"/>
        </w:r>
      </w:p>
    </w:sdtContent>
  </w:sdt>
  <w:p w14:paraId="79D0753E">
    <w:pPr>
      <w:spacing w:line="178" w:lineRule="auto"/>
      <w:ind w:left="4202"/>
      <w:rPr>
        <w:sz w:val="18"/>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70292878"/>
    </w:sdtPr>
    <w:sdtContent>
      <w:p w14:paraId="78754C86">
        <w:pPr>
          <w:pStyle w:val="11"/>
          <w:jc w:val="center"/>
        </w:pPr>
        <w:r>
          <w:fldChar w:fldCharType="begin"/>
        </w:r>
        <w:r>
          <w:instrText xml:space="preserve">PAGE   \* MERGEFORMAT</w:instrText>
        </w:r>
        <w:r>
          <w:fldChar w:fldCharType="separate"/>
        </w:r>
        <w:r>
          <w:rPr>
            <w:lang w:val="zh-CN"/>
          </w:rPr>
          <w:t>59</w:t>
        </w:r>
        <w:r>
          <w:fldChar w:fldCharType="end"/>
        </w:r>
      </w:p>
    </w:sdtContent>
  </w:sdt>
  <w:p w14:paraId="7231D2FF">
    <w:pPr>
      <w:spacing w:line="177" w:lineRule="auto"/>
      <w:ind w:left="4201"/>
      <w:rPr>
        <w:sz w:val="18"/>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95354295"/>
    </w:sdtPr>
    <w:sdtContent>
      <w:p w14:paraId="4127B631">
        <w:pPr>
          <w:pStyle w:val="11"/>
          <w:jc w:val="center"/>
        </w:pPr>
        <w:r>
          <w:fldChar w:fldCharType="begin"/>
        </w:r>
        <w:r>
          <w:instrText xml:space="preserve">PAGE   \* MERGEFORMAT</w:instrText>
        </w:r>
        <w:r>
          <w:fldChar w:fldCharType="separate"/>
        </w:r>
        <w:r>
          <w:rPr>
            <w:lang w:val="zh-CN"/>
          </w:rPr>
          <w:t>60</w:t>
        </w:r>
        <w:r>
          <w:fldChar w:fldCharType="end"/>
        </w:r>
      </w:p>
    </w:sdtContent>
  </w:sdt>
  <w:p w14:paraId="3252884D">
    <w:pPr>
      <w:spacing w:line="178" w:lineRule="auto"/>
      <w:ind w:left="4201"/>
      <w:rPr>
        <w:sz w:val="18"/>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63974243"/>
    </w:sdtPr>
    <w:sdtContent>
      <w:p w14:paraId="57FE073F">
        <w:pPr>
          <w:pStyle w:val="11"/>
          <w:jc w:val="center"/>
        </w:pPr>
        <w:r>
          <w:fldChar w:fldCharType="begin"/>
        </w:r>
        <w:r>
          <w:instrText xml:space="preserve">PAGE   \* MERGEFORMAT</w:instrText>
        </w:r>
        <w:r>
          <w:fldChar w:fldCharType="separate"/>
        </w:r>
        <w:r>
          <w:rPr>
            <w:lang w:val="zh-CN"/>
          </w:rPr>
          <w:t>61</w:t>
        </w:r>
        <w:r>
          <w:fldChar w:fldCharType="end"/>
        </w:r>
      </w:p>
    </w:sdtContent>
  </w:sdt>
  <w:p w14:paraId="7A379115">
    <w:pPr>
      <w:spacing w:line="178" w:lineRule="auto"/>
      <w:ind w:left="4201"/>
      <w:rPr>
        <w:sz w:val="18"/>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0806013"/>
    </w:sdtPr>
    <w:sdtContent>
      <w:p w14:paraId="1C0EC8CB">
        <w:pPr>
          <w:pStyle w:val="11"/>
          <w:jc w:val="center"/>
        </w:pPr>
        <w:r>
          <w:fldChar w:fldCharType="begin"/>
        </w:r>
        <w:r>
          <w:instrText xml:space="preserve">PAGE   \* MERGEFORMAT</w:instrText>
        </w:r>
        <w:r>
          <w:fldChar w:fldCharType="separate"/>
        </w:r>
        <w:r>
          <w:rPr>
            <w:lang w:val="zh-CN"/>
          </w:rPr>
          <w:t>62</w:t>
        </w:r>
        <w:r>
          <w:fldChar w:fldCharType="end"/>
        </w:r>
      </w:p>
    </w:sdtContent>
  </w:sdt>
  <w:p w14:paraId="6B3D5098">
    <w:pPr>
      <w:spacing w:line="177" w:lineRule="auto"/>
      <w:ind w:left="4230"/>
      <w:rPr>
        <w:sz w:val="18"/>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38522424"/>
    </w:sdtPr>
    <w:sdtContent>
      <w:p w14:paraId="23B75F39">
        <w:pPr>
          <w:pStyle w:val="11"/>
          <w:jc w:val="center"/>
        </w:pPr>
        <w:r>
          <w:fldChar w:fldCharType="begin"/>
        </w:r>
        <w:r>
          <w:instrText xml:space="preserve">PAGE   \* MERGEFORMAT</w:instrText>
        </w:r>
        <w:r>
          <w:fldChar w:fldCharType="separate"/>
        </w:r>
        <w:r>
          <w:rPr>
            <w:lang w:val="zh-CN"/>
          </w:rPr>
          <w:t>64</w:t>
        </w:r>
        <w:r>
          <w:fldChar w:fldCharType="end"/>
        </w:r>
      </w:p>
    </w:sdtContent>
  </w:sdt>
  <w:p w14:paraId="25AB0BCA">
    <w:pPr>
      <w:spacing w:line="178" w:lineRule="auto"/>
      <w:ind w:left="4201"/>
      <w:rPr>
        <w:sz w:val="18"/>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7257999"/>
    </w:sdtPr>
    <w:sdtContent>
      <w:p w14:paraId="564AA070">
        <w:pPr>
          <w:pStyle w:val="11"/>
          <w:jc w:val="center"/>
        </w:pPr>
        <w:r>
          <w:fldChar w:fldCharType="begin"/>
        </w:r>
        <w:r>
          <w:instrText xml:space="preserve">PAGE   \* MERGEFORMAT</w:instrText>
        </w:r>
        <w:r>
          <w:fldChar w:fldCharType="separate"/>
        </w:r>
        <w:r>
          <w:rPr>
            <w:lang w:val="zh-CN"/>
          </w:rPr>
          <w:t>65</w:t>
        </w:r>
        <w:r>
          <w:fldChar w:fldCharType="end"/>
        </w:r>
      </w:p>
    </w:sdtContent>
  </w:sdt>
  <w:p w14:paraId="28AA0FF9">
    <w:pPr>
      <w:spacing w:line="176" w:lineRule="auto"/>
      <w:ind w:left="4308"/>
      <w:rPr>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10317925"/>
    </w:sdtPr>
    <w:sdtContent>
      <w:p w14:paraId="1155D187">
        <w:pPr>
          <w:pStyle w:val="11"/>
          <w:jc w:val="center"/>
        </w:pPr>
        <w:r>
          <w:fldChar w:fldCharType="begin"/>
        </w:r>
        <w:r>
          <w:instrText xml:space="preserve">PAGE   \* MERGEFORMAT</w:instrText>
        </w:r>
        <w:r>
          <w:fldChar w:fldCharType="separate"/>
        </w:r>
        <w:r>
          <w:rPr>
            <w:lang w:val="zh-CN"/>
          </w:rPr>
          <w:t>8</w:t>
        </w:r>
        <w:r>
          <w:fldChar w:fldCharType="end"/>
        </w:r>
      </w:p>
    </w:sdtContent>
  </w:sdt>
  <w:p w14:paraId="0A678387">
    <w:pPr>
      <w:spacing w:line="177" w:lineRule="auto"/>
      <w:ind w:left="4242"/>
      <w:rPr>
        <w:sz w:val="18"/>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09431102"/>
    </w:sdtPr>
    <w:sdtContent>
      <w:p w14:paraId="0C46D4F2">
        <w:pPr>
          <w:pStyle w:val="11"/>
          <w:jc w:val="center"/>
        </w:pPr>
        <w:r>
          <w:fldChar w:fldCharType="begin"/>
        </w:r>
        <w:r>
          <w:instrText xml:space="preserve">PAGE   \* MERGEFORMAT</w:instrText>
        </w:r>
        <w:r>
          <w:fldChar w:fldCharType="separate"/>
        </w:r>
        <w:r>
          <w:rPr>
            <w:lang w:val="zh-CN"/>
          </w:rPr>
          <w:t>66</w:t>
        </w:r>
        <w:r>
          <w:fldChar w:fldCharType="end"/>
        </w:r>
      </w:p>
    </w:sdtContent>
  </w:sdt>
  <w:p w14:paraId="5CB513BE">
    <w:pPr>
      <w:spacing w:line="178" w:lineRule="auto"/>
      <w:ind w:left="4229"/>
      <w:rPr>
        <w:sz w:val="18"/>
      </w:rP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84896741"/>
    </w:sdtPr>
    <w:sdtContent>
      <w:p w14:paraId="64B1B982">
        <w:pPr>
          <w:pStyle w:val="11"/>
          <w:jc w:val="center"/>
        </w:pPr>
        <w:r>
          <w:fldChar w:fldCharType="begin"/>
        </w:r>
        <w:r>
          <w:instrText xml:space="preserve">PAGE   \* MERGEFORMAT</w:instrText>
        </w:r>
        <w:r>
          <w:fldChar w:fldCharType="separate"/>
        </w:r>
        <w:r>
          <w:rPr>
            <w:lang w:val="zh-CN"/>
          </w:rPr>
          <w:t>67</w:t>
        </w:r>
        <w:r>
          <w:fldChar w:fldCharType="end"/>
        </w:r>
      </w:p>
    </w:sdtContent>
  </w:sdt>
  <w:p w14:paraId="2B2B4382">
    <w:pPr>
      <w:spacing w:line="178" w:lineRule="auto"/>
      <w:ind w:left="4230"/>
      <w:rPr>
        <w:sz w:val="18"/>
      </w:rP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92818324"/>
    </w:sdtPr>
    <w:sdtContent>
      <w:p w14:paraId="3E6BA81F">
        <w:pPr>
          <w:pStyle w:val="11"/>
          <w:jc w:val="center"/>
        </w:pPr>
        <w:r>
          <w:fldChar w:fldCharType="begin"/>
        </w:r>
        <w:r>
          <w:instrText xml:space="preserve">PAGE   \* MERGEFORMAT</w:instrText>
        </w:r>
        <w:r>
          <w:fldChar w:fldCharType="separate"/>
        </w:r>
        <w:r>
          <w:rPr>
            <w:lang w:val="zh-CN"/>
          </w:rPr>
          <w:t>68</w:t>
        </w:r>
        <w:r>
          <w:fldChar w:fldCharType="end"/>
        </w:r>
      </w:p>
    </w:sdtContent>
  </w:sdt>
  <w:p w14:paraId="4D118C5B">
    <w:pPr>
      <w:spacing w:line="178" w:lineRule="auto"/>
      <w:ind w:left="4199"/>
      <w:rPr>
        <w:sz w:val="18"/>
      </w:rP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6302052"/>
    </w:sdtPr>
    <w:sdtContent>
      <w:p w14:paraId="54BBFDAD">
        <w:pPr>
          <w:pStyle w:val="11"/>
          <w:jc w:val="center"/>
        </w:pPr>
        <w:r>
          <w:fldChar w:fldCharType="begin"/>
        </w:r>
        <w:r>
          <w:instrText xml:space="preserve">PAGE   \* MERGEFORMAT</w:instrText>
        </w:r>
        <w:r>
          <w:fldChar w:fldCharType="separate"/>
        </w:r>
        <w:r>
          <w:rPr>
            <w:lang w:val="zh-CN"/>
          </w:rPr>
          <w:t>69</w:t>
        </w:r>
        <w:r>
          <w:fldChar w:fldCharType="end"/>
        </w:r>
      </w:p>
    </w:sdtContent>
  </w:sdt>
  <w:p w14:paraId="154B0120">
    <w:pPr>
      <w:spacing w:line="178" w:lineRule="auto"/>
      <w:ind w:left="4235"/>
      <w:rPr>
        <w:sz w:val="18"/>
      </w:rP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5691897"/>
    </w:sdtPr>
    <w:sdtContent>
      <w:p w14:paraId="5261683B">
        <w:pPr>
          <w:pStyle w:val="11"/>
          <w:jc w:val="center"/>
        </w:pPr>
        <w:r>
          <w:fldChar w:fldCharType="begin"/>
        </w:r>
        <w:r>
          <w:instrText xml:space="preserve">PAGE   \* MERGEFORMAT</w:instrText>
        </w:r>
        <w:r>
          <w:fldChar w:fldCharType="separate"/>
        </w:r>
        <w:r>
          <w:rPr>
            <w:lang w:val="zh-CN"/>
          </w:rPr>
          <w:t>73</w:t>
        </w:r>
        <w:r>
          <w:fldChar w:fldCharType="end"/>
        </w:r>
      </w:p>
    </w:sdtContent>
  </w:sdt>
  <w:p w14:paraId="2F7E66CB">
    <w:pPr>
      <w:spacing w:line="178" w:lineRule="auto"/>
      <w:ind w:left="4199"/>
      <w:rPr>
        <w:sz w:val="18"/>
      </w:rP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04520945"/>
    </w:sdtPr>
    <w:sdtContent>
      <w:p w14:paraId="5CFEC2B3">
        <w:pPr>
          <w:pStyle w:val="11"/>
          <w:jc w:val="center"/>
        </w:pPr>
        <w:r>
          <w:fldChar w:fldCharType="begin"/>
        </w:r>
        <w:r>
          <w:instrText xml:space="preserve">PAGE   \* MERGEFORMAT</w:instrText>
        </w:r>
        <w:r>
          <w:fldChar w:fldCharType="separate"/>
        </w:r>
        <w:r>
          <w:rPr>
            <w:lang w:val="zh-CN"/>
          </w:rPr>
          <w:t>75</w:t>
        </w:r>
        <w:r>
          <w:fldChar w:fldCharType="end"/>
        </w:r>
      </w:p>
    </w:sdtContent>
  </w:sdt>
  <w:p w14:paraId="15A09F03">
    <w:pPr>
      <w:spacing w:line="178" w:lineRule="auto"/>
      <w:ind w:left="4227"/>
      <w:rPr>
        <w:sz w:val="18"/>
      </w:rP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55375299"/>
    </w:sdtPr>
    <w:sdtContent>
      <w:p w14:paraId="11AC8D23">
        <w:pPr>
          <w:pStyle w:val="11"/>
          <w:jc w:val="center"/>
        </w:pPr>
        <w:r>
          <w:fldChar w:fldCharType="begin"/>
        </w:r>
        <w:r>
          <w:instrText xml:space="preserve">PAGE   \* MERGEFORMAT</w:instrText>
        </w:r>
        <w:r>
          <w:fldChar w:fldCharType="separate"/>
        </w:r>
        <w:r>
          <w:rPr>
            <w:lang w:val="zh-CN"/>
          </w:rPr>
          <w:t>76</w:t>
        </w:r>
        <w:r>
          <w:fldChar w:fldCharType="end"/>
        </w:r>
      </w:p>
    </w:sdtContent>
  </w:sdt>
  <w:p w14:paraId="51EACFB1">
    <w:pPr>
      <w:spacing w:line="178" w:lineRule="auto"/>
      <w:ind w:left="4201"/>
      <w:rPr>
        <w:sz w:val="18"/>
      </w:rPr>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40846970"/>
    </w:sdtPr>
    <w:sdtContent>
      <w:p w14:paraId="12BB9411">
        <w:pPr>
          <w:pStyle w:val="11"/>
          <w:jc w:val="center"/>
        </w:pPr>
        <w:r>
          <w:fldChar w:fldCharType="begin"/>
        </w:r>
        <w:r>
          <w:instrText xml:space="preserve">PAGE   \* MERGEFORMAT</w:instrText>
        </w:r>
        <w:r>
          <w:fldChar w:fldCharType="separate"/>
        </w:r>
        <w:r>
          <w:rPr>
            <w:lang w:val="zh-CN"/>
          </w:rPr>
          <w:t>77</w:t>
        </w:r>
        <w:r>
          <w:fldChar w:fldCharType="end"/>
        </w:r>
      </w:p>
    </w:sdtContent>
  </w:sdt>
  <w:p w14:paraId="32242681">
    <w:pPr>
      <w:spacing w:line="178" w:lineRule="auto"/>
      <w:ind w:left="4199"/>
      <w:rPr>
        <w:sz w:val="18"/>
      </w:rP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48441411"/>
    </w:sdtPr>
    <w:sdtContent>
      <w:p w14:paraId="71D62AA0">
        <w:pPr>
          <w:pStyle w:val="11"/>
          <w:jc w:val="center"/>
        </w:pPr>
        <w:r>
          <w:fldChar w:fldCharType="begin"/>
        </w:r>
        <w:r>
          <w:instrText xml:space="preserve">PAGE   \* MERGEFORMAT</w:instrText>
        </w:r>
        <w:r>
          <w:fldChar w:fldCharType="separate"/>
        </w:r>
        <w:r>
          <w:rPr>
            <w:lang w:val="zh-CN"/>
          </w:rPr>
          <w:t>81</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79899424"/>
    </w:sdtPr>
    <w:sdtContent>
      <w:p w14:paraId="102B8AF9">
        <w:pPr>
          <w:pStyle w:val="11"/>
          <w:jc w:val="center"/>
        </w:pPr>
        <w:r>
          <w:fldChar w:fldCharType="begin"/>
        </w:r>
        <w:r>
          <w:instrText xml:space="preserve">PAGE   \* MERGEFORMAT</w:instrText>
        </w:r>
        <w:r>
          <w:fldChar w:fldCharType="separate"/>
        </w:r>
        <w:r>
          <w:rPr>
            <w:lang w:val="zh-CN"/>
          </w:rPr>
          <w:t>14</w:t>
        </w:r>
        <w:r>
          <w:fldChar w:fldCharType="end"/>
        </w:r>
      </w:p>
    </w:sdtContent>
  </w:sdt>
  <w:p w14:paraId="11F994E0">
    <w:pPr>
      <w:spacing w:line="178" w:lineRule="auto"/>
      <w:ind w:left="4354"/>
      <w:rPr>
        <w:sz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52376413"/>
    </w:sdtPr>
    <w:sdtContent>
      <w:p w14:paraId="2510107E">
        <w:pPr>
          <w:pStyle w:val="11"/>
          <w:jc w:val="center"/>
        </w:pPr>
        <w:r>
          <w:fldChar w:fldCharType="begin"/>
        </w:r>
        <w:r>
          <w:instrText xml:space="preserve">PAGE   \* MERGEFORMAT</w:instrText>
        </w:r>
        <w:r>
          <w:fldChar w:fldCharType="separate"/>
        </w:r>
        <w:r>
          <w:rPr>
            <w:lang w:val="zh-CN"/>
          </w:rPr>
          <w:t>19</w:t>
        </w:r>
        <w:r>
          <w:fldChar w:fldCharType="end"/>
        </w:r>
      </w:p>
    </w:sdtContent>
  </w:sdt>
  <w:p w14:paraId="179B0927">
    <w:pPr>
      <w:spacing w:line="177" w:lineRule="auto"/>
      <w:ind w:left="4235"/>
      <w:rPr>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09120255"/>
    </w:sdtPr>
    <w:sdtContent>
      <w:p w14:paraId="49D008CC">
        <w:pPr>
          <w:pStyle w:val="11"/>
          <w:jc w:val="center"/>
        </w:pPr>
        <w:r>
          <w:fldChar w:fldCharType="begin"/>
        </w:r>
        <w:r>
          <w:instrText xml:space="preserve">PAGE   \* MERGEFORMAT</w:instrText>
        </w:r>
        <w:r>
          <w:fldChar w:fldCharType="separate"/>
        </w:r>
        <w:r>
          <w:rPr>
            <w:lang w:val="zh-CN"/>
          </w:rPr>
          <w:t>20</w:t>
        </w:r>
        <w:r>
          <w:fldChar w:fldCharType="end"/>
        </w:r>
      </w:p>
    </w:sdtContent>
  </w:sdt>
  <w:p w14:paraId="357378D3">
    <w:pPr>
      <w:spacing w:line="177" w:lineRule="auto"/>
      <w:ind w:left="4235"/>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23508274"/>
    </w:sdtPr>
    <w:sdtContent>
      <w:p w14:paraId="29345AB0">
        <w:pPr>
          <w:pStyle w:val="11"/>
          <w:jc w:val="center"/>
        </w:pPr>
        <w:r>
          <w:fldChar w:fldCharType="begin"/>
        </w:r>
        <w:r>
          <w:instrText xml:space="preserve">PAGE   \* MERGEFORMAT</w:instrText>
        </w:r>
        <w:r>
          <w:fldChar w:fldCharType="separate"/>
        </w:r>
        <w:r>
          <w:rPr>
            <w:lang w:val="zh-CN"/>
          </w:rPr>
          <w:t>22</w:t>
        </w:r>
        <w:r>
          <w:fldChar w:fldCharType="end"/>
        </w:r>
      </w:p>
    </w:sdtContent>
  </w:sdt>
  <w:p w14:paraId="455CEC36">
    <w:pPr>
      <w:spacing w:line="178" w:lineRule="auto"/>
      <w:ind w:left="4236"/>
      <w:rPr>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22803652"/>
    </w:sdtPr>
    <w:sdtContent>
      <w:p w14:paraId="1079783D">
        <w:pPr>
          <w:pStyle w:val="11"/>
          <w:jc w:val="center"/>
        </w:pPr>
        <w:r>
          <w:fldChar w:fldCharType="begin"/>
        </w:r>
        <w:r>
          <w:instrText xml:space="preserve">PAGE   \* MERGEFORMAT</w:instrText>
        </w:r>
        <w:r>
          <w:fldChar w:fldCharType="separate"/>
        </w:r>
        <w:r>
          <w:rPr>
            <w:lang w:val="zh-CN"/>
          </w:rPr>
          <w:t>32</w:t>
        </w:r>
        <w:r>
          <w:fldChar w:fldCharType="end"/>
        </w:r>
      </w:p>
    </w:sdtContent>
  </w:sdt>
  <w:p w14:paraId="09FDA377">
    <w:pPr>
      <w:spacing w:line="178" w:lineRule="auto"/>
      <w:ind w:left="4231"/>
      <w:rPr>
        <w:sz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684523"/>
    </w:sdtPr>
    <w:sdtContent>
      <w:p w14:paraId="262A13DC">
        <w:pPr>
          <w:pStyle w:val="11"/>
          <w:jc w:val="center"/>
        </w:pPr>
        <w:r>
          <w:fldChar w:fldCharType="begin"/>
        </w:r>
        <w:r>
          <w:instrText xml:space="preserve">PAGE   \* MERGEFORMAT</w:instrText>
        </w:r>
        <w:r>
          <w:fldChar w:fldCharType="separate"/>
        </w:r>
        <w:r>
          <w:rPr>
            <w:lang w:val="zh-CN"/>
          </w:rPr>
          <w:t>33</w:t>
        </w:r>
        <w:r>
          <w:fldChar w:fldCharType="end"/>
        </w:r>
      </w:p>
    </w:sdtContent>
  </w:sdt>
  <w:p w14:paraId="01B31A98">
    <w:pPr>
      <w:spacing w:line="178" w:lineRule="auto"/>
      <w:ind w:left="4238"/>
      <w:rPr>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62727767"/>
    </w:sdtPr>
    <w:sdtContent>
      <w:p w14:paraId="42EBE0A2">
        <w:pPr>
          <w:pStyle w:val="11"/>
          <w:jc w:val="center"/>
        </w:pPr>
        <w:r>
          <w:fldChar w:fldCharType="begin"/>
        </w:r>
        <w:r>
          <w:instrText xml:space="preserve">PAGE   \* MERGEFORMAT</w:instrText>
        </w:r>
        <w:r>
          <w:fldChar w:fldCharType="separate"/>
        </w:r>
        <w:r>
          <w:rPr>
            <w:lang w:val="zh-CN"/>
          </w:rPr>
          <w:t>34</w:t>
        </w:r>
        <w:r>
          <w:fldChar w:fldCharType="end"/>
        </w:r>
      </w:p>
    </w:sdtContent>
  </w:sdt>
  <w:p w14:paraId="32C8169D">
    <w:pPr>
      <w:spacing w:line="178" w:lineRule="auto"/>
      <w:ind w:left="4230"/>
      <w:rPr>
        <w:sz w:val="1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11FDA3">
    <w:pPr>
      <w:pStyle w:val="38"/>
      <w:tabs>
        <w:tab w:val="clear" w:pos="4153"/>
        <w:tab w:val="clear"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B07893"/>
    <w:multiLevelType w:val="singleLevel"/>
    <w:tmpl w:val="41B07893"/>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revisionView w:markup="0"/>
  <w:trackRevisions w:val="1"/>
  <w:documentProtection w:enforcement="0"/>
  <w:defaultTabStop w:val="500"/>
  <w:characterSpacingControl w:val="doNotCompress"/>
  <w:compat>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98C"/>
    <w:rsid w:val="00022068"/>
    <w:rsid w:val="0004004A"/>
    <w:rsid w:val="00074539"/>
    <w:rsid w:val="000862B2"/>
    <w:rsid w:val="000F2FD4"/>
    <w:rsid w:val="001116BB"/>
    <w:rsid w:val="00113FC8"/>
    <w:rsid w:val="00127C32"/>
    <w:rsid w:val="00163EE0"/>
    <w:rsid w:val="00187E11"/>
    <w:rsid w:val="0019702E"/>
    <w:rsid w:val="001C4A8B"/>
    <w:rsid w:val="00224114"/>
    <w:rsid w:val="002466E2"/>
    <w:rsid w:val="003157D2"/>
    <w:rsid w:val="00367195"/>
    <w:rsid w:val="00376A56"/>
    <w:rsid w:val="00386060"/>
    <w:rsid w:val="003865DB"/>
    <w:rsid w:val="003A0896"/>
    <w:rsid w:val="003B1F4B"/>
    <w:rsid w:val="0041362D"/>
    <w:rsid w:val="00436768"/>
    <w:rsid w:val="00437C88"/>
    <w:rsid w:val="004653F8"/>
    <w:rsid w:val="004923B6"/>
    <w:rsid w:val="004E072B"/>
    <w:rsid w:val="005A0975"/>
    <w:rsid w:val="005C6A4C"/>
    <w:rsid w:val="0061556B"/>
    <w:rsid w:val="006D24EA"/>
    <w:rsid w:val="006E30DB"/>
    <w:rsid w:val="00711E8D"/>
    <w:rsid w:val="0074755E"/>
    <w:rsid w:val="00774F0B"/>
    <w:rsid w:val="007A238C"/>
    <w:rsid w:val="007D0DE4"/>
    <w:rsid w:val="007D4D4D"/>
    <w:rsid w:val="00801387"/>
    <w:rsid w:val="00810EB2"/>
    <w:rsid w:val="0082078C"/>
    <w:rsid w:val="00864AC8"/>
    <w:rsid w:val="00871F0F"/>
    <w:rsid w:val="008A07D1"/>
    <w:rsid w:val="008C37E1"/>
    <w:rsid w:val="0099585C"/>
    <w:rsid w:val="009C1AEF"/>
    <w:rsid w:val="00A037AE"/>
    <w:rsid w:val="00A43015"/>
    <w:rsid w:val="00A53C82"/>
    <w:rsid w:val="00A82824"/>
    <w:rsid w:val="00A84801"/>
    <w:rsid w:val="00AA0037"/>
    <w:rsid w:val="00AA6397"/>
    <w:rsid w:val="00AD709C"/>
    <w:rsid w:val="00AE79BD"/>
    <w:rsid w:val="00B5152B"/>
    <w:rsid w:val="00B62C8F"/>
    <w:rsid w:val="00B909BA"/>
    <w:rsid w:val="00BC6CA2"/>
    <w:rsid w:val="00BE22F3"/>
    <w:rsid w:val="00C13F02"/>
    <w:rsid w:val="00C467C2"/>
    <w:rsid w:val="00C74278"/>
    <w:rsid w:val="00C93AC9"/>
    <w:rsid w:val="00CA5EBA"/>
    <w:rsid w:val="00D26F76"/>
    <w:rsid w:val="00D37AF3"/>
    <w:rsid w:val="00DB2254"/>
    <w:rsid w:val="00DD668E"/>
    <w:rsid w:val="00DE5C1D"/>
    <w:rsid w:val="00DF2856"/>
    <w:rsid w:val="00E07886"/>
    <w:rsid w:val="00EF46F3"/>
    <w:rsid w:val="00F0598C"/>
    <w:rsid w:val="00F33266"/>
    <w:rsid w:val="00F620BE"/>
    <w:rsid w:val="00F64288"/>
    <w:rsid w:val="05C8243B"/>
    <w:rsid w:val="0602632E"/>
    <w:rsid w:val="09A10F2A"/>
    <w:rsid w:val="0A3F6A0C"/>
    <w:rsid w:val="0D282C0A"/>
    <w:rsid w:val="0EA759E6"/>
    <w:rsid w:val="0F432510"/>
    <w:rsid w:val="13C5246A"/>
    <w:rsid w:val="14D26E59"/>
    <w:rsid w:val="1510754D"/>
    <w:rsid w:val="170C5AE7"/>
    <w:rsid w:val="17451E43"/>
    <w:rsid w:val="17A256A6"/>
    <w:rsid w:val="17FA2051"/>
    <w:rsid w:val="192B33BB"/>
    <w:rsid w:val="1AC06C23"/>
    <w:rsid w:val="1C9068A1"/>
    <w:rsid w:val="202B1222"/>
    <w:rsid w:val="212E5C3A"/>
    <w:rsid w:val="21C96BAD"/>
    <w:rsid w:val="228855A8"/>
    <w:rsid w:val="23F02263"/>
    <w:rsid w:val="24292651"/>
    <w:rsid w:val="25BB5783"/>
    <w:rsid w:val="26743ED0"/>
    <w:rsid w:val="26DD7959"/>
    <w:rsid w:val="294933DF"/>
    <w:rsid w:val="2C592686"/>
    <w:rsid w:val="2C603A17"/>
    <w:rsid w:val="2F015C75"/>
    <w:rsid w:val="2F0B6BC6"/>
    <w:rsid w:val="34073A92"/>
    <w:rsid w:val="340D53E4"/>
    <w:rsid w:val="34D50630"/>
    <w:rsid w:val="35C90E59"/>
    <w:rsid w:val="37EA6390"/>
    <w:rsid w:val="389A0CC6"/>
    <w:rsid w:val="39334451"/>
    <w:rsid w:val="3BCB12A4"/>
    <w:rsid w:val="3EB119F1"/>
    <w:rsid w:val="3F6642E7"/>
    <w:rsid w:val="3F904AF0"/>
    <w:rsid w:val="41AF6619"/>
    <w:rsid w:val="437432AA"/>
    <w:rsid w:val="46725C94"/>
    <w:rsid w:val="47B66981"/>
    <w:rsid w:val="47EF125E"/>
    <w:rsid w:val="487D0312"/>
    <w:rsid w:val="4C21142A"/>
    <w:rsid w:val="4DF83AF4"/>
    <w:rsid w:val="509E7A6C"/>
    <w:rsid w:val="51BE7E48"/>
    <w:rsid w:val="522051FD"/>
    <w:rsid w:val="54D85A34"/>
    <w:rsid w:val="54DC5E0F"/>
    <w:rsid w:val="551F6C96"/>
    <w:rsid w:val="55E059B2"/>
    <w:rsid w:val="562C1C22"/>
    <w:rsid w:val="56B122E6"/>
    <w:rsid w:val="5CAA5AE0"/>
    <w:rsid w:val="5EB400EF"/>
    <w:rsid w:val="64C87E16"/>
    <w:rsid w:val="66770C98"/>
    <w:rsid w:val="671D4B10"/>
    <w:rsid w:val="67E660D5"/>
    <w:rsid w:val="688F6A47"/>
    <w:rsid w:val="69DF4F5C"/>
    <w:rsid w:val="6A725769"/>
    <w:rsid w:val="6BB22A1A"/>
    <w:rsid w:val="6CCA37CF"/>
    <w:rsid w:val="6F054128"/>
    <w:rsid w:val="70DA1F66"/>
    <w:rsid w:val="75625E25"/>
    <w:rsid w:val="75D831DB"/>
    <w:rsid w:val="77EB4F88"/>
    <w:rsid w:val="78E20DB7"/>
    <w:rsid w:val="79A16D21"/>
    <w:rsid w:val="7A696289"/>
    <w:rsid w:val="7DF21DB8"/>
    <w:rsid w:val="7E2A68EA"/>
    <w:rsid w:val="7E31695A"/>
    <w:rsid w:val="7ECC0F7C"/>
    <w:rsid w:val="7F9552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snapToGrid w:val="0"/>
    </w:pPr>
    <w:rPr>
      <w:rFonts w:ascii="Arial" w:hAnsi="Arial" w:eastAsia="Arial" w:cs="Times New Roman"/>
      <w:color w:val="000000"/>
      <w:sz w:val="21"/>
      <w:szCs w:val="21"/>
      <w:lang w:val="en-US" w:eastAsia="zh-CN" w:bidi="ar-SA"/>
    </w:rPr>
  </w:style>
  <w:style w:type="character" w:default="1" w:styleId="20">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toc 7"/>
    <w:basedOn w:val="1"/>
    <w:next w:val="1"/>
    <w:unhideWhenUsed/>
    <w:qFormat/>
    <w:uiPriority w:val="39"/>
    <w:pPr>
      <w:widowControl w:val="0"/>
      <w:kinsoku/>
      <w:autoSpaceDE/>
      <w:autoSpaceDN/>
      <w:snapToGrid/>
      <w:ind w:left="2520" w:leftChars="1200"/>
      <w:jc w:val="both"/>
    </w:pPr>
    <w:rPr>
      <w:rFonts w:asciiTheme="minorHAnsi" w:hAnsiTheme="minorHAnsi" w:eastAsiaTheme="minorEastAsia" w:cstheme="minorBidi"/>
      <w:color w:val="auto"/>
      <w:kern w:val="2"/>
      <w:szCs w:val="22"/>
      <w14:ligatures w14:val="standardContextual"/>
    </w:rPr>
  </w:style>
  <w:style w:type="paragraph" w:styleId="3">
    <w:name w:val="annotation text"/>
    <w:basedOn w:val="1"/>
    <w:link w:val="75"/>
    <w:qFormat/>
    <w:uiPriority w:val="0"/>
  </w:style>
  <w:style w:type="paragraph" w:styleId="4">
    <w:name w:val="Body Text Indent"/>
    <w:basedOn w:val="1"/>
    <w:next w:val="1"/>
    <w:qFormat/>
    <w:uiPriority w:val="0"/>
    <w:pPr>
      <w:ind w:firstLine="600" w:firstLineChars="200"/>
    </w:pPr>
    <w:rPr>
      <w:rFonts w:ascii="宋体"/>
      <w:sz w:val="30"/>
      <w:szCs w:val="20"/>
    </w:rPr>
  </w:style>
  <w:style w:type="paragraph" w:styleId="5">
    <w:name w:val="toc 5"/>
    <w:basedOn w:val="1"/>
    <w:next w:val="1"/>
    <w:unhideWhenUsed/>
    <w:qFormat/>
    <w:uiPriority w:val="39"/>
    <w:pPr>
      <w:widowControl w:val="0"/>
      <w:kinsoku/>
      <w:autoSpaceDE/>
      <w:autoSpaceDN/>
      <w:snapToGrid/>
      <w:ind w:left="1680" w:leftChars="800"/>
      <w:jc w:val="both"/>
    </w:pPr>
    <w:rPr>
      <w:rFonts w:asciiTheme="minorHAnsi" w:hAnsiTheme="minorHAnsi" w:eastAsiaTheme="minorEastAsia" w:cstheme="minorBidi"/>
      <w:color w:val="auto"/>
      <w:kern w:val="2"/>
      <w:szCs w:val="22"/>
      <w14:ligatures w14:val="standardContextual"/>
    </w:rPr>
  </w:style>
  <w:style w:type="paragraph" w:styleId="6">
    <w:name w:val="toc 3"/>
    <w:basedOn w:val="1"/>
    <w:next w:val="1"/>
    <w:qFormat/>
    <w:uiPriority w:val="39"/>
    <w:pPr>
      <w:ind w:left="840" w:leftChars="400"/>
    </w:pPr>
  </w:style>
  <w:style w:type="paragraph" w:styleId="7">
    <w:name w:val="Plain Text"/>
    <w:basedOn w:val="1"/>
    <w:next w:val="8"/>
    <w:qFormat/>
    <w:uiPriority w:val="99"/>
    <w:rPr>
      <w:rFonts w:ascii="宋体"/>
    </w:rPr>
  </w:style>
  <w:style w:type="paragraph" w:customStyle="1" w:styleId="8">
    <w:name w:val="Default"/>
    <w:qFormat/>
    <w:uiPriority w:val="0"/>
    <w:pPr>
      <w:widowControl w:val="0"/>
      <w:autoSpaceDE w:val="0"/>
      <w:autoSpaceDN w:val="0"/>
    </w:pPr>
    <w:rPr>
      <w:rFonts w:ascii="宋体" w:hAnsi="Times New Roman" w:eastAsia="宋体" w:cs="Times New Roman"/>
      <w:color w:val="000000"/>
      <w:sz w:val="24"/>
      <w:lang w:val="en-US" w:eastAsia="zh-CN" w:bidi="ar-SA"/>
    </w:rPr>
  </w:style>
  <w:style w:type="paragraph" w:styleId="9">
    <w:name w:val="toc 8"/>
    <w:basedOn w:val="1"/>
    <w:next w:val="1"/>
    <w:unhideWhenUsed/>
    <w:qFormat/>
    <w:uiPriority w:val="39"/>
    <w:pPr>
      <w:widowControl w:val="0"/>
      <w:kinsoku/>
      <w:autoSpaceDE/>
      <w:autoSpaceDN/>
      <w:snapToGrid/>
      <w:ind w:left="2940" w:leftChars="1400"/>
      <w:jc w:val="both"/>
    </w:pPr>
    <w:rPr>
      <w:rFonts w:asciiTheme="minorHAnsi" w:hAnsiTheme="minorHAnsi" w:eastAsiaTheme="minorEastAsia" w:cstheme="minorBidi"/>
      <w:color w:val="auto"/>
      <w:kern w:val="2"/>
      <w:szCs w:val="22"/>
      <w14:ligatures w14:val="standardContextual"/>
    </w:rPr>
  </w:style>
  <w:style w:type="paragraph" w:styleId="10">
    <w:name w:val="Balloon Text"/>
    <w:basedOn w:val="1"/>
    <w:link w:val="73"/>
    <w:qFormat/>
    <w:uiPriority w:val="0"/>
    <w:rPr>
      <w:sz w:val="18"/>
      <w:szCs w:val="18"/>
    </w:rPr>
  </w:style>
  <w:style w:type="paragraph" w:styleId="11">
    <w:name w:val="footer"/>
    <w:basedOn w:val="1"/>
    <w:link w:val="70"/>
    <w:qFormat/>
    <w:uiPriority w:val="99"/>
    <w:pPr>
      <w:tabs>
        <w:tab w:val="center" w:pos="4153"/>
        <w:tab w:val="right" w:pos="8306"/>
      </w:tabs>
    </w:pPr>
    <w:rPr>
      <w:sz w:val="18"/>
      <w:szCs w:val="18"/>
    </w:rPr>
  </w:style>
  <w:style w:type="paragraph" w:styleId="12">
    <w:name w:val="header"/>
    <w:basedOn w:val="1"/>
    <w:link w:val="69"/>
    <w:qFormat/>
    <w:uiPriority w:val="0"/>
    <w:pPr>
      <w:tabs>
        <w:tab w:val="center" w:pos="4153"/>
        <w:tab w:val="right" w:pos="8306"/>
      </w:tabs>
      <w:jc w:val="center"/>
    </w:pPr>
    <w:rPr>
      <w:sz w:val="18"/>
      <w:szCs w:val="18"/>
    </w:rPr>
  </w:style>
  <w:style w:type="paragraph" w:styleId="13">
    <w:name w:val="toc 1"/>
    <w:basedOn w:val="1"/>
    <w:next w:val="1"/>
    <w:qFormat/>
    <w:uiPriority w:val="39"/>
  </w:style>
  <w:style w:type="paragraph" w:styleId="14">
    <w:name w:val="toc 4"/>
    <w:basedOn w:val="1"/>
    <w:next w:val="1"/>
    <w:unhideWhenUsed/>
    <w:qFormat/>
    <w:uiPriority w:val="39"/>
    <w:pPr>
      <w:widowControl w:val="0"/>
      <w:kinsoku/>
      <w:autoSpaceDE/>
      <w:autoSpaceDN/>
      <w:snapToGrid/>
      <w:ind w:left="1260" w:leftChars="600"/>
      <w:jc w:val="both"/>
    </w:pPr>
    <w:rPr>
      <w:rFonts w:asciiTheme="minorHAnsi" w:hAnsiTheme="minorHAnsi" w:eastAsiaTheme="minorEastAsia" w:cstheme="minorBidi"/>
      <w:color w:val="auto"/>
      <w:kern w:val="2"/>
      <w:szCs w:val="22"/>
      <w14:ligatures w14:val="standardContextual"/>
    </w:rPr>
  </w:style>
  <w:style w:type="paragraph" w:styleId="15">
    <w:name w:val="toc 6"/>
    <w:basedOn w:val="1"/>
    <w:next w:val="1"/>
    <w:unhideWhenUsed/>
    <w:qFormat/>
    <w:uiPriority w:val="39"/>
    <w:pPr>
      <w:widowControl w:val="0"/>
      <w:kinsoku/>
      <w:autoSpaceDE/>
      <w:autoSpaceDN/>
      <w:snapToGrid/>
      <w:ind w:left="2100" w:leftChars="1000"/>
      <w:jc w:val="both"/>
    </w:pPr>
    <w:rPr>
      <w:rFonts w:asciiTheme="minorHAnsi" w:hAnsiTheme="minorHAnsi" w:eastAsiaTheme="minorEastAsia" w:cstheme="minorBidi"/>
      <w:color w:val="auto"/>
      <w:kern w:val="2"/>
      <w:szCs w:val="22"/>
      <w14:ligatures w14:val="standardContextual"/>
    </w:rPr>
  </w:style>
  <w:style w:type="paragraph" w:styleId="16">
    <w:name w:val="toc 2"/>
    <w:basedOn w:val="1"/>
    <w:next w:val="1"/>
    <w:qFormat/>
    <w:uiPriority w:val="39"/>
    <w:pPr>
      <w:ind w:left="420" w:leftChars="200"/>
    </w:pPr>
  </w:style>
  <w:style w:type="paragraph" w:styleId="17">
    <w:name w:val="toc 9"/>
    <w:basedOn w:val="1"/>
    <w:next w:val="1"/>
    <w:unhideWhenUsed/>
    <w:qFormat/>
    <w:uiPriority w:val="39"/>
    <w:pPr>
      <w:widowControl w:val="0"/>
      <w:kinsoku/>
      <w:autoSpaceDE/>
      <w:autoSpaceDN/>
      <w:snapToGrid/>
      <w:ind w:left="3360" w:leftChars="1600"/>
      <w:jc w:val="both"/>
    </w:pPr>
    <w:rPr>
      <w:rFonts w:asciiTheme="minorHAnsi" w:hAnsiTheme="minorHAnsi" w:eastAsiaTheme="minorEastAsia" w:cstheme="minorBidi"/>
      <w:color w:val="auto"/>
      <w:kern w:val="2"/>
      <w:szCs w:val="22"/>
      <w14:ligatures w14:val="standardContextual"/>
    </w:rPr>
  </w:style>
  <w:style w:type="paragraph" w:styleId="18">
    <w:name w:val="Body Text First Indent 2"/>
    <w:basedOn w:val="4"/>
    <w:unhideWhenUsed/>
    <w:qFormat/>
    <w:uiPriority w:val="0"/>
    <w:pPr>
      <w:spacing w:after="120"/>
      <w:ind w:left="420" w:leftChars="200" w:firstLine="420"/>
    </w:pPr>
  </w:style>
  <w:style w:type="character" w:styleId="21">
    <w:name w:val="Hyperlink"/>
    <w:basedOn w:val="20"/>
    <w:unhideWhenUsed/>
    <w:qFormat/>
    <w:uiPriority w:val="99"/>
    <w:rPr>
      <w:color w:val="0000FF" w:themeColor="hyperlink"/>
      <w:u w:val="single"/>
      <w14:textFill>
        <w14:solidFill>
          <w14:schemeClr w14:val="hlink"/>
        </w14:solidFill>
      </w14:textFill>
    </w:rPr>
  </w:style>
  <w:style w:type="character" w:styleId="22">
    <w:name w:val="annotation reference"/>
    <w:basedOn w:val="20"/>
    <w:qFormat/>
    <w:uiPriority w:val="0"/>
    <w:rPr>
      <w:sz w:val="21"/>
      <w:szCs w:val="21"/>
    </w:rPr>
  </w:style>
  <w:style w:type="paragraph" w:customStyle="1" w:styleId="23">
    <w:name w:val="标题 11"/>
    <w:basedOn w:val="1"/>
    <w:qFormat/>
    <w:uiPriority w:val="0"/>
    <w:pPr>
      <w:keepNext/>
      <w:keepLines/>
      <w:spacing w:before="340" w:after="330" w:line="578" w:lineRule="auto"/>
      <w:jc w:val="center"/>
      <w:outlineLvl w:val="0"/>
    </w:pPr>
    <w:rPr>
      <w:rFonts w:eastAsia="宋体"/>
      <w:b/>
      <w:bCs/>
      <w:kern w:val="44"/>
      <w:sz w:val="44"/>
      <w:szCs w:val="44"/>
    </w:rPr>
  </w:style>
  <w:style w:type="paragraph" w:customStyle="1" w:styleId="24">
    <w:name w:val="标题 21"/>
    <w:basedOn w:val="23"/>
    <w:qFormat/>
    <w:uiPriority w:val="0"/>
    <w:pPr>
      <w:spacing w:before="120" w:after="120" w:line="240" w:lineRule="auto"/>
      <w:outlineLvl w:val="1"/>
    </w:pPr>
    <w:rPr>
      <w:rFonts w:ascii="黑体" w:hAnsi="黑体"/>
      <w:b w:val="0"/>
      <w:szCs w:val="30"/>
    </w:rPr>
  </w:style>
  <w:style w:type="paragraph" w:customStyle="1" w:styleId="25">
    <w:name w:val="标题 31"/>
    <w:basedOn w:val="1"/>
    <w:qFormat/>
    <w:uiPriority w:val="0"/>
    <w:pPr>
      <w:spacing w:before="50" w:after="50"/>
      <w:outlineLvl w:val="2"/>
    </w:pPr>
    <w:rPr>
      <w:rFonts w:ascii="宋体" w:hAnsi="宋体" w:eastAsia="宋体"/>
      <w:b/>
      <w:sz w:val="28"/>
      <w:szCs w:val="24"/>
    </w:rPr>
  </w:style>
  <w:style w:type="paragraph" w:customStyle="1" w:styleId="26">
    <w:name w:val="标题 41"/>
    <w:basedOn w:val="1"/>
    <w:qFormat/>
    <w:uiPriority w:val="0"/>
    <w:pPr>
      <w:outlineLvl w:val="3"/>
    </w:pPr>
    <w:rPr>
      <w:rFonts w:ascii="宋体" w:hAnsi="宋体" w:eastAsia="宋体"/>
      <w:sz w:val="28"/>
      <w:szCs w:val="24"/>
    </w:rPr>
  </w:style>
  <w:style w:type="paragraph" w:customStyle="1" w:styleId="27">
    <w:name w:val="标题 61"/>
    <w:basedOn w:val="1"/>
    <w:qFormat/>
    <w:uiPriority w:val="0"/>
    <w:pPr>
      <w:keepNext/>
      <w:keepLines/>
      <w:tabs>
        <w:tab w:val="left" w:pos="1440"/>
      </w:tabs>
      <w:spacing w:before="240" w:after="64" w:line="320" w:lineRule="auto"/>
      <w:ind w:left="1152" w:hanging="1152"/>
      <w:outlineLvl w:val="5"/>
    </w:pPr>
    <w:rPr>
      <w:rFonts w:eastAsia="黑体"/>
      <w:b/>
      <w:bCs/>
      <w:sz w:val="24"/>
      <w:szCs w:val="24"/>
    </w:rPr>
  </w:style>
  <w:style w:type="character" w:customStyle="1" w:styleId="28">
    <w:name w:val="默认段落字体1"/>
    <w:semiHidden/>
    <w:qFormat/>
    <w:uiPriority w:val="0"/>
  </w:style>
  <w:style w:type="table" w:customStyle="1" w:styleId="29">
    <w:name w:val="普通表格1"/>
    <w:semiHidden/>
    <w:qFormat/>
    <w:uiPriority w:val="0"/>
    <w:tblPr>
      <w:tblCellMar>
        <w:top w:w="0" w:type="dxa"/>
        <w:left w:w="0" w:type="dxa"/>
        <w:bottom w:w="0" w:type="dxa"/>
        <w:right w:w="0" w:type="dxa"/>
      </w:tblCellMar>
    </w:tblPr>
  </w:style>
  <w:style w:type="paragraph" w:customStyle="1" w:styleId="30">
    <w:name w:val="正文缩进11"/>
    <w:basedOn w:val="1"/>
    <w:qFormat/>
    <w:uiPriority w:val="0"/>
    <w:pPr>
      <w:ind w:firstLine="420" w:firstLineChars="200"/>
    </w:pPr>
  </w:style>
  <w:style w:type="paragraph" w:customStyle="1" w:styleId="31">
    <w:name w:val="批注文字1"/>
    <w:basedOn w:val="1"/>
    <w:qFormat/>
    <w:uiPriority w:val="0"/>
  </w:style>
  <w:style w:type="paragraph" w:customStyle="1" w:styleId="32">
    <w:name w:val="正文文本 31"/>
    <w:qFormat/>
    <w:uiPriority w:val="0"/>
    <w:pPr>
      <w:widowControl w:val="0"/>
      <w:spacing w:after="120"/>
      <w:jc w:val="both"/>
    </w:pPr>
    <w:rPr>
      <w:rFonts w:ascii="Times New Roman" w:hAnsi="Times New Roman" w:eastAsia="楷体_GB2312" w:cs="Times New Roman"/>
      <w:kern w:val="2"/>
      <w:sz w:val="16"/>
      <w:szCs w:val="16"/>
      <w:lang w:val="en-US" w:eastAsia="zh-CN" w:bidi="ar-SA"/>
    </w:rPr>
  </w:style>
  <w:style w:type="paragraph" w:customStyle="1" w:styleId="33">
    <w:name w:val="正文文本1"/>
    <w:basedOn w:val="1"/>
    <w:qFormat/>
    <w:uiPriority w:val="0"/>
    <w:pPr>
      <w:spacing w:after="120"/>
    </w:pPr>
  </w:style>
  <w:style w:type="paragraph" w:customStyle="1" w:styleId="34">
    <w:name w:val="正文文本缩进1"/>
    <w:basedOn w:val="1"/>
    <w:qFormat/>
    <w:uiPriority w:val="0"/>
    <w:pPr>
      <w:ind w:firstLine="600" w:firstLineChars="200"/>
    </w:pPr>
    <w:rPr>
      <w:rFonts w:ascii="宋体"/>
      <w:sz w:val="30"/>
      <w:szCs w:val="20"/>
    </w:rPr>
  </w:style>
  <w:style w:type="paragraph" w:customStyle="1" w:styleId="35">
    <w:name w:val="寄信人地址1"/>
    <w:basedOn w:val="1"/>
    <w:qFormat/>
    <w:uiPriority w:val="0"/>
  </w:style>
  <w:style w:type="paragraph" w:customStyle="1" w:styleId="36">
    <w:name w:val="目录 31"/>
    <w:basedOn w:val="1"/>
    <w:qFormat/>
    <w:uiPriority w:val="0"/>
    <w:pPr>
      <w:ind w:left="840" w:leftChars="400"/>
    </w:pPr>
  </w:style>
  <w:style w:type="paragraph" w:customStyle="1" w:styleId="37">
    <w:name w:val="纯文本1"/>
    <w:basedOn w:val="1"/>
    <w:qFormat/>
    <w:uiPriority w:val="0"/>
    <w:rPr>
      <w:rFonts w:ascii="宋体" w:hAnsi="Courier New"/>
      <w:szCs w:val="20"/>
    </w:rPr>
  </w:style>
  <w:style w:type="paragraph" w:customStyle="1" w:styleId="38">
    <w:name w:val="页眉1"/>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customStyle="1" w:styleId="39">
    <w:name w:val="日期1"/>
    <w:basedOn w:val="1"/>
    <w:qFormat/>
    <w:uiPriority w:val="0"/>
    <w:pPr>
      <w:ind w:left="100" w:leftChars="2500"/>
    </w:pPr>
    <w:rPr>
      <w:sz w:val="20"/>
    </w:rPr>
  </w:style>
  <w:style w:type="paragraph" w:customStyle="1" w:styleId="40">
    <w:name w:val="页脚1"/>
    <w:basedOn w:val="1"/>
    <w:qFormat/>
    <w:uiPriority w:val="0"/>
    <w:pPr>
      <w:tabs>
        <w:tab w:val="center" w:pos="4153"/>
        <w:tab w:val="right" w:pos="8306"/>
      </w:tabs>
    </w:pPr>
    <w:rPr>
      <w:sz w:val="18"/>
    </w:rPr>
  </w:style>
  <w:style w:type="paragraph" w:customStyle="1" w:styleId="41">
    <w:name w:val="目录 11"/>
    <w:basedOn w:val="1"/>
    <w:qFormat/>
    <w:uiPriority w:val="0"/>
  </w:style>
  <w:style w:type="paragraph" w:customStyle="1" w:styleId="42">
    <w:name w:val="正文文本缩进 31"/>
    <w:basedOn w:val="1"/>
    <w:qFormat/>
    <w:uiPriority w:val="0"/>
    <w:pPr>
      <w:spacing w:after="120"/>
      <w:ind w:left="420" w:leftChars="200"/>
    </w:pPr>
    <w:rPr>
      <w:sz w:val="16"/>
      <w:szCs w:val="16"/>
    </w:rPr>
  </w:style>
  <w:style w:type="paragraph" w:customStyle="1" w:styleId="43">
    <w:name w:val="目录 21"/>
    <w:basedOn w:val="1"/>
    <w:qFormat/>
    <w:uiPriority w:val="0"/>
    <w:pPr>
      <w:ind w:left="420" w:leftChars="200"/>
    </w:pPr>
  </w:style>
  <w:style w:type="paragraph" w:customStyle="1" w:styleId="44">
    <w:name w:val="普通(网站)1"/>
    <w:basedOn w:val="1"/>
    <w:qFormat/>
    <w:uiPriority w:val="0"/>
    <w:pPr>
      <w:spacing w:before="100" w:beforeAutospacing="1" w:after="100" w:afterAutospacing="1"/>
    </w:pPr>
    <w:rPr>
      <w:sz w:val="24"/>
    </w:rPr>
  </w:style>
  <w:style w:type="paragraph" w:customStyle="1" w:styleId="45">
    <w:name w:val="正文首行缩进1"/>
    <w:basedOn w:val="33"/>
    <w:qFormat/>
    <w:uiPriority w:val="0"/>
    <w:pPr>
      <w:ind w:firstLine="420"/>
    </w:pPr>
    <w:rPr>
      <w:rFonts w:ascii="Times New Roman" w:hAnsi="Times New Roman" w:eastAsia="楷体_GB2312"/>
      <w:sz w:val="20"/>
      <w:szCs w:val="20"/>
    </w:rPr>
  </w:style>
  <w:style w:type="paragraph" w:customStyle="1" w:styleId="46">
    <w:name w:val="正文首行缩进 21"/>
    <w:basedOn w:val="1"/>
    <w:qFormat/>
    <w:uiPriority w:val="0"/>
    <w:pPr>
      <w:widowControl w:val="0"/>
      <w:spacing w:after="120"/>
      <w:ind w:left="420" w:leftChars="200" w:firstLine="420" w:firstLineChars="200"/>
      <w:jc w:val="both"/>
    </w:pPr>
    <w:rPr>
      <w:rFonts w:ascii="Calibri" w:hAnsi="Calibri" w:eastAsia="宋体"/>
      <w:kern w:val="2"/>
      <w:szCs w:val="24"/>
    </w:rPr>
  </w:style>
  <w:style w:type="paragraph" w:customStyle="1" w:styleId="47">
    <w:name w:val="样式 正文首行缩进 2 + Arial"/>
    <w:basedOn w:val="1"/>
    <w:qFormat/>
    <w:uiPriority w:val="0"/>
    <w:pPr>
      <w:spacing w:before="100" w:beforeAutospacing="1" w:after="120" w:line="320" w:lineRule="atLeast"/>
      <w:ind w:firstLine="200" w:firstLineChars="200"/>
    </w:pPr>
    <w:rPr>
      <w:sz w:val="24"/>
      <w:szCs w:val="24"/>
    </w:rPr>
  </w:style>
  <w:style w:type="table" w:customStyle="1" w:styleId="48">
    <w:name w:val="网格型1"/>
    <w:basedOn w:val="29"/>
    <w:qFormat/>
    <w:uiPriority w:val="0"/>
    <w:pPr>
      <w:widowControl w:val="0"/>
      <w:jc w:val="both"/>
    </w:pPr>
  </w:style>
  <w:style w:type="character" w:customStyle="1" w:styleId="49">
    <w:name w:val="超链接1"/>
    <w:qFormat/>
    <w:uiPriority w:val="0"/>
    <w:rPr>
      <w:rFonts w:ascii="Arial" w:hAnsi="Arial" w:eastAsia="黑体"/>
      <w:color w:val="0000FF"/>
      <w:kern w:val="2"/>
      <w:sz w:val="21"/>
      <w:szCs w:val="21"/>
      <w:u w:val="single"/>
      <w:lang w:val="en-US" w:eastAsia="zh-CN" w:bidi="ar-SA"/>
    </w:rPr>
  </w:style>
  <w:style w:type="paragraph" w:customStyle="1" w:styleId="50">
    <w:name w:val="样式 行距: 1.5 倍行距1"/>
    <w:basedOn w:val="1"/>
    <w:qFormat/>
    <w:uiPriority w:val="0"/>
    <w:pPr>
      <w:ind w:firstLine="560" w:firstLineChars="200"/>
    </w:pPr>
    <w:rPr>
      <w:rFonts w:ascii="Times New Roman" w:hAnsi="Times New Roman" w:eastAsia="宋体"/>
    </w:rPr>
  </w:style>
  <w:style w:type="paragraph" w:customStyle="1" w:styleId="51">
    <w:name w:val="正文 New"/>
    <w:qFormat/>
    <w:uiPriority w:val="0"/>
    <w:pPr>
      <w:widowControl w:val="0"/>
      <w:jc w:val="both"/>
    </w:pPr>
    <w:rPr>
      <w:rFonts w:ascii="Times New Roman" w:hAnsi="Times New Roman" w:eastAsia="方正楷体_GB2312" w:cs="Times New Roman"/>
      <w:kern w:val="2"/>
      <w:sz w:val="21"/>
      <w:lang w:val="en-US" w:eastAsia="zh-CN" w:bidi="ar-SA"/>
    </w:rPr>
  </w:style>
  <w:style w:type="paragraph" w:customStyle="1" w:styleId="52">
    <w:name w:val="正文 New New New New New New New New New"/>
    <w:qFormat/>
    <w:uiPriority w:val="0"/>
    <w:pPr>
      <w:widowControl w:val="0"/>
      <w:jc w:val="both"/>
    </w:pPr>
    <w:rPr>
      <w:rFonts w:ascii="Times New Roman" w:hAnsi="Times New Roman" w:eastAsia="方正楷体_GB2312" w:cs="Times New Roman"/>
      <w:kern w:val="2"/>
      <w:sz w:val="21"/>
      <w:lang w:val="en-US" w:eastAsia="zh-CN" w:bidi="ar-SA"/>
    </w:rPr>
  </w:style>
  <w:style w:type="paragraph" w:customStyle="1" w:styleId="53">
    <w:name w:val="正文缩进1"/>
    <w:basedOn w:val="54"/>
    <w:qFormat/>
    <w:uiPriority w:val="0"/>
    <w:pPr>
      <w:widowControl w:val="0"/>
      <w:spacing w:line="360" w:lineRule="auto"/>
      <w:ind w:firstLine="200" w:firstLineChars="200"/>
      <w:jc w:val="both"/>
    </w:pPr>
    <w:rPr>
      <w:rFonts w:ascii="Times New Roman" w:hAnsi="Times New Roman" w:eastAsia="宋体"/>
      <w:kern w:val="2"/>
      <w:szCs w:val="22"/>
    </w:rPr>
  </w:style>
  <w:style w:type="paragraph" w:customStyle="1" w:styleId="54">
    <w:name w:val="正文1"/>
    <w:basedOn w:val="1"/>
    <w:qFormat/>
    <w:uiPriority w:val="0"/>
    <w:pPr>
      <w:spacing w:line="240" w:lineRule="atLeast"/>
      <w:jc w:val="center"/>
    </w:pPr>
    <w:rPr>
      <w:rFonts w:ascii="Tahoma" w:hAnsi="Tahoma"/>
      <w:sz w:val="24"/>
    </w:rPr>
  </w:style>
  <w:style w:type="paragraph" w:customStyle="1" w:styleId="55">
    <w:name w:val="WPSOffice手动目录 2"/>
    <w:qFormat/>
    <w:uiPriority w:val="0"/>
    <w:pPr>
      <w:ind w:left="200" w:leftChars="200"/>
    </w:pPr>
    <w:rPr>
      <w:rFonts w:ascii="Arial" w:hAnsi="Arial" w:eastAsia="Arial" w:cs="Times New Roman"/>
      <w:lang w:val="en-US" w:eastAsia="zh-CN" w:bidi="ar-SA"/>
    </w:rPr>
  </w:style>
  <w:style w:type="paragraph" w:customStyle="1" w:styleId="56">
    <w:name w:val="样式 宋体 行距: 1.5 倍行距"/>
    <w:basedOn w:val="1"/>
    <w:qFormat/>
    <w:uiPriority w:val="0"/>
    <w:pPr>
      <w:jc w:val="center"/>
    </w:pPr>
    <w:rPr>
      <w:b/>
    </w:rPr>
  </w:style>
  <w:style w:type="paragraph" w:customStyle="1" w:styleId="57">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58">
    <w:name w:val="发文落款"/>
    <w:basedOn w:val="57"/>
    <w:qFormat/>
    <w:uiPriority w:val="0"/>
    <w:pPr>
      <w:ind w:left="4094" w:right="607" w:firstLine="0"/>
      <w:jc w:val="center"/>
    </w:pPr>
  </w:style>
  <w:style w:type="paragraph" w:customStyle="1" w:styleId="59">
    <w:name w:val="WPSOffice手动目录 1"/>
    <w:qFormat/>
    <w:uiPriority w:val="0"/>
    <w:rPr>
      <w:rFonts w:ascii="Arial" w:hAnsi="Arial" w:eastAsia="Arial" w:cs="Times New Roman"/>
      <w:lang w:val="en-US" w:eastAsia="zh-CN" w:bidi="ar-SA"/>
    </w:rPr>
  </w:style>
  <w:style w:type="paragraph" w:customStyle="1" w:styleId="60">
    <w:name w:val="Table Paragraph"/>
    <w:basedOn w:val="1"/>
    <w:qFormat/>
    <w:uiPriority w:val="0"/>
    <w:rPr>
      <w:sz w:val="24"/>
      <w:szCs w:val="24"/>
    </w:rPr>
  </w:style>
  <w:style w:type="paragraph" w:customStyle="1" w:styleId="61">
    <w:name w:val="WPSOffice手动目录 3"/>
    <w:qFormat/>
    <w:uiPriority w:val="0"/>
    <w:pPr>
      <w:ind w:left="400" w:leftChars="400"/>
    </w:pPr>
    <w:rPr>
      <w:rFonts w:ascii="Arial" w:hAnsi="Arial" w:eastAsia="Arial" w:cs="Times New Roman"/>
      <w:lang w:val="en-US" w:eastAsia="zh-CN" w:bidi="ar-SA"/>
    </w:rPr>
  </w:style>
  <w:style w:type="table" w:customStyle="1" w:styleId="62">
    <w:name w:val="Table Normal"/>
    <w:qFormat/>
    <w:uiPriority w:val="0"/>
    <w:tblPr>
      <w:tblCellMar>
        <w:top w:w="0" w:type="dxa"/>
        <w:left w:w="0" w:type="dxa"/>
        <w:bottom w:w="0" w:type="dxa"/>
        <w:right w:w="0" w:type="dxa"/>
      </w:tblCellMar>
    </w:tblPr>
  </w:style>
  <w:style w:type="paragraph" w:customStyle="1" w:styleId="63">
    <w:name w:val="0正文"/>
    <w:basedOn w:val="1"/>
    <w:qFormat/>
    <w:uiPriority w:val="0"/>
    <w:pPr>
      <w:spacing w:line="520" w:lineRule="atLeast"/>
      <w:ind w:firstLine="480" w:firstLineChars="200"/>
    </w:pPr>
    <w:rPr>
      <w:rFonts w:ascii="Times New Roman" w:hAnsi="Times New Roman" w:eastAsia="宋体"/>
      <w:sz w:val="24"/>
      <w:szCs w:val="24"/>
    </w:rPr>
  </w:style>
  <w:style w:type="paragraph" w:customStyle="1" w:styleId="64">
    <w:name w:val="Table Text"/>
    <w:basedOn w:val="1"/>
    <w:semiHidden/>
    <w:qFormat/>
    <w:uiPriority w:val="0"/>
    <w:rPr>
      <w:rFonts w:ascii="宋体" w:hAnsi="宋体"/>
      <w:sz w:val="24"/>
      <w:szCs w:val="24"/>
      <w:lang w:eastAsia="en-US"/>
    </w:rPr>
  </w:style>
  <w:style w:type="character" w:customStyle="1" w:styleId="65">
    <w:name w:val="font41"/>
    <w:qFormat/>
    <w:uiPriority w:val="0"/>
    <w:rPr>
      <w:rFonts w:hint="eastAsia" w:ascii="宋体" w:hAnsi="宋体" w:eastAsia="宋体"/>
      <w:color w:val="000000"/>
      <w:sz w:val="24"/>
      <w:szCs w:val="24"/>
      <w:u w:val="none"/>
    </w:rPr>
  </w:style>
  <w:style w:type="character" w:customStyle="1" w:styleId="66">
    <w:name w:val="font21"/>
    <w:qFormat/>
    <w:uiPriority w:val="0"/>
    <w:rPr>
      <w:rFonts w:hint="eastAsia" w:ascii="宋体" w:hAnsi="宋体" w:eastAsia="宋体"/>
      <w:b/>
      <w:color w:val="000000"/>
      <w:sz w:val="24"/>
      <w:szCs w:val="24"/>
      <w:u w:val="none"/>
    </w:rPr>
  </w:style>
  <w:style w:type="character" w:customStyle="1" w:styleId="67">
    <w:name w:val="font31"/>
    <w:qFormat/>
    <w:uiPriority w:val="0"/>
    <w:rPr>
      <w:rFonts w:ascii="Times New Roman" w:hAnsi="Times New Roman"/>
      <w:color w:val="000000"/>
      <w:sz w:val="24"/>
      <w:szCs w:val="24"/>
      <w:u w:val="none"/>
    </w:rPr>
  </w:style>
  <w:style w:type="character" w:customStyle="1" w:styleId="68">
    <w:name w:val="font01"/>
    <w:qFormat/>
    <w:uiPriority w:val="0"/>
    <w:rPr>
      <w:rFonts w:hint="eastAsia" w:ascii="宋体" w:hAnsi="宋体" w:eastAsia="宋体"/>
      <w:color w:val="000000"/>
      <w:sz w:val="24"/>
      <w:szCs w:val="24"/>
      <w:u w:val="none"/>
    </w:rPr>
  </w:style>
  <w:style w:type="character" w:customStyle="1" w:styleId="69">
    <w:name w:val="页眉 字符"/>
    <w:basedOn w:val="20"/>
    <w:link w:val="12"/>
    <w:qFormat/>
    <w:uiPriority w:val="0"/>
    <w:rPr>
      <w:rFonts w:ascii="Arial" w:hAnsi="Arial" w:eastAsia="Arial"/>
      <w:color w:val="000000"/>
      <w:sz w:val="18"/>
      <w:szCs w:val="18"/>
    </w:rPr>
  </w:style>
  <w:style w:type="character" w:customStyle="1" w:styleId="70">
    <w:name w:val="页脚 字符"/>
    <w:basedOn w:val="20"/>
    <w:link w:val="11"/>
    <w:qFormat/>
    <w:uiPriority w:val="99"/>
    <w:rPr>
      <w:rFonts w:ascii="Arial" w:hAnsi="Arial" w:eastAsia="Arial"/>
      <w:color w:val="000000"/>
      <w:sz w:val="18"/>
      <w:szCs w:val="18"/>
    </w:rPr>
  </w:style>
  <w:style w:type="character" w:customStyle="1" w:styleId="71">
    <w:name w:val="未处理的提及1"/>
    <w:basedOn w:val="20"/>
    <w:unhideWhenUsed/>
    <w:qFormat/>
    <w:uiPriority w:val="99"/>
    <w:rPr>
      <w:color w:val="605E5C"/>
      <w:shd w:val="clear" w:color="auto" w:fill="E1DFDD"/>
    </w:rPr>
  </w:style>
  <w:style w:type="paragraph" w:customStyle="1" w:styleId="72">
    <w:name w:val="修订1"/>
    <w:hidden/>
    <w:unhideWhenUsed/>
    <w:qFormat/>
    <w:uiPriority w:val="99"/>
    <w:rPr>
      <w:rFonts w:ascii="Arial" w:hAnsi="Arial" w:eastAsia="Arial" w:cs="Times New Roman"/>
      <w:color w:val="000000"/>
      <w:sz w:val="21"/>
      <w:szCs w:val="21"/>
      <w:lang w:val="en-US" w:eastAsia="zh-CN" w:bidi="ar-SA"/>
    </w:rPr>
  </w:style>
  <w:style w:type="character" w:customStyle="1" w:styleId="73">
    <w:name w:val="批注框文本 字符"/>
    <w:basedOn w:val="20"/>
    <w:link w:val="10"/>
    <w:qFormat/>
    <w:uiPriority w:val="0"/>
    <w:rPr>
      <w:rFonts w:ascii="Arial" w:hAnsi="Arial" w:eastAsia="Arial"/>
      <w:color w:val="000000"/>
      <w:sz w:val="18"/>
      <w:szCs w:val="18"/>
    </w:rPr>
  </w:style>
  <w:style w:type="paragraph" w:customStyle="1" w:styleId="74">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75">
    <w:name w:val="批注文字 字符"/>
    <w:basedOn w:val="20"/>
    <w:link w:val="3"/>
    <w:qFormat/>
    <w:uiPriority w:val="0"/>
    <w:rPr>
      <w:rFonts w:ascii="Arial" w:hAnsi="Arial" w:eastAsia="Arial"/>
      <w:color w:val="000000"/>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6" Type="http://schemas.openxmlformats.org/officeDocument/2006/relationships/fontTable" Target="fontTable.xml"/><Relationship Id="rId35" Type="http://schemas.openxmlformats.org/officeDocument/2006/relationships/customXml" Target="../customXml/item1.xml"/><Relationship Id="rId34" Type="http://schemas.openxmlformats.org/officeDocument/2006/relationships/numbering" Target="numbering.xml"/><Relationship Id="rId33" Type="http://schemas.openxmlformats.org/officeDocument/2006/relationships/image" Target="media/image1.png"/><Relationship Id="rId32" Type="http://schemas.openxmlformats.org/officeDocument/2006/relationships/theme" Target="theme/theme1.xml"/><Relationship Id="rId31" Type="http://schemas.openxmlformats.org/officeDocument/2006/relationships/footer" Target="footer28.xml"/><Relationship Id="rId30" Type="http://schemas.openxmlformats.org/officeDocument/2006/relationships/footer" Target="footer27.xml"/><Relationship Id="rId3" Type="http://schemas.openxmlformats.org/officeDocument/2006/relationships/header" Target="header1.xml"/><Relationship Id="rId29" Type="http://schemas.openxmlformats.org/officeDocument/2006/relationships/footer" Target="footer26.xml"/><Relationship Id="rId28" Type="http://schemas.openxmlformats.org/officeDocument/2006/relationships/footer" Target="footer25.xml"/><Relationship Id="rId27" Type="http://schemas.openxmlformats.org/officeDocument/2006/relationships/footer" Target="footer24.xml"/><Relationship Id="rId26" Type="http://schemas.openxmlformats.org/officeDocument/2006/relationships/footer" Target="footer23.xml"/><Relationship Id="rId25" Type="http://schemas.openxmlformats.org/officeDocument/2006/relationships/footer" Target="footer22.xml"/><Relationship Id="rId24" Type="http://schemas.openxmlformats.org/officeDocument/2006/relationships/footer" Target="footer21.xml"/><Relationship Id="rId23" Type="http://schemas.openxmlformats.org/officeDocument/2006/relationships/footer" Target="footer20.xml"/><Relationship Id="rId22" Type="http://schemas.openxmlformats.org/officeDocument/2006/relationships/footer" Target="footer19.xml"/><Relationship Id="rId21" Type="http://schemas.openxmlformats.org/officeDocument/2006/relationships/footer" Target="footer18.xml"/><Relationship Id="rId20" Type="http://schemas.openxmlformats.org/officeDocument/2006/relationships/footer" Target="footer17.xml"/><Relationship Id="rId2" Type="http://schemas.openxmlformats.org/officeDocument/2006/relationships/settings" Target="settings.xml"/><Relationship Id="rId19" Type="http://schemas.openxmlformats.org/officeDocument/2006/relationships/footer" Target="footer16.xml"/><Relationship Id="rId18" Type="http://schemas.openxmlformats.org/officeDocument/2006/relationships/footer" Target="footer15.xml"/><Relationship Id="rId17" Type="http://schemas.openxmlformats.org/officeDocument/2006/relationships/footer" Target="footer14.xml"/><Relationship Id="rId16" Type="http://schemas.openxmlformats.org/officeDocument/2006/relationships/footer" Target="footer13.xml"/><Relationship Id="rId15" Type="http://schemas.openxmlformats.org/officeDocument/2006/relationships/footer" Target="footer12.xml"/><Relationship Id="rId14" Type="http://schemas.openxmlformats.org/officeDocument/2006/relationships/footer" Target="footer1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D0913E-0D53-4931-91CA-FF448C2CBAD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80</Pages>
  <Words>7458</Words>
  <Characters>8069</Characters>
  <Lines>331</Lines>
  <Paragraphs>93</Paragraphs>
  <TotalTime>13</TotalTime>
  <ScaleCrop>false</ScaleCrop>
  <LinksUpToDate>false</LinksUpToDate>
  <CharactersWithSpaces>8340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2025-04-09T10:44:00Z</dcterms:created>
  <dc:creator>zane</dc:creator>
  <cp:lastModifiedBy>Freedom</cp:lastModifiedBy>
  <cp:lastPrinted>2024-12-04T08:24:00Z</cp:lastPrinted>
  <dcterms:modified xsi:type="dcterms:W3CDTF">2025-04-16T05:26:55Z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2E9860D74F9C41EA8CDD7DE2842FE70C_13</vt:lpwstr>
  </property>
  <property fmtid="{D5CDD505-2E9C-101B-9397-08002B2CF9AE}" pid="4" name="KSOTemplateDocerSaveRecord">
    <vt:lpwstr>eyJoZGlkIjoiNWQ0YzUyNjM5NzZmZGM5NjJjNjQ3MTAyNjc2YWVlMWEiLCJ1c2VySWQiOiI0MTAyNzQ1NTMifQ==</vt:lpwstr>
  </property>
</Properties>
</file>