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EF968">
      <w:pPr>
        <w:spacing w:line="240" w:lineRule="auto"/>
        <w:rPr>
          <w:color w:val="auto"/>
          <w:highlight w:val="none"/>
        </w:rPr>
      </w:pPr>
      <w:r>
        <w:rPr>
          <w:color w:val="auto"/>
          <w:highlight w:val="none"/>
        </w:rPr>
        <w:drawing>
          <wp:inline distT="0" distB="0" distL="114300" distR="114300">
            <wp:extent cx="6310630" cy="9070340"/>
            <wp:effectExtent l="0" t="0" r="13970" b="16510"/>
            <wp:docPr id="1" name="图片 1" descr="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_00"/>
                    <pic:cNvPicPr>
                      <a:picLocks noChangeAspect="1"/>
                    </pic:cNvPicPr>
                  </pic:nvPicPr>
                  <pic:blipFill>
                    <a:blip r:embed="rId33"/>
                    <a:srcRect l="11966" t="8886" b="1755"/>
                    <a:stretch>
                      <a:fillRect/>
                    </a:stretch>
                  </pic:blipFill>
                  <pic:spPr>
                    <a:xfrm>
                      <a:off x="0" y="0"/>
                      <a:ext cx="6310630" cy="9070340"/>
                    </a:xfrm>
                    <a:prstGeom prst="rect">
                      <a:avLst/>
                    </a:prstGeom>
                  </pic:spPr>
                </pic:pic>
              </a:graphicData>
            </a:graphic>
          </wp:inline>
        </w:drawing>
      </w:r>
      <w:r>
        <w:rPr>
          <w:color w:val="auto"/>
          <w:highlight w:val="none"/>
        </w:rPr>
        <w:br w:type="page"/>
      </w:r>
    </w:p>
    <w:p w14:paraId="54AC7460">
      <w:pPr>
        <w:rPr>
          <w:color w:val="auto"/>
          <w:highlight w:val="none"/>
        </w:rPr>
        <w:sectPr>
          <w:footerReference r:id="rId3" w:type="default"/>
          <w:pgSz w:w="11906" w:h="16838"/>
          <w:pgMar w:top="1346" w:right="1836" w:bottom="0" w:left="1836" w:header="0" w:footer="941" w:gutter="0"/>
          <w:cols w:space="720" w:num="1"/>
        </w:sectPr>
      </w:pPr>
    </w:p>
    <w:p w14:paraId="61840ED6">
      <w:pPr>
        <w:jc w:val="center"/>
        <w:rPr>
          <w:rFonts w:ascii="宋体" w:hAnsi="宋体" w:eastAsia="宋体"/>
          <w:b/>
          <w:bCs/>
          <w:caps/>
          <w:color w:val="auto"/>
          <w:kern w:val="2"/>
          <w:sz w:val="36"/>
          <w:szCs w:val="36"/>
          <w:highlight w:val="none"/>
        </w:rPr>
      </w:pPr>
      <w:r>
        <w:rPr>
          <w:rFonts w:hint="eastAsia" w:ascii="宋体" w:hAnsi="宋体" w:eastAsia="宋体"/>
          <w:b/>
          <w:bCs/>
          <w:caps/>
          <w:color w:val="auto"/>
          <w:kern w:val="2"/>
          <w:sz w:val="36"/>
          <w:szCs w:val="36"/>
          <w:highlight w:val="none"/>
        </w:rPr>
        <w:t>目 录</w:t>
      </w:r>
    </w:p>
    <w:p w14:paraId="12ACC76B">
      <w:pPr>
        <w:pStyle w:val="12"/>
        <w:tabs>
          <w:tab w:val="right" w:leader="dot" w:pos="8224"/>
        </w:tabs>
        <w:spacing w:line="480" w:lineRule="auto"/>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"_Toc183207160"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pacing w:val="7"/>
          <w:highlight w:val="none"/>
        </w:rPr>
        <w:t>第</w:t>
      </w:r>
      <w:r>
        <w:rPr>
          <w:rStyle w:val="20"/>
          <w:rFonts w:hint="eastAsia" w:ascii="宋体" w:hAnsi="宋体" w:eastAsia="宋体" w:cs="宋体"/>
          <w:color w:val="auto"/>
          <w:spacing w:val="5"/>
          <w:highlight w:val="none"/>
        </w:rPr>
        <w:t>一卷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B988E4E">
      <w:pPr>
        <w:pStyle w:val="16"/>
        <w:tabs>
          <w:tab w:val="right" w:leader="dot" w:pos="8224"/>
        </w:tabs>
        <w:spacing w:line="480" w:lineRule="auto"/>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"_Toc183207161"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pacing w:val="24"/>
          <w:highlight w:val="none"/>
        </w:rPr>
        <w:t>第</w:t>
      </w:r>
      <w:r>
        <w:rPr>
          <w:rStyle w:val="20"/>
          <w:rFonts w:hint="eastAsia" w:ascii="宋体" w:hAnsi="宋体" w:eastAsia="宋体" w:cs="宋体"/>
          <w:color w:val="auto"/>
          <w:spacing w:val="22"/>
          <w:highlight w:val="none"/>
        </w:rPr>
        <w:t>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992FCB8">
      <w:pPr>
        <w:pStyle w:val="16"/>
        <w:tabs>
          <w:tab w:val="right" w:leader="dot" w:pos="8224"/>
        </w:tabs>
        <w:spacing w:line="480" w:lineRule="auto"/>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"_Toc183207162"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pacing w:val="14"/>
          <w:highlight w:val="none"/>
        </w:rPr>
        <w:t>第</w:t>
      </w:r>
      <w:r>
        <w:rPr>
          <w:rStyle w:val="20"/>
          <w:rFonts w:hint="eastAsia" w:ascii="宋体" w:hAnsi="宋体" w:eastAsia="宋体" w:cs="宋体"/>
          <w:color w:val="auto"/>
          <w:spacing w:val="9"/>
          <w:highlight w:val="none"/>
        </w:rPr>
        <w:t>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BC16D7">
      <w:pPr>
        <w:pStyle w:val="16"/>
        <w:tabs>
          <w:tab w:val="right" w:leader="dot" w:pos="8224"/>
        </w:tabs>
        <w:spacing w:line="480" w:lineRule="auto"/>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"_Toc183207163"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pacing w:val="30"/>
          <w:highlight w:val="none"/>
        </w:rPr>
        <w:t>第</w:t>
      </w:r>
      <w:r>
        <w:rPr>
          <w:rStyle w:val="20"/>
          <w:rFonts w:hint="eastAsia" w:ascii="宋体" w:hAnsi="宋体" w:eastAsia="宋体" w:cs="宋体"/>
          <w:color w:val="auto"/>
          <w:spacing w:val="23"/>
          <w:highlight w:val="none"/>
        </w:rPr>
        <w:t>三章 评标办法(综合评估法)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3D350BF">
      <w:pPr>
        <w:pStyle w:val="16"/>
        <w:tabs>
          <w:tab w:val="right" w:leader="dot" w:pos="8224"/>
        </w:tabs>
        <w:spacing w:line="480" w:lineRule="auto"/>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"_Toc183207164"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pacing w:val="11"/>
          <w:highlight w:val="none"/>
        </w:rPr>
        <w:t>第</w:t>
      </w:r>
      <w:r>
        <w:rPr>
          <w:rStyle w:val="20"/>
          <w:rFonts w:hint="eastAsia" w:ascii="宋体" w:hAnsi="宋体" w:eastAsia="宋体" w:cs="宋体"/>
          <w:color w:val="auto"/>
          <w:spacing w:val="10"/>
          <w:highlight w:val="none"/>
        </w:rPr>
        <w:t>四章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FDF8CF">
      <w:pPr>
        <w:pStyle w:val="12"/>
        <w:tabs>
          <w:tab w:val="right" w:leader="dot" w:pos="8224"/>
        </w:tabs>
        <w:spacing w:line="480" w:lineRule="auto"/>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"_Toc183207165"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pacing w:val="5"/>
          <w:highlight w:val="none"/>
        </w:rPr>
        <w:t>第二卷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2E7AF9">
      <w:pPr>
        <w:pStyle w:val="12"/>
        <w:tabs>
          <w:tab w:val="right" w:leader="dot" w:pos="8224"/>
        </w:tabs>
        <w:spacing w:line="480" w:lineRule="auto"/>
        <w:ind w:firstLine="420" w:firstLineChars="200"/>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"_Toc183207166"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pacing w:val="14"/>
          <w:highlight w:val="none"/>
        </w:rPr>
        <w:t>第</w:t>
      </w:r>
      <w:r>
        <w:rPr>
          <w:rStyle w:val="20"/>
          <w:rFonts w:hint="eastAsia" w:ascii="宋体" w:hAnsi="宋体" w:eastAsia="宋体" w:cs="宋体"/>
          <w:color w:val="auto"/>
          <w:spacing w:val="9"/>
          <w:highlight w:val="none"/>
        </w:rPr>
        <w:t>五章 发包人要求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4AA85C">
      <w:pPr>
        <w:pStyle w:val="12"/>
        <w:tabs>
          <w:tab w:val="right" w:leader="dot" w:pos="8224"/>
        </w:tabs>
        <w:spacing w:line="480" w:lineRule="auto"/>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"_Toc183207167"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pacing w:val="5"/>
          <w:highlight w:val="none"/>
        </w:rPr>
        <w:t>第三卷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6E7D621">
      <w:pPr>
        <w:pStyle w:val="16"/>
        <w:tabs>
          <w:tab w:val="right" w:leader="dot" w:pos="8224"/>
        </w:tabs>
        <w:spacing w:line="480" w:lineRule="auto"/>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"_Toc183207168"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pacing w:val="10"/>
          <w:highlight w:val="none"/>
        </w:rPr>
        <w:t>第六章 投标文件格</w:t>
      </w:r>
      <w:r>
        <w:rPr>
          <w:rStyle w:val="20"/>
          <w:rFonts w:hint="eastAsia" w:ascii="宋体" w:hAnsi="宋体" w:eastAsia="宋体" w:cs="宋体"/>
          <w:color w:val="auto"/>
          <w:spacing w:val="8"/>
          <w:highlight w:val="none"/>
        </w:rPr>
        <w:t>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7B77AB">
      <w:pPr>
        <w:pStyle w:val="16"/>
        <w:tabs>
          <w:tab w:val="right" w:leader="dot" w:pos="8224"/>
        </w:tabs>
        <w:spacing w:line="480" w:lineRule="auto"/>
        <w:rPr>
          <w:rFonts w:hint="eastAsia" w:ascii="宋体" w:hAnsi="宋体" w:eastAsia="宋体" w:cs="宋体"/>
          <w:color w:val="auto"/>
          <w:kern w:val="2"/>
          <w:szCs w:val="22"/>
          <w:highlight w:val="none"/>
          <w14:ligatures w14:val="standardContextual"/>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"_Toc183207169"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第七章 否决性条款汇总</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_Toc183207169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2AD6E45">
      <w:pPr>
        <w:spacing w:line="480" w:lineRule="auto"/>
        <w:outlineLvl w:val="2"/>
        <w:rPr>
          <w:rFonts w:ascii="宋体" w:hAnsi="宋体" w:eastAsia="宋体"/>
          <w:color w:val="auto"/>
          <w:sz w:val="24"/>
          <w:szCs w:val="24"/>
          <w:highlight w:val="none"/>
        </w:rPr>
        <w:sectPr>
          <w:headerReference r:id="rId4" w:type="default"/>
          <w:footerReference r:id="rId5" w:type="default"/>
          <w:pgSz w:w="11906" w:h="16838"/>
          <w:pgMar w:top="1346" w:right="1836" w:bottom="1103" w:left="1836" w:header="0" w:footer="941" w:gutter="0"/>
          <w:cols w:space="720" w:num="1"/>
        </w:sectPr>
      </w:pPr>
      <w:r>
        <w:rPr>
          <w:rFonts w:hint="eastAsia" w:ascii="宋体" w:hAnsi="宋体" w:eastAsia="宋体" w:cs="宋体"/>
          <w:color w:val="auto"/>
          <w:sz w:val="24"/>
          <w:szCs w:val="24"/>
          <w:highlight w:val="none"/>
        </w:rPr>
        <w:fldChar w:fldCharType="end"/>
      </w:r>
      <w:bookmarkStart w:id="489" w:name="_GoBack"/>
      <w:bookmarkEnd w:id="489"/>
    </w:p>
    <w:p w14:paraId="6C5044A4">
      <w:pPr>
        <w:pStyle w:val="22"/>
        <w:spacing w:before="5280"/>
        <w:rPr>
          <w:rFonts w:ascii="宋体" w:hAnsi="宋体"/>
          <w:color w:val="auto"/>
          <w:spacing w:val="7"/>
          <w:sz w:val="52"/>
          <w:szCs w:val="52"/>
          <w:highlight w:val="none"/>
        </w:rPr>
      </w:pPr>
      <w:bookmarkStart w:id="0" w:name="_Toc183207160"/>
      <w:r>
        <w:rPr>
          <w:rFonts w:ascii="宋体" w:hAnsi="宋体"/>
          <w:color w:val="auto"/>
          <w:spacing w:val="7"/>
          <w:sz w:val="52"/>
          <w:szCs w:val="52"/>
          <w:highlight w:val="none"/>
        </w:rPr>
        <w:t>第</w:t>
      </w:r>
      <w:r>
        <w:rPr>
          <w:rFonts w:ascii="宋体" w:hAnsi="宋体"/>
          <w:color w:val="auto"/>
          <w:spacing w:val="5"/>
          <w:sz w:val="52"/>
          <w:szCs w:val="52"/>
          <w:highlight w:val="none"/>
        </w:rPr>
        <w:t>一卷</w:t>
      </w:r>
      <w:bookmarkEnd w:id="0"/>
    </w:p>
    <w:p w14:paraId="6D56C9D2">
      <w:pPr>
        <w:spacing w:before="5280"/>
        <w:rPr>
          <w:color w:val="auto"/>
          <w:highlight w:val="none"/>
        </w:rPr>
        <w:sectPr>
          <w:pgSz w:w="11906" w:h="16838"/>
          <w:pgMar w:top="1346" w:right="1836" w:bottom="1103" w:left="1836" w:header="0" w:footer="941" w:gutter="0"/>
          <w:cols w:space="720" w:num="1"/>
        </w:sectPr>
      </w:pPr>
    </w:p>
    <w:p w14:paraId="087AEC46">
      <w:pPr>
        <w:pStyle w:val="23"/>
        <w:rPr>
          <w:rFonts w:ascii="宋体" w:hAnsi="宋体"/>
          <w:color w:val="auto"/>
          <w:spacing w:val="24"/>
          <w:szCs w:val="44"/>
          <w:highlight w:val="none"/>
        </w:rPr>
      </w:pPr>
      <w:bookmarkStart w:id="1" w:name="_Toc10294"/>
      <w:bookmarkStart w:id="2" w:name="_Toc183207161"/>
      <w:bookmarkStart w:id="3" w:name="_Toc7900"/>
      <w:bookmarkStart w:id="4" w:name="_Toc3097"/>
      <w:r>
        <w:rPr>
          <w:rFonts w:ascii="宋体" w:hAnsi="宋体"/>
          <w:color w:val="auto"/>
          <w:spacing w:val="24"/>
          <w:szCs w:val="44"/>
          <w:highlight w:val="none"/>
        </w:rPr>
        <w:t>第</w:t>
      </w:r>
      <w:r>
        <w:rPr>
          <w:rFonts w:ascii="宋体" w:hAnsi="宋体"/>
          <w:color w:val="auto"/>
          <w:spacing w:val="22"/>
          <w:szCs w:val="44"/>
          <w:highlight w:val="none"/>
        </w:rPr>
        <w:t>一章</w:t>
      </w:r>
      <w:r>
        <w:rPr>
          <w:rFonts w:hint="eastAsia" w:ascii="宋体" w:hAnsi="宋体"/>
          <w:color w:val="auto"/>
          <w:spacing w:val="22"/>
          <w:szCs w:val="44"/>
          <w:highlight w:val="none"/>
        </w:rPr>
        <w:t xml:space="preserve"> </w:t>
      </w:r>
      <w:r>
        <w:rPr>
          <w:rFonts w:ascii="宋体" w:hAnsi="宋体"/>
          <w:color w:val="auto"/>
          <w:spacing w:val="22"/>
          <w:szCs w:val="44"/>
          <w:highlight w:val="none"/>
        </w:rPr>
        <w:t>招标公告</w:t>
      </w:r>
      <w:bookmarkEnd w:id="1"/>
      <w:bookmarkEnd w:id="2"/>
      <w:bookmarkEnd w:id="3"/>
      <w:bookmarkEnd w:id="4"/>
    </w:p>
    <w:p w14:paraId="1989A068">
      <w:pPr>
        <w:jc w:val="center"/>
        <w:rPr>
          <w:rFonts w:hint="eastAsia" w:ascii="宋体" w:hAnsi="宋体" w:eastAsia="宋体"/>
          <w:b/>
          <w:bCs/>
          <w:color w:val="auto"/>
          <w:spacing w:val="18"/>
          <w:sz w:val="32"/>
          <w:szCs w:val="32"/>
          <w:highlight w:val="none"/>
          <w:lang w:eastAsia="zh-CN"/>
        </w:rPr>
      </w:pPr>
    </w:p>
    <w:p w14:paraId="5F5A377F">
      <w:pPr>
        <w:jc w:val="center"/>
        <w:rPr>
          <w:rFonts w:ascii="宋体" w:hAnsi="宋体" w:eastAsia="宋体"/>
          <w:b/>
          <w:bCs/>
          <w:color w:val="auto"/>
          <w:spacing w:val="18"/>
          <w:sz w:val="32"/>
          <w:szCs w:val="32"/>
          <w:highlight w:val="none"/>
        </w:rPr>
      </w:pPr>
      <w:r>
        <w:rPr>
          <w:rFonts w:hint="eastAsia" w:ascii="宋体" w:hAnsi="宋体" w:eastAsia="宋体"/>
          <w:b/>
          <w:bCs/>
          <w:color w:val="auto"/>
          <w:spacing w:val="18"/>
          <w:sz w:val="32"/>
          <w:szCs w:val="32"/>
          <w:highlight w:val="none"/>
          <w:lang w:eastAsia="zh-CN"/>
        </w:rPr>
        <w:t>广州东部中心地下管网完善工程—新塘镇排水系统更新改造提升工程（北部片区）勘察服务</w:t>
      </w:r>
    </w:p>
    <w:p w14:paraId="536DDB90">
      <w:pPr>
        <w:jc w:val="center"/>
        <w:rPr>
          <w:rFonts w:ascii="宋体" w:hAnsi="宋体" w:eastAsia="宋体"/>
          <w:b/>
          <w:bCs/>
          <w:color w:val="auto"/>
          <w:spacing w:val="18"/>
          <w:sz w:val="32"/>
          <w:szCs w:val="32"/>
          <w:highlight w:val="none"/>
        </w:rPr>
      </w:pPr>
      <w:r>
        <w:rPr>
          <w:rFonts w:hint="eastAsia" w:ascii="宋体" w:hAnsi="宋体" w:eastAsia="宋体"/>
          <w:b/>
          <w:bCs/>
          <w:color w:val="auto"/>
          <w:spacing w:val="18"/>
          <w:sz w:val="32"/>
          <w:szCs w:val="32"/>
          <w:highlight w:val="none"/>
        </w:rPr>
        <w:t>招标公告</w:t>
      </w:r>
    </w:p>
    <w:p w14:paraId="192CBA8B">
      <w:pPr>
        <w:spacing w:line="318" w:lineRule="auto"/>
        <w:rPr>
          <w:color w:val="auto"/>
          <w:highlight w:val="none"/>
        </w:rPr>
      </w:pPr>
    </w:p>
    <w:p w14:paraId="0A587F76">
      <w:pPr>
        <w:pStyle w:val="24"/>
        <w:spacing w:before="0" w:after="0" w:line="360" w:lineRule="auto"/>
        <w:outlineLvl w:val="9"/>
        <w:rPr>
          <w:color w:val="auto"/>
          <w:highlight w:val="none"/>
        </w:rPr>
      </w:pPr>
      <w:bookmarkStart w:id="5" w:name="_Toc32250"/>
      <w:bookmarkStart w:id="6" w:name="_Toc29913"/>
      <w:bookmarkStart w:id="7" w:name="_Toc17602"/>
      <w:bookmarkStart w:id="8" w:name="_Toc30951"/>
      <w:bookmarkStart w:id="9" w:name="_Toc32678"/>
      <w:r>
        <w:rPr>
          <w:rFonts w:hint="eastAsia"/>
          <w:color w:val="auto"/>
          <w:highlight w:val="none"/>
        </w:rPr>
        <w:t>1. 招标条件</w:t>
      </w:r>
      <w:bookmarkEnd w:id="5"/>
      <w:bookmarkEnd w:id="6"/>
      <w:bookmarkEnd w:id="7"/>
      <w:bookmarkEnd w:id="8"/>
      <w:bookmarkEnd w:id="9"/>
    </w:p>
    <w:p w14:paraId="4DE1C7BC">
      <w:pPr>
        <w:spacing w:before="68" w:line="360" w:lineRule="auto"/>
        <w:ind w:left="9" w:right="74" w:firstLine="419"/>
        <w:rPr>
          <w:rFonts w:ascii="宋体" w:hAnsi="宋体" w:eastAsia="宋体"/>
          <w:color w:val="auto"/>
          <w:spacing w:val="1"/>
          <w:highlight w:val="none"/>
        </w:rPr>
      </w:pPr>
      <w:r>
        <w:rPr>
          <w:rFonts w:hint="eastAsia" w:ascii="宋体" w:hAnsi="宋体" w:eastAsia="宋体"/>
          <w:color w:val="auto"/>
          <w:spacing w:val="1"/>
          <w:highlight w:val="none"/>
        </w:rPr>
        <w:t>本招标项目</w:t>
      </w:r>
      <w:r>
        <w:rPr>
          <w:rFonts w:hint="eastAsia" w:ascii="宋体" w:hAnsi="宋体" w:eastAsia="宋体"/>
          <w:color w:val="auto"/>
          <w:spacing w:val="1"/>
          <w:highlight w:val="none"/>
          <w:u w:val="single"/>
          <w:lang w:eastAsia="zh-CN"/>
        </w:rPr>
        <w:t>广州东部中心地下管网完善工程—新塘镇排水系统更新改造提升工程（北部片区）勘察服务</w:t>
      </w:r>
      <w:r>
        <w:rPr>
          <w:rFonts w:hint="eastAsia" w:ascii="宋体" w:hAnsi="宋体" w:eastAsia="宋体"/>
          <w:color w:val="auto"/>
          <w:highlight w:val="none"/>
        </w:rPr>
        <w:t>已由</w:t>
      </w:r>
      <w:r>
        <w:rPr>
          <w:rFonts w:hint="eastAsia" w:ascii="宋体" w:hAnsi="宋体" w:eastAsia="宋体"/>
          <w:color w:val="auto"/>
          <w:highlight w:val="none"/>
          <w:u w:val="single"/>
        </w:rPr>
        <w:t>广州市增城区发展和改革局</w:t>
      </w:r>
      <w:r>
        <w:rPr>
          <w:rFonts w:hint="eastAsia" w:ascii="宋体" w:hAnsi="宋体" w:eastAsia="宋体"/>
          <w:color w:val="auto"/>
          <w:spacing w:val="-2"/>
          <w:highlight w:val="none"/>
        </w:rPr>
        <w:t>以</w:t>
      </w:r>
      <w:r>
        <w:rPr>
          <w:rFonts w:hint="eastAsia" w:ascii="宋体" w:hAnsi="宋体" w:eastAsia="宋体"/>
          <w:color w:val="auto"/>
          <w:spacing w:val="-2"/>
          <w:highlight w:val="none"/>
          <w:u w:val="single"/>
          <w:lang w:eastAsia="zh-CN"/>
        </w:rPr>
        <w:t>穗增发改投批 [2025] 49号</w:t>
      </w:r>
      <w:r>
        <w:rPr>
          <w:rFonts w:hint="eastAsia" w:ascii="宋体" w:hAnsi="宋体" w:eastAsia="宋体"/>
          <w:color w:val="auto"/>
          <w:spacing w:val="-1"/>
          <w:highlight w:val="none"/>
        </w:rPr>
        <w:t>批准建设，项目业主为</w:t>
      </w:r>
      <w:r>
        <w:rPr>
          <w:rFonts w:hint="eastAsia" w:eastAsia="宋体"/>
          <w:bCs/>
          <w:color w:val="auto"/>
          <w:szCs w:val="32"/>
          <w:highlight w:val="none"/>
          <w:u w:val="single"/>
          <w:lang w:eastAsia="zh-CN"/>
        </w:rPr>
        <w:t>广州市增城区新塘镇人民政府</w:t>
      </w:r>
      <w:r>
        <w:rPr>
          <w:rFonts w:hint="eastAsia" w:ascii="宋体" w:hAnsi="宋体" w:eastAsia="宋体"/>
          <w:color w:val="auto"/>
          <w:spacing w:val="-1"/>
          <w:highlight w:val="none"/>
        </w:rPr>
        <w:t>，建设资金来</w:t>
      </w:r>
      <w:r>
        <w:rPr>
          <w:rFonts w:hint="eastAsia" w:ascii="宋体" w:hAnsi="宋体" w:eastAsia="宋体"/>
          <w:color w:val="auto"/>
          <w:spacing w:val="1"/>
          <w:highlight w:val="none"/>
        </w:rPr>
        <w:t>自</w:t>
      </w:r>
      <w:r>
        <w:rPr>
          <w:rFonts w:hint="eastAsia" w:ascii="宋体" w:hAnsi="宋体" w:eastAsia="宋体"/>
          <w:color w:val="auto"/>
          <w:spacing w:val="1"/>
          <w:highlight w:val="none"/>
          <w:u w:val="single"/>
        </w:rPr>
        <w:t>财政资金</w:t>
      </w:r>
      <w:r>
        <w:rPr>
          <w:rFonts w:hint="eastAsia" w:ascii="宋体" w:hAnsi="宋体" w:eastAsia="宋体"/>
          <w:color w:val="auto"/>
          <w:spacing w:val="1"/>
          <w:highlight w:val="none"/>
        </w:rPr>
        <w:t>，出资</w:t>
      </w:r>
      <w:r>
        <w:rPr>
          <w:rFonts w:hint="eastAsia" w:ascii="宋体" w:hAnsi="宋体" w:eastAsia="宋体"/>
          <w:color w:val="auto"/>
          <w:highlight w:val="none"/>
        </w:rPr>
        <w:t>比例为</w:t>
      </w:r>
      <w:r>
        <w:rPr>
          <w:rFonts w:hint="eastAsia" w:ascii="宋体" w:hAnsi="宋体" w:eastAsia="宋体"/>
          <w:color w:val="auto"/>
          <w:highlight w:val="none"/>
          <w:u w:val="single"/>
        </w:rPr>
        <w:t>100%</w:t>
      </w:r>
      <w:r>
        <w:rPr>
          <w:rFonts w:hint="eastAsia" w:ascii="宋体" w:hAnsi="宋体" w:eastAsia="宋体"/>
          <w:color w:val="auto"/>
          <w:highlight w:val="none"/>
        </w:rPr>
        <w:t>，招标人为</w:t>
      </w:r>
      <w:r>
        <w:rPr>
          <w:rFonts w:hint="eastAsia" w:eastAsia="宋体"/>
          <w:bCs/>
          <w:color w:val="auto"/>
          <w:szCs w:val="32"/>
          <w:highlight w:val="none"/>
          <w:u w:val="single"/>
          <w:lang w:eastAsia="zh-CN"/>
        </w:rPr>
        <w:t>广州市增城区新塘镇人民政府</w:t>
      </w:r>
      <w:r>
        <w:rPr>
          <w:rFonts w:hint="eastAsia" w:ascii="宋体" w:hAnsi="宋体" w:eastAsia="宋体"/>
          <w:color w:val="auto"/>
          <w:highlight w:val="none"/>
        </w:rPr>
        <w:t>。项目已具备招标</w:t>
      </w:r>
      <w:r>
        <w:rPr>
          <w:rFonts w:hint="eastAsia" w:ascii="宋体" w:hAnsi="宋体" w:eastAsia="宋体"/>
          <w:color w:val="auto"/>
          <w:spacing w:val="-4"/>
          <w:highlight w:val="none"/>
        </w:rPr>
        <w:t>条</w:t>
      </w:r>
      <w:r>
        <w:rPr>
          <w:rFonts w:hint="eastAsia" w:ascii="宋体" w:hAnsi="宋体" w:eastAsia="宋体"/>
          <w:color w:val="auto"/>
          <w:spacing w:val="-2"/>
          <w:highlight w:val="none"/>
        </w:rPr>
        <w:t>件，现对该项目的</w:t>
      </w:r>
      <w:r>
        <w:rPr>
          <w:rFonts w:hint="eastAsia" w:ascii="宋体" w:hAnsi="宋体" w:eastAsia="宋体"/>
          <w:color w:val="auto"/>
          <w:spacing w:val="-2"/>
          <w:highlight w:val="none"/>
          <w:lang w:eastAsia="zh-CN"/>
        </w:rPr>
        <w:t>勘察</w:t>
      </w:r>
      <w:r>
        <w:rPr>
          <w:rFonts w:hint="eastAsia" w:ascii="宋体" w:hAnsi="宋体" w:eastAsia="宋体"/>
          <w:color w:val="auto"/>
          <w:spacing w:val="-2"/>
          <w:highlight w:val="none"/>
        </w:rPr>
        <w:t>进行公开招标。</w:t>
      </w:r>
    </w:p>
    <w:p w14:paraId="4CF16733">
      <w:pPr>
        <w:pStyle w:val="24"/>
        <w:spacing w:before="0" w:after="0" w:line="360" w:lineRule="auto"/>
        <w:outlineLvl w:val="9"/>
        <w:rPr>
          <w:color w:val="auto"/>
          <w:highlight w:val="none"/>
        </w:rPr>
      </w:pPr>
      <w:bookmarkStart w:id="10" w:name="_Toc22955"/>
      <w:bookmarkStart w:id="11" w:name="_Toc23400"/>
      <w:bookmarkStart w:id="12" w:name="_Toc29432"/>
      <w:bookmarkStart w:id="13" w:name="_Toc27861"/>
      <w:bookmarkStart w:id="14" w:name="_Toc4860"/>
      <w:r>
        <w:rPr>
          <w:rFonts w:hint="eastAsia"/>
          <w:color w:val="auto"/>
          <w:highlight w:val="none"/>
        </w:rPr>
        <w:t>2. 项目概况与招标范围</w:t>
      </w:r>
      <w:bookmarkEnd w:id="10"/>
      <w:bookmarkEnd w:id="11"/>
      <w:bookmarkEnd w:id="12"/>
      <w:bookmarkEnd w:id="13"/>
      <w:bookmarkEnd w:id="14"/>
    </w:p>
    <w:p w14:paraId="22E0F10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2.1 工程名称：</w:t>
      </w:r>
      <w:r>
        <w:rPr>
          <w:rFonts w:hint="eastAsia" w:ascii="宋体" w:hAnsi="宋体" w:eastAsia="宋体"/>
          <w:color w:val="auto"/>
          <w:spacing w:val="1"/>
          <w:highlight w:val="none"/>
          <w:u w:val="single"/>
          <w:lang w:eastAsia="zh-CN"/>
        </w:rPr>
        <w:t>广州东部中心地下管网完善工程—新塘镇排水系统更新改造提升工程（北部片区）勘察服务</w:t>
      </w:r>
    </w:p>
    <w:p w14:paraId="3877490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2.2 建设地点：</w:t>
      </w:r>
      <w:r>
        <w:rPr>
          <w:rFonts w:hint="eastAsia" w:ascii="宋体" w:hAnsi="宋体" w:eastAsia="宋体"/>
          <w:color w:val="auto"/>
          <w:spacing w:val="1"/>
          <w:highlight w:val="none"/>
          <w:u w:val="single"/>
        </w:rPr>
        <w:t>广州市</w:t>
      </w:r>
      <w:r>
        <w:rPr>
          <w:rFonts w:hint="eastAsia" w:ascii="宋体" w:hAnsi="宋体" w:eastAsia="宋体"/>
          <w:color w:val="auto"/>
          <w:highlight w:val="none"/>
          <w:u w:val="single"/>
        </w:rPr>
        <w:t>增城区新塘镇</w:t>
      </w:r>
    </w:p>
    <w:p w14:paraId="59DB93F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2.3 建设规模：</w:t>
      </w:r>
    </w:p>
    <w:p w14:paraId="07421434">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本工程估算总投资</w:t>
      </w:r>
      <w:r>
        <w:rPr>
          <w:rFonts w:hint="eastAsia" w:ascii="宋体" w:hAnsi="宋体" w:eastAsia="宋体"/>
          <w:color w:val="auto"/>
          <w:highlight w:val="none"/>
          <w:u w:val="single"/>
          <w:lang w:val="en-US" w:eastAsia="zh-CN"/>
        </w:rPr>
        <w:t>22067.89</w:t>
      </w:r>
      <w:r>
        <w:rPr>
          <w:rFonts w:hint="eastAsia" w:ascii="宋体" w:hAnsi="宋体" w:eastAsia="宋体"/>
          <w:color w:val="auto"/>
          <w:highlight w:val="none"/>
          <w:u w:val="single"/>
        </w:rPr>
        <w:t>万元。项目位于增城区新塘镇北部片区。主要建设内容为:新建污水管DN100-600长度共22.63km,新建 DN300-1500雨水管长度共11.80km，公共管网结构性缺陷修复 932 处，合流渠箱治理巩固提升14条，区域污涝同治5处，排水单元巩固提升135.07ha，新建水质、流量和液位监测点26处以及新建智能溢流井12处，现状泵站改造29处，渠箱清清障和配套建设检查井、雨水篦子以及路面破除修复等。</w:t>
      </w:r>
    </w:p>
    <w:p w14:paraId="68A1008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2.4 </w:t>
      </w:r>
      <w:r>
        <w:rPr>
          <w:rFonts w:hint="eastAsia" w:ascii="宋体" w:hAnsi="宋体" w:eastAsia="宋体"/>
          <w:color w:val="auto"/>
          <w:highlight w:val="none"/>
          <w:lang w:eastAsia="zh-CN"/>
        </w:rPr>
        <w:t>勘察</w:t>
      </w:r>
      <w:r>
        <w:rPr>
          <w:rFonts w:hint="eastAsia" w:ascii="宋体" w:hAnsi="宋体" w:eastAsia="宋体"/>
          <w:color w:val="auto"/>
          <w:highlight w:val="none"/>
        </w:rPr>
        <w:t>服务期限：</w:t>
      </w:r>
    </w:p>
    <w:p w14:paraId="02AF52E4">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勘察工期：中标人应在</w:t>
      </w:r>
      <w:r>
        <w:rPr>
          <w:rFonts w:hint="eastAsia" w:ascii="宋体" w:hAnsi="宋体" w:eastAsia="宋体"/>
          <w:color w:val="auto"/>
          <w:highlight w:val="none"/>
          <w:u w:val="single"/>
          <w:lang w:eastAsia="zh-CN"/>
        </w:rPr>
        <w:t>勘察</w:t>
      </w:r>
      <w:r>
        <w:rPr>
          <w:rFonts w:hint="eastAsia" w:ascii="宋体" w:hAnsi="宋体" w:eastAsia="宋体"/>
          <w:color w:val="auto"/>
          <w:highlight w:val="none"/>
          <w:u w:val="single"/>
        </w:rPr>
        <w:t>合同签订后</w:t>
      </w:r>
      <w:r>
        <w:rPr>
          <w:rFonts w:hint="eastAsia" w:ascii="宋体" w:hAnsi="宋体" w:eastAsia="宋体"/>
          <w:color w:val="auto"/>
          <w:highlight w:val="none"/>
          <w:u w:val="single"/>
          <w:lang w:val="en-US" w:eastAsia="zh-CN"/>
        </w:rPr>
        <w:t>30</w:t>
      </w:r>
      <w:r>
        <w:rPr>
          <w:rFonts w:hint="eastAsia" w:ascii="宋体" w:hAnsi="宋体" w:eastAsia="宋体"/>
          <w:color w:val="auto"/>
          <w:highlight w:val="none"/>
          <w:u w:val="single"/>
        </w:rPr>
        <w:t>日历天内完成。</w:t>
      </w:r>
    </w:p>
    <w:p w14:paraId="6B6D3070">
      <w:pPr>
        <w:pStyle w:val="62"/>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2.5 招标范围：</w:t>
      </w:r>
    </w:p>
    <w:p w14:paraId="411792FD">
      <w:pPr>
        <w:shd w:val="clear" w:color="auto" w:fill="FFFFFF"/>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主要工作内容包括：完成项目的</w:t>
      </w:r>
      <w:r>
        <w:rPr>
          <w:rFonts w:hint="eastAsia" w:ascii="宋体" w:hAnsi="宋体" w:eastAsia="宋体"/>
          <w:color w:val="auto"/>
          <w:highlight w:val="none"/>
          <w:u w:val="single"/>
          <w:lang w:eastAsia="zh-CN"/>
        </w:rPr>
        <w:t>工程勘察、</w:t>
      </w:r>
      <w:r>
        <w:rPr>
          <w:rFonts w:hint="eastAsia" w:ascii="宋体" w:hAnsi="宋体"/>
          <w:color w:val="auto"/>
          <w:highlight w:val="none"/>
          <w:u w:val="single"/>
        </w:rPr>
        <w:t>地形测绘、排水管网摸查、立管化粪池调查、综合管线探测</w:t>
      </w:r>
      <w:r>
        <w:rPr>
          <w:rFonts w:hint="eastAsia" w:ascii="宋体" w:hAnsi="宋体" w:eastAsia="宋体"/>
          <w:color w:val="auto"/>
          <w:highlight w:val="none"/>
          <w:u w:val="single"/>
          <w:lang w:eastAsia="zh-CN"/>
        </w:rPr>
        <w:t>、</w:t>
      </w:r>
      <w:r>
        <w:rPr>
          <w:rFonts w:hint="eastAsia" w:ascii="宋体" w:hAnsi="宋体"/>
          <w:color w:val="auto"/>
          <w:highlight w:val="none"/>
          <w:u w:val="single"/>
        </w:rPr>
        <w:t>CCTV检测、QV检测及工程施工期间相应阶段的工程勘测（不包含各专题）；并协助建设单位办理相关前期报建手续、现场指导与服务、协助编制竣工图。</w:t>
      </w:r>
    </w:p>
    <w:p w14:paraId="42B220EF">
      <w:pPr>
        <w:shd w:val="clear" w:color="auto" w:fill="FFFFFF"/>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2.6 前期服务机构名称（可行性研究报告）：</w:t>
      </w:r>
      <w:r>
        <w:rPr>
          <w:rFonts w:hint="eastAsia" w:ascii="宋体" w:hAnsi="宋体" w:eastAsia="宋体"/>
          <w:color w:val="auto"/>
          <w:highlight w:val="none"/>
          <w:u w:val="single"/>
          <w:lang w:val="en-US" w:eastAsia="zh-CN"/>
        </w:rPr>
        <w:t>广东省建筑设计研究院集团股份有限公司</w:t>
      </w:r>
      <w:r>
        <w:rPr>
          <w:rFonts w:hint="eastAsia" w:ascii="宋体" w:hAnsi="宋体" w:eastAsia="宋体"/>
          <w:color w:val="auto"/>
          <w:highlight w:val="none"/>
        </w:rPr>
        <w:t>。</w:t>
      </w:r>
    </w:p>
    <w:p w14:paraId="1EDF306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注：如果前期服务机构参加本次投标，应将本公告发布前最终完成的工作成果（含电子文件）在投标人获取招标文件的同时提供给所有投标人参考，否则前期参与的服务机构中标无效。</w:t>
      </w:r>
    </w:p>
    <w:p w14:paraId="4146FC8F">
      <w:pPr>
        <w:pStyle w:val="24"/>
        <w:spacing w:before="0" w:after="0" w:line="360" w:lineRule="auto"/>
        <w:outlineLvl w:val="9"/>
        <w:rPr>
          <w:color w:val="auto"/>
          <w:highlight w:val="none"/>
        </w:rPr>
      </w:pPr>
      <w:bookmarkStart w:id="15" w:name="_Toc19035"/>
      <w:bookmarkStart w:id="16" w:name="_Toc6474"/>
      <w:bookmarkStart w:id="17" w:name="_Toc13982"/>
      <w:bookmarkStart w:id="18" w:name="_Toc13441"/>
      <w:bookmarkStart w:id="19" w:name="_Toc13470"/>
      <w:r>
        <w:rPr>
          <w:rFonts w:hint="eastAsia"/>
          <w:color w:val="auto"/>
          <w:highlight w:val="none"/>
        </w:rPr>
        <w:t>3. 投标人资格要求</w:t>
      </w:r>
      <w:bookmarkEnd w:id="15"/>
      <w:bookmarkEnd w:id="16"/>
      <w:bookmarkEnd w:id="17"/>
      <w:bookmarkEnd w:id="18"/>
      <w:bookmarkEnd w:id="19"/>
    </w:p>
    <w:p w14:paraId="25543321">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3.1  投标人参加投标的意思表达清楚，投标人代表被授权有效。</w:t>
      </w:r>
    </w:p>
    <w:p w14:paraId="55B2D278">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3.2  投标人是法人或其他组织，按国家法律经营。</w:t>
      </w:r>
    </w:p>
    <w:p w14:paraId="19249904">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3.3  投标人须同时具备建设行政主管部门颁发的</w:t>
      </w:r>
      <w:r>
        <w:rPr>
          <w:rFonts w:hint="eastAsia" w:ascii="宋体" w:hAnsi="宋体" w:eastAsia="宋体"/>
          <w:color w:val="auto"/>
          <w:highlight w:val="none"/>
          <w:u w:val="single"/>
        </w:rPr>
        <w:t>①和②</w:t>
      </w:r>
      <w:r>
        <w:rPr>
          <w:rFonts w:hint="eastAsia" w:ascii="宋体" w:hAnsi="宋体" w:eastAsia="宋体"/>
          <w:color w:val="auto"/>
          <w:highlight w:val="none"/>
          <w:u w:val="single"/>
          <w:lang w:eastAsia="zh-CN"/>
        </w:rPr>
        <w:t>和③以下</w:t>
      </w:r>
      <w:r>
        <w:rPr>
          <w:rFonts w:hint="eastAsia" w:ascii="宋体" w:hAnsi="宋体" w:eastAsia="宋体"/>
          <w:color w:val="auto"/>
          <w:highlight w:val="none"/>
        </w:rPr>
        <w:t>资质：</w:t>
      </w:r>
    </w:p>
    <w:p w14:paraId="4CC3C5E5">
      <w:pPr>
        <w:topLinePunct/>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①具有建设行政主管部门颁发的工程勘察综合甲级资质</w:t>
      </w:r>
      <w:r>
        <w:rPr>
          <w:rFonts w:hint="eastAsia" w:ascii="宋体" w:hAnsi="宋体" w:eastAsia="宋体"/>
          <w:color w:val="auto"/>
          <w:highlight w:val="none"/>
          <w:u w:val="single"/>
          <w:lang w:eastAsia="zh-CN"/>
        </w:rPr>
        <w:t>，</w:t>
      </w:r>
      <w:r>
        <w:rPr>
          <w:rFonts w:hint="eastAsia" w:ascii="宋体" w:hAnsi="宋体" w:eastAsia="宋体"/>
          <w:color w:val="auto"/>
          <w:highlight w:val="none"/>
          <w:u w:val="single"/>
        </w:rPr>
        <w:t>或者工程勘察（工程测量）专业</w:t>
      </w:r>
      <w:r>
        <w:rPr>
          <w:rFonts w:hint="eastAsia" w:ascii="宋体" w:hAnsi="宋体" w:eastAsia="宋体"/>
          <w:color w:val="auto"/>
          <w:highlight w:val="none"/>
          <w:u w:val="single"/>
          <w:lang w:eastAsia="zh-CN"/>
        </w:rPr>
        <w:t>甲</w:t>
      </w:r>
      <w:r>
        <w:rPr>
          <w:rFonts w:hint="eastAsia" w:ascii="宋体" w:hAnsi="宋体" w:eastAsia="宋体"/>
          <w:color w:val="auto"/>
          <w:highlight w:val="none"/>
          <w:u w:val="single"/>
        </w:rPr>
        <w:t>级或以上资质。</w:t>
      </w:r>
    </w:p>
    <w:p w14:paraId="27049FDE">
      <w:pPr>
        <w:topLinePunct/>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lang w:eastAsia="zh-CN"/>
        </w:rPr>
        <w:t>②</w:t>
      </w:r>
      <w:r>
        <w:rPr>
          <w:rFonts w:hint="eastAsia" w:ascii="宋体" w:hAnsi="宋体" w:eastAsia="宋体"/>
          <w:color w:val="auto"/>
          <w:highlight w:val="none"/>
          <w:u w:val="single"/>
        </w:rPr>
        <w:t>具有建设行政主管部门颁发的工程勘察综合甲级资质</w:t>
      </w:r>
      <w:r>
        <w:rPr>
          <w:rFonts w:hint="eastAsia" w:ascii="宋体" w:hAnsi="宋体" w:eastAsia="宋体"/>
          <w:color w:val="auto"/>
          <w:highlight w:val="none"/>
          <w:u w:val="single"/>
          <w:lang w:eastAsia="zh-CN"/>
        </w:rPr>
        <w:t>，或者</w:t>
      </w:r>
      <w:r>
        <w:rPr>
          <w:rFonts w:hint="eastAsia" w:ascii="宋体" w:hAnsi="宋体" w:eastAsia="宋体"/>
          <w:color w:val="auto"/>
          <w:highlight w:val="none"/>
          <w:u w:val="single"/>
        </w:rPr>
        <w:t>工程勘察（岩土工程）专业</w:t>
      </w:r>
      <w:r>
        <w:rPr>
          <w:rFonts w:hint="eastAsia" w:ascii="宋体" w:hAnsi="宋体" w:eastAsia="宋体"/>
          <w:color w:val="auto"/>
          <w:highlight w:val="none"/>
          <w:u w:val="single"/>
          <w:lang w:eastAsia="zh-CN"/>
        </w:rPr>
        <w:t>甲</w:t>
      </w:r>
      <w:r>
        <w:rPr>
          <w:rFonts w:hint="eastAsia" w:ascii="宋体" w:hAnsi="宋体" w:eastAsia="宋体"/>
          <w:color w:val="auto"/>
          <w:highlight w:val="none"/>
          <w:u w:val="single"/>
        </w:rPr>
        <w:t>级或以上资质</w:t>
      </w:r>
      <w:r>
        <w:rPr>
          <w:rFonts w:hint="eastAsia" w:ascii="宋体" w:hAnsi="宋体" w:eastAsia="宋体"/>
          <w:color w:val="auto"/>
          <w:highlight w:val="none"/>
          <w:u w:val="single"/>
          <w:lang w:eastAsia="zh-CN"/>
        </w:rPr>
        <w:t>，或者</w:t>
      </w:r>
      <w:r>
        <w:rPr>
          <w:rFonts w:hint="eastAsia" w:ascii="宋体" w:hAnsi="宋体" w:eastAsia="宋体"/>
          <w:color w:val="auto"/>
          <w:highlight w:val="none"/>
          <w:u w:val="single"/>
        </w:rPr>
        <w:t>工程勘察（岩土工程）（分项）岩土工程勘察专业</w:t>
      </w:r>
      <w:r>
        <w:rPr>
          <w:rFonts w:hint="eastAsia" w:ascii="宋体" w:hAnsi="宋体" w:eastAsia="宋体"/>
          <w:color w:val="auto"/>
          <w:highlight w:val="none"/>
          <w:u w:val="single"/>
          <w:lang w:eastAsia="zh-CN"/>
        </w:rPr>
        <w:t>甲</w:t>
      </w:r>
      <w:r>
        <w:rPr>
          <w:rFonts w:hint="eastAsia" w:ascii="宋体" w:hAnsi="宋体" w:eastAsia="宋体"/>
          <w:color w:val="auto"/>
          <w:highlight w:val="none"/>
          <w:u w:val="single"/>
        </w:rPr>
        <w:t>级或以上资质。</w:t>
      </w:r>
    </w:p>
    <w:p w14:paraId="4020F6C4">
      <w:pPr>
        <w:topLinePunct/>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lang w:eastAsia="zh-CN"/>
        </w:rPr>
        <w:t>③</w:t>
      </w:r>
      <w:r>
        <w:rPr>
          <w:rFonts w:hint="eastAsia" w:ascii="宋体" w:hAnsi="宋体" w:eastAsia="宋体"/>
          <w:color w:val="auto"/>
          <w:highlight w:val="none"/>
          <w:u w:val="single"/>
        </w:rPr>
        <w:t>具有质量技术监督部门（市场监督管理部门）颁发的CMA计量认证合格证书（或CMA检验检测机构资质认定证书），且检测范围包含排水管道检测（CCTV及QV），且证书在有效期内。</w:t>
      </w:r>
    </w:p>
    <w:p w14:paraId="095EA8D8">
      <w:pPr>
        <w:topLinePunct/>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6DF8E274">
      <w:pPr>
        <w:topLinePunct/>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3.4  投标人已在广州交易集团有限公司（广州公共资源交易中心）办理企业信息登记，本项目负责人是本企业在广州交易集团有限公司（广州公共资源交易中心）企业信息登记中的在册人员。</w:t>
      </w:r>
    </w:p>
    <w:p w14:paraId="0A27C33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3.5  投标人委派的项目负责人须具备</w:t>
      </w:r>
      <w:r>
        <w:rPr>
          <w:rFonts w:hint="eastAsia" w:ascii="宋体" w:hAnsi="宋体" w:eastAsia="宋体"/>
          <w:color w:val="auto"/>
          <w:highlight w:val="none"/>
          <w:lang w:eastAsia="zh-CN"/>
        </w:rPr>
        <w:t>测量类或勘察</w:t>
      </w:r>
      <w:r>
        <w:rPr>
          <w:rFonts w:hint="eastAsia"/>
          <w:color w:val="auto"/>
          <w:highlight w:val="none"/>
          <w:lang w:eastAsia="zh-CN"/>
        </w:rPr>
        <w:t>类专业</w:t>
      </w:r>
      <w:r>
        <w:rPr>
          <w:rFonts w:hint="eastAsia" w:ascii="宋体" w:hAnsi="宋体" w:eastAsia="宋体"/>
          <w:color w:val="auto"/>
          <w:highlight w:val="none"/>
        </w:rPr>
        <w:t>高级工程师</w:t>
      </w:r>
      <w:r>
        <w:rPr>
          <w:rFonts w:hint="eastAsia" w:ascii="宋体" w:hAnsi="宋体" w:eastAsia="宋体"/>
          <w:color w:val="auto"/>
          <w:highlight w:val="none"/>
          <w:lang w:eastAsia="zh-CN"/>
        </w:rPr>
        <w:t>（或</w:t>
      </w:r>
      <w:r>
        <w:rPr>
          <w:rFonts w:hint="eastAsia" w:eastAsia="宋体"/>
          <w:color w:val="auto"/>
          <w:highlight w:val="none"/>
          <w:lang w:eastAsia="zh-CN"/>
        </w:rPr>
        <w:t>以上）职称</w:t>
      </w:r>
      <w:r>
        <w:rPr>
          <w:rFonts w:hint="eastAsia" w:ascii="宋体" w:hAnsi="宋体" w:eastAsia="宋体"/>
          <w:color w:val="auto"/>
          <w:highlight w:val="none"/>
        </w:rPr>
        <w:t>。</w:t>
      </w:r>
      <w:r>
        <w:rPr>
          <w:rFonts w:hint="eastAsia" w:ascii="宋体" w:hAnsi="宋体" w:eastAsia="宋体"/>
          <w:b/>
          <w:bCs/>
          <w:color w:val="auto"/>
          <w:highlight w:val="none"/>
        </w:rPr>
        <w:t>须提供相关职称证和投标人为其缴纳在本投标单位购买的</w:t>
      </w:r>
      <w:r>
        <w:rPr>
          <w:rFonts w:hint="eastAsia" w:ascii="宋体" w:hAnsi="宋体" w:eastAsia="宋体"/>
          <w:b/>
          <w:bCs/>
          <w:color w:val="auto"/>
          <w:highlight w:val="none"/>
          <w:lang w:val="en-US" w:eastAsia="zh-CN"/>
        </w:rPr>
        <w:t>2025年3月</w:t>
      </w:r>
      <w:r>
        <w:rPr>
          <w:rFonts w:hint="eastAsia" w:ascii="宋体" w:hAnsi="宋体" w:eastAsia="宋体"/>
          <w:b/>
          <w:bCs/>
          <w:color w:val="auto"/>
          <w:highlight w:val="none"/>
        </w:rPr>
        <w:t>的社保证明材料</w:t>
      </w:r>
      <w:r>
        <w:rPr>
          <w:rFonts w:hint="eastAsia" w:ascii="宋体" w:hAnsi="宋体" w:eastAsia="宋体"/>
          <w:color w:val="auto"/>
          <w:highlight w:val="none"/>
        </w:rPr>
        <w:t>。</w:t>
      </w:r>
    </w:p>
    <w:p w14:paraId="613E4A2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注：若拟委派的项目负责人为香港专业人士，则须已在广东省住房和城乡建设主管部门备案且备案的业务范围相当于</w:t>
      </w:r>
      <w:r>
        <w:rPr>
          <w:rFonts w:hint="eastAsia" w:ascii="宋体" w:hAnsi="宋体" w:eastAsia="宋体"/>
          <w:color w:val="auto"/>
          <w:highlight w:val="none"/>
          <w:u w:val="single"/>
        </w:rPr>
        <w:t>满足本项目招标文件要求</w:t>
      </w:r>
      <w:r>
        <w:rPr>
          <w:rFonts w:hint="eastAsia" w:ascii="宋体" w:hAnsi="宋体" w:eastAsia="宋体"/>
          <w:color w:val="auto"/>
          <w:highlight w:val="none"/>
        </w:rPr>
        <w:t>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3630AC1">
      <w:pPr>
        <w:spacing w:line="360" w:lineRule="auto"/>
        <w:ind w:firstLine="420" w:firstLineChars="200"/>
        <w:rPr>
          <w:rFonts w:ascii="宋体" w:hAnsi="宋体" w:eastAsia="宋体"/>
          <w:strike/>
          <w:color w:val="auto"/>
          <w:highlight w:val="none"/>
        </w:rPr>
      </w:pPr>
      <w:r>
        <w:rPr>
          <w:rFonts w:hint="eastAsia" w:ascii="宋体" w:hAnsi="宋体" w:eastAsia="宋体"/>
          <w:strike/>
          <w:color w:val="auto"/>
          <w:highlight w:val="none"/>
        </w:rPr>
        <w:t>3.6  投标人委派的其他专业负责人需具备注册执业资格，或者本专业（含相近专业）高级技术职称，或者中级技术职称从事本专业工作10年以上。（注：若无此项要求，由招标人自行删除）</w:t>
      </w:r>
    </w:p>
    <w:p w14:paraId="5D89B051">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3.7  投标申请人业绩要求（</w:t>
      </w:r>
      <w:r>
        <w:rPr>
          <w:rFonts w:hint="eastAsia" w:ascii="宋体" w:hAnsi="宋体" w:eastAsia="宋体"/>
          <w:color w:val="auto"/>
          <w:highlight w:val="none"/>
          <w:bdr w:val="single" w:color="auto" w:sz="4" w:space="0"/>
        </w:rPr>
        <w:t xml:space="preserve">  </w:t>
      </w:r>
      <w:r>
        <w:rPr>
          <w:rFonts w:hint="eastAsia" w:ascii="宋体" w:hAnsi="宋体" w:eastAsia="宋体"/>
          <w:color w:val="auto"/>
          <w:highlight w:val="none"/>
        </w:rPr>
        <w:t xml:space="preserve">需要 /  </w:t>
      </w:r>
      <w:r>
        <w:rPr>
          <w:rFonts w:eastAsia="宋体"/>
          <w:color w:val="auto"/>
          <w:highlight w:val="none"/>
          <w:bdr w:val="single" w:color="auto" w:sz="4" w:space="0"/>
        </w:rPr>
        <w:t>√</w:t>
      </w:r>
      <w:r>
        <w:rPr>
          <w:rFonts w:hint="eastAsia" w:ascii="宋体" w:hAnsi="宋体" w:eastAsia="宋体"/>
          <w:color w:val="auto"/>
          <w:highlight w:val="none"/>
        </w:rPr>
        <w:t>不需要）：</w:t>
      </w:r>
    </w:p>
    <w:p w14:paraId="413AE965">
      <w:pPr>
        <w:spacing w:line="360" w:lineRule="auto"/>
        <w:ind w:left="0" w:leftChars="0" w:firstLine="420" w:firstLineChars="200"/>
        <w:rPr>
          <w:rFonts w:ascii="宋体" w:hAnsi="宋体" w:eastAsia="宋体"/>
          <w:color w:val="auto"/>
          <w:highlight w:val="none"/>
        </w:rPr>
      </w:pPr>
      <w:bookmarkStart w:id="20" w:name="_Toc20272"/>
      <w:bookmarkStart w:id="21" w:name="_Toc253143216"/>
      <w:bookmarkStart w:id="22" w:name="_Toc266093545"/>
      <w:bookmarkStart w:id="23" w:name="_Toc245023997"/>
      <w:bookmarkStart w:id="24" w:name="_Toc32634"/>
      <w:bookmarkStart w:id="25" w:name="_Toc266881397"/>
      <w:bookmarkStart w:id="26" w:name="_Toc19668"/>
      <w:bookmarkStart w:id="27" w:name="_Toc249845968"/>
      <w:bookmarkStart w:id="28" w:name="_Toc8744"/>
      <w:bookmarkStart w:id="29" w:name="_Toc32048"/>
      <w:bookmarkStart w:id="30" w:name="_Toc249846223"/>
      <w:bookmarkStart w:id="31" w:name="_Toc7102"/>
      <w:r>
        <w:rPr>
          <w:rFonts w:hint="eastAsia" w:ascii="宋体" w:hAnsi="宋体" w:eastAsia="宋体"/>
          <w:color w:val="auto"/>
          <w:highlight w:val="none"/>
        </w:rPr>
        <w:t>3.8 关于联合体投标：</w:t>
      </w:r>
      <w:bookmarkEnd w:id="20"/>
      <w:bookmarkEnd w:id="21"/>
      <w:bookmarkEnd w:id="22"/>
      <w:bookmarkEnd w:id="23"/>
      <w:bookmarkEnd w:id="24"/>
      <w:bookmarkEnd w:id="25"/>
      <w:bookmarkEnd w:id="26"/>
      <w:bookmarkEnd w:id="27"/>
      <w:bookmarkEnd w:id="28"/>
      <w:bookmarkEnd w:id="29"/>
      <w:bookmarkEnd w:id="30"/>
      <w:bookmarkEnd w:id="31"/>
      <w:r>
        <w:rPr>
          <w:rFonts w:hint="eastAsia" w:ascii="宋体" w:hAnsi="宋体" w:eastAsia="宋体"/>
          <w:color w:val="auto"/>
          <w:highlight w:val="none"/>
          <w:lang w:eastAsia="zh-CN"/>
        </w:rPr>
        <w:t>本项目不接受联合体投标</w:t>
      </w:r>
      <w:r>
        <w:rPr>
          <w:rFonts w:hint="eastAsia" w:ascii="宋体" w:hAnsi="宋体" w:eastAsia="宋体"/>
          <w:color w:val="auto"/>
          <w:highlight w:val="none"/>
        </w:rPr>
        <w:t>。</w:t>
      </w:r>
    </w:p>
    <w:p w14:paraId="6FFA08F8">
      <w:pPr>
        <w:spacing w:line="360" w:lineRule="auto"/>
        <w:ind w:left="4" w:leftChars="0" w:firstLine="401" w:firstLineChars="191"/>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 xml:space="preserve">9 </w:t>
      </w:r>
      <w:r>
        <w:rPr>
          <w:rFonts w:ascii="宋体" w:hAnsi="宋体" w:eastAsia="宋体"/>
          <w:color w:val="auto"/>
          <w:highlight w:val="none"/>
        </w:rPr>
        <w:t>投标人未被列入“在一定期限内依法取消参加依法必须进行招标的项目的投标资格”，具体名单以递交投标文件截止时间“信用广州”公布的“黑名单”为准</w:t>
      </w:r>
      <w:r>
        <w:rPr>
          <w:rFonts w:hint="eastAsia" w:ascii="宋体" w:hAnsi="宋体" w:eastAsia="宋体"/>
          <w:color w:val="auto"/>
          <w:highlight w:val="none"/>
        </w:rPr>
        <w:t>，需提供查询截图</w:t>
      </w:r>
      <w:r>
        <w:rPr>
          <w:rFonts w:ascii="宋体" w:hAnsi="宋体" w:eastAsia="宋体"/>
          <w:color w:val="auto"/>
          <w:highlight w:val="none"/>
        </w:rPr>
        <w:t>。</w:t>
      </w:r>
    </w:p>
    <w:p w14:paraId="470758F4">
      <w:pPr>
        <w:spacing w:line="360" w:lineRule="auto"/>
        <w:ind w:left="0" w:leftChars="0" w:firstLine="420" w:firstLineChars="200"/>
        <w:rPr>
          <w:rFonts w:ascii="宋体" w:hAnsi="宋体" w:eastAsia="宋体"/>
          <w:color w:val="auto"/>
          <w:highlight w:val="none"/>
        </w:rPr>
      </w:pPr>
      <w:r>
        <w:rPr>
          <w:rFonts w:ascii="宋体" w:hAnsi="宋体" w:eastAsia="宋体"/>
          <w:color w:val="auto"/>
          <w:highlight w:val="none"/>
        </w:rPr>
        <w:t>注：《全国失信惩戒措施清单基础清单》（2024版）</w:t>
      </w:r>
      <w:r>
        <w:rPr>
          <w:rFonts w:hint="eastAsia" w:ascii="宋体" w:hAnsi="宋体" w:eastAsia="宋体"/>
          <w:color w:val="auto"/>
          <w:highlight w:val="none"/>
        </w:rPr>
        <w:t>。</w:t>
      </w:r>
    </w:p>
    <w:p w14:paraId="7D72D49C">
      <w:pPr>
        <w:pStyle w:val="24"/>
        <w:spacing w:before="0" w:after="0" w:line="360" w:lineRule="auto"/>
        <w:outlineLvl w:val="9"/>
        <w:rPr>
          <w:color w:val="auto"/>
          <w:highlight w:val="none"/>
        </w:rPr>
      </w:pPr>
      <w:bookmarkStart w:id="32" w:name="_Toc10241"/>
      <w:bookmarkStart w:id="33" w:name="_Toc26086"/>
      <w:bookmarkStart w:id="34" w:name="_Toc28948"/>
      <w:bookmarkStart w:id="35" w:name="_Toc26793"/>
      <w:bookmarkStart w:id="36" w:name="_Toc25583"/>
      <w:r>
        <w:rPr>
          <w:rFonts w:hint="eastAsia"/>
          <w:color w:val="auto"/>
          <w:highlight w:val="none"/>
        </w:rPr>
        <w:t>4. 技术成果经济补偿</w:t>
      </w:r>
      <w:bookmarkEnd w:id="32"/>
      <w:bookmarkEnd w:id="33"/>
      <w:bookmarkEnd w:id="34"/>
      <w:bookmarkEnd w:id="35"/>
      <w:bookmarkEnd w:id="36"/>
    </w:p>
    <w:p w14:paraId="2680A3DE">
      <w:pPr>
        <w:spacing w:line="360" w:lineRule="auto"/>
        <w:ind w:left="429"/>
        <w:rPr>
          <w:rFonts w:ascii="宋体" w:hAnsi="宋体" w:eastAsia="宋体"/>
          <w:color w:val="auto"/>
          <w:spacing w:val="2"/>
          <w:highlight w:val="none"/>
        </w:rPr>
      </w:pPr>
      <w:r>
        <w:rPr>
          <w:rFonts w:hint="eastAsia" w:ascii="宋体" w:hAnsi="宋体" w:eastAsia="宋体"/>
          <w:color w:val="auto"/>
          <w:spacing w:val="2"/>
          <w:highlight w:val="none"/>
        </w:rPr>
        <w:t>本次招标对未中标人投标文件中的技术成果</w:t>
      </w:r>
      <w:r>
        <w:rPr>
          <w:rFonts w:hint="eastAsia" w:ascii="宋体" w:hAnsi="宋体" w:eastAsia="宋体"/>
          <w:color w:val="auto"/>
          <w:spacing w:val="2"/>
          <w:highlight w:val="none"/>
          <w:u w:val="single"/>
        </w:rPr>
        <w:t>不给予</w:t>
      </w:r>
      <w:r>
        <w:rPr>
          <w:rFonts w:hint="eastAsia" w:ascii="宋体" w:hAnsi="宋体" w:eastAsia="宋体"/>
          <w:color w:val="auto"/>
          <w:spacing w:val="1"/>
          <w:highlight w:val="none"/>
        </w:rPr>
        <w:t>经济补偿。</w:t>
      </w:r>
    </w:p>
    <w:p w14:paraId="5E98595A">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未中标单位经济补偿及补偿金额</w:t>
      </w:r>
    </w:p>
    <w:p w14:paraId="34A2C77D">
      <w:pPr>
        <w:spacing w:line="360" w:lineRule="auto"/>
        <w:ind w:left="429"/>
        <w:rPr>
          <w:rFonts w:ascii="宋体" w:hAnsi="宋体" w:eastAsia="宋体"/>
          <w:color w:val="auto"/>
          <w:spacing w:val="-5"/>
          <w:highlight w:val="none"/>
        </w:rPr>
      </w:pPr>
      <w:r>
        <w:rPr>
          <w:rFonts w:hint="eastAsia" w:ascii="宋体" w:hAnsi="宋体" w:eastAsia="宋体"/>
          <w:color w:val="auto"/>
          <w:spacing w:val="-5"/>
          <w:highlight w:val="none"/>
        </w:rPr>
        <w:t>招标人将按如下标准支付经济补偿费：</w:t>
      </w:r>
      <w:r>
        <w:rPr>
          <w:rFonts w:hint="eastAsia" w:ascii="宋体" w:hAnsi="宋体" w:eastAsia="宋体"/>
          <w:color w:val="auto"/>
          <w:spacing w:val="-5"/>
          <w:highlight w:val="none"/>
          <w:u w:val="single"/>
        </w:rPr>
        <w:t>/</w:t>
      </w:r>
      <w:r>
        <w:rPr>
          <w:rFonts w:hint="eastAsia" w:ascii="宋体" w:hAnsi="宋体" w:eastAsia="宋体"/>
          <w:color w:val="auto"/>
          <w:spacing w:val="-5"/>
          <w:highlight w:val="none"/>
        </w:rPr>
        <w:t>。</w:t>
      </w:r>
    </w:p>
    <w:p w14:paraId="4104EDB4">
      <w:pPr>
        <w:pStyle w:val="24"/>
        <w:spacing w:before="0" w:after="0" w:line="360" w:lineRule="auto"/>
        <w:outlineLvl w:val="9"/>
        <w:rPr>
          <w:color w:val="auto"/>
          <w:highlight w:val="none"/>
        </w:rPr>
      </w:pPr>
      <w:bookmarkStart w:id="37" w:name="_Toc29809"/>
      <w:bookmarkStart w:id="38" w:name="_Toc5228"/>
      <w:bookmarkStart w:id="39" w:name="_Toc14668"/>
      <w:bookmarkStart w:id="40" w:name="_Toc26631"/>
      <w:bookmarkStart w:id="41" w:name="_Toc9312"/>
      <w:r>
        <w:rPr>
          <w:rFonts w:hint="eastAsia"/>
          <w:color w:val="auto"/>
          <w:highlight w:val="none"/>
        </w:rPr>
        <w:t>5. 招标文件的获取</w:t>
      </w:r>
      <w:bookmarkEnd w:id="37"/>
      <w:bookmarkEnd w:id="38"/>
      <w:bookmarkEnd w:id="39"/>
      <w:bookmarkEnd w:id="40"/>
      <w:bookmarkEnd w:id="41"/>
    </w:p>
    <w:p w14:paraId="1528C9A4">
      <w:pPr>
        <w:kinsoku/>
        <w:topLinePunct/>
        <w:autoSpaceDE/>
        <w:autoSpaceDN/>
        <w:spacing w:line="360" w:lineRule="auto"/>
        <w:ind w:firstLine="411" w:firstLineChars="198"/>
        <w:rPr>
          <w:rFonts w:ascii="宋体" w:hAnsi="宋体" w:eastAsia="宋体"/>
          <w:color w:val="auto"/>
          <w:spacing w:val="-1"/>
          <w:highlight w:val="none"/>
        </w:rPr>
      </w:pPr>
      <w:r>
        <w:rPr>
          <w:rFonts w:hint="eastAsia" w:ascii="宋体" w:hAnsi="宋体" w:eastAsia="宋体"/>
          <w:color w:val="auto"/>
          <w:spacing w:val="-1"/>
          <w:highlight w:val="none"/>
        </w:rPr>
        <w:t xml:space="preserve">5.1  </w:t>
      </w:r>
      <w:r>
        <w:rPr>
          <w:rFonts w:hint="eastAsia" w:ascii="宋体" w:hAnsi="宋体" w:eastAsia="宋体"/>
          <w:color w:val="auto"/>
          <w:highlight w:val="none"/>
        </w:rPr>
        <w:t>发布招标公告</w:t>
      </w:r>
      <w:r>
        <w:rPr>
          <w:rFonts w:hint="eastAsia" w:ascii="宋体" w:hAnsi="宋体"/>
          <w:color w:val="auto"/>
          <w:highlight w:val="none"/>
        </w:rPr>
        <w:t>的</w:t>
      </w:r>
      <w:r>
        <w:rPr>
          <w:rFonts w:hint="eastAsia" w:ascii="宋体" w:hAnsi="宋体" w:eastAsia="宋体"/>
          <w:color w:val="auto"/>
          <w:highlight w:val="none"/>
        </w:rPr>
        <w:t>时间：</w:t>
      </w:r>
      <w:r>
        <w:rPr>
          <w:rFonts w:hint="eastAsia" w:ascii="宋体" w:hAnsi="宋体"/>
          <w:color w:val="auto"/>
          <w:highlight w:val="none"/>
          <w:u w:val="single"/>
        </w:rPr>
        <w:t xml:space="preserve"> </w:t>
      </w:r>
      <w:r>
        <w:rPr>
          <w:rFonts w:hint="eastAsia" w:ascii="宋体" w:hAnsi="宋体" w:eastAsiaTheme="minorEastAsia"/>
          <w:color w:val="auto"/>
          <w:highlight w:val="none"/>
          <w:u w:val="single"/>
        </w:rPr>
        <w:t>202</w:t>
      </w:r>
      <w:r>
        <w:rPr>
          <w:rFonts w:hint="eastAsia" w:ascii="宋体" w:hAnsi="宋体" w:eastAsiaTheme="minorEastAsia"/>
          <w:color w:val="auto"/>
          <w:highlight w:val="none"/>
          <w:u w:val="single"/>
          <w:lang w:val="en-US" w:eastAsia="zh-CN"/>
        </w:rPr>
        <w:t>5</w:t>
      </w:r>
      <w:r>
        <w:rPr>
          <w:rFonts w:hint="eastAsia" w:ascii="宋体" w:hAnsi="宋体"/>
          <w:color w:val="auto"/>
          <w:highlight w:val="none"/>
          <w:u w:val="single"/>
        </w:rPr>
        <w:t xml:space="preserve"> </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日至</w:t>
      </w:r>
      <w:r>
        <w:rPr>
          <w:rFonts w:hint="eastAsia" w:ascii="宋体" w:hAnsi="宋体" w:eastAsiaTheme="minorEastAsia"/>
          <w:color w:val="auto"/>
          <w:highlight w:val="none"/>
          <w:u w:val="single"/>
        </w:rPr>
        <w:t>202</w:t>
      </w:r>
      <w:r>
        <w:rPr>
          <w:rFonts w:hint="eastAsia" w:ascii="宋体" w:hAnsi="宋体" w:eastAsiaTheme="minorEastAsia"/>
          <w:color w:val="auto"/>
          <w:highlight w:val="none"/>
          <w:u w:val="single"/>
          <w:lang w:val="en-US" w:eastAsia="zh-CN"/>
        </w:rPr>
        <w:t>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 xml:space="preserve">日 </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分（北京时间，下同），凡有意参加投标者，请登录广州交易集团有限公司（广州公共资源交易中心）网站下载电子招标文件。</w:t>
      </w:r>
    </w:p>
    <w:p w14:paraId="1D40A7F7">
      <w:pPr>
        <w:kinsoku/>
        <w:topLinePunct/>
        <w:autoSpaceDE/>
        <w:autoSpaceDN/>
        <w:spacing w:line="360" w:lineRule="auto"/>
        <w:ind w:left="420" w:leftChars="200"/>
        <w:rPr>
          <w:rFonts w:ascii="宋体" w:hAnsi="宋体" w:eastAsia="宋体"/>
          <w:color w:val="auto"/>
          <w:highlight w:val="none"/>
        </w:rPr>
      </w:pPr>
      <w:r>
        <w:rPr>
          <w:rFonts w:hint="eastAsia" w:ascii="宋体" w:hAnsi="宋体" w:eastAsia="宋体"/>
          <w:color w:val="auto"/>
          <w:highlight w:val="none"/>
        </w:rPr>
        <w:t>注：发布招标公告的时间为招标公告发出之日起至递交投标文件截止时间止。</w:t>
      </w:r>
    </w:p>
    <w:p w14:paraId="0185B345">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5.2 本项目招标文件随招标公告一并在广州交易集团有限公司（广州公共资源交易中心）网站交易平台发布。招标文件一经在交易平台发布，视为发出给投标人，招标文件由投标人自行在交易平台下载。</w:t>
      </w:r>
    </w:p>
    <w:p w14:paraId="7DDC8241">
      <w:pPr>
        <w:pStyle w:val="24"/>
        <w:spacing w:before="0" w:after="0" w:line="360" w:lineRule="auto"/>
        <w:outlineLvl w:val="9"/>
        <w:rPr>
          <w:color w:val="auto"/>
          <w:highlight w:val="none"/>
        </w:rPr>
      </w:pPr>
      <w:bookmarkStart w:id="42" w:name="_Toc19023"/>
      <w:bookmarkStart w:id="43" w:name="_Toc25595"/>
      <w:bookmarkStart w:id="44" w:name="_Toc8908"/>
      <w:bookmarkStart w:id="45" w:name="_Toc20569"/>
      <w:bookmarkStart w:id="46" w:name="_Toc13565"/>
      <w:r>
        <w:rPr>
          <w:rFonts w:hint="eastAsia"/>
          <w:color w:val="auto"/>
          <w:highlight w:val="none"/>
        </w:rPr>
        <w:t>6. 投标文件的递交</w:t>
      </w:r>
      <w:bookmarkEnd w:id="42"/>
      <w:bookmarkEnd w:id="43"/>
      <w:bookmarkEnd w:id="44"/>
      <w:bookmarkEnd w:id="45"/>
      <w:bookmarkEnd w:id="46"/>
    </w:p>
    <w:p w14:paraId="22D37BA5">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6.1投标截止时间为</w:t>
      </w:r>
      <w:r>
        <w:rPr>
          <w:rFonts w:hint="eastAsia" w:ascii="宋体" w:hAnsi="宋体" w:eastAsiaTheme="minorEastAsia"/>
          <w:color w:val="auto"/>
          <w:highlight w:val="none"/>
          <w:u w:val="single"/>
        </w:rPr>
        <w:t>202</w:t>
      </w:r>
      <w:r>
        <w:rPr>
          <w:rFonts w:hint="eastAsia" w:ascii="宋体" w:hAnsi="宋体" w:eastAsiaTheme="minorEastAsia"/>
          <w:color w:val="auto"/>
          <w:highlight w:val="none"/>
          <w:u w:val="single"/>
          <w:lang w:val="en-US" w:eastAsia="zh-CN"/>
        </w:rPr>
        <w:t>5</w:t>
      </w:r>
      <w:r>
        <w:rPr>
          <w:rFonts w:hint="eastAsia" w:ascii="宋体" w:hAnsi="宋体"/>
          <w:color w:val="auto"/>
          <w:highlight w:val="none"/>
          <w:u w:val="single"/>
        </w:rPr>
        <w:t xml:space="preserve"> </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w:t>
      </w:r>
      <w:r>
        <w:rPr>
          <w:rFonts w:hint="eastAsia" w:ascii="宋体" w:hAnsi="宋体"/>
          <w:color w:val="auto"/>
          <w:highlight w:val="none"/>
        </w:rPr>
        <w:t>投标人</w:t>
      </w:r>
      <w:r>
        <w:rPr>
          <w:rFonts w:hint="eastAsia" w:ascii="宋体" w:hAnsi="宋体" w:eastAsia="宋体"/>
          <w:color w:val="auto"/>
          <w:highlight w:val="none"/>
        </w:rPr>
        <w:t>应在截止时间前</w:t>
      </w:r>
      <w:r>
        <w:rPr>
          <w:rFonts w:hint="eastAsia" w:ascii="宋体" w:hAnsi="宋体"/>
          <w:color w:val="auto"/>
          <w:highlight w:val="none"/>
        </w:rPr>
        <w:t>通过</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交易平台递交电子投标文件。</w:t>
      </w:r>
      <w:r>
        <w:rPr>
          <w:rFonts w:hint="eastAsia" w:ascii="宋体" w:hAnsi="宋体" w:eastAsia="宋体"/>
          <w:color w:val="auto"/>
          <w:highlight w:val="none"/>
        </w:rPr>
        <w:t>投标人</w:t>
      </w:r>
      <w:r>
        <w:rPr>
          <w:rFonts w:hint="eastAsia" w:ascii="宋体" w:hAnsi="宋体"/>
          <w:color w:val="auto"/>
          <w:highlight w:val="none"/>
        </w:rPr>
        <w:t>完成电子投标文件上传</w:t>
      </w:r>
      <w:r>
        <w:rPr>
          <w:rFonts w:hint="eastAsia" w:ascii="宋体" w:hAnsi="宋体" w:eastAsia="宋体"/>
          <w:color w:val="auto"/>
          <w:highlight w:val="none"/>
        </w:rPr>
        <w:t>后</w:t>
      </w:r>
      <w:r>
        <w:rPr>
          <w:rFonts w:hint="eastAsia" w:ascii="宋体" w:hAnsi="宋体"/>
          <w:color w:val="auto"/>
          <w:highlight w:val="none"/>
        </w:rPr>
        <w:t>，</w:t>
      </w:r>
      <w:r>
        <w:rPr>
          <w:rFonts w:hint="eastAsia" w:ascii="宋体" w:hAnsi="宋体" w:eastAsia="宋体"/>
          <w:color w:val="auto"/>
          <w:highlight w:val="none"/>
        </w:rPr>
        <w:t>交易平台即时向投标人发出递交</w:t>
      </w:r>
      <w:r>
        <w:rPr>
          <w:rFonts w:hint="eastAsia" w:ascii="宋体" w:hAnsi="宋体"/>
          <w:color w:val="auto"/>
          <w:highlight w:val="none"/>
        </w:rPr>
        <w:t>回执</w:t>
      </w:r>
      <w:r>
        <w:rPr>
          <w:rFonts w:hint="eastAsia" w:ascii="宋体" w:hAnsi="宋体" w:eastAsia="宋体"/>
          <w:color w:val="auto"/>
          <w:highlight w:val="none"/>
        </w:rPr>
        <w:t>通知</w:t>
      </w:r>
      <w:r>
        <w:rPr>
          <w:rFonts w:hint="eastAsia" w:ascii="宋体" w:hAnsi="宋体"/>
          <w:color w:val="auto"/>
          <w:highlight w:val="none"/>
        </w:rPr>
        <w:t>。递交时间以递交回执通知载明的传输完成时间为准。</w:t>
      </w:r>
    </w:p>
    <w:p w14:paraId="3048104A">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在投标截止时间后半小时内，投标人通过广州交易集团有限公司（广州公共资源交易中心）网站对已递交的电子投标文件进行解密。</w:t>
      </w:r>
    </w:p>
    <w:p w14:paraId="7C5501D2">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6.2</w:t>
      </w:r>
      <w:r>
        <w:rPr>
          <w:rFonts w:hint="eastAsia" w:ascii="宋体" w:hAnsi="宋体"/>
          <w:color w:val="auto"/>
          <w:highlight w:val="none"/>
        </w:rPr>
        <w:t>投标人应在递交投标文件截止时间前，登录</w:t>
      </w:r>
      <w:r>
        <w:rPr>
          <w:rFonts w:hint="eastAsia" w:ascii="宋体" w:hAnsi="宋体" w:eastAsia="宋体"/>
          <w:color w:val="auto"/>
          <w:highlight w:val="none"/>
        </w:rPr>
        <w:t>广州交易集团有限公司（广州公共资源交易中心）</w:t>
      </w:r>
      <w:r>
        <w:rPr>
          <w:rFonts w:hint="eastAsia" w:ascii="宋体" w:hAnsi="宋体"/>
          <w:color w:val="auto"/>
          <w:highlight w:val="none"/>
        </w:rPr>
        <w:t>网站交易平台办理网上投标登记手续；按照</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关于全流程电子化项目的相关指南进行操作。</w:t>
      </w:r>
    </w:p>
    <w:p w14:paraId="0A0E6949">
      <w:pPr>
        <w:kinsoku/>
        <w:topLinePunct/>
        <w:autoSpaceDE/>
        <w:autoSpaceDN/>
        <w:spacing w:line="360" w:lineRule="auto"/>
        <w:ind w:left="420" w:leftChars="200"/>
        <w:rPr>
          <w:rFonts w:ascii="宋体" w:hAnsi="宋体" w:eastAsia="宋体"/>
          <w:color w:val="auto"/>
          <w:highlight w:val="none"/>
        </w:rPr>
      </w:pPr>
      <w:r>
        <w:rPr>
          <w:rFonts w:hint="eastAsia" w:ascii="宋体" w:hAnsi="宋体" w:eastAsia="宋体"/>
          <w:color w:val="auto"/>
          <w:highlight w:val="none"/>
        </w:rPr>
        <w:t>6.3开标开始时间：</w:t>
      </w:r>
      <w:r>
        <w:rPr>
          <w:rFonts w:hint="eastAsia" w:ascii="宋体" w:hAnsi="宋体" w:eastAsiaTheme="minorEastAsia"/>
          <w:color w:val="auto"/>
          <w:highlight w:val="none"/>
          <w:u w:val="single"/>
        </w:rPr>
        <w:t>202</w:t>
      </w:r>
      <w:r>
        <w:rPr>
          <w:rFonts w:hint="eastAsia" w:ascii="宋体" w:hAnsi="宋体" w:eastAsiaTheme="minorEastAsia"/>
          <w:color w:val="auto"/>
          <w:highlight w:val="none"/>
          <w:u w:val="single"/>
          <w:lang w:val="en-US" w:eastAsia="zh-CN"/>
        </w:rPr>
        <w:t>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 xml:space="preserve">分。    </w:t>
      </w:r>
    </w:p>
    <w:p w14:paraId="2C70E16C">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6.4递交投标文件截止时间与开标时间是否有变化，请密切留意招标答疑中的相关信息。递交投标文件截止时间后，开标时间因故推迟的，相关评标信息仍以原递交投标文件截止时间的信息为准。</w:t>
      </w:r>
    </w:p>
    <w:p w14:paraId="65FE07A4">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6.5 逾期送达的电子投标文件，广州交易集团有限公司（广州公共资源交易中心）网站交易平台将予以拒收。</w:t>
      </w:r>
    </w:p>
    <w:p w14:paraId="22E6DBF4">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20661F2E">
      <w:pPr>
        <w:pStyle w:val="24"/>
        <w:spacing w:before="0" w:after="0" w:line="360" w:lineRule="auto"/>
        <w:outlineLvl w:val="9"/>
        <w:rPr>
          <w:color w:val="auto"/>
          <w:highlight w:val="none"/>
        </w:rPr>
      </w:pPr>
      <w:r>
        <w:rPr>
          <w:rFonts w:hint="eastAsia"/>
          <w:color w:val="auto"/>
          <w:highlight w:val="none"/>
        </w:rPr>
        <w:t>7. 发布公告的媒介</w:t>
      </w:r>
    </w:p>
    <w:p w14:paraId="0BDA41FC">
      <w:pPr>
        <w:kinsoku/>
        <w:wordWrap w:val="0"/>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本公告在广州交易集团有限公司（广州公共资源交易中心）网（网址：http://www.gzggzy.cn）、广东省招标投标监管网（网址： http://zbtb.gd.gov.cn/login）、中国招标投标公共服务平台（网址：</w:t>
      </w:r>
      <w:r>
        <w:rPr>
          <w:color w:val="auto"/>
          <w:highlight w:val="none"/>
        </w:rPr>
        <w:fldChar w:fldCharType="begin"/>
      </w:r>
      <w:r>
        <w:rPr>
          <w:color w:val="auto"/>
          <w:highlight w:val="none"/>
        </w:rPr>
        <w:instrText xml:space="preserve"> HYPERLINK "http://www.cebpubservice.com/）发布，本公告的修改、补充，在广州公共资源交易中心网站发布。" </w:instrText>
      </w:r>
      <w:r>
        <w:rPr>
          <w:color w:val="auto"/>
          <w:highlight w:val="none"/>
        </w:rPr>
        <w:fldChar w:fldCharType="separate"/>
      </w:r>
      <w:r>
        <w:rPr>
          <w:rFonts w:hint="eastAsia" w:ascii="宋体" w:hAnsi="宋体" w:eastAsia="宋体"/>
          <w:color w:val="auto"/>
          <w:highlight w:val="none"/>
        </w:rPr>
        <w:t>http://www.cebpubservice.com/）广州市增城区人民政府门户网站的“首页&gt;公开&gt;公共资源配置领域&gt;工程建设项目招投标等法定媒体发布，本公告的修改、补充，在广州交易集团有限公司（广州公共资源交易中心）网站发布。</w:t>
      </w:r>
      <w:r>
        <w:rPr>
          <w:rFonts w:hint="eastAsia" w:ascii="宋体" w:hAnsi="宋体" w:eastAsia="宋体"/>
          <w:color w:val="auto"/>
          <w:highlight w:val="none"/>
        </w:rPr>
        <w:fldChar w:fldCharType="end"/>
      </w:r>
    </w:p>
    <w:p w14:paraId="6A103536">
      <w:pPr>
        <w:pStyle w:val="24"/>
        <w:spacing w:before="0" w:after="0" w:line="360" w:lineRule="auto"/>
        <w:outlineLvl w:val="9"/>
        <w:rPr>
          <w:color w:val="auto"/>
          <w:highlight w:val="none"/>
        </w:rPr>
      </w:pPr>
      <w:bookmarkStart w:id="47" w:name="_Toc29364"/>
      <w:bookmarkStart w:id="48" w:name="_Toc8339"/>
      <w:bookmarkStart w:id="49" w:name="_Toc17336"/>
      <w:bookmarkStart w:id="50" w:name="_Toc21787632"/>
      <w:bookmarkStart w:id="51" w:name="_Toc8443"/>
      <w:bookmarkStart w:id="52" w:name="_Toc17357"/>
      <w:r>
        <w:rPr>
          <w:rFonts w:hint="eastAsia"/>
          <w:color w:val="auto"/>
          <w:highlight w:val="none"/>
        </w:rPr>
        <w:t>8. 资格审查方式</w:t>
      </w:r>
      <w:bookmarkEnd w:id="47"/>
      <w:bookmarkEnd w:id="48"/>
      <w:bookmarkEnd w:id="49"/>
      <w:bookmarkEnd w:id="50"/>
      <w:bookmarkEnd w:id="51"/>
      <w:bookmarkEnd w:id="52"/>
    </w:p>
    <w:p w14:paraId="04ED94D4">
      <w:pPr>
        <w:kinsoku/>
        <w:topLinePunct/>
        <w:autoSpaceDE/>
        <w:autoSpaceDN/>
        <w:spacing w:line="360" w:lineRule="auto"/>
        <w:ind w:firstLine="420" w:firstLineChars="200"/>
        <w:rPr>
          <w:rFonts w:ascii="宋体" w:hAnsi="宋体" w:eastAsia="宋体"/>
          <w:color w:val="auto"/>
          <w:highlight w:val="none"/>
        </w:rPr>
      </w:pPr>
      <w:bookmarkStart w:id="53" w:name="_Toc6681"/>
      <w:bookmarkStart w:id="54" w:name="_Toc12248"/>
      <w:bookmarkStart w:id="55" w:name="_Toc279"/>
      <w:r>
        <w:rPr>
          <w:rFonts w:hint="eastAsia" w:ascii="宋体" w:hAnsi="宋体" w:eastAsia="宋体"/>
          <w:color w:val="auto"/>
          <w:highlight w:val="none"/>
        </w:rPr>
        <w:t>8.1本工程采用资格后审方式，由评标委员会负责资格审查。</w:t>
      </w:r>
      <w:bookmarkEnd w:id="53"/>
      <w:bookmarkEnd w:id="54"/>
      <w:bookmarkEnd w:id="55"/>
    </w:p>
    <w:p w14:paraId="40C29D8C">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8.2资格审查结果将在广州交易集团有限公司（广州公共资源交易中心）网站和广东省招标投标监管网公示，公示时间不得少于3日，最后一天应为工作日。</w:t>
      </w:r>
    </w:p>
    <w:p w14:paraId="06592346">
      <w:pPr>
        <w:pStyle w:val="24"/>
        <w:spacing w:before="0" w:after="0" w:line="360" w:lineRule="auto"/>
        <w:outlineLvl w:val="9"/>
        <w:rPr>
          <w:color w:val="auto"/>
          <w:highlight w:val="none"/>
        </w:rPr>
      </w:pPr>
      <w:bookmarkStart w:id="56" w:name="_Toc217"/>
      <w:bookmarkStart w:id="57" w:name="_Toc24569"/>
      <w:bookmarkStart w:id="58" w:name="_Toc10143"/>
      <w:bookmarkStart w:id="59" w:name="_Toc5540"/>
      <w:bookmarkStart w:id="60" w:name="_Toc21787635"/>
      <w:bookmarkStart w:id="61" w:name="_Toc24417"/>
      <w:r>
        <w:rPr>
          <w:rFonts w:hint="eastAsia"/>
          <w:color w:val="auto"/>
          <w:highlight w:val="none"/>
        </w:rPr>
        <w:t>9. 疑问、异议、投诉处理</w:t>
      </w:r>
      <w:bookmarkEnd w:id="56"/>
      <w:bookmarkEnd w:id="57"/>
      <w:bookmarkEnd w:id="58"/>
      <w:bookmarkEnd w:id="59"/>
      <w:bookmarkEnd w:id="60"/>
      <w:bookmarkEnd w:id="61"/>
    </w:p>
    <w:p w14:paraId="0B2B32F1">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62A10048">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8DB00F4">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52FDADA9">
      <w:pPr>
        <w:kinsoku/>
        <w:topLinePunct/>
        <w:autoSpaceDE/>
        <w:autoSpaceDN/>
        <w:spacing w:line="360" w:lineRule="auto"/>
        <w:ind w:firstLine="420" w:firstLineChars="200"/>
        <w:rPr>
          <w:rFonts w:ascii="宋体" w:hAnsi="宋体" w:eastAsia="宋体"/>
          <w:color w:val="auto"/>
          <w:highlight w:val="none"/>
        </w:rPr>
      </w:pPr>
      <w:r>
        <w:rPr>
          <w:rFonts w:ascii="宋体" w:hAnsi="宋体" w:eastAsia="宋体"/>
          <w:color w:val="auto"/>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FB5DC87">
      <w:pPr>
        <w:kinsoku/>
        <w:topLinePunct/>
        <w:autoSpaceDE/>
        <w:autoSpaceDN/>
        <w:spacing w:line="360" w:lineRule="auto"/>
        <w:ind w:firstLine="420" w:firstLineChars="200"/>
        <w:rPr>
          <w:rFonts w:ascii="宋体" w:hAnsi="宋体" w:eastAsia="宋体"/>
          <w:color w:val="auto"/>
          <w:highlight w:val="none"/>
        </w:rPr>
      </w:pPr>
      <w:r>
        <w:rPr>
          <w:rFonts w:ascii="宋体" w:hAnsi="宋体" w:eastAsia="宋体"/>
          <w:color w:val="auto"/>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E41735A">
      <w:pPr>
        <w:kinsoku/>
        <w:topLinePunct/>
        <w:autoSpaceDE/>
        <w:autoSpaceDN/>
        <w:spacing w:before="120" w:after="120" w:line="360" w:lineRule="auto"/>
        <w:rPr>
          <w:rFonts w:ascii="宋体" w:hAnsi="宋体" w:eastAsia="宋体"/>
          <w:b/>
          <w:color w:val="auto"/>
          <w:sz w:val="28"/>
          <w:szCs w:val="24"/>
          <w:highlight w:val="none"/>
        </w:rPr>
      </w:pPr>
      <w:r>
        <w:rPr>
          <w:rFonts w:hint="eastAsia" w:ascii="宋体" w:hAnsi="宋体" w:eastAsia="宋体"/>
          <w:b/>
          <w:color w:val="auto"/>
          <w:sz w:val="28"/>
          <w:szCs w:val="24"/>
          <w:highlight w:val="none"/>
        </w:rPr>
        <w:t xml:space="preserve">10. </w:t>
      </w:r>
      <w:r>
        <w:rPr>
          <w:rFonts w:hint="eastAsia" w:ascii="宋体" w:hAnsi="宋体" w:eastAsia="宋体"/>
          <w:color w:val="auto"/>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B93E2BF">
      <w:pPr>
        <w:pStyle w:val="24"/>
        <w:spacing w:before="0" w:after="0" w:line="360" w:lineRule="auto"/>
        <w:outlineLvl w:val="9"/>
        <w:rPr>
          <w:color w:val="auto"/>
          <w:highlight w:val="none"/>
        </w:rPr>
      </w:pPr>
      <w:bookmarkStart w:id="62" w:name="_Toc18047"/>
      <w:bookmarkStart w:id="63" w:name="_Toc1700"/>
      <w:r>
        <w:rPr>
          <w:rFonts w:hint="eastAsia"/>
          <w:color w:val="auto"/>
          <w:highlight w:val="none"/>
        </w:rPr>
        <w:t>11. 联系方式</w:t>
      </w:r>
      <w:bookmarkEnd w:id="62"/>
      <w:bookmarkEnd w:id="63"/>
    </w:p>
    <w:p w14:paraId="2CCDDEA7">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招标单位：</w:t>
      </w:r>
      <w:r>
        <w:rPr>
          <w:rFonts w:hint="eastAsia"/>
          <w:bCs/>
          <w:color w:val="auto"/>
          <w:szCs w:val="32"/>
          <w:highlight w:val="none"/>
          <w:u w:val="single"/>
        </w:rPr>
        <w:t>广州市增城区新塘镇人民政府</w:t>
      </w:r>
    </w:p>
    <w:p w14:paraId="25A97113">
      <w:pPr>
        <w:kinsoku/>
        <w:topLinePunct/>
        <w:autoSpaceDE/>
        <w:autoSpaceDN/>
        <w:spacing w:line="360" w:lineRule="auto"/>
        <w:ind w:firstLine="420" w:firstLineChars="200"/>
        <w:rPr>
          <w:rFonts w:hint="default" w:ascii="宋体" w:hAnsi="宋体" w:eastAsia="宋体"/>
          <w:color w:val="auto"/>
          <w:highlight w:val="none"/>
          <w:u w:val="single"/>
          <w:lang w:val="en-US" w:eastAsia="zh-CN"/>
        </w:rPr>
      </w:pPr>
      <w:r>
        <w:rPr>
          <w:rFonts w:hint="eastAsia" w:ascii="宋体" w:hAnsi="宋体" w:eastAsia="宋体"/>
          <w:color w:val="auto"/>
          <w:highlight w:val="none"/>
        </w:rPr>
        <w:t>联系人：</w:t>
      </w:r>
      <w:r>
        <w:rPr>
          <w:rFonts w:hint="eastAsia" w:ascii="宋体" w:hAnsi="宋体" w:eastAsia="宋体"/>
          <w:color w:val="auto"/>
          <w:highlight w:val="none"/>
          <w:u w:val="single"/>
          <w:lang w:val="en-US" w:eastAsia="zh-CN"/>
        </w:rPr>
        <w:t>何工</w:t>
      </w:r>
      <w:r>
        <w:rPr>
          <w:rFonts w:hint="eastAsia" w:ascii="宋体" w:hAnsi="宋体" w:eastAsia="宋体"/>
          <w:color w:val="auto"/>
          <w:highlight w:val="none"/>
        </w:rPr>
        <w:t xml:space="preserve">          联系电话：</w:t>
      </w:r>
      <w:r>
        <w:rPr>
          <w:rFonts w:ascii="宋体" w:hAnsi="宋体" w:eastAsia="宋体"/>
          <w:color w:val="auto"/>
          <w:highlight w:val="none"/>
          <w:u w:val="single"/>
        </w:rPr>
        <w:t>020-</w:t>
      </w:r>
      <w:r>
        <w:rPr>
          <w:rFonts w:hint="eastAsia" w:ascii="宋体" w:hAnsi="宋体" w:eastAsia="宋体"/>
          <w:color w:val="auto"/>
          <w:highlight w:val="none"/>
          <w:u w:val="single"/>
          <w:lang w:val="en-US" w:eastAsia="zh-CN"/>
        </w:rPr>
        <w:t>82770283</w:t>
      </w:r>
    </w:p>
    <w:p w14:paraId="5FE7141B">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项目建设管理单位：</w:t>
      </w:r>
      <w:r>
        <w:rPr>
          <w:rFonts w:hint="eastAsia" w:ascii="宋体" w:hAnsi="宋体" w:eastAsia="宋体"/>
          <w:color w:val="auto"/>
          <w:highlight w:val="none"/>
          <w:u w:val="single"/>
        </w:rPr>
        <w:t>/</w:t>
      </w:r>
    </w:p>
    <w:p w14:paraId="6DE39056">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w:t>
      </w:r>
    </w:p>
    <w:p w14:paraId="0AA76EE8">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招标代理机构：</w:t>
      </w:r>
      <w:r>
        <w:rPr>
          <w:rFonts w:hint="eastAsia" w:ascii="宋体" w:hAnsi="宋体" w:eastAsia="宋体"/>
          <w:color w:val="auto"/>
          <w:highlight w:val="none"/>
          <w:u w:val="single"/>
        </w:rPr>
        <w:t>广东竞采招标采购有限公司</w:t>
      </w:r>
      <w:r>
        <w:rPr>
          <w:rFonts w:hint="eastAsia"/>
          <w:bCs/>
          <w:color w:val="auto"/>
          <w:szCs w:val="32"/>
          <w:highlight w:val="none"/>
          <w:u w:val="single"/>
        </w:rPr>
        <w:t xml:space="preserve"> </w:t>
      </w:r>
    </w:p>
    <w:p w14:paraId="2198D26A">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黄工</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020-89853375</w:t>
      </w:r>
    </w:p>
    <w:p w14:paraId="579BC984">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招标监督机构：</w:t>
      </w:r>
      <w:r>
        <w:rPr>
          <w:rFonts w:hint="eastAsia" w:ascii="宋体" w:hAnsi="宋体" w:eastAsia="宋体"/>
          <w:color w:val="auto"/>
          <w:highlight w:val="none"/>
          <w:u w:val="single"/>
        </w:rPr>
        <w:t>广州市增城区水务局</w:t>
      </w:r>
    </w:p>
    <w:p w14:paraId="66DE7635">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监督电话：</w:t>
      </w:r>
      <w:r>
        <w:rPr>
          <w:rFonts w:hint="eastAsia" w:ascii="宋体" w:hAnsi="宋体" w:eastAsia="宋体"/>
          <w:color w:val="auto"/>
          <w:highlight w:val="none"/>
          <w:u w:val="single"/>
        </w:rPr>
        <w:t>020-82639502</w:t>
      </w:r>
    </w:p>
    <w:p w14:paraId="481BE11A">
      <w:pPr>
        <w:tabs>
          <w:tab w:val="left" w:pos="5747"/>
        </w:tabs>
        <w:spacing w:before="68" w:line="360" w:lineRule="auto"/>
        <w:ind w:left="5003"/>
        <w:rPr>
          <w:rFonts w:ascii="宋体" w:hAnsi="宋体" w:eastAsia="宋体"/>
          <w:color w:val="auto"/>
          <w:highlight w:val="none"/>
          <w:u w:val="single"/>
        </w:rPr>
      </w:pPr>
    </w:p>
    <w:p w14:paraId="2292E0FA">
      <w:pPr>
        <w:tabs>
          <w:tab w:val="left" w:pos="5747"/>
        </w:tabs>
        <w:spacing w:before="68" w:line="360" w:lineRule="auto"/>
        <w:ind w:left="5003"/>
        <w:rPr>
          <w:rFonts w:ascii="宋体" w:hAnsi="宋体" w:eastAsia="宋体"/>
          <w:color w:val="auto"/>
          <w:highlight w:val="none"/>
          <w:u w:val="single"/>
        </w:rPr>
      </w:pPr>
    </w:p>
    <w:p w14:paraId="03295BE6">
      <w:pPr>
        <w:tabs>
          <w:tab w:val="left" w:pos="5747"/>
        </w:tabs>
        <w:spacing w:before="68" w:line="360" w:lineRule="auto"/>
        <w:ind w:left="5003"/>
        <w:rPr>
          <w:rFonts w:ascii="宋体" w:hAnsi="宋体" w:eastAsia="宋体"/>
          <w:color w:val="auto"/>
          <w:highlight w:val="none"/>
          <w:u w:val="single"/>
        </w:rPr>
      </w:pPr>
      <w:r>
        <w:rPr>
          <w:rFonts w:hint="eastAsia" w:ascii="宋体" w:hAnsi="宋体" w:eastAsia="宋体"/>
          <w:color w:val="auto"/>
          <w:highlight w:val="none"/>
          <w:u w:val="single"/>
        </w:rPr>
        <w:t>202</w:t>
      </w:r>
      <w:r>
        <w:rPr>
          <w:rFonts w:hint="eastAsia" w:ascii="宋体" w:hAnsi="宋体" w:eastAsia="宋体"/>
          <w:color w:val="auto"/>
          <w:highlight w:val="none"/>
          <w:u w:val="single"/>
          <w:lang w:val="en-US" w:eastAsia="zh-CN"/>
        </w:rPr>
        <w:t xml:space="preserve">5 </w:t>
      </w:r>
      <w:r>
        <w:rPr>
          <w:rFonts w:hint="eastAsia" w:ascii="宋体" w:hAnsi="宋体" w:eastAsia="宋体"/>
          <w:color w:val="auto"/>
          <w:spacing w:val="3"/>
          <w:highlight w:val="none"/>
        </w:rPr>
        <w:t>年</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月</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日</w:t>
      </w:r>
    </w:p>
    <w:p w14:paraId="05FF23C4">
      <w:pPr>
        <w:spacing w:line="360" w:lineRule="auto"/>
        <w:rPr>
          <w:rFonts w:ascii="宋体" w:hAnsi="宋体" w:eastAsia="宋体"/>
          <w:color w:val="auto"/>
          <w:highlight w:val="none"/>
        </w:rPr>
        <w:sectPr>
          <w:footerReference r:id="rId6" w:type="default"/>
          <w:pgSz w:w="11906" w:h="16838"/>
          <w:pgMar w:top="1346" w:right="1250" w:bottom="1103" w:left="1836" w:header="0" w:footer="940" w:gutter="0"/>
          <w:cols w:space="720" w:num="1"/>
        </w:sectPr>
      </w:pPr>
    </w:p>
    <w:p w14:paraId="3DF54856">
      <w:pPr>
        <w:pStyle w:val="23"/>
        <w:rPr>
          <w:rFonts w:ascii="宋体" w:hAnsi="宋体"/>
          <w:color w:val="auto"/>
          <w:spacing w:val="14"/>
          <w:sz w:val="43"/>
          <w:szCs w:val="43"/>
          <w:highlight w:val="none"/>
        </w:rPr>
      </w:pPr>
      <w:bookmarkStart w:id="64" w:name="_Toc183207162"/>
      <w:bookmarkStart w:id="65" w:name="_Toc799"/>
      <w:bookmarkStart w:id="66" w:name="_Toc18831"/>
      <w:bookmarkStart w:id="67" w:name="_Toc23846"/>
      <w:r>
        <w:rPr>
          <w:rFonts w:ascii="宋体" w:hAnsi="宋体"/>
          <w:color w:val="auto"/>
          <w:spacing w:val="14"/>
          <w:sz w:val="43"/>
          <w:szCs w:val="43"/>
          <w:highlight w:val="none"/>
        </w:rPr>
        <w:t>第</w:t>
      </w:r>
      <w:r>
        <w:rPr>
          <w:rFonts w:ascii="宋体" w:hAnsi="宋体"/>
          <w:color w:val="auto"/>
          <w:spacing w:val="9"/>
          <w:sz w:val="43"/>
          <w:szCs w:val="43"/>
          <w:highlight w:val="none"/>
        </w:rPr>
        <w:t>二章投标人须知</w:t>
      </w:r>
      <w:bookmarkEnd w:id="64"/>
      <w:bookmarkEnd w:id="65"/>
      <w:bookmarkEnd w:id="66"/>
      <w:bookmarkEnd w:id="67"/>
    </w:p>
    <w:p w14:paraId="6BFA23CE">
      <w:pPr>
        <w:spacing w:line="263" w:lineRule="auto"/>
        <w:rPr>
          <w:color w:val="auto"/>
          <w:highlight w:val="none"/>
        </w:rPr>
      </w:pPr>
    </w:p>
    <w:p w14:paraId="5B0477CD">
      <w:pPr>
        <w:jc w:val="center"/>
        <w:rPr>
          <w:rFonts w:ascii="黑体" w:hAnsi="黑体" w:eastAsia="黑体"/>
          <w:color w:val="auto"/>
          <w:spacing w:val="10"/>
          <w:sz w:val="31"/>
          <w:szCs w:val="31"/>
          <w:highlight w:val="none"/>
        </w:rPr>
      </w:pPr>
      <w:bookmarkStart w:id="68" w:name="_Toc13454"/>
      <w:bookmarkStart w:id="69" w:name="_Toc22800"/>
      <w:bookmarkStart w:id="70" w:name="_Toc22370"/>
      <w:bookmarkStart w:id="71" w:name="_Toc22412"/>
      <w:bookmarkStart w:id="72" w:name="_Toc30811"/>
      <w:bookmarkStart w:id="73" w:name="_Toc29587"/>
      <w:r>
        <w:rPr>
          <w:rFonts w:ascii="黑体" w:hAnsi="黑体" w:eastAsia="黑体"/>
          <w:color w:val="auto"/>
          <w:spacing w:val="10"/>
          <w:sz w:val="31"/>
          <w:szCs w:val="31"/>
          <w:highlight w:val="none"/>
        </w:rPr>
        <w:t>投标人须知前附表</w:t>
      </w:r>
      <w:bookmarkEnd w:id="68"/>
      <w:bookmarkEnd w:id="69"/>
      <w:bookmarkEnd w:id="70"/>
      <w:bookmarkEnd w:id="71"/>
      <w:bookmarkEnd w:id="72"/>
      <w:bookmarkEnd w:id="73"/>
    </w:p>
    <w:p w14:paraId="0AE53CB5">
      <w:pPr>
        <w:rPr>
          <w:color w:val="auto"/>
          <w:highlight w:val="none"/>
        </w:rPr>
      </w:pPr>
    </w:p>
    <w:p w14:paraId="282C6119">
      <w:pPr>
        <w:rPr>
          <w:color w:val="auto"/>
          <w:highlight w:val="none"/>
        </w:rPr>
      </w:pPr>
    </w:p>
    <w:p w14:paraId="5F35ABDE">
      <w:pPr>
        <w:spacing w:line="62" w:lineRule="exact"/>
        <w:rPr>
          <w:color w:val="auto"/>
          <w:highlight w:val="none"/>
        </w:rPr>
      </w:pPr>
    </w:p>
    <w:tbl>
      <w:tblPr>
        <w:tblStyle w:val="18"/>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547"/>
        <w:gridCol w:w="4610"/>
      </w:tblGrid>
      <w:tr w14:paraId="17230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blHeader/>
        </w:trPr>
        <w:tc>
          <w:tcPr>
            <w:tcW w:w="1169" w:type="dxa"/>
          </w:tcPr>
          <w:p w14:paraId="23EE6FBF">
            <w:pPr>
              <w:spacing w:before="174" w:line="220" w:lineRule="auto"/>
              <w:ind w:left="276"/>
              <w:rPr>
                <w:rFonts w:ascii="宋体" w:hAnsi="宋体" w:eastAsia="宋体"/>
                <w:color w:val="auto"/>
                <w:spacing w:val="-3"/>
                <w:highlight w:val="none"/>
              </w:rPr>
            </w:pPr>
            <w:r>
              <w:rPr>
                <w:rFonts w:ascii="宋体" w:hAnsi="宋体" w:eastAsia="宋体"/>
                <w:color w:val="auto"/>
                <w:spacing w:val="-3"/>
                <w:highlight w:val="none"/>
              </w:rPr>
              <w:t>条款号</w:t>
            </w:r>
          </w:p>
        </w:tc>
        <w:tc>
          <w:tcPr>
            <w:tcW w:w="3547" w:type="dxa"/>
          </w:tcPr>
          <w:p w14:paraId="2D5AE8A6">
            <w:pPr>
              <w:spacing w:before="174" w:line="220" w:lineRule="auto"/>
              <w:ind w:left="1537"/>
              <w:rPr>
                <w:rFonts w:ascii="宋体" w:hAnsi="宋体" w:eastAsia="宋体"/>
                <w:color w:val="auto"/>
                <w:spacing w:val="-2"/>
                <w:highlight w:val="none"/>
              </w:rPr>
            </w:pPr>
            <w:r>
              <w:rPr>
                <w:rFonts w:ascii="宋体" w:hAnsi="宋体" w:eastAsia="宋体"/>
                <w:color w:val="auto"/>
                <w:spacing w:val="-2"/>
                <w:highlight w:val="none"/>
              </w:rPr>
              <w:t>条款名称</w:t>
            </w:r>
          </w:p>
        </w:tc>
        <w:tc>
          <w:tcPr>
            <w:tcW w:w="4610" w:type="dxa"/>
          </w:tcPr>
          <w:p w14:paraId="4109BEEC">
            <w:pPr>
              <w:spacing w:before="174" w:line="220" w:lineRule="auto"/>
              <w:ind w:left="1712"/>
              <w:rPr>
                <w:rFonts w:ascii="宋体" w:hAnsi="宋体" w:eastAsia="宋体"/>
                <w:color w:val="auto"/>
                <w:spacing w:val="-2"/>
                <w:highlight w:val="none"/>
              </w:rPr>
            </w:pPr>
            <w:r>
              <w:rPr>
                <w:rFonts w:ascii="宋体" w:hAnsi="宋体" w:eastAsia="宋体"/>
                <w:color w:val="auto"/>
                <w:spacing w:val="-2"/>
                <w:highlight w:val="none"/>
              </w:rPr>
              <w:t>编列内容</w:t>
            </w:r>
          </w:p>
        </w:tc>
      </w:tr>
      <w:tr w14:paraId="49C6C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tcPr>
          <w:p w14:paraId="2DDFBCBC">
            <w:pPr>
              <w:spacing w:line="267" w:lineRule="auto"/>
              <w:rPr>
                <w:color w:val="auto"/>
                <w:highlight w:val="none"/>
              </w:rPr>
            </w:pPr>
          </w:p>
          <w:p w14:paraId="2AF6F87B">
            <w:pPr>
              <w:spacing w:line="268" w:lineRule="auto"/>
              <w:rPr>
                <w:color w:val="auto"/>
                <w:highlight w:val="none"/>
              </w:rPr>
            </w:pPr>
          </w:p>
          <w:p w14:paraId="385176D1">
            <w:pPr>
              <w:spacing w:line="268" w:lineRule="auto"/>
              <w:rPr>
                <w:color w:val="auto"/>
                <w:highlight w:val="none"/>
              </w:rPr>
            </w:pPr>
          </w:p>
          <w:p w14:paraId="03EF93DB">
            <w:pPr>
              <w:spacing w:before="6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.1.2</w:t>
            </w:r>
          </w:p>
        </w:tc>
        <w:tc>
          <w:tcPr>
            <w:tcW w:w="3547" w:type="dxa"/>
          </w:tcPr>
          <w:p w14:paraId="536FC715">
            <w:pPr>
              <w:spacing w:line="252" w:lineRule="auto"/>
              <w:rPr>
                <w:color w:val="auto"/>
                <w:highlight w:val="none"/>
              </w:rPr>
            </w:pPr>
          </w:p>
          <w:p w14:paraId="3537A761">
            <w:pPr>
              <w:spacing w:line="252" w:lineRule="auto"/>
              <w:rPr>
                <w:color w:val="auto"/>
                <w:highlight w:val="none"/>
              </w:rPr>
            </w:pPr>
          </w:p>
          <w:p w14:paraId="718386AE">
            <w:pPr>
              <w:spacing w:line="253" w:lineRule="auto"/>
              <w:rPr>
                <w:color w:val="auto"/>
                <w:highlight w:val="none"/>
              </w:rPr>
            </w:pPr>
          </w:p>
          <w:p w14:paraId="6B8DF95D">
            <w:pPr>
              <w:spacing w:before="68" w:line="221" w:lineRule="auto"/>
              <w:ind w:left="1641"/>
              <w:rPr>
                <w:rFonts w:ascii="宋体" w:hAnsi="宋体" w:eastAsia="宋体"/>
                <w:color w:val="auto"/>
                <w:spacing w:val="-3"/>
                <w:highlight w:val="none"/>
              </w:rPr>
            </w:pPr>
            <w:r>
              <w:rPr>
                <w:rFonts w:ascii="宋体" w:hAnsi="宋体" w:eastAsia="宋体"/>
                <w:color w:val="auto"/>
                <w:spacing w:val="-3"/>
                <w:highlight w:val="none"/>
              </w:rPr>
              <w:t>招</w:t>
            </w:r>
            <w:r>
              <w:rPr>
                <w:rFonts w:ascii="宋体" w:hAnsi="宋体" w:eastAsia="宋体"/>
                <w:color w:val="auto"/>
                <w:spacing w:val="-2"/>
                <w:highlight w:val="none"/>
              </w:rPr>
              <w:t>标人</w:t>
            </w:r>
          </w:p>
        </w:tc>
        <w:tc>
          <w:tcPr>
            <w:tcW w:w="4610" w:type="dxa"/>
          </w:tcPr>
          <w:p w14:paraId="11E29F74">
            <w:pPr>
              <w:spacing w:before="170" w:line="440" w:lineRule="exact"/>
              <w:ind w:left="105" w:leftChars="50" w:right="105" w:rightChars="50"/>
              <w:rPr>
                <w:rFonts w:ascii="宋体" w:hAnsi="宋体" w:eastAsia="宋体"/>
                <w:color w:val="auto"/>
                <w:spacing w:val="-14"/>
                <w:position w:val="17"/>
                <w:highlight w:val="none"/>
                <w:u w:val="single"/>
              </w:rPr>
            </w:pPr>
            <w:r>
              <w:rPr>
                <w:rFonts w:ascii="宋体" w:hAnsi="宋体" w:eastAsia="宋体"/>
                <w:color w:val="auto"/>
                <w:spacing w:val="-14"/>
                <w:position w:val="17"/>
                <w:highlight w:val="none"/>
              </w:rPr>
              <w:t>名</w:t>
            </w:r>
            <w:r>
              <w:rPr>
                <w:rFonts w:ascii="宋体" w:hAnsi="宋体" w:eastAsia="宋体"/>
                <w:color w:val="auto"/>
                <w:spacing w:val="-13"/>
                <w:position w:val="17"/>
                <w:highlight w:val="none"/>
              </w:rPr>
              <w:t>称：</w:t>
            </w:r>
            <w:r>
              <w:rPr>
                <w:rFonts w:hint="eastAsia" w:ascii="宋体" w:hAnsi="宋体" w:eastAsia="宋体"/>
                <w:color w:val="auto"/>
                <w:spacing w:val="-13"/>
                <w:position w:val="17"/>
                <w:highlight w:val="none"/>
                <w:u w:val="single"/>
              </w:rPr>
              <w:t xml:space="preserve">广州市增城区新塘镇人民政府 </w:t>
            </w:r>
          </w:p>
          <w:p w14:paraId="173B65E7">
            <w:pPr>
              <w:spacing w:line="229" w:lineRule="auto"/>
              <w:ind w:left="105" w:leftChars="50" w:right="105" w:rightChars="50"/>
              <w:rPr>
                <w:rFonts w:hint="eastAsia" w:ascii="宋体" w:hAnsi="宋体" w:eastAsia="宋体"/>
                <w:color w:val="auto"/>
                <w:spacing w:val="-14"/>
                <w:highlight w:val="none"/>
                <w:lang w:eastAsia="zh-CN"/>
              </w:rPr>
            </w:pPr>
            <w:r>
              <w:rPr>
                <w:rFonts w:ascii="宋体" w:hAnsi="宋体" w:eastAsia="宋体"/>
                <w:color w:val="auto"/>
                <w:spacing w:val="-14"/>
                <w:highlight w:val="none"/>
              </w:rPr>
              <w:t>地</w:t>
            </w:r>
            <w:r>
              <w:rPr>
                <w:rFonts w:ascii="宋体" w:hAnsi="宋体" w:eastAsia="宋体"/>
                <w:color w:val="auto"/>
                <w:spacing w:val="-12"/>
                <w:highlight w:val="none"/>
              </w:rPr>
              <w:t>址：</w:t>
            </w:r>
            <w:r>
              <w:rPr>
                <w:rFonts w:hint="eastAsia" w:ascii="宋体" w:hAnsi="宋体" w:eastAsia="宋体"/>
                <w:color w:val="auto"/>
                <w:spacing w:val="-12"/>
                <w:highlight w:val="none"/>
                <w:u w:val="single"/>
                <w:lang w:eastAsia="zh-CN"/>
              </w:rPr>
              <w:t>广州市增城区新塘镇府前路38号</w:t>
            </w:r>
          </w:p>
          <w:p w14:paraId="46BC2A83">
            <w:pPr>
              <w:spacing w:before="178" w:line="288" w:lineRule="auto"/>
              <w:ind w:left="105" w:leftChars="50" w:right="105" w:rightChars="50"/>
              <w:rPr>
                <w:rFonts w:ascii="宋体" w:hAnsi="宋体" w:eastAsia="宋体"/>
                <w:color w:val="auto"/>
                <w:spacing w:val="-13"/>
                <w:highlight w:val="none"/>
              </w:rPr>
            </w:pPr>
            <w:r>
              <w:rPr>
                <w:rFonts w:ascii="宋体" w:hAnsi="宋体" w:eastAsia="宋体"/>
                <w:color w:val="auto"/>
                <w:spacing w:val="-13"/>
                <w:highlight w:val="none"/>
              </w:rPr>
              <w:t>联</w:t>
            </w:r>
            <w:r>
              <w:rPr>
                <w:rFonts w:ascii="宋体" w:hAnsi="宋体" w:eastAsia="宋体"/>
                <w:color w:val="auto"/>
                <w:spacing w:val="-10"/>
                <w:highlight w:val="none"/>
              </w:rPr>
              <w:t>系人：</w:t>
            </w:r>
            <w:r>
              <w:rPr>
                <w:rFonts w:hint="eastAsia" w:ascii="宋体" w:hAnsi="宋体" w:eastAsia="宋体"/>
                <w:color w:val="auto"/>
                <w:spacing w:val="-12"/>
                <w:highlight w:val="none"/>
                <w:u w:val="single"/>
                <w:lang w:val="en-US" w:eastAsia="zh-CN"/>
              </w:rPr>
              <w:t>何工</w:t>
            </w:r>
          </w:p>
          <w:p w14:paraId="06F6455B">
            <w:pPr>
              <w:spacing w:before="188" w:line="222" w:lineRule="auto"/>
              <w:ind w:left="105" w:leftChars="50" w:right="105" w:rightChars="50"/>
              <w:rPr>
                <w:rFonts w:ascii="宋体" w:hAnsi="宋体" w:eastAsia="宋体"/>
                <w:color w:val="auto"/>
                <w:spacing w:val="-19"/>
                <w:highlight w:val="none"/>
              </w:rPr>
            </w:pPr>
            <w:r>
              <w:rPr>
                <w:rFonts w:ascii="宋体" w:hAnsi="宋体" w:eastAsia="宋体"/>
                <w:color w:val="auto"/>
                <w:spacing w:val="-19"/>
                <w:highlight w:val="none"/>
              </w:rPr>
              <w:t>电</w:t>
            </w:r>
            <w:r>
              <w:rPr>
                <w:rFonts w:ascii="宋体" w:hAnsi="宋体" w:eastAsia="宋体"/>
                <w:color w:val="auto"/>
                <w:spacing w:val="-18"/>
                <w:highlight w:val="none"/>
              </w:rPr>
              <w:t>话：</w:t>
            </w:r>
            <w:r>
              <w:rPr>
                <w:rFonts w:ascii="宋体" w:hAnsi="宋体" w:eastAsia="宋体"/>
                <w:color w:val="auto"/>
                <w:spacing w:val="-12"/>
                <w:highlight w:val="none"/>
                <w:u w:val="single"/>
              </w:rPr>
              <w:t>020-</w:t>
            </w:r>
            <w:r>
              <w:rPr>
                <w:rFonts w:hint="eastAsia" w:ascii="宋体" w:hAnsi="宋体" w:eastAsia="宋体"/>
                <w:color w:val="auto"/>
                <w:spacing w:val="-12"/>
                <w:highlight w:val="none"/>
                <w:u w:val="single"/>
              </w:rPr>
              <w:t>82770283</w:t>
            </w:r>
          </w:p>
        </w:tc>
      </w:tr>
      <w:tr w14:paraId="57334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tcPr>
          <w:p w14:paraId="114A60FF">
            <w:pPr>
              <w:spacing w:line="268" w:lineRule="auto"/>
              <w:rPr>
                <w:color w:val="auto"/>
                <w:highlight w:val="none"/>
              </w:rPr>
            </w:pPr>
          </w:p>
          <w:p w14:paraId="6A046443">
            <w:pPr>
              <w:spacing w:line="268" w:lineRule="auto"/>
              <w:rPr>
                <w:color w:val="auto"/>
                <w:highlight w:val="none"/>
              </w:rPr>
            </w:pPr>
          </w:p>
          <w:p w14:paraId="5475D7A8">
            <w:pPr>
              <w:spacing w:line="268" w:lineRule="auto"/>
              <w:rPr>
                <w:color w:val="auto"/>
                <w:highlight w:val="none"/>
              </w:rPr>
            </w:pPr>
          </w:p>
          <w:p w14:paraId="60F0C502">
            <w:pPr>
              <w:spacing w:before="6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.1.3</w:t>
            </w:r>
          </w:p>
        </w:tc>
        <w:tc>
          <w:tcPr>
            <w:tcW w:w="3547" w:type="dxa"/>
          </w:tcPr>
          <w:p w14:paraId="5464ADD5">
            <w:pPr>
              <w:spacing w:line="252" w:lineRule="auto"/>
              <w:rPr>
                <w:color w:val="auto"/>
                <w:highlight w:val="none"/>
              </w:rPr>
            </w:pPr>
          </w:p>
          <w:p w14:paraId="3BB1A7F9">
            <w:pPr>
              <w:spacing w:line="253" w:lineRule="auto"/>
              <w:rPr>
                <w:color w:val="auto"/>
                <w:highlight w:val="none"/>
              </w:rPr>
            </w:pPr>
          </w:p>
          <w:p w14:paraId="0CB43EED">
            <w:pPr>
              <w:spacing w:line="253" w:lineRule="auto"/>
              <w:rPr>
                <w:color w:val="auto"/>
                <w:highlight w:val="none"/>
              </w:rPr>
            </w:pPr>
          </w:p>
          <w:p w14:paraId="75F17137">
            <w:pPr>
              <w:spacing w:before="68" w:line="219" w:lineRule="auto"/>
              <w:ind w:left="1326"/>
              <w:rPr>
                <w:rFonts w:ascii="宋体" w:hAnsi="宋体" w:eastAsia="宋体"/>
                <w:color w:val="auto"/>
                <w:spacing w:val="-2"/>
                <w:highlight w:val="none"/>
              </w:rPr>
            </w:pPr>
            <w:r>
              <w:rPr>
                <w:rFonts w:ascii="宋体" w:hAnsi="宋体" w:eastAsia="宋体"/>
                <w:color w:val="auto"/>
                <w:spacing w:val="-2"/>
                <w:highlight w:val="none"/>
              </w:rPr>
              <w:t>招标</w:t>
            </w:r>
            <w:r>
              <w:rPr>
                <w:rFonts w:ascii="宋体" w:hAnsi="宋体" w:eastAsia="宋体"/>
                <w:color w:val="auto"/>
                <w:spacing w:val="-1"/>
                <w:highlight w:val="none"/>
              </w:rPr>
              <w:t>代理机构</w:t>
            </w:r>
          </w:p>
        </w:tc>
        <w:tc>
          <w:tcPr>
            <w:tcW w:w="4610" w:type="dxa"/>
          </w:tcPr>
          <w:p w14:paraId="44C85333">
            <w:pPr>
              <w:spacing w:before="188" w:line="222" w:lineRule="auto"/>
              <w:ind w:left="105" w:leftChars="50" w:right="105" w:rightChars="50"/>
              <w:rPr>
                <w:rFonts w:ascii="宋体" w:hAnsi="宋体" w:eastAsia="宋体"/>
                <w:color w:val="auto"/>
                <w:spacing w:val="-14"/>
                <w:position w:val="17"/>
                <w:highlight w:val="none"/>
              </w:rPr>
            </w:pPr>
            <w:r>
              <w:rPr>
                <w:rFonts w:ascii="宋体" w:hAnsi="宋体" w:eastAsia="宋体"/>
                <w:color w:val="auto"/>
                <w:spacing w:val="-14"/>
                <w:position w:val="17"/>
                <w:highlight w:val="none"/>
              </w:rPr>
              <w:t>名</w:t>
            </w:r>
            <w:r>
              <w:rPr>
                <w:rFonts w:ascii="宋体" w:hAnsi="宋体" w:eastAsia="宋体"/>
                <w:color w:val="auto"/>
                <w:spacing w:val="-13"/>
                <w:position w:val="17"/>
                <w:highlight w:val="none"/>
              </w:rPr>
              <w:t>称：</w:t>
            </w:r>
            <w:r>
              <w:rPr>
                <w:rFonts w:hint="eastAsia" w:ascii="宋体" w:hAnsi="宋体" w:eastAsia="宋体"/>
                <w:color w:val="auto"/>
                <w:spacing w:val="-13"/>
                <w:position w:val="17"/>
                <w:highlight w:val="none"/>
              </w:rPr>
              <w:t>广东竞采招标采购有限公司</w:t>
            </w:r>
          </w:p>
          <w:p w14:paraId="4A2A10E9">
            <w:pPr>
              <w:spacing w:before="188" w:line="222" w:lineRule="auto"/>
              <w:ind w:left="105" w:leftChars="50" w:right="105" w:rightChars="50"/>
              <w:rPr>
                <w:rFonts w:ascii="宋体" w:hAnsi="宋体" w:eastAsia="宋体"/>
                <w:color w:val="auto"/>
                <w:spacing w:val="-14"/>
                <w:highlight w:val="none"/>
              </w:rPr>
            </w:pPr>
            <w:r>
              <w:rPr>
                <w:rFonts w:ascii="宋体" w:hAnsi="宋体" w:eastAsia="宋体"/>
                <w:color w:val="auto"/>
                <w:spacing w:val="-14"/>
                <w:highlight w:val="none"/>
              </w:rPr>
              <w:t>地</w:t>
            </w:r>
            <w:r>
              <w:rPr>
                <w:rFonts w:ascii="宋体" w:hAnsi="宋体" w:eastAsia="宋体"/>
                <w:color w:val="auto"/>
                <w:spacing w:val="-12"/>
                <w:highlight w:val="none"/>
              </w:rPr>
              <w:t>址：</w:t>
            </w:r>
            <w:r>
              <w:rPr>
                <w:rFonts w:hint="eastAsia" w:ascii="宋体" w:hAnsi="宋体" w:eastAsia="宋体"/>
                <w:color w:val="auto"/>
                <w:spacing w:val="-12"/>
                <w:highlight w:val="none"/>
              </w:rPr>
              <w:t>广州市黄埔区云埔街源祥路96号弘大商贸创意园1#楼1005房</w:t>
            </w:r>
          </w:p>
          <w:p w14:paraId="0CC4CD90">
            <w:pPr>
              <w:spacing w:before="188" w:line="222" w:lineRule="auto"/>
              <w:ind w:left="105" w:leftChars="50" w:right="105" w:rightChars="50"/>
              <w:rPr>
                <w:rFonts w:ascii="宋体" w:hAnsi="宋体" w:eastAsia="宋体"/>
                <w:color w:val="auto"/>
                <w:spacing w:val="-13"/>
                <w:highlight w:val="none"/>
              </w:rPr>
            </w:pPr>
            <w:r>
              <w:rPr>
                <w:rFonts w:ascii="宋体" w:hAnsi="宋体" w:eastAsia="宋体"/>
                <w:color w:val="auto"/>
                <w:spacing w:val="-13"/>
                <w:highlight w:val="none"/>
              </w:rPr>
              <w:t>联</w:t>
            </w:r>
            <w:r>
              <w:rPr>
                <w:rFonts w:ascii="宋体" w:hAnsi="宋体" w:eastAsia="宋体"/>
                <w:color w:val="auto"/>
                <w:spacing w:val="-10"/>
                <w:highlight w:val="none"/>
              </w:rPr>
              <w:t>系人：</w:t>
            </w:r>
            <w:r>
              <w:rPr>
                <w:rFonts w:hint="eastAsia" w:ascii="宋体" w:hAnsi="宋体" w:eastAsia="宋体"/>
                <w:color w:val="auto"/>
                <w:spacing w:val="-12"/>
                <w:highlight w:val="none"/>
                <w:u w:val="single"/>
                <w:lang w:eastAsia="zh-CN"/>
              </w:rPr>
              <w:t>黄</w:t>
            </w:r>
            <w:r>
              <w:rPr>
                <w:rFonts w:hint="eastAsia" w:ascii="宋体" w:hAnsi="宋体" w:eastAsia="宋体"/>
                <w:color w:val="auto"/>
                <w:spacing w:val="-12"/>
                <w:highlight w:val="none"/>
                <w:u w:val="single"/>
              </w:rPr>
              <w:t>工</w:t>
            </w:r>
          </w:p>
          <w:p w14:paraId="0AF5F886">
            <w:pPr>
              <w:spacing w:before="188" w:line="222" w:lineRule="auto"/>
              <w:ind w:left="105" w:leftChars="50" w:right="105" w:rightChars="50"/>
              <w:rPr>
                <w:color w:val="auto"/>
                <w:highlight w:val="none"/>
              </w:rPr>
            </w:pPr>
            <w:r>
              <w:rPr>
                <w:rFonts w:ascii="宋体" w:hAnsi="宋体" w:eastAsia="宋体"/>
                <w:color w:val="auto"/>
                <w:spacing w:val="-19"/>
                <w:highlight w:val="none"/>
              </w:rPr>
              <w:t>电</w:t>
            </w:r>
            <w:r>
              <w:rPr>
                <w:rFonts w:ascii="宋体" w:hAnsi="宋体" w:eastAsia="宋体"/>
                <w:color w:val="auto"/>
                <w:spacing w:val="-18"/>
                <w:highlight w:val="none"/>
              </w:rPr>
              <w:t>话：</w:t>
            </w:r>
            <w:r>
              <w:rPr>
                <w:rFonts w:hint="eastAsia" w:ascii="宋体" w:hAnsi="宋体" w:eastAsia="宋体"/>
                <w:color w:val="auto"/>
                <w:spacing w:val="-12"/>
                <w:highlight w:val="none"/>
                <w:u w:val="single"/>
              </w:rPr>
              <w:t>020-89853375</w:t>
            </w:r>
          </w:p>
        </w:tc>
      </w:tr>
      <w:tr w14:paraId="0B075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69" w:type="dxa"/>
          </w:tcPr>
          <w:p w14:paraId="794B8527">
            <w:pPr>
              <w:spacing w:before="21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.1.4</w:t>
            </w:r>
          </w:p>
        </w:tc>
        <w:tc>
          <w:tcPr>
            <w:tcW w:w="3547" w:type="dxa"/>
          </w:tcPr>
          <w:p w14:paraId="13A8B600">
            <w:pPr>
              <w:spacing w:before="172" w:line="220" w:lineRule="auto"/>
              <w:ind w:left="1326"/>
              <w:rPr>
                <w:rFonts w:ascii="宋体" w:hAnsi="宋体" w:eastAsia="宋体"/>
                <w:color w:val="auto"/>
                <w:spacing w:val="-2"/>
                <w:highlight w:val="none"/>
              </w:rPr>
            </w:pPr>
            <w:r>
              <w:rPr>
                <w:rFonts w:ascii="宋体" w:hAnsi="宋体" w:eastAsia="宋体"/>
                <w:color w:val="auto"/>
                <w:spacing w:val="-2"/>
                <w:highlight w:val="none"/>
              </w:rPr>
              <w:t>招标</w:t>
            </w:r>
            <w:r>
              <w:rPr>
                <w:rFonts w:ascii="宋体" w:hAnsi="宋体" w:eastAsia="宋体"/>
                <w:color w:val="auto"/>
                <w:spacing w:val="-1"/>
                <w:highlight w:val="none"/>
              </w:rPr>
              <w:t>项目名称</w:t>
            </w:r>
          </w:p>
        </w:tc>
        <w:tc>
          <w:tcPr>
            <w:tcW w:w="4610" w:type="dxa"/>
            <w:vAlign w:val="center"/>
          </w:tcPr>
          <w:p w14:paraId="7E91A322">
            <w:pPr>
              <w:ind w:left="105" w:leftChars="50" w:right="105" w:rightChars="50"/>
              <w:rPr>
                <w:rFonts w:hint="eastAsia" w:eastAsia="宋体"/>
                <w:color w:val="auto"/>
                <w:highlight w:val="none"/>
                <w:lang w:eastAsia="zh-CN"/>
              </w:rPr>
            </w:pPr>
            <w:r>
              <w:rPr>
                <w:rFonts w:hint="eastAsia" w:eastAsia="宋体"/>
                <w:color w:val="auto"/>
                <w:highlight w:val="none"/>
                <w:lang w:eastAsia="zh-CN"/>
              </w:rPr>
              <w:t>广州东部中心地下管网完善工程—新塘镇排水系统更新改造提升工程（北部片区）勘察服务</w:t>
            </w:r>
          </w:p>
        </w:tc>
      </w:tr>
      <w:tr w14:paraId="3178F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69" w:type="dxa"/>
          </w:tcPr>
          <w:p w14:paraId="60DA5FE3">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.1.5</w:t>
            </w:r>
          </w:p>
        </w:tc>
        <w:tc>
          <w:tcPr>
            <w:tcW w:w="3547" w:type="dxa"/>
          </w:tcPr>
          <w:p w14:paraId="46559BB7">
            <w:pPr>
              <w:spacing w:before="173" w:line="220" w:lineRule="auto"/>
              <w:ind w:left="1328"/>
              <w:rPr>
                <w:rFonts w:ascii="宋体" w:hAnsi="宋体" w:eastAsia="宋体"/>
                <w:color w:val="auto"/>
                <w:spacing w:val="-2"/>
                <w:highlight w:val="none"/>
              </w:rPr>
            </w:pPr>
            <w:r>
              <w:rPr>
                <w:rFonts w:ascii="宋体" w:hAnsi="宋体" w:eastAsia="宋体"/>
                <w:color w:val="auto"/>
                <w:spacing w:val="-2"/>
                <w:highlight w:val="none"/>
              </w:rPr>
              <w:t>项目建设</w:t>
            </w:r>
            <w:r>
              <w:rPr>
                <w:rFonts w:ascii="宋体" w:hAnsi="宋体" w:eastAsia="宋体"/>
                <w:color w:val="auto"/>
                <w:spacing w:val="-1"/>
                <w:highlight w:val="none"/>
              </w:rPr>
              <w:t>地点</w:t>
            </w:r>
          </w:p>
        </w:tc>
        <w:tc>
          <w:tcPr>
            <w:tcW w:w="4610" w:type="dxa"/>
            <w:vAlign w:val="center"/>
          </w:tcPr>
          <w:p w14:paraId="2C64B563">
            <w:pPr>
              <w:ind w:left="105" w:leftChars="50" w:right="105" w:rightChars="50"/>
              <w:jc w:val="both"/>
              <w:rPr>
                <w:color w:val="auto"/>
                <w:highlight w:val="none"/>
              </w:rPr>
            </w:pPr>
            <w:r>
              <w:rPr>
                <w:rFonts w:hint="eastAsia"/>
                <w:color w:val="auto"/>
                <w:highlight w:val="none"/>
              </w:rPr>
              <w:t>详见招标公告</w:t>
            </w:r>
          </w:p>
        </w:tc>
      </w:tr>
      <w:tr w14:paraId="491DF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69" w:type="dxa"/>
          </w:tcPr>
          <w:p w14:paraId="307561AE">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.1.6</w:t>
            </w:r>
          </w:p>
        </w:tc>
        <w:tc>
          <w:tcPr>
            <w:tcW w:w="3547" w:type="dxa"/>
          </w:tcPr>
          <w:p w14:paraId="3587974C">
            <w:pPr>
              <w:spacing w:before="173" w:line="220" w:lineRule="auto"/>
              <w:ind w:left="1328"/>
              <w:rPr>
                <w:rFonts w:ascii="宋体" w:hAnsi="宋体" w:eastAsia="宋体"/>
                <w:color w:val="auto"/>
                <w:spacing w:val="-2"/>
                <w:highlight w:val="none"/>
              </w:rPr>
            </w:pPr>
            <w:r>
              <w:rPr>
                <w:rFonts w:ascii="宋体" w:hAnsi="宋体" w:eastAsia="宋体"/>
                <w:color w:val="auto"/>
                <w:spacing w:val="-2"/>
                <w:highlight w:val="none"/>
              </w:rPr>
              <w:t>项目建设</w:t>
            </w:r>
            <w:r>
              <w:rPr>
                <w:rFonts w:ascii="宋体" w:hAnsi="宋体" w:eastAsia="宋体"/>
                <w:color w:val="auto"/>
                <w:spacing w:val="-1"/>
                <w:highlight w:val="none"/>
              </w:rPr>
              <w:t>规模</w:t>
            </w:r>
          </w:p>
        </w:tc>
        <w:tc>
          <w:tcPr>
            <w:tcW w:w="4610" w:type="dxa"/>
            <w:vAlign w:val="center"/>
          </w:tcPr>
          <w:p w14:paraId="5CBFE116">
            <w:pPr>
              <w:ind w:left="105" w:leftChars="50" w:right="105" w:rightChars="50"/>
              <w:jc w:val="both"/>
              <w:rPr>
                <w:color w:val="auto"/>
                <w:highlight w:val="none"/>
              </w:rPr>
            </w:pPr>
            <w:r>
              <w:rPr>
                <w:rFonts w:hint="eastAsia"/>
                <w:color w:val="auto"/>
                <w:highlight w:val="none"/>
              </w:rPr>
              <w:t>详见招标公告</w:t>
            </w:r>
          </w:p>
        </w:tc>
      </w:tr>
      <w:tr w14:paraId="60F60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2E0D2FD7">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.1.7</w:t>
            </w:r>
          </w:p>
        </w:tc>
        <w:tc>
          <w:tcPr>
            <w:tcW w:w="3547" w:type="dxa"/>
          </w:tcPr>
          <w:p w14:paraId="2E44D330">
            <w:pPr>
              <w:spacing w:before="173" w:line="219" w:lineRule="auto"/>
              <w:ind w:left="1328"/>
              <w:rPr>
                <w:rFonts w:ascii="宋体" w:hAnsi="宋体" w:eastAsia="宋体"/>
                <w:color w:val="auto"/>
                <w:spacing w:val="-2"/>
                <w:highlight w:val="none"/>
              </w:rPr>
            </w:pPr>
            <w:r>
              <w:rPr>
                <w:rFonts w:ascii="宋体" w:hAnsi="宋体" w:eastAsia="宋体"/>
                <w:color w:val="auto"/>
                <w:spacing w:val="-2"/>
                <w:highlight w:val="none"/>
              </w:rPr>
              <w:t>项目投资</w:t>
            </w:r>
            <w:r>
              <w:rPr>
                <w:rFonts w:ascii="宋体" w:hAnsi="宋体" w:eastAsia="宋体"/>
                <w:color w:val="auto"/>
                <w:spacing w:val="-1"/>
                <w:highlight w:val="none"/>
              </w:rPr>
              <w:t>估算</w:t>
            </w:r>
          </w:p>
        </w:tc>
        <w:tc>
          <w:tcPr>
            <w:tcW w:w="4610" w:type="dxa"/>
            <w:vAlign w:val="center"/>
          </w:tcPr>
          <w:p w14:paraId="6B92D24D">
            <w:pPr>
              <w:ind w:left="105" w:leftChars="50" w:right="105" w:rightChars="50"/>
              <w:jc w:val="both"/>
              <w:rPr>
                <w:rFonts w:ascii="宋体" w:hAnsi="宋体"/>
                <w:color w:val="auto"/>
                <w:highlight w:val="none"/>
              </w:rPr>
            </w:pPr>
            <w:r>
              <w:rPr>
                <w:rFonts w:hint="eastAsia" w:ascii="宋体" w:hAnsi="宋体"/>
                <w:color w:val="auto"/>
                <w:highlight w:val="none"/>
              </w:rPr>
              <w:t>总投资</w:t>
            </w:r>
            <w:r>
              <w:rPr>
                <w:rFonts w:hint="eastAsia" w:ascii="宋体" w:hAnsi="宋体" w:eastAsia="宋体"/>
                <w:color w:val="auto"/>
                <w:highlight w:val="none"/>
                <w:u w:val="single"/>
                <w:lang w:eastAsia="zh-CN"/>
              </w:rPr>
              <w:t>22067.89</w:t>
            </w:r>
            <w:r>
              <w:rPr>
                <w:rFonts w:hint="eastAsia" w:ascii="宋体" w:hAnsi="宋体"/>
                <w:color w:val="auto"/>
                <w:highlight w:val="none"/>
              </w:rPr>
              <w:t>万元。</w:t>
            </w:r>
          </w:p>
        </w:tc>
      </w:tr>
      <w:tr w14:paraId="38C87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695F23DA">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.2.1</w:t>
            </w:r>
          </w:p>
        </w:tc>
        <w:tc>
          <w:tcPr>
            <w:tcW w:w="3547" w:type="dxa"/>
          </w:tcPr>
          <w:p w14:paraId="73108797">
            <w:pPr>
              <w:spacing w:before="173" w:line="219" w:lineRule="auto"/>
              <w:ind w:left="1230"/>
              <w:rPr>
                <w:rFonts w:ascii="宋体" w:hAnsi="宋体" w:eastAsia="宋体"/>
                <w:color w:val="auto"/>
                <w:spacing w:val="-3"/>
                <w:highlight w:val="none"/>
              </w:rPr>
            </w:pPr>
            <w:r>
              <w:rPr>
                <w:rFonts w:ascii="宋体" w:hAnsi="宋体" w:eastAsia="宋体"/>
                <w:color w:val="auto"/>
                <w:spacing w:val="-3"/>
                <w:highlight w:val="none"/>
              </w:rPr>
              <w:t>资</w:t>
            </w:r>
            <w:r>
              <w:rPr>
                <w:rFonts w:ascii="宋体" w:hAnsi="宋体" w:eastAsia="宋体"/>
                <w:color w:val="auto"/>
                <w:spacing w:val="-2"/>
                <w:highlight w:val="none"/>
              </w:rPr>
              <w:t>金来源及比例</w:t>
            </w:r>
          </w:p>
        </w:tc>
        <w:tc>
          <w:tcPr>
            <w:tcW w:w="4610" w:type="dxa"/>
            <w:vAlign w:val="center"/>
          </w:tcPr>
          <w:p w14:paraId="25C45927">
            <w:pPr>
              <w:ind w:left="105" w:leftChars="50" w:right="105" w:rightChars="50"/>
              <w:jc w:val="both"/>
              <w:rPr>
                <w:color w:val="auto"/>
                <w:highlight w:val="none"/>
              </w:rPr>
            </w:pPr>
            <w:r>
              <w:rPr>
                <w:rFonts w:hint="eastAsia"/>
                <w:color w:val="auto"/>
                <w:highlight w:val="none"/>
              </w:rPr>
              <w:t>详见招标公告</w:t>
            </w:r>
          </w:p>
        </w:tc>
      </w:tr>
      <w:tr w14:paraId="558A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9" w:type="dxa"/>
          </w:tcPr>
          <w:p w14:paraId="1A7A5D29">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.2.2</w:t>
            </w:r>
          </w:p>
        </w:tc>
        <w:tc>
          <w:tcPr>
            <w:tcW w:w="3547" w:type="dxa"/>
          </w:tcPr>
          <w:p w14:paraId="5DD99A96">
            <w:pPr>
              <w:spacing w:before="173" w:line="217" w:lineRule="auto"/>
              <w:ind w:left="1334"/>
              <w:rPr>
                <w:rFonts w:ascii="宋体" w:hAnsi="宋体" w:eastAsia="宋体"/>
                <w:color w:val="auto"/>
                <w:spacing w:val="-4"/>
                <w:highlight w:val="none"/>
              </w:rPr>
            </w:pPr>
            <w:r>
              <w:rPr>
                <w:rFonts w:ascii="宋体" w:hAnsi="宋体" w:eastAsia="宋体"/>
                <w:color w:val="auto"/>
                <w:spacing w:val="-4"/>
                <w:highlight w:val="none"/>
              </w:rPr>
              <w:t>资</w:t>
            </w:r>
            <w:r>
              <w:rPr>
                <w:rFonts w:ascii="宋体" w:hAnsi="宋体" w:eastAsia="宋体"/>
                <w:color w:val="auto"/>
                <w:spacing w:val="-3"/>
                <w:highlight w:val="none"/>
              </w:rPr>
              <w:t>金</w:t>
            </w:r>
            <w:r>
              <w:rPr>
                <w:rFonts w:ascii="宋体" w:hAnsi="宋体" w:eastAsia="宋体"/>
                <w:color w:val="auto"/>
                <w:spacing w:val="-2"/>
                <w:highlight w:val="none"/>
              </w:rPr>
              <w:t>落实情况</w:t>
            </w:r>
          </w:p>
        </w:tc>
        <w:tc>
          <w:tcPr>
            <w:tcW w:w="4610" w:type="dxa"/>
            <w:vAlign w:val="center"/>
          </w:tcPr>
          <w:p w14:paraId="4BF5B69A">
            <w:pPr>
              <w:ind w:left="105" w:leftChars="50" w:right="105" w:rightChars="50"/>
              <w:jc w:val="both"/>
              <w:rPr>
                <w:color w:val="auto"/>
                <w:highlight w:val="none"/>
              </w:rPr>
            </w:pPr>
            <w:r>
              <w:rPr>
                <w:rFonts w:hint="eastAsia"/>
                <w:color w:val="auto"/>
                <w:highlight w:val="none"/>
              </w:rPr>
              <w:t>已落实</w:t>
            </w:r>
          </w:p>
        </w:tc>
      </w:tr>
      <w:tr w14:paraId="52B2A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69" w:type="dxa"/>
          </w:tcPr>
          <w:p w14:paraId="039CD02F">
            <w:pPr>
              <w:spacing w:before="213"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.3.1</w:t>
            </w:r>
          </w:p>
        </w:tc>
        <w:tc>
          <w:tcPr>
            <w:tcW w:w="3547" w:type="dxa"/>
          </w:tcPr>
          <w:p w14:paraId="66F1B8ED">
            <w:pPr>
              <w:spacing w:before="174" w:line="221" w:lineRule="auto"/>
              <w:ind w:left="1536"/>
              <w:rPr>
                <w:rFonts w:ascii="宋体" w:hAnsi="宋体" w:eastAsia="宋体"/>
                <w:color w:val="auto"/>
                <w:spacing w:val="-2"/>
                <w:highlight w:val="none"/>
              </w:rPr>
            </w:pPr>
            <w:r>
              <w:rPr>
                <w:rFonts w:ascii="宋体" w:hAnsi="宋体" w:eastAsia="宋体"/>
                <w:color w:val="auto"/>
                <w:spacing w:val="-2"/>
                <w:highlight w:val="none"/>
              </w:rPr>
              <w:t>招标范</w:t>
            </w:r>
            <w:r>
              <w:rPr>
                <w:rFonts w:ascii="宋体" w:hAnsi="宋体" w:eastAsia="宋体"/>
                <w:color w:val="auto"/>
                <w:spacing w:val="-1"/>
                <w:highlight w:val="none"/>
              </w:rPr>
              <w:t>围</w:t>
            </w:r>
          </w:p>
        </w:tc>
        <w:tc>
          <w:tcPr>
            <w:tcW w:w="4610" w:type="dxa"/>
            <w:vAlign w:val="center"/>
          </w:tcPr>
          <w:p w14:paraId="3C87DF7C">
            <w:pPr>
              <w:ind w:left="105" w:leftChars="50" w:right="105" w:rightChars="50"/>
              <w:jc w:val="both"/>
              <w:rPr>
                <w:color w:val="auto"/>
                <w:highlight w:val="none"/>
              </w:rPr>
            </w:pPr>
            <w:r>
              <w:rPr>
                <w:rFonts w:hint="eastAsia"/>
                <w:color w:val="auto"/>
                <w:highlight w:val="none"/>
              </w:rPr>
              <w:t>详见招标公告</w:t>
            </w:r>
          </w:p>
        </w:tc>
      </w:tr>
      <w:tr w14:paraId="3A041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69" w:type="dxa"/>
          </w:tcPr>
          <w:p w14:paraId="1BAF4428">
            <w:pPr>
              <w:spacing w:before="213"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.3.2</w:t>
            </w:r>
          </w:p>
        </w:tc>
        <w:tc>
          <w:tcPr>
            <w:tcW w:w="3547" w:type="dxa"/>
          </w:tcPr>
          <w:p w14:paraId="28B4199D">
            <w:pPr>
              <w:spacing w:before="174" w:line="220" w:lineRule="auto"/>
              <w:ind w:left="1328"/>
              <w:rPr>
                <w:rFonts w:ascii="宋体" w:hAnsi="宋体" w:eastAsia="宋体"/>
                <w:color w:val="auto"/>
                <w:spacing w:val="-1"/>
                <w:highlight w:val="none"/>
              </w:rPr>
            </w:pPr>
            <w:r>
              <w:rPr>
                <w:rFonts w:ascii="宋体" w:hAnsi="宋体" w:eastAsia="宋体"/>
                <w:color w:val="auto"/>
                <w:spacing w:val="-1"/>
                <w:highlight w:val="none"/>
              </w:rPr>
              <w:t>勘察服务</w:t>
            </w:r>
            <w:r>
              <w:rPr>
                <w:rFonts w:ascii="宋体" w:hAnsi="宋体" w:eastAsia="宋体"/>
                <w:color w:val="auto"/>
                <w:highlight w:val="none"/>
              </w:rPr>
              <w:t>期限</w:t>
            </w:r>
          </w:p>
        </w:tc>
        <w:tc>
          <w:tcPr>
            <w:tcW w:w="4610" w:type="dxa"/>
            <w:vAlign w:val="center"/>
          </w:tcPr>
          <w:p w14:paraId="136AC5C5">
            <w:pPr>
              <w:ind w:left="105" w:leftChars="50" w:right="105" w:rightChars="50"/>
              <w:jc w:val="both"/>
              <w:rPr>
                <w:color w:val="auto"/>
                <w:highlight w:val="none"/>
              </w:rPr>
            </w:pPr>
            <w:r>
              <w:rPr>
                <w:rFonts w:hint="eastAsia"/>
                <w:color w:val="auto"/>
                <w:highlight w:val="none"/>
              </w:rPr>
              <w:t>详见招标公告</w:t>
            </w:r>
          </w:p>
        </w:tc>
      </w:tr>
      <w:tr w14:paraId="308D3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44337617">
            <w:pPr>
              <w:spacing w:before="213"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.3.3</w:t>
            </w:r>
          </w:p>
        </w:tc>
        <w:tc>
          <w:tcPr>
            <w:tcW w:w="3547" w:type="dxa"/>
          </w:tcPr>
          <w:p w14:paraId="4244E970">
            <w:pPr>
              <w:spacing w:before="174" w:line="221" w:lineRule="auto"/>
              <w:ind w:left="1536"/>
              <w:rPr>
                <w:rFonts w:ascii="宋体" w:hAnsi="宋体" w:eastAsia="宋体"/>
                <w:color w:val="auto"/>
                <w:spacing w:val="-2"/>
                <w:highlight w:val="none"/>
              </w:rPr>
            </w:pPr>
            <w:r>
              <w:rPr>
                <w:rFonts w:ascii="宋体" w:hAnsi="宋体" w:eastAsia="宋体"/>
                <w:color w:val="auto"/>
                <w:spacing w:val="-2"/>
                <w:highlight w:val="none"/>
              </w:rPr>
              <w:t>质量标</w:t>
            </w:r>
            <w:r>
              <w:rPr>
                <w:rFonts w:ascii="宋体" w:hAnsi="宋体" w:eastAsia="宋体"/>
                <w:color w:val="auto"/>
                <w:spacing w:val="-1"/>
                <w:highlight w:val="none"/>
              </w:rPr>
              <w:t>准</w:t>
            </w:r>
          </w:p>
        </w:tc>
        <w:tc>
          <w:tcPr>
            <w:tcW w:w="4610" w:type="dxa"/>
            <w:vAlign w:val="center"/>
          </w:tcPr>
          <w:p w14:paraId="08255D23">
            <w:pPr>
              <w:ind w:left="105" w:leftChars="50" w:right="105" w:rightChars="50"/>
              <w:jc w:val="both"/>
              <w:rPr>
                <w:rFonts w:eastAsia="宋体"/>
                <w:color w:val="auto"/>
                <w:highlight w:val="none"/>
              </w:rPr>
            </w:pPr>
            <w:r>
              <w:rPr>
                <w:rFonts w:hint="eastAsia" w:eastAsia="宋体"/>
                <w:color w:val="auto"/>
                <w:highlight w:val="none"/>
              </w:rPr>
              <w:t>须满足国家相关规范及合同要求</w:t>
            </w:r>
          </w:p>
        </w:tc>
      </w:tr>
      <w:tr w14:paraId="0C0AB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169" w:type="dxa"/>
          </w:tcPr>
          <w:p w14:paraId="38B04AC0">
            <w:pPr>
              <w:spacing w:before="213"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.4.1</w:t>
            </w:r>
          </w:p>
        </w:tc>
        <w:tc>
          <w:tcPr>
            <w:tcW w:w="3547" w:type="dxa"/>
          </w:tcPr>
          <w:p w14:paraId="57C7667A">
            <w:pPr>
              <w:spacing w:before="174"/>
              <w:jc w:val="center"/>
              <w:rPr>
                <w:rFonts w:ascii="宋体" w:hAnsi="宋体" w:eastAsia="宋体"/>
                <w:color w:val="auto"/>
                <w:spacing w:val="-1"/>
                <w:highlight w:val="none"/>
              </w:rPr>
            </w:pPr>
            <w:r>
              <w:rPr>
                <w:rFonts w:ascii="宋体" w:hAnsi="宋体" w:eastAsia="宋体"/>
                <w:color w:val="auto"/>
                <w:spacing w:val="-1"/>
                <w:highlight w:val="none"/>
              </w:rPr>
              <w:t>投标人资质条件、能力</w:t>
            </w:r>
            <w:r>
              <w:rPr>
                <w:rFonts w:ascii="宋体" w:hAnsi="宋体" w:eastAsia="宋体"/>
                <w:color w:val="auto"/>
                <w:highlight w:val="none"/>
              </w:rPr>
              <w:t>、信誉</w:t>
            </w:r>
          </w:p>
        </w:tc>
        <w:tc>
          <w:tcPr>
            <w:tcW w:w="4610" w:type="dxa"/>
            <w:vAlign w:val="center"/>
          </w:tcPr>
          <w:p w14:paraId="598CF302">
            <w:pPr>
              <w:ind w:left="105" w:leftChars="50" w:right="105" w:rightChars="50"/>
              <w:jc w:val="both"/>
              <w:rPr>
                <w:color w:val="auto"/>
                <w:highlight w:val="none"/>
              </w:rPr>
            </w:pPr>
            <w:r>
              <w:rPr>
                <w:rFonts w:hint="eastAsia"/>
                <w:color w:val="auto"/>
                <w:highlight w:val="none"/>
              </w:rPr>
              <w:t>详</w:t>
            </w:r>
            <w:bookmarkStart w:id="74" w:name="_Toc221950015"/>
            <w:r>
              <w:rPr>
                <w:rFonts w:hint="eastAsia"/>
                <w:color w:val="auto"/>
                <w:highlight w:val="none"/>
              </w:rPr>
              <w:t>见本项目招</w:t>
            </w:r>
            <w:bookmarkEnd w:id="74"/>
            <w:r>
              <w:rPr>
                <w:rFonts w:hint="eastAsia"/>
                <w:color w:val="auto"/>
                <w:highlight w:val="none"/>
              </w:rPr>
              <w:t>标公告</w:t>
            </w:r>
          </w:p>
        </w:tc>
      </w:tr>
      <w:tr w14:paraId="2374D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69" w:type="dxa"/>
          </w:tcPr>
          <w:p w14:paraId="0C329B1D">
            <w:pPr>
              <w:spacing w:line="366" w:lineRule="auto"/>
              <w:rPr>
                <w:color w:val="auto"/>
                <w:highlight w:val="none"/>
              </w:rPr>
            </w:pPr>
          </w:p>
          <w:p w14:paraId="57924029">
            <w:pPr>
              <w:spacing w:before="61" w:line="186" w:lineRule="auto"/>
              <w:ind w:left="396"/>
              <w:rPr>
                <w:rFonts w:ascii="Times New Roman" w:hAnsi="Times New Roman" w:eastAsia="Times New Roman"/>
                <w:color w:val="auto"/>
                <w:spacing w:val="-7"/>
                <w:highlight w:val="none"/>
              </w:rPr>
            </w:pPr>
            <w:r>
              <w:rPr>
                <w:rFonts w:ascii="Times New Roman" w:hAnsi="Times New Roman" w:eastAsia="Times New Roman"/>
                <w:color w:val="auto"/>
                <w:spacing w:val="-7"/>
                <w:highlight w:val="none"/>
              </w:rPr>
              <w:t>1</w:t>
            </w:r>
            <w:r>
              <w:rPr>
                <w:rFonts w:ascii="Times New Roman" w:hAnsi="Times New Roman" w:eastAsia="Times New Roman"/>
                <w:color w:val="auto"/>
                <w:spacing w:val="-4"/>
                <w:highlight w:val="none"/>
              </w:rPr>
              <w:t>.4.2</w:t>
            </w:r>
          </w:p>
        </w:tc>
        <w:tc>
          <w:tcPr>
            <w:tcW w:w="3547" w:type="dxa"/>
            <w:vAlign w:val="center"/>
          </w:tcPr>
          <w:p w14:paraId="23355154">
            <w:pPr>
              <w:spacing w:before="68" w:line="220" w:lineRule="auto"/>
              <w:ind w:left="1014"/>
              <w:jc w:val="both"/>
              <w:rPr>
                <w:rFonts w:ascii="宋体" w:hAnsi="宋体" w:eastAsia="宋体"/>
                <w:color w:val="auto"/>
                <w:spacing w:val="-2"/>
                <w:highlight w:val="none"/>
              </w:rPr>
            </w:pPr>
            <w:r>
              <w:rPr>
                <w:rFonts w:ascii="宋体" w:hAnsi="宋体" w:eastAsia="宋体"/>
                <w:color w:val="auto"/>
                <w:spacing w:val="-2"/>
                <w:highlight w:val="none"/>
              </w:rPr>
              <w:t>是否</w:t>
            </w:r>
            <w:r>
              <w:rPr>
                <w:rFonts w:ascii="宋体" w:hAnsi="宋体" w:eastAsia="宋体"/>
                <w:color w:val="auto"/>
                <w:spacing w:val="-1"/>
                <w:highlight w:val="none"/>
              </w:rPr>
              <w:t>接受联合体投标</w:t>
            </w:r>
          </w:p>
        </w:tc>
        <w:tc>
          <w:tcPr>
            <w:tcW w:w="4610" w:type="dxa"/>
          </w:tcPr>
          <w:p w14:paraId="1B63D25D">
            <w:pPr>
              <w:spacing w:before="171"/>
              <w:ind w:left="105" w:leftChars="50" w:right="105" w:rightChars="50"/>
              <w:rPr>
                <w:color w:val="auto"/>
                <w:highlight w:val="none"/>
              </w:rPr>
            </w:pPr>
            <w:r>
              <w:rPr>
                <w:rFonts w:hint="eastAsia" w:eastAsia="宋体"/>
                <w:color w:val="auto"/>
                <w:highlight w:val="none"/>
                <w:lang w:eastAsia="zh-CN"/>
              </w:rPr>
              <w:t>☑</w:t>
            </w:r>
            <w:r>
              <w:rPr>
                <w:color w:val="auto"/>
                <w:highlight w:val="none"/>
              </w:rPr>
              <w:t>不接受</w:t>
            </w:r>
          </w:p>
          <w:p w14:paraId="5E880F94">
            <w:pPr>
              <w:spacing w:before="183"/>
              <w:ind w:left="105" w:leftChars="50" w:right="105" w:rightChars="50"/>
              <w:rPr>
                <w:color w:val="auto"/>
                <w:highlight w:val="none"/>
              </w:rPr>
            </w:pPr>
            <w:r>
              <w:rPr>
                <w:color w:val="auto"/>
                <w:highlight w:val="none"/>
              </w:rPr>
              <w:sym w:font="Wingdings 2" w:char="00A3"/>
            </w:r>
            <w:r>
              <w:rPr>
                <w:color w:val="auto"/>
                <w:highlight w:val="none"/>
              </w:rPr>
              <w:t>接受，应满足下列要求：</w:t>
            </w:r>
          </w:p>
        </w:tc>
      </w:tr>
      <w:tr w14:paraId="400D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5AC74145">
            <w:pPr>
              <w:spacing w:before="21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.4.3</w:t>
            </w:r>
          </w:p>
        </w:tc>
        <w:tc>
          <w:tcPr>
            <w:tcW w:w="3547" w:type="dxa"/>
          </w:tcPr>
          <w:p w14:paraId="386958E6">
            <w:pPr>
              <w:spacing w:before="160" w:line="218" w:lineRule="auto"/>
              <w:ind w:left="697"/>
              <w:rPr>
                <w:rFonts w:ascii="宋体" w:hAnsi="宋体" w:eastAsia="宋体"/>
                <w:color w:val="auto"/>
                <w:spacing w:val="-1"/>
                <w:highlight w:val="none"/>
              </w:rPr>
            </w:pPr>
            <w:r>
              <w:rPr>
                <w:rFonts w:ascii="宋体" w:hAnsi="宋体" w:eastAsia="宋体"/>
                <w:color w:val="auto"/>
                <w:spacing w:val="-1"/>
                <w:highlight w:val="none"/>
              </w:rPr>
              <w:t>投标人不得存在的其他</w:t>
            </w:r>
            <w:r>
              <w:rPr>
                <w:rFonts w:ascii="宋体" w:hAnsi="宋体" w:eastAsia="宋体"/>
                <w:color w:val="auto"/>
                <w:highlight w:val="none"/>
              </w:rPr>
              <w:t>情形</w:t>
            </w:r>
          </w:p>
        </w:tc>
        <w:tc>
          <w:tcPr>
            <w:tcW w:w="4610" w:type="dxa"/>
            <w:vAlign w:val="center"/>
          </w:tcPr>
          <w:p w14:paraId="29352E9F">
            <w:pPr>
              <w:ind w:left="105" w:leftChars="50" w:right="105" w:rightChars="50"/>
              <w:rPr>
                <w:rFonts w:eastAsia="宋体"/>
                <w:color w:val="auto"/>
                <w:highlight w:val="none"/>
              </w:rPr>
            </w:pPr>
            <w:r>
              <w:rPr>
                <w:rFonts w:hint="eastAsia" w:eastAsia="宋体"/>
                <w:color w:val="auto"/>
                <w:highlight w:val="none"/>
              </w:rPr>
              <w:t>无</w:t>
            </w:r>
          </w:p>
        </w:tc>
      </w:tr>
      <w:tr w14:paraId="28D09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1169" w:type="dxa"/>
          </w:tcPr>
          <w:p w14:paraId="703D99F8">
            <w:pPr>
              <w:spacing w:line="263" w:lineRule="auto"/>
              <w:rPr>
                <w:color w:val="auto"/>
                <w:highlight w:val="none"/>
              </w:rPr>
            </w:pPr>
          </w:p>
          <w:p w14:paraId="68B01074">
            <w:pPr>
              <w:spacing w:line="263" w:lineRule="auto"/>
              <w:rPr>
                <w:color w:val="auto"/>
                <w:highlight w:val="none"/>
              </w:rPr>
            </w:pPr>
          </w:p>
          <w:p w14:paraId="5A21E01A">
            <w:pPr>
              <w:spacing w:before="6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.9.1</w:t>
            </w:r>
          </w:p>
        </w:tc>
        <w:tc>
          <w:tcPr>
            <w:tcW w:w="3547" w:type="dxa"/>
          </w:tcPr>
          <w:p w14:paraId="2F5C85CB">
            <w:pPr>
              <w:spacing w:line="423" w:lineRule="auto"/>
              <w:rPr>
                <w:color w:val="auto"/>
                <w:highlight w:val="none"/>
              </w:rPr>
            </w:pPr>
          </w:p>
          <w:p w14:paraId="2B3DC5F4">
            <w:pPr>
              <w:spacing w:before="69" w:line="220" w:lineRule="auto"/>
              <w:ind w:left="1536"/>
              <w:rPr>
                <w:rFonts w:ascii="宋体" w:hAnsi="宋体" w:eastAsia="宋体"/>
                <w:color w:val="auto"/>
                <w:spacing w:val="-2"/>
                <w:highlight w:val="none"/>
              </w:rPr>
            </w:pPr>
            <w:r>
              <w:rPr>
                <w:rFonts w:ascii="宋体" w:hAnsi="宋体" w:eastAsia="宋体"/>
                <w:color w:val="auto"/>
                <w:spacing w:val="-2"/>
                <w:highlight w:val="none"/>
              </w:rPr>
              <w:t>踏勘现</w:t>
            </w:r>
            <w:r>
              <w:rPr>
                <w:rFonts w:ascii="宋体" w:hAnsi="宋体" w:eastAsia="宋体"/>
                <w:color w:val="auto"/>
                <w:spacing w:val="-1"/>
                <w:highlight w:val="none"/>
              </w:rPr>
              <w:t>场</w:t>
            </w:r>
          </w:p>
        </w:tc>
        <w:tc>
          <w:tcPr>
            <w:tcW w:w="4610" w:type="dxa"/>
          </w:tcPr>
          <w:p w14:paraId="724715DA">
            <w:pPr>
              <w:ind w:left="105" w:leftChars="50" w:right="105" w:rightChars="50"/>
              <w:rPr>
                <w:color w:val="auto"/>
                <w:highlight w:val="none"/>
              </w:rPr>
            </w:pPr>
            <w:r>
              <w:rPr>
                <w:rFonts w:hint="eastAsia"/>
                <w:color w:val="auto"/>
                <w:highlight w:val="none"/>
              </w:rPr>
              <w:t>招标人不集中组织，由投标人自行踏勘；</w:t>
            </w:r>
          </w:p>
          <w:p w14:paraId="399BDFE4">
            <w:pPr>
              <w:ind w:left="105" w:leftChars="50" w:right="105" w:rightChars="50"/>
              <w:rPr>
                <w:color w:val="auto"/>
                <w:highlight w:val="none"/>
              </w:rPr>
            </w:pPr>
            <w:r>
              <w:rPr>
                <w:rFonts w:hint="eastAsia"/>
                <w:color w:val="auto"/>
                <w:highlight w:val="none"/>
              </w:rPr>
              <w:t>时间</w:t>
            </w:r>
            <w:bookmarkStart w:id="75" w:name="_Toc221950042"/>
            <w:r>
              <w:rPr>
                <w:rFonts w:hint="eastAsia"/>
                <w:color w:val="auto"/>
                <w:highlight w:val="none"/>
              </w:rPr>
              <w:t>：自</w:t>
            </w:r>
            <w:r>
              <w:rPr>
                <w:rFonts w:hint="eastAsia" w:eastAsia="宋体"/>
                <w:color w:val="auto"/>
                <w:highlight w:val="none"/>
              </w:rPr>
              <w:t>/</w:t>
            </w:r>
            <w:r>
              <w:rPr>
                <w:rFonts w:hint="eastAsia"/>
                <w:color w:val="auto"/>
                <w:highlight w:val="none"/>
              </w:rPr>
              <w:t>年</w:t>
            </w:r>
            <w:r>
              <w:rPr>
                <w:rFonts w:hint="eastAsia" w:eastAsia="宋体"/>
                <w:color w:val="auto"/>
                <w:highlight w:val="none"/>
                <w:u w:val="single"/>
              </w:rPr>
              <w:t>/</w:t>
            </w:r>
            <w:r>
              <w:rPr>
                <w:rFonts w:hint="eastAsia"/>
                <w:color w:val="auto"/>
                <w:highlight w:val="none"/>
              </w:rPr>
              <w:t>月</w:t>
            </w:r>
            <w:r>
              <w:rPr>
                <w:rFonts w:hint="eastAsia" w:eastAsia="宋体"/>
                <w:color w:val="auto"/>
                <w:highlight w:val="none"/>
              </w:rPr>
              <w:t>/</w:t>
            </w:r>
            <w:r>
              <w:rPr>
                <w:rFonts w:hint="eastAsia"/>
                <w:color w:val="auto"/>
                <w:highlight w:val="none"/>
              </w:rPr>
              <w:t>日起具备现场踏勘条</w:t>
            </w:r>
            <w:bookmarkEnd w:id="75"/>
            <w:r>
              <w:rPr>
                <w:rFonts w:hint="eastAsia"/>
                <w:color w:val="auto"/>
                <w:highlight w:val="none"/>
              </w:rPr>
              <w:t>件；</w:t>
            </w:r>
          </w:p>
          <w:p w14:paraId="63104BA7">
            <w:pPr>
              <w:spacing w:before="144"/>
              <w:ind w:left="105" w:leftChars="50" w:right="105" w:rightChars="50"/>
              <w:rPr>
                <w:color w:val="auto"/>
                <w:highlight w:val="none"/>
              </w:rPr>
            </w:pPr>
            <w:r>
              <w:rPr>
                <w:rFonts w:hint="eastAsia"/>
                <w:color w:val="auto"/>
                <w:highlight w:val="none"/>
              </w:rPr>
              <w:t>现场详细地</w:t>
            </w:r>
            <w:bookmarkStart w:id="76" w:name="_Toc221950044"/>
            <w:r>
              <w:rPr>
                <w:rFonts w:hint="eastAsia"/>
                <w:color w:val="auto"/>
                <w:highlight w:val="none"/>
              </w:rPr>
              <w:t>点：</w:t>
            </w:r>
            <w:r>
              <w:rPr>
                <w:rFonts w:hint="eastAsia" w:eastAsia="宋体"/>
                <w:color w:val="auto"/>
                <w:highlight w:val="none"/>
                <w:u w:val="single"/>
              </w:rPr>
              <w:t xml:space="preserve"> </w:t>
            </w:r>
            <w:bookmarkEnd w:id="76"/>
            <w:r>
              <w:rPr>
                <w:rFonts w:hint="eastAsia" w:eastAsia="宋体"/>
                <w:color w:val="auto"/>
                <w:highlight w:val="none"/>
                <w:u w:val="single"/>
              </w:rPr>
              <w:t xml:space="preserve"> /  </w:t>
            </w:r>
            <w:r>
              <w:rPr>
                <w:rFonts w:hint="eastAsia"/>
                <w:color w:val="auto"/>
                <w:highlight w:val="none"/>
              </w:rPr>
              <w:t>；</w:t>
            </w:r>
          </w:p>
        </w:tc>
      </w:tr>
      <w:tr w14:paraId="2CD70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169" w:type="dxa"/>
          </w:tcPr>
          <w:p w14:paraId="7B03CBEC">
            <w:pPr>
              <w:spacing w:line="283" w:lineRule="auto"/>
              <w:rPr>
                <w:color w:val="auto"/>
                <w:highlight w:val="none"/>
              </w:rPr>
            </w:pPr>
          </w:p>
          <w:p w14:paraId="3C282CAB">
            <w:pPr>
              <w:spacing w:line="284" w:lineRule="auto"/>
              <w:rPr>
                <w:color w:val="auto"/>
                <w:highlight w:val="none"/>
              </w:rPr>
            </w:pPr>
          </w:p>
          <w:p w14:paraId="7DB4C509">
            <w:pPr>
              <w:spacing w:before="60" w:line="186" w:lineRule="auto"/>
              <w:ind w:left="343"/>
              <w:rPr>
                <w:rFonts w:ascii="Times New Roman" w:hAnsi="Times New Roman" w:eastAsia="Times New Roman"/>
                <w:color w:val="auto"/>
                <w:spacing w:val="-5"/>
                <w:highlight w:val="none"/>
              </w:rPr>
            </w:pPr>
            <w:r>
              <w:rPr>
                <w:rFonts w:ascii="Times New Roman" w:hAnsi="Times New Roman" w:eastAsia="Times New Roman"/>
                <w:color w:val="auto"/>
                <w:spacing w:val="-5"/>
                <w:highlight w:val="none"/>
              </w:rPr>
              <w:t>1</w:t>
            </w:r>
            <w:r>
              <w:rPr>
                <w:rFonts w:ascii="Times New Roman" w:hAnsi="Times New Roman" w:eastAsia="Times New Roman"/>
                <w:color w:val="auto"/>
                <w:spacing w:val="-4"/>
                <w:highlight w:val="none"/>
              </w:rPr>
              <w:t>.10.1</w:t>
            </w:r>
          </w:p>
        </w:tc>
        <w:tc>
          <w:tcPr>
            <w:tcW w:w="3547" w:type="dxa"/>
          </w:tcPr>
          <w:p w14:paraId="09EFCF49">
            <w:pPr>
              <w:spacing w:line="260" w:lineRule="auto"/>
              <w:rPr>
                <w:color w:val="auto"/>
                <w:highlight w:val="none"/>
              </w:rPr>
            </w:pPr>
          </w:p>
          <w:p w14:paraId="6EAA668A">
            <w:pPr>
              <w:spacing w:line="260" w:lineRule="auto"/>
              <w:rPr>
                <w:color w:val="auto"/>
                <w:highlight w:val="none"/>
              </w:rPr>
            </w:pPr>
          </w:p>
          <w:p w14:paraId="697269E3">
            <w:pPr>
              <w:spacing w:before="68" w:line="217" w:lineRule="auto"/>
              <w:ind w:left="1433"/>
              <w:rPr>
                <w:rFonts w:ascii="宋体" w:hAnsi="宋体" w:eastAsia="宋体"/>
                <w:color w:val="auto"/>
                <w:spacing w:val="-2"/>
                <w:highlight w:val="none"/>
              </w:rPr>
            </w:pPr>
            <w:r>
              <w:rPr>
                <w:rFonts w:ascii="宋体" w:hAnsi="宋体" w:eastAsia="宋体"/>
                <w:color w:val="auto"/>
                <w:spacing w:val="-2"/>
                <w:highlight w:val="none"/>
              </w:rPr>
              <w:t>投标预备</w:t>
            </w:r>
            <w:r>
              <w:rPr>
                <w:rFonts w:ascii="宋体" w:hAnsi="宋体" w:eastAsia="宋体"/>
                <w:color w:val="auto"/>
                <w:spacing w:val="-1"/>
                <w:highlight w:val="none"/>
              </w:rPr>
              <w:t>会</w:t>
            </w:r>
          </w:p>
        </w:tc>
        <w:tc>
          <w:tcPr>
            <w:tcW w:w="4610" w:type="dxa"/>
          </w:tcPr>
          <w:p w14:paraId="7FF88A17">
            <w:pPr>
              <w:pStyle w:val="31"/>
              <w:spacing w:before="48" w:after="48"/>
              <w:ind w:left="105" w:leftChars="50" w:right="105" w:rightChars="50"/>
              <w:rPr>
                <w:rFonts w:ascii="宋体" w:hAnsi="宋体" w:eastAsia="宋体"/>
                <w:color w:val="auto"/>
                <w:sz w:val="21"/>
                <w:szCs w:val="21"/>
                <w:highlight w:val="none"/>
              </w:rPr>
            </w:pPr>
            <w:r>
              <w:rPr>
                <w:rFonts w:hint="eastAsia" w:ascii="宋体" w:hAnsi="宋体" w:eastAsia="宋体"/>
                <w:color w:val="auto"/>
                <w:sz w:val="21"/>
                <w:szCs w:val="21"/>
                <w:highlight w:val="none"/>
              </w:rPr>
              <w:t>☑不召开</w:t>
            </w:r>
          </w:p>
          <w:p w14:paraId="4751ED49">
            <w:pPr>
              <w:spacing w:before="48" w:after="48"/>
              <w:ind w:left="105" w:leftChars="50" w:right="105" w:rightChars="50"/>
              <w:rPr>
                <w:rFonts w:ascii="宋体" w:hAnsi="宋体"/>
                <w:color w:val="auto"/>
                <w:highlight w:val="none"/>
              </w:rPr>
            </w:pPr>
            <w:r>
              <w:rPr>
                <w:rFonts w:hint="eastAsia" w:ascii="宋体" w:hAnsi="宋体"/>
                <w:color w:val="auto"/>
                <w:highlight w:val="none"/>
              </w:rPr>
              <w:sym w:font="Wingdings 2" w:char="F0A3"/>
            </w:r>
            <w:r>
              <w:rPr>
                <w:rFonts w:hint="eastAsia" w:ascii="宋体" w:hAnsi="宋体"/>
                <w:color w:val="auto"/>
                <w:highlight w:val="none"/>
              </w:rPr>
              <w:t>召开，召开时间：</w:t>
            </w:r>
          </w:p>
          <w:p w14:paraId="4092C512">
            <w:pPr>
              <w:spacing w:before="173"/>
              <w:ind w:left="105" w:leftChars="50" w:right="105" w:rightChars="50" w:firstLine="840" w:firstLineChars="400"/>
              <w:rPr>
                <w:rFonts w:ascii="宋体" w:hAnsi="宋体"/>
                <w:color w:val="auto"/>
                <w:highlight w:val="none"/>
              </w:rPr>
            </w:pPr>
            <w:r>
              <w:rPr>
                <w:rFonts w:hint="eastAsia" w:ascii="宋体" w:hAnsi="宋体"/>
                <w:color w:val="auto"/>
                <w:highlight w:val="none"/>
              </w:rPr>
              <w:t>召开地点：</w:t>
            </w:r>
          </w:p>
        </w:tc>
      </w:tr>
      <w:tr w14:paraId="1D370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69" w:type="dxa"/>
            <w:vMerge w:val="restart"/>
            <w:vAlign w:val="center"/>
          </w:tcPr>
          <w:p w14:paraId="0B7BF5CF">
            <w:pPr>
              <w:spacing w:before="60" w:line="186" w:lineRule="auto"/>
              <w:jc w:val="center"/>
              <w:rPr>
                <w:rFonts w:ascii="Times New Roman" w:hAnsi="Times New Roman" w:eastAsia="Times New Roman"/>
                <w:color w:val="auto"/>
                <w:spacing w:val="-5"/>
                <w:highlight w:val="none"/>
              </w:rPr>
            </w:pPr>
            <w:r>
              <w:rPr>
                <w:rFonts w:hint="eastAsia" w:ascii="Times New Roman" w:hAnsi="Times New Roman" w:eastAsia="Times New Roman"/>
                <w:color w:val="auto"/>
                <w:spacing w:val="-5"/>
                <w:highlight w:val="none"/>
              </w:rPr>
              <w:t>1.10.2</w:t>
            </w:r>
          </w:p>
        </w:tc>
        <w:tc>
          <w:tcPr>
            <w:tcW w:w="3547" w:type="dxa"/>
            <w:vMerge w:val="restart"/>
            <w:vAlign w:val="center"/>
          </w:tcPr>
          <w:p w14:paraId="2C6EC3B1">
            <w:pPr>
              <w:spacing w:before="68" w:line="217" w:lineRule="auto"/>
              <w:ind w:left="220"/>
              <w:jc w:val="center"/>
              <w:rPr>
                <w:rFonts w:ascii="宋体" w:hAnsi="宋体"/>
                <w:color w:val="auto"/>
                <w:highlight w:val="none"/>
              </w:rPr>
            </w:pPr>
            <w:r>
              <w:rPr>
                <w:rFonts w:hint="eastAsia" w:ascii="宋体" w:hAnsi="宋体"/>
                <w:color w:val="auto"/>
                <w:highlight w:val="none"/>
              </w:rPr>
              <w:t>投标人在投标预备会前提出问题</w:t>
            </w:r>
          </w:p>
        </w:tc>
        <w:tc>
          <w:tcPr>
            <w:tcW w:w="4610" w:type="dxa"/>
            <w:vAlign w:val="center"/>
          </w:tcPr>
          <w:p w14:paraId="2DBE6CB2">
            <w:pPr>
              <w:widowControl w:val="0"/>
              <w:kinsoku/>
              <w:autoSpaceDE/>
              <w:autoSpaceDN/>
              <w:snapToGrid/>
              <w:spacing w:before="48" w:after="48"/>
              <w:ind w:left="105" w:leftChars="50" w:right="105" w:rightChars="50"/>
              <w:rPr>
                <w:rFonts w:ascii="宋体" w:hAnsi="宋体" w:eastAsia="宋体"/>
                <w:color w:val="auto"/>
                <w:highlight w:val="none"/>
              </w:rPr>
            </w:pPr>
            <w:r>
              <w:rPr>
                <w:rFonts w:hint="eastAsia" w:ascii="宋体" w:hAnsi="宋体" w:eastAsia="宋体"/>
                <w:color w:val="auto"/>
                <w:highlight w:val="none"/>
              </w:rPr>
              <w:t>时间： /</w:t>
            </w:r>
          </w:p>
        </w:tc>
      </w:tr>
      <w:tr w14:paraId="713C8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69" w:type="dxa"/>
            <w:vMerge w:val="continue"/>
          </w:tcPr>
          <w:p w14:paraId="55B46A98">
            <w:pPr>
              <w:spacing w:before="60" w:line="186" w:lineRule="auto"/>
              <w:ind w:left="343"/>
              <w:rPr>
                <w:rFonts w:ascii="Times New Roman" w:hAnsi="Times New Roman" w:eastAsia="Times New Roman"/>
                <w:color w:val="auto"/>
                <w:spacing w:val="-5"/>
                <w:highlight w:val="none"/>
              </w:rPr>
            </w:pPr>
          </w:p>
        </w:tc>
        <w:tc>
          <w:tcPr>
            <w:tcW w:w="3547" w:type="dxa"/>
            <w:vMerge w:val="continue"/>
          </w:tcPr>
          <w:p w14:paraId="4E711E95">
            <w:pPr>
              <w:spacing w:before="68" w:line="217" w:lineRule="auto"/>
              <w:ind w:left="1433"/>
              <w:rPr>
                <w:rFonts w:ascii="宋体" w:hAnsi="宋体" w:eastAsia="宋体"/>
                <w:color w:val="auto"/>
                <w:spacing w:val="-2"/>
                <w:highlight w:val="none"/>
              </w:rPr>
            </w:pPr>
          </w:p>
        </w:tc>
        <w:tc>
          <w:tcPr>
            <w:tcW w:w="4610" w:type="dxa"/>
            <w:vAlign w:val="center"/>
          </w:tcPr>
          <w:p w14:paraId="1F4E1081">
            <w:pPr>
              <w:widowControl w:val="0"/>
              <w:kinsoku/>
              <w:autoSpaceDE/>
              <w:autoSpaceDN/>
              <w:snapToGrid/>
              <w:spacing w:before="48" w:after="48"/>
              <w:ind w:left="105" w:leftChars="50" w:right="105" w:rightChars="50"/>
              <w:rPr>
                <w:rFonts w:ascii="宋体" w:hAnsi="宋体" w:eastAsia="宋体"/>
                <w:color w:val="auto"/>
                <w:highlight w:val="none"/>
              </w:rPr>
            </w:pPr>
            <w:r>
              <w:rPr>
                <w:rFonts w:hint="eastAsia" w:ascii="宋体" w:hAnsi="宋体" w:eastAsia="宋体"/>
                <w:color w:val="auto"/>
                <w:highlight w:val="none"/>
              </w:rPr>
              <w:t>形式： /</w:t>
            </w:r>
          </w:p>
        </w:tc>
      </w:tr>
      <w:tr w14:paraId="1DD6E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69" w:type="dxa"/>
            <w:vAlign w:val="center"/>
          </w:tcPr>
          <w:p w14:paraId="009C216C">
            <w:pPr>
              <w:spacing w:before="48" w:after="48"/>
              <w:ind w:left="42" w:leftChars="20" w:right="42" w:rightChars="20"/>
              <w:jc w:val="center"/>
              <w:rPr>
                <w:rFonts w:ascii="Times New Roman" w:hAnsi="Times New Roman" w:eastAsia="Times New Roman"/>
                <w:color w:val="auto"/>
                <w:spacing w:val="-5"/>
                <w:highlight w:val="none"/>
              </w:rPr>
            </w:pPr>
            <w:r>
              <w:rPr>
                <w:rFonts w:hint="eastAsia" w:ascii="Times New Roman" w:hAnsi="Times New Roman" w:eastAsia="Times New Roman"/>
                <w:color w:val="auto"/>
                <w:spacing w:val="-5"/>
                <w:highlight w:val="none"/>
              </w:rPr>
              <w:t>1.10.3</w:t>
            </w:r>
          </w:p>
        </w:tc>
        <w:tc>
          <w:tcPr>
            <w:tcW w:w="3547" w:type="dxa"/>
            <w:vAlign w:val="center"/>
          </w:tcPr>
          <w:p w14:paraId="0BC5BBCE">
            <w:pPr>
              <w:spacing w:before="48" w:after="48"/>
              <w:ind w:left="42" w:leftChars="20" w:right="42" w:rightChars="20"/>
              <w:jc w:val="center"/>
              <w:rPr>
                <w:rFonts w:ascii="宋体" w:hAnsi="宋体"/>
                <w:color w:val="auto"/>
                <w:highlight w:val="none"/>
              </w:rPr>
            </w:pPr>
            <w:r>
              <w:rPr>
                <w:rFonts w:hint="eastAsia" w:ascii="宋体" w:hAnsi="宋体"/>
                <w:color w:val="auto"/>
                <w:highlight w:val="none"/>
              </w:rPr>
              <w:t>招标文件澄清发出的形式</w:t>
            </w:r>
          </w:p>
        </w:tc>
        <w:tc>
          <w:tcPr>
            <w:tcW w:w="4610" w:type="dxa"/>
            <w:vAlign w:val="center"/>
          </w:tcPr>
          <w:p w14:paraId="20755DDA">
            <w:pPr>
              <w:widowControl w:val="0"/>
              <w:kinsoku/>
              <w:autoSpaceDE/>
              <w:autoSpaceDN/>
              <w:snapToGrid/>
              <w:ind w:left="105" w:leftChars="50" w:right="105" w:rightChars="50"/>
              <w:rPr>
                <w:rFonts w:ascii="宋体" w:hAnsi="宋体" w:eastAsia="宋体"/>
                <w:color w:val="auto"/>
                <w:highlight w:val="none"/>
                <w:u w:val="single"/>
              </w:rPr>
            </w:pPr>
            <w:r>
              <w:rPr>
                <w:rFonts w:hint="eastAsia" w:ascii="宋体" w:hAnsi="宋体" w:eastAsia="宋体"/>
                <w:color w:val="auto"/>
                <w:highlight w:val="none"/>
                <w:u w:val="single"/>
              </w:rPr>
              <w:t>招标人应在投标截止时间15日前解答和澄清投标人对招标文件提出的疑问，形成答疑纪要（或招标文件澄清文件），并在广州公共资源交易中心网站通过项目答疑专区网上公开发布。</w:t>
            </w:r>
          </w:p>
        </w:tc>
      </w:tr>
      <w:tr w14:paraId="7614C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tcPr>
          <w:p w14:paraId="303E0314">
            <w:pPr>
              <w:spacing w:line="268" w:lineRule="auto"/>
              <w:rPr>
                <w:color w:val="auto"/>
                <w:highlight w:val="none"/>
              </w:rPr>
            </w:pPr>
          </w:p>
          <w:p w14:paraId="44376A5E">
            <w:pPr>
              <w:spacing w:line="269" w:lineRule="auto"/>
              <w:rPr>
                <w:color w:val="auto"/>
                <w:highlight w:val="none"/>
              </w:rPr>
            </w:pPr>
          </w:p>
          <w:p w14:paraId="7835C822">
            <w:pPr>
              <w:spacing w:line="269" w:lineRule="auto"/>
              <w:rPr>
                <w:color w:val="auto"/>
                <w:highlight w:val="none"/>
              </w:rPr>
            </w:pPr>
          </w:p>
          <w:p w14:paraId="4D0D583D">
            <w:pPr>
              <w:spacing w:before="60" w:line="186" w:lineRule="auto"/>
              <w:ind w:left="348"/>
              <w:rPr>
                <w:rFonts w:ascii="Times New Roman" w:hAnsi="Times New Roman" w:eastAsia="Times New Roman"/>
                <w:color w:val="auto"/>
                <w:spacing w:val="-7"/>
                <w:highlight w:val="none"/>
              </w:rPr>
            </w:pPr>
            <w:r>
              <w:rPr>
                <w:rFonts w:ascii="Times New Roman" w:hAnsi="Times New Roman" w:eastAsia="Times New Roman"/>
                <w:color w:val="auto"/>
                <w:spacing w:val="-7"/>
                <w:highlight w:val="none"/>
              </w:rPr>
              <w:t>1</w:t>
            </w:r>
            <w:r>
              <w:rPr>
                <w:rFonts w:ascii="Times New Roman" w:hAnsi="Times New Roman" w:eastAsia="Times New Roman"/>
                <w:color w:val="auto"/>
                <w:spacing w:val="-5"/>
                <w:highlight w:val="none"/>
              </w:rPr>
              <w:t>.11.1</w:t>
            </w:r>
          </w:p>
        </w:tc>
        <w:tc>
          <w:tcPr>
            <w:tcW w:w="3547" w:type="dxa"/>
          </w:tcPr>
          <w:p w14:paraId="4BBDDEFB">
            <w:pPr>
              <w:spacing w:line="253" w:lineRule="auto"/>
              <w:rPr>
                <w:color w:val="auto"/>
                <w:highlight w:val="none"/>
              </w:rPr>
            </w:pPr>
          </w:p>
          <w:p w14:paraId="21E7E62A">
            <w:pPr>
              <w:spacing w:line="253" w:lineRule="auto"/>
              <w:rPr>
                <w:color w:val="auto"/>
                <w:highlight w:val="none"/>
              </w:rPr>
            </w:pPr>
          </w:p>
          <w:p w14:paraId="2B06DD8D">
            <w:pPr>
              <w:spacing w:line="254" w:lineRule="auto"/>
              <w:rPr>
                <w:color w:val="auto"/>
                <w:highlight w:val="none"/>
              </w:rPr>
            </w:pPr>
          </w:p>
          <w:p w14:paraId="002EEF4D">
            <w:pPr>
              <w:spacing w:before="68" w:line="221" w:lineRule="auto"/>
              <w:ind w:left="1747"/>
              <w:rPr>
                <w:rFonts w:ascii="宋体" w:hAnsi="宋体" w:eastAsia="宋体"/>
                <w:color w:val="auto"/>
                <w:spacing w:val="-4"/>
                <w:highlight w:val="none"/>
              </w:rPr>
            </w:pPr>
            <w:r>
              <w:rPr>
                <w:rFonts w:ascii="宋体" w:hAnsi="宋体" w:eastAsia="宋体"/>
                <w:color w:val="auto"/>
                <w:spacing w:val="-4"/>
                <w:highlight w:val="none"/>
              </w:rPr>
              <w:t>分</w:t>
            </w:r>
            <w:r>
              <w:rPr>
                <w:rFonts w:ascii="宋体" w:hAnsi="宋体" w:eastAsia="宋体"/>
                <w:color w:val="auto"/>
                <w:spacing w:val="-2"/>
                <w:highlight w:val="none"/>
              </w:rPr>
              <w:t>包</w:t>
            </w:r>
          </w:p>
        </w:tc>
        <w:tc>
          <w:tcPr>
            <w:tcW w:w="4610" w:type="dxa"/>
          </w:tcPr>
          <w:p w14:paraId="5B69AC1A">
            <w:pPr>
              <w:spacing w:before="173"/>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不允许</w:t>
            </w:r>
          </w:p>
          <w:p w14:paraId="7D190747">
            <w:pPr>
              <w:spacing w:before="184"/>
              <w:ind w:left="932" w:leftChars="50" w:right="105" w:rightChars="50" w:hanging="827"/>
              <w:rPr>
                <w:rFonts w:ascii="Times New Roman" w:hAnsi="Times New Roman" w:eastAsia="Times New Roman"/>
                <w:color w:val="auto"/>
                <w:spacing w:val="-7"/>
                <w:sz w:val="31"/>
                <w:szCs w:val="31"/>
                <w:highlight w:val="none"/>
              </w:rPr>
            </w:pPr>
            <w:r>
              <w:rPr>
                <w:rFonts w:ascii="Times New Roman" w:hAnsi="Times New Roman" w:eastAsia="Times New Roman"/>
                <w:color w:val="auto"/>
                <w:spacing w:val="-7"/>
                <w:sz w:val="31"/>
                <w:szCs w:val="31"/>
                <w:highlight w:val="none"/>
              </w:rPr>
              <w:t>□</w:t>
            </w:r>
            <w:r>
              <w:rPr>
                <w:rFonts w:ascii="宋体" w:hAnsi="宋体" w:eastAsia="宋体"/>
                <w:color w:val="auto"/>
                <w:spacing w:val="-6"/>
                <w:highlight w:val="none"/>
              </w:rPr>
              <w:t>允许，分包内容要求：</w:t>
            </w:r>
            <w:r>
              <w:rPr>
                <w:rFonts w:ascii="宋体" w:hAnsi="宋体" w:eastAsia="宋体"/>
                <w:color w:val="auto"/>
                <w:highlight w:val="none"/>
              </w:rPr>
              <w:t xml:space="preserve"> </w:t>
            </w:r>
          </w:p>
          <w:p w14:paraId="5E437470">
            <w:pPr>
              <w:spacing w:before="184"/>
              <w:ind w:left="105" w:leftChars="50" w:right="105" w:rightChars="50" w:firstLine="13" w:firstLineChars="7"/>
              <w:rPr>
                <w:rFonts w:ascii="宋体" w:hAnsi="宋体" w:eastAsia="宋体"/>
                <w:color w:val="auto"/>
                <w:spacing w:val="-12"/>
                <w:highlight w:val="none"/>
              </w:rPr>
            </w:pPr>
            <w:r>
              <w:rPr>
                <w:rFonts w:ascii="宋体" w:hAnsi="宋体" w:eastAsia="宋体"/>
                <w:color w:val="auto"/>
                <w:spacing w:val="-12"/>
                <w:highlight w:val="none"/>
              </w:rPr>
              <w:t>分</w:t>
            </w:r>
            <w:r>
              <w:rPr>
                <w:rFonts w:ascii="宋体" w:hAnsi="宋体" w:eastAsia="宋体"/>
                <w:color w:val="auto"/>
                <w:spacing w:val="-8"/>
                <w:highlight w:val="none"/>
              </w:rPr>
              <w:t>包金额要求：</w:t>
            </w:r>
          </w:p>
          <w:p w14:paraId="277C0BD9">
            <w:pPr>
              <w:spacing w:before="184"/>
              <w:ind w:left="105" w:leftChars="50" w:right="105" w:rightChars="50" w:firstLine="13" w:firstLineChars="7"/>
              <w:rPr>
                <w:rFonts w:ascii="宋体" w:hAnsi="宋体" w:eastAsia="宋体"/>
                <w:color w:val="auto"/>
                <w:spacing w:val="-6"/>
                <w:highlight w:val="none"/>
              </w:rPr>
            </w:pPr>
            <w:r>
              <w:rPr>
                <w:rFonts w:ascii="宋体" w:hAnsi="宋体" w:eastAsia="宋体"/>
                <w:color w:val="auto"/>
                <w:spacing w:val="-6"/>
                <w:highlight w:val="none"/>
              </w:rPr>
              <w:t>对</w:t>
            </w:r>
            <w:r>
              <w:rPr>
                <w:rFonts w:ascii="宋体" w:hAnsi="宋体" w:eastAsia="宋体"/>
                <w:color w:val="auto"/>
                <w:spacing w:val="-5"/>
                <w:highlight w:val="none"/>
              </w:rPr>
              <w:t>分包人的资质要求：</w:t>
            </w:r>
          </w:p>
        </w:tc>
      </w:tr>
      <w:tr w14:paraId="38626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69" w:type="dxa"/>
            <w:vAlign w:val="center"/>
          </w:tcPr>
          <w:p w14:paraId="71D77C83">
            <w:pPr>
              <w:spacing w:before="48" w:after="48"/>
              <w:ind w:left="42" w:leftChars="20" w:right="42" w:rightChars="20"/>
              <w:jc w:val="center"/>
              <w:rPr>
                <w:rFonts w:ascii="Times New Roman" w:hAnsi="Times New Roman" w:eastAsia="Times New Roman"/>
                <w:color w:val="auto"/>
                <w:spacing w:val="-7"/>
                <w:highlight w:val="none"/>
              </w:rPr>
            </w:pPr>
            <w:r>
              <w:rPr>
                <w:rFonts w:hint="eastAsia" w:ascii="Times New Roman" w:hAnsi="Times New Roman" w:eastAsia="Times New Roman"/>
                <w:color w:val="auto"/>
                <w:spacing w:val="-7"/>
                <w:highlight w:val="none"/>
              </w:rPr>
              <w:t>1.12.1</w:t>
            </w:r>
          </w:p>
        </w:tc>
        <w:tc>
          <w:tcPr>
            <w:tcW w:w="3547" w:type="dxa"/>
            <w:vAlign w:val="center"/>
          </w:tcPr>
          <w:p w14:paraId="1F1E20FD">
            <w:pPr>
              <w:spacing w:before="48" w:after="48"/>
              <w:ind w:left="42" w:leftChars="20" w:right="42" w:rightChars="20"/>
              <w:jc w:val="center"/>
              <w:rPr>
                <w:rFonts w:ascii="宋体" w:hAnsi="宋体"/>
                <w:color w:val="auto"/>
                <w:highlight w:val="none"/>
              </w:rPr>
            </w:pPr>
            <w:r>
              <w:rPr>
                <w:rFonts w:hint="eastAsia" w:ascii="宋体" w:hAnsi="宋体"/>
                <w:color w:val="auto"/>
                <w:highlight w:val="none"/>
              </w:rPr>
              <w:t>实质性要求和条件</w:t>
            </w:r>
          </w:p>
        </w:tc>
        <w:tc>
          <w:tcPr>
            <w:tcW w:w="4610" w:type="dxa"/>
          </w:tcPr>
          <w:p w14:paraId="6AC2024C">
            <w:pPr>
              <w:spacing w:before="184"/>
              <w:ind w:left="105" w:leftChars="50" w:right="105" w:rightChars="50" w:firstLine="14" w:firstLineChars="7"/>
              <w:rPr>
                <w:rFonts w:ascii="宋体" w:hAnsi="宋体" w:eastAsia="宋体"/>
                <w:color w:val="auto"/>
                <w:highlight w:val="none"/>
              </w:rPr>
            </w:pPr>
            <w:r>
              <w:rPr>
                <w:rFonts w:hint="eastAsia" w:ascii="宋体" w:hAnsi="宋体" w:eastAsia="宋体"/>
                <w:color w:val="auto"/>
                <w:highlight w:val="none"/>
              </w:rPr>
              <w:t>/</w:t>
            </w:r>
          </w:p>
        </w:tc>
      </w:tr>
      <w:tr w14:paraId="46C14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169" w:type="dxa"/>
          </w:tcPr>
          <w:p w14:paraId="013C28D7">
            <w:pPr>
              <w:spacing w:line="274" w:lineRule="auto"/>
              <w:rPr>
                <w:color w:val="auto"/>
                <w:highlight w:val="none"/>
              </w:rPr>
            </w:pPr>
          </w:p>
          <w:p w14:paraId="0631F2FA">
            <w:pPr>
              <w:spacing w:line="274" w:lineRule="auto"/>
              <w:rPr>
                <w:color w:val="auto"/>
                <w:highlight w:val="none"/>
              </w:rPr>
            </w:pPr>
          </w:p>
          <w:p w14:paraId="36090E40">
            <w:pPr>
              <w:spacing w:before="61" w:line="186" w:lineRule="auto"/>
              <w:ind w:left="343"/>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1</w:t>
            </w:r>
            <w:r>
              <w:rPr>
                <w:rFonts w:ascii="Times New Roman" w:hAnsi="Times New Roman" w:eastAsia="Times New Roman"/>
                <w:color w:val="auto"/>
                <w:spacing w:val="-5"/>
                <w:highlight w:val="none"/>
              </w:rPr>
              <w:t>.</w:t>
            </w:r>
            <w:r>
              <w:rPr>
                <w:rFonts w:ascii="Times New Roman" w:hAnsi="Times New Roman" w:eastAsia="Times New Roman"/>
                <w:color w:val="auto"/>
                <w:spacing w:val="-3"/>
                <w:highlight w:val="none"/>
              </w:rPr>
              <w:t>12.3</w:t>
            </w:r>
          </w:p>
        </w:tc>
        <w:tc>
          <w:tcPr>
            <w:tcW w:w="3547" w:type="dxa"/>
          </w:tcPr>
          <w:p w14:paraId="1E2AFA04">
            <w:pPr>
              <w:spacing w:line="251" w:lineRule="auto"/>
              <w:rPr>
                <w:color w:val="auto"/>
                <w:highlight w:val="none"/>
              </w:rPr>
            </w:pPr>
          </w:p>
          <w:p w14:paraId="3B8AC4A1">
            <w:pPr>
              <w:spacing w:line="251" w:lineRule="auto"/>
              <w:rPr>
                <w:color w:val="auto"/>
                <w:highlight w:val="none"/>
              </w:rPr>
            </w:pPr>
          </w:p>
          <w:p w14:paraId="1295075D">
            <w:pPr>
              <w:spacing w:before="69" w:line="220" w:lineRule="auto"/>
              <w:ind w:left="1745"/>
              <w:rPr>
                <w:rFonts w:ascii="宋体" w:hAnsi="宋体" w:eastAsia="宋体"/>
                <w:color w:val="auto"/>
                <w:spacing w:val="-3"/>
                <w:highlight w:val="none"/>
              </w:rPr>
            </w:pPr>
            <w:r>
              <w:rPr>
                <w:rFonts w:ascii="宋体" w:hAnsi="宋体" w:eastAsia="宋体"/>
                <w:color w:val="auto"/>
                <w:spacing w:val="-3"/>
                <w:highlight w:val="none"/>
              </w:rPr>
              <w:t>偏</w:t>
            </w:r>
            <w:r>
              <w:rPr>
                <w:rFonts w:ascii="宋体" w:hAnsi="宋体" w:eastAsia="宋体"/>
                <w:color w:val="auto"/>
                <w:spacing w:val="-2"/>
                <w:highlight w:val="none"/>
              </w:rPr>
              <w:t>差</w:t>
            </w:r>
          </w:p>
        </w:tc>
        <w:tc>
          <w:tcPr>
            <w:tcW w:w="4610" w:type="dxa"/>
          </w:tcPr>
          <w:p w14:paraId="2B3E7ACD">
            <w:pPr>
              <w:spacing w:before="174"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不允许</w:t>
            </w:r>
          </w:p>
          <w:p w14:paraId="74BA1A12">
            <w:pPr>
              <w:spacing w:before="125" w:line="256" w:lineRule="auto"/>
              <w:ind w:left="1034" w:leftChars="50" w:right="105" w:rightChars="50" w:hanging="929"/>
              <w:rPr>
                <w:rFonts w:ascii="Times New Roman" w:hAnsi="Times New Roman" w:eastAsia="Times New Roman"/>
                <w:color w:val="auto"/>
                <w:spacing w:val="-24"/>
                <w:sz w:val="31"/>
                <w:szCs w:val="31"/>
                <w:highlight w:val="none"/>
              </w:rPr>
            </w:pPr>
            <w:r>
              <w:rPr>
                <w:rFonts w:ascii="Times New Roman" w:hAnsi="Times New Roman" w:eastAsia="Times New Roman"/>
                <w:color w:val="auto"/>
                <w:spacing w:val="-24"/>
                <w:sz w:val="31"/>
                <w:szCs w:val="31"/>
                <w:highlight w:val="none"/>
              </w:rPr>
              <w:t xml:space="preserve">□ </w:t>
            </w:r>
            <w:r>
              <w:rPr>
                <w:rFonts w:ascii="宋体" w:hAnsi="宋体" w:eastAsia="宋体"/>
                <w:color w:val="auto"/>
                <w:spacing w:val="-24"/>
                <w:sz w:val="24"/>
                <w:szCs w:val="24"/>
                <w:highlight w:val="none"/>
              </w:rPr>
              <w:t>允许，</w:t>
            </w:r>
            <w:r>
              <w:rPr>
                <w:rFonts w:hint="eastAsia" w:ascii="宋体" w:hAnsi="宋体" w:eastAsia="宋体"/>
                <w:color w:val="auto"/>
                <w:spacing w:val="-24"/>
                <w:sz w:val="24"/>
                <w:szCs w:val="24"/>
                <w:highlight w:val="none"/>
              </w:rPr>
              <w:t xml:space="preserve"> </w:t>
            </w:r>
            <w:r>
              <w:rPr>
                <w:rFonts w:ascii="宋体" w:hAnsi="宋体" w:eastAsia="宋体"/>
                <w:color w:val="auto"/>
                <w:spacing w:val="-24"/>
                <w:highlight w:val="none"/>
              </w:rPr>
              <w:t>偏差范围：</w:t>
            </w:r>
            <w:r>
              <w:rPr>
                <w:rFonts w:ascii="宋体" w:hAnsi="宋体" w:eastAsia="宋体"/>
                <w:color w:val="auto"/>
                <w:highlight w:val="none"/>
              </w:rPr>
              <w:t xml:space="preserve"> </w:t>
            </w:r>
          </w:p>
          <w:p w14:paraId="57978B7E">
            <w:pPr>
              <w:spacing w:before="125" w:line="256" w:lineRule="auto"/>
              <w:ind w:left="105" w:leftChars="50" w:right="105" w:rightChars="50" w:firstLine="1104" w:firstLineChars="600"/>
              <w:rPr>
                <w:rFonts w:ascii="宋体" w:hAnsi="宋体" w:eastAsia="宋体"/>
                <w:color w:val="auto"/>
                <w:spacing w:val="-13"/>
                <w:highlight w:val="none"/>
              </w:rPr>
            </w:pPr>
            <w:r>
              <w:rPr>
                <w:rFonts w:ascii="宋体" w:hAnsi="宋体" w:eastAsia="宋体"/>
                <w:color w:val="auto"/>
                <w:spacing w:val="-13"/>
                <w:highlight w:val="none"/>
              </w:rPr>
              <w:t>偏</w:t>
            </w:r>
            <w:r>
              <w:rPr>
                <w:rFonts w:ascii="宋体" w:hAnsi="宋体" w:eastAsia="宋体"/>
                <w:color w:val="auto"/>
                <w:spacing w:val="-11"/>
                <w:highlight w:val="none"/>
              </w:rPr>
              <w:t>差幅度：</w:t>
            </w:r>
          </w:p>
        </w:tc>
      </w:tr>
      <w:tr w14:paraId="0B441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9" w:type="dxa"/>
            <w:vAlign w:val="center"/>
          </w:tcPr>
          <w:p w14:paraId="45A9942C">
            <w:pPr>
              <w:pStyle w:val="59"/>
              <w:overflowPunct w:val="0"/>
              <w:jc w:val="center"/>
              <w:rPr>
                <w:rFonts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rPr>
              <w:t>2.1</w:t>
            </w:r>
          </w:p>
        </w:tc>
        <w:tc>
          <w:tcPr>
            <w:tcW w:w="3547" w:type="dxa"/>
            <w:vAlign w:val="center"/>
          </w:tcPr>
          <w:p w14:paraId="1F72596C">
            <w:pPr>
              <w:pStyle w:val="59"/>
              <w:overflowPunct w:val="0"/>
              <w:jc w:val="center"/>
              <w:rPr>
                <w:rFonts w:ascii="宋体" w:hAnsi="宋体" w:eastAsia="宋体"/>
                <w:color w:val="auto"/>
                <w:sz w:val="21"/>
                <w:szCs w:val="21"/>
                <w:highlight w:val="none"/>
              </w:rPr>
            </w:pPr>
            <w:r>
              <w:rPr>
                <w:rFonts w:ascii="宋体" w:hAnsi="宋体" w:eastAsia="宋体"/>
                <w:color w:val="auto"/>
                <w:sz w:val="21"/>
                <w:szCs w:val="21"/>
                <w:highlight w:val="none"/>
              </w:rPr>
              <w:t>构成招标文件的其他资料</w:t>
            </w:r>
          </w:p>
        </w:tc>
        <w:tc>
          <w:tcPr>
            <w:tcW w:w="4610" w:type="dxa"/>
          </w:tcPr>
          <w:p w14:paraId="25E63B88">
            <w:pPr>
              <w:spacing w:before="125" w:line="256" w:lineRule="auto"/>
              <w:ind w:left="105" w:leftChars="50" w:right="105" w:rightChars="50" w:firstLine="920" w:firstLineChars="500"/>
              <w:rPr>
                <w:rFonts w:ascii="宋体" w:hAnsi="宋体" w:eastAsia="宋体"/>
                <w:color w:val="auto"/>
                <w:spacing w:val="-13"/>
                <w:highlight w:val="none"/>
              </w:rPr>
            </w:pPr>
            <w:r>
              <w:rPr>
                <w:rFonts w:hint="eastAsia" w:ascii="宋体" w:hAnsi="宋体" w:eastAsia="宋体"/>
                <w:color w:val="auto"/>
                <w:spacing w:val="-13"/>
                <w:highlight w:val="none"/>
              </w:rPr>
              <w:t>/</w:t>
            </w:r>
          </w:p>
        </w:tc>
      </w:tr>
      <w:tr w14:paraId="61501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69" w:type="dxa"/>
            <w:vAlign w:val="center"/>
          </w:tcPr>
          <w:p w14:paraId="3A76DBCC">
            <w:pPr>
              <w:spacing w:before="60" w:line="186" w:lineRule="auto"/>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p>
        </w:tc>
        <w:tc>
          <w:tcPr>
            <w:tcW w:w="3547" w:type="dxa"/>
            <w:vAlign w:val="center"/>
          </w:tcPr>
          <w:p w14:paraId="6258271C">
            <w:pPr>
              <w:spacing w:line="272" w:lineRule="auto"/>
              <w:jc w:val="center"/>
              <w:rPr>
                <w:color w:val="auto"/>
                <w:highlight w:val="none"/>
              </w:rPr>
            </w:pPr>
          </w:p>
          <w:p w14:paraId="592A121C">
            <w:pPr>
              <w:spacing w:before="69" w:line="220" w:lineRule="auto"/>
              <w:jc w:val="center"/>
              <w:rPr>
                <w:color w:val="auto"/>
                <w:highlight w:val="none"/>
              </w:rPr>
            </w:pPr>
            <w:r>
              <w:rPr>
                <w:rFonts w:hint="eastAsia"/>
                <w:color w:val="auto"/>
                <w:highlight w:val="none"/>
              </w:rPr>
              <w:t>招标答疑</w:t>
            </w:r>
          </w:p>
          <w:p w14:paraId="7AA9D364">
            <w:pPr>
              <w:jc w:val="center"/>
              <w:rPr>
                <w:color w:val="auto"/>
                <w:highlight w:val="none"/>
              </w:rPr>
            </w:pPr>
          </w:p>
          <w:p w14:paraId="1BE57833">
            <w:pPr>
              <w:tabs>
                <w:tab w:val="left" w:pos="1103"/>
              </w:tabs>
              <w:jc w:val="center"/>
              <w:rPr>
                <w:color w:val="auto"/>
                <w:highlight w:val="none"/>
              </w:rPr>
            </w:pPr>
          </w:p>
        </w:tc>
        <w:tc>
          <w:tcPr>
            <w:tcW w:w="4610" w:type="dxa"/>
          </w:tcPr>
          <w:p w14:paraId="5D32EC97">
            <w:pPr>
              <w:spacing w:before="120" w:line="360" w:lineRule="auto"/>
              <w:ind w:left="105" w:leftChars="50" w:right="105" w:rightChars="50"/>
              <w:contextualSpacing/>
              <w:rPr>
                <w:rFonts w:ascii="宋体" w:hAnsi="宋体" w:eastAsia="宋体"/>
                <w:color w:val="auto"/>
                <w:highlight w:val="none"/>
              </w:rPr>
            </w:pPr>
            <w:r>
              <w:rPr>
                <w:rFonts w:hint="eastAsia" w:ascii="宋体" w:hAnsi="宋体" w:eastAsia="宋体"/>
                <w:color w:val="auto"/>
                <w:highlight w:val="none"/>
              </w:rPr>
              <w:t>疑问提交时间：</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w:t>
            </w:r>
            <w:r>
              <w:rPr>
                <w:rFonts w:hint="eastAsia" w:ascii="宋体" w:hAnsi="宋体" w:eastAsia="宋体"/>
                <w:color w:val="auto"/>
                <w:highlight w:val="none"/>
                <w:u w:val="single"/>
              </w:rPr>
              <w:t xml:space="preserve">   </w:t>
            </w:r>
            <w:r>
              <w:rPr>
                <w:rFonts w:hint="eastAsia" w:ascii="宋体" w:hAnsi="宋体" w:eastAsia="宋体"/>
                <w:color w:val="auto"/>
                <w:highlight w:val="none"/>
              </w:rPr>
              <w:t>时前；</w:t>
            </w:r>
          </w:p>
          <w:p w14:paraId="2DBF1A4F">
            <w:pPr>
              <w:spacing w:before="120" w:line="360" w:lineRule="auto"/>
              <w:ind w:left="105" w:leftChars="50" w:right="105" w:rightChars="50"/>
              <w:contextualSpacing/>
              <w:rPr>
                <w:rFonts w:ascii="宋体" w:hAnsi="宋体" w:eastAsia="宋体"/>
                <w:color w:val="auto"/>
                <w:highlight w:val="none"/>
              </w:rPr>
            </w:pPr>
            <w:r>
              <w:rPr>
                <w:rFonts w:hint="eastAsia" w:ascii="宋体" w:hAnsi="宋体" w:eastAsia="宋体"/>
                <w:color w:val="auto"/>
                <w:highlight w:val="none"/>
              </w:rPr>
              <w:t>形式：投标人的疑问通过广州交易集团有限公司（广州公共资源交易中心）网站提交。</w:t>
            </w:r>
          </w:p>
          <w:p w14:paraId="70FB1CFA">
            <w:pPr>
              <w:spacing w:before="120" w:line="360" w:lineRule="auto"/>
              <w:ind w:left="105" w:leftChars="50" w:right="105" w:rightChars="50"/>
              <w:contextualSpacing/>
              <w:rPr>
                <w:rFonts w:ascii="宋体" w:hAnsi="宋体" w:eastAsia="宋体"/>
                <w:color w:val="auto"/>
                <w:highlight w:val="none"/>
              </w:rPr>
            </w:pPr>
            <w:r>
              <w:rPr>
                <w:rFonts w:hint="eastAsia" w:ascii="宋体" w:hAnsi="宋体" w:eastAsia="宋体"/>
                <w:color w:val="auto"/>
                <w:highlight w:val="none"/>
              </w:rPr>
              <w:t>具体要求：按照广州交易集团有限公司（广州公共资源交易中心）网站关于全流程电子化项目的相关指南进行操作，提问一律不得署名。</w:t>
            </w:r>
          </w:p>
        </w:tc>
      </w:tr>
      <w:tr w14:paraId="2D7A6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vAlign w:val="center"/>
          </w:tcPr>
          <w:p w14:paraId="611EFADE">
            <w:pPr>
              <w:spacing w:before="209" w:line="186" w:lineRule="auto"/>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2.3</w:t>
            </w:r>
          </w:p>
        </w:tc>
        <w:tc>
          <w:tcPr>
            <w:tcW w:w="3547" w:type="dxa"/>
            <w:vAlign w:val="center"/>
          </w:tcPr>
          <w:p w14:paraId="034CBFFB">
            <w:pPr>
              <w:spacing w:before="170" w:line="220" w:lineRule="auto"/>
              <w:jc w:val="center"/>
              <w:rPr>
                <w:rFonts w:ascii="宋体" w:hAnsi="宋体" w:eastAsia="宋体"/>
                <w:color w:val="auto"/>
                <w:spacing w:val="-1"/>
                <w:highlight w:val="none"/>
              </w:rPr>
            </w:pPr>
            <w:r>
              <w:rPr>
                <w:rFonts w:ascii="宋体" w:hAnsi="宋体" w:eastAsia="宋体"/>
                <w:color w:val="auto"/>
                <w:spacing w:val="-1"/>
                <w:highlight w:val="none"/>
              </w:rPr>
              <w:t>招标文件</w:t>
            </w:r>
            <w:r>
              <w:rPr>
                <w:rFonts w:hint="eastAsia" w:ascii="宋体" w:hAnsi="宋体" w:eastAsia="宋体"/>
                <w:color w:val="auto"/>
                <w:spacing w:val="-1"/>
                <w:highlight w:val="none"/>
              </w:rPr>
              <w:t>的澄清和</w:t>
            </w:r>
            <w:r>
              <w:rPr>
                <w:rFonts w:ascii="宋体" w:hAnsi="宋体" w:eastAsia="宋体"/>
                <w:color w:val="auto"/>
                <w:spacing w:val="-1"/>
                <w:highlight w:val="none"/>
              </w:rPr>
              <w:t>修改</w:t>
            </w:r>
          </w:p>
        </w:tc>
        <w:tc>
          <w:tcPr>
            <w:tcW w:w="4610" w:type="dxa"/>
            <w:vAlign w:val="center"/>
          </w:tcPr>
          <w:p w14:paraId="7B690757">
            <w:pPr>
              <w:ind w:left="105" w:leftChars="50" w:right="105" w:rightChars="50"/>
              <w:jc w:val="both"/>
              <w:rPr>
                <w:rFonts w:ascii="宋体" w:hAnsi="宋体"/>
                <w:color w:val="auto"/>
                <w:highlight w:val="none"/>
              </w:rPr>
            </w:pPr>
            <w:r>
              <w:rPr>
                <w:rFonts w:hint="eastAsia" w:ascii="宋体" w:hAnsi="宋体"/>
                <w:color w:val="auto"/>
                <w:highlight w:val="none"/>
              </w:rPr>
              <w:t>招标文件的修改期限：在投标截止时间</w:t>
            </w:r>
            <w:r>
              <w:rPr>
                <w:rFonts w:hint="eastAsia" w:ascii="宋体" w:hAnsi="宋体"/>
                <w:color w:val="auto"/>
                <w:highlight w:val="none"/>
                <w:u w:val="single"/>
              </w:rPr>
              <w:t xml:space="preserve"> 15 </w:t>
            </w:r>
            <w:r>
              <w:rPr>
                <w:rFonts w:hint="eastAsia" w:ascii="宋体" w:hAnsi="宋体"/>
                <w:color w:val="auto"/>
                <w:highlight w:val="none"/>
              </w:rPr>
              <w:t>天前</w:t>
            </w:r>
          </w:p>
        </w:tc>
      </w:tr>
      <w:tr w14:paraId="32538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vAlign w:val="center"/>
          </w:tcPr>
          <w:p w14:paraId="23FAD467">
            <w:pPr>
              <w:pStyle w:val="59"/>
              <w:overflowPunct w:val="0"/>
              <w:jc w:val="center"/>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3.1.1</w:t>
            </w:r>
          </w:p>
        </w:tc>
        <w:tc>
          <w:tcPr>
            <w:tcW w:w="3547" w:type="dxa"/>
            <w:vAlign w:val="center"/>
          </w:tcPr>
          <w:p w14:paraId="40F670DA">
            <w:pPr>
              <w:pStyle w:val="59"/>
              <w:overflowPunct w:val="0"/>
              <w:jc w:val="center"/>
              <w:rPr>
                <w:rFonts w:ascii="宋体" w:hAnsi="宋体" w:eastAsia="宋体"/>
                <w:color w:val="auto"/>
                <w:spacing w:val="-1"/>
                <w:sz w:val="21"/>
                <w:szCs w:val="21"/>
                <w:highlight w:val="none"/>
              </w:rPr>
            </w:pPr>
            <w:r>
              <w:rPr>
                <w:rFonts w:ascii="宋体" w:hAnsi="宋体" w:eastAsia="宋体"/>
                <w:color w:val="auto"/>
                <w:spacing w:val="-1"/>
                <w:sz w:val="21"/>
                <w:szCs w:val="21"/>
                <w:highlight w:val="none"/>
              </w:rPr>
              <w:t>构成投标文件的其他资料</w:t>
            </w:r>
          </w:p>
        </w:tc>
        <w:tc>
          <w:tcPr>
            <w:tcW w:w="4610" w:type="dxa"/>
            <w:vAlign w:val="center"/>
          </w:tcPr>
          <w:p w14:paraId="2225CF2D">
            <w:pPr>
              <w:ind w:left="105" w:leftChars="50" w:right="105" w:rightChars="50"/>
              <w:jc w:val="both"/>
              <w:rPr>
                <w:rFonts w:ascii="宋体" w:hAnsi="宋体" w:eastAsia="宋体"/>
                <w:color w:val="auto"/>
                <w:spacing w:val="-1"/>
                <w:highlight w:val="none"/>
              </w:rPr>
            </w:pPr>
            <w:r>
              <w:rPr>
                <w:rFonts w:hint="eastAsia" w:ascii="宋体" w:hAnsi="宋体" w:eastAsia="宋体"/>
                <w:color w:val="auto"/>
                <w:spacing w:val="-1"/>
                <w:highlight w:val="none"/>
              </w:rPr>
              <w:t>满足本项目评审要求的其他资料。</w:t>
            </w:r>
          </w:p>
        </w:tc>
      </w:tr>
      <w:tr w14:paraId="1EB25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2101DBA3">
            <w:pPr>
              <w:spacing w:before="209"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1</w:t>
            </w:r>
          </w:p>
        </w:tc>
        <w:tc>
          <w:tcPr>
            <w:tcW w:w="3547" w:type="dxa"/>
          </w:tcPr>
          <w:p w14:paraId="1EC906F6">
            <w:pPr>
              <w:spacing w:before="170" w:line="220" w:lineRule="auto"/>
              <w:ind w:left="906"/>
              <w:rPr>
                <w:rFonts w:ascii="宋体" w:hAnsi="宋体" w:eastAsia="宋体"/>
                <w:color w:val="auto"/>
                <w:spacing w:val="-1"/>
                <w:highlight w:val="none"/>
              </w:rPr>
            </w:pPr>
            <w:r>
              <w:rPr>
                <w:rFonts w:ascii="宋体" w:hAnsi="宋体" w:eastAsia="宋体"/>
                <w:color w:val="auto"/>
                <w:spacing w:val="-1"/>
                <w:highlight w:val="none"/>
              </w:rPr>
              <w:t>增值税税金的计算方</w:t>
            </w:r>
            <w:r>
              <w:rPr>
                <w:rFonts w:ascii="宋体" w:hAnsi="宋体" w:eastAsia="宋体"/>
                <w:color w:val="auto"/>
                <w:highlight w:val="none"/>
              </w:rPr>
              <w:t>法</w:t>
            </w:r>
          </w:p>
        </w:tc>
        <w:tc>
          <w:tcPr>
            <w:tcW w:w="4610" w:type="dxa"/>
            <w:vAlign w:val="center"/>
          </w:tcPr>
          <w:p w14:paraId="0ED1F45B">
            <w:pPr>
              <w:ind w:left="105" w:leftChars="50" w:right="105" w:rightChars="50" w:firstLine="420" w:firstLineChars="200"/>
              <w:jc w:val="both"/>
              <w:rPr>
                <w:rFonts w:eastAsia="宋体"/>
                <w:color w:val="auto"/>
                <w:highlight w:val="none"/>
              </w:rPr>
            </w:pPr>
            <w:r>
              <w:rPr>
                <w:rFonts w:hint="eastAsia" w:eastAsia="宋体"/>
                <w:color w:val="auto"/>
                <w:highlight w:val="none"/>
              </w:rPr>
              <w:t>/</w:t>
            </w:r>
          </w:p>
        </w:tc>
      </w:tr>
      <w:tr w14:paraId="3C79A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02CF0E97">
            <w:pPr>
              <w:spacing w:before="209"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3</w:t>
            </w:r>
          </w:p>
        </w:tc>
        <w:tc>
          <w:tcPr>
            <w:tcW w:w="3547" w:type="dxa"/>
          </w:tcPr>
          <w:p w14:paraId="03F8B3CA">
            <w:pPr>
              <w:spacing w:before="170" w:line="219" w:lineRule="auto"/>
              <w:ind w:left="1533"/>
              <w:rPr>
                <w:rFonts w:ascii="宋体" w:hAnsi="宋体" w:eastAsia="宋体"/>
                <w:color w:val="auto"/>
                <w:spacing w:val="-2"/>
                <w:highlight w:val="none"/>
              </w:rPr>
            </w:pPr>
            <w:r>
              <w:rPr>
                <w:rFonts w:ascii="宋体" w:hAnsi="宋体" w:eastAsia="宋体"/>
                <w:color w:val="auto"/>
                <w:spacing w:val="-2"/>
                <w:highlight w:val="none"/>
              </w:rPr>
              <w:t>报</w:t>
            </w:r>
            <w:r>
              <w:rPr>
                <w:rFonts w:ascii="宋体" w:hAnsi="宋体" w:eastAsia="宋体"/>
                <w:color w:val="auto"/>
                <w:spacing w:val="-1"/>
                <w:highlight w:val="none"/>
              </w:rPr>
              <w:t>价方式</w:t>
            </w:r>
          </w:p>
        </w:tc>
        <w:tc>
          <w:tcPr>
            <w:tcW w:w="4610" w:type="dxa"/>
            <w:vAlign w:val="center"/>
          </w:tcPr>
          <w:p w14:paraId="0DD098D4">
            <w:pPr>
              <w:ind w:left="105" w:leftChars="50" w:right="105" w:rightChars="50"/>
              <w:jc w:val="both"/>
              <w:rPr>
                <w:rFonts w:ascii="宋体" w:hAnsi="宋体"/>
                <w:color w:val="auto"/>
                <w:highlight w:val="none"/>
                <w:u w:val="single"/>
              </w:rPr>
            </w:pPr>
            <w:r>
              <w:rPr>
                <w:rFonts w:hint="eastAsia" w:ascii="宋体" w:hAnsi="宋体"/>
                <w:color w:val="auto"/>
                <w:highlight w:val="none"/>
                <w:u w:val="single"/>
              </w:rPr>
              <w:t>投标人根据企业自身情况进行报价，报价不得超过本项目最高投标限价，超过的投标将被否决。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3EDEF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1169" w:type="dxa"/>
          </w:tcPr>
          <w:p w14:paraId="689584CC">
            <w:pPr>
              <w:spacing w:line="366" w:lineRule="auto"/>
              <w:rPr>
                <w:color w:val="auto"/>
                <w:highlight w:val="none"/>
              </w:rPr>
            </w:pPr>
          </w:p>
          <w:p w14:paraId="7D299665">
            <w:pPr>
              <w:spacing w:before="6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4</w:t>
            </w:r>
          </w:p>
        </w:tc>
        <w:tc>
          <w:tcPr>
            <w:tcW w:w="3547" w:type="dxa"/>
            <w:vAlign w:val="center"/>
          </w:tcPr>
          <w:p w14:paraId="286546F5">
            <w:pPr>
              <w:spacing w:before="69" w:line="219" w:lineRule="auto"/>
              <w:jc w:val="center"/>
              <w:rPr>
                <w:rFonts w:ascii="宋体" w:hAnsi="宋体" w:eastAsia="宋体"/>
                <w:color w:val="auto"/>
                <w:spacing w:val="-2"/>
                <w:highlight w:val="none"/>
              </w:rPr>
            </w:pPr>
            <w:r>
              <w:rPr>
                <w:rFonts w:ascii="宋体" w:hAnsi="宋体" w:eastAsia="宋体"/>
                <w:color w:val="auto"/>
                <w:spacing w:val="-2"/>
                <w:highlight w:val="none"/>
              </w:rPr>
              <w:t>最高投</w:t>
            </w:r>
            <w:r>
              <w:rPr>
                <w:rFonts w:ascii="宋体" w:hAnsi="宋体" w:eastAsia="宋体"/>
                <w:color w:val="auto"/>
                <w:spacing w:val="-1"/>
                <w:highlight w:val="none"/>
              </w:rPr>
              <w:t>标限价</w:t>
            </w:r>
          </w:p>
        </w:tc>
        <w:tc>
          <w:tcPr>
            <w:tcW w:w="4610" w:type="dxa"/>
          </w:tcPr>
          <w:p w14:paraId="7474456F">
            <w:pPr>
              <w:spacing w:before="171" w:line="173" w:lineRule="auto"/>
              <w:ind w:left="105" w:leftChars="50" w:right="105" w:rightChars="50"/>
              <w:rPr>
                <w:rFonts w:ascii="Times New Roman" w:hAnsi="Times New Roman" w:eastAsia="宋体"/>
                <w:color w:val="auto"/>
                <w:spacing w:val="-9"/>
                <w:sz w:val="31"/>
                <w:szCs w:val="31"/>
                <w:highlight w:val="none"/>
              </w:rPr>
            </w:pPr>
            <w:r>
              <w:rPr>
                <w:rFonts w:hint="eastAsia" w:ascii="Times New Roman" w:hAnsi="Times New Roman" w:eastAsia="宋体"/>
                <w:color w:val="auto"/>
                <w:spacing w:val="-9"/>
                <w:sz w:val="31"/>
                <w:szCs w:val="31"/>
                <w:highlight w:val="none"/>
              </w:rPr>
              <w:t>□</w:t>
            </w:r>
            <w:r>
              <w:rPr>
                <w:rFonts w:ascii="宋体" w:hAnsi="宋体" w:eastAsia="宋体"/>
                <w:color w:val="auto"/>
                <w:spacing w:val="-8"/>
                <w:highlight w:val="none"/>
              </w:rPr>
              <w:t>无</w:t>
            </w:r>
          </w:p>
          <w:p w14:paraId="6CE3E54E">
            <w:pPr>
              <w:ind w:left="401" w:leftChars="50" w:right="105" w:rightChars="50" w:hanging="296" w:hangingChars="100"/>
              <w:rPr>
                <w:rFonts w:ascii="Times New Roman" w:hAnsi="Times New Roman" w:eastAsia="Times New Roman"/>
                <w:color w:val="auto"/>
                <w:spacing w:val="-7"/>
                <w:sz w:val="31"/>
                <w:szCs w:val="31"/>
                <w:highlight w:val="none"/>
              </w:rPr>
            </w:pPr>
            <w:r>
              <w:rPr>
                <w:rFonts w:ascii="Times New Roman" w:hAnsi="Times New Roman" w:eastAsia="Times New Roman"/>
                <w:color w:val="auto"/>
                <w:spacing w:val="-7"/>
                <w:sz w:val="31"/>
                <w:szCs w:val="31"/>
                <w:highlight w:val="none"/>
              </w:rPr>
              <w:sym w:font="Wingdings 2" w:char="F052"/>
            </w:r>
            <w:r>
              <w:rPr>
                <w:rFonts w:ascii="宋体" w:hAnsi="宋体" w:eastAsia="宋体"/>
                <w:color w:val="auto"/>
                <w:spacing w:val="-6"/>
                <w:highlight w:val="none"/>
              </w:rPr>
              <w:t>有，最高投标限价：</w:t>
            </w:r>
          </w:p>
          <w:p w14:paraId="03C7A4B7">
            <w:pPr>
              <w:ind w:left="105" w:leftChars="50" w:right="105" w:rightChars="50"/>
              <w:rPr>
                <w:rFonts w:ascii="宋体" w:hAnsi="宋体" w:eastAsiaTheme="minorEastAsia"/>
                <w:color w:val="auto"/>
                <w:highlight w:val="none"/>
              </w:rPr>
            </w:pPr>
            <w:r>
              <w:rPr>
                <w:rFonts w:hint="eastAsia" w:ascii="宋体" w:hAnsi="宋体"/>
                <w:color w:val="auto"/>
                <w:highlight w:val="none"/>
              </w:rPr>
              <w:t>本次招标</w:t>
            </w:r>
            <w:r>
              <w:rPr>
                <w:rFonts w:ascii="宋体" w:hAnsi="宋体"/>
                <w:color w:val="auto"/>
                <w:highlight w:val="none"/>
              </w:rPr>
              <w:t>最高投标限价</w:t>
            </w:r>
            <w:r>
              <w:rPr>
                <w:rFonts w:hint="eastAsia" w:ascii="宋体" w:hAnsi="宋体"/>
                <w:color w:val="auto"/>
                <w:highlight w:val="none"/>
              </w:rPr>
              <w:t>为</w:t>
            </w:r>
            <w:r>
              <w:rPr>
                <w:rFonts w:hint="eastAsia" w:ascii="宋体" w:hAnsi="宋体" w:eastAsia="宋体"/>
                <w:color w:val="auto"/>
                <w:highlight w:val="none"/>
                <w:u w:val="single"/>
                <w:lang w:val="en-US" w:eastAsia="zh-CN"/>
              </w:rPr>
              <w:t xml:space="preserve"> 830.43 </w:t>
            </w:r>
            <w:r>
              <w:rPr>
                <w:rFonts w:hint="eastAsia" w:ascii="宋体" w:hAnsi="宋体" w:eastAsia="宋体"/>
                <w:color w:val="auto"/>
                <w:highlight w:val="none"/>
              </w:rPr>
              <w:t>万</w:t>
            </w:r>
            <w:r>
              <w:rPr>
                <w:rFonts w:hint="eastAsia" w:ascii="宋体" w:hAnsi="宋体"/>
                <w:color w:val="auto"/>
                <w:highlight w:val="none"/>
              </w:rPr>
              <w:t>元。</w:t>
            </w:r>
          </w:p>
        </w:tc>
      </w:tr>
      <w:tr w14:paraId="2B953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6ADB12FD">
            <w:pPr>
              <w:spacing w:before="21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5</w:t>
            </w:r>
          </w:p>
        </w:tc>
        <w:tc>
          <w:tcPr>
            <w:tcW w:w="3547" w:type="dxa"/>
            <w:vAlign w:val="center"/>
          </w:tcPr>
          <w:p w14:paraId="4AAF5DBB">
            <w:pPr>
              <w:spacing w:before="172" w:line="218" w:lineRule="auto"/>
              <w:jc w:val="center"/>
              <w:rPr>
                <w:rFonts w:ascii="宋体" w:hAnsi="宋体" w:eastAsia="宋体"/>
                <w:color w:val="auto"/>
                <w:spacing w:val="-2"/>
                <w:highlight w:val="none"/>
              </w:rPr>
            </w:pPr>
            <w:r>
              <w:rPr>
                <w:rFonts w:ascii="宋体" w:hAnsi="宋体" w:eastAsia="宋体"/>
                <w:color w:val="auto"/>
                <w:spacing w:val="-2"/>
                <w:highlight w:val="none"/>
              </w:rPr>
              <w:t>投</w:t>
            </w:r>
            <w:r>
              <w:rPr>
                <w:rFonts w:ascii="宋体" w:hAnsi="宋体" w:eastAsia="宋体"/>
                <w:color w:val="auto"/>
                <w:spacing w:val="-1"/>
                <w:highlight w:val="none"/>
              </w:rPr>
              <w:t>标报价的其他要求</w:t>
            </w:r>
          </w:p>
        </w:tc>
        <w:tc>
          <w:tcPr>
            <w:tcW w:w="4610" w:type="dxa"/>
          </w:tcPr>
          <w:p w14:paraId="5C3FE967">
            <w:pPr>
              <w:ind w:left="105" w:leftChars="50" w:right="105" w:rightChars="50"/>
              <w:rPr>
                <w:rFonts w:eastAsiaTheme="minorEastAsia"/>
                <w:color w:val="auto"/>
                <w:highlight w:val="none"/>
                <w:u w:val="single"/>
              </w:rPr>
            </w:pPr>
            <w:r>
              <w:rPr>
                <w:rFonts w:hint="eastAsia"/>
                <w:color w:val="auto"/>
                <w:highlight w:val="none"/>
                <w:u w:val="single"/>
              </w:rPr>
              <w:t>投标人必须详细审阅全部招标文件，充分考虑职责和义务，全面地理解招标文件对投标报价的要求，并按招标人提出的条件及内容进行报价。</w:t>
            </w:r>
          </w:p>
        </w:tc>
      </w:tr>
      <w:tr w14:paraId="7FE30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169" w:type="dxa"/>
          </w:tcPr>
          <w:p w14:paraId="00CBAD29">
            <w:pPr>
              <w:spacing w:before="21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3.3.</w:t>
            </w:r>
            <w:r>
              <w:rPr>
                <w:rFonts w:ascii="Times New Roman" w:hAnsi="Times New Roman" w:eastAsia="Times New Roman"/>
                <w:color w:val="auto"/>
                <w:spacing w:val="-1"/>
                <w:highlight w:val="none"/>
              </w:rPr>
              <w:t>1</w:t>
            </w:r>
          </w:p>
        </w:tc>
        <w:tc>
          <w:tcPr>
            <w:tcW w:w="3547" w:type="dxa"/>
          </w:tcPr>
          <w:p w14:paraId="6B39BD18">
            <w:pPr>
              <w:spacing w:before="172" w:line="221" w:lineRule="auto"/>
              <w:ind w:left="1433"/>
              <w:rPr>
                <w:rFonts w:ascii="宋体" w:hAnsi="宋体" w:eastAsia="宋体"/>
                <w:color w:val="auto"/>
                <w:spacing w:val="-2"/>
                <w:highlight w:val="none"/>
              </w:rPr>
            </w:pPr>
            <w:r>
              <w:rPr>
                <w:rFonts w:ascii="宋体" w:hAnsi="宋体" w:eastAsia="宋体"/>
                <w:color w:val="auto"/>
                <w:spacing w:val="-2"/>
                <w:highlight w:val="none"/>
              </w:rPr>
              <w:t>投标有效</w:t>
            </w:r>
            <w:r>
              <w:rPr>
                <w:rFonts w:ascii="宋体" w:hAnsi="宋体" w:eastAsia="宋体"/>
                <w:color w:val="auto"/>
                <w:spacing w:val="-1"/>
                <w:highlight w:val="none"/>
              </w:rPr>
              <w:t>期</w:t>
            </w:r>
          </w:p>
        </w:tc>
        <w:tc>
          <w:tcPr>
            <w:tcW w:w="4610" w:type="dxa"/>
            <w:vAlign w:val="center"/>
          </w:tcPr>
          <w:p w14:paraId="12073FD9">
            <w:pPr>
              <w:ind w:left="105" w:leftChars="50" w:right="105" w:rightChars="50"/>
              <w:jc w:val="both"/>
              <w:rPr>
                <w:rFonts w:eastAsia="宋体"/>
                <w:color w:val="auto"/>
                <w:highlight w:val="none"/>
                <w:u w:val="single"/>
              </w:rPr>
            </w:pPr>
            <w:r>
              <w:rPr>
                <w:rFonts w:hint="eastAsia" w:eastAsia="宋体"/>
                <w:color w:val="auto"/>
                <w:highlight w:val="none"/>
                <w:u w:val="single"/>
              </w:rPr>
              <w:t>90</w:t>
            </w:r>
            <w:r>
              <w:rPr>
                <w:rFonts w:hint="eastAsia"/>
                <w:color w:val="auto"/>
                <w:highlight w:val="none"/>
              </w:rPr>
              <w:t>日历天（从投标截止之日计起）</w:t>
            </w:r>
          </w:p>
        </w:tc>
      </w:tr>
      <w:tr w14:paraId="79878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169" w:type="dxa"/>
          </w:tcPr>
          <w:p w14:paraId="73B6FA83">
            <w:pPr>
              <w:spacing w:line="241" w:lineRule="auto"/>
              <w:rPr>
                <w:color w:val="auto"/>
                <w:highlight w:val="none"/>
              </w:rPr>
            </w:pPr>
          </w:p>
          <w:p w14:paraId="3048830B">
            <w:pPr>
              <w:spacing w:line="242" w:lineRule="auto"/>
              <w:rPr>
                <w:color w:val="auto"/>
                <w:highlight w:val="none"/>
              </w:rPr>
            </w:pPr>
          </w:p>
          <w:p w14:paraId="75FAC23F">
            <w:pPr>
              <w:spacing w:line="242" w:lineRule="auto"/>
              <w:rPr>
                <w:color w:val="auto"/>
                <w:highlight w:val="none"/>
              </w:rPr>
            </w:pPr>
          </w:p>
          <w:p w14:paraId="0016176E">
            <w:pPr>
              <w:spacing w:before="6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3.4.</w:t>
            </w:r>
            <w:r>
              <w:rPr>
                <w:rFonts w:ascii="Times New Roman" w:hAnsi="Times New Roman" w:eastAsia="Times New Roman"/>
                <w:color w:val="auto"/>
                <w:spacing w:val="-1"/>
                <w:highlight w:val="none"/>
              </w:rPr>
              <w:t>1</w:t>
            </w:r>
          </w:p>
        </w:tc>
        <w:tc>
          <w:tcPr>
            <w:tcW w:w="3547" w:type="dxa"/>
          </w:tcPr>
          <w:p w14:paraId="6A19833D">
            <w:pPr>
              <w:spacing w:line="339" w:lineRule="auto"/>
              <w:rPr>
                <w:color w:val="auto"/>
                <w:highlight w:val="none"/>
              </w:rPr>
            </w:pPr>
          </w:p>
          <w:p w14:paraId="0B0D8F7C">
            <w:pPr>
              <w:spacing w:line="340" w:lineRule="auto"/>
              <w:rPr>
                <w:color w:val="auto"/>
                <w:highlight w:val="none"/>
              </w:rPr>
            </w:pPr>
          </w:p>
          <w:p w14:paraId="2983D70F">
            <w:pPr>
              <w:spacing w:before="68" w:line="221" w:lineRule="auto"/>
              <w:ind w:left="1433"/>
              <w:rPr>
                <w:rFonts w:ascii="宋体" w:hAnsi="宋体" w:eastAsia="宋体"/>
                <w:color w:val="auto"/>
                <w:spacing w:val="-2"/>
                <w:highlight w:val="none"/>
              </w:rPr>
            </w:pPr>
            <w:r>
              <w:rPr>
                <w:rFonts w:ascii="宋体" w:hAnsi="宋体" w:eastAsia="宋体"/>
                <w:color w:val="auto"/>
                <w:spacing w:val="-2"/>
                <w:highlight w:val="none"/>
              </w:rPr>
              <w:t>投标保证</w:t>
            </w:r>
            <w:r>
              <w:rPr>
                <w:rFonts w:ascii="宋体" w:hAnsi="宋体" w:eastAsia="宋体"/>
                <w:color w:val="auto"/>
                <w:spacing w:val="-1"/>
                <w:highlight w:val="none"/>
              </w:rPr>
              <w:t>金</w:t>
            </w:r>
          </w:p>
        </w:tc>
        <w:tc>
          <w:tcPr>
            <w:tcW w:w="4610" w:type="dxa"/>
          </w:tcPr>
          <w:p w14:paraId="4F284B72">
            <w:pPr>
              <w:spacing w:before="139" w:line="221" w:lineRule="auto"/>
              <w:ind w:left="105" w:leftChars="50" w:right="105" w:rightChars="50"/>
              <w:rPr>
                <w:rFonts w:ascii="宋体" w:hAnsi="宋体" w:eastAsia="宋体"/>
                <w:color w:val="auto"/>
                <w:spacing w:val="-6"/>
                <w:highlight w:val="none"/>
              </w:rPr>
            </w:pPr>
            <w:r>
              <w:rPr>
                <w:rFonts w:ascii="宋体" w:hAnsi="宋体" w:eastAsia="宋体"/>
                <w:color w:val="auto"/>
                <w:spacing w:val="-6"/>
                <w:highlight w:val="none"/>
              </w:rPr>
              <w:t>是否要</w:t>
            </w:r>
            <w:r>
              <w:rPr>
                <w:rFonts w:ascii="宋体" w:hAnsi="宋体" w:eastAsia="宋体"/>
                <w:color w:val="auto"/>
                <w:spacing w:val="-5"/>
                <w:highlight w:val="none"/>
              </w:rPr>
              <w:t>求</w:t>
            </w:r>
            <w:r>
              <w:rPr>
                <w:rFonts w:ascii="宋体" w:hAnsi="宋体" w:eastAsia="宋体"/>
                <w:color w:val="auto"/>
                <w:spacing w:val="-3"/>
                <w:highlight w:val="none"/>
              </w:rPr>
              <w:t>投标人递交投标保证金：</w:t>
            </w:r>
          </w:p>
          <w:p w14:paraId="12E14FF5">
            <w:pPr>
              <w:spacing w:before="151"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不要求</w:t>
            </w:r>
          </w:p>
          <w:p w14:paraId="4255B6D1">
            <w:pPr>
              <w:spacing w:before="147" w:line="248" w:lineRule="auto"/>
              <w:ind w:left="932" w:leftChars="50" w:right="105" w:rightChars="50" w:hanging="827"/>
              <w:rPr>
                <w:rFonts w:ascii="Times New Roman" w:hAnsi="Times New Roman" w:eastAsia="宋体"/>
                <w:color w:val="auto"/>
                <w:spacing w:val="-7"/>
                <w:sz w:val="31"/>
                <w:szCs w:val="31"/>
                <w:highlight w:val="none"/>
              </w:rPr>
            </w:pPr>
            <w:r>
              <w:rPr>
                <w:rFonts w:hint="eastAsia" w:ascii="Times New Roman" w:hAnsi="Times New Roman" w:eastAsia="宋体"/>
                <w:color w:val="auto"/>
                <w:spacing w:val="-7"/>
                <w:sz w:val="31"/>
                <w:szCs w:val="31"/>
                <w:highlight w:val="none"/>
              </w:rPr>
              <w:t>□</w:t>
            </w:r>
            <w:r>
              <w:rPr>
                <w:rFonts w:ascii="宋体" w:hAnsi="宋体" w:eastAsia="宋体"/>
                <w:color w:val="auto"/>
                <w:spacing w:val="-5"/>
                <w:highlight w:val="none"/>
              </w:rPr>
              <w:t>要求，投标保证金的形式：</w:t>
            </w:r>
            <w:r>
              <w:rPr>
                <w:rFonts w:ascii="宋体" w:hAnsi="宋体" w:eastAsia="宋体"/>
                <w:color w:val="auto"/>
                <w:highlight w:val="none"/>
              </w:rPr>
              <w:t xml:space="preserve"> </w:t>
            </w:r>
          </w:p>
          <w:p w14:paraId="3CF3F0EB">
            <w:pPr>
              <w:ind w:left="105" w:leftChars="50" w:right="105" w:rightChars="50"/>
              <w:rPr>
                <w:rFonts w:ascii="宋体" w:hAnsi="宋体" w:eastAsia="宋体"/>
                <w:color w:val="auto"/>
                <w:spacing w:val="-12"/>
                <w:highlight w:val="none"/>
              </w:rPr>
            </w:pPr>
            <w:r>
              <w:rPr>
                <w:rFonts w:ascii="宋体" w:hAnsi="宋体" w:eastAsia="宋体"/>
                <w:color w:val="auto"/>
                <w:spacing w:val="-12"/>
                <w:highlight w:val="none"/>
              </w:rPr>
              <w:t>投</w:t>
            </w:r>
            <w:r>
              <w:rPr>
                <w:rFonts w:ascii="宋体" w:hAnsi="宋体" w:eastAsia="宋体"/>
                <w:color w:val="auto"/>
                <w:spacing w:val="-6"/>
                <w:highlight w:val="none"/>
              </w:rPr>
              <w:t>标保证金的金额：</w:t>
            </w:r>
          </w:p>
          <w:p w14:paraId="076B9F60">
            <w:pPr>
              <w:pStyle w:val="36"/>
              <w:widowControl w:val="0"/>
              <w:kinsoku/>
              <w:autoSpaceDE/>
              <w:autoSpaceDN/>
              <w:snapToGrid/>
              <w:ind w:left="105" w:leftChars="50" w:right="105" w:rightChars="50"/>
              <w:jc w:val="both"/>
              <w:rPr>
                <w:rFonts w:hAnsi="宋体" w:eastAsia="宋体"/>
                <w:color w:val="auto"/>
                <w:szCs w:val="21"/>
                <w:highlight w:val="none"/>
              </w:rPr>
            </w:pPr>
            <w:r>
              <w:rPr>
                <w:rFonts w:hint="eastAsia" w:hAnsi="宋体" w:eastAsia="宋体"/>
                <w:color w:val="auto"/>
                <w:szCs w:val="21"/>
                <w:highlight w:val="none"/>
              </w:rPr>
              <w:t>注：1、投标保证金不得超过招标项目勘察设计估算费用的2%。投标保证金有效期应当与投标有效期一致。（投标保证金金额根据①《中华人民共和国招标投标法实施条例》第二十六条和《工程建设项目勘察设计招标投标办法》（2013年修订）第二十四条（注：给排水项目选择此项）。或②《中华人民共和国招标投标法实施条例》第二十六条、《工程建设项目勘察设计招标投标办法》（2013年修订）第二十四条和《水利工程建设项目招标投标管理规定》(水利部第14号令)第二十五条（注：水利项目选择此项）。）</w:t>
            </w:r>
          </w:p>
          <w:p w14:paraId="1C6B6FDB">
            <w:pPr>
              <w:pStyle w:val="36"/>
              <w:widowControl w:val="0"/>
              <w:kinsoku/>
              <w:autoSpaceDE/>
              <w:autoSpaceDN/>
              <w:snapToGrid/>
              <w:ind w:left="105" w:leftChars="50" w:right="105" w:rightChars="50"/>
              <w:jc w:val="both"/>
              <w:rPr>
                <w:rFonts w:hAnsi="宋体" w:eastAsia="宋体"/>
                <w:color w:val="auto"/>
                <w:szCs w:val="21"/>
                <w:highlight w:val="none"/>
              </w:rPr>
            </w:pPr>
            <w:r>
              <w:rPr>
                <w:rFonts w:hint="eastAsia" w:hAnsi="宋体" w:eastAsia="宋体"/>
                <w:color w:val="auto"/>
                <w:szCs w:val="21"/>
                <w:highlight w:val="none"/>
              </w:rPr>
              <w:t>2、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p>
        </w:tc>
      </w:tr>
      <w:tr w14:paraId="6588E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169" w:type="dxa"/>
          </w:tcPr>
          <w:p w14:paraId="5994C244">
            <w:pPr>
              <w:spacing w:line="382" w:lineRule="auto"/>
              <w:rPr>
                <w:color w:val="auto"/>
                <w:highlight w:val="none"/>
              </w:rPr>
            </w:pPr>
          </w:p>
          <w:p w14:paraId="13762483">
            <w:pPr>
              <w:spacing w:before="60" w:line="186" w:lineRule="auto"/>
              <w:ind w:left="458"/>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w:t>
            </w:r>
            <w:r>
              <w:rPr>
                <w:rFonts w:ascii="Times New Roman" w:hAnsi="Times New Roman" w:eastAsia="Times New Roman"/>
                <w:color w:val="auto"/>
                <w:spacing w:val="-1"/>
                <w:highlight w:val="none"/>
              </w:rPr>
              <w:t>5</w:t>
            </w:r>
          </w:p>
        </w:tc>
        <w:tc>
          <w:tcPr>
            <w:tcW w:w="3547" w:type="dxa"/>
          </w:tcPr>
          <w:p w14:paraId="41083979">
            <w:pPr>
              <w:spacing w:line="336" w:lineRule="auto"/>
              <w:rPr>
                <w:color w:val="auto"/>
                <w:highlight w:val="none"/>
              </w:rPr>
            </w:pPr>
          </w:p>
          <w:p w14:paraId="01C21BEA">
            <w:pPr>
              <w:spacing w:before="68" w:line="219" w:lineRule="auto"/>
              <w:ind w:left="810"/>
              <w:rPr>
                <w:rFonts w:ascii="宋体" w:hAnsi="宋体" w:eastAsia="宋体"/>
                <w:color w:val="auto"/>
                <w:spacing w:val="-2"/>
                <w:highlight w:val="none"/>
              </w:rPr>
            </w:pPr>
            <w:r>
              <w:rPr>
                <w:rFonts w:ascii="宋体" w:hAnsi="宋体" w:eastAsia="宋体"/>
                <w:color w:val="auto"/>
                <w:spacing w:val="-2"/>
                <w:highlight w:val="none"/>
              </w:rPr>
              <w:t>资格审查资</w:t>
            </w:r>
            <w:r>
              <w:rPr>
                <w:rFonts w:ascii="宋体" w:hAnsi="宋体" w:eastAsia="宋体"/>
                <w:color w:val="auto"/>
                <w:spacing w:val="-1"/>
                <w:highlight w:val="none"/>
              </w:rPr>
              <w:t>料的特殊要求</w:t>
            </w:r>
          </w:p>
        </w:tc>
        <w:tc>
          <w:tcPr>
            <w:tcW w:w="4610" w:type="dxa"/>
          </w:tcPr>
          <w:p w14:paraId="457EA4A1">
            <w:pPr>
              <w:spacing w:before="194" w:line="173" w:lineRule="auto"/>
              <w:ind w:left="105" w:leftChars="50" w:right="105" w:rightChars="50"/>
              <w:rPr>
                <w:rFonts w:ascii="Times New Roman" w:hAnsi="Times New Roman" w:eastAsia="Times New Roman"/>
                <w:color w:val="auto"/>
                <w:spacing w:val="-9"/>
                <w:sz w:val="31"/>
                <w:szCs w:val="31"/>
                <w:highlight w:val="none"/>
              </w:rPr>
            </w:pPr>
            <w:r>
              <w:rPr>
                <w:rFonts w:ascii="Times New Roman" w:hAnsi="Times New Roman" w:eastAsia="Times New Roman"/>
                <w:color w:val="auto"/>
                <w:spacing w:val="-9"/>
                <w:sz w:val="31"/>
                <w:szCs w:val="31"/>
                <w:highlight w:val="none"/>
              </w:rPr>
              <w:sym w:font="Wingdings 2" w:char="F052"/>
            </w:r>
            <w:r>
              <w:rPr>
                <w:rFonts w:ascii="宋体" w:hAnsi="宋体" w:eastAsia="宋体"/>
                <w:color w:val="auto"/>
                <w:spacing w:val="-8"/>
                <w:highlight w:val="none"/>
              </w:rPr>
              <w:t>无</w:t>
            </w:r>
          </w:p>
          <w:p w14:paraId="000B8506">
            <w:pPr>
              <w:spacing w:before="143" w:line="171" w:lineRule="auto"/>
              <w:ind w:left="105" w:leftChars="50" w:right="105" w:rightChars="50"/>
              <w:rPr>
                <w:rFonts w:ascii="Times New Roman" w:hAnsi="Times New Roman" w:eastAsia="Times New Roman"/>
                <w:color w:val="auto"/>
                <w:spacing w:val="-11"/>
                <w:sz w:val="31"/>
                <w:szCs w:val="31"/>
                <w:highlight w:val="none"/>
              </w:rPr>
            </w:pPr>
            <w:r>
              <w:rPr>
                <w:rFonts w:ascii="Times New Roman" w:hAnsi="Times New Roman" w:eastAsia="Times New Roman"/>
                <w:color w:val="auto"/>
                <w:spacing w:val="-11"/>
                <w:sz w:val="31"/>
                <w:szCs w:val="31"/>
                <w:highlight w:val="none"/>
              </w:rPr>
              <w:t>□</w:t>
            </w:r>
            <w:r>
              <w:rPr>
                <w:rFonts w:ascii="宋体" w:hAnsi="宋体" w:eastAsia="宋体"/>
                <w:color w:val="auto"/>
                <w:spacing w:val="-7"/>
                <w:highlight w:val="none"/>
              </w:rPr>
              <w:t>有，具体要求：</w:t>
            </w:r>
          </w:p>
        </w:tc>
      </w:tr>
      <w:tr w14:paraId="03ADE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vAlign w:val="center"/>
          </w:tcPr>
          <w:p w14:paraId="702D4434">
            <w:pPr>
              <w:pStyle w:val="59"/>
              <w:overflowPunct w:val="0"/>
              <w:jc w:val="center"/>
              <w:rPr>
                <w:rFonts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rPr>
              <w:t>3.5.</w:t>
            </w:r>
            <w:r>
              <w:rPr>
                <w:rFonts w:hint="eastAsia" w:ascii="Times New Roman" w:hAnsi="Times New Roman" w:eastAsia="宋体"/>
                <w:color w:val="auto"/>
                <w:sz w:val="21"/>
                <w:szCs w:val="21"/>
                <w:highlight w:val="none"/>
              </w:rPr>
              <w:t>2</w:t>
            </w:r>
          </w:p>
        </w:tc>
        <w:tc>
          <w:tcPr>
            <w:tcW w:w="3547" w:type="dxa"/>
            <w:vAlign w:val="center"/>
          </w:tcPr>
          <w:p w14:paraId="32233C20">
            <w:pPr>
              <w:pStyle w:val="59"/>
              <w:overflowPunct w:val="0"/>
              <w:jc w:val="both"/>
              <w:rPr>
                <w:rFonts w:ascii="宋体" w:hAnsi="宋体" w:eastAsia="宋体"/>
                <w:color w:val="auto"/>
                <w:sz w:val="21"/>
                <w:szCs w:val="21"/>
                <w:highlight w:val="none"/>
              </w:rPr>
            </w:pPr>
            <w:r>
              <w:rPr>
                <w:rFonts w:ascii="宋体" w:hAnsi="宋体" w:eastAsia="宋体"/>
                <w:color w:val="auto"/>
                <w:sz w:val="21"/>
                <w:szCs w:val="21"/>
                <w:highlight w:val="none"/>
              </w:rPr>
              <w:t>近年完成的类似项目情况的时间要求</w:t>
            </w:r>
          </w:p>
        </w:tc>
        <w:tc>
          <w:tcPr>
            <w:tcW w:w="4610" w:type="dxa"/>
            <w:vAlign w:val="center"/>
          </w:tcPr>
          <w:p w14:paraId="09404DB5">
            <w:pPr>
              <w:pStyle w:val="59"/>
              <w:tabs>
                <w:tab w:val="left" w:pos="799"/>
                <w:tab w:val="left" w:pos="1569"/>
                <w:tab w:val="left" w:pos="2340"/>
              </w:tabs>
              <w:overflowPunct w:val="0"/>
              <w:ind w:left="105" w:leftChars="50" w:right="105" w:rightChars="50"/>
              <w:jc w:val="both"/>
              <w:rPr>
                <w:rFonts w:ascii="Times New Roman" w:hAnsi="Times New Roman" w:eastAsia="Times New Roman"/>
                <w:color w:val="auto"/>
                <w:sz w:val="21"/>
                <w:szCs w:val="21"/>
                <w:highlight w:val="none"/>
                <w:u w:val="single"/>
              </w:rPr>
            </w:pPr>
            <w:r>
              <w:rPr>
                <w:rFonts w:hint="eastAsia" w:ascii="Times New Roman" w:hAnsi="Times New Roman" w:eastAsia="Times New Roman"/>
                <w:color w:val="auto"/>
                <w:sz w:val="21"/>
                <w:szCs w:val="21"/>
                <w:highlight w:val="none"/>
                <w:u w:val="single"/>
              </w:rPr>
              <w:t xml:space="preserve"> </w:t>
            </w:r>
            <w:r>
              <w:rPr>
                <w:rFonts w:hint="eastAsia" w:ascii="Times New Roman" w:hAnsi="Times New Roman" w:eastAsia="宋体"/>
                <w:color w:val="auto"/>
                <w:sz w:val="21"/>
                <w:szCs w:val="21"/>
                <w:highlight w:val="none"/>
                <w:u w:val="single"/>
              </w:rPr>
              <w:t>2020</w:t>
            </w:r>
            <w:r>
              <w:rPr>
                <w:rFonts w:ascii="宋体" w:hAnsi="宋体" w:eastAsia="宋体"/>
                <w:color w:val="auto"/>
                <w:sz w:val="21"/>
                <w:szCs w:val="21"/>
                <w:highlight w:val="none"/>
              </w:rPr>
              <w:t>年</w:t>
            </w:r>
            <w:r>
              <w:rPr>
                <w:rFonts w:hint="eastAsia" w:ascii="Times New Roman" w:hAnsi="Times New Roman" w:eastAsia="宋体"/>
                <w:color w:val="auto"/>
                <w:sz w:val="21"/>
                <w:szCs w:val="21"/>
                <w:highlight w:val="none"/>
                <w:u w:val="single"/>
              </w:rPr>
              <w:t>1</w:t>
            </w:r>
            <w:r>
              <w:rPr>
                <w:rFonts w:ascii="宋体" w:hAnsi="宋体" w:eastAsia="宋体"/>
                <w:color w:val="auto"/>
                <w:sz w:val="21"/>
                <w:szCs w:val="21"/>
                <w:highlight w:val="none"/>
              </w:rPr>
              <w:t>月</w:t>
            </w:r>
            <w:r>
              <w:rPr>
                <w:rFonts w:hint="eastAsia" w:ascii="Times New Roman" w:hAnsi="Times New Roman" w:eastAsia="宋体"/>
                <w:color w:val="auto"/>
                <w:sz w:val="21"/>
                <w:szCs w:val="21"/>
                <w:highlight w:val="none"/>
                <w:u w:val="single"/>
              </w:rPr>
              <w:t>1</w:t>
            </w:r>
            <w:r>
              <w:rPr>
                <w:rFonts w:ascii="宋体" w:hAnsi="宋体" w:eastAsia="宋体"/>
                <w:color w:val="auto"/>
                <w:sz w:val="21"/>
                <w:szCs w:val="21"/>
                <w:highlight w:val="none"/>
              </w:rPr>
              <w:t>日至</w:t>
            </w:r>
            <w:r>
              <w:rPr>
                <w:rFonts w:hint="eastAsia" w:ascii="Times New Roman" w:hAnsi="Times New Roman" w:eastAsia="宋体"/>
                <w:color w:val="auto"/>
                <w:sz w:val="21"/>
                <w:szCs w:val="21"/>
                <w:highlight w:val="none"/>
              </w:rPr>
              <w:t>今</w:t>
            </w:r>
          </w:p>
        </w:tc>
      </w:tr>
      <w:tr w14:paraId="4D31F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tcPr>
          <w:p w14:paraId="346C2448">
            <w:pPr>
              <w:spacing w:line="380" w:lineRule="auto"/>
              <w:rPr>
                <w:color w:val="auto"/>
                <w:highlight w:val="none"/>
              </w:rPr>
            </w:pPr>
          </w:p>
          <w:p w14:paraId="6A123702">
            <w:pPr>
              <w:spacing w:before="6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3.6.</w:t>
            </w:r>
            <w:r>
              <w:rPr>
                <w:rFonts w:ascii="Times New Roman" w:hAnsi="Times New Roman" w:eastAsia="Times New Roman"/>
                <w:color w:val="auto"/>
                <w:spacing w:val="-1"/>
                <w:highlight w:val="none"/>
              </w:rPr>
              <w:t>1</w:t>
            </w:r>
          </w:p>
        </w:tc>
        <w:tc>
          <w:tcPr>
            <w:tcW w:w="3547" w:type="dxa"/>
          </w:tcPr>
          <w:p w14:paraId="046DE7F1">
            <w:pPr>
              <w:spacing w:line="334" w:lineRule="auto"/>
              <w:rPr>
                <w:color w:val="auto"/>
                <w:highlight w:val="none"/>
              </w:rPr>
            </w:pPr>
          </w:p>
          <w:p w14:paraId="1C55ED50">
            <w:pPr>
              <w:spacing w:before="68" w:line="220" w:lineRule="auto"/>
              <w:ind w:left="698"/>
              <w:rPr>
                <w:rFonts w:ascii="宋体" w:hAnsi="宋体" w:eastAsia="宋体"/>
                <w:color w:val="auto"/>
                <w:spacing w:val="-1"/>
                <w:highlight w:val="none"/>
              </w:rPr>
            </w:pPr>
            <w:r>
              <w:rPr>
                <w:rFonts w:ascii="宋体" w:hAnsi="宋体" w:eastAsia="宋体"/>
                <w:color w:val="auto"/>
                <w:spacing w:val="-1"/>
                <w:highlight w:val="none"/>
              </w:rPr>
              <w:t>是否允许递交备选投标方</w:t>
            </w:r>
            <w:r>
              <w:rPr>
                <w:rFonts w:ascii="宋体" w:hAnsi="宋体" w:eastAsia="宋体"/>
                <w:color w:val="auto"/>
                <w:highlight w:val="none"/>
              </w:rPr>
              <w:t>案</w:t>
            </w:r>
          </w:p>
        </w:tc>
        <w:tc>
          <w:tcPr>
            <w:tcW w:w="4610" w:type="dxa"/>
          </w:tcPr>
          <w:p w14:paraId="01E67768">
            <w:pPr>
              <w:spacing w:before="172"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不允许</w:t>
            </w:r>
          </w:p>
          <w:p w14:paraId="030C3095">
            <w:pPr>
              <w:spacing w:before="175" w:line="173" w:lineRule="auto"/>
              <w:ind w:left="105" w:leftChars="50" w:right="105" w:rightChars="50"/>
              <w:rPr>
                <w:rFonts w:ascii="Times New Roman" w:hAnsi="Times New Roman" w:eastAsia="Times New Roman"/>
                <w:color w:val="auto"/>
                <w:spacing w:val="-5"/>
                <w:sz w:val="31"/>
                <w:szCs w:val="31"/>
                <w:highlight w:val="none"/>
              </w:rPr>
            </w:pPr>
            <w:r>
              <w:rPr>
                <w:rFonts w:ascii="Times New Roman" w:hAnsi="Times New Roman" w:eastAsia="Times New Roman"/>
                <w:color w:val="auto"/>
                <w:spacing w:val="-5"/>
                <w:sz w:val="31"/>
                <w:szCs w:val="31"/>
                <w:highlight w:val="none"/>
              </w:rPr>
              <w:t>□</w:t>
            </w:r>
            <w:r>
              <w:rPr>
                <w:rFonts w:ascii="宋体" w:hAnsi="宋体" w:eastAsia="宋体"/>
                <w:color w:val="auto"/>
                <w:spacing w:val="-3"/>
                <w:highlight w:val="none"/>
              </w:rPr>
              <w:t>允许</w:t>
            </w:r>
          </w:p>
        </w:tc>
      </w:tr>
      <w:tr w14:paraId="4FF91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169" w:type="dxa"/>
            <w:vAlign w:val="center"/>
          </w:tcPr>
          <w:p w14:paraId="23333371">
            <w:pPr>
              <w:spacing w:before="173" w:line="223" w:lineRule="auto"/>
              <w:ind w:left="116"/>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3.7.3</w:t>
            </w:r>
          </w:p>
        </w:tc>
        <w:tc>
          <w:tcPr>
            <w:tcW w:w="3547" w:type="dxa"/>
            <w:vAlign w:val="center"/>
          </w:tcPr>
          <w:p w14:paraId="57786A88">
            <w:pPr>
              <w:spacing w:before="161" w:line="220" w:lineRule="auto"/>
              <w:ind w:left="803"/>
              <w:jc w:val="both"/>
              <w:rPr>
                <w:rFonts w:ascii="宋体" w:hAnsi="宋体" w:eastAsia="宋体"/>
                <w:color w:val="auto"/>
                <w:spacing w:val="-1"/>
                <w:highlight w:val="none"/>
              </w:rPr>
            </w:pPr>
            <w:r>
              <w:rPr>
                <w:rFonts w:ascii="宋体" w:hAnsi="宋体" w:eastAsia="宋体"/>
                <w:color w:val="auto"/>
                <w:spacing w:val="-1"/>
                <w:highlight w:val="none"/>
              </w:rPr>
              <w:t>投标文件签字或盖章要</w:t>
            </w:r>
            <w:r>
              <w:rPr>
                <w:rFonts w:ascii="宋体" w:hAnsi="宋体" w:eastAsia="宋体"/>
                <w:color w:val="auto"/>
                <w:highlight w:val="none"/>
              </w:rPr>
              <w:t>求</w:t>
            </w:r>
          </w:p>
        </w:tc>
        <w:tc>
          <w:tcPr>
            <w:tcW w:w="4610" w:type="dxa"/>
            <w:vAlign w:val="center"/>
          </w:tcPr>
          <w:p w14:paraId="35AB13A4">
            <w:pPr>
              <w:ind w:left="105" w:leftChars="50" w:right="105" w:rightChars="50"/>
              <w:jc w:val="both"/>
              <w:rPr>
                <w:rFonts w:ascii="宋体" w:hAnsi="宋体"/>
                <w:color w:val="auto"/>
                <w:highlight w:val="none"/>
              </w:rPr>
            </w:pPr>
            <w:r>
              <w:rPr>
                <w:rFonts w:hint="eastAsia" w:ascii="宋体" w:hAnsi="宋体"/>
                <w:color w:val="auto"/>
                <w:highlight w:val="none"/>
              </w:rPr>
              <w:t>投标文件格式规定需个人签字的，应签字或签章后扫描上传（</w:t>
            </w:r>
            <w:r>
              <w:rPr>
                <w:rFonts w:ascii="Calibri" w:hAnsi="Calibri" w:eastAsia="宋体"/>
                <w:color w:val="auto"/>
                <w:kern w:val="2"/>
                <w:szCs w:val="24"/>
                <w:highlight w:val="none"/>
              </w:rPr>
              <w:t>可靠的电子签名与手写签名或者盖章具有同等的法律效力</w:t>
            </w:r>
            <w:r>
              <w:rPr>
                <w:rFonts w:hint="eastAsia" w:ascii="宋体" w:hAnsi="宋体"/>
                <w:color w:val="auto"/>
                <w:highlight w:val="none"/>
              </w:rPr>
              <w:t>）。投标文件格式规定盖单位公章的页面必须盖单位公章（公章与电子公章具有相同法律效力）</w:t>
            </w:r>
          </w:p>
        </w:tc>
      </w:tr>
      <w:tr w14:paraId="77471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169" w:type="dxa"/>
            <w:vAlign w:val="center"/>
          </w:tcPr>
          <w:p w14:paraId="767B322B">
            <w:pPr>
              <w:spacing w:before="231" w:line="186" w:lineRule="auto"/>
              <w:ind w:left="375"/>
              <w:jc w:val="both"/>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4.2</w:t>
            </w:r>
            <w:r>
              <w:rPr>
                <w:rFonts w:ascii="Times New Roman" w:hAnsi="Times New Roman" w:eastAsia="Times New Roman"/>
                <w:color w:val="auto"/>
                <w:highlight w:val="none"/>
              </w:rPr>
              <w:t>.1</w:t>
            </w:r>
          </w:p>
        </w:tc>
        <w:tc>
          <w:tcPr>
            <w:tcW w:w="3547" w:type="dxa"/>
            <w:vAlign w:val="center"/>
          </w:tcPr>
          <w:p w14:paraId="6606DACD">
            <w:pPr>
              <w:spacing w:before="193" w:line="221" w:lineRule="auto"/>
              <w:ind w:left="1327"/>
              <w:jc w:val="both"/>
              <w:rPr>
                <w:rFonts w:ascii="宋体" w:hAnsi="宋体" w:eastAsia="宋体"/>
                <w:color w:val="auto"/>
                <w:spacing w:val="-2"/>
                <w:highlight w:val="none"/>
              </w:rPr>
            </w:pPr>
            <w:r>
              <w:rPr>
                <w:rFonts w:ascii="宋体" w:hAnsi="宋体" w:eastAsia="宋体"/>
                <w:color w:val="auto"/>
                <w:spacing w:val="-2"/>
                <w:highlight w:val="none"/>
              </w:rPr>
              <w:t>投标截</w:t>
            </w:r>
            <w:r>
              <w:rPr>
                <w:rFonts w:ascii="宋体" w:hAnsi="宋体" w:eastAsia="宋体"/>
                <w:color w:val="auto"/>
                <w:spacing w:val="-1"/>
                <w:highlight w:val="none"/>
              </w:rPr>
              <w:t>止时间</w:t>
            </w:r>
          </w:p>
        </w:tc>
        <w:tc>
          <w:tcPr>
            <w:tcW w:w="4610" w:type="dxa"/>
            <w:vAlign w:val="center"/>
          </w:tcPr>
          <w:p w14:paraId="39A1CF0D">
            <w:pPr>
              <w:ind w:left="105" w:leftChars="50" w:right="105" w:rightChars="50"/>
              <w:jc w:val="both"/>
              <w:rPr>
                <w:rFonts w:eastAsia="宋体"/>
                <w:color w:val="auto"/>
                <w:highlight w:val="none"/>
              </w:rPr>
            </w:pPr>
            <w:r>
              <w:rPr>
                <w:rFonts w:hint="eastAsia" w:eastAsia="宋体"/>
                <w:color w:val="auto"/>
                <w:highlight w:val="none"/>
              </w:rPr>
              <w:t>投标截止时间：</w:t>
            </w:r>
            <w:r>
              <w:rPr>
                <w:rFonts w:hint="eastAsia" w:eastAsia="宋体"/>
                <w:color w:val="auto"/>
                <w:highlight w:val="none"/>
                <w:u w:val="single"/>
              </w:rPr>
              <w:t xml:space="preserve">  年  月   日   时 分</w:t>
            </w:r>
            <w:r>
              <w:rPr>
                <w:rFonts w:hint="eastAsia" w:eastAsia="宋体"/>
                <w:color w:val="auto"/>
                <w:highlight w:val="none"/>
              </w:rPr>
              <w:t>（北京时间）</w:t>
            </w:r>
          </w:p>
        </w:tc>
      </w:tr>
      <w:tr w14:paraId="5F7CC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169" w:type="dxa"/>
            <w:vAlign w:val="center"/>
          </w:tcPr>
          <w:p w14:paraId="4C02174E">
            <w:pPr>
              <w:spacing w:before="69" w:line="223" w:lineRule="auto"/>
              <w:ind w:left="175"/>
              <w:jc w:val="center"/>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5.1</w:t>
            </w:r>
          </w:p>
        </w:tc>
        <w:tc>
          <w:tcPr>
            <w:tcW w:w="3547" w:type="dxa"/>
            <w:vAlign w:val="center"/>
          </w:tcPr>
          <w:p w14:paraId="3128667F">
            <w:pPr>
              <w:spacing w:before="68" w:line="221" w:lineRule="auto"/>
              <w:ind w:left="1221"/>
              <w:jc w:val="both"/>
              <w:rPr>
                <w:rFonts w:ascii="宋体" w:hAnsi="宋体" w:eastAsia="宋体"/>
                <w:color w:val="auto"/>
                <w:spacing w:val="-2"/>
                <w:highlight w:val="none"/>
              </w:rPr>
            </w:pPr>
            <w:r>
              <w:rPr>
                <w:rFonts w:ascii="宋体" w:hAnsi="宋体" w:eastAsia="宋体"/>
                <w:color w:val="auto"/>
                <w:spacing w:val="-2"/>
                <w:highlight w:val="none"/>
              </w:rPr>
              <w:t>开</w:t>
            </w:r>
            <w:r>
              <w:rPr>
                <w:rFonts w:ascii="宋体" w:hAnsi="宋体" w:eastAsia="宋体"/>
                <w:color w:val="auto"/>
                <w:spacing w:val="-1"/>
                <w:highlight w:val="none"/>
              </w:rPr>
              <w:t>标时间和地点</w:t>
            </w:r>
          </w:p>
        </w:tc>
        <w:tc>
          <w:tcPr>
            <w:tcW w:w="4610" w:type="dxa"/>
          </w:tcPr>
          <w:p w14:paraId="5A5D178C">
            <w:pPr>
              <w:spacing w:before="174"/>
              <w:ind w:left="105" w:leftChars="50" w:right="105" w:rightChars="50"/>
              <w:rPr>
                <w:rFonts w:ascii="宋体" w:hAnsi="宋体" w:eastAsia="宋体"/>
                <w:color w:val="auto"/>
                <w:spacing w:val="-1"/>
                <w:position w:val="17"/>
                <w:highlight w:val="none"/>
              </w:rPr>
            </w:pPr>
            <w:r>
              <w:rPr>
                <w:rFonts w:hint="eastAsia" w:ascii="宋体" w:hAnsi="宋体" w:eastAsia="宋体"/>
                <w:color w:val="auto"/>
                <w:spacing w:val="-1"/>
                <w:position w:val="17"/>
                <w:highlight w:val="none"/>
              </w:rPr>
              <w:t>1、</w:t>
            </w:r>
            <w:r>
              <w:rPr>
                <w:rFonts w:ascii="宋体" w:hAnsi="宋体" w:eastAsia="宋体"/>
                <w:color w:val="auto"/>
                <w:spacing w:val="-1"/>
                <w:position w:val="17"/>
                <w:highlight w:val="none"/>
              </w:rPr>
              <w:t>开标时间：同投标截</w:t>
            </w:r>
            <w:r>
              <w:rPr>
                <w:rFonts w:ascii="宋体" w:hAnsi="宋体" w:eastAsia="宋体"/>
                <w:color w:val="auto"/>
                <w:position w:val="17"/>
                <w:highlight w:val="none"/>
              </w:rPr>
              <w:t>止时间</w:t>
            </w:r>
          </w:p>
          <w:p w14:paraId="74E95C64">
            <w:pPr>
              <w:spacing w:before="174"/>
              <w:ind w:left="105" w:leftChars="50" w:right="105" w:rightChars="50"/>
              <w:rPr>
                <w:rFonts w:ascii="宋体" w:hAnsi="宋体" w:eastAsia="宋体"/>
                <w:color w:val="auto"/>
                <w:highlight w:val="none"/>
              </w:rPr>
            </w:pPr>
            <w:r>
              <w:rPr>
                <w:rFonts w:hint="eastAsia" w:ascii="宋体" w:hAnsi="宋体" w:eastAsia="宋体"/>
                <w:color w:val="auto"/>
                <w:highlight w:val="none"/>
              </w:rPr>
              <w:t>2、开标</w:t>
            </w:r>
            <w:r>
              <w:rPr>
                <w:rFonts w:hint="eastAsia" w:ascii="宋体" w:hAnsi="宋体"/>
                <w:color w:val="auto"/>
                <w:highlight w:val="none"/>
              </w:rPr>
              <w:t>地点：</w:t>
            </w:r>
            <w:r>
              <w:rPr>
                <w:rFonts w:hint="eastAsia" w:ascii="宋体" w:hAnsi="宋体" w:eastAsia="宋体"/>
                <w:color w:val="auto"/>
                <w:highlight w:val="none"/>
              </w:rPr>
              <w:t>广州交易集团有限公司（广州公共资源交易中心）</w:t>
            </w:r>
            <w:r>
              <w:rPr>
                <w:rFonts w:hint="eastAsia" w:ascii="宋体" w:hAnsi="宋体"/>
                <w:color w:val="auto"/>
                <w:highlight w:val="none"/>
                <w:u w:val="single"/>
              </w:rPr>
              <w:t xml:space="preserve">  </w:t>
            </w:r>
            <w:r>
              <w:rPr>
                <w:rFonts w:hint="eastAsia" w:ascii="宋体" w:hAnsi="宋体" w:eastAsia="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开标室</w:t>
            </w:r>
          </w:p>
          <w:p w14:paraId="42964017">
            <w:pPr>
              <w:spacing w:before="120" w:line="360" w:lineRule="auto"/>
              <w:ind w:left="105" w:leftChars="50" w:right="105" w:rightChars="50"/>
              <w:contextualSpacing/>
              <w:rPr>
                <w:rFonts w:eastAsia="宋体"/>
                <w:color w:val="auto"/>
                <w:szCs w:val="18"/>
                <w:highlight w:val="none"/>
              </w:rPr>
            </w:pPr>
            <w:r>
              <w:rPr>
                <w:rFonts w:hint="eastAsia" w:eastAsia="宋体"/>
                <w:color w:val="auto"/>
                <w:szCs w:val="18"/>
                <w:highlight w:val="none"/>
              </w:rPr>
              <w:t xml:space="preserve">  </w:t>
            </w:r>
            <w:r>
              <w:rPr>
                <w:rFonts w:hint="eastAsia"/>
                <w:color w:val="auto"/>
                <w:szCs w:val="18"/>
                <w:highlight w:val="none"/>
              </w:rPr>
              <w:t>3、递交投标文件备用光盘时间：____年____月____日____时____分至____年____月____日____时____分；递交地点：</w:t>
            </w:r>
            <w:r>
              <w:rPr>
                <w:rFonts w:hint="eastAsia" w:eastAsia="宋体"/>
                <w:color w:val="auto"/>
                <w:szCs w:val="18"/>
                <w:highlight w:val="none"/>
                <w:u w:val="single"/>
              </w:rPr>
              <w:t>同开标地点</w:t>
            </w:r>
            <w:r>
              <w:rPr>
                <w:rFonts w:hint="eastAsia"/>
                <w:color w:val="auto"/>
                <w:szCs w:val="18"/>
                <w:highlight w:val="none"/>
              </w:rPr>
              <w:t>。(投标文件截止时间前 15 分钟至投标文件截止时间）</w:t>
            </w:r>
          </w:p>
          <w:p w14:paraId="0830AE97">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4、提交投标文件光盘备用</w:t>
            </w:r>
          </w:p>
          <w:p w14:paraId="2711D162">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3185E53">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5、补救方案</w:t>
            </w:r>
          </w:p>
          <w:p w14:paraId="13F18A81">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（1）投标文件解密失败的补救方案：</w:t>
            </w:r>
          </w:p>
          <w:p w14:paraId="733DC7C0">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8F17DF8">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（2）评标时突发情况的补救方案</w:t>
            </w:r>
          </w:p>
          <w:p w14:paraId="5A087143">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若遇不可抗力发生（指网络瘫痪、服务器损坏、交易系统故障短期无法恢复等因素），由评标委员会开启投标人递交的全部投标文件光盘，并按光盘内容进行评审。</w:t>
            </w:r>
          </w:p>
          <w:p w14:paraId="34B1D0B9">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（3）除发生上述情况外，开标评标均以投标人通过交易平台网上递交的电子投标文件为准。</w:t>
            </w:r>
          </w:p>
          <w:p w14:paraId="69174156">
            <w:pPr>
              <w:spacing w:before="120" w:line="360" w:lineRule="auto"/>
              <w:ind w:left="105" w:leftChars="50" w:right="105" w:rightChars="50"/>
              <w:contextualSpacing/>
              <w:rPr>
                <w:rFonts w:ascii="宋体" w:hAnsi="宋体"/>
                <w:color w:val="auto"/>
                <w:highlight w:val="none"/>
              </w:rPr>
            </w:pPr>
            <w:r>
              <w:rPr>
                <w:rFonts w:hint="eastAsia" w:ascii="宋体" w:hAnsi="宋体" w:eastAsia="宋体" w:cs="宋体"/>
                <w:color w:val="auto"/>
                <w:highlight w:val="none"/>
              </w:rPr>
              <w:t>开标时，投标人代表有权参加现场开标或在线开标，也可以自主决定不参加开标，投标人选择参加在线开标的，具体按照交易平台相关指南进行操作。</w:t>
            </w:r>
          </w:p>
          <w:p w14:paraId="476A3328">
            <w:pPr>
              <w:spacing w:before="120" w:line="360" w:lineRule="auto"/>
              <w:ind w:left="105" w:leftChars="50" w:right="105" w:rightChars="50"/>
              <w:contextualSpacing/>
              <w:rPr>
                <w:rFonts w:ascii="宋体" w:hAnsi="宋体" w:eastAsia="宋体"/>
                <w:color w:val="auto"/>
                <w:highlight w:val="none"/>
              </w:rPr>
            </w:pPr>
            <w:r>
              <w:rPr>
                <w:rFonts w:hint="eastAsia" w:ascii="宋体" w:hAnsi="宋体" w:eastAsia="宋体" w:cs="宋体"/>
                <w:color w:val="auto"/>
                <w:highlight w:val="none"/>
              </w:rPr>
              <w:t>6、上述时间及地点是否有改变，请密切留意补充公告或招标答疑纪要的相关信息。</w:t>
            </w:r>
          </w:p>
        </w:tc>
      </w:tr>
      <w:tr w14:paraId="58C6A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1169" w:type="dxa"/>
          </w:tcPr>
          <w:p w14:paraId="32E7E7A7">
            <w:pPr>
              <w:spacing w:line="294" w:lineRule="auto"/>
              <w:rPr>
                <w:color w:val="auto"/>
                <w:highlight w:val="none"/>
              </w:rPr>
            </w:pPr>
          </w:p>
          <w:p w14:paraId="7B642AB7">
            <w:pPr>
              <w:spacing w:line="295" w:lineRule="auto"/>
              <w:rPr>
                <w:color w:val="auto"/>
                <w:highlight w:val="none"/>
              </w:rPr>
            </w:pPr>
          </w:p>
          <w:p w14:paraId="7296412A">
            <w:pPr>
              <w:spacing w:before="6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6.1.</w:t>
            </w:r>
            <w:r>
              <w:rPr>
                <w:rFonts w:ascii="Times New Roman" w:hAnsi="Times New Roman" w:eastAsia="Times New Roman"/>
                <w:color w:val="auto"/>
                <w:spacing w:val="-1"/>
                <w:highlight w:val="none"/>
              </w:rPr>
              <w:t>1</w:t>
            </w:r>
          </w:p>
        </w:tc>
        <w:tc>
          <w:tcPr>
            <w:tcW w:w="3547" w:type="dxa"/>
          </w:tcPr>
          <w:p w14:paraId="3F697962">
            <w:pPr>
              <w:spacing w:line="271" w:lineRule="auto"/>
              <w:rPr>
                <w:color w:val="auto"/>
                <w:highlight w:val="none"/>
              </w:rPr>
            </w:pPr>
          </w:p>
          <w:p w14:paraId="33062B67">
            <w:pPr>
              <w:spacing w:line="272" w:lineRule="auto"/>
              <w:rPr>
                <w:color w:val="auto"/>
                <w:highlight w:val="none"/>
              </w:rPr>
            </w:pPr>
          </w:p>
          <w:p w14:paraId="7C7B4D1C">
            <w:pPr>
              <w:spacing w:before="68" w:line="217" w:lineRule="auto"/>
              <w:ind w:left="1114"/>
              <w:rPr>
                <w:rFonts w:ascii="宋体" w:hAnsi="宋体" w:eastAsia="宋体"/>
                <w:color w:val="auto"/>
                <w:spacing w:val="-1"/>
                <w:highlight w:val="none"/>
              </w:rPr>
            </w:pPr>
            <w:r>
              <w:rPr>
                <w:rFonts w:ascii="宋体" w:hAnsi="宋体" w:eastAsia="宋体"/>
                <w:color w:val="auto"/>
                <w:spacing w:val="-1"/>
                <w:highlight w:val="none"/>
              </w:rPr>
              <w:t>评标委员会的组</w:t>
            </w:r>
            <w:r>
              <w:rPr>
                <w:rFonts w:ascii="宋体" w:hAnsi="宋体" w:eastAsia="宋体"/>
                <w:color w:val="auto"/>
                <w:highlight w:val="none"/>
              </w:rPr>
              <w:t>建</w:t>
            </w:r>
          </w:p>
        </w:tc>
        <w:tc>
          <w:tcPr>
            <w:tcW w:w="4610" w:type="dxa"/>
            <w:vAlign w:val="center"/>
          </w:tcPr>
          <w:p w14:paraId="60AA12C5">
            <w:pPr>
              <w:spacing w:line="360" w:lineRule="auto"/>
              <w:ind w:left="105" w:leftChars="50" w:right="105" w:rightChars="50"/>
              <w:jc w:val="both"/>
              <w:rPr>
                <w:rFonts w:ascii="宋体" w:hAnsi="宋体"/>
                <w:color w:val="auto"/>
                <w:highlight w:val="none"/>
              </w:rPr>
            </w:pPr>
            <w:r>
              <w:rPr>
                <w:rFonts w:hint="eastAsia" w:ascii="宋体" w:hAnsi="宋体"/>
                <w:color w:val="auto"/>
                <w:highlight w:val="none"/>
              </w:rPr>
              <w:t>评标委员会由招标人依法组建</w:t>
            </w:r>
            <w:r>
              <w:rPr>
                <w:rFonts w:hint="eastAsia" w:ascii="宋体" w:hAnsi="宋体" w:eastAsia="宋体"/>
                <w:color w:val="auto"/>
                <w:highlight w:val="none"/>
              </w:rPr>
              <w:t>一共5名</w:t>
            </w:r>
            <w:r>
              <w:rPr>
                <w:rFonts w:hint="eastAsia" w:ascii="宋体" w:hAnsi="宋体"/>
                <w:color w:val="auto"/>
                <w:highlight w:val="none"/>
              </w:rPr>
              <w:t>。</w:t>
            </w:r>
          </w:p>
          <w:p w14:paraId="1BE344DD">
            <w:pPr>
              <w:spacing w:line="360" w:lineRule="auto"/>
              <w:ind w:left="105" w:leftChars="50" w:right="105" w:rightChars="50"/>
              <w:jc w:val="both"/>
              <w:rPr>
                <w:rFonts w:hint="eastAsia" w:ascii="宋体" w:hAnsi="宋体" w:eastAsia="宋体"/>
                <w:color w:val="auto"/>
                <w:highlight w:val="none"/>
                <w:lang w:eastAsia="zh-CN"/>
              </w:rPr>
            </w:pPr>
            <w:r>
              <w:rPr>
                <w:rFonts w:hint="eastAsia" w:ascii="宋体" w:hAnsi="宋体" w:eastAsia="宋体"/>
                <w:color w:val="auto"/>
                <w:highlight w:val="none"/>
              </w:rPr>
              <w:t>评标专家确定方式：</w:t>
            </w:r>
            <w:r>
              <w:rPr>
                <w:rFonts w:hint="eastAsia" w:ascii="宋体" w:hAnsi="宋体" w:eastAsia="宋体"/>
                <w:color w:val="auto"/>
                <w:highlight w:val="none"/>
                <w:u w:val="single"/>
              </w:rPr>
              <w:t>1</w:t>
            </w:r>
            <w:r>
              <w:rPr>
                <w:rFonts w:hint="eastAsia" w:ascii="宋体" w:hAnsi="宋体" w:eastAsia="宋体"/>
                <w:color w:val="auto"/>
                <w:highlight w:val="none"/>
              </w:rPr>
              <w:t>名业主代表，其他</w:t>
            </w:r>
            <w:r>
              <w:rPr>
                <w:rFonts w:hint="eastAsia" w:ascii="宋体" w:hAnsi="宋体" w:eastAsia="宋体"/>
                <w:color w:val="auto"/>
                <w:highlight w:val="none"/>
                <w:u w:val="single"/>
              </w:rPr>
              <w:t>4</w:t>
            </w:r>
            <w:r>
              <w:rPr>
                <w:rFonts w:hint="eastAsia" w:ascii="宋体" w:hAnsi="宋体" w:eastAsia="宋体"/>
                <w:color w:val="auto"/>
                <w:highlight w:val="none"/>
              </w:rPr>
              <w:t>名专家从</w:t>
            </w:r>
            <w:r>
              <w:rPr>
                <w:rFonts w:hint="eastAsia" w:ascii="宋体" w:hAnsi="宋体" w:eastAsia="宋体"/>
                <w:color w:val="auto"/>
                <w:highlight w:val="none"/>
                <w:u w:val="single"/>
              </w:rPr>
              <w:t>广东省综合评标评审专家库</w:t>
            </w:r>
            <w:r>
              <w:rPr>
                <w:rFonts w:hint="eastAsia" w:ascii="宋体" w:hAnsi="宋体" w:eastAsia="宋体"/>
                <w:color w:val="auto"/>
                <w:highlight w:val="none"/>
              </w:rPr>
              <w:t>中抽取</w:t>
            </w:r>
          </w:p>
        </w:tc>
      </w:tr>
      <w:tr w14:paraId="294FB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169" w:type="dxa"/>
          </w:tcPr>
          <w:p w14:paraId="0218C8FB">
            <w:pPr>
              <w:spacing w:line="370" w:lineRule="auto"/>
              <w:rPr>
                <w:color w:val="auto"/>
                <w:highlight w:val="none"/>
              </w:rPr>
            </w:pPr>
          </w:p>
          <w:p w14:paraId="1D6063D7">
            <w:pPr>
              <w:spacing w:before="61"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6.3.</w:t>
            </w:r>
            <w:r>
              <w:rPr>
                <w:rFonts w:ascii="Times New Roman" w:hAnsi="Times New Roman" w:eastAsia="Times New Roman"/>
                <w:color w:val="auto"/>
                <w:spacing w:val="-1"/>
                <w:highlight w:val="none"/>
              </w:rPr>
              <w:t>2</w:t>
            </w:r>
          </w:p>
        </w:tc>
        <w:tc>
          <w:tcPr>
            <w:tcW w:w="3547" w:type="dxa"/>
            <w:vAlign w:val="center"/>
          </w:tcPr>
          <w:p w14:paraId="2AB90AB3">
            <w:pPr>
              <w:spacing w:before="68" w:line="217" w:lineRule="auto"/>
              <w:jc w:val="center"/>
              <w:rPr>
                <w:rFonts w:ascii="宋体" w:hAnsi="宋体" w:eastAsia="宋体"/>
                <w:color w:val="auto"/>
                <w:spacing w:val="-1"/>
                <w:highlight w:val="none"/>
              </w:rPr>
            </w:pPr>
            <w:r>
              <w:rPr>
                <w:rFonts w:ascii="宋体" w:hAnsi="宋体" w:eastAsia="宋体"/>
                <w:color w:val="auto"/>
                <w:spacing w:val="-1"/>
                <w:highlight w:val="none"/>
              </w:rPr>
              <w:t>评标委员会推荐</w:t>
            </w:r>
            <w:r>
              <w:rPr>
                <w:rFonts w:ascii="宋体" w:hAnsi="宋体" w:eastAsia="宋体"/>
                <w:color w:val="auto"/>
                <w:highlight w:val="none"/>
              </w:rPr>
              <w:t>中标候选人的人数</w:t>
            </w:r>
          </w:p>
        </w:tc>
        <w:tc>
          <w:tcPr>
            <w:tcW w:w="4610" w:type="dxa"/>
            <w:vAlign w:val="center"/>
          </w:tcPr>
          <w:p w14:paraId="770A0CF0">
            <w:pPr>
              <w:ind w:left="105" w:leftChars="50" w:right="105" w:rightChars="50"/>
              <w:jc w:val="both"/>
              <w:rPr>
                <w:rFonts w:ascii="宋体" w:hAnsi="宋体"/>
                <w:color w:val="auto"/>
                <w:highlight w:val="none"/>
              </w:rPr>
            </w:pPr>
            <w:r>
              <w:rPr>
                <w:rFonts w:hint="eastAsia" w:ascii="宋体" w:hAnsi="宋体"/>
                <w:color w:val="auto"/>
                <w:highlight w:val="none"/>
              </w:rPr>
              <w:t>推荐中标候选人：</w:t>
            </w:r>
            <w:r>
              <w:rPr>
                <w:rFonts w:hint="eastAsia" w:ascii="宋体" w:hAnsi="宋体"/>
                <w:color w:val="auto"/>
                <w:highlight w:val="none"/>
                <w:u w:val="single"/>
              </w:rPr>
              <w:t>3</w:t>
            </w:r>
            <w:r>
              <w:rPr>
                <w:rFonts w:hint="eastAsia" w:ascii="宋体" w:hAnsi="宋体"/>
                <w:color w:val="auto"/>
                <w:highlight w:val="none"/>
              </w:rPr>
              <w:t>名。</w:t>
            </w:r>
          </w:p>
        </w:tc>
      </w:tr>
      <w:tr w14:paraId="5991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tcPr>
          <w:p w14:paraId="17FCD573">
            <w:pPr>
              <w:spacing w:line="367" w:lineRule="auto"/>
              <w:rPr>
                <w:color w:val="auto"/>
                <w:highlight w:val="none"/>
              </w:rPr>
            </w:pPr>
          </w:p>
          <w:p w14:paraId="5CDF2F17">
            <w:pPr>
              <w:spacing w:before="60" w:line="186" w:lineRule="auto"/>
              <w:ind w:left="45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1</w:t>
            </w:r>
          </w:p>
        </w:tc>
        <w:tc>
          <w:tcPr>
            <w:tcW w:w="3547" w:type="dxa"/>
          </w:tcPr>
          <w:p w14:paraId="7BB8E43A">
            <w:pPr>
              <w:spacing w:line="308" w:lineRule="auto"/>
              <w:rPr>
                <w:color w:val="auto"/>
                <w:highlight w:val="none"/>
              </w:rPr>
            </w:pPr>
          </w:p>
          <w:p w14:paraId="2CAAE339">
            <w:pPr>
              <w:spacing w:before="68" w:line="220" w:lineRule="auto"/>
              <w:ind w:left="715"/>
              <w:rPr>
                <w:rFonts w:ascii="宋体" w:hAnsi="宋体" w:eastAsia="宋体"/>
                <w:color w:val="auto"/>
                <w:spacing w:val="-4"/>
                <w:highlight w:val="none"/>
              </w:rPr>
            </w:pPr>
            <w:r>
              <w:rPr>
                <w:rFonts w:ascii="宋体" w:hAnsi="宋体" w:eastAsia="宋体"/>
                <w:color w:val="auto"/>
                <w:spacing w:val="-4"/>
                <w:highlight w:val="none"/>
              </w:rPr>
              <w:t>中</w:t>
            </w:r>
            <w:r>
              <w:rPr>
                <w:rFonts w:ascii="宋体" w:hAnsi="宋体" w:eastAsia="宋体"/>
                <w:color w:val="auto"/>
                <w:spacing w:val="-2"/>
                <w:highlight w:val="none"/>
              </w:rPr>
              <w:t>标候选人公示媒介及期限</w:t>
            </w:r>
          </w:p>
        </w:tc>
        <w:tc>
          <w:tcPr>
            <w:tcW w:w="4610" w:type="dxa"/>
          </w:tcPr>
          <w:p w14:paraId="4DEC47A6">
            <w:pPr>
              <w:spacing w:before="171" w:line="220" w:lineRule="auto"/>
              <w:ind w:left="105" w:leftChars="50" w:right="105" w:rightChars="50"/>
              <w:rPr>
                <w:rFonts w:hint="eastAsia" w:ascii="宋体" w:hAnsi="宋体" w:eastAsia="宋体"/>
                <w:strike/>
                <w:color w:val="auto"/>
                <w:spacing w:val="-11"/>
                <w:highlight w:val="none"/>
                <w:lang w:eastAsia="zh-CN"/>
              </w:rPr>
            </w:pPr>
            <w:r>
              <w:rPr>
                <w:rFonts w:ascii="宋体" w:hAnsi="宋体" w:eastAsia="宋体"/>
                <w:color w:val="auto"/>
                <w:spacing w:val="-11"/>
                <w:highlight w:val="none"/>
              </w:rPr>
              <w:t>公</w:t>
            </w:r>
            <w:r>
              <w:rPr>
                <w:rFonts w:ascii="宋体" w:hAnsi="宋体" w:eastAsia="宋体"/>
                <w:color w:val="auto"/>
                <w:spacing w:val="-10"/>
                <w:highlight w:val="none"/>
              </w:rPr>
              <w:t>示媒介：</w:t>
            </w:r>
            <w:r>
              <w:rPr>
                <w:rFonts w:hint="eastAsia" w:ascii="宋体" w:hAnsi="宋体"/>
                <w:color w:val="auto"/>
                <w:highlight w:val="none"/>
                <w:lang w:val="zh-CN"/>
              </w:rPr>
              <w:t>广州交易集团有限公司（广州公共资源交易中心）网和广东省招标投标监管网、中国招标投标公共服务平台</w:t>
            </w:r>
            <w:r>
              <w:rPr>
                <w:rFonts w:hint="eastAsia" w:eastAsia="宋体"/>
                <w:color w:val="auto"/>
                <w:highlight w:val="none"/>
                <w:lang w:eastAsia="zh-CN"/>
              </w:rPr>
              <w:t>、</w:t>
            </w:r>
            <w:r>
              <w:rPr>
                <w:rFonts w:hint="eastAsia" w:eastAsia="宋体"/>
                <w:color w:val="auto"/>
                <w:highlight w:val="none"/>
              </w:rPr>
              <w:t>广州市增城区人民政府门户网站</w:t>
            </w:r>
          </w:p>
          <w:p w14:paraId="229DE610">
            <w:pPr>
              <w:spacing w:before="171" w:line="220" w:lineRule="auto"/>
              <w:ind w:left="105" w:leftChars="50" w:right="105" w:rightChars="50"/>
              <w:rPr>
                <w:rFonts w:ascii="宋体" w:hAnsi="宋体" w:eastAsia="宋体"/>
                <w:color w:val="auto"/>
                <w:spacing w:val="-8"/>
                <w:highlight w:val="none"/>
              </w:rPr>
            </w:pPr>
            <w:r>
              <w:rPr>
                <w:rFonts w:ascii="宋体" w:hAnsi="宋体" w:eastAsia="宋体"/>
                <w:color w:val="auto"/>
                <w:spacing w:val="-8"/>
                <w:highlight w:val="none"/>
              </w:rPr>
              <w:t>公示期</w:t>
            </w:r>
            <w:r>
              <w:rPr>
                <w:rFonts w:ascii="宋体" w:hAnsi="宋体" w:eastAsia="宋体"/>
                <w:color w:val="auto"/>
                <w:spacing w:val="-4"/>
                <w:highlight w:val="none"/>
              </w:rPr>
              <w:t>限：</w:t>
            </w:r>
            <w:r>
              <w:rPr>
                <w:rFonts w:hint="eastAsia" w:ascii="宋体" w:hAnsi="宋体" w:eastAsia="宋体"/>
                <w:color w:val="auto"/>
                <w:spacing w:val="-4"/>
                <w:highlight w:val="none"/>
                <w:u w:val="single"/>
              </w:rPr>
              <w:t>不少于3</w:t>
            </w:r>
            <w:r>
              <w:rPr>
                <w:rFonts w:ascii="宋体" w:hAnsi="宋体" w:eastAsia="宋体"/>
                <w:color w:val="auto"/>
                <w:spacing w:val="-4"/>
                <w:highlight w:val="none"/>
              </w:rPr>
              <w:t>日</w:t>
            </w:r>
            <w:r>
              <w:rPr>
                <w:rFonts w:hint="eastAsia" w:ascii="宋体" w:hAnsi="宋体" w:eastAsia="宋体"/>
                <w:color w:val="auto"/>
                <w:spacing w:val="-5"/>
                <w:highlight w:val="none"/>
              </w:rPr>
              <w:t>（最后一天应为工作日）</w:t>
            </w:r>
          </w:p>
        </w:tc>
      </w:tr>
      <w:tr w14:paraId="6D7A1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tcPr>
          <w:p w14:paraId="60A88F03">
            <w:pPr>
              <w:spacing w:line="367" w:lineRule="auto"/>
              <w:rPr>
                <w:color w:val="auto"/>
                <w:highlight w:val="none"/>
              </w:rPr>
            </w:pPr>
          </w:p>
          <w:p w14:paraId="42E3BA01">
            <w:pPr>
              <w:spacing w:before="61" w:line="186" w:lineRule="auto"/>
              <w:ind w:left="45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4</w:t>
            </w:r>
          </w:p>
        </w:tc>
        <w:tc>
          <w:tcPr>
            <w:tcW w:w="3547" w:type="dxa"/>
          </w:tcPr>
          <w:p w14:paraId="2AE8BF8D">
            <w:pPr>
              <w:spacing w:line="321" w:lineRule="auto"/>
              <w:rPr>
                <w:color w:val="auto"/>
                <w:highlight w:val="none"/>
              </w:rPr>
            </w:pPr>
          </w:p>
          <w:p w14:paraId="367A2F0A">
            <w:pPr>
              <w:spacing w:before="68" w:line="217" w:lineRule="auto"/>
              <w:ind w:left="488"/>
              <w:rPr>
                <w:rFonts w:ascii="宋体" w:hAnsi="宋体" w:eastAsia="宋体"/>
                <w:color w:val="auto"/>
                <w:spacing w:val="-1"/>
                <w:highlight w:val="none"/>
              </w:rPr>
            </w:pPr>
            <w:r>
              <w:rPr>
                <w:rFonts w:ascii="宋体" w:hAnsi="宋体" w:eastAsia="宋体"/>
                <w:color w:val="auto"/>
                <w:spacing w:val="-1"/>
                <w:highlight w:val="none"/>
              </w:rPr>
              <w:t>是否授权评标委员会确定</w:t>
            </w:r>
            <w:r>
              <w:rPr>
                <w:rFonts w:ascii="宋体" w:hAnsi="宋体" w:eastAsia="宋体"/>
                <w:color w:val="auto"/>
                <w:highlight w:val="none"/>
              </w:rPr>
              <w:t>中标人</w:t>
            </w:r>
          </w:p>
        </w:tc>
        <w:tc>
          <w:tcPr>
            <w:tcW w:w="4610" w:type="dxa"/>
          </w:tcPr>
          <w:p w14:paraId="3D454229">
            <w:pPr>
              <w:spacing w:before="170" w:line="176" w:lineRule="auto"/>
              <w:ind w:left="105" w:leftChars="50" w:right="105" w:rightChars="50"/>
              <w:rPr>
                <w:rFonts w:ascii="Times New Roman" w:hAnsi="Times New Roman" w:eastAsia="Times New Roman"/>
                <w:color w:val="auto"/>
                <w:spacing w:val="-4"/>
                <w:sz w:val="31"/>
                <w:szCs w:val="31"/>
                <w:highlight w:val="none"/>
              </w:rPr>
            </w:pPr>
            <w:r>
              <w:rPr>
                <w:rFonts w:ascii="Times New Roman" w:hAnsi="Times New Roman" w:eastAsia="Times New Roman"/>
                <w:color w:val="auto"/>
                <w:spacing w:val="-4"/>
                <w:sz w:val="31"/>
                <w:szCs w:val="31"/>
                <w:highlight w:val="none"/>
              </w:rPr>
              <w:t>□</w:t>
            </w:r>
            <w:r>
              <w:rPr>
                <w:rFonts w:ascii="宋体" w:hAnsi="宋体" w:eastAsia="宋体"/>
                <w:color w:val="auto"/>
                <w:spacing w:val="-3"/>
                <w:highlight w:val="none"/>
              </w:rPr>
              <w:t>是</w:t>
            </w:r>
          </w:p>
          <w:p w14:paraId="7703405F">
            <w:pPr>
              <w:spacing w:before="180" w:line="173" w:lineRule="auto"/>
              <w:ind w:left="105" w:leftChars="50" w:right="105" w:rightChars="50"/>
              <w:rPr>
                <w:rFonts w:ascii="Times New Roman" w:hAnsi="Times New Roman" w:eastAsia="Times New Roman"/>
                <w:color w:val="auto"/>
                <w:spacing w:val="-2"/>
                <w:sz w:val="31"/>
                <w:szCs w:val="31"/>
                <w:highlight w:val="none"/>
              </w:rPr>
            </w:pPr>
            <w:r>
              <w:rPr>
                <w:rFonts w:ascii="Times New Roman" w:hAnsi="Times New Roman" w:eastAsia="Times New Roman"/>
                <w:color w:val="auto"/>
                <w:spacing w:val="-2"/>
                <w:sz w:val="31"/>
                <w:szCs w:val="31"/>
                <w:highlight w:val="none"/>
              </w:rPr>
              <w:sym w:font="Wingdings 2" w:char="F052"/>
            </w:r>
            <w:r>
              <w:rPr>
                <w:rFonts w:ascii="宋体" w:hAnsi="宋体" w:eastAsia="宋体"/>
                <w:color w:val="auto"/>
                <w:spacing w:val="-2"/>
                <w:highlight w:val="none"/>
              </w:rPr>
              <w:t>否</w:t>
            </w:r>
          </w:p>
        </w:tc>
      </w:tr>
      <w:tr w14:paraId="647ED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169" w:type="dxa"/>
          </w:tcPr>
          <w:p w14:paraId="57996F80">
            <w:pPr>
              <w:spacing w:line="366" w:lineRule="auto"/>
              <w:rPr>
                <w:color w:val="auto"/>
                <w:highlight w:val="none"/>
              </w:rPr>
            </w:pPr>
          </w:p>
          <w:p w14:paraId="7FBBFCFC">
            <w:pPr>
              <w:spacing w:before="61" w:line="186" w:lineRule="auto"/>
              <w:ind w:left="45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6</w:t>
            </w:r>
          </w:p>
        </w:tc>
        <w:tc>
          <w:tcPr>
            <w:tcW w:w="3547" w:type="dxa"/>
          </w:tcPr>
          <w:p w14:paraId="3C2A709E">
            <w:pPr>
              <w:spacing w:line="321" w:lineRule="auto"/>
              <w:rPr>
                <w:color w:val="auto"/>
                <w:highlight w:val="none"/>
              </w:rPr>
            </w:pPr>
          </w:p>
          <w:p w14:paraId="37A871E7">
            <w:pPr>
              <w:spacing w:before="68" w:line="220" w:lineRule="auto"/>
              <w:ind w:left="1116"/>
              <w:rPr>
                <w:rFonts w:ascii="宋体" w:hAnsi="宋体" w:eastAsia="宋体"/>
                <w:color w:val="auto"/>
                <w:spacing w:val="-1"/>
                <w:highlight w:val="none"/>
              </w:rPr>
            </w:pPr>
            <w:r>
              <w:rPr>
                <w:rFonts w:ascii="宋体" w:hAnsi="宋体" w:eastAsia="宋体"/>
                <w:color w:val="auto"/>
                <w:spacing w:val="-1"/>
                <w:highlight w:val="none"/>
              </w:rPr>
              <w:t>技术成果经济补偿</w:t>
            </w:r>
          </w:p>
        </w:tc>
        <w:tc>
          <w:tcPr>
            <w:tcW w:w="4610" w:type="dxa"/>
          </w:tcPr>
          <w:p w14:paraId="7DF41BFC">
            <w:pPr>
              <w:spacing w:before="153"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不补偿</w:t>
            </w:r>
          </w:p>
          <w:p w14:paraId="66D18564">
            <w:pPr>
              <w:spacing w:before="164" w:line="173" w:lineRule="auto"/>
              <w:ind w:left="105" w:leftChars="50" w:right="105" w:rightChars="50"/>
              <w:rPr>
                <w:rFonts w:ascii="Times New Roman" w:hAnsi="Times New Roman" w:eastAsia="Times New Roman"/>
                <w:color w:val="auto"/>
                <w:spacing w:val="-12"/>
                <w:sz w:val="31"/>
                <w:szCs w:val="31"/>
                <w:highlight w:val="none"/>
              </w:rPr>
            </w:pPr>
            <w:r>
              <w:rPr>
                <w:rFonts w:ascii="Times New Roman" w:hAnsi="Times New Roman" w:eastAsia="Times New Roman"/>
                <w:color w:val="auto"/>
                <w:spacing w:val="-12"/>
                <w:sz w:val="31"/>
                <w:szCs w:val="31"/>
                <w:highlight w:val="none"/>
              </w:rPr>
              <w:t>□</w:t>
            </w:r>
            <w:r>
              <w:rPr>
                <w:rFonts w:ascii="宋体" w:hAnsi="宋体" w:eastAsia="宋体"/>
                <w:color w:val="auto"/>
                <w:spacing w:val="-7"/>
                <w:highlight w:val="none"/>
              </w:rPr>
              <w:t>补</w:t>
            </w:r>
            <w:r>
              <w:rPr>
                <w:rFonts w:ascii="宋体" w:hAnsi="宋体" w:eastAsia="宋体"/>
                <w:color w:val="auto"/>
                <w:spacing w:val="-6"/>
                <w:highlight w:val="none"/>
              </w:rPr>
              <w:t>偿，补偿标准：</w:t>
            </w:r>
          </w:p>
        </w:tc>
      </w:tr>
      <w:tr w14:paraId="16EB9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1169" w:type="dxa"/>
          </w:tcPr>
          <w:p w14:paraId="7DE0F51D">
            <w:pPr>
              <w:spacing w:line="249" w:lineRule="auto"/>
              <w:rPr>
                <w:color w:val="auto"/>
                <w:highlight w:val="none"/>
              </w:rPr>
            </w:pPr>
          </w:p>
          <w:p w14:paraId="202B37B5">
            <w:pPr>
              <w:spacing w:line="249" w:lineRule="auto"/>
              <w:rPr>
                <w:color w:val="auto"/>
                <w:highlight w:val="none"/>
              </w:rPr>
            </w:pPr>
          </w:p>
          <w:p w14:paraId="15CD23DD">
            <w:pPr>
              <w:spacing w:line="249" w:lineRule="auto"/>
              <w:rPr>
                <w:color w:val="auto"/>
                <w:highlight w:val="none"/>
              </w:rPr>
            </w:pPr>
          </w:p>
          <w:p w14:paraId="5E225488">
            <w:pPr>
              <w:spacing w:before="60" w:line="186" w:lineRule="auto"/>
              <w:ind w:left="379"/>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7.1</w:t>
            </w:r>
          </w:p>
        </w:tc>
        <w:tc>
          <w:tcPr>
            <w:tcW w:w="3547" w:type="dxa"/>
          </w:tcPr>
          <w:p w14:paraId="1F93A9D2">
            <w:pPr>
              <w:spacing w:line="350" w:lineRule="auto"/>
              <w:rPr>
                <w:color w:val="auto"/>
                <w:highlight w:val="none"/>
              </w:rPr>
            </w:pPr>
          </w:p>
          <w:p w14:paraId="780AF688">
            <w:pPr>
              <w:spacing w:line="351" w:lineRule="auto"/>
              <w:rPr>
                <w:color w:val="auto"/>
                <w:highlight w:val="none"/>
              </w:rPr>
            </w:pPr>
          </w:p>
          <w:p w14:paraId="1BE16683">
            <w:pPr>
              <w:spacing w:before="68" w:line="221" w:lineRule="auto"/>
              <w:ind w:left="1434"/>
              <w:rPr>
                <w:rFonts w:ascii="宋体" w:hAnsi="宋体" w:eastAsia="宋体"/>
                <w:color w:val="auto"/>
                <w:spacing w:val="-2"/>
                <w:highlight w:val="none"/>
              </w:rPr>
            </w:pPr>
            <w:r>
              <w:rPr>
                <w:rFonts w:ascii="宋体" w:hAnsi="宋体" w:eastAsia="宋体"/>
                <w:color w:val="auto"/>
                <w:spacing w:val="-2"/>
                <w:highlight w:val="none"/>
              </w:rPr>
              <w:t>履约保证金</w:t>
            </w:r>
          </w:p>
        </w:tc>
        <w:tc>
          <w:tcPr>
            <w:tcW w:w="4610" w:type="dxa"/>
          </w:tcPr>
          <w:p w14:paraId="1BE63426">
            <w:pPr>
              <w:spacing w:before="141" w:line="221" w:lineRule="auto"/>
              <w:ind w:left="105" w:leftChars="50" w:right="105" w:rightChars="50"/>
              <w:rPr>
                <w:rFonts w:ascii="宋体" w:hAnsi="宋体" w:eastAsia="宋体"/>
                <w:color w:val="auto"/>
                <w:spacing w:val="-6"/>
                <w:highlight w:val="none"/>
              </w:rPr>
            </w:pPr>
            <w:r>
              <w:rPr>
                <w:rFonts w:ascii="宋体" w:hAnsi="宋体" w:eastAsia="宋体"/>
                <w:color w:val="auto"/>
                <w:spacing w:val="-6"/>
                <w:highlight w:val="none"/>
              </w:rPr>
              <w:t>是否要</w:t>
            </w:r>
            <w:r>
              <w:rPr>
                <w:rFonts w:ascii="宋体" w:hAnsi="宋体" w:eastAsia="宋体"/>
                <w:color w:val="auto"/>
                <w:spacing w:val="-5"/>
                <w:highlight w:val="none"/>
              </w:rPr>
              <w:t>求</w:t>
            </w:r>
            <w:r>
              <w:rPr>
                <w:rFonts w:ascii="宋体" w:hAnsi="宋体" w:eastAsia="宋体"/>
                <w:color w:val="auto"/>
                <w:spacing w:val="-3"/>
                <w:highlight w:val="none"/>
              </w:rPr>
              <w:t>中标人提交履约保证金：</w:t>
            </w:r>
          </w:p>
          <w:p w14:paraId="5D95E3AB">
            <w:pPr>
              <w:spacing w:before="147" w:line="260" w:lineRule="auto"/>
              <w:ind w:left="933" w:leftChars="50" w:right="105" w:rightChars="50" w:hanging="828"/>
              <w:rPr>
                <w:rFonts w:ascii="Times New Roman" w:hAnsi="Times New Roman" w:eastAsia="Times New Roman"/>
                <w:color w:val="auto"/>
                <w:spacing w:val="-7"/>
                <w:sz w:val="31"/>
                <w:szCs w:val="31"/>
                <w:highlight w:val="none"/>
              </w:rPr>
            </w:pPr>
            <w:r>
              <w:rPr>
                <w:rFonts w:ascii="Times New Roman" w:hAnsi="Times New Roman" w:eastAsia="Times New Roman"/>
                <w:color w:val="auto"/>
                <w:spacing w:val="-7"/>
                <w:sz w:val="31"/>
                <w:szCs w:val="31"/>
                <w:highlight w:val="none"/>
              </w:rPr>
              <w:t>□</w:t>
            </w:r>
            <w:r>
              <w:rPr>
                <w:rFonts w:ascii="宋体" w:hAnsi="宋体" w:eastAsia="宋体"/>
                <w:color w:val="auto"/>
                <w:spacing w:val="-5"/>
                <w:highlight w:val="none"/>
              </w:rPr>
              <w:t>要求，履约保证金的形式：</w:t>
            </w:r>
          </w:p>
          <w:p w14:paraId="14FA3C93">
            <w:pPr>
              <w:spacing w:before="147" w:line="260" w:lineRule="auto"/>
              <w:ind w:left="105" w:leftChars="50" w:right="105" w:rightChars="50" w:firstLine="11" w:firstLineChars="6"/>
              <w:rPr>
                <w:rFonts w:ascii="宋体" w:hAnsi="宋体" w:eastAsia="宋体"/>
                <w:color w:val="auto"/>
                <w:spacing w:val="-12"/>
                <w:highlight w:val="none"/>
              </w:rPr>
            </w:pPr>
            <w:r>
              <w:rPr>
                <w:rFonts w:ascii="宋体" w:hAnsi="宋体" w:eastAsia="宋体"/>
                <w:color w:val="auto"/>
                <w:spacing w:val="-12"/>
                <w:highlight w:val="none"/>
              </w:rPr>
              <w:t>履</w:t>
            </w:r>
            <w:r>
              <w:rPr>
                <w:rFonts w:ascii="宋体" w:hAnsi="宋体" w:eastAsia="宋体"/>
                <w:color w:val="auto"/>
                <w:spacing w:val="-6"/>
                <w:highlight w:val="none"/>
              </w:rPr>
              <w:t>约保证金的金额：</w:t>
            </w:r>
          </w:p>
          <w:p w14:paraId="065907C7">
            <w:pPr>
              <w:spacing w:before="159"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不要求</w:t>
            </w:r>
          </w:p>
        </w:tc>
      </w:tr>
      <w:tr w14:paraId="37FA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tcPr>
          <w:p w14:paraId="29B66BB9">
            <w:pPr>
              <w:spacing w:line="370" w:lineRule="auto"/>
              <w:rPr>
                <w:color w:val="auto"/>
                <w:highlight w:val="none"/>
              </w:rPr>
            </w:pPr>
          </w:p>
          <w:p w14:paraId="73DA395C">
            <w:pPr>
              <w:spacing w:before="61" w:line="186" w:lineRule="auto"/>
              <w:ind w:left="500"/>
              <w:rPr>
                <w:rFonts w:ascii="Times New Roman" w:hAnsi="Times New Roman" w:eastAsia="Times New Roman"/>
                <w:color w:val="auto"/>
                <w:spacing w:val="-7"/>
                <w:highlight w:val="none"/>
              </w:rPr>
            </w:pPr>
            <w:r>
              <w:rPr>
                <w:rFonts w:ascii="Times New Roman" w:hAnsi="Times New Roman" w:eastAsia="Times New Roman"/>
                <w:color w:val="auto"/>
                <w:spacing w:val="-7"/>
                <w:highlight w:val="none"/>
              </w:rPr>
              <w:t>1</w:t>
            </w:r>
            <w:r>
              <w:rPr>
                <w:rFonts w:hint="eastAsia" w:ascii="Times New Roman" w:hAnsi="Times New Roman" w:eastAsia="宋体"/>
                <w:color w:val="auto"/>
                <w:spacing w:val="-5"/>
                <w:highlight w:val="none"/>
              </w:rPr>
              <w:t>1</w:t>
            </w:r>
          </w:p>
        </w:tc>
        <w:tc>
          <w:tcPr>
            <w:tcW w:w="3547" w:type="dxa"/>
            <w:vAlign w:val="center"/>
          </w:tcPr>
          <w:p w14:paraId="3D4F3F16">
            <w:pPr>
              <w:spacing w:before="68" w:line="218" w:lineRule="auto"/>
              <w:jc w:val="center"/>
              <w:rPr>
                <w:rFonts w:ascii="宋体" w:hAnsi="宋体" w:eastAsia="宋体"/>
                <w:color w:val="auto"/>
                <w:spacing w:val="-2"/>
                <w:highlight w:val="none"/>
              </w:rPr>
            </w:pPr>
            <w:r>
              <w:rPr>
                <w:rFonts w:ascii="宋体" w:hAnsi="宋体" w:eastAsia="宋体"/>
                <w:color w:val="auto"/>
                <w:spacing w:val="-2"/>
                <w:highlight w:val="none"/>
              </w:rPr>
              <w:t>需要补充的其他内</w:t>
            </w:r>
            <w:r>
              <w:rPr>
                <w:rFonts w:ascii="宋体" w:hAnsi="宋体" w:eastAsia="宋体"/>
                <w:color w:val="auto"/>
                <w:spacing w:val="-1"/>
                <w:highlight w:val="none"/>
              </w:rPr>
              <w:t>容</w:t>
            </w:r>
          </w:p>
        </w:tc>
        <w:tc>
          <w:tcPr>
            <w:tcW w:w="4610" w:type="dxa"/>
            <w:vAlign w:val="center"/>
          </w:tcPr>
          <w:p w14:paraId="22D8AF2B">
            <w:pPr>
              <w:ind w:left="105" w:leftChars="50" w:right="105" w:rightChars="50" w:firstLine="1050" w:firstLineChars="500"/>
              <w:jc w:val="both"/>
              <w:rPr>
                <w:rFonts w:eastAsia="宋体"/>
                <w:color w:val="auto"/>
                <w:highlight w:val="none"/>
              </w:rPr>
            </w:pPr>
            <w:r>
              <w:rPr>
                <w:rFonts w:hint="eastAsia" w:eastAsia="宋体"/>
                <w:color w:val="auto"/>
                <w:highlight w:val="none"/>
              </w:rPr>
              <w:t>/</w:t>
            </w:r>
          </w:p>
        </w:tc>
      </w:tr>
      <w:tr w14:paraId="5EE5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3A6C7D15">
            <w:pPr>
              <w:spacing w:line="360" w:lineRule="auto"/>
              <w:jc w:val="center"/>
              <w:rPr>
                <w:rFonts w:ascii="Times New Roman" w:hAnsi="Times New Roman" w:eastAsia="宋体"/>
                <w:color w:val="auto"/>
                <w:spacing w:val="-7"/>
                <w:highlight w:val="none"/>
              </w:rPr>
            </w:pPr>
            <w:r>
              <w:rPr>
                <w:rFonts w:hint="eastAsia" w:ascii="Times New Roman" w:hAnsi="Times New Roman" w:eastAsia="宋体"/>
                <w:color w:val="auto"/>
                <w:spacing w:val="-7"/>
                <w:highlight w:val="none"/>
              </w:rPr>
              <w:t>11.1</w:t>
            </w:r>
          </w:p>
        </w:tc>
        <w:tc>
          <w:tcPr>
            <w:tcW w:w="3547" w:type="dxa"/>
            <w:vAlign w:val="center"/>
          </w:tcPr>
          <w:p w14:paraId="177D1089">
            <w:pPr>
              <w:spacing w:line="360" w:lineRule="auto"/>
              <w:jc w:val="center"/>
              <w:rPr>
                <w:rFonts w:ascii="宋体" w:hAnsi="宋体"/>
                <w:color w:val="auto"/>
                <w:highlight w:val="none"/>
              </w:rPr>
            </w:pPr>
            <w:r>
              <w:rPr>
                <w:rFonts w:hint="eastAsia" w:ascii="宋体" w:hAnsi="宋体"/>
                <w:color w:val="auto"/>
                <w:highlight w:val="none"/>
              </w:rPr>
              <w:t>其他费用</w:t>
            </w:r>
          </w:p>
        </w:tc>
        <w:tc>
          <w:tcPr>
            <w:tcW w:w="4610" w:type="dxa"/>
            <w:vAlign w:val="center"/>
          </w:tcPr>
          <w:p w14:paraId="23429F86">
            <w:pPr>
              <w:spacing w:line="360" w:lineRule="auto"/>
              <w:ind w:left="105" w:leftChars="50" w:right="105" w:rightChars="50"/>
              <w:rPr>
                <w:rFonts w:ascii="宋体" w:hAnsi="宋体"/>
                <w:color w:val="auto"/>
                <w:highlight w:val="none"/>
              </w:rPr>
            </w:pPr>
            <w:r>
              <w:rPr>
                <w:rFonts w:hint="eastAsia" w:ascii="宋体" w:hAnsi="宋体"/>
                <w:color w:val="auto"/>
                <w:highlight w:val="none"/>
              </w:rPr>
              <w:t>交易服务费：中标人代缴广州公共资源交易中心交易服务费，其费用包含在中标人报价中，由广州公共资源交易中心向中标人开具发票。</w:t>
            </w:r>
          </w:p>
        </w:tc>
      </w:tr>
      <w:tr w14:paraId="7D311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7B334A95">
            <w:pPr>
              <w:spacing w:line="360" w:lineRule="auto"/>
              <w:jc w:val="center"/>
              <w:rPr>
                <w:rFonts w:ascii="Times New Roman" w:hAnsi="Times New Roman" w:eastAsia="宋体"/>
                <w:color w:val="auto"/>
                <w:spacing w:val="-7"/>
                <w:highlight w:val="none"/>
              </w:rPr>
            </w:pPr>
            <w:r>
              <w:rPr>
                <w:rFonts w:hint="eastAsia" w:ascii="Times New Roman" w:hAnsi="Times New Roman" w:eastAsia="宋体"/>
                <w:color w:val="auto"/>
                <w:spacing w:val="-7"/>
                <w:highlight w:val="none"/>
              </w:rPr>
              <w:t>11.2</w:t>
            </w:r>
          </w:p>
        </w:tc>
        <w:tc>
          <w:tcPr>
            <w:tcW w:w="3547" w:type="dxa"/>
            <w:vAlign w:val="center"/>
          </w:tcPr>
          <w:p w14:paraId="13305A23">
            <w:pPr>
              <w:spacing w:line="360" w:lineRule="auto"/>
              <w:jc w:val="center"/>
              <w:rPr>
                <w:rFonts w:ascii="宋体" w:hAnsi="宋体"/>
                <w:color w:val="auto"/>
                <w:highlight w:val="none"/>
              </w:rPr>
            </w:pPr>
            <w:r>
              <w:rPr>
                <w:rFonts w:hint="eastAsia" w:ascii="宋体" w:hAnsi="宋体"/>
                <w:color w:val="auto"/>
                <w:highlight w:val="none"/>
              </w:rPr>
              <w:t>招标失败的情形</w:t>
            </w:r>
          </w:p>
        </w:tc>
        <w:tc>
          <w:tcPr>
            <w:tcW w:w="4610" w:type="dxa"/>
            <w:vAlign w:val="center"/>
          </w:tcPr>
          <w:p w14:paraId="2E1C7088">
            <w:pPr>
              <w:spacing w:line="360" w:lineRule="auto"/>
              <w:ind w:left="105" w:leftChars="50" w:right="105" w:rightChars="50"/>
              <w:rPr>
                <w:rFonts w:ascii="宋体" w:hAnsi="宋体"/>
                <w:color w:val="auto"/>
                <w:highlight w:val="none"/>
              </w:rPr>
            </w:pPr>
            <w:r>
              <w:rPr>
                <w:rFonts w:hint="eastAsia" w:ascii="宋体" w:hAnsi="宋体"/>
                <w:color w:val="auto"/>
                <w:highlight w:val="none"/>
              </w:rPr>
              <w:t>本项目采用资格后审方式，满足资格审查合格条件或通过初步评审的投标申请人不足3名时为招标失败。招标人分析招标失败原因，修正招标方案，报有关管理部门核准后，重新组织招标。</w:t>
            </w:r>
          </w:p>
        </w:tc>
      </w:tr>
      <w:tr w14:paraId="22E07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1F41DBF3">
            <w:pPr>
              <w:spacing w:line="360" w:lineRule="auto"/>
              <w:jc w:val="center"/>
              <w:rPr>
                <w:rFonts w:ascii="Times New Roman" w:hAnsi="Times New Roman" w:eastAsia="宋体"/>
                <w:color w:val="auto"/>
                <w:spacing w:val="-7"/>
                <w:highlight w:val="none"/>
              </w:rPr>
            </w:pPr>
            <w:r>
              <w:rPr>
                <w:rFonts w:hint="eastAsia" w:ascii="Times New Roman" w:hAnsi="Times New Roman" w:eastAsia="宋体"/>
                <w:color w:val="auto"/>
                <w:spacing w:val="-7"/>
                <w:highlight w:val="none"/>
              </w:rPr>
              <w:t>11.3</w:t>
            </w:r>
          </w:p>
        </w:tc>
        <w:tc>
          <w:tcPr>
            <w:tcW w:w="3547" w:type="dxa"/>
            <w:vAlign w:val="center"/>
          </w:tcPr>
          <w:p w14:paraId="4CDBE97B">
            <w:pPr>
              <w:spacing w:line="360" w:lineRule="auto"/>
              <w:jc w:val="center"/>
              <w:rPr>
                <w:rFonts w:ascii="宋体" w:hAnsi="宋体"/>
                <w:color w:val="auto"/>
                <w:highlight w:val="none"/>
              </w:rPr>
            </w:pPr>
            <w:r>
              <w:rPr>
                <w:rFonts w:hint="eastAsia" w:ascii="宋体" w:hAnsi="宋体"/>
                <w:color w:val="auto"/>
                <w:highlight w:val="none"/>
              </w:rPr>
              <w:t>补交纸质投标文件</w:t>
            </w:r>
          </w:p>
        </w:tc>
        <w:tc>
          <w:tcPr>
            <w:tcW w:w="4610" w:type="dxa"/>
            <w:vAlign w:val="center"/>
          </w:tcPr>
          <w:p w14:paraId="73EE5B03">
            <w:pPr>
              <w:spacing w:line="360" w:lineRule="auto"/>
              <w:ind w:left="105" w:leftChars="50" w:right="105" w:rightChars="50"/>
              <w:rPr>
                <w:rFonts w:ascii="宋体" w:hAnsi="宋体"/>
                <w:color w:val="auto"/>
                <w:highlight w:val="none"/>
                <w:u w:val="single"/>
              </w:rPr>
            </w:pPr>
            <w:r>
              <w:rPr>
                <w:rFonts w:hint="eastAsia" w:ascii="宋体" w:hAnsi="宋体"/>
                <w:color w:val="auto"/>
                <w:highlight w:val="none"/>
                <w:u w:val="single"/>
              </w:rPr>
              <w:t>中标单位领取中标通知书前，中标人需向招标人提交与上传至广州公共资源中心交易平台的电子投标文件内容一致的纸质文件（1正</w:t>
            </w:r>
            <w:r>
              <w:rPr>
                <w:rFonts w:hint="eastAsia" w:ascii="宋体" w:hAnsi="宋体" w:eastAsia="宋体"/>
                <w:color w:val="auto"/>
                <w:highlight w:val="none"/>
                <w:u w:val="single"/>
              </w:rPr>
              <w:t>2</w:t>
            </w:r>
            <w:r>
              <w:rPr>
                <w:rFonts w:hint="eastAsia" w:ascii="宋体" w:hAnsi="宋体"/>
                <w:color w:val="auto"/>
                <w:highlight w:val="none"/>
                <w:u w:val="single"/>
              </w:rPr>
              <w:t>副）及电子光盘</w:t>
            </w:r>
            <w:r>
              <w:rPr>
                <w:rFonts w:hint="eastAsia" w:ascii="宋体" w:hAnsi="宋体" w:eastAsia="宋体"/>
                <w:color w:val="auto"/>
                <w:highlight w:val="none"/>
                <w:u w:val="single"/>
              </w:rPr>
              <w:t>1</w:t>
            </w:r>
            <w:r>
              <w:rPr>
                <w:rFonts w:hint="eastAsia" w:ascii="宋体" w:hAnsi="宋体"/>
                <w:color w:val="auto"/>
                <w:highlight w:val="none"/>
                <w:u w:val="single"/>
              </w:rPr>
              <w:t>张（提交传至广州公共资源中心交易平台的电子</w:t>
            </w:r>
            <w:r>
              <w:rPr>
                <w:rFonts w:hint="eastAsia" w:ascii="宋体" w:hAnsi="宋体" w:eastAsia="宋体"/>
                <w:color w:val="auto"/>
                <w:highlight w:val="none"/>
                <w:u w:val="single"/>
              </w:rPr>
              <w:t>文件一致的文件</w:t>
            </w:r>
            <w:r>
              <w:rPr>
                <w:rFonts w:hint="eastAsia" w:ascii="宋体" w:hAnsi="宋体"/>
                <w:color w:val="auto"/>
                <w:highlight w:val="none"/>
                <w:u w:val="single"/>
              </w:rPr>
              <w:t>）。</w:t>
            </w:r>
          </w:p>
        </w:tc>
      </w:tr>
    </w:tbl>
    <w:p w14:paraId="332BEFB4">
      <w:pPr>
        <w:rPr>
          <w:color w:val="auto"/>
          <w:highlight w:val="none"/>
        </w:rPr>
      </w:pPr>
    </w:p>
    <w:p w14:paraId="3F6C1C17">
      <w:pPr>
        <w:rPr>
          <w:color w:val="auto"/>
          <w:highlight w:val="none"/>
        </w:rPr>
        <w:sectPr>
          <w:footerReference r:id="rId7" w:type="default"/>
          <w:pgSz w:w="11906" w:h="16838"/>
          <w:pgMar w:top="1346" w:right="1219" w:bottom="1104" w:left="1689" w:header="0" w:footer="940" w:gutter="0"/>
          <w:cols w:space="720" w:num="1"/>
        </w:sectPr>
      </w:pPr>
    </w:p>
    <w:p w14:paraId="7CDE7F42">
      <w:pPr>
        <w:pStyle w:val="24"/>
        <w:spacing w:before="120" w:after="120"/>
        <w:jc w:val="center"/>
        <w:outlineLvl w:val="9"/>
        <w:rPr>
          <w:color w:val="auto"/>
          <w:sz w:val="32"/>
          <w:highlight w:val="none"/>
        </w:rPr>
      </w:pPr>
      <w:bookmarkStart w:id="77" w:name="_Toc262229161"/>
      <w:bookmarkStart w:id="78" w:name="_Toc29819"/>
      <w:bookmarkStart w:id="79" w:name="_Toc17451101"/>
      <w:bookmarkStart w:id="80" w:name="_Toc17556931"/>
      <w:bookmarkStart w:id="81" w:name="_Toc17454871"/>
      <w:bookmarkStart w:id="82" w:name="_Toc23544"/>
      <w:bookmarkStart w:id="83" w:name="_Toc26969"/>
      <w:bookmarkStart w:id="84" w:name="_Toc17556876"/>
      <w:bookmarkStart w:id="85" w:name="_Toc17451578"/>
      <w:bookmarkStart w:id="86" w:name="_Toc17451623"/>
      <w:bookmarkStart w:id="87" w:name="_Toc17454922"/>
      <w:bookmarkStart w:id="88" w:name="_Toc1363"/>
      <w:bookmarkStart w:id="89" w:name="_Toc17452664"/>
      <w:bookmarkStart w:id="90" w:name="_Toc25180"/>
      <w:r>
        <w:rPr>
          <w:color w:val="auto"/>
          <w:sz w:val="32"/>
          <w:highlight w:val="none"/>
        </w:rPr>
        <w:t>投标须知修改表</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735FF25">
      <w:pPr>
        <w:pStyle w:val="44"/>
        <w:spacing w:line="360" w:lineRule="auto"/>
        <w:rPr>
          <w:rFonts w:ascii="宋体" w:hAnsi="宋体" w:eastAsia="宋体"/>
          <w:color w:val="auto"/>
          <w:spacing w:val="-5"/>
          <w:highlight w:val="none"/>
        </w:rPr>
      </w:pPr>
      <w:r>
        <w:rPr>
          <w:rFonts w:ascii="宋体" w:hAnsi="宋体" w:eastAsia="宋体"/>
          <w:b/>
          <w:color w:val="auto"/>
          <w:sz w:val="24"/>
          <w:szCs w:val="24"/>
          <w:highlight w:val="none"/>
        </w:rPr>
        <w:t>本投标须知使用</w:t>
      </w:r>
      <w:r>
        <w:rPr>
          <w:rFonts w:hint="eastAsia" w:ascii="宋体" w:hAnsi="宋体" w:eastAsia="宋体"/>
          <w:b/>
          <w:color w:val="auto"/>
          <w:sz w:val="24"/>
          <w:szCs w:val="24"/>
          <w:highlight w:val="none"/>
        </w:rPr>
        <w:t>SWZB2024-11</w:t>
      </w:r>
      <w:r>
        <w:rPr>
          <w:rFonts w:ascii="宋体" w:hAnsi="宋体" w:eastAsia="宋体"/>
          <w:b/>
          <w:color w:val="auto"/>
          <w:sz w:val="24"/>
          <w:szCs w:val="24"/>
          <w:highlight w:val="none"/>
        </w:rPr>
        <w:t>招标文件范本的投标须知通用条款，与该通用条款不同之处，均在本表中列明，并以现文为准，原文不再有效。</w:t>
      </w:r>
    </w:p>
    <w:p w14:paraId="6166E9DF">
      <w:pPr>
        <w:pStyle w:val="4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5E421AC1">
      <w:pPr>
        <w:spacing w:before="68" w:line="352" w:lineRule="auto"/>
        <w:ind w:left="8" w:firstLine="429"/>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hint="eastAsia" w:ascii="Times New Roman" w:hAnsi="Times New Roman" w:eastAsia="Times New Roman"/>
          <w:color w:val="auto"/>
          <w:spacing w:val="-4"/>
          <w:highlight w:val="none"/>
        </w:rPr>
        <w:t>1.1.1 根据《中华人民共和国招标投标法》、《中华人民共和国招标投标法实施条例》等有关 法律、法规和规章的规定，本招标项目已具备招标条件，现对勘察设计进行招标。</w:t>
      </w:r>
    </w:p>
    <w:p w14:paraId="769E187C">
      <w:pPr>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hint="eastAsia" w:ascii="Times New Roman" w:hAnsi="Times New Roman" w:eastAsia="Times New Roman"/>
          <w:color w:val="auto"/>
          <w:spacing w:val="-4"/>
          <w:highlight w:val="none"/>
        </w:rPr>
        <w:t>1.1.1 根据《中华人民共和国招标投标法》、《中华人民共和国招标投标法实施条例》等有关 法律、法规和规章的规定，本招标项目已具备招标条件，现对勘察进行招标。</w:t>
      </w:r>
    </w:p>
    <w:p w14:paraId="5F484830">
      <w:pPr>
        <w:spacing w:line="360" w:lineRule="auto"/>
        <w:ind w:firstLine="482" w:firstLineChars="200"/>
        <w:rPr>
          <w:rFonts w:ascii="宋体" w:hAnsi="宋体" w:eastAsia="宋体"/>
          <w:b/>
          <w:bCs/>
          <w:color w:val="auto"/>
          <w:sz w:val="24"/>
          <w:szCs w:val="24"/>
          <w:highlight w:val="none"/>
        </w:rPr>
      </w:pPr>
    </w:p>
    <w:p w14:paraId="664DC985">
      <w:pPr>
        <w:spacing w:line="360" w:lineRule="auto"/>
        <w:ind w:firstLine="482" w:firstLineChars="200"/>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1.4.1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473108CD">
      <w:pPr>
        <w:spacing w:before="69" w:line="218" w:lineRule="auto"/>
        <w:ind w:left="435"/>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ascii="Times New Roman" w:hAnsi="Times New Roman" w:eastAsia="Times New Roman"/>
          <w:color w:val="auto"/>
          <w:spacing w:val="-4"/>
          <w:highlight w:val="none"/>
        </w:rPr>
        <w:t>1.4.1</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投标人应具备承担本招标项目资质条件、能力和信誉：</w:t>
      </w:r>
    </w:p>
    <w:p w14:paraId="6F20F236">
      <w:pPr>
        <w:spacing w:before="151" w:line="219"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)资质要求：见投标人须知前附表；</w:t>
      </w:r>
    </w:p>
    <w:p w14:paraId="4E066C30">
      <w:pPr>
        <w:spacing w:before="151" w:line="220"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2</w:t>
      </w:r>
      <w:r>
        <w:rPr>
          <w:rFonts w:ascii="宋体" w:hAnsi="宋体" w:eastAsia="宋体"/>
          <w:color w:val="auto"/>
          <w:spacing w:val="8"/>
          <w:highlight w:val="none"/>
        </w:rPr>
        <w:t>)财务要求：见投标人须知前附表；</w:t>
      </w:r>
    </w:p>
    <w:p w14:paraId="7D567118">
      <w:pPr>
        <w:spacing w:before="151" w:line="217"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3</w:t>
      </w:r>
      <w:r>
        <w:rPr>
          <w:rFonts w:ascii="宋体" w:hAnsi="宋体" w:eastAsia="宋体"/>
          <w:color w:val="auto"/>
          <w:spacing w:val="8"/>
          <w:highlight w:val="none"/>
        </w:rPr>
        <w:t>)业绩要求：见投标人须知前附表；</w:t>
      </w:r>
    </w:p>
    <w:p w14:paraId="5D158574">
      <w:pPr>
        <w:spacing w:before="152" w:line="220"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)信誉要求：见投标人须知前附表；</w:t>
      </w:r>
    </w:p>
    <w:p w14:paraId="03F64892">
      <w:pPr>
        <w:spacing w:before="150" w:line="361" w:lineRule="auto"/>
        <w:ind w:right="2" w:firstLine="318"/>
        <w:rPr>
          <w:rFonts w:ascii="宋体" w:hAnsi="宋体" w:eastAsia="宋体"/>
          <w:color w:val="auto"/>
          <w:spacing w:val="1"/>
          <w:highlight w:val="none"/>
        </w:rPr>
      </w:pPr>
      <w:r>
        <w:rPr>
          <w:rFonts w:ascii="宋体" w:hAnsi="宋体" w:eastAsia="宋体"/>
          <w:color w:val="auto"/>
          <w:spacing w:val="1"/>
          <w:highlight w:val="none"/>
        </w:rPr>
        <w:t>(</w:t>
      </w:r>
      <w:r>
        <w:rPr>
          <w:rFonts w:ascii="Times New Roman" w:hAnsi="Times New Roman" w:eastAsia="Times New Roman"/>
          <w:color w:val="auto"/>
          <w:spacing w:val="1"/>
          <w:highlight w:val="none"/>
        </w:rPr>
        <w:t>5</w:t>
      </w:r>
      <w:r>
        <w:rPr>
          <w:rFonts w:ascii="宋体" w:hAnsi="宋体" w:eastAsia="宋体"/>
          <w:color w:val="auto"/>
          <w:spacing w:val="1"/>
          <w:highlight w:val="none"/>
        </w:rPr>
        <w:t xml:space="preserve">) 项目负责人的资格要求： </w:t>
      </w:r>
      <w:r>
        <w:rPr>
          <w:rFonts w:ascii="宋体" w:hAnsi="宋体" w:eastAsia="宋体"/>
          <w:color w:val="auto"/>
          <w:highlight w:val="none"/>
        </w:rPr>
        <w:t xml:space="preserve">应当具备工程设计类注册执业资格(如有)，具体要求见投标 </w:t>
      </w:r>
      <w:r>
        <w:rPr>
          <w:rFonts w:ascii="宋体" w:hAnsi="宋体" w:eastAsia="宋体"/>
          <w:color w:val="auto"/>
          <w:spacing w:val="-8"/>
          <w:highlight w:val="none"/>
        </w:rPr>
        <w:t>人</w:t>
      </w:r>
      <w:r>
        <w:rPr>
          <w:rFonts w:ascii="宋体" w:hAnsi="宋体" w:eastAsia="宋体"/>
          <w:color w:val="auto"/>
          <w:spacing w:val="-7"/>
          <w:highlight w:val="none"/>
        </w:rPr>
        <w:t>须知前附表；</w:t>
      </w:r>
    </w:p>
    <w:p w14:paraId="71FF849E">
      <w:pPr>
        <w:spacing w:before="232" w:line="400" w:lineRule="exact"/>
        <w:ind w:left="320"/>
        <w:rPr>
          <w:rFonts w:ascii="宋体" w:hAnsi="宋体" w:eastAsia="宋体"/>
          <w:color w:val="auto"/>
          <w:spacing w:val="14"/>
          <w:position w:val="14"/>
          <w:highlight w:val="none"/>
        </w:rPr>
      </w:pPr>
      <w:r>
        <w:rPr>
          <w:rFonts w:ascii="宋体" w:hAnsi="宋体" w:eastAsia="宋体"/>
          <w:color w:val="auto"/>
          <w:spacing w:val="14"/>
          <w:position w:val="14"/>
          <w:highlight w:val="none"/>
        </w:rPr>
        <w:t>(</w:t>
      </w:r>
      <w:r>
        <w:rPr>
          <w:rFonts w:ascii="Times New Roman" w:hAnsi="Times New Roman" w:eastAsia="Times New Roman"/>
          <w:color w:val="auto"/>
          <w:spacing w:val="13"/>
          <w:position w:val="14"/>
          <w:highlight w:val="none"/>
        </w:rPr>
        <w:t>6</w:t>
      </w:r>
      <w:r>
        <w:rPr>
          <w:rFonts w:ascii="宋体" w:hAnsi="宋体" w:eastAsia="宋体"/>
          <w:color w:val="auto"/>
          <w:spacing w:val="7"/>
          <w:position w:val="14"/>
          <w:highlight w:val="none"/>
        </w:rPr>
        <w:t>)其他主要人员要求：见投标人须知前附表。</w:t>
      </w:r>
    </w:p>
    <w:p w14:paraId="1A382FA4">
      <w:pPr>
        <w:spacing w:line="218" w:lineRule="auto"/>
        <w:ind w:left="320"/>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9"/>
          <w:highlight w:val="none"/>
        </w:rPr>
        <w:t>7</w:t>
      </w:r>
      <w:r>
        <w:rPr>
          <w:rFonts w:ascii="宋体" w:hAnsi="宋体" w:eastAsia="宋体"/>
          <w:color w:val="auto"/>
          <w:spacing w:val="9"/>
          <w:highlight w:val="none"/>
        </w:rPr>
        <w:t>)其他要求：见投标人须知前附表。</w:t>
      </w:r>
    </w:p>
    <w:p w14:paraId="2020D2B0">
      <w:pPr>
        <w:spacing w:before="150" w:line="220" w:lineRule="auto"/>
        <w:ind w:left="430"/>
        <w:rPr>
          <w:rFonts w:ascii="宋体" w:hAnsi="宋体" w:eastAsia="宋体"/>
          <w:color w:val="auto"/>
          <w:spacing w:val="-6"/>
          <w:highlight w:val="none"/>
        </w:rPr>
      </w:pPr>
      <w:r>
        <w:rPr>
          <w:rFonts w:ascii="宋体" w:hAnsi="宋体" w:eastAsia="宋体"/>
          <w:color w:val="auto"/>
          <w:spacing w:val="-6"/>
          <w:highlight w:val="none"/>
        </w:rPr>
        <w:t>需要提交的相</w:t>
      </w:r>
      <w:r>
        <w:rPr>
          <w:rFonts w:ascii="宋体" w:hAnsi="宋体" w:eastAsia="宋体"/>
          <w:color w:val="auto"/>
          <w:spacing w:val="-3"/>
          <w:highlight w:val="none"/>
        </w:rPr>
        <w:t xml:space="preserve">关证明材料见本章第 </w:t>
      </w:r>
      <w:r>
        <w:rPr>
          <w:rFonts w:ascii="Times New Roman" w:hAnsi="Times New Roman" w:eastAsia="Times New Roman"/>
          <w:color w:val="auto"/>
          <w:spacing w:val="-3"/>
          <w:highlight w:val="none"/>
        </w:rPr>
        <w:t xml:space="preserve">3.5 </w:t>
      </w:r>
      <w:r>
        <w:rPr>
          <w:rFonts w:ascii="宋体" w:hAnsi="宋体" w:eastAsia="宋体"/>
          <w:color w:val="auto"/>
          <w:spacing w:val="-3"/>
          <w:highlight w:val="none"/>
        </w:rPr>
        <w:t>款的规定。</w:t>
      </w:r>
    </w:p>
    <w:p w14:paraId="56F76522">
      <w:pPr>
        <w:spacing w:before="69" w:line="218" w:lineRule="auto"/>
        <w:ind w:left="435"/>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Times New Roman" w:hAnsi="Times New Roman" w:eastAsia="Times New Roman"/>
          <w:color w:val="auto"/>
          <w:spacing w:val="-4"/>
          <w:highlight w:val="none"/>
        </w:rPr>
        <w:t>1.4.1</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投标人应具备承担本招标项目资质条件、能力和信誉：</w:t>
      </w:r>
    </w:p>
    <w:p w14:paraId="4C87AAD0">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(1)资质要求：见投标人须知前附表；</w:t>
      </w:r>
    </w:p>
    <w:p w14:paraId="41622F0A">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(2)财务要求：见投标人须知前附表；</w:t>
      </w:r>
    </w:p>
    <w:p w14:paraId="4BDA6E7A">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(3)业绩要求：见投标人须知前附表；</w:t>
      </w:r>
    </w:p>
    <w:p w14:paraId="6E1586F6">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(4)信誉要求：见投标人须知前附表；</w:t>
      </w:r>
    </w:p>
    <w:p w14:paraId="069795B6">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(5) 项目负责人的资格要求：</w:t>
      </w:r>
      <w:r>
        <w:rPr>
          <w:rFonts w:hint="eastAsia" w:ascii="宋体" w:hAnsi="宋体" w:eastAsia="宋体"/>
          <w:color w:val="auto"/>
          <w:spacing w:val="8"/>
          <w:highlight w:val="none"/>
          <w:u w:val="single"/>
        </w:rPr>
        <w:t>详</w:t>
      </w:r>
      <w:r>
        <w:rPr>
          <w:rFonts w:ascii="宋体" w:hAnsi="宋体" w:eastAsia="宋体"/>
          <w:color w:val="auto"/>
          <w:spacing w:val="8"/>
          <w:highlight w:val="none"/>
          <w:u w:val="single"/>
        </w:rPr>
        <w:t>见</w:t>
      </w:r>
      <w:r>
        <w:rPr>
          <w:rFonts w:hint="eastAsia" w:ascii="宋体" w:hAnsi="宋体" w:eastAsia="宋体"/>
          <w:color w:val="auto"/>
          <w:spacing w:val="8"/>
          <w:highlight w:val="none"/>
          <w:u w:val="single"/>
        </w:rPr>
        <w:t>招标公告</w:t>
      </w:r>
      <w:r>
        <w:rPr>
          <w:rFonts w:ascii="宋体" w:hAnsi="宋体" w:eastAsia="宋体"/>
          <w:color w:val="auto"/>
          <w:spacing w:val="8"/>
          <w:highlight w:val="none"/>
        </w:rPr>
        <w:t>；</w:t>
      </w:r>
    </w:p>
    <w:p w14:paraId="2F369071">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(6)其他主要人员要求：</w:t>
      </w:r>
      <w:r>
        <w:rPr>
          <w:rFonts w:hint="eastAsia" w:ascii="宋体" w:hAnsi="宋体" w:eastAsia="宋体"/>
          <w:color w:val="auto"/>
          <w:spacing w:val="8"/>
          <w:highlight w:val="none"/>
          <w:u w:val="single"/>
        </w:rPr>
        <w:t>详</w:t>
      </w:r>
      <w:r>
        <w:rPr>
          <w:rFonts w:ascii="宋体" w:hAnsi="宋体" w:eastAsia="宋体"/>
          <w:color w:val="auto"/>
          <w:spacing w:val="8"/>
          <w:highlight w:val="none"/>
          <w:u w:val="single"/>
        </w:rPr>
        <w:t>见</w:t>
      </w:r>
      <w:r>
        <w:rPr>
          <w:rFonts w:hint="eastAsia" w:ascii="宋体" w:hAnsi="宋体" w:eastAsia="宋体"/>
          <w:color w:val="auto"/>
          <w:spacing w:val="8"/>
          <w:highlight w:val="none"/>
          <w:u w:val="single"/>
        </w:rPr>
        <w:t>招标公告</w:t>
      </w:r>
      <w:r>
        <w:rPr>
          <w:rFonts w:ascii="宋体" w:hAnsi="宋体" w:eastAsia="宋体"/>
          <w:color w:val="auto"/>
          <w:spacing w:val="8"/>
          <w:highlight w:val="none"/>
        </w:rPr>
        <w:t>；</w:t>
      </w:r>
    </w:p>
    <w:p w14:paraId="63E55D42">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(7)其他要求：见投标人须知前附表。</w:t>
      </w:r>
    </w:p>
    <w:p w14:paraId="7875CA0D">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需要提交的相关证明材料见本章第 3.5 款的规定。</w:t>
      </w:r>
    </w:p>
    <w:p w14:paraId="3977680E">
      <w:pPr>
        <w:pStyle w:val="44"/>
        <w:rPr>
          <w:color w:val="auto"/>
          <w:highlight w:val="none"/>
        </w:rPr>
      </w:pPr>
    </w:p>
    <w:p w14:paraId="1BFB8BCA">
      <w:pPr>
        <w:pStyle w:val="4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1.9.1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7D350C7E">
      <w:pPr>
        <w:spacing w:before="68" w:line="352" w:lineRule="auto"/>
        <w:ind w:left="8" w:firstLine="429"/>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ascii="Times New Roman" w:hAnsi="Times New Roman" w:eastAsia="Times New Roman"/>
          <w:color w:val="auto"/>
          <w:spacing w:val="-4"/>
          <w:highlight w:val="none"/>
        </w:rPr>
        <w:t>1.9.1</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投标人须知前附表规定组织踏勘现场的，招标人按投标人须知前附表规定的时间、地</w:t>
      </w:r>
      <w:r>
        <w:rPr>
          <w:rFonts w:ascii="宋体" w:hAnsi="宋体" w:eastAsia="宋体"/>
          <w:color w:val="auto"/>
          <w:highlight w:val="none"/>
        </w:rPr>
        <w:t xml:space="preserve"> </w:t>
      </w:r>
      <w:r>
        <w:rPr>
          <w:rFonts w:ascii="宋体" w:hAnsi="宋体" w:eastAsia="宋体"/>
          <w:color w:val="auto"/>
          <w:spacing w:val="-10"/>
          <w:highlight w:val="none"/>
        </w:rPr>
        <w:t>点组</w:t>
      </w:r>
      <w:r>
        <w:rPr>
          <w:rFonts w:ascii="宋体" w:hAnsi="宋体" w:eastAsia="宋体"/>
          <w:color w:val="auto"/>
          <w:spacing w:val="-6"/>
          <w:highlight w:val="none"/>
        </w:rPr>
        <w:t>织</w:t>
      </w:r>
      <w:r>
        <w:rPr>
          <w:rFonts w:ascii="宋体" w:hAnsi="宋体" w:eastAsia="宋体"/>
          <w:color w:val="auto"/>
          <w:spacing w:val="-5"/>
          <w:highlight w:val="none"/>
        </w:rPr>
        <w:t>投标人踏勘项目现场。部分投标人未按时参加踏勘现场的， 不影响踏勘现场的正常进行。</w:t>
      </w:r>
    </w:p>
    <w:p w14:paraId="16F23437">
      <w:pPr>
        <w:spacing w:before="68" w:line="352" w:lineRule="auto"/>
        <w:ind w:left="8" w:firstLine="429"/>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Times New Roman" w:hAnsi="Times New Roman" w:eastAsia="Times New Roman"/>
          <w:color w:val="auto"/>
          <w:spacing w:val="-4"/>
          <w:highlight w:val="none"/>
        </w:rPr>
        <w:t>1.9.1</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hint="eastAsia"/>
          <w:color w:val="auto"/>
          <w:highlight w:val="none"/>
          <w:u w:val="single"/>
        </w:rPr>
        <w:t>招标人不集中组织，由投标人自行踏勘</w:t>
      </w:r>
      <w:r>
        <w:rPr>
          <w:rFonts w:ascii="宋体" w:hAnsi="宋体" w:eastAsia="宋体"/>
          <w:color w:val="auto"/>
          <w:spacing w:val="-5"/>
          <w:highlight w:val="none"/>
          <w:u w:val="single"/>
        </w:rPr>
        <w:t>。</w:t>
      </w:r>
    </w:p>
    <w:p w14:paraId="1BC6ADAB">
      <w:pPr>
        <w:pStyle w:val="44"/>
        <w:rPr>
          <w:rFonts w:ascii="宋体" w:hAnsi="宋体" w:eastAsia="宋体"/>
          <w:b/>
          <w:bCs/>
          <w:color w:val="auto"/>
          <w:sz w:val="24"/>
          <w:szCs w:val="24"/>
          <w:highlight w:val="none"/>
        </w:rPr>
      </w:pPr>
    </w:p>
    <w:p w14:paraId="19BC4A9F">
      <w:pPr>
        <w:pStyle w:val="4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1.1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5FC4BDAB">
      <w:pPr>
        <w:spacing w:line="360" w:lineRule="auto"/>
        <w:ind w:firstLine="482" w:firstLineChars="200"/>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hint="eastAsia" w:ascii="宋体" w:hAnsi="宋体" w:eastAsia="宋体"/>
          <w:color w:val="auto"/>
          <w:spacing w:val="14"/>
          <w:highlight w:val="none"/>
        </w:rPr>
        <w:t>3.1.1 商务文件（含资格审查文件）由下列资料组成：</w:t>
      </w:r>
    </w:p>
    <w:p w14:paraId="56CDB103">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(1)</w:t>
      </w:r>
      <w:r>
        <w:rPr>
          <w:rFonts w:hint="eastAsia" w:ascii="宋体" w:hAnsi="宋体" w:eastAsia="宋体"/>
          <w:color w:val="auto"/>
          <w:spacing w:val="15"/>
          <w:highlight w:val="none"/>
        </w:rPr>
        <w:t>投标函及投标函附录；</w:t>
      </w:r>
    </w:p>
    <w:p w14:paraId="36C9DAFC">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(2)</w:t>
      </w:r>
      <w:r>
        <w:rPr>
          <w:rFonts w:hint="eastAsia" w:ascii="宋体" w:hAnsi="宋体" w:eastAsia="宋体"/>
          <w:color w:val="auto"/>
          <w:spacing w:val="15"/>
          <w:highlight w:val="none"/>
        </w:rPr>
        <w:t>法定代表人身份证明及授权委托书；</w:t>
      </w:r>
    </w:p>
    <w:p w14:paraId="3405A9D2">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(3)</w:t>
      </w:r>
      <w:r>
        <w:rPr>
          <w:rFonts w:hint="eastAsia" w:ascii="宋体" w:hAnsi="宋体" w:eastAsia="宋体"/>
          <w:color w:val="auto"/>
          <w:spacing w:val="15"/>
          <w:highlight w:val="none"/>
        </w:rPr>
        <w:t>联合体协议书；</w:t>
      </w:r>
    </w:p>
    <w:p w14:paraId="74E9C330">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(4)</w:t>
      </w:r>
      <w:r>
        <w:rPr>
          <w:rFonts w:hint="eastAsia" w:ascii="宋体" w:hAnsi="宋体" w:eastAsia="宋体"/>
          <w:color w:val="auto"/>
          <w:spacing w:val="15"/>
          <w:highlight w:val="none"/>
        </w:rPr>
        <w:t>投标保证金；</w:t>
      </w:r>
    </w:p>
    <w:p w14:paraId="64765DAB">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(5)</w:t>
      </w:r>
      <w:r>
        <w:rPr>
          <w:rFonts w:hint="eastAsia" w:ascii="宋体" w:hAnsi="宋体" w:eastAsia="宋体"/>
          <w:color w:val="auto"/>
          <w:spacing w:val="15"/>
          <w:highlight w:val="none"/>
        </w:rPr>
        <w:t>勘察设计费报价表；</w:t>
      </w:r>
    </w:p>
    <w:p w14:paraId="7ADD7874">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(6)</w:t>
      </w:r>
      <w:r>
        <w:rPr>
          <w:rFonts w:hint="eastAsia" w:ascii="宋体" w:hAnsi="宋体" w:eastAsia="宋体"/>
          <w:color w:val="auto"/>
          <w:spacing w:val="15"/>
          <w:highlight w:val="none"/>
        </w:rPr>
        <w:t>资格审查资料；</w:t>
      </w:r>
    </w:p>
    <w:p w14:paraId="3F25B0FA">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(7)</w:t>
      </w:r>
      <w:r>
        <w:rPr>
          <w:rFonts w:hint="eastAsia" w:ascii="宋体" w:hAnsi="宋体" w:eastAsia="宋体"/>
          <w:color w:val="auto"/>
          <w:spacing w:val="15"/>
          <w:highlight w:val="none"/>
        </w:rPr>
        <w:t>勘察设计方案；</w:t>
      </w:r>
    </w:p>
    <w:p w14:paraId="059C626B">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(8)</w:t>
      </w:r>
      <w:r>
        <w:rPr>
          <w:rFonts w:hint="eastAsia" w:ascii="宋体" w:hAnsi="宋体" w:eastAsia="宋体"/>
          <w:color w:val="auto"/>
          <w:spacing w:val="15"/>
          <w:highlight w:val="none"/>
        </w:rPr>
        <w:t>投标人须知前附表规定的其他资料。</w:t>
      </w:r>
    </w:p>
    <w:p w14:paraId="3957F680">
      <w:pPr>
        <w:spacing w:line="360" w:lineRule="auto"/>
        <w:ind w:firstLine="454" w:firstLineChars="200"/>
        <w:rPr>
          <w:rFonts w:ascii="宋体" w:hAnsi="宋体" w:eastAsia="宋体"/>
          <w:b/>
          <w:bCs/>
          <w:color w:val="auto"/>
          <w:spacing w:val="8"/>
          <w:highlight w:val="none"/>
        </w:rPr>
      </w:pPr>
      <w:r>
        <w:rPr>
          <w:rFonts w:hint="eastAsia" w:ascii="宋体" w:hAnsi="宋体" w:eastAsia="宋体"/>
          <w:b/>
          <w:bCs/>
          <w:color w:val="auto"/>
          <w:spacing w:val="8"/>
          <w:highlight w:val="none"/>
        </w:rPr>
        <w:t>现文：</w:t>
      </w:r>
      <w:r>
        <w:rPr>
          <w:rFonts w:hint="eastAsia" w:ascii="宋体" w:hAnsi="宋体" w:eastAsia="宋体"/>
          <w:color w:val="auto"/>
          <w:spacing w:val="14"/>
          <w:highlight w:val="none"/>
        </w:rPr>
        <w:t>3.1.1 商务文件（含资格审查文件）由下列资料组成：</w:t>
      </w:r>
    </w:p>
    <w:p w14:paraId="69D14EA4">
      <w:pPr>
        <w:pStyle w:val="44"/>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(1)</w:t>
      </w:r>
      <w:r>
        <w:rPr>
          <w:rFonts w:hint="eastAsia" w:ascii="宋体" w:hAnsi="宋体" w:eastAsia="宋体"/>
          <w:color w:val="auto"/>
          <w:spacing w:val="15"/>
          <w:sz w:val="21"/>
          <w:szCs w:val="21"/>
          <w:highlight w:val="none"/>
        </w:rPr>
        <w:t>投标函及投标函附录；</w:t>
      </w:r>
    </w:p>
    <w:p w14:paraId="3B52145D">
      <w:pPr>
        <w:pStyle w:val="44"/>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(2)</w:t>
      </w:r>
      <w:r>
        <w:rPr>
          <w:rFonts w:hint="eastAsia" w:ascii="宋体" w:hAnsi="宋体" w:eastAsia="宋体"/>
          <w:color w:val="auto"/>
          <w:spacing w:val="15"/>
          <w:sz w:val="21"/>
          <w:szCs w:val="21"/>
          <w:highlight w:val="none"/>
        </w:rPr>
        <w:t>法定代表人身份证明及授权委托书；</w:t>
      </w:r>
    </w:p>
    <w:p w14:paraId="7386A2E1">
      <w:pPr>
        <w:pStyle w:val="44"/>
        <w:rPr>
          <w:rFonts w:ascii="宋体" w:hAnsi="宋体" w:eastAsia="宋体"/>
          <w:color w:val="auto"/>
          <w:spacing w:val="15"/>
          <w:sz w:val="21"/>
          <w:szCs w:val="21"/>
          <w:highlight w:val="none"/>
        </w:rPr>
      </w:pPr>
      <w:r>
        <w:rPr>
          <w:rFonts w:ascii="宋体" w:hAnsi="宋体" w:eastAsia="宋体"/>
          <w:strike/>
          <w:color w:val="auto"/>
          <w:spacing w:val="15"/>
          <w:sz w:val="21"/>
          <w:szCs w:val="21"/>
          <w:highlight w:val="none"/>
        </w:rPr>
        <w:t>(3)</w:t>
      </w:r>
      <w:r>
        <w:rPr>
          <w:rFonts w:hint="eastAsia" w:ascii="宋体" w:hAnsi="宋体" w:eastAsia="宋体"/>
          <w:strike/>
          <w:color w:val="auto"/>
          <w:spacing w:val="15"/>
          <w:sz w:val="21"/>
          <w:szCs w:val="21"/>
          <w:highlight w:val="none"/>
        </w:rPr>
        <w:t>联合体协议书；</w:t>
      </w:r>
    </w:p>
    <w:p w14:paraId="26254733">
      <w:pPr>
        <w:pStyle w:val="44"/>
        <w:rPr>
          <w:rFonts w:ascii="宋体" w:hAnsi="宋体" w:eastAsia="宋体"/>
          <w:strike/>
          <w:color w:val="auto"/>
          <w:spacing w:val="15"/>
          <w:sz w:val="21"/>
          <w:szCs w:val="21"/>
          <w:highlight w:val="none"/>
        </w:rPr>
      </w:pPr>
      <w:r>
        <w:rPr>
          <w:rFonts w:ascii="宋体" w:hAnsi="宋体" w:eastAsia="宋体"/>
          <w:strike/>
          <w:color w:val="auto"/>
          <w:spacing w:val="15"/>
          <w:sz w:val="21"/>
          <w:szCs w:val="21"/>
          <w:highlight w:val="none"/>
        </w:rPr>
        <w:t>(4)</w:t>
      </w:r>
      <w:r>
        <w:rPr>
          <w:rFonts w:hint="eastAsia" w:ascii="宋体" w:hAnsi="宋体" w:eastAsia="宋体"/>
          <w:strike/>
          <w:color w:val="auto"/>
          <w:spacing w:val="15"/>
          <w:sz w:val="21"/>
          <w:szCs w:val="21"/>
          <w:highlight w:val="none"/>
        </w:rPr>
        <w:t>投标保证金；</w:t>
      </w:r>
    </w:p>
    <w:p w14:paraId="1F04CDEB">
      <w:pPr>
        <w:pStyle w:val="44"/>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(5)</w:t>
      </w:r>
      <w:r>
        <w:rPr>
          <w:rFonts w:hint="eastAsia" w:ascii="宋体" w:hAnsi="宋体" w:eastAsia="宋体"/>
          <w:color w:val="auto"/>
          <w:spacing w:val="15"/>
          <w:sz w:val="21"/>
          <w:szCs w:val="21"/>
          <w:highlight w:val="none"/>
          <w:lang w:eastAsia="zh-CN"/>
        </w:rPr>
        <w:t>勘察费</w:t>
      </w:r>
      <w:r>
        <w:rPr>
          <w:rFonts w:hint="eastAsia" w:ascii="宋体" w:hAnsi="宋体" w:eastAsia="宋体"/>
          <w:color w:val="auto"/>
          <w:spacing w:val="15"/>
          <w:sz w:val="21"/>
          <w:szCs w:val="21"/>
          <w:highlight w:val="none"/>
        </w:rPr>
        <w:t>报价表；</w:t>
      </w:r>
    </w:p>
    <w:p w14:paraId="2A3A9DD0">
      <w:pPr>
        <w:pStyle w:val="44"/>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(6)</w:t>
      </w:r>
      <w:r>
        <w:rPr>
          <w:rFonts w:hint="eastAsia" w:ascii="宋体" w:hAnsi="宋体" w:eastAsia="宋体"/>
          <w:color w:val="auto"/>
          <w:spacing w:val="15"/>
          <w:sz w:val="21"/>
          <w:szCs w:val="21"/>
          <w:highlight w:val="none"/>
        </w:rPr>
        <w:t>资格审查资料；</w:t>
      </w:r>
    </w:p>
    <w:p w14:paraId="38146B29">
      <w:pPr>
        <w:pStyle w:val="44"/>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(7)</w:t>
      </w:r>
      <w:r>
        <w:rPr>
          <w:rFonts w:hint="eastAsia" w:ascii="宋体" w:hAnsi="宋体" w:eastAsia="宋体"/>
          <w:color w:val="auto"/>
          <w:spacing w:val="15"/>
          <w:sz w:val="21"/>
          <w:szCs w:val="21"/>
          <w:highlight w:val="none"/>
          <w:lang w:eastAsia="zh-CN"/>
        </w:rPr>
        <w:t>勘察方案</w:t>
      </w:r>
      <w:r>
        <w:rPr>
          <w:rFonts w:hint="eastAsia" w:ascii="宋体" w:hAnsi="宋体" w:eastAsia="宋体"/>
          <w:color w:val="auto"/>
          <w:spacing w:val="15"/>
          <w:sz w:val="21"/>
          <w:szCs w:val="21"/>
          <w:highlight w:val="none"/>
        </w:rPr>
        <w:t>；</w:t>
      </w:r>
    </w:p>
    <w:p w14:paraId="4DACE75A">
      <w:pPr>
        <w:pStyle w:val="44"/>
        <w:rPr>
          <w:rFonts w:hint="eastAsia" w:ascii="宋体" w:hAnsi="宋体" w:eastAsia="宋体"/>
          <w:color w:val="auto"/>
          <w:spacing w:val="15"/>
          <w:sz w:val="21"/>
          <w:szCs w:val="21"/>
          <w:highlight w:val="none"/>
        </w:rPr>
      </w:pPr>
      <w:r>
        <w:rPr>
          <w:rFonts w:ascii="宋体" w:hAnsi="宋体" w:eastAsia="宋体"/>
          <w:color w:val="auto"/>
          <w:spacing w:val="15"/>
          <w:sz w:val="21"/>
          <w:szCs w:val="21"/>
          <w:highlight w:val="none"/>
        </w:rPr>
        <w:t>(8)</w:t>
      </w:r>
      <w:r>
        <w:rPr>
          <w:rFonts w:hint="eastAsia" w:ascii="宋体" w:hAnsi="宋体" w:eastAsia="宋体"/>
          <w:color w:val="auto"/>
          <w:spacing w:val="15"/>
          <w:sz w:val="21"/>
          <w:szCs w:val="21"/>
          <w:highlight w:val="none"/>
        </w:rPr>
        <w:t>投标人须知前附表规定的其他资料。</w:t>
      </w:r>
    </w:p>
    <w:p w14:paraId="62BDBB08">
      <w:pPr>
        <w:pStyle w:val="44"/>
        <w:rPr>
          <w:rFonts w:hint="eastAsia" w:ascii="宋体" w:hAnsi="宋体" w:eastAsia="宋体"/>
          <w:color w:val="auto"/>
          <w:spacing w:val="15"/>
          <w:sz w:val="21"/>
          <w:szCs w:val="21"/>
          <w:highlight w:val="none"/>
        </w:rPr>
      </w:pPr>
    </w:p>
    <w:p w14:paraId="1CAB498A">
      <w:pPr>
        <w:spacing w:line="360" w:lineRule="auto"/>
        <w:ind w:firstLine="482" w:firstLineChars="200"/>
        <w:rPr>
          <w:rFonts w:hint="eastAsia"/>
          <w:b/>
          <w:bCs/>
          <w:color w:val="auto"/>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1.2</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3A82CDAD">
      <w:pPr>
        <w:spacing w:line="360" w:lineRule="auto"/>
        <w:ind w:firstLineChars="200"/>
        <w:rPr>
          <w:rFonts w:hint="eastAsia" w:eastAsia="宋体"/>
          <w:color w:val="auto"/>
          <w:highlight w:val="none"/>
          <w:lang w:eastAsia="zh-CN"/>
        </w:rPr>
      </w:pPr>
      <w:r>
        <w:rPr>
          <w:rFonts w:hint="eastAsia" w:ascii="宋体" w:hAnsi="宋体" w:eastAsia="宋体"/>
          <w:b/>
          <w:bCs/>
          <w:color w:val="auto"/>
          <w:sz w:val="24"/>
          <w:szCs w:val="24"/>
          <w:highlight w:val="none"/>
        </w:rPr>
        <w:t>原文：</w:t>
      </w:r>
      <w:r>
        <w:rPr>
          <w:rFonts w:hint="eastAsia"/>
          <w:b/>
          <w:bCs/>
          <w:color w:val="auto"/>
          <w:highlight w:val="none"/>
        </w:rPr>
        <w:t>3.1.</w:t>
      </w:r>
      <w:r>
        <w:rPr>
          <w:rFonts w:hint="eastAsia" w:eastAsia="宋体"/>
          <w:b/>
          <w:bCs/>
          <w:color w:val="auto"/>
          <w:highlight w:val="none"/>
          <w:lang w:val="en-US" w:eastAsia="zh-CN"/>
        </w:rPr>
        <w:t>2技术文件：</w:t>
      </w:r>
      <w:r>
        <w:rPr>
          <w:rFonts w:hint="eastAsia"/>
          <w:b/>
          <w:bCs/>
          <w:color w:val="auto"/>
          <w:highlight w:val="none"/>
        </w:rPr>
        <w:t xml:space="preserve"> </w:t>
      </w:r>
      <w:r>
        <w:rPr>
          <w:rFonts w:ascii="宋体" w:hAnsi="宋体" w:eastAsia="宋体" w:cs="宋体"/>
          <w:color w:val="auto"/>
          <w:spacing w:val="14"/>
          <w:sz w:val="21"/>
          <w:szCs w:val="21"/>
          <w:highlight w:val="none"/>
        </w:rPr>
        <w:t>勘察设计方案</w:t>
      </w:r>
      <w:r>
        <w:rPr>
          <w:rFonts w:hint="eastAsia" w:eastAsia="宋体"/>
          <w:color w:val="auto"/>
          <w:highlight w:val="none"/>
          <w:lang w:eastAsia="zh-CN"/>
        </w:rPr>
        <w:t>（</w:t>
      </w:r>
      <w:r>
        <w:rPr>
          <w:rFonts w:hint="eastAsia" w:eastAsia="宋体"/>
          <w:color w:val="auto"/>
          <w:highlight w:val="none"/>
          <w:lang w:val="en-US" w:eastAsia="zh-CN"/>
        </w:rPr>
        <w:t>暗标</w:t>
      </w:r>
      <w:r>
        <w:rPr>
          <w:rFonts w:hint="eastAsia" w:eastAsia="宋体"/>
          <w:color w:val="auto"/>
          <w:highlight w:val="none"/>
          <w:lang w:eastAsia="zh-CN"/>
        </w:rPr>
        <w:t>）</w:t>
      </w:r>
    </w:p>
    <w:p w14:paraId="5A9D9819">
      <w:pPr>
        <w:spacing w:line="360" w:lineRule="auto"/>
        <w:ind w:firstLineChars="200"/>
        <w:rPr>
          <w:rFonts w:hint="eastAsia" w:eastAsia="宋体"/>
          <w:color w:val="auto"/>
          <w:highlight w:val="none"/>
          <w:lang w:eastAsia="zh-CN"/>
        </w:rPr>
      </w:pPr>
      <w:r>
        <w:rPr>
          <w:rFonts w:hint="eastAsia" w:ascii="宋体" w:hAnsi="宋体" w:eastAsia="宋体" w:cs="Times New Roman"/>
          <w:b/>
          <w:bCs/>
          <w:color w:val="auto"/>
          <w:spacing w:val="0"/>
          <w:sz w:val="24"/>
          <w:szCs w:val="24"/>
          <w:highlight w:val="none"/>
        </w:rPr>
        <w:t>现文：</w:t>
      </w:r>
      <w:r>
        <w:rPr>
          <w:rFonts w:hint="eastAsia"/>
          <w:b/>
          <w:bCs/>
          <w:color w:val="auto"/>
          <w:highlight w:val="none"/>
        </w:rPr>
        <w:t>3.1.</w:t>
      </w:r>
      <w:r>
        <w:rPr>
          <w:rFonts w:hint="eastAsia" w:eastAsia="宋体"/>
          <w:b/>
          <w:bCs/>
          <w:color w:val="auto"/>
          <w:highlight w:val="none"/>
          <w:lang w:val="en-US" w:eastAsia="zh-CN"/>
        </w:rPr>
        <w:t>2技术文件：</w:t>
      </w:r>
      <w:r>
        <w:rPr>
          <w:rFonts w:hint="eastAsia"/>
          <w:b/>
          <w:bCs/>
          <w:color w:val="auto"/>
          <w:highlight w:val="none"/>
        </w:rPr>
        <w:t xml:space="preserve"> </w:t>
      </w:r>
      <w:r>
        <w:rPr>
          <w:rFonts w:ascii="宋体" w:hAnsi="宋体" w:eastAsia="宋体" w:cs="宋体"/>
          <w:color w:val="auto"/>
          <w:spacing w:val="14"/>
          <w:sz w:val="21"/>
          <w:szCs w:val="21"/>
          <w:highlight w:val="none"/>
        </w:rPr>
        <w:t>勘察方案</w:t>
      </w:r>
    </w:p>
    <w:p w14:paraId="3B3374CF">
      <w:pPr>
        <w:spacing w:line="360" w:lineRule="auto"/>
        <w:ind w:firstLine="482" w:firstLineChars="200"/>
        <w:rPr>
          <w:rFonts w:ascii="宋体" w:hAnsi="宋体" w:eastAsia="宋体"/>
          <w:b/>
          <w:bCs/>
          <w:color w:val="auto"/>
          <w:sz w:val="24"/>
          <w:szCs w:val="24"/>
          <w:highlight w:val="none"/>
        </w:rPr>
      </w:pPr>
    </w:p>
    <w:p w14:paraId="50D90D0E">
      <w:pPr>
        <w:spacing w:line="360" w:lineRule="auto"/>
        <w:ind w:firstLine="482" w:firstLineChars="200"/>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3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2AF61491">
      <w:pPr>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原文：</w:t>
      </w:r>
      <w:r>
        <w:rPr>
          <w:rFonts w:ascii="宋体" w:hAnsi="宋体" w:eastAsia="宋体"/>
          <w:color w:val="auto"/>
          <w:spacing w:val="-2"/>
          <w:highlight w:val="none"/>
        </w:rPr>
        <w:t>3.3  投标有效期</w:t>
      </w:r>
    </w:p>
    <w:p w14:paraId="0FE07C13">
      <w:pPr>
        <w:spacing w:before="69" w:line="220" w:lineRule="auto"/>
        <w:ind w:left="421"/>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w:t>
      </w:r>
      <w:r>
        <w:rPr>
          <w:rFonts w:ascii="Times New Roman" w:hAnsi="Times New Roman" w:eastAsia="Times New Roman"/>
          <w:color w:val="auto"/>
          <w:spacing w:val="-2"/>
          <w:highlight w:val="none"/>
        </w:rPr>
        <w:t xml:space="preserve">.3.1  </w:t>
      </w:r>
      <w:r>
        <w:rPr>
          <w:rFonts w:ascii="宋体" w:hAnsi="宋体" w:eastAsia="宋体"/>
          <w:color w:val="auto"/>
          <w:spacing w:val="-2"/>
          <w:highlight w:val="none"/>
        </w:rPr>
        <w:t xml:space="preserve">除投标人须知前附表另有规定外，投标有效期为 </w:t>
      </w:r>
      <w:r>
        <w:rPr>
          <w:rFonts w:ascii="Times New Roman" w:hAnsi="Times New Roman" w:eastAsia="Times New Roman"/>
          <w:color w:val="auto"/>
          <w:spacing w:val="-2"/>
          <w:highlight w:val="none"/>
        </w:rPr>
        <w:t xml:space="preserve">90 </w:t>
      </w:r>
      <w:r>
        <w:rPr>
          <w:rFonts w:ascii="宋体" w:hAnsi="宋体" w:eastAsia="宋体"/>
          <w:color w:val="auto"/>
          <w:spacing w:val="-2"/>
          <w:highlight w:val="none"/>
        </w:rPr>
        <w:t>天。</w:t>
      </w:r>
    </w:p>
    <w:p w14:paraId="5D834757">
      <w:pPr>
        <w:spacing w:before="151" w:line="217" w:lineRule="auto"/>
        <w:ind w:left="421"/>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3.3.2  </w:t>
      </w:r>
      <w:r>
        <w:rPr>
          <w:rFonts w:ascii="宋体" w:hAnsi="宋体" w:eastAsia="宋体"/>
          <w:color w:val="auto"/>
          <w:spacing w:val="-1"/>
          <w:highlight w:val="none"/>
        </w:rPr>
        <w:t>在投标有效期内，投标人撤销投标文件的，应承担招标文件和法律规定</w:t>
      </w:r>
      <w:r>
        <w:rPr>
          <w:rFonts w:ascii="宋体" w:hAnsi="宋体" w:eastAsia="宋体"/>
          <w:color w:val="auto"/>
          <w:highlight w:val="none"/>
        </w:rPr>
        <w:t>的责任。</w:t>
      </w:r>
    </w:p>
    <w:p w14:paraId="5E8E8EC9">
      <w:pPr>
        <w:spacing w:before="153" w:line="356" w:lineRule="auto"/>
        <w:ind w:right="2" w:firstLine="421"/>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3</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出现特殊情况需要延长投标有效期的，招标人以书面形式通知所有投标人延长投标有</w:t>
      </w:r>
      <w:r>
        <w:rPr>
          <w:rFonts w:ascii="宋体" w:hAnsi="宋体" w:eastAsia="宋体"/>
          <w:color w:val="auto"/>
          <w:highlight w:val="none"/>
        </w:rPr>
        <w:t xml:space="preserve"> </w:t>
      </w:r>
      <w:r>
        <w:rPr>
          <w:rFonts w:ascii="宋体" w:hAnsi="宋体" w:eastAsia="宋体"/>
          <w:color w:val="auto"/>
          <w:spacing w:val="1"/>
          <w:highlight w:val="none"/>
        </w:rPr>
        <w:t>效期。投标人应予以书面答复，同意</w:t>
      </w:r>
      <w:r>
        <w:rPr>
          <w:rFonts w:ascii="宋体" w:hAnsi="宋体" w:eastAsia="宋体"/>
          <w:color w:val="auto"/>
          <w:highlight w:val="none"/>
        </w:rPr>
        <w:t>延长的</w:t>
      </w:r>
      <w:r>
        <w:rPr>
          <w:rFonts w:hint="eastAsia" w:ascii="宋体" w:hAnsi="宋体" w:eastAsia="宋体"/>
          <w:color w:val="auto"/>
          <w:highlight w:val="none"/>
        </w:rPr>
        <w:t>，</w:t>
      </w:r>
      <w:r>
        <w:rPr>
          <w:rFonts w:ascii="宋体" w:hAnsi="宋体" w:eastAsia="宋体"/>
          <w:color w:val="auto"/>
          <w:highlight w:val="none"/>
        </w:rPr>
        <w:t>应相应延长其投标保证金的有效期</w:t>
      </w:r>
      <w:r>
        <w:rPr>
          <w:rFonts w:hint="eastAsia" w:ascii="宋体" w:hAnsi="宋体" w:eastAsia="宋体"/>
          <w:color w:val="auto"/>
          <w:highlight w:val="none"/>
        </w:rPr>
        <w:t>，</w:t>
      </w:r>
      <w:r>
        <w:rPr>
          <w:rFonts w:ascii="宋体" w:hAnsi="宋体" w:eastAsia="宋体"/>
          <w:color w:val="auto"/>
          <w:highlight w:val="none"/>
        </w:rPr>
        <w:t xml:space="preserve">但不得要求 </w:t>
      </w:r>
      <w:r>
        <w:rPr>
          <w:rFonts w:ascii="宋体" w:hAnsi="宋体" w:eastAsia="宋体"/>
          <w:color w:val="auto"/>
          <w:spacing w:val="1"/>
          <w:highlight w:val="none"/>
        </w:rPr>
        <w:t>或被允许修改其投标文件；投标人拒绝延长的</w:t>
      </w:r>
      <w:r>
        <w:rPr>
          <w:rFonts w:ascii="宋体" w:hAnsi="宋体" w:eastAsia="宋体"/>
          <w:color w:val="auto"/>
          <w:highlight w:val="none"/>
        </w:rPr>
        <w:t>，其投标失效</w:t>
      </w:r>
      <w:r>
        <w:rPr>
          <w:rFonts w:hint="eastAsia" w:ascii="宋体" w:hAnsi="宋体" w:eastAsia="宋体"/>
          <w:color w:val="auto"/>
          <w:highlight w:val="none"/>
        </w:rPr>
        <w:t>，</w:t>
      </w:r>
      <w:r>
        <w:rPr>
          <w:rFonts w:ascii="宋体" w:hAnsi="宋体" w:eastAsia="宋体"/>
          <w:color w:val="auto"/>
          <w:highlight w:val="none"/>
        </w:rPr>
        <w:t>但投标人有权收回其投标保证金</w:t>
      </w:r>
      <w:r>
        <w:rPr>
          <w:rFonts w:hint="eastAsia" w:ascii="宋体" w:hAnsi="宋体" w:eastAsia="宋体"/>
          <w:color w:val="auto"/>
          <w:highlight w:val="none"/>
        </w:rPr>
        <w:t>。</w:t>
      </w:r>
    </w:p>
    <w:p w14:paraId="599E66C4">
      <w:pPr>
        <w:rPr>
          <w:rFonts w:ascii="Times New Roman" w:hAnsi="Times New Roman" w:eastAsia="宋体"/>
          <w:b/>
          <w:bCs/>
          <w:color w:val="auto"/>
          <w:spacing w:val="10"/>
          <w:sz w:val="27"/>
          <w:szCs w:val="27"/>
          <w:highlight w:val="none"/>
        </w:rPr>
      </w:pPr>
      <w:r>
        <w:rPr>
          <w:rFonts w:hint="eastAsia" w:ascii="Times New Roman" w:hAnsi="Times New Roman" w:eastAsia="宋体"/>
          <w:b/>
          <w:bCs/>
          <w:color w:val="auto"/>
          <w:spacing w:val="10"/>
          <w:sz w:val="27"/>
          <w:szCs w:val="27"/>
          <w:highlight w:val="none"/>
        </w:rPr>
        <w:t>现文：</w:t>
      </w:r>
      <w:r>
        <w:rPr>
          <w:rFonts w:ascii="宋体" w:hAnsi="宋体" w:eastAsia="宋体"/>
          <w:color w:val="auto"/>
          <w:spacing w:val="-2"/>
          <w:highlight w:val="none"/>
        </w:rPr>
        <w:t>3.3  投标有效期</w:t>
      </w:r>
    </w:p>
    <w:p w14:paraId="1ACD6E8D">
      <w:pPr>
        <w:spacing w:before="69" w:line="220" w:lineRule="auto"/>
        <w:ind w:left="421"/>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w:t>
      </w:r>
      <w:r>
        <w:rPr>
          <w:rFonts w:ascii="Times New Roman" w:hAnsi="Times New Roman" w:eastAsia="Times New Roman"/>
          <w:color w:val="auto"/>
          <w:spacing w:val="-2"/>
          <w:highlight w:val="none"/>
        </w:rPr>
        <w:t xml:space="preserve">.3.1  </w:t>
      </w:r>
      <w:r>
        <w:rPr>
          <w:rFonts w:ascii="宋体" w:hAnsi="宋体" w:eastAsia="宋体"/>
          <w:color w:val="auto"/>
          <w:spacing w:val="-2"/>
          <w:highlight w:val="none"/>
        </w:rPr>
        <w:t xml:space="preserve">除投标人须知前附表另有规定外，投标有效期为 </w:t>
      </w:r>
      <w:r>
        <w:rPr>
          <w:rFonts w:ascii="Times New Roman" w:hAnsi="Times New Roman" w:eastAsia="Times New Roman"/>
          <w:color w:val="auto"/>
          <w:spacing w:val="-2"/>
          <w:highlight w:val="none"/>
        </w:rPr>
        <w:t xml:space="preserve">90 </w:t>
      </w:r>
      <w:r>
        <w:rPr>
          <w:rFonts w:ascii="宋体" w:hAnsi="宋体" w:eastAsia="宋体"/>
          <w:color w:val="auto"/>
          <w:spacing w:val="-2"/>
          <w:highlight w:val="none"/>
        </w:rPr>
        <w:t>天。</w:t>
      </w:r>
    </w:p>
    <w:p w14:paraId="50778752">
      <w:pPr>
        <w:spacing w:before="151" w:line="217" w:lineRule="auto"/>
        <w:ind w:left="421"/>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3.3.2  </w:t>
      </w:r>
      <w:r>
        <w:rPr>
          <w:rFonts w:ascii="宋体" w:hAnsi="宋体" w:eastAsia="宋体"/>
          <w:color w:val="auto"/>
          <w:spacing w:val="-1"/>
          <w:highlight w:val="none"/>
        </w:rPr>
        <w:t>在投标有效期内，投标人撤销投标文件的，应承担招标文件和法律规定</w:t>
      </w:r>
      <w:r>
        <w:rPr>
          <w:rFonts w:ascii="宋体" w:hAnsi="宋体" w:eastAsia="宋体"/>
          <w:color w:val="auto"/>
          <w:highlight w:val="none"/>
        </w:rPr>
        <w:t>的责任。</w:t>
      </w:r>
    </w:p>
    <w:p w14:paraId="732EAD4E">
      <w:pPr>
        <w:spacing w:before="153" w:line="356" w:lineRule="auto"/>
        <w:ind w:right="2" w:firstLine="421"/>
        <w:rPr>
          <w:rFonts w:ascii="宋体" w:hAnsi="宋体" w:eastAsia="宋体"/>
          <w:color w:val="auto"/>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3</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出现特殊情况需要延长投标有效期的，招标人以书面形式通知所有投标人延长投标有</w:t>
      </w:r>
      <w:r>
        <w:rPr>
          <w:rFonts w:ascii="宋体" w:hAnsi="宋体" w:eastAsia="宋体"/>
          <w:color w:val="auto"/>
          <w:highlight w:val="none"/>
        </w:rPr>
        <w:t xml:space="preserve"> </w:t>
      </w:r>
      <w:r>
        <w:rPr>
          <w:rFonts w:ascii="宋体" w:hAnsi="宋体" w:eastAsia="宋体"/>
          <w:color w:val="auto"/>
          <w:spacing w:val="1"/>
          <w:highlight w:val="none"/>
        </w:rPr>
        <w:t>效期。投标人应予以书面答复，同意</w:t>
      </w:r>
      <w:r>
        <w:rPr>
          <w:rFonts w:ascii="宋体" w:hAnsi="宋体" w:eastAsia="宋体"/>
          <w:color w:val="auto"/>
          <w:highlight w:val="none"/>
        </w:rPr>
        <w:t>延长的</w:t>
      </w:r>
      <w:r>
        <w:rPr>
          <w:rFonts w:hint="eastAsia" w:ascii="宋体" w:hAnsi="宋体" w:eastAsia="宋体"/>
          <w:color w:val="auto"/>
          <w:highlight w:val="none"/>
        </w:rPr>
        <w:t>，</w:t>
      </w:r>
      <w:r>
        <w:rPr>
          <w:rFonts w:ascii="宋体" w:hAnsi="宋体" w:eastAsia="宋体"/>
          <w:color w:val="auto"/>
          <w:highlight w:val="none"/>
        </w:rPr>
        <w:t>应相应延长其</w:t>
      </w:r>
      <w:r>
        <w:rPr>
          <w:rFonts w:ascii="宋体" w:hAnsi="宋体" w:eastAsia="宋体"/>
          <w:strike/>
          <w:color w:val="auto"/>
          <w:highlight w:val="none"/>
        </w:rPr>
        <w:t>投标保证金</w:t>
      </w:r>
      <w:r>
        <w:rPr>
          <w:rFonts w:ascii="宋体" w:hAnsi="宋体" w:eastAsia="宋体"/>
          <w:color w:val="auto"/>
          <w:highlight w:val="none"/>
        </w:rPr>
        <w:t>的有效期</w:t>
      </w:r>
      <w:r>
        <w:rPr>
          <w:rFonts w:hint="eastAsia" w:ascii="宋体" w:hAnsi="宋体" w:eastAsia="宋体"/>
          <w:color w:val="auto"/>
          <w:highlight w:val="none"/>
        </w:rPr>
        <w:t>，</w:t>
      </w:r>
      <w:r>
        <w:rPr>
          <w:rFonts w:ascii="宋体" w:hAnsi="宋体" w:eastAsia="宋体"/>
          <w:color w:val="auto"/>
          <w:highlight w:val="none"/>
        </w:rPr>
        <w:t xml:space="preserve">但不得要求 </w:t>
      </w:r>
      <w:r>
        <w:rPr>
          <w:rFonts w:ascii="宋体" w:hAnsi="宋体" w:eastAsia="宋体"/>
          <w:color w:val="auto"/>
          <w:spacing w:val="1"/>
          <w:highlight w:val="none"/>
        </w:rPr>
        <w:t>或被允许修改其投标文件；投标人拒绝延长的</w:t>
      </w:r>
      <w:r>
        <w:rPr>
          <w:rFonts w:ascii="宋体" w:hAnsi="宋体" w:eastAsia="宋体"/>
          <w:color w:val="auto"/>
          <w:highlight w:val="none"/>
        </w:rPr>
        <w:t>，其投标失效</w:t>
      </w:r>
      <w:r>
        <w:rPr>
          <w:rFonts w:hint="eastAsia" w:ascii="宋体" w:hAnsi="宋体" w:eastAsia="宋体"/>
          <w:color w:val="auto"/>
          <w:highlight w:val="none"/>
        </w:rPr>
        <w:t>，</w:t>
      </w:r>
      <w:r>
        <w:rPr>
          <w:rFonts w:ascii="宋体" w:hAnsi="宋体" w:eastAsia="宋体"/>
          <w:strike/>
          <w:color w:val="auto"/>
          <w:highlight w:val="none"/>
        </w:rPr>
        <w:t>但投标人有权收回其投标保证金</w:t>
      </w:r>
      <w:r>
        <w:rPr>
          <w:rFonts w:hint="eastAsia" w:ascii="宋体" w:hAnsi="宋体" w:eastAsia="宋体"/>
          <w:color w:val="auto"/>
          <w:highlight w:val="none"/>
        </w:rPr>
        <w:t>。</w:t>
      </w:r>
    </w:p>
    <w:p w14:paraId="048059CF">
      <w:pPr>
        <w:spacing w:line="480" w:lineRule="auto"/>
        <w:ind w:firstLine="540" w:firstLineChars="224"/>
        <w:rPr>
          <w:rFonts w:ascii="宋体" w:hAnsi="宋体" w:eastAsia="宋体"/>
          <w:b/>
          <w:bCs/>
          <w:color w:val="auto"/>
          <w:sz w:val="24"/>
          <w:szCs w:val="24"/>
          <w:highlight w:val="none"/>
        </w:rPr>
      </w:pPr>
    </w:p>
    <w:p w14:paraId="09EA0DB6">
      <w:pPr>
        <w:spacing w:line="480" w:lineRule="auto"/>
        <w:ind w:firstLine="540" w:firstLineChars="22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4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7290E18A">
      <w:pPr>
        <w:ind w:firstLine="482" w:firstLineChars="200"/>
        <w:rPr>
          <w:rFonts w:ascii="Times New Roman" w:hAnsi="Times New Roman" w:eastAsia="Times New Roman"/>
          <w:color w:val="auto"/>
          <w:spacing w:val="10"/>
          <w:sz w:val="27"/>
          <w:szCs w:val="27"/>
          <w:highlight w:val="none"/>
        </w:rPr>
      </w:pPr>
      <w:r>
        <w:rPr>
          <w:rFonts w:hint="eastAsia" w:ascii="宋体" w:hAnsi="宋体" w:eastAsia="宋体"/>
          <w:b/>
          <w:bCs/>
          <w:color w:val="auto"/>
          <w:sz w:val="24"/>
          <w:szCs w:val="24"/>
          <w:highlight w:val="none"/>
        </w:rPr>
        <w:t>原文：</w:t>
      </w:r>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w:t>
      </w:r>
      <w:r>
        <w:rPr>
          <w:rFonts w:ascii="Times New Roman" w:hAnsi="Times New Roman" w:eastAsia="Times New Roman"/>
          <w:color w:val="auto"/>
          <w:spacing w:val="5"/>
          <w:sz w:val="27"/>
          <w:szCs w:val="27"/>
          <w:highlight w:val="none"/>
        </w:rPr>
        <w:t xml:space="preserve">4  </w:t>
      </w:r>
      <w:r>
        <w:rPr>
          <w:rFonts w:ascii="宋体" w:hAnsi="宋体" w:eastAsia="宋体"/>
          <w:color w:val="auto"/>
          <w:spacing w:val="-2"/>
          <w:highlight w:val="none"/>
        </w:rPr>
        <w:t>投标保证金</w:t>
      </w:r>
    </w:p>
    <w:p w14:paraId="0FE3EDA9">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3.4.1  </w:t>
      </w:r>
      <w:r>
        <w:rPr>
          <w:rFonts w:hint="eastAsia" w:ascii="Times New Roman" w:hAnsi="Times New Roman" w:eastAsia="Times New Roman"/>
          <w:color w:val="auto"/>
          <w:spacing w:val="-4"/>
          <w:highlight w:val="none"/>
        </w:rPr>
        <w:t>投标人应按投标须知前附表规定的金额和时间递交投标保证金。招标人应当允许投标人自主选择现金、银行保函、保证保险、专业工程担保公司担保等方式缴纳投标保证金。</w:t>
      </w:r>
      <w:r>
        <w:rPr>
          <w:rFonts w:hint="eastAsia" w:ascii="Times New Roman" w:hAnsi="Times New Roman" w:eastAsia="宋体"/>
          <w:color w:val="auto"/>
          <w:spacing w:val="-4"/>
          <w:highlight w:val="none"/>
        </w:rPr>
        <w:t>采用现金或者支票形式提交的，投标保证金须从投标人的银行基本账户转出。</w:t>
      </w:r>
      <w:r>
        <w:rPr>
          <w:rFonts w:hint="eastAsia" w:ascii="Times New Roman" w:hAnsi="Times New Roman" w:eastAsia="Times New Roman"/>
          <w:color w:val="auto"/>
          <w:spacing w:val="-4"/>
          <w:highlight w:val="none"/>
        </w:rPr>
        <w:t>联合体投标的，其投标保证金可以由</w:t>
      </w:r>
      <w:r>
        <w:rPr>
          <w:rFonts w:hint="eastAsia" w:ascii="Times New Roman" w:hAnsi="Times New Roman" w:eastAsia="宋体"/>
          <w:color w:val="auto"/>
          <w:spacing w:val="-4"/>
          <w:highlight w:val="none"/>
        </w:rPr>
        <w:t>主办方</w:t>
      </w:r>
      <w:r>
        <w:rPr>
          <w:rFonts w:hint="eastAsia" w:ascii="Times New Roman" w:hAnsi="Times New Roman" w:eastAsia="Times New Roman"/>
          <w:color w:val="auto"/>
          <w:spacing w:val="-4"/>
          <w:highlight w:val="none"/>
        </w:rPr>
        <w:t>递交，并应符合投标人须知前附表的规定。</w:t>
      </w:r>
    </w:p>
    <w:p w14:paraId="776874AB">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3.4.2  </w:t>
      </w:r>
      <w:r>
        <w:rPr>
          <w:rFonts w:hint="eastAsia" w:ascii="Times New Roman" w:hAnsi="Times New Roman" w:eastAsia="宋体"/>
          <w:color w:val="auto"/>
          <w:spacing w:val="-4"/>
          <w:highlight w:val="none"/>
        </w:rPr>
        <w:t>开标时投标人没有按</w:t>
      </w:r>
      <w:r>
        <w:rPr>
          <w:rFonts w:ascii="Times New Roman" w:hAnsi="Times New Roman" w:eastAsia="Times New Roman"/>
          <w:color w:val="auto"/>
          <w:spacing w:val="-4"/>
          <w:highlight w:val="none"/>
        </w:rPr>
        <w:t>要求提交投标保证金的，</w:t>
      </w:r>
      <w:r>
        <w:rPr>
          <w:rFonts w:hint="eastAsia" w:ascii="Times New Roman" w:hAnsi="Times New Roman" w:eastAsia="宋体"/>
          <w:color w:val="auto"/>
          <w:spacing w:val="-4"/>
          <w:highlight w:val="none"/>
        </w:rPr>
        <w:t>其投标文件将被否决</w:t>
      </w:r>
      <w:r>
        <w:rPr>
          <w:rFonts w:ascii="Times New Roman" w:hAnsi="Times New Roman" w:eastAsia="Times New Roman"/>
          <w:color w:val="auto"/>
          <w:spacing w:val="-4"/>
          <w:highlight w:val="none"/>
        </w:rPr>
        <w:t>。</w:t>
      </w:r>
    </w:p>
    <w:p w14:paraId="47B217CC">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3.4.3  </w:t>
      </w:r>
      <w:r>
        <w:rPr>
          <w:rFonts w:hint="eastAsia" w:ascii="Times New Roman" w:hAnsi="Times New Roman" w:eastAsia="Times New Roman"/>
          <w:color w:val="auto"/>
          <w:spacing w:val="-4"/>
          <w:highlight w:val="none"/>
        </w:rPr>
        <w:t>中标候选人以外的投标人的投标保证金将尽快退还，最迟不超过中标通知书发出之日起五日内；中标人和其他中标候选人的投标保证金，在书面合同订立之日起五日内予以退还</w:t>
      </w:r>
      <w:r>
        <w:rPr>
          <w:rFonts w:ascii="Times New Roman" w:hAnsi="Times New Roman" w:eastAsia="Times New Roman"/>
          <w:color w:val="auto"/>
          <w:spacing w:val="-4"/>
          <w:highlight w:val="none"/>
        </w:rPr>
        <w:t>。</w:t>
      </w:r>
    </w:p>
    <w:p w14:paraId="5EBF048F">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3.4.4  有下列情形之一的，投标保证金将不予退还：</w:t>
      </w:r>
    </w:p>
    <w:p w14:paraId="0C19C85D">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1</w:t>
      </w: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 xml:space="preserve">  </w:t>
      </w:r>
      <w:r>
        <w:rPr>
          <w:rFonts w:hint="eastAsia" w:ascii="Times New Roman" w:hAnsi="Times New Roman" w:eastAsia="Times New Roman"/>
          <w:color w:val="auto"/>
          <w:spacing w:val="-4"/>
          <w:highlight w:val="none"/>
        </w:rPr>
        <w:t>投标人在规定的投标有效期内撤销其投标文件；</w:t>
      </w:r>
    </w:p>
    <w:p w14:paraId="01B453F0">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2</w:t>
      </w: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 xml:space="preserve">  </w:t>
      </w:r>
      <w:r>
        <w:rPr>
          <w:rFonts w:ascii="Times New Roman" w:hAnsi="Times New Roman" w:eastAsia="Times New Roman"/>
          <w:color w:val="auto"/>
          <w:spacing w:val="-4"/>
          <w:highlight w:val="none"/>
        </w:rPr>
        <w:t>中标人在收到中标通知书后，无正当理由不与招标人订立合同，在签订合同时向招标 人提出附加条件，或者不按照招标文件要求提交履约保证金</w:t>
      </w:r>
      <w:r>
        <w:rPr>
          <w:rFonts w:hint="eastAsia" w:ascii="Times New Roman" w:hAnsi="Times New Roman" w:eastAsia="宋体"/>
          <w:color w:val="auto"/>
          <w:spacing w:val="-4"/>
          <w:highlight w:val="none"/>
        </w:rPr>
        <w:t>。</w:t>
      </w:r>
    </w:p>
    <w:p w14:paraId="4BFFD7F4">
      <w:pPr>
        <w:spacing w:before="69" w:line="360" w:lineRule="auto"/>
        <w:ind w:firstLine="418" w:firstLineChars="207"/>
        <w:rPr>
          <w:rFonts w:ascii="Times New Roman" w:hAnsi="Times New Roman" w:eastAsiaTheme="minorEastAsia"/>
          <w:color w:val="auto"/>
          <w:spacing w:val="-4"/>
          <w:highlight w:val="none"/>
        </w:rPr>
      </w:pPr>
      <w:r>
        <w:rPr>
          <w:rFonts w:ascii="Times New Roman" w:hAnsi="Times New Roman" w:eastAsia="Times New Roman"/>
          <w:color w:val="auto"/>
          <w:spacing w:val="-4"/>
          <w:highlight w:val="none"/>
        </w:rPr>
        <w:t>3.4.5在提交投标文件截止时间后到招标文件规定的投标有效期终止之前，投标人不得撤销其投标文件，否则招标人可以不退还投标保证金。</w:t>
      </w:r>
    </w:p>
    <w:p w14:paraId="1E0A1C55">
      <w:pPr>
        <w:spacing w:before="1" w:line="351" w:lineRule="auto"/>
        <w:ind w:left="4" w:right="2" w:firstLine="355"/>
        <w:rPr>
          <w:rFonts w:ascii="宋体" w:hAnsi="宋体" w:eastAsia="宋体" w:cs="宋体"/>
          <w:b/>
          <w:bCs/>
          <w:color w:val="auto"/>
          <w:sz w:val="21"/>
          <w:szCs w:val="21"/>
          <w:highlight w:val="none"/>
        </w:rPr>
      </w:pPr>
      <w:r>
        <w:rPr>
          <w:rFonts w:hint="eastAsia" w:ascii="宋体" w:hAnsi="宋体" w:eastAsia="宋体" w:cs="宋体"/>
          <w:b/>
          <w:bCs/>
          <w:color w:val="auto"/>
          <w:sz w:val="24"/>
          <w:szCs w:val="24"/>
          <w:highlight w:val="none"/>
        </w:rPr>
        <w:t>现文：</w:t>
      </w:r>
      <w:r>
        <w:rPr>
          <w:rFonts w:ascii="Times New Roman" w:hAnsi="Times New Roman" w:eastAsia="Times New Roman"/>
          <w:color w:val="auto"/>
          <w:spacing w:val="6"/>
          <w:sz w:val="21"/>
          <w:szCs w:val="21"/>
          <w:highlight w:val="none"/>
        </w:rPr>
        <w:t xml:space="preserve">3.4  </w:t>
      </w:r>
      <w:r>
        <w:rPr>
          <w:rFonts w:hint="eastAsia" w:ascii="宋体" w:hAnsi="宋体" w:eastAsia="宋体" w:cs="宋体"/>
          <w:color w:val="auto"/>
          <w:spacing w:val="6"/>
          <w:sz w:val="21"/>
          <w:szCs w:val="21"/>
          <w:highlight w:val="none"/>
        </w:rPr>
        <w:t>投标保证金</w:t>
      </w:r>
    </w:p>
    <w:p w14:paraId="16E6D5F1">
      <w:pPr>
        <w:spacing w:before="1" w:line="351" w:lineRule="auto"/>
        <w:ind w:left="4" w:right="2" w:firstLine="355"/>
        <w:rPr>
          <w:rFonts w:ascii="宋体" w:hAnsi="宋体"/>
          <w:color w:val="auto"/>
          <w:sz w:val="21"/>
          <w:szCs w:val="21"/>
          <w:highlight w:val="none"/>
          <w:u w:val="single"/>
        </w:rPr>
      </w:pPr>
      <w:r>
        <w:rPr>
          <w:rFonts w:hint="eastAsia" w:ascii="宋体" w:hAnsi="宋体" w:eastAsia="宋体" w:cs="宋体"/>
          <w:color w:val="auto"/>
          <w:sz w:val="21"/>
          <w:szCs w:val="21"/>
          <w:highlight w:val="none"/>
          <w:u w:val="single"/>
        </w:rPr>
        <w:t>本项目无需投标保证金。</w:t>
      </w:r>
    </w:p>
    <w:p w14:paraId="01709972">
      <w:pPr>
        <w:pStyle w:val="44"/>
        <w:ind w:firstLine="0"/>
        <w:rPr>
          <w:color w:val="auto"/>
          <w:highlight w:val="none"/>
        </w:rPr>
      </w:pPr>
    </w:p>
    <w:p w14:paraId="49721B2F">
      <w:pPr>
        <w:spacing w:line="480" w:lineRule="auto"/>
        <w:ind w:firstLine="540" w:firstLineChars="22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5.2</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修改类型：删除</w:t>
      </w:r>
    </w:p>
    <w:p w14:paraId="4B28F089">
      <w:pPr>
        <w:spacing w:line="480" w:lineRule="auto"/>
        <w:ind w:firstLine="448" w:firstLineChars="224"/>
        <w:rPr>
          <w:rFonts w:ascii="宋体" w:hAnsi="宋体" w:eastAsia="宋体"/>
          <w:color w:val="auto"/>
          <w:spacing w:val="-5"/>
          <w:highlight w:val="none"/>
        </w:rPr>
      </w:pPr>
      <w:r>
        <w:rPr>
          <w:rFonts w:ascii="宋体" w:hAnsi="宋体" w:eastAsia="宋体"/>
          <w:color w:val="auto"/>
          <w:spacing w:val="-5"/>
          <w:highlight w:val="none"/>
        </w:rPr>
        <w:t>3.5.2 “近年完成的类似设计或勘察设计项目情况表”应附中标通知书和(或)合同协议书、发包人出具的证明文件；具体时间要求见投标人须知前附表，每张表格只填写一个项目，并标明序号。</w:t>
      </w:r>
    </w:p>
    <w:p w14:paraId="3EF07BC2">
      <w:pPr>
        <w:pStyle w:val="2"/>
        <w:rPr>
          <w:color w:val="auto"/>
          <w:highlight w:val="none"/>
        </w:rPr>
      </w:pPr>
    </w:p>
    <w:p w14:paraId="52073E40">
      <w:pPr>
        <w:spacing w:line="480" w:lineRule="auto"/>
        <w:ind w:firstLine="540" w:firstLineChars="22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5.3</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0C5DBE81">
      <w:pPr>
        <w:pStyle w:val="44"/>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w:t>
      </w:r>
      <w:r>
        <w:rPr>
          <w:rFonts w:ascii="宋体" w:hAnsi="宋体" w:eastAsia="宋体"/>
          <w:color w:val="auto"/>
          <w:sz w:val="21"/>
          <w:szCs w:val="21"/>
          <w:highlight w:val="none"/>
        </w:rPr>
        <w:t>3.5.3“拟委任的主要人员汇总表”应填报满足本章第 1.4.1 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7EAF54E2">
      <w:pPr>
        <w:pStyle w:val="44"/>
        <w:rPr>
          <w:rFonts w:ascii="宋体" w:hAnsi="宋体" w:eastAsia="宋体"/>
          <w:color w:val="auto"/>
          <w:sz w:val="24"/>
          <w:szCs w:val="24"/>
          <w:highlight w:val="none"/>
        </w:rPr>
      </w:pPr>
    </w:p>
    <w:p w14:paraId="10175211">
      <w:pPr>
        <w:spacing w:before="1" w:line="351" w:lineRule="auto"/>
        <w:ind w:left="4" w:right="2" w:firstLine="355"/>
        <w:rPr>
          <w:rFonts w:ascii="宋体" w:hAnsi="宋体"/>
          <w:b/>
          <w:bCs/>
          <w:color w:val="auto"/>
          <w:sz w:val="24"/>
          <w:szCs w:val="24"/>
          <w:highlight w:val="none"/>
        </w:rPr>
      </w:pPr>
      <w:r>
        <w:rPr>
          <w:rFonts w:hint="eastAsia" w:ascii="宋体" w:hAnsi="宋体"/>
          <w:b/>
          <w:bCs/>
          <w:color w:val="auto"/>
          <w:sz w:val="24"/>
          <w:szCs w:val="24"/>
          <w:highlight w:val="none"/>
        </w:rPr>
        <w:t>现文</w:t>
      </w:r>
      <w:r>
        <w:rPr>
          <w:rFonts w:hint="eastAsia" w:ascii="宋体" w:hAnsi="宋体"/>
          <w:color w:val="auto"/>
          <w:sz w:val="24"/>
          <w:szCs w:val="24"/>
          <w:highlight w:val="none"/>
        </w:rPr>
        <w:t>：</w:t>
      </w:r>
      <w:r>
        <w:rPr>
          <w:rFonts w:hint="eastAsia" w:ascii="宋体" w:hAnsi="宋体"/>
          <w:color w:val="auto"/>
          <w:highlight w:val="none"/>
        </w:rPr>
        <w:t>3.5.3“拟委任的主要人员汇总表”应填报满足本章第 1.4.1 项规定的项目负责人和其他主要 人员的相关信息。“主要人员简历表”中项目负责人应附身份证、学历证、职称证、执业资格证书（若有）和社保缴费证明</w:t>
      </w:r>
      <w:r>
        <w:rPr>
          <w:rFonts w:hint="eastAsia" w:ascii="宋体" w:hAnsi="宋体"/>
          <w:strike/>
          <w:color w:val="auto"/>
          <w:highlight w:val="none"/>
        </w:rPr>
        <w:t>，管理过的项目业绩须附合同协议书（若有）；其他主要人员应附身份证、学历证、职称证、有关证书和社保缴费证明（若有）</w:t>
      </w:r>
      <w:r>
        <w:rPr>
          <w:rFonts w:hint="eastAsia" w:ascii="宋体" w:hAnsi="宋体"/>
          <w:color w:val="auto"/>
          <w:highlight w:val="none"/>
        </w:rPr>
        <w:t>。</w:t>
      </w:r>
      <w:r>
        <w:rPr>
          <w:rFonts w:ascii="宋体" w:hAnsi="宋体" w:eastAsia="宋体"/>
          <w:color w:val="auto"/>
          <w:spacing w:val="-5"/>
          <w:highlight w:val="none"/>
        </w:rPr>
        <w:t>（注：须提供相关职称证和投标人为其缴纳在本投标单位购买的</w:t>
      </w:r>
      <w:r>
        <w:rPr>
          <w:rFonts w:hint="eastAsia" w:ascii="宋体" w:hAnsi="宋体" w:eastAsia="宋体"/>
          <w:color w:val="auto"/>
          <w:spacing w:val="-5"/>
          <w:highlight w:val="none"/>
          <w:lang w:val="en-US" w:eastAsia="zh-CN"/>
        </w:rPr>
        <w:t>2025年3月</w:t>
      </w:r>
      <w:r>
        <w:rPr>
          <w:rFonts w:ascii="宋体" w:hAnsi="宋体" w:eastAsia="宋体"/>
          <w:color w:val="auto"/>
          <w:spacing w:val="-5"/>
          <w:highlight w:val="none"/>
        </w:rPr>
        <w:t>有效的社保证明材料。）</w:t>
      </w:r>
    </w:p>
    <w:p w14:paraId="5ED34878">
      <w:pPr>
        <w:pStyle w:val="44"/>
        <w:rPr>
          <w:rFonts w:ascii="宋体" w:hAnsi="宋体" w:eastAsia="宋体"/>
          <w:b/>
          <w:bCs/>
          <w:color w:val="auto"/>
          <w:sz w:val="24"/>
          <w:szCs w:val="24"/>
          <w:highlight w:val="none"/>
        </w:rPr>
      </w:pPr>
    </w:p>
    <w:p w14:paraId="2199718E">
      <w:pPr>
        <w:pStyle w:val="4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3.6</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w:t>
      </w:r>
      <w:r>
        <w:rPr>
          <w:rFonts w:hint="eastAsia" w:ascii="宋体" w:hAnsi="宋体" w:eastAsia="宋体"/>
          <w:b/>
          <w:bCs/>
          <w:color w:val="auto"/>
          <w:sz w:val="24"/>
          <w:szCs w:val="24"/>
          <w:highlight w:val="none"/>
        </w:rPr>
        <w:t xml:space="preserve">  </w:t>
      </w:r>
      <w:r>
        <w:rPr>
          <w:rFonts w:ascii="宋体" w:hAnsi="宋体" w:eastAsia="宋体"/>
          <w:b/>
          <w:bCs/>
          <w:color w:val="auto"/>
          <w:sz w:val="24"/>
          <w:szCs w:val="24"/>
          <w:highlight w:val="none"/>
        </w:rPr>
        <w:t>修改类型：</w:t>
      </w:r>
      <w:r>
        <w:rPr>
          <w:rFonts w:hint="eastAsia" w:ascii="宋体" w:hAnsi="宋体" w:eastAsia="宋体"/>
          <w:b/>
          <w:bCs/>
          <w:color w:val="auto"/>
          <w:sz w:val="24"/>
          <w:szCs w:val="24"/>
          <w:highlight w:val="none"/>
        </w:rPr>
        <w:t>修改</w:t>
      </w:r>
    </w:p>
    <w:p w14:paraId="5B582F84">
      <w:pPr>
        <w:spacing w:before="1" w:line="351" w:lineRule="auto"/>
        <w:ind w:left="4" w:right="2" w:firstLine="355"/>
        <w:rPr>
          <w:rFonts w:ascii="宋体" w:hAnsi="宋体"/>
          <w:color w:val="auto"/>
          <w:highlight w:val="none"/>
        </w:rPr>
      </w:pPr>
      <w:r>
        <w:rPr>
          <w:rFonts w:hint="eastAsia" w:ascii="宋体" w:hAnsi="宋体" w:eastAsia="宋体" w:cs="宋体"/>
          <w:b/>
          <w:bCs/>
          <w:color w:val="auto"/>
          <w:sz w:val="24"/>
          <w:szCs w:val="24"/>
          <w:highlight w:val="none"/>
        </w:rPr>
        <w:t>原文：</w:t>
      </w:r>
      <w:r>
        <w:rPr>
          <w:rFonts w:ascii="宋体" w:hAnsi="宋体"/>
          <w:color w:val="auto"/>
          <w:highlight w:val="none"/>
        </w:rPr>
        <w:t xml:space="preserve">3.6.1  </w:t>
      </w:r>
      <w:r>
        <w:rPr>
          <w:rFonts w:hint="eastAsia" w:ascii="宋体" w:hAnsi="宋体" w:eastAsia="宋体" w:cs="宋体"/>
          <w:color w:val="auto"/>
          <w:highlight w:val="none"/>
        </w:rPr>
        <w:t>除投标人须知前附表规定允许外，投标人不得递交备选投标方案，否则其投标将被否决。</w:t>
      </w:r>
    </w:p>
    <w:p w14:paraId="11F9693A">
      <w:pPr>
        <w:spacing w:before="1" w:line="351" w:lineRule="auto"/>
        <w:ind w:left="4" w:right="2" w:firstLine="355"/>
        <w:rPr>
          <w:rFonts w:ascii="宋体" w:hAnsi="宋体"/>
          <w:color w:val="auto"/>
          <w:highlight w:val="none"/>
        </w:rPr>
      </w:pPr>
      <w:r>
        <w:rPr>
          <w:rFonts w:ascii="宋体" w:hAnsi="宋体"/>
          <w:color w:val="auto"/>
          <w:highlight w:val="none"/>
        </w:rPr>
        <w:t xml:space="preserve">3.6.2  </w:t>
      </w:r>
      <w:r>
        <w:rPr>
          <w:rFonts w:hint="eastAsia" w:ascii="宋体" w:hAnsi="宋体" w:eastAsia="宋体" w:cs="宋体"/>
          <w:color w:val="auto"/>
          <w:highlight w:val="none"/>
        </w:rPr>
        <w:t>允许投标人递交备选投标方案的，只有中标人所递交的备选投标方案方可予以考虑。评标委员会认为中标人的备选投标方案优于其按照招标文件要求编制的投标方案的，招标人可</w:t>
      </w:r>
      <w:r>
        <w:rPr>
          <w:rFonts w:ascii="宋体" w:hAnsi="宋体"/>
          <w:color w:val="auto"/>
          <w:highlight w:val="none"/>
        </w:rPr>
        <w:t xml:space="preserve"> </w:t>
      </w:r>
      <w:r>
        <w:rPr>
          <w:rFonts w:hint="eastAsia" w:ascii="宋体" w:hAnsi="宋体" w:eastAsia="宋体" w:cs="宋体"/>
          <w:color w:val="auto"/>
          <w:highlight w:val="none"/>
        </w:rPr>
        <w:t>以接受该备选投标方案。</w:t>
      </w:r>
    </w:p>
    <w:p w14:paraId="1A0435E3">
      <w:pPr>
        <w:spacing w:before="1" w:line="351" w:lineRule="auto"/>
        <w:ind w:left="4" w:right="2" w:firstLine="355"/>
        <w:rPr>
          <w:rFonts w:ascii="宋体" w:hAnsi="宋体" w:eastAsia="宋体" w:cs="宋体"/>
          <w:color w:val="auto"/>
          <w:highlight w:val="none"/>
        </w:rPr>
      </w:pPr>
      <w:r>
        <w:rPr>
          <w:rFonts w:ascii="宋体" w:hAnsi="宋体"/>
          <w:color w:val="auto"/>
          <w:highlight w:val="none"/>
        </w:rPr>
        <w:t xml:space="preserve">3.6.3  </w:t>
      </w:r>
      <w:r>
        <w:rPr>
          <w:rFonts w:hint="eastAsia" w:ascii="宋体" w:hAnsi="宋体" w:eastAsia="宋体" w:cs="宋体"/>
          <w:color w:val="auto"/>
          <w:highlight w:val="none"/>
        </w:rPr>
        <w:t>投标人提供两个或两个以上投标报价，或者在投标文件中提供一个报价，但同时提供</w:t>
      </w:r>
      <w:r>
        <w:rPr>
          <w:rFonts w:ascii="宋体" w:hAnsi="宋体"/>
          <w:color w:val="auto"/>
          <w:highlight w:val="none"/>
        </w:rPr>
        <w:t xml:space="preserve"> </w:t>
      </w:r>
      <w:r>
        <w:rPr>
          <w:rFonts w:hint="eastAsia" w:ascii="宋体" w:hAnsi="宋体" w:eastAsia="宋体" w:cs="宋体"/>
          <w:color w:val="auto"/>
          <w:highlight w:val="none"/>
        </w:rPr>
        <w:t>两个或两个以上勘察设计方案的，视为提供备选方案。</w:t>
      </w:r>
    </w:p>
    <w:p w14:paraId="03DFACAC">
      <w:pPr>
        <w:spacing w:before="1" w:line="351" w:lineRule="auto"/>
        <w:ind w:left="4" w:right="2" w:firstLine="35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现文：</w:t>
      </w:r>
    </w:p>
    <w:p w14:paraId="420FC95A">
      <w:pPr>
        <w:spacing w:before="1" w:line="351" w:lineRule="auto"/>
        <w:ind w:left="4" w:right="2" w:firstLine="355"/>
        <w:rPr>
          <w:rFonts w:ascii="宋体" w:hAnsi="宋体" w:eastAsia="宋体" w:cs="宋体"/>
          <w:color w:val="auto"/>
          <w:highlight w:val="none"/>
        </w:rPr>
      </w:pPr>
      <w:r>
        <w:rPr>
          <w:rFonts w:ascii="宋体" w:hAnsi="宋体" w:eastAsia="宋体" w:cs="宋体"/>
          <w:color w:val="auto"/>
          <w:highlight w:val="none"/>
        </w:rPr>
        <w:t xml:space="preserve">3.6.1  </w:t>
      </w:r>
      <w:r>
        <w:rPr>
          <w:rFonts w:hint="eastAsia" w:ascii="宋体" w:hAnsi="宋体" w:eastAsia="宋体" w:cs="宋体"/>
          <w:color w:val="auto"/>
          <w:highlight w:val="none"/>
        </w:rPr>
        <w:t>除投标人须知前附表规定允许外，投标人不得递交备选投标方案，否则其投标将被否决。</w:t>
      </w:r>
    </w:p>
    <w:p w14:paraId="29ED8F44">
      <w:pPr>
        <w:spacing w:before="1" w:line="351" w:lineRule="auto"/>
        <w:ind w:left="4" w:right="2" w:firstLine="355"/>
        <w:rPr>
          <w:rFonts w:ascii="宋体" w:hAnsi="宋体" w:eastAsia="宋体" w:cs="宋体"/>
          <w:strike/>
          <w:color w:val="auto"/>
          <w:highlight w:val="none"/>
        </w:rPr>
      </w:pPr>
      <w:r>
        <w:rPr>
          <w:rFonts w:ascii="宋体" w:hAnsi="宋体" w:eastAsia="宋体" w:cs="宋体"/>
          <w:strike/>
          <w:color w:val="auto"/>
          <w:highlight w:val="none"/>
        </w:rPr>
        <w:t xml:space="preserve">3.6.2  </w:t>
      </w:r>
      <w:r>
        <w:rPr>
          <w:rFonts w:hint="eastAsia" w:ascii="宋体" w:hAnsi="宋体" w:eastAsia="宋体" w:cs="宋体"/>
          <w:strike/>
          <w:color w:val="auto"/>
          <w:highlight w:val="none"/>
        </w:rPr>
        <w:t>允许投标人递交备选投标方案的，只有中标人所递交的备选投标方案方可予以考虑。评标委员会认为中标人的备选投标方案优于其按照招标文件要求编制的投标方案的，招标人可</w:t>
      </w:r>
      <w:r>
        <w:rPr>
          <w:rFonts w:ascii="宋体" w:hAnsi="宋体" w:eastAsia="宋体" w:cs="宋体"/>
          <w:strike/>
          <w:color w:val="auto"/>
          <w:highlight w:val="none"/>
        </w:rPr>
        <w:t xml:space="preserve"> </w:t>
      </w:r>
      <w:r>
        <w:rPr>
          <w:rFonts w:hint="eastAsia" w:ascii="宋体" w:hAnsi="宋体" w:eastAsia="宋体" w:cs="宋体"/>
          <w:strike/>
          <w:color w:val="auto"/>
          <w:highlight w:val="none"/>
        </w:rPr>
        <w:t>以接受该备选投标方案。</w:t>
      </w:r>
    </w:p>
    <w:p w14:paraId="15C4C3C1">
      <w:pPr>
        <w:spacing w:before="1" w:line="351" w:lineRule="auto"/>
        <w:ind w:left="4" w:right="2" w:firstLine="355"/>
        <w:rPr>
          <w:rFonts w:hint="eastAsia" w:ascii="宋体" w:hAnsi="宋体" w:eastAsia="宋体" w:cs="宋体"/>
          <w:strike/>
          <w:color w:val="auto"/>
          <w:highlight w:val="none"/>
        </w:rPr>
      </w:pPr>
      <w:r>
        <w:rPr>
          <w:rFonts w:ascii="宋体" w:hAnsi="宋体" w:eastAsia="宋体" w:cs="宋体"/>
          <w:strike/>
          <w:color w:val="auto"/>
          <w:highlight w:val="none"/>
        </w:rPr>
        <w:t xml:space="preserve">3.6.3  </w:t>
      </w:r>
      <w:r>
        <w:rPr>
          <w:rFonts w:hint="eastAsia" w:ascii="宋体" w:hAnsi="宋体" w:eastAsia="宋体" w:cs="宋体"/>
          <w:strike/>
          <w:color w:val="auto"/>
          <w:highlight w:val="none"/>
        </w:rPr>
        <w:t>投标人提供两个或两个以上投标报价，或者在投标文件中提供一个报价，但同时提供</w:t>
      </w:r>
      <w:r>
        <w:rPr>
          <w:rFonts w:ascii="宋体" w:hAnsi="宋体" w:eastAsia="宋体" w:cs="宋体"/>
          <w:strike/>
          <w:color w:val="auto"/>
          <w:highlight w:val="none"/>
        </w:rPr>
        <w:t xml:space="preserve"> </w:t>
      </w:r>
      <w:r>
        <w:rPr>
          <w:rFonts w:hint="eastAsia" w:ascii="宋体" w:hAnsi="宋体" w:eastAsia="宋体" w:cs="宋体"/>
          <w:strike/>
          <w:color w:val="auto"/>
          <w:highlight w:val="none"/>
        </w:rPr>
        <w:t>两个或两个以上勘察设计方案的，视为提供备选方案。</w:t>
      </w:r>
    </w:p>
    <w:p w14:paraId="38235D14">
      <w:pPr>
        <w:pStyle w:val="2"/>
        <w:rPr>
          <w:color w:val="auto"/>
          <w:highlight w:val="none"/>
        </w:rPr>
      </w:pPr>
    </w:p>
    <w:p w14:paraId="5133E783">
      <w:pPr>
        <w:pStyle w:val="4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5.2.1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405026A8">
      <w:pPr>
        <w:pStyle w:val="45"/>
        <w:ind w:left="0" w:leftChars="0" w:firstLine="422"/>
        <w:rPr>
          <w:b/>
          <w:bCs/>
          <w:color w:val="auto"/>
          <w:highlight w:val="none"/>
        </w:rPr>
      </w:pPr>
      <w:r>
        <w:rPr>
          <w:rFonts w:hint="eastAsia"/>
          <w:b/>
          <w:bCs/>
          <w:color w:val="auto"/>
          <w:highlight w:val="none"/>
        </w:rPr>
        <w:t>原文：</w:t>
      </w:r>
      <w:r>
        <w:rPr>
          <w:rFonts w:hint="eastAsia" w:ascii="Times New Roman" w:hAnsi="Times New Roman" w:eastAsia="Times New Roman"/>
          <w:color w:val="auto"/>
          <w:szCs w:val="21"/>
          <w:highlight w:val="none"/>
        </w:rPr>
        <w:t>5.2.1</w:t>
      </w:r>
    </w:p>
    <w:p w14:paraId="7D7CB94E">
      <w:pPr>
        <w:spacing w:before="1" w:line="351" w:lineRule="auto"/>
        <w:ind w:left="4" w:right="2" w:firstLine="355"/>
        <w:rPr>
          <w:rFonts w:ascii="Times New Roman" w:hAnsi="Times New Roman" w:eastAsia="Times New Roman"/>
          <w:color w:val="auto"/>
          <w:highlight w:val="none"/>
        </w:rPr>
      </w:pPr>
      <w:r>
        <w:rPr>
          <w:rFonts w:hint="eastAsia" w:ascii="Times New Roman" w:hAnsi="Times New Roman" w:eastAsia="Times New Roman"/>
          <w:color w:val="auto"/>
          <w:highlight w:val="none"/>
        </w:rPr>
        <w:t xml:space="preserve">   </w:t>
      </w:r>
      <w:r>
        <w:rPr>
          <w:rFonts w:hint="eastAsia" w:ascii="宋体" w:hAnsi="宋体"/>
          <w:color w:val="auto"/>
          <w:highlight w:val="none"/>
        </w:rPr>
        <w:t>在投标截止时间后</w:t>
      </w:r>
      <w:r>
        <w:rPr>
          <w:rFonts w:hint="eastAsia" w:ascii="宋体" w:hAnsi="宋体"/>
          <w:color w:val="auto"/>
          <w:highlight w:val="none"/>
          <w:u w:val="single"/>
        </w:rPr>
        <w:t>半小时</w:t>
      </w:r>
      <w:r>
        <w:rPr>
          <w:rFonts w:hint="eastAsia" w:ascii="宋体" w:hAnsi="宋体"/>
          <w:color w:val="auto"/>
          <w:highlight w:val="none"/>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54FC7CCA">
      <w:pPr>
        <w:spacing w:before="2" w:line="351" w:lineRule="auto"/>
        <w:ind w:left="18" w:right="60" w:firstLine="397"/>
        <w:rPr>
          <w:b/>
          <w:bCs/>
          <w:color w:val="auto"/>
          <w:highlight w:val="none"/>
        </w:rPr>
      </w:pPr>
      <w:r>
        <w:rPr>
          <w:rFonts w:hint="eastAsia"/>
          <w:b/>
          <w:bCs/>
          <w:color w:val="auto"/>
          <w:highlight w:val="none"/>
        </w:rPr>
        <w:t>现文：</w:t>
      </w:r>
      <w:r>
        <w:rPr>
          <w:rFonts w:hint="eastAsia" w:ascii="Times New Roman" w:hAnsi="Times New Roman" w:eastAsia="Times New Roman"/>
          <w:color w:val="auto"/>
          <w:highlight w:val="none"/>
        </w:rPr>
        <w:t xml:space="preserve">5.2.1   </w:t>
      </w:r>
      <w:r>
        <w:rPr>
          <w:rFonts w:hint="eastAsia" w:ascii="宋体" w:hAnsi="宋体"/>
          <w:color w:val="auto"/>
          <w:highlight w:val="none"/>
        </w:rPr>
        <w:t>在投标截止时间后</w:t>
      </w:r>
      <w:r>
        <w:rPr>
          <w:rFonts w:hint="eastAsia" w:ascii="宋体" w:hAnsi="宋体"/>
          <w:color w:val="auto"/>
          <w:highlight w:val="none"/>
          <w:u w:val="single"/>
        </w:rPr>
        <w:t>半小时</w:t>
      </w:r>
      <w:r>
        <w:rPr>
          <w:rFonts w:hint="eastAsia" w:ascii="宋体" w:hAnsi="宋体"/>
          <w:color w:val="auto"/>
          <w:highlight w:val="none"/>
        </w:rPr>
        <w:t>内，投标人通过递交投标文件的交易平台对已递交的电子投标文件进行解密。投标人完成解密后，再由招标人进行解密。解密完成后，公布招标项目名称、投标人名称</w:t>
      </w:r>
      <w:r>
        <w:rPr>
          <w:rFonts w:hint="eastAsia" w:ascii="宋体" w:hAnsi="宋体"/>
          <w:strike/>
          <w:color w:val="auto"/>
          <w:highlight w:val="none"/>
        </w:rPr>
        <w:t>、投标保证金</w:t>
      </w:r>
      <w:r>
        <w:rPr>
          <w:rFonts w:hint="eastAsia" w:ascii="宋体" w:hAnsi="宋体"/>
          <w:color w:val="auto"/>
          <w:highlight w:val="none"/>
        </w:rPr>
        <w:t>的递交情况、投标报价、项目负责人及其他内容。未在规定时间内解密的投标文件不参与开标、评标。</w:t>
      </w:r>
    </w:p>
    <w:p w14:paraId="450AE9C1">
      <w:pPr>
        <w:pStyle w:val="44"/>
        <w:rPr>
          <w:color w:val="auto"/>
          <w:highlight w:val="none"/>
        </w:rPr>
      </w:pPr>
    </w:p>
    <w:p w14:paraId="2F5999B4">
      <w:pPr>
        <w:pStyle w:val="4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7.7、7.8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4C334599">
      <w:pPr>
        <w:rPr>
          <w:color w:val="auto"/>
          <w:highlight w:val="none"/>
        </w:rPr>
      </w:pPr>
      <w:r>
        <w:rPr>
          <w:rFonts w:hint="eastAsia"/>
          <w:color w:val="auto"/>
          <w:highlight w:val="none"/>
        </w:rPr>
        <w:t xml:space="preserve">      </w:t>
      </w:r>
      <w:r>
        <w:rPr>
          <w:rFonts w:hint="eastAsia"/>
          <w:b/>
          <w:bCs/>
          <w:color w:val="auto"/>
          <w:highlight w:val="none"/>
        </w:rPr>
        <w:t>原文：</w:t>
      </w:r>
      <w:r>
        <w:rPr>
          <w:rFonts w:ascii="宋体" w:hAnsi="宋体" w:eastAsia="宋体"/>
          <w:color w:val="auto"/>
          <w:spacing w:val="-6"/>
          <w:highlight w:val="none"/>
        </w:rPr>
        <w:t>7.7  履约保证金</w:t>
      </w:r>
    </w:p>
    <w:p w14:paraId="19EC983F">
      <w:pPr>
        <w:spacing w:line="314" w:lineRule="auto"/>
        <w:rPr>
          <w:color w:val="auto"/>
          <w:highlight w:val="none"/>
        </w:rPr>
      </w:pPr>
    </w:p>
    <w:p w14:paraId="6DC5505E">
      <w:pPr>
        <w:spacing w:before="68" w:line="351" w:lineRule="auto"/>
        <w:ind w:left="2" w:right="6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7</w:t>
      </w:r>
      <w:r>
        <w:rPr>
          <w:rFonts w:ascii="Times New Roman" w:hAnsi="Times New Roman" w:eastAsia="Times New Roman"/>
          <w:color w:val="auto"/>
          <w:spacing w:val="-6"/>
          <w:highlight w:val="none"/>
        </w:rPr>
        <w:t xml:space="preserve">.7.1  </w:t>
      </w:r>
      <w:r>
        <w:rPr>
          <w:rFonts w:hint="eastAsia" w:ascii="Times New Roman" w:hAnsi="Times New Roman" w:eastAsia="宋体"/>
          <w:color w:val="auto"/>
          <w:spacing w:val="-6"/>
          <w:highlight w:val="none"/>
        </w:rPr>
        <w:t xml:space="preserve">   </w:t>
      </w:r>
      <w:r>
        <w:rPr>
          <w:rFonts w:ascii="宋体" w:hAnsi="宋体" w:eastAsia="宋体"/>
          <w:color w:val="auto"/>
          <w:spacing w:val="-6"/>
          <w:highlight w:val="none"/>
        </w:rPr>
        <w:t>在签订合同前</w:t>
      </w:r>
      <w:r>
        <w:rPr>
          <w:rFonts w:hint="eastAsia" w:ascii="宋体" w:hAnsi="宋体" w:eastAsia="宋体"/>
          <w:color w:val="auto"/>
          <w:spacing w:val="-6"/>
          <w:highlight w:val="none"/>
        </w:rPr>
        <w:t>，</w:t>
      </w:r>
      <w:r>
        <w:rPr>
          <w:rFonts w:ascii="宋体" w:hAnsi="宋体" w:eastAsia="宋体"/>
          <w:color w:val="auto"/>
          <w:spacing w:val="-6"/>
          <w:highlight w:val="none"/>
        </w:rPr>
        <w:t>中标人应按投标人须知前附表规定的形式、金额和招标文件第四章</w:t>
      </w:r>
      <w:r>
        <w:rPr>
          <w:rFonts w:hint="eastAsia" w:ascii="Times New Roman" w:hAnsi="Times New Roman" w:eastAsia="宋体"/>
          <w:color w:val="auto"/>
          <w:spacing w:val="-6"/>
          <w:highlight w:val="none"/>
        </w:rPr>
        <w:t>“</w:t>
      </w:r>
      <w:r>
        <w:rPr>
          <w:rFonts w:ascii="宋体" w:hAnsi="宋体" w:eastAsia="宋体"/>
          <w:color w:val="auto"/>
          <w:spacing w:val="-6"/>
          <w:highlight w:val="none"/>
        </w:rPr>
        <w:t>合</w:t>
      </w:r>
      <w:r>
        <w:rPr>
          <w:rFonts w:ascii="宋体" w:hAnsi="宋体" w:eastAsia="宋体"/>
          <w:color w:val="auto"/>
          <w:spacing w:val="6"/>
          <w:highlight w:val="none"/>
        </w:rPr>
        <w:t>同条款及格式</w:t>
      </w:r>
      <w:r>
        <w:rPr>
          <w:rFonts w:hint="eastAsia" w:ascii="Times New Roman" w:hAnsi="Times New Roman" w:eastAsia="宋体"/>
          <w:color w:val="auto"/>
          <w:spacing w:val="-6"/>
          <w:highlight w:val="none"/>
        </w:rPr>
        <w:t>”</w:t>
      </w:r>
      <w:r>
        <w:rPr>
          <w:rFonts w:ascii="宋体" w:hAnsi="宋体" w:eastAsia="宋体"/>
          <w:color w:val="auto"/>
          <w:spacing w:val="6"/>
          <w:highlight w:val="none"/>
        </w:rPr>
        <w:t>规</w:t>
      </w:r>
      <w:r>
        <w:rPr>
          <w:rFonts w:ascii="宋体" w:hAnsi="宋体" w:eastAsia="宋体"/>
          <w:color w:val="auto"/>
          <w:spacing w:val="4"/>
          <w:highlight w:val="none"/>
        </w:rPr>
        <w:t>定</w:t>
      </w:r>
      <w:r>
        <w:rPr>
          <w:rFonts w:ascii="宋体" w:hAnsi="宋体" w:eastAsia="宋体"/>
          <w:color w:val="auto"/>
          <w:spacing w:val="3"/>
          <w:highlight w:val="none"/>
        </w:rPr>
        <w:t>的或者事先经过招标人书面认可的履约保证金格式向招标人提交履约保证</w:t>
      </w:r>
      <w:r>
        <w:rPr>
          <w:rFonts w:ascii="宋体" w:hAnsi="宋体" w:eastAsia="宋体"/>
          <w:color w:val="auto"/>
          <w:spacing w:val="-2"/>
          <w:highlight w:val="none"/>
        </w:rPr>
        <w:t>金。除投标人须知前</w:t>
      </w:r>
      <w:r>
        <w:rPr>
          <w:rFonts w:ascii="宋体" w:hAnsi="宋体" w:eastAsia="宋体"/>
          <w:color w:val="auto"/>
          <w:spacing w:val="-1"/>
          <w:highlight w:val="none"/>
        </w:rPr>
        <w:t xml:space="preserve">附表另有规定外，履约保证金为中标合同金额的 </w:t>
      </w:r>
      <w:r>
        <w:rPr>
          <w:rFonts w:ascii="Times New Roman" w:hAnsi="Times New Roman" w:eastAsia="Times New Roman"/>
          <w:color w:val="auto"/>
          <w:spacing w:val="-1"/>
          <w:highlight w:val="none"/>
        </w:rPr>
        <w:t>10%</w:t>
      </w:r>
      <w:r>
        <w:rPr>
          <w:rFonts w:ascii="宋体" w:hAnsi="宋体" w:eastAsia="宋体"/>
          <w:color w:val="auto"/>
          <w:spacing w:val="-1"/>
          <w:highlight w:val="none"/>
        </w:rPr>
        <w:t>。联合体中标的，其</w:t>
      </w:r>
      <w:r>
        <w:rPr>
          <w:rFonts w:ascii="宋体" w:hAnsi="宋体" w:eastAsia="宋体"/>
          <w:color w:val="auto"/>
          <w:spacing w:val="-2"/>
          <w:highlight w:val="none"/>
        </w:rPr>
        <w:t>履约保证金以联合体各方或</w:t>
      </w:r>
      <w:r>
        <w:rPr>
          <w:rFonts w:ascii="宋体" w:hAnsi="宋体" w:eastAsia="宋体"/>
          <w:color w:val="auto"/>
          <w:spacing w:val="-1"/>
          <w:highlight w:val="none"/>
        </w:rPr>
        <w:t>者联合体中</w:t>
      </w:r>
      <w:r>
        <w:rPr>
          <w:rFonts w:hint="eastAsia" w:ascii="宋体" w:hAnsi="宋体" w:eastAsia="宋体"/>
          <w:color w:val="auto"/>
          <w:spacing w:val="-1"/>
          <w:highlight w:val="none"/>
        </w:rPr>
        <w:t>主办方</w:t>
      </w:r>
      <w:r>
        <w:rPr>
          <w:rFonts w:ascii="宋体" w:hAnsi="宋体" w:eastAsia="宋体"/>
          <w:color w:val="auto"/>
          <w:spacing w:val="-1"/>
          <w:highlight w:val="none"/>
        </w:rPr>
        <w:t>的名义提交。</w:t>
      </w:r>
    </w:p>
    <w:p w14:paraId="0CD05827">
      <w:pPr>
        <w:spacing w:before="4" w:line="360" w:lineRule="auto"/>
        <w:ind w:left="4" w:right="76" w:firstLine="416"/>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 xml:space="preserve">7.7.2  </w:t>
      </w:r>
      <w:r>
        <w:rPr>
          <w:rFonts w:ascii="宋体" w:hAnsi="宋体" w:eastAsia="宋体"/>
          <w:color w:val="auto"/>
          <w:spacing w:val="-3"/>
          <w:highlight w:val="none"/>
        </w:rPr>
        <w:t xml:space="preserve">中标人不能按本章第 </w:t>
      </w:r>
      <w:r>
        <w:rPr>
          <w:rFonts w:ascii="Times New Roman" w:hAnsi="Times New Roman" w:eastAsia="Times New Roman"/>
          <w:color w:val="auto"/>
          <w:spacing w:val="-3"/>
          <w:highlight w:val="none"/>
        </w:rPr>
        <w:t xml:space="preserve">7.7.1 </w:t>
      </w:r>
      <w:r>
        <w:rPr>
          <w:rFonts w:ascii="宋体" w:hAnsi="宋体" w:eastAsia="宋体"/>
          <w:color w:val="auto"/>
          <w:spacing w:val="-3"/>
          <w:highlight w:val="none"/>
        </w:rPr>
        <w:t>项要求提交履约保证金的，视为放弃中标，其投标</w:t>
      </w:r>
      <w:r>
        <w:rPr>
          <w:rFonts w:ascii="宋体" w:hAnsi="宋体" w:eastAsia="宋体"/>
          <w:color w:val="auto"/>
          <w:highlight w:val="none"/>
        </w:rPr>
        <w:t xml:space="preserve">保证金 </w:t>
      </w:r>
      <w:r>
        <w:rPr>
          <w:rFonts w:ascii="宋体" w:hAnsi="宋体" w:eastAsia="宋体"/>
          <w:color w:val="auto"/>
          <w:spacing w:val="-1"/>
          <w:highlight w:val="none"/>
        </w:rPr>
        <w:t>不予退还，给招标人造成的损失超过投标保证金数额的，中标人还应当对超过部分予以赔偿</w:t>
      </w:r>
      <w:r>
        <w:rPr>
          <w:rFonts w:hint="eastAsia" w:ascii="宋体" w:hAnsi="宋体" w:eastAsia="宋体"/>
          <w:color w:val="auto"/>
          <w:spacing w:val="-1"/>
          <w:highlight w:val="none"/>
        </w:rPr>
        <w:t>。</w:t>
      </w:r>
    </w:p>
    <w:p w14:paraId="6D4CCC52">
      <w:pPr>
        <w:spacing w:before="68" w:line="351" w:lineRule="auto"/>
        <w:ind w:left="2" w:right="62" w:firstLine="417"/>
        <w:rPr>
          <w:rFonts w:ascii="宋体" w:hAnsi="宋体" w:eastAsia="宋体"/>
          <w:color w:val="auto"/>
          <w:spacing w:val="-6"/>
          <w:highlight w:val="none"/>
        </w:rPr>
      </w:pPr>
      <w:r>
        <w:rPr>
          <w:rFonts w:ascii="宋体" w:hAnsi="宋体" w:eastAsia="宋体"/>
          <w:color w:val="auto"/>
          <w:spacing w:val="-6"/>
          <w:highlight w:val="none"/>
        </w:rPr>
        <w:t>7.8  签订合同</w:t>
      </w:r>
    </w:p>
    <w:p w14:paraId="2FA93A8F">
      <w:pPr>
        <w:spacing w:before="69" w:line="352" w:lineRule="auto"/>
        <w:ind w:right="75" w:firstLine="420"/>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7.8.1  </w:t>
      </w:r>
      <w:r>
        <w:rPr>
          <w:rFonts w:ascii="宋体" w:hAnsi="宋体" w:eastAsia="宋体"/>
          <w:color w:val="auto"/>
          <w:spacing w:val="-1"/>
          <w:highlight w:val="none"/>
        </w:rPr>
        <w:t xml:space="preserve">招标人和中标人应当在中标通知书发出之日起 </w:t>
      </w:r>
      <w:r>
        <w:rPr>
          <w:rFonts w:ascii="Times New Roman" w:hAnsi="Times New Roman" w:eastAsia="Times New Roman"/>
          <w:color w:val="auto"/>
          <w:spacing w:val="-1"/>
          <w:highlight w:val="none"/>
        </w:rPr>
        <w:t xml:space="preserve">30 </w:t>
      </w:r>
      <w:r>
        <w:rPr>
          <w:rFonts w:ascii="宋体" w:hAnsi="宋体" w:eastAsia="宋体"/>
          <w:color w:val="auto"/>
          <w:spacing w:val="-1"/>
          <w:highlight w:val="none"/>
        </w:rPr>
        <w:t>日</w:t>
      </w:r>
      <w:r>
        <w:rPr>
          <w:rFonts w:ascii="宋体" w:hAnsi="宋体" w:eastAsia="宋体"/>
          <w:color w:val="auto"/>
          <w:highlight w:val="none"/>
        </w:rPr>
        <w:t>内，根据招标文件和中标人的投</w:t>
      </w:r>
      <w:r>
        <w:rPr>
          <w:rFonts w:ascii="宋体" w:hAnsi="宋体" w:eastAsia="宋体"/>
          <w:color w:val="auto"/>
          <w:spacing w:val="-4"/>
          <w:highlight w:val="none"/>
        </w:rPr>
        <w:t>标文件订立书</w:t>
      </w:r>
      <w:r>
        <w:rPr>
          <w:rFonts w:ascii="宋体" w:hAnsi="宋体" w:eastAsia="宋体"/>
          <w:color w:val="auto"/>
          <w:spacing w:val="-2"/>
          <w:highlight w:val="none"/>
        </w:rPr>
        <w:t>面合同</w:t>
      </w:r>
      <w:r>
        <w:rPr>
          <w:rFonts w:hint="eastAsia"/>
          <w:color w:val="auto"/>
          <w:highlight w:val="none"/>
        </w:rPr>
        <w:t>，并通过电子交易系统与中标人在线签订合同</w:t>
      </w:r>
      <w:r>
        <w:rPr>
          <w:rFonts w:ascii="宋体" w:hAnsi="宋体" w:eastAsia="宋体"/>
          <w:color w:val="auto"/>
          <w:spacing w:val="-2"/>
          <w:highlight w:val="none"/>
        </w:rPr>
        <w:t>。中标人无正当理由拒签合同， 在签订合同时向招标人提出附加条件</w:t>
      </w:r>
      <w:r>
        <w:rPr>
          <w:rFonts w:hint="eastAsia" w:ascii="宋体" w:hAnsi="宋体" w:eastAsia="宋体"/>
          <w:color w:val="auto"/>
          <w:spacing w:val="-2"/>
          <w:highlight w:val="none"/>
        </w:rPr>
        <w:t>，</w:t>
      </w:r>
      <w:r>
        <w:rPr>
          <w:rFonts w:ascii="宋体" w:hAnsi="宋体" w:eastAsia="宋体"/>
          <w:color w:val="auto"/>
          <w:spacing w:val="-2"/>
          <w:highlight w:val="none"/>
        </w:rPr>
        <w:t>或</w:t>
      </w:r>
      <w:r>
        <w:rPr>
          <w:rFonts w:ascii="宋体" w:hAnsi="宋体" w:eastAsia="宋体"/>
          <w:color w:val="auto"/>
          <w:spacing w:val="-4"/>
          <w:highlight w:val="none"/>
        </w:rPr>
        <w:t>者</w:t>
      </w:r>
      <w:r>
        <w:rPr>
          <w:rFonts w:ascii="宋体" w:hAnsi="宋体" w:eastAsia="宋体"/>
          <w:color w:val="auto"/>
          <w:spacing w:val="-3"/>
          <w:highlight w:val="none"/>
        </w:rPr>
        <w:t>不</w:t>
      </w:r>
      <w:r>
        <w:rPr>
          <w:rFonts w:ascii="宋体" w:hAnsi="宋体" w:eastAsia="宋体"/>
          <w:color w:val="auto"/>
          <w:spacing w:val="-2"/>
          <w:highlight w:val="none"/>
        </w:rPr>
        <w:t>按照招标文件要求提交履约保证金的，招标人有权取消其中标资格，其投标保证金不予退</w:t>
      </w:r>
      <w:r>
        <w:rPr>
          <w:rFonts w:ascii="宋体" w:hAnsi="宋体" w:eastAsia="宋体"/>
          <w:color w:val="auto"/>
          <w:spacing w:val="-1"/>
          <w:highlight w:val="none"/>
        </w:rPr>
        <w:t>还；给招标人造成的损失</w:t>
      </w:r>
      <w:r>
        <w:rPr>
          <w:rFonts w:ascii="宋体" w:hAnsi="宋体" w:eastAsia="宋体"/>
          <w:color w:val="auto"/>
          <w:spacing w:val="-1"/>
          <w:highlight w:val="none"/>
          <w:u w:val="single"/>
        </w:rPr>
        <w:t>超过投标保证金数额的</w:t>
      </w:r>
      <w:r>
        <w:rPr>
          <w:rFonts w:ascii="宋体" w:hAnsi="宋体" w:eastAsia="宋体"/>
          <w:color w:val="auto"/>
          <w:spacing w:val="-1"/>
          <w:highlight w:val="none"/>
        </w:rPr>
        <w:t>，中标人还应当对超过部分予以赔</w:t>
      </w:r>
      <w:r>
        <w:rPr>
          <w:rFonts w:ascii="宋体" w:hAnsi="宋体" w:eastAsia="宋体"/>
          <w:color w:val="auto"/>
          <w:highlight w:val="none"/>
        </w:rPr>
        <w:t>偿。</w:t>
      </w:r>
    </w:p>
    <w:p w14:paraId="11EE9C50">
      <w:pPr>
        <w:spacing w:before="2" w:line="351" w:lineRule="auto"/>
        <w:ind w:right="72" w:firstLine="419"/>
        <w:rPr>
          <w:rFonts w:ascii="Times New Roman" w:hAnsi="Times New Roman" w:eastAsia="Times New Roman"/>
          <w:color w:val="auto"/>
          <w:spacing w:val="-12"/>
          <w:highlight w:val="none"/>
        </w:rPr>
      </w:pPr>
      <w:r>
        <w:rPr>
          <w:rFonts w:ascii="Times New Roman" w:hAnsi="Times New Roman" w:eastAsia="Times New Roman"/>
          <w:color w:val="auto"/>
          <w:spacing w:val="-12"/>
          <w:highlight w:val="none"/>
        </w:rPr>
        <w:t>7.</w:t>
      </w:r>
      <w:r>
        <w:rPr>
          <w:rFonts w:ascii="Times New Roman" w:hAnsi="Times New Roman" w:eastAsia="Times New Roman"/>
          <w:color w:val="auto"/>
          <w:spacing w:val="-10"/>
          <w:highlight w:val="none"/>
        </w:rPr>
        <w:t>8</w:t>
      </w:r>
      <w:r>
        <w:rPr>
          <w:rFonts w:ascii="Times New Roman" w:hAnsi="Times New Roman" w:eastAsia="Times New Roman"/>
          <w:color w:val="auto"/>
          <w:spacing w:val="-6"/>
          <w:highlight w:val="none"/>
        </w:rPr>
        <w:t xml:space="preserve">.2  </w:t>
      </w:r>
      <w:r>
        <w:rPr>
          <w:rFonts w:ascii="宋体" w:hAnsi="宋体" w:eastAsia="宋体"/>
          <w:color w:val="auto"/>
          <w:spacing w:val="-6"/>
          <w:highlight w:val="none"/>
        </w:rPr>
        <w:t>发出中标通知书后，招标人无正当理由拒签合同，或者在签订合同时向中标人提出附</w:t>
      </w:r>
      <w:r>
        <w:rPr>
          <w:rFonts w:ascii="宋体" w:hAnsi="宋体" w:eastAsia="宋体"/>
          <w:color w:val="auto"/>
          <w:highlight w:val="none"/>
        </w:rPr>
        <w:t xml:space="preserve"> </w:t>
      </w:r>
      <w:r>
        <w:rPr>
          <w:rFonts w:ascii="宋体" w:hAnsi="宋体" w:eastAsia="宋体"/>
          <w:color w:val="auto"/>
          <w:spacing w:val="-1"/>
          <w:highlight w:val="none"/>
        </w:rPr>
        <w:t>加条件的，招标人向中标人退还投标保证金；给中标人造成损失的，还应当赔偿损失</w:t>
      </w:r>
      <w:r>
        <w:rPr>
          <w:rFonts w:ascii="宋体" w:hAnsi="宋体" w:eastAsia="宋体"/>
          <w:color w:val="auto"/>
          <w:highlight w:val="none"/>
        </w:rPr>
        <w:t>。</w:t>
      </w:r>
    </w:p>
    <w:p w14:paraId="350E79A8">
      <w:pPr>
        <w:spacing w:line="359" w:lineRule="auto"/>
        <w:ind w:left="4" w:right="70" w:firstLine="416"/>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7.8.3 </w:t>
      </w:r>
      <w:r>
        <w:rPr>
          <w:rFonts w:ascii="宋体" w:hAnsi="宋体" w:eastAsia="宋体"/>
          <w:color w:val="auto"/>
          <w:spacing w:val="-1"/>
          <w:highlight w:val="none"/>
        </w:rPr>
        <w:t>联合体中标的，联合体各方应当共同与招标人签</w:t>
      </w:r>
      <w:r>
        <w:rPr>
          <w:rFonts w:ascii="宋体" w:hAnsi="宋体" w:eastAsia="宋体"/>
          <w:color w:val="auto"/>
          <w:highlight w:val="none"/>
        </w:rPr>
        <w:t>订合同，就中标项目向招标人承担连</w:t>
      </w:r>
      <w:r>
        <w:rPr>
          <w:rFonts w:ascii="宋体" w:hAnsi="宋体" w:eastAsia="宋体"/>
          <w:color w:val="auto"/>
          <w:spacing w:val="-10"/>
          <w:highlight w:val="none"/>
        </w:rPr>
        <w:t>带</w:t>
      </w:r>
      <w:r>
        <w:rPr>
          <w:rFonts w:ascii="宋体" w:hAnsi="宋体" w:eastAsia="宋体"/>
          <w:color w:val="auto"/>
          <w:spacing w:val="-7"/>
          <w:highlight w:val="none"/>
        </w:rPr>
        <w:t>责任。</w:t>
      </w:r>
    </w:p>
    <w:p w14:paraId="371E8326">
      <w:pPr>
        <w:pStyle w:val="45"/>
        <w:ind w:left="0" w:leftChars="0" w:firstLine="0" w:firstLineChars="0"/>
        <w:rPr>
          <w:b/>
          <w:bCs/>
          <w:color w:val="auto"/>
          <w:highlight w:val="none"/>
        </w:rPr>
      </w:pPr>
    </w:p>
    <w:p w14:paraId="4A53620B">
      <w:pPr>
        <w:rPr>
          <w:b/>
          <w:bCs/>
          <w:color w:val="auto"/>
          <w:highlight w:val="none"/>
        </w:rPr>
      </w:pPr>
      <w:r>
        <w:rPr>
          <w:rFonts w:hint="eastAsia"/>
          <w:b/>
          <w:bCs/>
          <w:color w:val="auto"/>
          <w:highlight w:val="none"/>
        </w:rPr>
        <w:t>现文：</w:t>
      </w:r>
      <w:r>
        <w:rPr>
          <w:rFonts w:ascii="宋体" w:hAnsi="宋体" w:eastAsia="宋体"/>
          <w:color w:val="auto"/>
          <w:spacing w:val="-6"/>
          <w:highlight w:val="none"/>
        </w:rPr>
        <w:t>7.7  履约保证金</w:t>
      </w:r>
    </w:p>
    <w:p w14:paraId="4612906A">
      <w:pPr>
        <w:spacing w:line="314" w:lineRule="auto"/>
        <w:rPr>
          <w:color w:val="auto"/>
          <w:highlight w:val="none"/>
        </w:rPr>
      </w:pPr>
    </w:p>
    <w:p w14:paraId="4960D5AD">
      <w:pPr>
        <w:spacing w:before="68" w:line="351" w:lineRule="auto"/>
        <w:ind w:left="2" w:right="6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7</w:t>
      </w:r>
      <w:r>
        <w:rPr>
          <w:rFonts w:ascii="Times New Roman" w:hAnsi="Times New Roman" w:eastAsia="Times New Roman"/>
          <w:color w:val="auto"/>
          <w:spacing w:val="-6"/>
          <w:highlight w:val="none"/>
        </w:rPr>
        <w:t xml:space="preserve">.7.1  </w:t>
      </w:r>
      <w:r>
        <w:rPr>
          <w:rFonts w:hint="eastAsia" w:ascii="Times New Roman" w:hAnsi="Times New Roman" w:eastAsia="宋体"/>
          <w:color w:val="auto"/>
          <w:spacing w:val="-6"/>
          <w:highlight w:val="none"/>
        </w:rPr>
        <w:t xml:space="preserve">   </w:t>
      </w:r>
      <w:r>
        <w:rPr>
          <w:rFonts w:ascii="宋体" w:hAnsi="宋体" w:eastAsia="宋体"/>
          <w:color w:val="auto"/>
          <w:spacing w:val="-6"/>
          <w:highlight w:val="none"/>
        </w:rPr>
        <w:t>在签订合同前</w:t>
      </w:r>
      <w:r>
        <w:rPr>
          <w:rFonts w:hint="eastAsia" w:ascii="宋体" w:hAnsi="宋体" w:eastAsia="宋体"/>
          <w:color w:val="auto"/>
          <w:spacing w:val="-6"/>
          <w:highlight w:val="none"/>
        </w:rPr>
        <w:t>，</w:t>
      </w:r>
      <w:r>
        <w:rPr>
          <w:rFonts w:ascii="宋体" w:hAnsi="宋体" w:eastAsia="宋体"/>
          <w:color w:val="auto"/>
          <w:spacing w:val="-6"/>
          <w:highlight w:val="none"/>
        </w:rPr>
        <w:t>中标人应按投标人须知前附表规定的形式、金额和招标文件第四章</w:t>
      </w:r>
      <w:r>
        <w:rPr>
          <w:rFonts w:hint="eastAsia" w:ascii="Times New Roman" w:hAnsi="Times New Roman" w:eastAsia="宋体"/>
          <w:color w:val="auto"/>
          <w:spacing w:val="-6"/>
          <w:highlight w:val="none"/>
        </w:rPr>
        <w:t>“</w:t>
      </w:r>
      <w:r>
        <w:rPr>
          <w:rFonts w:ascii="宋体" w:hAnsi="宋体" w:eastAsia="宋体"/>
          <w:color w:val="auto"/>
          <w:spacing w:val="-6"/>
          <w:highlight w:val="none"/>
        </w:rPr>
        <w:t>合</w:t>
      </w:r>
      <w:r>
        <w:rPr>
          <w:rFonts w:ascii="宋体" w:hAnsi="宋体" w:eastAsia="宋体"/>
          <w:color w:val="auto"/>
          <w:spacing w:val="6"/>
          <w:highlight w:val="none"/>
        </w:rPr>
        <w:t>同条款及格式</w:t>
      </w:r>
      <w:r>
        <w:rPr>
          <w:rFonts w:hint="eastAsia" w:ascii="Times New Roman" w:hAnsi="Times New Roman" w:eastAsia="宋体"/>
          <w:color w:val="auto"/>
          <w:spacing w:val="-6"/>
          <w:highlight w:val="none"/>
        </w:rPr>
        <w:t>”</w:t>
      </w:r>
      <w:r>
        <w:rPr>
          <w:rFonts w:ascii="宋体" w:hAnsi="宋体" w:eastAsia="宋体"/>
          <w:color w:val="auto"/>
          <w:spacing w:val="6"/>
          <w:highlight w:val="none"/>
        </w:rPr>
        <w:t>规</w:t>
      </w:r>
      <w:r>
        <w:rPr>
          <w:rFonts w:ascii="宋体" w:hAnsi="宋体" w:eastAsia="宋体"/>
          <w:color w:val="auto"/>
          <w:spacing w:val="4"/>
          <w:highlight w:val="none"/>
        </w:rPr>
        <w:t>定</w:t>
      </w:r>
      <w:r>
        <w:rPr>
          <w:rFonts w:ascii="宋体" w:hAnsi="宋体" w:eastAsia="宋体"/>
          <w:color w:val="auto"/>
          <w:spacing w:val="3"/>
          <w:highlight w:val="none"/>
        </w:rPr>
        <w:t>的或者事先经过招标人书面认可的履约保证金格式向招标人提交履约保证</w:t>
      </w:r>
      <w:r>
        <w:rPr>
          <w:rFonts w:ascii="宋体" w:hAnsi="宋体" w:eastAsia="宋体"/>
          <w:color w:val="auto"/>
          <w:spacing w:val="-2"/>
          <w:highlight w:val="none"/>
        </w:rPr>
        <w:t>金。除投标人须知前</w:t>
      </w:r>
      <w:r>
        <w:rPr>
          <w:rFonts w:ascii="宋体" w:hAnsi="宋体" w:eastAsia="宋体"/>
          <w:color w:val="auto"/>
          <w:spacing w:val="-1"/>
          <w:highlight w:val="none"/>
        </w:rPr>
        <w:t>附表另有规定外，</w:t>
      </w:r>
      <w:r>
        <w:rPr>
          <w:rFonts w:ascii="宋体" w:hAnsi="宋体" w:eastAsia="宋体"/>
          <w:strike/>
          <w:color w:val="auto"/>
          <w:spacing w:val="-1"/>
          <w:highlight w:val="none"/>
        </w:rPr>
        <w:t xml:space="preserve">履约保证金为中标合同金额的 </w:t>
      </w:r>
      <w:r>
        <w:rPr>
          <w:rFonts w:ascii="Times New Roman" w:hAnsi="Times New Roman" w:eastAsia="Times New Roman"/>
          <w:strike/>
          <w:color w:val="auto"/>
          <w:spacing w:val="-1"/>
          <w:highlight w:val="none"/>
        </w:rPr>
        <w:t>10%</w:t>
      </w:r>
      <w:r>
        <w:rPr>
          <w:rFonts w:ascii="宋体" w:hAnsi="宋体" w:eastAsia="宋体"/>
          <w:color w:val="auto"/>
          <w:spacing w:val="-1"/>
          <w:highlight w:val="none"/>
        </w:rPr>
        <w:t>。联合体中标的，其</w:t>
      </w:r>
      <w:r>
        <w:rPr>
          <w:rFonts w:ascii="宋体" w:hAnsi="宋体" w:eastAsia="宋体"/>
          <w:color w:val="auto"/>
          <w:spacing w:val="-2"/>
          <w:highlight w:val="none"/>
        </w:rPr>
        <w:t>履约保证金以联合体各方或</w:t>
      </w:r>
      <w:r>
        <w:rPr>
          <w:rFonts w:ascii="宋体" w:hAnsi="宋体" w:eastAsia="宋体"/>
          <w:color w:val="auto"/>
          <w:spacing w:val="-1"/>
          <w:highlight w:val="none"/>
        </w:rPr>
        <w:t>者联合体中</w:t>
      </w:r>
      <w:r>
        <w:rPr>
          <w:rFonts w:hint="eastAsia" w:ascii="宋体" w:hAnsi="宋体" w:eastAsia="宋体"/>
          <w:color w:val="auto"/>
          <w:spacing w:val="-1"/>
          <w:highlight w:val="none"/>
        </w:rPr>
        <w:t>主办方</w:t>
      </w:r>
      <w:r>
        <w:rPr>
          <w:rFonts w:ascii="宋体" w:hAnsi="宋体" w:eastAsia="宋体"/>
          <w:color w:val="auto"/>
          <w:spacing w:val="-1"/>
          <w:highlight w:val="none"/>
        </w:rPr>
        <w:t>的名义提交。</w:t>
      </w:r>
    </w:p>
    <w:p w14:paraId="4095068C">
      <w:pPr>
        <w:spacing w:before="4" w:line="360" w:lineRule="auto"/>
        <w:ind w:left="4" w:right="76" w:firstLine="416"/>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 xml:space="preserve">7.7.2  </w:t>
      </w:r>
      <w:r>
        <w:rPr>
          <w:rFonts w:ascii="宋体" w:hAnsi="宋体" w:eastAsia="宋体"/>
          <w:color w:val="auto"/>
          <w:spacing w:val="-3"/>
          <w:highlight w:val="none"/>
        </w:rPr>
        <w:t xml:space="preserve">中标人不能按本章第 </w:t>
      </w:r>
      <w:r>
        <w:rPr>
          <w:rFonts w:ascii="Times New Roman" w:hAnsi="Times New Roman" w:eastAsia="Times New Roman"/>
          <w:color w:val="auto"/>
          <w:spacing w:val="-3"/>
          <w:highlight w:val="none"/>
        </w:rPr>
        <w:t xml:space="preserve">7.7.1 </w:t>
      </w:r>
      <w:r>
        <w:rPr>
          <w:rFonts w:ascii="宋体" w:hAnsi="宋体" w:eastAsia="宋体"/>
          <w:color w:val="auto"/>
          <w:spacing w:val="-3"/>
          <w:highlight w:val="none"/>
        </w:rPr>
        <w:t>项要求提交履约保证金的，视为放弃中标，</w:t>
      </w:r>
      <w:r>
        <w:rPr>
          <w:rFonts w:ascii="宋体" w:hAnsi="宋体" w:eastAsia="宋体"/>
          <w:strike/>
          <w:color w:val="auto"/>
          <w:spacing w:val="-3"/>
          <w:highlight w:val="none"/>
        </w:rPr>
        <w:t>其投标</w:t>
      </w:r>
      <w:r>
        <w:rPr>
          <w:rFonts w:ascii="宋体" w:hAnsi="宋体" w:eastAsia="宋体"/>
          <w:strike/>
          <w:color w:val="auto"/>
          <w:highlight w:val="none"/>
        </w:rPr>
        <w:t xml:space="preserve">保证金 </w:t>
      </w:r>
      <w:r>
        <w:rPr>
          <w:rFonts w:ascii="宋体" w:hAnsi="宋体" w:eastAsia="宋体"/>
          <w:strike/>
          <w:color w:val="auto"/>
          <w:spacing w:val="-1"/>
          <w:highlight w:val="none"/>
        </w:rPr>
        <w:t>不予退还</w:t>
      </w:r>
      <w:r>
        <w:rPr>
          <w:rFonts w:ascii="宋体" w:hAnsi="宋体" w:eastAsia="宋体"/>
          <w:color w:val="auto"/>
          <w:spacing w:val="-1"/>
          <w:highlight w:val="none"/>
        </w:rPr>
        <w:t>，给招标人造成</w:t>
      </w:r>
      <w:r>
        <w:rPr>
          <w:rFonts w:ascii="宋体" w:hAnsi="宋体" w:eastAsia="宋体"/>
          <w:strike/>
          <w:color w:val="auto"/>
          <w:spacing w:val="-1"/>
          <w:highlight w:val="none"/>
        </w:rPr>
        <w:t>的</w:t>
      </w:r>
      <w:r>
        <w:rPr>
          <w:rFonts w:ascii="宋体" w:hAnsi="宋体" w:eastAsia="宋体"/>
          <w:color w:val="auto"/>
          <w:spacing w:val="-1"/>
          <w:highlight w:val="none"/>
        </w:rPr>
        <w:t>损失</w:t>
      </w:r>
      <w:r>
        <w:rPr>
          <w:rFonts w:ascii="宋体" w:hAnsi="宋体" w:eastAsia="宋体"/>
          <w:strike/>
          <w:color w:val="auto"/>
          <w:spacing w:val="-1"/>
          <w:highlight w:val="none"/>
        </w:rPr>
        <w:t>超过投标保证金数额的</w:t>
      </w:r>
      <w:r>
        <w:rPr>
          <w:rFonts w:ascii="宋体" w:hAnsi="宋体" w:eastAsia="宋体"/>
          <w:color w:val="auto"/>
          <w:spacing w:val="-1"/>
          <w:highlight w:val="none"/>
        </w:rPr>
        <w:t>，中标人还应当对超过部分予以赔偿</w:t>
      </w:r>
      <w:r>
        <w:rPr>
          <w:rFonts w:hint="eastAsia" w:ascii="宋体" w:hAnsi="宋体" w:eastAsia="宋体"/>
          <w:color w:val="auto"/>
          <w:spacing w:val="-1"/>
          <w:highlight w:val="none"/>
        </w:rPr>
        <w:t>。</w:t>
      </w:r>
    </w:p>
    <w:p w14:paraId="7907E68F">
      <w:pPr>
        <w:spacing w:before="68" w:line="351" w:lineRule="auto"/>
        <w:ind w:left="2" w:right="62" w:firstLine="417"/>
        <w:rPr>
          <w:rFonts w:ascii="宋体" w:hAnsi="宋体" w:eastAsia="宋体"/>
          <w:color w:val="auto"/>
          <w:spacing w:val="-6"/>
          <w:highlight w:val="none"/>
        </w:rPr>
      </w:pPr>
      <w:r>
        <w:rPr>
          <w:rFonts w:ascii="宋体" w:hAnsi="宋体" w:eastAsia="宋体"/>
          <w:color w:val="auto"/>
          <w:spacing w:val="-6"/>
          <w:highlight w:val="none"/>
        </w:rPr>
        <w:t>7.8  签订合同</w:t>
      </w:r>
    </w:p>
    <w:p w14:paraId="01E9A33B">
      <w:pPr>
        <w:spacing w:before="69" w:line="352" w:lineRule="auto"/>
        <w:ind w:right="75" w:firstLine="420"/>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7.8.1  </w:t>
      </w:r>
      <w:r>
        <w:rPr>
          <w:rFonts w:ascii="宋体" w:hAnsi="宋体" w:eastAsia="宋体"/>
          <w:color w:val="auto"/>
          <w:spacing w:val="-1"/>
          <w:highlight w:val="none"/>
        </w:rPr>
        <w:t xml:space="preserve">招标人和中标人应当在中标通知书发出之日起 </w:t>
      </w:r>
      <w:r>
        <w:rPr>
          <w:rFonts w:ascii="Times New Roman" w:hAnsi="Times New Roman" w:eastAsia="Times New Roman"/>
          <w:color w:val="auto"/>
          <w:spacing w:val="-1"/>
          <w:highlight w:val="none"/>
        </w:rPr>
        <w:t xml:space="preserve">30 </w:t>
      </w:r>
      <w:r>
        <w:rPr>
          <w:rFonts w:ascii="宋体" w:hAnsi="宋体" w:eastAsia="宋体"/>
          <w:color w:val="auto"/>
          <w:spacing w:val="-1"/>
          <w:highlight w:val="none"/>
        </w:rPr>
        <w:t>日</w:t>
      </w:r>
      <w:r>
        <w:rPr>
          <w:rFonts w:ascii="宋体" w:hAnsi="宋体" w:eastAsia="宋体"/>
          <w:color w:val="auto"/>
          <w:highlight w:val="none"/>
        </w:rPr>
        <w:t>内，根据招标文件和中标人的投</w:t>
      </w:r>
      <w:r>
        <w:rPr>
          <w:rFonts w:ascii="宋体" w:hAnsi="宋体" w:eastAsia="宋体"/>
          <w:color w:val="auto"/>
          <w:spacing w:val="-4"/>
          <w:highlight w:val="none"/>
        </w:rPr>
        <w:t>标文件订立书</w:t>
      </w:r>
      <w:r>
        <w:rPr>
          <w:rFonts w:ascii="宋体" w:hAnsi="宋体" w:eastAsia="宋体"/>
          <w:color w:val="auto"/>
          <w:spacing w:val="-2"/>
          <w:highlight w:val="none"/>
        </w:rPr>
        <w:t>面合同</w:t>
      </w:r>
      <w:r>
        <w:rPr>
          <w:rFonts w:hint="eastAsia"/>
          <w:color w:val="auto"/>
          <w:highlight w:val="none"/>
        </w:rPr>
        <w:t>，并通过电子交易系统与中标人在线签订合同</w:t>
      </w:r>
      <w:r>
        <w:rPr>
          <w:rFonts w:ascii="宋体" w:hAnsi="宋体" w:eastAsia="宋体"/>
          <w:color w:val="auto"/>
          <w:spacing w:val="-2"/>
          <w:highlight w:val="none"/>
        </w:rPr>
        <w:t>。中标人无正当理由拒签合同， 在签订合同时向招标人提出附加条件</w:t>
      </w:r>
      <w:r>
        <w:rPr>
          <w:rFonts w:hint="eastAsia" w:ascii="宋体" w:hAnsi="宋体" w:eastAsia="宋体"/>
          <w:color w:val="auto"/>
          <w:spacing w:val="-2"/>
          <w:highlight w:val="none"/>
        </w:rPr>
        <w:t>，</w:t>
      </w:r>
      <w:r>
        <w:rPr>
          <w:rFonts w:ascii="宋体" w:hAnsi="宋体" w:eastAsia="宋体"/>
          <w:strike/>
          <w:color w:val="auto"/>
          <w:spacing w:val="-2"/>
          <w:highlight w:val="none"/>
        </w:rPr>
        <w:t>或</w:t>
      </w:r>
      <w:r>
        <w:rPr>
          <w:rFonts w:ascii="宋体" w:hAnsi="宋体" w:eastAsia="宋体"/>
          <w:strike/>
          <w:color w:val="auto"/>
          <w:spacing w:val="-4"/>
          <w:highlight w:val="none"/>
        </w:rPr>
        <w:t>者</w:t>
      </w:r>
      <w:r>
        <w:rPr>
          <w:rFonts w:ascii="宋体" w:hAnsi="宋体" w:eastAsia="宋体"/>
          <w:strike/>
          <w:color w:val="auto"/>
          <w:spacing w:val="-3"/>
          <w:highlight w:val="none"/>
        </w:rPr>
        <w:t>不</w:t>
      </w:r>
      <w:r>
        <w:rPr>
          <w:rFonts w:ascii="宋体" w:hAnsi="宋体" w:eastAsia="宋体"/>
          <w:strike/>
          <w:color w:val="auto"/>
          <w:spacing w:val="-2"/>
          <w:highlight w:val="none"/>
        </w:rPr>
        <w:t>按照招标文件要求提交履约保证金的</w:t>
      </w:r>
      <w:r>
        <w:rPr>
          <w:rFonts w:ascii="宋体" w:hAnsi="宋体" w:eastAsia="宋体"/>
          <w:color w:val="auto"/>
          <w:spacing w:val="-2"/>
          <w:highlight w:val="none"/>
        </w:rPr>
        <w:t>，招标人有权取消其中标资格</w:t>
      </w:r>
      <w:r>
        <w:rPr>
          <w:rFonts w:ascii="宋体" w:hAnsi="宋体" w:eastAsia="宋体"/>
          <w:strike/>
          <w:color w:val="auto"/>
          <w:spacing w:val="-2"/>
          <w:highlight w:val="none"/>
        </w:rPr>
        <w:t>，其投标保证金不予退</w:t>
      </w:r>
      <w:r>
        <w:rPr>
          <w:rFonts w:ascii="宋体" w:hAnsi="宋体" w:eastAsia="宋体"/>
          <w:strike/>
          <w:color w:val="auto"/>
          <w:spacing w:val="-1"/>
          <w:highlight w:val="none"/>
        </w:rPr>
        <w:t>还；给招标人造成的损失</w:t>
      </w:r>
      <w:r>
        <w:rPr>
          <w:rFonts w:ascii="宋体" w:hAnsi="宋体" w:eastAsia="宋体"/>
          <w:strike/>
          <w:color w:val="auto"/>
          <w:spacing w:val="-1"/>
          <w:highlight w:val="none"/>
          <w:u w:val="single"/>
        </w:rPr>
        <w:t>超过投标保证金数额的</w:t>
      </w:r>
      <w:r>
        <w:rPr>
          <w:rFonts w:ascii="宋体" w:hAnsi="宋体" w:eastAsia="宋体"/>
          <w:strike/>
          <w:color w:val="auto"/>
          <w:spacing w:val="-1"/>
          <w:highlight w:val="none"/>
        </w:rPr>
        <w:t>，中标人还应当对超过部分予以赔</w:t>
      </w:r>
      <w:r>
        <w:rPr>
          <w:rFonts w:ascii="宋体" w:hAnsi="宋体" w:eastAsia="宋体"/>
          <w:strike/>
          <w:color w:val="auto"/>
          <w:highlight w:val="none"/>
        </w:rPr>
        <w:t>偿。</w:t>
      </w:r>
    </w:p>
    <w:p w14:paraId="5C72EC04">
      <w:pPr>
        <w:spacing w:before="2" w:line="351" w:lineRule="auto"/>
        <w:ind w:right="72" w:firstLine="419"/>
        <w:rPr>
          <w:rFonts w:ascii="Times New Roman" w:hAnsi="Times New Roman" w:eastAsia="Times New Roman"/>
          <w:color w:val="auto"/>
          <w:spacing w:val="-12"/>
          <w:highlight w:val="none"/>
        </w:rPr>
      </w:pPr>
      <w:r>
        <w:rPr>
          <w:rFonts w:ascii="Times New Roman" w:hAnsi="Times New Roman" w:eastAsia="Times New Roman"/>
          <w:color w:val="auto"/>
          <w:spacing w:val="-12"/>
          <w:highlight w:val="none"/>
        </w:rPr>
        <w:t>7.</w:t>
      </w:r>
      <w:r>
        <w:rPr>
          <w:rFonts w:ascii="Times New Roman" w:hAnsi="Times New Roman" w:eastAsia="Times New Roman"/>
          <w:color w:val="auto"/>
          <w:spacing w:val="-10"/>
          <w:highlight w:val="none"/>
        </w:rPr>
        <w:t>8</w:t>
      </w:r>
      <w:r>
        <w:rPr>
          <w:rFonts w:ascii="Times New Roman" w:hAnsi="Times New Roman" w:eastAsia="Times New Roman"/>
          <w:color w:val="auto"/>
          <w:spacing w:val="-6"/>
          <w:highlight w:val="none"/>
        </w:rPr>
        <w:t xml:space="preserve">.2  </w:t>
      </w:r>
      <w:r>
        <w:rPr>
          <w:rFonts w:ascii="宋体" w:hAnsi="宋体" w:eastAsia="宋体"/>
          <w:color w:val="auto"/>
          <w:spacing w:val="-6"/>
          <w:highlight w:val="none"/>
        </w:rPr>
        <w:t>发出中标通知书后，招标人无正当理由拒签合同，或者在签订合同时向中标人提出附</w:t>
      </w:r>
      <w:r>
        <w:rPr>
          <w:rFonts w:ascii="宋体" w:hAnsi="宋体" w:eastAsia="宋体"/>
          <w:color w:val="auto"/>
          <w:highlight w:val="none"/>
        </w:rPr>
        <w:t xml:space="preserve"> </w:t>
      </w:r>
      <w:r>
        <w:rPr>
          <w:rFonts w:ascii="宋体" w:hAnsi="宋体" w:eastAsia="宋体"/>
          <w:color w:val="auto"/>
          <w:spacing w:val="-1"/>
          <w:highlight w:val="none"/>
        </w:rPr>
        <w:t>加条件的</w:t>
      </w:r>
      <w:r>
        <w:rPr>
          <w:rFonts w:ascii="宋体" w:hAnsi="宋体" w:eastAsia="宋体"/>
          <w:strike/>
          <w:color w:val="auto"/>
          <w:spacing w:val="-1"/>
          <w:highlight w:val="none"/>
        </w:rPr>
        <w:t>，招标人向中标人退还投标保证金；</w:t>
      </w:r>
      <w:r>
        <w:rPr>
          <w:rFonts w:ascii="宋体" w:hAnsi="宋体" w:eastAsia="宋体"/>
          <w:color w:val="auto"/>
          <w:spacing w:val="-1"/>
          <w:highlight w:val="none"/>
        </w:rPr>
        <w:t>给中标人造成损失的，还应当赔偿损失</w:t>
      </w:r>
      <w:r>
        <w:rPr>
          <w:rFonts w:ascii="宋体" w:hAnsi="宋体" w:eastAsia="宋体"/>
          <w:color w:val="auto"/>
          <w:highlight w:val="none"/>
        </w:rPr>
        <w:t>。</w:t>
      </w:r>
    </w:p>
    <w:p w14:paraId="244E7762">
      <w:pPr>
        <w:spacing w:line="359" w:lineRule="auto"/>
        <w:ind w:left="4" w:right="70" w:firstLine="416"/>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7.8.3 </w:t>
      </w:r>
      <w:r>
        <w:rPr>
          <w:rFonts w:ascii="宋体" w:hAnsi="宋体" w:eastAsia="宋体"/>
          <w:color w:val="auto"/>
          <w:spacing w:val="-1"/>
          <w:highlight w:val="none"/>
        </w:rPr>
        <w:t>联合体中标的，联合体各方应当共同与招标人签</w:t>
      </w:r>
      <w:r>
        <w:rPr>
          <w:rFonts w:ascii="宋体" w:hAnsi="宋体" w:eastAsia="宋体"/>
          <w:color w:val="auto"/>
          <w:highlight w:val="none"/>
        </w:rPr>
        <w:t>订合同，就中标项目向招标人承担连</w:t>
      </w:r>
      <w:r>
        <w:rPr>
          <w:rFonts w:ascii="宋体" w:hAnsi="宋体" w:eastAsia="宋体"/>
          <w:color w:val="auto"/>
          <w:spacing w:val="-10"/>
          <w:highlight w:val="none"/>
        </w:rPr>
        <w:t>带</w:t>
      </w:r>
      <w:r>
        <w:rPr>
          <w:rFonts w:ascii="宋体" w:hAnsi="宋体" w:eastAsia="宋体"/>
          <w:color w:val="auto"/>
          <w:spacing w:val="-7"/>
          <w:highlight w:val="none"/>
        </w:rPr>
        <w:t>责任。</w:t>
      </w:r>
    </w:p>
    <w:p w14:paraId="67A4F04A">
      <w:pPr>
        <w:spacing w:line="359" w:lineRule="auto"/>
        <w:ind w:left="4" w:right="70" w:firstLine="416"/>
        <w:rPr>
          <w:rFonts w:ascii="宋体" w:hAnsi="宋体" w:eastAsia="宋体"/>
          <w:b/>
          <w:bCs/>
          <w:color w:val="auto"/>
          <w:sz w:val="24"/>
          <w:szCs w:val="24"/>
          <w:highlight w:val="none"/>
        </w:rPr>
      </w:pPr>
      <w:r>
        <w:rPr>
          <w:rFonts w:ascii="宋体" w:hAnsi="宋体" w:eastAsia="宋体"/>
          <w:b/>
          <w:bCs/>
          <w:color w:val="auto"/>
          <w:sz w:val="24"/>
          <w:szCs w:val="24"/>
          <w:highlight w:val="none"/>
        </w:rPr>
        <w:t>注：以上修改，仅限于本范本中有可供选择条款的情形。</w:t>
      </w:r>
    </w:p>
    <w:p w14:paraId="230E4694">
      <w:pPr>
        <w:spacing w:line="360" w:lineRule="auto"/>
        <w:rPr>
          <w:rFonts w:ascii="宋体" w:hAnsi="宋体" w:eastAsia="宋体"/>
          <w:b/>
          <w:bCs/>
          <w:color w:val="auto"/>
          <w:sz w:val="24"/>
          <w:szCs w:val="24"/>
          <w:highlight w:val="none"/>
        </w:rPr>
      </w:pPr>
      <w:r>
        <w:rPr>
          <w:rFonts w:ascii="宋体" w:hAnsi="宋体" w:eastAsia="宋体"/>
          <w:b/>
          <w:bCs/>
          <w:color w:val="auto"/>
          <w:sz w:val="24"/>
          <w:szCs w:val="24"/>
          <w:highlight w:val="none"/>
        </w:rPr>
        <w:t>（以下无正文）</w:t>
      </w:r>
    </w:p>
    <w:p w14:paraId="18A7FF6C">
      <w:pPr>
        <w:pStyle w:val="24"/>
        <w:spacing w:before="120" w:after="120"/>
        <w:rPr>
          <w:color w:val="auto"/>
          <w:sz w:val="24"/>
          <w:highlight w:val="none"/>
        </w:rPr>
        <w:sectPr>
          <w:footerReference r:id="rId8" w:type="default"/>
          <w:pgSz w:w="11905" w:h="16838"/>
          <w:pgMar w:top="1417" w:right="1417" w:bottom="1417" w:left="1417" w:header="992" w:footer="992" w:gutter="0"/>
          <w:cols w:space="720" w:num="1"/>
        </w:sectPr>
      </w:pPr>
    </w:p>
    <w:p w14:paraId="7D52544F">
      <w:pPr>
        <w:pStyle w:val="24"/>
        <w:spacing w:before="120" w:after="120"/>
        <w:outlineLvl w:val="9"/>
        <w:rPr>
          <w:rFonts w:ascii="Times New Roman" w:hAnsi="Times New Roman" w:eastAsia="Times New Roman"/>
          <w:bCs/>
          <w:color w:val="auto"/>
          <w:spacing w:val="3"/>
          <w:sz w:val="31"/>
          <w:szCs w:val="31"/>
          <w:highlight w:val="none"/>
        </w:rPr>
      </w:pPr>
      <w:bookmarkStart w:id="91" w:name="_Toc2101"/>
      <w:bookmarkStart w:id="92" w:name="_Toc357"/>
      <w:bookmarkStart w:id="93" w:name="_Toc22922"/>
      <w:bookmarkStart w:id="94" w:name="_Toc24325"/>
      <w:bookmarkStart w:id="95" w:name="_Toc14454"/>
      <w:r>
        <w:rPr>
          <w:rFonts w:ascii="Times New Roman" w:hAnsi="Times New Roman" w:eastAsia="Times New Roman"/>
          <w:bCs/>
          <w:color w:val="auto"/>
          <w:spacing w:val="3"/>
          <w:sz w:val="31"/>
          <w:szCs w:val="31"/>
          <w:highlight w:val="none"/>
        </w:rPr>
        <w:t>1</w:t>
      </w:r>
      <w:r>
        <w:rPr>
          <w:rFonts w:ascii="Times New Roman" w:hAnsi="Times New Roman" w:eastAsia="Times New Roman"/>
          <w:bCs/>
          <w:color w:val="auto"/>
          <w:spacing w:val="2"/>
          <w:sz w:val="31"/>
          <w:szCs w:val="31"/>
          <w:highlight w:val="none"/>
        </w:rPr>
        <w:t>.</w:t>
      </w:r>
      <w:r>
        <w:rPr>
          <w:rFonts w:ascii="Times New Roman" w:hAnsi="Times New Roman" w:eastAsia="Times New Roman"/>
          <w:color w:val="auto"/>
          <w:spacing w:val="2"/>
          <w:sz w:val="31"/>
          <w:szCs w:val="31"/>
          <w:highlight w:val="none"/>
        </w:rPr>
        <w:t xml:space="preserve">  </w:t>
      </w:r>
      <w:r>
        <w:rPr>
          <w:rFonts w:ascii="黑体" w:hAnsi="黑体" w:eastAsia="黑体"/>
          <w:color w:val="auto"/>
          <w:spacing w:val="2"/>
          <w:sz w:val="31"/>
          <w:szCs w:val="31"/>
          <w:highlight w:val="none"/>
        </w:rPr>
        <w:t>总则</w:t>
      </w:r>
      <w:bookmarkEnd w:id="91"/>
      <w:bookmarkEnd w:id="92"/>
      <w:bookmarkEnd w:id="93"/>
      <w:bookmarkEnd w:id="94"/>
      <w:bookmarkEnd w:id="95"/>
    </w:p>
    <w:p w14:paraId="3C770031">
      <w:pPr>
        <w:spacing w:line="247" w:lineRule="auto"/>
        <w:rPr>
          <w:color w:val="auto"/>
          <w:highlight w:val="none"/>
        </w:rPr>
      </w:pPr>
    </w:p>
    <w:p w14:paraId="2C792CFB">
      <w:pPr>
        <w:rPr>
          <w:rFonts w:ascii="Times New Roman" w:hAnsi="Times New Roman" w:eastAsia="Times New Roman"/>
          <w:color w:val="auto"/>
          <w:spacing w:val="6"/>
          <w:sz w:val="27"/>
          <w:szCs w:val="27"/>
          <w:highlight w:val="none"/>
        </w:rPr>
      </w:pPr>
      <w:bookmarkStart w:id="96" w:name="_Toc9379"/>
      <w:bookmarkStart w:id="97" w:name="_Toc24214"/>
      <w:bookmarkStart w:id="98" w:name="_Toc31737"/>
      <w:bookmarkStart w:id="99" w:name="_Toc3974"/>
      <w:bookmarkStart w:id="100" w:name="_Toc27791"/>
      <w:r>
        <w:rPr>
          <w:rFonts w:ascii="Times New Roman" w:hAnsi="Times New Roman" w:eastAsia="Times New Roman"/>
          <w:color w:val="auto"/>
          <w:spacing w:val="6"/>
          <w:sz w:val="27"/>
          <w:szCs w:val="27"/>
          <w:highlight w:val="none"/>
        </w:rPr>
        <w:t>1</w:t>
      </w:r>
      <w:r>
        <w:rPr>
          <w:rFonts w:ascii="Times New Roman" w:hAnsi="Times New Roman" w:eastAsia="Times New Roman"/>
          <w:color w:val="auto"/>
          <w:spacing w:val="4"/>
          <w:sz w:val="27"/>
          <w:szCs w:val="27"/>
          <w:highlight w:val="none"/>
        </w:rPr>
        <w:t xml:space="preserve">.1  </w:t>
      </w:r>
      <w:r>
        <w:rPr>
          <w:rFonts w:ascii="黑体" w:hAnsi="黑体" w:eastAsia="黑体"/>
          <w:color w:val="auto"/>
          <w:spacing w:val="4"/>
          <w:sz w:val="27"/>
          <w:szCs w:val="27"/>
          <w:highlight w:val="none"/>
        </w:rPr>
        <w:t>招标项目概况</w:t>
      </w:r>
      <w:bookmarkEnd w:id="96"/>
      <w:bookmarkEnd w:id="97"/>
      <w:bookmarkEnd w:id="98"/>
      <w:bookmarkEnd w:id="99"/>
      <w:bookmarkEnd w:id="100"/>
    </w:p>
    <w:p w14:paraId="044FDC8E">
      <w:pPr>
        <w:spacing w:before="68" w:line="352" w:lineRule="auto"/>
        <w:ind w:firstLine="435"/>
        <w:rPr>
          <w:rFonts w:ascii="Times New Roman" w:hAnsi="Times New Roman" w:eastAsia="Times New Roman"/>
          <w:color w:val="auto"/>
          <w:spacing w:val="-10"/>
          <w:highlight w:val="none"/>
        </w:rPr>
      </w:pPr>
      <w:r>
        <w:rPr>
          <w:rFonts w:ascii="Times New Roman" w:hAnsi="Times New Roman" w:eastAsia="Times New Roman"/>
          <w:color w:val="auto"/>
          <w:spacing w:val="-10"/>
          <w:highlight w:val="none"/>
        </w:rPr>
        <w:t xml:space="preserve">1.1.1 </w:t>
      </w:r>
      <w:r>
        <w:rPr>
          <w:rFonts w:ascii="宋体" w:hAnsi="宋体" w:eastAsia="宋体"/>
          <w:color w:val="auto"/>
          <w:spacing w:val="-10"/>
          <w:highlight w:val="none"/>
        </w:rPr>
        <w:t>根</w:t>
      </w:r>
      <w:r>
        <w:rPr>
          <w:rFonts w:ascii="宋体" w:hAnsi="宋体" w:eastAsia="宋体"/>
          <w:color w:val="auto"/>
          <w:spacing w:val="-5"/>
          <w:highlight w:val="none"/>
        </w:rPr>
        <w:t>据《中华人民共和国招标投标法》、《中华人民共和国招标投标法实施条例》等有关</w:t>
      </w:r>
      <w:r>
        <w:rPr>
          <w:rFonts w:ascii="宋体" w:hAnsi="宋体" w:eastAsia="宋体"/>
          <w:color w:val="auto"/>
          <w:highlight w:val="none"/>
        </w:rPr>
        <w:t xml:space="preserve"> </w:t>
      </w:r>
      <w:r>
        <w:rPr>
          <w:rFonts w:ascii="宋体" w:hAnsi="宋体" w:eastAsia="宋体"/>
          <w:color w:val="auto"/>
          <w:spacing w:val="-2"/>
          <w:highlight w:val="none"/>
        </w:rPr>
        <w:t>法律、法</w:t>
      </w:r>
      <w:r>
        <w:rPr>
          <w:rFonts w:ascii="宋体" w:hAnsi="宋体" w:eastAsia="宋体"/>
          <w:color w:val="auto"/>
          <w:spacing w:val="-1"/>
          <w:highlight w:val="none"/>
        </w:rPr>
        <w:t>规和规章的规定，本招标项目已具备招标条件，现对</w:t>
      </w:r>
      <w:r>
        <w:rPr>
          <w:rFonts w:hint="eastAsia" w:ascii="宋体" w:hAnsi="宋体" w:eastAsia="宋体"/>
          <w:color w:val="auto"/>
          <w:spacing w:val="-1"/>
          <w:highlight w:val="none"/>
        </w:rPr>
        <w:t>勘察</w:t>
      </w:r>
      <w:r>
        <w:rPr>
          <w:rFonts w:ascii="宋体" w:hAnsi="宋体" w:eastAsia="宋体"/>
          <w:color w:val="auto"/>
          <w:spacing w:val="-1"/>
          <w:highlight w:val="none"/>
        </w:rPr>
        <w:t>进行招标。</w:t>
      </w:r>
    </w:p>
    <w:p w14:paraId="315FD67A">
      <w:pPr>
        <w:spacing w:line="219"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1.1.2</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招标人：见投标人须知前附表。</w:t>
      </w:r>
    </w:p>
    <w:p w14:paraId="3244E338">
      <w:pPr>
        <w:spacing w:before="149" w:line="400" w:lineRule="exact"/>
        <w:ind w:left="435"/>
        <w:rPr>
          <w:rFonts w:ascii="Times New Roman" w:hAnsi="Times New Roman" w:eastAsia="Times New Roman"/>
          <w:color w:val="auto"/>
          <w:spacing w:val="-4"/>
          <w:position w:val="14"/>
          <w:highlight w:val="none"/>
        </w:rPr>
      </w:pPr>
      <w:r>
        <w:rPr>
          <w:rFonts w:ascii="Times New Roman" w:hAnsi="Times New Roman" w:eastAsia="Times New Roman"/>
          <w:color w:val="auto"/>
          <w:spacing w:val="-4"/>
          <w:position w:val="14"/>
          <w:highlight w:val="none"/>
        </w:rPr>
        <w:t>1.</w:t>
      </w:r>
      <w:r>
        <w:rPr>
          <w:rFonts w:ascii="Times New Roman" w:hAnsi="Times New Roman" w:eastAsia="Times New Roman"/>
          <w:color w:val="auto"/>
          <w:spacing w:val="-3"/>
          <w:position w:val="14"/>
          <w:highlight w:val="none"/>
        </w:rPr>
        <w:t>1</w:t>
      </w:r>
      <w:r>
        <w:rPr>
          <w:rFonts w:ascii="Times New Roman" w:hAnsi="Times New Roman" w:eastAsia="Times New Roman"/>
          <w:color w:val="auto"/>
          <w:spacing w:val="-2"/>
          <w:position w:val="14"/>
          <w:highlight w:val="none"/>
        </w:rPr>
        <w:t xml:space="preserve">.3  </w:t>
      </w:r>
      <w:r>
        <w:rPr>
          <w:rFonts w:ascii="宋体" w:hAnsi="宋体" w:eastAsia="宋体"/>
          <w:color w:val="auto"/>
          <w:spacing w:val="-2"/>
          <w:position w:val="14"/>
          <w:highlight w:val="none"/>
        </w:rPr>
        <w:t>招标代理机构：见投标人须知前附表。</w:t>
      </w:r>
    </w:p>
    <w:p w14:paraId="0481A02F">
      <w:pPr>
        <w:spacing w:line="219"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.4  </w:t>
      </w:r>
      <w:r>
        <w:rPr>
          <w:rFonts w:ascii="宋体" w:hAnsi="宋体" w:eastAsia="宋体"/>
          <w:color w:val="auto"/>
          <w:spacing w:val="-2"/>
          <w:highlight w:val="none"/>
        </w:rPr>
        <w:t>招标项目名称：见投标人须知前附表。</w:t>
      </w:r>
    </w:p>
    <w:p w14:paraId="349CFCD9">
      <w:pPr>
        <w:spacing w:before="151" w:line="220"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.5  </w:t>
      </w:r>
      <w:r>
        <w:rPr>
          <w:rFonts w:ascii="宋体" w:hAnsi="宋体" w:eastAsia="宋体"/>
          <w:color w:val="auto"/>
          <w:spacing w:val="-2"/>
          <w:highlight w:val="none"/>
        </w:rPr>
        <w:t>项目建设地点：见投标人须知前附表。</w:t>
      </w:r>
    </w:p>
    <w:p w14:paraId="4AFAEFB2">
      <w:pPr>
        <w:spacing w:before="149" w:line="220"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.6  </w:t>
      </w:r>
      <w:r>
        <w:rPr>
          <w:rFonts w:ascii="宋体" w:hAnsi="宋体" w:eastAsia="宋体"/>
          <w:color w:val="auto"/>
          <w:spacing w:val="-2"/>
          <w:highlight w:val="none"/>
        </w:rPr>
        <w:t>项目建设规模：见投标人须知前附表。</w:t>
      </w:r>
    </w:p>
    <w:p w14:paraId="11F8B8BF">
      <w:pPr>
        <w:spacing w:before="150" w:line="219" w:lineRule="auto"/>
        <w:ind w:left="435"/>
        <w:rPr>
          <w:rFonts w:ascii="宋体" w:hAnsi="宋体" w:eastAsia="宋体"/>
          <w:color w:val="auto"/>
          <w:spacing w:val="-2"/>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.7  </w:t>
      </w:r>
      <w:r>
        <w:rPr>
          <w:rFonts w:ascii="宋体" w:hAnsi="宋体" w:eastAsia="宋体"/>
          <w:color w:val="auto"/>
          <w:spacing w:val="-2"/>
          <w:highlight w:val="none"/>
        </w:rPr>
        <w:t>项目投资估算：见投标人须知前附表。</w:t>
      </w:r>
    </w:p>
    <w:p w14:paraId="2DA16A9C">
      <w:pPr>
        <w:pStyle w:val="2"/>
        <w:rPr>
          <w:rFonts w:eastAsiaTheme="minorEastAsia"/>
          <w:color w:val="auto"/>
          <w:highlight w:val="none"/>
        </w:rPr>
      </w:pPr>
    </w:p>
    <w:p w14:paraId="58159D7B">
      <w:pPr>
        <w:rPr>
          <w:rFonts w:ascii="Times New Roman" w:hAnsi="Times New Roman" w:eastAsia="Times New Roman"/>
          <w:color w:val="auto"/>
          <w:spacing w:val="12"/>
          <w:sz w:val="27"/>
          <w:szCs w:val="27"/>
          <w:highlight w:val="none"/>
        </w:rPr>
      </w:pPr>
      <w:bookmarkStart w:id="101" w:name="_Toc3794"/>
      <w:bookmarkStart w:id="102" w:name="_Toc9196"/>
      <w:bookmarkStart w:id="103" w:name="_Toc6870"/>
      <w:bookmarkStart w:id="104" w:name="_Toc17697"/>
      <w:bookmarkStart w:id="105" w:name="_Toc24724"/>
      <w:r>
        <w:rPr>
          <w:rFonts w:ascii="Times New Roman" w:hAnsi="Times New Roman" w:eastAsia="Times New Roman"/>
          <w:color w:val="auto"/>
          <w:spacing w:val="12"/>
          <w:sz w:val="27"/>
          <w:szCs w:val="27"/>
          <w:highlight w:val="none"/>
        </w:rPr>
        <w:t>1.</w:t>
      </w:r>
      <w:r>
        <w:rPr>
          <w:rFonts w:ascii="Times New Roman" w:hAnsi="Times New Roman" w:eastAsia="Times New Roman"/>
          <w:color w:val="auto"/>
          <w:spacing w:val="7"/>
          <w:sz w:val="27"/>
          <w:szCs w:val="27"/>
          <w:highlight w:val="none"/>
        </w:rPr>
        <w:t>2</w:t>
      </w:r>
      <w:r>
        <w:rPr>
          <w:rFonts w:ascii="Times New Roman" w:hAnsi="Times New Roman" w:eastAsia="Times New Roman"/>
          <w:color w:val="auto"/>
          <w:spacing w:val="6"/>
          <w:sz w:val="27"/>
          <w:szCs w:val="27"/>
          <w:highlight w:val="none"/>
        </w:rPr>
        <w:t xml:space="preserve">  </w:t>
      </w:r>
      <w:r>
        <w:rPr>
          <w:rFonts w:ascii="黑体" w:hAnsi="黑体" w:eastAsia="黑体"/>
          <w:color w:val="auto"/>
          <w:spacing w:val="6"/>
          <w:sz w:val="27"/>
          <w:szCs w:val="27"/>
          <w:highlight w:val="none"/>
        </w:rPr>
        <w:t>招标项目的资金来源和落实情况</w:t>
      </w:r>
      <w:bookmarkEnd w:id="101"/>
      <w:bookmarkEnd w:id="102"/>
      <w:bookmarkEnd w:id="103"/>
      <w:bookmarkEnd w:id="104"/>
      <w:bookmarkEnd w:id="105"/>
    </w:p>
    <w:p w14:paraId="78150F8A">
      <w:pPr>
        <w:spacing w:before="70" w:line="400" w:lineRule="exact"/>
        <w:ind w:left="435"/>
        <w:rPr>
          <w:rFonts w:ascii="Times New Roman" w:hAnsi="Times New Roman" w:eastAsia="Times New Roman"/>
          <w:color w:val="auto"/>
          <w:spacing w:val="-4"/>
          <w:position w:val="14"/>
          <w:highlight w:val="none"/>
        </w:rPr>
      </w:pPr>
      <w:r>
        <w:rPr>
          <w:rFonts w:ascii="Times New Roman" w:hAnsi="Times New Roman" w:eastAsia="Times New Roman"/>
          <w:color w:val="auto"/>
          <w:spacing w:val="-4"/>
          <w:position w:val="14"/>
          <w:highlight w:val="none"/>
        </w:rPr>
        <w:t>1</w:t>
      </w:r>
      <w:r>
        <w:rPr>
          <w:rFonts w:ascii="Times New Roman" w:hAnsi="Times New Roman" w:eastAsia="Times New Roman"/>
          <w:color w:val="auto"/>
          <w:spacing w:val="-3"/>
          <w:position w:val="14"/>
          <w:highlight w:val="none"/>
        </w:rPr>
        <w:t>.</w:t>
      </w:r>
      <w:r>
        <w:rPr>
          <w:rFonts w:ascii="Times New Roman" w:hAnsi="Times New Roman" w:eastAsia="Times New Roman"/>
          <w:color w:val="auto"/>
          <w:spacing w:val="-2"/>
          <w:position w:val="14"/>
          <w:highlight w:val="none"/>
        </w:rPr>
        <w:t xml:space="preserve">2.1  </w:t>
      </w:r>
      <w:r>
        <w:rPr>
          <w:rFonts w:ascii="宋体" w:hAnsi="宋体" w:eastAsia="宋体"/>
          <w:color w:val="auto"/>
          <w:spacing w:val="-2"/>
          <w:position w:val="14"/>
          <w:highlight w:val="none"/>
        </w:rPr>
        <w:t>资金来源及比例：见投标人须知前附表。</w:t>
      </w:r>
    </w:p>
    <w:p w14:paraId="650EFE5F">
      <w:pPr>
        <w:spacing w:before="1" w:line="216" w:lineRule="auto"/>
        <w:ind w:left="435"/>
        <w:rPr>
          <w:rFonts w:ascii="宋体" w:hAnsi="宋体" w:eastAsia="宋体"/>
          <w:color w:val="auto"/>
          <w:spacing w:val="-2"/>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2</w:t>
      </w:r>
      <w:r>
        <w:rPr>
          <w:rFonts w:ascii="Times New Roman" w:hAnsi="Times New Roman" w:eastAsia="Times New Roman"/>
          <w:color w:val="auto"/>
          <w:spacing w:val="-2"/>
          <w:highlight w:val="none"/>
        </w:rPr>
        <w:t xml:space="preserve">.2  </w:t>
      </w:r>
      <w:r>
        <w:rPr>
          <w:rFonts w:ascii="宋体" w:hAnsi="宋体" w:eastAsia="宋体"/>
          <w:color w:val="auto"/>
          <w:spacing w:val="-2"/>
          <w:highlight w:val="none"/>
        </w:rPr>
        <w:t>资金落实情况：见投标人须知前附表。</w:t>
      </w:r>
    </w:p>
    <w:p w14:paraId="11B8F948">
      <w:pPr>
        <w:pStyle w:val="2"/>
        <w:rPr>
          <w:rFonts w:eastAsiaTheme="minorEastAsia"/>
          <w:color w:val="auto"/>
          <w:highlight w:val="none"/>
        </w:rPr>
      </w:pPr>
    </w:p>
    <w:p w14:paraId="2E4639CB">
      <w:pPr>
        <w:rPr>
          <w:rFonts w:ascii="Times New Roman" w:hAnsi="Times New Roman" w:eastAsia="Times New Roman"/>
          <w:color w:val="auto"/>
          <w:spacing w:val="14"/>
          <w:sz w:val="27"/>
          <w:szCs w:val="27"/>
          <w:highlight w:val="none"/>
        </w:rPr>
      </w:pPr>
      <w:bookmarkStart w:id="106" w:name="_Toc16472"/>
      <w:bookmarkStart w:id="107" w:name="_Toc16178"/>
      <w:bookmarkStart w:id="108" w:name="_Toc12983"/>
      <w:bookmarkStart w:id="109" w:name="_Toc20605"/>
      <w:bookmarkStart w:id="110" w:name="_Toc4137"/>
      <w:r>
        <w:rPr>
          <w:rFonts w:ascii="Times New Roman" w:hAnsi="Times New Roman" w:eastAsia="Times New Roman"/>
          <w:color w:val="auto"/>
          <w:spacing w:val="14"/>
          <w:sz w:val="27"/>
          <w:szCs w:val="27"/>
          <w:highlight w:val="none"/>
        </w:rPr>
        <w:t>1</w:t>
      </w:r>
      <w:r>
        <w:rPr>
          <w:rFonts w:ascii="Times New Roman" w:hAnsi="Times New Roman" w:eastAsia="Times New Roman"/>
          <w:color w:val="auto"/>
          <w:spacing w:val="7"/>
          <w:sz w:val="27"/>
          <w:szCs w:val="27"/>
          <w:highlight w:val="none"/>
        </w:rPr>
        <w:t xml:space="preserve">.3 </w:t>
      </w:r>
      <w:r>
        <w:rPr>
          <w:rFonts w:ascii="黑体" w:hAnsi="黑体" w:eastAsia="黑体"/>
          <w:color w:val="auto"/>
          <w:spacing w:val="7"/>
          <w:sz w:val="27"/>
          <w:szCs w:val="27"/>
          <w:highlight w:val="none"/>
        </w:rPr>
        <w:t>招标范围、设计服务期限和质量标准</w:t>
      </w:r>
      <w:bookmarkEnd w:id="106"/>
      <w:bookmarkEnd w:id="107"/>
      <w:bookmarkEnd w:id="108"/>
      <w:bookmarkEnd w:id="109"/>
      <w:bookmarkEnd w:id="110"/>
    </w:p>
    <w:p w14:paraId="07F49343">
      <w:pPr>
        <w:spacing w:before="69" w:line="400" w:lineRule="exact"/>
        <w:ind w:left="435"/>
        <w:rPr>
          <w:rFonts w:ascii="Times New Roman" w:hAnsi="Times New Roman" w:eastAsia="Times New Roman"/>
          <w:color w:val="auto"/>
          <w:spacing w:val="-4"/>
          <w:position w:val="14"/>
          <w:highlight w:val="none"/>
        </w:rPr>
      </w:pPr>
      <w:r>
        <w:rPr>
          <w:rFonts w:ascii="Times New Roman" w:hAnsi="Times New Roman" w:eastAsia="Times New Roman"/>
          <w:color w:val="auto"/>
          <w:spacing w:val="-4"/>
          <w:position w:val="14"/>
          <w:highlight w:val="none"/>
        </w:rPr>
        <w:t>1.3.</w:t>
      </w:r>
      <w:r>
        <w:rPr>
          <w:rFonts w:ascii="Times New Roman" w:hAnsi="Times New Roman" w:eastAsia="Times New Roman"/>
          <w:color w:val="auto"/>
          <w:spacing w:val="-3"/>
          <w:position w:val="14"/>
          <w:highlight w:val="none"/>
        </w:rPr>
        <w:t>1</w:t>
      </w:r>
      <w:r>
        <w:rPr>
          <w:rFonts w:ascii="Times New Roman" w:hAnsi="Times New Roman" w:eastAsia="Times New Roman"/>
          <w:color w:val="auto"/>
          <w:spacing w:val="-2"/>
          <w:position w:val="14"/>
          <w:highlight w:val="none"/>
        </w:rPr>
        <w:t xml:space="preserve">  </w:t>
      </w:r>
      <w:r>
        <w:rPr>
          <w:rFonts w:ascii="宋体" w:hAnsi="宋体" w:eastAsia="宋体"/>
          <w:color w:val="auto"/>
          <w:spacing w:val="-2"/>
          <w:position w:val="14"/>
          <w:highlight w:val="none"/>
        </w:rPr>
        <w:t>招标范围：见投标人须知前附表。</w:t>
      </w:r>
    </w:p>
    <w:p w14:paraId="51B39EEE">
      <w:pPr>
        <w:spacing w:line="219"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3</w:t>
      </w:r>
      <w:r>
        <w:rPr>
          <w:rFonts w:ascii="Times New Roman" w:hAnsi="Times New Roman" w:eastAsia="Times New Roman"/>
          <w:color w:val="auto"/>
          <w:spacing w:val="-2"/>
          <w:highlight w:val="none"/>
        </w:rPr>
        <w:t xml:space="preserve">.2  </w:t>
      </w:r>
      <w:r>
        <w:rPr>
          <w:rFonts w:hint="eastAsia" w:ascii="Times New Roman" w:hAnsi="Times New Roman" w:eastAsia="宋体"/>
          <w:color w:val="auto"/>
          <w:spacing w:val="-2"/>
          <w:highlight w:val="none"/>
        </w:rPr>
        <w:t>勘察、</w:t>
      </w:r>
      <w:r>
        <w:rPr>
          <w:rFonts w:ascii="宋体" w:hAnsi="宋体" w:eastAsia="宋体"/>
          <w:color w:val="auto"/>
          <w:spacing w:val="-2"/>
          <w:highlight w:val="none"/>
        </w:rPr>
        <w:t>设计服务期限：见投标人须知前附表。</w:t>
      </w:r>
    </w:p>
    <w:p w14:paraId="160D27D5">
      <w:pPr>
        <w:spacing w:before="151" w:line="220"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1.3.</w:t>
      </w:r>
      <w:r>
        <w:rPr>
          <w:rFonts w:ascii="Times New Roman" w:hAnsi="Times New Roman" w:eastAsia="Times New Roman"/>
          <w:color w:val="auto"/>
          <w:spacing w:val="-3"/>
          <w:highlight w:val="none"/>
        </w:rPr>
        <w:t>3</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质量标准：见投标人须知前附表。</w:t>
      </w:r>
    </w:p>
    <w:p w14:paraId="71CC650E">
      <w:pPr>
        <w:rPr>
          <w:rFonts w:ascii="Times New Roman" w:hAnsi="Times New Roman" w:eastAsiaTheme="minorEastAsia"/>
          <w:color w:val="auto"/>
          <w:spacing w:val="5"/>
          <w:sz w:val="27"/>
          <w:szCs w:val="27"/>
          <w:highlight w:val="none"/>
        </w:rPr>
      </w:pPr>
      <w:bookmarkStart w:id="111" w:name="_Toc22838"/>
      <w:bookmarkStart w:id="112" w:name="_Toc19751"/>
      <w:bookmarkStart w:id="113" w:name="_Toc2472"/>
      <w:bookmarkStart w:id="114" w:name="_Toc15406"/>
      <w:bookmarkStart w:id="115" w:name="_Toc4053"/>
    </w:p>
    <w:p w14:paraId="77249ADE">
      <w:pPr>
        <w:rPr>
          <w:rFonts w:ascii="Times New Roman" w:hAnsi="Times New Roman" w:eastAsia="Times New Roman"/>
          <w:color w:val="auto"/>
          <w:spacing w:val="5"/>
          <w:sz w:val="27"/>
          <w:szCs w:val="27"/>
          <w:highlight w:val="none"/>
        </w:rPr>
      </w:pPr>
      <w:r>
        <w:rPr>
          <w:rFonts w:ascii="Times New Roman" w:hAnsi="Times New Roman" w:eastAsia="Times New Roman"/>
          <w:color w:val="auto"/>
          <w:spacing w:val="5"/>
          <w:sz w:val="27"/>
          <w:szCs w:val="27"/>
          <w:highlight w:val="none"/>
        </w:rPr>
        <w:t xml:space="preserve">1.4 </w:t>
      </w:r>
      <w:r>
        <w:rPr>
          <w:rFonts w:ascii="黑体" w:hAnsi="黑体" w:eastAsia="黑体"/>
          <w:color w:val="auto"/>
          <w:spacing w:val="5"/>
          <w:sz w:val="27"/>
          <w:szCs w:val="27"/>
          <w:highlight w:val="none"/>
        </w:rPr>
        <w:t>投标人资格要</w:t>
      </w:r>
      <w:r>
        <w:rPr>
          <w:rFonts w:ascii="黑体" w:hAnsi="黑体" w:eastAsia="黑体"/>
          <w:color w:val="auto"/>
          <w:spacing w:val="3"/>
          <w:sz w:val="27"/>
          <w:szCs w:val="27"/>
          <w:highlight w:val="none"/>
        </w:rPr>
        <w:t>求</w:t>
      </w:r>
      <w:bookmarkEnd w:id="111"/>
      <w:bookmarkEnd w:id="112"/>
      <w:bookmarkEnd w:id="113"/>
      <w:bookmarkEnd w:id="114"/>
      <w:bookmarkEnd w:id="115"/>
    </w:p>
    <w:p w14:paraId="546C0212">
      <w:pPr>
        <w:spacing w:before="69" w:line="218"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1.4.1</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投标人应具备承担本招标项目资质条件、能力和信誉：</w:t>
      </w:r>
    </w:p>
    <w:p w14:paraId="4383DA85">
      <w:pPr>
        <w:spacing w:before="151" w:line="219"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)资质要求：见投标人须知前附表；</w:t>
      </w:r>
    </w:p>
    <w:p w14:paraId="49AD1CE3">
      <w:pPr>
        <w:spacing w:before="151" w:line="220"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2</w:t>
      </w:r>
      <w:r>
        <w:rPr>
          <w:rFonts w:ascii="宋体" w:hAnsi="宋体" w:eastAsia="宋体"/>
          <w:color w:val="auto"/>
          <w:spacing w:val="8"/>
          <w:highlight w:val="none"/>
        </w:rPr>
        <w:t>)财务要求：见投标人须知前附表；</w:t>
      </w:r>
    </w:p>
    <w:p w14:paraId="6451FEBC">
      <w:pPr>
        <w:spacing w:before="151" w:line="217"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3</w:t>
      </w:r>
      <w:r>
        <w:rPr>
          <w:rFonts w:ascii="宋体" w:hAnsi="宋体" w:eastAsia="宋体"/>
          <w:color w:val="auto"/>
          <w:spacing w:val="8"/>
          <w:highlight w:val="none"/>
        </w:rPr>
        <w:t>)业绩要求：见投标人须知前附表；</w:t>
      </w:r>
    </w:p>
    <w:p w14:paraId="5746AFEF">
      <w:pPr>
        <w:spacing w:before="152" w:line="220"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)信誉要求：见投标人须知前附表；</w:t>
      </w:r>
    </w:p>
    <w:p w14:paraId="304DE6CA">
      <w:pPr>
        <w:spacing w:before="150" w:line="361" w:lineRule="auto"/>
        <w:ind w:right="2" w:firstLine="318"/>
        <w:rPr>
          <w:rFonts w:ascii="宋体" w:hAnsi="宋体" w:eastAsia="宋体"/>
          <w:color w:val="auto"/>
          <w:spacing w:val="1"/>
          <w:highlight w:val="none"/>
        </w:rPr>
      </w:pPr>
      <w:r>
        <w:rPr>
          <w:rFonts w:ascii="宋体" w:hAnsi="宋体" w:eastAsia="宋体"/>
          <w:color w:val="auto"/>
          <w:spacing w:val="1"/>
          <w:highlight w:val="none"/>
        </w:rPr>
        <w:t>(</w:t>
      </w:r>
      <w:r>
        <w:rPr>
          <w:rFonts w:ascii="Times New Roman" w:hAnsi="Times New Roman" w:eastAsia="Times New Roman"/>
          <w:color w:val="auto"/>
          <w:spacing w:val="1"/>
          <w:highlight w:val="none"/>
        </w:rPr>
        <w:t>5</w:t>
      </w:r>
      <w:r>
        <w:rPr>
          <w:rFonts w:ascii="宋体" w:hAnsi="宋体" w:eastAsia="宋体"/>
          <w:color w:val="auto"/>
          <w:spacing w:val="1"/>
          <w:highlight w:val="none"/>
        </w:rPr>
        <w:t>) 项目负责人的资格要求：</w:t>
      </w:r>
      <w:r>
        <w:rPr>
          <w:rFonts w:hint="eastAsia" w:ascii="宋体" w:hAnsi="宋体" w:eastAsia="宋体"/>
          <w:color w:val="auto"/>
          <w:spacing w:val="1"/>
          <w:highlight w:val="none"/>
          <w:u w:val="single"/>
        </w:rPr>
        <w:t>详</w:t>
      </w:r>
      <w:r>
        <w:rPr>
          <w:rFonts w:ascii="宋体" w:hAnsi="宋体" w:eastAsia="宋体"/>
          <w:color w:val="auto"/>
          <w:highlight w:val="none"/>
          <w:u w:val="single"/>
        </w:rPr>
        <w:t>见</w:t>
      </w:r>
      <w:r>
        <w:rPr>
          <w:rFonts w:hint="eastAsia" w:ascii="宋体" w:hAnsi="宋体" w:eastAsia="宋体"/>
          <w:color w:val="auto"/>
          <w:highlight w:val="none"/>
          <w:u w:val="single"/>
        </w:rPr>
        <w:t>招标公告</w:t>
      </w:r>
      <w:r>
        <w:rPr>
          <w:rFonts w:ascii="宋体" w:hAnsi="宋体" w:eastAsia="宋体"/>
          <w:color w:val="auto"/>
          <w:spacing w:val="-7"/>
          <w:highlight w:val="none"/>
          <w:u w:val="single"/>
        </w:rPr>
        <w:t>；</w:t>
      </w:r>
    </w:p>
    <w:p w14:paraId="0D0D38B0">
      <w:pPr>
        <w:rPr>
          <w:color w:val="auto"/>
          <w:highlight w:val="none"/>
        </w:rPr>
        <w:sectPr>
          <w:footerReference r:id="rId9" w:type="default"/>
          <w:pgSz w:w="12240" w:h="15840"/>
          <w:pgMar w:top="1346" w:right="1797" w:bottom="1103" w:left="1809" w:header="0" w:footer="940" w:gutter="0"/>
          <w:cols w:space="720" w:num="1"/>
        </w:sectPr>
      </w:pPr>
    </w:p>
    <w:p w14:paraId="719F8ABB">
      <w:pPr>
        <w:spacing w:before="232" w:line="400" w:lineRule="exact"/>
        <w:ind w:left="320"/>
        <w:rPr>
          <w:rFonts w:ascii="宋体" w:hAnsi="宋体" w:eastAsia="宋体"/>
          <w:color w:val="auto"/>
          <w:spacing w:val="14"/>
          <w:position w:val="14"/>
          <w:highlight w:val="none"/>
        </w:rPr>
      </w:pPr>
      <w:r>
        <w:rPr>
          <w:rFonts w:ascii="宋体" w:hAnsi="宋体" w:eastAsia="宋体"/>
          <w:color w:val="auto"/>
          <w:spacing w:val="14"/>
          <w:position w:val="14"/>
          <w:highlight w:val="none"/>
        </w:rPr>
        <w:t>(</w:t>
      </w:r>
      <w:r>
        <w:rPr>
          <w:rFonts w:ascii="Times New Roman" w:hAnsi="Times New Roman" w:eastAsia="Times New Roman"/>
          <w:color w:val="auto"/>
          <w:spacing w:val="13"/>
          <w:position w:val="14"/>
          <w:highlight w:val="none"/>
        </w:rPr>
        <w:t>6</w:t>
      </w:r>
      <w:r>
        <w:rPr>
          <w:rFonts w:ascii="宋体" w:hAnsi="宋体" w:eastAsia="宋体"/>
          <w:color w:val="auto"/>
          <w:spacing w:val="7"/>
          <w:position w:val="14"/>
          <w:highlight w:val="none"/>
        </w:rPr>
        <w:t>)其他主要人员要求：</w:t>
      </w:r>
      <w:r>
        <w:rPr>
          <w:rFonts w:hint="eastAsia" w:ascii="宋体" w:hAnsi="宋体" w:eastAsia="宋体"/>
          <w:color w:val="auto"/>
          <w:spacing w:val="7"/>
          <w:position w:val="14"/>
          <w:highlight w:val="none"/>
          <w:u w:val="single"/>
        </w:rPr>
        <w:t>详</w:t>
      </w:r>
      <w:r>
        <w:rPr>
          <w:rFonts w:ascii="宋体" w:hAnsi="宋体" w:eastAsia="宋体"/>
          <w:color w:val="auto"/>
          <w:spacing w:val="7"/>
          <w:position w:val="14"/>
          <w:highlight w:val="none"/>
          <w:u w:val="single"/>
        </w:rPr>
        <w:t>见</w:t>
      </w:r>
      <w:r>
        <w:rPr>
          <w:rFonts w:hint="eastAsia" w:ascii="宋体" w:hAnsi="宋体" w:eastAsia="宋体"/>
          <w:color w:val="auto"/>
          <w:spacing w:val="7"/>
          <w:position w:val="14"/>
          <w:highlight w:val="none"/>
          <w:u w:val="single"/>
        </w:rPr>
        <w:t>招标公告</w:t>
      </w:r>
      <w:r>
        <w:rPr>
          <w:rFonts w:ascii="宋体" w:hAnsi="宋体" w:eastAsia="宋体"/>
          <w:color w:val="auto"/>
          <w:spacing w:val="7"/>
          <w:position w:val="14"/>
          <w:highlight w:val="none"/>
          <w:u w:val="single"/>
        </w:rPr>
        <w:t>；</w:t>
      </w:r>
    </w:p>
    <w:p w14:paraId="04E57E9E">
      <w:pPr>
        <w:spacing w:line="218" w:lineRule="auto"/>
        <w:ind w:left="320"/>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9"/>
          <w:highlight w:val="none"/>
        </w:rPr>
        <w:t>7</w:t>
      </w:r>
      <w:r>
        <w:rPr>
          <w:rFonts w:ascii="宋体" w:hAnsi="宋体" w:eastAsia="宋体"/>
          <w:color w:val="auto"/>
          <w:spacing w:val="9"/>
          <w:highlight w:val="none"/>
        </w:rPr>
        <w:t>)其他要求：见投标人须知前附表。</w:t>
      </w:r>
    </w:p>
    <w:p w14:paraId="5E953408">
      <w:pPr>
        <w:spacing w:before="150" w:line="220" w:lineRule="auto"/>
        <w:ind w:left="430"/>
        <w:rPr>
          <w:rFonts w:ascii="宋体" w:hAnsi="宋体" w:eastAsia="宋体"/>
          <w:color w:val="auto"/>
          <w:spacing w:val="-6"/>
          <w:highlight w:val="none"/>
        </w:rPr>
      </w:pPr>
      <w:r>
        <w:rPr>
          <w:rFonts w:ascii="宋体" w:hAnsi="宋体" w:eastAsia="宋体"/>
          <w:color w:val="auto"/>
          <w:spacing w:val="-6"/>
          <w:highlight w:val="none"/>
        </w:rPr>
        <w:t>需要提交的相</w:t>
      </w:r>
      <w:r>
        <w:rPr>
          <w:rFonts w:ascii="宋体" w:hAnsi="宋体" w:eastAsia="宋体"/>
          <w:color w:val="auto"/>
          <w:spacing w:val="-3"/>
          <w:highlight w:val="none"/>
        </w:rPr>
        <w:t xml:space="preserve">关证明材料见本章第 </w:t>
      </w:r>
      <w:r>
        <w:rPr>
          <w:rFonts w:ascii="Times New Roman" w:hAnsi="Times New Roman" w:eastAsia="Times New Roman"/>
          <w:color w:val="auto"/>
          <w:spacing w:val="-3"/>
          <w:highlight w:val="none"/>
        </w:rPr>
        <w:t xml:space="preserve">3.5 </w:t>
      </w:r>
      <w:r>
        <w:rPr>
          <w:rFonts w:ascii="宋体" w:hAnsi="宋体" w:eastAsia="宋体"/>
          <w:color w:val="auto"/>
          <w:spacing w:val="-3"/>
          <w:highlight w:val="none"/>
        </w:rPr>
        <w:t>款的规定。</w:t>
      </w:r>
    </w:p>
    <w:p w14:paraId="356CF423">
      <w:pPr>
        <w:spacing w:before="151" w:line="351" w:lineRule="auto"/>
        <w:ind w:left="4" w:right="7" w:firstLine="433"/>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w:t>
      </w:r>
      <w:r>
        <w:rPr>
          <w:rFonts w:ascii="Times New Roman" w:hAnsi="Times New Roman" w:eastAsia="Times New Roman"/>
          <w:color w:val="auto"/>
          <w:spacing w:val="-2"/>
          <w:highlight w:val="none"/>
        </w:rPr>
        <w:t xml:space="preserve">4.2 </w:t>
      </w:r>
      <w:r>
        <w:rPr>
          <w:rFonts w:ascii="宋体" w:hAnsi="宋体" w:eastAsia="宋体"/>
          <w:color w:val="auto"/>
          <w:spacing w:val="-2"/>
          <w:highlight w:val="none"/>
        </w:rPr>
        <w:t xml:space="preserve">投标人须知前附表规定接受联合体投标的，联合体除应符合本章第 </w:t>
      </w:r>
      <w:r>
        <w:rPr>
          <w:rFonts w:ascii="Times New Roman" w:hAnsi="Times New Roman" w:eastAsia="Times New Roman"/>
          <w:color w:val="auto"/>
          <w:spacing w:val="-2"/>
          <w:highlight w:val="none"/>
        </w:rPr>
        <w:t xml:space="preserve">1.4.1 </w:t>
      </w:r>
      <w:r>
        <w:rPr>
          <w:rFonts w:ascii="宋体" w:hAnsi="宋体" w:eastAsia="宋体"/>
          <w:color w:val="auto"/>
          <w:spacing w:val="-2"/>
          <w:highlight w:val="none"/>
        </w:rPr>
        <w:t>项和投标人</w:t>
      </w:r>
      <w:r>
        <w:rPr>
          <w:rFonts w:ascii="宋体" w:hAnsi="宋体" w:eastAsia="宋体"/>
          <w:color w:val="auto"/>
          <w:highlight w:val="none"/>
        </w:rPr>
        <w:t xml:space="preserve"> </w:t>
      </w:r>
      <w:r>
        <w:rPr>
          <w:rFonts w:ascii="宋体" w:hAnsi="宋体" w:eastAsia="宋体"/>
          <w:color w:val="auto"/>
          <w:spacing w:val="-3"/>
          <w:highlight w:val="none"/>
        </w:rPr>
        <w:t>须知前附表的要求外，还应遵守以下规定：</w:t>
      </w:r>
    </w:p>
    <w:p w14:paraId="6D6AE9FD">
      <w:pPr>
        <w:spacing w:before="1" w:line="351" w:lineRule="auto"/>
        <w:ind w:left="1" w:right="13" w:firstLine="319"/>
        <w:rPr>
          <w:rFonts w:ascii="宋体" w:hAnsi="宋体" w:eastAsia="宋体"/>
          <w:color w:val="auto"/>
          <w:spacing w:val="10"/>
          <w:highlight w:val="none"/>
        </w:rPr>
      </w:pPr>
      <w:r>
        <w:rPr>
          <w:rFonts w:ascii="宋体" w:hAnsi="宋体" w:eastAsia="宋体"/>
          <w:color w:val="auto"/>
          <w:spacing w:val="10"/>
          <w:highlight w:val="none"/>
        </w:rPr>
        <w:t>(</w:t>
      </w:r>
      <w:r>
        <w:rPr>
          <w:rFonts w:ascii="Times New Roman" w:hAnsi="Times New Roman" w:eastAsia="Times New Roman"/>
          <w:color w:val="auto"/>
          <w:spacing w:val="10"/>
          <w:highlight w:val="none"/>
        </w:rPr>
        <w:t>1</w:t>
      </w:r>
      <w:r>
        <w:rPr>
          <w:rFonts w:ascii="宋体" w:hAnsi="宋体" w:eastAsia="宋体"/>
          <w:color w:val="auto"/>
          <w:spacing w:val="10"/>
          <w:highlight w:val="none"/>
        </w:rPr>
        <w:t>)联</w:t>
      </w:r>
      <w:r>
        <w:rPr>
          <w:rFonts w:ascii="宋体" w:hAnsi="宋体" w:eastAsia="宋体"/>
          <w:color w:val="auto"/>
          <w:spacing w:val="6"/>
          <w:highlight w:val="none"/>
        </w:rPr>
        <w:t>合</w:t>
      </w:r>
      <w:r>
        <w:rPr>
          <w:rFonts w:ascii="宋体" w:hAnsi="宋体" w:eastAsia="宋体"/>
          <w:color w:val="auto"/>
          <w:spacing w:val="5"/>
          <w:highlight w:val="none"/>
        </w:rPr>
        <w:t>体各方应按招标文件提供的格式签订联合体协议书，明确联合体</w:t>
      </w:r>
      <w:r>
        <w:rPr>
          <w:rFonts w:hint="eastAsia" w:ascii="宋体" w:hAnsi="宋体" w:eastAsia="宋体"/>
          <w:color w:val="auto"/>
          <w:spacing w:val="5"/>
          <w:highlight w:val="none"/>
        </w:rPr>
        <w:t>主办方</w:t>
      </w:r>
      <w:r>
        <w:rPr>
          <w:rFonts w:ascii="宋体" w:hAnsi="宋体" w:eastAsia="宋体"/>
          <w:color w:val="auto"/>
          <w:spacing w:val="5"/>
          <w:highlight w:val="none"/>
        </w:rPr>
        <w:t>和各方权</w:t>
      </w:r>
      <w:r>
        <w:rPr>
          <w:rFonts w:ascii="宋体" w:hAnsi="宋体" w:eastAsia="宋体"/>
          <w:color w:val="auto"/>
          <w:highlight w:val="none"/>
        </w:rPr>
        <w:t xml:space="preserve"> </w:t>
      </w:r>
      <w:r>
        <w:rPr>
          <w:rFonts w:ascii="宋体" w:hAnsi="宋体" w:eastAsia="宋体"/>
          <w:color w:val="auto"/>
          <w:spacing w:val="-4"/>
          <w:highlight w:val="none"/>
        </w:rPr>
        <w:t>利义务，</w:t>
      </w:r>
      <w:r>
        <w:rPr>
          <w:rFonts w:ascii="宋体" w:hAnsi="宋体" w:eastAsia="宋体"/>
          <w:color w:val="auto"/>
          <w:spacing w:val="-3"/>
          <w:highlight w:val="none"/>
        </w:rPr>
        <w:t>并</w:t>
      </w:r>
      <w:r>
        <w:rPr>
          <w:rFonts w:ascii="宋体" w:hAnsi="宋体" w:eastAsia="宋体"/>
          <w:color w:val="auto"/>
          <w:spacing w:val="-2"/>
          <w:highlight w:val="none"/>
        </w:rPr>
        <w:t>承诺就中标项目向招标人承担连带责任；</w:t>
      </w:r>
    </w:p>
    <w:p w14:paraId="3DD56486">
      <w:pPr>
        <w:spacing w:before="1" w:line="218" w:lineRule="auto"/>
        <w:ind w:left="320"/>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4"/>
          <w:highlight w:val="none"/>
        </w:rPr>
        <w:t>2</w:t>
      </w:r>
      <w:r>
        <w:rPr>
          <w:rFonts w:ascii="宋体" w:hAnsi="宋体" w:eastAsia="宋体"/>
          <w:color w:val="auto"/>
          <w:spacing w:val="4"/>
          <w:highlight w:val="none"/>
        </w:rPr>
        <w:t>)由同一专业的单位组成的联合体，按照资质等级较低的单位确定资质等级；</w:t>
      </w:r>
    </w:p>
    <w:p w14:paraId="7992AFB2">
      <w:pPr>
        <w:spacing w:before="151" w:line="352" w:lineRule="auto"/>
        <w:ind w:left="4" w:right="13" w:firstLine="316"/>
        <w:rPr>
          <w:rFonts w:ascii="宋体" w:hAnsi="宋体" w:eastAsia="宋体"/>
          <w:color w:val="auto"/>
          <w:spacing w:val="10"/>
          <w:highlight w:val="none"/>
        </w:rPr>
      </w:pPr>
      <w:r>
        <w:rPr>
          <w:rFonts w:ascii="宋体" w:hAnsi="宋体" w:eastAsia="宋体"/>
          <w:color w:val="auto"/>
          <w:spacing w:val="10"/>
          <w:highlight w:val="none"/>
        </w:rPr>
        <w:t>(</w:t>
      </w:r>
      <w:r>
        <w:rPr>
          <w:rFonts w:ascii="Times New Roman" w:hAnsi="Times New Roman" w:eastAsia="Times New Roman"/>
          <w:color w:val="auto"/>
          <w:spacing w:val="10"/>
          <w:highlight w:val="none"/>
        </w:rPr>
        <w:t>3</w:t>
      </w:r>
      <w:r>
        <w:rPr>
          <w:rFonts w:ascii="宋体" w:hAnsi="宋体" w:eastAsia="宋体"/>
          <w:color w:val="auto"/>
          <w:spacing w:val="10"/>
          <w:highlight w:val="none"/>
        </w:rPr>
        <w:t>)联</w:t>
      </w:r>
      <w:r>
        <w:rPr>
          <w:rFonts w:ascii="宋体" w:hAnsi="宋体" w:eastAsia="宋体"/>
          <w:color w:val="auto"/>
          <w:spacing w:val="6"/>
          <w:highlight w:val="none"/>
        </w:rPr>
        <w:t>合</w:t>
      </w:r>
      <w:r>
        <w:rPr>
          <w:rFonts w:ascii="宋体" w:hAnsi="宋体" w:eastAsia="宋体"/>
          <w:color w:val="auto"/>
          <w:spacing w:val="5"/>
          <w:highlight w:val="none"/>
        </w:rPr>
        <w:t>体各方不得再以自己名义单独或参加其他联合体在本招标项目中投标，否则各相</w:t>
      </w:r>
      <w:r>
        <w:rPr>
          <w:rFonts w:ascii="宋体" w:hAnsi="宋体" w:eastAsia="宋体"/>
          <w:color w:val="auto"/>
          <w:highlight w:val="none"/>
        </w:rPr>
        <w:t xml:space="preserve"> </w:t>
      </w:r>
      <w:r>
        <w:rPr>
          <w:rFonts w:ascii="宋体" w:hAnsi="宋体" w:eastAsia="宋体"/>
          <w:color w:val="auto"/>
          <w:spacing w:val="-6"/>
          <w:highlight w:val="none"/>
        </w:rPr>
        <w:t>关</w:t>
      </w:r>
      <w:r>
        <w:rPr>
          <w:rFonts w:ascii="宋体" w:hAnsi="宋体" w:eastAsia="宋体"/>
          <w:color w:val="auto"/>
          <w:spacing w:val="-5"/>
          <w:highlight w:val="none"/>
        </w:rPr>
        <w:t>投标均无效。</w:t>
      </w:r>
    </w:p>
    <w:p w14:paraId="083942E3">
      <w:pPr>
        <w:spacing w:line="220" w:lineRule="auto"/>
        <w:ind w:left="437"/>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1.</w:t>
      </w:r>
      <w:r>
        <w:rPr>
          <w:rFonts w:ascii="Times New Roman" w:hAnsi="Times New Roman" w:eastAsia="Times New Roman"/>
          <w:color w:val="auto"/>
          <w:spacing w:val="-4"/>
          <w:highlight w:val="none"/>
        </w:rPr>
        <w:t>4</w:t>
      </w:r>
      <w:r>
        <w:rPr>
          <w:rFonts w:ascii="Times New Roman" w:hAnsi="Times New Roman" w:eastAsia="Times New Roman"/>
          <w:color w:val="auto"/>
          <w:spacing w:val="-3"/>
          <w:highlight w:val="none"/>
        </w:rPr>
        <w:t xml:space="preserve">.3  </w:t>
      </w:r>
      <w:r>
        <w:rPr>
          <w:rFonts w:ascii="宋体" w:hAnsi="宋体" w:eastAsia="宋体"/>
          <w:color w:val="auto"/>
          <w:spacing w:val="-3"/>
          <w:highlight w:val="none"/>
        </w:rPr>
        <w:t>投标人不得存在下列情形之一：</w:t>
      </w:r>
    </w:p>
    <w:p w14:paraId="68D2B378">
      <w:pPr>
        <w:spacing w:before="149" w:line="218" w:lineRule="auto"/>
        <w:ind w:left="426"/>
        <w:rPr>
          <w:rFonts w:ascii="宋体" w:hAnsi="宋体" w:eastAsia="宋体"/>
          <w:color w:val="auto"/>
          <w:spacing w:val="11"/>
          <w:highlight w:val="none"/>
        </w:rPr>
      </w:pPr>
      <w:r>
        <w:rPr>
          <w:rFonts w:ascii="宋体" w:hAnsi="宋体" w:eastAsia="宋体"/>
          <w:color w:val="auto"/>
          <w:spacing w:val="11"/>
          <w:highlight w:val="none"/>
        </w:rPr>
        <w:t>(</w:t>
      </w:r>
      <w:r>
        <w:rPr>
          <w:rFonts w:ascii="Times New Roman" w:hAnsi="Times New Roman" w:eastAsia="Times New Roman"/>
          <w:color w:val="auto"/>
          <w:spacing w:val="11"/>
          <w:highlight w:val="none"/>
        </w:rPr>
        <w:t>1</w:t>
      </w:r>
      <w:r>
        <w:rPr>
          <w:rFonts w:ascii="宋体" w:hAnsi="宋体" w:eastAsia="宋体"/>
          <w:color w:val="auto"/>
          <w:spacing w:val="11"/>
          <w:highlight w:val="none"/>
        </w:rPr>
        <w:t>)为招标人不具有独立法人资格的附属机构(单位)；</w:t>
      </w:r>
    </w:p>
    <w:p w14:paraId="2AF03E9C">
      <w:pPr>
        <w:spacing w:before="153" w:line="220" w:lineRule="auto"/>
        <w:ind w:left="426"/>
        <w:rPr>
          <w:rFonts w:ascii="宋体" w:hAnsi="宋体" w:eastAsia="宋体"/>
          <w:color w:val="auto"/>
          <w:spacing w:val="9"/>
          <w:highlight w:val="none"/>
        </w:rPr>
      </w:pPr>
      <w:r>
        <w:rPr>
          <w:rFonts w:ascii="宋体" w:hAnsi="宋体" w:eastAsia="宋体"/>
          <w:color w:val="auto"/>
          <w:spacing w:val="9"/>
          <w:highlight w:val="none"/>
        </w:rPr>
        <w:t>(</w:t>
      </w:r>
      <w:r>
        <w:rPr>
          <w:rFonts w:ascii="Times New Roman" w:hAnsi="Times New Roman" w:eastAsia="Times New Roman"/>
          <w:color w:val="auto"/>
          <w:spacing w:val="6"/>
          <w:highlight w:val="none"/>
        </w:rPr>
        <w:t>2</w:t>
      </w:r>
      <w:r>
        <w:rPr>
          <w:rFonts w:ascii="宋体" w:hAnsi="宋体" w:eastAsia="宋体"/>
          <w:color w:val="auto"/>
          <w:spacing w:val="6"/>
          <w:highlight w:val="none"/>
        </w:rPr>
        <w:t>)与招标人存在利害关系且可能影响招标公正性；</w:t>
      </w:r>
    </w:p>
    <w:p w14:paraId="4AA9C602">
      <w:pPr>
        <w:spacing w:before="149" w:line="217" w:lineRule="auto"/>
        <w:ind w:left="426"/>
        <w:rPr>
          <w:rFonts w:ascii="宋体" w:hAnsi="宋体" w:eastAsia="宋体"/>
          <w:color w:val="auto"/>
          <w:spacing w:val="6"/>
          <w:highlight w:val="none"/>
        </w:rPr>
      </w:pPr>
      <w:r>
        <w:rPr>
          <w:rFonts w:ascii="宋体" w:hAnsi="宋体" w:eastAsia="宋体"/>
          <w:color w:val="auto"/>
          <w:spacing w:val="6"/>
          <w:highlight w:val="none"/>
        </w:rPr>
        <w:t>(</w:t>
      </w:r>
      <w:r>
        <w:rPr>
          <w:rFonts w:ascii="Times New Roman" w:hAnsi="Times New Roman" w:eastAsia="Times New Roman"/>
          <w:color w:val="auto"/>
          <w:spacing w:val="6"/>
          <w:highlight w:val="none"/>
        </w:rPr>
        <w:t>3</w:t>
      </w:r>
      <w:r>
        <w:rPr>
          <w:rFonts w:ascii="宋体" w:hAnsi="宋体" w:eastAsia="宋体"/>
          <w:color w:val="auto"/>
          <w:spacing w:val="6"/>
          <w:highlight w:val="none"/>
        </w:rPr>
        <w:t>)与本招标项目的其他投标人为同一个单位负责人</w:t>
      </w:r>
      <w:r>
        <w:rPr>
          <w:rFonts w:ascii="宋体" w:hAnsi="宋体" w:eastAsia="宋体"/>
          <w:color w:val="auto"/>
          <w:spacing w:val="3"/>
          <w:highlight w:val="none"/>
        </w:rPr>
        <w:t>；</w:t>
      </w:r>
    </w:p>
    <w:p w14:paraId="21C1A4A2">
      <w:pPr>
        <w:spacing w:before="153" w:line="218" w:lineRule="auto"/>
        <w:ind w:left="426"/>
        <w:rPr>
          <w:rFonts w:ascii="宋体" w:hAnsi="宋体" w:eastAsia="宋体"/>
          <w:color w:val="auto"/>
          <w:spacing w:val="6"/>
          <w:highlight w:val="none"/>
        </w:rPr>
      </w:pPr>
      <w:r>
        <w:rPr>
          <w:rFonts w:ascii="宋体" w:hAnsi="宋体" w:eastAsia="宋体"/>
          <w:color w:val="auto"/>
          <w:spacing w:val="6"/>
          <w:highlight w:val="none"/>
        </w:rPr>
        <w:t>(</w:t>
      </w:r>
      <w:r>
        <w:rPr>
          <w:rFonts w:ascii="Times New Roman" w:hAnsi="Times New Roman" w:eastAsia="Times New Roman"/>
          <w:color w:val="auto"/>
          <w:spacing w:val="6"/>
          <w:highlight w:val="none"/>
        </w:rPr>
        <w:t>4</w:t>
      </w:r>
      <w:r>
        <w:rPr>
          <w:rFonts w:ascii="宋体" w:hAnsi="宋体" w:eastAsia="宋体"/>
          <w:color w:val="auto"/>
          <w:spacing w:val="6"/>
          <w:highlight w:val="none"/>
        </w:rPr>
        <w:t>)与本招标项目的其他投标人存在控股、管理关系</w:t>
      </w:r>
      <w:r>
        <w:rPr>
          <w:rFonts w:ascii="宋体" w:hAnsi="宋体" w:eastAsia="宋体"/>
          <w:color w:val="auto"/>
          <w:spacing w:val="3"/>
          <w:highlight w:val="none"/>
        </w:rPr>
        <w:t>；</w:t>
      </w:r>
    </w:p>
    <w:p w14:paraId="24DD5024">
      <w:pPr>
        <w:spacing w:before="152" w:line="219" w:lineRule="auto"/>
        <w:ind w:left="426"/>
        <w:rPr>
          <w:rFonts w:ascii="宋体" w:hAnsi="宋体" w:eastAsia="宋体"/>
          <w:color w:val="auto"/>
          <w:spacing w:val="17"/>
          <w:highlight w:val="none"/>
        </w:rPr>
      </w:pPr>
      <w:r>
        <w:rPr>
          <w:rFonts w:ascii="宋体" w:hAnsi="宋体" w:eastAsia="宋体"/>
          <w:color w:val="auto"/>
          <w:spacing w:val="17"/>
          <w:highlight w:val="none"/>
        </w:rPr>
        <w:t>(</w:t>
      </w:r>
      <w:r>
        <w:rPr>
          <w:rFonts w:ascii="Times New Roman" w:hAnsi="Times New Roman" w:eastAsia="Times New Roman"/>
          <w:color w:val="auto"/>
          <w:spacing w:val="10"/>
          <w:highlight w:val="none"/>
        </w:rPr>
        <w:t>5</w:t>
      </w:r>
      <w:r>
        <w:rPr>
          <w:rFonts w:ascii="宋体" w:hAnsi="宋体" w:eastAsia="宋体"/>
          <w:color w:val="auto"/>
          <w:spacing w:val="10"/>
          <w:highlight w:val="none"/>
        </w:rPr>
        <w:t>)为本招标项目的代建人；</w:t>
      </w:r>
    </w:p>
    <w:p w14:paraId="61B0CD63">
      <w:pPr>
        <w:spacing w:before="151" w:line="219" w:lineRule="auto"/>
        <w:ind w:left="426"/>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1"/>
          <w:highlight w:val="none"/>
        </w:rPr>
        <w:t>6</w:t>
      </w:r>
      <w:r>
        <w:rPr>
          <w:rFonts w:ascii="宋体" w:hAnsi="宋体" w:eastAsia="宋体"/>
          <w:color w:val="auto"/>
          <w:spacing w:val="8"/>
          <w:highlight w:val="none"/>
        </w:rPr>
        <w:t>)为本招标项目的招标代理机构；</w:t>
      </w:r>
    </w:p>
    <w:p w14:paraId="41AE0573">
      <w:pPr>
        <w:autoSpaceDE/>
        <w:autoSpaceDN/>
        <w:spacing w:before="151" w:line="219" w:lineRule="auto"/>
        <w:ind w:left="426"/>
        <w:rPr>
          <w:rFonts w:ascii="宋体" w:hAnsi="宋体" w:eastAsia="宋体"/>
          <w:color w:val="auto"/>
          <w:spacing w:val="8"/>
          <w:highlight w:val="none"/>
        </w:rPr>
      </w:pPr>
      <w:r>
        <w:rPr>
          <w:rFonts w:ascii="宋体" w:hAnsi="宋体" w:eastAsia="宋体"/>
          <w:color w:val="auto"/>
          <w:spacing w:val="8"/>
          <w:highlight w:val="none"/>
        </w:rPr>
        <w:t>(7)与本招标项目的代建人或招标代理机构同为一个法定代表人；</w:t>
      </w:r>
    </w:p>
    <w:p w14:paraId="1F97EB91">
      <w:pPr>
        <w:autoSpaceDE/>
        <w:autoSpaceDN/>
        <w:spacing w:before="151" w:line="219" w:lineRule="auto"/>
        <w:ind w:left="426"/>
        <w:rPr>
          <w:rFonts w:ascii="宋体" w:hAnsi="宋体" w:eastAsia="宋体"/>
          <w:color w:val="auto"/>
          <w:spacing w:val="8"/>
          <w:highlight w:val="none"/>
        </w:rPr>
      </w:pPr>
      <w:r>
        <w:rPr>
          <w:rFonts w:ascii="宋体" w:hAnsi="宋体" w:eastAsia="宋体"/>
          <w:color w:val="auto"/>
          <w:spacing w:val="8"/>
          <w:highlight w:val="none"/>
        </w:rPr>
        <w:t>(8)与本招标项目的代建人或招标代理机构存在控股或参股关系；</w:t>
      </w:r>
    </w:p>
    <w:p w14:paraId="754AF6CC">
      <w:pPr>
        <w:autoSpaceDE/>
        <w:autoSpaceDN/>
        <w:spacing w:before="148" w:line="353" w:lineRule="auto"/>
        <w:ind w:firstLine="452" w:firstLineChars="200"/>
        <w:rPr>
          <w:rFonts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9</w:t>
      </w:r>
      <w:r>
        <w:rPr>
          <w:rFonts w:ascii="宋体" w:hAnsi="宋体" w:eastAsia="宋体"/>
          <w:color w:val="auto"/>
          <w:spacing w:val="8"/>
          <w:highlight w:val="none"/>
        </w:rPr>
        <w:t>)</w:t>
      </w:r>
      <w:r>
        <w:rPr>
          <w:rFonts w:hint="eastAsia" w:ascii="宋体" w:hAnsi="宋体" w:eastAsia="宋体"/>
          <w:color w:val="auto"/>
          <w:spacing w:val="8"/>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FC1B054">
      <w:pPr>
        <w:autoSpaceDE/>
        <w:autoSpaceDN/>
        <w:spacing w:before="148" w:line="360" w:lineRule="auto"/>
        <w:ind w:firstLine="452" w:firstLineChars="200"/>
        <w:rPr>
          <w:rFonts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10</w:t>
      </w:r>
      <w:r>
        <w:rPr>
          <w:rFonts w:ascii="宋体" w:hAnsi="宋体" w:eastAsia="宋体"/>
          <w:color w:val="auto"/>
          <w:spacing w:val="8"/>
          <w:highlight w:val="none"/>
        </w:rPr>
        <w:t>)</w:t>
      </w:r>
      <w:r>
        <w:rPr>
          <w:rFonts w:hint="eastAsia" w:ascii="宋体" w:hAnsi="宋体" w:eastAsia="宋体"/>
          <w:color w:val="auto"/>
          <w:spacing w:val="8"/>
          <w:highlight w:val="none"/>
        </w:rPr>
        <w:t>被责令停产停业、暂扣或者吊销许可证、暂扣或者吊销执照的(本项事实应当以根据《中华人民共和国行政处罚法》依法作出并已经生效的行政处罚决定为认定依据)；</w:t>
      </w:r>
    </w:p>
    <w:p w14:paraId="22A6D4BD">
      <w:pPr>
        <w:autoSpaceDE/>
        <w:autoSpaceDN/>
        <w:spacing w:before="148" w:line="353" w:lineRule="auto"/>
        <w:ind w:firstLine="452" w:firstLineChars="200"/>
        <w:rPr>
          <w:rFonts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11</w:t>
      </w:r>
      <w:r>
        <w:rPr>
          <w:rFonts w:ascii="宋体" w:hAnsi="宋体" w:eastAsia="宋体"/>
          <w:color w:val="auto"/>
          <w:spacing w:val="8"/>
          <w:highlight w:val="none"/>
        </w:rPr>
        <w:t>)</w:t>
      </w:r>
      <w:r>
        <w:rPr>
          <w:rFonts w:hint="eastAsia" w:ascii="宋体" w:hAnsi="宋体" w:eastAsia="宋体"/>
          <w:color w:val="auto"/>
          <w:spacing w:val="8"/>
          <w:highlight w:val="none"/>
        </w:rPr>
        <w:t>进入清算程序，或被宣布破产，或其他丧失履约能力的情形；</w:t>
      </w:r>
    </w:p>
    <w:p w14:paraId="7D5C5E88">
      <w:pPr>
        <w:autoSpaceDE/>
        <w:autoSpaceDN/>
        <w:spacing w:before="148" w:line="353" w:lineRule="auto"/>
        <w:ind w:firstLine="452" w:firstLineChars="200"/>
        <w:rPr>
          <w:rFonts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12</w:t>
      </w:r>
      <w:r>
        <w:rPr>
          <w:rFonts w:ascii="宋体" w:hAnsi="宋体" w:eastAsia="宋体"/>
          <w:color w:val="auto"/>
          <w:spacing w:val="8"/>
          <w:highlight w:val="none"/>
        </w:rPr>
        <w:t>)</w:t>
      </w:r>
      <w:r>
        <w:rPr>
          <w:rFonts w:hint="eastAsia" w:ascii="宋体" w:hAnsi="宋体" w:eastAsia="宋体"/>
          <w:color w:val="auto"/>
          <w:spacing w:val="8"/>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0C82DB7">
      <w:pPr>
        <w:spacing w:before="151" w:line="351" w:lineRule="auto"/>
        <w:ind w:left="3" w:right="22" w:firstLine="423"/>
        <w:rPr>
          <w:rFonts w:ascii="宋体" w:hAnsi="宋体" w:eastAsia="宋体"/>
          <w:color w:val="auto"/>
          <w:highlight w:val="none"/>
        </w:rPr>
      </w:pPr>
    </w:p>
    <w:p w14:paraId="6802C0BA">
      <w:pPr>
        <w:spacing w:before="151" w:line="351" w:lineRule="auto"/>
        <w:ind w:left="3" w:right="22" w:firstLine="423"/>
        <w:rPr>
          <w:rFonts w:ascii="宋体" w:hAnsi="宋体" w:eastAsia="宋体"/>
          <w:color w:val="auto"/>
          <w:spacing w:val="12"/>
          <w:highlight w:val="none"/>
        </w:rPr>
      </w:pPr>
      <w:r>
        <w:rPr>
          <w:rFonts w:ascii="宋体" w:hAnsi="宋体" w:eastAsia="宋体"/>
          <w:color w:val="auto"/>
          <w:spacing w:val="12"/>
          <w:highlight w:val="none"/>
        </w:rPr>
        <w:t>(</w:t>
      </w:r>
      <w:r>
        <w:rPr>
          <w:rFonts w:ascii="宋体" w:hAnsi="宋体" w:eastAsia="宋体"/>
          <w:color w:val="auto"/>
          <w:spacing w:val="8"/>
          <w:highlight w:val="none"/>
        </w:rPr>
        <w:t>1</w:t>
      </w:r>
      <w:r>
        <w:rPr>
          <w:rFonts w:hint="eastAsia" w:ascii="宋体" w:hAnsi="宋体" w:eastAsia="宋体"/>
          <w:color w:val="auto"/>
          <w:spacing w:val="8"/>
          <w:highlight w:val="none"/>
        </w:rPr>
        <w:t>3</w:t>
      </w:r>
      <w:r>
        <w:rPr>
          <w:rFonts w:ascii="宋体" w:hAnsi="宋体" w:eastAsia="宋体"/>
          <w:color w:val="auto"/>
          <w:spacing w:val="6"/>
          <w:highlight w:val="none"/>
        </w:rPr>
        <w:t>)</w:t>
      </w:r>
      <w:r>
        <w:rPr>
          <w:rFonts w:ascii="宋体" w:hAnsi="宋体" w:eastAsia="宋体"/>
          <w:color w:val="auto"/>
          <w:spacing w:val="8"/>
          <w:highlight w:val="none"/>
        </w:rPr>
        <w:t>在投标文件有关技术方案和要求中不得指定与工程建设项目有关的重要设备、材料的生产供应者，或者含有倾向或者排斥特定生产供应者的内容</w:t>
      </w:r>
      <w:r>
        <w:rPr>
          <w:rFonts w:hint="eastAsia" w:ascii="宋体" w:hAnsi="宋体" w:eastAsia="宋体"/>
          <w:color w:val="auto"/>
          <w:spacing w:val="6"/>
          <w:highlight w:val="none"/>
        </w:rPr>
        <w:t>；</w:t>
      </w:r>
    </w:p>
    <w:p w14:paraId="1DB823EA">
      <w:pPr>
        <w:spacing w:before="151" w:line="351" w:lineRule="auto"/>
        <w:ind w:left="3" w:right="22" w:firstLine="423"/>
        <w:rPr>
          <w:rFonts w:ascii="宋体" w:hAnsi="宋体" w:eastAsia="宋体"/>
          <w:color w:val="auto"/>
          <w:spacing w:val="8"/>
          <w:highlight w:val="none"/>
        </w:rPr>
      </w:pPr>
      <w:r>
        <w:rPr>
          <w:rFonts w:ascii="宋体" w:hAnsi="宋体" w:eastAsia="宋体"/>
          <w:color w:val="auto"/>
          <w:spacing w:val="8"/>
          <w:highlight w:val="none"/>
        </w:rPr>
        <w:t>(1</w:t>
      </w:r>
      <w:r>
        <w:rPr>
          <w:rFonts w:hint="eastAsia" w:ascii="宋体" w:hAnsi="宋体" w:eastAsia="宋体"/>
          <w:color w:val="auto"/>
          <w:spacing w:val="8"/>
          <w:highlight w:val="none"/>
        </w:rPr>
        <w:t>4</w:t>
      </w:r>
      <w:r>
        <w:rPr>
          <w:rFonts w:ascii="宋体" w:hAnsi="宋体" w:eastAsia="宋体"/>
          <w:color w:val="auto"/>
          <w:spacing w:val="8"/>
          <w:highlight w:val="none"/>
        </w:rPr>
        <w:t>)</w:t>
      </w:r>
      <w:r>
        <w:rPr>
          <w:rFonts w:ascii="宋体" w:hAnsi="宋体" w:eastAsia="宋体"/>
          <w:color w:val="auto"/>
          <w:spacing w:val="6"/>
          <w:highlight w:val="none"/>
        </w:rPr>
        <w:t>法律法规或投标人须知前附表规定的其他情形</w:t>
      </w:r>
      <w:r>
        <w:rPr>
          <w:rFonts w:ascii="宋体" w:hAnsi="宋体" w:eastAsia="宋体"/>
          <w:color w:val="auto"/>
          <w:spacing w:val="8"/>
          <w:highlight w:val="none"/>
        </w:rPr>
        <w:t>。</w:t>
      </w:r>
    </w:p>
    <w:p w14:paraId="0C54DE18">
      <w:pPr>
        <w:rPr>
          <w:rFonts w:ascii="Times New Roman" w:hAnsi="Times New Roman" w:eastAsiaTheme="minorEastAsia"/>
          <w:b/>
          <w:bCs/>
          <w:color w:val="auto"/>
          <w:spacing w:val="5"/>
          <w:sz w:val="27"/>
          <w:szCs w:val="27"/>
          <w:highlight w:val="none"/>
        </w:rPr>
      </w:pPr>
    </w:p>
    <w:p w14:paraId="4609489C">
      <w:pPr>
        <w:rPr>
          <w:rFonts w:ascii="Times New Roman" w:hAnsi="Times New Roman" w:eastAsia="Times New Roman"/>
          <w:b/>
          <w:bCs/>
          <w:color w:val="auto"/>
          <w:spacing w:val="5"/>
          <w:sz w:val="27"/>
          <w:szCs w:val="27"/>
          <w:highlight w:val="none"/>
        </w:rPr>
      </w:pPr>
      <w:r>
        <w:rPr>
          <w:rFonts w:ascii="Times New Roman" w:hAnsi="Times New Roman" w:eastAsia="Times New Roman"/>
          <w:b/>
          <w:bCs/>
          <w:color w:val="auto"/>
          <w:spacing w:val="5"/>
          <w:sz w:val="27"/>
          <w:szCs w:val="27"/>
          <w:highlight w:val="none"/>
        </w:rPr>
        <w:t xml:space="preserve">1.5  </w:t>
      </w:r>
      <w:r>
        <w:rPr>
          <w:rFonts w:hint="eastAsia" w:ascii="宋体" w:hAnsi="宋体" w:eastAsia="宋体" w:cs="宋体"/>
          <w:b/>
          <w:bCs/>
          <w:color w:val="auto"/>
          <w:spacing w:val="5"/>
          <w:sz w:val="27"/>
          <w:szCs w:val="27"/>
          <w:highlight w:val="none"/>
        </w:rPr>
        <w:t>费用承担</w:t>
      </w:r>
    </w:p>
    <w:p w14:paraId="1E92460A">
      <w:pPr>
        <w:spacing w:before="68" w:line="220" w:lineRule="auto"/>
        <w:ind w:left="423"/>
        <w:rPr>
          <w:rFonts w:ascii="宋体" w:hAnsi="宋体" w:eastAsia="宋体"/>
          <w:color w:val="auto"/>
          <w:spacing w:val="-1"/>
          <w:highlight w:val="none"/>
        </w:rPr>
      </w:pPr>
      <w:r>
        <w:rPr>
          <w:rFonts w:ascii="宋体" w:hAnsi="宋体" w:eastAsia="宋体"/>
          <w:color w:val="auto"/>
          <w:spacing w:val="-2"/>
          <w:highlight w:val="none"/>
        </w:rPr>
        <w:t>投标人准备和参加投标活动发生的费用自理</w:t>
      </w:r>
      <w:r>
        <w:rPr>
          <w:rFonts w:ascii="宋体" w:hAnsi="宋体" w:eastAsia="宋体"/>
          <w:color w:val="auto"/>
          <w:spacing w:val="-1"/>
          <w:highlight w:val="none"/>
        </w:rPr>
        <w:t>。</w:t>
      </w:r>
    </w:p>
    <w:p w14:paraId="42A1CB88">
      <w:pPr>
        <w:pStyle w:val="2"/>
        <w:rPr>
          <w:rFonts w:eastAsiaTheme="minorEastAsia"/>
          <w:color w:val="auto"/>
          <w:highlight w:val="none"/>
        </w:rPr>
      </w:pPr>
    </w:p>
    <w:p w14:paraId="52317F02">
      <w:pPr>
        <w:rPr>
          <w:rFonts w:ascii="Times New Roman" w:hAnsi="Times New Roman" w:eastAsia="Times New Roman"/>
          <w:b/>
          <w:bCs/>
          <w:color w:val="auto"/>
          <w:spacing w:val="1"/>
          <w:sz w:val="27"/>
          <w:szCs w:val="27"/>
          <w:highlight w:val="none"/>
        </w:rPr>
      </w:pPr>
      <w:bookmarkStart w:id="116" w:name="_Toc1659"/>
      <w:bookmarkStart w:id="117" w:name="_Toc22983"/>
      <w:bookmarkStart w:id="118" w:name="_Toc28683"/>
      <w:bookmarkStart w:id="119" w:name="_Toc8766"/>
      <w:bookmarkStart w:id="120" w:name="_Toc21663"/>
      <w:r>
        <w:rPr>
          <w:rFonts w:ascii="Times New Roman" w:hAnsi="Times New Roman" w:eastAsia="Times New Roman"/>
          <w:b/>
          <w:bCs/>
          <w:color w:val="auto"/>
          <w:spacing w:val="1"/>
          <w:sz w:val="27"/>
          <w:szCs w:val="27"/>
          <w:highlight w:val="none"/>
        </w:rPr>
        <w:t>1.6</w:t>
      </w:r>
      <w:r>
        <w:rPr>
          <w:rFonts w:ascii="Times New Roman" w:hAnsi="Times New Roman" w:eastAsia="Times New Roman"/>
          <w:b/>
          <w:bCs/>
          <w:color w:val="auto"/>
          <w:sz w:val="27"/>
          <w:szCs w:val="27"/>
          <w:highlight w:val="none"/>
        </w:rPr>
        <w:t xml:space="preserve"> </w:t>
      </w:r>
      <w:r>
        <w:rPr>
          <w:rFonts w:ascii="黑体" w:hAnsi="黑体" w:eastAsia="黑体"/>
          <w:b/>
          <w:bCs/>
          <w:color w:val="auto"/>
          <w:sz w:val="27"/>
          <w:szCs w:val="27"/>
          <w:highlight w:val="none"/>
        </w:rPr>
        <w:t>保密</w:t>
      </w:r>
      <w:bookmarkEnd w:id="116"/>
      <w:bookmarkEnd w:id="117"/>
      <w:bookmarkEnd w:id="118"/>
      <w:bookmarkEnd w:id="119"/>
      <w:bookmarkEnd w:id="120"/>
    </w:p>
    <w:p w14:paraId="7808C0DE">
      <w:pPr>
        <w:spacing w:before="69" w:line="359" w:lineRule="auto"/>
        <w:ind w:left="1" w:right="80" w:firstLine="420"/>
        <w:rPr>
          <w:rFonts w:ascii="宋体" w:hAnsi="宋体" w:eastAsia="宋体"/>
          <w:color w:val="auto"/>
          <w:spacing w:val="-3"/>
          <w:highlight w:val="none"/>
        </w:rPr>
      </w:pPr>
      <w:r>
        <w:rPr>
          <w:rFonts w:ascii="宋体" w:hAnsi="宋体" w:eastAsia="宋体"/>
          <w:color w:val="auto"/>
          <w:spacing w:val="1"/>
          <w:highlight w:val="none"/>
        </w:rPr>
        <w:t>参与招标投标活动的各方应对招</w:t>
      </w:r>
      <w:r>
        <w:rPr>
          <w:rFonts w:ascii="宋体" w:hAnsi="宋体" w:eastAsia="宋体"/>
          <w:color w:val="auto"/>
          <w:highlight w:val="none"/>
        </w:rPr>
        <w:t xml:space="preserve">标文件和投标文件中的商业和技术等秘密保密，否则应承 </w:t>
      </w:r>
      <w:r>
        <w:rPr>
          <w:rFonts w:ascii="宋体" w:hAnsi="宋体" w:eastAsia="宋体"/>
          <w:color w:val="auto"/>
          <w:spacing w:val="-4"/>
          <w:highlight w:val="none"/>
        </w:rPr>
        <w:t>担相应的法律责任</w:t>
      </w:r>
      <w:r>
        <w:rPr>
          <w:rFonts w:ascii="宋体" w:hAnsi="宋体" w:eastAsia="宋体"/>
          <w:color w:val="auto"/>
          <w:spacing w:val="-3"/>
          <w:highlight w:val="none"/>
        </w:rPr>
        <w:t>。</w:t>
      </w:r>
    </w:p>
    <w:p w14:paraId="028508C8">
      <w:pPr>
        <w:pStyle w:val="2"/>
        <w:rPr>
          <w:rFonts w:eastAsiaTheme="minorEastAsia"/>
          <w:color w:val="auto"/>
          <w:highlight w:val="none"/>
        </w:rPr>
      </w:pPr>
    </w:p>
    <w:p w14:paraId="351761A1">
      <w:pPr>
        <w:rPr>
          <w:rFonts w:ascii="Times New Roman" w:hAnsi="Times New Roman" w:eastAsia="Times New Roman"/>
          <w:b/>
          <w:bCs/>
          <w:color w:val="auto"/>
          <w:spacing w:val="1"/>
          <w:sz w:val="27"/>
          <w:szCs w:val="27"/>
          <w:highlight w:val="none"/>
        </w:rPr>
      </w:pPr>
      <w:bookmarkStart w:id="121" w:name="_Toc13173"/>
      <w:bookmarkStart w:id="122" w:name="_Toc19771"/>
      <w:bookmarkStart w:id="123" w:name="_Toc13936"/>
      <w:bookmarkStart w:id="124" w:name="_Toc8611"/>
      <w:bookmarkStart w:id="125" w:name="_Toc8781"/>
      <w:r>
        <w:rPr>
          <w:rFonts w:ascii="Times New Roman" w:hAnsi="Times New Roman" w:eastAsia="Times New Roman"/>
          <w:b/>
          <w:bCs/>
          <w:color w:val="auto"/>
          <w:spacing w:val="1"/>
          <w:sz w:val="27"/>
          <w:szCs w:val="27"/>
          <w:highlight w:val="none"/>
        </w:rPr>
        <w:t xml:space="preserve">1.7  </w:t>
      </w:r>
      <w:r>
        <w:rPr>
          <w:rFonts w:hint="eastAsia" w:ascii="宋体" w:hAnsi="宋体" w:eastAsia="宋体" w:cs="宋体"/>
          <w:b/>
          <w:bCs/>
          <w:color w:val="auto"/>
          <w:spacing w:val="1"/>
          <w:sz w:val="27"/>
          <w:szCs w:val="27"/>
          <w:highlight w:val="none"/>
        </w:rPr>
        <w:t>语言文字</w:t>
      </w:r>
      <w:bookmarkEnd w:id="121"/>
      <w:bookmarkEnd w:id="122"/>
      <w:bookmarkEnd w:id="123"/>
      <w:bookmarkEnd w:id="124"/>
      <w:bookmarkEnd w:id="125"/>
    </w:p>
    <w:p w14:paraId="1CFD9EE9">
      <w:pPr>
        <w:spacing w:before="69" w:line="219" w:lineRule="auto"/>
        <w:ind w:left="421"/>
        <w:rPr>
          <w:rFonts w:ascii="宋体" w:hAnsi="宋体" w:eastAsia="宋体"/>
          <w:color w:val="auto"/>
          <w:spacing w:val="-1"/>
          <w:highlight w:val="none"/>
        </w:rPr>
      </w:pPr>
      <w:r>
        <w:rPr>
          <w:rFonts w:ascii="宋体" w:hAnsi="宋体" w:eastAsia="宋体"/>
          <w:color w:val="auto"/>
          <w:spacing w:val="-2"/>
          <w:highlight w:val="none"/>
        </w:rPr>
        <w:t>招标投</w:t>
      </w:r>
      <w:r>
        <w:rPr>
          <w:rFonts w:ascii="宋体" w:hAnsi="宋体" w:eastAsia="宋体"/>
          <w:color w:val="auto"/>
          <w:spacing w:val="-1"/>
          <w:highlight w:val="none"/>
        </w:rPr>
        <w:t>标文件使用的语言文字为中文。专用术语使用外文的，应附有中文注释。</w:t>
      </w:r>
    </w:p>
    <w:p w14:paraId="1B993113">
      <w:pPr>
        <w:pStyle w:val="2"/>
        <w:rPr>
          <w:rFonts w:eastAsiaTheme="minorEastAsia"/>
          <w:color w:val="auto"/>
          <w:highlight w:val="none"/>
        </w:rPr>
      </w:pPr>
    </w:p>
    <w:p w14:paraId="447765CA">
      <w:pPr>
        <w:rPr>
          <w:rFonts w:ascii="Times New Roman" w:hAnsi="Times New Roman" w:eastAsia="Times New Roman"/>
          <w:b/>
          <w:bCs/>
          <w:color w:val="auto"/>
          <w:spacing w:val="1"/>
          <w:sz w:val="27"/>
          <w:szCs w:val="27"/>
          <w:highlight w:val="none"/>
        </w:rPr>
      </w:pPr>
      <w:bookmarkStart w:id="126" w:name="_Toc15777"/>
      <w:bookmarkStart w:id="127" w:name="_Toc20197"/>
      <w:bookmarkStart w:id="128" w:name="_Toc19348"/>
      <w:bookmarkStart w:id="129" w:name="_Toc8341"/>
      <w:bookmarkStart w:id="130" w:name="_Toc3696"/>
      <w:r>
        <w:rPr>
          <w:rFonts w:ascii="Times New Roman" w:hAnsi="Times New Roman" w:eastAsia="Times New Roman"/>
          <w:b/>
          <w:bCs/>
          <w:color w:val="auto"/>
          <w:spacing w:val="1"/>
          <w:sz w:val="27"/>
          <w:szCs w:val="27"/>
          <w:highlight w:val="none"/>
        </w:rPr>
        <w:t xml:space="preserve">1.8 </w:t>
      </w:r>
      <w:r>
        <w:rPr>
          <w:rFonts w:hint="eastAsia" w:ascii="宋体" w:hAnsi="宋体" w:eastAsia="宋体" w:cs="宋体"/>
          <w:b/>
          <w:bCs/>
          <w:color w:val="auto"/>
          <w:spacing w:val="1"/>
          <w:sz w:val="27"/>
          <w:szCs w:val="27"/>
          <w:highlight w:val="none"/>
        </w:rPr>
        <w:t>计量单位</w:t>
      </w:r>
      <w:bookmarkEnd w:id="126"/>
      <w:bookmarkEnd w:id="127"/>
      <w:bookmarkEnd w:id="128"/>
      <w:bookmarkEnd w:id="129"/>
      <w:bookmarkEnd w:id="130"/>
    </w:p>
    <w:p w14:paraId="00ACCB62">
      <w:pPr>
        <w:spacing w:before="68" w:line="220" w:lineRule="auto"/>
        <w:ind w:left="420"/>
        <w:rPr>
          <w:rFonts w:ascii="宋体" w:hAnsi="宋体" w:eastAsia="宋体"/>
          <w:color w:val="auto"/>
          <w:spacing w:val="-1"/>
          <w:highlight w:val="none"/>
        </w:rPr>
      </w:pPr>
      <w:r>
        <w:rPr>
          <w:rFonts w:ascii="宋体" w:hAnsi="宋体" w:eastAsia="宋体"/>
          <w:color w:val="auto"/>
          <w:spacing w:val="-2"/>
          <w:highlight w:val="none"/>
        </w:rPr>
        <w:t>所有计量均采用中华人民共和国法</w:t>
      </w:r>
      <w:r>
        <w:rPr>
          <w:rFonts w:ascii="宋体" w:hAnsi="宋体" w:eastAsia="宋体"/>
          <w:color w:val="auto"/>
          <w:spacing w:val="-1"/>
          <w:highlight w:val="none"/>
        </w:rPr>
        <w:t>定计量单位。</w:t>
      </w:r>
    </w:p>
    <w:p w14:paraId="511DB035">
      <w:pPr>
        <w:pStyle w:val="2"/>
        <w:rPr>
          <w:rFonts w:eastAsiaTheme="minorEastAsia"/>
          <w:color w:val="auto"/>
          <w:highlight w:val="none"/>
        </w:rPr>
      </w:pPr>
    </w:p>
    <w:p w14:paraId="3A8F19EF">
      <w:pPr>
        <w:rPr>
          <w:rFonts w:ascii="Times New Roman" w:hAnsi="Times New Roman" w:eastAsia="Times New Roman"/>
          <w:b/>
          <w:bCs/>
          <w:color w:val="auto"/>
          <w:spacing w:val="1"/>
          <w:sz w:val="27"/>
          <w:szCs w:val="27"/>
          <w:highlight w:val="none"/>
        </w:rPr>
      </w:pPr>
      <w:bookmarkStart w:id="131" w:name="_Toc14820"/>
      <w:bookmarkStart w:id="132" w:name="_Toc24572"/>
      <w:bookmarkStart w:id="133" w:name="_Toc21090"/>
      <w:bookmarkStart w:id="134" w:name="_Toc28280"/>
      <w:bookmarkStart w:id="135" w:name="_Toc4426"/>
      <w:r>
        <w:rPr>
          <w:rFonts w:ascii="Times New Roman" w:hAnsi="Times New Roman" w:eastAsia="Times New Roman"/>
          <w:b/>
          <w:bCs/>
          <w:color w:val="auto"/>
          <w:spacing w:val="1"/>
          <w:sz w:val="27"/>
          <w:szCs w:val="27"/>
          <w:highlight w:val="none"/>
        </w:rPr>
        <w:t xml:space="preserve">1.9  </w:t>
      </w:r>
      <w:r>
        <w:rPr>
          <w:rFonts w:hint="eastAsia" w:ascii="宋体" w:hAnsi="宋体" w:eastAsia="宋体" w:cs="宋体"/>
          <w:b/>
          <w:bCs/>
          <w:color w:val="auto"/>
          <w:spacing w:val="1"/>
          <w:sz w:val="27"/>
          <w:szCs w:val="27"/>
          <w:highlight w:val="none"/>
        </w:rPr>
        <w:t>踏勘现场</w:t>
      </w:r>
      <w:bookmarkEnd w:id="131"/>
      <w:bookmarkEnd w:id="132"/>
      <w:bookmarkEnd w:id="133"/>
      <w:bookmarkEnd w:id="134"/>
      <w:bookmarkEnd w:id="135"/>
    </w:p>
    <w:p w14:paraId="4250AAD3">
      <w:pPr>
        <w:spacing w:before="68" w:line="352" w:lineRule="auto"/>
        <w:ind w:left="8" w:firstLine="429"/>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1.9.1</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hint="eastAsia"/>
          <w:color w:val="auto"/>
          <w:highlight w:val="none"/>
          <w:u w:val="single"/>
        </w:rPr>
        <w:t>招标人不集中组织，由投标人自行踏勘</w:t>
      </w:r>
      <w:r>
        <w:rPr>
          <w:rFonts w:ascii="宋体" w:hAnsi="宋体" w:eastAsia="宋体"/>
          <w:color w:val="auto"/>
          <w:spacing w:val="-5"/>
          <w:highlight w:val="none"/>
          <w:u w:val="single"/>
        </w:rPr>
        <w:t>。</w:t>
      </w:r>
    </w:p>
    <w:p w14:paraId="4569E59D">
      <w:pPr>
        <w:spacing w:before="1" w:line="219" w:lineRule="auto"/>
        <w:ind w:left="43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1.9.</w:t>
      </w:r>
      <w:r>
        <w:rPr>
          <w:rFonts w:ascii="Times New Roman" w:hAnsi="Times New Roman" w:eastAsia="Times New Roman"/>
          <w:color w:val="auto"/>
          <w:spacing w:val="-3"/>
          <w:highlight w:val="none"/>
        </w:rPr>
        <w:t>2</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投标人踏勘现场发生的费用自理。</w:t>
      </w:r>
    </w:p>
    <w:p w14:paraId="5853A234">
      <w:pPr>
        <w:spacing w:before="150" w:line="217" w:lineRule="auto"/>
        <w:ind w:left="43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1.9.3  </w:t>
      </w:r>
      <w:r>
        <w:rPr>
          <w:rFonts w:ascii="宋体" w:hAnsi="宋体" w:eastAsia="宋体"/>
          <w:color w:val="auto"/>
          <w:spacing w:val="-2"/>
          <w:highlight w:val="none"/>
        </w:rPr>
        <w:t>除招标人</w:t>
      </w:r>
      <w:r>
        <w:rPr>
          <w:rFonts w:ascii="宋体" w:hAnsi="宋体" w:eastAsia="宋体"/>
          <w:color w:val="auto"/>
          <w:spacing w:val="-1"/>
          <w:highlight w:val="none"/>
        </w:rPr>
        <w:t>的原因外，投标人自行负责在踏勘现场中所发生的人员伤亡和财产损失。</w:t>
      </w:r>
    </w:p>
    <w:p w14:paraId="57EE25C2">
      <w:pPr>
        <w:spacing w:before="152" w:line="360" w:lineRule="auto"/>
        <w:ind w:right="74" w:firstLine="437"/>
        <w:rPr>
          <w:rFonts w:ascii="宋体" w:hAnsi="宋体" w:eastAsia="宋体"/>
          <w:color w:val="auto"/>
          <w:spacing w:val="-1"/>
          <w:highlight w:val="none"/>
        </w:rPr>
      </w:pPr>
      <w:r>
        <w:rPr>
          <w:rFonts w:ascii="Times New Roman" w:hAnsi="Times New Roman" w:eastAsia="Times New Roman"/>
          <w:color w:val="auto"/>
          <w:spacing w:val="-4"/>
          <w:highlight w:val="none"/>
        </w:rPr>
        <w:t xml:space="preserve">1.9.4 </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招标人在踏勘现场中介绍的工程场地和相关的周边环境情况，供投标人在编制投标文</w:t>
      </w:r>
      <w:r>
        <w:rPr>
          <w:rFonts w:ascii="宋体" w:hAnsi="宋体" w:eastAsia="宋体"/>
          <w:color w:val="auto"/>
          <w:highlight w:val="none"/>
        </w:rPr>
        <w:t xml:space="preserve"> </w:t>
      </w:r>
      <w:r>
        <w:rPr>
          <w:rFonts w:ascii="宋体" w:hAnsi="宋体" w:eastAsia="宋体"/>
          <w:color w:val="auto"/>
          <w:spacing w:val="-2"/>
          <w:highlight w:val="none"/>
        </w:rPr>
        <w:t>件时参考，招标人不对</w:t>
      </w:r>
      <w:r>
        <w:rPr>
          <w:rFonts w:ascii="宋体" w:hAnsi="宋体" w:eastAsia="宋体"/>
          <w:color w:val="auto"/>
          <w:spacing w:val="-1"/>
          <w:highlight w:val="none"/>
        </w:rPr>
        <w:t>投标人据此作出的判断和决策负责。</w:t>
      </w:r>
    </w:p>
    <w:p w14:paraId="267B18BC">
      <w:pPr>
        <w:pStyle w:val="2"/>
        <w:rPr>
          <w:rFonts w:eastAsiaTheme="minorEastAsia"/>
          <w:color w:val="auto"/>
          <w:highlight w:val="none"/>
        </w:rPr>
      </w:pPr>
    </w:p>
    <w:p w14:paraId="6556BAB3">
      <w:pPr>
        <w:rPr>
          <w:rFonts w:ascii="Times New Roman" w:hAnsi="Times New Roman" w:eastAsia="Times New Roman"/>
          <w:b/>
          <w:bCs/>
          <w:color w:val="auto"/>
          <w:spacing w:val="1"/>
          <w:sz w:val="27"/>
          <w:szCs w:val="27"/>
          <w:highlight w:val="none"/>
        </w:rPr>
      </w:pPr>
      <w:bookmarkStart w:id="136" w:name="_Toc5577"/>
      <w:bookmarkStart w:id="137" w:name="_Toc28835"/>
      <w:bookmarkStart w:id="138" w:name="_Toc9708"/>
      <w:bookmarkStart w:id="139" w:name="_Toc25329"/>
      <w:bookmarkStart w:id="140" w:name="_Toc6267"/>
      <w:r>
        <w:rPr>
          <w:rFonts w:ascii="Times New Roman" w:hAnsi="Times New Roman" w:eastAsia="Times New Roman"/>
          <w:b/>
          <w:bCs/>
          <w:color w:val="auto"/>
          <w:spacing w:val="1"/>
          <w:sz w:val="27"/>
          <w:szCs w:val="27"/>
          <w:highlight w:val="none"/>
        </w:rPr>
        <w:t xml:space="preserve">1.10 </w:t>
      </w:r>
      <w:r>
        <w:rPr>
          <w:rFonts w:hint="eastAsia" w:ascii="宋体" w:hAnsi="宋体" w:eastAsia="宋体" w:cs="宋体"/>
          <w:b/>
          <w:bCs/>
          <w:color w:val="auto"/>
          <w:spacing w:val="1"/>
          <w:sz w:val="27"/>
          <w:szCs w:val="27"/>
          <w:highlight w:val="none"/>
        </w:rPr>
        <w:t>投标预备会</w:t>
      </w:r>
      <w:bookmarkEnd w:id="136"/>
      <w:bookmarkEnd w:id="137"/>
      <w:bookmarkEnd w:id="138"/>
      <w:bookmarkEnd w:id="139"/>
      <w:bookmarkEnd w:id="140"/>
    </w:p>
    <w:p w14:paraId="557E9219">
      <w:pPr>
        <w:spacing w:before="69" w:line="351" w:lineRule="auto"/>
        <w:ind w:left="1" w:right="80" w:firstLine="43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.10.1  </w:t>
      </w:r>
      <w:r>
        <w:rPr>
          <w:rFonts w:ascii="宋体" w:hAnsi="宋体" w:eastAsia="宋体"/>
          <w:color w:val="auto"/>
          <w:highlight w:val="none"/>
        </w:rPr>
        <w:t xml:space="preserve">投标人须知前附表规定召开投标预备会的，招标人按投标人须知前附表规定的时间 </w:t>
      </w:r>
      <w:r>
        <w:rPr>
          <w:rFonts w:ascii="宋体" w:hAnsi="宋体" w:eastAsia="宋体"/>
          <w:color w:val="auto"/>
          <w:spacing w:val="-2"/>
          <w:highlight w:val="none"/>
        </w:rPr>
        <w:t>和地点召开投标预备会，澄清投标</w:t>
      </w:r>
      <w:r>
        <w:rPr>
          <w:rFonts w:ascii="宋体" w:hAnsi="宋体" w:eastAsia="宋体"/>
          <w:color w:val="auto"/>
          <w:spacing w:val="-1"/>
          <w:highlight w:val="none"/>
        </w:rPr>
        <w:t>人提出的问题。</w:t>
      </w:r>
    </w:p>
    <w:p w14:paraId="544BA4BE">
      <w:pPr>
        <w:spacing w:before="2" w:line="351" w:lineRule="auto"/>
        <w:ind w:left="1" w:right="80" w:firstLine="43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.10.2  </w:t>
      </w:r>
      <w:r>
        <w:rPr>
          <w:rFonts w:ascii="宋体" w:hAnsi="宋体" w:eastAsia="宋体"/>
          <w:color w:val="auto"/>
          <w:highlight w:val="none"/>
        </w:rPr>
        <w:t xml:space="preserve">投标人应按投标人须知前附表规定的时间和形式将提出的问题送达招标人，以便招 </w:t>
      </w:r>
      <w:r>
        <w:rPr>
          <w:rFonts w:ascii="宋体" w:hAnsi="宋体" w:eastAsia="宋体"/>
          <w:color w:val="auto"/>
          <w:spacing w:val="-6"/>
          <w:highlight w:val="none"/>
        </w:rPr>
        <w:t>标</w:t>
      </w:r>
      <w:r>
        <w:rPr>
          <w:rFonts w:ascii="宋体" w:hAnsi="宋体" w:eastAsia="宋体"/>
          <w:color w:val="auto"/>
          <w:spacing w:val="-5"/>
          <w:highlight w:val="none"/>
        </w:rPr>
        <w:t>人</w:t>
      </w:r>
      <w:r>
        <w:rPr>
          <w:rFonts w:ascii="宋体" w:hAnsi="宋体" w:eastAsia="宋体"/>
          <w:color w:val="auto"/>
          <w:spacing w:val="-3"/>
          <w:highlight w:val="none"/>
        </w:rPr>
        <w:t>在会议期间澄清。</w:t>
      </w:r>
    </w:p>
    <w:p w14:paraId="79CE9250">
      <w:pPr>
        <w:spacing w:line="360" w:lineRule="auto"/>
        <w:ind w:left="5" w:right="80" w:firstLine="432"/>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.10.3  </w:t>
      </w:r>
      <w:r>
        <w:rPr>
          <w:rFonts w:ascii="宋体" w:hAnsi="宋体" w:eastAsia="宋体"/>
          <w:color w:val="auto"/>
          <w:highlight w:val="none"/>
        </w:rPr>
        <w:t xml:space="preserve">投标预备会后，招标人将对投标人所提问题的澄清，以投标人须知前附表规定的形 </w:t>
      </w:r>
      <w:r>
        <w:rPr>
          <w:rFonts w:ascii="宋体" w:hAnsi="宋体" w:eastAsia="宋体"/>
          <w:color w:val="auto"/>
          <w:spacing w:val="-2"/>
          <w:highlight w:val="none"/>
        </w:rPr>
        <w:t>式通知所</w:t>
      </w:r>
      <w:r>
        <w:rPr>
          <w:rFonts w:hint="eastAsia" w:ascii="宋体" w:hAnsi="宋体" w:eastAsia="宋体"/>
          <w:color w:val="auto"/>
          <w:spacing w:val="-2"/>
          <w:highlight w:val="none"/>
        </w:rPr>
        <w:t>有潜在</w:t>
      </w:r>
      <w:r>
        <w:rPr>
          <w:rFonts w:ascii="宋体" w:hAnsi="宋体" w:eastAsia="宋体"/>
          <w:color w:val="auto"/>
          <w:spacing w:val="-1"/>
          <w:highlight w:val="none"/>
        </w:rPr>
        <w:t>投标人。该澄清内容为招标文件的组成部分。</w:t>
      </w:r>
    </w:p>
    <w:p w14:paraId="342FDD2B">
      <w:pPr>
        <w:rPr>
          <w:color w:val="auto"/>
          <w:highlight w:val="none"/>
        </w:rPr>
        <w:sectPr>
          <w:footerReference r:id="rId10" w:type="default"/>
          <w:pgSz w:w="12240" w:h="15840"/>
          <w:pgMar w:top="1346" w:right="1725" w:bottom="1104" w:left="1807" w:header="0" w:footer="940" w:gutter="0"/>
          <w:cols w:space="720" w:num="1"/>
        </w:sectPr>
      </w:pPr>
    </w:p>
    <w:p w14:paraId="211BE2A5">
      <w:pPr>
        <w:rPr>
          <w:rFonts w:ascii="Times New Roman" w:hAnsi="Times New Roman" w:eastAsia="Times New Roman"/>
          <w:b/>
          <w:bCs/>
          <w:color w:val="auto"/>
          <w:spacing w:val="1"/>
          <w:sz w:val="27"/>
          <w:szCs w:val="27"/>
          <w:highlight w:val="none"/>
        </w:rPr>
      </w:pPr>
      <w:bookmarkStart w:id="141" w:name="_Toc27217"/>
      <w:bookmarkStart w:id="142" w:name="_Toc27543"/>
      <w:bookmarkStart w:id="143" w:name="_Toc7302"/>
      <w:bookmarkStart w:id="144" w:name="_Toc27659"/>
      <w:bookmarkStart w:id="145" w:name="_Toc30287"/>
      <w:r>
        <w:rPr>
          <w:rFonts w:ascii="Times New Roman" w:hAnsi="Times New Roman" w:eastAsia="Times New Roman"/>
          <w:b/>
          <w:bCs/>
          <w:color w:val="auto"/>
          <w:spacing w:val="1"/>
          <w:sz w:val="27"/>
          <w:szCs w:val="27"/>
          <w:highlight w:val="none"/>
        </w:rPr>
        <w:t xml:space="preserve">1.11  </w:t>
      </w:r>
      <w:r>
        <w:rPr>
          <w:rFonts w:hint="eastAsia" w:ascii="宋体" w:hAnsi="宋体" w:eastAsia="宋体" w:cs="宋体"/>
          <w:b/>
          <w:bCs/>
          <w:color w:val="auto"/>
          <w:spacing w:val="1"/>
          <w:sz w:val="27"/>
          <w:szCs w:val="27"/>
          <w:highlight w:val="none"/>
        </w:rPr>
        <w:t>分包</w:t>
      </w:r>
      <w:bookmarkEnd w:id="141"/>
      <w:bookmarkEnd w:id="142"/>
      <w:bookmarkEnd w:id="143"/>
      <w:bookmarkEnd w:id="144"/>
      <w:bookmarkEnd w:id="145"/>
    </w:p>
    <w:p w14:paraId="18BD0439">
      <w:pPr>
        <w:spacing w:before="68" w:line="352" w:lineRule="auto"/>
        <w:ind w:left="1" w:right="66" w:firstLine="43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.11.1  </w:t>
      </w:r>
      <w:r>
        <w:rPr>
          <w:rFonts w:ascii="宋体" w:hAnsi="宋体" w:eastAsia="宋体"/>
          <w:color w:val="auto"/>
          <w:highlight w:val="none"/>
        </w:rPr>
        <w:t xml:space="preserve">投标人拟在中标后将中标项目的非主体、非关键性设计工作进行分包的，应符合投 </w:t>
      </w:r>
      <w:r>
        <w:rPr>
          <w:rFonts w:ascii="宋体" w:hAnsi="宋体" w:eastAsia="宋体"/>
          <w:color w:val="auto"/>
          <w:spacing w:val="1"/>
          <w:highlight w:val="none"/>
        </w:rPr>
        <w:t>标人须知前附表规定的分包内容</w:t>
      </w:r>
      <w:r>
        <w:rPr>
          <w:rFonts w:ascii="宋体" w:hAnsi="宋体" w:eastAsia="宋体"/>
          <w:color w:val="auto"/>
          <w:highlight w:val="none"/>
        </w:rPr>
        <w:t xml:space="preserve">、分包金额和资质要求等限制性条件，除投标人须知前附表规 </w:t>
      </w:r>
      <w:r>
        <w:rPr>
          <w:rFonts w:ascii="宋体" w:hAnsi="宋体" w:eastAsia="宋体"/>
          <w:color w:val="auto"/>
          <w:spacing w:val="-2"/>
          <w:highlight w:val="none"/>
        </w:rPr>
        <w:t>定的非主体、非关键性设计工</w:t>
      </w:r>
      <w:r>
        <w:rPr>
          <w:rFonts w:ascii="宋体" w:hAnsi="宋体" w:eastAsia="宋体"/>
          <w:color w:val="auto"/>
          <w:spacing w:val="-1"/>
          <w:highlight w:val="none"/>
        </w:rPr>
        <w:t>作外，其他工作不得分包。</w:t>
      </w:r>
    </w:p>
    <w:p w14:paraId="5950F4FF">
      <w:pPr>
        <w:spacing w:line="359" w:lineRule="auto"/>
        <w:ind w:left="3" w:right="69" w:firstLine="433"/>
        <w:rPr>
          <w:rFonts w:ascii="宋体" w:hAnsi="宋体" w:eastAsia="宋体"/>
          <w:color w:val="auto"/>
          <w:spacing w:val="-1"/>
          <w:highlight w:val="none"/>
        </w:rPr>
      </w:pPr>
      <w:r>
        <w:rPr>
          <w:rFonts w:ascii="Times New Roman" w:hAnsi="Times New Roman" w:eastAsia="Times New Roman"/>
          <w:color w:val="auto"/>
          <w:spacing w:val="2"/>
          <w:highlight w:val="none"/>
        </w:rPr>
        <w:t>1.11.2</w:t>
      </w:r>
      <w:r>
        <w:rPr>
          <w:rFonts w:ascii="Times New Roman" w:hAnsi="Times New Roman" w:eastAsia="Times New Roman"/>
          <w:color w:val="auto"/>
          <w:spacing w:val="1"/>
          <w:highlight w:val="none"/>
        </w:rPr>
        <w:t xml:space="preserve"> </w:t>
      </w:r>
      <w:r>
        <w:rPr>
          <w:rFonts w:ascii="宋体" w:hAnsi="宋体" w:eastAsia="宋体"/>
          <w:color w:val="auto"/>
          <w:spacing w:val="1"/>
          <w:highlight w:val="none"/>
        </w:rPr>
        <w:t>中标人不得向他人转让中标项目，接受分包的人不得再次分包。中标人应当就分包</w:t>
      </w:r>
      <w:r>
        <w:rPr>
          <w:rFonts w:ascii="宋体" w:hAnsi="宋体" w:eastAsia="宋体"/>
          <w:color w:val="auto"/>
          <w:highlight w:val="none"/>
        </w:rPr>
        <w:t xml:space="preserve"> </w:t>
      </w:r>
      <w:r>
        <w:rPr>
          <w:rFonts w:ascii="宋体" w:hAnsi="宋体" w:eastAsia="宋体"/>
          <w:color w:val="auto"/>
          <w:spacing w:val="-2"/>
          <w:highlight w:val="none"/>
        </w:rPr>
        <w:t>项目向招标人负责，接受分包</w:t>
      </w:r>
      <w:r>
        <w:rPr>
          <w:rFonts w:ascii="宋体" w:hAnsi="宋体" w:eastAsia="宋体"/>
          <w:color w:val="auto"/>
          <w:spacing w:val="-1"/>
          <w:highlight w:val="none"/>
        </w:rPr>
        <w:t>的人就分包项目承担连带责任。</w:t>
      </w:r>
    </w:p>
    <w:p w14:paraId="10176219">
      <w:pPr>
        <w:pStyle w:val="2"/>
        <w:rPr>
          <w:rFonts w:eastAsiaTheme="minorEastAsia"/>
          <w:color w:val="auto"/>
          <w:highlight w:val="none"/>
        </w:rPr>
      </w:pPr>
    </w:p>
    <w:p w14:paraId="74EDB2AB">
      <w:pPr>
        <w:rPr>
          <w:rFonts w:ascii="Times New Roman" w:hAnsi="Times New Roman" w:eastAsia="Times New Roman"/>
          <w:b/>
          <w:bCs/>
          <w:color w:val="auto"/>
          <w:spacing w:val="1"/>
          <w:sz w:val="27"/>
          <w:szCs w:val="27"/>
          <w:highlight w:val="none"/>
        </w:rPr>
      </w:pPr>
      <w:bookmarkStart w:id="146" w:name="_Toc22166"/>
      <w:bookmarkStart w:id="147" w:name="_Toc23891"/>
      <w:bookmarkStart w:id="148" w:name="_Toc19834"/>
      <w:bookmarkStart w:id="149" w:name="_Toc19091"/>
      <w:bookmarkStart w:id="150" w:name="_Toc17104"/>
      <w:r>
        <w:rPr>
          <w:rFonts w:ascii="Times New Roman" w:hAnsi="Times New Roman" w:eastAsia="Times New Roman"/>
          <w:b/>
          <w:bCs/>
          <w:color w:val="auto"/>
          <w:spacing w:val="1"/>
          <w:sz w:val="27"/>
          <w:szCs w:val="27"/>
          <w:highlight w:val="none"/>
        </w:rPr>
        <w:t xml:space="preserve">1.12 </w:t>
      </w:r>
      <w:r>
        <w:rPr>
          <w:rFonts w:hint="eastAsia" w:ascii="宋体" w:hAnsi="宋体" w:eastAsia="宋体" w:cs="宋体"/>
          <w:b/>
          <w:bCs/>
          <w:color w:val="auto"/>
          <w:spacing w:val="1"/>
          <w:sz w:val="27"/>
          <w:szCs w:val="27"/>
          <w:highlight w:val="none"/>
        </w:rPr>
        <w:t>响应和偏差</w:t>
      </w:r>
      <w:bookmarkEnd w:id="146"/>
      <w:bookmarkEnd w:id="147"/>
      <w:bookmarkEnd w:id="148"/>
      <w:bookmarkEnd w:id="149"/>
      <w:bookmarkEnd w:id="150"/>
    </w:p>
    <w:p w14:paraId="793D61D1">
      <w:pPr>
        <w:spacing w:before="68" w:line="352" w:lineRule="auto"/>
        <w:ind w:left="7" w:firstLine="429"/>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1.12.1</w:t>
      </w:r>
      <w:r>
        <w:rPr>
          <w:rFonts w:hint="eastAsia" w:ascii="Times New Roman" w:hAnsi="Times New Roman" w:eastAsia="宋体"/>
          <w:color w:val="auto"/>
          <w:spacing w:val="-1"/>
          <w:highlight w:val="none"/>
        </w:rPr>
        <w:t xml:space="preserve"> </w:t>
      </w:r>
      <w:r>
        <w:rPr>
          <w:rFonts w:ascii="宋体" w:hAnsi="宋体" w:eastAsia="宋体"/>
          <w:color w:val="auto"/>
          <w:spacing w:val="-1"/>
          <w:highlight w:val="none"/>
        </w:rPr>
        <w:t>投标文件应当对招标文件的实质性要求和条件作出满足性或更有利于招标人的</w:t>
      </w:r>
      <w:r>
        <w:rPr>
          <w:rFonts w:ascii="宋体" w:hAnsi="宋体" w:eastAsia="宋体"/>
          <w:color w:val="auto"/>
          <w:highlight w:val="none"/>
        </w:rPr>
        <w:t>响应</w:t>
      </w:r>
      <w:r>
        <w:rPr>
          <w:rFonts w:hint="eastAsia" w:ascii="宋体" w:hAnsi="宋体" w:eastAsia="宋体"/>
          <w:color w:val="auto"/>
          <w:highlight w:val="none"/>
        </w:rPr>
        <w:t>，</w:t>
      </w:r>
      <w:r>
        <w:rPr>
          <w:rFonts w:ascii="宋体" w:hAnsi="宋体" w:eastAsia="宋体"/>
          <w:color w:val="auto"/>
          <w:spacing w:val="-2"/>
          <w:highlight w:val="none"/>
        </w:rPr>
        <w:t>否则，投标人的投标将被</w:t>
      </w:r>
      <w:r>
        <w:rPr>
          <w:rFonts w:ascii="宋体" w:hAnsi="宋体" w:eastAsia="宋体"/>
          <w:color w:val="auto"/>
          <w:spacing w:val="-1"/>
          <w:highlight w:val="none"/>
        </w:rPr>
        <w:t>否决。</w:t>
      </w:r>
      <w:r>
        <w:rPr>
          <w:rFonts w:hint="eastAsia" w:ascii="宋体" w:hAnsi="宋体" w:eastAsia="宋体"/>
          <w:bCs/>
          <w:color w:val="auto"/>
          <w:highlight w:val="none"/>
        </w:rPr>
        <w:t>实质性要求和条件见投标人须知前附表。</w:t>
      </w:r>
    </w:p>
    <w:p w14:paraId="70950094">
      <w:pPr>
        <w:spacing w:before="68" w:line="352" w:lineRule="auto"/>
        <w:ind w:left="7" w:firstLine="429"/>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1.12.2  投标人应根据招标文件的要求提供投标</w:t>
      </w:r>
      <w:r>
        <w:rPr>
          <w:rFonts w:hint="eastAsia" w:ascii="Times New Roman" w:hAnsi="Times New Roman" w:eastAsia="Times New Roman"/>
          <w:color w:val="auto"/>
          <w:spacing w:val="-1"/>
          <w:highlight w:val="none"/>
        </w:rPr>
        <w:t>勘察</w:t>
      </w:r>
      <w:r>
        <w:rPr>
          <w:rFonts w:ascii="Times New Roman" w:hAnsi="Times New Roman" w:eastAsia="Times New Roman"/>
          <w:color w:val="auto"/>
          <w:spacing w:val="-1"/>
          <w:highlight w:val="none"/>
        </w:rPr>
        <w:t>设计方案等内容以对招标文件作出响应</w:t>
      </w:r>
      <w:r>
        <w:rPr>
          <w:rFonts w:hint="eastAsia" w:ascii="Times New Roman" w:hAnsi="Times New Roman" w:eastAsia="宋体"/>
          <w:color w:val="auto"/>
          <w:spacing w:val="-1"/>
          <w:highlight w:val="none"/>
        </w:rPr>
        <w:t>。</w:t>
      </w:r>
    </w:p>
    <w:p w14:paraId="53F2BDEB">
      <w:pPr>
        <w:spacing w:before="68" w:line="352" w:lineRule="auto"/>
        <w:ind w:left="7" w:firstLine="429"/>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1.12.3 投标人须知前附表允许投标文件偏离招标文件某些要求的，偏差应当符合招标文件 规定的偏差范围和幅度。</w:t>
      </w:r>
    </w:p>
    <w:p w14:paraId="06A9ED09">
      <w:pPr>
        <w:pStyle w:val="24"/>
        <w:spacing w:before="120" w:after="120"/>
        <w:outlineLvl w:val="9"/>
        <w:rPr>
          <w:rFonts w:ascii="Times New Roman" w:hAnsi="Times New Roman" w:eastAsia="Times New Roman"/>
          <w:bCs/>
          <w:color w:val="auto"/>
          <w:spacing w:val="7"/>
          <w:sz w:val="31"/>
          <w:szCs w:val="31"/>
          <w:highlight w:val="none"/>
        </w:rPr>
      </w:pPr>
      <w:bookmarkStart w:id="151" w:name="_Toc22139"/>
      <w:bookmarkStart w:id="152" w:name="_Toc19722"/>
      <w:bookmarkStart w:id="153" w:name="_Toc27910"/>
      <w:bookmarkStart w:id="154" w:name="_Toc19859"/>
      <w:bookmarkStart w:id="155" w:name="_Toc7606"/>
      <w:r>
        <w:rPr>
          <w:rFonts w:ascii="Times New Roman" w:hAnsi="Times New Roman" w:eastAsia="Times New Roman"/>
          <w:bCs/>
          <w:color w:val="auto"/>
          <w:spacing w:val="7"/>
          <w:sz w:val="31"/>
          <w:szCs w:val="31"/>
          <w:highlight w:val="none"/>
        </w:rPr>
        <w:t>2</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6"/>
          <w:sz w:val="31"/>
          <w:szCs w:val="31"/>
          <w:highlight w:val="none"/>
        </w:rPr>
        <w:t xml:space="preserve">  </w:t>
      </w:r>
      <w:r>
        <w:rPr>
          <w:rFonts w:ascii="黑体" w:hAnsi="黑体" w:eastAsia="黑体"/>
          <w:color w:val="auto"/>
          <w:spacing w:val="6"/>
          <w:sz w:val="31"/>
          <w:szCs w:val="31"/>
          <w:highlight w:val="none"/>
        </w:rPr>
        <w:t>招标文件</w:t>
      </w:r>
      <w:bookmarkEnd w:id="151"/>
      <w:bookmarkEnd w:id="152"/>
      <w:bookmarkEnd w:id="153"/>
      <w:bookmarkEnd w:id="154"/>
      <w:bookmarkEnd w:id="155"/>
    </w:p>
    <w:p w14:paraId="436A08DA">
      <w:pPr>
        <w:rPr>
          <w:rFonts w:ascii="Times New Roman" w:hAnsi="Times New Roman" w:eastAsia="Times New Roman"/>
          <w:color w:val="auto"/>
          <w:spacing w:val="7"/>
          <w:sz w:val="27"/>
          <w:szCs w:val="27"/>
          <w:highlight w:val="none"/>
        </w:rPr>
      </w:pPr>
      <w:bookmarkStart w:id="156" w:name="_Toc29880"/>
      <w:bookmarkStart w:id="157" w:name="_Toc31379"/>
      <w:bookmarkStart w:id="158" w:name="_Toc5178"/>
      <w:bookmarkStart w:id="159" w:name="_Toc22902"/>
      <w:bookmarkStart w:id="160" w:name="_Toc27677"/>
      <w:r>
        <w:rPr>
          <w:rFonts w:ascii="Times New Roman" w:hAnsi="Times New Roman" w:eastAsia="Times New Roman"/>
          <w:color w:val="auto"/>
          <w:spacing w:val="7"/>
          <w:sz w:val="27"/>
          <w:szCs w:val="27"/>
          <w:highlight w:val="none"/>
        </w:rPr>
        <w:t xml:space="preserve">2.1  </w:t>
      </w:r>
      <w:r>
        <w:rPr>
          <w:rFonts w:ascii="黑体" w:hAnsi="黑体" w:eastAsia="黑体"/>
          <w:color w:val="auto"/>
          <w:spacing w:val="7"/>
          <w:sz w:val="27"/>
          <w:szCs w:val="27"/>
          <w:highlight w:val="none"/>
        </w:rPr>
        <w:t>招标文件的组</w:t>
      </w:r>
      <w:r>
        <w:rPr>
          <w:rFonts w:ascii="黑体" w:hAnsi="黑体" w:eastAsia="黑体"/>
          <w:color w:val="auto"/>
          <w:spacing w:val="5"/>
          <w:sz w:val="27"/>
          <w:szCs w:val="27"/>
          <w:highlight w:val="none"/>
        </w:rPr>
        <w:t>成</w:t>
      </w:r>
      <w:bookmarkEnd w:id="156"/>
      <w:bookmarkEnd w:id="157"/>
      <w:bookmarkEnd w:id="158"/>
      <w:bookmarkEnd w:id="159"/>
      <w:bookmarkEnd w:id="160"/>
    </w:p>
    <w:p w14:paraId="69D34C80">
      <w:pPr>
        <w:spacing w:before="69" w:line="220" w:lineRule="auto"/>
        <w:ind w:left="360"/>
        <w:rPr>
          <w:rFonts w:ascii="宋体" w:hAnsi="宋体" w:eastAsia="宋体"/>
          <w:color w:val="auto"/>
          <w:spacing w:val="-9"/>
          <w:highlight w:val="none"/>
        </w:rPr>
      </w:pPr>
      <w:r>
        <w:rPr>
          <w:rFonts w:ascii="宋体" w:hAnsi="宋体" w:eastAsia="宋体"/>
          <w:color w:val="auto"/>
          <w:spacing w:val="-9"/>
          <w:highlight w:val="none"/>
        </w:rPr>
        <w:t>本</w:t>
      </w:r>
      <w:r>
        <w:rPr>
          <w:rFonts w:ascii="宋体" w:hAnsi="宋体" w:eastAsia="宋体"/>
          <w:color w:val="auto"/>
          <w:spacing w:val="-6"/>
          <w:highlight w:val="none"/>
        </w:rPr>
        <w:t>招标文件包括：</w:t>
      </w:r>
    </w:p>
    <w:p w14:paraId="775330C1">
      <w:pPr>
        <w:spacing w:before="149" w:line="219" w:lineRule="auto"/>
        <w:ind w:left="364"/>
        <w:rPr>
          <w:rFonts w:ascii="宋体" w:hAnsi="宋体" w:eastAsia="宋体"/>
          <w:color w:val="auto"/>
          <w:spacing w:val="18"/>
          <w:highlight w:val="none"/>
        </w:rPr>
      </w:pPr>
      <w:r>
        <w:rPr>
          <w:rFonts w:ascii="宋体" w:hAnsi="宋体" w:eastAsia="宋体"/>
          <w:color w:val="auto"/>
          <w:spacing w:val="18"/>
          <w:highlight w:val="none"/>
        </w:rPr>
        <w:t>(</w:t>
      </w:r>
      <w:r>
        <w:rPr>
          <w:rFonts w:ascii="Times New Roman" w:hAnsi="Times New Roman" w:eastAsia="Times New Roman"/>
          <w:color w:val="auto"/>
          <w:spacing w:val="18"/>
          <w:highlight w:val="none"/>
        </w:rPr>
        <w:t>1</w:t>
      </w:r>
      <w:r>
        <w:rPr>
          <w:rFonts w:ascii="宋体" w:hAnsi="宋体" w:eastAsia="宋体"/>
          <w:color w:val="auto"/>
          <w:spacing w:val="18"/>
          <w:highlight w:val="none"/>
        </w:rPr>
        <w:t>)招标公告</w:t>
      </w:r>
      <w:r>
        <w:rPr>
          <w:rFonts w:ascii="宋体" w:hAnsi="宋体" w:eastAsia="宋体"/>
          <w:color w:val="auto"/>
          <w:spacing w:val="17"/>
          <w:highlight w:val="none"/>
        </w:rPr>
        <w:t>；</w:t>
      </w:r>
    </w:p>
    <w:p w14:paraId="79BE34F9">
      <w:pPr>
        <w:spacing w:before="152" w:line="220" w:lineRule="auto"/>
        <w:ind w:left="364"/>
        <w:rPr>
          <w:rFonts w:ascii="宋体" w:hAnsi="宋体" w:eastAsia="宋体"/>
          <w:color w:val="auto"/>
          <w:spacing w:val="20"/>
          <w:highlight w:val="none"/>
        </w:rPr>
      </w:pPr>
      <w:r>
        <w:rPr>
          <w:rFonts w:ascii="宋体" w:hAnsi="宋体" w:eastAsia="宋体"/>
          <w:color w:val="auto"/>
          <w:spacing w:val="20"/>
          <w:highlight w:val="none"/>
        </w:rPr>
        <w:t>(</w:t>
      </w:r>
      <w:r>
        <w:rPr>
          <w:rFonts w:ascii="Times New Roman" w:hAnsi="Times New Roman" w:eastAsia="Times New Roman"/>
          <w:color w:val="auto"/>
          <w:spacing w:val="16"/>
          <w:highlight w:val="none"/>
        </w:rPr>
        <w:t>2</w:t>
      </w:r>
      <w:r>
        <w:rPr>
          <w:rFonts w:ascii="宋体" w:hAnsi="宋体" w:eastAsia="宋体"/>
          <w:color w:val="auto"/>
          <w:spacing w:val="16"/>
          <w:highlight w:val="none"/>
        </w:rPr>
        <w:t>)投标人须知；</w:t>
      </w:r>
    </w:p>
    <w:p w14:paraId="3DE1D9BD">
      <w:pPr>
        <w:spacing w:before="150" w:line="220" w:lineRule="auto"/>
        <w:ind w:left="364"/>
        <w:rPr>
          <w:rFonts w:ascii="宋体" w:hAnsi="宋体" w:eastAsia="宋体"/>
          <w:color w:val="auto"/>
          <w:spacing w:val="22"/>
          <w:highlight w:val="none"/>
        </w:rPr>
      </w:pPr>
      <w:r>
        <w:rPr>
          <w:rFonts w:ascii="宋体" w:hAnsi="宋体" w:eastAsia="宋体"/>
          <w:color w:val="auto"/>
          <w:spacing w:val="22"/>
          <w:highlight w:val="none"/>
        </w:rPr>
        <w:t>(</w:t>
      </w:r>
      <w:r>
        <w:rPr>
          <w:rFonts w:ascii="Times New Roman" w:hAnsi="Times New Roman" w:eastAsia="Times New Roman"/>
          <w:color w:val="auto"/>
          <w:spacing w:val="18"/>
          <w:highlight w:val="none"/>
        </w:rPr>
        <w:t>3</w:t>
      </w:r>
      <w:r>
        <w:rPr>
          <w:rFonts w:ascii="宋体" w:hAnsi="宋体" w:eastAsia="宋体"/>
          <w:color w:val="auto"/>
          <w:spacing w:val="18"/>
          <w:highlight w:val="none"/>
        </w:rPr>
        <w:t>)评标办法；</w:t>
      </w:r>
    </w:p>
    <w:p w14:paraId="01B089C5">
      <w:pPr>
        <w:spacing w:before="148" w:line="220" w:lineRule="auto"/>
        <w:ind w:left="364"/>
        <w:rPr>
          <w:rFonts w:ascii="宋体" w:hAnsi="宋体" w:eastAsia="宋体"/>
          <w:color w:val="auto"/>
          <w:spacing w:val="18"/>
          <w:highlight w:val="none"/>
        </w:rPr>
      </w:pPr>
      <w:r>
        <w:rPr>
          <w:rFonts w:ascii="宋体" w:hAnsi="宋体" w:eastAsia="宋体"/>
          <w:color w:val="auto"/>
          <w:spacing w:val="18"/>
          <w:highlight w:val="none"/>
        </w:rPr>
        <w:t>(</w:t>
      </w:r>
      <w:r>
        <w:rPr>
          <w:rFonts w:ascii="Times New Roman" w:hAnsi="Times New Roman" w:eastAsia="Times New Roman"/>
          <w:color w:val="auto"/>
          <w:spacing w:val="13"/>
          <w:highlight w:val="none"/>
        </w:rPr>
        <w:t>4</w:t>
      </w:r>
      <w:r>
        <w:rPr>
          <w:rFonts w:ascii="宋体" w:hAnsi="宋体" w:eastAsia="宋体"/>
          <w:color w:val="auto"/>
          <w:spacing w:val="13"/>
          <w:highlight w:val="none"/>
        </w:rPr>
        <w:t>)合同条款及格式；</w:t>
      </w:r>
    </w:p>
    <w:p w14:paraId="40F5673E">
      <w:pPr>
        <w:spacing w:before="151" w:line="221" w:lineRule="auto"/>
        <w:ind w:left="364"/>
        <w:rPr>
          <w:rFonts w:ascii="宋体" w:hAnsi="宋体" w:eastAsia="宋体"/>
          <w:color w:val="auto"/>
          <w:spacing w:val="20"/>
          <w:highlight w:val="none"/>
        </w:rPr>
      </w:pPr>
      <w:r>
        <w:rPr>
          <w:rFonts w:ascii="宋体" w:hAnsi="宋体" w:eastAsia="宋体"/>
          <w:color w:val="auto"/>
          <w:spacing w:val="20"/>
          <w:highlight w:val="none"/>
        </w:rPr>
        <w:t>(</w:t>
      </w:r>
      <w:r>
        <w:rPr>
          <w:rFonts w:ascii="Times New Roman" w:hAnsi="Times New Roman" w:eastAsia="Times New Roman"/>
          <w:color w:val="auto"/>
          <w:spacing w:val="16"/>
          <w:highlight w:val="none"/>
        </w:rPr>
        <w:t>5</w:t>
      </w:r>
      <w:r>
        <w:rPr>
          <w:rFonts w:ascii="宋体" w:hAnsi="宋体" w:eastAsia="宋体"/>
          <w:color w:val="auto"/>
          <w:spacing w:val="16"/>
          <w:highlight w:val="none"/>
        </w:rPr>
        <w:t>)发包人要求；</w:t>
      </w:r>
    </w:p>
    <w:p w14:paraId="5172EF1F">
      <w:pPr>
        <w:spacing w:before="148" w:line="220" w:lineRule="auto"/>
        <w:ind w:left="364"/>
        <w:rPr>
          <w:rFonts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5"/>
          <w:highlight w:val="none"/>
        </w:rPr>
        <w:t>6</w:t>
      </w:r>
      <w:r>
        <w:rPr>
          <w:rFonts w:ascii="宋体" w:hAnsi="宋体" w:eastAsia="宋体"/>
          <w:color w:val="auto"/>
          <w:spacing w:val="15"/>
          <w:highlight w:val="none"/>
        </w:rPr>
        <w:t>)投标文件格式</w:t>
      </w:r>
      <w:r>
        <w:rPr>
          <w:rFonts w:ascii="宋体" w:hAnsi="宋体" w:eastAsia="宋体"/>
          <w:color w:val="auto"/>
          <w:spacing w:val="13"/>
          <w:highlight w:val="none"/>
        </w:rPr>
        <w:t>；</w:t>
      </w:r>
    </w:p>
    <w:p w14:paraId="6177EF86">
      <w:pPr>
        <w:spacing w:before="150" w:line="218" w:lineRule="auto"/>
        <w:ind w:left="364"/>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5"/>
          <w:highlight w:val="none"/>
        </w:rPr>
        <w:t>7</w:t>
      </w:r>
      <w:r>
        <w:rPr>
          <w:rFonts w:ascii="宋体" w:hAnsi="宋体" w:eastAsia="宋体"/>
          <w:color w:val="auto"/>
          <w:spacing w:val="8"/>
          <w:highlight w:val="none"/>
        </w:rPr>
        <w:t>)</w:t>
      </w:r>
      <w:r>
        <w:rPr>
          <w:rFonts w:hint="eastAsia" w:ascii="宋体" w:hAnsi="宋体" w:eastAsia="宋体"/>
          <w:color w:val="auto"/>
          <w:spacing w:val="8"/>
          <w:highlight w:val="none"/>
        </w:rPr>
        <w:t>投标人须知前附表规定的</w:t>
      </w:r>
      <w:r>
        <w:rPr>
          <w:rFonts w:ascii="宋体" w:hAnsi="宋体" w:eastAsia="宋体"/>
          <w:color w:val="auto"/>
          <w:spacing w:val="8"/>
          <w:highlight w:val="none"/>
        </w:rPr>
        <w:t>其他资料。</w:t>
      </w:r>
    </w:p>
    <w:p w14:paraId="437D0543">
      <w:pPr>
        <w:spacing w:before="154" w:line="360" w:lineRule="auto"/>
        <w:ind w:left="3" w:right="65" w:firstLine="417"/>
        <w:rPr>
          <w:rFonts w:ascii="宋体" w:hAnsi="宋体" w:eastAsia="宋体"/>
          <w:color w:val="auto"/>
          <w:spacing w:val="-6"/>
          <w:highlight w:val="none"/>
        </w:rPr>
      </w:pPr>
      <w:r>
        <w:rPr>
          <w:rFonts w:ascii="宋体" w:hAnsi="宋体" w:eastAsia="宋体"/>
          <w:color w:val="auto"/>
          <w:spacing w:val="-2"/>
          <w:highlight w:val="none"/>
        </w:rPr>
        <w:t xml:space="preserve">根据本章第 </w:t>
      </w:r>
      <w:r>
        <w:rPr>
          <w:rFonts w:ascii="Times New Roman" w:hAnsi="Times New Roman" w:eastAsia="Times New Roman"/>
          <w:color w:val="auto"/>
          <w:spacing w:val="-2"/>
          <w:highlight w:val="none"/>
        </w:rPr>
        <w:t xml:space="preserve">1.10 </w:t>
      </w:r>
      <w:r>
        <w:rPr>
          <w:rFonts w:ascii="宋体" w:hAnsi="宋体" w:eastAsia="宋体"/>
          <w:color w:val="auto"/>
          <w:spacing w:val="-2"/>
          <w:highlight w:val="none"/>
        </w:rPr>
        <w:t xml:space="preserve">款、第 </w:t>
      </w:r>
      <w:r>
        <w:rPr>
          <w:rFonts w:ascii="Times New Roman" w:hAnsi="Times New Roman" w:eastAsia="Times New Roman"/>
          <w:color w:val="auto"/>
          <w:spacing w:val="-2"/>
          <w:highlight w:val="none"/>
        </w:rPr>
        <w:t xml:space="preserve">2.2 </w:t>
      </w:r>
      <w:r>
        <w:rPr>
          <w:rFonts w:ascii="宋体" w:hAnsi="宋体" w:eastAsia="宋体"/>
          <w:color w:val="auto"/>
          <w:spacing w:val="-2"/>
          <w:highlight w:val="none"/>
        </w:rPr>
        <w:t xml:space="preserve">款和第 </w:t>
      </w:r>
      <w:r>
        <w:rPr>
          <w:rFonts w:ascii="Times New Roman" w:hAnsi="Times New Roman" w:eastAsia="Times New Roman"/>
          <w:color w:val="auto"/>
          <w:spacing w:val="-2"/>
          <w:highlight w:val="none"/>
        </w:rPr>
        <w:t xml:space="preserve">2.3 </w:t>
      </w:r>
      <w:r>
        <w:rPr>
          <w:rFonts w:ascii="宋体" w:hAnsi="宋体" w:eastAsia="宋体"/>
          <w:color w:val="auto"/>
          <w:spacing w:val="-2"/>
          <w:highlight w:val="none"/>
        </w:rPr>
        <w:t>款对招标文件所作的澄清、修</w:t>
      </w:r>
      <w:r>
        <w:rPr>
          <w:rFonts w:ascii="宋体" w:hAnsi="宋体" w:eastAsia="宋体"/>
          <w:color w:val="auto"/>
          <w:spacing w:val="-1"/>
          <w:highlight w:val="none"/>
        </w:rPr>
        <w:t>改，构成招标文件的</w:t>
      </w:r>
      <w:r>
        <w:rPr>
          <w:rFonts w:ascii="宋体" w:hAnsi="宋体" w:eastAsia="宋体"/>
          <w:color w:val="auto"/>
          <w:highlight w:val="none"/>
        </w:rPr>
        <w:t xml:space="preserve"> </w:t>
      </w:r>
      <w:r>
        <w:rPr>
          <w:rFonts w:ascii="宋体" w:hAnsi="宋体" w:eastAsia="宋体"/>
          <w:color w:val="auto"/>
          <w:spacing w:val="-9"/>
          <w:highlight w:val="none"/>
        </w:rPr>
        <w:t>组</w:t>
      </w:r>
      <w:r>
        <w:rPr>
          <w:rFonts w:ascii="宋体" w:hAnsi="宋体" w:eastAsia="宋体"/>
          <w:color w:val="auto"/>
          <w:spacing w:val="-6"/>
          <w:highlight w:val="none"/>
        </w:rPr>
        <w:t>成部分。</w:t>
      </w:r>
    </w:p>
    <w:p w14:paraId="32168D0E">
      <w:pPr>
        <w:pStyle w:val="2"/>
        <w:rPr>
          <w:rFonts w:eastAsiaTheme="minorEastAsia"/>
          <w:color w:val="auto"/>
          <w:highlight w:val="none"/>
        </w:rPr>
      </w:pPr>
    </w:p>
    <w:p w14:paraId="1BFC0A8B">
      <w:pPr>
        <w:rPr>
          <w:rFonts w:ascii="Times New Roman" w:hAnsi="Times New Roman" w:eastAsia="Times New Roman"/>
          <w:color w:val="auto"/>
          <w:spacing w:val="7"/>
          <w:sz w:val="27"/>
          <w:szCs w:val="27"/>
          <w:highlight w:val="none"/>
        </w:rPr>
      </w:pPr>
      <w:bookmarkStart w:id="161" w:name="_Toc22940"/>
      <w:bookmarkStart w:id="162" w:name="_Toc32188"/>
      <w:bookmarkStart w:id="163" w:name="_Toc5697"/>
      <w:bookmarkStart w:id="164" w:name="_Toc3229"/>
      <w:bookmarkStart w:id="165" w:name="_Toc22758"/>
      <w:r>
        <w:rPr>
          <w:rFonts w:ascii="Times New Roman" w:hAnsi="Times New Roman" w:eastAsia="Times New Roman"/>
          <w:color w:val="auto"/>
          <w:spacing w:val="7"/>
          <w:sz w:val="27"/>
          <w:szCs w:val="27"/>
          <w:highlight w:val="none"/>
        </w:rPr>
        <w:t xml:space="preserve">2.2  </w:t>
      </w:r>
      <w:r>
        <w:rPr>
          <w:rFonts w:ascii="黑体" w:hAnsi="黑体" w:eastAsia="黑体"/>
          <w:color w:val="auto"/>
          <w:spacing w:val="7"/>
          <w:sz w:val="27"/>
          <w:szCs w:val="27"/>
          <w:highlight w:val="none"/>
        </w:rPr>
        <w:t>招标文件的</w:t>
      </w:r>
      <w:r>
        <w:rPr>
          <w:rFonts w:hint="eastAsia" w:ascii="黑体" w:hAnsi="黑体" w:eastAsia="黑体"/>
          <w:color w:val="auto"/>
          <w:spacing w:val="7"/>
          <w:sz w:val="27"/>
          <w:szCs w:val="27"/>
          <w:highlight w:val="none"/>
        </w:rPr>
        <w:t>答疑</w:t>
      </w:r>
      <w:bookmarkEnd w:id="161"/>
      <w:bookmarkEnd w:id="162"/>
      <w:bookmarkEnd w:id="163"/>
      <w:bookmarkEnd w:id="164"/>
      <w:bookmarkEnd w:id="165"/>
    </w:p>
    <w:p w14:paraId="34F4E884">
      <w:pPr>
        <w:spacing w:before="2" w:line="351" w:lineRule="auto"/>
        <w:ind w:left="6" w:right="1" w:firstLine="412"/>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2.2.1  投标人应仔细阅读和检查招标文件的全部内容。如有疑问，应按投标人须知前附表规定的时间和形式将提出的问题送达招标人，要求招标人对招标文件予以澄清。</w:t>
      </w:r>
    </w:p>
    <w:p w14:paraId="518668ED">
      <w:pPr>
        <w:spacing w:before="2" w:line="351" w:lineRule="auto"/>
        <w:ind w:left="6" w:right="1" w:firstLine="412"/>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2.2.2招标答疑采用网上答疑方式进行。投标人若对招标文件有疑问的，</w:t>
      </w:r>
      <w:r>
        <w:rPr>
          <w:rFonts w:hint="eastAsia" w:ascii="Times New Roman" w:hAnsi="Times New Roman" w:eastAsia="Times New Roman"/>
          <w:color w:val="auto"/>
          <w:spacing w:val="-3"/>
          <w:highlight w:val="none"/>
        </w:rPr>
        <w:t>通过</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网站提交，应按照</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网站关于全流程电子化项目的相关指南进行操作。提问一律不得署名。</w:t>
      </w:r>
    </w:p>
    <w:p w14:paraId="50810F2F">
      <w:pPr>
        <w:spacing w:before="2" w:line="351" w:lineRule="auto"/>
        <w:ind w:left="6" w:right="1" w:firstLine="412"/>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 xml:space="preserve">2.2.3  </w:t>
      </w:r>
      <w:r>
        <w:rPr>
          <w:rFonts w:hint="eastAsia" w:ascii="Times New Roman" w:hAnsi="Times New Roman" w:eastAsia="Times New Roman"/>
          <w:color w:val="auto"/>
          <w:spacing w:val="-3"/>
          <w:highlight w:val="none"/>
        </w:rPr>
        <w:t>招标答疑会会议纪要将在提交投标文件截止时间 15 日前在</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网站“项目答疑纪要”专区公开发布。答疑纪要一经在</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网站发布，视作已发放给所有投标人</w:t>
      </w:r>
      <w:r>
        <w:rPr>
          <w:rFonts w:hint="eastAsia" w:ascii="Times New Roman" w:hAnsi="Times New Roman" w:eastAsia="宋体"/>
          <w:color w:val="auto"/>
          <w:spacing w:val="-3"/>
          <w:highlight w:val="none"/>
        </w:rPr>
        <w:t>。</w:t>
      </w:r>
    </w:p>
    <w:p w14:paraId="5469073A">
      <w:pPr>
        <w:spacing w:before="2" w:line="351" w:lineRule="auto"/>
        <w:ind w:left="6" w:right="1" w:firstLine="412"/>
        <w:rPr>
          <w:rFonts w:ascii="Times New Roman" w:hAnsi="Times New Roman" w:eastAsia="宋体"/>
          <w:color w:val="auto"/>
          <w:spacing w:val="-3"/>
          <w:highlight w:val="none"/>
        </w:rPr>
      </w:pPr>
      <w:r>
        <w:rPr>
          <w:rFonts w:hint="eastAsia" w:ascii="Times New Roman" w:hAnsi="Times New Roman" w:eastAsia="宋体"/>
          <w:color w:val="auto"/>
          <w:spacing w:val="-3"/>
          <w:highlight w:val="none"/>
        </w:rPr>
        <w:t xml:space="preserve">2.2.4  </w:t>
      </w:r>
      <w:r>
        <w:rPr>
          <w:rFonts w:hint="eastAsia" w:ascii="Times New Roman" w:hAnsi="Times New Roman" w:eastAsia="Times New Roman"/>
          <w:color w:val="auto"/>
          <w:spacing w:val="-3"/>
          <w:highlight w:val="none"/>
        </w:rPr>
        <w:t>招标答疑会会议纪要</w:t>
      </w:r>
      <w:r>
        <w:rPr>
          <w:rFonts w:hint="eastAsia" w:ascii="Times New Roman" w:hAnsi="Times New Roman" w:eastAsia="宋体"/>
          <w:color w:val="auto"/>
          <w:spacing w:val="-3"/>
          <w:highlight w:val="none"/>
        </w:rPr>
        <w:t>是</w:t>
      </w:r>
      <w:r>
        <w:rPr>
          <w:rFonts w:hint="eastAsia" w:ascii="Times New Roman" w:hAnsi="Times New Roman" w:eastAsia="Times New Roman"/>
          <w:color w:val="auto"/>
          <w:spacing w:val="-3"/>
          <w:highlight w:val="none"/>
        </w:rPr>
        <w:t>招标文件的</w:t>
      </w:r>
      <w:r>
        <w:rPr>
          <w:rFonts w:hint="eastAsia" w:ascii="Times New Roman" w:hAnsi="Times New Roman" w:eastAsia="宋体"/>
          <w:color w:val="auto"/>
          <w:spacing w:val="-3"/>
          <w:highlight w:val="none"/>
        </w:rPr>
        <w:t>组成</w:t>
      </w:r>
      <w:r>
        <w:rPr>
          <w:rFonts w:hint="eastAsia" w:ascii="Times New Roman" w:hAnsi="Times New Roman" w:eastAsia="Times New Roman"/>
          <w:color w:val="auto"/>
          <w:spacing w:val="-3"/>
          <w:highlight w:val="none"/>
        </w:rPr>
        <w:t>部分</w:t>
      </w:r>
      <w:r>
        <w:rPr>
          <w:rFonts w:hint="eastAsia" w:ascii="Times New Roman" w:hAnsi="Times New Roman" w:eastAsia="宋体"/>
          <w:color w:val="auto"/>
          <w:spacing w:val="-3"/>
          <w:highlight w:val="none"/>
        </w:rPr>
        <w:t>，对投标人起约束作用</w:t>
      </w:r>
      <w:r>
        <w:rPr>
          <w:rFonts w:hint="eastAsia" w:ascii="Times New Roman" w:hAnsi="Times New Roman" w:eastAsia="Times New Roman"/>
          <w:color w:val="auto"/>
          <w:spacing w:val="-3"/>
          <w:highlight w:val="none"/>
        </w:rPr>
        <w:t>。</w:t>
      </w:r>
    </w:p>
    <w:p w14:paraId="49D80EE7">
      <w:pPr>
        <w:spacing w:before="2" w:line="351" w:lineRule="auto"/>
        <w:ind w:left="6" w:right="1" w:firstLine="412"/>
        <w:rPr>
          <w:rFonts w:ascii="Times New Roman" w:hAnsi="Times New Roman" w:eastAsiaTheme="minorEastAsia"/>
          <w:color w:val="auto"/>
          <w:spacing w:val="-3"/>
          <w:highlight w:val="none"/>
        </w:rPr>
      </w:pPr>
      <w:r>
        <w:rPr>
          <w:rFonts w:hint="eastAsia" w:ascii="Times New Roman" w:hAnsi="Times New Roman" w:eastAsia="Times New Roman"/>
          <w:color w:val="auto"/>
          <w:spacing w:val="-3"/>
          <w:highlight w:val="none"/>
        </w:rPr>
        <w:t>2.2.5  若招标答疑会会议纪要与招标文件有矛盾时，以</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网站最后发布的答疑纪要为准。</w:t>
      </w:r>
    </w:p>
    <w:p w14:paraId="1979BC6E">
      <w:pPr>
        <w:pStyle w:val="2"/>
        <w:rPr>
          <w:rFonts w:eastAsiaTheme="minorEastAsia"/>
          <w:color w:val="auto"/>
          <w:highlight w:val="none"/>
        </w:rPr>
      </w:pPr>
    </w:p>
    <w:p w14:paraId="1586AA30">
      <w:pPr>
        <w:rPr>
          <w:rFonts w:ascii="Times New Roman" w:hAnsi="Times New Roman" w:eastAsia="Times New Roman"/>
          <w:color w:val="auto"/>
          <w:spacing w:val="7"/>
          <w:sz w:val="27"/>
          <w:szCs w:val="27"/>
          <w:highlight w:val="none"/>
        </w:rPr>
      </w:pPr>
      <w:bookmarkStart w:id="166" w:name="_Toc25724"/>
      <w:bookmarkStart w:id="167" w:name="_Toc7983"/>
      <w:bookmarkStart w:id="168" w:name="_Toc20382"/>
      <w:bookmarkStart w:id="169" w:name="_Toc12871"/>
      <w:bookmarkStart w:id="170" w:name="_Toc18693"/>
      <w:r>
        <w:rPr>
          <w:rFonts w:ascii="Times New Roman" w:hAnsi="Times New Roman" w:eastAsia="Times New Roman"/>
          <w:color w:val="auto"/>
          <w:spacing w:val="7"/>
          <w:sz w:val="27"/>
          <w:szCs w:val="27"/>
          <w:highlight w:val="none"/>
        </w:rPr>
        <w:t xml:space="preserve">2.3  </w:t>
      </w:r>
      <w:r>
        <w:rPr>
          <w:rFonts w:ascii="黑体" w:hAnsi="黑体" w:eastAsia="黑体"/>
          <w:color w:val="auto"/>
          <w:spacing w:val="7"/>
          <w:sz w:val="27"/>
          <w:szCs w:val="27"/>
          <w:highlight w:val="none"/>
        </w:rPr>
        <w:t>招标文件的</w:t>
      </w:r>
      <w:r>
        <w:rPr>
          <w:rFonts w:hint="eastAsia" w:ascii="黑体" w:hAnsi="黑体" w:eastAsia="黑体"/>
          <w:color w:val="auto"/>
          <w:spacing w:val="7"/>
          <w:sz w:val="27"/>
          <w:szCs w:val="27"/>
          <w:highlight w:val="none"/>
        </w:rPr>
        <w:t>澄清与</w:t>
      </w:r>
      <w:r>
        <w:rPr>
          <w:rFonts w:ascii="黑体" w:hAnsi="黑体" w:eastAsia="黑体"/>
          <w:color w:val="auto"/>
          <w:spacing w:val="7"/>
          <w:sz w:val="27"/>
          <w:szCs w:val="27"/>
          <w:highlight w:val="none"/>
        </w:rPr>
        <w:t>修</w:t>
      </w:r>
      <w:r>
        <w:rPr>
          <w:rFonts w:ascii="黑体" w:hAnsi="黑体" w:eastAsia="黑体"/>
          <w:color w:val="auto"/>
          <w:spacing w:val="5"/>
          <w:sz w:val="27"/>
          <w:szCs w:val="27"/>
          <w:highlight w:val="none"/>
        </w:rPr>
        <w:t>改</w:t>
      </w:r>
      <w:bookmarkEnd w:id="166"/>
      <w:bookmarkEnd w:id="167"/>
      <w:bookmarkEnd w:id="168"/>
      <w:bookmarkEnd w:id="169"/>
      <w:bookmarkEnd w:id="170"/>
    </w:p>
    <w:p w14:paraId="304DDAD0">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2.3.1  招标文件发出后，在提交投标文件截止时间15日前，招标人可对招标文件进行必要的澄清或修改。</w:t>
      </w:r>
    </w:p>
    <w:p w14:paraId="4A68A812">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2.3.2  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49B44099">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2.3.3  招标</w:t>
      </w:r>
      <w:r>
        <w:rPr>
          <w:rFonts w:hint="eastAsia" w:ascii="Times New Roman" w:hAnsi="Times New Roman" w:eastAsia="宋体"/>
          <w:color w:val="auto"/>
          <w:spacing w:val="-3"/>
          <w:highlight w:val="none"/>
        </w:rPr>
        <w:t>文件的</w:t>
      </w:r>
      <w:r>
        <w:rPr>
          <w:rFonts w:hint="eastAsia" w:ascii="Times New Roman" w:hAnsi="Times New Roman" w:eastAsia="Times New Roman"/>
          <w:color w:val="auto"/>
          <w:spacing w:val="-3"/>
          <w:highlight w:val="none"/>
        </w:rPr>
        <w:t>澄清或修改</w:t>
      </w:r>
      <w:r>
        <w:rPr>
          <w:rFonts w:hint="eastAsia" w:ascii="Times New Roman" w:hAnsi="Times New Roman" w:eastAsia="宋体"/>
          <w:color w:val="auto"/>
          <w:spacing w:val="-3"/>
          <w:highlight w:val="none"/>
        </w:rPr>
        <w:t>是</w:t>
      </w:r>
      <w:r>
        <w:rPr>
          <w:rFonts w:hint="eastAsia" w:ascii="Times New Roman" w:hAnsi="Times New Roman" w:eastAsia="Times New Roman"/>
          <w:color w:val="auto"/>
          <w:spacing w:val="-3"/>
          <w:highlight w:val="none"/>
        </w:rPr>
        <w:t>招标文件的</w:t>
      </w:r>
      <w:r>
        <w:rPr>
          <w:rFonts w:hint="eastAsia" w:ascii="Times New Roman" w:hAnsi="Times New Roman" w:eastAsia="宋体"/>
          <w:color w:val="auto"/>
          <w:spacing w:val="-3"/>
          <w:highlight w:val="none"/>
        </w:rPr>
        <w:t>组成</w:t>
      </w:r>
      <w:r>
        <w:rPr>
          <w:rFonts w:hint="eastAsia" w:ascii="Times New Roman" w:hAnsi="Times New Roman" w:eastAsia="Times New Roman"/>
          <w:color w:val="auto"/>
          <w:spacing w:val="-3"/>
          <w:highlight w:val="none"/>
        </w:rPr>
        <w:t>部分</w:t>
      </w:r>
      <w:r>
        <w:rPr>
          <w:rFonts w:hint="eastAsia" w:ascii="Times New Roman" w:hAnsi="Times New Roman" w:eastAsia="宋体"/>
          <w:color w:val="auto"/>
          <w:spacing w:val="-3"/>
          <w:highlight w:val="none"/>
        </w:rPr>
        <w:t>，对投标人起约束作用</w:t>
      </w:r>
      <w:r>
        <w:rPr>
          <w:rFonts w:hint="eastAsia" w:ascii="Times New Roman" w:hAnsi="Times New Roman" w:eastAsia="Times New Roman"/>
          <w:color w:val="auto"/>
          <w:spacing w:val="-3"/>
          <w:highlight w:val="none"/>
        </w:rPr>
        <w:t>。</w:t>
      </w:r>
    </w:p>
    <w:p w14:paraId="3BF413D9">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2.3.4  招标文件的澄清或修</w:t>
      </w:r>
      <w:r>
        <w:rPr>
          <w:rFonts w:hint="eastAsia" w:ascii="Times New Roman" w:hAnsi="Times New Roman" w:eastAsia="Times New Roman"/>
          <w:color w:val="auto"/>
          <w:spacing w:val="-8"/>
          <w:highlight w:val="none"/>
        </w:rPr>
        <w:t>改均以</w:t>
      </w:r>
      <w:r>
        <w:rPr>
          <w:rFonts w:hint="eastAsia" w:ascii="Times New Roman" w:hAnsi="Times New Roman" w:eastAsia="宋体"/>
          <w:color w:val="auto"/>
          <w:spacing w:val="-8"/>
          <w:highlight w:val="none"/>
        </w:rPr>
        <w:t>广州交易集团有限公司（广州公共资源交易中心）</w:t>
      </w:r>
      <w:r>
        <w:rPr>
          <w:rFonts w:hint="eastAsia" w:ascii="Times New Roman" w:hAnsi="Times New Roman" w:eastAsia="Times New Roman"/>
          <w:color w:val="auto"/>
          <w:spacing w:val="-8"/>
          <w:highlight w:val="none"/>
        </w:rPr>
        <w:t>网站发布的内容为准。当招标文件的澄清、修改</w:t>
      </w:r>
      <w:r>
        <w:rPr>
          <w:rFonts w:hint="eastAsia" w:ascii="Times New Roman" w:hAnsi="Times New Roman" w:eastAsia="宋体"/>
          <w:color w:val="auto"/>
          <w:spacing w:val="-8"/>
          <w:highlight w:val="none"/>
        </w:rPr>
        <w:t>、补充等</w:t>
      </w:r>
      <w:r>
        <w:rPr>
          <w:rFonts w:hint="eastAsia" w:ascii="Times New Roman" w:hAnsi="Times New Roman" w:eastAsia="Times New Roman"/>
          <w:color w:val="auto"/>
          <w:spacing w:val="-8"/>
          <w:highlight w:val="none"/>
        </w:rPr>
        <w:t>在同一内容的表述不一致时，以</w:t>
      </w:r>
      <w:r>
        <w:rPr>
          <w:rFonts w:hint="eastAsia" w:ascii="Times New Roman" w:hAnsi="Times New Roman" w:eastAsia="宋体"/>
          <w:color w:val="auto"/>
          <w:spacing w:val="-8"/>
          <w:highlight w:val="none"/>
        </w:rPr>
        <w:t>广州交易集团有限公司（广州公共资源交易中心）</w:t>
      </w:r>
      <w:r>
        <w:rPr>
          <w:rFonts w:hint="eastAsia" w:ascii="Times New Roman" w:hAnsi="Times New Roman" w:eastAsia="Times New Roman"/>
          <w:color w:val="auto"/>
          <w:spacing w:val="-8"/>
          <w:highlight w:val="none"/>
        </w:rPr>
        <w:t>网站最后发布的内容为准</w:t>
      </w:r>
      <w:r>
        <w:rPr>
          <w:rFonts w:ascii="Times New Roman" w:hAnsi="Times New Roman" w:eastAsia="Times New Roman"/>
          <w:color w:val="auto"/>
          <w:spacing w:val="-8"/>
          <w:highlight w:val="none"/>
        </w:rPr>
        <w:t>。</w:t>
      </w:r>
    </w:p>
    <w:p w14:paraId="019BEE1B">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BED5C8B">
      <w:pPr>
        <w:pStyle w:val="55"/>
        <w:rPr>
          <w:color w:val="auto"/>
          <w:highlight w:val="none"/>
        </w:rPr>
      </w:pPr>
    </w:p>
    <w:p w14:paraId="5CF694D3">
      <w:pPr>
        <w:rPr>
          <w:rFonts w:ascii="Times New Roman" w:hAnsi="Times New Roman" w:eastAsia="Times New Roman"/>
          <w:color w:val="auto"/>
          <w:spacing w:val="7"/>
          <w:sz w:val="27"/>
          <w:szCs w:val="27"/>
          <w:highlight w:val="none"/>
        </w:rPr>
      </w:pPr>
      <w:bookmarkStart w:id="171" w:name="_Toc228"/>
      <w:bookmarkStart w:id="172" w:name="_Toc23452"/>
      <w:bookmarkStart w:id="173" w:name="_Toc20862"/>
      <w:bookmarkStart w:id="174" w:name="_Toc4597"/>
      <w:bookmarkStart w:id="175" w:name="_Toc17119"/>
      <w:r>
        <w:rPr>
          <w:rFonts w:ascii="Times New Roman" w:hAnsi="Times New Roman" w:eastAsia="Times New Roman"/>
          <w:color w:val="auto"/>
          <w:spacing w:val="7"/>
          <w:sz w:val="27"/>
          <w:szCs w:val="27"/>
          <w:highlight w:val="none"/>
        </w:rPr>
        <w:t xml:space="preserve">2.4  </w:t>
      </w:r>
      <w:r>
        <w:rPr>
          <w:rFonts w:ascii="黑体" w:hAnsi="黑体" w:eastAsia="黑体"/>
          <w:color w:val="auto"/>
          <w:spacing w:val="7"/>
          <w:sz w:val="27"/>
          <w:szCs w:val="27"/>
          <w:highlight w:val="none"/>
        </w:rPr>
        <w:t>招标文件的异</w:t>
      </w:r>
      <w:r>
        <w:rPr>
          <w:rFonts w:ascii="黑体" w:hAnsi="黑体" w:eastAsia="黑体"/>
          <w:color w:val="auto"/>
          <w:spacing w:val="5"/>
          <w:sz w:val="27"/>
          <w:szCs w:val="27"/>
          <w:highlight w:val="none"/>
        </w:rPr>
        <w:t>议</w:t>
      </w:r>
      <w:bookmarkEnd w:id="171"/>
      <w:bookmarkEnd w:id="172"/>
      <w:bookmarkEnd w:id="173"/>
      <w:bookmarkEnd w:id="174"/>
      <w:bookmarkEnd w:id="175"/>
    </w:p>
    <w:p w14:paraId="76C41702">
      <w:pPr>
        <w:spacing w:before="69" w:line="360" w:lineRule="auto"/>
        <w:ind w:left="3" w:right="2" w:firstLine="421"/>
        <w:rPr>
          <w:rFonts w:ascii="宋体" w:hAnsi="宋体" w:eastAsia="宋体"/>
          <w:color w:val="auto"/>
          <w:spacing w:val="-10"/>
          <w:highlight w:val="none"/>
        </w:rPr>
      </w:pPr>
      <w:r>
        <w:rPr>
          <w:rFonts w:ascii="宋体" w:hAnsi="宋体" w:eastAsia="宋体"/>
          <w:color w:val="auto"/>
          <w:spacing w:val="-10"/>
          <w:highlight w:val="none"/>
        </w:rPr>
        <w:t>投标人或者</w:t>
      </w:r>
      <w:r>
        <w:rPr>
          <w:rFonts w:ascii="宋体" w:hAnsi="宋体" w:eastAsia="宋体"/>
          <w:color w:val="auto"/>
          <w:spacing w:val="-9"/>
          <w:highlight w:val="none"/>
        </w:rPr>
        <w:t>其</w:t>
      </w:r>
      <w:r>
        <w:rPr>
          <w:rFonts w:ascii="宋体" w:hAnsi="宋体" w:eastAsia="宋体"/>
          <w:color w:val="auto"/>
          <w:spacing w:val="-5"/>
          <w:highlight w:val="none"/>
        </w:rPr>
        <w:t xml:space="preserve">他利害关系人对招标文件有异议的， 应当在投标截止时间 </w:t>
      </w:r>
      <w:r>
        <w:rPr>
          <w:rFonts w:ascii="Times New Roman" w:hAnsi="Times New Roman" w:eastAsia="Times New Roman"/>
          <w:color w:val="auto"/>
          <w:spacing w:val="-5"/>
          <w:highlight w:val="none"/>
        </w:rPr>
        <w:t xml:space="preserve">10 </w:t>
      </w:r>
      <w:r>
        <w:rPr>
          <w:rFonts w:ascii="宋体" w:hAnsi="宋体" w:eastAsia="宋体"/>
          <w:color w:val="auto"/>
          <w:spacing w:val="-5"/>
          <w:highlight w:val="none"/>
        </w:rPr>
        <w:t>日前以书面形式</w:t>
      </w:r>
      <w:r>
        <w:rPr>
          <w:rFonts w:ascii="宋体" w:hAnsi="宋体" w:eastAsia="宋体"/>
          <w:color w:val="auto"/>
          <w:highlight w:val="none"/>
        </w:rPr>
        <w:t xml:space="preserve"> </w:t>
      </w:r>
      <w:r>
        <w:rPr>
          <w:rFonts w:ascii="宋体" w:hAnsi="宋体" w:eastAsia="宋体"/>
          <w:color w:val="auto"/>
          <w:spacing w:val="-4"/>
          <w:highlight w:val="none"/>
        </w:rPr>
        <w:t>提出。</w:t>
      </w:r>
      <w:r>
        <w:rPr>
          <w:rFonts w:ascii="宋体" w:hAnsi="宋体" w:eastAsia="宋体"/>
          <w:color w:val="auto"/>
          <w:spacing w:val="-2"/>
          <w:highlight w:val="none"/>
        </w:rPr>
        <w:t xml:space="preserve">招标人将在收到异议之日起 </w:t>
      </w:r>
      <w:r>
        <w:rPr>
          <w:rFonts w:ascii="Times New Roman" w:hAnsi="Times New Roman" w:eastAsia="Times New Roman"/>
          <w:color w:val="auto"/>
          <w:spacing w:val="-2"/>
          <w:highlight w:val="none"/>
        </w:rPr>
        <w:t xml:space="preserve">3 </w:t>
      </w:r>
      <w:r>
        <w:rPr>
          <w:rFonts w:ascii="宋体" w:hAnsi="宋体" w:eastAsia="宋体"/>
          <w:color w:val="auto"/>
          <w:spacing w:val="-2"/>
          <w:highlight w:val="none"/>
        </w:rPr>
        <w:t>日内作出答复；作出答复前，将暂停招标投标活动。</w:t>
      </w:r>
    </w:p>
    <w:p w14:paraId="06426596">
      <w:pPr>
        <w:spacing w:before="1" w:line="360" w:lineRule="auto"/>
        <w:ind w:left="0" w:right="7" w:firstLine="0"/>
        <w:rPr>
          <w:rFonts w:ascii="Times New Roman" w:hAnsi="Times New Roman" w:eastAsia="Times New Roman"/>
          <w:color w:val="auto"/>
          <w:spacing w:val="10"/>
          <w:sz w:val="27"/>
          <w:szCs w:val="27"/>
          <w:highlight w:val="none"/>
        </w:rPr>
      </w:pPr>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投标文件的组成</w:t>
      </w:r>
    </w:p>
    <w:p w14:paraId="2E27FECA">
      <w:pPr>
        <w:spacing w:line="360" w:lineRule="auto"/>
        <w:ind w:firstLine="420" w:firstLineChars="200"/>
        <w:rPr>
          <w:b/>
          <w:color w:val="auto"/>
          <w:highlight w:val="none"/>
        </w:rPr>
      </w:pPr>
      <w:r>
        <w:rPr>
          <w:b/>
          <w:color w:val="auto"/>
          <w:highlight w:val="none"/>
        </w:rPr>
        <w:t>3.1.1</w:t>
      </w:r>
      <w:r>
        <w:rPr>
          <w:rFonts w:hint="eastAsia"/>
          <w:b/>
          <w:color w:val="auto"/>
          <w:highlight w:val="none"/>
        </w:rPr>
        <w:t xml:space="preserve"> 商务文件（含资格审查文件）由下列资料组成：</w:t>
      </w:r>
    </w:p>
    <w:p w14:paraId="59557F39">
      <w:pPr>
        <w:spacing w:before="148" w:line="220" w:lineRule="auto"/>
        <w:ind w:left="428"/>
        <w:rPr>
          <w:rFonts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1"/>
          <w:highlight w:val="none"/>
        </w:rPr>
        <w:t>1</w:t>
      </w:r>
      <w:r>
        <w:rPr>
          <w:rFonts w:ascii="宋体" w:hAnsi="宋体" w:eastAsia="宋体"/>
          <w:color w:val="auto"/>
          <w:spacing w:val="11"/>
          <w:highlight w:val="none"/>
        </w:rPr>
        <w:t>)投标函及投标函附录；</w:t>
      </w:r>
    </w:p>
    <w:p w14:paraId="0463BB67">
      <w:pPr>
        <w:spacing w:before="150" w:line="217" w:lineRule="auto"/>
        <w:ind w:left="428"/>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2</w:t>
      </w:r>
      <w:r>
        <w:rPr>
          <w:rFonts w:ascii="宋体" w:hAnsi="宋体" w:eastAsia="宋体"/>
          <w:color w:val="auto"/>
          <w:spacing w:val="7"/>
          <w:highlight w:val="none"/>
        </w:rPr>
        <w:t>)</w:t>
      </w:r>
      <w:r>
        <w:rPr>
          <w:rFonts w:hint="eastAsia" w:ascii="宋体" w:hAnsi="宋体" w:eastAsia="宋体"/>
          <w:color w:val="auto"/>
          <w:spacing w:val="14"/>
          <w:highlight w:val="none"/>
        </w:rPr>
        <w:t>法定代表人身份证明及授权委托书</w:t>
      </w:r>
      <w:r>
        <w:rPr>
          <w:rFonts w:ascii="宋体" w:hAnsi="宋体" w:eastAsia="宋体"/>
          <w:color w:val="auto"/>
          <w:spacing w:val="14"/>
          <w:highlight w:val="none"/>
        </w:rPr>
        <w:t>；</w:t>
      </w:r>
    </w:p>
    <w:p w14:paraId="41C806EE">
      <w:pPr>
        <w:spacing w:before="154" w:line="220" w:lineRule="auto"/>
        <w:ind w:left="428"/>
        <w:rPr>
          <w:rFonts w:ascii="宋体" w:hAnsi="宋体" w:eastAsia="宋体"/>
          <w:color w:val="auto"/>
          <w:spacing w:val="21"/>
          <w:highlight w:val="none"/>
        </w:rPr>
      </w:pPr>
      <w:r>
        <w:rPr>
          <w:rFonts w:ascii="宋体" w:hAnsi="宋体" w:eastAsia="宋体"/>
          <w:strike/>
          <w:color w:val="auto"/>
          <w:spacing w:val="21"/>
          <w:highlight w:val="none"/>
        </w:rPr>
        <w:t>(</w:t>
      </w:r>
      <w:r>
        <w:rPr>
          <w:rFonts w:ascii="Times New Roman" w:hAnsi="Times New Roman" w:eastAsia="Times New Roman"/>
          <w:strike/>
          <w:color w:val="auto"/>
          <w:spacing w:val="14"/>
          <w:highlight w:val="none"/>
        </w:rPr>
        <w:t>3</w:t>
      </w:r>
      <w:r>
        <w:rPr>
          <w:rFonts w:ascii="宋体" w:hAnsi="宋体" w:eastAsia="宋体"/>
          <w:strike/>
          <w:color w:val="auto"/>
          <w:spacing w:val="14"/>
          <w:highlight w:val="none"/>
        </w:rPr>
        <w:t>)联合体协议书；</w:t>
      </w:r>
    </w:p>
    <w:p w14:paraId="2CC9F2F7">
      <w:pPr>
        <w:spacing w:before="150" w:line="221" w:lineRule="auto"/>
        <w:ind w:left="428"/>
        <w:rPr>
          <w:rFonts w:ascii="宋体" w:hAnsi="宋体" w:eastAsia="宋体"/>
          <w:strike/>
          <w:color w:val="auto"/>
          <w:spacing w:val="19"/>
          <w:highlight w:val="none"/>
        </w:rPr>
      </w:pPr>
      <w:r>
        <w:rPr>
          <w:rFonts w:ascii="宋体" w:hAnsi="宋体" w:eastAsia="宋体"/>
          <w:strike/>
          <w:color w:val="auto"/>
          <w:spacing w:val="19"/>
          <w:highlight w:val="none"/>
        </w:rPr>
        <w:t>(</w:t>
      </w:r>
      <w:r>
        <w:rPr>
          <w:rFonts w:ascii="Times New Roman" w:hAnsi="Times New Roman" w:eastAsia="Times New Roman"/>
          <w:strike/>
          <w:color w:val="auto"/>
          <w:spacing w:val="16"/>
          <w:highlight w:val="none"/>
        </w:rPr>
        <w:t>4</w:t>
      </w:r>
      <w:r>
        <w:rPr>
          <w:rFonts w:ascii="宋体" w:hAnsi="宋体" w:eastAsia="宋体"/>
          <w:strike/>
          <w:color w:val="auto"/>
          <w:spacing w:val="16"/>
          <w:highlight w:val="none"/>
        </w:rPr>
        <w:t>)投标保证金</w:t>
      </w:r>
      <w:r>
        <w:rPr>
          <w:rFonts w:ascii="宋体" w:hAnsi="宋体" w:eastAsia="宋体"/>
          <w:color w:val="auto"/>
          <w:spacing w:val="16"/>
          <w:highlight w:val="none"/>
        </w:rPr>
        <w:t>；</w:t>
      </w:r>
    </w:p>
    <w:p w14:paraId="3D65A2C3">
      <w:pPr>
        <w:spacing w:before="150" w:line="217" w:lineRule="auto"/>
        <w:ind w:left="428"/>
        <w:rPr>
          <w:rFonts w:ascii="宋体" w:hAnsi="宋体" w:eastAsia="宋体"/>
          <w:color w:val="auto"/>
          <w:spacing w:val="14"/>
          <w:highlight w:val="none"/>
        </w:rPr>
      </w:pPr>
      <w:r>
        <w:rPr>
          <w:rFonts w:ascii="宋体" w:hAnsi="宋体" w:eastAsia="宋体"/>
          <w:color w:val="auto"/>
          <w:spacing w:val="14"/>
          <w:highlight w:val="none"/>
        </w:rPr>
        <w:t>(5)</w:t>
      </w:r>
      <w:r>
        <w:rPr>
          <w:rFonts w:hint="eastAsia" w:ascii="宋体" w:hAnsi="宋体" w:eastAsia="宋体"/>
          <w:color w:val="auto"/>
          <w:spacing w:val="14"/>
          <w:highlight w:val="none"/>
          <w:lang w:eastAsia="zh-CN"/>
        </w:rPr>
        <w:t>勘察费</w:t>
      </w:r>
      <w:r>
        <w:rPr>
          <w:rFonts w:hint="eastAsia" w:ascii="宋体" w:hAnsi="宋体" w:eastAsia="宋体"/>
          <w:color w:val="auto"/>
          <w:spacing w:val="14"/>
          <w:highlight w:val="none"/>
        </w:rPr>
        <w:t>报价表</w:t>
      </w:r>
      <w:r>
        <w:rPr>
          <w:rFonts w:ascii="宋体" w:hAnsi="宋体" w:eastAsia="宋体"/>
          <w:color w:val="auto"/>
          <w:spacing w:val="14"/>
          <w:highlight w:val="none"/>
        </w:rPr>
        <w:t>；</w:t>
      </w:r>
    </w:p>
    <w:p w14:paraId="48EF2605">
      <w:pPr>
        <w:spacing w:before="150" w:line="217" w:lineRule="auto"/>
        <w:ind w:left="428"/>
        <w:rPr>
          <w:rFonts w:ascii="宋体" w:hAnsi="宋体" w:eastAsia="宋体"/>
          <w:color w:val="auto"/>
          <w:spacing w:val="14"/>
          <w:highlight w:val="none"/>
        </w:rPr>
      </w:pPr>
      <w:r>
        <w:rPr>
          <w:rFonts w:ascii="宋体" w:hAnsi="宋体" w:eastAsia="宋体"/>
          <w:color w:val="auto"/>
          <w:spacing w:val="14"/>
          <w:highlight w:val="none"/>
        </w:rPr>
        <w:t>(6)资格审查资料；</w:t>
      </w:r>
    </w:p>
    <w:p w14:paraId="4970D0F3">
      <w:pPr>
        <w:spacing w:before="150" w:line="217" w:lineRule="auto"/>
        <w:ind w:left="428"/>
        <w:rPr>
          <w:rFonts w:ascii="宋体" w:hAnsi="宋体" w:eastAsia="宋体"/>
          <w:color w:val="auto"/>
          <w:spacing w:val="14"/>
          <w:highlight w:val="none"/>
        </w:rPr>
      </w:pPr>
      <w:r>
        <w:rPr>
          <w:rFonts w:ascii="宋体" w:hAnsi="宋体" w:eastAsia="宋体"/>
          <w:color w:val="auto"/>
          <w:spacing w:val="14"/>
          <w:highlight w:val="none"/>
        </w:rPr>
        <w:t>(7)</w:t>
      </w:r>
      <w:r>
        <w:rPr>
          <w:rFonts w:hint="eastAsia" w:ascii="宋体" w:hAnsi="宋体" w:eastAsia="宋体"/>
          <w:color w:val="auto"/>
          <w:spacing w:val="14"/>
          <w:highlight w:val="none"/>
          <w:lang w:eastAsia="zh-CN"/>
        </w:rPr>
        <w:t>勘察方案</w:t>
      </w:r>
      <w:r>
        <w:rPr>
          <w:rFonts w:ascii="宋体" w:hAnsi="宋体" w:eastAsia="宋体"/>
          <w:color w:val="auto"/>
          <w:spacing w:val="14"/>
          <w:highlight w:val="none"/>
        </w:rPr>
        <w:t>；</w:t>
      </w:r>
    </w:p>
    <w:p w14:paraId="47AF6DE5">
      <w:pPr>
        <w:spacing w:before="148" w:line="218" w:lineRule="auto"/>
        <w:ind w:left="426"/>
        <w:rPr>
          <w:rFonts w:ascii="宋体" w:hAnsi="宋体" w:eastAsia="宋体"/>
          <w:color w:val="auto"/>
          <w:spacing w:val="8"/>
          <w:highlight w:val="none"/>
        </w:rPr>
      </w:pPr>
      <w:r>
        <w:rPr>
          <w:rFonts w:ascii="宋体" w:hAnsi="宋体" w:eastAsia="宋体"/>
          <w:color w:val="auto"/>
          <w:spacing w:val="16"/>
          <w:highlight w:val="none"/>
        </w:rPr>
        <w:t>(</w:t>
      </w:r>
      <w:r>
        <w:rPr>
          <w:rFonts w:ascii="Times New Roman" w:hAnsi="Times New Roman" w:eastAsia="Times New Roman"/>
          <w:color w:val="auto"/>
          <w:spacing w:val="13"/>
          <w:highlight w:val="none"/>
        </w:rPr>
        <w:t>8</w:t>
      </w:r>
      <w:r>
        <w:rPr>
          <w:rFonts w:ascii="宋体" w:hAnsi="宋体" w:eastAsia="宋体"/>
          <w:color w:val="auto"/>
          <w:spacing w:val="8"/>
          <w:highlight w:val="none"/>
        </w:rPr>
        <w:t>)</w:t>
      </w:r>
      <w:r>
        <w:rPr>
          <w:rFonts w:hint="eastAsia" w:ascii="宋体" w:hAnsi="宋体" w:eastAsia="宋体"/>
          <w:color w:val="auto"/>
          <w:spacing w:val="8"/>
          <w:highlight w:val="none"/>
        </w:rPr>
        <w:t>投标人须知前附表规定的</w:t>
      </w:r>
      <w:r>
        <w:rPr>
          <w:rFonts w:ascii="宋体" w:hAnsi="宋体" w:eastAsia="宋体"/>
          <w:color w:val="auto"/>
          <w:spacing w:val="8"/>
          <w:highlight w:val="none"/>
        </w:rPr>
        <w:t>其他资料。</w:t>
      </w:r>
    </w:p>
    <w:p w14:paraId="6A861DAE">
      <w:pPr>
        <w:spacing w:before="148" w:line="218" w:lineRule="auto"/>
        <w:ind w:left="426"/>
        <w:rPr>
          <w:rFonts w:ascii="宋体" w:hAnsi="宋体" w:eastAsia="宋体"/>
          <w:color w:val="auto"/>
          <w:spacing w:val="8"/>
          <w:highlight w:val="none"/>
        </w:rPr>
      </w:pPr>
    </w:p>
    <w:p w14:paraId="000938EA">
      <w:pPr>
        <w:spacing w:line="360" w:lineRule="auto"/>
        <w:ind w:firstLine="420" w:firstLineChars="200"/>
        <w:rPr>
          <w:rFonts w:hint="eastAsia" w:eastAsia="宋体"/>
          <w:b/>
          <w:bCs/>
          <w:color w:val="auto"/>
          <w:highlight w:val="none"/>
          <w:lang w:val="en-US" w:eastAsia="zh-CN"/>
        </w:rPr>
      </w:pPr>
      <w:r>
        <w:rPr>
          <w:rFonts w:hint="eastAsia"/>
          <w:b/>
          <w:bCs/>
          <w:color w:val="auto"/>
          <w:highlight w:val="none"/>
        </w:rPr>
        <w:t>3.1.</w:t>
      </w:r>
      <w:r>
        <w:rPr>
          <w:rFonts w:hint="eastAsia" w:eastAsia="宋体"/>
          <w:b/>
          <w:bCs/>
          <w:color w:val="auto"/>
          <w:highlight w:val="none"/>
          <w:lang w:val="en-US" w:eastAsia="zh-CN"/>
        </w:rPr>
        <w:t>2技术文件：</w:t>
      </w:r>
    </w:p>
    <w:p w14:paraId="7DEBE4AA">
      <w:pPr>
        <w:pStyle w:val="2"/>
        <w:ind w:firstLine="420" w:firstLineChars="200"/>
        <w:rPr>
          <w:color w:val="auto"/>
          <w:highlight w:val="none"/>
        </w:rPr>
      </w:pPr>
      <w:r>
        <w:rPr>
          <w:rFonts w:hint="eastAsia"/>
          <w:b/>
          <w:bCs/>
          <w:color w:val="auto"/>
          <w:highlight w:val="none"/>
        </w:rPr>
        <w:t xml:space="preserve"> </w:t>
      </w:r>
      <w:r>
        <w:rPr>
          <w:rFonts w:ascii="宋体" w:hAnsi="宋体" w:eastAsia="宋体" w:cs="宋体"/>
          <w:color w:val="auto"/>
          <w:spacing w:val="14"/>
          <w:sz w:val="21"/>
          <w:szCs w:val="21"/>
          <w:highlight w:val="none"/>
        </w:rPr>
        <w:t>勘察方案</w:t>
      </w:r>
    </w:p>
    <w:p w14:paraId="726CCCF8">
      <w:pPr>
        <w:pStyle w:val="2"/>
        <w:rPr>
          <w:color w:val="auto"/>
          <w:highlight w:val="none"/>
        </w:rPr>
      </w:pPr>
    </w:p>
    <w:p w14:paraId="51A45B28">
      <w:pPr>
        <w:spacing w:line="360" w:lineRule="auto"/>
        <w:ind w:firstLine="420" w:firstLineChars="200"/>
        <w:rPr>
          <w:b/>
          <w:color w:val="auto"/>
          <w:highlight w:val="none"/>
        </w:rPr>
      </w:pPr>
      <w:r>
        <w:rPr>
          <w:rFonts w:hint="eastAsia"/>
          <w:b/>
          <w:color w:val="auto"/>
          <w:highlight w:val="none"/>
        </w:rPr>
        <w:t>3.1.</w:t>
      </w:r>
      <w:r>
        <w:rPr>
          <w:rFonts w:hint="eastAsia" w:eastAsia="宋体"/>
          <w:b/>
          <w:color w:val="auto"/>
          <w:highlight w:val="none"/>
        </w:rPr>
        <w:t>3</w:t>
      </w:r>
      <w:r>
        <w:rPr>
          <w:rFonts w:hint="eastAsia"/>
          <w:b/>
          <w:color w:val="auto"/>
          <w:highlight w:val="none"/>
        </w:rPr>
        <w:t>保密要求</w:t>
      </w:r>
    </w:p>
    <w:p w14:paraId="2C54CCBE">
      <w:pPr>
        <w:pStyle w:val="32"/>
        <w:spacing w:line="360" w:lineRule="auto"/>
        <w:ind w:firstLine="476" w:firstLineChars="200"/>
        <w:rPr>
          <w:rFonts w:ascii="宋体" w:hAnsi="宋体" w:eastAsia="宋体"/>
          <w:color w:val="auto"/>
          <w:spacing w:val="14"/>
          <w:highlight w:val="none"/>
        </w:rPr>
      </w:pPr>
      <w:r>
        <w:rPr>
          <w:rFonts w:hint="eastAsia" w:ascii="宋体" w:hAnsi="宋体" w:eastAsia="宋体"/>
          <w:color w:val="auto"/>
          <w:spacing w:val="14"/>
          <w:highlight w:val="none"/>
          <w:lang w:eastAsia="zh-CN"/>
        </w:rPr>
        <w:t>勘察方案</w:t>
      </w:r>
      <w:r>
        <w:rPr>
          <w:rFonts w:hint="eastAsia"/>
          <w:color w:val="auto"/>
          <w:highlight w:val="none"/>
        </w:rPr>
        <w:t>必须隐匿投标人及专业技术人员的名称及投标报价信息，投标人不得在</w:t>
      </w:r>
      <w:r>
        <w:rPr>
          <w:rFonts w:hint="eastAsia" w:ascii="宋体" w:hAnsi="宋体" w:eastAsia="宋体"/>
          <w:color w:val="auto"/>
          <w:spacing w:val="14"/>
          <w:highlight w:val="none"/>
          <w:lang w:eastAsia="zh-CN"/>
        </w:rPr>
        <w:t>勘察方案</w:t>
      </w:r>
      <w:r>
        <w:rPr>
          <w:rFonts w:hint="eastAsia"/>
          <w:color w:val="auto"/>
          <w:highlight w:val="none"/>
        </w:rPr>
        <w:t>上标注或做任何可以辨认投标人及专业技术人员身份的名称、印章、商标，也不得显示投标报价信息。</w:t>
      </w:r>
    </w:p>
    <w:p w14:paraId="5F0DFC4C">
      <w:pPr>
        <w:rPr>
          <w:rFonts w:ascii="Times New Roman" w:hAnsi="Times New Roman" w:eastAsia="Times New Roman"/>
          <w:color w:val="auto"/>
          <w:spacing w:val="7"/>
          <w:sz w:val="27"/>
          <w:szCs w:val="27"/>
          <w:highlight w:val="none"/>
        </w:rPr>
      </w:pPr>
      <w:bookmarkStart w:id="176" w:name="_Toc11008"/>
      <w:bookmarkStart w:id="177" w:name="_Toc5232"/>
      <w:bookmarkStart w:id="178" w:name="_Toc14762"/>
      <w:bookmarkStart w:id="179" w:name="_Toc22873"/>
      <w:bookmarkStart w:id="180" w:name="_Toc29848"/>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.2  </w:t>
      </w:r>
      <w:r>
        <w:rPr>
          <w:rFonts w:ascii="黑体" w:hAnsi="黑体" w:eastAsia="黑体"/>
          <w:color w:val="auto"/>
          <w:spacing w:val="5"/>
          <w:sz w:val="27"/>
          <w:szCs w:val="27"/>
          <w:highlight w:val="none"/>
        </w:rPr>
        <w:t>投标报价</w:t>
      </w:r>
      <w:bookmarkEnd w:id="176"/>
      <w:bookmarkEnd w:id="177"/>
      <w:bookmarkEnd w:id="178"/>
      <w:bookmarkEnd w:id="179"/>
      <w:bookmarkEnd w:id="180"/>
    </w:p>
    <w:p w14:paraId="74475E9E">
      <w:pPr>
        <w:spacing w:before="69" w:line="352" w:lineRule="auto"/>
        <w:ind w:left="2" w:firstLine="418"/>
        <w:rPr>
          <w:rFonts w:ascii="Times New Roman" w:hAnsi="Times New Roman" w:eastAsia="Times New Roman"/>
          <w:color w:val="auto"/>
          <w:spacing w:val="-10"/>
          <w:highlight w:val="none"/>
        </w:rPr>
      </w:pPr>
      <w:r>
        <w:rPr>
          <w:rFonts w:ascii="Times New Roman" w:hAnsi="Times New Roman" w:eastAsia="Times New Roman"/>
          <w:color w:val="auto"/>
          <w:spacing w:val="-10"/>
          <w:highlight w:val="none"/>
        </w:rPr>
        <w:t>3.</w:t>
      </w:r>
      <w:r>
        <w:rPr>
          <w:rFonts w:ascii="Times New Roman" w:hAnsi="Times New Roman" w:eastAsia="Times New Roman"/>
          <w:color w:val="auto"/>
          <w:spacing w:val="-9"/>
          <w:highlight w:val="none"/>
        </w:rPr>
        <w:t>2</w:t>
      </w:r>
      <w:r>
        <w:rPr>
          <w:rFonts w:ascii="Times New Roman" w:hAnsi="Times New Roman" w:eastAsia="Times New Roman"/>
          <w:color w:val="auto"/>
          <w:spacing w:val="-5"/>
          <w:highlight w:val="none"/>
        </w:rPr>
        <w:t xml:space="preserve">.1 </w:t>
      </w:r>
      <w:r>
        <w:rPr>
          <w:rFonts w:ascii="宋体" w:hAnsi="宋体" w:eastAsia="宋体"/>
          <w:color w:val="auto"/>
          <w:spacing w:val="-5"/>
          <w:highlight w:val="none"/>
        </w:rPr>
        <w:t>投标报价应包括国家规定的增值税税金， 除投标人须知前附表另有规定外， 增值税税</w:t>
      </w:r>
      <w:r>
        <w:rPr>
          <w:rFonts w:ascii="宋体" w:hAnsi="宋体" w:eastAsia="宋体"/>
          <w:color w:val="auto"/>
          <w:highlight w:val="none"/>
        </w:rPr>
        <w:t xml:space="preserve"> </w:t>
      </w:r>
      <w:r>
        <w:rPr>
          <w:rFonts w:ascii="宋体" w:hAnsi="宋体" w:eastAsia="宋体"/>
          <w:color w:val="auto"/>
          <w:spacing w:val="1"/>
          <w:highlight w:val="none"/>
        </w:rPr>
        <w:t>金按一般计税方法计算。投标人应按第六章</w:t>
      </w:r>
      <w:r>
        <w:rPr>
          <w:rFonts w:ascii="Times New Roman" w:hAnsi="Times New Roman" w:eastAsia="Times New Roman"/>
          <w:color w:val="auto"/>
          <w:spacing w:val="1"/>
          <w:highlight w:val="none"/>
        </w:rPr>
        <w:t>“</w:t>
      </w:r>
      <w:r>
        <w:rPr>
          <w:rFonts w:ascii="宋体" w:hAnsi="宋体" w:eastAsia="宋体"/>
          <w:color w:val="auto"/>
          <w:spacing w:val="1"/>
          <w:highlight w:val="none"/>
        </w:rPr>
        <w:t>投标文件格式</w:t>
      </w:r>
      <w:r>
        <w:rPr>
          <w:rFonts w:ascii="Times New Roman" w:hAnsi="Times New Roman" w:eastAsia="Times New Roman"/>
          <w:color w:val="auto"/>
          <w:spacing w:val="1"/>
          <w:highlight w:val="none"/>
        </w:rPr>
        <w:t>”</w:t>
      </w:r>
      <w:r>
        <w:rPr>
          <w:rFonts w:ascii="宋体" w:hAnsi="宋体" w:eastAsia="宋体"/>
          <w:color w:val="auto"/>
          <w:spacing w:val="1"/>
          <w:highlight w:val="none"/>
        </w:rPr>
        <w:t>的要求在投标函中进行报价并</w:t>
      </w:r>
      <w:r>
        <w:rPr>
          <w:rFonts w:ascii="宋体" w:hAnsi="宋体" w:eastAsia="宋体"/>
          <w:color w:val="auto"/>
          <w:highlight w:val="none"/>
        </w:rPr>
        <w:t xml:space="preserve">填写 </w:t>
      </w:r>
      <w:r>
        <w:rPr>
          <w:rFonts w:ascii="宋体" w:hAnsi="宋体" w:eastAsia="宋体"/>
          <w:color w:val="auto"/>
          <w:spacing w:val="-5"/>
          <w:highlight w:val="none"/>
        </w:rPr>
        <w:t>设计费用清单</w:t>
      </w:r>
      <w:r>
        <w:rPr>
          <w:rFonts w:ascii="宋体" w:hAnsi="宋体" w:eastAsia="宋体"/>
          <w:color w:val="auto"/>
          <w:spacing w:val="-4"/>
          <w:highlight w:val="none"/>
        </w:rPr>
        <w:t>。</w:t>
      </w:r>
    </w:p>
    <w:p w14:paraId="4BD3BDD0">
      <w:pPr>
        <w:spacing w:line="218" w:lineRule="auto"/>
        <w:ind w:left="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w:t>
      </w:r>
      <w:r>
        <w:rPr>
          <w:rFonts w:ascii="Times New Roman" w:hAnsi="Times New Roman" w:eastAsia="Times New Roman"/>
          <w:color w:val="auto"/>
          <w:spacing w:val="-1"/>
          <w:highlight w:val="none"/>
        </w:rPr>
        <w:t xml:space="preserve">.2.2  </w:t>
      </w:r>
      <w:r>
        <w:rPr>
          <w:rFonts w:ascii="宋体" w:hAnsi="宋体" w:eastAsia="宋体"/>
          <w:color w:val="auto"/>
          <w:spacing w:val="-1"/>
          <w:highlight w:val="none"/>
        </w:rPr>
        <w:t>投标人应充分了解该项目的总体情况以及影响投标报价的其他要素。</w:t>
      </w:r>
    </w:p>
    <w:p w14:paraId="48B9E909">
      <w:pPr>
        <w:spacing w:before="151" w:line="352" w:lineRule="auto"/>
        <w:ind w:left="1" w:right="1" w:firstLine="419"/>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3.2.3  </w:t>
      </w:r>
      <w:r>
        <w:rPr>
          <w:rFonts w:ascii="宋体" w:hAnsi="宋体" w:eastAsia="宋体"/>
          <w:color w:val="auto"/>
          <w:spacing w:val="-2"/>
          <w:highlight w:val="none"/>
        </w:rPr>
        <w:t>本项目的报价方式见投标人须知前附表。投标人在投标截止时间前修改投标函中</w:t>
      </w:r>
      <w:r>
        <w:rPr>
          <w:rFonts w:ascii="宋体" w:hAnsi="宋体" w:eastAsia="宋体"/>
          <w:color w:val="auto"/>
          <w:highlight w:val="none"/>
        </w:rPr>
        <w:t xml:space="preserve">的投 </w:t>
      </w:r>
      <w:r>
        <w:rPr>
          <w:rFonts w:ascii="宋体" w:hAnsi="宋体" w:eastAsia="宋体"/>
          <w:color w:val="auto"/>
          <w:spacing w:val="-10"/>
          <w:highlight w:val="none"/>
        </w:rPr>
        <w:t>标报价总额，</w:t>
      </w:r>
      <w:r>
        <w:rPr>
          <w:rFonts w:ascii="宋体" w:hAnsi="宋体" w:eastAsia="宋体"/>
          <w:color w:val="auto"/>
          <w:spacing w:val="-5"/>
          <w:highlight w:val="none"/>
        </w:rPr>
        <w:t>应同时修改投标文件</w:t>
      </w:r>
      <w:r>
        <w:rPr>
          <w:rFonts w:hint="eastAsia" w:ascii="宋体" w:hAnsi="宋体" w:eastAsia="宋体"/>
          <w:color w:val="auto"/>
          <w:spacing w:val="-5"/>
          <w:highlight w:val="none"/>
        </w:rPr>
        <w:t>“</w:t>
      </w:r>
      <w:r>
        <w:rPr>
          <w:rFonts w:hint="eastAsia" w:ascii="宋体" w:hAnsi="宋体" w:eastAsia="宋体"/>
          <w:color w:val="auto"/>
          <w:spacing w:val="-5"/>
          <w:highlight w:val="none"/>
          <w:lang w:eastAsia="zh-CN"/>
        </w:rPr>
        <w:t>勘察费</w:t>
      </w:r>
      <w:r>
        <w:rPr>
          <w:rFonts w:hint="eastAsia" w:ascii="宋体" w:hAnsi="宋体" w:eastAsia="宋体"/>
          <w:color w:val="auto"/>
          <w:spacing w:val="-5"/>
          <w:highlight w:val="none"/>
        </w:rPr>
        <w:t>报价表</w:t>
      </w:r>
      <w:r>
        <w:rPr>
          <w:rFonts w:hint="eastAsia" w:ascii="Times New Roman" w:hAnsi="Times New Roman" w:eastAsia="宋体"/>
          <w:color w:val="auto"/>
          <w:spacing w:val="-5"/>
          <w:highlight w:val="none"/>
        </w:rPr>
        <w:t>”</w:t>
      </w:r>
      <w:r>
        <w:rPr>
          <w:rFonts w:ascii="宋体" w:hAnsi="宋体" w:eastAsia="宋体"/>
          <w:color w:val="auto"/>
          <w:spacing w:val="-5"/>
          <w:highlight w:val="none"/>
        </w:rPr>
        <w:t xml:space="preserve">中的相应报价。此修改须符合本章第 </w:t>
      </w:r>
      <w:r>
        <w:rPr>
          <w:rFonts w:ascii="Times New Roman" w:hAnsi="Times New Roman" w:eastAsia="Times New Roman"/>
          <w:color w:val="auto"/>
          <w:spacing w:val="-5"/>
          <w:highlight w:val="none"/>
        </w:rPr>
        <w:t xml:space="preserve">4.3 </w:t>
      </w:r>
      <w:r>
        <w:rPr>
          <w:rFonts w:ascii="宋体" w:hAnsi="宋体" w:eastAsia="宋体"/>
          <w:color w:val="auto"/>
          <w:spacing w:val="-5"/>
          <w:highlight w:val="none"/>
        </w:rPr>
        <w:t>款的</w:t>
      </w:r>
      <w:r>
        <w:rPr>
          <w:rFonts w:ascii="宋体" w:hAnsi="宋体" w:eastAsia="宋体"/>
          <w:color w:val="auto"/>
          <w:spacing w:val="-7"/>
          <w:highlight w:val="none"/>
        </w:rPr>
        <w:t>有</w:t>
      </w:r>
      <w:r>
        <w:rPr>
          <w:rFonts w:ascii="宋体" w:hAnsi="宋体" w:eastAsia="宋体"/>
          <w:color w:val="auto"/>
          <w:spacing w:val="-6"/>
          <w:highlight w:val="none"/>
        </w:rPr>
        <w:t>关要求。</w:t>
      </w:r>
    </w:p>
    <w:p w14:paraId="40C39F38">
      <w:pPr>
        <w:spacing w:before="1" w:line="351" w:lineRule="auto"/>
        <w:ind w:left="1" w:right="1" w:firstLine="419"/>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4"/>
          <w:highlight w:val="none"/>
        </w:rPr>
        <w:t xml:space="preserve">2.4 </w:t>
      </w:r>
      <w:r>
        <w:rPr>
          <w:rFonts w:ascii="宋体" w:hAnsi="宋体" w:eastAsia="宋体"/>
          <w:color w:val="auto"/>
          <w:spacing w:val="-4"/>
          <w:highlight w:val="none"/>
        </w:rPr>
        <w:t xml:space="preserve"> 投标报价不符合国家颁布的勘察设计取费标准，或者低于成本，设有最高投标限价的，投标人的投标报价不得超过最高投标限价，最高投标限价在投标</w:t>
      </w:r>
      <w:r>
        <w:rPr>
          <w:rFonts w:ascii="宋体" w:hAnsi="宋体" w:eastAsia="宋体"/>
          <w:color w:val="auto"/>
          <w:spacing w:val="-2"/>
          <w:highlight w:val="none"/>
        </w:rPr>
        <w:t>人须知前附表中载明。</w:t>
      </w:r>
    </w:p>
    <w:p w14:paraId="2128CE4F">
      <w:pPr>
        <w:spacing w:line="218" w:lineRule="auto"/>
        <w:ind w:left="421"/>
        <w:rPr>
          <w:rFonts w:ascii="宋体" w:hAnsi="宋体" w:eastAsia="宋体"/>
          <w:color w:val="auto"/>
          <w:spacing w:val="-1"/>
          <w:highlight w:val="none"/>
        </w:rPr>
      </w:pPr>
      <w:r>
        <w:rPr>
          <w:rFonts w:ascii="Times New Roman" w:hAnsi="Times New Roman" w:eastAsia="Times New Roman"/>
          <w:color w:val="auto"/>
          <w:spacing w:val="-2"/>
          <w:highlight w:val="none"/>
        </w:rPr>
        <w:t xml:space="preserve">3.2.5  </w:t>
      </w:r>
      <w:r>
        <w:rPr>
          <w:rFonts w:ascii="宋体" w:hAnsi="宋体" w:eastAsia="宋体"/>
          <w:color w:val="auto"/>
          <w:spacing w:val="-2"/>
          <w:highlight w:val="none"/>
        </w:rPr>
        <w:t>投标报价</w:t>
      </w:r>
      <w:r>
        <w:rPr>
          <w:rFonts w:ascii="宋体" w:hAnsi="宋体" w:eastAsia="宋体"/>
          <w:color w:val="auto"/>
          <w:spacing w:val="-1"/>
          <w:highlight w:val="none"/>
        </w:rPr>
        <w:t>的其他要求见投标人须知前附表。</w:t>
      </w:r>
    </w:p>
    <w:p w14:paraId="4A6C2D1C">
      <w:pPr>
        <w:pStyle w:val="2"/>
        <w:rPr>
          <w:rFonts w:eastAsiaTheme="minorEastAsia"/>
          <w:color w:val="auto"/>
          <w:highlight w:val="none"/>
        </w:rPr>
      </w:pPr>
    </w:p>
    <w:p w14:paraId="07033E71">
      <w:pPr>
        <w:rPr>
          <w:rFonts w:ascii="Times New Roman" w:hAnsi="Times New Roman" w:eastAsia="Times New Roman"/>
          <w:color w:val="auto"/>
          <w:spacing w:val="10"/>
          <w:sz w:val="27"/>
          <w:szCs w:val="27"/>
          <w:highlight w:val="none"/>
        </w:rPr>
      </w:pPr>
      <w:bookmarkStart w:id="181" w:name="_Toc5500"/>
      <w:bookmarkStart w:id="182" w:name="_Toc5074"/>
      <w:bookmarkStart w:id="183" w:name="_Toc29536"/>
      <w:bookmarkStart w:id="184" w:name="_Toc3010"/>
      <w:bookmarkStart w:id="185" w:name="_Toc10086"/>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w:t>
      </w:r>
      <w:r>
        <w:rPr>
          <w:rFonts w:ascii="Times New Roman" w:hAnsi="Times New Roman" w:eastAsia="Times New Roman"/>
          <w:color w:val="auto"/>
          <w:spacing w:val="5"/>
          <w:sz w:val="27"/>
          <w:szCs w:val="27"/>
          <w:highlight w:val="none"/>
        </w:rPr>
        <w:t xml:space="preserve">3  </w:t>
      </w:r>
      <w:r>
        <w:rPr>
          <w:rFonts w:ascii="黑体" w:hAnsi="黑体" w:eastAsia="黑体"/>
          <w:color w:val="auto"/>
          <w:spacing w:val="5"/>
          <w:sz w:val="27"/>
          <w:szCs w:val="27"/>
          <w:highlight w:val="none"/>
        </w:rPr>
        <w:t>投标有效期</w:t>
      </w:r>
      <w:bookmarkEnd w:id="181"/>
      <w:bookmarkEnd w:id="182"/>
      <w:bookmarkEnd w:id="183"/>
      <w:bookmarkEnd w:id="184"/>
      <w:bookmarkEnd w:id="185"/>
    </w:p>
    <w:p w14:paraId="49DAC75F">
      <w:pPr>
        <w:spacing w:before="69" w:line="220" w:lineRule="auto"/>
        <w:ind w:left="421"/>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w:t>
      </w:r>
      <w:r>
        <w:rPr>
          <w:rFonts w:ascii="Times New Roman" w:hAnsi="Times New Roman" w:eastAsia="Times New Roman"/>
          <w:color w:val="auto"/>
          <w:spacing w:val="-2"/>
          <w:highlight w:val="none"/>
        </w:rPr>
        <w:t xml:space="preserve">.3.1  </w:t>
      </w:r>
      <w:r>
        <w:rPr>
          <w:rFonts w:ascii="宋体" w:hAnsi="宋体" w:eastAsia="宋体"/>
          <w:color w:val="auto"/>
          <w:spacing w:val="-2"/>
          <w:highlight w:val="none"/>
        </w:rPr>
        <w:t xml:space="preserve">除投标人须知前附表另有规定外，投标有效期为 </w:t>
      </w:r>
      <w:r>
        <w:rPr>
          <w:rFonts w:ascii="Times New Roman" w:hAnsi="Times New Roman" w:eastAsia="Times New Roman"/>
          <w:color w:val="auto"/>
          <w:spacing w:val="-2"/>
          <w:highlight w:val="none"/>
        </w:rPr>
        <w:t xml:space="preserve">90 </w:t>
      </w:r>
      <w:r>
        <w:rPr>
          <w:rFonts w:ascii="宋体" w:hAnsi="宋体" w:eastAsia="宋体"/>
          <w:color w:val="auto"/>
          <w:spacing w:val="-2"/>
          <w:highlight w:val="none"/>
        </w:rPr>
        <w:t>天。</w:t>
      </w:r>
    </w:p>
    <w:p w14:paraId="72128C49">
      <w:pPr>
        <w:spacing w:before="151" w:line="217" w:lineRule="auto"/>
        <w:ind w:left="421"/>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3.3.2  </w:t>
      </w:r>
      <w:r>
        <w:rPr>
          <w:rFonts w:ascii="宋体" w:hAnsi="宋体" w:eastAsia="宋体"/>
          <w:color w:val="auto"/>
          <w:spacing w:val="-1"/>
          <w:highlight w:val="none"/>
        </w:rPr>
        <w:t>在投标有效期内，投标人撤销投标文件的，应承担招标文件和法律规定</w:t>
      </w:r>
      <w:r>
        <w:rPr>
          <w:rFonts w:ascii="宋体" w:hAnsi="宋体" w:eastAsia="宋体"/>
          <w:color w:val="auto"/>
          <w:highlight w:val="none"/>
        </w:rPr>
        <w:t>的责任。</w:t>
      </w:r>
    </w:p>
    <w:p w14:paraId="45C301FE">
      <w:pPr>
        <w:spacing w:before="153" w:line="356" w:lineRule="auto"/>
        <w:ind w:right="2" w:firstLine="421"/>
        <w:rPr>
          <w:rFonts w:ascii="宋体" w:hAnsi="宋体" w:eastAsia="宋体"/>
          <w:color w:val="auto"/>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3</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出现特殊情况需要延长投标有效期的，招标人以书面形式通知所有投标人延长投标有</w:t>
      </w:r>
      <w:r>
        <w:rPr>
          <w:rFonts w:ascii="宋体" w:hAnsi="宋体" w:eastAsia="宋体"/>
          <w:color w:val="auto"/>
          <w:highlight w:val="none"/>
        </w:rPr>
        <w:t xml:space="preserve"> </w:t>
      </w:r>
      <w:r>
        <w:rPr>
          <w:rFonts w:ascii="宋体" w:hAnsi="宋体" w:eastAsia="宋体"/>
          <w:color w:val="auto"/>
          <w:spacing w:val="1"/>
          <w:highlight w:val="none"/>
        </w:rPr>
        <w:t>效期。投标人应予以书面答复，同意</w:t>
      </w:r>
      <w:r>
        <w:rPr>
          <w:rFonts w:ascii="宋体" w:hAnsi="宋体" w:eastAsia="宋体"/>
          <w:color w:val="auto"/>
          <w:highlight w:val="none"/>
        </w:rPr>
        <w:t>延长的</w:t>
      </w:r>
      <w:r>
        <w:rPr>
          <w:rFonts w:hint="eastAsia" w:ascii="宋体" w:hAnsi="宋体" w:eastAsia="宋体"/>
          <w:color w:val="auto"/>
          <w:highlight w:val="none"/>
        </w:rPr>
        <w:t>，</w:t>
      </w:r>
      <w:r>
        <w:rPr>
          <w:rFonts w:ascii="宋体" w:hAnsi="宋体" w:eastAsia="宋体"/>
          <w:color w:val="auto"/>
          <w:highlight w:val="none"/>
        </w:rPr>
        <w:t>应相应延长其</w:t>
      </w:r>
      <w:r>
        <w:rPr>
          <w:rFonts w:ascii="宋体" w:hAnsi="宋体" w:eastAsia="宋体"/>
          <w:strike/>
          <w:color w:val="auto"/>
          <w:highlight w:val="none"/>
        </w:rPr>
        <w:t>投标保证金</w:t>
      </w:r>
      <w:r>
        <w:rPr>
          <w:rFonts w:ascii="宋体" w:hAnsi="宋体" w:eastAsia="宋体"/>
          <w:color w:val="auto"/>
          <w:highlight w:val="none"/>
        </w:rPr>
        <w:t>的有效期</w:t>
      </w:r>
      <w:r>
        <w:rPr>
          <w:rFonts w:hint="eastAsia" w:ascii="宋体" w:hAnsi="宋体" w:eastAsia="宋体"/>
          <w:color w:val="auto"/>
          <w:highlight w:val="none"/>
        </w:rPr>
        <w:t>，</w:t>
      </w:r>
      <w:r>
        <w:rPr>
          <w:rFonts w:ascii="宋体" w:hAnsi="宋体" w:eastAsia="宋体"/>
          <w:color w:val="auto"/>
          <w:highlight w:val="none"/>
        </w:rPr>
        <w:t xml:space="preserve">但不得要求 </w:t>
      </w:r>
      <w:r>
        <w:rPr>
          <w:rFonts w:ascii="宋体" w:hAnsi="宋体" w:eastAsia="宋体"/>
          <w:color w:val="auto"/>
          <w:spacing w:val="1"/>
          <w:highlight w:val="none"/>
        </w:rPr>
        <w:t>或被允许修改其投标文件；投标人拒绝延长的</w:t>
      </w:r>
      <w:r>
        <w:rPr>
          <w:rFonts w:ascii="宋体" w:hAnsi="宋体" w:eastAsia="宋体"/>
          <w:color w:val="auto"/>
          <w:highlight w:val="none"/>
        </w:rPr>
        <w:t>，其投标失效</w:t>
      </w:r>
      <w:r>
        <w:rPr>
          <w:rFonts w:hint="eastAsia" w:ascii="宋体" w:hAnsi="宋体" w:eastAsia="宋体"/>
          <w:color w:val="auto"/>
          <w:highlight w:val="none"/>
        </w:rPr>
        <w:t>，</w:t>
      </w:r>
      <w:r>
        <w:rPr>
          <w:rFonts w:ascii="宋体" w:hAnsi="宋体" w:eastAsia="宋体"/>
          <w:strike/>
          <w:color w:val="auto"/>
          <w:highlight w:val="none"/>
        </w:rPr>
        <w:t>但投标人有权收回其投标保证金</w:t>
      </w:r>
      <w:r>
        <w:rPr>
          <w:rFonts w:hint="eastAsia" w:ascii="宋体" w:hAnsi="宋体" w:eastAsia="宋体"/>
          <w:color w:val="auto"/>
          <w:highlight w:val="none"/>
        </w:rPr>
        <w:t>。</w:t>
      </w:r>
    </w:p>
    <w:p w14:paraId="135F0AF3">
      <w:pPr>
        <w:pStyle w:val="2"/>
        <w:rPr>
          <w:rFonts w:eastAsiaTheme="minorEastAsia"/>
          <w:color w:val="auto"/>
          <w:highlight w:val="none"/>
        </w:rPr>
      </w:pPr>
    </w:p>
    <w:p w14:paraId="0A099F16">
      <w:pPr>
        <w:rPr>
          <w:rFonts w:ascii="Times New Roman" w:hAnsi="Times New Roman" w:eastAsia="Times New Roman"/>
          <w:color w:val="auto"/>
          <w:spacing w:val="10"/>
          <w:sz w:val="27"/>
          <w:szCs w:val="27"/>
          <w:highlight w:val="none"/>
        </w:rPr>
      </w:pPr>
      <w:bookmarkStart w:id="186" w:name="_Toc17631"/>
      <w:bookmarkStart w:id="187" w:name="_Toc10898"/>
      <w:bookmarkStart w:id="188" w:name="_Toc11406"/>
      <w:bookmarkStart w:id="189" w:name="_Toc4540"/>
      <w:bookmarkStart w:id="190" w:name="_Toc19957"/>
      <w:bookmarkStart w:id="191" w:name="_Hlk183204952"/>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w:t>
      </w:r>
      <w:r>
        <w:rPr>
          <w:rFonts w:ascii="Times New Roman" w:hAnsi="Times New Roman" w:eastAsia="Times New Roman"/>
          <w:color w:val="auto"/>
          <w:spacing w:val="5"/>
          <w:sz w:val="27"/>
          <w:szCs w:val="27"/>
          <w:highlight w:val="none"/>
        </w:rPr>
        <w:t xml:space="preserve">4  </w:t>
      </w:r>
      <w:r>
        <w:rPr>
          <w:rFonts w:ascii="黑体" w:hAnsi="黑体" w:eastAsia="黑体"/>
          <w:color w:val="auto"/>
          <w:spacing w:val="5"/>
          <w:sz w:val="27"/>
          <w:szCs w:val="27"/>
          <w:highlight w:val="none"/>
        </w:rPr>
        <w:t>投标保证金</w:t>
      </w:r>
      <w:bookmarkEnd w:id="186"/>
      <w:bookmarkEnd w:id="187"/>
      <w:bookmarkEnd w:id="188"/>
      <w:bookmarkEnd w:id="189"/>
      <w:bookmarkEnd w:id="190"/>
    </w:p>
    <w:p w14:paraId="2F915B51">
      <w:pPr>
        <w:pStyle w:val="44"/>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u w:val="single"/>
        </w:rPr>
        <w:t>本项目无需投标保证金。</w:t>
      </w:r>
    </w:p>
    <w:bookmarkEnd w:id="191"/>
    <w:p w14:paraId="2B545FD4">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 xml:space="preserve">3.4.1  </w:t>
      </w:r>
      <w:r>
        <w:rPr>
          <w:rFonts w:hint="eastAsia" w:ascii="Times New Roman" w:hAnsi="Times New Roman" w:eastAsia="Times New Roman"/>
          <w:strike/>
          <w:color w:val="auto"/>
          <w:spacing w:val="-4"/>
          <w:highlight w:val="none"/>
        </w:rPr>
        <w:t>投标人应按投标须知前附表规定的金额和时间递交投标保证金。招标人应当允许投标人自主选择现金、银行保函、保证保险、专业工程担保公司担保等方式缴纳投标保证金。</w:t>
      </w:r>
      <w:r>
        <w:rPr>
          <w:rFonts w:hint="eastAsia" w:ascii="Times New Roman" w:hAnsi="Times New Roman" w:eastAsia="宋体"/>
          <w:strike/>
          <w:color w:val="auto"/>
          <w:spacing w:val="-4"/>
          <w:highlight w:val="none"/>
        </w:rPr>
        <w:t>采用现金或者支票形式提交的，投标保证金须从投标人的银行基本账户转出。</w:t>
      </w:r>
      <w:r>
        <w:rPr>
          <w:rFonts w:hint="eastAsia" w:ascii="Times New Roman" w:hAnsi="Times New Roman" w:eastAsia="Times New Roman"/>
          <w:strike/>
          <w:color w:val="auto"/>
          <w:spacing w:val="-4"/>
          <w:highlight w:val="none"/>
        </w:rPr>
        <w:t>联合体投标的，其投标保证金可以由</w:t>
      </w:r>
      <w:r>
        <w:rPr>
          <w:rFonts w:hint="eastAsia" w:ascii="Times New Roman" w:hAnsi="Times New Roman" w:eastAsia="宋体"/>
          <w:strike/>
          <w:color w:val="auto"/>
          <w:spacing w:val="-4"/>
          <w:highlight w:val="none"/>
        </w:rPr>
        <w:t>主办方</w:t>
      </w:r>
      <w:r>
        <w:rPr>
          <w:rFonts w:hint="eastAsia" w:ascii="Times New Roman" w:hAnsi="Times New Roman" w:eastAsia="Times New Roman"/>
          <w:strike/>
          <w:color w:val="auto"/>
          <w:spacing w:val="-4"/>
          <w:highlight w:val="none"/>
        </w:rPr>
        <w:t>递交，并应符合投标人须知前附表的规定。</w:t>
      </w:r>
    </w:p>
    <w:p w14:paraId="18F52A1E">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 xml:space="preserve">3.4.2  </w:t>
      </w:r>
      <w:r>
        <w:rPr>
          <w:rFonts w:hint="eastAsia" w:ascii="Times New Roman" w:hAnsi="Times New Roman" w:eastAsia="宋体"/>
          <w:strike/>
          <w:color w:val="auto"/>
          <w:spacing w:val="-4"/>
          <w:highlight w:val="none"/>
        </w:rPr>
        <w:t>开标时投标人没有按</w:t>
      </w:r>
      <w:r>
        <w:rPr>
          <w:rFonts w:ascii="Times New Roman" w:hAnsi="Times New Roman" w:eastAsia="Times New Roman"/>
          <w:strike/>
          <w:color w:val="auto"/>
          <w:spacing w:val="-4"/>
          <w:highlight w:val="none"/>
        </w:rPr>
        <w:t>要求提交投标保证金的，</w:t>
      </w:r>
      <w:r>
        <w:rPr>
          <w:rFonts w:hint="eastAsia" w:ascii="Times New Roman" w:hAnsi="Times New Roman" w:eastAsia="宋体"/>
          <w:strike/>
          <w:color w:val="auto"/>
          <w:spacing w:val="-4"/>
          <w:highlight w:val="none"/>
        </w:rPr>
        <w:t>其投标文件将被否决</w:t>
      </w:r>
      <w:r>
        <w:rPr>
          <w:rFonts w:ascii="Times New Roman" w:hAnsi="Times New Roman" w:eastAsia="Times New Roman"/>
          <w:strike/>
          <w:color w:val="auto"/>
          <w:spacing w:val="-4"/>
          <w:highlight w:val="none"/>
        </w:rPr>
        <w:t>。</w:t>
      </w:r>
    </w:p>
    <w:p w14:paraId="32B22AEC">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 xml:space="preserve">3.4.3  </w:t>
      </w:r>
      <w:r>
        <w:rPr>
          <w:rFonts w:hint="eastAsia" w:ascii="Times New Roman" w:hAnsi="Times New Roman" w:eastAsia="Times New Roman"/>
          <w:strike/>
          <w:color w:val="auto"/>
          <w:spacing w:val="-4"/>
          <w:highlight w:val="none"/>
        </w:rPr>
        <w:t>中标候选人以外的投标人的投标保证金将尽快退还，最迟不超过中标通知书发出之日起五日内；中标人和其他中标候选人的投标保证金，在书面合同订立之日起五日内予以退还</w:t>
      </w:r>
      <w:r>
        <w:rPr>
          <w:rFonts w:ascii="Times New Roman" w:hAnsi="Times New Roman" w:eastAsia="Times New Roman"/>
          <w:strike/>
          <w:color w:val="auto"/>
          <w:spacing w:val="-4"/>
          <w:highlight w:val="none"/>
        </w:rPr>
        <w:t>。</w:t>
      </w:r>
    </w:p>
    <w:p w14:paraId="65D955F2">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3.4.4  有下列情形之一的，投标保证金将不予退还：</w:t>
      </w:r>
    </w:p>
    <w:p w14:paraId="53CE29DE">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w:t>
      </w:r>
      <w:r>
        <w:rPr>
          <w:rFonts w:hint="eastAsia" w:ascii="Times New Roman" w:hAnsi="Times New Roman" w:eastAsia="宋体"/>
          <w:strike/>
          <w:color w:val="auto"/>
          <w:spacing w:val="-4"/>
          <w:highlight w:val="none"/>
        </w:rPr>
        <w:t>1</w:t>
      </w:r>
      <w:r>
        <w:rPr>
          <w:rFonts w:ascii="Times New Roman" w:hAnsi="Times New Roman" w:eastAsia="Times New Roman"/>
          <w:strike/>
          <w:color w:val="auto"/>
          <w:spacing w:val="-4"/>
          <w:highlight w:val="none"/>
        </w:rPr>
        <w:t>)</w:t>
      </w:r>
      <w:r>
        <w:rPr>
          <w:rFonts w:hint="eastAsia" w:ascii="Times New Roman" w:hAnsi="Times New Roman" w:eastAsia="宋体"/>
          <w:strike/>
          <w:color w:val="auto"/>
          <w:spacing w:val="-4"/>
          <w:highlight w:val="none"/>
        </w:rPr>
        <w:t xml:space="preserve">  </w:t>
      </w:r>
      <w:r>
        <w:rPr>
          <w:rFonts w:hint="eastAsia" w:ascii="Times New Roman" w:hAnsi="Times New Roman" w:eastAsia="Times New Roman"/>
          <w:strike/>
          <w:color w:val="auto"/>
          <w:spacing w:val="-4"/>
          <w:highlight w:val="none"/>
        </w:rPr>
        <w:t>投标人在规定的投标有效期内撤销其投标文件；</w:t>
      </w:r>
    </w:p>
    <w:p w14:paraId="137D2585">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w:t>
      </w:r>
      <w:r>
        <w:rPr>
          <w:rFonts w:hint="eastAsia" w:ascii="Times New Roman" w:hAnsi="Times New Roman" w:eastAsia="宋体"/>
          <w:strike/>
          <w:color w:val="auto"/>
          <w:spacing w:val="-4"/>
          <w:highlight w:val="none"/>
        </w:rPr>
        <w:t>2</w:t>
      </w:r>
      <w:r>
        <w:rPr>
          <w:rFonts w:ascii="Times New Roman" w:hAnsi="Times New Roman" w:eastAsia="Times New Roman"/>
          <w:strike/>
          <w:color w:val="auto"/>
          <w:spacing w:val="-4"/>
          <w:highlight w:val="none"/>
        </w:rPr>
        <w:t>)</w:t>
      </w:r>
      <w:r>
        <w:rPr>
          <w:rFonts w:hint="eastAsia" w:ascii="Times New Roman" w:hAnsi="Times New Roman" w:eastAsia="宋体"/>
          <w:strike/>
          <w:color w:val="auto"/>
          <w:spacing w:val="-4"/>
          <w:highlight w:val="none"/>
        </w:rPr>
        <w:t xml:space="preserve">  </w:t>
      </w:r>
      <w:r>
        <w:rPr>
          <w:rFonts w:ascii="Times New Roman" w:hAnsi="Times New Roman" w:eastAsia="Times New Roman"/>
          <w:strike/>
          <w:color w:val="auto"/>
          <w:spacing w:val="-4"/>
          <w:highlight w:val="none"/>
        </w:rPr>
        <w:t>中标人在收到中标通知书后，无正当理由不与招标人订立合同，在签订合同时向招标 人提出附加条件，或者不按照招标文件要求提交履约保证金</w:t>
      </w:r>
      <w:r>
        <w:rPr>
          <w:rFonts w:hint="eastAsia" w:ascii="Times New Roman" w:hAnsi="Times New Roman" w:eastAsia="宋体"/>
          <w:strike/>
          <w:color w:val="auto"/>
          <w:spacing w:val="-4"/>
          <w:highlight w:val="none"/>
        </w:rPr>
        <w:t>。</w:t>
      </w:r>
    </w:p>
    <w:p w14:paraId="2319771E">
      <w:pPr>
        <w:spacing w:before="69" w:line="360" w:lineRule="auto"/>
        <w:ind w:firstLine="418" w:firstLineChars="207"/>
        <w:rPr>
          <w:rFonts w:ascii="Times New Roman" w:hAnsi="Times New Roman" w:eastAsiaTheme="minorEastAsia"/>
          <w:strike/>
          <w:color w:val="auto"/>
          <w:spacing w:val="-4"/>
          <w:highlight w:val="none"/>
        </w:rPr>
      </w:pPr>
      <w:r>
        <w:rPr>
          <w:rFonts w:ascii="Times New Roman" w:hAnsi="Times New Roman" w:eastAsia="Times New Roman"/>
          <w:strike/>
          <w:color w:val="auto"/>
          <w:spacing w:val="-4"/>
          <w:highlight w:val="none"/>
        </w:rPr>
        <w:t>3.4.5在提交投标文件截止时间后到招标文件规定的投标有效期终止之前，投标人不得撤销其投标文件，否则招标人可以不退还投标保证金。</w:t>
      </w:r>
    </w:p>
    <w:p w14:paraId="6AADD1D3">
      <w:pPr>
        <w:pStyle w:val="2"/>
        <w:rPr>
          <w:rFonts w:eastAsiaTheme="minorEastAsia"/>
          <w:color w:val="auto"/>
          <w:highlight w:val="none"/>
        </w:rPr>
      </w:pPr>
    </w:p>
    <w:p w14:paraId="33F19A16">
      <w:pPr>
        <w:rPr>
          <w:rFonts w:ascii="Times New Roman" w:hAnsi="Times New Roman" w:eastAsia="Times New Roman"/>
          <w:color w:val="auto"/>
          <w:spacing w:val="24"/>
          <w:sz w:val="27"/>
          <w:szCs w:val="27"/>
          <w:highlight w:val="none"/>
        </w:rPr>
      </w:pPr>
      <w:bookmarkStart w:id="192" w:name="_Toc28903"/>
      <w:bookmarkStart w:id="193" w:name="_Toc30309"/>
      <w:bookmarkStart w:id="194" w:name="_Toc27015"/>
      <w:bookmarkStart w:id="195" w:name="_Toc21945"/>
      <w:bookmarkStart w:id="196" w:name="_Toc5682"/>
      <w:r>
        <w:rPr>
          <w:rFonts w:ascii="Times New Roman" w:hAnsi="Times New Roman" w:eastAsia="Times New Roman"/>
          <w:color w:val="auto"/>
          <w:spacing w:val="24"/>
          <w:sz w:val="27"/>
          <w:szCs w:val="27"/>
          <w:highlight w:val="none"/>
        </w:rPr>
        <w:t>3</w:t>
      </w:r>
      <w:r>
        <w:rPr>
          <w:rFonts w:ascii="Times New Roman" w:hAnsi="Times New Roman" w:eastAsia="Times New Roman"/>
          <w:color w:val="auto"/>
          <w:spacing w:val="15"/>
          <w:sz w:val="27"/>
          <w:szCs w:val="27"/>
          <w:highlight w:val="none"/>
        </w:rPr>
        <w:t>.</w:t>
      </w:r>
      <w:r>
        <w:rPr>
          <w:rFonts w:ascii="Times New Roman" w:hAnsi="Times New Roman" w:eastAsia="Times New Roman"/>
          <w:color w:val="auto"/>
          <w:spacing w:val="12"/>
          <w:sz w:val="27"/>
          <w:szCs w:val="27"/>
          <w:highlight w:val="none"/>
        </w:rPr>
        <w:t xml:space="preserve">5  </w:t>
      </w:r>
      <w:r>
        <w:rPr>
          <w:rFonts w:ascii="黑体" w:hAnsi="黑体" w:eastAsia="黑体"/>
          <w:color w:val="auto"/>
          <w:spacing w:val="12"/>
          <w:sz w:val="27"/>
          <w:szCs w:val="27"/>
          <w:highlight w:val="none"/>
        </w:rPr>
        <w:t>资格审查资料</w:t>
      </w:r>
      <w:bookmarkEnd w:id="192"/>
      <w:bookmarkEnd w:id="193"/>
      <w:bookmarkEnd w:id="194"/>
      <w:bookmarkEnd w:id="195"/>
      <w:bookmarkEnd w:id="196"/>
    </w:p>
    <w:p w14:paraId="4241AE7F">
      <w:pPr>
        <w:spacing w:before="69" w:line="352" w:lineRule="auto"/>
        <w:ind w:left="1" w:right="8" w:firstLine="431"/>
        <w:rPr>
          <w:rFonts w:ascii="宋体" w:hAnsi="宋体" w:eastAsia="宋体"/>
          <w:color w:val="auto"/>
          <w:spacing w:val="-4"/>
          <w:highlight w:val="none"/>
        </w:rPr>
      </w:pPr>
      <w:r>
        <w:rPr>
          <w:rFonts w:ascii="宋体" w:hAnsi="宋体" w:eastAsia="宋体"/>
          <w:color w:val="auto"/>
          <w:spacing w:val="-4"/>
          <w:highlight w:val="none"/>
        </w:rPr>
        <w:t>除投标人须知前附表另有</w:t>
      </w:r>
      <w:r>
        <w:rPr>
          <w:rFonts w:ascii="宋体" w:hAnsi="宋体" w:eastAsia="宋体"/>
          <w:color w:val="auto"/>
          <w:spacing w:val="-2"/>
          <w:highlight w:val="none"/>
        </w:rPr>
        <w:t>规定外，投标人应按下列规定提供资格审查资料， 以证明其满足</w:t>
      </w:r>
      <w:r>
        <w:rPr>
          <w:rFonts w:ascii="宋体" w:hAnsi="宋体" w:eastAsia="宋体"/>
          <w:color w:val="auto"/>
          <w:highlight w:val="none"/>
        </w:rPr>
        <w:t xml:space="preserve"> </w:t>
      </w:r>
      <w:r>
        <w:rPr>
          <w:rFonts w:ascii="宋体" w:hAnsi="宋体" w:eastAsia="宋体"/>
          <w:color w:val="auto"/>
          <w:spacing w:val="-6"/>
          <w:highlight w:val="none"/>
        </w:rPr>
        <w:t>本章第</w:t>
      </w:r>
      <w:r>
        <w:rPr>
          <w:rFonts w:ascii="宋体" w:hAnsi="宋体" w:eastAsia="宋体"/>
          <w:color w:val="auto"/>
          <w:spacing w:val="-3"/>
          <w:highlight w:val="none"/>
        </w:rPr>
        <w:t xml:space="preserve"> </w:t>
      </w:r>
      <w:r>
        <w:rPr>
          <w:rFonts w:ascii="Times New Roman" w:hAnsi="Times New Roman" w:eastAsia="Times New Roman"/>
          <w:color w:val="auto"/>
          <w:spacing w:val="-3"/>
          <w:highlight w:val="none"/>
        </w:rPr>
        <w:t xml:space="preserve">1.4 </w:t>
      </w:r>
      <w:r>
        <w:rPr>
          <w:rFonts w:ascii="宋体" w:hAnsi="宋体" w:eastAsia="宋体"/>
          <w:color w:val="auto"/>
          <w:spacing w:val="-3"/>
          <w:highlight w:val="none"/>
        </w:rPr>
        <w:t>款规定的资质、财务、业绩、信誉等要求。</w:t>
      </w:r>
    </w:p>
    <w:p w14:paraId="2D4B082C">
      <w:pPr>
        <w:spacing w:before="2" w:line="351" w:lineRule="auto"/>
        <w:ind w:left="2" w:right="1" w:firstLine="418"/>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3.5.1 “</w:t>
      </w:r>
      <w:r>
        <w:rPr>
          <w:rFonts w:ascii="宋体" w:hAnsi="宋体" w:eastAsia="宋体"/>
          <w:color w:val="auto"/>
          <w:spacing w:val="6"/>
          <w:highlight w:val="none"/>
        </w:rPr>
        <w:t>投</w:t>
      </w:r>
      <w:r>
        <w:rPr>
          <w:rFonts w:ascii="宋体" w:hAnsi="宋体" w:eastAsia="宋体"/>
          <w:color w:val="auto"/>
          <w:spacing w:val="3"/>
          <w:highlight w:val="none"/>
        </w:rPr>
        <w:t>标人基本情况表</w:t>
      </w:r>
      <w:r>
        <w:rPr>
          <w:rFonts w:ascii="Times New Roman" w:hAnsi="Times New Roman" w:eastAsia="Times New Roman"/>
          <w:color w:val="auto"/>
          <w:spacing w:val="3"/>
          <w:highlight w:val="none"/>
        </w:rPr>
        <w:t>”</w:t>
      </w:r>
      <w:r>
        <w:rPr>
          <w:rFonts w:ascii="宋体" w:hAnsi="宋体" w:eastAsia="宋体"/>
          <w:color w:val="auto"/>
          <w:spacing w:val="3"/>
          <w:highlight w:val="none"/>
        </w:rPr>
        <w:t>应附投标人营业执照</w:t>
      </w:r>
      <w:r>
        <w:rPr>
          <w:rFonts w:ascii="宋体" w:hAnsi="宋体" w:eastAsia="宋体"/>
          <w:color w:val="auto"/>
          <w:spacing w:val="1"/>
          <w:highlight w:val="none"/>
        </w:rPr>
        <w:t>、投标人</w:t>
      </w:r>
      <w:r>
        <w:rPr>
          <w:rFonts w:hint="eastAsia" w:ascii="宋体" w:hAnsi="宋体" w:eastAsia="宋体"/>
          <w:color w:val="auto"/>
          <w:spacing w:val="1"/>
          <w:highlight w:val="none"/>
        </w:rPr>
        <w:t>勘察、</w:t>
      </w:r>
      <w:r>
        <w:rPr>
          <w:rFonts w:ascii="宋体" w:hAnsi="宋体" w:eastAsia="宋体"/>
          <w:color w:val="auto"/>
          <w:spacing w:val="1"/>
          <w:highlight w:val="none"/>
        </w:rPr>
        <w:t>设计资质证书副本</w:t>
      </w:r>
      <w:r>
        <w:rPr>
          <w:rFonts w:ascii="宋体" w:hAnsi="宋体" w:eastAsia="宋体"/>
          <w:color w:val="auto"/>
          <w:spacing w:val="-7"/>
          <w:highlight w:val="none"/>
        </w:rPr>
        <w:t>等</w:t>
      </w:r>
      <w:r>
        <w:rPr>
          <w:rFonts w:ascii="宋体" w:hAnsi="宋体" w:eastAsia="宋体"/>
          <w:color w:val="auto"/>
          <w:spacing w:val="-4"/>
          <w:highlight w:val="none"/>
        </w:rPr>
        <w:t>材料</w:t>
      </w:r>
      <w:r>
        <w:rPr>
          <w:rFonts w:hint="eastAsia" w:ascii="宋体" w:hAnsi="宋体" w:eastAsia="宋体"/>
          <w:color w:val="auto"/>
          <w:spacing w:val="-4"/>
          <w:highlight w:val="none"/>
        </w:rPr>
        <w:t>的扫描件。</w:t>
      </w:r>
    </w:p>
    <w:p w14:paraId="1414ED86">
      <w:pPr>
        <w:spacing w:before="1" w:line="351" w:lineRule="auto"/>
        <w:ind w:left="4" w:right="2" w:firstLine="355"/>
        <w:rPr>
          <w:rFonts w:ascii="宋体" w:hAnsi="宋体" w:eastAsia="宋体"/>
          <w:strike/>
          <w:color w:val="auto"/>
          <w:spacing w:val="-5"/>
          <w:highlight w:val="none"/>
        </w:rPr>
      </w:pPr>
      <w:r>
        <w:rPr>
          <w:rFonts w:ascii="宋体" w:hAnsi="宋体" w:eastAsia="宋体"/>
          <w:strike/>
          <w:color w:val="auto"/>
          <w:spacing w:val="-5"/>
          <w:highlight w:val="none"/>
        </w:rPr>
        <w:t>3.5.2 “近年完成的类似设计或勘察设计项目情况表”应附中标通知书和(或)合同协议书、发包人出具的证明文件；具体时间要求见投标人须知前附表，每张表格只填写一个项目，并标明序号。</w:t>
      </w:r>
    </w:p>
    <w:p w14:paraId="135DF1F7">
      <w:pPr>
        <w:spacing w:before="1" w:line="351" w:lineRule="auto"/>
        <w:ind w:left="4" w:right="2" w:firstLine="355"/>
        <w:rPr>
          <w:rFonts w:ascii="宋体" w:hAnsi="宋体" w:eastAsia="宋体"/>
          <w:color w:val="auto"/>
          <w:spacing w:val="-5"/>
          <w:highlight w:val="none"/>
        </w:rPr>
      </w:pPr>
      <w:r>
        <w:rPr>
          <w:rFonts w:ascii="宋体" w:hAnsi="宋体" w:eastAsia="宋体"/>
          <w:color w:val="auto"/>
          <w:spacing w:val="-5"/>
          <w:highlight w:val="none"/>
        </w:rPr>
        <w:t>3.5.3“拟委任的主要人员汇总表”应填报满足本章第 1.4.1 项规定的项目负责人和其他主要 人员的相关信息。“主要人员简历表”中项目负责人应附身份证、学历证、职称证、执业资格证书和社保缴费证明</w:t>
      </w:r>
      <w:r>
        <w:rPr>
          <w:rFonts w:ascii="宋体" w:hAnsi="宋体" w:eastAsia="宋体"/>
          <w:strike/>
          <w:color w:val="auto"/>
          <w:spacing w:val="-5"/>
          <w:highlight w:val="none"/>
        </w:rPr>
        <w:t>，管理过的项目业绩须附合同协议书（若有）；其他主要人员应附身份证、学历证、职称证、有关证书和社保缴费证明（若有）</w:t>
      </w:r>
      <w:r>
        <w:rPr>
          <w:rFonts w:ascii="宋体" w:hAnsi="宋体" w:eastAsia="宋体"/>
          <w:color w:val="auto"/>
          <w:spacing w:val="-5"/>
          <w:highlight w:val="none"/>
        </w:rPr>
        <w:t>。（注：须提供相关职称证和投标人为其缴纳在本投标单位购买的</w:t>
      </w:r>
      <w:r>
        <w:rPr>
          <w:rFonts w:hint="eastAsia" w:ascii="宋体" w:hAnsi="宋体" w:eastAsia="宋体"/>
          <w:color w:val="auto"/>
          <w:spacing w:val="-5"/>
          <w:highlight w:val="none"/>
          <w:lang w:val="en-US" w:eastAsia="zh-CN"/>
        </w:rPr>
        <w:t>2025年3月</w:t>
      </w:r>
      <w:r>
        <w:rPr>
          <w:rFonts w:ascii="宋体" w:hAnsi="宋体" w:eastAsia="宋体"/>
          <w:color w:val="auto"/>
          <w:spacing w:val="-5"/>
          <w:highlight w:val="none"/>
        </w:rPr>
        <w:t>有效的社保证明材料。）</w:t>
      </w:r>
    </w:p>
    <w:p w14:paraId="014CC9B2">
      <w:pPr>
        <w:spacing w:before="1" w:line="359" w:lineRule="auto"/>
        <w:ind w:left="9" w:right="41" w:firstLine="411"/>
        <w:rPr>
          <w:rFonts w:ascii="宋体" w:hAnsi="宋体" w:eastAsia="宋体"/>
          <w:color w:val="auto"/>
          <w:spacing w:val="-2"/>
          <w:highlight w:val="none"/>
        </w:rPr>
      </w:pPr>
      <w:r>
        <w:rPr>
          <w:rFonts w:ascii="Times New Roman" w:hAnsi="Times New Roman" w:eastAsia="Times New Roman"/>
          <w:color w:val="auto"/>
          <w:spacing w:val="-6"/>
          <w:highlight w:val="none"/>
        </w:rPr>
        <w:t>3.5.</w:t>
      </w:r>
      <w:r>
        <w:rPr>
          <w:rFonts w:hint="eastAsia" w:ascii="Times New Roman" w:hAnsi="Times New Roman" w:eastAsia="宋体"/>
          <w:color w:val="auto"/>
          <w:spacing w:val="-6"/>
          <w:highlight w:val="none"/>
        </w:rPr>
        <w:t>4</w:t>
      </w:r>
      <w:r>
        <w:rPr>
          <w:rFonts w:ascii="Times New Roman" w:hAnsi="Times New Roman" w:eastAsia="Times New Roman"/>
          <w:color w:val="auto"/>
          <w:spacing w:val="-6"/>
          <w:highlight w:val="none"/>
        </w:rPr>
        <w:t xml:space="preserve">  </w:t>
      </w:r>
      <w:r>
        <w:rPr>
          <w:rFonts w:ascii="宋体" w:hAnsi="宋体" w:eastAsia="宋体"/>
          <w:color w:val="auto"/>
          <w:spacing w:val="-6"/>
          <w:highlight w:val="none"/>
        </w:rPr>
        <w:t>投</w:t>
      </w:r>
      <w:r>
        <w:rPr>
          <w:rFonts w:ascii="宋体" w:hAnsi="宋体" w:eastAsia="宋体"/>
          <w:color w:val="auto"/>
          <w:spacing w:val="-4"/>
          <w:highlight w:val="none"/>
        </w:rPr>
        <w:t>标</w:t>
      </w:r>
      <w:r>
        <w:rPr>
          <w:rFonts w:ascii="宋体" w:hAnsi="宋体" w:eastAsia="宋体"/>
          <w:color w:val="auto"/>
          <w:spacing w:val="-3"/>
          <w:highlight w:val="none"/>
        </w:rPr>
        <w:t xml:space="preserve">人须知前附表规定接受联合体投标的，本章第 </w:t>
      </w:r>
      <w:r>
        <w:rPr>
          <w:rFonts w:ascii="Times New Roman" w:hAnsi="Times New Roman" w:eastAsia="Times New Roman"/>
          <w:color w:val="auto"/>
          <w:spacing w:val="-3"/>
          <w:highlight w:val="none"/>
        </w:rPr>
        <w:t xml:space="preserve">3.5.1 </w:t>
      </w:r>
      <w:r>
        <w:rPr>
          <w:rFonts w:ascii="宋体" w:hAnsi="宋体" w:eastAsia="宋体"/>
          <w:color w:val="auto"/>
          <w:spacing w:val="-3"/>
          <w:highlight w:val="none"/>
        </w:rPr>
        <w:t xml:space="preserve">项至第 </w:t>
      </w:r>
      <w:r>
        <w:rPr>
          <w:rFonts w:ascii="Times New Roman" w:hAnsi="Times New Roman" w:eastAsia="Times New Roman"/>
          <w:color w:val="auto"/>
          <w:spacing w:val="-3"/>
          <w:highlight w:val="none"/>
        </w:rPr>
        <w:t>3.5.</w:t>
      </w:r>
      <w:r>
        <w:rPr>
          <w:rFonts w:hint="eastAsia" w:ascii="Times New Roman" w:hAnsi="Times New Roman" w:eastAsia="宋体"/>
          <w:color w:val="auto"/>
          <w:spacing w:val="-3"/>
          <w:highlight w:val="none"/>
        </w:rPr>
        <w:t>3</w:t>
      </w:r>
      <w:r>
        <w:rPr>
          <w:rFonts w:ascii="宋体" w:hAnsi="宋体" w:eastAsia="宋体"/>
          <w:color w:val="auto"/>
          <w:spacing w:val="-3"/>
          <w:highlight w:val="none"/>
        </w:rPr>
        <w:t>项规定的表格和</w:t>
      </w:r>
      <w:r>
        <w:rPr>
          <w:rFonts w:ascii="宋体" w:hAnsi="宋体" w:eastAsia="宋体"/>
          <w:color w:val="auto"/>
          <w:highlight w:val="none"/>
        </w:rPr>
        <w:t xml:space="preserve"> </w:t>
      </w:r>
      <w:r>
        <w:rPr>
          <w:rFonts w:ascii="宋体" w:hAnsi="宋体" w:eastAsia="宋体"/>
          <w:color w:val="auto"/>
          <w:spacing w:val="-3"/>
          <w:highlight w:val="none"/>
        </w:rPr>
        <w:t>资料应包括联合体各方相关情况</w:t>
      </w:r>
      <w:r>
        <w:rPr>
          <w:rFonts w:ascii="宋体" w:hAnsi="宋体" w:eastAsia="宋体"/>
          <w:color w:val="auto"/>
          <w:spacing w:val="-2"/>
          <w:highlight w:val="none"/>
        </w:rPr>
        <w:t>。</w:t>
      </w:r>
    </w:p>
    <w:p w14:paraId="19E42492">
      <w:pPr>
        <w:pStyle w:val="2"/>
        <w:rPr>
          <w:rFonts w:eastAsiaTheme="minorEastAsia"/>
          <w:color w:val="auto"/>
          <w:highlight w:val="none"/>
        </w:rPr>
      </w:pPr>
    </w:p>
    <w:p w14:paraId="008AFB87">
      <w:pPr>
        <w:rPr>
          <w:rFonts w:ascii="Times New Roman" w:hAnsi="Times New Roman" w:eastAsia="Times New Roman"/>
          <w:color w:val="auto"/>
          <w:spacing w:val="7"/>
          <w:sz w:val="27"/>
          <w:szCs w:val="27"/>
          <w:highlight w:val="none"/>
        </w:rPr>
      </w:pPr>
      <w:bookmarkStart w:id="197" w:name="_Toc16079"/>
      <w:bookmarkStart w:id="198" w:name="_Toc15266"/>
      <w:bookmarkStart w:id="199" w:name="_Toc11556"/>
      <w:bookmarkStart w:id="200" w:name="_Toc6032"/>
      <w:bookmarkStart w:id="201" w:name="_Toc9669"/>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6"/>
          <w:sz w:val="27"/>
          <w:szCs w:val="27"/>
          <w:highlight w:val="none"/>
        </w:rPr>
        <w:t xml:space="preserve">.6  </w:t>
      </w:r>
      <w:r>
        <w:rPr>
          <w:rFonts w:ascii="黑体" w:hAnsi="黑体" w:eastAsia="黑体"/>
          <w:color w:val="auto"/>
          <w:spacing w:val="6"/>
          <w:sz w:val="27"/>
          <w:szCs w:val="27"/>
          <w:highlight w:val="none"/>
        </w:rPr>
        <w:t>备选投标方案</w:t>
      </w:r>
      <w:bookmarkEnd w:id="197"/>
      <w:bookmarkEnd w:id="198"/>
      <w:bookmarkEnd w:id="199"/>
      <w:bookmarkEnd w:id="200"/>
      <w:bookmarkEnd w:id="201"/>
    </w:p>
    <w:p w14:paraId="246E52E3">
      <w:pPr>
        <w:spacing w:before="68" w:line="352" w:lineRule="auto"/>
        <w:ind w:left="7" w:right="44" w:firstLine="413"/>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3.6.1  </w:t>
      </w:r>
      <w:r>
        <w:rPr>
          <w:rFonts w:ascii="宋体" w:hAnsi="宋体" w:eastAsia="宋体"/>
          <w:color w:val="auto"/>
          <w:spacing w:val="-2"/>
          <w:highlight w:val="none"/>
        </w:rPr>
        <w:t>除投标人须知前附表规定允许外，投标人不得递交备选投标方案，否则其投标</w:t>
      </w:r>
      <w:r>
        <w:rPr>
          <w:rFonts w:ascii="宋体" w:hAnsi="宋体" w:eastAsia="宋体"/>
          <w:color w:val="auto"/>
          <w:spacing w:val="-1"/>
          <w:highlight w:val="none"/>
        </w:rPr>
        <w:t>将</w:t>
      </w:r>
      <w:r>
        <w:rPr>
          <w:rFonts w:ascii="宋体" w:hAnsi="宋体" w:eastAsia="宋体"/>
          <w:color w:val="auto"/>
          <w:highlight w:val="none"/>
        </w:rPr>
        <w:t>被否</w:t>
      </w:r>
      <w:r>
        <w:rPr>
          <w:rFonts w:ascii="宋体" w:hAnsi="宋体" w:eastAsia="宋体"/>
          <w:color w:val="auto"/>
          <w:spacing w:val="-12"/>
          <w:highlight w:val="none"/>
        </w:rPr>
        <w:t>决</w:t>
      </w:r>
      <w:r>
        <w:rPr>
          <w:rFonts w:ascii="宋体" w:hAnsi="宋体" w:eastAsia="宋体"/>
          <w:color w:val="auto"/>
          <w:spacing w:val="-11"/>
          <w:highlight w:val="none"/>
        </w:rPr>
        <w:t>。</w:t>
      </w:r>
    </w:p>
    <w:p w14:paraId="6545E4D7">
      <w:pPr>
        <w:spacing w:before="2" w:line="351" w:lineRule="auto"/>
        <w:ind w:firstLine="421"/>
        <w:rPr>
          <w:rFonts w:ascii="Times New Roman" w:hAnsi="Times New Roman" w:eastAsia="Times New Roman"/>
          <w:strike/>
          <w:color w:val="auto"/>
          <w:spacing w:val="-1"/>
          <w:highlight w:val="none"/>
        </w:rPr>
      </w:pPr>
      <w:r>
        <w:rPr>
          <w:rFonts w:ascii="Times New Roman" w:hAnsi="Times New Roman" w:eastAsia="Times New Roman"/>
          <w:strike/>
          <w:color w:val="auto"/>
          <w:spacing w:val="-1"/>
          <w:highlight w:val="none"/>
        </w:rPr>
        <w:t xml:space="preserve">3.6.2  </w:t>
      </w:r>
      <w:r>
        <w:rPr>
          <w:rFonts w:ascii="宋体" w:hAnsi="宋体" w:eastAsia="宋体"/>
          <w:strike/>
          <w:color w:val="auto"/>
          <w:spacing w:val="-1"/>
          <w:highlight w:val="none"/>
        </w:rPr>
        <w:t>允许投标人递交备选投标方案的，只有中标人所递交的备选投标方案方</w:t>
      </w:r>
      <w:r>
        <w:rPr>
          <w:rFonts w:ascii="宋体" w:hAnsi="宋体" w:eastAsia="宋体"/>
          <w:strike/>
          <w:color w:val="auto"/>
          <w:highlight w:val="none"/>
        </w:rPr>
        <w:t>可予以考虑</w:t>
      </w:r>
      <w:r>
        <w:rPr>
          <w:rFonts w:hint="eastAsia" w:ascii="宋体" w:hAnsi="宋体" w:eastAsia="宋体"/>
          <w:strike/>
          <w:color w:val="auto"/>
          <w:highlight w:val="none"/>
        </w:rPr>
        <w:t>。</w:t>
      </w:r>
      <w:r>
        <w:rPr>
          <w:rFonts w:ascii="宋体" w:hAnsi="宋体" w:eastAsia="宋体"/>
          <w:strike/>
          <w:color w:val="auto"/>
          <w:spacing w:val="1"/>
          <w:highlight w:val="none"/>
        </w:rPr>
        <w:t>评标委员会认为中标人的备选投标方</w:t>
      </w:r>
      <w:r>
        <w:rPr>
          <w:rFonts w:ascii="宋体" w:hAnsi="宋体" w:eastAsia="宋体"/>
          <w:strike/>
          <w:color w:val="auto"/>
          <w:highlight w:val="none"/>
        </w:rPr>
        <w:t xml:space="preserve">案优于其按照招标文件要求编制的投标方案的，招标人可 </w:t>
      </w:r>
      <w:r>
        <w:rPr>
          <w:rFonts w:ascii="宋体" w:hAnsi="宋体" w:eastAsia="宋体"/>
          <w:strike/>
          <w:color w:val="auto"/>
          <w:spacing w:val="-4"/>
          <w:highlight w:val="none"/>
        </w:rPr>
        <w:t>以</w:t>
      </w:r>
      <w:r>
        <w:rPr>
          <w:rFonts w:ascii="宋体" w:hAnsi="宋体" w:eastAsia="宋体"/>
          <w:strike/>
          <w:color w:val="auto"/>
          <w:spacing w:val="-3"/>
          <w:highlight w:val="none"/>
        </w:rPr>
        <w:t>接受该备选投标方案。</w:t>
      </w:r>
    </w:p>
    <w:p w14:paraId="76BD4BD8">
      <w:pPr>
        <w:spacing w:before="1" w:line="360" w:lineRule="auto"/>
        <w:ind w:left="1" w:right="44" w:firstLine="419"/>
        <w:rPr>
          <w:rFonts w:ascii="宋体" w:hAnsi="宋体" w:eastAsia="宋体"/>
          <w:strike/>
          <w:color w:val="auto"/>
          <w:spacing w:val="-1"/>
          <w:highlight w:val="none"/>
        </w:rPr>
      </w:pPr>
      <w:r>
        <w:rPr>
          <w:rFonts w:ascii="Times New Roman" w:hAnsi="Times New Roman" w:eastAsia="Times New Roman"/>
          <w:strike/>
          <w:color w:val="auto"/>
          <w:spacing w:val="-2"/>
          <w:highlight w:val="none"/>
        </w:rPr>
        <w:t xml:space="preserve">3.6.3  </w:t>
      </w:r>
      <w:r>
        <w:rPr>
          <w:rFonts w:ascii="宋体" w:hAnsi="宋体" w:eastAsia="宋体"/>
          <w:strike/>
          <w:color w:val="auto"/>
          <w:spacing w:val="-2"/>
          <w:highlight w:val="none"/>
        </w:rPr>
        <w:t>投标人提供两个或两个以上投标报价，或者在投标文件中提供一个报价，但同</w:t>
      </w:r>
      <w:r>
        <w:rPr>
          <w:rFonts w:ascii="宋体" w:hAnsi="宋体" w:eastAsia="宋体"/>
          <w:strike/>
          <w:color w:val="auto"/>
          <w:spacing w:val="-1"/>
          <w:highlight w:val="none"/>
        </w:rPr>
        <w:t>时</w:t>
      </w:r>
      <w:r>
        <w:rPr>
          <w:rFonts w:ascii="宋体" w:hAnsi="宋体" w:eastAsia="宋体"/>
          <w:strike/>
          <w:color w:val="auto"/>
          <w:highlight w:val="none"/>
        </w:rPr>
        <w:t xml:space="preserve">提供 </w:t>
      </w:r>
      <w:r>
        <w:rPr>
          <w:rFonts w:ascii="宋体" w:hAnsi="宋体" w:eastAsia="宋体"/>
          <w:strike/>
          <w:color w:val="auto"/>
          <w:spacing w:val="-2"/>
          <w:highlight w:val="none"/>
        </w:rPr>
        <w:t>两个或两个以上</w:t>
      </w:r>
      <w:r>
        <w:rPr>
          <w:rFonts w:hint="eastAsia" w:ascii="宋体" w:hAnsi="宋体" w:eastAsia="宋体"/>
          <w:strike/>
          <w:color w:val="auto"/>
          <w:spacing w:val="-2"/>
          <w:highlight w:val="none"/>
        </w:rPr>
        <w:t>勘察</w:t>
      </w:r>
      <w:r>
        <w:rPr>
          <w:rFonts w:ascii="宋体" w:hAnsi="宋体" w:eastAsia="宋体"/>
          <w:strike/>
          <w:color w:val="auto"/>
          <w:spacing w:val="-2"/>
          <w:highlight w:val="none"/>
        </w:rPr>
        <w:t>设计方案的，视为</w:t>
      </w:r>
      <w:r>
        <w:rPr>
          <w:rFonts w:ascii="宋体" w:hAnsi="宋体" w:eastAsia="宋体"/>
          <w:strike/>
          <w:color w:val="auto"/>
          <w:spacing w:val="-1"/>
          <w:highlight w:val="none"/>
        </w:rPr>
        <w:t>提供备选方案。</w:t>
      </w:r>
    </w:p>
    <w:p w14:paraId="091B78B4">
      <w:pPr>
        <w:pStyle w:val="2"/>
        <w:rPr>
          <w:rFonts w:eastAsiaTheme="minorEastAsia"/>
          <w:color w:val="auto"/>
          <w:highlight w:val="none"/>
        </w:rPr>
      </w:pPr>
    </w:p>
    <w:p w14:paraId="45D7B835">
      <w:pPr>
        <w:rPr>
          <w:rFonts w:ascii="Times New Roman" w:hAnsi="Times New Roman" w:eastAsia="Times New Roman"/>
          <w:color w:val="auto"/>
          <w:spacing w:val="10"/>
          <w:sz w:val="27"/>
          <w:szCs w:val="27"/>
          <w:highlight w:val="none"/>
        </w:rPr>
      </w:pPr>
      <w:bookmarkStart w:id="202" w:name="_Toc6029"/>
      <w:bookmarkStart w:id="203" w:name="_Toc28058"/>
      <w:bookmarkStart w:id="204" w:name="_Toc22875"/>
      <w:bookmarkStart w:id="205" w:name="_Toc22549"/>
      <w:bookmarkStart w:id="206" w:name="_Toc9249"/>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 xml:space="preserve">.7  </w:t>
      </w:r>
      <w:r>
        <w:rPr>
          <w:rFonts w:ascii="黑体" w:hAnsi="黑体" w:eastAsia="黑体"/>
          <w:color w:val="auto"/>
          <w:spacing w:val="6"/>
          <w:sz w:val="27"/>
          <w:szCs w:val="27"/>
          <w:highlight w:val="none"/>
        </w:rPr>
        <w:t>投标文件的编制</w:t>
      </w:r>
      <w:bookmarkEnd w:id="202"/>
      <w:bookmarkEnd w:id="203"/>
      <w:bookmarkEnd w:id="204"/>
      <w:bookmarkEnd w:id="205"/>
      <w:bookmarkEnd w:id="206"/>
    </w:p>
    <w:p w14:paraId="5981AB7D">
      <w:pPr>
        <w:spacing w:before="69" w:line="352" w:lineRule="auto"/>
        <w:ind w:right="43" w:firstLine="421"/>
        <w:rPr>
          <w:rFonts w:ascii="Times New Roman" w:hAnsi="Times New Roman" w:eastAsia="Times New Roman"/>
          <w:color w:val="auto"/>
          <w:spacing w:val="-10"/>
          <w:highlight w:val="none"/>
        </w:rPr>
      </w:pPr>
      <w:r>
        <w:rPr>
          <w:rFonts w:ascii="Times New Roman" w:hAnsi="Times New Roman" w:eastAsia="Times New Roman"/>
          <w:color w:val="auto"/>
          <w:spacing w:val="-10"/>
          <w:highlight w:val="none"/>
        </w:rPr>
        <w:t>3.7.1</w:t>
      </w:r>
      <w:r>
        <w:rPr>
          <w:rFonts w:hint="eastAsia" w:ascii="Times New Roman" w:hAnsi="Times New Roman" w:eastAsia="宋体"/>
          <w:color w:val="auto"/>
          <w:spacing w:val="-10"/>
          <w:highlight w:val="none"/>
        </w:rPr>
        <w:t xml:space="preserve"> </w:t>
      </w:r>
      <w:r>
        <w:rPr>
          <w:rFonts w:ascii="Times New Roman" w:hAnsi="Times New Roman" w:eastAsia="Times New Roman"/>
          <w:color w:val="auto"/>
          <w:spacing w:val="-10"/>
          <w:highlight w:val="none"/>
        </w:rPr>
        <w:t xml:space="preserve"> </w:t>
      </w:r>
      <w:r>
        <w:rPr>
          <w:rFonts w:ascii="Times New Roman" w:hAnsi="Times New Roman" w:eastAsia="Times New Roman"/>
          <w:color w:val="auto"/>
          <w:spacing w:val="-8"/>
          <w:highlight w:val="none"/>
        </w:rPr>
        <w:t xml:space="preserve"> </w:t>
      </w:r>
      <w:r>
        <w:rPr>
          <w:rFonts w:ascii="宋体" w:hAnsi="宋体" w:eastAsia="宋体"/>
          <w:color w:val="auto"/>
          <w:spacing w:val="-5"/>
          <w:highlight w:val="none"/>
        </w:rPr>
        <w:t>投标文件应按第六章</w:t>
      </w:r>
      <w:r>
        <w:rPr>
          <w:rFonts w:ascii="Times New Roman" w:hAnsi="Times New Roman" w:eastAsia="Times New Roman"/>
          <w:color w:val="auto"/>
          <w:spacing w:val="-5"/>
          <w:highlight w:val="none"/>
        </w:rPr>
        <w:t>“</w:t>
      </w:r>
      <w:r>
        <w:rPr>
          <w:rFonts w:ascii="宋体" w:hAnsi="宋体" w:eastAsia="宋体"/>
          <w:color w:val="auto"/>
          <w:spacing w:val="-5"/>
          <w:highlight w:val="none"/>
        </w:rPr>
        <w:t>投标文件格式</w:t>
      </w:r>
      <w:r>
        <w:rPr>
          <w:rFonts w:ascii="Times New Roman" w:hAnsi="Times New Roman" w:eastAsia="Times New Roman"/>
          <w:color w:val="auto"/>
          <w:spacing w:val="-5"/>
          <w:highlight w:val="none"/>
        </w:rPr>
        <w:t>”</w:t>
      </w:r>
      <w:r>
        <w:rPr>
          <w:rFonts w:ascii="宋体" w:hAnsi="宋体" w:eastAsia="宋体"/>
          <w:color w:val="auto"/>
          <w:spacing w:val="-5"/>
          <w:highlight w:val="none"/>
        </w:rPr>
        <w:t>进行编写， 如有必要，可以增加附页， 作为投标</w:t>
      </w:r>
      <w:r>
        <w:rPr>
          <w:rFonts w:ascii="宋体" w:hAnsi="宋体" w:eastAsia="宋体"/>
          <w:color w:val="auto"/>
          <w:spacing w:val="1"/>
          <w:highlight w:val="none"/>
        </w:rPr>
        <w:t>文件的组成部分。其中，投标函附录在</w:t>
      </w:r>
      <w:r>
        <w:rPr>
          <w:rFonts w:ascii="宋体" w:hAnsi="宋体" w:eastAsia="宋体"/>
          <w:color w:val="auto"/>
          <w:highlight w:val="none"/>
        </w:rPr>
        <w:t>满足招标文件实质性要求的基础上，可以提出比招标文</w:t>
      </w:r>
      <w:r>
        <w:rPr>
          <w:rFonts w:ascii="宋体" w:hAnsi="宋体" w:eastAsia="宋体"/>
          <w:color w:val="auto"/>
          <w:spacing w:val="-4"/>
          <w:highlight w:val="none"/>
        </w:rPr>
        <w:t>件要求</w:t>
      </w:r>
      <w:r>
        <w:rPr>
          <w:rFonts w:ascii="宋体" w:hAnsi="宋体" w:eastAsia="宋体"/>
          <w:color w:val="auto"/>
          <w:spacing w:val="-3"/>
          <w:highlight w:val="none"/>
        </w:rPr>
        <w:t>更</w:t>
      </w:r>
      <w:r>
        <w:rPr>
          <w:rFonts w:ascii="宋体" w:hAnsi="宋体" w:eastAsia="宋体"/>
          <w:color w:val="auto"/>
          <w:spacing w:val="-2"/>
          <w:highlight w:val="none"/>
        </w:rPr>
        <w:t>有利于招标人的承诺。</w:t>
      </w:r>
    </w:p>
    <w:p w14:paraId="20BBBB23">
      <w:pPr>
        <w:spacing w:before="2" w:line="351" w:lineRule="auto"/>
        <w:ind w:left="5" w:right="46" w:firstLine="415"/>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3.7.2  </w:t>
      </w:r>
      <w:r>
        <w:rPr>
          <w:rFonts w:hint="eastAsia" w:ascii="Times New Roman" w:hAnsi="Times New Roman" w:eastAsia="宋体"/>
          <w:color w:val="auto"/>
          <w:spacing w:val="-2"/>
          <w:highlight w:val="none"/>
        </w:rPr>
        <w:t xml:space="preserve"> </w:t>
      </w:r>
      <w:r>
        <w:rPr>
          <w:rFonts w:ascii="宋体" w:hAnsi="宋体" w:eastAsia="宋体"/>
          <w:color w:val="auto"/>
          <w:spacing w:val="-2"/>
          <w:highlight w:val="none"/>
        </w:rPr>
        <w:t>投标文件应当对招标文件有关</w:t>
      </w:r>
      <w:r>
        <w:rPr>
          <w:rFonts w:hint="eastAsia" w:ascii="宋体" w:hAnsi="宋体" w:eastAsia="宋体"/>
          <w:color w:val="auto"/>
          <w:spacing w:val="-2"/>
          <w:highlight w:val="none"/>
        </w:rPr>
        <w:t>勘察</w:t>
      </w:r>
      <w:r>
        <w:rPr>
          <w:rFonts w:ascii="宋体" w:hAnsi="宋体" w:eastAsia="宋体"/>
          <w:color w:val="auto"/>
          <w:spacing w:val="-2"/>
          <w:highlight w:val="none"/>
        </w:rPr>
        <w:t>设计服务期限、投标有效期、发包人要求、招标范</w:t>
      </w:r>
      <w:r>
        <w:rPr>
          <w:rFonts w:ascii="宋体" w:hAnsi="宋体" w:eastAsia="宋体"/>
          <w:color w:val="auto"/>
          <w:highlight w:val="none"/>
        </w:rPr>
        <w:t>围</w:t>
      </w:r>
      <w:r>
        <w:rPr>
          <w:rFonts w:hint="eastAsia" w:ascii="Times New Roman" w:hAnsi="Times New Roman" w:eastAsia="Times New Roman"/>
          <w:color w:val="auto"/>
          <w:spacing w:val="-2"/>
          <w:highlight w:val="none"/>
        </w:rPr>
        <w:t>等实质性内容作出响应。</w:t>
      </w:r>
    </w:p>
    <w:p w14:paraId="491D505B">
      <w:pPr>
        <w:spacing w:before="2" w:line="351" w:lineRule="auto"/>
        <w:ind w:left="5" w:right="46" w:firstLine="415"/>
        <w:rPr>
          <w:rFonts w:ascii="Times New Roman" w:hAnsi="Times New Roman" w:eastAsia="Times New Roman"/>
          <w:color w:val="auto"/>
          <w:spacing w:val="-2"/>
          <w:highlight w:val="none"/>
        </w:rPr>
      </w:pPr>
      <w:r>
        <w:rPr>
          <w:rFonts w:hint="eastAsia" w:ascii="Times New Roman" w:hAnsi="Times New Roman" w:eastAsia="Times New Roman"/>
          <w:color w:val="auto"/>
          <w:spacing w:val="-2"/>
          <w:highlight w:val="none"/>
        </w:rPr>
        <w:t>3.</w:t>
      </w:r>
      <w:r>
        <w:rPr>
          <w:rFonts w:hint="eastAsia" w:ascii="Times New Roman" w:hAnsi="Times New Roman" w:eastAsia="宋体"/>
          <w:color w:val="auto"/>
          <w:spacing w:val="-2"/>
          <w:highlight w:val="none"/>
        </w:rPr>
        <w:t>7</w:t>
      </w:r>
      <w:r>
        <w:rPr>
          <w:rFonts w:hint="eastAsia" w:ascii="Times New Roman" w:hAnsi="Times New Roman" w:eastAsia="Times New Roman"/>
          <w:color w:val="auto"/>
          <w:spacing w:val="-2"/>
          <w:highlight w:val="none"/>
        </w:rPr>
        <w:t>.</w:t>
      </w:r>
      <w:r>
        <w:rPr>
          <w:rFonts w:hint="eastAsia" w:ascii="Times New Roman" w:hAnsi="Times New Roman" w:eastAsia="宋体"/>
          <w:color w:val="auto"/>
          <w:spacing w:val="-2"/>
          <w:highlight w:val="none"/>
        </w:rPr>
        <w:t xml:space="preserve">3   </w:t>
      </w:r>
      <w:r>
        <w:rPr>
          <w:rFonts w:hint="eastAsia" w:ascii="Times New Roman" w:hAnsi="Times New Roman" w:eastAsia="Times New Roman"/>
          <w:color w:val="auto"/>
          <w:spacing w:val="-2"/>
          <w:highlight w:val="none"/>
        </w:rPr>
        <w:t>投标文件全部采用电子文档，投标文件所附证书证件均为原件扫描件</w:t>
      </w:r>
      <w:r>
        <w:rPr>
          <w:rFonts w:hint="eastAsia" w:ascii="Times New Roman" w:hAnsi="Times New Roman" w:eastAsia="宋体"/>
          <w:color w:val="auto"/>
          <w:spacing w:val="-2"/>
          <w:highlight w:val="none"/>
        </w:rPr>
        <w:t>或电子证书</w:t>
      </w:r>
      <w:r>
        <w:rPr>
          <w:rFonts w:hint="eastAsia" w:ascii="Times New Roman" w:hAnsi="Times New Roman" w:eastAsia="Times New Roman"/>
          <w:color w:val="auto"/>
          <w:spacing w:val="-2"/>
          <w:highlight w:val="none"/>
        </w:rPr>
        <w:t>，并采用单位数字证书，按招标文件要求在相应位置加盖电子印章。投标文件中需个人签字或盖章的，应加盖个人电子印章或在线下完成后扫描上传</w:t>
      </w:r>
      <w:r>
        <w:rPr>
          <w:rFonts w:hint="eastAsia" w:ascii="宋体" w:hAnsi="宋体"/>
          <w:color w:val="auto"/>
          <w:highlight w:val="none"/>
        </w:rPr>
        <w:t>（</w:t>
      </w:r>
      <w:r>
        <w:rPr>
          <w:rFonts w:ascii="Calibri" w:hAnsi="Calibri" w:eastAsia="宋体"/>
          <w:color w:val="auto"/>
          <w:kern w:val="2"/>
          <w:szCs w:val="24"/>
          <w:highlight w:val="none"/>
        </w:rPr>
        <w:t>可靠的电子签名与手写签名或者盖章具有同等的法律效力</w:t>
      </w:r>
      <w:r>
        <w:rPr>
          <w:rFonts w:hint="eastAsia" w:ascii="宋体" w:hAnsi="宋体"/>
          <w:color w:val="auto"/>
          <w:highlight w:val="none"/>
        </w:rPr>
        <w:t>）</w:t>
      </w:r>
      <w:r>
        <w:rPr>
          <w:rFonts w:hint="eastAsia" w:ascii="Times New Roman" w:hAnsi="Times New Roman" w:eastAsia="Times New Roman"/>
          <w:color w:val="auto"/>
          <w:spacing w:val="-2"/>
          <w:highlight w:val="none"/>
        </w:rPr>
        <w:t>。按照</w:t>
      </w:r>
      <w:r>
        <w:rPr>
          <w:rFonts w:hint="eastAsia" w:ascii="Times New Roman" w:hAnsi="Times New Roman" w:eastAsia="宋体"/>
          <w:color w:val="auto"/>
          <w:spacing w:val="-2"/>
          <w:highlight w:val="none"/>
        </w:rPr>
        <w:t>广州交易集团有限公司（广州公共资源交易中心）</w:t>
      </w:r>
      <w:r>
        <w:rPr>
          <w:rFonts w:hint="eastAsia" w:ascii="Times New Roman" w:hAnsi="Times New Roman" w:eastAsia="Times New Roman"/>
          <w:color w:val="auto"/>
          <w:spacing w:val="-2"/>
          <w:highlight w:val="none"/>
        </w:rPr>
        <w:t>网站关于全流程电子化项目的相关指南进行操作。</w:t>
      </w:r>
    </w:p>
    <w:p w14:paraId="5DAA590F">
      <w:pPr>
        <w:spacing w:before="2" w:line="351" w:lineRule="auto"/>
        <w:ind w:left="5" w:right="46" w:firstLine="415"/>
        <w:rPr>
          <w:rFonts w:ascii="Times New Roman" w:hAnsi="Times New Roman" w:eastAsia="Times New Roman"/>
          <w:color w:val="auto"/>
          <w:spacing w:val="-2"/>
          <w:highlight w:val="none"/>
        </w:rPr>
      </w:pPr>
      <w:r>
        <w:rPr>
          <w:rFonts w:hint="eastAsia" w:ascii="Times New Roman" w:hAnsi="Times New Roman" w:eastAsia="Times New Roman"/>
          <w:color w:val="auto"/>
          <w:spacing w:val="-2"/>
          <w:highlight w:val="none"/>
        </w:rPr>
        <w:t>3.</w:t>
      </w:r>
      <w:r>
        <w:rPr>
          <w:rFonts w:hint="eastAsia" w:ascii="Times New Roman" w:hAnsi="Times New Roman" w:eastAsia="宋体"/>
          <w:color w:val="auto"/>
          <w:spacing w:val="-2"/>
          <w:highlight w:val="none"/>
        </w:rPr>
        <w:t>7</w:t>
      </w:r>
      <w:r>
        <w:rPr>
          <w:rFonts w:hint="eastAsia" w:ascii="Times New Roman" w:hAnsi="Times New Roman" w:eastAsia="Times New Roman"/>
          <w:color w:val="auto"/>
          <w:spacing w:val="-2"/>
          <w:highlight w:val="none"/>
        </w:rPr>
        <w:t>.</w:t>
      </w:r>
      <w:r>
        <w:rPr>
          <w:rFonts w:hint="eastAsia" w:ascii="Times New Roman" w:hAnsi="Times New Roman" w:eastAsia="宋体"/>
          <w:color w:val="auto"/>
          <w:spacing w:val="-2"/>
          <w:highlight w:val="none"/>
        </w:rPr>
        <w:t xml:space="preserve">4   </w:t>
      </w:r>
      <w:r>
        <w:rPr>
          <w:rFonts w:hint="eastAsia" w:ascii="Times New Roman" w:hAnsi="Times New Roman" w:eastAsia="Times New Roman"/>
          <w:color w:val="auto"/>
          <w:spacing w:val="-2"/>
          <w:highlight w:val="none"/>
        </w:rPr>
        <w:t>联合体投标时，投标人封面及其他内容落款中的“投标人”应填写联合体各方的单位全称【格式为：（主）XXXX公司（成）XXXX公司】。除联合体共同投标协议需联合体各方按要求共同盖章</w:t>
      </w:r>
      <w:r>
        <w:rPr>
          <w:rFonts w:hint="eastAsia" w:ascii="Times New Roman" w:hAnsi="Times New Roman" w:eastAsia="宋体"/>
          <w:color w:val="auto"/>
          <w:spacing w:val="-2"/>
          <w:highlight w:val="none"/>
        </w:rPr>
        <w:t>或</w:t>
      </w:r>
      <w:r>
        <w:rPr>
          <w:rFonts w:hint="eastAsia" w:ascii="Times New Roman" w:hAnsi="Times New Roman" w:eastAsia="Times New Roman"/>
          <w:color w:val="auto"/>
          <w:spacing w:val="-2"/>
          <w:highlight w:val="none"/>
        </w:rPr>
        <w:t>签字，其余可由联合体</w:t>
      </w:r>
      <w:r>
        <w:rPr>
          <w:rFonts w:hint="eastAsia" w:ascii="Times New Roman" w:hAnsi="Times New Roman" w:eastAsia="宋体"/>
          <w:color w:val="auto"/>
          <w:spacing w:val="-2"/>
          <w:highlight w:val="none"/>
        </w:rPr>
        <w:t>主办方</w:t>
      </w:r>
      <w:r>
        <w:rPr>
          <w:rFonts w:hint="eastAsia" w:ascii="Times New Roman" w:hAnsi="Times New Roman" w:eastAsia="Times New Roman"/>
          <w:color w:val="auto"/>
          <w:spacing w:val="-2"/>
          <w:highlight w:val="none"/>
        </w:rPr>
        <w:t>签字、盖章即可，由联合体</w:t>
      </w:r>
      <w:r>
        <w:rPr>
          <w:rFonts w:hint="eastAsia" w:ascii="Times New Roman" w:hAnsi="Times New Roman" w:eastAsia="宋体"/>
          <w:color w:val="auto"/>
          <w:spacing w:val="-2"/>
          <w:highlight w:val="none"/>
        </w:rPr>
        <w:t>主办方</w:t>
      </w:r>
      <w:r>
        <w:rPr>
          <w:rFonts w:hint="eastAsia" w:ascii="Times New Roman" w:hAnsi="Times New Roman" w:eastAsia="Times New Roman"/>
          <w:color w:val="auto"/>
          <w:spacing w:val="-2"/>
          <w:highlight w:val="none"/>
        </w:rPr>
        <w:t>法人签字的电子投标文件需提供</w:t>
      </w:r>
      <w:r>
        <w:rPr>
          <w:rFonts w:hint="eastAsia" w:ascii="Times New Roman" w:hAnsi="Times New Roman" w:eastAsia="宋体"/>
          <w:color w:val="auto"/>
          <w:spacing w:val="-2"/>
          <w:highlight w:val="none"/>
        </w:rPr>
        <w:t>主办方</w:t>
      </w:r>
      <w:r>
        <w:rPr>
          <w:rFonts w:hint="eastAsia" w:ascii="Times New Roman" w:hAnsi="Times New Roman" w:eastAsia="Times New Roman"/>
          <w:color w:val="auto"/>
          <w:spacing w:val="-2"/>
          <w:highlight w:val="none"/>
        </w:rPr>
        <w:t>法定代表人证明书，若由联合体</w:t>
      </w:r>
      <w:r>
        <w:rPr>
          <w:rFonts w:hint="eastAsia" w:ascii="Times New Roman" w:hAnsi="Times New Roman" w:eastAsia="宋体"/>
          <w:color w:val="auto"/>
          <w:spacing w:val="-2"/>
          <w:highlight w:val="none"/>
        </w:rPr>
        <w:t>主办方</w:t>
      </w:r>
      <w:r>
        <w:rPr>
          <w:rFonts w:hint="eastAsia" w:ascii="Times New Roman" w:hAnsi="Times New Roman" w:eastAsia="Times New Roman"/>
          <w:color w:val="auto"/>
          <w:spacing w:val="-2"/>
          <w:highlight w:val="none"/>
        </w:rPr>
        <w:t>法定代表人授权签字的电子投标文件需提供法定代表人证明书及其授权委托书、授权委托人身份证扫描件。</w:t>
      </w:r>
    </w:p>
    <w:p w14:paraId="2BAD4140">
      <w:pPr>
        <w:spacing w:before="2" w:line="351" w:lineRule="auto"/>
        <w:ind w:left="5" w:right="46" w:firstLine="415"/>
        <w:rPr>
          <w:rFonts w:ascii="Times New Roman" w:hAnsi="Times New Roman" w:eastAsiaTheme="minorEastAsia"/>
          <w:color w:val="auto"/>
          <w:spacing w:val="-2"/>
          <w:highlight w:val="none"/>
        </w:rPr>
      </w:pPr>
      <w:r>
        <w:rPr>
          <w:rFonts w:hint="eastAsia" w:ascii="Times New Roman" w:hAnsi="Times New Roman" w:eastAsia="Times New Roman"/>
          <w:color w:val="auto"/>
          <w:spacing w:val="-2"/>
          <w:highlight w:val="none"/>
        </w:rPr>
        <w:t>3.7.5   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77EA23FE">
      <w:pPr>
        <w:pStyle w:val="2"/>
        <w:rPr>
          <w:rFonts w:eastAsiaTheme="minorEastAsia"/>
          <w:color w:val="auto"/>
          <w:highlight w:val="none"/>
        </w:rPr>
      </w:pPr>
    </w:p>
    <w:p w14:paraId="4E48A4C2">
      <w:pPr>
        <w:pStyle w:val="24"/>
        <w:spacing w:before="120" w:after="120"/>
        <w:outlineLvl w:val="9"/>
        <w:rPr>
          <w:rFonts w:ascii="Times New Roman" w:hAnsi="Times New Roman" w:eastAsia="Times New Roman"/>
          <w:bCs/>
          <w:color w:val="auto"/>
          <w:spacing w:val="6"/>
          <w:sz w:val="31"/>
          <w:szCs w:val="31"/>
          <w:highlight w:val="none"/>
        </w:rPr>
      </w:pPr>
      <w:bookmarkStart w:id="207" w:name="_Toc8579"/>
      <w:bookmarkStart w:id="208" w:name="_Toc25877"/>
      <w:bookmarkStart w:id="209" w:name="_Toc12551"/>
      <w:bookmarkStart w:id="210" w:name="_Toc21673"/>
      <w:bookmarkStart w:id="211" w:name="_Toc13817"/>
      <w:r>
        <w:rPr>
          <w:rFonts w:ascii="Times New Roman" w:hAnsi="Times New Roman" w:eastAsia="Times New Roman"/>
          <w:bCs/>
          <w:color w:val="auto"/>
          <w:spacing w:val="6"/>
          <w:sz w:val="31"/>
          <w:szCs w:val="31"/>
          <w:highlight w:val="none"/>
        </w:rPr>
        <w:t>4</w:t>
      </w:r>
      <w:r>
        <w:rPr>
          <w:rFonts w:ascii="Times New Roman" w:hAnsi="Times New Roman" w:eastAsia="Times New Roman"/>
          <w:bCs/>
          <w:color w:val="auto"/>
          <w:spacing w:val="4"/>
          <w:sz w:val="31"/>
          <w:szCs w:val="31"/>
          <w:highlight w:val="none"/>
        </w:rPr>
        <w:t>.</w:t>
      </w:r>
      <w:r>
        <w:rPr>
          <w:rFonts w:ascii="Times New Roman" w:hAnsi="Times New Roman" w:eastAsia="Times New Roman"/>
          <w:color w:val="auto"/>
          <w:spacing w:val="4"/>
          <w:sz w:val="31"/>
          <w:szCs w:val="31"/>
          <w:highlight w:val="none"/>
        </w:rPr>
        <w:t xml:space="preserve">  </w:t>
      </w:r>
      <w:r>
        <w:rPr>
          <w:rFonts w:ascii="黑体" w:hAnsi="黑体" w:eastAsia="黑体"/>
          <w:color w:val="auto"/>
          <w:spacing w:val="4"/>
          <w:sz w:val="31"/>
          <w:szCs w:val="31"/>
          <w:highlight w:val="none"/>
        </w:rPr>
        <w:t>投标</w:t>
      </w:r>
      <w:bookmarkEnd w:id="207"/>
      <w:bookmarkEnd w:id="208"/>
      <w:bookmarkEnd w:id="209"/>
      <w:bookmarkEnd w:id="210"/>
      <w:bookmarkEnd w:id="211"/>
    </w:p>
    <w:p w14:paraId="4ABA0520">
      <w:pPr>
        <w:rPr>
          <w:rFonts w:ascii="Times New Roman" w:hAnsi="Times New Roman" w:eastAsia="Times New Roman"/>
          <w:color w:val="auto"/>
          <w:spacing w:val="14"/>
          <w:sz w:val="27"/>
          <w:szCs w:val="27"/>
          <w:highlight w:val="none"/>
        </w:rPr>
      </w:pPr>
      <w:bookmarkStart w:id="212" w:name="_Toc26388"/>
      <w:bookmarkStart w:id="213" w:name="_Toc28705"/>
      <w:bookmarkStart w:id="214" w:name="_Toc2460"/>
      <w:bookmarkStart w:id="215" w:name="_Toc28213"/>
      <w:bookmarkStart w:id="216" w:name="_Toc26104"/>
      <w:r>
        <w:rPr>
          <w:rFonts w:ascii="Times New Roman" w:hAnsi="Times New Roman" w:eastAsia="Times New Roman"/>
          <w:color w:val="auto"/>
          <w:spacing w:val="14"/>
          <w:sz w:val="27"/>
          <w:szCs w:val="27"/>
          <w:highlight w:val="none"/>
        </w:rPr>
        <w:t>4</w:t>
      </w:r>
      <w:r>
        <w:rPr>
          <w:rFonts w:ascii="Times New Roman" w:hAnsi="Times New Roman" w:eastAsia="Times New Roman"/>
          <w:color w:val="auto"/>
          <w:spacing w:val="10"/>
          <w:sz w:val="27"/>
          <w:szCs w:val="27"/>
          <w:highlight w:val="none"/>
        </w:rPr>
        <w:t>.</w:t>
      </w:r>
      <w:r>
        <w:rPr>
          <w:rFonts w:ascii="Times New Roman" w:hAnsi="Times New Roman" w:eastAsia="Times New Roman"/>
          <w:color w:val="auto"/>
          <w:spacing w:val="7"/>
          <w:sz w:val="27"/>
          <w:szCs w:val="27"/>
          <w:highlight w:val="none"/>
        </w:rPr>
        <w:t xml:space="preserve">1  </w:t>
      </w:r>
      <w:r>
        <w:rPr>
          <w:rFonts w:ascii="黑体" w:hAnsi="黑体" w:eastAsia="黑体"/>
          <w:color w:val="auto"/>
          <w:spacing w:val="7"/>
          <w:sz w:val="27"/>
          <w:szCs w:val="27"/>
          <w:highlight w:val="none"/>
        </w:rPr>
        <w:t>投标文件的密封和标记</w:t>
      </w:r>
      <w:bookmarkEnd w:id="212"/>
      <w:bookmarkEnd w:id="213"/>
      <w:bookmarkEnd w:id="214"/>
      <w:bookmarkEnd w:id="215"/>
      <w:bookmarkEnd w:id="216"/>
    </w:p>
    <w:p w14:paraId="4AECF692">
      <w:pPr>
        <w:spacing w:before="68" w:line="352" w:lineRule="auto"/>
        <w:ind w:left="16" w:right="17" w:firstLine="399" w:firstLineChars="192"/>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4.1.1   </w:t>
      </w:r>
      <w:r>
        <w:rPr>
          <w:rFonts w:hint="eastAsia" w:ascii="Times New Roman" w:hAnsi="Times New Roman" w:eastAsia="Times New Roman"/>
          <w:color w:val="auto"/>
          <w:spacing w:val="-1"/>
          <w:highlight w:val="none"/>
        </w:rPr>
        <w:t>递交的电子投标文件（不含备用光盘）必须进行加密。按照</w:t>
      </w:r>
      <w:r>
        <w:rPr>
          <w:rFonts w:hint="eastAsia" w:ascii="Times New Roman" w:hAnsi="Times New Roman" w:eastAsia="宋体"/>
          <w:color w:val="auto"/>
          <w:spacing w:val="-1"/>
          <w:highlight w:val="none"/>
        </w:rPr>
        <w:t>广州交易集团有限公司（广州公共资源交易中心）</w:t>
      </w:r>
      <w:r>
        <w:rPr>
          <w:rFonts w:hint="eastAsia" w:ascii="Times New Roman" w:hAnsi="Times New Roman" w:eastAsia="Times New Roman"/>
          <w:color w:val="auto"/>
          <w:spacing w:val="-1"/>
          <w:highlight w:val="none"/>
        </w:rPr>
        <w:t>网站关于全流程电子化项目的相关指南进行操作</w:t>
      </w:r>
      <w:r>
        <w:rPr>
          <w:rFonts w:ascii="Times New Roman" w:hAnsi="Times New Roman" w:eastAsia="Times New Roman"/>
          <w:color w:val="auto"/>
          <w:spacing w:val="-1"/>
          <w:highlight w:val="none"/>
        </w:rPr>
        <w:t>。</w:t>
      </w:r>
    </w:p>
    <w:p w14:paraId="3D961399">
      <w:pPr>
        <w:spacing w:before="68" w:line="352" w:lineRule="auto"/>
        <w:ind w:left="416" w:right="17"/>
        <w:rPr>
          <w:rFonts w:ascii="Times New Roman" w:hAnsi="Times New Roman" w:eastAsiaTheme="minorEastAsia"/>
          <w:color w:val="auto"/>
          <w:spacing w:val="-1"/>
          <w:highlight w:val="none"/>
        </w:rPr>
      </w:pPr>
      <w:r>
        <w:rPr>
          <w:rFonts w:ascii="Times New Roman" w:hAnsi="Times New Roman" w:eastAsia="Times New Roman"/>
          <w:color w:val="auto"/>
          <w:spacing w:val="-1"/>
          <w:highlight w:val="none"/>
        </w:rPr>
        <w:t xml:space="preserve">4.1.2  </w:t>
      </w:r>
      <w:r>
        <w:rPr>
          <w:rFonts w:hint="eastAsia" w:ascii="Times New Roman" w:hAnsi="Times New Roman" w:eastAsia="Times New Roman"/>
          <w:color w:val="auto"/>
          <w:spacing w:val="-1"/>
          <w:highlight w:val="none"/>
        </w:rPr>
        <w:t>未按要求加密的投标文件，</w:t>
      </w:r>
      <w:r>
        <w:rPr>
          <w:rFonts w:hint="eastAsia" w:ascii="Times New Roman" w:hAnsi="Times New Roman" w:eastAsia="宋体"/>
          <w:color w:val="auto"/>
          <w:spacing w:val="-1"/>
          <w:highlight w:val="none"/>
        </w:rPr>
        <w:t>广州交易集团有限公司（广州公共资源交易中心）</w:t>
      </w:r>
      <w:r>
        <w:rPr>
          <w:rFonts w:hint="eastAsia" w:ascii="Times New Roman" w:hAnsi="Times New Roman" w:eastAsia="Times New Roman"/>
          <w:color w:val="auto"/>
          <w:spacing w:val="-1"/>
          <w:highlight w:val="none"/>
        </w:rPr>
        <w:t>网站交易平台将予以拒收</w:t>
      </w:r>
      <w:r>
        <w:rPr>
          <w:rFonts w:ascii="Times New Roman" w:hAnsi="Times New Roman" w:eastAsia="Times New Roman"/>
          <w:color w:val="auto"/>
          <w:spacing w:val="-1"/>
          <w:highlight w:val="none"/>
        </w:rPr>
        <w:t>。</w:t>
      </w:r>
    </w:p>
    <w:p w14:paraId="675FC90C">
      <w:pPr>
        <w:pStyle w:val="2"/>
        <w:rPr>
          <w:rFonts w:eastAsiaTheme="minorEastAsia"/>
          <w:color w:val="auto"/>
          <w:highlight w:val="none"/>
        </w:rPr>
      </w:pPr>
    </w:p>
    <w:p w14:paraId="027690E2">
      <w:pPr>
        <w:rPr>
          <w:rFonts w:ascii="Times New Roman" w:hAnsi="Times New Roman" w:eastAsia="Times New Roman"/>
          <w:color w:val="auto"/>
          <w:sz w:val="27"/>
          <w:szCs w:val="27"/>
          <w:highlight w:val="none"/>
        </w:rPr>
      </w:pPr>
      <w:bookmarkStart w:id="217" w:name="_Toc14279"/>
      <w:bookmarkStart w:id="218" w:name="_Toc17831"/>
      <w:bookmarkStart w:id="219" w:name="_Toc6297"/>
      <w:bookmarkStart w:id="220" w:name="_Toc7999"/>
      <w:bookmarkStart w:id="221" w:name="_Toc24305"/>
      <w:r>
        <w:rPr>
          <w:rFonts w:ascii="Times New Roman" w:hAnsi="Times New Roman" w:eastAsia="Times New Roman"/>
          <w:color w:val="auto"/>
          <w:sz w:val="27"/>
          <w:szCs w:val="27"/>
          <w:highlight w:val="none"/>
        </w:rPr>
        <w:t xml:space="preserve">4.2  </w:t>
      </w:r>
      <w:r>
        <w:rPr>
          <w:rFonts w:ascii="黑体" w:hAnsi="黑体" w:eastAsia="黑体"/>
          <w:color w:val="auto"/>
          <w:sz w:val="27"/>
          <w:szCs w:val="27"/>
          <w:highlight w:val="none"/>
        </w:rPr>
        <w:t>投标文件的递交</w:t>
      </w:r>
      <w:bookmarkEnd w:id="217"/>
      <w:bookmarkEnd w:id="218"/>
      <w:bookmarkEnd w:id="219"/>
      <w:bookmarkEnd w:id="220"/>
      <w:bookmarkEnd w:id="221"/>
    </w:p>
    <w:p w14:paraId="276EDF07">
      <w:pPr>
        <w:spacing w:before="68" w:line="352" w:lineRule="auto"/>
        <w:ind w:left="16" w:right="17" w:firstLine="403" w:firstLineChars="192"/>
        <w:rPr>
          <w:rFonts w:ascii="Times New Roman" w:hAnsi="Times New Roman" w:eastAsia="Times New Roman"/>
          <w:color w:val="auto"/>
          <w:highlight w:val="none"/>
        </w:rPr>
      </w:pPr>
      <w:r>
        <w:rPr>
          <w:rFonts w:hint="eastAsia" w:ascii="Times New Roman" w:hAnsi="Times New Roman" w:eastAsia="Times New Roman"/>
          <w:color w:val="auto"/>
          <w:highlight w:val="none"/>
        </w:rPr>
        <w:t>4.2.1</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投标人</w:t>
      </w:r>
      <w:r>
        <w:rPr>
          <w:rFonts w:hint="eastAsia" w:ascii="Times New Roman" w:hAnsi="Times New Roman" w:eastAsia="宋体"/>
          <w:color w:val="auto"/>
          <w:highlight w:val="none"/>
        </w:rPr>
        <w:t>应在投标人须知前附表规定的投标截止时间前，</w:t>
      </w:r>
      <w:r>
        <w:rPr>
          <w:rFonts w:hint="eastAsia" w:ascii="Times New Roman" w:hAnsi="Times New Roman" w:eastAsia="Times New Roman"/>
          <w:color w:val="auto"/>
          <w:highlight w:val="none"/>
        </w:rPr>
        <w:t>通过</w:t>
      </w:r>
      <w:r>
        <w:rPr>
          <w:rFonts w:hint="eastAsia" w:ascii="Times New Roman" w:hAnsi="Times New Roman" w:eastAsia="宋体"/>
          <w:color w:val="auto"/>
          <w:highlight w:val="none"/>
        </w:rPr>
        <w:t>广州交易集团有限公司（广州公共资源交易中心）</w:t>
      </w:r>
      <w:r>
        <w:rPr>
          <w:rFonts w:hint="eastAsia" w:ascii="Times New Roman" w:hAnsi="Times New Roman" w:eastAsia="Times New Roman"/>
          <w:color w:val="auto"/>
          <w:highlight w:val="none"/>
        </w:rPr>
        <w:t>网站交易平台递交电子投标文件。</w:t>
      </w:r>
    </w:p>
    <w:p w14:paraId="7FD4448E">
      <w:pPr>
        <w:spacing w:before="68" w:line="352" w:lineRule="auto"/>
        <w:ind w:left="16" w:right="17" w:firstLine="403" w:firstLineChars="192"/>
        <w:rPr>
          <w:rFonts w:ascii="Times New Roman" w:hAnsi="Times New Roman" w:eastAsia="Times New Roman"/>
          <w:color w:val="auto"/>
          <w:highlight w:val="none"/>
        </w:rPr>
      </w:pPr>
      <w:r>
        <w:rPr>
          <w:rFonts w:hint="eastAsia" w:ascii="Times New Roman" w:hAnsi="Times New Roman" w:eastAsia="Times New Roman"/>
          <w:color w:val="auto"/>
          <w:highlight w:val="none"/>
        </w:rPr>
        <w:t>4.2.2</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投标人完成电子投标文件上传后，</w:t>
      </w:r>
      <w:r>
        <w:rPr>
          <w:rFonts w:hint="eastAsia" w:ascii="Times New Roman" w:hAnsi="Times New Roman" w:eastAsia="宋体"/>
          <w:color w:val="auto"/>
          <w:highlight w:val="none"/>
        </w:rPr>
        <w:t>广州交易集团有限公司（广州公共资源交易中心）</w:t>
      </w:r>
      <w:r>
        <w:rPr>
          <w:rFonts w:hint="eastAsia" w:ascii="Times New Roman" w:hAnsi="Times New Roman" w:eastAsia="Times New Roman"/>
          <w:color w:val="auto"/>
          <w:highlight w:val="none"/>
        </w:rPr>
        <w:t>网站交易平台即时向投标人发出递交回执通知。递交时间以递交回执通知载明的传输完成时间为准。</w:t>
      </w:r>
    </w:p>
    <w:p w14:paraId="440CC175">
      <w:pPr>
        <w:spacing w:before="68" w:line="352" w:lineRule="auto"/>
        <w:ind w:left="16" w:right="17" w:firstLine="403" w:firstLineChars="192"/>
        <w:rPr>
          <w:rFonts w:ascii="Times New Roman" w:hAnsi="Times New Roman" w:eastAsia="Times New Roman"/>
          <w:color w:val="auto"/>
          <w:highlight w:val="none"/>
        </w:rPr>
      </w:pPr>
      <w:r>
        <w:rPr>
          <w:rFonts w:hint="eastAsia" w:ascii="Times New Roman" w:hAnsi="Times New Roman" w:eastAsia="Times New Roman"/>
          <w:color w:val="auto"/>
          <w:highlight w:val="none"/>
        </w:rPr>
        <w:t>4.2.3</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逾期送达的电子投标文件，</w:t>
      </w:r>
      <w:r>
        <w:rPr>
          <w:rFonts w:hint="eastAsia" w:ascii="Times New Roman" w:hAnsi="Times New Roman" w:eastAsia="宋体"/>
          <w:color w:val="auto"/>
          <w:highlight w:val="none"/>
        </w:rPr>
        <w:t>广州交易集团有限公司（广州公共资源交易中心）</w:t>
      </w:r>
      <w:r>
        <w:rPr>
          <w:rFonts w:hint="eastAsia" w:ascii="Times New Roman" w:hAnsi="Times New Roman" w:eastAsia="Times New Roman"/>
          <w:color w:val="auto"/>
          <w:highlight w:val="none"/>
        </w:rPr>
        <w:t>网站交易平台将予以拒收。</w:t>
      </w:r>
    </w:p>
    <w:p w14:paraId="2CF7F5E7">
      <w:pPr>
        <w:spacing w:before="134" w:line="229" w:lineRule="auto"/>
        <w:ind w:firstLine="420" w:firstLineChars="200"/>
        <w:rPr>
          <w:rFonts w:ascii="Times New Roman" w:hAnsi="Times New Roman" w:eastAsia="Times New Roman"/>
          <w:color w:val="auto"/>
          <w:highlight w:val="none"/>
        </w:rPr>
      </w:pPr>
      <w:r>
        <w:rPr>
          <w:rFonts w:hint="eastAsia" w:ascii="Times New Roman" w:hAnsi="Times New Roman" w:eastAsia="Times New Roman"/>
          <w:color w:val="auto"/>
          <w:highlight w:val="none"/>
        </w:rPr>
        <w:t xml:space="preserve">4.2.4 </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投标截止前，招标人拒绝接收符合条件的投标文件，投标人可向招标监督机构投诉</w:t>
      </w:r>
      <w:r>
        <w:rPr>
          <w:rFonts w:hint="eastAsia" w:ascii="Times New Roman" w:hAnsi="Times New Roman" w:eastAsia="宋体"/>
          <w:color w:val="auto"/>
          <w:highlight w:val="none"/>
        </w:rPr>
        <w:t>。</w:t>
      </w:r>
    </w:p>
    <w:p w14:paraId="6CD95A6C">
      <w:pPr>
        <w:spacing w:before="134" w:line="229" w:lineRule="auto"/>
        <w:ind w:left="134"/>
        <w:rPr>
          <w:rFonts w:ascii="Times New Roman" w:hAnsi="Times New Roman" w:eastAsia="宋体"/>
          <w:color w:val="auto"/>
          <w:highlight w:val="none"/>
        </w:rPr>
      </w:pPr>
    </w:p>
    <w:p w14:paraId="045DF867">
      <w:pPr>
        <w:rPr>
          <w:rFonts w:ascii="Times New Roman" w:hAnsi="Times New Roman" w:eastAsia="Times New Roman"/>
          <w:color w:val="auto"/>
          <w:sz w:val="27"/>
          <w:szCs w:val="27"/>
          <w:highlight w:val="none"/>
        </w:rPr>
      </w:pPr>
      <w:bookmarkStart w:id="222" w:name="_Toc1278"/>
      <w:bookmarkStart w:id="223" w:name="_Toc25623"/>
      <w:bookmarkStart w:id="224" w:name="_Toc8848"/>
      <w:bookmarkStart w:id="225" w:name="_Toc6649"/>
      <w:bookmarkStart w:id="226" w:name="_Toc20560"/>
      <w:r>
        <w:rPr>
          <w:rFonts w:ascii="Times New Roman" w:hAnsi="Times New Roman" w:eastAsia="Times New Roman"/>
          <w:color w:val="auto"/>
          <w:sz w:val="27"/>
          <w:szCs w:val="27"/>
          <w:highlight w:val="none"/>
        </w:rPr>
        <w:t xml:space="preserve">4.3  </w:t>
      </w:r>
      <w:r>
        <w:rPr>
          <w:rFonts w:ascii="黑体" w:hAnsi="黑体" w:eastAsia="黑体"/>
          <w:color w:val="auto"/>
          <w:sz w:val="27"/>
          <w:szCs w:val="27"/>
          <w:highlight w:val="none"/>
        </w:rPr>
        <w:t>投标文件的修改与撤回</w:t>
      </w:r>
      <w:bookmarkEnd w:id="222"/>
      <w:bookmarkEnd w:id="223"/>
      <w:bookmarkEnd w:id="224"/>
      <w:bookmarkEnd w:id="225"/>
      <w:bookmarkEnd w:id="226"/>
    </w:p>
    <w:p w14:paraId="356D572C">
      <w:pPr>
        <w:spacing w:before="68" w:line="352" w:lineRule="auto"/>
        <w:ind w:firstLine="416"/>
        <w:rPr>
          <w:rFonts w:ascii="Times New Roman" w:hAnsi="Times New Roman" w:eastAsia="Times New Roman"/>
          <w:color w:val="auto"/>
          <w:highlight w:val="none"/>
        </w:rPr>
      </w:pPr>
      <w:r>
        <w:rPr>
          <w:rFonts w:ascii="Times New Roman" w:hAnsi="Times New Roman" w:eastAsia="Times New Roman"/>
          <w:color w:val="auto"/>
          <w:highlight w:val="none"/>
        </w:rPr>
        <w:t xml:space="preserve">4.3.1  </w:t>
      </w:r>
      <w:r>
        <w:rPr>
          <w:rFonts w:hint="eastAsia" w:ascii="Times New Roman" w:hAnsi="Times New Roman" w:eastAsia="宋体"/>
          <w:color w:val="auto"/>
          <w:highlight w:val="none"/>
        </w:rPr>
        <w:t xml:space="preserve"> </w:t>
      </w:r>
      <w:r>
        <w:rPr>
          <w:rFonts w:ascii="宋体" w:hAnsi="宋体" w:eastAsia="宋体"/>
          <w:color w:val="auto"/>
          <w:highlight w:val="none"/>
        </w:rPr>
        <w:t>在规定的投标截止时间前， 投标人可以修改或撤回已递交的投标文件， 但应以书面形式通知招标人。</w:t>
      </w:r>
    </w:p>
    <w:p w14:paraId="14018AA1">
      <w:pPr>
        <w:spacing w:before="1" w:line="351" w:lineRule="auto"/>
        <w:ind w:left="1" w:right="60" w:firstLine="415"/>
        <w:rPr>
          <w:rFonts w:ascii="Times New Roman" w:hAnsi="Times New Roman" w:eastAsia="Times New Roman"/>
          <w:color w:val="auto"/>
          <w:highlight w:val="none"/>
        </w:rPr>
      </w:pPr>
      <w:r>
        <w:rPr>
          <w:rFonts w:ascii="Times New Roman" w:hAnsi="Times New Roman" w:eastAsia="Times New Roman"/>
          <w:color w:val="auto"/>
          <w:highlight w:val="none"/>
        </w:rPr>
        <w:t xml:space="preserve">4.3.2   </w:t>
      </w:r>
      <w:r>
        <w:rPr>
          <w:rFonts w:ascii="宋体" w:hAnsi="宋体" w:eastAsia="宋体"/>
          <w:color w:val="auto"/>
          <w:highlight w:val="none"/>
        </w:rPr>
        <w:t>投标人修改或撤回已递交投标文件，</w:t>
      </w:r>
      <w:r>
        <w:rPr>
          <w:rFonts w:hint="eastAsia" w:ascii="宋体" w:hAnsi="宋体" w:eastAsia="宋体"/>
          <w:color w:val="auto"/>
          <w:highlight w:val="none"/>
        </w:rPr>
        <w:t>需在交易平台发出修改或撤回通知，并按要求加盖电子印章</w:t>
      </w:r>
      <w:r>
        <w:rPr>
          <w:rFonts w:ascii="宋体" w:hAnsi="宋体" w:eastAsia="宋体"/>
          <w:color w:val="auto"/>
          <w:highlight w:val="none"/>
        </w:rPr>
        <w:t>。电子招标投标交易平台收到通知后，即时向投标人发出确认回执通知。</w:t>
      </w:r>
    </w:p>
    <w:p w14:paraId="61B80ACE">
      <w:pPr>
        <w:spacing w:before="2" w:line="351" w:lineRule="auto"/>
        <w:ind w:left="18" w:right="60" w:firstLine="397"/>
        <w:rPr>
          <w:rFonts w:ascii="Times New Roman" w:hAnsi="Times New Roman" w:eastAsia="Times New Roman"/>
          <w:color w:val="auto"/>
          <w:highlight w:val="none"/>
        </w:rPr>
      </w:pPr>
      <w:r>
        <w:rPr>
          <w:rFonts w:ascii="Times New Roman" w:hAnsi="Times New Roman" w:eastAsia="Times New Roman"/>
          <w:color w:val="auto"/>
          <w:highlight w:val="none"/>
        </w:rPr>
        <w:t xml:space="preserve">4.3.3 </w:t>
      </w:r>
      <w:r>
        <w:rPr>
          <w:rFonts w:hint="eastAsia" w:ascii="Times New Roman" w:hAnsi="Times New Roman" w:eastAsia="宋体"/>
          <w:color w:val="auto"/>
          <w:highlight w:val="none"/>
        </w:rPr>
        <w:t xml:space="preserve">   </w:t>
      </w:r>
      <w:r>
        <w:rPr>
          <w:rFonts w:hint="eastAsia" w:ascii="宋体" w:hAnsi="宋体" w:eastAsia="宋体"/>
          <w:color w:val="auto"/>
          <w:highlight w:val="none"/>
        </w:rPr>
        <w:t>修改后再次递交的，按第4.2项的规定执行</w:t>
      </w:r>
      <w:r>
        <w:rPr>
          <w:rFonts w:ascii="宋体" w:hAnsi="宋体" w:eastAsia="宋体"/>
          <w:color w:val="auto"/>
          <w:highlight w:val="none"/>
        </w:rPr>
        <w:t>。</w:t>
      </w:r>
    </w:p>
    <w:p w14:paraId="116C55B3">
      <w:pPr>
        <w:spacing w:before="2" w:line="351" w:lineRule="auto"/>
        <w:ind w:left="18" w:right="60" w:firstLine="397"/>
        <w:rPr>
          <w:rFonts w:ascii="Times New Roman" w:hAnsi="Times New Roman" w:eastAsia="Times New Roman"/>
          <w:color w:val="auto"/>
          <w:highlight w:val="none"/>
        </w:rPr>
      </w:pPr>
      <w:r>
        <w:rPr>
          <w:rFonts w:ascii="Times New Roman" w:hAnsi="Times New Roman" w:eastAsia="Times New Roman"/>
          <w:color w:val="auto"/>
          <w:highlight w:val="none"/>
        </w:rPr>
        <w:t>4.3.</w:t>
      </w:r>
      <w:r>
        <w:rPr>
          <w:rFonts w:hint="eastAsia" w:ascii="Times New Roman" w:hAnsi="Times New Roman" w:eastAsia="宋体"/>
          <w:color w:val="auto"/>
          <w:highlight w:val="none"/>
        </w:rPr>
        <w:t>4</w:t>
      </w:r>
      <w:r>
        <w:rPr>
          <w:rFonts w:ascii="Times New Roman" w:hAnsi="Times New Roman" w:eastAsia="Times New Roman"/>
          <w:color w:val="auto"/>
          <w:highlight w:val="none"/>
        </w:rPr>
        <w:t xml:space="preserve"> </w:t>
      </w:r>
      <w:r>
        <w:rPr>
          <w:rFonts w:hint="eastAsia" w:ascii="宋体" w:hAnsi="宋体" w:eastAsia="宋体"/>
          <w:color w:val="auto"/>
          <w:highlight w:val="none"/>
        </w:rPr>
        <w:t xml:space="preserve"> 在投标截止时间之后，投标人不得补充、修改和更换投标文件。</w:t>
      </w:r>
    </w:p>
    <w:p w14:paraId="1681EB0C">
      <w:pPr>
        <w:pStyle w:val="24"/>
        <w:spacing w:before="120" w:after="120"/>
        <w:outlineLvl w:val="9"/>
        <w:rPr>
          <w:rFonts w:ascii="Times New Roman" w:hAnsi="Times New Roman" w:eastAsia="Times New Roman"/>
          <w:bCs/>
          <w:color w:val="auto"/>
          <w:sz w:val="31"/>
          <w:szCs w:val="31"/>
          <w:highlight w:val="none"/>
        </w:rPr>
      </w:pPr>
      <w:bookmarkStart w:id="227" w:name="_Toc13390"/>
      <w:bookmarkStart w:id="228" w:name="_Toc5844"/>
      <w:bookmarkStart w:id="229" w:name="_Toc9020"/>
      <w:bookmarkStart w:id="230" w:name="_Toc15392"/>
      <w:bookmarkStart w:id="231" w:name="_Toc30468"/>
      <w:r>
        <w:rPr>
          <w:rFonts w:ascii="Times New Roman" w:hAnsi="Times New Roman" w:eastAsia="Times New Roman"/>
          <w:bCs/>
          <w:color w:val="auto"/>
          <w:sz w:val="31"/>
          <w:szCs w:val="31"/>
          <w:highlight w:val="none"/>
        </w:rPr>
        <w:t>5.</w:t>
      </w:r>
      <w:r>
        <w:rPr>
          <w:rFonts w:ascii="Times New Roman" w:hAnsi="Times New Roman" w:eastAsia="Times New Roman"/>
          <w:color w:val="auto"/>
          <w:sz w:val="31"/>
          <w:szCs w:val="31"/>
          <w:highlight w:val="none"/>
        </w:rPr>
        <w:t xml:space="preserve">  </w:t>
      </w:r>
      <w:r>
        <w:rPr>
          <w:rFonts w:ascii="黑体" w:hAnsi="黑体" w:eastAsia="黑体"/>
          <w:color w:val="auto"/>
          <w:sz w:val="31"/>
          <w:szCs w:val="31"/>
          <w:highlight w:val="none"/>
        </w:rPr>
        <w:t>开标</w:t>
      </w:r>
      <w:bookmarkEnd w:id="227"/>
      <w:bookmarkEnd w:id="228"/>
      <w:bookmarkEnd w:id="229"/>
      <w:bookmarkEnd w:id="230"/>
      <w:bookmarkEnd w:id="231"/>
    </w:p>
    <w:p w14:paraId="4501B62C">
      <w:pPr>
        <w:rPr>
          <w:rFonts w:ascii="Times New Roman" w:hAnsi="Times New Roman" w:eastAsia="Times New Roman"/>
          <w:color w:val="auto"/>
          <w:sz w:val="27"/>
          <w:szCs w:val="27"/>
          <w:highlight w:val="none"/>
        </w:rPr>
      </w:pPr>
      <w:bookmarkStart w:id="232" w:name="_Toc3725"/>
      <w:bookmarkStart w:id="233" w:name="_Toc5053"/>
      <w:bookmarkStart w:id="234" w:name="_Toc14670"/>
      <w:bookmarkStart w:id="235" w:name="_Toc22724"/>
      <w:bookmarkStart w:id="236" w:name="_Toc19309"/>
      <w:r>
        <w:rPr>
          <w:rFonts w:ascii="Times New Roman" w:hAnsi="Times New Roman" w:eastAsia="Times New Roman"/>
          <w:color w:val="auto"/>
          <w:sz w:val="27"/>
          <w:szCs w:val="27"/>
          <w:highlight w:val="none"/>
        </w:rPr>
        <w:t xml:space="preserve">5.1  </w:t>
      </w:r>
      <w:r>
        <w:rPr>
          <w:rFonts w:ascii="黑体" w:hAnsi="黑体" w:eastAsia="黑体"/>
          <w:color w:val="auto"/>
          <w:sz w:val="27"/>
          <w:szCs w:val="27"/>
          <w:highlight w:val="none"/>
        </w:rPr>
        <w:t>开标时间和地点</w:t>
      </w:r>
      <w:bookmarkEnd w:id="232"/>
      <w:bookmarkEnd w:id="233"/>
      <w:bookmarkEnd w:id="234"/>
      <w:bookmarkEnd w:id="235"/>
      <w:bookmarkEnd w:id="236"/>
    </w:p>
    <w:p w14:paraId="06B2A8D9">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5.1.1  招标人按投标须知前附表规定的时间和地点公开开标。截标后，开标开始时间因故推迟的，相关评标信息仍以原定的开标开始时间的信息为准。</w:t>
      </w:r>
    </w:p>
    <w:p w14:paraId="755BE333">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D56A3DC">
      <w:pPr>
        <w:pStyle w:val="55"/>
        <w:rPr>
          <w:color w:val="auto"/>
          <w:highlight w:val="none"/>
        </w:rPr>
      </w:pPr>
    </w:p>
    <w:p w14:paraId="6C510F72">
      <w:pPr>
        <w:rPr>
          <w:rFonts w:ascii="Times New Roman" w:hAnsi="Times New Roman" w:eastAsia="Times New Roman"/>
          <w:color w:val="auto"/>
          <w:sz w:val="27"/>
          <w:szCs w:val="27"/>
          <w:highlight w:val="none"/>
        </w:rPr>
      </w:pPr>
      <w:bookmarkStart w:id="237" w:name="_Toc16400"/>
      <w:bookmarkStart w:id="238" w:name="_Toc695"/>
      <w:bookmarkStart w:id="239" w:name="_Toc8588"/>
      <w:bookmarkStart w:id="240" w:name="_Toc13348"/>
      <w:bookmarkStart w:id="241" w:name="_Toc28659"/>
      <w:r>
        <w:rPr>
          <w:rFonts w:ascii="Times New Roman" w:hAnsi="Times New Roman" w:eastAsia="Times New Roman"/>
          <w:color w:val="auto"/>
          <w:sz w:val="27"/>
          <w:szCs w:val="27"/>
          <w:highlight w:val="none"/>
        </w:rPr>
        <w:t xml:space="preserve">5.2  </w:t>
      </w:r>
      <w:r>
        <w:rPr>
          <w:rFonts w:ascii="黑体" w:hAnsi="黑体" w:eastAsia="黑体"/>
          <w:color w:val="auto"/>
          <w:sz w:val="27"/>
          <w:szCs w:val="27"/>
          <w:highlight w:val="none"/>
        </w:rPr>
        <w:t>开标程序</w:t>
      </w:r>
      <w:bookmarkEnd w:id="237"/>
      <w:bookmarkEnd w:id="238"/>
      <w:bookmarkEnd w:id="239"/>
      <w:bookmarkEnd w:id="240"/>
      <w:bookmarkEnd w:id="241"/>
    </w:p>
    <w:p w14:paraId="51E5259D">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5.2.1   在投标截止时间后</w:t>
      </w:r>
      <w:r>
        <w:rPr>
          <w:rFonts w:hint="eastAsia" w:ascii="Times New Roman" w:hAnsi="Times New Roman" w:eastAsia="Times New Roman"/>
          <w:color w:val="auto"/>
          <w:highlight w:val="none"/>
          <w:u w:val="single"/>
        </w:rPr>
        <w:t>半小时</w:t>
      </w:r>
      <w:r>
        <w:rPr>
          <w:rFonts w:hint="eastAsia" w:ascii="Times New Roman" w:hAnsi="Times New Roman" w:eastAsia="Times New Roman"/>
          <w:color w:val="auto"/>
          <w:highlight w:val="none"/>
        </w:rPr>
        <w:t>内，投标人通过递交投标文件的交易平台对已递交的电子投标文件进行解密。投标人完成解密后，再由招标人进行解密。解密完成后，公布招标项目名称、投标人名称</w:t>
      </w:r>
      <w:r>
        <w:rPr>
          <w:rFonts w:hint="eastAsia" w:ascii="Times New Roman" w:hAnsi="Times New Roman" w:eastAsia="Times New Roman"/>
          <w:strike/>
          <w:color w:val="auto"/>
          <w:highlight w:val="none"/>
        </w:rPr>
        <w:t>、投标保证金</w:t>
      </w:r>
      <w:r>
        <w:rPr>
          <w:rFonts w:hint="eastAsia" w:ascii="Times New Roman" w:hAnsi="Times New Roman" w:eastAsia="Times New Roman"/>
          <w:color w:val="auto"/>
          <w:highlight w:val="none"/>
        </w:rPr>
        <w:t>的递交情况、投标报价、项目负责人及其他内容。未在规定时间内解密的投标文件不参与开标、评标。</w:t>
      </w:r>
    </w:p>
    <w:p w14:paraId="500246B8">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5.2.2  按开标记录表规定的内容进行唱标。</w:t>
      </w:r>
    </w:p>
    <w:p w14:paraId="49BC4B97">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5.2.3  投标人代表、招标人代表、监标人、记录人等有关人员在开标记录上签字确认；若有关人员不签字的，不影响开标程序。</w:t>
      </w:r>
    </w:p>
    <w:p w14:paraId="145ACBD5">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5.2.4  开标结束。</w:t>
      </w:r>
    </w:p>
    <w:p w14:paraId="27BD2147">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9433F79">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5.2.6  开标时，两个（含两个）以上的投标人加密打包投标文件电脑机器特征码一致的，不参与下一程序，并由评标委员会否决其投标。</w:t>
      </w:r>
    </w:p>
    <w:p w14:paraId="6445D39B">
      <w:pPr>
        <w:pStyle w:val="55"/>
        <w:rPr>
          <w:color w:val="auto"/>
          <w:highlight w:val="none"/>
        </w:rPr>
      </w:pPr>
    </w:p>
    <w:p w14:paraId="4F328BF3">
      <w:pPr>
        <w:rPr>
          <w:rFonts w:ascii="Times New Roman" w:hAnsi="Times New Roman" w:eastAsia="Times New Roman"/>
          <w:color w:val="auto"/>
          <w:spacing w:val="5"/>
          <w:sz w:val="27"/>
          <w:szCs w:val="27"/>
          <w:highlight w:val="none"/>
        </w:rPr>
      </w:pPr>
      <w:bookmarkStart w:id="242" w:name="_Toc1095"/>
      <w:bookmarkStart w:id="243" w:name="_Toc6534"/>
      <w:bookmarkStart w:id="244" w:name="_Toc8139"/>
      <w:bookmarkStart w:id="245" w:name="_Toc24106"/>
      <w:bookmarkStart w:id="246" w:name="_Toc21783"/>
      <w:r>
        <w:rPr>
          <w:rFonts w:ascii="Times New Roman" w:hAnsi="Times New Roman" w:eastAsia="Times New Roman"/>
          <w:color w:val="auto"/>
          <w:spacing w:val="5"/>
          <w:sz w:val="27"/>
          <w:szCs w:val="27"/>
          <w:highlight w:val="none"/>
        </w:rPr>
        <w:t xml:space="preserve">5.3  </w:t>
      </w:r>
      <w:r>
        <w:rPr>
          <w:rFonts w:ascii="黑体" w:hAnsi="黑体" w:eastAsia="黑体"/>
          <w:color w:val="auto"/>
          <w:spacing w:val="5"/>
          <w:sz w:val="27"/>
          <w:szCs w:val="27"/>
          <w:highlight w:val="none"/>
        </w:rPr>
        <w:t>开标异议</w:t>
      </w:r>
      <w:bookmarkEnd w:id="242"/>
      <w:bookmarkEnd w:id="243"/>
      <w:bookmarkEnd w:id="244"/>
      <w:bookmarkEnd w:id="245"/>
      <w:bookmarkEnd w:id="246"/>
    </w:p>
    <w:p w14:paraId="2BE3139B">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5.3.1  参加现场开标的投标人对开标结果有异议的，应当在开标现场提出，招标人应当当场作出答复，并制作记录。</w:t>
      </w:r>
    </w:p>
    <w:p w14:paraId="3C6F533E">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3866FC10">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5.3.3  投标人未参加开标或在规定的时间内未提出异议的，视为对开标无异议。</w:t>
      </w:r>
    </w:p>
    <w:p w14:paraId="699F77D5">
      <w:pPr>
        <w:pStyle w:val="24"/>
        <w:spacing w:before="120" w:after="120"/>
        <w:outlineLvl w:val="9"/>
        <w:rPr>
          <w:rFonts w:ascii="Times New Roman" w:hAnsi="Times New Roman" w:eastAsia="Times New Roman"/>
          <w:bCs/>
          <w:color w:val="auto"/>
          <w:spacing w:val="4"/>
          <w:sz w:val="31"/>
          <w:szCs w:val="31"/>
          <w:highlight w:val="none"/>
        </w:rPr>
      </w:pPr>
      <w:bookmarkStart w:id="247" w:name="_Toc6481"/>
      <w:bookmarkStart w:id="248" w:name="_Toc10755"/>
      <w:bookmarkStart w:id="249" w:name="_Toc32638"/>
      <w:bookmarkStart w:id="250" w:name="_Toc32000"/>
      <w:bookmarkStart w:id="251" w:name="_Toc27309"/>
      <w:r>
        <w:rPr>
          <w:rFonts w:ascii="Times New Roman" w:hAnsi="Times New Roman" w:eastAsia="Times New Roman"/>
          <w:bCs/>
          <w:color w:val="auto"/>
          <w:spacing w:val="4"/>
          <w:sz w:val="31"/>
          <w:szCs w:val="31"/>
          <w:highlight w:val="none"/>
        </w:rPr>
        <w:t>6.</w:t>
      </w:r>
      <w:r>
        <w:rPr>
          <w:rFonts w:ascii="Times New Roman" w:hAnsi="Times New Roman" w:eastAsia="Times New Roman"/>
          <w:color w:val="auto"/>
          <w:spacing w:val="4"/>
          <w:sz w:val="31"/>
          <w:szCs w:val="31"/>
          <w:highlight w:val="none"/>
        </w:rPr>
        <w:t xml:space="preserve">  </w:t>
      </w:r>
      <w:r>
        <w:rPr>
          <w:rFonts w:ascii="黑体" w:hAnsi="黑体" w:eastAsia="黑体"/>
          <w:color w:val="auto"/>
          <w:spacing w:val="4"/>
          <w:sz w:val="31"/>
          <w:szCs w:val="31"/>
          <w:highlight w:val="none"/>
        </w:rPr>
        <w:t>评</w:t>
      </w:r>
      <w:r>
        <w:rPr>
          <w:rFonts w:ascii="黑体" w:hAnsi="黑体" w:eastAsia="黑体"/>
          <w:color w:val="auto"/>
          <w:spacing w:val="3"/>
          <w:sz w:val="31"/>
          <w:szCs w:val="31"/>
          <w:highlight w:val="none"/>
        </w:rPr>
        <w:t>标</w:t>
      </w:r>
      <w:bookmarkEnd w:id="247"/>
      <w:bookmarkEnd w:id="248"/>
      <w:bookmarkEnd w:id="249"/>
      <w:bookmarkEnd w:id="250"/>
      <w:bookmarkEnd w:id="251"/>
    </w:p>
    <w:p w14:paraId="3BA6FB5C">
      <w:pPr>
        <w:rPr>
          <w:rFonts w:ascii="Times New Roman" w:hAnsi="Times New Roman" w:eastAsia="Times New Roman"/>
          <w:color w:val="auto"/>
          <w:spacing w:val="10"/>
          <w:sz w:val="27"/>
          <w:szCs w:val="27"/>
          <w:highlight w:val="none"/>
        </w:rPr>
      </w:pPr>
      <w:bookmarkStart w:id="252" w:name="_Toc25470"/>
      <w:bookmarkStart w:id="253" w:name="_Toc17470"/>
      <w:bookmarkStart w:id="254" w:name="_Toc1336"/>
      <w:bookmarkStart w:id="255" w:name="_Toc14687"/>
      <w:bookmarkStart w:id="256" w:name="_Toc4252"/>
      <w:r>
        <w:rPr>
          <w:rFonts w:ascii="Times New Roman" w:hAnsi="Times New Roman" w:eastAsia="Times New Roman"/>
          <w:color w:val="auto"/>
          <w:spacing w:val="10"/>
          <w:sz w:val="27"/>
          <w:szCs w:val="27"/>
          <w:highlight w:val="none"/>
        </w:rPr>
        <w:t>6</w:t>
      </w:r>
      <w:r>
        <w:rPr>
          <w:rFonts w:ascii="Times New Roman" w:hAnsi="Times New Roman" w:eastAsia="Times New Roman"/>
          <w:color w:val="auto"/>
          <w:spacing w:val="5"/>
          <w:sz w:val="27"/>
          <w:szCs w:val="27"/>
          <w:highlight w:val="none"/>
        </w:rPr>
        <w:t xml:space="preserve">.1  </w:t>
      </w:r>
      <w:r>
        <w:rPr>
          <w:rFonts w:ascii="黑体" w:hAnsi="黑体" w:eastAsia="黑体"/>
          <w:color w:val="auto"/>
          <w:spacing w:val="5"/>
          <w:sz w:val="27"/>
          <w:szCs w:val="27"/>
          <w:highlight w:val="none"/>
        </w:rPr>
        <w:t>评标委员会</w:t>
      </w:r>
      <w:bookmarkEnd w:id="252"/>
      <w:bookmarkEnd w:id="253"/>
      <w:bookmarkEnd w:id="254"/>
      <w:bookmarkEnd w:id="255"/>
      <w:bookmarkEnd w:id="256"/>
    </w:p>
    <w:p w14:paraId="372E8510">
      <w:pPr>
        <w:spacing w:line="315" w:lineRule="auto"/>
        <w:rPr>
          <w:color w:val="auto"/>
          <w:highlight w:val="none"/>
        </w:rPr>
      </w:pPr>
    </w:p>
    <w:p w14:paraId="0F94E934">
      <w:pPr>
        <w:spacing w:before="69" w:line="352" w:lineRule="auto"/>
        <w:ind w:right="56" w:firstLine="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6.1.1  </w:t>
      </w:r>
      <w:r>
        <w:rPr>
          <w:rFonts w:hint="eastAsia" w:ascii="宋体" w:hAnsi="宋体" w:eastAsia="宋体"/>
          <w:color w:val="auto"/>
          <w:highlight w:val="none"/>
        </w:rPr>
        <w:t>评标由招标人依法组建的评标委员会负责。评标委员会由有关技术、经济等方面的专家和招标人代表组成，专家从</w:t>
      </w:r>
      <w:r>
        <w:rPr>
          <w:rFonts w:hint="eastAsia" w:ascii="宋体" w:hAnsi="宋体" w:eastAsia="宋体"/>
          <w:color w:val="auto"/>
          <w:highlight w:val="none"/>
          <w:u w:val="single"/>
        </w:rPr>
        <w:t>广东省综合评标评审专家库</w:t>
      </w:r>
      <w:r>
        <w:rPr>
          <w:rFonts w:hint="eastAsia" w:ascii="宋体" w:hAnsi="宋体" w:eastAsia="宋体"/>
          <w:color w:val="auto"/>
          <w:highlight w:val="none"/>
        </w:rPr>
        <w:t>中抽取。评标委员会成员人数以及技术、经济等方面专家的确定方式见投标人须知前附表。</w:t>
      </w:r>
    </w:p>
    <w:p w14:paraId="53B300C4">
      <w:pPr>
        <w:spacing w:line="216" w:lineRule="auto"/>
        <w:ind w:left="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6.1.2  </w:t>
      </w:r>
      <w:r>
        <w:rPr>
          <w:rFonts w:ascii="宋体" w:hAnsi="宋体" w:eastAsia="宋体"/>
          <w:color w:val="auto"/>
          <w:spacing w:val="-2"/>
          <w:highlight w:val="none"/>
        </w:rPr>
        <w:t>评标委员会成员有下列情形之一的，应当回避：</w:t>
      </w:r>
    </w:p>
    <w:p w14:paraId="0993F200">
      <w:pPr>
        <w:spacing w:before="154" w:line="217" w:lineRule="auto"/>
        <w:ind w:left="724"/>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8"/>
          <w:highlight w:val="none"/>
        </w:rPr>
        <w:t>1</w:t>
      </w:r>
      <w:r>
        <w:rPr>
          <w:rFonts w:ascii="宋体" w:hAnsi="宋体" w:eastAsia="宋体"/>
          <w:color w:val="auto"/>
          <w:spacing w:val="7"/>
          <w:highlight w:val="none"/>
        </w:rPr>
        <w:t>)投标人或投标人主要负责人的近亲属；</w:t>
      </w:r>
    </w:p>
    <w:p w14:paraId="10663E6B">
      <w:pPr>
        <w:spacing w:before="154" w:line="220" w:lineRule="auto"/>
        <w:ind w:left="724"/>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7"/>
          <w:highlight w:val="none"/>
        </w:rPr>
        <w:t>2</w:t>
      </w:r>
      <w:r>
        <w:rPr>
          <w:rFonts w:ascii="宋体" w:hAnsi="宋体" w:eastAsia="宋体"/>
          <w:color w:val="auto"/>
          <w:spacing w:val="7"/>
          <w:highlight w:val="none"/>
        </w:rPr>
        <w:t>)项目主管部门或者行政监督部门的人员；</w:t>
      </w:r>
    </w:p>
    <w:p w14:paraId="0A600289">
      <w:pPr>
        <w:spacing w:before="149" w:line="220" w:lineRule="auto"/>
        <w:ind w:left="724"/>
        <w:rPr>
          <w:rFonts w:ascii="宋体" w:hAnsi="宋体" w:eastAsia="宋体"/>
          <w:color w:val="auto"/>
          <w:spacing w:val="10"/>
          <w:highlight w:val="none"/>
        </w:rPr>
      </w:pPr>
      <w:r>
        <w:rPr>
          <w:rFonts w:ascii="宋体" w:hAnsi="宋体" w:eastAsia="宋体"/>
          <w:color w:val="auto"/>
          <w:spacing w:val="10"/>
          <w:highlight w:val="none"/>
        </w:rPr>
        <w:t>(</w:t>
      </w:r>
      <w:r>
        <w:rPr>
          <w:rFonts w:ascii="Times New Roman" w:hAnsi="Times New Roman" w:eastAsia="Times New Roman"/>
          <w:color w:val="auto"/>
          <w:spacing w:val="8"/>
          <w:highlight w:val="none"/>
        </w:rPr>
        <w:t>3</w:t>
      </w:r>
      <w:r>
        <w:rPr>
          <w:rFonts w:ascii="宋体" w:hAnsi="宋体" w:eastAsia="宋体"/>
          <w:color w:val="auto"/>
          <w:spacing w:val="5"/>
          <w:highlight w:val="none"/>
        </w:rPr>
        <w:t>)</w:t>
      </w:r>
      <w:r>
        <w:rPr>
          <w:rFonts w:hint="eastAsia" w:ascii="宋体" w:hAnsi="宋体" w:eastAsia="宋体"/>
          <w:color w:val="auto"/>
          <w:spacing w:val="10"/>
          <w:highlight w:val="none"/>
        </w:rPr>
        <w:t>招标人或投标人的工作人员、退休或离职未满3年的人员；</w:t>
      </w:r>
    </w:p>
    <w:p w14:paraId="58A01940">
      <w:pPr>
        <w:spacing w:before="149" w:line="220" w:lineRule="auto"/>
        <w:ind w:left="724"/>
        <w:rPr>
          <w:rFonts w:ascii="宋体" w:hAnsi="宋体" w:eastAsia="宋体"/>
          <w:color w:val="auto"/>
          <w:spacing w:val="10"/>
          <w:highlight w:val="none"/>
        </w:rPr>
      </w:pPr>
      <w:r>
        <w:rPr>
          <w:rFonts w:ascii="宋体" w:hAnsi="宋体" w:eastAsia="宋体"/>
          <w:color w:val="auto"/>
          <w:spacing w:val="10"/>
          <w:highlight w:val="none"/>
        </w:rPr>
        <w:t>(</w:t>
      </w:r>
      <w:r>
        <w:rPr>
          <w:rFonts w:hint="eastAsia" w:ascii="Times New Roman" w:hAnsi="Times New Roman" w:eastAsia="宋体"/>
          <w:color w:val="auto"/>
          <w:spacing w:val="8"/>
          <w:highlight w:val="none"/>
        </w:rPr>
        <w:t>4</w:t>
      </w:r>
      <w:r>
        <w:rPr>
          <w:rFonts w:ascii="宋体" w:hAnsi="宋体" w:eastAsia="宋体"/>
          <w:color w:val="auto"/>
          <w:spacing w:val="5"/>
          <w:highlight w:val="none"/>
        </w:rPr>
        <w:t>)与投标人有经济利益关系，可能影响对投标公正评审的；</w:t>
      </w:r>
    </w:p>
    <w:p w14:paraId="0196982F">
      <w:pPr>
        <w:spacing w:before="149" w:line="352" w:lineRule="auto"/>
        <w:ind w:left="3" w:right="64" w:firstLine="720"/>
        <w:rPr>
          <w:rFonts w:ascii="宋体" w:hAnsi="宋体" w:eastAsia="宋体"/>
          <w:color w:val="auto"/>
          <w:spacing w:val="12"/>
          <w:highlight w:val="none"/>
        </w:rPr>
      </w:pPr>
      <w:r>
        <w:rPr>
          <w:rFonts w:ascii="宋体" w:hAnsi="宋体" w:eastAsia="宋体"/>
          <w:color w:val="auto"/>
          <w:spacing w:val="12"/>
          <w:highlight w:val="none"/>
        </w:rPr>
        <w:t>(</w:t>
      </w:r>
      <w:r>
        <w:rPr>
          <w:rFonts w:hint="eastAsia" w:ascii="Times New Roman" w:hAnsi="Times New Roman" w:eastAsia="宋体"/>
          <w:color w:val="auto"/>
          <w:spacing w:val="7"/>
          <w:highlight w:val="none"/>
        </w:rPr>
        <w:t>5</w:t>
      </w:r>
      <w:r>
        <w:rPr>
          <w:rFonts w:ascii="宋体" w:hAnsi="宋体" w:eastAsia="宋体"/>
          <w:color w:val="auto"/>
          <w:spacing w:val="6"/>
          <w:highlight w:val="none"/>
        </w:rPr>
        <w:t>)曾因在招标、评标以及其他与招标投标有关活动中从事违法行为而受过行政处罚</w:t>
      </w:r>
      <w:r>
        <w:rPr>
          <w:rFonts w:ascii="宋体" w:hAnsi="宋体" w:eastAsia="宋体"/>
          <w:color w:val="auto"/>
          <w:spacing w:val="-9"/>
          <w:highlight w:val="none"/>
        </w:rPr>
        <w:t>或</w:t>
      </w:r>
      <w:r>
        <w:rPr>
          <w:rFonts w:ascii="宋体" w:hAnsi="宋体" w:eastAsia="宋体"/>
          <w:color w:val="auto"/>
          <w:spacing w:val="-7"/>
          <w:highlight w:val="none"/>
        </w:rPr>
        <w:t>刑事处罚的；</w:t>
      </w:r>
    </w:p>
    <w:p w14:paraId="22B50D28">
      <w:pPr>
        <w:spacing w:line="218" w:lineRule="auto"/>
        <w:ind w:left="724"/>
        <w:rPr>
          <w:rFonts w:ascii="宋体" w:hAnsi="宋体" w:eastAsia="宋体"/>
          <w:color w:val="auto"/>
          <w:spacing w:val="13"/>
          <w:highlight w:val="none"/>
        </w:rPr>
      </w:pPr>
      <w:r>
        <w:rPr>
          <w:rFonts w:ascii="宋体" w:hAnsi="宋体" w:eastAsia="宋体"/>
          <w:color w:val="auto"/>
          <w:spacing w:val="13"/>
          <w:highlight w:val="none"/>
        </w:rPr>
        <w:t>(</w:t>
      </w:r>
      <w:r>
        <w:rPr>
          <w:rFonts w:hint="eastAsia" w:ascii="Times New Roman" w:hAnsi="Times New Roman" w:eastAsia="宋体"/>
          <w:color w:val="auto"/>
          <w:spacing w:val="11"/>
          <w:highlight w:val="none"/>
        </w:rPr>
        <w:t>6</w:t>
      </w:r>
      <w:r>
        <w:rPr>
          <w:rFonts w:ascii="宋体" w:hAnsi="宋体" w:eastAsia="宋体"/>
          <w:color w:val="auto"/>
          <w:spacing w:val="11"/>
          <w:highlight w:val="none"/>
        </w:rPr>
        <w:t>)与投标人有其他利害关系。</w:t>
      </w:r>
    </w:p>
    <w:p w14:paraId="5B3E4C03">
      <w:pPr>
        <w:spacing w:before="152" w:line="358" w:lineRule="auto"/>
        <w:ind w:left="2" w:right="53" w:firstLine="419"/>
        <w:rPr>
          <w:rFonts w:ascii="宋体" w:hAnsi="宋体" w:eastAsia="宋体"/>
          <w:color w:val="auto"/>
          <w:spacing w:val="-4"/>
          <w:highlight w:val="none"/>
        </w:rPr>
      </w:pPr>
      <w:r>
        <w:rPr>
          <w:rFonts w:ascii="Times New Roman" w:hAnsi="Times New Roman" w:eastAsia="Times New Roman"/>
          <w:color w:val="auto"/>
          <w:spacing w:val="-8"/>
          <w:highlight w:val="none"/>
        </w:rPr>
        <w:t>6</w:t>
      </w:r>
      <w:r>
        <w:rPr>
          <w:rFonts w:ascii="Times New Roman" w:hAnsi="Times New Roman" w:eastAsia="Times New Roman"/>
          <w:color w:val="auto"/>
          <w:spacing w:val="-7"/>
          <w:highlight w:val="none"/>
        </w:rPr>
        <w:t>.</w:t>
      </w:r>
      <w:r>
        <w:rPr>
          <w:rFonts w:ascii="Times New Roman" w:hAnsi="Times New Roman" w:eastAsia="Times New Roman"/>
          <w:color w:val="auto"/>
          <w:spacing w:val="-4"/>
          <w:highlight w:val="none"/>
        </w:rPr>
        <w:t xml:space="preserve">1.3  </w:t>
      </w:r>
      <w:r>
        <w:rPr>
          <w:rFonts w:ascii="宋体" w:hAnsi="宋体" w:eastAsia="宋体"/>
          <w:color w:val="auto"/>
          <w:spacing w:val="-4"/>
          <w:highlight w:val="none"/>
        </w:rPr>
        <w:t>评标过程中，评标委员会成员有回避事由、擅离职守或者因健康等原因不能继续评标</w:t>
      </w:r>
      <w:r>
        <w:rPr>
          <w:rFonts w:ascii="宋体" w:hAnsi="宋体" w:eastAsia="宋体"/>
          <w:color w:val="auto"/>
          <w:spacing w:val="1"/>
          <w:highlight w:val="none"/>
        </w:rPr>
        <w:t>的，招标人有权更换。被更换的</w:t>
      </w:r>
      <w:r>
        <w:rPr>
          <w:rFonts w:ascii="宋体" w:hAnsi="宋体" w:eastAsia="宋体"/>
          <w:color w:val="auto"/>
          <w:highlight w:val="none"/>
        </w:rPr>
        <w:t>评标委员会成员作出的评审结论无效，由更换后的评标委员会</w:t>
      </w:r>
      <w:r>
        <w:rPr>
          <w:rFonts w:ascii="宋体" w:hAnsi="宋体" w:eastAsia="宋体"/>
          <w:color w:val="auto"/>
          <w:spacing w:val="-4"/>
          <w:highlight w:val="none"/>
        </w:rPr>
        <w:t>成员重新进行评审。</w:t>
      </w:r>
    </w:p>
    <w:p w14:paraId="0F961130">
      <w:pPr>
        <w:pStyle w:val="2"/>
        <w:rPr>
          <w:rFonts w:eastAsiaTheme="minorEastAsia"/>
          <w:color w:val="auto"/>
          <w:highlight w:val="none"/>
        </w:rPr>
      </w:pPr>
    </w:p>
    <w:p w14:paraId="22F45FA0">
      <w:pPr>
        <w:rPr>
          <w:rFonts w:ascii="Times New Roman" w:hAnsi="Times New Roman" w:eastAsia="Times New Roman"/>
          <w:color w:val="auto"/>
          <w:spacing w:val="6"/>
          <w:sz w:val="27"/>
          <w:szCs w:val="27"/>
          <w:highlight w:val="none"/>
        </w:rPr>
      </w:pPr>
      <w:bookmarkStart w:id="257" w:name="_Toc17421"/>
      <w:bookmarkStart w:id="258" w:name="_Toc8881"/>
      <w:bookmarkStart w:id="259" w:name="_Toc17027"/>
      <w:bookmarkStart w:id="260" w:name="_Toc22628"/>
      <w:bookmarkStart w:id="261" w:name="_Toc27967"/>
      <w:r>
        <w:rPr>
          <w:rFonts w:ascii="Times New Roman" w:hAnsi="Times New Roman" w:eastAsia="Times New Roman"/>
          <w:color w:val="auto"/>
          <w:spacing w:val="6"/>
          <w:sz w:val="27"/>
          <w:szCs w:val="27"/>
          <w:highlight w:val="none"/>
        </w:rPr>
        <w:t>6</w:t>
      </w:r>
      <w:r>
        <w:rPr>
          <w:rFonts w:ascii="Times New Roman" w:hAnsi="Times New Roman" w:eastAsia="Times New Roman"/>
          <w:color w:val="auto"/>
          <w:spacing w:val="5"/>
          <w:sz w:val="27"/>
          <w:szCs w:val="27"/>
          <w:highlight w:val="none"/>
        </w:rPr>
        <w:t xml:space="preserve">.2  </w:t>
      </w:r>
      <w:r>
        <w:rPr>
          <w:rFonts w:ascii="黑体" w:hAnsi="黑体" w:eastAsia="黑体"/>
          <w:color w:val="auto"/>
          <w:spacing w:val="5"/>
          <w:sz w:val="27"/>
          <w:szCs w:val="27"/>
          <w:highlight w:val="none"/>
        </w:rPr>
        <w:t>评标原则</w:t>
      </w:r>
      <w:bookmarkEnd w:id="257"/>
      <w:bookmarkEnd w:id="258"/>
      <w:bookmarkEnd w:id="259"/>
      <w:bookmarkEnd w:id="260"/>
      <w:bookmarkEnd w:id="261"/>
    </w:p>
    <w:p w14:paraId="30A6A6B3">
      <w:pPr>
        <w:spacing w:before="69" w:line="220" w:lineRule="auto"/>
        <w:ind w:left="420"/>
        <w:rPr>
          <w:rFonts w:ascii="宋体" w:hAnsi="宋体" w:eastAsia="宋体"/>
          <w:color w:val="auto"/>
          <w:spacing w:val="-1"/>
          <w:highlight w:val="none"/>
        </w:rPr>
      </w:pPr>
      <w:r>
        <w:rPr>
          <w:rFonts w:ascii="宋体" w:hAnsi="宋体" w:eastAsia="宋体"/>
          <w:color w:val="auto"/>
          <w:spacing w:val="-2"/>
          <w:highlight w:val="none"/>
        </w:rPr>
        <w:t>评标活动遵循公平、公正、科学和</w:t>
      </w:r>
      <w:r>
        <w:rPr>
          <w:rFonts w:ascii="宋体" w:hAnsi="宋体" w:eastAsia="宋体"/>
          <w:color w:val="auto"/>
          <w:spacing w:val="-1"/>
          <w:highlight w:val="none"/>
        </w:rPr>
        <w:t>择优的原则。</w:t>
      </w:r>
    </w:p>
    <w:p w14:paraId="10B0EA86">
      <w:pPr>
        <w:pStyle w:val="2"/>
        <w:rPr>
          <w:rFonts w:eastAsiaTheme="minorEastAsia"/>
          <w:color w:val="auto"/>
          <w:highlight w:val="none"/>
        </w:rPr>
      </w:pPr>
    </w:p>
    <w:p w14:paraId="7F740337">
      <w:pPr>
        <w:pStyle w:val="55"/>
        <w:rPr>
          <w:color w:val="auto"/>
          <w:highlight w:val="none"/>
        </w:rPr>
      </w:pPr>
    </w:p>
    <w:p w14:paraId="634B7914">
      <w:pPr>
        <w:rPr>
          <w:rFonts w:ascii="Times New Roman" w:hAnsi="Times New Roman" w:eastAsia="Times New Roman"/>
          <w:color w:val="auto"/>
          <w:spacing w:val="6"/>
          <w:sz w:val="27"/>
          <w:szCs w:val="27"/>
          <w:highlight w:val="none"/>
        </w:rPr>
      </w:pPr>
      <w:bookmarkStart w:id="262" w:name="_Toc19586"/>
      <w:bookmarkStart w:id="263" w:name="_Toc21600"/>
      <w:bookmarkStart w:id="264" w:name="_Toc20235"/>
      <w:bookmarkStart w:id="265" w:name="_Toc20620"/>
      <w:bookmarkStart w:id="266" w:name="_Toc4719"/>
      <w:r>
        <w:rPr>
          <w:rFonts w:ascii="Times New Roman" w:hAnsi="Times New Roman" w:eastAsia="Times New Roman"/>
          <w:color w:val="auto"/>
          <w:spacing w:val="6"/>
          <w:sz w:val="27"/>
          <w:szCs w:val="27"/>
          <w:highlight w:val="none"/>
        </w:rPr>
        <w:t>6</w:t>
      </w:r>
      <w:r>
        <w:rPr>
          <w:rFonts w:ascii="Times New Roman" w:hAnsi="Times New Roman" w:eastAsia="Times New Roman"/>
          <w:color w:val="auto"/>
          <w:spacing w:val="3"/>
          <w:sz w:val="27"/>
          <w:szCs w:val="27"/>
          <w:highlight w:val="none"/>
        </w:rPr>
        <w:t xml:space="preserve">.3  </w:t>
      </w:r>
      <w:r>
        <w:rPr>
          <w:rFonts w:ascii="黑体" w:hAnsi="黑体" w:eastAsia="黑体"/>
          <w:color w:val="auto"/>
          <w:spacing w:val="3"/>
          <w:sz w:val="27"/>
          <w:szCs w:val="27"/>
          <w:highlight w:val="none"/>
        </w:rPr>
        <w:t>评标</w:t>
      </w:r>
      <w:bookmarkEnd w:id="262"/>
      <w:bookmarkEnd w:id="263"/>
      <w:bookmarkEnd w:id="264"/>
      <w:bookmarkEnd w:id="265"/>
      <w:bookmarkEnd w:id="266"/>
    </w:p>
    <w:p w14:paraId="5F2D5581">
      <w:pPr>
        <w:spacing w:before="68" w:line="352" w:lineRule="auto"/>
        <w:ind w:left="5" w:right="2" w:firstLine="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6.3.1 </w:t>
      </w:r>
      <w:r>
        <w:rPr>
          <w:rFonts w:ascii="宋体" w:hAnsi="宋体" w:eastAsia="宋体"/>
          <w:color w:val="auto"/>
          <w:spacing w:val="-1"/>
          <w:highlight w:val="none"/>
        </w:rPr>
        <w:t>评标</w:t>
      </w:r>
      <w:r>
        <w:rPr>
          <w:rFonts w:ascii="宋体" w:hAnsi="宋体" w:eastAsia="宋体"/>
          <w:color w:val="auto"/>
          <w:highlight w:val="none"/>
        </w:rPr>
        <w:t>委员会按照第三章</w:t>
      </w:r>
      <w:r>
        <w:rPr>
          <w:rFonts w:ascii="Times New Roman" w:hAnsi="Times New Roman" w:eastAsia="Times New Roman"/>
          <w:color w:val="auto"/>
          <w:highlight w:val="none"/>
        </w:rPr>
        <w:t>“</w:t>
      </w:r>
      <w:r>
        <w:rPr>
          <w:rFonts w:ascii="宋体" w:hAnsi="宋体" w:eastAsia="宋体"/>
          <w:color w:val="auto"/>
          <w:highlight w:val="none"/>
        </w:rPr>
        <w:t>评标办法</w:t>
      </w:r>
      <w:r>
        <w:rPr>
          <w:rFonts w:ascii="Times New Roman" w:hAnsi="Times New Roman" w:eastAsia="Times New Roman"/>
          <w:color w:val="auto"/>
          <w:highlight w:val="none"/>
        </w:rPr>
        <w:t>”</w:t>
      </w:r>
      <w:r>
        <w:rPr>
          <w:rFonts w:ascii="宋体" w:hAnsi="宋体" w:eastAsia="宋体"/>
          <w:color w:val="auto"/>
          <w:highlight w:val="none"/>
        </w:rPr>
        <w:t>规定的方法、评审因素、标准和程序对投标文件进</w:t>
      </w:r>
      <w:r>
        <w:rPr>
          <w:rFonts w:ascii="宋体" w:hAnsi="宋体" w:eastAsia="宋体"/>
          <w:color w:val="auto"/>
          <w:spacing w:val="-2"/>
          <w:highlight w:val="none"/>
        </w:rPr>
        <w:t>行评审。</w:t>
      </w:r>
      <w:r>
        <w:rPr>
          <w:rFonts w:ascii="宋体" w:hAnsi="宋体" w:eastAsia="宋体"/>
          <w:color w:val="auto"/>
          <w:spacing w:val="-1"/>
          <w:highlight w:val="none"/>
        </w:rPr>
        <w:t>第三章</w:t>
      </w:r>
      <w:r>
        <w:rPr>
          <w:rFonts w:ascii="Times New Roman" w:hAnsi="Times New Roman" w:eastAsia="Times New Roman"/>
          <w:color w:val="auto"/>
          <w:spacing w:val="-1"/>
          <w:highlight w:val="none"/>
        </w:rPr>
        <w:t>“</w:t>
      </w:r>
      <w:r>
        <w:rPr>
          <w:rFonts w:ascii="宋体" w:hAnsi="宋体" w:eastAsia="宋体"/>
          <w:color w:val="auto"/>
          <w:spacing w:val="-1"/>
          <w:highlight w:val="none"/>
        </w:rPr>
        <w:t>评标办法</w:t>
      </w:r>
      <w:r>
        <w:rPr>
          <w:rFonts w:ascii="Times New Roman" w:hAnsi="Times New Roman" w:eastAsia="Times New Roman"/>
          <w:color w:val="auto"/>
          <w:spacing w:val="-1"/>
          <w:highlight w:val="none"/>
        </w:rPr>
        <w:t>”</w:t>
      </w:r>
      <w:r>
        <w:rPr>
          <w:rFonts w:ascii="宋体" w:hAnsi="宋体" w:eastAsia="宋体"/>
          <w:color w:val="auto"/>
          <w:spacing w:val="-1"/>
          <w:highlight w:val="none"/>
        </w:rPr>
        <w:t>没有规定的方法、评审因素和标准，不作为评标依据。</w:t>
      </w:r>
    </w:p>
    <w:p w14:paraId="0FBE0DA0">
      <w:pPr>
        <w:spacing w:before="1" w:line="358" w:lineRule="auto"/>
        <w:ind w:left="9" w:firstLine="412"/>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6</w:t>
      </w:r>
      <w:r>
        <w:rPr>
          <w:rFonts w:ascii="Times New Roman" w:hAnsi="Times New Roman" w:eastAsia="Times New Roman"/>
          <w:color w:val="auto"/>
          <w:spacing w:val="-3"/>
          <w:highlight w:val="none"/>
        </w:rPr>
        <w:t xml:space="preserve">.3.2 </w:t>
      </w:r>
      <w:r>
        <w:rPr>
          <w:rFonts w:ascii="宋体" w:hAnsi="宋体" w:eastAsia="宋体"/>
          <w:color w:val="auto"/>
          <w:spacing w:val="-3"/>
          <w:highlight w:val="none"/>
        </w:rPr>
        <w:t>评标完成后，评标委员会应当向招标人提交书面评标报告和中标候选人名单。评标委</w:t>
      </w:r>
      <w:r>
        <w:rPr>
          <w:rFonts w:ascii="宋体" w:hAnsi="宋体" w:eastAsia="宋体"/>
          <w:color w:val="auto"/>
          <w:spacing w:val="-2"/>
          <w:highlight w:val="none"/>
        </w:rPr>
        <w:t>员会推荐中标候选人的人数见投标人须知前附表。</w:t>
      </w:r>
    </w:p>
    <w:p w14:paraId="6D63F0E6">
      <w:pPr>
        <w:pStyle w:val="24"/>
        <w:spacing w:before="120" w:after="120"/>
        <w:outlineLvl w:val="9"/>
        <w:rPr>
          <w:rFonts w:ascii="Times New Roman" w:hAnsi="Times New Roman" w:eastAsia="Times New Roman"/>
          <w:bCs/>
          <w:color w:val="auto"/>
          <w:spacing w:val="10"/>
          <w:sz w:val="31"/>
          <w:szCs w:val="31"/>
          <w:highlight w:val="none"/>
        </w:rPr>
      </w:pPr>
      <w:bookmarkStart w:id="267" w:name="_Toc8464"/>
      <w:bookmarkStart w:id="268" w:name="_Toc19815"/>
      <w:bookmarkStart w:id="269" w:name="_Toc28945"/>
      <w:bookmarkStart w:id="270" w:name="_Toc24097"/>
      <w:bookmarkStart w:id="271" w:name="_Toc6785"/>
      <w:r>
        <w:rPr>
          <w:rFonts w:ascii="Times New Roman" w:hAnsi="Times New Roman" w:eastAsia="Times New Roman"/>
          <w:bCs/>
          <w:color w:val="auto"/>
          <w:spacing w:val="10"/>
          <w:sz w:val="31"/>
          <w:szCs w:val="31"/>
          <w:highlight w:val="none"/>
        </w:rPr>
        <w:t>7</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5"/>
          <w:sz w:val="31"/>
          <w:szCs w:val="31"/>
          <w:highlight w:val="none"/>
        </w:rPr>
        <w:t xml:space="preserve">  </w:t>
      </w:r>
      <w:r>
        <w:rPr>
          <w:rFonts w:ascii="黑体" w:hAnsi="黑体" w:eastAsia="黑体"/>
          <w:color w:val="auto"/>
          <w:spacing w:val="5"/>
          <w:sz w:val="31"/>
          <w:szCs w:val="31"/>
          <w:highlight w:val="none"/>
        </w:rPr>
        <w:t>合同授予</w:t>
      </w:r>
      <w:bookmarkEnd w:id="267"/>
      <w:bookmarkEnd w:id="268"/>
      <w:bookmarkEnd w:id="269"/>
      <w:bookmarkEnd w:id="270"/>
      <w:bookmarkEnd w:id="271"/>
    </w:p>
    <w:p w14:paraId="78222F17">
      <w:pPr>
        <w:rPr>
          <w:rFonts w:ascii="Times New Roman" w:hAnsi="Times New Roman" w:eastAsia="Times New Roman"/>
          <w:color w:val="auto"/>
          <w:spacing w:val="12"/>
          <w:sz w:val="27"/>
          <w:szCs w:val="27"/>
          <w:highlight w:val="none"/>
        </w:rPr>
      </w:pPr>
      <w:bookmarkStart w:id="272" w:name="_Toc27973"/>
      <w:bookmarkStart w:id="273" w:name="_Toc15711"/>
      <w:bookmarkStart w:id="274" w:name="_Toc30868"/>
      <w:bookmarkStart w:id="275" w:name="_Toc26925"/>
      <w:bookmarkStart w:id="276" w:name="_Toc10561"/>
      <w:r>
        <w:rPr>
          <w:rFonts w:ascii="Times New Roman" w:hAnsi="Times New Roman" w:eastAsia="Times New Roman"/>
          <w:color w:val="auto"/>
          <w:spacing w:val="12"/>
          <w:sz w:val="27"/>
          <w:szCs w:val="27"/>
          <w:highlight w:val="none"/>
        </w:rPr>
        <w:t>7</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中标候选人公示</w:t>
      </w:r>
      <w:bookmarkEnd w:id="272"/>
      <w:bookmarkEnd w:id="273"/>
      <w:bookmarkEnd w:id="274"/>
      <w:bookmarkEnd w:id="275"/>
      <w:bookmarkEnd w:id="276"/>
    </w:p>
    <w:p w14:paraId="57F5E864">
      <w:pPr>
        <w:spacing w:before="69" w:line="360" w:lineRule="auto"/>
        <w:ind w:left="21" w:right="4" w:firstLine="401"/>
        <w:rPr>
          <w:rFonts w:ascii="Times New Roman" w:hAnsi="Times New Roman" w:eastAsia="宋体"/>
          <w:color w:val="auto"/>
          <w:spacing w:val="-1"/>
          <w:highlight w:val="none"/>
        </w:rPr>
      </w:pPr>
      <w:r>
        <w:rPr>
          <w:rFonts w:hint="eastAsia" w:ascii="Times New Roman" w:hAnsi="Times New Roman" w:eastAsia="宋体"/>
          <w:color w:val="auto"/>
          <w:spacing w:val="-1"/>
          <w:highlight w:val="none"/>
        </w:rPr>
        <w:t>7.1</w:t>
      </w:r>
      <w:r>
        <w:rPr>
          <w:rFonts w:ascii="Times New Roman" w:hAnsi="Times New Roman" w:eastAsia="Times New Roman"/>
          <w:color w:val="auto"/>
          <w:spacing w:val="-1"/>
          <w:highlight w:val="none"/>
        </w:rPr>
        <w:t>.1</w:t>
      </w:r>
      <w:r>
        <w:rPr>
          <w:rFonts w:hint="eastAsia" w:ascii="Times New Roman" w:hAnsi="Times New Roman" w:eastAsia="宋体"/>
          <w:color w:val="auto"/>
          <w:spacing w:val="-1"/>
          <w:highlight w:val="none"/>
        </w:rPr>
        <w:t xml:space="preserve">  </w:t>
      </w:r>
      <w:r>
        <w:rPr>
          <w:rFonts w:ascii="宋体" w:hAnsi="宋体" w:eastAsia="宋体"/>
          <w:color w:val="auto"/>
          <w:spacing w:val="-1"/>
          <w:highlight w:val="none"/>
        </w:rPr>
        <w:t xml:space="preserve">招标人在收到评标报告之日起 </w:t>
      </w:r>
      <w:r>
        <w:rPr>
          <w:rFonts w:ascii="Times New Roman" w:hAnsi="Times New Roman" w:eastAsia="Times New Roman"/>
          <w:color w:val="auto"/>
          <w:spacing w:val="-1"/>
          <w:highlight w:val="none"/>
        </w:rPr>
        <w:t xml:space="preserve">3 </w:t>
      </w:r>
      <w:r>
        <w:rPr>
          <w:rFonts w:ascii="宋体" w:hAnsi="宋体" w:eastAsia="宋体"/>
          <w:color w:val="auto"/>
          <w:spacing w:val="-1"/>
          <w:highlight w:val="none"/>
        </w:rPr>
        <w:t>日内，按照投标人须知前附表规定的公示</w:t>
      </w:r>
      <w:r>
        <w:rPr>
          <w:rFonts w:ascii="宋体" w:hAnsi="宋体" w:eastAsia="宋体"/>
          <w:color w:val="auto"/>
          <w:highlight w:val="none"/>
        </w:rPr>
        <w:t>媒介和期限公示</w:t>
      </w:r>
      <w:r>
        <w:rPr>
          <w:rFonts w:ascii="宋体" w:hAnsi="宋体" w:eastAsia="宋体"/>
          <w:color w:val="auto"/>
          <w:spacing w:val="-5"/>
          <w:highlight w:val="none"/>
        </w:rPr>
        <w:t>中标候选人，公示期不得少于 3 天</w:t>
      </w:r>
      <w:r>
        <w:rPr>
          <w:rFonts w:hint="eastAsia" w:ascii="宋体" w:hAnsi="宋体" w:eastAsia="宋体"/>
          <w:color w:val="auto"/>
          <w:spacing w:val="-5"/>
          <w:highlight w:val="none"/>
        </w:rPr>
        <w:t>，最后一天应为工作日</w:t>
      </w:r>
      <w:r>
        <w:rPr>
          <w:rFonts w:ascii="宋体" w:hAnsi="宋体" w:eastAsia="宋体"/>
          <w:color w:val="auto"/>
          <w:spacing w:val="-5"/>
          <w:highlight w:val="none"/>
        </w:rPr>
        <w:t>。</w:t>
      </w:r>
    </w:p>
    <w:p w14:paraId="1B660014">
      <w:pPr>
        <w:spacing w:before="69" w:line="360" w:lineRule="auto"/>
        <w:ind w:left="21" w:right="4" w:firstLine="401"/>
        <w:rPr>
          <w:rFonts w:ascii="宋体" w:hAnsi="宋体" w:eastAsia="宋体"/>
          <w:color w:val="auto"/>
          <w:spacing w:val="-1"/>
          <w:highlight w:val="none"/>
        </w:rPr>
      </w:pPr>
      <w:r>
        <w:rPr>
          <w:rFonts w:hint="eastAsia" w:ascii="Times New Roman" w:hAnsi="Times New Roman" w:eastAsia="宋体"/>
          <w:color w:val="auto"/>
          <w:spacing w:val="-1"/>
          <w:highlight w:val="none"/>
        </w:rPr>
        <w:t>7.1</w:t>
      </w:r>
      <w:r>
        <w:rPr>
          <w:rFonts w:ascii="Times New Roman" w:hAnsi="Times New Roman" w:eastAsia="Times New Roman"/>
          <w:color w:val="auto"/>
          <w:spacing w:val="-1"/>
          <w:highlight w:val="none"/>
        </w:rPr>
        <w:t>.</w:t>
      </w:r>
      <w:r>
        <w:rPr>
          <w:rFonts w:hint="eastAsia" w:ascii="Times New Roman" w:hAnsi="Times New Roman" w:eastAsia="宋体"/>
          <w:color w:val="auto"/>
          <w:spacing w:val="-1"/>
          <w:highlight w:val="none"/>
        </w:rPr>
        <w:t xml:space="preserve">2  </w:t>
      </w:r>
      <w:r>
        <w:rPr>
          <w:rFonts w:hint="eastAsia" w:ascii="宋体" w:hAnsi="宋体" w:eastAsia="宋体"/>
          <w:color w:val="auto"/>
          <w:spacing w:val="-1"/>
          <w:highlight w:val="none"/>
        </w:rPr>
        <w:t>在产生中标候选人后，招标人将中标候选人的投标文件商务部分（包括报价清单、人员、业绩、奖项等资料）在广州交易集团有限公司（广州公共资源交易中心）网站和广东省招标投标监管网公开。</w:t>
      </w:r>
    </w:p>
    <w:p w14:paraId="0FBF92AC">
      <w:pPr>
        <w:pStyle w:val="2"/>
        <w:rPr>
          <w:rFonts w:eastAsiaTheme="minorEastAsia"/>
          <w:color w:val="auto"/>
          <w:highlight w:val="none"/>
        </w:rPr>
      </w:pPr>
    </w:p>
    <w:p w14:paraId="7B898114">
      <w:pPr>
        <w:rPr>
          <w:rFonts w:ascii="Times New Roman" w:hAnsi="Times New Roman" w:eastAsia="Times New Roman"/>
          <w:color w:val="auto"/>
          <w:spacing w:val="8"/>
          <w:sz w:val="27"/>
          <w:szCs w:val="27"/>
          <w:highlight w:val="none"/>
        </w:rPr>
      </w:pPr>
      <w:bookmarkStart w:id="277" w:name="_Toc8357"/>
      <w:bookmarkStart w:id="278" w:name="_Toc31424"/>
      <w:bookmarkStart w:id="279" w:name="_Toc12474"/>
      <w:bookmarkStart w:id="280" w:name="_Toc2660"/>
      <w:bookmarkStart w:id="281" w:name="_Toc15182"/>
      <w:r>
        <w:rPr>
          <w:rFonts w:ascii="Times New Roman" w:hAnsi="Times New Roman" w:eastAsia="Times New Roman"/>
          <w:color w:val="auto"/>
          <w:spacing w:val="8"/>
          <w:sz w:val="27"/>
          <w:szCs w:val="27"/>
          <w:highlight w:val="none"/>
        </w:rPr>
        <w:t>7</w:t>
      </w:r>
      <w:r>
        <w:rPr>
          <w:rFonts w:ascii="Times New Roman" w:hAnsi="Times New Roman" w:eastAsia="Times New Roman"/>
          <w:color w:val="auto"/>
          <w:spacing w:val="6"/>
          <w:sz w:val="27"/>
          <w:szCs w:val="27"/>
          <w:highlight w:val="none"/>
        </w:rPr>
        <w:t xml:space="preserve">.2  </w:t>
      </w:r>
      <w:r>
        <w:rPr>
          <w:rFonts w:ascii="黑体" w:hAnsi="黑体" w:eastAsia="黑体"/>
          <w:color w:val="auto"/>
          <w:spacing w:val="6"/>
          <w:sz w:val="27"/>
          <w:szCs w:val="27"/>
          <w:highlight w:val="none"/>
        </w:rPr>
        <w:t>评标结果异议</w:t>
      </w:r>
      <w:bookmarkEnd w:id="277"/>
      <w:bookmarkEnd w:id="278"/>
      <w:bookmarkEnd w:id="279"/>
      <w:bookmarkEnd w:id="280"/>
      <w:bookmarkEnd w:id="281"/>
    </w:p>
    <w:p w14:paraId="0E02FDA9">
      <w:pPr>
        <w:spacing w:before="69" w:line="360" w:lineRule="auto"/>
        <w:ind w:left="3" w:right="8" w:firstLine="420"/>
        <w:rPr>
          <w:rFonts w:ascii="宋体" w:hAnsi="宋体" w:eastAsia="宋体"/>
          <w:color w:val="auto"/>
          <w:spacing w:val="1"/>
          <w:highlight w:val="none"/>
        </w:rPr>
      </w:pPr>
      <w:r>
        <w:rPr>
          <w:rFonts w:ascii="宋体" w:hAnsi="宋体" w:eastAsia="宋体"/>
          <w:color w:val="auto"/>
          <w:spacing w:val="1"/>
          <w:highlight w:val="none"/>
        </w:rPr>
        <w:t>投标人或者其他利害关系人对</w:t>
      </w:r>
      <w:r>
        <w:rPr>
          <w:rFonts w:ascii="宋体" w:hAnsi="宋体" w:eastAsia="宋体"/>
          <w:color w:val="auto"/>
          <w:highlight w:val="none"/>
        </w:rPr>
        <w:t>评标结果有异议的，应当在中标候选人公示期间提出。招标</w:t>
      </w:r>
      <w:r>
        <w:rPr>
          <w:rFonts w:ascii="宋体" w:hAnsi="宋体" w:eastAsia="宋体"/>
          <w:color w:val="auto"/>
          <w:spacing w:val="-4"/>
          <w:highlight w:val="none"/>
        </w:rPr>
        <w:t>人将在收到异议之</w:t>
      </w:r>
      <w:r>
        <w:rPr>
          <w:rFonts w:ascii="宋体" w:hAnsi="宋体" w:eastAsia="宋体"/>
          <w:color w:val="auto"/>
          <w:spacing w:val="-3"/>
          <w:highlight w:val="none"/>
        </w:rPr>
        <w:t>日</w:t>
      </w:r>
      <w:r>
        <w:rPr>
          <w:rFonts w:ascii="宋体" w:hAnsi="宋体" w:eastAsia="宋体"/>
          <w:color w:val="auto"/>
          <w:spacing w:val="-2"/>
          <w:highlight w:val="none"/>
        </w:rPr>
        <w:t xml:space="preserve">起 </w:t>
      </w:r>
      <w:r>
        <w:rPr>
          <w:rFonts w:ascii="Times New Roman" w:hAnsi="Times New Roman" w:eastAsia="Times New Roman"/>
          <w:color w:val="auto"/>
          <w:spacing w:val="-2"/>
          <w:highlight w:val="none"/>
        </w:rPr>
        <w:t xml:space="preserve">3 </w:t>
      </w:r>
      <w:r>
        <w:rPr>
          <w:rFonts w:ascii="宋体" w:hAnsi="宋体" w:eastAsia="宋体"/>
          <w:color w:val="auto"/>
          <w:spacing w:val="-2"/>
          <w:highlight w:val="none"/>
        </w:rPr>
        <w:t>日内作出答复；作出答复前，将暂停招标投标活动。</w:t>
      </w:r>
    </w:p>
    <w:p w14:paraId="008546C9">
      <w:pPr>
        <w:rPr>
          <w:rFonts w:ascii="Times New Roman" w:hAnsi="Times New Roman" w:eastAsiaTheme="minorEastAsia"/>
          <w:color w:val="auto"/>
          <w:spacing w:val="14"/>
          <w:sz w:val="27"/>
          <w:szCs w:val="27"/>
          <w:highlight w:val="none"/>
        </w:rPr>
      </w:pPr>
      <w:bookmarkStart w:id="282" w:name="_Toc1302"/>
      <w:bookmarkStart w:id="283" w:name="_Toc11042"/>
      <w:bookmarkStart w:id="284" w:name="_Toc24899"/>
      <w:bookmarkStart w:id="285" w:name="_Toc31709"/>
      <w:bookmarkStart w:id="286" w:name="_Toc7359"/>
    </w:p>
    <w:p w14:paraId="037263C1">
      <w:pPr>
        <w:rPr>
          <w:rFonts w:ascii="Times New Roman" w:hAnsi="Times New Roman" w:eastAsia="Times New Roman"/>
          <w:color w:val="auto"/>
          <w:spacing w:val="14"/>
          <w:sz w:val="27"/>
          <w:szCs w:val="27"/>
          <w:highlight w:val="none"/>
        </w:rPr>
      </w:pPr>
      <w:r>
        <w:rPr>
          <w:rFonts w:ascii="Times New Roman" w:hAnsi="Times New Roman" w:eastAsia="Times New Roman"/>
          <w:color w:val="auto"/>
          <w:spacing w:val="14"/>
          <w:sz w:val="27"/>
          <w:szCs w:val="27"/>
          <w:highlight w:val="none"/>
        </w:rPr>
        <w:t>7</w:t>
      </w:r>
      <w:r>
        <w:rPr>
          <w:rFonts w:ascii="Times New Roman" w:hAnsi="Times New Roman" w:eastAsia="Times New Roman"/>
          <w:color w:val="auto"/>
          <w:spacing w:val="8"/>
          <w:sz w:val="27"/>
          <w:szCs w:val="27"/>
          <w:highlight w:val="none"/>
        </w:rPr>
        <w:t>.</w:t>
      </w:r>
      <w:r>
        <w:rPr>
          <w:rFonts w:ascii="Times New Roman" w:hAnsi="Times New Roman" w:eastAsia="Times New Roman"/>
          <w:color w:val="auto"/>
          <w:spacing w:val="7"/>
          <w:sz w:val="27"/>
          <w:szCs w:val="27"/>
          <w:highlight w:val="none"/>
        </w:rPr>
        <w:t xml:space="preserve">3  </w:t>
      </w:r>
      <w:r>
        <w:rPr>
          <w:rFonts w:ascii="黑体" w:hAnsi="黑体" w:eastAsia="黑体"/>
          <w:color w:val="auto"/>
          <w:spacing w:val="7"/>
          <w:sz w:val="27"/>
          <w:szCs w:val="27"/>
          <w:highlight w:val="none"/>
        </w:rPr>
        <w:t>中标候选人履约能力审查</w:t>
      </w:r>
      <w:bookmarkEnd w:id="282"/>
      <w:bookmarkEnd w:id="283"/>
      <w:bookmarkEnd w:id="284"/>
      <w:bookmarkEnd w:id="285"/>
      <w:bookmarkEnd w:id="286"/>
    </w:p>
    <w:p w14:paraId="16DD0D94">
      <w:pPr>
        <w:spacing w:before="68" w:line="358" w:lineRule="auto"/>
        <w:ind w:left="1" w:right="7" w:firstLine="439"/>
        <w:rPr>
          <w:rFonts w:ascii="宋体" w:hAnsi="宋体" w:eastAsia="宋体"/>
          <w:color w:val="auto"/>
          <w:spacing w:val="-9"/>
          <w:highlight w:val="none"/>
        </w:rPr>
      </w:pPr>
      <w:r>
        <w:rPr>
          <w:rFonts w:ascii="宋体" w:hAnsi="宋体" w:eastAsia="宋体"/>
          <w:color w:val="auto"/>
          <w:spacing w:val="-4"/>
          <w:highlight w:val="none"/>
        </w:rPr>
        <w:t>中标候选人的经营、财务状况发</w:t>
      </w:r>
      <w:r>
        <w:rPr>
          <w:rFonts w:ascii="宋体" w:hAnsi="宋体" w:eastAsia="宋体"/>
          <w:color w:val="auto"/>
          <w:spacing w:val="-3"/>
          <w:highlight w:val="none"/>
        </w:rPr>
        <w:t>生</w:t>
      </w:r>
      <w:r>
        <w:rPr>
          <w:rFonts w:ascii="宋体" w:hAnsi="宋体" w:eastAsia="宋体"/>
          <w:color w:val="auto"/>
          <w:spacing w:val="-2"/>
          <w:highlight w:val="none"/>
        </w:rPr>
        <w:t>较大变化或存在违法行为， 招标人认为可能影响其履约</w:t>
      </w:r>
      <w:r>
        <w:rPr>
          <w:rFonts w:ascii="宋体" w:hAnsi="宋体" w:eastAsia="宋体"/>
          <w:color w:val="auto"/>
          <w:spacing w:val="-4"/>
          <w:highlight w:val="none"/>
        </w:rPr>
        <w:t>能力</w:t>
      </w:r>
      <w:r>
        <w:rPr>
          <w:rFonts w:ascii="宋体" w:hAnsi="宋体" w:eastAsia="宋体"/>
          <w:color w:val="auto"/>
          <w:spacing w:val="-3"/>
          <w:highlight w:val="none"/>
        </w:rPr>
        <w:t>的</w:t>
      </w:r>
      <w:r>
        <w:rPr>
          <w:rFonts w:ascii="宋体" w:hAnsi="宋体" w:eastAsia="宋体"/>
          <w:color w:val="auto"/>
          <w:spacing w:val="-2"/>
          <w:highlight w:val="none"/>
        </w:rPr>
        <w:t>， 将在发出中标通知书前提请原评标委员会按照招标文件规定的标准和方法进行审查确</w:t>
      </w:r>
      <w:r>
        <w:rPr>
          <w:rFonts w:ascii="宋体" w:hAnsi="宋体" w:eastAsia="宋体"/>
          <w:color w:val="auto"/>
          <w:spacing w:val="-10"/>
          <w:highlight w:val="none"/>
        </w:rPr>
        <w:t>认</w:t>
      </w:r>
      <w:r>
        <w:rPr>
          <w:rFonts w:ascii="宋体" w:hAnsi="宋体" w:eastAsia="宋体"/>
          <w:color w:val="auto"/>
          <w:spacing w:val="-9"/>
          <w:highlight w:val="none"/>
        </w:rPr>
        <w:t>。</w:t>
      </w:r>
    </w:p>
    <w:p w14:paraId="42C6A752">
      <w:pPr>
        <w:pStyle w:val="2"/>
        <w:rPr>
          <w:rFonts w:eastAsiaTheme="minorEastAsia"/>
          <w:color w:val="auto"/>
          <w:highlight w:val="none"/>
        </w:rPr>
      </w:pPr>
    </w:p>
    <w:p w14:paraId="7D39E41B">
      <w:pPr>
        <w:rPr>
          <w:rFonts w:ascii="Times New Roman" w:hAnsi="Times New Roman" w:eastAsia="Times New Roman"/>
          <w:color w:val="auto"/>
          <w:spacing w:val="6"/>
          <w:sz w:val="27"/>
          <w:szCs w:val="27"/>
          <w:highlight w:val="none"/>
        </w:rPr>
      </w:pPr>
      <w:bookmarkStart w:id="287" w:name="_Toc7161"/>
      <w:bookmarkStart w:id="288" w:name="_Toc26287"/>
      <w:bookmarkStart w:id="289" w:name="_Toc4372"/>
      <w:bookmarkStart w:id="290" w:name="_Toc24845"/>
      <w:bookmarkStart w:id="291" w:name="_Toc1563"/>
      <w:r>
        <w:rPr>
          <w:rFonts w:ascii="Times New Roman" w:hAnsi="Times New Roman" w:eastAsia="Times New Roman"/>
          <w:color w:val="auto"/>
          <w:spacing w:val="6"/>
          <w:sz w:val="27"/>
          <w:szCs w:val="27"/>
          <w:highlight w:val="none"/>
        </w:rPr>
        <w:t>7</w:t>
      </w:r>
      <w:r>
        <w:rPr>
          <w:rFonts w:ascii="Times New Roman" w:hAnsi="Times New Roman" w:eastAsia="Times New Roman"/>
          <w:color w:val="auto"/>
          <w:spacing w:val="5"/>
          <w:sz w:val="27"/>
          <w:szCs w:val="27"/>
          <w:highlight w:val="none"/>
        </w:rPr>
        <w:t>.</w:t>
      </w:r>
      <w:r>
        <w:rPr>
          <w:rFonts w:ascii="Times New Roman" w:hAnsi="Times New Roman" w:eastAsia="Times New Roman"/>
          <w:color w:val="auto"/>
          <w:spacing w:val="3"/>
          <w:sz w:val="27"/>
          <w:szCs w:val="27"/>
          <w:highlight w:val="none"/>
        </w:rPr>
        <w:t xml:space="preserve">4  </w:t>
      </w:r>
      <w:r>
        <w:rPr>
          <w:rFonts w:ascii="黑体" w:hAnsi="黑体" w:eastAsia="黑体"/>
          <w:color w:val="auto"/>
          <w:spacing w:val="3"/>
          <w:sz w:val="27"/>
          <w:szCs w:val="27"/>
          <w:highlight w:val="none"/>
        </w:rPr>
        <w:t>定标</w:t>
      </w:r>
      <w:bookmarkEnd w:id="287"/>
      <w:bookmarkEnd w:id="288"/>
      <w:bookmarkEnd w:id="289"/>
      <w:bookmarkEnd w:id="290"/>
      <w:bookmarkEnd w:id="291"/>
    </w:p>
    <w:p w14:paraId="4E6BFBCB">
      <w:pPr>
        <w:spacing w:before="69" w:line="217" w:lineRule="auto"/>
        <w:ind w:left="423"/>
        <w:rPr>
          <w:rFonts w:ascii="宋体" w:hAnsi="宋体" w:eastAsia="宋体"/>
          <w:color w:val="auto"/>
          <w:spacing w:val="-2"/>
          <w:highlight w:val="none"/>
        </w:rPr>
      </w:pPr>
      <w:r>
        <w:rPr>
          <w:rFonts w:ascii="宋体" w:hAnsi="宋体" w:eastAsia="宋体"/>
          <w:color w:val="auto"/>
          <w:spacing w:val="-2"/>
          <w:highlight w:val="none"/>
        </w:rPr>
        <w:t>按照</w:t>
      </w:r>
      <w:r>
        <w:rPr>
          <w:rFonts w:ascii="宋体" w:hAnsi="宋体" w:eastAsia="宋体"/>
          <w:color w:val="auto"/>
          <w:spacing w:val="-1"/>
          <w:highlight w:val="none"/>
        </w:rPr>
        <w:t>投标人须知前附表的规定，招标人或招标人授权的评标委员会依法确定中标人。</w:t>
      </w:r>
    </w:p>
    <w:p w14:paraId="29590B7D">
      <w:pPr>
        <w:rPr>
          <w:rFonts w:ascii="Times New Roman" w:hAnsi="Times New Roman" w:eastAsia="Times New Roman"/>
          <w:color w:val="auto"/>
          <w:spacing w:val="8"/>
          <w:sz w:val="27"/>
          <w:szCs w:val="27"/>
          <w:highlight w:val="none"/>
        </w:rPr>
      </w:pPr>
      <w:bookmarkStart w:id="292" w:name="_Toc6214"/>
      <w:bookmarkStart w:id="293" w:name="_Toc31531"/>
      <w:bookmarkStart w:id="294" w:name="_Toc3434"/>
      <w:bookmarkStart w:id="295" w:name="_Toc24854"/>
      <w:bookmarkStart w:id="296" w:name="_Toc6635"/>
      <w:r>
        <w:rPr>
          <w:rFonts w:ascii="Times New Roman" w:hAnsi="Times New Roman" w:eastAsia="Times New Roman"/>
          <w:color w:val="auto"/>
          <w:spacing w:val="8"/>
          <w:sz w:val="27"/>
          <w:szCs w:val="27"/>
          <w:highlight w:val="none"/>
        </w:rPr>
        <w:t>7</w:t>
      </w:r>
      <w:r>
        <w:rPr>
          <w:rFonts w:ascii="Times New Roman" w:hAnsi="Times New Roman" w:eastAsia="Times New Roman"/>
          <w:color w:val="auto"/>
          <w:spacing w:val="5"/>
          <w:sz w:val="27"/>
          <w:szCs w:val="27"/>
          <w:highlight w:val="none"/>
        </w:rPr>
        <w:t xml:space="preserve">.5  </w:t>
      </w:r>
      <w:r>
        <w:rPr>
          <w:rFonts w:ascii="黑体" w:hAnsi="黑体" w:eastAsia="黑体"/>
          <w:color w:val="auto"/>
          <w:spacing w:val="5"/>
          <w:sz w:val="27"/>
          <w:szCs w:val="27"/>
          <w:highlight w:val="none"/>
        </w:rPr>
        <w:t>中标通知</w:t>
      </w:r>
      <w:bookmarkEnd w:id="292"/>
      <w:bookmarkEnd w:id="293"/>
      <w:bookmarkEnd w:id="294"/>
      <w:bookmarkEnd w:id="295"/>
      <w:bookmarkEnd w:id="296"/>
    </w:p>
    <w:p w14:paraId="6010EDE3">
      <w:pPr>
        <w:spacing w:before="69" w:line="360" w:lineRule="auto"/>
        <w:ind w:left="21" w:right="4" w:firstLine="401"/>
        <w:rPr>
          <w:rFonts w:ascii="Times New Roman" w:hAnsi="Times New Roman" w:eastAsia="宋体"/>
          <w:color w:val="auto"/>
          <w:spacing w:val="-1"/>
          <w:highlight w:val="none"/>
        </w:rPr>
      </w:pPr>
      <w:r>
        <w:rPr>
          <w:rFonts w:hint="eastAsia" w:ascii="Times New Roman" w:hAnsi="Times New Roman" w:eastAsia="宋体"/>
          <w:color w:val="auto"/>
          <w:spacing w:val="-1"/>
          <w:highlight w:val="none"/>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74DE728A">
      <w:pPr>
        <w:spacing w:before="69" w:line="360" w:lineRule="auto"/>
        <w:ind w:left="21" w:right="4" w:firstLine="401"/>
        <w:rPr>
          <w:rFonts w:ascii="Times New Roman" w:hAnsi="Times New Roman" w:eastAsia="宋体"/>
          <w:color w:val="auto"/>
          <w:spacing w:val="-1"/>
          <w:highlight w:val="none"/>
        </w:rPr>
      </w:pPr>
      <w:r>
        <w:rPr>
          <w:rFonts w:hint="eastAsia" w:ascii="Times New Roman" w:hAnsi="Times New Roman" w:eastAsia="宋体"/>
          <w:color w:val="auto"/>
          <w:spacing w:val="-1"/>
          <w:highlight w:val="none"/>
        </w:rPr>
        <w:t>7.5.2  中标通知书发出前，中标人应未被纳入失信联合惩戒名单，否则招标人将取消其中标资格。失信联合惩戒名单以“信用广州”网站公布的“黑名单”为准。</w:t>
      </w:r>
    </w:p>
    <w:p w14:paraId="54C94A5F">
      <w:pPr>
        <w:spacing w:before="69" w:line="360" w:lineRule="auto"/>
        <w:ind w:right="14" w:firstLine="420"/>
        <w:rPr>
          <w:rFonts w:ascii="宋体" w:hAnsi="宋体" w:eastAsia="宋体"/>
          <w:color w:val="auto"/>
          <w:highlight w:val="none"/>
        </w:rPr>
      </w:pPr>
    </w:p>
    <w:p w14:paraId="765929C0">
      <w:pPr>
        <w:rPr>
          <w:rFonts w:ascii="Times New Roman" w:hAnsi="Times New Roman" w:eastAsia="Times New Roman"/>
          <w:color w:val="auto"/>
          <w:spacing w:val="7"/>
          <w:sz w:val="27"/>
          <w:szCs w:val="27"/>
          <w:highlight w:val="none"/>
        </w:rPr>
      </w:pPr>
      <w:bookmarkStart w:id="297" w:name="_Toc32598"/>
      <w:bookmarkStart w:id="298" w:name="_Toc274"/>
      <w:bookmarkStart w:id="299" w:name="_Toc23546"/>
      <w:bookmarkStart w:id="300" w:name="_Toc1332"/>
      <w:bookmarkStart w:id="301" w:name="_Toc15532"/>
      <w:r>
        <w:rPr>
          <w:rFonts w:ascii="Times New Roman" w:hAnsi="Times New Roman" w:eastAsia="Times New Roman"/>
          <w:color w:val="auto"/>
          <w:spacing w:val="7"/>
          <w:sz w:val="27"/>
          <w:szCs w:val="27"/>
          <w:highlight w:val="none"/>
        </w:rPr>
        <w:t xml:space="preserve">7.6  </w:t>
      </w:r>
      <w:r>
        <w:rPr>
          <w:rFonts w:ascii="黑体" w:hAnsi="黑体" w:eastAsia="黑体"/>
          <w:color w:val="auto"/>
          <w:spacing w:val="7"/>
          <w:sz w:val="27"/>
          <w:szCs w:val="27"/>
          <w:highlight w:val="none"/>
        </w:rPr>
        <w:t>技术成果经济补</w:t>
      </w:r>
      <w:r>
        <w:rPr>
          <w:rFonts w:ascii="黑体" w:hAnsi="黑体" w:eastAsia="黑体"/>
          <w:color w:val="auto"/>
          <w:spacing w:val="5"/>
          <w:sz w:val="27"/>
          <w:szCs w:val="27"/>
          <w:highlight w:val="none"/>
        </w:rPr>
        <w:t>偿</w:t>
      </w:r>
      <w:bookmarkEnd w:id="297"/>
      <w:bookmarkEnd w:id="298"/>
      <w:bookmarkEnd w:id="299"/>
      <w:bookmarkEnd w:id="300"/>
      <w:bookmarkEnd w:id="301"/>
    </w:p>
    <w:p w14:paraId="2CF1E367">
      <w:pPr>
        <w:spacing w:before="232" w:line="360" w:lineRule="auto"/>
        <w:ind w:right="109" w:firstLine="633" w:firstLineChars="299"/>
        <w:rPr>
          <w:rFonts w:ascii="宋体" w:hAnsi="宋体" w:eastAsia="宋体"/>
          <w:color w:val="auto"/>
          <w:spacing w:val="-2"/>
          <w:highlight w:val="none"/>
        </w:rPr>
      </w:pPr>
      <w:r>
        <w:rPr>
          <w:rFonts w:ascii="宋体" w:hAnsi="宋体" w:eastAsia="宋体"/>
          <w:color w:val="auto"/>
          <w:spacing w:val="1"/>
          <w:highlight w:val="none"/>
        </w:rPr>
        <w:t>招标人对符合招标文件规定的未</w:t>
      </w:r>
      <w:r>
        <w:rPr>
          <w:rFonts w:ascii="宋体" w:hAnsi="宋体" w:eastAsia="宋体"/>
          <w:color w:val="auto"/>
          <w:highlight w:val="none"/>
        </w:rPr>
        <w:t>中标人的技术成果进行补偿的，招标人将按投标人须知前</w:t>
      </w:r>
      <w:r>
        <w:rPr>
          <w:rFonts w:ascii="宋体" w:hAnsi="宋体" w:eastAsia="宋体"/>
          <w:color w:val="auto"/>
          <w:spacing w:val="-1"/>
          <w:highlight w:val="none"/>
        </w:rPr>
        <w:t>附表规定的标准给予经济补偿，未中标人在投标文件中声明放弃技术成</w:t>
      </w:r>
      <w:r>
        <w:rPr>
          <w:rFonts w:ascii="宋体" w:hAnsi="宋体" w:eastAsia="宋体"/>
          <w:color w:val="auto"/>
          <w:highlight w:val="none"/>
        </w:rPr>
        <w:t xml:space="preserve">果经济补偿费的除外。 </w:t>
      </w:r>
      <w:r>
        <w:rPr>
          <w:rFonts w:ascii="宋体" w:hAnsi="宋体" w:eastAsia="宋体"/>
          <w:color w:val="auto"/>
          <w:spacing w:val="-4"/>
          <w:highlight w:val="none"/>
        </w:rPr>
        <w:t>招标人将于中标通</w:t>
      </w:r>
      <w:r>
        <w:rPr>
          <w:rFonts w:ascii="宋体" w:hAnsi="宋体" w:eastAsia="宋体"/>
          <w:color w:val="auto"/>
          <w:spacing w:val="-2"/>
          <w:highlight w:val="none"/>
        </w:rPr>
        <w:t xml:space="preserve">知书发出后 </w:t>
      </w:r>
      <w:r>
        <w:rPr>
          <w:rFonts w:ascii="Times New Roman" w:hAnsi="Times New Roman" w:eastAsia="Times New Roman"/>
          <w:color w:val="auto"/>
          <w:spacing w:val="-2"/>
          <w:highlight w:val="none"/>
        </w:rPr>
        <w:t xml:space="preserve">30 </w:t>
      </w:r>
      <w:r>
        <w:rPr>
          <w:rFonts w:ascii="宋体" w:hAnsi="宋体" w:eastAsia="宋体"/>
          <w:color w:val="auto"/>
          <w:spacing w:val="-2"/>
          <w:highlight w:val="none"/>
        </w:rPr>
        <w:t>日内向未中标人支付技术成果经济补偿费。</w:t>
      </w:r>
    </w:p>
    <w:p w14:paraId="520D0AB1">
      <w:pPr>
        <w:pStyle w:val="2"/>
        <w:rPr>
          <w:rFonts w:eastAsiaTheme="minorEastAsia"/>
          <w:color w:val="auto"/>
          <w:highlight w:val="none"/>
        </w:rPr>
      </w:pPr>
    </w:p>
    <w:p w14:paraId="28F865B4">
      <w:pPr>
        <w:rPr>
          <w:rFonts w:ascii="Times New Roman" w:hAnsi="Times New Roman" w:eastAsia="Times New Roman"/>
          <w:color w:val="auto"/>
          <w:spacing w:val="10"/>
          <w:sz w:val="27"/>
          <w:szCs w:val="27"/>
          <w:highlight w:val="none"/>
        </w:rPr>
      </w:pPr>
      <w:bookmarkStart w:id="302" w:name="_Toc23864"/>
      <w:bookmarkStart w:id="303" w:name="_Toc32158"/>
      <w:bookmarkStart w:id="304" w:name="_Toc26550"/>
      <w:bookmarkStart w:id="305" w:name="_Toc27672"/>
      <w:bookmarkStart w:id="306" w:name="_Toc6711"/>
      <w:r>
        <w:rPr>
          <w:rFonts w:ascii="Times New Roman" w:hAnsi="Times New Roman" w:eastAsia="Times New Roman"/>
          <w:color w:val="auto"/>
          <w:spacing w:val="10"/>
          <w:sz w:val="27"/>
          <w:szCs w:val="27"/>
          <w:highlight w:val="none"/>
        </w:rPr>
        <w:t>7</w:t>
      </w:r>
      <w:r>
        <w:rPr>
          <w:rFonts w:ascii="Times New Roman" w:hAnsi="Times New Roman" w:eastAsia="Times New Roman"/>
          <w:color w:val="auto"/>
          <w:spacing w:val="7"/>
          <w:sz w:val="27"/>
          <w:szCs w:val="27"/>
          <w:highlight w:val="none"/>
        </w:rPr>
        <w:t>.</w:t>
      </w:r>
      <w:r>
        <w:rPr>
          <w:rFonts w:ascii="Times New Roman" w:hAnsi="Times New Roman" w:eastAsia="Times New Roman"/>
          <w:color w:val="auto"/>
          <w:spacing w:val="5"/>
          <w:sz w:val="27"/>
          <w:szCs w:val="27"/>
          <w:highlight w:val="none"/>
        </w:rPr>
        <w:t xml:space="preserve">7  </w:t>
      </w:r>
      <w:r>
        <w:rPr>
          <w:rFonts w:ascii="黑体" w:hAnsi="黑体" w:eastAsia="黑体"/>
          <w:color w:val="auto"/>
          <w:spacing w:val="5"/>
          <w:sz w:val="27"/>
          <w:szCs w:val="27"/>
          <w:highlight w:val="none"/>
        </w:rPr>
        <w:t>履约保证金</w:t>
      </w:r>
      <w:bookmarkEnd w:id="302"/>
      <w:bookmarkEnd w:id="303"/>
      <w:bookmarkEnd w:id="304"/>
      <w:bookmarkEnd w:id="305"/>
      <w:bookmarkEnd w:id="306"/>
    </w:p>
    <w:p w14:paraId="7C8F1E87">
      <w:pPr>
        <w:spacing w:before="68" w:line="351" w:lineRule="auto"/>
        <w:ind w:left="2" w:right="6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7</w:t>
      </w:r>
      <w:r>
        <w:rPr>
          <w:rFonts w:ascii="Times New Roman" w:hAnsi="Times New Roman" w:eastAsia="Times New Roman"/>
          <w:color w:val="auto"/>
          <w:spacing w:val="-6"/>
          <w:highlight w:val="none"/>
        </w:rPr>
        <w:t xml:space="preserve">.7.1  </w:t>
      </w:r>
      <w:r>
        <w:rPr>
          <w:rFonts w:hint="eastAsia" w:ascii="Times New Roman" w:hAnsi="Times New Roman" w:eastAsia="宋体"/>
          <w:color w:val="auto"/>
          <w:spacing w:val="-6"/>
          <w:highlight w:val="none"/>
        </w:rPr>
        <w:t xml:space="preserve">   </w:t>
      </w:r>
      <w:r>
        <w:rPr>
          <w:rFonts w:ascii="宋体" w:hAnsi="宋体" w:eastAsia="宋体"/>
          <w:color w:val="auto"/>
          <w:spacing w:val="-6"/>
          <w:highlight w:val="none"/>
        </w:rPr>
        <w:t>在签订合同前</w:t>
      </w:r>
      <w:r>
        <w:rPr>
          <w:rFonts w:hint="eastAsia" w:ascii="宋体" w:hAnsi="宋体" w:eastAsia="宋体"/>
          <w:color w:val="auto"/>
          <w:spacing w:val="-6"/>
          <w:highlight w:val="none"/>
        </w:rPr>
        <w:t>，</w:t>
      </w:r>
      <w:r>
        <w:rPr>
          <w:rFonts w:ascii="宋体" w:hAnsi="宋体" w:eastAsia="宋体"/>
          <w:color w:val="auto"/>
          <w:spacing w:val="-6"/>
          <w:highlight w:val="none"/>
        </w:rPr>
        <w:t>中标人应按投标人须知前附表规定的形式、金额和招标文件第四章</w:t>
      </w:r>
      <w:r>
        <w:rPr>
          <w:rFonts w:hint="eastAsia" w:ascii="Times New Roman" w:hAnsi="Times New Roman" w:eastAsia="宋体"/>
          <w:color w:val="auto"/>
          <w:spacing w:val="-6"/>
          <w:highlight w:val="none"/>
        </w:rPr>
        <w:t>“</w:t>
      </w:r>
      <w:r>
        <w:rPr>
          <w:rFonts w:ascii="宋体" w:hAnsi="宋体" w:eastAsia="宋体"/>
          <w:color w:val="auto"/>
          <w:spacing w:val="-6"/>
          <w:highlight w:val="none"/>
        </w:rPr>
        <w:t>合</w:t>
      </w:r>
      <w:r>
        <w:rPr>
          <w:rFonts w:ascii="宋体" w:hAnsi="宋体" w:eastAsia="宋体"/>
          <w:color w:val="auto"/>
          <w:spacing w:val="6"/>
          <w:highlight w:val="none"/>
        </w:rPr>
        <w:t>同条款及格式</w:t>
      </w:r>
      <w:r>
        <w:rPr>
          <w:rFonts w:hint="eastAsia" w:ascii="Times New Roman" w:hAnsi="Times New Roman" w:eastAsia="宋体"/>
          <w:color w:val="auto"/>
          <w:spacing w:val="-6"/>
          <w:highlight w:val="none"/>
        </w:rPr>
        <w:t>”</w:t>
      </w:r>
      <w:r>
        <w:rPr>
          <w:rFonts w:ascii="宋体" w:hAnsi="宋体" w:eastAsia="宋体"/>
          <w:color w:val="auto"/>
          <w:spacing w:val="6"/>
          <w:highlight w:val="none"/>
        </w:rPr>
        <w:t>规</w:t>
      </w:r>
      <w:r>
        <w:rPr>
          <w:rFonts w:ascii="宋体" w:hAnsi="宋体" w:eastAsia="宋体"/>
          <w:color w:val="auto"/>
          <w:spacing w:val="4"/>
          <w:highlight w:val="none"/>
        </w:rPr>
        <w:t>定</w:t>
      </w:r>
      <w:r>
        <w:rPr>
          <w:rFonts w:ascii="宋体" w:hAnsi="宋体" w:eastAsia="宋体"/>
          <w:color w:val="auto"/>
          <w:spacing w:val="3"/>
          <w:highlight w:val="none"/>
        </w:rPr>
        <w:t>的或者事先经过招标人书面认可的履约保证金格式向招标人提交履约保证</w:t>
      </w:r>
      <w:r>
        <w:rPr>
          <w:rFonts w:ascii="宋体" w:hAnsi="宋体" w:eastAsia="宋体"/>
          <w:color w:val="auto"/>
          <w:spacing w:val="-2"/>
          <w:highlight w:val="none"/>
        </w:rPr>
        <w:t>金。除投标人须知前</w:t>
      </w:r>
      <w:r>
        <w:rPr>
          <w:rFonts w:ascii="宋体" w:hAnsi="宋体" w:eastAsia="宋体"/>
          <w:color w:val="auto"/>
          <w:spacing w:val="-1"/>
          <w:highlight w:val="none"/>
        </w:rPr>
        <w:t xml:space="preserve">附表另有规定外，履约保证金为中标合同金额的 </w:t>
      </w:r>
      <w:r>
        <w:rPr>
          <w:rFonts w:ascii="Times New Roman" w:hAnsi="Times New Roman" w:eastAsia="Times New Roman"/>
          <w:color w:val="auto"/>
          <w:spacing w:val="-1"/>
          <w:highlight w:val="none"/>
        </w:rPr>
        <w:t>10%</w:t>
      </w:r>
      <w:r>
        <w:rPr>
          <w:rFonts w:ascii="宋体" w:hAnsi="宋体" w:eastAsia="宋体"/>
          <w:color w:val="auto"/>
          <w:spacing w:val="-1"/>
          <w:highlight w:val="none"/>
        </w:rPr>
        <w:t>。联合体中标的，其</w:t>
      </w:r>
      <w:r>
        <w:rPr>
          <w:rFonts w:ascii="宋体" w:hAnsi="宋体" w:eastAsia="宋体"/>
          <w:color w:val="auto"/>
          <w:spacing w:val="-2"/>
          <w:highlight w:val="none"/>
        </w:rPr>
        <w:t>履约保证金以联合体各方或</w:t>
      </w:r>
      <w:r>
        <w:rPr>
          <w:rFonts w:ascii="宋体" w:hAnsi="宋体" w:eastAsia="宋体"/>
          <w:color w:val="auto"/>
          <w:spacing w:val="-1"/>
          <w:highlight w:val="none"/>
        </w:rPr>
        <w:t>者联合体中</w:t>
      </w:r>
      <w:r>
        <w:rPr>
          <w:rFonts w:hint="eastAsia" w:ascii="宋体" w:hAnsi="宋体" w:eastAsia="宋体"/>
          <w:color w:val="auto"/>
          <w:spacing w:val="-1"/>
          <w:highlight w:val="none"/>
        </w:rPr>
        <w:t>主办方</w:t>
      </w:r>
      <w:r>
        <w:rPr>
          <w:rFonts w:ascii="宋体" w:hAnsi="宋体" w:eastAsia="宋体"/>
          <w:color w:val="auto"/>
          <w:spacing w:val="-1"/>
          <w:highlight w:val="none"/>
        </w:rPr>
        <w:t>的名义提交。</w:t>
      </w:r>
    </w:p>
    <w:p w14:paraId="3121BFB1">
      <w:pPr>
        <w:spacing w:before="4" w:line="360" w:lineRule="auto"/>
        <w:ind w:left="4" w:right="76" w:firstLine="416"/>
        <w:rPr>
          <w:rFonts w:ascii="宋体" w:hAnsi="宋体" w:eastAsia="宋体"/>
          <w:color w:val="auto"/>
          <w:spacing w:val="-1"/>
          <w:highlight w:val="none"/>
        </w:rPr>
      </w:pPr>
      <w:r>
        <w:rPr>
          <w:rFonts w:ascii="Times New Roman" w:hAnsi="Times New Roman" w:eastAsia="Times New Roman"/>
          <w:color w:val="auto"/>
          <w:spacing w:val="-3"/>
          <w:highlight w:val="none"/>
        </w:rPr>
        <w:t xml:space="preserve">7.7.2  </w:t>
      </w:r>
      <w:r>
        <w:rPr>
          <w:rFonts w:ascii="宋体" w:hAnsi="宋体" w:eastAsia="宋体"/>
          <w:color w:val="auto"/>
          <w:spacing w:val="-3"/>
          <w:highlight w:val="none"/>
        </w:rPr>
        <w:t xml:space="preserve">中标人不能按本章第 </w:t>
      </w:r>
      <w:r>
        <w:rPr>
          <w:rFonts w:ascii="Times New Roman" w:hAnsi="Times New Roman" w:eastAsia="Times New Roman"/>
          <w:color w:val="auto"/>
          <w:spacing w:val="-3"/>
          <w:highlight w:val="none"/>
        </w:rPr>
        <w:t xml:space="preserve">7.7.1 </w:t>
      </w:r>
      <w:r>
        <w:rPr>
          <w:rFonts w:ascii="宋体" w:hAnsi="宋体" w:eastAsia="宋体"/>
          <w:color w:val="auto"/>
          <w:spacing w:val="-3"/>
          <w:highlight w:val="none"/>
        </w:rPr>
        <w:t>项要求提交履约保证金的，视为放弃中标，</w:t>
      </w:r>
      <w:r>
        <w:rPr>
          <w:rFonts w:ascii="宋体" w:hAnsi="宋体" w:eastAsia="宋体"/>
          <w:strike/>
          <w:color w:val="auto"/>
          <w:spacing w:val="-3"/>
          <w:highlight w:val="none"/>
        </w:rPr>
        <w:t>其投标</w:t>
      </w:r>
      <w:r>
        <w:rPr>
          <w:rFonts w:ascii="宋体" w:hAnsi="宋体" w:eastAsia="宋体"/>
          <w:strike/>
          <w:color w:val="auto"/>
          <w:highlight w:val="none"/>
        </w:rPr>
        <w:t xml:space="preserve">保证金 </w:t>
      </w:r>
      <w:r>
        <w:rPr>
          <w:rFonts w:ascii="宋体" w:hAnsi="宋体" w:eastAsia="宋体"/>
          <w:strike/>
          <w:color w:val="auto"/>
          <w:spacing w:val="-1"/>
          <w:highlight w:val="none"/>
        </w:rPr>
        <w:t>不予退还</w:t>
      </w:r>
      <w:r>
        <w:rPr>
          <w:rFonts w:ascii="宋体" w:hAnsi="宋体" w:eastAsia="宋体"/>
          <w:color w:val="auto"/>
          <w:spacing w:val="-1"/>
          <w:highlight w:val="none"/>
        </w:rPr>
        <w:t>，给招标人造成</w:t>
      </w:r>
      <w:r>
        <w:rPr>
          <w:rFonts w:ascii="宋体" w:hAnsi="宋体" w:eastAsia="宋体"/>
          <w:strike/>
          <w:color w:val="auto"/>
          <w:spacing w:val="-1"/>
          <w:highlight w:val="none"/>
        </w:rPr>
        <w:t>的</w:t>
      </w:r>
      <w:r>
        <w:rPr>
          <w:rFonts w:ascii="宋体" w:hAnsi="宋体" w:eastAsia="宋体"/>
          <w:color w:val="auto"/>
          <w:spacing w:val="-1"/>
          <w:highlight w:val="none"/>
        </w:rPr>
        <w:t>损失</w:t>
      </w:r>
      <w:r>
        <w:rPr>
          <w:rFonts w:ascii="宋体" w:hAnsi="宋体" w:eastAsia="宋体"/>
          <w:strike/>
          <w:color w:val="auto"/>
          <w:spacing w:val="-1"/>
          <w:highlight w:val="none"/>
        </w:rPr>
        <w:t>超过投标保证金数额的</w:t>
      </w:r>
      <w:r>
        <w:rPr>
          <w:rFonts w:ascii="宋体" w:hAnsi="宋体" w:eastAsia="宋体"/>
          <w:color w:val="auto"/>
          <w:spacing w:val="-1"/>
          <w:highlight w:val="none"/>
        </w:rPr>
        <w:t>，中标人还应当对超过部分予以赔偿</w:t>
      </w:r>
      <w:r>
        <w:rPr>
          <w:rFonts w:hint="eastAsia" w:ascii="宋体" w:hAnsi="宋体" w:eastAsia="宋体"/>
          <w:color w:val="auto"/>
          <w:spacing w:val="-1"/>
          <w:highlight w:val="none"/>
        </w:rPr>
        <w:t>。</w:t>
      </w:r>
    </w:p>
    <w:p w14:paraId="5120C33E">
      <w:pPr>
        <w:pStyle w:val="2"/>
        <w:rPr>
          <w:rFonts w:eastAsiaTheme="minorEastAsia"/>
          <w:color w:val="auto"/>
          <w:highlight w:val="none"/>
        </w:rPr>
      </w:pPr>
    </w:p>
    <w:p w14:paraId="441E2E1B">
      <w:pPr>
        <w:rPr>
          <w:rFonts w:ascii="Times New Roman" w:hAnsi="Times New Roman" w:eastAsia="Times New Roman"/>
          <w:color w:val="auto"/>
          <w:spacing w:val="8"/>
          <w:sz w:val="27"/>
          <w:szCs w:val="27"/>
          <w:highlight w:val="none"/>
        </w:rPr>
      </w:pPr>
      <w:bookmarkStart w:id="307" w:name="_Toc16196"/>
      <w:bookmarkStart w:id="308" w:name="_Toc19251"/>
      <w:bookmarkStart w:id="309" w:name="_Toc2899"/>
      <w:bookmarkStart w:id="310" w:name="_Toc12741"/>
      <w:bookmarkStart w:id="311" w:name="_Toc25518"/>
      <w:r>
        <w:rPr>
          <w:rFonts w:ascii="Times New Roman" w:hAnsi="Times New Roman" w:eastAsia="Times New Roman"/>
          <w:color w:val="auto"/>
          <w:spacing w:val="8"/>
          <w:sz w:val="27"/>
          <w:szCs w:val="27"/>
          <w:highlight w:val="none"/>
        </w:rPr>
        <w:t>7</w:t>
      </w:r>
      <w:r>
        <w:rPr>
          <w:rFonts w:ascii="Times New Roman" w:hAnsi="Times New Roman" w:eastAsia="Times New Roman"/>
          <w:color w:val="auto"/>
          <w:spacing w:val="5"/>
          <w:sz w:val="27"/>
          <w:szCs w:val="27"/>
          <w:highlight w:val="none"/>
        </w:rPr>
        <w:t xml:space="preserve">.8  </w:t>
      </w:r>
      <w:r>
        <w:rPr>
          <w:rFonts w:ascii="黑体" w:hAnsi="黑体" w:eastAsia="黑体"/>
          <w:color w:val="auto"/>
          <w:spacing w:val="5"/>
          <w:sz w:val="27"/>
          <w:szCs w:val="27"/>
          <w:highlight w:val="none"/>
        </w:rPr>
        <w:t>签订合同</w:t>
      </w:r>
      <w:bookmarkEnd w:id="307"/>
      <w:bookmarkEnd w:id="308"/>
      <w:bookmarkEnd w:id="309"/>
      <w:bookmarkEnd w:id="310"/>
      <w:bookmarkEnd w:id="311"/>
    </w:p>
    <w:p w14:paraId="7CB5D451">
      <w:pPr>
        <w:spacing w:before="69" w:line="352" w:lineRule="auto"/>
        <w:ind w:right="75" w:firstLine="420"/>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7.8.1  </w:t>
      </w:r>
      <w:r>
        <w:rPr>
          <w:rFonts w:ascii="宋体" w:hAnsi="宋体" w:eastAsia="宋体"/>
          <w:color w:val="auto"/>
          <w:spacing w:val="-1"/>
          <w:highlight w:val="none"/>
        </w:rPr>
        <w:t xml:space="preserve">招标人和中标人应当在中标通知书发出之日起 </w:t>
      </w:r>
      <w:r>
        <w:rPr>
          <w:rFonts w:ascii="Times New Roman" w:hAnsi="Times New Roman" w:eastAsia="Times New Roman"/>
          <w:color w:val="auto"/>
          <w:spacing w:val="-1"/>
          <w:highlight w:val="none"/>
        </w:rPr>
        <w:t xml:space="preserve">30 </w:t>
      </w:r>
      <w:r>
        <w:rPr>
          <w:rFonts w:ascii="宋体" w:hAnsi="宋体" w:eastAsia="宋体"/>
          <w:color w:val="auto"/>
          <w:spacing w:val="-1"/>
          <w:highlight w:val="none"/>
        </w:rPr>
        <w:t>日</w:t>
      </w:r>
      <w:r>
        <w:rPr>
          <w:rFonts w:ascii="宋体" w:hAnsi="宋体" w:eastAsia="宋体"/>
          <w:color w:val="auto"/>
          <w:highlight w:val="none"/>
        </w:rPr>
        <w:t>内，根据招标文件和中标人的投</w:t>
      </w:r>
      <w:r>
        <w:rPr>
          <w:rFonts w:ascii="宋体" w:hAnsi="宋体" w:eastAsia="宋体"/>
          <w:color w:val="auto"/>
          <w:spacing w:val="-4"/>
          <w:highlight w:val="none"/>
        </w:rPr>
        <w:t>标文件订立书</w:t>
      </w:r>
      <w:r>
        <w:rPr>
          <w:rFonts w:ascii="宋体" w:hAnsi="宋体" w:eastAsia="宋体"/>
          <w:color w:val="auto"/>
          <w:spacing w:val="-2"/>
          <w:highlight w:val="none"/>
        </w:rPr>
        <w:t>面合同</w:t>
      </w:r>
      <w:r>
        <w:rPr>
          <w:rFonts w:hint="eastAsia"/>
          <w:color w:val="auto"/>
          <w:highlight w:val="none"/>
        </w:rPr>
        <w:t>，并通过电子交易系统与中标人在线签订合同</w:t>
      </w:r>
      <w:r>
        <w:rPr>
          <w:rFonts w:ascii="宋体" w:hAnsi="宋体" w:eastAsia="宋体"/>
          <w:color w:val="auto"/>
          <w:spacing w:val="-2"/>
          <w:highlight w:val="none"/>
        </w:rPr>
        <w:t>。中标人无正当理由拒签合同， 在签订合同时向招标人提出附加条件</w:t>
      </w:r>
      <w:r>
        <w:rPr>
          <w:rFonts w:hint="eastAsia" w:ascii="宋体" w:hAnsi="宋体" w:eastAsia="宋体"/>
          <w:color w:val="auto"/>
          <w:spacing w:val="-2"/>
          <w:highlight w:val="none"/>
        </w:rPr>
        <w:t>，</w:t>
      </w:r>
      <w:r>
        <w:rPr>
          <w:rFonts w:ascii="宋体" w:hAnsi="宋体" w:eastAsia="宋体"/>
          <w:color w:val="auto"/>
          <w:spacing w:val="-2"/>
          <w:highlight w:val="none"/>
        </w:rPr>
        <w:t>或</w:t>
      </w:r>
      <w:r>
        <w:rPr>
          <w:rFonts w:ascii="宋体" w:hAnsi="宋体" w:eastAsia="宋体"/>
          <w:color w:val="auto"/>
          <w:spacing w:val="-4"/>
          <w:highlight w:val="none"/>
        </w:rPr>
        <w:t>者</w:t>
      </w:r>
      <w:r>
        <w:rPr>
          <w:rFonts w:ascii="宋体" w:hAnsi="宋体" w:eastAsia="宋体"/>
          <w:color w:val="auto"/>
          <w:spacing w:val="-3"/>
          <w:highlight w:val="none"/>
        </w:rPr>
        <w:t>不</w:t>
      </w:r>
      <w:r>
        <w:rPr>
          <w:rFonts w:ascii="宋体" w:hAnsi="宋体" w:eastAsia="宋体"/>
          <w:color w:val="auto"/>
          <w:spacing w:val="-2"/>
          <w:highlight w:val="none"/>
        </w:rPr>
        <w:t>按照招标文件要求提交履约保证金的，招标人有权取消其中标资格</w:t>
      </w:r>
      <w:r>
        <w:rPr>
          <w:rFonts w:ascii="宋体" w:hAnsi="宋体" w:eastAsia="宋体"/>
          <w:strike/>
          <w:color w:val="auto"/>
          <w:spacing w:val="-2"/>
          <w:highlight w:val="none"/>
        </w:rPr>
        <w:t>，其投标保证金不予退</w:t>
      </w:r>
      <w:r>
        <w:rPr>
          <w:rFonts w:ascii="宋体" w:hAnsi="宋体" w:eastAsia="宋体"/>
          <w:strike/>
          <w:color w:val="auto"/>
          <w:spacing w:val="-1"/>
          <w:highlight w:val="none"/>
        </w:rPr>
        <w:t>还</w:t>
      </w:r>
      <w:r>
        <w:rPr>
          <w:rFonts w:ascii="宋体" w:hAnsi="宋体" w:eastAsia="宋体"/>
          <w:color w:val="auto"/>
          <w:spacing w:val="-1"/>
          <w:highlight w:val="none"/>
        </w:rPr>
        <w:t>；给招标人造成的损失</w:t>
      </w:r>
      <w:r>
        <w:rPr>
          <w:rFonts w:ascii="宋体" w:hAnsi="宋体" w:eastAsia="宋体"/>
          <w:strike/>
          <w:color w:val="auto"/>
          <w:spacing w:val="-1"/>
          <w:highlight w:val="none"/>
          <w:u w:val="single"/>
        </w:rPr>
        <w:t>超过投标保证金数额</w:t>
      </w:r>
      <w:r>
        <w:rPr>
          <w:rFonts w:ascii="宋体" w:hAnsi="宋体" w:eastAsia="宋体"/>
          <w:color w:val="auto"/>
          <w:spacing w:val="-1"/>
          <w:highlight w:val="none"/>
          <w:u w:val="single"/>
        </w:rPr>
        <w:t>的</w:t>
      </w:r>
      <w:r>
        <w:rPr>
          <w:rFonts w:ascii="宋体" w:hAnsi="宋体" w:eastAsia="宋体"/>
          <w:color w:val="auto"/>
          <w:spacing w:val="-1"/>
          <w:highlight w:val="none"/>
        </w:rPr>
        <w:t>，中标人还应当</w:t>
      </w:r>
      <w:r>
        <w:rPr>
          <w:rFonts w:ascii="宋体" w:hAnsi="宋体" w:eastAsia="宋体"/>
          <w:strike/>
          <w:color w:val="auto"/>
          <w:spacing w:val="-1"/>
          <w:highlight w:val="none"/>
        </w:rPr>
        <w:t>对超过部分</w:t>
      </w:r>
      <w:r>
        <w:rPr>
          <w:rFonts w:ascii="宋体" w:hAnsi="宋体" w:eastAsia="宋体"/>
          <w:color w:val="auto"/>
          <w:spacing w:val="-1"/>
          <w:highlight w:val="none"/>
        </w:rPr>
        <w:t>予以赔</w:t>
      </w:r>
      <w:r>
        <w:rPr>
          <w:rFonts w:ascii="宋体" w:hAnsi="宋体" w:eastAsia="宋体"/>
          <w:color w:val="auto"/>
          <w:highlight w:val="none"/>
        </w:rPr>
        <w:t>偿。</w:t>
      </w:r>
    </w:p>
    <w:p w14:paraId="3B57D630">
      <w:pPr>
        <w:spacing w:before="2" w:line="351" w:lineRule="auto"/>
        <w:ind w:right="72" w:firstLine="419"/>
        <w:rPr>
          <w:rFonts w:ascii="Times New Roman" w:hAnsi="Times New Roman" w:eastAsia="Times New Roman"/>
          <w:color w:val="auto"/>
          <w:spacing w:val="-12"/>
          <w:highlight w:val="none"/>
        </w:rPr>
      </w:pPr>
      <w:r>
        <w:rPr>
          <w:rFonts w:ascii="Times New Roman" w:hAnsi="Times New Roman" w:eastAsia="Times New Roman"/>
          <w:color w:val="auto"/>
          <w:spacing w:val="-12"/>
          <w:highlight w:val="none"/>
        </w:rPr>
        <w:t>7.</w:t>
      </w:r>
      <w:r>
        <w:rPr>
          <w:rFonts w:ascii="Times New Roman" w:hAnsi="Times New Roman" w:eastAsia="Times New Roman"/>
          <w:color w:val="auto"/>
          <w:spacing w:val="-10"/>
          <w:highlight w:val="none"/>
        </w:rPr>
        <w:t>8</w:t>
      </w:r>
      <w:r>
        <w:rPr>
          <w:rFonts w:ascii="Times New Roman" w:hAnsi="Times New Roman" w:eastAsia="Times New Roman"/>
          <w:color w:val="auto"/>
          <w:spacing w:val="-6"/>
          <w:highlight w:val="none"/>
        </w:rPr>
        <w:t xml:space="preserve">.2  </w:t>
      </w:r>
      <w:r>
        <w:rPr>
          <w:rFonts w:ascii="宋体" w:hAnsi="宋体" w:eastAsia="宋体"/>
          <w:color w:val="auto"/>
          <w:spacing w:val="-6"/>
          <w:highlight w:val="none"/>
        </w:rPr>
        <w:t>发出中标通知书后，招标人无正当理由拒签合同，或者在签订合同时向中标人提出附</w:t>
      </w:r>
      <w:r>
        <w:rPr>
          <w:rFonts w:ascii="宋体" w:hAnsi="宋体" w:eastAsia="宋体"/>
          <w:color w:val="auto"/>
          <w:highlight w:val="none"/>
        </w:rPr>
        <w:t xml:space="preserve"> </w:t>
      </w:r>
      <w:r>
        <w:rPr>
          <w:rFonts w:ascii="宋体" w:hAnsi="宋体" w:eastAsia="宋体"/>
          <w:color w:val="auto"/>
          <w:spacing w:val="-1"/>
          <w:highlight w:val="none"/>
        </w:rPr>
        <w:t>加条件的</w:t>
      </w:r>
      <w:r>
        <w:rPr>
          <w:rFonts w:ascii="宋体" w:hAnsi="宋体" w:eastAsia="宋体"/>
          <w:strike/>
          <w:color w:val="auto"/>
          <w:spacing w:val="-1"/>
          <w:highlight w:val="none"/>
        </w:rPr>
        <w:t>，招标人向中标人退还投标保证金；</w:t>
      </w:r>
      <w:r>
        <w:rPr>
          <w:rFonts w:ascii="宋体" w:hAnsi="宋体" w:eastAsia="宋体"/>
          <w:color w:val="auto"/>
          <w:spacing w:val="-1"/>
          <w:highlight w:val="none"/>
        </w:rPr>
        <w:t>给中标人造成损失的，还应当赔偿损失</w:t>
      </w:r>
      <w:r>
        <w:rPr>
          <w:rFonts w:ascii="宋体" w:hAnsi="宋体" w:eastAsia="宋体"/>
          <w:color w:val="auto"/>
          <w:highlight w:val="none"/>
        </w:rPr>
        <w:t>。</w:t>
      </w:r>
    </w:p>
    <w:p w14:paraId="1F91FBF1">
      <w:pPr>
        <w:spacing w:line="359" w:lineRule="auto"/>
        <w:ind w:left="4" w:right="70" w:firstLine="416"/>
        <w:rPr>
          <w:rFonts w:ascii="宋体" w:hAnsi="宋体" w:eastAsia="宋体"/>
          <w:color w:val="auto"/>
          <w:spacing w:val="-7"/>
          <w:highlight w:val="none"/>
        </w:rPr>
      </w:pPr>
      <w:r>
        <w:rPr>
          <w:rFonts w:ascii="Times New Roman" w:hAnsi="Times New Roman" w:eastAsia="Times New Roman"/>
          <w:color w:val="auto"/>
          <w:spacing w:val="-1"/>
          <w:highlight w:val="none"/>
        </w:rPr>
        <w:t xml:space="preserve">7.8.3 </w:t>
      </w:r>
      <w:r>
        <w:rPr>
          <w:rFonts w:ascii="宋体" w:hAnsi="宋体" w:eastAsia="宋体"/>
          <w:color w:val="auto"/>
          <w:spacing w:val="-1"/>
          <w:highlight w:val="none"/>
        </w:rPr>
        <w:t>联合体中标的，联合体各方应当共同与招标人签</w:t>
      </w:r>
      <w:r>
        <w:rPr>
          <w:rFonts w:ascii="宋体" w:hAnsi="宋体" w:eastAsia="宋体"/>
          <w:color w:val="auto"/>
          <w:highlight w:val="none"/>
        </w:rPr>
        <w:t>订合同，就中标项目向招标人承担连</w:t>
      </w:r>
      <w:r>
        <w:rPr>
          <w:rFonts w:ascii="宋体" w:hAnsi="宋体" w:eastAsia="宋体"/>
          <w:color w:val="auto"/>
          <w:spacing w:val="-10"/>
          <w:highlight w:val="none"/>
        </w:rPr>
        <w:t>带</w:t>
      </w:r>
      <w:r>
        <w:rPr>
          <w:rFonts w:ascii="宋体" w:hAnsi="宋体" w:eastAsia="宋体"/>
          <w:color w:val="auto"/>
          <w:spacing w:val="-7"/>
          <w:highlight w:val="none"/>
        </w:rPr>
        <w:t>责任。</w:t>
      </w:r>
    </w:p>
    <w:p w14:paraId="14866A5C">
      <w:pPr>
        <w:pStyle w:val="2"/>
        <w:rPr>
          <w:rFonts w:eastAsiaTheme="minorEastAsia"/>
          <w:color w:val="auto"/>
          <w:highlight w:val="none"/>
        </w:rPr>
      </w:pPr>
    </w:p>
    <w:p w14:paraId="544696CE">
      <w:pPr>
        <w:pStyle w:val="24"/>
        <w:spacing w:before="120" w:after="120"/>
        <w:outlineLvl w:val="9"/>
        <w:rPr>
          <w:rFonts w:ascii="Times New Roman" w:hAnsi="Times New Roman" w:eastAsia="Times New Roman"/>
          <w:bCs/>
          <w:color w:val="auto"/>
          <w:spacing w:val="10"/>
          <w:sz w:val="31"/>
          <w:szCs w:val="31"/>
          <w:highlight w:val="none"/>
        </w:rPr>
      </w:pPr>
      <w:bookmarkStart w:id="312" w:name="_Toc19030"/>
      <w:bookmarkStart w:id="313" w:name="_Toc7779"/>
      <w:bookmarkStart w:id="314" w:name="_Toc23119"/>
      <w:bookmarkStart w:id="315" w:name="_Toc10749"/>
      <w:bookmarkStart w:id="316" w:name="_Toc4425"/>
      <w:r>
        <w:rPr>
          <w:rFonts w:ascii="Times New Roman" w:hAnsi="Times New Roman" w:eastAsia="Times New Roman"/>
          <w:bCs/>
          <w:color w:val="auto"/>
          <w:spacing w:val="10"/>
          <w:sz w:val="31"/>
          <w:szCs w:val="31"/>
          <w:highlight w:val="none"/>
        </w:rPr>
        <w:t>8</w:t>
      </w:r>
      <w:r>
        <w:rPr>
          <w:rFonts w:ascii="Times New Roman" w:hAnsi="Times New Roman" w:eastAsia="Times New Roman"/>
          <w:bCs/>
          <w:color w:val="auto"/>
          <w:spacing w:val="7"/>
          <w:sz w:val="31"/>
          <w:szCs w:val="31"/>
          <w:highlight w:val="none"/>
        </w:rPr>
        <w:t>.</w:t>
      </w:r>
      <w:r>
        <w:rPr>
          <w:rFonts w:ascii="黑体" w:hAnsi="黑体" w:eastAsia="黑体"/>
          <w:color w:val="auto"/>
          <w:spacing w:val="7"/>
          <w:sz w:val="31"/>
          <w:szCs w:val="31"/>
          <w:highlight w:val="none"/>
        </w:rPr>
        <w:t>纪律和监督</w:t>
      </w:r>
      <w:bookmarkEnd w:id="312"/>
      <w:bookmarkEnd w:id="313"/>
      <w:bookmarkEnd w:id="314"/>
      <w:bookmarkEnd w:id="315"/>
      <w:bookmarkEnd w:id="316"/>
    </w:p>
    <w:p w14:paraId="0C0AC50D">
      <w:pPr>
        <w:rPr>
          <w:rFonts w:ascii="Times New Roman" w:hAnsi="Times New Roman" w:eastAsia="Times New Roman"/>
          <w:color w:val="auto"/>
          <w:spacing w:val="12"/>
          <w:sz w:val="27"/>
          <w:szCs w:val="27"/>
          <w:highlight w:val="none"/>
        </w:rPr>
      </w:pPr>
      <w:bookmarkStart w:id="317" w:name="_Toc18682"/>
      <w:bookmarkStart w:id="318" w:name="_Toc2147"/>
      <w:bookmarkStart w:id="319" w:name="_Toc31267"/>
      <w:bookmarkStart w:id="320" w:name="_Toc22300"/>
      <w:bookmarkStart w:id="321" w:name="_Toc2666"/>
      <w:r>
        <w:rPr>
          <w:rFonts w:ascii="Times New Roman" w:hAnsi="Times New Roman" w:eastAsia="Times New Roman"/>
          <w:color w:val="auto"/>
          <w:spacing w:val="12"/>
          <w:sz w:val="27"/>
          <w:szCs w:val="27"/>
          <w:highlight w:val="none"/>
        </w:rPr>
        <w:t>8</w:t>
      </w:r>
      <w:r>
        <w:rPr>
          <w:rFonts w:ascii="Times New Roman" w:hAnsi="Times New Roman" w:eastAsia="Times New Roman"/>
          <w:color w:val="auto"/>
          <w:spacing w:val="9"/>
          <w:sz w:val="27"/>
          <w:szCs w:val="27"/>
          <w:highlight w:val="none"/>
        </w:rPr>
        <w:t>.</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对招标人的纪律要求</w:t>
      </w:r>
      <w:bookmarkEnd w:id="317"/>
      <w:bookmarkEnd w:id="318"/>
      <w:bookmarkEnd w:id="319"/>
      <w:bookmarkEnd w:id="320"/>
      <w:bookmarkEnd w:id="321"/>
    </w:p>
    <w:p w14:paraId="64EB82DF">
      <w:pPr>
        <w:spacing w:before="69" w:line="359" w:lineRule="auto"/>
        <w:ind w:left="2" w:firstLine="419"/>
        <w:rPr>
          <w:rFonts w:ascii="宋体" w:hAnsi="宋体" w:eastAsia="宋体"/>
          <w:color w:val="auto"/>
          <w:spacing w:val="-2"/>
          <w:highlight w:val="none"/>
        </w:rPr>
      </w:pPr>
      <w:r>
        <w:rPr>
          <w:rFonts w:ascii="宋体" w:hAnsi="宋体" w:eastAsia="宋体"/>
          <w:color w:val="auto"/>
          <w:spacing w:val="-10"/>
          <w:highlight w:val="none"/>
        </w:rPr>
        <w:t>招标人</w:t>
      </w:r>
      <w:r>
        <w:rPr>
          <w:rFonts w:ascii="宋体" w:hAnsi="宋体" w:eastAsia="宋体"/>
          <w:color w:val="auto"/>
          <w:spacing w:val="-6"/>
          <w:highlight w:val="none"/>
        </w:rPr>
        <w:t>不</w:t>
      </w:r>
      <w:r>
        <w:rPr>
          <w:rFonts w:ascii="宋体" w:hAnsi="宋体" w:eastAsia="宋体"/>
          <w:color w:val="auto"/>
          <w:spacing w:val="-5"/>
          <w:highlight w:val="none"/>
        </w:rPr>
        <w:t>得泄露招标投标活动中应当保密的情况和资料，不得与投标人串通损害国家利益、</w:t>
      </w:r>
      <w:r>
        <w:rPr>
          <w:rFonts w:ascii="宋体" w:hAnsi="宋体" w:eastAsia="宋体"/>
          <w:color w:val="auto"/>
          <w:highlight w:val="none"/>
        </w:rPr>
        <w:t xml:space="preserve"> </w:t>
      </w:r>
      <w:r>
        <w:rPr>
          <w:rFonts w:ascii="宋体" w:hAnsi="宋体" w:eastAsia="宋体"/>
          <w:color w:val="auto"/>
          <w:spacing w:val="-4"/>
          <w:highlight w:val="none"/>
        </w:rPr>
        <w:t>社会公</w:t>
      </w:r>
      <w:r>
        <w:rPr>
          <w:rFonts w:ascii="宋体" w:hAnsi="宋体" w:eastAsia="宋体"/>
          <w:color w:val="auto"/>
          <w:spacing w:val="-3"/>
          <w:highlight w:val="none"/>
        </w:rPr>
        <w:t>共</w:t>
      </w:r>
      <w:r>
        <w:rPr>
          <w:rFonts w:ascii="宋体" w:hAnsi="宋体" w:eastAsia="宋体"/>
          <w:color w:val="auto"/>
          <w:spacing w:val="-2"/>
          <w:highlight w:val="none"/>
        </w:rPr>
        <w:t>利益或者他人合法权益。</w:t>
      </w:r>
    </w:p>
    <w:p w14:paraId="51A6BB69">
      <w:pPr>
        <w:pStyle w:val="2"/>
        <w:rPr>
          <w:rFonts w:eastAsiaTheme="minorEastAsia"/>
          <w:color w:val="auto"/>
          <w:highlight w:val="none"/>
        </w:rPr>
      </w:pPr>
    </w:p>
    <w:p w14:paraId="65BEFD44">
      <w:pPr>
        <w:rPr>
          <w:rFonts w:ascii="Times New Roman" w:hAnsi="Times New Roman" w:eastAsia="Times New Roman"/>
          <w:color w:val="auto"/>
          <w:spacing w:val="12"/>
          <w:sz w:val="27"/>
          <w:szCs w:val="27"/>
          <w:highlight w:val="none"/>
        </w:rPr>
      </w:pPr>
      <w:bookmarkStart w:id="322" w:name="_Toc21761"/>
      <w:bookmarkStart w:id="323" w:name="_Toc352"/>
      <w:bookmarkStart w:id="324" w:name="_Toc1223"/>
      <w:bookmarkStart w:id="325" w:name="_Toc26897"/>
      <w:bookmarkStart w:id="326" w:name="_Toc4329"/>
      <w:r>
        <w:rPr>
          <w:rFonts w:ascii="Times New Roman" w:hAnsi="Times New Roman" w:eastAsia="Times New Roman"/>
          <w:color w:val="auto"/>
          <w:spacing w:val="12"/>
          <w:sz w:val="27"/>
          <w:szCs w:val="27"/>
          <w:highlight w:val="none"/>
        </w:rPr>
        <w:t>8</w:t>
      </w:r>
      <w:r>
        <w:rPr>
          <w:rFonts w:ascii="Times New Roman" w:hAnsi="Times New Roman" w:eastAsia="Times New Roman"/>
          <w:color w:val="auto"/>
          <w:spacing w:val="9"/>
          <w:sz w:val="27"/>
          <w:szCs w:val="27"/>
          <w:highlight w:val="none"/>
        </w:rPr>
        <w:t>.</w:t>
      </w:r>
      <w:r>
        <w:rPr>
          <w:rFonts w:ascii="Times New Roman" w:hAnsi="Times New Roman" w:eastAsia="Times New Roman"/>
          <w:color w:val="auto"/>
          <w:spacing w:val="6"/>
          <w:sz w:val="27"/>
          <w:szCs w:val="27"/>
          <w:highlight w:val="none"/>
        </w:rPr>
        <w:t xml:space="preserve">2  </w:t>
      </w:r>
      <w:r>
        <w:rPr>
          <w:rFonts w:ascii="黑体" w:hAnsi="黑体" w:eastAsia="黑体"/>
          <w:color w:val="auto"/>
          <w:spacing w:val="6"/>
          <w:sz w:val="27"/>
          <w:szCs w:val="27"/>
          <w:highlight w:val="none"/>
        </w:rPr>
        <w:t>对投标人的纪律要求</w:t>
      </w:r>
      <w:bookmarkEnd w:id="322"/>
      <w:bookmarkEnd w:id="323"/>
      <w:bookmarkEnd w:id="324"/>
      <w:bookmarkEnd w:id="325"/>
      <w:bookmarkEnd w:id="326"/>
    </w:p>
    <w:p w14:paraId="35080735">
      <w:pPr>
        <w:spacing w:before="68" w:line="358" w:lineRule="auto"/>
        <w:ind w:right="80" w:firstLine="422"/>
        <w:rPr>
          <w:rFonts w:ascii="宋体" w:hAnsi="宋体" w:eastAsia="宋体"/>
          <w:color w:val="auto"/>
          <w:spacing w:val="-3"/>
          <w:highlight w:val="none"/>
        </w:rPr>
      </w:pPr>
      <w:r>
        <w:rPr>
          <w:rFonts w:ascii="宋体" w:hAnsi="宋体" w:eastAsia="宋体"/>
          <w:color w:val="auto"/>
          <w:spacing w:val="1"/>
          <w:highlight w:val="none"/>
        </w:rPr>
        <w:t>投标人不得相互串通投标或者</w:t>
      </w:r>
      <w:r>
        <w:rPr>
          <w:rFonts w:ascii="宋体" w:hAnsi="宋体" w:eastAsia="宋体"/>
          <w:color w:val="auto"/>
          <w:highlight w:val="none"/>
        </w:rPr>
        <w:t>与招标人串通投标，不得向招标人或者评标委员会成员行贿</w:t>
      </w:r>
      <w:r>
        <w:rPr>
          <w:rFonts w:ascii="宋体" w:hAnsi="宋体" w:eastAsia="宋体"/>
          <w:color w:val="auto"/>
          <w:spacing w:val="-4"/>
          <w:highlight w:val="none"/>
        </w:rPr>
        <w:t>谋取中</w:t>
      </w:r>
      <w:r>
        <w:rPr>
          <w:rFonts w:ascii="宋体" w:hAnsi="宋体" w:eastAsia="宋体"/>
          <w:color w:val="auto"/>
          <w:spacing w:val="-2"/>
          <w:highlight w:val="none"/>
        </w:rPr>
        <w:t>标，不得以他人名义投标或者以其他方式弄虚作假骗取中标；投标人不得以任何方式干</w:t>
      </w:r>
      <w:r>
        <w:rPr>
          <w:rFonts w:ascii="宋体" w:hAnsi="宋体" w:eastAsia="宋体"/>
          <w:color w:val="auto"/>
          <w:spacing w:val="-6"/>
          <w:highlight w:val="none"/>
        </w:rPr>
        <w:t>扰、</w:t>
      </w:r>
      <w:r>
        <w:rPr>
          <w:rFonts w:ascii="宋体" w:hAnsi="宋体" w:eastAsia="宋体"/>
          <w:color w:val="auto"/>
          <w:spacing w:val="-4"/>
          <w:highlight w:val="none"/>
        </w:rPr>
        <w:t>影</w:t>
      </w:r>
      <w:r>
        <w:rPr>
          <w:rFonts w:ascii="宋体" w:hAnsi="宋体" w:eastAsia="宋体"/>
          <w:color w:val="auto"/>
          <w:spacing w:val="-3"/>
          <w:highlight w:val="none"/>
        </w:rPr>
        <w:t>响评标工作。</w:t>
      </w:r>
    </w:p>
    <w:p w14:paraId="3AF4BE14">
      <w:pPr>
        <w:pStyle w:val="2"/>
        <w:rPr>
          <w:rFonts w:eastAsiaTheme="minorEastAsia"/>
          <w:color w:val="auto"/>
          <w:highlight w:val="none"/>
        </w:rPr>
      </w:pPr>
    </w:p>
    <w:p w14:paraId="284457C6">
      <w:pPr>
        <w:rPr>
          <w:rFonts w:ascii="Times New Roman" w:hAnsi="Times New Roman" w:eastAsia="Times New Roman"/>
          <w:color w:val="auto"/>
          <w:spacing w:val="14"/>
          <w:sz w:val="27"/>
          <w:szCs w:val="27"/>
          <w:highlight w:val="none"/>
        </w:rPr>
      </w:pPr>
      <w:bookmarkStart w:id="327" w:name="_Toc28102"/>
      <w:bookmarkStart w:id="328" w:name="_Toc16711"/>
      <w:bookmarkStart w:id="329" w:name="_Toc1587"/>
      <w:bookmarkStart w:id="330" w:name="_Toc13086"/>
      <w:bookmarkStart w:id="331" w:name="_Toc1811"/>
      <w:r>
        <w:rPr>
          <w:rFonts w:ascii="Times New Roman" w:hAnsi="Times New Roman" w:eastAsia="Times New Roman"/>
          <w:color w:val="auto"/>
          <w:spacing w:val="14"/>
          <w:sz w:val="27"/>
          <w:szCs w:val="27"/>
          <w:highlight w:val="none"/>
        </w:rPr>
        <w:t>8</w:t>
      </w:r>
      <w:r>
        <w:rPr>
          <w:rFonts w:ascii="Times New Roman" w:hAnsi="Times New Roman" w:eastAsia="Times New Roman"/>
          <w:color w:val="auto"/>
          <w:spacing w:val="7"/>
          <w:sz w:val="27"/>
          <w:szCs w:val="27"/>
          <w:highlight w:val="none"/>
        </w:rPr>
        <w:t xml:space="preserve">.3  </w:t>
      </w:r>
      <w:r>
        <w:rPr>
          <w:rFonts w:ascii="黑体" w:hAnsi="黑体" w:eastAsia="黑体"/>
          <w:color w:val="auto"/>
          <w:spacing w:val="7"/>
          <w:sz w:val="27"/>
          <w:szCs w:val="27"/>
          <w:highlight w:val="none"/>
        </w:rPr>
        <w:t>对评标委员会成员的纪律要求</w:t>
      </w:r>
      <w:bookmarkEnd w:id="327"/>
      <w:bookmarkEnd w:id="328"/>
      <w:bookmarkEnd w:id="329"/>
      <w:bookmarkEnd w:id="330"/>
      <w:bookmarkEnd w:id="331"/>
    </w:p>
    <w:p w14:paraId="39337374">
      <w:pPr>
        <w:spacing w:before="69" w:line="356" w:lineRule="auto"/>
        <w:ind w:right="13" w:firstLine="419"/>
        <w:rPr>
          <w:rFonts w:ascii="宋体" w:hAnsi="宋体" w:eastAsia="宋体"/>
          <w:color w:val="auto"/>
          <w:spacing w:val="-1"/>
          <w:highlight w:val="none"/>
        </w:rPr>
      </w:pPr>
      <w:r>
        <w:rPr>
          <w:rFonts w:ascii="宋体" w:hAnsi="宋体" w:eastAsia="宋体"/>
          <w:color w:val="auto"/>
          <w:spacing w:val="1"/>
          <w:highlight w:val="none"/>
        </w:rPr>
        <w:t>评标委员会成员不得收受他人的财物</w:t>
      </w:r>
      <w:r>
        <w:rPr>
          <w:rFonts w:ascii="宋体" w:hAnsi="宋体" w:eastAsia="宋体"/>
          <w:color w:val="auto"/>
          <w:highlight w:val="none"/>
        </w:rPr>
        <w:t xml:space="preserve">或者其他好处，不得向他人透露对投标文件的评审和 </w:t>
      </w:r>
      <w:r>
        <w:rPr>
          <w:rFonts w:ascii="宋体" w:hAnsi="宋体" w:eastAsia="宋体"/>
          <w:color w:val="auto"/>
          <w:spacing w:val="1"/>
          <w:highlight w:val="none"/>
        </w:rPr>
        <w:t>比较、中标候选人的推荐情况以及</w:t>
      </w:r>
      <w:r>
        <w:rPr>
          <w:rFonts w:ascii="宋体" w:hAnsi="宋体" w:eastAsia="宋体"/>
          <w:color w:val="auto"/>
          <w:highlight w:val="none"/>
        </w:rPr>
        <w:t xml:space="preserve">评标有关的其他情况。在评标活动中，评标委员会成员应当 </w:t>
      </w:r>
      <w:r>
        <w:rPr>
          <w:rFonts w:ascii="宋体" w:hAnsi="宋体" w:eastAsia="宋体"/>
          <w:color w:val="auto"/>
          <w:spacing w:val="-4"/>
          <w:highlight w:val="none"/>
        </w:rPr>
        <w:t>客观、</w:t>
      </w:r>
      <w:r>
        <w:rPr>
          <w:rFonts w:ascii="宋体" w:hAnsi="宋体" w:eastAsia="宋体"/>
          <w:color w:val="auto"/>
          <w:spacing w:val="-2"/>
          <w:highlight w:val="none"/>
        </w:rPr>
        <w:t>公正地履行职责，遵守职业道德，不得擅离职守，影响评标程序正常进行，不得使用第</w:t>
      </w:r>
      <w:r>
        <w:rPr>
          <w:rFonts w:ascii="宋体" w:hAnsi="宋体" w:eastAsia="宋体"/>
          <w:color w:val="auto"/>
          <w:highlight w:val="none"/>
        </w:rPr>
        <w:t xml:space="preserve"> </w:t>
      </w:r>
      <w:r>
        <w:rPr>
          <w:rFonts w:ascii="宋体" w:hAnsi="宋体" w:eastAsia="宋体"/>
          <w:color w:val="auto"/>
          <w:spacing w:val="-2"/>
          <w:highlight w:val="none"/>
        </w:rPr>
        <w:t>三章</w:t>
      </w:r>
      <w:r>
        <w:rPr>
          <w:rFonts w:hint="eastAsia" w:ascii="Times New Roman" w:hAnsi="Times New Roman" w:eastAsia="宋体"/>
          <w:color w:val="auto"/>
          <w:spacing w:val="-2"/>
          <w:highlight w:val="none"/>
        </w:rPr>
        <w:t>“</w:t>
      </w:r>
      <w:r>
        <w:rPr>
          <w:rFonts w:ascii="宋体" w:hAnsi="宋体" w:eastAsia="宋体"/>
          <w:color w:val="auto"/>
          <w:spacing w:val="-2"/>
          <w:highlight w:val="none"/>
        </w:rPr>
        <w:t>评标办法</w:t>
      </w:r>
      <w:r>
        <w:rPr>
          <w:rFonts w:hint="eastAsia" w:ascii="Times New Roman" w:hAnsi="Times New Roman" w:eastAsia="宋体"/>
          <w:color w:val="auto"/>
          <w:spacing w:val="-2"/>
          <w:highlight w:val="none"/>
        </w:rPr>
        <w:t>”</w:t>
      </w:r>
      <w:r>
        <w:rPr>
          <w:rFonts w:ascii="宋体" w:hAnsi="宋体" w:eastAsia="宋体"/>
          <w:color w:val="auto"/>
          <w:spacing w:val="-2"/>
          <w:highlight w:val="none"/>
        </w:rPr>
        <w:t>没有规定</w:t>
      </w:r>
      <w:r>
        <w:rPr>
          <w:rFonts w:ascii="宋体" w:hAnsi="宋体" w:eastAsia="宋体"/>
          <w:color w:val="auto"/>
          <w:spacing w:val="-1"/>
          <w:highlight w:val="none"/>
        </w:rPr>
        <w:t>的评审因素和标准进行评标。</w:t>
      </w:r>
    </w:p>
    <w:p w14:paraId="14A6D5A8">
      <w:pPr>
        <w:pStyle w:val="2"/>
        <w:rPr>
          <w:rFonts w:eastAsiaTheme="minorEastAsia"/>
          <w:color w:val="auto"/>
          <w:highlight w:val="none"/>
        </w:rPr>
      </w:pPr>
    </w:p>
    <w:p w14:paraId="071DF899">
      <w:pPr>
        <w:rPr>
          <w:rFonts w:ascii="Times New Roman" w:hAnsi="Times New Roman" w:eastAsia="Times New Roman"/>
          <w:color w:val="auto"/>
          <w:spacing w:val="9"/>
          <w:sz w:val="27"/>
          <w:szCs w:val="27"/>
          <w:highlight w:val="none"/>
        </w:rPr>
      </w:pPr>
      <w:bookmarkStart w:id="332" w:name="_Toc23055"/>
      <w:bookmarkStart w:id="333" w:name="_Toc17089"/>
      <w:bookmarkStart w:id="334" w:name="_Toc11797"/>
      <w:bookmarkStart w:id="335" w:name="_Toc16896"/>
      <w:bookmarkStart w:id="336" w:name="_Toc23647"/>
      <w:r>
        <w:rPr>
          <w:rFonts w:ascii="Times New Roman" w:hAnsi="Times New Roman" w:eastAsia="Times New Roman"/>
          <w:color w:val="auto"/>
          <w:spacing w:val="9"/>
          <w:sz w:val="27"/>
          <w:szCs w:val="27"/>
          <w:highlight w:val="none"/>
        </w:rPr>
        <w:t>8</w:t>
      </w:r>
      <w:r>
        <w:rPr>
          <w:rFonts w:ascii="Times New Roman" w:hAnsi="Times New Roman" w:eastAsia="Times New Roman"/>
          <w:color w:val="auto"/>
          <w:spacing w:val="8"/>
          <w:sz w:val="27"/>
          <w:szCs w:val="27"/>
          <w:highlight w:val="none"/>
        </w:rPr>
        <w:t xml:space="preserve">.4  </w:t>
      </w:r>
      <w:r>
        <w:rPr>
          <w:rFonts w:ascii="黑体" w:hAnsi="黑体" w:eastAsia="黑体"/>
          <w:color w:val="auto"/>
          <w:spacing w:val="8"/>
          <w:sz w:val="27"/>
          <w:szCs w:val="27"/>
          <w:highlight w:val="none"/>
        </w:rPr>
        <w:t>对与评标活动有关的工作人员的纪律要求</w:t>
      </w:r>
      <w:bookmarkEnd w:id="332"/>
      <w:bookmarkEnd w:id="333"/>
      <w:bookmarkEnd w:id="334"/>
      <w:bookmarkEnd w:id="335"/>
      <w:bookmarkEnd w:id="336"/>
    </w:p>
    <w:p w14:paraId="5F9FEBE7">
      <w:pPr>
        <w:spacing w:before="68" w:line="358" w:lineRule="auto"/>
        <w:ind w:right="13" w:firstLine="425"/>
        <w:rPr>
          <w:rFonts w:ascii="宋体" w:hAnsi="宋体" w:eastAsia="宋体"/>
          <w:color w:val="auto"/>
          <w:spacing w:val="-1"/>
          <w:highlight w:val="none"/>
        </w:rPr>
      </w:pPr>
      <w:r>
        <w:rPr>
          <w:rFonts w:ascii="宋体" w:hAnsi="宋体" w:eastAsia="宋体"/>
          <w:color w:val="auto"/>
          <w:spacing w:val="1"/>
          <w:highlight w:val="none"/>
        </w:rPr>
        <w:t>与评标活动有关的工作人</w:t>
      </w:r>
      <w:r>
        <w:rPr>
          <w:rFonts w:ascii="宋体" w:hAnsi="宋体" w:eastAsia="宋体"/>
          <w:color w:val="auto"/>
          <w:highlight w:val="none"/>
        </w:rPr>
        <w:t xml:space="preserve">员不得收受他人的财物或者其他好处，不得向他人透露对投标文 </w:t>
      </w:r>
      <w:r>
        <w:rPr>
          <w:rFonts w:ascii="宋体" w:hAnsi="宋体" w:eastAsia="宋体"/>
          <w:color w:val="auto"/>
          <w:spacing w:val="1"/>
          <w:highlight w:val="none"/>
        </w:rPr>
        <w:t>件的评审和比较、中标候选人的推荐</w:t>
      </w:r>
      <w:r>
        <w:rPr>
          <w:rFonts w:ascii="宋体" w:hAnsi="宋体" w:eastAsia="宋体"/>
          <w:color w:val="auto"/>
          <w:highlight w:val="none"/>
        </w:rPr>
        <w:t xml:space="preserve">情况以及评标有关的其他情况。在评标活动中，与评标活 </w:t>
      </w:r>
      <w:r>
        <w:rPr>
          <w:rFonts w:ascii="宋体" w:hAnsi="宋体" w:eastAsia="宋体"/>
          <w:color w:val="auto"/>
          <w:spacing w:val="-2"/>
          <w:highlight w:val="none"/>
        </w:rPr>
        <w:t>动有关的工作人员不得</w:t>
      </w:r>
      <w:r>
        <w:rPr>
          <w:rFonts w:ascii="宋体" w:hAnsi="宋体" w:eastAsia="宋体"/>
          <w:color w:val="auto"/>
          <w:spacing w:val="-1"/>
          <w:highlight w:val="none"/>
        </w:rPr>
        <w:t>擅离职守，影响评标程序正常进行。</w:t>
      </w:r>
    </w:p>
    <w:p w14:paraId="6A0D97EC">
      <w:pPr>
        <w:pStyle w:val="2"/>
        <w:rPr>
          <w:rFonts w:eastAsiaTheme="minorEastAsia"/>
          <w:color w:val="auto"/>
          <w:highlight w:val="none"/>
        </w:rPr>
      </w:pPr>
    </w:p>
    <w:p w14:paraId="718B0F9B">
      <w:pPr>
        <w:rPr>
          <w:rFonts w:ascii="Times New Roman" w:hAnsi="Times New Roman" w:eastAsia="Times New Roman"/>
          <w:color w:val="auto"/>
          <w:spacing w:val="3"/>
          <w:sz w:val="27"/>
          <w:szCs w:val="27"/>
          <w:highlight w:val="none"/>
        </w:rPr>
      </w:pPr>
      <w:bookmarkStart w:id="337" w:name="_Toc10402"/>
      <w:bookmarkStart w:id="338" w:name="_Toc32762"/>
      <w:bookmarkStart w:id="339" w:name="_Toc15962"/>
      <w:bookmarkStart w:id="340" w:name="_Toc17462"/>
      <w:bookmarkStart w:id="341" w:name="_Toc31393"/>
      <w:r>
        <w:rPr>
          <w:rFonts w:ascii="Times New Roman" w:hAnsi="Times New Roman" w:eastAsia="Times New Roman"/>
          <w:color w:val="auto"/>
          <w:spacing w:val="3"/>
          <w:sz w:val="27"/>
          <w:szCs w:val="27"/>
          <w:highlight w:val="none"/>
        </w:rPr>
        <w:t xml:space="preserve">8.5  </w:t>
      </w:r>
      <w:r>
        <w:rPr>
          <w:rFonts w:ascii="黑体" w:hAnsi="黑体" w:eastAsia="黑体"/>
          <w:color w:val="auto"/>
          <w:spacing w:val="3"/>
          <w:sz w:val="27"/>
          <w:szCs w:val="27"/>
          <w:highlight w:val="none"/>
        </w:rPr>
        <w:t>投</w:t>
      </w:r>
      <w:r>
        <w:rPr>
          <w:rFonts w:ascii="黑体" w:hAnsi="黑体" w:eastAsia="黑体"/>
          <w:color w:val="auto"/>
          <w:spacing w:val="1"/>
          <w:sz w:val="27"/>
          <w:szCs w:val="27"/>
          <w:highlight w:val="none"/>
        </w:rPr>
        <w:t>诉</w:t>
      </w:r>
      <w:bookmarkEnd w:id="337"/>
      <w:bookmarkEnd w:id="338"/>
      <w:bookmarkEnd w:id="339"/>
      <w:bookmarkEnd w:id="340"/>
      <w:bookmarkEnd w:id="341"/>
    </w:p>
    <w:p w14:paraId="75AB60F0">
      <w:pPr>
        <w:spacing w:before="69" w:line="352" w:lineRule="auto"/>
        <w:ind w:left="5" w:right="6" w:firstLine="420"/>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8.5</w:t>
      </w:r>
      <w:r>
        <w:rPr>
          <w:rFonts w:ascii="Times New Roman" w:hAnsi="Times New Roman" w:eastAsia="Times New Roman"/>
          <w:color w:val="auto"/>
          <w:spacing w:val="-4"/>
          <w:highlight w:val="none"/>
        </w:rPr>
        <w:t xml:space="preserve">.1  </w:t>
      </w:r>
      <w:r>
        <w:rPr>
          <w:rFonts w:ascii="宋体" w:hAnsi="宋体" w:eastAsia="宋体"/>
          <w:color w:val="auto"/>
          <w:spacing w:val="-4"/>
          <w:highlight w:val="none"/>
        </w:rPr>
        <w:t>投标人或者其他利害关系人认为招标投标活动不符合法律、行政法规规定的， 可以自</w:t>
      </w:r>
      <w:r>
        <w:rPr>
          <w:rFonts w:ascii="宋体" w:hAnsi="宋体" w:eastAsia="宋体"/>
          <w:color w:val="auto"/>
          <w:highlight w:val="none"/>
        </w:rPr>
        <w:t xml:space="preserve"> </w:t>
      </w:r>
      <w:r>
        <w:rPr>
          <w:rFonts w:ascii="宋体" w:hAnsi="宋体" w:eastAsia="宋体"/>
          <w:color w:val="auto"/>
          <w:spacing w:val="-6"/>
          <w:highlight w:val="none"/>
        </w:rPr>
        <w:t>知道</w:t>
      </w:r>
      <w:r>
        <w:rPr>
          <w:rFonts w:ascii="宋体" w:hAnsi="宋体" w:eastAsia="宋体"/>
          <w:color w:val="auto"/>
          <w:spacing w:val="-5"/>
          <w:highlight w:val="none"/>
        </w:rPr>
        <w:t>或</w:t>
      </w:r>
      <w:r>
        <w:rPr>
          <w:rFonts w:ascii="宋体" w:hAnsi="宋体" w:eastAsia="宋体"/>
          <w:color w:val="auto"/>
          <w:spacing w:val="-3"/>
          <w:highlight w:val="none"/>
        </w:rPr>
        <w:t xml:space="preserve">者应当知道之日起 </w:t>
      </w:r>
      <w:r>
        <w:rPr>
          <w:rFonts w:ascii="Times New Roman" w:hAnsi="Times New Roman" w:eastAsia="Times New Roman"/>
          <w:color w:val="auto"/>
          <w:spacing w:val="-3"/>
          <w:highlight w:val="none"/>
        </w:rPr>
        <w:t xml:space="preserve">10 </w:t>
      </w:r>
      <w:r>
        <w:rPr>
          <w:rFonts w:ascii="宋体" w:hAnsi="宋体" w:eastAsia="宋体"/>
          <w:color w:val="auto"/>
          <w:spacing w:val="-3"/>
          <w:highlight w:val="none"/>
        </w:rPr>
        <w:t>日内向有关行政监督部门投诉。投诉应当有明确的请求和必要的证</w:t>
      </w:r>
      <w:r>
        <w:rPr>
          <w:rFonts w:ascii="宋体" w:hAnsi="宋体" w:eastAsia="宋体"/>
          <w:color w:val="auto"/>
          <w:highlight w:val="none"/>
        </w:rPr>
        <w:t xml:space="preserve"> </w:t>
      </w:r>
      <w:r>
        <w:rPr>
          <w:rFonts w:ascii="宋体" w:hAnsi="宋体" w:eastAsia="宋体"/>
          <w:color w:val="auto"/>
          <w:spacing w:val="-8"/>
          <w:highlight w:val="none"/>
        </w:rPr>
        <w:t>明材料。</w:t>
      </w:r>
    </w:p>
    <w:p w14:paraId="26AB7E96">
      <w:pPr>
        <w:spacing w:before="3" w:line="357" w:lineRule="auto"/>
        <w:ind w:left="2" w:firstLine="422"/>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8.5</w:t>
      </w:r>
      <w:r>
        <w:rPr>
          <w:rFonts w:ascii="Times New Roman" w:hAnsi="Times New Roman" w:eastAsia="Times New Roman"/>
          <w:color w:val="auto"/>
          <w:spacing w:val="-4"/>
          <w:highlight w:val="none"/>
        </w:rPr>
        <w:t xml:space="preserve">.2  </w:t>
      </w:r>
      <w:r>
        <w:rPr>
          <w:rFonts w:ascii="宋体" w:hAnsi="宋体" w:eastAsia="宋体"/>
          <w:color w:val="auto"/>
          <w:spacing w:val="-4"/>
          <w:highlight w:val="none"/>
        </w:rPr>
        <w:t>投标人或者其他利害关系人对招标文件、开标和评标结果提出投诉的， 应当按照投标</w:t>
      </w:r>
      <w:r>
        <w:rPr>
          <w:rFonts w:ascii="宋体" w:hAnsi="宋体" w:eastAsia="宋体"/>
          <w:color w:val="auto"/>
          <w:highlight w:val="none"/>
        </w:rPr>
        <w:t xml:space="preserve"> </w:t>
      </w:r>
      <w:r>
        <w:rPr>
          <w:rFonts w:ascii="宋体" w:hAnsi="宋体" w:eastAsia="宋体"/>
          <w:color w:val="auto"/>
          <w:spacing w:val="-9"/>
          <w:highlight w:val="none"/>
        </w:rPr>
        <w:t xml:space="preserve">人须知第 </w:t>
      </w:r>
      <w:r>
        <w:rPr>
          <w:rFonts w:ascii="Times New Roman" w:hAnsi="Times New Roman" w:eastAsia="Times New Roman"/>
          <w:color w:val="auto"/>
          <w:spacing w:val="-9"/>
          <w:highlight w:val="none"/>
        </w:rPr>
        <w:t xml:space="preserve">2.4 </w:t>
      </w:r>
      <w:r>
        <w:rPr>
          <w:rFonts w:ascii="宋体" w:hAnsi="宋体" w:eastAsia="宋体"/>
          <w:color w:val="auto"/>
          <w:spacing w:val="-9"/>
          <w:highlight w:val="none"/>
        </w:rPr>
        <w:t xml:space="preserve">款、第 </w:t>
      </w:r>
      <w:r>
        <w:rPr>
          <w:rFonts w:ascii="Times New Roman" w:hAnsi="Times New Roman" w:eastAsia="Times New Roman"/>
          <w:color w:val="auto"/>
          <w:spacing w:val="-9"/>
          <w:highlight w:val="none"/>
        </w:rPr>
        <w:t xml:space="preserve">5.3 </w:t>
      </w:r>
      <w:r>
        <w:rPr>
          <w:rFonts w:ascii="宋体" w:hAnsi="宋体" w:eastAsia="宋体"/>
          <w:color w:val="auto"/>
          <w:spacing w:val="-9"/>
          <w:highlight w:val="none"/>
        </w:rPr>
        <w:t xml:space="preserve">款和第 </w:t>
      </w:r>
      <w:r>
        <w:rPr>
          <w:rFonts w:ascii="Times New Roman" w:hAnsi="Times New Roman" w:eastAsia="Times New Roman"/>
          <w:color w:val="auto"/>
          <w:spacing w:val="-9"/>
          <w:highlight w:val="none"/>
        </w:rPr>
        <w:t xml:space="preserve">7.2 </w:t>
      </w:r>
      <w:r>
        <w:rPr>
          <w:rFonts w:ascii="宋体" w:hAnsi="宋体" w:eastAsia="宋体"/>
          <w:color w:val="auto"/>
          <w:spacing w:val="-9"/>
          <w:highlight w:val="none"/>
        </w:rPr>
        <w:t xml:space="preserve">款的规定先向招标人提出异议。异议答复期间不计算在第 </w:t>
      </w:r>
      <w:r>
        <w:rPr>
          <w:rFonts w:ascii="Times New Roman" w:hAnsi="Times New Roman" w:eastAsia="Times New Roman"/>
          <w:color w:val="auto"/>
          <w:spacing w:val="-9"/>
          <w:highlight w:val="none"/>
        </w:rPr>
        <w:t>8.5.</w:t>
      </w:r>
      <w:r>
        <w:rPr>
          <w:rFonts w:ascii="Times New Roman" w:hAnsi="Times New Roman" w:eastAsia="Times New Roman"/>
          <w:color w:val="auto"/>
          <w:spacing w:val="-3"/>
          <w:highlight w:val="none"/>
        </w:rPr>
        <w:t>1</w:t>
      </w:r>
      <w:r>
        <w:rPr>
          <w:rFonts w:ascii="Times New Roman" w:hAnsi="Times New Roman" w:eastAsia="Times New Roman"/>
          <w:color w:val="auto"/>
          <w:highlight w:val="none"/>
        </w:rPr>
        <w:t xml:space="preserve"> </w:t>
      </w:r>
      <w:r>
        <w:rPr>
          <w:rFonts w:ascii="宋体" w:hAnsi="宋体" w:eastAsia="宋体"/>
          <w:color w:val="auto"/>
          <w:spacing w:val="-7"/>
          <w:highlight w:val="none"/>
        </w:rPr>
        <w:t>项</w:t>
      </w:r>
      <w:r>
        <w:rPr>
          <w:rFonts w:ascii="宋体" w:hAnsi="宋体" w:eastAsia="宋体"/>
          <w:color w:val="auto"/>
          <w:spacing w:val="-4"/>
          <w:highlight w:val="none"/>
        </w:rPr>
        <w:t>规定的期限内。</w:t>
      </w:r>
    </w:p>
    <w:p w14:paraId="7542098C">
      <w:pPr>
        <w:pStyle w:val="24"/>
        <w:spacing w:before="120" w:after="120"/>
        <w:outlineLvl w:val="9"/>
        <w:rPr>
          <w:rFonts w:ascii="Times New Roman" w:hAnsi="Times New Roman" w:eastAsia="Times New Roman"/>
          <w:bCs/>
          <w:color w:val="auto"/>
          <w:spacing w:val="10"/>
          <w:sz w:val="31"/>
          <w:szCs w:val="31"/>
          <w:highlight w:val="none"/>
        </w:rPr>
      </w:pPr>
      <w:bookmarkStart w:id="342" w:name="_Toc15884"/>
      <w:bookmarkStart w:id="343" w:name="_Toc19261"/>
      <w:bookmarkStart w:id="344" w:name="_Toc19781"/>
      <w:bookmarkStart w:id="345" w:name="_Toc25410"/>
      <w:bookmarkStart w:id="346" w:name="_Toc4587"/>
      <w:r>
        <w:rPr>
          <w:rFonts w:ascii="Times New Roman" w:hAnsi="Times New Roman" w:eastAsia="Times New Roman"/>
          <w:bCs/>
          <w:color w:val="auto"/>
          <w:spacing w:val="10"/>
          <w:sz w:val="31"/>
          <w:szCs w:val="31"/>
          <w:highlight w:val="none"/>
        </w:rPr>
        <w:t>9</w:t>
      </w:r>
      <w:r>
        <w:rPr>
          <w:rFonts w:ascii="Times New Roman" w:hAnsi="Times New Roman" w:eastAsia="Times New Roman"/>
          <w:bCs/>
          <w:color w:val="auto"/>
          <w:spacing w:val="8"/>
          <w:sz w:val="31"/>
          <w:szCs w:val="31"/>
          <w:highlight w:val="none"/>
        </w:rPr>
        <w:t>.</w:t>
      </w:r>
      <w:r>
        <w:rPr>
          <w:rFonts w:ascii="Times New Roman" w:hAnsi="Times New Roman" w:eastAsia="Times New Roman"/>
          <w:color w:val="auto"/>
          <w:spacing w:val="8"/>
          <w:sz w:val="31"/>
          <w:szCs w:val="31"/>
          <w:highlight w:val="none"/>
        </w:rPr>
        <w:t xml:space="preserve">  </w:t>
      </w:r>
      <w:r>
        <w:rPr>
          <w:rFonts w:ascii="黑体" w:hAnsi="黑体" w:eastAsia="黑体"/>
          <w:color w:val="auto"/>
          <w:spacing w:val="8"/>
          <w:sz w:val="31"/>
          <w:szCs w:val="31"/>
          <w:highlight w:val="none"/>
        </w:rPr>
        <w:t>是否采用电子招标投标</w:t>
      </w:r>
      <w:bookmarkEnd w:id="342"/>
      <w:bookmarkEnd w:id="343"/>
      <w:bookmarkEnd w:id="344"/>
      <w:bookmarkEnd w:id="345"/>
      <w:bookmarkEnd w:id="346"/>
    </w:p>
    <w:p w14:paraId="224DC8C0">
      <w:pPr>
        <w:spacing w:before="3" w:line="357" w:lineRule="auto"/>
        <w:ind w:left="2" w:firstLine="422"/>
        <w:rPr>
          <w:rFonts w:ascii="Times New Roman" w:hAnsi="Times New Roman" w:eastAsiaTheme="minorEastAsia"/>
          <w:color w:val="auto"/>
          <w:spacing w:val="-8"/>
          <w:highlight w:val="none"/>
        </w:rPr>
      </w:pPr>
      <w:r>
        <w:rPr>
          <w:rFonts w:ascii="Times New Roman" w:hAnsi="Times New Roman" w:eastAsia="Times New Roman"/>
          <w:color w:val="auto"/>
          <w:spacing w:val="-8"/>
          <w:highlight w:val="none"/>
        </w:rPr>
        <w:t>本招标项目采用电子招标投标方式，</w:t>
      </w:r>
      <w:r>
        <w:rPr>
          <w:rFonts w:hint="eastAsia" w:ascii="Times New Roman" w:hAnsi="Times New Roman" w:eastAsia="Times New Roman"/>
          <w:color w:val="auto"/>
          <w:spacing w:val="-8"/>
          <w:highlight w:val="none"/>
        </w:rPr>
        <w:t>按照</w:t>
      </w:r>
      <w:r>
        <w:rPr>
          <w:rFonts w:hint="eastAsia" w:ascii="Times New Roman" w:hAnsi="Times New Roman" w:eastAsia="宋体"/>
          <w:color w:val="auto"/>
          <w:spacing w:val="-8"/>
          <w:highlight w:val="none"/>
        </w:rPr>
        <w:t>广州交易集团有限公司（广州公共资源交易中心）</w:t>
      </w:r>
      <w:r>
        <w:rPr>
          <w:rFonts w:hint="eastAsia" w:ascii="Times New Roman" w:hAnsi="Times New Roman" w:eastAsia="Times New Roman"/>
          <w:color w:val="auto"/>
          <w:spacing w:val="-8"/>
          <w:highlight w:val="none"/>
        </w:rPr>
        <w:t>网站关于全流程电子化项目的相关指南进行操作。</w:t>
      </w:r>
    </w:p>
    <w:p w14:paraId="08BD02CC">
      <w:pPr>
        <w:pStyle w:val="2"/>
        <w:rPr>
          <w:rFonts w:eastAsiaTheme="minorEastAsia"/>
          <w:color w:val="auto"/>
          <w:highlight w:val="none"/>
        </w:rPr>
      </w:pPr>
    </w:p>
    <w:p w14:paraId="39DB924B">
      <w:pPr>
        <w:pStyle w:val="24"/>
        <w:spacing w:before="120" w:after="120"/>
        <w:outlineLvl w:val="9"/>
        <w:rPr>
          <w:rFonts w:ascii="黑体" w:hAnsi="黑体" w:eastAsia="黑体"/>
          <w:color w:val="auto"/>
          <w:spacing w:val="8"/>
          <w:sz w:val="31"/>
          <w:szCs w:val="31"/>
          <w:highlight w:val="none"/>
        </w:rPr>
      </w:pPr>
      <w:r>
        <w:rPr>
          <w:rFonts w:ascii="黑体" w:hAnsi="黑体" w:eastAsia="黑体"/>
          <w:color w:val="auto"/>
          <w:spacing w:val="8"/>
          <w:sz w:val="31"/>
          <w:szCs w:val="31"/>
          <w:highlight w:val="none"/>
        </w:rPr>
        <w:t>10</w:t>
      </w:r>
      <w:r>
        <w:rPr>
          <w:rFonts w:hint="eastAsia" w:ascii="黑体" w:hAnsi="黑体" w:eastAsia="黑体"/>
          <w:color w:val="auto"/>
          <w:spacing w:val="8"/>
          <w:sz w:val="31"/>
          <w:szCs w:val="31"/>
          <w:highlight w:val="none"/>
        </w:rPr>
        <w:t>.</w:t>
      </w:r>
      <w:r>
        <w:rPr>
          <w:rFonts w:ascii="黑体" w:hAnsi="黑体" w:eastAsia="黑体"/>
          <w:color w:val="auto"/>
          <w:spacing w:val="8"/>
          <w:sz w:val="31"/>
          <w:szCs w:val="31"/>
          <w:highlight w:val="none"/>
        </w:rPr>
        <w:t>重新招标情形</w:t>
      </w:r>
    </w:p>
    <w:p w14:paraId="581625C8">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在下列情况下，依法必须招标项目的招标人在分析招标失败的原因并采取相应措施后，应当依照本办法重新招标：</w:t>
      </w:r>
    </w:p>
    <w:p w14:paraId="20C5E71D">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（一）资格预审合格的潜在投标人不足三个的；</w:t>
      </w:r>
    </w:p>
    <w:p w14:paraId="550110B8">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（二）在投标截止时间前提交投标文件的投标人少于三个的；</w:t>
      </w:r>
    </w:p>
    <w:p w14:paraId="34924EE9">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（三）所有投标均被否决的；</w:t>
      </w:r>
    </w:p>
    <w:p w14:paraId="46B17087">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（四）评标委员会否决不合格投标后，因有效投标不足三个使得投标明显缺乏竞争，评标委员会决定否决全部投标的；</w:t>
      </w:r>
    </w:p>
    <w:p w14:paraId="4ECE2F15">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（五）根据</w:t>
      </w:r>
      <w:bookmarkStart w:id="347" w:name="_Toc26088"/>
      <w:r>
        <w:rPr>
          <w:rFonts w:hint="eastAsia" w:ascii="宋体" w:hAnsi="宋体" w:eastAsia="宋体"/>
          <w:color w:val="auto"/>
          <w:spacing w:val="-4"/>
          <w:highlight w:val="none"/>
        </w:rPr>
        <w:t>《</w:t>
      </w:r>
      <w:r>
        <w:rPr>
          <w:rFonts w:hint="eastAsia" w:ascii="宋体" w:hAnsi="宋体" w:eastAsia="宋体"/>
          <w:color w:val="auto"/>
          <w:highlight w:val="none"/>
        </w:rPr>
        <w:t>工程建设项目勘察设计招标投标办法</w:t>
      </w:r>
      <w:bookmarkEnd w:id="347"/>
      <w:r>
        <w:rPr>
          <w:rFonts w:hint="eastAsia" w:ascii="宋体" w:hAnsi="宋体" w:eastAsia="宋体"/>
          <w:color w:val="auto"/>
          <w:highlight w:val="none"/>
        </w:rPr>
        <w:t>》</w:t>
      </w:r>
      <w:r>
        <w:rPr>
          <w:rFonts w:ascii="宋体" w:hAnsi="宋体" w:eastAsia="宋体"/>
          <w:color w:val="auto"/>
          <w:spacing w:val="-4"/>
          <w:highlight w:val="none"/>
        </w:rPr>
        <w:t>第四十六条规定，同意延长投标有效期的投标人少于三个的。</w:t>
      </w:r>
    </w:p>
    <w:p w14:paraId="1725AF72">
      <w:pPr>
        <w:pStyle w:val="24"/>
        <w:spacing w:before="120" w:after="120"/>
        <w:outlineLvl w:val="9"/>
        <w:rPr>
          <w:rFonts w:ascii="Times New Roman" w:hAnsi="Times New Roman" w:eastAsia="Times New Roman"/>
          <w:bCs/>
          <w:color w:val="auto"/>
          <w:spacing w:val="7"/>
          <w:sz w:val="31"/>
          <w:szCs w:val="31"/>
          <w:highlight w:val="none"/>
        </w:rPr>
      </w:pPr>
      <w:bookmarkStart w:id="348" w:name="_Toc9611"/>
      <w:bookmarkStart w:id="349" w:name="_Toc18689"/>
      <w:bookmarkStart w:id="350" w:name="_Toc22380"/>
      <w:bookmarkStart w:id="351" w:name="_Toc9782"/>
      <w:bookmarkStart w:id="352" w:name="_Toc4820"/>
      <w:r>
        <w:rPr>
          <w:rFonts w:ascii="Times New Roman" w:hAnsi="Times New Roman" w:eastAsia="Times New Roman"/>
          <w:bCs/>
          <w:color w:val="auto"/>
          <w:spacing w:val="7"/>
          <w:sz w:val="31"/>
          <w:szCs w:val="31"/>
          <w:highlight w:val="none"/>
        </w:rPr>
        <w:t>1</w:t>
      </w:r>
      <w:r>
        <w:rPr>
          <w:rFonts w:hint="eastAsia" w:ascii="Times New Roman" w:hAnsi="Times New Roman"/>
          <w:bCs/>
          <w:color w:val="auto"/>
          <w:spacing w:val="7"/>
          <w:sz w:val="31"/>
          <w:szCs w:val="31"/>
          <w:highlight w:val="none"/>
        </w:rPr>
        <w:t>1</w:t>
      </w:r>
      <w:r>
        <w:rPr>
          <w:rFonts w:ascii="Times New Roman" w:hAnsi="Times New Roman" w:eastAsia="Times New Roman"/>
          <w:bCs/>
          <w:color w:val="auto"/>
          <w:spacing w:val="7"/>
          <w:sz w:val="31"/>
          <w:szCs w:val="31"/>
          <w:highlight w:val="none"/>
        </w:rPr>
        <w:t>.</w:t>
      </w:r>
      <w:r>
        <w:rPr>
          <w:rFonts w:ascii="Times New Roman" w:hAnsi="Times New Roman" w:eastAsia="Times New Roman"/>
          <w:color w:val="auto"/>
          <w:spacing w:val="7"/>
          <w:sz w:val="31"/>
          <w:szCs w:val="31"/>
          <w:highlight w:val="none"/>
        </w:rPr>
        <w:t xml:space="preserve">  </w:t>
      </w:r>
      <w:r>
        <w:rPr>
          <w:rFonts w:ascii="黑体" w:hAnsi="黑体" w:eastAsia="黑体"/>
          <w:color w:val="auto"/>
          <w:spacing w:val="7"/>
          <w:sz w:val="31"/>
          <w:szCs w:val="31"/>
          <w:highlight w:val="none"/>
        </w:rPr>
        <w:t>需要补充的其他内容</w:t>
      </w:r>
      <w:bookmarkEnd w:id="348"/>
      <w:bookmarkEnd w:id="349"/>
      <w:bookmarkEnd w:id="350"/>
      <w:bookmarkEnd w:id="351"/>
      <w:bookmarkEnd w:id="352"/>
    </w:p>
    <w:p w14:paraId="59D2675B">
      <w:pPr>
        <w:spacing w:line="313" w:lineRule="auto"/>
        <w:rPr>
          <w:color w:val="auto"/>
          <w:highlight w:val="none"/>
        </w:rPr>
      </w:pPr>
    </w:p>
    <w:p w14:paraId="2CECC00D">
      <w:pPr>
        <w:spacing w:before="69" w:line="218" w:lineRule="auto"/>
        <w:ind w:left="430"/>
        <w:rPr>
          <w:rFonts w:ascii="宋体" w:hAnsi="宋体" w:eastAsia="宋体"/>
          <w:color w:val="auto"/>
          <w:spacing w:val="-4"/>
          <w:highlight w:val="none"/>
        </w:rPr>
      </w:pPr>
      <w:r>
        <w:rPr>
          <w:rFonts w:ascii="宋体" w:hAnsi="宋体" w:eastAsia="宋体"/>
          <w:color w:val="auto"/>
          <w:spacing w:val="-4"/>
          <w:highlight w:val="none"/>
        </w:rPr>
        <w:t>需要补</w:t>
      </w:r>
      <w:r>
        <w:rPr>
          <w:rFonts w:ascii="宋体" w:hAnsi="宋体" w:eastAsia="宋体"/>
          <w:color w:val="auto"/>
          <w:spacing w:val="-2"/>
          <w:highlight w:val="none"/>
        </w:rPr>
        <w:t>充的其他内容：见投标人须知前附表。</w:t>
      </w:r>
    </w:p>
    <w:p w14:paraId="40F0D8F0">
      <w:pPr>
        <w:rPr>
          <w:color w:val="auto"/>
          <w:highlight w:val="none"/>
        </w:rPr>
        <w:sectPr>
          <w:footerReference r:id="rId11" w:type="default"/>
          <w:pgSz w:w="12240" w:h="15840"/>
          <w:pgMar w:top="1346" w:right="1393" w:bottom="1104" w:left="1807" w:header="0" w:footer="940" w:gutter="0"/>
          <w:cols w:space="720" w:num="1"/>
        </w:sectPr>
      </w:pPr>
    </w:p>
    <w:p w14:paraId="147DDB1F">
      <w:pPr>
        <w:spacing w:line="248" w:lineRule="auto"/>
        <w:rPr>
          <w:color w:val="auto"/>
          <w:highlight w:val="none"/>
        </w:rPr>
      </w:pPr>
    </w:p>
    <w:p w14:paraId="325211C3">
      <w:pPr>
        <w:pStyle w:val="24"/>
        <w:spacing w:before="120" w:after="120"/>
        <w:outlineLvl w:val="9"/>
        <w:rPr>
          <w:rFonts w:ascii="黑体" w:hAnsi="黑体" w:eastAsia="黑体"/>
          <w:color w:val="auto"/>
          <w:spacing w:val="14"/>
          <w:sz w:val="27"/>
          <w:szCs w:val="27"/>
          <w:highlight w:val="none"/>
        </w:rPr>
      </w:pPr>
      <w:bookmarkStart w:id="353" w:name="_Toc18427"/>
      <w:bookmarkStart w:id="354" w:name="_Toc16330"/>
      <w:bookmarkStart w:id="355" w:name="_Toc7946"/>
      <w:bookmarkStart w:id="356" w:name="_Toc9613"/>
      <w:bookmarkStart w:id="357" w:name="_Toc17042"/>
      <w:r>
        <w:rPr>
          <w:rFonts w:ascii="黑体" w:hAnsi="黑体" w:eastAsia="黑体"/>
          <w:color w:val="auto"/>
          <w:spacing w:val="14"/>
          <w:sz w:val="27"/>
          <w:szCs w:val="27"/>
          <w:highlight w:val="none"/>
        </w:rPr>
        <w:t>附</w:t>
      </w:r>
      <w:r>
        <w:rPr>
          <w:rFonts w:ascii="黑体" w:hAnsi="黑体" w:eastAsia="黑体"/>
          <w:color w:val="auto"/>
          <w:spacing w:val="7"/>
          <w:sz w:val="27"/>
          <w:szCs w:val="27"/>
          <w:highlight w:val="none"/>
        </w:rPr>
        <w:t>件</w:t>
      </w:r>
      <w:r>
        <w:rPr>
          <w:rFonts w:hint="eastAsia" w:ascii="黑体" w:hAnsi="黑体" w:eastAsia="黑体"/>
          <w:color w:val="auto"/>
          <w:spacing w:val="7"/>
          <w:sz w:val="27"/>
          <w:szCs w:val="27"/>
          <w:highlight w:val="none"/>
        </w:rPr>
        <w:t>一</w:t>
      </w:r>
      <w:r>
        <w:rPr>
          <w:rFonts w:ascii="黑体" w:hAnsi="黑体" w:eastAsia="黑体"/>
          <w:color w:val="auto"/>
          <w:spacing w:val="7"/>
          <w:sz w:val="27"/>
          <w:szCs w:val="27"/>
          <w:highlight w:val="none"/>
        </w:rPr>
        <w:t>：问题澄清通知</w:t>
      </w:r>
      <w:bookmarkEnd w:id="353"/>
      <w:bookmarkEnd w:id="354"/>
      <w:bookmarkEnd w:id="355"/>
      <w:bookmarkEnd w:id="356"/>
      <w:bookmarkEnd w:id="357"/>
    </w:p>
    <w:p w14:paraId="1FA87FEE">
      <w:pPr>
        <w:spacing w:line="241" w:lineRule="auto"/>
        <w:rPr>
          <w:color w:val="auto"/>
          <w:highlight w:val="none"/>
        </w:rPr>
      </w:pPr>
    </w:p>
    <w:p w14:paraId="40E86478">
      <w:pPr>
        <w:spacing w:line="241" w:lineRule="auto"/>
        <w:rPr>
          <w:color w:val="auto"/>
          <w:highlight w:val="none"/>
        </w:rPr>
      </w:pPr>
    </w:p>
    <w:p w14:paraId="486DCE19">
      <w:pPr>
        <w:spacing w:line="241" w:lineRule="auto"/>
        <w:rPr>
          <w:color w:val="auto"/>
          <w:highlight w:val="none"/>
        </w:rPr>
      </w:pPr>
    </w:p>
    <w:p w14:paraId="72AD9794">
      <w:pPr>
        <w:spacing w:line="241" w:lineRule="auto"/>
        <w:rPr>
          <w:color w:val="auto"/>
          <w:highlight w:val="none"/>
        </w:rPr>
      </w:pPr>
    </w:p>
    <w:p w14:paraId="353C8355">
      <w:pPr>
        <w:spacing w:before="88" w:line="229" w:lineRule="auto"/>
        <w:ind w:left="3506"/>
        <w:rPr>
          <w:rFonts w:ascii="黑体" w:hAnsi="黑体" w:eastAsia="黑体"/>
          <w:color w:val="auto"/>
          <w:spacing w:val="6"/>
          <w:sz w:val="27"/>
          <w:szCs w:val="27"/>
          <w:highlight w:val="none"/>
        </w:rPr>
      </w:pPr>
      <w:r>
        <w:rPr>
          <w:rFonts w:ascii="黑体" w:hAnsi="黑体" w:eastAsia="黑体"/>
          <w:color w:val="auto"/>
          <w:spacing w:val="6"/>
          <w:sz w:val="27"/>
          <w:szCs w:val="27"/>
          <w:highlight w:val="none"/>
        </w:rPr>
        <w:t>问题澄清通</w:t>
      </w:r>
      <w:r>
        <w:rPr>
          <w:rFonts w:ascii="黑体" w:hAnsi="黑体" w:eastAsia="黑体"/>
          <w:color w:val="auto"/>
          <w:spacing w:val="5"/>
          <w:sz w:val="27"/>
          <w:szCs w:val="27"/>
          <w:highlight w:val="none"/>
        </w:rPr>
        <w:t>知</w:t>
      </w:r>
    </w:p>
    <w:p w14:paraId="4F5E9BC1">
      <w:pPr>
        <w:spacing w:before="164" w:line="220" w:lineRule="auto"/>
        <w:ind w:left="2758"/>
        <w:rPr>
          <w:rFonts w:ascii="宋体" w:hAnsi="宋体" w:eastAsia="宋体"/>
          <w:color w:val="auto"/>
          <w:spacing w:val="1"/>
          <w:highlight w:val="none"/>
        </w:rPr>
      </w:pPr>
      <w:r>
        <w:rPr>
          <w:rFonts w:ascii="宋体" w:hAnsi="宋体" w:eastAsia="宋体"/>
          <w:color w:val="auto"/>
          <w:spacing w:val="1"/>
          <w:highlight w:val="none"/>
        </w:rPr>
        <w:t>(编号：</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w:t>
      </w:r>
    </w:p>
    <w:p w14:paraId="6285661F">
      <w:pPr>
        <w:spacing w:line="278" w:lineRule="auto"/>
        <w:rPr>
          <w:color w:val="auto"/>
          <w:highlight w:val="none"/>
        </w:rPr>
      </w:pPr>
    </w:p>
    <w:p w14:paraId="5AA8611E">
      <w:pPr>
        <w:spacing w:line="279" w:lineRule="auto"/>
        <w:rPr>
          <w:color w:val="auto"/>
          <w:highlight w:val="none"/>
        </w:rPr>
      </w:pPr>
    </w:p>
    <w:p w14:paraId="23146CF8">
      <w:pPr>
        <w:tabs>
          <w:tab w:val="left" w:pos="2323"/>
        </w:tabs>
        <w:spacing w:before="68" w:line="221" w:lineRule="auto"/>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6"/>
          <w:highlight w:val="none"/>
        </w:rPr>
        <w:t>(</w:t>
      </w:r>
      <w:r>
        <w:rPr>
          <w:rFonts w:ascii="宋体" w:hAnsi="宋体" w:eastAsia="宋体"/>
          <w:color w:val="auto"/>
          <w:spacing w:val="-4"/>
          <w:highlight w:val="none"/>
        </w:rPr>
        <w:t>投</w:t>
      </w:r>
      <w:r>
        <w:rPr>
          <w:rFonts w:ascii="宋体" w:hAnsi="宋体" w:eastAsia="宋体"/>
          <w:color w:val="auto"/>
          <w:spacing w:val="-3"/>
          <w:highlight w:val="none"/>
        </w:rPr>
        <w:t>标人名称)：</w:t>
      </w:r>
    </w:p>
    <w:p w14:paraId="15635E35">
      <w:pPr>
        <w:spacing w:line="278" w:lineRule="auto"/>
        <w:rPr>
          <w:color w:val="auto"/>
          <w:highlight w:val="none"/>
        </w:rPr>
      </w:pPr>
    </w:p>
    <w:p w14:paraId="454420D6">
      <w:pPr>
        <w:spacing w:line="278" w:lineRule="auto"/>
        <w:rPr>
          <w:color w:val="auto"/>
          <w:highlight w:val="none"/>
        </w:rPr>
      </w:pPr>
    </w:p>
    <w:p w14:paraId="2B792725">
      <w:pPr>
        <w:spacing w:before="68" w:line="394" w:lineRule="auto"/>
        <w:ind w:left="8" w:right="6" w:firstLine="420"/>
        <w:rPr>
          <w:rFonts w:ascii="宋体" w:hAnsi="宋体" w:eastAsia="宋体"/>
          <w:color w:val="auto"/>
          <w:spacing w:val="-4"/>
          <w:highlight w:val="none"/>
        </w:rPr>
      </w:pPr>
      <w:r>
        <w:rPr>
          <w:rFonts w:ascii="宋体" w:hAnsi="宋体" w:eastAsia="宋体"/>
          <w:color w:val="auto"/>
          <w:spacing w:val="-4"/>
          <w:highlight w:val="none"/>
        </w:rPr>
        <w:t>评标委员会</w:t>
      </w:r>
      <w:r>
        <w:rPr>
          <w:rFonts w:ascii="宋体" w:hAnsi="宋体" w:eastAsia="宋体"/>
          <w:color w:val="auto"/>
          <w:spacing w:val="-2"/>
          <w:highlight w:val="none"/>
        </w:rPr>
        <w:t>对你方的投标文件进行了仔细的审查， 现需你方对下列问题以书面形式予以澄</w:t>
      </w:r>
      <w:r>
        <w:rPr>
          <w:rFonts w:ascii="宋体" w:hAnsi="宋体" w:eastAsia="宋体"/>
          <w:color w:val="auto"/>
          <w:highlight w:val="none"/>
        </w:rPr>
        <w:t xml:space="preserve"> </w:t>
      </w:r>
      <w:r>
        <w:rPr>
          <w:rFonts w:ascii="宋体" w:hAnsi="宋体" w:eastAsia="宋体"/>
          <w:color w:val="auto"/>
          <w:spacing w:val="-8"/>
          <w:highlight w:val="none"/>
        </w:rPr>
        <w:t>清</w:t>
      </w:r>
      <w:r>
        <w:rPr>
          <w:rFonts w:ascii="宋体" w:hAnsi="宋体" w:eastAsia="宋体"/>
          <w:color w:val="auto"/>
          <w:spacing w:val="-6"/>
          <w:highlight w:val="none"/>
        </w:rPr>
        <w:t>、说明或补正：</w:t>
      </w:r>
    </w:p>
    <w:p w14:paraId="2401DA8C">
      <w:pPr>
        <w:spacing w:line="400" w:lineRule="auto"/>
        <w:rPr>
          <w:color w:val="auto"/>
          <w:highlight w:val="none"/>
        </w:rPr>
      </w:pPr>
    </w:p>
    <w:p w14:paraId="06878FBE">
      <w:pPr>
        <w:spacing w:before="61" w:line="439" w:lineRule="exact"/>
        <w:ind w:left="444"/>
        <w:rPr>
          <w:rFonts w:ascii="Times New Roman" w:hAnsi="Times New Roman" w:eastAsia="Times New Roman"/>
          <w:color w:val="auto"/>
          <w:spacing w:val="-8"/>
          <w:position w:val="21"/>
          <w:highlight w:val="none"/>
        </w:rPr>
      </w:pPr>
      <w:r>
        <w:rPr>
          <w:rFonts w:ascii="Times New Roman" w:hAnsi="Times New Roman" w:eastAsia="Times New Roman"/>
          <w:color w:val="auto"/>
          <w:spacing w:val="-8"/>
          <w:position w:val="21"/>
          <w:highlight w:val="none"/>
        </w:rPr>
        <w:t>1.</w:t>
      </w:r>
    </w:p>
    <w:p w14:paraId="7C1E5E5A">
      <w:pPr>
        <w:spacing w:line="186" w:lineRule="auto"/>
        <w:ind w:left="424"/>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2</w:t>
      </w:r>
      <w:r>
        <w:rPr>
          <w:rFonts w:ascii="Times New Roman" w:hAnsi="Times New Roman" w:eastAsia="Times New Roman"/>
          <w:color w:val="auto"/>
          <w:spacing w:val="-1"/>
          <w:highlight w:val="none"/>
        </w:rPr>
        <w:t>.</w:t>
      </w:r>
    </w:p>
    <w:p w14:paraId="4B782F19">
      <w:pPr>
        <w:spacing w:line="312" w:lineRule="auto"/>
        <w:rPr>
          <w:color w:val="auto"/>
          <w:highlight w:val="none"/>
        </w:rPr>
      </w:pPr>
    </w:p>
    <w:p w14:paraId="570C4039">
      <w:pPr>
        <w:spacing w:before="61" w:line="66" w:lineRule="exact"/>
        <w:ind w:left="539"/>
        <w:rPr>
          <w:rFonts w:ascii="Times New Roman" w:hAnsi="Times New Roman" w:eastAsia="Times New Roman"/>
          <w:color w:val="auto"/>
          <w:spacing w:val="-2"/>
          <w:position w:val="1"/>
          <w:highlight w:val="none"/>
        </w:rPr>
      </w:pPr>
      <w:r>
        <w:rPr>
          <w:rFonts w:ascii="Times New Roman" w:hAnsi="Times New Roman" w:eastAsia="Times New Roman"/>
          <w:color w:val="auto"/>
          <w:spacing w:val="-2"/>
          <w:position w:val="1"/>
          <w:highlight w:val="none"/>
        </w:rPr>
        <w:t>......</w:t>
      </w:r>
    </w:p>
    <w:p w14:paraId="4AE6E103">
      <w:pPr>
        <w:spacing w:line="289" w:lineRule="auto"/>
        <w:rPr>
          <w:color w:val="auto"/>
          <w:highlight w:val="none"/>
        </w:rPr>
      </w:pPr>
    </w:p>
    <w:p w14:paraId="7F1A6D1D">
      <w:pPr>
        <w:spacing w:line="290" w:lineRule="auto"/>
        <w:rPr>
          <w:color w:val="auto"/>
          <w:highlight w:val="none"/>
        </w:rPr>
      </w:pPr>
    </w:p>
    <w:p w14:paraId="71E5B7F4">
      <w:pPr>
        <w:tabs>
          <w:tab w:val="left" w:pos="778"/>
          <w:tab w:val="left" w:pos="3057"/>
        </w:tabs>
        <w:spacing w:before="69" w:line="391" w:lineRule="auto"/>
        <w:ind w:firstLine="410"/>
        <w:rPr>
          <w:rFonts w:ascii="宋体" w:hAnsi="宋体" w:eastAsia="宋体"/>
          <w:color w:val="auto"/>
          <w:spacing w:val="-4"/>
          <w:highlight w:val="none"/>
        </w:rPr>
      </w:pPr>
      <w:r>
        <w:rPr>
          <w:rFonts w:ascii="宋体" w:hAnsi="宋体" w:eastAsia="宋体"/>
          <w:color w:val="auto"/>
          <w:spacing w:val="-4"/>
          <w:highlight w:val="none"/>
        </w:rPr>
        <w:t>请将上</w:t>
      </w:r>
      <w:r>
        <w:rPr>
          <w:rFonts w:ascii="宋体" w:hAnsi="宋体" w:eastAsia="宋体"/>
          <w:color w:val="auto"/>
          <w:spacing w:val="-2"/>
          <w:highlight w:val="none"/>
        </w:rPr>
        <w:t>述问题的澄清、说明或补正于</w:t>
      </w:r>
      <w:r>
        <w:rPr>
          <w:rFonts w:ascii="宋体" w:hAnsi="宋体" w:eastAsia="宋体"/>
          <w:color w:val="auto"/>
          <w:spacing w:val="-2"/>
          <w:highlight w:val="none"/>
          <w:u w:val="single"/>
        </w:rPr>
        <w:t xml:space="preserve">       </w:t>
      </w:r>
      <w:r>
        <w:rPr>
          <w:rFonts w:ascii="宋体" w:hAnsi="宋体" w:eastAsia="宋体"/>
          <w:color w:val="auto"/>
          <w:spacing w:val="-2"/>
          <w:highlight w:val="none"/>
        </w:rPr>
        <w:t xml:space="preserve"> 年</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r>
        <w:rPr>
          <w:rFonts w:ascii="宋体" w:hAnsi="宋体" w:eastAsia="宋体"/>
          <w:color w:val="auto"/>
          <w:spacing w:val="-2"/>
          <w:highlight w:val="none"/>
          <w:u w:val="single"/>
        </w:rPr>
        <w:t xml:space="preserve">       </w:t>
      </w:r>
      <w:r>
        <w:rPr>
          <w:rFonts w:ascii="宋体" w:hAnsi="宋体" w:eastAsia="宋体"/>
          <w:color w:val="auto"/>
          <w:spacing w:val="-2"/>
          <w:highlight w:val="none"/>
        </w:rPr>
        <w:t>时前递交至</w:t>
      </w:r>
      <w:r>
        <w:rPr>
          <w:rFonts w:ascii="宋体" w:hAnsi="宋体" w:eastAsia="宋体"/>
          <w:color w:val="auto"/>
          <w:highlight w:val="none"/>
        </w:rPr>
        <w:t xml:space="preserve">  </w:t>
      </w:r>
      <w:r>
        <w:rPr>
          <w:rFonts w:ascii="宋体" w:hAnsi="宋体" w:eastAsia="宋体"/>
          <w:color w:val="auto"/>
          <w:highlight w:val="none"/>
          <w:u w:val="single"/>
        </w:rPr>
        <w:tab/>
      </w:r>
      <w:r>
        <w:rPr>
          <w:rFonts w:ascii="宋体" w:hAnsi="宋体" w:eastAsia="宋体"/>
          <w:color w:val="auto"/>
          <w:highlight w:val="none"/>
          <w:u w:val="single"/>
        </w:rPr>
        <w:tab/>
      </w:r>
      <w:r>
        <w:rPr>
          <w:rFonts w:ascii="宋体" w:hAnsi="宋体" w:eastAsia="宋体"/>
          <w:color w:val="auto"/>
          <w:spacing w:val="1"/>
          <w:highlight w:val="none"/>
        </w:rPr>
        <w:t>(详细地址) 或传真至</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(传真号码) 或 通过下载招标文件的电子招标交易平台上传。采用传真方式的，应在</w:t>
      </w:r>
      <w:r>
        <w:rPr>
          <w:rFonts w:ascii="宋体" w:hAnsi="宋体" w:eastAsia="宋体"/>
          <w:color w:val="auto"/>
          <w:highlight w:val="none"/>
          <w:u w:val="single"/>
        </w:rPr>
        <w:t xml:space="preserve">       </w:t>
      </w:r>
      <w:r>
        <w:rPr>
          <w:rFonts w:ascii="宋体" w:hAnsi="宋体" w:eastAsia="宋体"/>
          <w:color w:val="auto"/>
          <w:highlight w:val="none"/>
        </w:rPr>
        <w:t>年</w:t>
      </w:r>
      <w:r>
        <w:rPr>
          <w:rFonts w:ascii="宋体" w:hAnsi="宋体" w:eastAsia="宋体"/>
          <w:color w:val="auto"/>
          <w:highlight w:val="none"/>
          <w:u w:val="single"/>
        </w:rPr>
        <w:t xml:space="preserve">       </w:t>
      </w:r>
      <w:r>
        <w:rPr>
          <w:rFonts w:ascii="宋体" w:hAnsi="宋体" w:eastAsia="宋体"/>
          <w:color w:val="auto"/>
          <w:highlight w:val="none"/>
        </w:rPr>
        <w:t xml:space="preserve">月    </w:t>
      </w:r>
      <w:r>
        <w:rPr>
          <w:rFonts w:ascii="宋体" w:hAnsi="宋体" w:eastAsia="宋体"/>
          <w:color w:val="auto"/>
          <w:highlight w:val="none"/>
          <w:u w:val="single"/>
        </w:rPr>
        <w:tab/>
      </w:r>
      <w:r>
        <w:rPr>
          <w:rFonts w:ascii="宋体" w:hAnsi="宋体" w:eastAsia="宋体"/>
          <w:color w:val="auto"/>
          <w:spacing w:val="-2"/>
          <w:highlight w:val="none"/>
        </w:rPr>
        <w:t>日</w:t>
      </w:r>
      <w:r>
        <w:rPr>
          <w:rFonts w:ascii="宋体" w:hAnsi="宋体" w:eastAsia="宋体"/>
          <w:color w:val="auto"/>
          <w:spacing w:val="-2"/>
          <w:highlight w:val="none"/>
          <w:u w:val="single"/>
        </w:rPr>
        <w:t xml:space="preserve">       </w:t>
      </w:r>
      <w:r>
        <w:rPr>
          <w:rFonts w:ascii="宋体" w:hAnsi="宋体" w:eastAsia="宋体"/>
          <w:color w:val="auto"/>
          <w:spacing w:val="-2"/>
          <w:highlight w:val="none"/>
        </w:rPr>
        <w:t>时前将原件</w:t>
      </w:r>
      <w:r>
        <w:rPr>
          <w:rFonts w:ascii="宋体" w:hAnsi="宋体" w:eastAsia="宋体"/>
          <w:color w:val="auto"/>
          <w:spacing w:val="-1"/>
          <w:highlight w:val="none"/>
        </w:rPr>
        <w:t>递交至</w:t>
      </w:r>
      <w:r>
        <w:rPr>
          <w:rFonts w:ascii="宋体" w:hAnsi="宋体" w:eastAsia="宋体"/>
          <w:color w:val="auto"/>
          <w:spacing w:val="-1"/>
          <w:highlight w:val="none"/>
          <w:u w:val="single"/>
        </w:rPr>
        <w:t xml:space="preserve">                      </w:t>
      </w:r>
      <w:r>
        <w:rPr>
          <w:rFonts w:ascii="宋体" w:hAnsi="宋体" w:eastAsia="宋体"/>
          <w:color w:val="auto"/>
          <w:spacing w:val="-1"/>
          <w:highlight w:val="none"/>
        </w:rPr>
        <w:t>(详细地址)。</w:t>
      </w:r>
    </w:p>
    <w:p w14:paraId="0120F88E">
      <w:pPr>
        <w:spacing w:line="263" w:lineRule="auto"/>
        <w:rPr>
          <w:color w:val="auto"/>
          <w:highlight w:val="none"/>
        </w:rPr>
      </w:pPr>
    </w:p>
    <w:p w14:paraId="1617144C">
      <w:pPr>
        <w:spacing w:line="263" w:lineRule="auto"/>
        <w:rPr>
          <w:color w:val="auto"/>
          <w:highlight w:val="none"/>
        </w:rPr>
      </w:pPr>
    </w:p>
    <w:p w14:paraId="1A7222EF">
      <w:pPr>
        <w:spacing w:line="263" w:lineRule="auto"/>
        <w:rPr>
          <w:color w:val="auto"/>
          <w:highlight w:val="none"/>
        </w:rPr>
      </w:pPr>
    </w:p>
    <w:p w14:paraId="51871D2B">
      <w:pPr>
        <w:spacing w:before="69" w:line="217" w:lineRule="auto"/>
        <w:ind w:right="251"/>
        <w:jc w:val="center"/>
        <w:rPr>
          <w:rFonts w:ascii="宋体" w:hAnsi="宋体" w:eastAsia="宋体"/>
          <w:color w:val="auto"/>
          <w:spacing w:val="-6"/>
          <w:highlight w:val="none"/>
        </w:rPr>
      </w:pPr>
      <w:r>
        <w:rPr>
          <w:rFonts w:ascii="宋体" w:hAnsi="宋体" w:eastAsia="宋体"/>
          <w:color w:val="auto"/>
          <w:spacing w:val="-6"/>
          <w:highlight w:val="none"/>
        </w:rPr>
        <w:t>评标委员会</w:t>
      </w:r>
      <w:r>
        <w:rPr>
          <w:rFonts w:hint="eastAsia" w:ascii="宋体" w:hAnsi="宋体" w:eastAsia="宋体"/>
          <w:color w:val="auto"/>
          <w:spacing w:val="-4"/>
          <w:highlight w:val="none"/>
        </w:rPr>
        <w:t>签字</w:t>
      </w:r>
      <w:r>
        <w:rPr>
          <w:rFonts w:ascii="宋体" w:hAnsi="宋体" w:eastAsia="宋体"/>
          <w:color w:val="auto"/>
          <w:spacing w:val="-3"/>
          <w:highlight w:val="none"/>
        </w:rPr>
        <w:t>：</w:t>
      </w:r>
      <w:r>
        <w:rPr>
          <w:rFonts w:ascii="宋体" w:hAnsi="宋体" w:eastAsia="宋体"/>
          <w:color w:val="auto"/>
          <w:spacing w:val="-3"/>
          <w:highlight w:val="none"/>
          <w:u w:val="single"/>
        </w:rPr>
        <w:t xml:space="preserve">   </w:t>
      </w:r>
      <w:r>
        <w:rPr>
          <w:rFonts w:hint="eastAsia" w:ascii="宋体" w:hAnsi="宋体" w:eastAsia="宋体"/>
          <w:color w:val="auto"/>
          <w:spacing w:val="-3"/>
          <w:highlight w:val="none"/>
          <w:u w:val="single"/>
        </w:rPr>
        <w:t xml:space="preserve">             </w:t>
      </w:r>
      <w:r>
        <w:rPr>
          <w:rFonts w:ascii="宋体" w:hAnsi="宋体" w:eastAsia="宋体"/>
          <w:color w:val="auto"/>
          <w:spacing w:val="-3"/>
          <w:highlight w:val="none"/>
          <w:u w:val="single"/>
        </w:rPr>
        <w:t xml:space="preserve">       </w:t>
      </w:r>
    </w:p>
    <w:p w14:paraId="25C65CA7">
      <w:pPr>
        <w:spacing w:line="281" w:lineRule="auto"/>
        <w:rPr>
          <w:color w:val="auto"/>
          <w:highlight w:val="none"/>
        </w:rPr>
      </w:pPr>
    </w:p>
    <w:p w14:paraId="65BCBB2E">
      <w:pPr>
        <w:spacing w:line="281" w:lineRule="auto"/>
        <w:rPr>
          <w:color w:val="auto"/>
          <w:highlight w:val="none"/>
        </w:rPr>
      </w:pPr>
    </w:p>
    <w:p w14:paraId="4AADEF39">
      <w:pPr>
        <w:tabs>
          <w:tab w:val="left" w:pos="5709"/>
        </w:tabs>
        <w:spacing w:before="69" w:line="220" w:lineRule="auto"/>
        <w:ind w:left="4860"/>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3"/>
          <w:highlight w:val="none"/>
        </w:rPr>
        <w:t>年</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p>
    <w:p w14:paraId="37F15D7F">
      <w:pPr>
        <w:rPr>
          <w:color w:val="auto"/>
          <w:highlight w:val="none"/>
        </w:rPr>
        <w:sectPr>
          <w:footerReference r:id="rId12" w:type="default"/>
          <w:pgSz w:w="12240" w:h="15840"/>
          <w:pgMar w:top="1346" w:right="1800" w:bottom="1104" w:left="1800" w:header="0" w:footer="940" w:gutter="0"/>
          <w:cols w:space="720" w:num="1"/>
        </w:sectPr>
      </w:pPr>
    </w:p>
    <w:p w14:paraId="3B87E021">
      <w:pPr>
        <w:spacing w:line="352" w:lineRule="auto"/>
        <w:rPr>
          <w:color w:val="auto"/>
          <w:highlight w:val="none"/>
        </w:rPr>
      </w:pPr>
    </w:p>
    <w:p w14:paraId="1D1E74A3">
      <w:pPr>
        <w:pStyle w:val="24"/>
        <w:spacing w:before="120" w:after="120"/>
        <w:outlineLvl w:val="9"/>
        <w:rPr>
          <w:rFonts w:ascii="黑体" w:hAnsi="黑体" w:eastAsia="黑体"/>
          <w:color w:val="auto"/>
          <w:spacing w:val="10"/>
          <w:sz w:val="27"/>
          <w:szCs w:val="27"/>
          <w:highlight w:val="none"/>
        </w:rPr>
      </w:pPr>
      <w:bookmarkStart w:id="358" w:name="_Toc24841"/>
      <w:bookmarkStart w:id="359" w:name="_Toc18312"/>
      <w:r>
        <w:rPr>
          <w:rFonts w:ascii="黑体" w:hAnsi="黑体" w:eastAsia="黑体"/>
          <w:color w:val="auto"/>
          <w:spacing w:val="10"/>
          <w:sz w:val="27"/>
          <w:szCs w:val="27"/>
          <w:highlight w:val="none"/>
        </w:rPr>
        <w:t>附</w:t>
      </w:r>
      <w:r>
        <w:rPr>
          <w:rFonts w:ascii="黑体" w:hAnsi="黑体" w:eastAsia="黑体"/>
          <w:color w:val="auto"/>
          <w:spacing w:val="7"/>
          <w:sz w:val="27"/>
          <w:szCs w:val="27"/>
          <w:highlight w:val="none"/>
        </w:rPr>
        <w:t>件</w:t>
      </w:r>
      <w:r>
        <w:rPr>
          <w:rFonts w:hint="eastAsia" w:ascii="黑体" w:hAnsi="黑体" w:eastAsia="黑体"/>
          <w:color w:val="auto"/>
          <w:spacing w:val="7"/>
          <w:sz w:val="27"/>
          <w:szCs w:val="27"/>
          <w:highlight w:val="none"/>
        </w:rPr>
        <w:t>二</w:t>
      </w:r>
      <w:r>
        <w:rPr>
          <w:rFonts w:ascii="黑体" w:hAnsi="黑体" w:eastAsia="黑体"/>
          <w:color w:val="auto"/>
          <w:spacing w:val="7"/>
          <w:sz w:val="27"/>
          <w:szCs w:val="27"/>
          <w:highlight w:val="none"/>
        </w:rPr>
        <w:t>：问题的澄清</w:t>
      </w:r>
      <w:bookmarkEnd w:id="358"/>
      <w:bookmarkEnd w:id="359"/>
    </w:p>
    <w:p w14:paraId="6473788D">
      <w:pPr>
        <w:spacing w:line="297" w:lineRule="auto"/>
        <w:rPr>
          <w:color w:val="auto"/>
          <w:highlight w:val="none"/>
        </w:rPr>
      </w:pPr>
    </w:p>
    <w:p w14:paraId="6990FFC1">
      <w:pPr>
        <w:spacing w:line="298" w:lineRule="auto"/>
        <w:rPr>
          <w:color w:val="auto"/>
          <w:highlight w:val="none"/>
        </w:rPr>
      </w:pPr>
    </w:p>
    <w:p w14:paraId="0E0CF57E">
      <w:pPr>
        <w:spacing w:line="298" w:lineRule="auto"/>
        <w:rPr>
          <w:color w:val="auto"/>
          <w:highlight w:val="none"/>
        </w:rPr>
      </w:pPr>
    </w:p>
    <w:p w14:paraId="7D521349">
      <w:pPr>
        <w:spacing w:before="87" w:line="229" w:lineRule="auto"/>
        <w:ind w:left="3639"/>
        <w:rPr>
          <w:rFonts w:ascii="黑体" w:hAnsi="黑体" w:eastAsia="黑体"/>
          <w:color w:val="auto"/>
          <w:spacing w:val="5"/>
          <w:sz w:val="27"/>
          <w:szCs w:val="27"/>
          <w:highlight w:val="none"/>
        </w:rPr>
      </w:pPr>
      <w:r>
        <w:rPr>
          <w:rFonts w:ascii="黑体" w:hAnsi="黑体" w:eastAsia="黑体"/>
          <w:color w:val="auto"/>
          <w:spacing w:val="5"/>
          <w:sz w:val="27"/>
          <w:szCs w:val="27"/>
          <w:highlight w:val="none"/>
        </w:rPr>
        <w:t>问题的澄</w:t>
      </w:r>
      <w:r>
        <w:rPr>
          <w:rFonts w:ascii="黑体" w:hAnsi="黑体" w:eastAsia="黑体"/>
          <w:color w:val="auto"/>
          <w:spacing w:val="4"/>
          <w:sz w:val="27"/>
          <w:szCs w:val="27"/>
          <w:highlight w:val="none"/>
        </w:rPr>
        <w:t>清</w:t>
      </w:r>
    </w:p>
    <w:p w14:paraId="1E295242">
      <w:pPr>
        <w:spacing w:before="123" w:line="220" w:lineRule="auto"/>
        <w:ind w:left="3470"/>
        <w:rPr>
          <w:rFonts w:ascii="宋体" w:hAnsi="宋体" w:eastAsia="宋体"/>
          <w:color w:val="auto"/>
          <w:spacing w:val="-1"/>
          <w:highlight w:val="none"/>
        </w:rPr>
      </w:pPr>
      <w:r>
        <w:rPr>
          <w:rFonts w:ascii="宋体" w:hAnsi="宋体" w:eastAsia="宋体"/>
          <w:color w:val="auto"/>
          <w:spacing w:val="-1"/>
          <w:highlight w:val="none"/>
        </w:rPr>
        <w:t>(编号：</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w:t>
      </w:r>
    </w:p>
    <w:p w14:paraId="3468E7BE">
      <w:pPr>
        <w:spacing w:line="255" w:lineRule="auto"/>
        <w:rPr>
          <w:color w:val="auto"/>
          <w:highlight w:val="none"/>
        </w:rPr>
      </w:pPr>
    </w:p>
    <w:p w14:paraId="7982CB29">
      <w:pPr>
        <w:spacing w:line="255" w:lineRule="auto"/>
        <w:rPr>
          <w:color w:val="auto"/>
          <w:highlight w:val="none"/>
        </w:rPr>
      </w:pPr>
    </w:p>
    <w:p w14:paraId="436303BB">
      <w:pPr>
        <w:spacing w:before="68" w:line="217" w:lineRule="auto"/>
        <w:rPr>
          <w:rFonts w:ascii="宋体" w:hAnsi="宋体" w:eastAsia="宋体"/>
          <w:color w:val="auto"/>
          <w:spacing w:val="-12"/>
          <w:highlight w:val="none"/>
        </w:rPr>
      </w:pPr>
      <w:r>
        <w:rPr>
          <w:rFonts w:ascii="宋体" w:hAnsi="宋体" w:eastAsia="宋体"/>
          <w:color w:val="auto"/>
          <w:spacing w:val="-12"/>
          <w:highlight w:val="none"/>
        </w:rPr>
        <w:t>评</w:t>
      </w:r>
      <w:r>
        <w:rPr>
          <w:rFonts w:ascii="宋体" w:hAnsi="宋体" w:eastAsia="宋体"/>
          <w:color w:val="auto"/>
          <w:spacing w:val="-7"/>
          <w:highlight w:val="none"/>
        </w:rPr>
        <w:t>标委员会：</w:t>
      </w:r>
    </w:p>
    <w:p w14:paraId="26CBCFAF">
      <w:pPr>
        <w:spacing w:line="280" w:lineRule="auto"/>
        <w:rPr>
          <w:color w:val="auto"/>
          <w:highlight w:val="none"/>
        </w:rPr>
      </w:pPr>
    </w:p>
    <w:p w14:paraId="5357EAB4">
      <w:pPr>
        <w:spacing w:line="281" w:lineRule="auto"/>
        <w:rPr>
          <w:color w:val="auto"/>
          <w:highlight w:val="none"/>
        </w:rPr>
      </w:pPr>
    </w:p>
    <w:p w14:paraId="5685C127">
      <w:pPr>
        <w:spacing w:before="69" w:line="220" w:lineRule="auto"/>
        <w:ind w:left="444"/>
        <w:rPr>
          <w:rFonts w:ascii="宋体" w:hAnsi="宋体" w:eastAsia="宋体"/>
          <w:color w:val="auto"/>
          <w:spacing w:val="1"/>
          <w:highlight w:val="none"/>
        </w:rPr>
      </w:pPr>
      <w:r>
        <w:rPr>
          <w:rFonts w:ascii="宋体" w:hAnsi="宋体" w:eastAsia="宋体"/>
          <w:color w:val="auto"/>
          <w:spacing w:val="1"/>
          <w:highlight w:val="none"/>
        </w:rPr>
        <w:t>问题澄清通知(编号：</w:t>
      </w:r>
      <w:r>
        <w:rPr>
          <w:rFonts w:ascii="宋体" w:hAnsi="宋体" w:eastAsia="宋体"/>
          <w:color w:val="auto"/>
          <w:spacing w:val="1"/>
          <w:highlight w:val="none"/>
          <w:u w:val="single"/>
        </w:rPr>
        <w:t xml:space="preserve">         </w:t>
      </w:r>
      <w:r>
        <w:rPr>
          <w:rFonts w:ascii="宋体" w:hAnsi="宋体" w:eastAsia="宋体"/>
          <w:color w:val="auto"/>
          <w:spacing w:val="1"/>
          <w:highlight w:val="none"/>
        </w:rPr>
        <w:t>)已收悉，</w:t>
      </w:r>
      <w:r>
        <w:rPr>
          <w:rFonts w:ascii="宋体" w:hAnsi="宋体" w:eastAsia="宋体"/>
          <w:color w:val="auto"/>
          <w:highlight w:val="none"/>
        </w:rPr>
        <w:t>现澄清、说明或补正如下：</w:t>
      </w:r>
    </w:p>
    <w:p w14:paraId="035097C9">
      <w:pPr>
        <w:spacing w:before="228" w:line="439" w:lineRule="exact"/>
        <w:ind w:left="751"/>
        <w:rPr>
          <w:rFonts w:ascii="Times New Roman" w:hAnsi="Times New Roman" w:eastAsia="Times New Roman"/>
          <w:color w:val="auto"/>
          <w:spacing w:val="-8"/>
          <w:position w:val="21"/>
          <w:highlight w:val="none"/>
        </w:rPr>
      </w:pPr>
      <w:r>
        <w:rPr>
          <w:rFonts w:ascii="Times New Roman" w:hAnsi="Times New Roman" w:eastAsia="Times New Roman"/>
          <w:color w:val="auto"/>
          <w:spacing w:val="-8"/>
          <w:position w:val="21"/>
          <w:highlight w:val="none"/>
        </w:rPr>
        <w:t>1.</w:t>
      </w:r>
    </w:p>
    <w:p w14:paraId="4EEC02B6">
      <w:pPr>
        <w:spacing w:line="186" w:lineRule="auto"/>
        <w:ind w:left="73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2</w:t>
      </w:r>
      <w:r>
        <w:rPr>
          <w:rFonts w:ascii="Times New Roman" w:hAnsi="Times New Roman" w:eastAsia="Times New Roman"/>
          <w:color w:val="auto"/>
          <w:spacing w:val="-1"/>
          <w:highlight w:val="none"/>
        </w:rPr>
        <w:t>.</w:t>
      </w:r>
    </w:p>
    <w:p w14:paraId="29DEEE01">
      <w:pPr>
        <w:spacing w:line="312" w:lineRule="auto"/>
        <w:rPr>
          <w:color w:val="auto"/>
          <w:highlight w:val="none"/>
        </w:rPr>
      </w:pPr>
    </w:p>
    <w:p w14:paraId="2D45BA5F">
      <w:pPr>
        <w:spacing w:before="61" w:line="66" w:lineRule="exact"/>
        <w:ind w:left="637"/>
        <w:rPr>
          <w:rFonts w:ascii="Times New Roman" w:hAnsi="Times New Roman" w:eastAsia="Times New Roman"/>
          <w:color w:val="auto"/>
          <w:spacing w:val="-4"/>
          <w:position w:val="1"/>
          <w:highlight w:val="none"/>
        </w:rPr>
      </w:pPr>
      <w:r>
        <w:rPr>
          <w:rFonts w:ascii="Times New Roman" w:hAnsi="Times New Roman" w:eastAsia="Times New Roman"/>
          <w:color w:val="auto"/>
          <w:spacing w:val="-4"/>
          <w:position w:val="1"/>
          <w:highlight w:val="none"/>
        </w:rPr>
        <w:t>.</w:t>
      </w:r>
      <w:r>
        <w:rPr>
          <w:rFonts w:ascii="Times New Roman" w:hAnsi="Times New Roman" w:eastAsia="Times New Roman"/>
          <w:color w:val="auto"/>
          <w:spacing w:val="-3"/>
          <w:position w:val="1"/>
          <w:highlight w:val="none"/>
        </w:rPr>
        <w:t>.</w:t>
      </w:r>
      <w:r>
        <w:rPr>
          <w:rFonts w:ascii="Times New Roman" w:hAnsi="Times New Roman" w:eastAsia="Times New Roman"/>
          <w:color w:val="auto"/>
          <w:spacing w:val="-2"/>
          <w:position w:val="1"/>
          <w:highlight w:val="none"/>
        </w:rPr>
        <w:t>...</w:t>
      </w:r>
    </w:p>
    <w:p w14:paraId="26357C0C">
      <w:pPr>
        <w:spacing w:line="242" w:lineRule="auto"/>
        <w:rPr>
          <w:color w:val="auto"/>
          <w:highlight w:val="none"/>
        </w:rPr>
      </w:pPr>
    </w:p>
    <w:p w14:paraId="0220B315">
      <w:pPr>
        <w:spacing w:line="242" w:lineRule="auto"/>
        <w:rPr>
          <w:color w:val="auto"/>
          <w:highlight w:val="none"/>
        </w:rPr>
      </w:pPr>
    </w:p>
    <w:p w14:paraId="56DFBDD2">
      <w:pPr>
        <w:spacing w:line="243" w:lineRule="auto"/>
        <w:rPr>
          <w:color w:val="auto"/>
          <w:highlight w:val="none"/>
        </w:rPr>
      </w:pPr>
    </w:p>
    <w:p w14:paraId="4FFF4AC9">
      <w:pPr>
        <w:spacing w:line="243" w:lineRule="auto"/>
        <w:rPr>
          <w:color w:val="auto"/>
          <w:highlight w:val="none"/>
        </w:rPr>
      </w:pPr>
    </w:p>
    <w:p w14:paraId="1D71DAD6">
      <w:pPr>
        <w:spacing w:line="243" w:lineRule="auto"/>
        <w:rPr>
          <w:color w:val="auto"/>
          <w:highlight w:val="none"/>
        </w:rPr>
      </w:pPr>
    </w:p>
    <w:p w14:paraId="741CA2B5">
      <w:pPr>
        <w:spacing w:line="243" w:lineRule="auto"/>
        <w:rPr>
          <w:color w:val="auto"/>
          <w:highlight w:val="none"/>
        </w:rPr>
      </w:pPr>
    </w:p>
    <w:p w14:paraId="548F181A">
      <w:pPr>
        <w:spacing w:before="68" w:line="394" w:lineRule="auto"/>
        <w:ind w:left="2" w:right="6" w:firstLine="420"/>
        <w:rPr>
          <w:rFonts w:ascii="宋体" w:hAnsi="宋体" w:eastAsia="宋体"/>
          <w:color w:val="auto"/>
          <w:spacing w:val="1"/>
          <w:highlight w:val="none"/>
        </w:rPr>
      </w:pPr>
      <w:r>
        <w:rPr>
          <w:rFonts w:ascii="宋体" w:hAnsi="宋体" w:eastAsia="宋体"/>
          <w:color w:val="auto"/>
          <w:spacing w:val="1"/>
          <w:highlight w:val="none"/>
        </w:rPr>
        <w:t>上述问题澄清、说明或补正，不</w:t>
      </w:r>
      <w:r>
        <w:rPr>
          <w:rFonts w:ascii="宋体" w:hAnsi="宋体" w:eastAsia="宋体"/>
          <w:color w:val="auto"/>
          <w:highlight w:val="none"/>
        </w:rPr>
        <w:t xml:space="preserve">改变我方投标文件的实质性内容，构成我方投标文件的组 </w:t>
      </w:r>
      <w:r>
        <w:rPr>
          <w:rFonts w:ascii="宋体" w:hAnsi="宋体" w:eastAsia="宋体"/>
          <w:color w:val="auto"/>
          <w:spacing w:val="-9"/>
          <w:highlight w:val="none"/>
        </w:rPr>
        <w:t>成</w:t>
      </w:r>
      <w:r>
        <w:rPr>
          <w:rFonts w:ascii="宋体" w:hAnsi="宋体" w:eastAsia="宋体"/>
          <w:color w:val="auto"/>
          <w:spacing w:val="-7"/>
          <w:highlight w:val="none"/>
        </w:rPr>
        <w:t>部分。</w:t>
      </w:r>
    </w:p>
    <w:p w14:paraId="5F5158AF">
      <w:pPr>
        <w:spacing w:line="325" w:lineRule="auto"/>
        <w:rPr>
          <w:color w:val="auto"/>
          <w:highlight w:val="none"/>
        </w:rPr>
      </w:pPr>
    </w:p>
    <w:p w14:paraId="2AAFED1A">
      <w:pPr>
        <w:spacing w:line="325" w:lineRule="auto"/>
        <w:rPr>
          <w:color w:val="auto"/>
          <w:highlight w:val="none"/>
        </w:rPr>
      </w:pPr>
    </w:p>
    <w:p w14:paraId="7F6305FD">
      <w:pPr>
        <w:spacing w:before="69" w:line="220" w:lineRule="auto"/>
        <w:ind w:right="110"/>
        <w:jc w:val="right"/>
        <w:rPr>
          <w:rFonts w:ascii="宋体" w:hAnsi="宋体" w:eastAsia="宋体"/>
          <w:color w:val="auto"/>
          <w:spacing w:val="-4"/>
          <w:highlight w:val="none"/>
        </w:rPr>
      </w:pPr>
      <w:r>
        <w:rPr>
          <w:rFonts w:ascii="宋体" w:hAnsi="宋体" w:eastAsia="宋体"/>
          <w:color w:val="auto"/>
          <w:spacing w:val="-4"/>
          <w:highlight w:val="none"/>
        </w:rPr>
        <w:t>投</w:t>
      </w:r>
      <w:r>
        <w:rPr>
          <w:rFonts w:ascii="宋体" w:hAnsi="宋体" w:eastAsia="宋体"/>
          <w:color w:val="auto"/>
          <w:spacing w:val="-2"/>
          <w:highlight w:val="none"/>
        </w:rPr>
        <w:t>标人：</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(盖单位章)</w:t>
      </w:r>
    </w:p>
    <w:p w14:paraId="159306F3">
      <w:pPr>
        <w:spacing w:before="295" w:line="217" w:lineRule="auto"/>
        <w:ind w:left="2941"/>
        <w:rPr>
          <w:rFonts w:ascii="宋体" w:hAnsi="宋体" w:eastAsia="宋体"/>
          <w:color w:val="auto"/>
          <w:spacing w:val="-8"/>
          <w:highlight w:val="none"/>
        </w:rPr>
      </w:pPr>
      <w:r>
        <w:rPr>
          <w:rFonts w:ascii="宋体" w:hAnsi="宋体" w:eastAsia="宋体"/>
          <w:color w:val="auto"/>
          <w:spacing w:val="-8"/>
          <w:highlight w:val="none"/>
        </w:rPr>
        <w:t>法定代表</w:t>
      </w:r>
      <w:r>
        <w:rPr>
          <w:rFonts w:ascii="宋体" w:hAnsi="宋体" w:eastAsia="宋体"/>
          <w:color w:val="auto"/>
          <w:spacing w:val="-4"/>
          <w:highlight w:val="none"/>
        </w:rPr>
        <w:t>人或其委托代理人：</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p>
    <w:p w14:paraId="5D81168D">
      <w:pPr>
        <w:spacing w:line="268" w:lineRule="auto"/>
        <w:rPr>
          <w:color w:val="auto"/>
          <w:highlight w:val="none"/>
        </w:rPr>
      </w:pPr>
    </w:p>
    <w:p w14:paraId="291B6FD8">
      <w:pPr>
        <w:spacing w:line="268" w:lineRule="auto"/>
        <w:rPr>
          <w:color w:val="auto"/>
          <w:highlight w:val="none"/>
        </w:rPr>
      </w:pPr>
    </w:p>
    <w:p w14:paraId="6D2C4F13">
      <w:pPr>
        <w:spacing w:line="269" w:lineRule="auto"/>
        <w:rPr>
          <w:color w:val="auto"/>
          <w:highlight w:val="none"/>
        </w:rPr>
      </w:pPr>
    </w:p>
    <w:p w14:paraId="7B3B0306">
      <w:pPr>
        <w:tabs>
          <w:tab w:val="left" w:pos="6330"/>
        </w:tabs>
        <w:spacing w:before="68" w:line="220" w:lineRule="auto"/>
        <w:ind w:left="5482"/>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1"/>
          <w:highlight w:val="none"/>
        </w:rPr>
        <w:t>年</w:t>
      </w:r>
      <w:r>
        <w:rPr>
          <w:rFonts w:ascii="宋体" w:hAnsi="宋体" w:eastAsia="宋体"/>
          <w:color w:val="auto"/>
          <w:spacing w:val="-1"/>
          <w:highlight w:val="none"/>
          <w:u w:val="single"/>
        </w:rPr>
        <w:t xml:space="preserve">        </w:t>
      </w:r>
      <w:r>
        <w:rPr>
          <w:rFonts w:ascii="宋体" w:hAnsi="宋体" w:eastAsia="宋体"/>
          <w:color w:val="auto"/>
          <w:highlight w:val="none"/>
        </w:rPr>
        <w:t>月</w:t>
      </w:r>
      <w:r>
        <w:rPr>
          <w:rFonts w:ascii="宋体" w:hAnsi="宋体" w:eastAsia="宋体"/>
          <w:color w:val="auto"/>
          <w:highlight w:val="none"/>
          <w:u w:val="single"/>
        </w:rPr>
        <w:t xml:space="preserve">        </w:t>
      </w:r>
      <w:r>
        <w:rPr>
          <w:rFonts w:ascii="宋体" w:hAnsi="宋体" w:eastAsia="宋体"/>
          <w:color w:val="auto"/>
          <w:highlight w:val="none"/>
        </w:rPr>
        <w:t>日</w:t>
      </w:r>
    </w:p>
    <w:p w14:paraId="073844F9">
      <w:pPr>
        <w:rPr>
          <w:color w:val="auto"/>
          <w:highlight w:val="none"/>
        </w:rPr>
        <w:sectPr>
          <w:footerReference r:id="rId13" w:type="default"/>
          <w:pgSz w:w="12240" w:h="15840"/>
          <w:pgMar w:top="1346" w:right="1800" w:bottom="1104" w:left="1807" w:header="0" w:footer="940" w:gutter="0"/>
          <w:cols w:space="720" w:num="1"/>
        </w:sectPr>
      </w:pPr>
    </w:p>
    <w:p w14:paraId="7151D2DF">
      <w:pPr>
        <w:pStyle w:val="23"/>
        <w:rPr>
          <w:rFonts w:ascii="宋体" w:hAnsi="宋体"/>
          <w:color w:val="auto"/>
          <w:spacing w:val="30"/>
          <w:sz w:val="43"/>
          <w:szCs w:val="43"/>
          <w:highlight w:val="none"/>
        </w:rPr>
      </w:pPr>
      <w:bookmarkStart w:id="360" w:name="_Toc183207163"/>
      <w:r>
        <w:rPr>
          <w:rFonts w:ascii="宋体" w:hAnsi="宋体"/>
          <w:color w:val="auto"/>
          <w:spacing w:val="30"/>
          <w:sz w:val="43"/>
          <w:szCs w:val="43"/>
          <w:highlight w:val="none"/>
        </w:rPr>
        <w:t>第</w:t>
      </w:r>
      <w:r>
        <w:rPr>
          <w:rFonts w:ascii="宋体" w:hAnsi="宋体"/>
          <w:color w:val="auto"/>
          <w:spacing w:val="23"/>
          <w:sz w:val="43"/>
          <w:szCs w:val="43"/>
          <w:highlight w:val="none"/>
        </w:rPr>
        <w:t>三章评标办法(综合评估法)</w:t>
      </w:r>
      <w:bookmarkEnd w:id="360"/>
    </w:p>
    <w:p w14:paraId="2CA1CFEE">
      <w:pPr>
        <w:jc w:val="center"/>
        <w:rPr>
          <w:rFonts w:ascii="宋体" w:hAnsi="宋体"/>
          <w:color w:val="auto"/>
          <w:spacing w:val="23"/>
          <w:sz w:val="43"/>
          <w:szCs w:val="43"/>
          <w:highlight w:val="none"/>
        </w:rPr>
      </w:pPr>
      <w:r>
        <w:rPr>
          <w:rFonts w:hint="eastAsia" w:ascii="宋体" w:hAnsi="宋体"/>
          <w:color w:val="auto"/>
          <w:spacing w:val="23"/>
          <w:sz w:val="43"/>
          <w:szCs w:val="43"/>
          <w:highlight w:val="none"/>
        </w:rPr>
        <w:t>（非暗标形式）</w:t>
      </w:r>
    </w:p>
    <w:p w14:paraId="31C0FCE9">
      <w:pPr>
        <w:spacing w:line="263" w:lineRule="auto"/>
        <w:rPr>
          <w:color w:val="auto"/>
          <w:highlight w:val="none"/>
        </w:rPr>
      </w:pPr>
    </w:p>
    <w:p w14:paraId="637FD310">
      <w:pPr>
        <w:spacing w:line="263" w:lineRule="auto"/>
        <w:rPr>
          <w:color w:val="auto"/>
          <w:highlight w:val="none"/>
        </w:rPr>
      </w:pPr>
    </w:p>
    <w:p w14:paraId="4D806857">
      <w:pPr>
        <w:spacing w:before="101" w:line="227" w:lineRule="auto"/>
        <w:ind w:left="121"/>
        <w:rPr>
          <w:rFonts w:ascii="黑体" w:hAnsi="黑体" w:eastAsia="黑体"/>
          <w:color w:val="auto"/>
          <w:spacing w:val="13"/>
          <w:sz w:val="31"/>
          <w:szCs w:val="31"/>
          <w:highlight w:val="none"/>
        </w:rPr>
      </w:pPr>
      <w:r>
        <w:rPr>
          <w:rFonts w:ascii="黑体" w:hAnsi="黑体" w:eastAsia="黑体"/>
          <w:color w:val="auto"/>
          <w:spacing w:val="13"/>
          <w:sz w:val="31"/>
          <w:szCs w:val="31"/>
          <w:highlight w:val="none"/>
        </w:rPr>
        <w:t>评</w:t>
      </w:r>
      <w:r>
        <w:rPr>
          <w:rFonts w:ascii="黑体" w:hAnsi="黑体" w:eastAsia="黑体"/>
          <w:color w:val="auto"/>
          <w:spacing w:val="9"/>
          <w:sz w:val="31"/>
          <w:szCs w:val="31"/>
          <w:highlight w:val="none"/>
        </w:rPr>
        <w:t>标办法前附表</w:t>
      </w:r>
    </w:p>
    <w:p w14:paraId="1DCA93C7">
      <w:pPr>
        <w:rPr>
          <w:color w:val="auto"/>
          <w:highlight w:val="none"/>
        </w:rPr>
      </w:pPr>
    </w:p>
    <w:p w14:paraId="677312CF">
      <w:pPr>
        <w:rPr>
          <w:color w:val="auto"/>
          <w:highlight w:val="none"/>
        </w:rPr>
      </w:pPr>
    </w:p>
    <w:p w14:paraId="0BE7B18C">
      <w:pPr>
        <w:spacing w:line="62" w:lineRule="exact"/>
        <w:rPr>
          <w:color w:val="auto"/>
          <w:highlight w:val="none"/>
        </w:rPr>
      </w:pPr>
    </w:p>
    <w:tbl>
      <w:tblPr>
        <w:tblStyle w:val="18"/>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4"/>
        <w:gridCol w:w="2035"/>
        <w:gridCol w:w="5367"/>
      </w:tblGrid>
      <w:tr w14:paraId="595D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8" w:type="dxa"/>
            <w:gridSpan w:val="2"/>
          </w:tcPr>
          <w:p w14:paraId="58A576C8">
            <w:pPr>
              <w:spacing w:before="174" w:line="220" w:lineRule="auto"/>
              <w:ind w:left="705"/>
              <w:rPr>
                <w:rFonts w:ascii="宋体" w:hAnsi="宋体" w:eastAsia="宋体"/>
                <w:color w:val="auto"/>
                <w:spacing w:val="-3"/>
                <w:highlight w:val="none"/>
              </w:rPr>
            </w:pPr>
            <w:r>
              <w:rPr>
                <w:rFonts w:ascii="宋体" w:hAnsi="宋体" w:eastAsia="宋体"/>
                <w:color w:val="auto"/>
                <w:spacing w:val="-3"/>
                <w:highlight w:val="none"/>
              </w:rPr>
              <w:t>条款号</w:t>
            </w:r>
          </w:p>
        </w:tc>
        <w:tc>
          <w:tcPr>
            <w:tcW w:w="2035" w:type="dxa"/>
          </w:tcPr>
          <w:p w14:paraId="1C047CF8">
            <w:pPr>
              <w:spacing w:before="174" w:line="220" w:lineRule="auto"/>
              <w:ind w:left="820"/>
              <w:rPr>
                <w:rFonts w:ascii="宋体" w:hAnsi="宋体" w:eastAsia="宋体"/>
                <w:color w:val="auto"/>
                <w:spacing w:val="-2"/>
                <w:highlight w:val="none"/>
              </w:rPr>
            </w:pPr>
            <w:r>
              <w:rPr>
                <w:rFonts w:ascii="宋体" w:hAnsi="宋体" w:eastAsia="宋体"/>
                <w:color w:val="auto"/>
                <w:spacing w:val="-2"/>
                <w:highlight w:val="none"/>
              </w:rPr>
              <w:t>评</w:t>
            </w:r>
            <w:r>
              <w:rPr>
                <w:rFonts w:ascii="宋体" w:hAnsi="宋体" w:eastAsia="宋体"/>
                <w:color w:val="auto"/>
                <w:spacing w:val="-1"/>
                <w:highlight w:val="none"/>
              </w:rPr>
              <w:t>审因素</w:t>
            </w:r>
          </w:p>
        </w:tc>
        <w:tc>
          <w:tcPr>
            <w:tcW w:w="5367" w:type="dxa"/>
          </w:tcPr>
          <w:p w14:paraId="1F9B82C5">
            <w:pPr>
              <w:spacing w:before="174" w:line="221" w:lineRule="auto"/>
              <w:ind w:left="1925"/>
              <w:rPr>
                <w:rFonts w:ascii="宋体" w:hAnsi="宋体" w:eastAsia="宋体"/>
                <w:color w:val="auto"/>
                <w:spacing w:val="-2"/>
                <w:highlight w:val="none"/>
              </w:rPr>
            </w:pPr>
            <w:r>
              <w:rPr>
                <w:rFonts w:ascii="宋体" w:hAnsi="宋体" w:eastAsia="宋体"/>
                <w:color w:val="auto"/>
                <w:spacing w:val="-2"/>
                <w:highlight w:val="none"/>
              </w:rPr>
              <w:t>评审标</w:t>
            </w:r>
            <w:r>
              <w:rPr>
                <w:rFonts w:ascii="宋体" w:hAnsi="宋体" w:eastAsia="宋体"/>
                <w:color w:val="auto"/>
                <w:spacing w:val="-1"/>
                <w:highlight w:val="none"/>
              </w:rPr>
              <w:t>准</w:t>
            </w:r>
          </w:p>
        </w:tc>
      </w:tr>
      <w:tr w14:paraId="1A0F1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904" w:type="dxa"/>
            <w:vAlign w:val="center"/>
          </w:tcPr>
          <w:p w14:paraId="6E86F5E9">
            <w:pPr>
              <w:spacing w:before="241"/>
              <w:jc w:val="center"/>
              <w:rPr>
                <w:rFonts w:ascii="Times New Roman" w:hAnsi="Times New Roman" w:eastAsia="Times New Roman"/>
                <w:color w:val="auto"/>
                <w:highlight w:val="none"/>
              </w:rPr>
            </w:pPr>
            <w:r>
              <w:rPr>
                <w:rFonts w:ascii="Times New Roman" w:hAnsi="Times New Roman" w:eastAsia="Times New Roman"/>
                <w:color w:val="auto"/>
                <w:highlight w:val="none"/>
              </w:rPr>
              <w:t>1</w:t>
            </w:r>
          </w:p>
        </w:tc>
        <w:tc>
          <w:tcPr>
            <w:tcW w:w="1124" w:type="dxa"/>
            <w:vAlign w:val="center"/>
          </w:tcPr>
          <w:p w14:paraId="62306CA7">
            <w:pPr>
              <w:spacing w:before="202"/>
              <w:jc w:val="center"/>
              <w:rPr>
                <w:rFonts w:ascii="宋体" w:hAnsi="宋体" w:eastAsia="宋体"/>
                <w:color w:val="auto"/>
                <w:spacing w:val="-2"/>
                <w:highlight w:val="none"/>
              </w:rPr>
            </w:pPr>
            <w:r>
              <w:rPr>
                <w:rFonts w:ascii="宋体" w:hAnsi="宋体" w:eastAsia="宋体"/>
                <w:color w:val="auto"/>
                <w:spacing w:val="-2"/>
                <w:highlight w:val="none"/>
              </w:rPr>
              <w:t>评标</w:t>
            </w:r>
            <w:r>
              <w:rPr>
                <w:rFonts w:ascii="宋体" w:hAnsi="宋体" w:eastAsia="宋体"/>
                <w:color w:val="auto"/>
                <w:spacing w:val="-1"/>
                <w:highlight w:val="none"/>
              </w:rPr>
              <w:t>方法</w:t>
            </w:r>
          </w:p>
        </w:tc>
        <w:tc>
          <w:tcPr>
            <w:tcW w:w="2035" w:type="dxa"/>
            <w:vAlign w:val="center"/>
          </w:tcPr>
          <w:p w14:paraId="1561A730">
            <w:pPr>
              <w:jc w:val="center"/>
              <w:rPr>
                <w:rFonts w:ascii="宋体" w:hAnsi="宋体" w:eastAsia="宋体"/>
                <w:color w:val="auto"/>
                <w:spacing w:val="-4"/>
                <w:highlight w:val="none"/>
              </w:rPr>
            </w:pPr>
            <w:r>
              <w:rPr>
                <w:rFonts w:ascii="宋体" w:hAnsi="宋体" w:eastAsia="宋体"/>
                <w:color w:val="auto"/>
                <w:spacing w:val="-4"/>
                <w:highlight w:val="none"/>
              </w:rPr>
              <w:t>中标候</w:t>
            </w:r>
            <w:r>
              <w:rPr>
                <w:rFonts w:ascii="宋体" w:hAnsi="宋体" w:eastAsia="宋体"/>
                <w:color w:val="auto"/>
                <w:spacing w:val="-3"/>
                <w:highlight w:val="none"/>
              </w:rPr>
              <w:t>选</w:t>
            </w:r>
            <w:r>
              <w:rPr>
                <w:rFonts w:ascii="宋体" w:hAnsi="宋体" w:eastAsia="宋体"/>
                <w:color w:val="auto"/>
                <w:spacing w:val="-2"/>
                <w:highlight w:val="none"/>
              </w:rPr>
              <w:t>人排序方法</w:t>
            </w:r>
          </w:p>
        </w:tc>
        <w:tc>
          <w:tcPr>
            <w:tcW w:w="5367" w:type="dxa"/>
          </w:tcPr>
          <w:p w14:paraId="5570BEA8">
            <w:pPr>
              <w:pStyle w:val="52"/>
              <w:kinsoku/>
              <w:topLinePunct/>
              <w:spacing w:line="240" w:lineRule="auto"/>
              <w:ind w:left="210" w:leftChars="100" w:right="210" w:rightChars="100" w:firstLine="0" w:firstLineChars="0"/>
              <w:rPr>
                <w:color w:val="auto"/>
                <w:sz w:val="21"/>
                <w:szCs w:val="21"/>
                <w:highlight w:val="none"/>
              </w:rPr>
            </w:pPr>
            <w:r>
              <w:rPr>
                <w:rFonts w:hint="eastAsia"/>
                <w:color w:val="auto"/>
                <w:sz w:val="21"/>
                <w:szCs w:val="21"/>
                <w:highlight w:val="none"/>
              </w:rPr>
              <w:t>将各综合得分由高到低顺序排列，综合得分最高的投标人为第一中标候选人，综合得分次高的投标人为第二中标候选人，以此类推。各标段中标候选人顺序确定方法如下：综合评分相等时，以投标报价低的优先；投标报价也相等的，以勘察方案得分高的优先；如果勘察方案得分也相等，评标委员会视投标人情况综合比较，投票确定其名次，以“少数服从多数”的原则</w:t>
            </w:r>
            <w:r>
              <w:rPr>
                <w:rFonts w:hint="eastAsia" w:ascii="宋体" w:hAnsi="宋体"/>
                <w:color w:val="auto"/>
                <w:sz w:val="21"/>
                <w:szCs w:val="21"/>
                <w:highlight w:val="none"/>
              </w:rPr>
              <w:t>确定中标候选人的排序。</w:t>
            </w:r>
          </w:p>
        </w:tc>
      </w:tr>
      <w:tr w14:paraId="4E28D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04" w:type="dxa"/>
            <w:vMerge w:val="restart"/>
            <w:vAlign w:val="center"/>
          </w:tcPr>
          <w:p w14:paraId="287D739D">
            <w:pPr>
              <w:spacing w:before="241" w:line="186" w:lineRule="auto"/>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2.1</w:t>
            </w:r>
            <w:r>
              <w:rPr>
                <w:rFonts w:ascii="Times New Roman" w:hAnsi="Times New Roman" w:eastAsia="Times New Roman"/>
                <w:color w:val="auto"/>
                <w:highlight w:val="none"/>
              </w:rPr>
              <w:t>.1</w:t>
            </w:r>
          </w:p>
        </w:tc>
        <w:tc>
          <w:tcPr>
            <w:tcW w:w="1124" w:type="dxa"/>
            <w:vMerge w:val="restart"/>
            <w:vAlign w:val="center"/>
          </w:tcPr>
          <w:p w14:paraId="466FC348">
            <w:pPr>
              <w:spacing w:before="202" w:line="221" w:lineRule="auto"/>
              <w:jc w:val="center"/>
              <w:rPr>
                <w:rFonts w:ascii="宋体" w:hAnsi="宋体" w:eastAsia="宋体"/>
                <w:color w:val="auto"/>
                <w:spacing w:val="-6"/>
                <w:highlight w:val="none"/>
              </w:rPr>
            </w:pPr>
            <w:r>
              <w:rPr>
                <w:rFonts w:ascii="宋体" w:hAnsi="宋体" w:eastAsia="宋体"/>
                <w:color w:val="auto"/>
                <w:spacing w:val="-6"/>
                <w:highlight w:val="none"/>
              </w:rPr>
              <w:t>资</w:t>
            </w:r>
            <w:r>
              <w:rPr>
                <w:rFonts w:ascii="宋体" w:hAnsi="宋体" w:eastAsia="宋体"/>
                <w:color w:val="auto"/>
                <w:spacing w:val="-4"/>
                <w:highlight w:val="none"/>
              </w:rPr>
              <w:t>格评审</w:t>
            </w:r>
            <w:r>
              <w:rPr>
                <w:rFonts w:ascii="宋体" w:hAnsi="宋体" w:eastAsia="宋体"/>
                <w:color w:val="auto"/>
                <w:highlight w:val="none"/>
              </w:rPr>
              <w:t xml:space="preserve"> </w:t>
            </w:r>
            <w:r>
              <w:rPr>
                <w:rFonts w:ascii="宋体" w:hAnsi="宋体" w:eastAsia="宋体"/>
                <w:color w:val="auto"/>
                <w:spacing w:val="-3"/>
                <w:highlight w:val="none"/>
              </w:rPr>
              <w:t>标</w:t>
            </w:r>
            <w:r>
              <w:rPr>
                <w:rFonts w:ascii="宋体" w:hAnsi="宋体" w:eastAsia="宋体"/>
                <w:color w:val="auto"/>
                <w:spacing w:val="-2"/>
                <w:highlight w:val="none"/>
              </w:rPr>
              <w:t>准</w:t>
            </w:r>
          </w:p>
        </w:tc>
        <w:tc>
          <w:tcPr>
            <w:tcW w:w="2035" w:type="dxa"/>
            <w:vAlign w:val="center"/>
          </w:tcPr>
          <w:p w14:paraId="3A54467A">
            <w:pPr>
              <w:spacing w:line="223" w:lineRule="auto"/>
              <w:jc w:val="center"/>
              <w:rPr>
                <w:rFonts w:ascii="宋体" w:hAnsi="宋体" w:eastAsia="宋体"/>
                <w:color w:val="auto"/>
                <w:spacing w:val="-2"/>
                <w:position w:val="17"/>
                <w:highlight w:val="none"/>
              </w:rPr>
            </w:pPr>
            <w:r>
              <w:rPr>
                <w:rFonts w:ascii="宋体" w:hAnsi="宋体" w:eastAsia="宋体"/>
                <w:color w:val="auto"/>
                <w:spacing w:val="-2"/>
                <w:position w:val="17"/>
                <w:highlight w:val="none"/>
              </w:rPr>
              <w:t>营业执照</w:t>
            </w:r>
          </w:p>
        </w:tc>
        <w:tc>
          <w:tcPr>
            <w:tcW w:w="5367" w:type="dxa"/>
          </w:tcPr>
          <w:p w14:paraId="336CB35D">
            <w:pPr>
              <w:ind w:left="210" w:leftChars="100" w:right="210" w:rightChars="100"/>
              <w:rPr>
                <w:rFonts w:ascii="宋体" w:hAnsi="宋体" w:eastAsia="宋体"/>
                <w:color w:val="auto"/>
                <w:highlight w:val="none"/>
              </w:rPr>
            </w:pPr>
            <w:r>
              <w:rPr>
                <w:rFonts w:ascii="宋体" w:hAnsi="宋体" w:eastAsia="宋体"/>
                <w:color w:val="auto"/>
                <w:highlight w:val="none"/>
              </w:rPr>
              <w:t>符合第二章“投标人须知”第 3.5.1 项规定， 具备有效的营业执照</w:t>
            </w:r>
          </w:p>
        </w:tc>
      </w:tr>
      <w:tr w14:paraId="105AE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04" w:type="dxa"/>
            <w:vMerge w:val="continue"/>
          </w:tcPr>
          <w:p w14:paraId="551B828B">
            <w:pPr>
              <w:spacing w:before="241" w:line="186" w:lineRule="auto"/>
              <w:ind w:left="420"/>
              <w:rPr>
                <w:rFonts w:ascii="Times New Roman" w:hAnsi="Times New Roman" w:eastAsia="Times New Roman"/>
                <w:color w:val="auto"/>
                <w:highlight w:val="none"/>
              </w:rPr>
            </w:pPr>
          </w:p>
        </w:tc>
        <w:tc>
          <w:tcPr>
            <w:tcW w:w="1124" w:type="dxa"/>
            <w:vMerge w:val="continue"/>
          </w:tcPr>
          <w:p w14:paraId="18F10599">
            <w:pPr>
              <w:spacing w:before="202" w:line="221" w:lineRule="auto"/>
              <w:ind w:left="144"/>
              <w:rPr>
                <w:rFonts w:ascii="宋体" w:hAnsi="宋体" w:eastAsia="宋体"/>
                <w:color w:val="auto"/>
                <w:spacing w:val="-2"/>
                <w:highlight w:val="none"/>
              </w:rPr>
            </w:pPr>
          </w:p>
        </w:tc>
        <w:tc>
          <w:tcPr>
            <w:tcW w:w="2035" w:type="dxa"/>
            <w:vAlign w:val="center"/>
          </w:tcPr>
          <w:p w14:paraId="2BC7AC27">
            <w:pPr>
              <w:spacing w:line="360" w:lineRule="auto"/>
              <w:jc w:val="center"/>
              <w:rPr>
                <w:rFonts w:ascii="宋体" w:hAnsi="宋体" w:eastAsia="宋体"/>
                <w:color w:val="auto"/>
                <w:spacing w:val="-4"/>
                <w:highlight w:val="none"/>
              </w:rPr>
            </w:pPr>
            <w:r>
              <w:rPr>
                <w:rFonts w:ascii="宋体" w:hAnsi="宋体" w:eastAsia="宋体"/>
                <w:color w:val="auto"/>
                <w:spacing w:val="-4"/>
                <w:highlight w:val="none"/>
              </w:rPr>
              <w:t>资</w:t>
            </w:r>
            <w:r>
              <w:rPr>
                <w:rFonts w:ascii="宋体" w:hAnsi="宋体" w:eastAsia="宋体"/>
                <w:color w:val="auto"/>
                <w:spacing w:val="-3"/>
                <w:highlight w:val="none"/>
              </w:rPr>
              <w:t>质要求</w:t>
            </w:r>
          </w:p>
        </w:tc>
        <w:tc>
          <w:tcPr>
            <w:tcW w:w="5367" w:type="dxa"/>
          </w:tcPr>
          <w:p w14:paraId="4C026085">
            <w:pPr>
              <w:spacing w:before="174"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1.4.1 </w:t>
            </w:r>
            <w:r>
              <w:rPr>
                <w:rFonts w:ascii="宋体" w:hAnsi="宋体" w:eastAsia="宋体"/>
                <w:color w:val="auto"/>
                <w:spacing w:val="-2"/>
                <w:highlight w:val="none"/>
              </w:rPr>
              <w:t>项规定</w:t>
            </w:r>
          </w:p>
        </w:tc>
      </w:tr>
      <w:tr w14:paraId="6729F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04" w:type="dxa"/>
            <w:vMerge w:val="continue"/>
          </w:tcPr>
          <w:p w14:paraId="40FC7736">
            <w:pPr>
              <w:spacing w:before="241" w:line="186" w:lineRule="auto"/>
              <w:ind w:left="420"/>
              <w:rPr>
                <w:rFonts w:ascii="Times New Roman" w:hAnsi="Times New Roman" w:eastAsia="Times New Roman"/>
                <w:color w:val="auto"/>
                <w:highlight w:val="none"/>
              </w:rPr>
            </w:pPr>
          </w:p>
        </w:tc>
        <w:tc>
          <w:tcPr>
            <w:tcW w:w="1124" w:type="dxa"/>
            <w:vMerge w:val="continue"/>
          </w:tcPr>
          <w:p w14:paraId="6A723D48">
            <w:pPr>
              <w:spacing w:before="202" w:line="221" w:lineRule="auto"/>
              <w:ind w:left="144"/>
              <w:rPr>
                <w:rFonts w:ascii="宋体" w:hAnsi="宋体" w:eastAsia="宋体"/>
                <w:color w:val="auto"/>
                <w:spacing w:val="-2"/>
                <w:highlight w:val="none"/>
              </w:rPr>
            </w:pPr>
          </w:p>
        </w:tc>
        <w:tc>
          <w:tcPr>
            <w:tcW w:w="2035" w:type="dxa"/>
            <w:vAlign w:val="center"/>
          </w:tcPr>
          <w:p w14:paraId="778181A8">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项目负责人</w:t>
            </w:r>
          </w:p>
        </w:tc>
        <w:tc>
          <w:tcPr>
            <w:tcW w:w="5367" w:type="dxa"/>
          </w:tcPr>
          <w:p w14:paraId="2AD3141D">
            <w:pPr>
              <w:spacing w:before="174"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1.4.1 </w:t>
            </w:r>
            <w:r>
              <w:rPr>
                <w:rFonts w:ascii="宋体" w:hAnsi="宋体" w:eastAsia="宋体"/>
                <w:color w:val="auto"/>
                <w:spacing w:val="-2"/>
                <w:highlight w:val="none"/>
              </w:rPr>
              <w:t>项规定</w:t>
            </w:r>
          </w:p>
        </w:tc>
      </w:tr>
      <w:tr w14:paraId="37BB1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4" w:type="dxa"/>
            <w:vMerge w:val="continue"/>
          </w:tcPr>
          <w:p w14:paraId="243175DE">
            <w:pPr>
              <w:spacing w:before="241" w:line="186" w:lineRule="auto"/>
              <w:ind w:left="420"/>
              <w:rPr>
                <w:rFonts w:ascii="Times New Roman" w:hAnsi="Times New Roman" w:eastAsia="Times New Roman"/>
                <w:color w:val="auto"/>
                <w:highlight w:val="none"/>
              </w:rPr>
            </w:pPr>
          </w:p>
        </w:tc>
        <w:tc>
          <w:tcPr>
            <w:tcW w:w="1124" w:type="dxa"/>
            <w:vMerge w:val="continue"/>
          </w:tcPr>
          <w:p w14:paraId="795D9423">
            <w:pPr>
              <w:spacing w:before="202" w:line="221" w:lineRule="auto"/>
              <w:ind w:left="144"/>
              <w:rPr>
                <w:rFonts w:ascii="宋体" w:hAnsi="宋体" w:eastAsia="宋体"/>
                <w:color w:val="auto"/>
                <w:spacing w:val="-2"/>
                <w:highlight w:val="none"/>
              </w:rPr>
            </w:pPr>
          </w:p>
        </w:tc>
        <w:tc>
          <w:tcPr>
            <w:tcW w:w="2035" w:type="dxa"/>
            <w:vAlign w:val="center"/>
          </w:tcPr>
          <w:p w14:paraId="1C25F73D">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联合</w:t>
            </w:r>
            <w:r>
              <w:rPr>
                <w:rFonts w:ascii="宋体" w:hAnsi="宋体" w:eastAsia="宋体"/>
                <w:color w:val="auto"/>
                <w:spacing w:val="-1"/>
                <w:highlight w:val="none"/>
              </w:rPr>
              <w:t>体投标人</w:t>
            </w:r>
          </w:p>
        </w:tc>
        <w:tc>
          <w:tcPr>
            <w:tcW w:w="5367" w:type="dxa"/>
          </w:tcPr>
          <w:p w14:paraId="0F363870">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1.4.2 </w:t>
            </w:r>
            <w:r>
              <w:rPr>
                <w:rFonts w:ascii="宋体" w:hAnsi="宋体" w:eastAsia="宋体"/>
                <w:color w:val="auto"/>
                <w:spacing w:val="-2"/>
                <w:highlight w:val="none"/>
              </w:rPr>
              <w:t>项规定</w:t>
            </w:r>
          </w:p>
        </w:tc>
      </w:tr>
      <w:tr w14:paraId="309EB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04" w:type="dxa"/>
            <w:vMerge w:val="continue"/>
          </w:tcPr>
          <w:p w14:paraId="76385BD3">
            <w:pPr>
              <w:spacing w:before="241" w:line="186" w:lineRule="auto"/>
              <w:ind w:left="420"/>
              <w:rPr>
                <w:rFonts w:ascii="Times New Roman" w:hAnsi="Times New Roman" w:eastAsia="Times New Roman"/>
                <w:color w:val="auto"/>
                <w:highlight w:val="none"/>
              </w:rPr>
            </w:pPr>
          </w:p>
        </w:tc>
        <w:tc>
          <w:tcPr>
            <w:tcW w:w="1124" w:type="dxa"/>
            <w:vMerge w:val="continue"/>
          </w:tcPr>
          <w:p w14:paraId="4A917C53">
            <w:pPr>
              <w:spacing w:before="202" w:line="221" w:lineRule="auto"/>
              <w:ind w:left="144"/>
              <w:rPr>
                <w:rFonts w:ascii="宋体" w:hAnsi="宋体" w:eastAsia="宋体"/>
                <w:color w:val="auto"/>
                <w:spacing w:val="-2"/>
                <w:highlight w:val="none"/>
              </w:rPr>
            </w:pPr>
          </w:p>
        </w:tc>
        <w:tc>
          <w:tcPr>
            <w:tcW w:w="2035" w:type="dxa"/>
            <w:vAlign w:val="center"/>
          </w:tcPr>
          <w:p w14:paraId="06C12C6E">
            <w:pPr>
              <w:jc w:val="center"/>
              <w:rPr>
                <w:rFonts w:ascii="宋体" w:hAnsi="宋体" w:eastAsia="宋体"/>
                <w:color w:val="auto"/>
                <w:spacing w:val="-2"/>
                <w:highlight w:val="none"/>
              </w:rPr>
            </w:pPr>
            <w:r>
              <w:rPr>
                <w:rFonts w:hint="eastAsia" w:ascii="宋体" w:hAnsi="宋体" w:eastAsia="宋体"/>
                <w:color w:val="auto"/>
                <w:spacing w:val="-2"/>
                <w:highlight w:val="none"/>
              </w:rPr>
              <w:t>未被纳入失信联合惩戒名单且被限制参与相关项目投标的</w:t>
            </w:r>
          </w:p>
        </w:tc>
        <w:tc>
          <w:tcPr>
            <w:tcW w:w="5367" w:type="dxa"/>
            <w:vAlign w:val="center"/>
          </w:tcPr>
          <w:p w14:paraId="61EF2E0A">
            <w:pPr>
              <w:ind w:left="210" w:leftChars="100" w:right="210" w:rightChars="100"/>
              <w:rPr>
                <w:rFonts w:ascii="宋体" w:hAnsi="宋体" w:eastAsia="宋体"/>
                <w:color w:val="auto"/>
                <w:spacing w:val="-4"/>
                <w:highlight w:val="none"/>
              </w:rPr>
            </w:pPr>
            <w:r>
              <w:rPr>
                <w:rFonts w:hint="eastAsia" w:ascii="宋体" w:hAnsi="宋体" w:eastAsia="宋体"/>
                <w:color w:val="auto"/>
                <w:spacing w:val="-4"/>
                <w:highlight w:val="none"/>
              </w:rPr>
              <w:t>失信联合惩戒名单以“信用广州”网站公布的“黑名单”为准。（提供查询结果网页截图，并加盖公章。）</w:t>
            </w:r>
          </w:p>
        </w:tc>
      </w:tr>
      <w:tr w14:paraId="55DC6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04" w:type="dxa"/>
            <w:vMerge w:val="continue"/>
          </w:tcPr>
          <w:p w14:paraId="26167CE5">
            <w:pPr>
              <w:spacing w:before="241" w:line="186" w:lineRule="auto"/>
              <w:ind w:left="420"/>
              <w:rPr>
                <w:rFonts w:ascii="Times New Roman" w:hAnsi="Times New Roman" w:eastAsia="Times New Roman"/>
                <w:color w:val="auto"/>
                <w:highlight w:val="none"/>
              </w:rPr>
            </w:pPr>
          </w:p>
        </w:tc>
        <w:tc>
          <w:tcPr>
            <w:tcW w:w="1124" w:type="dxa"/>
            <w:vMerge w:val="continue"/>
          </w:tcPr>
          <w:p w14:paraId="0CFC7254">
            <w:pPr>
              <w:spacing w:before="202" w:line="221" w:lineRule="auto"/>
              <w:ind w:left="144"/>
              <w:rPr>
                <w:rFonts w:ascii="宋体" w:hAnsi="宋体" w:eastAsia="宋体"/>
                <w:color w:val="auto"/>
                <w:spacing w:val="-2"/>
                <w:highlight w:val="none"/>
              </w:rPr>
            </w:pPr>
          </w:p>
        </w:tc>
        <w:tc>
          <w:tcPr>
            <w:tcW w:w="2035" w:type="dxa"/>
            <w:vAlign w:val="center"/>
          </w:tcPr>
          <w:p w14:paraId="65C93A77">
            <w:pPr>
              <w:jc w:val="center"/>
              <w:rPr>
                <w:rFonts w:ascii="宋体" w:hAnsi="宋体" w:eastAsia="宋体"/>
                <w:color w:val="auto"/>
                <w:spacing w:val="-2"/>
                <w:highlight w:val="none"/>
              </w:rPr>
            </w:pPr>
            <w:r>
              <w:rPr>
                <w:rFonts w:hint="eastAsia" w:ascii="宋体" w:hAnsi="宋体" w:eastAsia="宋体"/>
                <w:color w:val="auto"/>
                <w:spacing w:val="-2"/>
                <w:highlight w:val="none"/>
              </w:rPr>
              <w:t>不存在禁止投标的情形</w:t>
            </w:r>
          </w:p>
        </w:tc>
        <w:tc>
          <w:tcPr>
            <w:tcW w:w="5367" w:type="dxa"/>
            <w:vAlign w:val="center"/>
          </w:tcPr>
          <w:p w14:paraId="20D5EA09">
            <w:pPr>
              <w:ind w:left="210" w:leftChars="100" w:right="210" w:rightChars="100"/>
              <w:rPr>
                <w:rFonts w:ascii="宋体" w:hAnsi="宋体" w:eastAsia="宋体"/>
                <w:color w:val="auto"/>
                <w:spacing w:val="-4"/>
                <w:highlight w:val="none"/>
              </w:rPr>
            </w:pPr>
            <w:r>
              <w:rPr>
                <w:rFonts w:hint="eastAsia" w:ascii="宋体" w:hAnsi="宋体" w:eastAsia="宋体"/>
                <w:color w:val="auto"/>
                <w:spacing w:val="-4"/>
                <w:highlight w:val="none"/>
              </w:rPr>
              <w:t>不存在</w:t>
            </w:r>
            <w:r>
              <w:rPr>
                <w:rFonts w:ascii="宋体" w:hAnsi="宋体" w:eastAsia="宋体"/>
                <w:color w:val="auto"/>
                <w:spacing w:val="-4"/>
                <w:highlight w:val="none"/>
              </w:rPr>
              <w:t>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1.4.</w:t>
            </w:r>
            <w:r>
              <w:rPr>
                <w:rFonts w:hint="eastAsia" w:ascii="Times New Roman" w:hAnsi="Times New Roman" w:eastAsia="宋体"/>
                <w:color w:val="auto"/>
                <w:spacing w:val="-2"/>
                <w:highlight w:val="none"/>
              </w:rPr>
              <w:t>3</w:t>
            </w:r>
            <w:r>
              <w:rPr>
                <w:rFonts w:ascii="宋体" w:hAnsi="宋体" w:eastAsia="宋体"/>
                <w:color w:val="auto"/>
                <w:spacing w:val="-2"/>
                <w:highlight w:val="none"/>
              </w:rPr>
              <w:t>项规定</w:t>
            </w:r>
            <w:r>
              <w:rPr>
                <w:rFonts w:hint="eastAsia" w:ascii="宋体" w:hAnsi="宋体" w:eastAsia="宋体"/>
                <w:color w:val="auto"/>
                <w:spacing w:val="-2"/>
                <w:highlight w:val="none"/>
              </w:rPr>
              <w:t>的任何一种情形</w:t>
            </w:r>
            <w:r>
              <w:rPr>
                <w:rFonts w:hint="eastAsia" w:ascii="宋体" w:hAnsi="宋体" w:eastAsia="宋体"/>
                <w:color w:val="auto"/>
                <w:spacing w:val="-4"/>
                <w:highlight w:val="none"/>
              </w:rPr>
              <w:t>。</w:t>
            </w:r>
          </w:p>
        </w:tc>
      </w:tr>
      <w:tr w14:paraId="60D3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4" w:type="dxa"/>
            <w:vMerge w:val="restart"/>
          </w:tcPr>
          <w:p w14:paraId="11BC0043">
            <w:pPr>
              <w:spacing w:line="257" w:lineRule="auto"/>
              <w:rPr>
                <w:color w:val="auto"/>
                <w:highlight w:val="none"/>
              </w:rPr>
            </w:pPr>
          </w:p>
          <w:p w14:paraId="59D06B58">
            <w:pPr>
              <w:spacing w:line="257" w:lineRule="auto"/>
              <w:rPr>
                <w:color w:val="auto"/>
                <w:highlight w:val="none"/>
              </w:rPr>
            </w:pPr>
          </w:p>
          <w:p w14:paraId="1CAB13F3">
            <w:pPr>
              <w:spacing w:line="258" w:lineRule="auto"/>
              <w:rPr>
                <w:color w:val="auto"/>
                <w:highlight w:val="none"/>
              </w:rPr>
            </w:pPr>
          </w:p>
          <w:p w14:paraId="5A96962E">
            <w:pPr>
              <w:spacing w:line="258" w:lineRule="auto"/>
              <w:rPr>
                <w:color w:val="auto"/>
                <w:highlight w:val="none"/>
              </w:rPr>
            </w:pPr>
          </w:p>
          <w:p w14:paraId="6357E20A">
            <w:pPr>
              <w:spacing w:line="258" w:lineRule="auto"/>
              <w:rPr>
                <w:color w:val="auto"/>
                <w:highlight w:val="none"/>
              </w:rPr>
            </w:pPr>
          </w:p>
          <w:p w14:paraId="3DE7BBD4">
            <w:pPr>
              <w:spacing w:line="258" w:lineRule="auto"/>
              <w:rPr>
                <w:color w:val="auto"/>
                <w:highlight w:val="none"/>
              </w:rPr>
            </w:pPr>
          </w:p>
          <w:p w14:paraId="3133886F">
            <w:pPr>
              <w:spacing w:line="258" w:lineRule="auto"/>
              <w:rPr>
                <w:color w:val="auto"/>
                <w:highlight w:val="none"/>
              </w:rPr>
            </w:pPr>
          </w:p>
          <w:p w14:paraId="3E507BE9">
            <w:pPr>
              <w:spacing w:line="258" w:lineRule="auto"/>
              <w:rPr>
                <w:color w:val="auto"/>
                <w:highlight w:val="none"/>
              </w:rPr>
            </w:pPr>
          </w:p>
          <w:p w14:paraId="72B3D171">
            <w:pPr>
              <w:spacing w:line="258" w:lineRule="auto"/>
              <w:rPr>
                <w:color w:val="auto"/>
                <w:highlight w:val="none"/>
              </w:rPr>
            </w:pPr>
          </w:p>
          <w:p w14:paraId="6B8CEF54">
            <w:pPr>
              <w:spacing w:line="258" w:lineRule="auto"/>
              <w:rPr>
                <w:color w:val="auto"/>
                <w:highlight w:val="none"/>
              </w:rPr>
            </w:pPr>
          </w:p>
          <w:p w14:paraId="3D690C15">
            <w:pPr>
              <w:spacing w:before="60" w:line="186" w:lineRule="auto"/>
              <w:ind w:left="244"/>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2.1</w:t>
            </w:r>
            <w:r>
              <w:rPr>
                <w:rFonts w:ascii="Times New Roman" w:hAnsi="Times New Roman" w:eastAsia="Times New Roman"/>
                <w:color w:val="auto"/>
                <w:highlight w:val="none"/>
              </w:rPr>
              <w:t>.</w:t>
            </w:r>
            <w:r>
              <w:rPr>
                <w:rFonts w:hint="eastAsia" w:ascii="Times New Roman" w:hAnsi="Times New Roman" w:eastAsia="宋体"/>
                <w:color w:val="auto"/>
                <w:highlight w:val="none"/>
              </w:rPr>
              <w:t>2</w:t>
            </w:r>
          </w:p>
        </w:tc>
        <w:tc>
          <w:tcPr>
            <w:tcW w:w="1124" w:type="dxa"/>
            <w:vMerge w:val="restart"/>
          </w:tcPr>
          <w:p w14:paraId="7A8E1EBC">
            <w:pPr>
              <w:spacing w:line="257" w:lineRule="auto"/>
              <w:rPr>
                <w:color w:val="auto"/>
                <w:highlight w:val="none"/>
              </w:rPr>
            </w:pPr>
          </w:p>
          <w:p w14:paraId="1F2D040A">
            <w:pPr>
              <w:spacing w:line="257" w:lineRule="auto"/>
              <w:rPr>
                <w:color w:val="auto"/>
                <w:highlight w:val="none"/>
              </w:rPr>
            </w:pPr>
          </w:p>
          <w:p w14:paraId="528A2B0E">
            <w:pPr>
              <w:spacing w:line="257" w:lineRule="auto"/>
              <w:rPr>
                <w:color w:val="auto"/>
                <w:highlight w:val="none"/>
              </w:rPr>
            </w:pPr>
          </w:p>
          <w:p w14:paraId="13032B4C">
            <w:pPr>
              <w:spacing w:line="257" w:lineRule="auto"/>
              <w:rPr>
                <w:color w:val="auto"/>
                <w:highlight w:val="none"/>
              </w:rPr>
            </w:pPr>
          </w:p>
          <w:p w14:paraId="0A7AB6D2">
            <w:pPr>
              <w:spacing w:line="257" w:lineRule="auto"/>
              <w:rPr>
                <w:color w:val="auto"/>
                <w:highlight w:val="none"/>
              </w:rPr>
            </w:pPr>
          </w:p>
          <w:p w14:paraId="6B173A8E">
            <w:pPr>
              <w:spacing w:line="257" w:lineRule="auto"/>
              <w:rPr>
                <w:color w:val="auto"/>
                <w:highlight w:val="none"/>
              </w:rPr>
            </w:pPr>
          </w:p>
          <w:p w14:paraId="6CE183DA">
            <w:pPr>
              <w:spacing w:line="257" w:lineRule="auto"/>
              <w:rPr>
                <w:color w:val="auto"/>
                <w:highlight w:val="none"/>
              </w:rPr>
            </w:pPr>
          </w:p>
          <w:p w14:paraId="137BA7AE">
            <w:pPr>
              <w:spacing w:line="257" w:lineRule="auto"/>
              <w:rPr>
                <w:color w:val="auto"/>
                <w:highlight w:val="none"/>
              </w:rPr>
            </w:pPr>
          </w:p>
          <w:p w14:paraId="5FFE7515">
            <w:pPr>
              <w:spacing w:before="202" w:line="221" w:lineRule="auto"/>
              <w:jc w:val="center"/>
              <w:rPr>
                <w:rFonts w:ascii="宋体" w:hAnsi="宋体" w:eastAsia="宋体"/>
                <w:color w:val="auto"/>
                <w:spacing w:val="-4"/>
                <w:highlight w:val="none"/>
              </w:rPr>
            </w:pPr>
          </w:p>
          <w:p w14:paraId="29557689">
            <w:pPr>
              <w:spacing w:before="202" w:line="221" w:lineRule="auto"/>
              <w:jc w:val="center"/>
              <w:rPr>
                <w:rFonts w:ascii="宋体" w:hAnsi="宋体" w:eastAsia="宋体"/>
                <w:color w:val="auto"/>
                <w:spacing w:val="-4"/>
                <w:highlight w:val="none"/>
              </w:rPr>
            </w:pPr>
            <w:r>
              <w:rPr>
                <w:rFonts w:ascii="宋体" w:hAnsi="宋体" w:eastAsia="宋体"/>
                <w:color w:val="auto"/>
                <w:spacing w:val="-4"/>
                <w:highlight w:val="none"/>
              </w:rPr>
              <w:t xml:space="preserve">形式评审标准 </w:t>
            </w:r>
          </w:p>
        </w:tc>
        <w:tc>
          <w:tcPr>
            <w:tcW w:w="2035" w:type="dxa"/>
            <w:vAlign w:val="center"/>
          </w:tcPr>
          <w:p w14:paraId="7C9AEE98">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投标人名</w:t>
            </w:r>
            <w:r>
              <w:rPr>
                <w:rFonts w:ascii="宋体" w:hAnsi="宋体" w:eastAsia="宋体"/>
                <w:color w:val="auto"/>
                <w:spacing w:val="-1"/>
                <w:highlight w:val="none"/>
              </w:rPr>
              <w:t>称</w:t>
            </w:r>
          </w:p>
        </w:tc>
        <w:tc>
          <w:tcPr>
            <w:tcW w:w="5367" w:type="dxa"/>
          </w:tcPr>
          <w:p w14:paraId="41136E77">
            <w:pPr>
              <w:spacing w:before="171" w:line="219" w:lineRule="auto"/>
              <w:ind w:left="210" w:leftChars="100" w:right="210" w:rightChars="100"/>
              <w:rPr>
                <w:rFonts w:ascii="宋体" w:hAnsi="宋体" w:eastAsia="宋体"/>
                <w:color w:val="auto"/>
                <w:spacing w:val="-1"/>
                <w:highlight w:val="none"/>
              </w:rPr>
            </w:pPr>
            <w:r>
              <w:rPr>
                <w:rFonts w:ascii="宋体" w:hAnsi="宋体" w:eastAsia="宋体"/>
                <w:color w:val="auto"/>
                <w:spacing w:val="-1"/>
                <w:highlight w:val="none"/>
              </w:rPr>
              <w:t>与营业执照、资质证书一致</w:t>
            </w:r>
          </w:p>
        </w:tc>
      </w:tr>
      <w:tr w14:paraId="3261A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904" w:type="dxa"/>
            <w:vMerge w:val="continue"/>
          </w:tcPr>
          <w:p w14:paraId="55C42F70">
            <w:pPr>
              <w:rPr>
                <w:color w:val="auto"/>
                <w:highlight w:val="none"/>
              </w:rPr>
            </w:pPr>
          </w:p>
        </w:tc>
        <w:tc>
          <w:tcPr>
            <w:tcW w:w="1124" w:type="dxa"/>
            <w:vMerge w:val="continue"/>
          </w:tcPr>
          <w:p w14:paraId="5535D2D8">
            <w:pPr>
              <w:rPr>
                <w:color w:val="auto"/>
                <w:highlight w:val="none"/>
              </w:rPr>
            </w:pPr>
          </w:p>
        </w:tc>
        <w:tc>
          <w:tcPr>
            <w:tcW w:w="2035" w:type="dxa"/>
            <w:vAlign w:val="center"/>
          </w:tcPr>
          <w:p w14:paraId="1FF6E5C9">
            <w:pPr>
              <w:jc w:val="center"/>
              <w:rPr>
                <w:rFonts w:ascii="宋体" w:hAnsi="宋体" w:eastAsia="宋体"/>
                <w:color w:val="auto"/>
                <w:spacing w:val="-2"/>
                <w:highlight w:val="none"/>
              </w:rPr>
            </w:pPr>
            <w:r>
              <w:rPr>
                <w:rFonts w:ascii="宋体" w:hAnsi="宋体" w:eastAsia="宋体"/>
                <w:color w:val="auto"/>
                <w:spacing w:val="-2"/>
                <w:highlight w:val="none"/>
              </w:rPr>
              <w:t>投标人参加投标的意思表达清楚，投标人代表被授权有效</w:t>
            </w:r>
          </w:p>
        </w:tc>
        <w:tc>
          <w:tcPr>
            <w:tcW w:w="5367" w:type="dxa"/>
            <w:vAlign w:val="center"/>
          </w:tcPr>
          <w:p w14:paraId="5ACD29BF">
            <w:pPr>
              <w:spacing w:before="1"/>
              <w:ind w:left="210" w:leftChars="100" w:right="210" w:rightChars="100"/>
              <w:rPr>
                <w:rFonts w:ascii="宋体" w:hAnsi="宋体" w:eastAsia="宋体"/>
                <w:color w:val="auto"/>
                <w:spacing w:val="-2"/>
                <w:highlight w:val="none"/>
              </w:rPr>
            </w:pPr>
            <w:r>
              <w:rPr>
                <w:rFonts w:ascii="宋体" w:hAnsi="宋体" w:eastAsia="宋体"/>
                <w:color w:val="auto"/>
                <w:spacing w:val="-2"/>
                <w:highlight w:val="none"/>
              </w:rPr>
              <w:t>投标人声明、廉洁承诺书、法定代表人证明书；委托投标的还应提供法人授权委托证明书</w:t>
            </w:r>
          </w:p>
        </w:tc>
      </w:tr>
      <w:tr w14:paraId="6DD67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04" w:type="dxa"/>
            <w:vMerge w:val="continue"/>
          </w:tcPr>
          <w:p w14:paraId="7DB9FF12">
            <w:pPr>
              <w:rPr>
                <w:color w:val="auto"/>
                <w:highlight w:val="none"/>
              </w:rPr>
            </w:pPr>
          </w:p>
        </w:tc>
        <w:tc>
          <w:tcPr>
            <w:tcW w:w="1124" w:type="dxa"/>
            <w:vMerge w:val="continue"/>
          </w:tcPr>
          <w:p w14:paraId="28AF2945">
            <w:pPr>
              <w:rPr>
                <w:color w:val="auto"/>
                <w:highlight w:val="none"/>
              </w:rPr>
            </w:pPr>
          </w:p>
        </w:tc>
        <w:tc>
          <w:tcPr>
            <w:tcW w:w="2035" w:type="dxa"/>
            <w:vAlign w:val="center"/>
          </w:tcPr>
          <w:p w14:paraId="4CCA6AF4">
            <w:pPr>
              <w:spacing w:line="253" w:lineRule="auto"/>
              <w:jc w:val="center"/>
              <w:rPr>
                <w:color w:val="auto"/>
                <w:highlight w:val="none"/>
              </w:rPr>
            </w:pPr>
          </w:p>
          <w:p w14:paraId="415366EA">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投</w:t>
            </w:r>
            <w:r>
              <w:rPr>
                <w:rFonts w:ascii="宋体" w:hAnsi="宋体" w:eastAsia="宋体"/>
                <w:color w:val="auto"/>
                <w:spacing w:val="-1"/>
                <w:highlight w:val="none"/>
              </w:rPr>
              <w:t>标函及投标函附录签</w:t>
            </w:r>
            <w:r>
              <w:rPr>
                <w:rFonts w:ascii="宋体" w:hAnsi="宋体" w:eastAsia="宋体"/>
                <w:color w:val="auto"/>
                <w:spacing w:val="-3"/>
                <w:highlight w:val="none"/>
              </w:rPr>
              <w:t>字</w:t>
            </w:r>
            <w:r>
              <w:rPr>
                <w:rFonts w:ascii="宋体" w:hAnsi="宋体" w:eastAsia="宋体"/>
                <w:color w:val="auto"/>
                <w:spacing w:val="-2"/>
                <w:highlight w:val="none"/>
              </w:rPr>
              <w:t>盖章</w:t>
            </w:r>
          </w:p>
        </w:tc>
        <w:tc>
          <w:tcPr>
            <w:tcW w:w="5367" w:type="dxa"/>
          </w:tcPr>
          <w:p w14:paraId="3ED1A262">
            <w:pPr>
              <w:spacing w:before="171"/>
              <w:ind w:left="210" w:leftChars="100" w:right="210" w:rightChars="100"/>
              <w:rPr>
                <w:rFonts w:ascii="宋体" w:hAnsi="宋体" w:eastAsia="宋体"/>
                <w:color w:val="auto"/>
                <w:spacing w:val="21"/>
                <w:highlight w:val="none"/>
              </w:rPr>
            </w:pPr>
            <w:r>
              <w:rPr>
                <w:rFonts w:ascii="宋体" w:hAnsi="宋体" w:eastAsia="宋体"/>
                <w:color w:val="auto"/>
                <w:spacing w:val="21"/>
                <w:highlight w:val="none"/>
              </w:rPr>
              <w:t>有</w:t>
            </w:r>
            <w:r>
              <w:rPr>
                <w:rFonts w:ascii="宋体" w:hAnsi="宋体" w:eastAsia="宋体"/>
                <w:color w:val="auto"/>
                <w:spacing w:val="12"/>
                <w:highlight w:val="none"/>
              </w:rPr>
              <w:t>法定代表人或其委托代理人签字或加盖单位</w:t>
            </w:r>
            <w:r>
              <w:rPr>
                <w:rFonts w:ascii="宋体" w:hAnsi="宋体" w:eastAsia="宋体"/>
                <w:color w:val="auto"/>
                <w:spacing w:val="2"/>
                <w:highlight w:val="none"/>
              </w:rPr>
              <w:t>章。由法定代表人签字的，应附法定代表人身</w:t>
            </w:r>
            <w:r>
              <w:rPr>
                <w:rFonts w:ascii="宋体" w:hAnsi="宋体" w:eastAsia="宋体"/>
                <w:color w:val="auto"/>
                <w:highlight w:val="none"/>
              </w:rPr>
              <w:t>份</w:t>
            </w:r>
            <w:r>
              <w:rPr>
                <w:rFonts w:ascii="宋体" w:hAnsi="宋体" w:eastAsia="宋体"/>
                <w:color w:val="auto"/>
                <w:spacing w:val="-3"/>
                <w:highlight w:val="none"/>
              </w:rPr>
              <w:t>证明，由代理人签字的，应附授权委托书，身</w:t>
            </w:r>
            <w:r>
              <w:rPr>
                <w:rFonts w:ascii="宋体" w:hAnsi="宋体" w:eastAsia="宋体"/>
                <w:color w:val="auto"/>
                <w:spacing w:val="-2"/>
                <w:highlight w:val="none"/>
              </w:rPr>
              <w:t>份</w:t>
            </w:r>
            <w:r>
              <w:rPr>
                <w:rFonts w:ascii="宋体" w:hAnsi="宋体" w:eastAsia="宋体"/>
                <w:color w:val="auto"/>
                <w:spacing w:val="10"/>
                <w:highlight w:val="none"/>
              </w:rPr>
              <w:t>证</w:t>
            </w:r>
            <w:r>
              <w:rPr>
                <w:rFonts w:ascii="宋体" w:hAnsi="宋体" w:eastAsia="宋体"/>
                <w:color w:val="auto"/>
                <w:spacing w:val="5"/>
                <w:highlight w:val="none"/>
              </w:rPr>
              <w:t>明或授权委托书应符合第六章</w:t>
            </w:r>
            <w:r>
              <w:rPr>
                <w:rFonts w:ascii="Times New Roman" w:hAnsi="Times New Roman" w:eastAsia="Times New Roman"/>
                <w:color w:val="auto"/>
                <w:spacing w:val="5"/>
                <w:highlight w:val="none"/>
              </w:rPr>
              <w:t>“</w:t>
            </w:r>
            <w:r>
              <w:rPr>
                <w:rFonts w:ascii="宋体" w:hAnsi="宋体" w:eastAsia="宋体"/>
                <w:color w:val="auto"/>
                <w:spacing w:val="5"/>
                <w:highlight w:val="none"/>
              </w:rPr>
              <w:t>投标文件格式</w:t>
            </w:r>
            <w:r>
              <w:rPr>
                <w:rFonts w:ascii="Times New Roman" w:hAnsi="Times New Roman" w:eastAsia="Times New Roman"/>
                <w:color w:val="auto"/>
                <w:spacing w:val="5"/>
                <w:highlight w:val="none"/>
              </w:rPr>
              <w:t>”</w:t>
            </w:r>
            <w:r>
              <w:rPr>
                <w:rFonts w:ascii="宋体" w:hAnsi="宋体" w:eastAsia="宋体"/>
                <w:color w:val="auto"/>
                <w:spacing w:val="-7"/>
                <w:highlight w:val="none"/>
              </w:rPr>
              <w:t>的</w:t>
            </w:r>
            <w:r>
              <w:rPr>
                <w:rFonts w:ascii="宋体" w:hAnsi="宋体" w:eastAsia="宋体"/>
                <w:color w:val="auto"/>
                <w:spacing w:val="-5"/>
                <w:highlight w:val="none"/>
              </w:rPr>
              <w:t>规定</w:t>
            </w:r>
          </w:p>
        </w:tc>
      </w:tr>
      <w:tr w14:paraId="4FF10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04" w:type="dxa"/>
            <w:vMerge w:val="continue"/>
          </w:tcPr>
          <w:p w14:paraId="591E5FB7">
            <w:pPr>
              <w:rPr>
                <w:color w:val="auto"/>
                <w:highlight w:val="none"/>
              </w:rPr>
            </w:pPr>
          </w:p>
        </w:tc>
        <w:tc>
          <w:tcPr>
            <w:tcW w:w="1124" w:type="dxa"/>
            <w:vMerge w:val="continue"/>
          </w:tcPr>
          <w:p w14:paraId="4DD4D3B7">
            <w:pPr>
              <w:rPr>
                <w:color w:val="auto"/>
                <w:highlight w:val="none"/>
              </w:rPr>
            </w:pPr>
          </w:p>
        </w:tc>
        <w:tc>
          <w:tcPr>
            <w:tcW w:w="2035" w:type="dxa"/>
            <w:vAlign w:val="center"/>
          </w:tcPr>
          <w:p w14:paraId="0F8AF462">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投标文</w:t>
            </w:r>
            <w:r>
              <w:rPr>
                <w:rFonts w:ascii="宋体" w:hAnsi="宋体" w:eastAsia="宋体"/>
                <w:color w:val="auto"/>
                <w:spacing w:val="-1"/>
                <w:highlight w:val="none"/>
              </w:rPr>
              <w:t>件格式</w:t>
            </w:r>
          </w:p>
        </w:tc>
        <w:tc>
          <w:tcPr>
            <w:tcW w:w="5367" w:type="dxa"/>
          </w:tcPr>
          <w:p w14:paraId="7524379B">
            <w:pPr>
              <w:spacing w:before="172" w:line="220" w:lineRule="auto"/>
              <w:ind w:left="210" w:leftChars="100" w:right="210" w:rightChars="100"/>
              <w:rPr>
                <w:rFonts w:ascii="宋体" w:hAnsi="宋体" w:eastAsia="宋体"/>
                <w:color w:val="auto"/>
                <w:spacing w:val="-1"/>
                <w:highlight w:val="none"/>
              </w:rPr>
            </w:pPr>
            <w:r>
              <w:rPr>
                <w:rFonts w:ascii="宋体" w:hAnsi="宋体" w:eastAsia="宋体"/>
                <w:color w:val="auto"/>
                <w:spacing w:val="-1"/>
                <w:highlight w:val="none"/>
              </w:rPr>
              <w:t>符合第六章</w:t>
            </w:r>
            <w:r>
              <w:rPr>
                <w:rFonts w:ascii="Times New Roman" w:hAnsi="Times New Roman" w:eastAsia="Times New Roman"/>
                <w:color w:val="auto"/>
                <w:spacing w:val="-1"/>
                <w:highlight w:val="none"/>
              </w:rPr>
              <w:t>“</w:t>
            </w:r>
            <w:r>
              <w:rPr>
                <w:rFonts w:ascii="宋体" w:hAnsi="宋体" w:eastAsia="宋体"/>
                <w:color w:val="auto"/>
                <w:spacing w:val="-1"/>
                <w:highlight w:val="none"/>
              </w:rPr>
              <w:t>投标文件格</w:t>
            </w:r>
            <w:r>
              <w:rPr>
                <w:rFonts w:ascii="宋体" w:hAnsi="宋体" w:eastAsia="宋体"/>
                <w:color w:val="auto"/>
                <w:highlight w:val="none"/>
              </w:rPr>
              <w:t>式</w:t>
            </w:r>
            <w:r>
              <w:rPr>
                <w:rFonts w:ascii="Times New Roman" w:hAnsi="Times New Roman" w:eastAsia="Times New Roman"/>
                <w:color w:val="auto"/>
                <w:highlight w:val="none"/>
              </w:rPr>
              <w:t>”</w:t>
            </w:r>
            <w:r>
              <w:rPr>
                <w:rFonts w:ascii="宋体" w:hAnsi="宋体" w:eastAsia="宋体"/>
                <w:color w:val="auto"/>
                <w:highlight w:val="none"/>
              </w:rPr>
              <w:t>的规定</w:t>
            </w:r>
          </w:p>
        </w:tc>
      </w:tr>
      <w:tr w14:paraId="01399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Pr>
          <w:p w14:paraId="47D29DB1">
            <w:pPr>
              <w:rPr>
                <w:color w:val="auto"/>
                <w:highlight w:val="none"/>
              </w:rPr>
            </w:pPr>
          </w:p>
        </w:tc>
        <w:tc>
          <w:tcPr>
            <w:tcW w:w="1124" w:type="dxa"/>
            <w:vMerge w:val="continue"/>
          </w:tcPr>
          <w:p w14:paraId="0C0B643D">
            <w:pPr>
              <w:rPr>
                <w:color w:val="auto"/>
                <w:highlight w:val="none"/>
              </w:rPr>
            </w:pPr>
          </w:p>
        </w:tc>
        <w:tc>
          <w:tcPr>
            <w:tcW w:w="2035" w:type="dxa"/>
            <w:vAlign w:val="center"/>
          </w:tcPr>
          <w:p w14:paraId="3D965E38">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联合</w:t>
            </w:r>
            <w:r>
              <w:rPr>
                <w:rFonts w:ascii="宋体" w:hAnsi="宋体" w:eastAsia="宋体"/>
                <w:color w:val="auto"/>
                <w:spacing w:val="-1"/>
                <w:highlight w:val="none"/>
              </w:rPr>
              <w:t>体投标人</w:t>
            </w:r>
          </w:p>
        </w:tc>
        <w:tc>
          <w:tcPr>
            <w:tcW w:w="5367" w:type="dxa"/>
            <w:vAlign w:val="center"/>
          </w:tcPr>
          <w:p w14:paraId="73EFCC1B">
            <w:pPr>
              <w:spacing w:line="217" w:lineRule="auto"/>
              <w:ind w:left="210" w:leftChars="100" w:right="210" w:rightChars="100"/>
              <w:rPr>
                <w:rFonts w:ascii="宋体" w:hAnsi="宋体" w:eastAsia="宋体"/>
                <w:color w:val="auto"/>
                <w:spacing w:val="2"/>
                <w:position w:val="17"/>
                <w:highlight w:val="none"/>
              </w:rPr>
            </w:pPr>
            <w:r>
              <w:rPr>
                <w:rFonts w:ascii="宋体" w:hAnsi="宋体" w:eastAsia="宋体"/>
                <w:color w:val="auto"/>
                <w:spacing w:val="2"/>
                <w:position w:val="17"/>
                <w:highlight w:val="none"/>
              </w:rPr>
              <w:t>提交符合招标文件要求的联合体协议书</w:t>
            </w:r>
            <w:r>
              <w:rPr>
                <w:rFonts w:hint="eastAsia" w:ascii="宋体" w:hAnsi="宋体" w:eastAsia="宋体"/>
                <w:color w:val="auto"/>
                <w:spacing w:val="2"/>
                <w:position w:val="17"/>
                <w:highlight w:val="none"/>
              </w:rPr>
              <w:t>。</w:t>
            </w:r>
          </w:p>
        </w:tc>
      </w:tr>
      <w:tr w14:paraId="18B95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04" w:type="dxa"/>
            <w:vMerge w:val="continue"/>
          </w:tcPr>
          <w:p w14:paraId="4F138A9C">
            <w:pPr>
              <w:rPr>
                <w:color w:val="auto"/>
                <w:highlight w:val="none"/>
              </w:rPr>
            </w:pPr>
          </w:p>
        </w:tc>
        <w:tc>
          <w:tcPr>
            <w:tcW w:w="1124" w:type="dxa"/>
            <w:vMerge w:val="continue"/>
          </w:tcPr>
          <w:p w14:paraId="329EA753">
            <w:pPr>
              <w:rPr>
                <w:color w:val="auto"/>
                <w:highlight w:val="none"/>
              </w:rPr>
            </w:pPr>
          </w:p>
        </w:tc>
        <w:tc>
          <w:tcPr>
            <w:tcW w:w="2035" w:type="dxa"/>
            <w:vAlign w:val="center"/>
          </w:tcPr>
          <w:p w14:paraId="292DD1F7">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备选投</w:t>
            </w:r>
            <w:r>
              <w:rPr>
                <w:rFonts w:ascii="宋体" w:hAnsi="宋体" w:eastAsia="宋体"/>
                <w:color w:val="auto"/>
                <w:spacing w:val="-1"/>
                <w:highlight w:val="none"/>
              </w:rPr>
              <w:t>标方案</w:t>
            </w:r>
          </w:p>
        </w:tc>
        <w:tc>
          <w:tcPr>
            <w:tcW w:w="5367" w:type="dxa"/>
          </w:tcPr>
          <w:p w14:paraId="3DB04A7C">
            <w:pPr>
              <w:spacing w:before="172" w:line="220" w:lineRule="auto"/>
              <w:ind w:left="210" w:leftChars="100" w:right="210" w:rightChars="100"/>
              <w:rPr>
                <w:rFonts w:ascii="宋体" w:hAnsi="宋体" w:eastAsia="宋体"/>
                <w:color w:val="auto"/>
                <w:spacing w:val="-1"/>
                <w:highlight w:val="none"/>
              </w:rPr>
            </w:pPr>
            <w:r>
              <w:rPr>
                <w:rFonts w:ascii="宋体" w:hAnsi="宋体" w:eastAsia="宋体"/>
                <w:color w:val="auto"/>
                <w:spacing w:val="-1"/>
                <w:highlight w:val="none"/>
              </w:rPr>
              <w:t>除招标文件明确允许提交备选投标方案外，投标人不得提交备选投标方案</w:t>
            </w:r>
          </w:p>
        </w:tc>
      </w:tr>
      <w:tr w14:paraId="7E62A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904" w:type="dxa"/>
            <w:vMerge w:val="continue"/>
          </w:tcPr>
          <w:p w14:paraId="4D399030">
            <w:pPr>
              <w:rPr>
                <w:color w:val="auto"/>
                <w:highlight w:val="none"/>
              </w:rPr>
            </w:pPr>
          </w:p>
        </w:tc>
        <w:tc>
          <w:tcPr>
            <w:tcW w:w="1124" w:type="dxa"/>
            <w:vMerge w:val="continue"/>
          </w:tcPr>
          <w:p w14:paraId="57FC32AC">
            <w:pPr>
              <w:rPr>
                <w:color w:val="auto"/>
                <w:highlight w:val="none"/>
              </w:rPr>
            </w:pPr>
          </w:p>
        </w:tc>
        <w:tc>
          <w:tcPr>
            <w:tcW w:w="2035" w:type="dxa"/>
            <w:vAlign w:val="center"/>
          </w:tcPr>
          <w:p w14:paraId="03A793F6">
            <w:pPr>
              <w:jc w:val="center"/>
              <w:rPr>
                <w:color w:val="auto"/>
                <w:highlight w:val="none"/>
              </w:rPr>
            </w:pPr>
            <w:r>
              <w:rPr>
                <w:rFonts w:hint="eastAsia"/>
                <w:color w:val="auto"/>
                <w:highlight w:val="none"/>
              </w:rPr>
              <w:t>投标人机器码</w:t>
            </w:r>
          </w:p>
        </w:tc>
        <w:tc>
          <w:tcPr>
            <w:tcW w:w="5367" w:type="dxa"/>
            <w:vAlign w:val="center"/>
          </w:tcPr>
          <w:p w14:paraId="38036EB3">
            <w:pPr>
              <w:ind w:left="210" w:leftChars="100" w:right="210" w:rightChars="100"/>
              <w:jc w:val="both"/>
              <w:rPr>
                <w:color w:val="auto"/>
                <w:highlight w:val="none"/>
              </w:rPr>
            </w:pPr>
            <w:r>
              <w:rPr>
                <w:rFonts w:hint="eastAsia"/>
                <w:color w:val="auto"/>
                <w:highlight w:val="none"/>
              </w:rPr>
              <w:t>投标人与本项目其他投标人加密打包投标文件电脑机器特征码不一致的(以广州交易集团有限公司（广州公共资源交易中心）交易平台</w:t>
            </w:r>
            <w:r>
              <w:rPr>
                <w:rFonts w:hint="eastAsia" w:eastAsia="宋体"/>
                <w:color w:val="auto"/>
                <w:highlight w:val="none"/>
              </w:rPr>
              <w:t>开标</w:t>
            </w:r>
            <w:r>
              <w:rPr>
                <w:rFonts w:hint="eastAsia"/>
                <w:color w:val="auto"/>
                <w:highlight w:val="none"/>
              </w:rPr>
              <w:t>系统的检索信息为准)</w:t>
            </w:r>
          </w:p>
        </w:tc>
      </w:tr>
      <w:tr w14:paraId="6D081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restart"/>
          </w:tcPr>
          <w:p w14:paraId="7D5D348D">
            <w:pPr>
              <w:spacing w:line="269" w:lineRule="auto"/>
              <w:rPr>
                <w:color w:val="auto"/>
                <w:highlight w:val="none"/>
              </w:rPr>
            </w:pPr>
          </w:p>
          <w:p w14:paraId="1047E864">
            <w:pPr>
              <w:spacing w:line="269" w:lineRule="auto"/>
              <w:rPr>
                <w:color w:val="auto"/>
                <w:highlight w:val="none"/>
              </w:rPr>
            </w:pPr>
          </w:p>
          <w:p w14:paraId="08D98030">
            <w:pPr>
              <w:spacing w:line="269" w:lineRule="auto"/>
              <w:rPr>
                <w:color w:val="auto"/>
                <w:highlight w:val="none"/>
              </w:rPr>
            </w:pPr>
          </w:p>
          <w:p w14:paraId="2616B376">
            <w:pPr>
              <w:spacing w:line="270" w:lineRule="auto"/>
              <w:rPr>
                <w:color w:val="auto"/>
                <w:highlight w:val="none"/>
              </w:rPr>
            </w:pPr>
          </w:p>
          <w:p w14:paraId="12CE3F17">
            <w:pPr>
              <w:spacing w:line="270" w:lineRule="auto"/>
              <w:rPr>
                <w:color w:val="auto"/>
                <w:highlight w:val="none"/>
              </w:rPr>
            </w:pPr>
          </w:p>
          <w:p w14:paraId="61229876">
            <w:pPr>
              <w:spacing w:line="270" w:lineRule="auto"/>
              <w:rPr>
                <w:color w:val="auto"/>
                <w:highlight w:val="none"/>
              </w:rPr>
            </w:pPr>
          </w:p>
          <w:p w14:paraId="7F7BA1F6">
            <w:pPr>
              <w:spacing w:line="270" w:lineRule="auto"/>
              <w:rPr>
                <w:color w:val="auto"/>
                <w:highlight w:val="none"/>
              </w:rPr>
            </w:pPr>
          </w:p>
          <w:p w14:paraId="50810D27">
            <w:pPr>
              <w:spacing w:line="270" w:lineRule="auto"/>
              <w:rPr>
                <w:color w:val="auto"/>
                <w:highlight w:val="none"/>
              </w:rPr>
            </w:pPr>
          </w:p>
          <w:p w14:paraId="3F7ABDAA">
            <w:pPr>
              <w:spacing w:before="61" w:line="186" w:lineRule="auto"/>
              <w:ind w:left="244"/>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2.1</w:t>
            </w:r>
            <w:r>
              <w:rPr>
                <w:rFonts w:ascii="Times New Roman" w:hAnsi="Times New Roman" w:eastAsia="Times New Roman"/>
                <w:color w:val="auto"/>
                <w:highlight w:val="none"/>
              </w:rPr>
              <w:t>.3</w:t>
            </w:r>
          </w:p>
        </w:tc>
        <w:tc>
          <w:tcPr>
            <w:tcW w:w="1124" w:type="dxa"/>
            <w:vMerge w:val="restart"/>
          </w:tcPr>
          <w:p w14:paraId="1D8F6B19">
            <w:pPr>
              <w:spacing w:line="270" w:lineRule="auto"/>
              <w:rPr>
                <w:color w:val="auto"/>
                <w:highlight w:val="none"/>
              </w:rPr>
            </w:pPr>
          </w:p>
          <w:p w14:paraId="3048C168">
            <w:pPr>
              <w:spacing w:line="270" w:lineRule="auto"/>
              <w:rPr>
                <w:color w:val="auto"/>
                <w:highlight w:val="none"/>
              </w:rPr>
            </w:pPr>
          </w:p>
          <w:p w14:paraId="12EB4CE0">
            <w:pPr>
              <w:spacing w:line="270" w:lineRule="auto"/>
              <w:rPr>
                <w:color w:val="auto"/>
                <w:highlight w:val="none"/>
              </w:rPr>
            </w:pPr>
          </w:p>
          <w:p w14:paraId="7CC67F91">
            <w:pPr>
              <w:spacing w:before="202" w:line="221" w:lineRule="auto"/>
              <w:jc w:val="center"/>
              <w:rPr>
                <w:rFonts w:ascii="宋体" w:hAnsi="宋体" w:eastAsia="宋体"/>
                <w:color w:val="auto"/>
                <w:spacing w:val="-4"/>
                <w:highlight w:val="none"/>
              </w:rPr>
            </w:pPr>
            <w:r>
              <w:rPr>
                <w:rFonts w:ascii="宋体" w:hAnsi="宋体" w:eastAsia="宋体"/>
                <w:color w:val="auto"/>
                <w:spacing w:val="-4"/>
                <w:highlight w:val="none"/>
              </w:rPr>
              <w:t>响应性评 审标准</w:t>
            </w:r>
          </w:p>
        </w:tc>
        <w:tc>
          <w:tcPr>
            <w:tcW w:w="2035" w:type="dxa"/>
            <w:vAlign w:val="center"/>
          </w:tcPr>
          <w:p w14:paraId="7C693CB0">
            <w:pPr>
              <w:spacing w:line="360" w:lineRule="auto"/>
              <w:jc w:val="center"/>
              <w:rPr>
                <w:rFonts w:ascii="宋体" w:hAnsi="宋体" w:eastAsia="宋体"/>
                <w:color w:val="auto"/>
                <w:spacing w:val="-3"/>
                <w:highlight w:val="none"/>
              </w:rPr>
            </w:pPr>
            <w:r>
              <w:rPr>
                <w:rFonts w:ascii="宋体" w:hAnsi="宋体" w:eastAsia="宋体"/>
                <w:color w:val="auto"/>
                <w:spacing w:val="-3"/>
                <w:highlight w:val="none"/>
              </w:rPr>
              <w:t>投</w:t>
            </w:r>
            <w:r>
              <w:rPr>
                <w:rFonts w:ascii="宋体" w:hAnsi="宋体" w:eastAsia="宋体"/>
                <w:color w:val="auto"/>
                <w:spacing w:val="-2"/>
                <w:highlight w:val="none"/>
              </w:rPr>
              <w:t>标报价</w:t>
            </w:r>
          </w:p>
        </w:tc>
        <w:tc>
          <w:tcPr>
            <w:tcW w:w="5367" w:type="dxa"/>
          </w:tcPr>
          <w:p w14:paraId="59759283">
            <w:pPr>
              <w:spacing w:before="171" w:line="220" w:lineRule="auto"/>
              <w:ind w:left="210" w:leftChars="100" w:right="210" w:rightChars="100"/>
              <w:rPr>
                <w:rFonts w:ascii="宋体" w:hAnsi="宋体" w:eastAsia="宋体"/>
                <w:color w:val="auto"/>
                <w:spacing w:val="-3"/>
                <w:highlight w:val="none"/>
              </w:rPr>
            </w:pPr>
            <w:r>
              <w:rPr>
                <w:rFonts w:ascii="宋体" w:hAnsi="宋体" w:eastAsia="宋体"/>
                <w:color w:val="auto"/>
                <w:spacing w:val="-3"/>
                <w:highlight w:val="none"/>
              </w:rPr>
              <w:t>符合第二章</w:t>
            </w:r>
            <w:r>
              <w:rPr>
                <w:rFonts w:ascii="Times New Roman" w:hAnsi="Times New Roman" w:eastAsia="Times New Roman"/>
                <w:color w:val="auto"/>
                <w:spacing w:val="-3"/>
                <w:highlight w:val="none"/>
              </w:rPr>
              <w:t>“</w:t>
            </w:r>
            <w:r>
              <w:rPr>
                <w:rFonts w:ascii="宋体" w:hAnsi="宋体" w:eastAsia="宋体"/>
                <w:color w:val="auto"/>
                <w:spacing w:val="-3"/>
                <w:highlight w:val="none"/>
              </w:rPr>
              <w:t>投标人须知</w:t>
            </w:r>
            <w:r>
              <w:rPr>
                <w:rFonts w:ascii="Times New Roman" w:hAnsi="Times New Roman" w:eastAsia="Times New Roman"/>
                <w:color w:val="auto"/>
                <w:spacing w:val="-3"/>
                <w:highlight w:val="none"/>
              </w:rPr>
              <w:t>”</w:t>
            </w:r>
            <w:r>
              <w:rPr>
                <w:rFonts w:ascii="宋体" w:hAnsi="宋体" w:eastAsia="宋体"/>
                <w:color w:val="auto"/>
                <w:spacing w:val="-3"/>
                <w:highlight w:val="none"/>
              </w:rPr>
              <w:t xml:space="preserve">第 </w:t>
            </w:r>
            <w:r>
              <w:rPr>
                <w:rFonts w:ascii="Times New Roman" w:hAnsi="Times New Roman" w:eastAsia="Times New Roman"/>
                <w:color w:val="auto"/>
                <w:spacing w:val="-3"/>
                <w:highlight w:val="none"/>
              </w:rPr>
              <w:t xml:space="preserve">3.2 </w:t>
            </w:r>
            <w:r>
              <w:rPr>
                <w:rFonts w:ascii="宋体" w:hAnsi="宋体" w:eastAsia="宋体"/>
                <w:color w:val="auto"/>
                <w:spacing w:val="-3"/>
                <w:highlight w:val="none"/>
              </w:rPr>
              <w:t>款规</w:t>
            </w:r>
            <w:r>
              <w:rPr>
                <w:rFonts w:ascii="宋体" w:hAnsi="宋体" w:eastAsia="宋体"/>
                <w:color w:val="auto"/>
                <w:spacing w:val="-2"/>
                <w:highlight w:val="none"/>
              </w:rPr>
              <w:t>定</w:t>
            </w:r>
          </w:p>
        </w:tc>
      </w:tr>
      <w:tr w14:paraId="1A176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04" w:type="dxa"/>
            <w:vMerge w:val="continue"/>
          </w:tcPr>
          <w:p w14:paraId="2A3D027A">
            <w:pPr>
              <w:rPr>
                <w:color w:val="auto"/>
                <w:highlight w:val="none"/>
              </w:rPr>
            </w:pPr>
          </w:p>
        </w:tc>
        <w:tc>
          <w:tcPr>
            <w:tcW w:w="1124" w:type="dxa"/>
            <w:vMerge w:val="continue"/>
          </w:tcPr>
          <w:p w14:paraId="2DDEF184">
            <w:pPr>
              <w:rPr>
                <w:color w:val="auto"/>
                <w:highlight w:val="none"/>
              </w:rPr>
            </w:pPr>
          </w:p>
        </w:tc>
        <w:tc>
          <w:tcPr>
            <w:tcW w:w="2035" w:type="dxa"/>
            <w:vAlign w:val="center"/>
          </w:tcPr>
          <w:p w14:paraId="7DDF0D35">
            <w:pPr>
              <w:spacing w:line="360" w:lineRule="auto"/>
              <w:jc w:val="center"/>
              <w:rPr>
                <w:rFonts w:ascii="宋体" w:hAnsi="宋体" w:eastAsia="宋体"/>
                <w:color w:val="auto"/>
                <w:spacing w:val="-3"/>
                <w:highlight w:val="none"/>
              </w:rPr>
            </w:pPr>
            <w:r>
              <w:rPr>
                <w:rFonts w:ascii="宋体" w:hAnsi="宋体" w:eastAsia="宋体"/>
                <w:color w:val="auto"/>
                <w:spacing w:val="-3"/>
                <w:highlight w:val="none"/>
              </w:rPr>
              <w:t>投</w:t>
            </w:r>
            <w:r>
              <w:rPr>
                <w:rFonts w:ascii="宋体" w:hAnsi="宋体" w:eastAsia="宋体"/>
                <w:color w:val="auto"/>
                <w:spacing w:val="-2"/>
                <w:highlight w:val="none"/>
              </w:rPr>
              <w:t>标内容</w:t>
            </w:r>
          </w:p>
        </w:tc>
        <w:tc>
          <w:tcPr>
            <w:tcW w:w="5367" w:type="dxa"/>
          </w:tcPr>
          <w:p w14:paraId="7A81468E">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1.3.1 </w:t>
            </w:r>
            <w:r>
              <w:rPr>
                <w:rFonts w:ascii="宋体" w:hAnsi="宋体" w:eastAsia="宋体"/>
                <w:color w:val="auto"/>
                <w:spacing w:val="-2"/>
                <w:highlight w:val="none"/>
              </w:rPr>
              <w:t>项规定</w:t>
            </w:r>
          </w:p>
        </w:tc>
      </w:tr>
      <w:tr w14:paraId="6911B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4" w:type="dxa"/>
            <w:vMerge w:val="continue"/>
          </w:tcPr>
          <w:p w14:paraId="7FD1DB00">
            <w:pPr>
              <w:rPr>
                <w:color w:val="auto"/>
                <w:highlight w:val="none"/>
              </w:rPr>
            </w:pPr>
          </w:p>
        </w:tc>
        <w:tc>
          <w:tcPr>
            <w:tcW w:w="1124" w:type="dxa"/>
            <w:vMerge w:val="continue"/>
          </w:tcPr>
          <w:p w14:paraId="209F4FA0">
            <w:pPr>
              <w:rPr>
                <w:color w:val="auto"/>
                <w:highlight w:val="none"/>
              </w:rPr>
            </w:pPr>
          </w:p>
        </w:tc>
        <w:tc>
          <w:tcPr>
            <w:tcW w:w="2035" w:type="dxa"/>
            <w:vAlign w:val="center"/>
          </w:tcPr>
          <w:p w14:paraId="2C5FAB66">
            <w:pPr>
              <w:spacing w:line="360" w:lineRule="auto"/>
              <w:jc w:val="center"/>
              <w:rPr>
                <w:rFonts w:ascii="宋体" w:hAnsi="宋体" w:eastAsia="宋体"/>
                <w:color w:val="auto"/>
                <w:spacing w:val="-2"/>
                <w:highlight w:val="none"/>
              </w:rPr>
            </w:pPr>
            <w:r>
              <w:rPr>
                <w:rFonts w:hint="eastAsia" w:ascii="宋体" w:hAnsi="宋体" w:eastAsia="宋体"/>
                <w:color w:val="auto"/>
                <w:spacing w:val="-2"/>
                <w:highlight w:val="none"/>
              </w:rPr>
              <w:t>勘察</w:t>
            </w:r>
            <w:r>
              <w:rPr>
                <w:rFonts w:ascii="宋体" w:hAnsi="宋体" w:eastAsia="宋体"/>
                <w:color w:val="auto"/>
                <w:spacing w:val="-2"/>
                <w:highlight w:val="none"/>
              </w:rPr>
              <w:t>服务</w:t>
            </w:r>
            <w:r>
              <w:rPr>
                <w:rFonts w:ascii="宋体" w:hAnsi="宋体" w:eastAsia="宋体"/>
                <w:color w:val="auto"/>
                <w:spacing w:val="-1"/>
                <w:highlight w:val="none"/>
              </w:rPr>
              <w:t>期限</w:t>
            </w:r>
          </w:p>
        </w:tc>
        <w:tc>
          <w:tcPr>
            <w:tcW w:w="5367" w:type="dxa"/>
          </w:tcPr>
          <w:p w14:paraId="345B9CE3">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1.3.2 </w:t>
            </w:r>
            <w:r>
              <w:rPr>
                <w:rFonts w:ascii="宋体" w:hAnsi="宋体" w:eastAsia="宋体"/>
                <w:color w:val="auto"/>
                <w:spacing w:val="-2"/>
                <w:highlight w:val="none"/>
              </w:rPr>
              <w:t>项规定</w:t>
            </w:r>
          </w:p>
        </w:tc>
      </w:tr>
      <w:tr w14:paraId="0DF12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4" w:type="dxa"/>
            <w:vMerge w:val="continue"/>
          </w:tcPr>
          <w:p w14:paraId="2A9D1A70">
            <w:pPr>
              <w:rPr>
                <w:color w:val="auto"/>
                <w:highlight w:val="none"/>
              </w:rPr>
            </w:pPr>
          </w:p>
        </w:tc>
        <w:tc>
          <w:tcPr>
            <w:tcW w:w="1124" w:type="dxa"/>
            <w:vMerge w:val="continue"/>
          </w:tcPr>
          <w:p w14:paraId="218E65B6">
            <w:pPr>
              <w:rPr>
                <w:color w:val="auto"/>
                <w:highlight w:val="none"/>
              </w:rPr>
            </w:pPr>
          </w:p>
        </w:tc>
        <w:tc>
          <w:tcPr>
            <w:tcW w:w="2035" w:type="dxa"/>
            <w:vAlign w:val="center"/>
          </w:tcPr>
          <w:p w14:paraId="0E7AE18D">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质量标</w:t>
            </w:r>
            <w:r>
              <w:rPr>
                <w:rFonts w:ascii="宋体" w:hAnsi="宋体" w:eastAsia="宋体"/>
                <w:color w:val="auto"/>
                <w:spacing w:val="-1"/>
                <w:highlight w:val="none"/>
              </w:rPr>
              <w:t>准</w:t>
            </w:r>
          </w:p>
        </w:tc>
        <w:tc>
          <w:tcPr>
            <w:tcW w:w="5367" w:type="dxa"/>
          </w:tcPr>
          <w:p w14:paraId="34973D7B">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1.3.3 </w:t>
            </w:r>
            <w:r>
              <w:rPr>
                <w:rFonts w:ascii="宋体" w:hAnsi="宋体" w:eastAsia="宋体"/>
                <w:color w:val="auto"/>
                <w:spacing w:val="-2"/>
                <w:highlight w:val="none"/>
              </w:rPr>
              <w:t>项规定</w:t>
            </w:r>
          </w:p>
        </w:tc>
      </w:tr>
      <w:tr w14:paraId="178AF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04" w:type="dxa"/>
            <w:vMerge w:val="continue"/>
          </w:tcPr>
          <w:p w14:paraId="6BEE7BE3">
            <w:pPr>
              <w:rPr>
                <w:color w:val="auto"/>
                <w:highlight w:val="none"/>
              </w:rPr>
            </w:pPr>
          </w:p>
        </w:tc>
        <w:tc>
          <w:tcPr>
            <w:tcW w:w="1124" w:type="dxa"/>
            <w:vMerge w:val="continue"/>
          </w:tcPr>
          <w:p w14:paraId="30107D47">
            <w:pPr>
              <w:rPr>
                <w:color w:val="auto"/>
                <w:highlight w:val="none"/>
              </w:rPr>
            </w:pPr>
          </w:p>
        </w:tc>
        <w:tc>
          <w:tcPr>
            <w:tcW w:w="2035" w:type="dxa"/>
            <w:vAlign w:val="center"/>
          </w:tcPr>
          <w:p w14:paraId="127381F3">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投标有效</w:t>
            </w:r>
            <w:r>
              <w:rPr>
                <w:rFonts w:ascii="宋体" w:hAnsi="宋体" w:eastAsia="宋体"/>
                <w:color w:val="auto"/>
                <w:spacing w:val="-1"/>
                <w:highlight w:val="none"/>
              </w:rPr>
              <w:t>期</w:t>
            </w:r>
          </w:p>
        </w:tc>
        <w:tc>
          <w:tcPr>
            <w:tcW w:w="5367" w:type="dxa"/>
          </w:tcPr>
          <w:p w14:paraId="05AA6F94">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3.3.1 </w:t>
            </w:r>
            <w:r>
              <w:rPr>
                <w:rFonts w:ascii="宋体" w:hAnsi="宋体" w:eastAsia="宋体"/>
                <w:color w:val="auto"/>
                <w:spacing w:val="-2"/>
                <w:highlight w:val="none"/>
              </w:rPr>
              <w:t>项规定</w:t>
            </w:r>
          </w:p>
        </w:tc>
      </w:tr>
      <w:tr w14:paraId="56BE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continue"/>
          </w:tcPr>
          <w:p w14:paraId="4FD30D34">
            <w:pPr>
              <w:rPr>
                <w:color w:val="auto"/>
                <w:highlight w:val="none"/>
              </w:rPr>
            </w:pPr>
          </w:p>
        </w:tc>
        <w:tc>
          <w:tcPr>
            <w:tcW w:w="1124" w:type="dxa"/>
            <w:vMerge w:val="continue"/>
          </w:tcPr>
          <w:p w14:paraId="199B3A7F">
            <w:pPr>
              <w:rPr>
                <w:color w:val="auto"/>
                <w:highlight w:val="none"/>
              </w:rPr>
            </w:pPr>
          </w:p>
        </w:tc>
        <w:tc>
          <w:tcPr>
            <w:tcW w:w="2035" w:type="dxa"/>
            <w:vAlign w:val="center"/>
          </w:tcPr>
          <w:p w14:paraId="42560FB3">
            <w:pPr>
              <w:spacing w:line="360" w:lineRule="auto"/>
              <w:jc w:val="center"/>
              <w:rPr>
                <w:rFonts w:ascii="宋体" w:hAnsi="宋体" w:eastAsia="宋体"/>
                <w:strike/>
                <w:color w:val="auto"/>
                <w:spacing w:val="-2"/>
                <w:highlight w:val="none"/>
              </w:rPr>
            </w:pPr>
            <w:r>
              <w:rPr>
                <w:rFonts w:ascii="宋体" w:hAnsi="宋体" w:eastAsia="宋体"/>
                <w:strike/>
                <w:color w:val="auto"/>
                <w:spacing w:val="-2"/>
                <w:highlight w:val="none"/>
              </w:rPr>
              <w:t>投标保证</w:t>
            </w:r>
            <w:r>
              <w:rPr>
                <w:rFonts w:ascii="宋体" w:hAnsi="宋体" w:eastAsia="宋体"/>
                <w:strike/>
                <w:color w:val="auto"/>
                <w:spacing w:val="-1"/>
                <w:highlight w:val="none"/>
              </w:rPr>
              <w:t>金</w:t>
            </w:r>
          </w:p>
        </w:tc>
        <w:tc>
          <w:tcPr>
            <w:tcW w:w="5367" w:type="dxa"/>
            <w:vAlign w:val="center"/>
          </w:tcPr>
          <w:p w14:paraId="5B5238E5">
            <w:pPr>
              <w:spacing w:before="172" w:line="220" w:lineRule="auto"/>
              <w:ind w:left="210" w:leftChars="100" w:right="210" w:rightChars="100"/>
              <w:jc w:val="both"/>
              <w:rPr>
                <w:rFonts w:ascii="宋体" w:hAnsi="宋体" w:eastAsia="宋体"/>
                <w:strike/>
                <w:color w:val="auto"/>
                <w:spacing w:val="-4"/>
                <w:highlight w:val="none"/>
              </w:rPr>
            </w:pPr>
            <w:r>
              <w:rPr>
                <w:rFonts w:ascii="宋体" w:hAnsi="宋体" w:eastAsia="宋体"/>
                <w:strike/>
                <w:color w:val="auto"/>
                <w:spacing w:val="-4"/>
                <w:highlight w:val="none"/>
              </w:rPr>
              <w:t>符合第二章</w:t>
            </w:r>
            <w:r>
              <w:rPr>
                <w:rFonts w:ascii="Times New Roman" w:hAnsi="Times New Roman" w:eastAsia="Times New Roman"/>
                <w:strike/>
                <w:color w:val="auto"/>
                <w:spacing w:val="-4"/>
                <w:highlight w:val="none"/>
              </w:rPr>
              <w:t>“</w:t>
            </w:r>
            <w:r>
              <w:rPr>
                <w:rFonts w:ascii="宋体" w:hAnsi="宋体" w:eastAsia="宋体"/>
                <w:strike/>
                <w:color w:val="auto"/>
                <w:spacing w:val="-4"/>
                <w:highlight w:val="none"/>
              </w:rPr>
              <w:t>投</w:t>
            </w:r>
            <w:r>
              <w:rPr>
                <w:rFonts w:ascii="宋体" w:hAnsi="宋体" w:eastAsia="宋体"/>
                <w:strike/>
                <w:color w:val="auto"/>
                <w:spacing w:val="-2"/>
                <w:highlight w:val="none"/>
              </w:rPr>
              <w:t>标人须知</w:t>
            </w:r>
            <w:r>
              <w:rPr>
                <w:rFonts w:ascii="Times New Roman" w:hAnsi="Times New Roman" w:eastAsia="Times New Roman"/>
                <w:strike/>
                <w:color w:val="auto"/>
                <w:spacing w:val="-2"/>
                <w:highlight w:val="none"/>
              </w:rPr>
              <w:t>”</w:t>
            </w:r>
            <w:r>
              <w:rPr>
                <w:rFonts w:ascii="宋体" w:hAnsi="宋体" w:eastAsia="宋体"/>
                <w:strike/>
                <w:color w:val="auto"/>
                <w:spacing w:val="-2"/>
                <w:highlight w:val="none"/>
              </w:rPr>
              <w:t xml:space="preserve">第 </w:t>
            </w:r>
            <w:r>
              <w:rPr>
                <w:rFonts w:ascii="Times New Roman" w:hAnsi="Times New Roman" w:eastAsia="Times New Roman"/>
                <w:strike/>
                <w:color w:val="auto"/>
                <w:spacing w:val="-2"/>
                <w:highlight w:val="none"/>
              </w:rPr>
              <w:t xml:space="preserve">3.4.1 </w:t>
            </w:r>
            <w:r>
              <w:rPr>
                <w:rFonts w:ascii="宋体" w:hAnsi="宋体" w:eastAsia="宋体"/>
                <w:strike/>
                <w:color w:val="auto"/>
                <w:spacing w:val="-2"/>
                <w:highlight w:val="none"/>
              </w:rPr>
              <w:t>项规定</w:t>
            </w:r>
          </w:p>
        </w:tc>
      </w:tr>
      <w:tr w14:paraId="61247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04" w:type="dxa"/>
            <w:vMerge w:val="continue"/>
          </w:tcPr>
          <w:p w14:paraId="0B15ABE4">
            <w:pPr>
              <w:rPr>
                <w:color w:val="auto"/>
                <w:highlight w:val="none"/>
              </w:rPr>
            </w:pPr>
          </w:p>
        </w:tc>
        <w:tc>
          <w:tcPr>
            <w:tcW w:w="1124" w:type="dxa"/>
            <w:vMerge w:val="continue"/>
          </w:tcPr>
          <w:p w14:paraId="4549E278">
            <w:pPr>
              <w:rPr>
                <w:color w:val="auto"/>
                <w:highlight w:val="none"/>
              </w:rPr>
            </w:pPr>
          </w:p>
        </w:tc>
        <w:tc>
          <w:tcPr>
            <w:tcW w:w="2035" w:type="dxa"/>
            <w:vAlign w:val="center"/>
          </w:tcPr>
          <w:p w14:paraId="4D2126E1">
            <w:pPr>
              <w:jc w:val="center"/>
              <w:rPr>
                <w:color w:val="auto"/>
                <w:highlight w:val="none"/>
              </w:rPr>
            </w:pPr>
            <w:r>
              <w:rPr>
                <w:rFonts w:hint="eastAsia"/>
                <w:color w:val="auto"/>
                <w:highlight w:val="none"/>
              </w:rPr>
              <w:t>其他否决情形</w:t>
            </w:r>
          </w:p>
        </w:tc>
        <w:tc>
          <w:tcPr>
            <w:tcW w:w="5367" w:type="dxa"/>
            <w:vAlign w:val="center"/>
          </w:tcPr>
          <w:p w14:paraId="2D3EF655">
            <w:pPr>
              <w:ind w:left="210" w:leftChars="100" w:right="210" w:rightChars="100"/>
              <w:jc w:val="both"/>
              <w:rPr>
                <w:color w:val="auto"/>
                <w:highlight w:val="none"/>
              </w:rPr>
            </w:pPr>
            <w:r>
              <w:rPr>
                <w:rFonts w:hint="eastAsia"/>
                <w:color w:val="auto"/>
                <w:highlight w:val="none"/>
              </w:rPr>
              <w:t>‌投标人</w:t>
            </w:r>
            <w:r>
              <w:rPr>
                <w:rFonts w:hint="eastAsia" w:eastAsia="宋体"/>
                <w:color w:val="auto"/>
                <w:highlight w:val="none"/>
              </w:rPr>
              <w:t>不</w:t>
            </w:r>
            <w:r>
              <w:rPr>
                <w:rFonts w:hint="eastAsia"/>
                <w:color w:val="auto"/>
                <w:highlight w:val="none"/>
              </w:rPr>
              <w:t>存在法律法规和招标文件规定的其他否决情形</w:t>
            </w:r>
          </w:p>
        </w:tc>
      </w:tr>
      <w:tr w14:paraId="79669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28" w:type="dxa"/>
            <w:gridSpan w:val="2"/>
          </w:tcPr>
          <w:p w14:paraId="7D8990E3">
            <w:pPr>
              <w:spacing w:before="173" w:line="220" w:lineRule="auto"/>
              <w:ind w:left="705"/>
              <w:rPr>
                <w:rFonts w:ascii="宋体" w:hAnsi="宋体" w:eastAsia="宋体"/>
                <w:color w:val="auto"/>
                <w:spacing w:val="-3"/>
                <w:highlight w:val="none"/>
              </w:rPr>
            </w:pPr>
            <w:r>
              <w:rPr>
                <w:rFonts w:ascii="宋体" w:hAnsi="宋体" w:eastAsia="宋体"/>
                <w:color w:val="auto"/>
                <w:spacing w:val="-3"/>
                <w:highlight w:val="none"/>
              </w:rPr>
              <w:t>条款号</w:t>
            </w:r>
          </w:p>
        </w:tc>
        <w:tc>
          <w:tcPr>
            <w:tcW w:w="2035" w:type="dxa"/>
          </w:tcPr>
          <w:p w14:paraId="70D93C13">
            <w:pPr>
              <w:spacing w:before="173" w:line="220" w:lineRule="auto"/>
              <w:ind w:left="823"/>
              <w:rPr>
                <w:rFonts w:ascii="宋体" w:hAnsi="宋体" w:eastAsia="宋体"/>
                <w:color w:val="auto"/>
                <w:spacing w:val="-2"/>
                <w:highlight w:val="none"/>
              </w:rPr>
            </w:pPr>
            <w:r>
              <w:rPr>
                <w:rFonts w:ascii="宋体" w:hAnsi="宋体" w:eastAsia="宋体"/>
                <w:color w:val="auto"/>
                <w:spacing w:val="-2"/>
                <w:highlight w:val="none"/>
              </w:rPr>
              <w:t>条款内容</w:t>
            </w:r>
          </w:p>
        </w:tc>
        <w:tc>
          <w:tcPr>
            <w:tcW w:w="5367" w:type="dxa"/>
          </w:tcPr>
          <w:p w14:paraId="0813AE84">
            <w:pPr>
              <w:spacing w:before="173" w:line="220" w:lineRule="auto"/>
              <w:ind w:left="210" w:leftChars="100" w:right="210" w:rightChars="100"/>
              <w:rPr>
                <w:rFonts w:ascii="宋体" w:hAnsi="宋体" w:eastAsia="宋体"/>
                <w:color w:val="auto"/>
                <w:spacing w:val="-3"/>
                <w:highlight w:val="none"/>
              </w:rPr>
            </w:pPr>
            <w:r>
              <w:rPr>
                <w:rFonts w:ascii="宋体" w:hAnsi="宋体" w:eastAsia="宋体"/>
                <w:color w:val="auto"/>
                <w:spacing w:val="-3"/>
                <w:highlight w:val="none"/>
              </w:rPr>
              <w:t>编</w:t>
            </w:r>
            <w:r>
              <w:rPr>
                <w:rFonts w:ascii="宋体" w:hAnsi="宋体" w:eastAsia="宋体"/>
                <w:color w:val="auto"/>
                <w:spacing w:val="-2"/>
                <w:highlight w:val="none"/>
              </w:rPr>
              <w:t>列内容</w:t>
            </w:r>
          </w:p>
        </w:tc>
      </w:tr>
      <w:tr w14:paraId="448D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2028" w:type="dxa"/>
            <w:gridSpan w:val="2"/>
          </w:tcPr>
          <w:p w14:paraId="6A4FEDC3">
            <w:pPr>
              <w:spacing w:line="268" w:lineRule="auto"/>
              <w:rPr>
                <w:color w:val="auto"/>
                <w:highlight w:val="none"/>
              </w:rPr>
            </w:pPr>
          </w:p>
          <w:p w14:paraId="74017848">
            <w:pPr>
              <w:spacing w:line="269" w:lineRule="auto"/>
              <w:rPr>
                <w:color w:val="auto"/>
                <w:highlight w:val="none"/>
              </w:rPr>
            </w:pPr>
          </w:p>
          <w:p w14:paraId="5FF055B8">
            <w:pPr>
              <w:spacing w:line="269" w:lineRule="auto"/>
              <w:rPr>
                <w:color w:val="auto"/>
                <w:highlight w:val="none"/>
              </w:rPr>
            </w:pPr>
          </w:p>
          <w:p w14:paraId="424AA699">
            <w:pPr>
              <w:spacing w:before="61" w:line="186" w:lineRule="auto"/>
              <w:ind w:left="80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1</w:t>
            </w:r>
          </w:p>
        </w:tc>
        <w:tc>
          <w:tcPr>
            <w:tcW w:w="2035" w:type="dxa"/>
          </w:tcPr>
          <w:p w14:paraId="4500E1B6">
            <w:pPr>
              <w:spacing w:line="271" w:lineRule="auto"/>
              <w:rPr>
                <w:color w:val="auto"/>
                <w:highlight w:val="none"/>
              </w:rPr>
            </w:pPr>
          </w:p>
          <w:p w14:paraId="43B60A3F">
            <w:pPr>
              <w:spacing w:line="271" w:lineRule="auto"/>
              <w:rPr>
                <w:color w:val="auto"/>
                <w:highlight w:val="none"/>
              </w:rPr>
            </w:pPr>
          </w:p>
          <w:p w14:paraId="25E11F69">
            <w:pPr>
              <w:spacing w:before="68" w:line="401" w:lineRule="exact"/>
              <w:jc w:val="center"/>
              <w:rPr>
                <w:rFonts w:ascii="宋体" w:hAnsi="宋体" w:eastAsia="宋体"/>
                <w:color w:val="auto"/>
                <w:spacing w:val="-3"/>
                <w:position w:val="14"/>
                <w:highlight w:val="none"/>
              </w:rPr>
            </w:pPr>
            <w:r>
              <w:rPr>
                <w:rFonts w:ascii="宋体" w:hAnsi="宋体" w:eastAsia="宋体"/>
                <w:color w:val="auto"/>
                <w:spacing w:val="-3"/>
                <w:position w:val="14"/>
                <w:highlight w:val="none"/>
              </w:rPr>
              <w:t>分</w:t>
            </w:r>
            <w:r>
              <w:rPr>
                <w:rFonts w:ascii="宋体" w:hAnsi="宋体" w:eastAsia="宋体"/>
                <w:color w:val="auto"/>
                <w:spacing w:val="-2"/>
                <w:position w:val="14"/>
                <w:highlight w:val="none"/>
              </w:rPr>
              <w:t>值构成</w:t>
            </w:r>
          </w:p>
          <w:p w14:paraId="6133332E">
            <w:pPr>
              <w:spacing w:line="282" w:lineRule="exact"/>
              <w:jc w:val="center"/>
              <w:rPr>
                <w:rFonts w:ascii="Times New Roman" w:hAnsi="Times New Roman" w:eastAsia="Times New Roman"/>
                <w:color w:val="auto"/>
                <w:spacing w:val="-9"/>
                <w:position w:val="2"/>
                <w:highlight w:val="none"/>
              </w:rPr>
            </w:pPr>
            <w:r>
              <w:rPr>
                <w:rFonts w:ascii="Times New Roman" w:hAnsi="Times New Roman" w:eastAsia="Times New Roman"/>
                <w:color w:val="auto"/>
                <w:spacing w:val="-9"/>
                <w:position w:val="2"/>
                <w:highlight w:val="none"/>
              </w:rPr>
              <w:t>(</w:t>
            </w:r>
            <w:r>
              <w:rPr>
                <w:rFonts w:ascii="宋体" w:hAnsi="宋体" w:eastAsia="宋体"/>
                <w:color w:val="auto"/>
                <w:spacing w:val="-6"/>
                <w:position w:val="2"/>
                <w:highlight w:val="none"/>
              </w:rPr>
              <w:t xml:space="preserve">总分 </w:t>
            </w:r>
            <w:r>
              <w:rPr>
                <w:rFonts w:ascii="Times New Roman" w:hAnsi="Times New Roman" w:eastAsia="Times New Roman"/>
                <w:color w:val="auto"/>
                <w:spacing w:val="-6"/>
                <w:position w:val="2"/>
                <w:highlight w:val="none"/>
              </w:rPr>
              <w:t xml:space="preserve">100 </w:t>
            </w:r>
            <w:r>
              <w:rPr>
                <w:rFonts w:ascii="宋体" w:hAnsi="宋体" w:eastAsia="宋体"/>
                <w:color w:val="auto"/>
                <w:spacing w:val="-6"/>
                <w:position w:val="2"/>
                <w:highlight w:val="none"/>
              </w:rPr>
              <w:t>分</w:t>
            </w:r>
            <w:r>
              <w:rPr>
                <w:rFonts w:ascii="Times New Roman" w:hAnsi="Times New Roman" w:eastAsia="Times New Roman"/>
                <w:color w:val="auto"/>
                <w:spacing w:val="-6"/>
                <w:position w:val="2"/>
                <w:highlight w:val="none"/>
              </w:rPr>
              <w:t>)</w:t>
            </w:r>
          </w:p>
        </w:tc>
        <w:tc>
          <w:tcPr>
            <w:tcW w:w="5367" w:type="dxa"/>
          </w:tcPr>
          <w:p w14:paraId="4F5ABB60">
            <w:pPr>
              <w:spacing w:before="191" w:line="218" w:lineRule="auto"/>
              <w:ind w:left="210" w:leftChars="100" w:right="210" w:rightChars="100"/>
              <w:rPr>
                <w:rFonts w:ascii="宋体" w:hAnsi="宋体" w:eastAsia="宋体"/>
                <w:color w:val="auto"/>
                <w:spacing w:val="-7"/>
                <w:highlight w:val="none"/>
              </w:rPr>
            </w:pPr>
            <w:r>
              <w:rPr>
                <w:rFonts w:ascii="宋体" w:hAnsi="宋体" w:eastAsia="宋体"/>
                <w:color w:val="auto"/>
                <w:spacing w:val="-7"/>
                <w:highlight w:val="none"/>
              </w:rPr>
              <w:t>资信业绩部分：</w:t>
            </w:r>
            <w:r>
              <w:rPr>
                <w:rFonts w:ascii="宋体" w:hAnsi="宋体" w:eastAsia="宋体"/>
                <w:color w:val="auto"/>
                <w:spacing w:val="-7"/>
                <w:highlight w:val="none"/>
                <w:u w:val="single"/>
              </w:rPr>
              <w:t xml:space="preserve"> </w:t>
            </w:r>
            <w:r>
              <w:rPr>
                <w:rFonts w:hint="eastAsia" w:ascii="宋体" w:hAnsi="宋体" w:eastAsia="宋体"/>
                <w:color w:val="auto"/>
                <w:spacing w:val="-7"/>
                <w:highlight w:val="none"/>
                <w:u w:val="single"/>
                <w:lang w:val="en-US" w:eastAsia="zh-CN"/>
              </w:rPr>
              <w:t>35</w:t>
            </w:r>
            <w:r>
              <w:rPr>
                <w:rFonts w:ascii="宋体" w:hAnsi="宋体" w:eastAsia="宋体"/>
                <w:color w:val="auto"/>
                <w:spacing w:val="-7"/>
                <w:highlight w:val="none"/>
                <w:u w:val="single"/>
              </w:rPr>
              <w:t xml:space="preserve"> </w:t>
            </w:r>
            <w:r>
              <w:rPr>
                <w:rFonts w:ascii="宋体" w:hAnsi="宋体" w:eastAsia="宋体"/>
                <w:color w:val="auto"/>
                <w:spacing w:val="-7"/>
                <w:highlight w:val="none"/>
              </w:rPr>
              <w:t>分</w:t>
            </w:r>
          </w:p>
          <w:p w14:paraId="51B19B3B">
            <w:pPr>
              <w:spacing w:before="191" w:line="218" w:lineRule="auto"/>
              <w:ind w:left="210" w:leftChars="100" w:right="210" w:rightChars="100"/>
              <w:rPr>
                <w:rFonts w:ascii="宋体" w:hAnsi="宋体" w:eastAsia="宋体"/>
                <w:color w:val="auto"/>
                <w:spacing w:val="-12"/>
                <w:highlight w:val="none"/>
              </w:rPr>
            </w:pPr>
            <w:r>
              <w:rPr>
                <w:rFonts w:hint="eastAsia" w:ascii="宋体" w:hAnsi="宋体" w:eastAsia="宋体"/>
                <w:color w:val="auto"/>
                <w:spacing w:val="-12"/>
                <w:highlight w:val="none"/>
              </w:rPr>
              <w:t>勘察</w:t>
            </w:r>
            <w:r>
              <w:rPr>
                <w:rFonts w:ascii="宋体" w:hAnsi="宋体" w:eastAsia="宋体"/>
                <w:color w:val="auto"/>
                <w:spacing w:val="-6"/>
                <w:highlight w:val="none"/>
              </w:rPr>
              <w:t>方案部分：</w:t>
            </w:r>
            <w:r>
              <w:rPr>
                <w:rFonts w:ascii="宋体" w:hAnsi="宋体" w:eastAsia="宋体"/>
                <w:color w:val="auto"/>
                <w:spacing w:val="-6"/>
                <w:highlight w:val="none"/>
                <w:u w:val="single"/>
              </w:rPr>
              <w:t xml:space="preserve"> </w:t>
            </w:r>
            <w:r>
              <w:rPr>
                <w:rFonts w:hint="eastAsia" w:ascii="宋体" w:hAnsi="宋体" w:eastAsia="宋体"/>
                <w:color w:val="auto"/>
                <w:spacing w:val="-6"/>
                <w:highlight w:val="none"/>
                <w:u w:val="single"/>
                <w:lang w:val="en-US" w:eastAsia="zh-CN"/>
              </w:rPr>
              <w:t>55</w:t>
            </w:r>
            <w:r>
              <w:rPr>
                <w:rFonts w:ascii="宋体" w:hAnsi="宋体" w:eastAsia="宋体"/>
                <w:color w:val="auto"/>
                <w:spacing w:val="-6"/>
                <w:highlight w:val="none"/>
                <w:u w:val="single"/>
              </w:rPr>
              <w:t xml:space="preserve"> </w:t>
            </w:r>
            <w:r>
              <w:rPr>
                <w:rFonts w:ascii="宋体" w:hAnsi="宋体" w:eastAsia="宋体"/>
                <w:color w:val="auto"/>
                <w:spacing w:val="-6"/>
                <w:highlight w:val="none"/>
              </w:rPr>
              <w:t>分</w:t>
            </w:r>
          </w:p>
          <w:p w14:paraId="60D2906D">
            <w:pPr>
              <w:spacing w:before="191" w:line="218" w:lineRule="auto"/>
              <w:ind w:left="210" w:leftChars="100" w:right="210" w:rightChars="100"/>
              <w:rPr>
                <w:rFonts w:ascii="宋体" w:hAnsi="宋体" w:eastAsia="宋体"/>
                <w:color w:val="auto"/>
                <w:spacing w:val="-14"/>
                <w:highlight w:val="none"/>
              </w:rPr>
            </w:pPr>
            <w:r>
              <w:rPr>
                <w:rFonts w:ascii="宋体" w:hAnsi="宋体" w:eastAsia="宋体"/>
                <w:color w:val="auto"/>
                <w:spacing w:val="-14"/>
                <w:highlight w:val="none"/>
              </w:rPr>
              <w:t>投</w:t>
            </w:r>
            <w:r>
              <w:rPr>
                <w:rFonts w:ascii="宋体" w:hAnsi="宋体" w:eastAsia="宋体"/>
                <w:color w:val="auto"/>
                <w:spacing w:val="-8"/>
                <w:highlight w:val="none"/>
              </w:rPr>
              <w:t>标</w:t>
            </w:r>
            <w:r>
              <w:rPr>
                <w:rFonts w:ascii="宋体" w:hAnsi="宋体" w:eastAsia="宋体"/>
                <w:color w:val="auto"/>
                <w:spacing w:val="-7"/>
                <w:highlight w:val="none"/>
              </w:rPr>
              <w:t>报价：</w:t>
            </w:r>
            <w:r>
              <w:rPr>
                <w:rFonts w:hint="eastAsia" w:ascii="宋体" w:hAnsi="宋体" w:eastAsia="宋体"/>
                <w:color w:val="auto"/>
                <w:spacing w:val="-7"/>
                <w:highlight w:val="none"/>
                <w:u w:val="single"/>
              </w:rPr>
              <w:t xml:space="preserve"> 10 </w:t>
            </w:r>
            <w:r>
              <w:rPr>
                <w:rFonts w:ascii="宋体" w:hAnsi="宋体" w:eastAsia="宋体"/>
                <w:color w:val="auto"/>
                <w:spacing w:val="-7"/>
                <w:highlight w:val="none"/>
              </w:rPr>
              <w:t>分</w:t>
            </w:r>
          </w:p>
          <w:p w14:paraId="5880B110">
            <w:pPr>
              <w:spacing w:before="191" w:line="218" w:lineRule="auto"/>
              <w:ind w:left="210" w:leftChars="100" w:right="210" w:rightChars="100"/>
              <w:rPr>
                <w:rFonts w:ascii="宋体" w:hAnsi="宋体" w:eastAsia="宋体"/>
                <w:color w:val="auto"/>
                <w:spacing w:val="-2"/>
                <w:highlight w:val="none"/>
              </w:rPr>
            </w:pPr>
            <w:r>
              <w:rPr>
                <w:rFonts w:ascii="宋体" w:hAnsi="宋体" w:eastAsia="宋体"/>
                <w:color w:val="auto"/>
                <w:spacing w:val="-2"/>
                <w:highlight w:val="none"/>
              </w:rPr>
              <w:t>其他评分</w:t>
            </w:r>
            <w:r>
              <w:rPr>
                <w:rFonts w:ascii="宋体" w:hAnsi="宋体" w:eastAsia="宋体"/>
                <w:color w:val="auto"/>
                <w:spacing w:val="-1"/>
                <w:highlight w:val="none"/>
              </w:rPr>
              <w:t>因素：</w:t>
            </w:r>
            <w:r>
              <w:rPr>
                <w:rFonts w:ascii="宋体" w:hAnsi="宋体" w:eastAsia="宋体"/>
                <w:color w:val="auto"/>
                <w:spacing w:val="-1"/>
                <w:highlight w:val="none"/>
                <w:u w:val="single"/>
              </w:rPr>
              <w:t xml:space="preserve"> </w:t>
            </w:r>
            <w:r>
              <w:rPr>
                <w:rFonts w:hint="eastAsia" w:ascii="宋体" w:hAnsi="宋体" w:eastAsia="宋体"/>
                <w:color w:val="auto"/>
                <w:spacing w:val="-1"/>
                <w:highlight w:val="none"/>
                <w:u w:val="single"/>
              </w:rPr>
              <w:t>/</w:t>
            </w:r>
            <w:r>
              <w:rPr>
                <w:rFonts w:ascii="宋体" w:hAnsi="宋体" w:eastAsia="宋体"/>
                <w:color w:val="auto"/>
                <w:spacing w:val="-1"/>
                <w:highlight w:val="none"/>
                <w:u w:val="single"/>
              </w:rPr>
              <w:t xml:space="preserve"> </w:t>
            </w:r>
            <w:r>
              <w:rPr>
                <w:rFonts w:ascii="宋体" w:hAnsi="宋体" w:eastAsia="宋体"/>
                <w:color w:val="auto"/>
                <w:spacing w:val="-1"/>
                <w:highlight w:val="none"/>
              </w:rPr>
              <w:t>分</w:t>
            </w:r>
          </w:p>
        </w:tc>
      </w:tr>
      <w:tr w14:paraId="70927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8" w:type="dxa"/>
            <w:gridSpan w:val="2"/>
            <w:vAlign w:val="center"/>
          </w:tcPr>
          <w:p w14:paraId="49D9D63B">
            <w:pPr>
              <w:spacing w:before="212" w:line="186" w:lineRule="auto"/>
              <w:ind w:left="805"/>
              <w:jc w:val="both"/>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2</w:t>
            </w:r>
          </w:p>
        </w:tc>
        <w:tc>
          <w:tcPr>
            <w:tcW w:w="2035" w:type="dxa"/>
            <w:vAlign w:val="center"/>
          </w:tcPr>
          <w:p w14:paraId="1ED64F25">
            <w:pPr>
              <w:spacing w:line="360" w:lineRule="auto"/>
              <w:jc w:val="both"/>
              <w:rPr>
                <w:rFonts w:ascii="宋体" w:hAnsi="宋体" w:eastAsia="宋体"/>
                <w:color w:val="auto"/>
                <w:spacing w:val="-1"/>
                <w:highlight w:val="none"/>
              </w:rPr>
            </w:pPr>
            <w:r>
              <w:rPr>
                <w:rFonts w:ascii="宋体" w:hAnsi="宋体" w:eastAsia="宋体"/>
                <w:color w:val="auto"/>
                <w:spacing w:val="-1"/>
                <w:highlight w:val="none"/>
              </w:rPr>
              <w:t>评标基准价计算</w:t>
            </w:r>
            <w:r>
              <w:rPr>
                <w:rFonts w:ascii="宋体" w:hAnsi="宋体" w:eastAsia="宋体"/>
                <w:color w:val="auto"/>
                <w:highlight w:val="none"/>
              </w:rPr>
              <w:t>方法</w:t>
            </w:r>
          </w:p>
        </w:tc>
        <w:tc>
          <w:tcPr>
            <w:tcW w:w="5367" w:type="dxa"/>
            <w:vAlign w:val="center"/>
          </w:tcPr>
          <w:p w14:paraId="09CADC3B">
            <w:pPr>
              <w:spacing w:line="360" w:lineRule="auto"/>
              <w:ind w:left="210" w:leftChars="100" w:right="210" w:rightChars="100"/>
              <w:rPr>
                <w:rFonts w:ascii="宋体" w:hAnsi="宋体"/>
                <w:color w:val="auto"/>
                <w:highlight w:val="none"/>
              </w:rPr>
            </w:pPr>
            <w:r>
              <w:rPr>
                <w:rFonts w:hint="eastAsia" w:ascii="宋体" w:hAnsi="宋体"/>
                <w:color w:val="auto"/>
                <w:highlight w:val="none"/>
              </w:rPr>
              <w:t>当通过形式评审、资格评审、响应性评审的有效投标人大于或等于5名且投标报价为有效投标价时，去掉一个最高价和一个最低价，取余下有效投标价的算术平均值的作为评标基准价。</w:t>
            </w:r>
          </w:p>
          <w:p w14:paraId="174961DA">
            <w:pPr>
              <w:spacing w:line="360" w:lineRule="auto"/>
              <w:ind w:left="210" w:leftChars="100" w:right="210" w:rightChars="100"/>
              <w:jc w:val="both"/>
              <w:rPr>
                <w:rFonts w:ascii="宋体" w:hAnsi="宋体"/>
                <w:color w:val="auto"/>
                <w:highlight w:val="none"/>
              </w:rPr>
            </w:pPr>
            <w:r>
              <w:rPr>
                <w:rFonts w:hint="eastAsia" w:ascii="宋体" w:hAnsi="宋体"/>
                <w:color w:val="auto"/>
                <w:highlight w:val="none"/>
              </w:rPr>
              <w:t>当通过形式评审、资格评审、响应性评审的有效投标人小于5名时，取所有入围的有效投标价的算术平均值的作为评标基准价。</w:t>
            </w:r>
          </w:p>
        </w:tc>
      </w:tr>
      <w:tr w14:paraId="5089B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028" w:type="dxa"/>
            <w:gridSpan w:val="2"/>
          </w:tcPr>
          <w:p w14:paraId="4FD698E4">
            <w:pPr>
              <w:spacing w:line="381" w:lineRule="auto"/>
              <w:rPr>
                <w:color w:val="auto"/>
                <w:highlight w:val="none"/>
              </w:rPr>
            </w:pPr>
          </w:p>
          <w:p w14:paraId="2DE2AAC6">
            <w:pPr>
              <w:spacing w:before="61" w:line="186" w:lineRule="auto"/>
              <w:ind w:left="80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3</w:t>
            </w:r>
          </w:p>
        </w:tc>
        <w:tc>
          <w:tcPr>
            <w:tcW w:w="2035" w:type="dxa"/>
            <w:vAlign w:val="center"/>
          </w:tcPr>
          <w:p w14:paraId="6B692489">
            <w:pPr>
              <w:spacing w:line="360" w:lineRule="auto"/>
              <w:jc w:val="center"/>
              <w:rPr>
                <w:rFonts w:ascii="宋体" w:hAnsi="宋体" w:eastAsia="宋体"/>
                <w:color w:val="auto"/>
                <w:spacing w:val="-2"/>
                <w:position w:val="17"/>
                <w:highlight w:val="none"/>
              </w:rPr>
            </w:pPr>
            <w:r>
              <w:rPr>
                <w:rFonts w:ascii="宋体" w:hAnsi="宋体" w:eastAsia="宋体"/>
                <w:color w:val="auto"/>
                <w:spacing w:val="-2"/>
                <w:position w:val="17"/>
                <w:highlight w:val="none"/>
              </w:rPr>
              <w:t>投标</w:t>
            </w:r>
            <w:r>
              <w:rPr>
                <w:rFonts w:ascii="宋体" w:hAnsi="宋体" w:eastAsia="宋体"/>
                <w:color w:val="auto"/>
                <w:spacing w:val="-1"/>
                <w:position w:val="17"/>
                <w:highlight w:val="none"/>
              </w:rPr>
              <w:t>报价的偏差率</w:t>
            </w:r>
          </w:p>
          <w:p w14:paraId="3F72B313">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计算公</w:t>
            </w:r>
            <w:r>
              <w:rPr>
                <w:rFonts w:ascii="宋体" w:hAnsi="宋体" w:eastAsia="宋体"/>
                <w:color w:val="auto"/>
                <w:spacing w:val="-1"/>
                <w:highlight w:val="none"/>
              </w:rPr>
              <w:t>式</w:t>
            </w:r>
          </w:p>
        </w:tc>
        <w:tc>
          <w:tcPr>
            <w:tcW w:w="5367" w:type="dxa"/>
            <w:vAlign w:val="center"/>
          </w:tcPr>
          <w:p w14:paraId="0E6E3AAC">
            <w:pPr>
              <w:spacing w:before="191" w:line="218" w:lineRule="auto"/>
              <w:ind w:left="210" w:leftChars="100" w:right="210" w:rightChars="100"/>
              <w:jc w:val="both"/>
              <w:rPr>
                <w:rFonts w:ascii="宋体" w:hAnsi="宋体" w:eastAsia="宋体"/>
                <w:color w:val="auto"/>
                <w:highlight w:val="none"/>
              </w:rPr>
            </w:pPr>
            <w:r>
              <w:rPr>
                <w:rFonts w:ascii="宋体" w:hAnsi="宋体" w:eastAsia="宋体"/>
                <w:color w:val="auto"/>
                <w:highlight w:val="none"/>
              </w:rPr>
              <w:t>投标报价偏差率=（投标报价-评标基准价）/评标基准价×100%。</w:t>
            </w:r>
          </w:p>
        </w:tc>
      </w:tr>
      <w:tr w14:paraId="2342F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028" w:type="dxa"/>
            <w:gridSpan w:val="2"/>
            <w:vAlign w:val="center"/>
          </w:tcPr>
          <w:p w14:paraId="05D443BC">
            <w:pPr>
              <w:spacing w:line="360" w:lineRule="auto"/>
              <w:jc w:val="center"/>
              <w:rPr>
                <w:rFonts w:ascii="宋体" w:hAnsi="宋体" w:eastAsia="宋体"/>
                <w:color w:val="auto"/>
                <w:spacing w:val="-3"/>
                <w:highlight w:val="none"/>
              </w:rPr>
            </w:pPr>
            <w:r>
              <w:rPr>
                <w:rFonts w:ascii="宋体" w:hAnsi="宋体" w:eastAsia="宋体"/>
                <w:color w:val="auto"/>
                <w:spacing w:val="-3"/>
                <w:highlight w:val="none"/>
              </w:rPr>
              <w:t>条款号</w:t>
            </w:r>
          </w:p>
        </w:tc>
        <w:tc>
          <w:tcPr>
            <w:tcW w:w="2035" w:type="dxa"/>
            <w:vAlign w:val="center"/>
          </w:tcPr>
          <w:p w14:paraId="4F42562A">
            <w:pPr>
              <w:spacing w:line="360" w:lineRule="auto"/>
              <w:jc w:val="center"/>
              <w:rPr>
                <w:rFonts w:ascii="宋体" w:hAnsi="宋体" w:eastAsia="宋体"/>
                <w:color w:val="auto"/>
                <w:spacing w:val="14"/>
                <w:highlight w:val="none"/>
              </w:rPr>
            </w:pPr>
            <w:r>
              <w:rPr>
                <w:rFonts w:ascii="宋体" w:hAnsi="宋体" w:eastAsia="宋体"/>
                <w:color w:val="auto"/>
                <w:spacing w:val="14"/>
                <w:highlight w:val="none"/>
              </w:rPr>
              <w:t>评</w:t>
            </w:r>
            <w:r>
              <w:rPr>
                <w:rFonts w:ascii="宋体" w:hAnsi="宋体" w:eastAsia="宋体"/>
                <w:color w:val="auto"/>
                <w:spacing w:val="11"/>
                <w:highlight w:val="none"/>
              </w:rPr>
              <w:t>分因素(偏差率)</w:t>
            </w:r>
          </w:p>
        </w:tc>
        <w:tc>
          <w:tcPr>
            <w:tcW w:w="5367" w:type="dxa"/>
            <w:vAlign w:val="center"/>
          </w:tcPr>
          <w:p w14:paraId="0ADCB1FD">
            <w:pPr>
              <w:spacing w:line="360" w:lineRule="auto"/>
              <w:ind w:left="210" w:leftChars="100" w:right="210" w:rightChars="100"/>
              <w:jc w:val="center"/>
              <w:rPr>
                <w:rFonts w:ascii="宋体" w:hAnsi="宋体" w:eastAsia="宋体"/>
                <w:color w:val="auto"/>
                <w:spacing w:val="-2"/>
                <w:highlight w:val="none"/>
              </w:rPr>
            </w:pPr>
            <w:r>
              <w:rPr>
                <w:rFonts w:ascii="宋体" w:hAnsi="宋体" w:eastAsia="宋体"/>
                <w:color w:val="auto"/>
                <w:spacing w:val="-2"/>
                <w:highlight w:val="none"/>
              </w:rPr>
              <w:t>评分标</w:t>
            </w:r>
            <w:r>
              <w:rPr>
                <w:rFonts w:ascii="宋体" w:hAnsi="宋体" w:eastAsia="宋体"/>
                <w:color w:val="auto"/>
                <w:spacing w:val="-1"/>
                <w:highlight w:val="none"/>
              </w:rPr>
              <w:t>准</w:t>
            </w:r>
          </w:p>
        </w:tc>
      </w:tr>
      <w:tr w14:paraId="08354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904" w:type="dxa"/>
            <w:vMerge w:val="restart"/>
            <w:vAlign w:val="center"/>
          </w:tcPr>
          <w:p w14:paraId="3D220650">
            <w:pPr>
              <w:spacing w:line="292" w:lineRule="auto"/>
              <w:jc w:val="center"/>
              <w:rPr>
                <w:color w:val="auto"/>
                <w:highlight w:val="none"/>
              </w:rPr>
            </w:pPr>
          </w:p>
          <w:p w14:paraId="35EA1219">
            <w:pPr>
              <w:spacing w:line="292" w:lineRule="auto"/>
              <w:jc w:val="center"/>
              <w:rPr>
                <w:color w:val="auto"/>
                <w:highlight w:val="none"/>
              </w:rPr>
            </w:pPr>
          </w:p>
          <w:p w14:paraId="7DCE6F00">
            <w:pPr>
              <w:spacing w:line="292" w:lineRule="auto"/>
              <w:jc w:val="center"/>
              <w:rPr>
                <w:color w:val="auto"/>
                <w:highlight w:val="none"/>
              </w:rPr>
            </w:pPr>
          </w:p>
          <w:p w14:paraId="23E65754">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w:t>
            </w:r>
            <w:r>
              <w:rPr>
                <w:rFonts w:ascii="Times New Roman" w:hAnsi="Times New Roman" w:eastAsia="Times New Roman"/>
                <w:color w:val="auto"/>
                <w:position w:val="18"/>
                <w:highlight w:val="none"/>
              </w:rPr>
              <w:t>.4</w:t>
            </w:r>
          </w:p>
          <w:p w14:paraId="6EAEBCF5">
            <w:pPr>
              <w:spacing w:line="223" w:lineRule="auto"/>
              <w:ind w:left="199"/>
              <w:jc w:val="center"/>
              <w:rPr>
                <w:rFonts w:ascii="宋体" w:hAnsi="宋体" w:eastAsia="宋体"/>
                <w:color w:val="auto"/>
                <w:spacing w:val="31"/>
                <w:highlight w:val="none"/>
              </w:rPr>
            </w:pPr>
            <w:r>
              <w:rPr>
                <w:rFonts w:ascii="宋体" w:hAnsi="宋体" w:eastAsia="宋体"/>
                <w:color w:val="auto"/>
                <w:spacing w:val="31"/>
                <w:highlight w:val="none"/>
              </w:rPr>
              <w:t>(</w:t>
            </w:r>
            <w:r>
              <w:rPr>
                <w:rFonts w:ascii="Times New Roman" w:hAnsi="Times New Roman" w:eastAsia="Times New Roman"/>
                <w:color w:val="auto"/>
                <w:spacing w:val="30"/>
                <w:highlight w:val="none"/>
              </w:rPr>
              <w:t>1</w:t>
            </w:r>
            <w:r>
              <w:rPr>
                <w:rFonts w:ascii="宋体" w:hAnsi="宋体" w:eastAsia="宋体"/>
                <w:color w:val="auto"/>
                <w:spacing w:val="30"/>
                <w:highlight w:val="none"/>
              </w:rPr>
              <w:t>)</w:t>
            </w:r>
          </w:p>
        </w:tc>
        <w:tc>
          <w:tcPr>
            <w:tcW w:w="1124" w:type="dxa"/>
            <w:vMerge w:val="restart"/>
            <w:vAlign w:val="center"/>
          </w:tcPr>
          <w:p w14:paraId="095F62D2">
            <w:pPr>
              <w:spacing w:line="276" w:lineRule="auto"/>
              <w:jc w:val="center"/>
              <w:rPr>
                <w:color w:val="auto"/>
                <w:highlight w:val="none"/>
              </w:rPr>
            </w:pPr>
          </w:p>
          <w:p w14:paraId="33483728">
            <w:pPr>
              <w:spacing w:line="277" w:lineRule="auto"/>
              <w:jc w:val="center"/>
              <w:rPr>
                <w:color w:val="auto"/>
                <w:highlight w:val="none"/>
              </w:rPr>
            </w:pPr>
          </w:p>
          <w:p w14:paraId="40F03BA7">
            <w:pPr>
              <w:spacing w:line="277" w:lineRule="auto"/>
              <w:jc w:val="center"/>
              <w:rPr>
                <w:color w:val="auto"/>
                <w:highlight w:val="none"/>
              </w:rPr>
            </w:pPr>
          </w:p>
          <w:p w14:paraId="0391325B">
            <w:pPr>
              <w:spacing w:before="68" w:line="394" w:lineRule="auto"/>
              <w:ind w:left="144" w:right="141" w:firstLine="9"/>
              <w:jc w:val="center"/>
              <w:rPr>
                <w:rFonts w:ascii="宋体" w:hAnsi="宋体" w:eastAsia="宋体"/>
                <w:color w:val="auto"/>
                <w:spacing w:val="-6"/>
                <w:highlight w:val="none"/>
              </w:rPr>
            </w:pPr>
            <w:r>
              <w:rPr>
                <w:rFonts w:ascii="宋体" w:hAnsi="宋体" w:eastAsia="宋体"/>
                <w:color w:val="auto"/>
                <w:spacing w:val="-6"/>
                <w:highlight w:val="none"/>
              </w:rPr>
              <w:t>资</w:t>
            </w:r>
            <w:r>
              <w:rPr>
                <w:rFonts w:ascii="宋体" w:hAnsi="宋体" w:eastAsia="宋体"/>
                <w:color w:val="auto"/>
                <w:spacing w:val="-4"/>
                <w:highlight w:val="none"/>
              </w:rPr>
              <w:t>信业绩</w:t>
            </w:r>
            <w:r>
              <w:rPr>
                <w:rFonts w:ascii="宋体" w:hAnsi="宋体" w:eastAsia="宋体"/>
                <w:color w:val="auto"/>
                <w:highlight w:val="none"/>
              </w:rPr>
              <w:t xml:space="preserve"> </w:t>
            </w:r>
            <w:r>
              <w:rPr>
                <w:rFonts w:ascii="宋体" w:hAnsi="宋体" w:eastAsia="宋体"/>
                <w:color w:val="auto"/>
                <w:spacing w:val="-2"/>
                <w:highlight w:val="none"/>
              </w:rPr>
              <w:t>评分标准</w:t>
            </w:r>
          </w:p>
          <w:p w14:paraId="036298DB">
            <w:pPr>
              <w:spacing w:before="68" w:line="394" w:lineRule="auto"/>
              <w:ind w:left="144" w:right="141"/>
              <w:rPr>
                <w:rFonts w:ascii="宋体" w:hAnsi="宋体" w:eastAsia="宋体"/>
                <w:color w:val="auto"/>
                <w:spacing w:val="-2"/>
                <w:highlight w:val="none"/>
              </w:rPr>
            </w:pPr>
            <w:r>
              <w:rPr>
                <w:rFonts w:hint="eastAsia" w:ascii="宋体" w:hAnsi="宋体" w:eastAsia="宋体"/>
                <w:color w:val="auto"/>
                <w:spacing w:val="-2"/>
                <w:highlight w:val="none"/>
              </w:rPr>
              <w:t>（</w:t>
            </w:r>
            <w:r>
              <w:rPr>
                <w:rFonts w:hint="eastAsia" w:ascii="宋体" w:hAnsi="宋体" w:eastAsia="宋体"/>
                <w:color w:val="auto"/>
                <w:spacing w:val="-2"/>
                <w:highlight w:val="none"/>
                <w:lang w:val="en-US" w:eastAsia="zh-CN"/>
              </w:rPr>
              <w:t>35</w:t>
            </w:r>
            <w:r>
              <w:rPr>
                <w:rFonts w:hint="eastAsia" w:ascii="宋体" w:hAnsi="宋体" w:eastAsia="宋体"/>
                <w:color w:val="auto"/>
                <w:spacing w:val="-2"/>
                <w:highlight w:val="none"/>
              </w:rPr>
              <w:t>分）</w:t>
            </w:r>
          </w:p>
        </w:tc>
        <w:tc>
          <w:tcPr>
            <w:tcW w:w="2035" w:type="dxa"/>
            <w:vAlign w:val="center"/>
          </w:tcPr>
          <w:p w14:paraId="17266D7F">
            <w:pPr>
              <w:spacing w:before="113" w:line="217" w:lineRule="auto"/>
              <w:jc w:val="center"/>
              <w:rPr>
                <w:rFonts w:ascii="宋体" w:hAnsi="宋体" w:eastAsia="宋体"/>
                <w:color w:val="auto"/>
                <w:spacing w:val="-1"/>
                <w:highlight w:val="none"/>
              </w:rPr>
            </w:pPr>
            <w:r>
              <w:rPr>
                <w:rFonts w:hint="eastAsia" w:ascii="宋体" w:hAnsi="宋体" w:eastAsia="宋体"/>
                <w:color w:val="auto"/>
                <w:spacing w:val="-1"/>
                <w:highlight w:val="none"/>
                <w:lang w:eastAsia="zh-CN"/>
              </w:rPr>
              <w:t>第三方评价</w:t>
            </w:r>
            <w:r>
              <w:rPr>
                <w:rFonts w:hint="eastAsia" w:ascii="宋体" w:hAnsi="宋体" w:eastAsia="宋体"/>
                <w:color w:val="auto"/>
                <w:spacing w:val="-1"/>
                <w:highlight w:val="none"/>
              </w:rPr>
              <w:t>（</w:t>
            </w:r>
            <w:r>
              <w:rPr>
                <w:rFonts w:hint="eastAsia" w:ascii="宋体" w:hAnsi="宋体" w:eastAsia="宋体"/>
                <w:color w:val="auto"/>
                <w:spacing w:val="-1"/>
                <w:highlight w:val="none"/>
                <w:lang w:val="en-US" w:eastAsia="zh-CN"/>
              </w:rPr>
              <w:t>6</w:t>
            </w:r>
            <w:r>
              <w:rPr>
                <w:rFonts w:hint="eastAsia" w:ascii="宋体" w:hAnsi="宋体" w:eastAsia="宋体"/>
                <w:color w:val="auto"/>
                <w:spacing w:val="-1"/>
                <w:highlight w:val="none"/>
              </w:rPr>
              <w:t xml:space="preserve">分） </w:t>
            </w:r>
            <w:r>
              <w:rPr>
                <w:rFonts w:ascii="宋体" w:hAnsi="宋体" w:eastAsia="宋体"/>
                <w:color w:val="auto"/>
                <w:spacing w:val="-1"/>
                <w:highlight w:val="none"/>
              </w:rPr>
              <w:t xml:space="preserve"> </w:t>
            </w:r>
            <w:r>
              <w:rPr>
                <w:rFonts w:hint="eastAsia" w:ascii="宋体" w:hAnsi="宋体" w:eastAsia="宋体"/>
                <w:color w:val="auto"/>
                <w:spacing w:val="-1"/>
                <w:highlight w:val="none"/>
              </w:rPr>
              <w:t xml:space="preserve"> </w:t>
            </w:r>
            <w:r>
              <w:rPr>
                <w:rFonts w:ascii="宋体" w:hAnsi="宋体" w:eastAsia="宋体"/>
                <w:color w:val="auto"/>
                <w:spacing w:val="-1"/>
                <w:highlight w:val="none"/>
              </w:rPr>
              <w:t xml:space="preserve">  </w:t>
            </w:r>
          </w:p>
        </w:tc>
        <w:tc>
          <w:tcPr>
            <w:tcW w:w="5367" w:type="dxa"/>
            <w:vAlign w:val="center"/>
          </w:tcPr>
          <w:p w14:paraId="3949AF24">
            <w:pPr>
              <w:spacing w:line="240" w:lineRule="auto"/>
              <w:ind w:left="210" w:leftChars="100" w:right="210" w:rightChars="100" w:firstLine="210" w:firstLineChars="100"/>
              <w:rPr>
                <w:rFonts w:hint="eastAsia" w:ascii="宋体" w:hAnsi="宋体" w:eastAsia="宋体"/>
                <w:color w:val="auto"/>
                <w:szCs w:val="21"/>
                <w:highlight w:val="none"/>
              </w:rPr>
            </w:pPr>
            <w:r>
              <w:rPr>
                <w:rFonts w:hint="eastAsia" w:ascii="宋体" w:hAnsi="宋体" w:eastAsia="宋体"/>
                <w:color w:val="auto"/>
                <w:szCs w:val="21"/>
                <w:highlight w:val="none"/>
              </w:rPr>
              <w:t>投标人（或联合体牵头人）具有有效的质量管理</w:t>
            </w:r>
            <w:r>
              <w:rPr>
                <w:rFonts w:hint="eastAsia" w:ascii="宋体" w:hAnsi="宋体" w:eastAsia="宋体"/>
                <w:color w:val="auto"/>
                <w:szCs w:val="21"/>
                <w:highlight w:val="none"/>
                <w:lang w:eastAsia="zh-CN"/>
              </w:rPr>
              <w:t>类</w:t>
            </w:r>
            <w:r>
              <w:rPr>
                <w:rFonts w:hint="eastAsia" w:ascii="宋体" w:hAnsi="宋体" w:eastAsia="宋体"/>
                <w:color w:val="auto"/>
                <w:szCs w:val="21"/>
                <w:highlight w:val="none"/>
              </w:rPr>
              <w:t>证书、职业健康安全管理</w:t>
            </w:r>
            <w:r>
              <w:rPr>
                <w:rFonts w:hint="eastAsia" w:ascii="宋体" w:hAnsi="宋体" w:eastAsia="宋体"/>
                <w:color w:val="auto"/>
                <w:szCs w:val="21"/>
                <w:highlight w:val="none"/>
                <w:lang w:eastAsia="zh-CN"/>
              </w:rPr>
              <w:t>类</w:t>
            </w:r>
            <w:r>
              <w:rPr>
                <w:rFonts w:hint="eastAsia" w:ascii="宋体" w:hAnsi="宋体" w:eastAsia="宋体"/>
                <w:color w:val="auto"/>
                <w:szCs w:val="21"/>
                <w:highlight w:val="none"/>
              </w:rPr>
              <w:t>证书、环境管理</w:t>
            </w:r>
            <w:r>
              <w:rPr>
                <w:rFonts w:hint="eastAsia" w:ascii="宋体" w:hAnsi="宋体" w:eastAsia="宋体"/>
                <w:color w:val="auto"/>
                <w:szCs w:val="21"/>
                <w:highlight w:val="none"/>
                <w:lang w:eastAsia="zh-CN"/>
              </w:rPr>
              <w:t>类</w:t>
            </w:r>
            <w:r>
              <w:rPr>
                <w:rFonts w:hint="eastAsia" w:ascii="宋体" w:hAnsi="宋体" w:eastAsia="宋体"/>
                <w:color w:val="auto"/>
                <w:szCs w:val="21"/>
                <w:highlight w:val="none"/>
              </w:rPr>
              <w:t>证书</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每</w:t>
            </w:r>
            <w:r>
              <w:rPr>
                <w:rFonts w:hint="eastAsia" w:ascii="宋体" w:hAnsi="宋体" w:eastAsia="宋体"/>
                <w:color w:val="auto"/>
                <w:szCs w:val="21"/>
                <w:highlight w:val="none"/>
                <w:lang w:eastAsia="zh-CN"/>
              </w:rPr>
              <w:t>类</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分，共计</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分。</w:t>
            </w:r>
          </w:p>
          <w:p w14:paraId="0C99D28C">
            <w:pPr>
              <w:spacing w:line="240" w:lineRule="auto"/>
              <w:ind w:left="210" w:leftChars="100" w:right="210" w:rightChars="100" w:firstLine="210" w:firstLineChars="100"/>
              <w:rPr>
                <w:rFonts w:hint="eastAsia" w:ascii="宋体" w:hAnsi="宋体" w:eastAsia="宋体"/>
                <w:color w:val="auto"/>
                <w:szCs w:val="21"/>
                <w:highlight w:val="none"/>
              </w:rPr>
            </w:pPr>
            <w:r>
              <w:rPr>
                <w:rFonts w:hint="eastAsia" w:ascii="宋体" w:hAnsi="宋体" w:eastAsia="宋体"/>
                <w:color w:val="auto"/>
                <w:szCs w:val="21"/>
                <w:highlight w:val="none"/>
                <w:lang w:eastAsia="zh-CN"/>
              </w:rPr>
              <w:t>注：</w:t>
            </w:r>
            <w:r>
              <w:rPr>
                <w:rFonts w:hint="eastAsia" w:ascii="宋体" w:hAnsi="宋体" w:eastAsia="宋体"/>
                <w:color w:val="auto"/>
                <w:szCs w:val="21"/>
                <w:highlight w:val="none"/>
              </w:rPr>
              <w:t>须提供以上有效证书复印件加盖投标人公章及所提供证书在认证认可业务信息统一查询平台（http://cx.cnca.cn ）上证书状态“有效”的查询结果截图（带网址）（或网页）彩色打印件加盖投标人公章件，否则不得分）注：本项最高得</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分。须提供在有效期内的证书扫描件及“国家市场监督管理总局全国认证认可信息公共服务平台”（http://cx.cnca.cn/CertECloud/）查询结果网页截图，否则不得分。</w:t>
            </w:r>
          </w:p>
        </w:tc>
      </w:tr>
      <w:tr w14:paraId="77A4F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904" w:type="dxa"/>
            <w:vMerge w:val="continue"/>
            <w:vAlign w:val="center"/>
          </w:tcPr>
          <w:p w14:paraId="0F04C2A3">
            <w:pPr>
              <w:spacing w:line="223" w:lineRule="auto"/>
              <w:ind w:left="199"/>
              <w:jc w:val="center"/>
              <w:rPr>
                <w:rFonts w:ascii="宋体" w:hAnsi="宋体" w:eastAsia="宋体"/>
                <w:color w:val="auto"/>
                <w:spacing w:val="31"/>
                <w:highlight w:val="none"/>
              </w:rPr>
            </w:pPr>
          </w:p>
        </w:tc>
        <w:tc>
          <w:tcPr>
            <w:tcW w:w="1124" w:type="dxa"/>
            <w:vMerge w:val="continue"/>
            <w:vAlign w:val="center"/>
          </w:tcPr>
          <w:p w14:paraId="139BC984">
            <w:pPr>
              <w:spacing w:before="68" w:line="394" w:lineRule="auto"/>
              <w:ind w:left="144" w:right="141" w:firstLine="9"/>
              <w:jc w:val="center"/>
              <w:rPr>
                <w:rFonts w:ascii="宋体" w:hAnsi="宋体" w:eastAsia="宋体"/>
                <w:color w:val="auto"/>
                <w:spacing w:val="-6"/>
                <w:highlight w:val="none"/>
              </w:rPr>
            </w:pPr>
          </w:p>
        </w:tc>
        <w:tc>
          <w:tcPr>
            <w:tcW w:w="2035" w:type="dxa"/>
            <w:vAlign w:val="center"/>
          </w:tcPr>
          <w:p w14:paraId="3162F26E">
            <w:pPr>
              <w:spacing w:line="360" w:lineRule="auto"/>
              <w:jc w:val="center"/>
              <w:rPr>
                <w:rFonts w:ascii="宋体" w:hAnsi="宋体" w:eastAsia="宋体"/>
                <w:color w:val="auto"/>
                <w:spacing w:val="-3"/>
                <w:highlight w:val="none"/>
              </w:rPr>
            </w:pPr>
          </w:p>
          <w:p w14:paraId="646D70B0">
            <w:pPr>
              <w:spacing w:before="113" w:line="217" w:lineRule="auto"/>
              <w:jc w:val="center"/>
              <w:rPr>
                <w:rFonts w:ascii="宋体" w:hAnsi="宋体" w:eastAsia="宋体"/>
                <w:color w:val="auto"/>
                <w:spacing w:val="-2"/>
                <w:highlight w:val="none"/>
              </w:rPr>
            </w:pPr>
            <w:r>
              <w:rPr>
                <w:rFonts w:ascii="宋体" w:hAnsi="宋体" w:eastAsia="宋体"/>
                <w:color w:val="auto"/>
                <w:spacing w:val="-2"/>
                <w:highlight w:val="none"/>
              </w:rPr>
              <w:t>类</w:t>
            </w:r>
            <w:r>
              <w:rPr>
                <w:rFonts w:ascii="宋体" w:hAnsi="宋体" w:eastAsia="宋体"/>
                <w:color w:val="auto"/>
                <w:spacing w:val="-1"/>
                <w:highlight w:val="none"/>
              </w:rPr>
              <w:t>似项目业绩</w:t>
            </w:r>
          </w:p>
          <w:p w14:paraId="409260DB">
            <w:pPr>
              <w:spacing w:before="113" w:line="217" w:lineRule="auto"/>
              <w:jc w:val="center"/>
              <w:rPr>
                <w:rFonts w:ascii="宋体" w:hAnsi="宋体" w:eastAsia="宋体"/>
                <w:color w:val="auto"/>
                <w:spacing w:val="-1"/>
                <w:highlight w:val="none"/>
              </w:rPr>
            </w:pPr>
            <w:r>
              <w:rPr>
                <w:rFonts w:hint="eastAsia" w:ascii="宋体" w:hAnsi="宋体" w:eastAsia="宋体"/>
                <w:color w:val="auto"/>
                <w:spacing w:val="-1"/>
                <w:highlight w:val="none"/>
              </w:rPr>
              <w:t>（1</w:t>
            </w:r>
            <w:r>
              <w:rPr>
                <w:rFonts w:hint="eastAsia" w:ascii="宋体" w:hAnsi="宋体" w:eastAsia="宋体"/>
                <w:color w:val="auto"/>
                <w:spacing w:val="-1"/>
                <w:highlight w:val="none"/>
                <w:lang w:val="en-US" w:eastAsia="zh-CN"/>
              </w:rPr>
              <w:t>0</w:t>
            </w:r>
            <w:r>
              <w:rPr>
                <w:rFonts w:hint="eastAsia" w:ascii="宋体" w:hAnsi="宋体" w:eastAsia="宋体"/>
                <w:color w:val="auto"/>
                <w:spacing w:val="-1"/>
                <w:highlight w:val="none"/>
              </w:rPr>
              <w:t>分）</w:t>
            </w:r>
          </w:p>
        </w:tc>
        <w:tc>
          <w:tcPr>
            <w:tcW w:w="5367" w:type="dxa"/>
            <w:vAlign w:val="center"/>
          </w:tcPr>
          <w:p w14:paraId="4FC325AF">
            <w:pPr>
              <w:pStyle w:val="50"/>
              <w:spacing w:line="240" w:lineRule="auto"/>
              <w:ind w:left="0" w:leftChars="0" w:right="210" w:rightChars="100" w:firstLine="210" w:firstLineChars="1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投标人自2020年1月1日以来完成的</w:t>
            </w:r>
            <w:r>
              <w:rPr>
                <w:rFonts w:hint="eastAsia" w:ascii="宋体" w:hAnsi="宋体" w:cs="宋体"/>
                <w:color w:val="auto"/>
                <w:szCs w:val="21"/>
                <w:highlight w:val="none"/>
                <w:lang w:val="zh-CN"/>
              </w:rPr>
              <w:t>市政排水工程勘察</w:t>
            </w:r>
            <w:r>
              <w:rPr>
                <w:rFonts w:hint="eastAsia" w:ascii="宋体" w:hAnsi="宋体" w:eastAsia="宋体"/>
                <w:b w:val="0"/>
                <w:bCs/>
                <w:color w:val="auto"/>
                <w:szCs w:val="21"/>
                <w:highlight w:val="none"/>
              </w:rPr>
              <w:t>同类或类似项目业绩</w:t>
            </w:r>
            <w:r>
              <w:rPr>
                <w:rFonts w:hint="eastAsia" w:ascii="宋体" w:hAnsi="宋体" w:cs="宋体"/>
                <w:color w:val="auto"/>
                <w:szCs w:val="21"/>
                <w:highlight w:val="none"/>
                <w:lang w:val="zh-CN"/>
              </w:rPr>
              <w:t>（含工程总承包等发包方式的勘察工作，包括：</w:t>
            </w:r>
            <w:r>
              <w:rPr>
                <w:rFonts w:hint="eastAsia" w:ascii="宋体" w:hAnsi="宋体" w:eastAsia="宋体"/>
                <w:b w:val="0"/>
                <w:bCs/>
                <w:color w:val="auto"/>
                <w:szCs w:val="21"/>
                <w:highlight w:val="none"/>
              </w:rPr>
              <w:t>雨污管网改造或雨污管网</w:t>
            </w:r>
            <w:r>
              <w:rPr>
                <w:rFonts w:hint="eastAsia" w:ascii="宋体" w:hAnsi="宋体" w:eastAsia="宋体"/>
                <w:b w:val="0"/>
                <w:bCs/>
                <w:color w:val="auto"/>
                <w:szCs w:val="21"/>
                <w:highlight w:val="none"/>
                <w:lang w:eastAsia="zh-CN"/>
              </w:rPr>
              <w:t>排</w:t>
            </w:r>
            <w:r>
              <w:rPr>
                <w:rFonts w:hint="eastAsia" w:ascii="宋体" w:hAnsi="宋体" w:eastAsia="宋体"/>
                <w:b w:val="0"/>
                <w:bCs/>
                <w:color w:val="auto"/>
                <w:szCs w:val="21"/>
                <w:highlight w:val="none"/>
              </w:rPr>
              <w:t>查或雨污管道（网）检测</w:t>
            </w:r>
            <w:r>
              <w:rPr>
                <w:rFonts w:hint="eastAsia" w:ascii="宋体" w:hAnsi="宋体" w:eastAsia="宋体"/>
                <w:b w:val="0"/>
                <w:bCs/>
                <w:color w:val="auto"/>
                <w:szCs w:val="21"/>
                <w:highlight w:val="none"/>
                <w:lang w:eastAsia="zh-CN"/>
              </w:rPr>
              <w:t>或雨污水治（处）理</w:t>
            </w:r>
            <w:r>
              <w:rPr>
                <w:rFonts w:hint="eastAsia" w:ascii="宋体" w:hAnsi="宋体" w:eastAsia="宋体"/>
                <w:b w:val="0"/>
                <w:bCs/>
                <w:color w:val="auto"/>
                <w:szCs w:val="21"/>
                <w:highlight w:val="none"/>
              </w:rPr>
              <w:t>等</w:t>
            </w:r>
            <w:r>
              <w:rPr>
                <w:rFonts w:hint="eastAsia" w:ascii="宋体" w:hAnsi="宋体" w:eastAsia="宋体"/>
                <w:b w:val="0"/>
                <w:bCs/>
                <w:color w:val="auto"/>
                <w:szCs w:val="21"/>
                <w:highlight w:val="none"/>
                <w:lang w:eastAsia="zh-CN"/>
              </w:rPr>
              <w:t>）</w:t>
            </w:r>
            <w:r>
              <w:rPr>
                <w:rFonts w:hint="eastAsia" w:ascii="宋体" w:hAnsi="宋体" w:eastAsia="宋体"/>
                <w:b w:val="0"/>
                <w:bCs/>
                <w:color w:val="auto"/>
                <w:szCs w:val="21"/>
                <w:highlight w:val="none"/>
              </w:rPr>
              <w:t>，每提供一项得</w:t>
            </w:r>
            <w:r>
              <w:rPr>
                <w:rFonts w:hint="eastAsia" w:ascii="宋体" w:hAnsi="宋体" w:eastAsia="宋体"/>
                <w:b w:val="0"/>
                <w:bCs/>
                <w:color w:val="auto"/>
                <w:szCs w:val="21"/>
                <w:highlight w:val="none"/>
                <w:lang w:val="en-US" w:eastAsia="zh-CN"/>
              </w:rPr>
              <w:t>2</w:t>
            </w:r>
            <w:r>
              <w:rPr>
                <w:rFonts w:hint="eastAsia" w:ascii="宋体" w:hAnsi="宋体" w:eastAsia="宋体"/>
                <w:b w:val="0"/>
                <w:bCs/>
                <w:color w:val="auto"/>
                <w:szCs w:val="21"/>
                <w:highlight w:val="none"/>
              </w:rPr>
              <w:t>分，最高得10分。</w:t>
            </w:r>
          </w:p>
          <w:p w14:paraId="7CC440FF">
            <w:pPr>
              <w:pStyle w:val="50"/>
              <w:spacing w:line="240" w:lineRule="auto"/>
              <w:ind w:left="0" w:leftChars="0" w:right="210" w:rightChars="100" w:firstLine="210" w:firstLineChars="100"/>
              <w:rPr>
                <w:rFonts w:ascii="宋体" w:hAnsi="宋体" w:eastAsia="宋体"/>
                <w:b/>
                <w:color w:val="auto"/>
                <w:szCs w:val="21"/>
                <w:highlight w:val="none"/>
              </w:rPr>
            </w:pPr>
            <w:r>
              <w:rPr>
                <w:rFonts w:hint="eastAsia" w:ascii="宋体" w:hAnsi="宋体" w:eastAsia="宋体"/>
                <w:b w:val="0"/>
                <w:bCs/>
                <w:color w:val="auto"/>
                <w:szCs w:val="21"/>
                <w:highlight w:val="none"/>
              </w:rPr>
              <w:t>注：①类似项目业绩指投标人</w:t>
            </w:r>
            <w:r>
              <w:rPr>
                <w:rFonts w:hint="eastAsia" w:ascii="宋体" w:hAnsi="宋体" w:eastAsia="宋体"/>
                <w:b w:val="0"/>
                <w:bCs/>
                <w:color w:val="auto"/>
                <w:szCs w:val="21"/>
                <w:highlight w:val="none"/>
                <w:lang w:eastAsia="zh-CN"/>
              </w:rPr>
              <w:t>市政</w:t>
            </w:r>
            <w:r>
              <w:rPr>
                <w:rFonts w:hint="eastAsia" w:ascii="宋体" w:hAnsi="宋体" w:eastAsia="宋体"/>
                <w:b w:val="0"/>
                <w:bCs/>
                <w:color w:val="auto"/>
                <w:szCs w:val="21"/>
                <w:highlight w:val="none"/>
              </w:rPr>
              <w:t>工程勘察</w:t>
            </w:r>
            <w:r>
              <w:rPr>
                <w:rFonts w:hint="eastAsia" w:ascii="宋体" w:hAnsi="宋体" w:eastAsia="宋体"/>
                <w:b w:val="0"/>
                <w:bCs/>
                <w:color w:val="auto"/>
                <w:szCs w:val="21"/>
                <w:highlight w:val="none"/>
                <w:lang w:eastAsia="zh-CN"/>
              </w:rPr>
              <w:t>或勘察设计</w:t>
            </w:r>
            <w:r>
              <w:rPr>
                <w:rFonts w:hint="eastAsia" w:ascii="宋体" w:hAnsi="宋体" w:eastAsia="宋体"/>
                <w:b w:val="0"/>
                <w:bCs/>
                <w:color w:val="auto"/>
                <w:szCs w:val="21"/>
                <w:highlight w:val="none"/>
              </w:rPr>
              <w:t>或EPC总承包业绩</w:t>
            </w:r>
            <w:r>
              <w:rPr>
                <w:rFonts w:hint="eastAsia" w:ascii="宋体" w:hAnsi="宋体" w:eastAsia="宋体"/>
                <w:b w:val="0"/>
                <w:bCs/>
                <w:color w:val="auto"/>
                <w:szCs w:val="21"/>
                <w:highlight w:val="none"/>
                <w:lang w:eastAsia="zh-CN"/>
              </w:rPr>
              <w:t>（</w:t>
            </w:r>
            <w:r>
              <w:rPr>
                <w:rFonts w:hint="eastAsia" w:ascii="宋体" w:hAnsi="宋体" w:cs="宋体"/>
                <w:color w:val="auto"/>
                <w:szCs w:val="21"/>
                <w:highlight w:val="none"/>
                <w:lang w:val="zh-CN"/>
              </w:rPr>
              <w:t>含工程总承包等发包方式的勘察工作，包括：</w:t>
            </w:r>
            <w:r>
              <w:rPr>
                <w:rFonts w:hint="eastAsia" w:ascii="宋体" w:hAnsi="宋体" w:eastAsia="宋体"/>
                <w:b w:val="0"/>
                <w:bCs/>
                <w:color w:val="auto"/>
                <w:szCs w:val="21"/>
                <w:highlight w:val="none"/>
              </w:rPr>
              <w:t>雨污管网改造或雨污管网</w:t>
            </w:r>
            <w:r>
              <w:rPr>
                <w:rFonts w:hint="eastAsia" w:ascii="宋体" w:hAnsi="宋体" w:eastAsia="宋体"/>
                <w:b w:val="0"/>
                <w:bCs/>
                <w:color w:val="auto"/>
                <w:szCs w:val="21"/>
                <w:highlight w:val="none"/>
                <w:lang w:eastAsia="zh-CN"/>
              </w:rPr>
              <w:t>排</w:t>
            </w:r>
            <w:r>
              <w:rPr>
                <w:rFonts w:hint="eastAsia" w:ascii="宋体" w:hAnsi="宋体" w:eastAsia="宋体"/>
                <w:b w:val="0"/>
                <w:bCs/>
                <w:color w:val="auto"/>
                <w:szCs w:val="21"/>
                <w:highlight w:val="none"/>
              </w:rPr>
              <w:t>查或雨污管道（网）检测</w:t>
            </w:r>
            <w:r>
              <w:rPr>
                <w:rFonts w:hint="eastAsia" w:ascii="宋体" w:hAnsi="宋体" w:eastAsia="宋体"/>
                <w:b w:val="0"/>
                <w:bCs/>
                <w:color w:val="auto"/>
                <w:szCs w:val="21"/>
                <w:highlight w:val="none"/>
                <w:lang w:eastAsia="zh-CN"/>
              </w:rPr>
              <w:t>或雨污水治（处）理</w:t>
            </w:r>
            <w:r>
              <w:rPr>
                <w:rFonts w:hint="eastAsia" w:ascii="宋体" w:hAnsi="宋体" w:eastAsia="宋体"/>
                <w:b w:val="0"/>
                <w:bCs/>
                <w:color w:val="auto"/>
                <w:szCs w:val="21"/>
                <w:highlight w:val="none"/>
              </w:rPr>
              <w:t>等</w:t>
            </w:r>
            <w:r>
              <w:rPr>
                <w:rFonts w:hint="eastAsia" w:ascii="宋体" w:hAnsi="宋体" w:eastAsia="宋体"/>
                <w:b w:val="0"/>
                <w:bCs/>
                <w:color w:val="auto"/>
                <w:szCs w:val="21"/>
                <w:highlight w:val="none"/>
                <w:lang w:eastAsia="zh-CN"/>
              </w:rPr>
              <w:t>）</w:t>
            </w:r>
            <w:r>
              <w:rPr>
                <w:rFonts w:hint="eastAsia" w:ascii="宋体" w:hAnsi="宋体" w:eastAsia="宋体"/>
                <w:b w:val="0"/>
                <w:bCs/>
                <w:color w:val="auto"/>
                <w:szCs w:val="21"/>
                <w:highlight w:val="none"/>
              </w:rPr>
              <w:t>，业绩时间以合同签订日期为准</w:t>
            </w:r>
            <w:r>
              <w:rPr>
                <w:rFonts w:ascii="宋体" w:hAnsi="宋体" w:eastAsia="宋体"/>
                <w:b w:val="0"/>
                <w:bCs/>
                <w:color w:val="auto"/>
                <w:szCs w:val="21"/>
                <w:highlight w:val="none"/>
              </w:rPr>
              <w:t>；②须提供中标（或中选或发包）通知书、合同关键页复印件，一个合同为 1 项业绩，不可重复计分。合同文本应体现：项目名称、单位名称、</w:t>
            </w:r>
            <w:r>
              <w:rPr>
                <w:rFonts w:hint="eastAsia" w:eastAsia="宋体"/>
                <w:color w:val="auto"/>
                <w:highlight w:val="none"/>
                <w:lang w:eastAsia="zh-CN"/>
              </w:rPr>
              <w:t>勘察或测量</w:t>
            </w:r>
            <w:r>
              <w:rPr>
                <w:rFonts w:ascii="宋体" w:hAnsi="宋体" w:eastAsia="宋体"/>
                <w:b w:val="0"/>
                <w:bCs/>
                <w:color w:val="auto"/>
                <w:szCs w:val="21"/>
                <w:highlight w:val="none"/>
              </w:rPr>
              <w:t>工作内容、时间、双方签字盖章页；否则不予认可。</w:t>
            </w:r>
          </w:p>
        </w:tc>
      </w:tr>
      <w:tr w14:paraId="1289B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904" w:type="dxa"/>
            <w:vMerge w:val="continue"/>
            <w:vAlign w:val="center"/>
          </w:tcPr>
          <w:p w14:paraId="38B87004">
            <w:pPr>
              <w:spacing w:line="223" w:lineRule="auto"/>
              <w:ind w:left="199"/>
              <w:jc w:val="center"/>
              <w:rPr>
                <w:rFonts w:ascii="宋体" w:hAnsi="宋体" w:eastAsia="宋体"/>
                <w:color w:val="auto"/>
                <w:spacing w:val="31"/>
                <w:highlight w:val="none"/>
              </w:rPr>
            </w:pPr>
          </w:p>
        </w:tc>
        <w:tc>
          <w:tcPr>
            <w:tcW w:w="1124" w:type="dxa"/>
            <w:vMerge w:val="continue"/>
            <w:vAlign w:val="center"/>
          </w:tcPr>
          <w:p w14:paraId="36B14B91">
            <w:pPr>
              <w:spacing w:before="68" w:line="394" w:lineRule="auto"/>
              <w:ind w:left="144" w:right="141" w:firstLine="9"/>
              <w:jc w:val="center"/>
              <w:rPr>
                <w:rFonts w:ascii="宋体" w:hAnsi="宋体" w:eastAsia="宋体"/>
                <w:color w:val="auto"/>
                <w:spacing w:val="-6"/>
                <w:highlight w:val="none"/>
              </w:rPr>
            </w:pPr>
          </w:p>
        </w:tc>
        <w:tc>
          <w:tcPr>
            <w:tcW w:w="2035" w:type="dxa"/>
            <w:vAlign w:val="center"/>
          </w:tcPr>
          <w:p w14:paraId="7BCC8CDC">
            <w:pPr>
              <w:spacing w:before="113" w:line="217" w:lineRule="auto"/>
              <w:ind w:left="194" w:leftChars="0"/>
              <w:jc w:val="center"/>
              <w:rPr>
                <w:rFonts w:hint="eastAsia" w:ascii="宋体" w:hAnsi="宋体" w:eastAsia="宋体"/>
                <w:color w:val="auto"/>
                <w:spacing w:val="-1"/>
                <w:highlight w:val="none"/>
              </w:rPr>
            </w:pPr>
            <w:r>
              <w:rPr>
                <w:rFonts w:ascii="宋体" w:hAnsi="宋体" w:eastAsia="宋体"/>
                <w:color w:val="auto"/>
                <w:spacing w:val="-2"/>
                <w:highlight w:val="none"/>
              </w:rPr>
              <w:t>项</w:t>
            </w:r>
            <w:r>
              <w:rPr>
                <w:rFonts w:ascii="宋体" w:hAnsi="宋体" w:eastAsia="宋体"/>
                <w:color w:val="auto"/>
                <w:spacing w:val="-1"/>
                <w:highlight w:val="none"/>
              </w:rPr>
              <w:t>目负责人资历和业绩</w:t>
            </w:r>
            <w:r>
              <w:rPr>
                <w:rFonts w:hint="eastAsia" w:ascii="宋体" w:hAnsi="宋体" w:eastAsia="宋体"/>
                <w:color w:val="auto"/>
                <w:spacing w:val="-1"/>
                <w:highlight w:val="none"/>
              </w:rPr>
              <w:t>（</w:t>
            </w:r>
            <w:r>
              <w:rPr>
                <w:rFonts w:hint="eastAsia" w:ascii="宋体" w:hAnsi="宋体" w:eastAsia="宋体"/>
                <w:color w:val="auto"/>
                <w:spacing w:val="-1"/>
                <w:highlight w:val="none"/>
                <w:lang w:val="en-US" w:eastAsia="zh-CN"/>
              </w:rPr>
              <w:t>4</w:t>
            </w:r>
            <w:r>
              <w:rPr>
                <w:rFonts w:hint="eastAsia" w:ascii="宋体" w:hAnsi="宋体" w:eastAsia="宋体"/>
                <w:color w:val="auto"/>
                <w:spacing w:val="-1"/>
                <w:highlight w:val="none"/>
              </w:rPr>
              <w:t>分）</w:t>
            </w:r>
          </w:p>
        </w:tc>
        <w:tc>
          <w:tcPr>
            <w:tcW w:w="5367" w:type="dxa"/>
            <w:vAlign w:val="center"/>
          </w:tcPr>
          <w:p w14:paraId="1F84FE2E">
            <w:pPr>
              <w:pStyle w:val="50"/>
              <w:spacing w:line="240" w:lineRule="auto"/>
              <w:ind w:left="210" w:leftChars="100" w:right="210" w:rightChars="100"/>
              <w:rPr>
                <w:rFonts w:hint="eastAsia" w:ascii="宋体" w:hAnsi="宋体" w:eastAsia="宋体"/>
                <w:color w:val="auto"/>
                <w:szCs w:val="21"/>
                <w:highlight w:val="none"/>
              </w:rPr>
            </w:pPr>
            <w:r>
              <w:rPr>
                <w:rFonts w:hint="eastAsia" w:ascii="宋体" w:hAnsi="宋体" w:eastAsia="宋体"/>
                <w:color w:val="auto"/>
                <w:szCs w:val="21"/>
                <w:highlight w:val="none"/>
              </w:rPr>
              <w:t>①具有注册测绘师</w:t>
            </w:r>
            <w:r>
              <w:rPr>
                <w:rFonts w:hint="eastAsia" w:ascii="宋体" w:hAnsi="宋体" w:eastAsia="宋体"/>
                <w:color w:val="auto"/>
                <w:szCs w:val="21"/>
                <w:highlight w:val="none"/>
                <w:lang w:eastAsia="zh-CN"/>
              </w:rPr>
              <w:t>或注册土木工程师（岩土）</w:t>
            </w:r>
            <w:r>
              <w:rPr>
                <w:rFonts w:hint="eastAsia" w:ascii="宋体" w:hAnsi="宋体" w:eastAsia="宋体"/>
                <w:color w:val="auto"/>
                <w:szCs w:val="21"/>
                <w:highlight w:val="none"/>
              </w:rPr>
              <w:t>证书</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分；②</w:t>
            </w:r>
            <w:r>
              <w:rPr>
                <w:rFonts w:hint="eastAsia" w:ascii="宋体" w:hAnsi="宋体" w:eastAsia="宋体"/>
                <w:color w:val="auto"/>
                <w:szCs w:val="21"/>
                <w:highlight w:val="none"/>
                <w:lang w:eastAsia="zh-CN"/>
              </w:rPr>
              <w:t>担任项目负责人完成过</w:t>
            </w:r>
            <w:r>
              <w:rPr>
                <w:rFonts w:hint="eastAsia" w:ascii="宋体" w:hAnsi="宋体" w:cs="宋体"/>
                <w:color w:val="auto"/>
                <w:szCs w:val="21"/>
                <w:highlight w:val="none"/>
                <w:lang w:val="zh-CN"/>
              </w:rPr>
              <w:t>市政排水工程勘察</w:t>
            </w:r>
            <w:r>
              <w:rPr>
                <w:rFonts w:hint="eastAsia" w:ascii="宋体" w:hAnsi="宋体" w:eastAsia="宋体"/>
                <w:b w:val="0"/>
                <w:bCs/>
                <w:color w:val="auto"/>
                <w:szCs w:val="21"/>
                <w:highlight w:val="none"/>
              </w:rPr>
              <w:t>同类或类似项目业绩</w:t>
            </w:r>
            <w:r>
              <w:rPr>
                <w:rFonts w:hint="eastAsia" w:ascii="宋体" w:hAnsi="宋体" w:cs="宋体"/>
                <w:color w:val="auto"/>
                <w:szCs w:val="21"/>
                <w:highlight w:val="none"/>
                <w:lang w:val="zh-CN"/>
              </w:rPr>
              <w:t>（含工程总承包等发包方式的勘察工作，包括：</w:t>
            </w:r>
            <w:r>
              <w:rPr>
                <w:rFonts w:hint="eastAsia" w:ascii="宋体" w:hAnsi="宋体" w:eastAsia="宋体"/>
                <w:b w:val="0"/>
                <w:bCs/>
                <w:color w:val="auto"/>
                <w:szCs w:val="21"/>
                <w:highlight w:val="none"/>
              </w:rPr>
              <w:t>雨污管网改造或雨污管网</w:t>
            </w:r>
            <w:r>
              <w:rPr>
                <w:rFonts w:hint="eastAsia" w:ascii="宋体" w:hAnsi="宋体" w:eastAsia="宋体"/>
                <w:b w:val="0"/>
                <w:bCs/>
                <w:color w:val="auto"/>
                <w:szCs w:val="21"/>
                <w:highlight w:val="none"/>
                <w:lang w:eastAsia="zh-CN"/>
              </w:rPr>
              <w:t>排</w:t>
            </w:r>
            <w:r>
              <w:rPr>
                <w:rFonts w:hint="eastAsia" w:ascii="宋体" w:hAnsi="宋体" w:eastAsia="宋体"/>
                <w:b w:val="0"/>
                <w:bCs/>
                <w:color w:val="auto"/>
                <w:szCs w:val="21"/>
                <w:highlight w:val="none"/>
              </w:rPr>
              <w:t>查或雨污管道（网）检测</w:t>
            </w:r>
            <w:r>
              <w:rPr>
                <w:rFonts w:hint="eastAsia" w:ascii="宋体" w:hAnsi="宋体" w:eastAsia="宋体"/>
                <w:b w:val="0"/>
                <w:bCs/>
                <w:color w:val="auto"/>
                <w:szCs w:val="21"/>
                <w:highlight w:val="none"/>
                <w:lang w:eastAsia="zh-CN"/>
              </w:rPr>
              <w:t>或雨污水治（处）理</w:t>
            </w:r>
            <w:r>
              <w:rPr>
                <w:rFonts w:hint="eastAsia" w:ascii="宋体" w:hAnsi="宋体" w:eastAsia="宋体"/>
                <w:b w:val="0"/>
                <w:bCs/>
                <w:color w:val="auto"/>
                <w:szCs w:val="21"/>
                <w:highlight w:val="none"/>
              </w:rPr>
              <w:t>等</w:t>
            </w:r>
            <w:r>
              <w:rPr>
                <w:rFonts w:hint="eastAsia" w:ascii="宋体" w:hAnsi="宋体" w:eastAsia="宋体"/>
                <w:b w:val="0"/>
                <w:bCs/>
                <w:color w:val="auto"/>
                <w:szCs w:val="21"/>
                <w:highlight w:val="none"/>
                <w:lang w:eastAsia="zh-CN"/>
              </w:rPr>
              <w:t>）</w:t>
            </w:r>
            <w:r>
              <w:rPr>
                <w:rFonts w:hint="eastAsia" w:ascii="宋体" w:hAnsi="宋体" w:eastAsia="宋体"/>
                <w:color w:val="auto"/>
                <w:szCs w:val="21"/>
                <w:highlight w:val="none"/>
              </w:rPr>
              <w:t>等项目的得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分。最高得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 xml:space="preserve">分。 </w:t>
            </w:r>
          </w:p>
          <w:p w14:paraId="6E092EA3">
            <w:pPr>
              <w:pStyle w:val="50"/>
              <w:spacing w:line="240" w:lineRule="auto"/>
              <w:ind w:left="210" w:leftChars="100" w:right="210" w:rightChars="100"/>
              <w:rPr>
                <w:rFonts w:hint="eastAsia" w:ascii="宋体" w:hAnsi="宋体" w:eastAsia="宋体"/>
                <w:b w:val="0"/>
                <w:bCs/>
                <w:color w:val="auto"/>
                <w:szCs w:val="21"/>
                <w:highlight w:val="none"/>
              </w:rPr>
            </w:pPr>
            <w:r>
              <w:rPr>
                <w:rFonts w:hint="eastAsia" w:ascii="宋体" w:hAnsi="宋体" w:eastAsia="宋体"/>
                <w:color w:val="auto"/>
                <w:sz w:val="21"/>
                <w:szCs w:val="21"/>
                <w:highlight w:val="none"/>
              </w:rPr>
              <w:t>注：需提供有效期内的注册执业资格证书、获奖证书</w:t>
            </w:r>
            <w:r>
              <w:rPr>
                <w:rFonts w:hint="eastAsia" w:ascii="宋体" w:eastAsia="宋体"/>
                <w:color w:val="auto"/>
                <w:sz w:val="21"/>
                <w:szCs w:val="21"/>
                <w:highlight w:val="none"/>
                <w:lang w:eastAsia="zh-CN"/>
              </w:rPr>
              <w:t>及</w:t>
            </w:r>
            <w:r>
              <w:rPr>
                <w:rFonts w:hint="eastAsia" w:ascii="宋体" w:hAnsi="宋体" w:eastAsia="宋体"/>
                <w:color w:val="auto"/>
                <w:sz w:val="21"/>
                <w:szCs w:val="21"/>
                <w:highlight w:val="none"/>
              </w:rPr>
              <w:t>投标人为其缴纳在本投标单位购买的2025年3月的社保证明材料复印件。注册测绘师须提供自然资源部官网注册测绘师信息查询截图，注册单位需与投标人名称一致，以上证明材料须加盖投标人公章，未提供不得分。</w:t>
            </w:r>
            <w:r>
              <w:rPr>
                <w:rFonts w:hint="eastAsia" w:ascii="宋体" w:hAnsi="宋体" w:eastAsia="宋体"/>
                <w:color w:val="auto"/>
                <w:sz w:val="21"/>
                <w:szCs w:val="21"/>
                <w:highlight w:val="none"/>
                <w:lang w:eastAsia="zh-CN"/>
              </w:rPr>
              <w:t>业绩证明需提供合同或中标通知书、或竣工报告为准。上述材料至少其一能反映该业绩为投入项目负责人业绩，否则该业绩无效不得分。</w:t>
            </w:r>
            <w:r>
              <w:rPr>
                <w:rFonts w:hint="eastAsia" w:ascii="宋体" w:hAnsi="宋体" w:eastAsia="宋体"/>
                <w:color w:val="auto"/>
                <w:sz w:val="21"/>
                <w:szCs w:val="21"/>
                <w:highlight w:val="none"/>
              </w:rPr>
              <w:t>投标人未按要求提供证明材料或提供的证明材料不齐全的或者提供的材料无法有效证明相关事项的不得分。</w:t>
            </w:r>
          </w:p>
        </w:tc>
      </w:tr>
      <w:tr w14:paraId="08BA6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04" w:type="dxa"/>
            <w:vMerge w:val="continue"/>
          </w:tcPr>
          <w:p w14:paraId="006BB9AC">
            <w:pPr>
              <w:rPr>
                <w:color w:val="auto"/>
                <w:highlight w:val="none"/>
              </w:rPr>
            </w:pPr>
          </w:p>
        </w:tc>
        <w:tc>
          <w:tcPr>
            <w:tcW w:w="1124" w:type="dxa"/>
            <w:vMerge w:val="continue"/>
          </w:tcPr>
          <w:p w14:paraId="03F6A05B">
            <w:pPr>
              <w:rPr>
                <w:color w:val="auto"/>
                <w:highlight w:val="none"/>
              </w:rPr>
            </w:pPr>
          </w:p>
        </w:tc>
        <w:tc>
          <w:tcPr>
            <w:tcW w:w="2035" w:type="dxa"/>
            <w:vAlign w:val="center"/>
          </w:tcPr>
          <w:p w14:paraId="0C4026F8">
            <w:pPr>
              <w:spacing w:line="360" w:lineRule="auto"/>
              <w:jc w:val="center"/>
              <w:rPr>
                <w:rFonts w:ascii="宋体" w:hAnsi="宋体" w:eastAsia="宋体"/>
                <w:color w:val="auto"/>
                <w:highlight w:val="none"/>
              </w:rPr>
            </w:pPr>
            <w:r>
              <w:rPr>
                <w:rFonts w:hint="eastAsia" w:ascii="宋体" w:hAnsi="宋体" w:eastAsia="宋体"/>
                <w:color w:val="auto"/>
                <w:highlight w:val="none"/>
              </w:rPr>
              <w:t>服务团队</w:t>
            </w:r>
            <w:r>
              <w:rPr>
                <w:rFonts w:ascii="宋体" w:hAnsi="宋体" w:eastAsia="宋体"/>
                <w:color w:val="auto"/>
                <w:spacing w:val="-1"/>
                <w:highlight w:val="none"/>
              </w:rPr>
              <w:t>人员资历</w:t>
            </w:r>
          </w:p>
          <w:p w14:paraId="3DD89784">
            <w:pPr>
              <w:spacing w:line="360" w:lineRule="auto"/>
              <w:jc w:val="center"/>
              <w:rPr>
                <w:rFonts w:ascii="宋体" w:hAnsi="宋体" w:eastAsia="宋体"/>
                <w:color w:val="auto"/>
                <w:spacing w:val="-1"/>
                <w:highlight w:val="none"/>
              </w:rPr>
            </w:pPr>
            <w:r>
              <w:rPr>
                <w:rFonts w:hint="eastAsia" w:ascii="宋体" w:hAnsi="宋体" w:eastAsia="宋体"/>
                <w:color w:val="auto"/>
                <w:spacing w:val="-1"/>
                <w:highlight w:val="none"/>
              </w:rPr>
              <w:t>（1</w:t>
            </w:r>
            <w:r>
              <w:rPr>
                <w:rFonts w:hint="eastAsia" w:ascii="宋体" w:hAnsi="宋体" w:eastAsia="宋体"/>
                <w:color w:val="auto"/>
                <w:spacing w:val="-1"/>
                <w:highlight w:val="none"/>
                <w:lang w:val="en-US" w:eastAsia="zh-CN"/>
              </w:rPr>
              <w:t>5</w:t>
            </w:r>
            <w:r>
              <w:rPr>
                <w:rFonts w:hint="eastAsia" w:ascii="宋体" w:hAnsi="宋体" w:eastAsia="宋体"/>
                <w:color w:val="auto"/>
                <w:spacing w:val="-1"/>
                <w:highlight w:val="none"/>
              </w:rPr>
              <w:t>分）</w:t>
            </w:r>
          </w:p>
        </w:tc>
        <w:tc>
          <w:tcPr>
            <w:tcW w:w="5367" w:type="dxa"/>
            <w:vAlign w:val="center"/>
          </w:tcPr>
          <w:p w14:paraId="3836F26E">
            <w:pPr>
              <w:pStyle w:val="50"/>
              <w:spacing w:line="240" w:lineRule="auto"/>
              <w:ind w:left="0" w:leftChars="0" w:right="210" w:rightChars="100" w:firstLine="210" w:firstLineChars="100"/>
              <w:rPr>
                <w:rFonts w:hint="eastAsia" w:ascii="宋体" w:hAnsi="宋体" w:eastAsia="宋体"/>
                <w:color w:val="auto"/>
                <w:highlight w:val="none"/>
              </w:rPr>
            </w:pPr>
            <w:r>
              <w:rPr>
                <w:rFonts w:hint="eastAsia" w:ascii="宋体" w:hAnsi="宋体" w:eastAsia="宋体"/>
                <w:color w:val="auto"/>
                <w:highlight w:val="none"/>
              </w:rPr>
              <w:t>投入本项目的服务团队具有以下专业技术人员的：</w:t>
            </w:r>
          </w:p>
          <w:p w14:paraId="571AE3E0">
            <w:pPr>
              <w:pStyle w:val="50"/>
              <w:spacing w:line="240" w:lineRule="auto"/>
              <w:ind w:left="0" w:leftChars="0" w:right="210" w:rightChars="100" w:firstLine="210" w:firstLineChars="100"/>
              <w:rPr>
                <w:rFonts w:hint="eastAsia" w:ascii="宋体" w:hAnsi="宋体" w:eastAsia="宋体"/>
                <w:color w:val="auto"/>
                <w:highlight w:val="none"/>
              </w:rPr>
            </w:pPr>
            <w:r>
              <w:rPr>
                <w:rFonts w:hint="eastAsia" w:ascii="宋体" w:hAnsi="宋体" w:eastAsia="宋体"/>
                <w:color w:val="auto"/>
                <w:highlight w:val="none"/>
                <w:lang w:val="en-US" w:eastAsia="zh-CN"/>
              </w:rPr>
              <w:t>1.</w:t>
            </w:r>
            <w:r>
              <w:rPr>
                <w:rFonts w:hint="eastAsia" w:ascii="宋体" w:hAnsi="宋体" w:eastAsia="宋体"/>
                <w:color w:val="auto"/>
                <w:highlight w:val="none"/>
              </w:rPr>
              <w:t>具有</w:t>
            </w:r>
            <w:r>
              <w:rPr>
                <w:rFonts w:hint="eastAsia" w:ascii="宋体" w:hAnsi="宋体" w:eastAsia="宋体"/>
                <w:color w:val="auto"/>
                <w:highlight w:val="none"/>
                <w:lang w:eastAsia="zh-CN"/>
              </w:rPr>
              <w:t>测量类或勘察</w:t>
            </w:r>
            <w:r>
              <w:rPr>
                <w:rFonts w:hint="eastAsia"/>
                <w:color w:val="auto"/>
                <w:highlight w:val="none"/>
                <w:lang w:eastAsia="zh-CN"/>
              </w:rPr>
              <w:t>类专业</w:t>
            </w:r>
            <w:r>
              <w:rPr>
                <w:rFonts w:hint="eastAsia" w:ascii="宋体" w:hAnsi="宋体" w:eastAsia="宋体"/>
                <w:color w:val="auto"/>
                <w:highlight w:val="none"/>
                <w:lang w:eastAsia="zh-CN"/>
              </w:rPr>
              <w:t>副</w:t>
            </w:r>
            <w:r>
              <w:rPr>
                <w:rFonts w:hint="eastAsia" w:ascii="宋体" w:hAnsi="宋体" w:eastAsia="宋体"/>
                <w:color w:val="auto"/>
                <w:highlight w:val="none"/>
              </w:rPr>
              <w:t>高级工程师</w:t>
            </w:r>
            <w:r>
              <w:rPr>
                <w:rFonts w:hint="eastAsia" w:ascii="宋体" w:hAnsi="宋体" w:eastAsia="宋体"/>
                <w:color w:val="auto"/>
                <w:highlight w:val="none"/>
                <w:lang w:eastAsia="zh-CN"/>
              </w:rPr>
              <w:t>及以上</w:t>
            </w:r>
            <w:r>
              <w:rPr>
                <w:rFonts w:hint="eastAsia" w:ascii="宋体" w:hAnsi="宋体" w:eastAsia="宋体"/>
                <w:color w:val="auto"/>
                <w:highlight w:val="none"/>
              </w:rPr>
              <w:t>职称，每个得</w:t>
            </w:r>
            <w:r>
              <w:rPr>
                <w:rFonts w:hint="eastAsia" w:ascii="宋体" w:hAnsi="宋体" w:eastAsia="宋体"/>
                <w:color w:val="auto"/>
                <w:highlight w:val="none"/>
                <w:lang w:val="en-US" w:eastAsia="zh-CN"/>
              </w:rPr>
              <w:t>1</w:t>
            </w:r>
            <w:r>
              <w:rPr>
                <w:rFonts w:hint="eastAsia" w:ascii="宋体" w:hAnsi="宋体" w:eastAsia="宋体"/>
                <w:color w:val="auto"/>
                <w:highlight w:val="none"/>
              </w:rPr>
              <w:t>分，</w:t>
            </w:r>
            <w:r>
              <w:rPr>
                <w:rFonts w:hint="eastAsia" w:ascii="宋体" w:hAnsi="宋体" w:eastAsia="宋体"/>
                <w:color w:val="auto"/>
                <w:highlight w:val="none"/>
                <w:lang w:eastAsia="zh-CN"/>
              </w:rPr>
              <w:t>此项</w:t>
            </w:r>
            <w:r>
              <w:rPr>
                <w:rFonts w:hint="eastAsia" w:ascii="宋体" w:hAnsi="宋体" w:eastAsia="宋体"/>
                <w:color w:val="auto"/>
                <w:highlight w:val="none"/>
              </w:rPr>
              <w:t>最高得</w:t>
            </w:r>
            <w:r>
              <w:rPr>
                <w:rFonts w:hint="eastAsia" w:ascii="宋体" w:hAnsi="宋体" w:eastAsia="宋体"/>
                <w:color w:val="auto"/>
                <w:highlight w:val="none"/>
                <w:lang w:val="en-US" w:eastAsia="zh-CN"/>
              </w:rPr>
              <w:t>5</w:t>
            </w:r>
            <w:r>
              <w:rPr>
                <w:rFonts w:hint="eastAsia" w:ascii="宋体" w:hAnsi="宋体" w:eastAsia="宋体"/>
                <w:color w:val="auto"/>
                <w:highlight w:val="none"/>
              </w:rPr>
              <w:t>分。</w:t>
            </w:r>
          </w:p>
          <w:p w14:paraId="71542D02">
            <w:pPr>
              <w:pStyle w:val="50"/>
              <w:spacing w:line="240" w:lineRule="auto"/>
              <w:ind w:left="0" w:leftChars="0" w:right="210" w:rightChars="100" w:firstLine="210" w:firstLineChars="100"/>
              <w:rPr>
                <w:rFonts w:hint="eastAsia" w:ascii="宋体" w:hAnsi="宋体" w:eastAsia="宋体"/>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具有</w:t>
            </w:r>
            <w:r>
              <w:rPr>
                <w:rFonts w:hint="eastAsia" w:ascii="宋体" w:hAnsi="宋体" w:eastAsia="宋体"/>
                <w:color w:val="auto"/>
                <w:highlight w:val="none"/>
                <w:lang w:eastAsia="zh-CN"/>
              </w:rPr>
              <w:t>测量类或勘察类</w:t>
            </w:r>
            <w:r>
              <w:rPr>
                <w:rFonts w:hint="eastAsia" w:ascii="宋体" w:hAnsi="宋体" w:eastAsia="宋体"/>
                <w:color w:val="auto"/>
                <w:highlight w:val="none"/>
              </w:rPr>
              <w:t>专业中级及以上工程师职称，每个得0.5分,</w:t>
            </w:r>
            <w:r>
              <w:rPr>
                <w:rFonts w:hint="eastAsia" w:ascii="宋体" w:hAnsi="宋体" w:eastAsia="宋体"/>
                <w:color w:val="auto"/>
                <w:highlight w:val="none"/>
                <w:lang w:eastAsia="zh-CN"/>
              </w:rPr>
              <w:t>此项</w:t>
            </w:r>
            <w:r>
              <w:rPr>
                <w:rFonts w:hint="eastAsia" w:ascii="宋体" w:hAnsi="宋体" w:eastAsia="宋体"/>
                <w:color w:val="auto"/>
                <w:highlight w:val="none"/>
              </w:rPr>
              <w:t>最高得</w:t>
            </w:r>
            <w:r>
              <w:rPr>
                <w:rFonts w:hint="eastAsia" w:ascii="宋体" w:hAnsi="宋体" w:eastAsia="宋体"/>
                <w:color w:val="auto"/>
                <w:highlight w:val="none"/>
                <w:lang w:val="en-US" w:eastAsia="zh-CN"/>
              </w:rPr>
              <w:t>5</w:t>
            </w:r>
            <w:r>
              <w:rPr>
                <w:rFonts w:hint="eastAsia" w:ascii="宋体" w:hAnsi="宋体" w:eastAsia="宋体"/>
                <w:color w:val="auto"/>
                <w:highlight w:val="none"/>
              </w:rPr>
              <w:t>分。</w:t>
            </w:r>
          </w:p>
          <w:p w14:paraId="10F28D12">
            <w:pPr>
              <w:pStyle w:val="50"/>
              <w:spacing w:line="240" w:lineRule="auto"/>
              <w:ind w:left="0" w:leftChars="0" w:right="210" w:rightChars="100" w:firstLine="210" w:firstLineChars="10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3.</w:t>
            </w:r>
            <w:r>
              <w:rPr>
                <w:rFonts w:hint="eastAsia" w:ascii="宋体" w:hAnsi="宋体" w:eastAsia="宋体"/>
                <w:color w:val="auto"/>
                <w:highlight w:val="none"/>
              </w:rPr>
              <w:t>具有</w:t>
            </w:r>
            <w:r>
              <w:rPr>
                <w:rFonts w:hint="eastAsia" w:ascii="宋体" w:hAnsi="宋体" w:eastAsia="宋体"/>
                <w:color w:val="auto"/>
                <w:highlight w:val="none"/>
                <w:lang w:eastAsia="zh-CN"/>
              </w:rPr>
              <w:t>测量类或勘察类</w:t>
            </w:r>
            <w:r>
              <w:rPr>
                <w:rFonts w:hint="eastAsia" w:ascii="宋体" w:hAnsi="宋体" w:eastAsia="宋体"/>
                <w:color w:val="auto"/>
                <w:highlight w:val="none"/>
              </w:rPr>
              <w:t>专业初级及以上工程师职称，每个得0.25分,</w:t>
            </w:r>
            <w:r>
              <w:rPr>
                <w:rFonts w:hint="eastAsia" w:ascii="宋体" w:hAnsi="宋体" w:eastAsia="宋体"/>
                <w:color w:val="auto"/>
                <w:highlight w:val="none"/>
                <w:lang w:eastAsia="zh-CN"/>
              </w:rPr>
              <w:t>此项</w:t>
            </w:r>
            <w:r>
              <w:rPr>
                <w:rFonts w:hint="eastAsia" w:ascii="宋体" w:hAnsi="宋体" w:eastAsia="宋体"/>
                <w:color w:val="auto"/>
                <w:highlight w:val="none"/>
              </w:rPr>
              <w:t>最高得5分</w:t>
            </w:r>
            <w:r>
              <w:rPr>
                <w:rFonts w:hint="eastAsia" w:ascii="宋体" w:hAnsi="宋体" w:eastAsia="宋体"/>
                <w:color w:val="auto"/>
                <w:highlight w:val="none"/>
                <w:lang w:eastAsia="zh-CN"/>
              </w:rPr>
              <w:t>。</w:t>
            </w:r>
          </w:p>
          <w:p w14:paraId="3A6DE0DB">
            <w:pPr>
              <w:pStyle w:val="50"/>
              <w:spacing w:line="240" w:lineRule="auto"/>
              <w:ind w:left="0" w:leftChars="0" w:right="210" w:rightChars="100" w:firstLine="210" w:firstLineChars="100"/>
              <w:rPr>
                <w:rFonts w:ascii="宋体" w:hAnsi="宋体" w:eastAsia="宋体"/>
                <w:color w:val="auto"/>
                <w:highlight w:val="none"/>
              </w:rPr>
            </w:pPr>
            <w:r>
              <w:rPr>
                <w:rFonts w:hint="eastAsia" w:ascii="宋体" w:hAnsi="宋体" w:eastAsia="宋体"/>
                <w:color w:val="auto"/>
                <w:highlight w:val="none"/>
              </w:rPr>
              <w:t>注：以上人员同一人只记一次分。以级别最高的证书计分，不重复得分。须提供毕业证、相关资格证书及</w:t>
            </w:r>
            <w:r>
              <w:rPr>
                <w:rFonts w:hint="eastAsia" w:ascii="宋体" w:hAnsi="宋体" w:eastAsia="宋体"/>
                <w:b/>
                <w:bCs/>
                <w:color w:val="auto"/>
                <w:highlight w:val="none"/>
              </w:rPr>
              <w:t>投标人为其缴纳在本投标单位购买的</w:t>
            </w:r>
            <w:r>
              <w:rPr>
                <w:rFonts w:hint="eastAsia" w:ascii="宋体" w:hAnsi="宋体" w:eastAsia="宋体"/>
                <w:b/>
                <w:bCs/>
                <w:color w:val="auto"/>
                <w:highlight w:val="none"/>
                <w:lang w:val="en-US" w:eastAsia="zh-CN"/>
              </w:rPr>
              <w:t>2025年3月</w:t>
            </w:r>
            <w:r>
              <w:rPr>
                <w:rFonts w:hint="eastAsia" w:ascii="宋体" w:hAnsi="宋体" w:eastAsia="宋体"/>
                <w:b/>
                <w:bCs/>
                <w:color w:val="auto"/>
                <w:highlight w:val="none"/>
              </w:rPr>
              <w:t>的社保证明材料</w:t>
            </w:r>
            <w:r>
              <w:rPr>
                <w:rFonts w:hint="eastAsia" w:ascii="宋体" w:hAnsi="宋体" w:eastAsia="宋体"/>
                <w:color w:val="auto"/>
                <w:highlight w:val="none"/>
              </w:rPr>
              <w:t>复印件。</w:t>
            </w:r>
          </w:p>
        </w:tc>
      </w:tr>
      <w:tr w14:paraId="5AC1A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1" w:hRule="atLeast"/>
        </w:trPr>
        <w:tc>
          <w:tcPr>
            <w:tcW w:w="904" w:type="dxa"/>
            <w:vMerge w:val="restart"/>
            <w:vAlign w:val="center"/>
          </w:tcPr>
          <w:p w14:paraId="5CD50EC5">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2.2.4</w:t>
            </w:r>
          </w:p>
          <w:p w14:paraId="2A0993F7">
            <w:pPr>
              <w:spacing w:before="60" w:line="401" w:lineRule="exact"/>
              <w:ind w:left="244"/>
              <w:jc w:val="center"/>
              <w:rPr>
                <w:color w:val="auto"/>
                <w:highlight w:val="none"/>
              </w:rPr>
            </w:pPr>
            <w:r>
              <w:rPr>
                <w:rFonts w:ascii="Times New Roman" w:hAnsi="Times New Roman" w:eastAsia="Times New Roman"/>
                <w:color w:val="auto"/>
                <w:spacing w:val="-1"/>
                <w:position w:val="18"/>
                <w:highlight w:val="none"/>
              </w:rPr>
              <w:t>(2)</w:t>
            </w:r>
          </w:p>
        </w:tc>
        <w:tc>
          <w:tcPr>
            <w:tcW w:w="1124" w:type="dxa"/>
            <w:vMerge w:val="restart"/>
            <w:vAlign w:val="center"/>
          </w:tcPr>
          <w:p w14:paraId="70D98B8C">
            <w:pPr>
              <w:spacing w:before="68" w:line="394" w:lineRule="auto"/>
              <w:ind w:left="144" w:right="141" w:firstLine="9"/>
              <w:jc w:val="center"/>
              <w:rPr>
                <w:rFonts w:ascii="宋体" w:hAnsi="宋体" w:eastAsia="宋体"/>
                <w:color w:val="auto"/>
                <w:spacing w:val="-4"/>
                <w:highlight w:val="none"/>
              </w:rPr>
            </w:pPr>
            <w:r>
              <w:rPr>
                <w:rFonts w:hint="eastAsia" w:ascii="宋体" w:hAnsi="宋体" w:eastAsia="宋体"/>
                <w:color w:val="auto"/>
                <w:spacing w:val="-4"/>
                <w:highlight w:val="none"/>
              </w:rPr>
              <w:t>技术评审评分标准</w:t>
            </w:r>
          </w:p>
          <w:p w14:paraId="079AD629">
            <w:pPr>
              <w:jc w:val="center"/>
              <w:rPr>
                <w:color w:val="auto"/>
                <w:highlight w:val="none"/>
              </w:rPr>
            </w:pPr>
            <w:r>
              <w:rPr>
                <w:rFonts w:hint="eastAsia" w:ascii="宋体" w:hAnsi="宋体" w:eastAsia="宋体"/>
                <w:color w:val="auto"/>
                <w:spacing w:val="-4"/>
                <w:highlight w:val="none"/>
              </w:rPr>
              <w:t>（</w:t>
            </w:r>
            <w:r>
              <w:rPr>
                <w:rFonts w:hint="eastAsia" w:ascii="宋体" w:hAnsi="宋体" w:eastAsia="宋体"/>
                <w:color w:val="auto"/>
                <w:spacing w:val="-4"/>
                <w:highlight w:val="none"/>
                <w:lang w:val="en-US" w:eastAsia="zh-CN"/>
              </w:rPr>
              <w:t>55</w:t>
            </w:r>
            <w:r>
              <w:rPr>
                <w:rFonts w:hint="eastAsia" w:ascii="宋体" w:hAnsi="宋体" w:eastAsia="宋体"/>
                <w:color w:val="auto"/>
                <w:spacing w:val="-4"/>
                <w:highlight w:val="none"/>
              </w:rPr>
              <w:t>分）</w:t>
            </w:r>
          </w:p>
        </w:tc>
        <w:tc>
          <w:tcPr>
            <w:tcW w:w="2035" w:type="dxa"/>
            <w:vAlign w:val="center"/>
          </w:tcPr>
          <w:p w14:paraId="78DC4D22">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对工程的理解及重点难点分析</w:t>
            </w:r>
          </w:p>
          <w:p w14:paraId="02AB6EE7">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lang w:val="zh-CN"/>
              </w:rPr>
              <w:t>分）</w:t>
            </w:r>
          </w:p>
        </w:tc>
        <w:tc>
          <w:tcPr>
            <w:tcW w:w="5367" w:type="dxa"/>
            <w:vAlign w:val="center"/>
          </w:tcPr>
          <w:p w14:paraId="16947FBC">
            <w:pPr>
              <w:pStyle w:val="50"/>
              <w:overflowPunct w:val="0"/>
              <w:snapToGrid w:val="0"/>
              <w:spacing w:line="240" w:lineRule="auto"/>
              <w:ind w:left="0" w:leftChars="0" w:right="210" w:rightChars="100" w:firstLine="210" w:firstLineChars="100"/>
              <w:rPr>
                <w:rFonts w:ascii="宋体" w:hAnsi="宋体" w:eastAsia="宋体"/>
                <w:color w:val="auto"/>
                <w:szCs w:val="21"/>
                <w:highlight w:val="none"/>
                <w:lang w:val="zh-CN"/>
              </w:rPr>
            </w:pPr>
            <w:r>
              <w:rPr>
                <w:rFonts w:hint="eastAsia" w:ascii="宋体" w:hAnsi="宋体" w:eastAsia="宋体"/>
                <w:color w:val="auto"/>
                <w:szCs w:val="21"/>
                <w:highlight w:val="none"/>
                <w:lang w:val="zh-CN"/>
              </w:rPr>
              <w:t>主要考察投标人对工程的理解程度、对本项目工作内容的理解和认识是否准确到位、对项目的需求分析、项目现场熟悉程度，对本项目工程勘察、测量测绘等工作作出的重点难点分析及本阶段设计应注意的事项。其中，优[</w:t>
            </w: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lang w:val="zh-CN"/>
              </w:rPr>
              <w:t>]分、良[</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val="zh-CN"/>
              </w:rPr>
              <w:t>]分、一般[</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lang w:val="zh-CN"/>
              </w:rPr>
              <w:t>]分。若缺少本项评审内容，得0分。</w:t>
            </w:r>
          </w:p>
        </w:tc>
      </w:tr>
      <w:tr w14:paraId="0EDA0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39E2E255">
            <w:pPr>
              <w:rPr>
                <w:color w:val="auto"/>
                <w:highlight w:val="none"/>
              </w:rPr>
            </w:pPr>
          </w:p>
        </w:tc>
        <w:tc>
          <w:tcPr>
            <w:tcW w:w="1124" w:type="dxa"/>
            <w:vMerge w:val="continue"/>
          </w:tcPr>
          <w:p w14:paraId="5BFF34FB">
            <w:pPr>
              <w:rPr>
                <w:color w:val="auto"/>
                <w:highlight w:val="none"/>
              </w:rPr>
            </w:pPr>
          </w:p>
        </w:tc>
        <w:tc>
          <w:tcPr>
            <w:tcW w:w="2035" w:type="dxa"/>
            <w:vAlign w:val="center"/>
          </w:tcPr>
          <w:p w14:paraId="7BE266AF">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勘察方案</w:t>
            </w:r>
          </w:p>
          <w:p w14:paraId="2C09E778">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lang w:val="zh-CN"/>
              </w:rPr>
              <w:t>分）</w:t>
            </w:r>
          </w:p>
        </w:tc>
        <w:tc>
          <w:tcPr>
            <w:tcW w:w="5367" w:type="dxa"/>
            <w:vAlign w:val="center"/>
          </w:tcPr>
          <w:p w14:paraId="60B40B02">
            <w:pPr>
              <w:pStyle w:val="50"/>
              <w:overflowPunct w:val="0"/>
              <w:snapToGrid w:val="0"/>
              <w:spacing w:line="240" w:lineRule="auto"/>
              <w:ind w:left="0" w:leftChars="0" w:right="210" w:rightChars="100" w:firstLine="210" w:firstLineChars="100"/>
              <w:rPr>
                <w:rFonts w:ascii="宋体" w:hAnsi="宋体" w:eastAsia="宋体"/>
                <w:color w:val="auto"/>
                <w:szCs w:val="21"/>
                <w:highlight w:val="none"/>
                <w:lang w:val="zh-CN"/>
              </w:rPr>
            </w:pPr>
            <w:r>
              <w:rPr>
                <w:rFonts w:hint="eastAsia" w:ascii="宋体" w:hAnsi="宋体" w:eastAsia="宋体" w:cs="宋体"/>
                <w:color w:val="auto"/>
                <w:sz w:val="21"/>
                <w:szCs w:val="21"/>
                <w:highlight w:val="none"/>
                <w:lang w:val="en-US" w:eastAsia="zh-CN"/>
              </w:rPr>
              <w:t>根据投标人对</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lang w:val="en-US" w:eastAsia="zh-CN"/>
              </w:rPr>
              <w:t>的勘察工作内容所编制的技术方案的可行性、合理性、完整性、创新性、可操作性、先进性以及作业流程的科学性、规范性、严密性进行</w:t>
            </w:r>
            <w:r>
              <w:rPr>
                <w:rFonts w:hint="eastAsia" w:ascii="宋体" w:hAnsi="宋体" w:eastAsia="宋体"/>
                <w:color w:val="auto"/>
                <w:szCs w:val="21"/>
                <w:highlight w:val="none"/>
                <w:lang w:val="zh-CN"/>
              </w:rPr>
              <w:t>评审，其中，优[</w:t>
            </w: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lang w:val="zh-CN"/>
              </w:rPr>
              <w:t>]分、良[</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val="zh-CN"/>
              </w:rPr>
              <w:t>]分、一般[</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lang w:val="zh-CN"/>
              </w:rPr>
              <w:t>]分。若缺少本项评审内容，得0分。</w:t>
            </w:r>
          </w:p>
        </w:tc>
      </w:tr>
      <w:tr w14:paraId="39885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5F7A6C6D">
            <w:pPr>
              <w:rPr>
                <w:color w:val="auto"/>
                <w:highlight w:val="none"/>
              </w:rPr>
            </w:pPr>
          </w:p>
        </w:tc>
        <w:tc>
          <w:tcPr>
            <w:tcW w:w="1124" w:type="dxa"/>
            <w:vMerge w:val="continue"/>
          </w:tcPr>
          <w:p w14:paraId="702C0B5D">
            <w:pPr>
              <w:rPr>
                <w:color w:val="auto"/>
                <w:highlight w:val="none"/>
              </w:rPr>
            </w:pPr>
          </w:p>
        </w:tc>
        <w:tc>
          <w:tcPr>
            <w:tcW w:w="2035" w:type="dxa"/>
            <w:vAlign w:val="center"/>
          </w:tcPr>
          <w:p w14:paraId="43D11B7D">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进度计划及其保证措施</w:t>
            </w:r>
          </w:p>
          <w:p w14:paraId="63D42C39">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val="zh-CN"/>
              </w:rPr>
              <w:t>分）</w:t>
            </w:r>
          </w:p>
        </w:tc>
        <w:tc>
          <w:tcPr>
            <w:tcW w:w="5367" w:type="dxa"/>
            <w:vAlign w:val="center"/>
          </w:tcPr>
          <w:p w14:paraId="702469D9">
            <w:pPr>
              <w:pStyle w:val="50"/>
              <w:overflowPunct w:val="0"/>
              <w:snapToGrid w:val="0"/>
              <w:spacing w:line="240" w:lineRule="auto"/>
              <w:ind w:left="0" w:leftChars="0" w:right="210" w:rightChars="100" w:firstLine="210" w:firstLineChars="100"/>
              <w:rPr>
                <w:rFonts w:ascii="宋体" w:hAnsi="宋体" w:eastAsia="宋体"/>
                <w:color w:val="auto"/>
                <w:szCs w:val="21"/>
                <w:highlight w:val="none"/>
                <w:lang w:val="zh-CN"/>
              </w:rPr>
            </w:pPr>
            <w:r>
              <w:rPr>
                <w:rFonts w:hint="eastAsia" w:ascii="宋体" w:hAnsi="宋体" w:eastAsia="宋体" w:cs="宋体"/>
                <w:color w:val="auto"/>
                <w:sz w:val="21"/>
                <w:szCs w:val="21"/>
                <w:highlight w:val="none"/>
                <w:lang w:val="en-US" w:eastAsia="zh-CN"/>
              </w:rPr>
              <w:t>根据投标人所制订的确保服务工期的技术和组织措施、项目工作进度安排表</w:t>
            </w:r>
            <w:r>
              <w:rPr>
                <w:rFonts w:hint="eastAsia" w:ascii="宋体" w:hAnsi="宋体" w:eastAsia="宋体"/>
                <w:color w:val="auto"/>
                <w:szCs w:val="21"/>
                <w:highlight w:val="none"/>
                <w:lang w:val="zh-CN"/>
              </w:rPr>
              <w:t>及其保证措施进行评审，进度计划满足招标文件要求，进度计划的各项保证措施具体、可行的，优[</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val="zh-CN"/>
              </w:rPr>
              <w:t>分、良[</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lang w:val="zh-CN"/>
              </w:rPr>
              <w:t>]分、一般[</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lang w:val="zh-CN"/>
              </w:rPr>
              <w:t>]分。若缺少本项评审内容，得0分。</w:t>
            </w:r>
          </w:p>
        </w:tc>
      </w:tr>
      <w:tr w14:paraId="7AA09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1ADCD7A9">
            <w:pPr>
              <w:rPr>
                <w:color w:val="auto"/>
                <w:highlight w:val="none"/>
              </w:rPr>
            </w:pPr>
          </w:p>
        </w:tc>
        <w:tc>
          <w:tcPr>
            <w:tcW w:w="1124" w:type="dxa"/>
            <w:vMerge w:val="continue"/>
          </w:tcPr>
          <w:p w14:paraId="1FA87BD3">
            <w:pPr>
              <w:rPr>
                <w:color w:val="auto"/>
                <w:highlight w:val="none"/>
              </w:rPr>
            </w:pPr>
          </w:p>
        </w:tc>
        <w:tc>
          <w:tcPr>
            <w:tcW w:w="2035" w:type="dxa"/>
            <w:vAlign w:val="center"/>
          </w:tcPr>
          <w:p w14:paraId="5CE8D4C1">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质量控制措施</w:t>
            </w:r>
          </w:p>
          <w:p w14:paraId="16A21083">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val="zh-CN"/>
              </w:rPr>
              <w:t>分）</w:t>
            </w:r>
          </w:p>
        </w:tc>
        <w:tc>
          <w:tcPr>
            <w:tcW w:w="5367" w:type="dxa"/>
            <w:vAlign w:val="center"/>
          </w:tcPr>
          <w:p w14:paraId="3A4E9760">
            <w:pPr>
              <w:pStyle w:val="50"/>
              <w:overflowPunct w:val="0"/>
              <w:snapToGrid w:val="0"/>
              <w:spacing w:line="240" w:lineRule="auto"/>
              <w:ind w:left="0" w:leftChars="0" w:right="210" w:rightChars="100" w:firstLine="210" w:firstLineChars="100"/>
              <w:rPr>
                <w:rFonts w:ascii="宋体" w:hAnsi="宋体" w:eastAsia="宋体"/>
                <w:color w:val="auto"/>
                <w:szCs w:val="21"/>
                <w:highlight w:val="none"/>
                <w:lang w:val="zh-CN"/>
              </w:rPr>
            </w:pPr>
            <w:r>
              <w:rPr>
                <w:rFonts w:hint="eastAsia" w:ascii="宋体" w:hAnsi="宋体" w:eastAsia="宋体"/>
                <w:color w:val="auto"/>
                <w:szCs w:val="21"/>
                <w:highlight w:val="none"/>
                <w:lang w:val="zh-CN"/>
              </w:rPr>
              <w:t>根据投标人所制订的确保服务的质量保证措施、保证项目安全生产措施等方案进行评审，措施方案满足招标文件要求，措施方案各项保证措施具体、可行的，优[</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val="zh-CN"/>
              </w:rPr>
              <w:t>分、良[</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lang w:val="zh-CN"/>
              </w:rPr>
              <w:t>]分、一般[</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lang w:val="zh-CN"/>
              </w:rPr>
              <w:t>]分。若缺少本项评审内容，得0分。</w:t>
            </w:r>
          </w:p>
        </w:tc>
      </w:tr>
      <w:tr w14:paraId="248F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48B682CF">
            <w:pPr>
              <w:rPr>
                <w:color w:val="auto"/>
                <w:highlight w:val="none"/>
              </w:rPr>
            </w:pPr>
          </w:p>
        </w:tc>
        <w:tc>
          <w:tcPr>
            <w:tcW w:w="1124" w:type="dxa"/>
            <w:vMerge w:val="continue"/>
          </w:tcPr>
          <w:p w14:paraId="7F91B7F1">
            <w:pPr>
              <w:rPr>
                <w:color w:val="auto"/>
                <w:highlight w:val="none"/>
              </w:rPr>
            </w:pPr>
          </w:p>
        </w:tc>
        <w:tc>
          <w:tcPr>
            <w:tcW w:w="2035" w:type="dxa"/>
            <w:vAlign w:val="center"/>
          </w:tcPr>
          <w:p w14:paraId="5C370B0C">
            <w:pPr>
              <w:pStyle w:val="50"/>
              <w:overflowPunct w:val="0"/>
              <w:snapToGrid w:val="0"/>
              <w:spacing w:line="360" w:lineRule="auto"/>
              <w:ind w:left="210" w:leftChars="100" w:right="210" w:rightChars="10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后续服务措施</w:t>
            </w:r>
          </w:p>
          <w:p w14:paraId="1088B1D2">
            <w:pPr>
              <w:pStyle w:val="50"/>
              <w:overflowPunct w:val="0"/>
              <w:snapToGrid w:val="0"/>
              <w:spacing w:line="360" w:lineRule="auto"/>
              <w:ind w:left="210" w:leftChars="100" w:right="210" w:rightChars="10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hint="eastAsia" w:ascii="宋体" w:hAnsi="宋体" w:eastAsia="宋体"/>
                <w:color w:val="auto"/>
                <w:szCs w:val="21"/>
                <w:highlight w:val="none"/>
                <w:lang w:val="en-US" w:eastAsia="zh-CN"/>
              </w:rPr>
              <w:t>6分</w:t>
            </w:r>
            <w:r>
              <w:rPr>
                <w:rFonts w:hint="eastAsia" w:ascii="宋体" w:hAnsi="宋体" w:eastAsia="宋体"/>
                <w:color w:val="auto"/>
                <w:szCs w:val="21"/>
                <w:highlight w:val="none"/>
                <w:lang w:val="zh-CN"/>
              </w:rPr>
              <w:t>）</w:t>
            </w:r>
          </w:p>
        </w:tc>
        <w:tc>
          <w:tcPr>
            <w:tcW w:w="5367" w:type="dxa"/>
            <w:vAlign w:val="center"/>
          </w:tcPr>
          <w:p w14:paraId="6DDFDF1E">
            <w:pPr>
              <w:pStyle w:val="50"/>
              <w:overflowPunct w:val="0"/>
              <w:snapToGrid w:val="0"/>
              <w:spacing w:line="240" w:lineRule="auto"/>
              <w:ind w:left="0" w:leftChars="0" w:right="210" w:rightChars="100" w:firstLine="210" w:firstLineChars="100"/>
              <w:rPr>
                <w:rFonts w:hint="eastAsia" w:ascii="宋体" w:hAnsi="宋体" w:eastAsia="方正楷体_GB2312"/>
                <w:color w:val="auto"/>
                <w:szCs w:val="21"/>
                <w:highlight w:val="none"/>
                <w:lang w:val="zh-CN" w:eastAsia="zh-CN"/>
              </w:rPr>
            </w:pPr>
            <w:r>
              <w:rPr>
                <w:rFonts w:hint="eastAsia" w:ascii="宋体" w:hAnsi="宋体" w:eastAsia="宋体"/>
                <w:color w:val="auto"/>
                <w:szCs w:val="21"/>
                <w:highlight w:val="none"/>
                <w:lang w:val="zh-CN"/>
              </w:rPr>
              <w:t>根据投标人所制订的后续服务措施的</w:t>
            </w:r>
            <w:r>
              <w:rPr>
                <w:rFonts w:hint="eastAsia"/>
                <w:color w:val="auto"/>
                <w:szCs w:val="21"/>
                <w:highlight w:val="none"/>
              </w:rPr>
              <w:t>合理</w:t>
            </w:r>
            <w:r>
              <w:rPr>
                <w:rFonts w:hint="eastAsia"/>
                <w:color w:val="auto"/>
                <w:szCs w:val="21"/>
                <w:highlight w:val="none"/>
                <w:lang w:eastAsia="zh-CN"/>
              </w:rPr>
              <w:t>性</w:t>
            </w:r>
            <w:r>
              <w:rPr>
                <w:rFonts w:hint="eastAsia"/>
                <w:color w:val="auto"/>
                <w:szCs w:val="21"/>
                <w:highlight w:val="none"/>
              </w:rPr>
              <w:t>、可行</w:t>
            </w:r>
            <w:r>
              <w:rPr>
                <w:rFonts w:hint="eastAsia"/>
                <w:color w:val="auto"/>
                <w:szCs w:val="21"/>
                <w:highlight w:val="none"/>
                <w:lang w:eastAsia="zh-CN"/>
              </w:rPr>
              <w:t>性</w:t>
            </w:r>
            <w:r>
              <w:rPr>
                <w:rFonts w:hint="eastAsia"/>
                <w:color w:val="auto"/>
                <w:szCs w:val="21"/>
                <w:highlight w:val="none"/>
              </w:rPr>
              <w:t>、可操作性</w:t>
            </w:r>
            <w:r>
              <w:rPr>
                <w:rFonts w:hint="eastAsia"/>
                <w:color w:val="auto"/>
                <w:szCs w:val="21"/>
                <w:highlight w:val="none"/>
                <w:lang w:eastAsia="zh-CN"/>
              </w:rPr>
              <w:t>等进行评审，</w:t>
            </w:r>
            <w:r>
              <w:rPr>
                <w:rFonts w:hint="eastAsia" w:ascii="宋体" w:hAnsi="宋体" w:eastAsia="宋体"/>
                <w:color w:val="auto"/>
                <w:szCs w:val="21"/>
                <w:highlight w:val="none"/>
                <w:lang w:val="zh-CN"/>
              </w:rPr>
              <w:t>后续服务措施方案能</w:t>
            </w:r>
            <w:r>
              <w:rPr>
                <w:rFonts w:hint="eastAsia"/>
                <w:color w:val="auto"/>
                <w:szCs w:val="21"/>
                <w:highlight w:val="none"/>
                <w:lang w:eastAsia="zh-CN"/>
              </w:rPr>
              <w:t>保障项目安全生产实施，措施方案满足招标文件要求</w:t>
            </w:r>
            <w:r>
              <w:rPr>
                <w:rFonts w:hint="eastAsia" w:ascii="宋体" w:hAnsi="宋体" w:eastAsia="宋体"/>
                <w:color w:val="auto"/>
                <w:szCs w:val="21"/>
                <w:highlight w:val="none"/>
                <w:lang w:val="zh-CN"/>
              </w:rPr>
              <w:t>优[</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lang w:val="zh-CN"/>
              </w:rPr>
              <w:t>分、良[</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lang w:val="zh-CN"/>
              </w:rPr>
              <w:t>]分、一般[</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val="zh-CN"/>
              </w:rPr>
              <w:t>]分。若缺少本项评审内容，得0分。</w:t>
            </w:r>
          </w:p>
        </w:tc>
      </w:tr>
      <w:tr w14:paraId="19617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408DFB3F">
            <w:pPr>
              <w:rPr>
                <w:color w:val="auto"/>
                <w:highlight w:val="none"/>
              </w:rPr>
            </w:pPr>
          </w:p>
        </w:tc>
        <w:tc>
          <w:tcPr>
            <w:tcW w:w="1124" w:type="dxa"/>
            <w:vMerge w:val="continue"/>
          </w:tcPr>
          <w:p w14:paraId="55F2FCD6">
            <w:pPr>
              <w:rPr>
                <w:color w:val="auto"/>
                <w:highlight w:val="none"/>
              </w:rPr>
            </w:pPr>
          </w:p>
        </w:tc>
        <w:tc>
          <w:tcPr>
            <w:tcW w:w="2035" w:type="dxa"/>
            <w:shd w:val="clear" w:color="auto" w:fill="auto"/>
            <w:vAlign w:val="center"/>
          </w:tcPr>
          <w:p w14:paraId="25764AE3">
            <w:pPr>
              <w:pStyle w:val="50"/>
              <w:overflowPunct w:val="0"/>
              <w:snapToGrid w:val="0"/>
              <w:spacing w:line="360" w:lineRule="auto"/>
              <w:ind w:left="210" w:leftChars="100" w:right="210" w:rightChars="10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服务响应速度</w:t>
            </w:r>
          </w:p>
          <w:p w14:paraId="34B4AA51">
            <w:pPr>
              <w:pStyle w:val="50"/>
              <w:overflowPunct w:val="0"/>
              <w:snapToGrid w:val="0"/>
              <w:spacing w:line="360" w:lineRule="auto"/>
              <w:ind w:left="210" w:leftChars="100" w:right="210" w:rightChars="100"/>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olor w:val="auto"/>
                <w:szCs w:val="21"/>
                <w:highlight w:val="none"/>
                <w:lang w:val="zh-CN"/>
              </w:rPr>
              <w:t>（</w:t>
            </w:r>
            <w:r>
              <w:rPr>
                <w:rFonts w:hint="eastAsia" w:ascii="宋体" w:hAnsi="宋体" w:eastAsia="宋体"/>
                <w:color w:val="auto"/>
                <w:szCs w:val="21"/>
                <w:highlight w:val="none"/>
                <w:lang w:val="en-US" w:eastAsia="zh-CN"/>
              </w:rPr>
              <w:t>3分</w:t>
            </w:r>
            <w:r>
              <w:rPr>
                <w:rFonts w:hint="eastAsia" w:ascii="宋体" w:hAnsi="宋体" w:eastAsia="宋体"/>
                <w:color w:val="auto"/>
                <w:szCs w:val="21"/>
                <w:highlight w:val="none"/>
                <w:lang w:val="zh-CN"/>
              </w:rPr>
              <w:t>）</w:t>
            </w:r>
          </w:p>
        </w:tc>
        <w:tc>
          <w:tcPr>
            <w:tcW w:w="5367" w:type="dxa"/>
            <w:shd w:val="clear" w:color="auto" w:fill="auto"/>
            <w:vAlign w:val="center"/>
          </w:tcPr>
          <w:p w14:paraId="0CFBE306">
            <w:pPr>
              <w:pStyle w:val="50"/>
              <w:numPr>
                <w:ilvl w:val="-1"/>
                <w:numId w:val="0"/>
              </w:numPr>
              <w:overflowPunct w:val="0"/>
              <w:snapToGrid w:val="0"/>
              <w:spacing w:line="240" w:lineRule="auto"/>
              <w:ind w:left="0" w:leftChars="0" w:right="210" w:rightChars="100" w:firstLine="210" w:firstLineChars="100"/>
              <w:rPr>
                <w:rFonts w:hint="eastAsia" w:ascii="宋体" w:hAnsi="宋体" w:eastAsia="宋体"/>
                <w:color w:val="auto"/>
                <w:szCs w:val="21"/>
                <w:highlight w:val="none"/>
                <w:lang w:val="zh-CN"/>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lang w:val="zh-CN"/>
              </w:rPr>
              <w:t>投标人能提供快速本地化服务合理、优越、便捷，得[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val="zh-CN"/>
              </w:rPr>
              <w:t>]分；</w:t>
            </w:r>
          </w:p>
          <w:p w14:paraId="22265D5D">
            <w:pPr>
              <w:pStyle w:val="50"/>
              <w:numPr>
                <w:ilvl w:val="-1"/>
                <w:numId w:val="0"/>
              </w:numPr>
              <w:overflowPunct w:val="0"/>
              <w:snapToGrid w:val="0"/>
              <w:spacing w:line="240" w:lineRule="auto"/>
              <w:ind w:left="0" w:leftChars="0" w:right="210" w:rightChars="100" w:firstLine="210" w:firstLineChars="100"/>
              <w:rPr>
                <w:rFonts w:hint="eastAsia" w:ascii="宋体" w:hAnsi="宋体" w:eastAsia="宋体"/>
                <w:color w:val="auto"/>
                <w:szCs w:val="21"/>
                <w:highlight w:val="none"/>
                <w:lang w:val="zh-CN"/>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val="zh-CN"/>
              </w:rPr>
              <w:t>投标人能提供快速本地化服务较为合理、便捷，得[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val="zh-CN"/>
              </w:rPr>
              <w:t>]分；</w:t>
            </w:r>
          </w:p>
          <w:p w14:paraId="52387C68">
            <w:pPr>
              <w:pStyle w:val="50"/>
              <w:numPr>
                <w:ilvl w:val="-1"/>
                <w:numId w:val="0"/>
              </w:numPr>
              <w:overflowPunct w:val="0"/>
              <w:snapToGrid w:val="0"/>
              <w:spacing w:line="240" w:lineRule="auto"/>
              <w:ind w:left="0" w:leftChars="0" w:right="210" w:rightChars="100" w:firstLine="210" w:firstLineChars="100"/>
              <w:rPr>
                <w:rFonts w:hint="eastAsia" w:ascii="宋体" w:hAnsi="宋体" w:eastAsia="宋体"/>
                <w:color w:val="auto"/>
                <w:szCs w:val="21"/>
                <w:highlight w:val="none"/>
                <w:lang w:val="zh-CN"/>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val="zh-CN"/>
              </w:rPr>
              <w:t>投标人能提供快速本地化服务基本合理性、便捷度一般，得[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lang w:val="zh-CN"/>
              </w:rPr>
              <w:t>]分。</w:t>
            </w:r>
          </w:p>
          <w:p w14:paraId="7F88773C">
            <w:pPr>
              <w:pStyle w:val="50"/>
              <w:numPr>
                <w:ilvl w:val="-1"/>
                <w:numId w:val="0"/>
              </w:numPr>
              <w:overflowPunct w:val="0"/>
              <w:snapToGrid w:val="0"/>
              <w:spacing w:line="240" w:lineRule="auto"/>
              <w:ind w:left="0" w:leftChars="0" w:right="210" w:rightChars="100" w:firstLine="210" w:firstLineChars="100"/>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lang w:val="zh-CN"/>
              </w:rPr>
              <w:t>若缺少本项评审内容，得0分。</w:t>
            </w:r>
          </w:p>
        </w:tc>
      </w:tr>
      <w:tr w14:paraId="7A3E4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3F677E68">
            <w:pPr>
              <w:rPr>
                <w:color w:val="auto"/>
                <w:highlight w:val="none"/>
              </w:rPr>
            </w:pPr>
          </w:p>
        </w:tc>
        <w:tc>
          <w:tcPr>
            <w:tcW w:w="1124" w:type="dxa"/>
            <w:vMerge w:val="continue"/>
          </w:tcPr>
          <w:p w14:paraId="5362A845">
            <w:pPr>
              <w:rPr>
                <w:color w:val="auto"/>
                <w:highlight w:val="none"/>
              </w:rPr>
            </w:pPr>
          </w:p>
        </w:tc>
        <w:tc>
          <w:tcPr>
            <w:tcW w:w="2035" w:type="dxa"/>
            <w:vAlign w:val="center"/>
          </w:tcPr>
          <w:p w14:paraId="2E8705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设备仪器保障</w:t>
            </w:r>
          </w:p>
          <w:p w14:paraId="1E1E0903">
            <w:pPr>
              <w:autoSpaceDE/>
              <w:autoSpaceDN/>
              <w:adjustRightInd/>
              <w:spacing w:line="240" w:lineRule="auto"/>
              <w:jc w:val="center"/>
              <w:rPr>
                <w:rFonts w:hint="eastAsia" w:ascii="宋体" w:hAnsi="宋体" w:eastAsia="宋体"/>
                <w:color w:val="auto"/>
                <w:szCs w:val="21"/>
                <w:highlight w:val="none"/>
                <w:lang w:val="zh-CN"/>
              </w:rPr>
            </w:pPr>
            <w:r>
              <w:rPr>
                <w:rFonts w:hint="eastAsia" w:ascii="宋体" w:hAnsi="宋体" w:eastAsia="宋体" w:cs="宋体"/>
                <w:color w:val="auto"/>
                <w:highlight w:val="none"/>
                <w:lang w:val="en-US"/>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en-US"/>
              </w:rPr>
              <w:t>分）</w:t>
            </w:r>
          </w:p>
        </w:tc>
        <w:tc>
          <w:tcPr>
            <w:tcW w:w="5367" w:type="dxa"/>
            <w:vAlign w:val="center"/>
          </w:tcPr>
          <w:p w14:paraId="7EB39AAB">
            <w:pPr>
              <w:pStyle w:val="76"/>
              <w:keepNext w:val="0"/>
              <w:keepLines w:val="0"/>
              <w:pageBreakBefore w:val="0"/>
              <w:widowControl w:val="0"/>
              <w:numPr>
                <w:ilvl w:val="-1"/>
                <w:numId w:val="0"/>
              </w:numPr>
              <w:kinsoku/>
              <w:wordWrap/>
              <w:overflowPunct/>
              <w:topLinePunct w:val="0"/>
              <w:autoSpaceDE/>
              <w:autoSpaceDN/>
              <w:bidi w:val="0"/>
              <w:adjustRightInd/>
              <w:snapToGrid w:val="0"/>
              <w:spacing w:after="0" w:line="240" w:lineRule="auto"/>
              <w:ind w:firstLine="210" w:firstLineChars="100"/>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根据投标人对本项目的勘察工作内容所投入设备仪器的保障性、合理性、完整性、可操作性、先进性以及作业流程的科学性、规范性、严密性进行评审：</w:t>
            </w:r>
          </w:p>
          <w:p w14:paraId="7850AFA1">
            <w:pPr>
              <w:pStyle w:val="76"/>
              <w:keepNext w:val="0"/>
              <w:keepLines w:val="0"/>
              <w:pageBreakBefore w:val="0"/>
              <w:widowControl w:val="0"/>
              <w:numPr>
                <w:ilvl w:val="-1"/>
                <w:numId w:val="0"/>
              </w:numPr>
              <w:kinsoku/>
              <w:wordWrap/>
              <w:overflowPunct/>
              <w:topLinePunct w:val="0"/>
              <w:autoSpaceDE/>
              <w:autoSpaceDN/>
              <w:bidi w:val="0"/>
              <w:adjustRightInd/>
              <w:snapToGrid w:val="0"/>
              <w:spacing w:after="0" w:line="240" w:lineRule="auto"/>
              <w:ind w:firstLine="210" w:firstLineChars="100"/>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优[10]分：投标人具有地质雷达、燃气PE管道定位设备、管道检测机器人（CCTV）设备、管道潜望镜、管线探测仪、GPS接收机、全站仪等测量设备，且设备数量充足，满足项目工期紧，任务重，线路长，工作面广，确保工期的实质要求。</w:t>
            </w:r>
          </w:p>
          <w:p w14:paraId="4EC5A328">
            <w:pPr>
              <w:pStyle w:val="76"/>
              <w:keepNext w:val="0"/>
              <w:keepLines w:val="0"/>
              <w:pageBreakBefore w:val="0"/>
              <w:widowControl w:val="0"/>
              <w:numPr>
                <w:ilvl w:val="-1"/>
                <w:numId w:val="0"/>
              </w:numPr>
              <w:kinsoku/>
              <w:wordWrap/>
              <w:overflowPunct/>
              <w:topLinePunct w:val="0"/>
              <w:autoSpaceDE/>
              <w:autoSpaceDN/>
              <w:bidi w:val="0"/>
              <w:adjustRightInd/>
              <w:snapToGrid w:val="0"/>
              <w:spacing w:after="0" w:line="240" w:lineRule="auto"/>
              <w:ind w:firstLine="210" w:firstLineChars="100"/>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良[8]分：投标人基本具备地质雷达、燃气PE管道定位设备、管道检测机器人（CCTV）设备、管道潜望镜、管线探测仪、GPS接收机、全站仪等测量设备，设备数量充足，能基本满足项目工期紧，任务重，线路长，工作面广，确保工期的实质要求。</w:t>
            </w:r>
          </w:p>
          <w:p w14:paraId="07EBCCFA">
            <w:pPr>
              <w:pStyle w:val="76"/>
              <w:keepNext w:val="0"/>
              <w:keepLines w:val="0"/>
              <w:pageBreakBefore w:val="0"/>
              <w:widowControl w:val="0"/>
              <w:numPr>
                <w:ilvl w:val="-1"/>
                <w:numId w:val="0"/>
              </w:numPr>
              <w:kinsoku/>
              <w:wordWrap/>
              <w:overflowPunct/>
              <w:topLinePunct w:val="0"/>
              <w:autoSpaceDE/>
              <w:autoSpaceDN/>
              <w:bidi w:val="0"/>
              <w:adjustRightInd/>
              <w:snapToGrid w:val="0"/>
              <w:spacing w:after="0" w:line="240" w:lineRule="auto"/>
              <w:ind w:firstLine="210" w:firstLineChars="100"/>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一般[6]分：投标人部分具有地质雷达、燃气PE管道定位设备、管道检测机器人（CCTV）设备、管道潜望镜、管线探测仪、GPS接收机、全站仪等测量设备，设备数量基本满足，未能完全满足项目工期紧，任务重，线路长，工作面广，确保工期的实质要求。</w:t>
            </w:r>
          </w:p>
          <w:p w14:paraId="1FA5B7D4">
            <w:pPr>
              <w:pStyle w:val="76"/>
              <w:keepNext w:val="0"/>
              <w:keepLines w:val="0"/>
              <w:pageBreakBefore w:val="0"/>
              <w:widowControl w:val="0"/>
              <w:numPr>
                <w:ilvl w:val="-1"/>
                <w:numId w:val="0"/>
              </w:numPr>
              <w:kinsoku/>
              <w:wordWrap/>
              <w:overflowPunct/>
              <w:topLinePunct w:val="0"/>
              <w:autoSpaceDE/>
              <w:autoSpaceDN/>
              <w:bidi w:val="0"/>
              <w:adjustRightInd/>
              <w:snapToGrid w:val="0"/>
              <w:spacing w:after="0" w:line="240" w:lineRule="auto"/>
              <w:ind w:firstLine="210" w:firstLineChars="100"/>
              <w:textAlignment w:val="auto"/>
              <w:rPr>
                <w:rFonts w:hint="eastAsia" w:ascii="宋体" w:hAns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若缺少本项评审内容，得0分。</w:t>
            </w:r>
          </w:p>
          <w:p w14:paraId="2D2E459A">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宋体" w:hAnsi="宋体" w:eastAsia="宋体"/>
                <w:color w:val="auto"/>
                <w:szCs w:val="21"/>
                <w:highlight w:val="none"/>
                <w:lang w:val="zh-CN"/>
              </w:rPr>
            </w:pPr>
            <w:r>
              <w:rPr>
                <w:rFonts w:hint="eastAsia" w:ascii="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须提供上述设备仪器购置发票复印件</w:t>
            </w:r>
            <w:r>
              <w:rPr>
                <w:rFonts w:hint="eastAsia" w:ascii="宋体" w:eastAsia="宋体" w:cs="宋体"/>
                <w:color w:val="auto"/>
                <w:sz w:val="21"/>
                <w:szCs w:val="21"/>
                <w:highlight w:val="none"/>
                <w:lang w:val="en-US" w:eastAsia="zh-CN"/>
              </w:rPr>
              <w:t>或有效的设备租赁协议复印件</w:t>
            </w:r>
            <w:r>
              <w:rPr>
                <w:rFonts w:hint="eastAsia" w:ascii="宋体" w:hAnsi="宋体" w:eastAsia="宋体" w:cs="宋体"/>
                <w:color w:val="auto"/>
                <w:sz w:val="21"/>
                <w:szCs w:val="21"/>
                <w:highlight w:val="none"/>
                <w:lang w:val="en-US" w:eastAsia="zh-CN"/>
              </w:rPr>
              <w:t>，发票</w:t>
            </w:r>
            <w:r>
              <w:rPr>
                <w:rFonts w:hint="eastAsia" w:asci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lang w:val="en-US" w:eastAsia="zh-CN"/>
              </w:rPr>
              <w:t>显示付款方与投标人一致，否则不得分</w:t>
            </w:r>
            <w:r>
              <w:rPr>
                <w:rFonts w:hint="eastAsia" w:ascii="宋体" w:hAnsi="宋体" w:cs="宋体"/>
                <w:color w:val="auto"/>
                <w:sz w:val="21"/>
                <w:szCs w:val="21"/>
                <w:highlight w:val="none"/>
                <w:lang w:val="en-US" w:eastAsia="zh-CN"/>
              </w:rPr>
              <w:t>。</w:t>
            </w:r>
          </w:p>
        </w:tc>
      </w:tr>
      <w:tr w14:paraId="18DA7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904" w:type="dxa"/>
            <w:vMerge w:val="restart"/>
            <w:vAlign w:val="center"/>
          </w:tcPr>
          <w:p w14:paraId="1F862412">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2.2.4</w:t>
            </w:r>
          </w:p>
          <w:p w14:paraId="4A566B20">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(3)</w:t>
            </w:r>
          </w:p>
        </w:tc>
        <w:tc>
          <w:tcPr>
            <w:tcW w:w="1124" w:type="dxa"/>
            <w:vMerge w:val="restart"/>
            <w:vAlign w:val="center"/>
          </w:tcPr>
          <w:p w14:paraId="70C376C8">
            <w:pPr>
              <w:jc w:val="center"/>
              <w:rPr>
                <w:color w:val="auto"/>
                <w:highlight w:val="none"/>
              </w:rPr>
            </w:pPr>
            <w:r>
              <w:rPr>
                <w:rFonts w:hint="eastAsia" w:ascii="宋体" w:hAnsi="宋体" w:eastAsia="宋体" w:cs="宋体"/>
                <w:color w:val="auto"/>
                <w:highlight w:val="none"/>
              </w:rPr>
              <w:t>投标报价</w:t>
            </w:r>
          </w:p>
          <w:p w14:paraId="6427D998">
            <w:pPr>
              <w:jc w:val="center"/>
              <w:rPr>
                <w:rFonts w:ascii="宋体" w:hAnsi="宋体" w:eastAsia="宋体" w:cs="宋体"/>
                <w:color w:val="auto"/>
                <w:highlight w:val="none"/>
              </w:rPr>
            </w:pPr>
            <w:r>
              <w:rPr>
                <w:rFonts w:hint="eastAsia"/>
                <w:color w:val="auto"/>
                <w:highlight w:val="none"/>
              </w:rPr>
              <w:t>评分标</w:t>
            </w:r>
            <w:r>
              <w:rPr>
                <w:rFonts w:hint="eastAsia" w:ascii="宋体" w:hAnsi="宋体" w:eastAsia="宋体" w:cs="宋体"/>
                <w:color w:val="auto"/>
                <w:highlight w:val="none"/>
              </w:rPr>
              <w:t>准</w:t>
            </w:r>
          </w:p>
          <w:p w14:paraId="04550DC3">
            <w:pPr>
              <w:pStyle w:val="2"/>
              <w:rPr>
                <w:rFonts w:eastAsiaTheme="minorEastAsia"/>
                <w:color w:val="auto"/>
                <w:highlight w:val="none"/>
              </w:rPr>
            </w:pPr>
            <w:r>
              <w:rPr>
                <w:rFonts w:hint="eastAsia" w:eastAsiaTheme="minorEastAsia"/>
                <w:color w:val="auto"/>
                <w:highlight w:val="none"/>
              </w:rPr>
              <w:t>（</w:t>
            </w:r>
            <w:r>
              <w:rPr>
                <w:rFonts w:eastAsiaTheme="minorEastAsia"/>
                <w:color w:val="auto"/>
                <w:highlight w:val="none"/>
              </w:rPr>
              <w:t xml:space="preserve"> 10 </w:t>
            </w:r>
            <w:r>
              <w:rPr>
                <w:rFonts w:hint="eastAsia" w:eastAsiaTheme="minorEastAsia"/>
                <w:color w:val="auto"/>
                <w:highlight w:val="none"/>
              </w:rPr>
              <w:t>分）</w:t>
            </w:r>
          </w:p>
        </w:tc>
        <w:tc>
          <w:tcPr>
            <w:tcW w:w="2035" w:type="dxa"/>
            <w:shd w:val="clear" w:color="auto" w:fill="auto"/>
            <w:vAlign w:val="center"/>
          </w:tcPr>
          <w:p w14:paraId="40496A9C">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p>
          <w:p w14:paraId="7A519443">
            <w:pPr>
              <w:pStyle w:val="50"/>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投标报价评审</w:t>
            </w:r>
          </w:p>
          <w:p w14:paraId="7047BB1C">
            <w:pPr>
              <w:pStyle w:val="50"/>
              <w:overflowPunct w:val="0"/>
              <w:snapToGrid w:val="0"/>
              <w:spacing w:line="360" w:lineRule="auto"/>
              <w:ind w:left="210" w:leftChars="100" w:right="210" w:rightChars="100"/>
              <w:jc w:val="center"/>
              <w:rPr>
                <w:rFonts w:ascii="宋体" w:hAnsi="宋体" w:eastAsia="宋体" w:cs="Times New Roman"/>
                <w:color w:val="auto"/>
                <w:kern w:val="2"/>
                <w:sz w:val="21"/>
                <w:szCs w:val="21"/>
                <w:highlight w:val="none"/>
                <w:lang w:val="zh-CN" w:eastAsia="zh-CN" w:bidi="ar-SA"/>
              </w:rPr>
            </w:pPr>
            <w:r>
              <w:rPr>
                <w:rFonts w:hint="eastAsia" w:ascii="宋体" w:hAnsi="宋体" w:eastAsia="宋体"/>
                <w:color w:val="auto"/>
                <w:szCs w:val="21"/>
                <w:highlight w:val="none"/>
                <w:lang w:val="zh-CN"/>
              </w:rPr>
              <w:t>（ 10 分）</w:t>
            </w:r>
          </w:p>
        </w:tc>
        <w:tc>
          <w:tcPr>
            <w:tcW w:w="5367" w:type="dxa"/>
            <w:shd w:val="clear" w:color="auto" w:fill="auto"/>
            <w:vAlign w:val="center"/>
          </w:tcPr>
          <w:p w14:paraId="6383736A">
            <w:pPr>
              <w:pStyle w:val="50"/>
              <w:overflowPunct w:val="0"/>
              <w:snapToGrid w:val="0"/>
              <w:spacing w:line="360" w:lineRule="auto"/>
              <w:ind w:left="0" w:leftChars="0" w:right="210" w:rightChars="100" w:firstLine="210" w:firstLineChars="100"/>
              <w:rPr>
                <w:rFonts w:ascii="宋体" w:hAnsi="宋体" w:eastAsia="宋体" w:cs="Times New Roman"/>
                <w:color w:val="auto"/>
                <w:kern w:val="2"/>
                <w:sz w:val="21"/>
                <w:szCs w:val="21"/>
                <w:highlight w:val="none"/>
                <w:lang w:val="zh-CN" w:eastAsia="zh-CN" w:bidi="ar-SA"/>
              </w:rPr>
            </w:pPr>
            <w:r>
              <w:rPr>
                <w:rFonts w:ascii="宋体" w:hAnsi="宋体" w:eastAsia="宋体"/>
                <w:color w:val="auto"/>
                <w:szCs w:val="21"/>
                <w:highlight w:val="none"/>
                <w:lang w:val="zh-CN"/>
              </w:rPr>
              <w:t>投标人的投标报价等于评标基准价的得10分，投标报价比评标基准价每高1%扣</w:t>
            </w:r>
            <w:r>
              <w:rPr>
                <w:rFonts w:hint="eastAsia" w:ascii="宋体" w:hAnsi="宋体" w:eastAsia="宋体"/>
                <w:color w:val="auto"/>
                <w:szCs w:val="21"/>
                <w:highlight w:val="none"/>
                <w:lang w:val="zh-CN"/>
              </w:rPr>
              <w:t>0.</w:t>
            </w:r>
            <w:r>
              <w:rPr>
                <w:rFonts w:ascii="宋体" w:hAnsi="宋体" w:eastAsia="宋体"/>
                <w:color w:val="auto"/>
                <w:szCs w:val="21"/>
                <w:highlight w:val="none"/>
                <w:lang w:val="zh-CN"/>
              </w:rPr>
              <w:t xml:space="preserve">2分；每低1%扣 </w:t>
            </w:r>
            <w:r>
              <w:rPr>
                <w:rFonts w:hint="eastAsia" w:ascii="宋体" w:hAnsi="宋体" w:eastAsia="宋体"/>
                <w:color w:val="auto"/>
                <w:szCs w:val="21"/>
                <w:highlight w:val="none"/>
                <w:lang w:val="zh-CN"/>
              </w:rPr>
              <w:t>0.</w:t>
            </w:r>
            <w:r>
              <w:rPr>
                <w:rFonts w:ascii="宋体" w:hAnsi="宋体" w:eastAsia="宋体"/>
                <w:color w:val="auto"/>
                <w:szCs w:val="21"/>
                <w:highlight w:val="none"/>
                <w:lang w:val="zh-CN"/>
              </w:rPr>
              <w:t>1 分，扣至0分为止。</w:t>
            </w:r>
          </w:p>
        </w:tc>
      </w:tr>
      <w:tr w14:paraId="0D748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Align w:val="center"/>
          </w:tcPr>
          <w:p w14:paraId="2F18B582">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2.2.4</w:t>
            </w:r>
          </w:p>
          <w:p w14:paraId="231C9189">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(4)</w:t>
            </w:r>
          </w:p>
        </w:tc>
        <w:tc>
          <w:tcPr>
            <w:tcW w:w="1124" w:type="dxa"/>
            <w:vAlign w:val="center"/>
          </w:tcPr>
          <w:p w14:paraId="4F4D6685">
            <w:pPr>
              <w:jc w:val="center"/>
              <w:rPr>
                <w:rFonts w:ascii="宋体" w:hAnsi="宋体" w:eastAsia="宋体" w:cs="宋体"/>
                <w:color w:val="auto"/>
                <w:highlight w:val="none"/>
              </w:rPr>
            </w:pPr>
            <w:r>
              <w:rPr>
                <w:rFonts w:ascii="宋体" w:hAnsi="宋体" w:eastAsia="宋体" w:cs="宋体"/>
                <w:color w:val="auto"/>
                <w:highlight w:val="none"/>
              </w:rPr>
              <w:t>其他因素</w:t>
            </w:r>
          </w:p>
          <w:p w14:paraId="716A6D91">
            <w:pPr>
              <w:jc w:val="center"/>
              <w:rPr>
                <w:color w:val="auto"/>
                <w:highlight w:val="none"/>
              </w:rPr>
            </w:pPr>
            <w:r>
              <w:rPr>
                <w:rFonts w:ascii="宋体" w:hAnsi="宋体" w:eastAsia="宋体" w:cs="宋体"/>
                <w:color w:val="auto"/>
                <w:highlight w:val="none"/>
              </w:rPr>
              <w:t>评分标准</w:t>
            </w:r>
          </w:p>
        </w:tc>
        <w:tc>
          <w:tcPr>
            <w:tcW w:w="2035" w:type="dxa"/>
            <w:vAlign w:val="center"/>
          </w:tcPr>
          <w:p w14:paraId="02BDF3F8">
            <w:pPr>
              <w:spacing w:line="360" w:lineRule="auto"/>
              <w:jc w:val="center"/>
              <w:rPr>
                <w:rFonts w:eastAsia="宋体"/>
                <w:color w:val="auto"/>
                <w:highlight w:val="none"/>
              </w:rPr>
            </w:pPr>
            <w:r>
              <w:rPr>
                <w:rFonts w:hint="eastAsia" w:eastAsia="宋体"/>
                <w:color w:val="auto"/>
                <w:highlight w:val="none"/>
              </w:rPr>
              <w:t>/</w:t>
            </w:r>
          </w:p>
        </w:tc>
        <w:tc>
          <w:tcPr>
            <w:tcW w:w="5367" w:type="dxa"/>
            <w:vAlign w:val="center"/>
          </w:tcPr>
          <w:p w14:paraId="68C736B2">
            <w:pPr>
              <w:spacing w:line="360" w:lineRule="auto"/>
              <w:jc w:val="center"/>
              <w:rPr>
                <w:rFonts w:eastAsia="宋体"/>
                <w:color w:val="auto"/>
                <w:highlight w:val="none"/>
              </w:rPr>
            </w:pPr>
            <w:r>
              <w:rPr>
                <w:rFonts w:hint="eastAsia" w:eastAsia="宋体"/>
                <w:color w:val="auto"/>
                <w:highlight w:val="none"/>
              </w:rPr>
              <w:t>/</w:t>
            </w:r>
          </w:p>
        </w:tc>
      </w:tr>
    </w:tbl>
    <w:p w14:paraId="63175C83">
      <w:pPr>
        <w:rPr>
          <w:vanish/>
          <w:color w:val="auto"/>
          <w:highlight w:val="none"/>
        </w:rPr>
      </w:pPr>
    </w:p>
    <w:p w14:paraId="2A970FD6">
      <w:pPr>
        <w:rPr>
          <w:vanish/>
          <w:color w:val="auto"/>
          <w:highlight w:val="none"/>
        </w:rPr>
      </w:pPr>
    </w:p>
    <w:p w14:paraId="6B4E1B6E">
      <w:pPr>
        <w:pStyle w:val="52"/>
        <w:ind w:firstLine="0" w:firstLineChars="0"/>
        <w:rPr>
          <w:color w:val="auto"/>
          <w:highlight w:val="none"/>
        </w:rPr>
        <w:sectPr>
          <w:footerReference r:id="rId14" w:type="default"/>
          <w:pgSz w:w="12240" w:h="15840"/>
          <w:pgMar w:top="1346" w:right="1360" w:bottom="1104" w:left="1689" w:header="0" w:footer="940" w:gutter="0"/>
          <w:cols w:space="720" w:num="1"/>
        </w:sectPr>
      </w:pPr>
    </w:p>
    <w:p w14:paraId="27A90656">
      <w:pPr>
        <w:pStyle w:val="52"/>
        <w:ind w:firstLine="0" w:firstLineChars="0"/>
        <w:rPr>
          <w:color w:val="auto"/>
          <w:highlight w:val="none"/>
        </w:rPr>
      </w:pPr>
    </w:p>
    <w:p w14:paraId="4DB01CFA">
      <w:pPr>
        <w:spacing w:line="360" w:lineRule="auto"/>
        <w:ind w:firstLine="560" w:firstLineChars="200"/>
        <w:jc w:val="center"/>
        <w:rPr>
          <w:rFonts w:ascii="黑体" w:hAnsi="黑体" w:eastAsia="黑体"/>
          <w:color w:val="auto"/>
          <w:sz w:val="28"/>
          <w:szCs w:val="27"/>
          <w:highlight w:val="none"/>
        </w:rPr>
      </w:pPr>
      <w:r>
        <w:rPr>
          <w:rFonts w:hint="eastAsia" w:ascii="黑体" w:hAnsi="黑体" w:eastAsia="黑体"/>
          <w:color w:val="auto"/>
          <w:sz w:val="28"/>
          <w:szCs w:val="27"/>
          <w:highlight w:val="none"/>
        </w:rPr>
        <w:t>评标办法修改表</w:t>
      </w:r>
    </w:p>
    <w:p w14:paraId="089360D2">
      <w:pPr>
        <w:pStyle w:val="44"/>
        <w:spacing w:after="0" w:line="360" w:lineRule="auto"/>
        <w:rPr>
          <w:rFonts w:ascii="宋体" w:hAnsi="宋体" w:eastAsia="宋体"/>
          <w:color w:val="auto"/>
          <w:sz w:val="24"/>
          <w:szCs w:val="24"/>
          <w:highlight w:val="none"/>
        </w:rPr>
      </w:pPr>
      <w:r>
        <w:rPr>
          <w:rFonts w:hint="eastAsia" w:ascii="宋体" w:hAnsi="宋体" w:eastAsia="宋体"/>
          <w:color w:val="auto"/>
          <w:sz w:val="24"/>
          <w:highlight w:val="none"/>
        </w:rPr>
        <w:t>声明：本评标办法使用</w:t>
      </w:r>
      <w:r>
        <w:rPr>
          <w:rFonts w:hint="eastAsia" w:ascii="仿宋_GB2312" w:hAnsi="宋体" w:eastAsia="仿宋_GB2312"/>
          <w:color w:val="auto"/>
          <w:sz w:val="24"/>
          <w:szCs w:val="24"/>
          <w:highlight w:val="none"/>
        </w:rPr>
        <w:t>SWZB2024-11</w:t>
      </w:r>
      <w:r>
        <w:rPr>
          <w:rFonts w:hint="eastAsia" w:ascii="宋体" w:hAnsi="宋体" w:eastAsia="宋体"/>
          <w:color w:val="auto"/>
          <w:sz w:val="24"/>
          <w:szCs w:val="24"/>
          <w:highlight w:val="none"/>
        </w:rPr>
        <w:t>招标文件范本的评标办法条款，与该条款不同之处，均在本表中列明，并以现文为准，原文不再有效。</w:t>
      </w:r>
    </w:p>
    <w:p w14:paraId="602B6011">
      <w:pPr>
        <w:spacing w:line="480" w:lineRule="auto"/>
        <w:ind w:firstLine="540" w:firstLineChars="224"/>
        <w:rPr>
          <w:rFonts w:ascii="宋体" w:hAnsi="宋体" w:eastAsia="宋体"/>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评标办法</w:t>
      </w:r>
      <w:r>
        <w:rPr>
          <w:rFonts w:ascii="宋体" w:hAnsi="宋体" w:eastAsia="宋体"/>
          <w:color w:val="auto"/>
          <w:sz w:val="24"/>
          <w:szCs w:val="24"/>
          <w:highlight w:val="none"/>
        </w:rPr>
        <w:t>(</w:t>
      </w:r>
      <w:r>
        <w:rPr>
          <w:rFonts w:hint="eastAsia" w:ascii="宋体" w:hAnsi="宋体" w:eastAsia="宋体"/>
          <w:color w:val="auto"/>
          <w:sz w:val="24"/>
          <w:szCs w:val="24"/>
          <w:highlight w:val="none"/>
        </w:rPr>
        <w:t>综合评估法</w:t>
      </w:r>
      <w:r>
        <w:rPr>
          <w:rFonts w:ascii="宋体" w:hAnsi="宋体" w:eastAsia="宋体"/>
          <w:color w:val="auto"/>
          <w:sz w:val="24"/>
          <w:szCs w:val="24"/>
          <w:highlight w:val="none"/>
        </w:rPr>
        <w:t>)</w:t>
      </w:r>
      <w:r>
        <w:rPr>
          <w:rFonts w:hint="eastAsia" w:ascii="宋体" w:hAnsi="宋体" w:eastAsia="宋体"/>
          <w:color w:val="auto"/>
          <w:sz w:val="24"/>
          <w:szCs w:val="24"/>
          <w:highlight w:val="none"/>
        </w:rPr>
        <w:t>（暗标形式）</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修改类型：删除</w:t>
      </w:r>
    </w:p>
    <w:p w14:paraId="073E627D">
      <w:pPr>
        <w:spacing w:line="480" w:lineRule="auto"/>
        <w:ind w:firstLine="538" w:firstLineChars="224"/>
        <w:rPr>
          <w:rFonts w:ascii="宋体" w:hAnsi="宋体"/>
          <w:b/>
          <w:bCs/>
          <w:color w:val="auto"/>
          <w:sz w:val="24"/>
          <w:highlight w:val="none"/>
        </w:rPr>
      </w:pPr>
      <w:r>
        <w:rPr>
          <w:rFonts w:hint="eastAsia" w:ascii="宋体" w:hAnsi="宋体"/>
          <w:b/>
          <w:bCs/>
          <w:color w:val="auto"/>
          <w:sz w:val="24"/>
          <w:highlight w:val="none"/>
        </w:rPr>
        <w:t>条款号</w:t>
      </w:r>
      <w:r>
        <w:rPr>
          <w:rFonts w:hint="eastAsia" w:ascii="宋体" w:hAnsi="宋体"/>
          <w:color w:val="auto"/>
          <w:sz w:val="24"/>
          <w:highlight w:val="none"/>
        </w:rPr>
        <w:t>：</w:t>
      </w:r>
      <w:r>
        <w:rPr>
          <w:rFonts w:hint="eastAsia" w:ascii="宋体" w:hAnsi="宋体" w:eastAsia="宋体"/>
          <w:color w:val="auto"/>
          <w:sz w:val="24"/>
          <w:highlight w:val="none"/>
        </w:rPr>
        <w:t>3.2.1</w:t>
      </w:r>
      <w:r>
        <w:rPr>
          <w:rFonts w:hint="eastAsia" w:ascii="宋体" w:hAnsi="宋体"/>
          <w:color w:val="auto"/>
          <w:sz w:val="24"/>
          <w:highlight w:val="none"/>
        </w:rPr>
        <w:t xml:space="preserve">             </w:t>
      </w:r>
      <w:r>
        <w:rPr>
          <w:rFonts w:hint="eastAsia" w:ascii="宋体" w:hAnsi="宋体"/>
          <w:b/>
          <w:bCs/>
          <w:color w:val="auto"/>
          <w:sz w:val="24"/>
          <w:highlight w:val="none"/>
        </w:rPr>
        <w:t>修改类型：修改</w:t>
      </w:r>
    </w:p>
    <w:p w14:paraId="5733DACB">
      <w:pPr>
        <w:tabs>
          <w:tab w:val="left" w:pos="532"/>
        </w:tabs>
        <w:spacing w:before="69" w:line="352" w:lineRule="auto"/>
        <w:ind w:left="428" w:hanging="5"/>
        <w:rPr>
          <w:rFonts w:ascii="宋体" w:hAnsi="宋体"/>
          <w:b/>
          <w:bCs/>
          <w:color w:val="auto"/>
          <w:sz w:val="24"/>
          <w:highlight w:val="none"/>
        </w:rPr>
      </w:pPr>
      <w:r>
        <w:rPr>
          <w:rFonts w:hint="eastAsia" w:ascii="宋体" w:hAnsi="宋体"/>
          <w:b/>
          <w:bCs/>
          <w:color w:val="auto"/>
          <w:sz w:val="24"/>
          <w:highlight w:val="none"/>
        </w:rPr>
        <w:t>原文</w:t>
      </w:r>
      <w:r>
        <w:rPr>
          <w:rFonts w:hint="eastAsia" w:ascii="宋体" w:hAnsi="宋体"/>
          <w:color w:val="auto"/>
          <w:sz w:val="24"/>
          <w:highlight w:val="none"/>
        </w:rPr>
        <w:t>：</w:t>
      </w:r>
      <w:r>
        <w:rPr>
          <w:rFonts w:ascii="宋体" w:hAnsi="宋体" w:eastAsia="宋体"/>
          <w:color w:val="auto"/>
          <w:spacing w:val="4"/>
          <w:highlight w:val="none"/>
        </w:rPr>
        <w:t>(</w:t>
      </w:r>
      <w:r>
        <w:rPr>
          <w:rFonts w:ascii="Times New Roman" w:hAnsi="Times New Roman" w:eastAsia="Times New Roman"/>
          <w:color w:val="auto"/>
          <w:spacing w:val="4"/>
          <w:highlight w:val="none"/>
        </w:rPr>
        <w:t>1</w:t>
      </w:r>
      <w:r>
        <w:rPr>
          <w:rFonts w:ascii="宋体" w:hAnsi="宋体" w:eastAsia="宋体"/>
          <w:color w:val="auto"/>
          <w:spacing w:val="3"/>
          <w:highlight w:val="none"/>
        </w:rPr>
        <w:t>)</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1</w:t>
      </w:r>
      <w:r>
        <w:rPr>
          <w:rFonts w:ascii="宋体" w:hAnsi="宋体" w:eastAsia="宋体"/>
          <w:color w:val="auto"/>
          <w:spacing w:val="2"/>
          <w:highlight w:val="none"/>
        </w:rPr>
        <w:t>)目规定的评审因素和分值对资信业绩部分计算出得分</w:t>
      </w:r>
      <w:r>
        <w:rPr>
          <w:rFonts w:ascii="Times New Roman" w:hAnsi="Times New Roman" w:eastAsia="Times New Roman"/>
          <w:color w:val="auto"/>
          <w:highlight w:val="none"/>
        </w:rPr>
        <w:t>A</w:t>
      </w:r>
      <w:r>
        <w:rPr>
          <w:rFonts w:hint="eastAsia" w:ascii="Times New Roman" w:hAnsi="Times New Roman" w:eastAsia="宋体"/>
          <w:color w:val="auto"/>
          <w:highlight w:val="none"/>
        </w:rPr>
        <w:t>，</w:t>
      </w:r>
      <w:r>
        <w:rPr>
          <w:color w:val="auto"/>
          <w:highlight w:val="none"/>
          <w:u w:val="single"/>
        </w:rPr>
        <w:t>资信业绩部分评审得分A为各评标专家打分的算术平均值</w:t>
      </w:r>
      <w:r>
        <w:rPr>
          <w:rFonts w:ascii="宋体" w:hAnsi="宋体" w:eastAsia="宋体"/>
          <w:color w:val="auto"/>
          <w:spacing w:val="2"/>
          <w:highlight w:val="none"/>
        </w:rPr>
        <w:t>；</w:t>
      </w:r>
    </w:p>
    <w:p w14:paraId="638A8CE4">
      <w:pPr>
        <w:tabs>
          <w:tab w:val="left" w:pos="532"/>
        </w:tabs>
        <w:spacing w:before="69" w:line="352" w:lineRule="auto"/>
        <w:ind w:left="428" w:hanging="5"/>
        <w:rPr>
          <w:rFonts w:ascii="宋体" w:hAnsi="宋体" w:eastAsia="宋体"/>
          <w:color w:val="auto"/>
          <w:spacing w:val="2"/>
          <w:highlight w:val="none"/>
        </w:rPr>
      </w:pP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)目规定</w:t>
      </w:r>
      <w:r>
        <w:rPr>
          <w:rFonts w:ascii="宋体" w:hAnsi="宋体" w:eastAsia="宋体"/>
          <w:color w:val="auto"/>
          <w:spacing w:val="1"/>
          <w:highlight w:val="none"/>
        </w:rPr>
        <w:t>的评审因素和分值对</w:t>
      </w:r>
      <w:r>
        <w:rPr>
          <w:rFonts w:hint="eastAsia" w:ascii="宋体" w:hAnsi="宋体" w:eastAsia="宋体"/>
          <w:color w:val="auto"/>
          <w:spacing w:val="1"/>
          <w:highlight w:val="none"/>
        </w:rPr>
        <w:t>勘察</w:t>
      </w:r>
      <w:r>
        <w:rPr>
          <w:rFonts w:ascii="宋体" w:hAnsi="宋体" w:eastAsia="宋体"/>
          <w:color w:val="auto"/>
          <w:spacing w:val="1"/>
          <w:highlight w:val="none"/>
        </w:rPr>
        <w:t>设计方案部分计算出得分</w:t>
      </w:r>
      <w:r>
        <w:rPr>
          <w:rFonts w:ascii="Times New Roman" w:hAnsi="Times New Roman" w:eastAsia="Times New Roman"/>
          <w:color w:val="auto"/>
          <w:highlight w:val="none"/>
        </w:rPr>
        <w:t>B</w:t>
      </w:r>
      <w:r>
        <w:rPr>
          <w:color w:val="auto"/>
          <w:highlight w:val="none"/>
        </w:rPr>
        <w:t>，</w:t>
      </w:r>
      <w:r>
        <w:rPr>
          <w:color w:val="auto"/>
          <w:highlight w:val="none"/>
          <w:u w:val="single"/>
        </w:rPr>
        <w:fldChar w:fldCharType="begin"/>
      </w:r>
      <w:r>
        <w:rPr>
          <w:color w:val="auto"/>
          <w:highlight w:val="none"/>
          <w:u w:val="single"/>
        </w:rPr>
        <w:instrText xml:space="preserve"> = 1 \* GB3 \* MERGEFORMAT </w:instrText>
      </w:r>
      <w:r>
        <w:rPr>
          <w:color w:val="auto"/>
          <w:highlight w:val="none"/>
          <w:u w:val="single"/>
        </w:rPr>
        <w:fldChar w:fldCharType="separate"/>
      </w:r>
      <w:r>
        <w:rPr>
          <w:color w:val="auto"/>
          <w:highlight w:val="none"/>
          <w:u w:val="single"/>
        </w:rPr>
        <w:t>①</w:t>
      </w:r>
      <w:r>
        <w:rPr>
          <w:color w:val="auto"/>
          <w:highlight w:val="none"/>
          <w:u w:val="single"/>
        </w:rPr>
        <w:fldChar w:fldCharType="end"/>
      </w:r>
      <w:r>
        <w:rPr>
          <w:rFonts w:hint="eastAsia"/>
          <w:color w:val="auto"/>
          <w:highlight w:val="none"/>
          <w:u w:val="single"/>
        </w:rPr>
        <w:t>勘察设计方案</w:t>
      </w:r>
      <w:r>
        <w:rPr>
          <w:color w:val="auto"/>
          <w:highlight w:val="none"/>
          <w:u w:val="single"/>
        </w:rPr>
        <w:t>部分评审得分</w:t>
      </w:r>
      <w:r>
        <w:rPr>
          <w:color w:val="auto"/>
          <w:highlight w:val="none"/>
        </w:rPr>
        <w:t>B</w:t>
      </w:r>
      <w:r>
        <w:rPr>
          <w:color w:val="auto"/>
          <w:highlight w:val="none"/>
          <w:u w:val="single"/>
        </w:rPr>
        <w:t>为从各评标专家打分中去掉一个最高分和去掉一个最低分后的剩余评标专家打分的算术平均值或</w:t>
      </w:r>
      <w:r>
        <w:rPr>
          <w:color w:val="auto"/>
          <w:highlight w:val="none"/>
          <w:u w:val="single"/>
        </w:rPr>
        <w:fldChar w:fldCharType="begin"/>
      </w:r>
      <w:r>
        <w:rPr>
          <w:color w:val="auto"/>
          <w:highlight w:val="none"/>
          <w:u w:val="single"/>
        </w:rPr>
        <w:instrText xml:space="preserve"> = 2 \* GB3 \* MERGEFORMAT </w:instrText>
      </w:r>
      <w:r>
        <w:rPr>
          <w:color w:val="auto"/>
          <w:highlight w:val="none"/>
          <w:u w:val="single"/>
        </w:rPr>
        <w:fldChar w:fldCharType="separate"/>
      </w:r>
      <w:r>
        <w:rPr>
          <w:color w:val="auto"/>
          <w:highlight w:val="none"/>
          <w:u w:val="single"/>
        </w:rPr>
        <w:t>②</w:t>
      </w:r>
      <w:r>
        <w:rPr>
          <w:color w:val="auto"/>
          <w:highlight w:val="none"/>
          <w:u w:val="single"/>
        </w:rPr>
        <w:fldChar w:fldCharType="end"/>
      </w:r>
      <w:r>
        <w:rPr>
          <w:rFonts w:hint="eastAsia"/>
          <w:color w:val="auto"/>
          <w:highlight w:val="none"/>
          <w:u w:val="single"/>
        </w:rPr>
        <w:t>勘察设计方案</w:t>
      </w:r>
      <w:r>
        <w:rPr>
          <w:color w:val="auto"/>
          <w:highlight w:val="none"/>
          <w:u w:val="single"/>
        </w:rPr>
        <w:t>部分评审得分</w:t>
      </w:r>
      <w:r>
        <w:rPr>
          <w:color w:val="auto"/>
          <w:highlight w:val="none"/>
        </w:rPr>
        <w:t>B</w:t>
      </w:r>
      <w:r>
        <w:rPr>
          <w:color w:val="auto"/>
          <w:highlight w:val="none"/>
          <w:u w:val="single"/>
        </w:rPr>
        <w:t>为各评标专家打分的算术平均值</w:t>
      </w:r>
      <w:r>
        <w:rPr>
          <w:i/>
          <w:iCs/>
          <w:color w:val="auto"/>
          <w:highlight w:val="none"/>
          <w:u w:val="single"/>
        </w:rPr>
        <w:t>（二选一，招标人自行选择）</w:t>
      </w:r>
      <w:r>
        <w:rPr>
          <w:rFonts w:ascii="Times New Roman" w:hAnsi="Times New Roman" w:eastAsia="Times New Roman"/>
          <w:color w:val="auto"/>
          <w:spacing w:val="1"/>
          <w:highlight w:val="none"/>
        </w:rPr>
        <w:t xml:space="preserve"> </w:t>
      </w:r>
      <w:r>
        <w:rPr>
          <w:rFonts w:ascii="宋体" w:hAnsi="宋体" w:eastAsia="宋体"/>
          <w:color w:val="auto"/>
          <w:spacing w:val="1"/>
          <w:highlight w:val="none"/>
        </w:rPr>
        <w:t>；</w:t>
      </w:r>
    </w:p>
    <w:p w14:paraId="20F6D4DA">
      <w:pPr>
        <w:tabs>
          <w:tab w:val="left" w:pos="532"/>
        </w:tabs>
        <w:spacing w:before="69" w:line="352" w:lineRule="auto"/>
        <w:ind w:left="428" w:hanging="5"/>
        <w:rPr>
          <w:rFonts w:ascii="宋体" w:hAnsi="宋体" w:eastAsia="宋体"/>
          <w:color w:val="auto"/>
          <w:spacing w:val="4"/>
          <w:highlight w:val="none"/>
        </w:rPr>
      </w:pPr>
      <w:r>
        <w:rPr>
          <w:rFonts w:ascii="宋体" w:hAnsi="宋体" w:eastAsia="宋体"/>
          <w:color w:val="auto"/>
          <w:spacing w:val="4"/>
          <w:highlight w:val="none"/>
        </w:rPr>
        <w:t>(</w:t>
      </w:r>
      <w:r>
        <w:rPr>
          <w:rFonts w:ascii="Times New Roman" w:hAnsi="Times New Roman" w:eastAsia="Times New Roman"/>
          <w:color w:val="auto"/>
          <w:spacing w:val="4"/>
          <w:highlight w:val="none"/>
        </w:rPr>
        <w:t>3</w:t>
      </w:r>
      <w:r>
        <w:rPr>
          <w:rFonts w:ascii="宋体" w:hAnsi="宋体" w:eastAsia="宋体"/>
          <w:color w:val="auto"/>
          <w:spacing w:val="4"/>
          <w:highlight w:val="none"/>
        </w:rPr>
        <w:t>)按</w:t>
      </w:r>
      <w:r>
        <w:rPr>
          <w:rFonts w:ascii="宋体" w:hAnsi="宋体" w:eastAsia="宋体"/>
          <w:color w:val="auto"/>
          <w:spacing w:val="3"/>
          <w:highlight w:val="none"/>
        </w:rPr>
        <w:t>本</w:t>
      </w:r>
      <w:r>
        <w:rPr>
          <w:rFonts w:ascii="宋体" w:hAnsi="宋体" w:eastAsia="宋体"/>
          <w:color w:val="auto"/>
          <w:spacing w:val="2"/>
          <w:highlight w:val="none"/>
        </w:rPr>
        <w:t xml:space="preserve">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3</w:t>
      </w:r>
      <w:r>
        <w:rPr>
          <w:rFonts w:ascii="宋体" w:hAnsi="宋体" w:eastAsia="宋体"/>
          <w:color w:val="auto"/>
          <w:spacing w:val="2"/>
          <w:highlight w:val="none"/>
        </w:rPr>
        <w:t>)目规定的评审因素和分值对投标报价计算出得分</w:t>
      </w:r>
      <w:r>
        <w:rPr>
          <w:rFonts w:ascii="Times New Roman" w:hAnsi="Times New Roman" w:eastAsia="Times New Roman"/>
          <w:color w:val="auto"/>
          <w:highlight w:val="none"/>
        </w:rPr>
        <w:t>C</w:t>
      </w:r>
      <w:r>
        <w:rPr>
          <w:rFonts w:ascii="宋体" w:hAnsi="宋体" w:eastAsia="宋体"/>
          <w:color w:val="auto"/>
          <w:spacing w:val="2"/>
          <w:highlight w:val="none"/>
        </w:rPr>
        <w:t>；</w:t>
      </w:r>
      <w:r>
        <w:rPr>
          <w:rFonts w:ascii="宋体" w:hAnsi="宋体" w:eastAsia="宋体"/>
          <w:color w:val="auto"/>
          <w:highlight w:val="none"/>
        </w:rPr>
        <w:t xml:space="preserve">           </w:t>
      </w:r>
    </w:p>
    <w:p w14:paraId="7EFD8849">
      <w:pPr>
        <w:tabs>
          <w:tab w:val="left" w:pos="532"/>
        </w:tabs>
        <w:spacing w:before="69" w:line="352" w:lineRule="auto"/>
        <w:ind w:left="428" w:hanging="5"/>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)按本章第</w:t>
      </w:r>
      <w:r>
        <w:rPr>
          <w:rFonts w:ascii="宋体" w:hAnsi="宋体" w:eastAsia="宋体"/>
          <w:color w:val="auto"/>
          <w:spacing w:val="7"/>
          <w:highlight w:val="none"/>
        </w:rPr>
        <w:t xml:space="preserve"> </w:t>
      </w:r>
      <w:r>
        <w:rPr>
          <w:rFonts w:ascii="Times New Roman" w:hAnsi="Times New Roman" w:eastAsia="Times New Roman"/>
          <w:color w:val="auto"/>
          <w:spacing w:val="4"/>
          <w:highlight w:val="none"/>
        </w:rPr>
        <w:t xml:space="preserve">2.2.4  </w:t>
      </w:r>
      <w:r>
        <w:rPr>
          <w:rFonts w:ascii="宋体" w:hAnsi="宋体" w:eastAsia="宋体"/>
          <w:color w:val="auto"/>
          <w:spacing w:val="4"/>
          <w:highlight w:val="none"/>
        </w:rPr>
        <w:t>(</w:t>
      </w:r>
      <w:r>
        <w:rPr>
          <w:rFonts w:ascii="Times New Roman" w:hAnsi="Times New Roman" w:eastAsia="Times New Roman"/>
          <w:color w:val="auto"/>
          <w:spacing w:val="4"/>
          <w:highlight w:val="none"/>
        </w:rPr>
        <w:t>4</w:t>
      </w:r>
      <w:r>
        <w:rPr>
          <w:rFonts w:ascii="宋体" w:hAnsi="宋体" w:eastAsia="宋体"/>
          <w:color w:val="auto"/>
          <w:spacing w:val="4"/>
          <w:highlight w:val="none"/>
        </w:rPr>
        <w:t>)目规定的评审因素和分值对其他部分计算出得分</w:t>
      </w:r>
      <w:r>
        <w:rPr>
          <w:rFonts w:ascii="Times New Roman" w:hAnsi="Times New Roman" w:eastAsia="Times New Roman"/>
          <w:color w:val="auto"/>
          <w:highlight w:val="none"/>
        </w:rPr>
        <w:t>D</w:t>
      </w:r>
      <w:r>
        <w:rPr>
          <w:rFonts w:ascii="宋体" w:hAnsi="宋体" w:eastAsia="宋体"/>
          <w:color w:val="auto"/>
          <w:spacing w:val="4"/>
          <w:highlight w:val="none"/>
        </w:rPr>
        <w:t>。</w:t>
      </w:r>
    </w:p>
    <w:p w14:paraId="17867817">
      <w:pPr>
        <w:spacing w:before="1"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3.2.2  </w:t>
      </w:r>
      <w:r>
        <w:rPr>
          <w:rFonts w:ascii="宋体" w:hAnsi="宋体" w:eastAsia="宋体"/>
          <w:color w:val="auto"/>
          <w:spacing w:val="-1"/>
          <w:highlight w:val="none"/>
        </w:rPr>
        <w:t>评分</w:t>
      </w:r>
      <w:r>
        <w:rPr>
          <w:rFonts w:ascii="宋体" w:hAnsi="宋体" w:eastAsia="宋体"/>
          <w:color w:val="auto"/>
          <w:highlight w:val="none"/>
        </w:rPr>
        <w:t>分值计算保留小数点后两位，小数点后第三位</w:t>
      </w:r>
      <w:r>
        <w:rPr>
          <w:rFonts w:ascii="Times New Roman" w:hAnsi="Times New Roman" w:eastAsia="Times New Roman"/>
          <w:color w:val="auto"/>
          <w:highlight w:val="none"/>
        </w:rPr>
        <w:t>“</w:t>
      </w:r>
      <w:r>
        <w:rPr>
          <w:rFonts w:ascii="宋体" w:hAnsi="宋体" w:eastAsia="宋体"/>
          <w:color w:val="auto"/>
          <w:highlight w:val="none"/>
        </w:rPr>
        <w:t>四舍五入</w:t>
      </w:r>
      <w:r>
        <w:rPr>
          <w:rFonts w:ascii="Times New Roman" w:hAnsi="Times New Roman" w:eastAsia="Times New Roman"/>
          <w:color w:val="auto"/>
          <w:highlight w:val="none"/>
        </w:rPr>
        <w:t>”</w:t>
      </w:r>
      <w:r>
        <w:rPr>
          <w:rFonts w:ascii="宋体" w:hAnsi="宋体" w:eastAsia="宋体"/>
          <w:color w:val="auto"/>
          <w:highlight w:val="none"/>
        </w:rPr>
        <w:t>。</w:t>
      </w:r>
    </w:p>
    <w:p w14:paraId="02B4C0E3">
      <w:pPr>
        <w:spacing w:before="150"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3.2.3  </w:t>
      </w:r>
      <w:r>
        <w:rPr>
          <w:rFonts w:ascii="宋体" w:hAnsi="宋体" w:eastAsia="宋体"/>
          <w:color w:val="auto"/>
          <w:spacing w:val="-1"/>
          <w:highlight w:val="none"/>
        </w:rPr>
        <w:t>投标</w:t>
      </w:r>
      <w:r>
        <w:rPr>
          <w:rFonts w:ascii="宋体" w:hAnsi="宋体" w:eastAsia="宋体"/>
          <w:color w:val="auto"/>
          <w:highlight w:val="none"/>
        </w:rPr>
        <w:t>人得分</w:t>
      </w:r>
      <w:r>
        <w:rPr>
          <w:rFonts w:ascii="Times New Roman" w:hAnsi="Times New Roman" w:eastAsia="Times New Roman"/>
          <w:color w:val="auto"/>
          <w:highlight w:val="none"/>
        </w:rPr>
        <w:t>=A+B+C+D</w:t>
      </w:r>
      <w:r>
        <w:rPr>
          <w:rFonts w:ascii="宋体" w:hAnsi="宋体" w:eastAsia="宋体"/>
          <w:color w:val="auto"/>
          <w:highlight w:val="none"/>
        </w:rPr>
        <w:t>。</w:t>
      </w:r>
    </w:p>
    <w:p w14:paraId="3564C5FA">
      <w:pPr>
        <w:tabs>
          <w:tab w:val="left" w:pos="532"/>
        </w:tabs>
        <w:spacing w:before="69" w:line="352" w:lineRule="auto"/>
        <w:ind w:left="428" w:hanging="5"/>
        <w:rPr>
          <w:rFonts w:ascii="宋体" w:hAnsi="宋体"/>
          <w:b/>
          <w:bCs/>
          <w:color w:val="auto"/>
          <w:sz w:val="24"/>
          <w:highlight w:val="none"/>
        </w:rPr>
      </w:pPr>
      <w:r>
        <w:rPr>
          <w:rFonts w:hint="eastAsia" w:ascii="宋体" w:hAnsi="宋体"/>
          <w:b/>
          <w:bCs/>
          <w:color w:val="auto"/>
          <w:sz w:val="24"/>
          <w:highlight w:val="none"/>
        </w:rPr>
        <w:t>现文</w:t>
      </w:r>
      <w:r>
        <w:rPr>
          <w:rFonts w:hint="eastAsia" w:ascii="宋体" w:hAnsi="宋体"/>
          <w:color w:val="auto"/>
          <w:sz w:val="24"/>
          <w:highlight w:val="none"/>
        </w:rPr>
        <w:t>：</w:t>
      </w:r>
      <w:r>
        <w:rPr>
          <w:rFonts w:ascii="宋体" w:hAnsi="宋体" w:eastAsia="宋体"/>
          <w:color w:val="auto"/>
          <w:spacing w:val="4"/>
          <w:highlight w:val="none"/>
        </w:rPr>
        <w:t>(</w:t>
      </w:r>
      <w:r>
        <w:rPr>
          <w:rFonts w:ascii="Times New Roman" w:hAnsi="Times New Roman" w:eastAsia="Times New Roman"/>
          <w:color w:val="auto"/>
          <w:spacing w:val="4"/>
          <w:highlight w:val="none"/>
        </w:rPr>
        <w:t>1</w:t>
      </w:r>
      <w:r>
        <w:rPr>
          <w:rFonts w:ascii="宋体" w:hAnsi="宋体" w:eastAsia="宋体"/>
          <w:color w:val="auto"/>
          <w:spacing w:val="3"/>
          <w:highlight w:val="none"/>
        </w:rPr>
        <w:t>)</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1</w:t>
      </w:r>
      <w:r>
        <w:rPr>
          <w:rFonts w:ascii="宋体" w:hAnsi="宋体" w:eastAsia="宋体"/>
          <w:color w:val="auto"/>
          <w:spacing w:val="2"/>
          <w:highlight w:val="none"/>
        </w:rPr>
        <w:t>)目规定的评审因素和分值对资信业绩部分计算出得分</w:t>
      </w:r>
      <w:r>
        <w:rPr>
          <w:rFonts w:ascii="Times New Roman" w:hAnsi="Times New Roman" w:eastAsia="Times New Roman"/>
          <w:color w:val="auto"/>
          <w:highlight w:val="none"/>
        </w:rPr>
        <w:t>A</w:t>
      </w:r>
      <w:r>
        <w:rPr>
          <w:rFonts w:hint="eastAsia" w:ascii="Times New Roman" w:hAnsi="Times New Roman" w:eastAsia="宋体"/>
          <w:color w:val="auto"/>
          <w:highlight w:val="none"/>
        </w:rPr>
        <w:t>，</w:t>
      </w:r>
      <w:r>
        <w:rPr>
          <w:color w:val="auto"/>
          <w:highlight w:val="none"/>
          <w:u w:val="single"/>
        </w:rPr>
        <w:t>资信业绩部分评审得分A为各评标专家打分的算术平均值</w:t>
      </w:r>
      <w:r>
        <w:rPr>
          <w:rFonts w:ascii="宋体" w:hAnsi="宋体" w:eastAsia="宋体"/>
          <w:color w:val="auto"/>
          <w:spacing w:val="2"/>
          <w:highlight w:val="none"/>
        </w:rPr>
        <w:t>；</w:t>
      </w:r>
    </w:p>
    <w:p w14:paraId="467D37BD">
      <w:pPr>
        <w:tabs>
          <w:tab w:val="left" w:pos="532"/>
        </w:tabs>
        <w:spacing w:before="69" w:line="352" w:lineRule="auto"/>
        <w:ind w:left="428" w:hanging="5"/>
        <w:rPr>
          <w:rFonts w:ascii="宋体" w:hAnsi="宋体" w:eastAsia="宋体"/>
          <w:color w:val="auto"/>
          <w:spacing w:val="2"/>
          <w:highlight w:val="none"/>
        </w:rPr>
      </w:pP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)目规定</w:t>
      </w:r>
      <w:r>
        <w:rPr>
          <w:rFonts w:ascii="宋体" w:hAnsi="宋体" w:eastAsia="宋体"/>
          <w:color w:val="auto"/>
          <w:spacing w:val="1"/>
          <w:highlight w:val="none"/>
        </w:rPr>
        <w:t>的评审因素和分值对</w:t>
      </w:r>
      <w:r>
        <w:rPr>
          <w:rFonts w:hint="eastAsia" w:ascii="宋体" w:hAnsi="宋体" w:eastAsia="宋体"/>
          <w:color w:val="auto"/>
          <w:spacing w:val="1"/>
          <w:highlight w:val="none"/>
        </w:rPr>
        <w:t>勘察</w:t>
      </w:r>
      <w:r>
        <w:rPr>
          <w:rFonts w:ascii="宋体" w:hAnsi="宋体" w:eastAsia="宋体"/>
          <w:color w:val="auto"/>
          <w:spacing w:val="1"/>
          <w:highlight w:val="none"/>
        </w:rPr>
        <w:t>设计方案部分计算出得分</w:t>
      </w:r>
      <w:r>
        <w:rPr>
          <w:rFonts w:ascii="Times New Roman" w:hAnsi="Times New Roman" w:eastAsia="Times New Roman"/>
          <w:color w:val="auto"/>
          <w:highlight w:val="none"/>
        </w:rPr>
        <w:t>B</w:t>
      </w:r>
      <w:r>
        <w:rPr>
          <w:color w:val="auto"/>
          <w:highlight w:val="none"/>
        </w:rPr>
        <w:t>，</w:t>
      </w:r>
      <w:r>
        <w:rPr>
          <w:rFonts w:hint="eastAsia"/>
          <w:color w:val="auto"/>
          <w:highlight w:val="none"/>
          <w:u w:val="single"/>
        </w:rPr>
        <w:t>勘察设计方案</w:t>
      </w:r>
      <w:r>
        <w:rPr>
          <w:color w:val="auto"/>
          <w:highlight w:val="none"/>
          <w:u w:val="single"/>
        </w:rPr>
        <w:t>部分评审得分</w:t>
      </w:r>
      <w:r>
        <w:rPr>
          <w:color w:val="auto"/>
          <w:highlight w:val="none"/>
        </w:rPr>
        <w:t>B</w:t>
      </w:r>
      <w:r>
        <w:rPr>
          <w:color w:val="auto"/>
          <w:highlight w:val="none"/>
          <w:u w:val="single"/>
        </w:rPr>
        <w:t>为从各评标专家打分中去掉一个最高分和去掉一个最低分后的剩余评标专家打分的算术平均值</w:t>
      </w:r>
      <w:r>
        <w:rPr>
          <w:rFonts w:ascii="宋体" w:hAnsi="宋体" w:eastAsia="宋体"/>
          <w:color w:val="auto"/>
          <w:spacing w:val="1"/>
          <w:highlight w:val="none"/>
        </w:rPr>
        <w:t>；</w:t>
      </w:r>
    </w:p>
    <w:p w14:paraId="15C50B98">
      <w:pPr>
        <w:tabs>
          <w:tab w:val="left" w:pos="532"/>
        </w:tabs>
        <w:spacing w:before="69" w:line="352" w:lineRule="auto"/>
        <w:ind w:left="428" w:hanging="5"/>
        <w:rPr>
          <w:rFonts w:ascii="宋体" w:hAnsi="宋体" w:eastAsia="宋体"/>
          <w:color w:val="auto"/>
          <w:spacing w:val="4"/>
          <w:highlight w:val="none"/>
        </w:rPr>
      </w:pPr>
      <w:r>
        <w:rPr>
          <w:rFonts w:ascii="宋体" w:hAnsi="宋体" w:eastAsia="宋体"/>
          <w:color w:val="auto"/>
          <w:spacing w:val="4"/>
          <w:highlight w:val="none"/>
        </w:rPr>
        <w:t>(</w:t>
      </w:r>
      <w:r>
        <w:rPr>
          <w:rFonts w:ascii="Times New Roman" w:hAnsi="Times New Roman" w:eastAsia="Times New Roman"/>
          <w:color w:val="auto"/>
          <w:spacing w:val="4"/>
          <w:highlight w:val="none"/>
        </w:rPr>
        <w:t>3</w:t>
      </w:r>
      <w:r>
        <w:rPr>
          <w:rFonts w:ascii="宋体" w:hAnsi="宋体" w:eastAsia="宋体"/>
          <w:color w:val="auto"/>
          <w:spacing w:val="4"/>
          <w:highlight w:val="none"/>
        </w:rPr>
        <w:t>)按</w:t>
      </w:r>
      <w:r>
        <w:rPr>
          <w:rFonts w:ascii="宋体" w:hAnsi="宋体" w:eastAsia="宋体"/>
          <w:color w:val="auto"/>
          <w:spacing w:val="3"/>
          <w:highlight w:val="none"/>
        </w:rPr>
        <w:t>本</w:t>
      </w:r>
      <w:r>
        <w:rPr>
          <w:rFonts w:ascii="宋体" w:hAnsi="宋体" w:eastAsia="宋体"/>
          <w:color w:val="auto"/>
          <w:spacing w:val="2"/>
          <w:highlight w:val="none"/>
        </w:rPr>
        <w:t xml:space="preserve">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3</w:t>
      </w:r>
      <w:r>
        <w:rPr>
          <w:rFonts w:ascii="宋体" w:hAnsi="宋体" w:eastAsia="宋体"/>
          <w:color w:val="auto"/>
          <w:spacing w:val="2"/>
          <w:highlight w:val="none"/>
        </w:rPr>
        <w:t>)目规定的评审因素和分值对投标报价计算出得分</w:t>
      </w:r>
      <w:r>
        <w:rPr>
          <w:rFonts w:ascii="Times New Roman" w:hAnsi="Times New Roman" w:eastAsia="Times New Roman"/>
          <w:color w:val="auto"/>
          <w:highlight w:val="none"/>
        </w:rPr>
        <w:t>C</w:t>
      </w:r>
      <w:r>
        <w:rPr>
          <w:rFonts w:ascii="宋体" w:hAnsi="宋体" w:eastAsia="宋体"/>
          <w:color w:val="auto"/>
          <w:spacing w:val="2"/>
          <w:highlight w:val="none"/>
        </w:rPr>
        <w:t>；</w:t>
      </w:r>
      <w:r>
        <w:rPr>
          <w:rFonts w:ascii="宋体" w:hAnsi="宋体" w:eastAsia="宋体"/>
          <w:color w:val="auto"/>
          <w:highlight w:val="none"/>
        </w:rPr>
        <w:t xml:space="preserve">           </w:t>
      </w:r>
    </w:p>
    <w:p w14:paraId="61FE22FE">
      <w:pPr>
        <w:tabs>
          <w:tab w:val="left" w:pos="532"/>
        </w:tabs>
        <w:spacing w:before="69" w:line="352" w:lineRule="auto"/>
        <w:ind w:left="428" w:hanging="5"/>
        <w:rPr>
          <w:rFonts w:ascii="宋体" w:hAnsi="宋体" w:eastAsia="宋体"/>
          <w:strike/>
          <w:color w:val="auto"/>
          <w:spacing w:val="8"/>
          <w:highlight w:val="none"/>
        </w:rPr>
      </w:pPr>
      <w:r>
        <w:rPr>
          <w:rFonts w:ascii="宋体" w:hAnsi="宋体" w:eastAsia="宋体"/>
          <w:strike/>
          <w:color w:val="auto"/>
          <w:spacing w:val="8"/>
          <w:highlight w:val="none"/>
        </w:rPr>
        <w:t>(</w:t>
      </w:r>
      <w:r>
        <w:rPr>
          <w:rFonts w:ascii="Times New Roman" w:hAnsi="Times New Roman" w:eastAsia="Times New Roman"/>
          <w:strike/>
          <w:color w:val="auto"/>
          <w:spacing w:val="8"/>
          <w:highlight w:val="none"/>
        </w:rPr>
        <w:t>4</w:t>
      </w:r>
      <w:r>
        <w:rPr>
          <w:rFonts w:ascii="宋体" w:hAnsi="宋体" w:eastAsia="宋体"/>
          <w:strike/>
          <w:color w:val="auto"/>
          <w:spacing w:val="8"/>
          <w:highlight w:val="none"/>
        </w:rPr>
        <w:t>)按本章第</w:t>
      </w:r>
      <w:r>
        <w:rPr>
          <w:rFonts w:ascii="宋体" w:hAnsi="宋体" w:eastAsia="宋体"/>
          <w:strike/>
          <w:color w:val="auto"/>
          <w:spacing w:val="7"/>
          <w:highlight w:val="none"/>
        </w:rPr>
        <w:t xml:space="preserve"> </w:t>
      </w:r>
      <w:r>
        <w:rPr>
          <w:rFonts w:ascii="Times New Roman" w:hAnsi="Times New Roman" w:eastAsia="Times New Roman"/>
          <w:strike/>
          <w:color w:val="auto"/>
          <w:spacing w:val="4"/>
          <w:highlight w:val="none"/>
        </w:rPr>
        <w:t xml:space="preserve">2.2.4  </w:t>
      </w:r>
      <w:r>
        <w:rPr>
          <w:rFonts w:ascii="宋体" w:hAnsi="宋体" w:eastAsia="宋体"/>
          <w:strike/>
          <w:color w:val="auto"/>
          <w:spacing w:val="4"/>
          <w:highlight w:val="none"/>
        </w:rPr>
        <w:t>(</w:t>
      </w:r>
      <w:r>
        <w:rPr>
          <w:rFonts w:ascii="Times New Roman" w:hAnsi="Times New Roman" w:eastAsia="Times New Roman"/>
          <w:strike/>
          <w:color w:val="auto"/>
          <w:spacing w:val="4"/>
          <w:highlight w:val="none"/>
        </w:rPr>
        <w:t>4</w:t>
      </w:r>
      <w:r>
        <w:rPr>
          <w:rFonts w:ascii="宋体" w:hAnsi="宋体" w:eastAsia="宋体"/>
          <w:strike/>
          <w:color w:val="auto"/>
          <w:spacing w:val="4"/>
          <w:highlight w:val="none"/>
        </w:rPr>
        <w:t>)目规定的评审因素和分值对其他部分计算出得分</w:t>
      </w:r>
      <w:r>
        <w:rPr>
          <w:rFonts w:ascii="Times New Roman" w:hAnsi="Times New Roman" w:eastAsia="Times New Roman"/>
          <w:strike/>
          <w:color w:val="auto"/>
          <w:highlight w:val="none"/>
        </w:rPr>
        <w:t>D</w:t>
      </w:r>
      <w:r>
        <w:rPr>
          <w:rFonts w:ascii="宋体" w:hAnsi="宋体" w:eastAsia="宋体"/>
          <w:strike/>
          <w:color w:val="auto"/>
          <w:spacing w:val="4"/>
          <w:highlight w:val="none"/>
        </w:rPr>
        <w:t>。</w:t>
      </w:r>
    </w:p>
    <w:p w14:paraId="2E5C5094">
      <w:pPr>
        <w:spacing w:before="1"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3.2.2  </w:t>
      </w:r>
      <w:r>
        <w:rPr>
          <w:rFonts w:ascii="宋体" w:hAnsi="宋体" w:eastAsia="宋体"/>
          <w:color w:val="auto"/>
          <w:spacing w:val="-1"/>
          <w:highlight w:val="none"/>
        </w:rPr>
        <w:t>评分</w:t>
      </w:r>
      <w:r>
        <w:rPr>
          <w:rFonts w:ascii="宋体" w:hAnsi="宋体" w:eastAsia="宋体"/>
          <w:color w:val="auto"/>
          <w:highlight w:val="none"/>
        </w:rPr>
        <w:t>分值计算保留小数点后两位，小数点后第三位</w:t>
      </w:r>
      <w:r>
        <w:rPr>
          <w:rFonts w:ascii="Times New Roman" w:hAnsi="Times New Roman" w:eastAsia="Times New Roman"/>
          <w:color w:val="auto"/>
          <w:highlight w:val="none"/>
        </w:rPr>
        <w:t>“</w:t>
      </w:r>
      <w:r>
        <w:rPr>
          <w:rFonts w:ascii="宋体" w:hAnsi="宋体" w:eastAsia="宋体"/>
          <w:color w:val="auto"/>
          <w:highlight w:val="none"/>
        </w:rPr>
        <w:t>四舍五入</w:t>
      </w:r>
      <w:r>
        <w:rPr>
          <w:rFonts w:ascii="Times New Roman" w:hAnsi="Times New Roman" w:eastAsia="Times New Roman"/>
          <w:color w:val="auto"/>
          <w:highlight w:val="none"/>
        </w:rPr>
        <w:t>”</w:t>
      </w:r>
      <w:r>
        <w:rPr>
          <w:rFonts w:ascii="宋体" w:hAnsi="宋体" w:eastAsia="宋体"/>
          <w:color w:val="auto"/>
          <w:highlight w:val="none"/>
        </w:rPr>
        <w:t>。</w:t>
      </w:r>
    </w:p>
    <w:p w14:paraId="58EE235D">
      <w:pPr>
        <w:spacing w:before="150"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3.2.3  </w:t>
      </w:r>
      <w:r>
        <w:rPr>
          <w:rFonts w:ascii="宋体" w:hAnsi="宋体" w:eastAsia="宋体"/>
          <w:color w:val="auto"/>
          <w:spacing w:val="-1"/>
          <w:highlight w:val="none"/>
        </w:rPr>
        <w:t>投标</w:t>
      </w:r>
      <w:r>
        <w:rPr>
          <w:rFonts w:ascii="宋体" w:hAnsi="宋体" w:eastAsia="宋体"/>
          <w:color w:val="auto"/>
          <w:highlight w:val="none"/>
        </w:rPr>
        <w:t>人得分</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A+B+C</w:t>
      </w:r>
      <w:r>
        <w:rPr>
          <w:rFonts w:ascii="宋体" w:hAnsi="宋体" w:eastAsia="宋体"/>
          <w:color w:val="auto"/>
          <w:highlight w:val="none"/>
        </w:rPr>
        <w:t>。</w:t>
      </w:r>
    </w:p>
    <w:p w14:paraId="520C60BA">
      <w:pPr>
        <w:pBdr>
          <w:bottom w:val="single" w:color="auto" w:sz="6" w:space="1"/>
        </w:pBdr>
        <w:spacing w:line="480" w:lineRule="auto"/>
        <w:ind w:firstLine="537" w:firstLineChars="224"/>
        <w:rPr>
          <w:rFonts w:ascii="宋体" w:hAnsi="宋体"/>
          <w:color w:val="auto"/>
          <w:sz w:val="24"/>
          <w:highlight w:val="none"/>
        </w:rPr>
      </w:pPr>
    </w:p>
    <w:p w14:paraId="0CCA0EBB">
      <w:pPr>
        <w:spacing w:line="480" w:lineRule="auto"/>
        <w:ind w:firstLine="538" w:firstLineChars="224"/>
        <w:rPr>
          <w:rFonts w:ascii="宋体" w:hAnsi="宋体"/>
          <w:b/>
          <w:bCs/>
          <w:color w:val="auto"/>
          <w:sz w:val="24"/>
          <w:highlight w:val="none"/>
        </w:rPr>
      </w:pPr>
      <w:r>
        <w:rPr>
          <w:rFonts w:hint="eastAsia" w:ascii="宋体" w:hAnsi="宋体"/>
          <w:b/>
          <w:bCs/>
          <w:color w:val="auto"/>
          <w:sz w:val="24"/>
          <w:highlight w:val="none"/>
        </w:rPr>
        <w:t>注：以上修改，仅限于本范本中有可供选择条款的情形。</w:t>
      </w:r>
    </w:p>
    <w:p w14:paraId="1CBD4B92">
      <w:pPr>
        <w:spacing w:line="480" w:lineRule="auto"/>
        <w:ind w:firstLine="538" w:firstLineChars="224"/>
        <w:rPr>
          <w:rFonts w:ascii="宋体" w:hAnsi="宋体"/>
          <w:b/>
          <w:bCs/>
          <w:color w:val="auto"/>
          <w:sz w:val="24"/>
          <w:highlight w:val="none"/>
        </w:rPr>
      </w:pPr>
      <w:r>
        <w:rPr>
          <w:rFonts w:hint="eastAsia" w:ascii="宋体" w:hAnsi="宋体"/>
          <w:b/>
          <w:bCs/>
          <w:color w:val="auto"/>
          <w:sz w:val="24"/>
          <w:highlight w:val="none"/>
        </w:rPr>
        <w:t>（以下无正文）</w:t>
      </w:r>
    </w:p>
    <w:p w14:paraId="3684405B">
      <w:pPr>
        <w:pStyle w:val="24"/>
        <w:spacing w:before="120" w:after="120"/>
        <w:outlineLvl w:val="9"/>
        <w:rPr>
          <w:color w:val="auto"/>
          <w:sz w:val="24"/>
          <w:szCs w:val="21"/>
          <w:highlight w:val="none"/>
        </w:rPr>
      </w:pPr>
      <w:r>
        <w:rPr>
          <w:color w:val="auto"/>
          <w:sz w:val="24"/>
          <w:szCs w:val="21"/>
          <w:highlight w:val="none"/>
        </w:rPr>
        <w:br w:type="page"/>
      </w:r>
      <w:bookmarkStart w:id="361" w:name="_Toc14199"/>
      <w:bookmarkStart w:id="362" w:name="_Toc7569"/>
      <w:bookmarkStart w:id="363" w:name="_Toc11950"/>
      <w:bookmarkStart w:id="364" w:name="_Toc4571"/>
      <w:bookmarkStart w:id="365" w:name="_Toc31416"/>
      <w:r>
        <w:rPr>
          <w:rFonts w:ascii="Times New Roman" w:hAnsi="Times New Roman" w:eastAsia="Times New Roman"/>
          <w:bCs/>
          <w:color w:val="auto"/>
          <w:spacing w:val="7"/>
          <w:sz w:val="31"/>
          <w:szCs w:val="31"/>
          <w:highlight w:val="none"/>
        </w:rPr>
        <w:t>1</w:t>
      </w:r>
      <w:r>
        <w:rPr>
          <w:rFonts w:ascii="Times New Roman" w:hAnsi="Times New Roman" w:eastAsia="Times New Roman"/>
          <w:bCs/>
          <w:color w:val="auto"/>
          <w:spacing w:val="4"/>
          <w:sz w:val="31"/>
          <w:szCs w:val="31"/>
          <w:highlight w:val="none"/>
        </w:rPr>
        <w:t>.</w:t>
      </w:r>
      <w:r>
        <w:rPr>
          <w:rFonts w:ascii="Times New Roman" w:hAnsi="Times New Roman" w:eastAsia="Times New Roman"/>
          <w:color w:val="auto"/>
          <w:spacing w:val="4"/>
          <w:sz w:val="31"/>
          <w:szCs w:val="31"/>
          <w:highlight w:val="none"/>
        </w:rPr>
        <w:t xml:space="preserve">  </w:t>
      </w:r>
      <w:r>
        <w:rPr>
          <w:rFonts w:ascii="黑体" w:hAnsi="黑体" w:eastAsia="黑体"/>
          <w:color w:val="auto"/>
          <w:spacing w:val="4"/>
          <w:sz w:val="31"/>
          <w:szCs w:val="31"/>
          <w:highlight w:val="none"/>
        </w:rPr>
        <w:t>评标方法</w:t>
      </w:r>
      <w:bookmarkEnd w:id="361"/>
      <w:bookmarkEnd w:id="362"/>
      <w:bookmarkEnd w:id="363"/>
      <w:bookmarkEnd w:id="364"/>
      <w:bookmarkEnd w:id="365"/>
    </w:p>
    <w:p w14:paraId="142DC320">
      <w:pPr>
        <w:spacing w:line="250" w:lineRule="auto"/>
        <w:rPr>
          <w:color w:val="auto"/>
          <w:highlight w:val="none"/>
        </w:rPr>
      </w:pPr>
    </w:p>
    <w:p w14:paraId="2ADFDBDB">
      <w:pPr>
        <w:spacing w:before="69" w:line="363" w:lineRule="auto"/>
        <w:ind w:firstLine="421"/>
        <w:rPr>
          <w:rFonts w:ascii="宋体" w:hAnsi="宋体" w:eastAsia="宋体"/>
          <w:color w:val="auto"/>
          <w:spacing w:val="1"/>
          <w:highlight w:val="none"/>
        </w:rPr>
      </w:pPr>
      <w:r>
        <w:rPr>
          <w:rFonts w:ascii="宋体" w:hAnsi="宋体" w:eastAsia="宋体"/>
          <w:color w:val="auto"/>
          <w:spacing w:val="1"/>
          <w:highlight w:val="none"/>
        </w:rPr>
        <w:t>本次评标采用综合评估法。评标</w:t>
      </w:r>
      <w:r>
        <w:rPr>
          <w:rFonts w:ascii="宋体" w:hAnsi="宋体" w:eastAsia="宋体"/>
          <w:color w:val="auto"/>
          <w:highlight w:val="none"/>
        </w:rPr>
        <w:t xml:space="preserve">委员会对满足招标文件实质性要求的投标文件，按照本章 </w:t>
      </w:r>
      <w:r>
        <w:rPr>
          <w:rFonts w:ascii="宋体" w:hAnsi="宋体" w:eastAsia="宋体"/>
          <w:color w:val="auto"/>
          <w:spacing w:val="-4"/>
          <w:highlight w:val="none"/>
        </w:rPr>
        <w:t xml:space="preserve">第 </w:t>
      </w:r>
      <w:r>
        <w:rPr>
          <w:rFonts w:ascii="Times New Roman" w:hAnsi="Times New Roman" w:eastAsia="Times New Roman"/>
          <w:color w:val="auto"/>
          <w:spacing w:val="-4"/>
          <w:highlight w:val="none"/>
        </w:rPr>
        <w:t>2</w:t>
      </w:r>
      <w:r>
        <w:rPr>
          <w:rFonts w:ascii="Times New Roman" w:hAnsi="Times New Roman" w:eastAsia="Times New Roman"/>
          <w:color w:val="auto"/>
          <w:spacing w:val="-2"/>
          <w:highlight w:val="none"/>
        </w:rPr>
        <w:t xml:space="preserve">.2 </w:t>
      </w:r>
      <w:r>
        <w:rPr>
          <w:rFonts w:ascii="宋体" w:hAnsi="宋体" w:eastAsia="宋体"/>
          <w:color w:val="auto"/>
          <w:spacing w:val="-2"/>
          <w:highlight w:val="none"/>
        </w:rPr>
        <w:t>款规定的评分标准进行打分， 并按得分由高到低顺序推荐中标候选人，或根据招标人授</w:t>
      </w:r>
      <w:r>
        <w:rPr>
          <w:rFonts w:ascii="宋体" w:hAnsi="宋体" w:eastAsia="宋体"/>
          <w:color w:val="auto"/>
          <w:highlight w:val="none"/>
        </w:rPr>
        <w:t xml:space="preserve"> </w:t>
      </w:r>
      <w:r>
        <w:rPr>
          <w:rFonts w:ascii="宋体" w:hAnsi="宋体" w:eastAsia="宋体"/>
          <w:color w:val="auto"/>
          <w:spacing w:val="-4"/>
          <w:highlight w:val="none"/>
        </w:rPr>
        <w:t>权直接</w:t>
      </w:r>
      <w:r>
        <w:rPr>
          <w:rFonts w:ascii="宋体" w:hAnsi="宋体" w:eastAsia="宋体"/>
          <w:color w:val="auto"/>
          <w:spacing w:val="-2"/>
          <w:highlight w:val="none"/>
        </w:rPr>
        <w:t>确定中标人，但投标报价低于其成本的除外。综合评分相等时， 以投标报价低的优先；</w:t>
      </w:r>
      <w:r>
        <w:rPr>
          <w:rFonts w:ascii="宋体" w:hAnsi="宋体" w:eastAsia="宋体"/>
          <w:color w:val="auto"/>
          <w:highlight w:val="none"/>
        </w:rPr>
        <w:t xml:space="preserve"> </w:t>
      </w:r>
      <w:r>
        <w:rPr>
          <w:rFonts w:ascii="宋体" w:hAnsi="宋体" w:eastAsia="宋体"/>
          <w:color w:val="auto"/>
          <w:spacing w:val="1"/>
          <w:highlight w:val="none"/>
        </w:rPr>
        <w:t>投标报价也相等的，以</w:t>
      </w:r>
      <w:r>
        <w:rPr>
          <w:rFonts w:hint="eastAsia" w:ascii="宋体" w:hAnsi="宋体" w:eastAsia="宋体"/>
          <w:color w:val="auto"/>
          <w:spacing w:val="1"/>
          <w:highlight w:val="none"/>
        </w:rPr>
        <w:t>勘察</w:t>
      </w:r>
      <w:r>
        <w:rPr>
          <w:rFonts w:ascii="宋体" w:hAnsi="宋体" w:eastAsia="宋体"/>
          <w:color w:val="auto"/>
          <w:spacing w:val="1"/>
          <w:highlight w:val="none"/>
        </w:rPr>
        <w:t>设计方案得分</w:t>
      </w:r>
      <w:r>
        <w:rPr>
          <w:rFonts w:ascii="宋体" w:hAnsi="宋体" w:eastAsia="宋体"/>
          <w:color w:val="auto"/>
          <w:highlight w:val="none"/>
        </w:rPr>
        <w:t>高的优先；如果</w:t>
      </w:r>
      <w:r>
        <w:rPr>
          <w:rFonts w:hint="eastAsia" w:ascii="宋体" w:hAnsi="宋体" w:eastAsia="宋体"/>
          <w:color w:val="auto"/>
          <w:spacing w:val="1"/>
          <w:highlight w:val="none"/>
        </w:rPr>
        <w:t>勘察</w:t>
      </w:r>
      <w:r>
        <w:rPr>
          <w:rFonts w:ascii="宋体" w:hAnsi="宋体" w:eastAsia="宋体"/>
          <w:color w:val="auto"/>
          <w:highlight w:val="none"/>
        </w:rPr>
        <w:t>设计方案得分也相等，按照评标办法前附</w:t>
      </w:r>
      <w:r>
        <w:rPr>
          <w:rFonts w:ascii="宋体" w:hAnsi="宋体" w:eastAsia="宋体"/>
          <w:color w:val="auto"/>
          <w:spacing w:val="-4"/>
          <w:highlight w:val="none"/>
        </w:rPr>
        <w:t>表的规</w:t>
      </w:r>
      <w:r>
        <w:rPr>
          <w:rFonts w:ascii="宋体" w:hAnsi="宋体" w:eastAsia="宋体"/>
          <w:color w:val="auto"/>
          <w:spacing w:val="-3"/>
          <w:highlight w:val="none"/>
        </w:rPr>
        <w:t>定</w:t>
      </w:r>
      <w:r>
        <w:rPr>
          <w:rFonts w:ascii="宋体" w:hAnsi="宋体" w:eastAsia="宋体"/>
          <w:color w:val="auto"/>
          <w:spacing w:val="-2"/>
          <w:highlight w:val="none"/>
        </w:rPr>
        <w:t>确定中标候选人顺序。</w:t>
      </w:r>
    </w:p>
    <w:p w14:paraId="6A496FB4">
      <w:pPr>
        <w:pStyle w:val="24"/>
        <w:spacing w:before="120" w:after="120"/>
        <w:outlineLvl w:val="9"/>
        <w:rPr>
          <w:rFonts w:ascii="Times New Roman" w:hAnsi="Times New Roman" w:eastAsia="Times New Roman"/>
          <w:bCs/>
          <w:color w:val="auto"/>
          <w:spacing w:val="7"/>
          <w:sz w:val="31"/>
          <w:szCs w:val="31"/>
          <w:highlight w:val="none"/>
        </w:rPr>
      </w:pPr>
      <w:bookmarkStart w:id="366" w:name="_Toc32401"/>
      <w:bookmarkStart w:id="367" w:name="_Toc583"/>
      <w:bookmarkStart w:id="368" w:name="_Toc20461"/>
      <w:bookmarkStart w:id="369" w:name="_Toc21752"/>
      <w:bookmarkStart w:id="370" w:name="_Toc23823"/>
      <w:r>
        <w:rPr>
          <w:rFonts w:ascii="Times New Roman" w:hAnsi="Times New Roman" w:eastAsia="Times New Roman"/>
          <w:bCs/>
          <w:color w:val="auto"/>
          <w:spacing w:val="7"/>
          <w:sz w:val="31"/>
          <w:szCs w:val="31"/>
          <w:highlight w:val="none"/>
        </w:rPr>
        <w:t>2</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6"/>
          <w:sz w:val="31"/>
          <w:szCs w:val="31"/>
          <w:highlight w:val="none"/>
        </w:rPr>
        <w:t xml:space="preserve">  </w:t>
      </w:r>
      <w:r>
        <w:rPr>
          <w:rFonts w:ascii="黑体" w:hAnsi="黑体" w:eastAsia="黑体"/>
          <w:color w:val="auto"/>
          <w:spacing w:val="6"/>
          <w:sz w:val="31"/>
          <w:szCs w:val="31"/>
          <w:highlight w:val="none"/>
        </w:rPr>
        <w:t>评审标准</w:t>
      </w:r>
      <w:bookmarkEnd w:id="366"/>
      <w:bookmarkEnd w:id="367"/>
      <w:bookmarkEnd w:id="368"/>
      <w:bookmarkEnd w:id="369"/>
      <w:bookmarkEnd w:id="370"/>
    </w:p>
    <w:p w14:paraId="444B136C">
      <w:pPr>
        <w:spacing w:line="247" w:lineRule="auto"/>
        <w:rPr>
          <w:color w:val="auto"/>
          <w:highlight w:val="none"/>
        </w:rPr>
      </w:pPr>
    </w:p>
    <w:p w14:paraId="5B64CE64">
      <w:pPr>
        <w:rPr>
          <w:rFonts w:ascii="Times New Roman" w:hAnsi="Times New Roman" w:eastAsia="Times New Roman"/>
          <w:color w:val="auto"/>
          <w:spacing w:val="12"/>
          <w:sz w:val="27"/>
          <w:szCs w:val="27"/>
          <w:highlight w:val="none"/>
        </w:rPr>
      </w:pPr>
      <w:bookmarkStart w:id="371" w:name="_Toc29338"/>
      <w:bookmarkStart w:id="372" w:name="_Toc19634"/>
      <w:bookmarkStart w:id="373" w:name="_Toc26285"/>
      <w:bookmarkStart w:id="374" w:name="_Toc28896"/>
      <w:bookmarkStart w:id="375" w:name="_Toc31870"/>
      <w:r>
        <w:rPr>
          <w:rFonts w:ascii="Times New Roman" w:hAnsi="Times New Roman" w:eastAsia="Times New Roman"/>
          <w:color w:val="auto"/>
          <w:spacing w:val="12"/>
          <w:sz w:val="27"/>
          <w:szCs w:val="27"/>
          <w:highlight w:val="none"/>
        </w:rPr>
        <w:t>2</w:t>
      </w:r>
      <w:r>
        <w:rPr>
          <w:rFonts w:ascii="Times New Roman" w:hAnsi="Times New Roman" w:eastAsia="Times New Roman"/>
          <w:color w:val="auto"/>
          <w:spacing w:val="7"/>
          <w:sz w:val="27"/>
          <w:szCs w:val="27"/>
          <w:highlight w:val="none"/>
        </w:rPr>
        <w:t>.</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初步评审标准</w:t>
      </w:r>
      <w:bookmarkEnd w:id="371"/>
      <w:bookmarkEnd w:id="372"/>
      <w:bookmarkEnd w:id="373"/>
      <w:bookmarkEnd w:id="374"/>
      <w:bookmarkEnd w:id="375"/>
    </w:p>
    <w:p w14:paraId="37CF4218">
      <w:pPr>
        <w:spacing w:line="315" w:lineRule="auto"/>
        <w:rPr>
          <w:color w:val="auto"/>
          <w:highlight w:val="none"/>
        </w:rPr>
      </w:pPr>
    </w:p>
    <w:p w14:paraId="33D2ED2F">
      <w:pPr>
        <w:spacing w:before="69" w:line="399" w:lineRule="exact"/>
        <w:ind w:left="417"/>
        <w:rPr>
          <w:rFonts w:ascii="Times New Roman" w:hAnsi="Times New Roman" w:eastAsia="Times New Roman"/>
          <w:color w:val="auto"/>
          <w:spacing w:val="-2"/>
          <w:position w:val="14"/>
          <w:highlight w:val="none"/>
        </w:rPr>
      </w:pPr>
      <w:r>
        <w:rPr>
          <w:rFonts w:ascii="Times New Roman" w:hAnsi="Times New Roman" w:eastAsia="Times New Roman"/>
          <w:color w:val="auto"/>
          <w:spacing w:val="-2"/>
          <w:position w:val="14"/>
          <w:highlight w:val="none"/>
        </w:rPr>
        <w:t xml:space="preserve">2.1.1  </w:t>
      </w:r>
      <w:r>
        <w:rPr>
          <w:rFonts w:hint="eastAsia" w:ascii="宋体" w:hAnsi="宋体" w:eastAsia="宋体"/>
          <w:color w:val="auto"/>
          <w:spacing w:val="-2"/>
          <w:position w:val="14"/>
          <w:highlight w:val="none"/>
        </w:rPr>
        <w:t>资格</w:t>
      </w:r>
      <w:r>
        <w:rPr>
          <w:rFonts w:ascii="宋体" w:hAnsi="宋体" w:eastAsia="宋体"/>
          <w:color w:val="auto"/>
          <w:spacing w:val="-2"/>
          <w:position w:val="14"/>
          <w:highlight w:val="none"/>
        </w:rPr>
        <w:t>评</w:t>
      </w:r>
      <w:r>
        <w:rPr>
          <w:rFonts w:ascii="宋体" w:hAnsi="宋体" w:eastAsia="宋体"/>
          <w:color w:val="auto"/>
          <w:spacing w:val="-1"/>
          <w:position w:val="14"/>
          <w:highlight w:val="none"/>
        </w:rPr>
        <w:t>审标准：见评标办法前附表。</w:t>
      </w:r>
    </w:p>
    <w:p w14:paraId="4C0D2772">
      <w:pPr>
        <w:spacing w:before="1" w:line="218" w:lineRule="auto"/>
        <w:ind w:left="41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2.1.2  </w:t>
      </w:r>
      <w:r>
        <w:rPr>
          <w:rFonts w:hint="eastAsia" w:ascii="宋体" w:hAnsi="宋体" w:eastAsia="宋体"/>
          <w:color w:val="auto"/>
          <w:spacing w:val="-2"/>
          <w:highlight w:val="none"/>
        </w:rPr>
        <w:t>形式</w:t>
      </w:r>
      <w:r>
        <w:rPr>
          <w:rFonts w:ascii="宋体" w:hAnsi="宋体" w:eastAsia="宋体"/>
          <w:color w:val="auto"/>
          <w:spacing w:val="-1"/>
          <w:highlight w:val="none"/>
        </w:rPr>
        <w:t>评审标准：见评标办法前附表。</w:t>
      </w:r>
    </w:p>
    <w:p w14:paraId="3DB99117">
      <w:pPr>
        <w:spacing w:before="152" w:line="220" w:lineRule="auto"/>
        <w:ind w:left="41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2.1.3  </w:t>
      </w:r>
      <w:r>
        <w:rPr>
          <w:rFonts w:ascii="宋体" w:hAnsi="宋体" w:eastAsia="宋体"/>
          <w:color w:val="auto"/>
          <w:spacing w:val="-2"/>
          <w:highlight w:val="none"/>
        </w:rPr>
        <w:t>响</w:t>
      </w:r>
      <w:r>
        <w:rPr>
          <w:rFonts w:ascii="宋体" w:hAnsi="宋体" w:eastAsia="宋体"/>
          <w:color w:val="auto"/>
          <w:spacing w:val="-1"/>
          <w:highlight w:val="none"/>
        </w:rPr>
        <w:t>应性评审标准：见评标办法前附表。</w:t>
      </w:r>
    </w:p>
    <w:p w14:paraId="6F8FD147">
      <w:pPr>
        <w:rPr>
          <w:rFonts w:ascii="Times New Roman" w:hAnsi="Times New Roman" w:eastAsiaTheme="minorEastAsia"/>
          <w:color w:val="auto"/>
          <w:spacing w:val="13"/>
          <w:sz w:val="27"/>
          <w:szCs w:val="27"/>
          <w:highlight w:val="none"/>
        </w:rPr>
      </w:pPr>
      <w:bookmarkStart w:id="376" w:name="_Toc7416"/>
      <w:bookmarkStart w:id="377" w:name="_Toc4858"/>
      <w:bookmarkStart w:id="378" w:name="_Toc32223"/>
      <w:bookmarkStart w:id="379" w:name="_Toc7108"/>
      <w:bookmarkStart w:id="380" w:name="_Toc17564"/>
    </w:p>
    <w:p w14:paraId="58AD72BE">
      <w:pPr>
        <w:rPr>
          <w:rFonts w:ascii="Times New Roman" w:hAnsi="Times New Roman" w:eastAsia="Times New Roman"/>
          <w:color w:val="auto"/>
          <w:spacing w:val="13"/>
          <w:sz w:val="27"/>
          <w:szCs w:val="27"/>
          <w:highlight w:val="none"/>
        </w:rPr>
      </w:pPr>
      <w:r>
        <w:rPr>
          <w:rFonts w:ascii="Times New Roman" w:hAnsi="Times New Roman" w:eastAsia="Times New Roman"/>
          <w:color w:val="auto"/>
          <w:spacing w:val="13"/>
          <w:sz w:val="27"/>
          <w:szCs w:val="27"/>
          <w:highlight w:val="none"/>
        </w:rPr>
        <w:t>2</w:t>
      </w:r>
      <w:r>
        <w:rPr>
          <w:rFonts w:ascii="Times New Roman" w:hAnsi="Times New Roman" w:eastAsia="Times New Roman"/>
          <w:color w:val="auto"/>
          <w:spacing w:val="7"/>
          <w:sz w:val="27"/>
          <w:szCs w:val="27"/>
          <w:highlight w:val="none"/>
        </w:rPr>
        <w:t xml:space="preserve">.2  </w:t>
      </w:r>
      <w:r>
        <w:rPr>
          <w:rFonts w:ascii="黑体" w:hAnsi="黑体" w:eastAsia="黑体"/>
          <w:color w:val="auto"/>
          <w:spacing w:val="7"/>
          <w:sz w:val="27"/>
          <w:szCs w:val="27"/>
          <w:highlight w:val="none"/>
        </w:rPr>
        <w:t>分值构成与评分标准</w:t>
      </w:r>
      <w:bookmarkEnd w:id="376"/>
      <w:bookmarkEnd w:id="377"/>
      <w:bookmarkEnd w:id="378"/>
      <w:bookmarkEnd w:id="379"/>
      <w:bookmarkEnd w:id="380"/>
    </w:p>
    <w:p w14:paraId="323D8661">
      <w:pPr>
        <w:spacing w:line="315" w:lineRule="auto"/>
        <w:rPr>
          <w:color w:val="auto"/>
          <w:highlight w:val="none"/>
        </w:rPr>
      </w:pPr>
    </w:p>
    <w:p w14:paraId="385A77EC">
      <w:pPr>
        <w:spacing w:before="69" w:line="399" w:lineRule="exact"/>
        <w:ind w:left="417"/>
        <w:rPr>
          <w:rFonts w:ascii="Times New Roman" w:hAnsi="Times New Roman" w:eastAsia="Times New Roman"/>
          <w:color w:val="auto"/>
          <w:spacing w:val="-1"/>
          <w:position w:val="14"/>
          <w:highlight w:val="none"/>
        </w:rPr>
      </w:pPr>
      <w:r>
        <w:rPr>
          <w:rFonts w:ascii="Times New Roman" w:hAnsi="Times New Roman" w:eastAsia="Times New Roman"/>
          <w:color w:val="auto"/>
          <w:spacing w:val="-1"/>
          <w:position w:val="14"/>
          <w:highlight w:val="none"/>
        </w:rPr>
        <w:t>2.2</w:t>
      </w:r>
      <w:r>
        <w:rPr>
          <w:rFonts w:ascii="Times New Roman" w:hAnsi="Times New Roman" w:eastAsia="Times New Roman"/>
          <w:color w:val="auto"/>
          <w:position w:val="14"/>
          <w:highlight w:val="none"/>
        </w:rPr>
        <w:t xml:space="preserve">.1  </w:t>
      </w:r>
      <w:r>
        <w:rPr>
          <w:rFonts w:ascii="宋体" w:hAnsi="宋体" w:eastAsia="宋体"/>
          <w:color w:val="auto"/>
          <w:position w:val="14"/>
          <w:highlight w:val="none"/>
        </w:rPr>
        <w:t>分值构成</w:t>
      </w:r>
    </w:p>
    <w:p w14:paraId="05C91EBA">
      <w:pPr>
        <w:spacing w:before="1" w:line="217" w:lineRule="auto"/>
        <w:ind w:left="426"/>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1</w:t>
      </w:r>
      <w:r>
        <w:rPr>
          <w:rFonts w:ascii="宋体" w:hAnsi="宋体" w:eastAsia="宋体"/>
          <w:color w:val="auto"/>
          <w:spacing w:val="7"/>
          <w:highlight w:val="none"/>
        </w:rPr>
        <w:t>)资信业绩部分：见评标办法前附表；</w:t>
      </w:r>
    </w:p>
    <w:p w14:paraId="202F9DDB">
      <w:pPr>
        <w:spacing w:before="153" w:line="220" w:lineRule="auto"/>
        <w:ind w:left="426"/>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2</w:t>
      </w:r>
      <w:r>
        <w:rPr>
          <w:rFonts w:ascii="宋体" w:hAnsi="宋体" w:eastAsia="宋体"/>
          <w:color w:val="auto"/>
          <w:spacing w:val="7"/>
          <w:highlight w:val="none"/>
        </w:rPr>
        <w:t>)</w:t>
      </w:r>
      <w:r>
        <w:rPr>
          <w:rFonts w:hint="eastAsia" w:ascii="宋体" w:hAnsi="宋体" w:eastAsia="宋体"/>
          <w:color w:val="auto"/>
          <w:spacing w:val="7"/>
          <w:highlight w:val="none"/>
        </w:rPr>
        <w:t>勘察</w:t>
      </w:r>
      <w:r>
        <w:rPr>
          <w:rFonts w:ascii="宋体" w:hAnsi="宋体" w:eastAsia="宋体"/>
          <w:color w:val="auto"/>
          <w:spacing w:val="7"/>
          <w:highlight w:val="none"/>
        </w:rPr>
        <w:t>方案部分：见评标办法前附表；</w:t>
      </w:r>
    </w:p>
    <w:p w14:paraId="69250C08">
      <w:pPr>
        <w:spacing w:before="150" w:line="219" w:lineRule="auto"/>
        <w:ind w:left="426"/>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1"/>
          <w:highlight w:val="none"/>
        </w:rPr>
        <w:t>3</w:t>
      </w:r>
      <w:r>
        <w:rPr>
          <w:rFonts w:ascii="宋体" w:hAnsi="宋体" w:eastAsia="宋体"/>
          <w:color w:val="auto"/>
          <w:spacing w:val="8"/>
          <w:highlight w:val="none"/>
        </w:rPr>
        <w:t>)投标报价：见评标办法前附表；</w:t>
      </w:r>
    </w:p>
    <w:p w14:paraId="0BF6E243">
      <w:pPr>
        <w:spacing w:before="150" w:line="218" w:lineRule="auto"/>
        <w:ind w:left="426"/>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3"/>
          <w:highlight w:val="none"/>
        </w:rPr>
        <w:t>4</w:t>
      </w:r>
      <w:r>
        <w:rPr>
          <w:rFonts w:ascii="宋体" w:hAnsi="宋体" w:eastAsia="宋体"/>
          <w:color w:val="auto"/>
          <w:spacing w:val="8"/>
          <w:highlight w:val="none"/>
        </w:rPr>
        <w:t>)其他评分因素：见评标办法前附表。</w:t>
      </w:r>
    </w:p>
    <w:p w14:paraId="05D796A1">
      <w:pPr>
        <w:spacing w:before="153" w:line="219" w:lineRule="auto"/>
        <w:ind w:left="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 xml:space="preserve">2  </w:t>
      </w:r>
      <w:r>
        <w:rPr>
          <w:rFonts w:ascii="宋体" w:hAnsi="宋体" w:eastAsia="宋体"/>
          <w:color w:val="auto"/>
          <w:highlight w:val="none"/>
        </w:rPr>
        <w:t>评标基准价计算</w:t>
      </w:r>
    </w:p>
    <w:p w14:paraId="5C42F962">
      <w:pPr>
        <w:spacing w:before="151" w:line="399" w:lineRule="exact"/>
        <w:ind w:left="420"/>
        <w:rPr>
          <w:rFonts w:ascii="宋体" w:hAnsi="宋体" w:eastAsia="宋体"/>
          <w:color w:val="auto"/>
          <w:spacing w:val="-2"/>
          <w:position w:val="14"/>
          <w:highlight w:val="none"/>
        </w:rPr>
      </w:pPr>
      <w:r>
        <w:rPr>
          <w:rFonts w:ascii="宋体" w:hAnsi="宋体" w:eastAsia="宋体"/>
          <w:color w:val="auto"/>
          <w:spacing w:val="-2"/>
          <w:position w:val="14"/>
          <w:highlight w:val="none"/>
        </w:rPr>
        <w:t>评标基准价计算方法：见评标办法前附表</w:t>
      </w:r>
      <w:r>
        <w:rPr>
          <w:rFonts w:ascii="宋体" w:hAnsi="宋体" w:eastAsia="宋体"/>
          <w:color w:val="auto"/>
          <w:position w:val="14"/>
          <w:highlight w:val="none"/>
        </w:rPr>
        <w:t>。</w:t>
      </w:r>
    </w:p>
    <w:p w14:paraId="119627A8">
      <w:pPr>
        <w:spacing w:before="1" w:line="218" w:lineRule="auto"/>
        <w:ind w:left="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 xml:space="preserve">3  </w:t>
      </w:r>
      <w:r>
        <w:rPr>
          <w:rFonts w:ascii="宋体" w:hAnsi="宋体" w:eastAsia="宋体"/>
          <w:color w:val="auto"/>
          <w:highlight w:val="none"/>
        </w:rPr>
        <w:t>投标报价的偏差率计算</w:t>
      </w:r>
    </w:p>
    <w:p w14:paraId="7B393124">
      <w:pPr>
        <w:spacing w:before="152" w:line="400" w:lineRule="exact"/>
        <w:ind w:left="423"/>
        <w:rPr>
          <w:rFonts w:ascii="宋体" w:hAnsi="宋体" w:eastAsia="宋体"/>
          <w:color w:val="auto"/>
          <w:spacing w:val="-2"/>
          <w:position w:val="14"/>
          <w:highlight w:val="none"/>
        </w:rPr>
      </w:pPr>
      <w:r>
        <w:rPr>
          <w:rFonts w:ascii="宋体" w:hAnsi="宋体" w:eastAsia="宋体"/>
          <w:color w:val="auto"/>
          <w:spacing w:val="-2"/>
          <w:position w:val="14"/>
          <w:highlight w:val="none"/>
        </w:rPr>
        <w:t>投标报价的偏差率计算公式：见评标办</w:t>
      </w:r>
      <w:r>
        <w:rPr>
          <w:rFonts w:ascii="宋体" w:hAnsi="宋体" w:eastAsia="宋体"/>
          <w:color w:val="auto"/>
          <w:spacing w:val="-1"/>
          <w:position w:val="14"/>
          <w:highlight w:val="none"/>
        </w:rPr>
        <w:t>法前附表。</w:t>
      </w:r>
    </w:p>
    <w:p w14:paraId="22F97F9E">
      <w:pPr>
        <w:spacing w:before="1" w:line="220" w:lineRule="auto"/>
        <w:ind w:left="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 xml:space="preserve">4  </w:t>
      </w:r>
      <w:r>
        <w:rPr>
          <w:rFonts w:ascii="宋体" w:hAnsi="宋体" w:eastAsia="宋体"/>
          <w:color w:val="auto"/>
          <w:highlight w:val="none"/>
        </w:rPr>
        <w:t>评分标准</w:t>
      </w:r>
    </w:p>
    <w:p w14:paraId="2AD25F98">
      <w:pPr>
        <w:spacing w:before="148" w:line="217" w:lineRule="auto"/>
        <w:ind w:left="426"/>
        <w:rPr>
          <w:rFonts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1</w:t>
      </w:r>
      <w:r>
        <w:rPr>
          <w:rFonts w:ascii="宋体" w:hAnsi="宋体" w:eastAsia="宋体"/>
          <w:color w:val="auto"/>
          <w:spacing w:val="7"/>
          <w:highlight w:val="none"/>
        </w:rPr>
        <w:t>)资信业绩评分标准：见评标办法前附表；</w:t>
      </w:r>
    </w:p>
    <w:p w14:paraId="3317503E">
      <w:pPr>
        <w:spacing w:before="153" w:line="220" w:lineRule="auto"/>
        <w:ind w:left="426"/>
        <w:rPr>
          <w:rFonts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2</w:t>
      </w:r>
      <w:r>
        <w:rPr>
          <w:rFonts w:ascii="宋体" w:hAnsi="宋体" w:eastAsia="宋体"/>
          <w:color w:val="auto"/>
          <w:spacing w:val="7"/>
          <w:highlight w:val="none"/>
        </w:rPr>
        <w:t>)</w:t>
      </w:r>
      <w:r>
        <w:rPr>
          <w:rFonts w:hint="eastAsia" w:ascii="宋体" w:hAnsi="宋体" w:eastAsia="宋体"/>
          <w:color w:val="auto"/>
          <w:spacing w:val="7"/>
          <w:highlight w:val="none"/>
        </w:rPr>
        <w:t>勘察</w:t>
      </w:r>
      <w:r>
        <w:rPr>
          <w:rFonts w:ascii="宋体" w:hAnsi="宋体" w:eastAsia="宋体"/>
          <w:color w:val="auto"/>
          <w:spacing w:val="7"/>
          <w:highlight w:val="none"/>
        </w:rPr>
        <w:t>方案评分标准：见评标办法前附表；</w:t>
      </w:r>
    </w:p>
    <w:p w14:paraId="5249F868">
      <w:pPr>
        <w:spacing w:before="150" w:line="219" w:lineRule="auto"/>
        <w:ind w:left="426"/>
        <w:rPr>
          <w:rFonts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3</w:t>
      </w:r>
      <w:r>
        <w:rPr>
          <w:rFonts w:ascii="宋体" w:hAnsi="宋体" w:eastAsia="宋体"/>
          <w:color w:val="auto"/>
          <w:spacing w:val="7"/>
          <w:highlight w:val="none"/>
        </w:rPr>
        <w:t>)投标报价评分标准：见评标办法前附表；</w:t>
      </w:r>
    </w:p>
    <w:p w14:paraId="485E42E7">
      <w:pPr>
        <w:spacing w:before="232" w:line="218" w:lineRule="auto"/>
        <w:ind w:left="428"/>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)其他因素评分标准：见评标办法前附表</w:t>
      </w:r>
      <w:r>
        <w:rPr>
          <w:rFonts w:ascii="宋体" w:hAnsi="宋体" w:eastAsia="宋体"/>
          <w:color w:val="auto"/>
          <w:spacing w:val="5"/>
          <w:highlight w:val="none"/>
        </w:rPr>
        <w:t>。</w:t>
      </w:r>
    </w:p>
    <w:p w14:paraId="32F97D3F">
      <w:pPr>
        <w:pStyle w:val="24"/>
        <w:spacing w:before="120" w:after="120"/>
        <w:outlineLvl w:val="9"/>
        <w:rPr>
          <w:rFonts w:ascii="Times New Roman" w:hAnsi="Times New Roman" w:eastAsiaTheme="minorEastAsia"/>
          <w:bCs/>
          <w:color w:val="auto"/>
          <w:spacing w:val="9"/>
          <w:sz w:val="31"/>
          <w:szCs w:val="31"/>
          <w:highlight w:val="none"/>
        </w:rPr>
      </w:pPr>
      <w:bookmarkStart w:id="381" w:name="_Toc16620"/>
      <w:bookmarkStart w:id="382" w:name="_Toc14114"/>
      <w:bookmarkStart w:id="383" w:name="_Toc6084"/>
      <w:bookmarkStart w:id="384" w:name="_Toc15057"/>
      <w:bookmarkStart w:id="385" w:name="_Toc24443"/>
    </w:p>
    <w:p w14:paraId="3DACF967">
      <w:pPr>
        <w:pStyle w:val="24"/>
        <w:spacing w:before="120" w:after="120"/>
        <w:outlineLvl w:val="9"/>
        <w:rPr>
          <w:rFonts w:ascii="Times New Roman" w:hAnsi="Times New Roman" w:eastAsia="Times New Roman"/>
          <w:bCs/>
          <w:color w:val="auto"/>
          <w:spacing w:val="9"/>
          <w:sz w:val="31"/>
          <w:szCs w:val="31"/>
          <w:highlight w:val="none"/>
        </w:rPr>
      </w:pPr>
      <w:r>
        <w:rPr>
          <w:rFonts w:ascii="Times New Roman" w:hAnsi="Times New Roman" w:eastAsia="Times New Roman"/>
          <w:bCs/>
          <w:color w:val="auto"/>
          <w:spacing w:val="9"/>
          <w:sz w:val="31"/>
          <w:szCs w:val="31"/>
          <w:highlight w:val="none"/>
        </w:rPr>
        <w:t>3</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6"/>
          <w:sz w:val="31"/>
          <w:szCs w:val="31"/>
          <w:highlight w:val="none"/>
        </w:rPr>
        <w:t xml:space="preserve">  </w:t>
      </w:r>
      <w:r>
        <w:rPr>
          <w:rFonts w:ascii="黑体" w:hAnsi="黑体" w:eastAsia="黑体"/>
          <w:color w:val="auto"/>
          <w:spacing w:val="6"/>
          <w:sz w:val="31"/>
          <w:szCs w:val="31"/>
          <w:highlight w:val="none"/>
        </w:rPr>
        <w:t>评标程序</w:t>
      </w:r>
      <w:bookmarkEnd w:id="381"/>
      <w:bookmarkEnd w:id="382"/>
      <w:bookmarkEnd w:id="383"/>
      <w:bookmarkEnd w:id="384"/>
      <w:bookmarkEnd w:id="385"/>
    </w:p>
    <w:p w14:paraId="6B216D79">
      <w:pPr>
        <w:spacing w:line="247" w:lineRule="auto"/>
        <w:rPr>
          <w:color w:val="auto"/>
          <w:highlight w:val="none"/>
        </w:rPr>
      </w:pPr>
    </w:p>
    <w:p w14:paraId="274DD964">
      <w:pPr>
        <w:rPr>
          <w:rFonts w:ascii="Times New Roman" w:hAnsi="Times New Roman" w:eastAsia="Times New Roman"/>
          <w:color w:val="auto"/>
          <w:spacing w:val="7"/>
          <w:sz w:val="27"/>
          <w:szCs w:val="27"/>
          <w:highlight w:val="none"/>
        </w:rPr>
      </w:pPr>
      <w:bookmarkStart w:id="386" w:name="_Toc18050"/>
      <w:bookmarkStart w:id="387" w:name="_Toc6976"/>
      <w:bookmarkStart w:id="388" w:name="_Toc27749"/>
      <w:bookmarkStart w:id="389" w:name="_Toc12442"/>
      <w:bookmarkStart w:id="390" w:name="_Toc15440"/>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.1  </w:t>
      </w:r>
      <w:r>
        <w:rPr>
          <w:rFonts w:ascii="黑体" w:hAnsi="黑体" w:eastAsia="黑体"/>
          <w:color w:val="auto"/>
          <w:spacing w:val="5"/>
          <w:sz w:val="27"/>
          <w:szCs w:val="27"/>
          <w:highlight w:val="none"/>
        </w:rPr>
        <w:t>初步评审</w:t>
      </w:r>
      <w:bookmarkEnd w:id="386"/>
      <w:bookmarkEnd w:id="387"/>
      <w:bookmarkEnd w:id="388"/>
      <w:bookmarkEnd w:id="389"/>
      <w:bookmarkEnd w:id="390"/>
    </w:p>
    <w:p w14:paraId="6D3A0C90">
      <w:pPr>
        <w:spacing w:line="314" w:lineRule="auto"/>
        <w:rPr>
          <w:color w:val="auto"/>
          <w:highlight w:val="none"/>
        </w:rPr>
      </w:pPr>
    </w:p>
    <w:p w14:paraId="6323D18A">
      <w:pPr>
        <w:spacing w:before="68" w:line="352" w:lineRule="auto"/>
        <w:ind w:left="2" w:right="67" w:firstLine="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3.1.1  </w:t>
      </w:r>
      <w:r>
        <w:rPr>
          <w:rFonts w:ascii="宋体" w:hAnsi="宋体" w:eastAsia="宋体"/>
          <w:color w:val="auto"/>
          <w:spacing w:val="-2"/>
          <w:highlight w:val="none"/>
        </w:rPr>
        <w:t>评</w:t>
      </w:r>
      <w:r>
        <w:rPr>
          <w:rFonts w:ascii="宋体" w:hAnsi="宋体" w:eastAsia="宋体"/>
          <w:color w:val="auto"/>
          <w:spacing w:val="-1"/>
          <w:highlight w:val="none"/>
        </w:rPr>
        <w:t>标委员会可以要求投标人提交第二章</w:t>
      </w:r>
      <w:r>
        <w:rPr>
          <w:rFonts w:ascii="Times New Roman" w:hAnsi="Times New Roman" w:eastAsia="Times New Roman"/>
          <w:color w:val="auto"/>
          <w:spacing w:val="-1"/>
          <w:highlight w:val="none"/>
        </w:rPr>
        <w:t>“</w:t>
      </w:r>
      <w:r>
        <w:rPr>
          <w:rFonts w:ascii="宋体" w:hAnsi="宋体" w:eastAsia="宋体"/>
          <w:color w:val="auto"/>
          <w:spacing w:val="-1"/>
          <w:highlight w:val="none"/>
        </w:rPr>
        <w:t>投标人须知</w:t>
      </w:r>
      <w:r>
        <w:rPr>
          <w:rFonts w:ascii="Times New Roman" w:hAnsi="Times New Roman" w:eastAsia="Times New Roman"/>
          <w:color w:val="auto"/>
          <w:spacing w:val="-1"/>
          <w:highlight w:val="none"/>
        </w:rPr>
        <w:t>”</w:t>
      </w:r>
      <w:r>
        <w:rPr>
          <w:rFonts w:ascii="宋体" w:hAnsi="宋体" w:eastAsia="宋体"/>
          <w:color w:val="auto"/>
          <w:spacing w:val="-1"/>
          <w:highlight w:val="none"/>
        </w:rPr>
        <w:t>规定的有关证明和证件的原件，</w:t>
      </w:r>
      <w:r>
        <w:rPr>
          <w:rFonts w:ascii="宋体" w:hAnsi="宋体" w:eastAsia="宋体"/>
          <w:color w:val="auto"/>
          <w:highlight w:val="none"/>
        </w:rPr>
        <w:t xml:space="preserve"> </w:t>
      </w:r>
      <w:r>
        <w:rPr>
          <w:rFonts w:ascii="宋体" w:hAnsi="宋体" w:eastAsia="宋体"/>
          <w:color w:val="auto"/>
          <w:spacing w:val="1"/>
          <w:highlight w:val="none"/>
        </w:rPr>
        <w:t>以便核验。评标委员会依据本章</w:t>
      </w:r>
      <w:r>
        <w:rPr>
          <w:rFonts w:ascii="宋体" w:hAnsi="宋体" w:eastAsia="宋体"/>
          <w:color w:val="auto"/>
          <w:highlight w:val="none"/>
        </w:rPr>
        <w:t>第</w:t>
      </w:r>
      <w:r>
        <w:rPr>
          <w:rFonts w:ascii="Times New Roman" w:hAnsi="Times New Roman" w:eastAsia="Times New Roman"/>
          <w:color w:val="auto"/>
          <w:highlight w:val="none"/>
        </w:rPr>
        <w:t xml:space="preserve">2.1 </w:t>
      </w:r>
      <w:r>
        <w:rPr>
          <w:rFonts w:ascii="宋体" w:hAnsi="宋体" w:eastAsia="宋体"/>
          <w:color w:val="auto"/>
          <w:highlight w:val="none"/>
        </w:rPr>
        <w:t>款规定的标准对投标文件进行初步评审。有一项不符合</w:t>
      </w:r>
      <w:r>
        <w:rPr>
          <w:rFonts w:ascii="宋体" w:hAnsi="宋体" w:eastAsia="宋体"/>
          <w:color w:val="auto"/>
          <w:spacing w:val="-2"/>
          <w:highlight w:val="none"/>
        </w:rPr>
        <w:t>评审标准的，评标委员会应当否决其投标</w:t>
      </w:r>
      <w:r>
        <w:rPr>
          <w:rFonts w:ascii="宋体" w:hAnsi="宋体" w:eastAsia="宋体"/>
          <w:color w:val="auto"/>
          <w:highlight w:val="none"/>
        </w:rPr>
        <w:t>。</w:t>
      </w:r>
    </w:p>
    <w:p w14:paraId="06E57763">
      <w:pPr>
        <w:spacing w:before="1" w:line="216" w:lineRule="auto"/>
        <w:ind w:left="423"/>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3.1.2  </w:t>
      </w:r>
      <w:r>
        <w:rPr>
          <w:rFonts w:ascii="宋体" w:hAnsi="宋体" w:eastAsia="宋体"/>
          <w:color w:val="auto"/>
          <w:spacing w:val="-2"/>
          <w:highlight w:val="none"/>
        </w:rPr>
        <w:t>投标人有以下情形之一的，评标委员会</w:t>
      </w:r>
      <w:r>
        <w:rPr>
          <w:rFonts w:ascii="宋体" w:hAnsi="宋体" w:eastAsia="宋体"/>
          <w:color w:val="auto"/>
          <w:spacing w:val="-1"/>
          <w:highlight w:val="none"/>
        </w:rPr>
        <w:t>应当否决其投标：</w:t>
      </w:r>
    </w:p>
    <w:p w14:paraId="4FB30CB3">
      <w:pPr>
        <w:spacing w:before="152" w:line="352" w:lineRule="auto"/>
        <w:ind w:left="3" w:right="74" w:firstLine="424"/>
        <w:rPr>
          <w:rFonts w:ascii="宋体" w:hAnsi="宋体" w:eastAsia="宋体"/>
          <w:color w:val="auto"/>
          <w:spacing w:val="1"/>
          <w:highlight w:val="none"/>
        </w:rPr>
      </w:pPr>
      <w:r>
        <w:rPr>
          <w:rFonts w:ascii="宋体" w:hAnsi="宋体" w:eastAsia="宋体"/>
          <w:color w:val="auto"/>
          <w:spacing w:val="1"/>
          <w:highlight w:val="none"/>
        </w:rPr>
        <w:t>(</w:t>
      </w:r>
      <w:r>
        <w:rPr>
          <w:rFonts w:ascii="Times New Roman" w:hAnsi="Times New Roman" w:eastAsia="Times New Roman"/>
          <w:color w:val="auto"/>
          <w:spacing w:val="1"/>
          <w:highlight w:val="none"/>
        </w:rPr>
        <w:t>1</w:t>
      </w:r>
      <w:r>
        <w:rPr>
          <w:rFonts w:ascii="宋体" w:hAnsi="宋体" w:eastAsia="宋体"/>
          <w:color w:val="auto"/>
          <w:spacing w:val="1"/>
          <w:highlight w:val="none"/>
        </w:rPr>
        <w:t>) 投标文件没有对招标文件的</w:t>
      </w:r>
      <w:r>
        <w:rPr>
          <w:rFonts w:ascii="宋体" w:hAnsi="宋体" w:eastAsia="宋体"/>
          <w:color w:val="auto"/>
          <w:highlight w:val="none"/>
        </w:rPr>
        <w:t xml:space="preserve">实质性要求和条件作出响应，或者对招标文件的偏差超出 </w:t>
      </w:r>
      <w:r>
        <w:rPr>
          <w:rFonts w:ascii="宋体" w:hAnsi="宋体" w:eastAsia="宋体"/>
          <w:color w:val="auto"/>
          <w:spacing w:val="-6"/>
          <w:highlight w:val="none"/>
        </w:rPr>
        <w:t>招</w:t>
      </w:r>
      <w:r>
        <w:rPr>
          <w:rFonts w:ascii="宋体" w:hAnsi="宋体" w:eastAsia="宋体"/>
          <w:color w:val="auto"/>
          <w:spacing w:val="-3"/>
          <w:highlight w:val="none"/>
        </w:rPr>
        <w:t>标文件规定的偏差范围或最高项数；</w:t>
      </w:r>
    </w:p>
    <w:p w14:paraId="4EF7E770">
      <w:pPr>
        <w:spacing w:before="1" w:line="219" w:lineRule="auto"/>
        <w:ind w:left="428"/>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1"/>
          <w:highlight w:val="none"/>
        </w:rPr>
        <w:t>2</w:t>
      </w:r>
      <w:r>
        <w:rPr>
          <w:rFonts w:ascii="宋体" w:hAnsi="宋体" w:eastAsia="宋体"/>
          <w:color w:val="auto"/>
          <w:spacing w:val="7"/>
          <w:highlight w:val="none"/>
        </w:rPr>
        <w:t>)有</w:t>
      </w:r>
      <w:r>
        <w:rPr>
          <w:rFonts w:hint="eastAsia" w:ascii="宋体" w:hAnsi="宋体" w:eastAsia="宋体"/>
          <w:color w:val="auto"/>
          <w:spacing w:val="7"/>
          <w:highlight w:val="none"/>
        </w:rPr>
        <w:t>以他人名义投标、</w:t>
      </w:r>
      <w:r>
        <w:rPr>
          <w:rFonts w:ascii="宋体" w:hAnsi="宋体" w:eastAsia="宋体"/>
          <w:color w:val="auto"/>
          <w:spacing w:val="7"/>
          <w:highlight w:val="none"/>
        </w:rPr>
        <w:t>串通投标、弄虚作假、行贿等违法行为。</w:t>
      </w:r>
    </w:p>
    <w:p w14:paraId="25427D76">
      <w:pPr>
        <w:spacing w:before="152" w:line="352" w:lineRule="auto"/>
        <w:ind w:left="3" w:right="74" w:firstLine="424"/>
        <w:rPr>
          <w:rFonts w:ascii="宋体" w:hAnsi="宋体" w:eastAsia="宋体"/>
          <w:color w:val="auto"/>
          <w:spacing w:val="1"/>
          <w:highlight w:val="none"/>
        </w:rPr>
      </w:pPr>
      <w:r>
        <w:rPr>
          <w:rFonts w:ascii="宋体" w:hAnsi="宋体" w:eastAsia="宋体"/>
          <w:color w:val="auto"/>
          <w:spacing w:val="1"/>
          <w:highlight w:val="none"/>
        </w:rPr>
        <w:t>（3）以向招标人或者评标委员会成员行贿的手段谋取中标</w:t>
      </w:r>
      <w:r>
        <w:rPr>
          <w:rFonts w:hint="eastAsia" w:ascii="宋体" w:hAnsi="宋体" w:eastAsia="宋体"/>
          <w:color w:val="auto"/>
          <w:spacing w:val="1"/>
          <w:highlight w:val="none"/>
        </w:rPr>
        <w:t>。</w:t>
      </w:r>
    </w:p>
    <w:p w14:paraId="1B7877C2">
      <w:pPr>
        <w:spacing w:before="149" w:line="352" w:lineRule="auto"/>
        <w:ind w:left="6" w:right="74" w:firstLine="417"/>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1</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投标报价有算术错误及其他错误的，评标委员会按以下原则要求投标人对投标报价进</w:t>
      </w:r>
      <w:r>
        <w:rPr>
          <w:rFonts w:ascii="宋体" w:hAnsi="宋体" w:eastAsia="宋体"/>
          <w:color w:val="auto"/>
          <w:spacing w:val="-2"/>
          <w:highlight w:val="none"/>
        </w:rPr>
        <w:t>行修正，并要求投标人书面澄清确认。投</w:t>
      </w:r>
      <w:r>
        <w:rPr>
          <w:rFonts w:ascii="宋体" w:hAnsi="宋体" w:eastAsia="宋体"/>
          <w:color w:val="auto"/>
          <w:spacing w:val="-1"/>
          <w:highlight w:val="none"/>
        </w:rPr>
        <w:t>标人拒不澄清确认的，评标委员会应当否决其投标：</w:t>
      </w:r>
    </w:p>
    <w:p w14:paraId="69B87DA0">
      <w:pPr>
        <w:spacing w:before="1" w:line="218" w:lineRule="auto"/>
        <w:ind w:left="428"/>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)投标</w:t>
      </w:r>
      <w:r>
        <w:rPr>
          <w:rFonts w:ascii="宋体" w:hAnsi="宋体" w:eastAsia="宋体"/>
          <w:color w:val="auto"/>
          <w:spacing w:val="7"/>
          <w:highlight w:val="none"/>
        </w:rPr>
        <w:t>文</w:t>
      </w:r>
      <w:r>
        <w:rPr>
          <w:rFonts w:ascii="宋体" w:hAnsi="宋体" w:eastAsia="宋体"/>
          <w:color w:val="auto"/>
          <w:spacing w:val="4"/>
          <w:highlight w:val="none"/>
        </w:rPr>
        <w:t>件中的大写金额与小写金额不一致的，以大写金额为准；</w:t>
      </w:r>
    </w:p>
    <w:p w14:paraId="0B249967">
      <w:pPr>
        <w:spacing w:before="151" w:line="362" w:lineRule="auto"/>
        <w:ind w:left="7" w:right="74" w:firstLine="421"/>
        <w:rPr>
          <w:rFonts w:ascii="宋体" w:hAnsi="宋体" w:eastAsia="宋体"/>
          <w:color w:val="auto"/>
          <w:spacing w:val="-10"/>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2</w:t>
      </w:r>
      <w:r>
        <w:rPr>
          <w:rFonts w:ascii="宋体" w:hAnsi="宋体" w:eastAsia="宋体"/>
          <w:color w:val="auto"/>
          <w:spacing w:val="-8"/>
          <w:highlight w:val="none"/>
        </w:rPr>
        <w:t>) 总</w:t>
      </w:r>
      <w:r>
        <w:rPr>
          <w:rFonts w:ascii="宋体" w:hAnsi="宋体" w:eastAsia="宋体"/>
          <w:color w:val="auto"/>
          <w:spacing w:val="-6"/>
          <w:highlight w:val="none"/>
        </w:rPr>
        <w:t>价</w:t>
      </w:r>
      <w:r>
        <w:rPr>
          <w:rFonts w:ascii="宋体" w:hAnsi="宋体" w:eastAsia="宋体"/>
          <w:color w:val="auto"/>
          <w:spacing w:val="-4"/>
          <w:highlight w:val="none"/>
        </w:rPr>
        <w:t>金额与单价金额不一致的，以单价金额为准，但单价金额小数点有明显错误的除</w:t>
      </w:r>
      <w:r>
        <w:rPr>
          <w:rFonts w:ascii="宋体" w:hAnsi="宋体" w:eastAsia="宋体"/>
          <w:color w:val="auto"/>
          <w:spacing w:val="-11"/>
          <w:highlight w:val="none"/>
        </w:rPr>
        <w:t>外</w:t>
      </w:r>
      <w:r>
        <w:rPr>
          <w:rFonts w:ascii="宋体" w:hAnsi="宋体" w:eastAsia="宋体"/>
          <w:color w:val="auto"/>
          <w:spacing w:val="-10"/>
          <w:highlight w:val="none"/>
        </w:rPr>
        <w:t>。</w:t>
      </w:r>
    </w:p>
    <w:p w14:paraId="37166995">
      <w:pPr>
        <w:pStyle w:val="2"/>
        <w:rPr>
          <w:rFonts w:eastAsiaTheme="minorEastAsia"/>
          <w:color w:val="auto"/>
          <w:highlight w:val="none"/>
        </w:rPr>
      </w:pPr>
    </w:p>
    <w:p w14:paraId="0C065555">
      <w:pPr>
        <w:rPr>
          <w:rFonts w:ascii="Times New Roman" w:hAnsi="Times New Roman" w:eastAsia="Times New Roman"/>
          <w:color w:val="auto"/>
          <w:spacing w:val="7"/>
          <w:sz w:val="27"/>
          <w:szCs w:val="27"/>
          <w:highlight w:val="none"/>
        </w:rPr>
      </w:pPr>
      <w:bookmarkStart w:id="391" w:name="_Toc22441"/>
      <w:bookmarkStart w:id="392" w:name="_Toc6309"/>
      <w:bookmarkStart w:id="393" w:name="_Toc28201"/>
      <w:bookmarkStart w:id="394" w:name="_Toc11953"/>
      <w:bookmarkStart w:id="395" w:name="_Toc23010"/>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.2  </w:t>
      </w:r>
      <w:r>
        <w:rPr>
          <w:rFonts w:ascii="黑体" w:hAnsi="黑体" w:eastAsia="黑体"/>
          <w:color w:val="auto"/>
          <w:spacing w:val="5"/>
          <w:sz w:val="27"/>
          <w:szCs w:val="27"/>
          <w:highlight w:val="none"/>
        </w:rPr>
        <w:t>详细评审</w:t>
      </w:r>
      <w:bookmarkEnd w:id="391"/>
      <w:bookmarkEnd w:id="392"/>
      <w:bookmarkEnd w:id="393"/>
      <w:bookmarkEnd w:id="394"/>
      <w:bookmarkEnd w:id="395"/>
    </w:p>
    <w:p w14:paraId="12018E64">
      <w:pPr>
        <w:spacing w:line="312" w:lineRule="auto"/>
        <w:rPr>
          <w:color w:val="auto"/>
          <w:highlight w:val="none"/>
        </w:rPr>
      </w:pPr>
    </w:p>
    <w:p w14:paraId="26B5CAAF">
      <w:pPr>
        <w:tabs>
          <w:tab w:val="left" w:pos="532"/>
        </w:tabs>
        <w:spacing w:before="69" w:line="352" w:lineRule="auto"/>
        <w:ind w:left="428" w:hanging="5"/>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 xml:space="preserve">3.2.1 </w:t>
      </w:r>
      <w:r>
        <w:rPr>
          <w:rFonts w:ascii="Times New Roman" w:hAnsi="Times New Roman" w:eastAsia="Times New Roman"/>
          <w:color w:val="auto"/>
          <w:spacing w:val="-7"/>
          <w:highlight w:val="none"/>
        </w:rPr>
        <w:t xml:space="preserve"> </w:t>
      </w:r>
      <w:r>
        <w:rPr>
          <w:rFonts w:ascii="宋体" w:hAnsi="宋体" w:eastAsia="宋体"/>
          <w:color w:val="auto"/>
          <w:spacing w:val="-4"/>
          <w:highlight w:val="none"/>
        </w:rPr>
        <w:t xml:space="preserve">评标委员会按本章第 </w:t>
      </w:r>
      <w:r>
        <w:rPr>
          <w:rFonts w:ascii="Times New Roman" w:hAnsi="Times New Roman" w:eastAsia="Times New Roman"/>
          <w:color w:val="auto"/>
          <w:spacing w:val="-4"/>
          <w:highlight w:val="none"/>
        </w:rPr>
        <w:t xml:space="preserve">2.2 </w:t>
      </w:r>
      <w:r>
        <w:rPr>
          <w:rFonts w:ascii="宋体" w:hAnsi="宋体" w:eastAsia="宋体"/>
          <w:color w:val="auto"/>
          <w:spacing w:val="-4"/>
          <w:highlight w:val="none"/>
        </w:rPr>
        <w:t>款规定的量化因素和分值进行打分，并计算出综合评估得分。</w:t>
      </w:r>
      <w:r>
        <w:rPr>
          <w:rFonts w:ascii="宋体" w:hAnsi="宋体" w:eastAsia="宋体"/>
          <w:color w:val="auto"/>
          <w:highlight w:val="none"/>
        </w:rPr>
        <w:t xml:space="preserve"> </w:t>
      </w:r>
      <w:r>
        <w:rPr>
          <w:rFonts w:ascii="宋体" w:hAnsi="宋体" w:eastAsia="宋体"/>
          <w:color w:val="auto"/>
          <w:highlight w:val="none"/>
        </w:rPr>
        <w:tab/>
      </w:r>
      <w:r>
        <w:rPr>
          <w:rFonts w:ascii="宋体" w:hAnsi="宋体" w:eastAsia="宋体"/>
          <w:color w:val="auto"/>
          <w:spacing w:val="4"/>
          <w:highlight w:val="none"/>
        </w:rPr>
        <w:t>(</w:t>
      </w:r>
      <w:r>
        <w:rPr>
          <w:rFonts w:ascii="Times New Roman" w:hAnsi="Times New Roman" w:eastAsia="Times New Roman"/>
          <w:color w:val="auto"/>
          <w:spacing w:val="4"/>
          <w:highlight w:val="none"/>
        </w:rPr>
        <w:t>1</w:t>
      </w:r>
      <w:r>
        <w:rPr>
          <w:rFonts w:ascii="宋体" w:hAnsi="宋体" w:eastAsia="宋体"/>
          <w:color w:val="auto"/>
          <w:spacing w:val="3"/>
          <w:highlight w:val="none"/>
        </w:rPr>
        <w:t>)</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1</w:t>
      </w:r>
      <w:r>
        <w:rPr>
          <w:rFonts w:ascii="宋体" w:hAnsi="宋体" w:eastAsia="宋体"/>
          <w:color w:val="auto"/>
          <w:spacing w:val="2"/>
          <w:highlight w:val="none"/>
        </w:rPr>
        <w:t>)目规定的评审因素和分值对资信业绩部分计算出得分</w:t>
      </w:r>
      <w:r>
        <w:rPr>
          <w:rFonts w:ascii="Times New Roman" w:hAnsi="Times New Roman" w:eastAsia="Times New Roman"/>
          <w:color w:val="auto"/>
          <w:highlight w:val="none"/>
        </w:rPr>
        <w:t>A</w:t>
      </w:r>
      <w:r>
        <w:rPr>
          <w:rFonts w:hint="eastAsia" w:ascii="Times New Roman" w:hAnsi="Times New Roman" w:eastAsia="宋体"/>
          <w:color w:val="auto"/>
          <w:highlight w:val="none"/>
        </w:rPr>
        <w:t>，</w:t>
      </w:r>
      <w:r>
        <w:rPr>
          <w:rFonts w:hint="eastAsia" w:ascii="宋体" w:hAnsi="宋体" w:eastAsia="宋体"/>
          <w:color w:val="auto"/>
          <w:highlight w:val="none"/>
          <w:u w:val="single"/>
        </w:rPr>
        <w:t>资信业绩部分评审得分</w:t>
      </w:r>
      <w:r>
        <w:rPr>
          <w:color w:val="auto"/>
          <w:highlight w:val="none"/>
          <w:u w:val="single"/>
        </w:rPr>
        <w:t>A</w:t>
      </w:r>
      <w:r>
        <w:rPr>
          <w:rFonts w:hint="eastAsia"/>
          <w:color w:val="auto"/>
          <w:highlight w:val="none"/>
          <w:u w:val="single"/>
        </w:rPr>
        <w:t>为各评标专家打分的算术平均</w:t>
      </w:r>
      <w:r>
        <w:rPr>
          <w:rFonts w:hint="eastAsia" w:ascii="宋体" w:hAnsi="宋体" w:eastAsia="宋体"/>
          <w:color w:val="auto"/>
          <w:highlight w:val="none"/>
          <w:u w:val="single"/>
        </w:rPr>
        <w:t>值</w:t>
      </w:r>
      <w:r>
        <w:rPr>
          <w:rFonts w:ascii="宋体" w:hAnsi="宋体" w:eastAsia="宋体"/>
          <w:color w:val="auto"/>
          <w:spacing w:val="2"/>
          <w:highlight w:val="none"/>
        </w:rPr>
        <w:t>；</w:t>
      </w:r>
    </w:p>
    <w:p w14:paraId="1BAD94FB">
      <w:pPr>
        <w:tabs>
          <w:tab w:val="left" w:pos="532"/>
        </w:tabs>
        <w:spacing w:before="69" w:line="352" w:lineRule="auto"/>
        <w:ind w:left="428" w:hanging="5"/>
        <w:rPr>
          <w:rFonts w:ascii="宋体" w:hAnsi="宋体" w:eastAsia="宋体"/>
          <w:color w:val="auto"/>
          <w:spacing w:val="2"/>
          <w:highlight w:val="none"/>
        </w:rPr>
      </w:pP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)目规定</w:t>
      </w:r>
      <w:r>
        <w:rPr>
          <w:rFonts w:ascii="宋体" w:hAnsi="宋体" w:eastAsia="宋体"/>
          <w:color w:val="auto"/>
          <w:spacing w:val="1"/>
          <w:highlight w:val="none"/>
        </w:rPr>
        <w:t>的评审因素和分值对</w:t>
      </w:r>
      <w:r>
        <w:rPr>
          <w:rFonts w:hint="eastAsia" w:ascii="宋体" w:hAnsi="宋体" w:eastAsia="宋体"/>
          <w:color w:val="auto"/>
          <w:spacing w:val="1"/>
          <w:highlight w:val="none"/>
        </w:rPr>
        <w:t>勘察</w:t>
      </w:r>
      <w:r>
        <w:rPr>
          <w:rFonts w:ascii="宋体" w:hAnsi="宋体" w:eastAsia="宋体"/>
          <w:color w:val="auto"/>
          <w:spacing w:val="1"/>
          <w:highlight w:val="none"/>
        </w:rPr>
        <w:t>设计方案部分计算出得分</w:t>
      </w:r>
      <w:r>
        <w:rPr>
          <w:rFonts w:ascii="Times New Roman" w:hAnsi="Times New Roman" w:eastAsia="Times New Roman"/>
          <w:color w:val="auto"/>
          <w:highlight w:val="none"/>
        </w:rPr>
        <w:t>B</w:t>
      </w:r>
      <w:r>
        <w:rPr>
          <w:color w:val="auto"/>
          <w:highlight w:val="none"/>
        </w:rPr>
        <w:t>，</w:t>
      </w:r>
      <w:r>
        <w:rPr>
          <w:rFonts w:hint="eastAsia"/>
          <w:color w:val="auto"/>
          <w:highlight w:val="none"/>
          <w:u w:val="single"/>
        </w:rPr>
        <w:t>勘察设计方案</w:t>
      </w:r>
      <w:r>
        <w:rPr>
          <w:color w:val="auto"/>
          <w:highlight w:val="none"/>
          <w:u w:val="single"/>
        </w:rPr>
        <w:t>部分评审得分</w:t>
      </w:r>
      <w:r>
        <w:rPr>
          <w:color w:val="auto"/>
          <w:highlight w:val="none"/>
        </w:rPr>
        <w:t>B</w:t>
      </w:r>
      <w:r>
        <w:rPr>
          <w:color w:val="auto"/>
          <w:highlight w:val="none"/>
          <w:u w:val="single"/>
        </w:rPr>
        <w:t>为从各评标专家打分中去掉一个最高分和去掉一个最低分后的剩余评标专家打分的算术平均值</w:t>
      </w:r>
      <w:r>
        <w:rPr>
          <w:rFonts w:ascii="宋体" w:hAnsi="宋体" w:eastAsia="宋体"/>
          <w:color w:val="auto"/>
          <w:spacing w:val="1"/>
          <w:highlight w:val="none"/>
        </w:rPr>
        <w:t>；</w:t>
      </w:r>
    </w:p>
    <w:p w14:paraId="6C533A41">
      <w:pPr>
        <w:tabs>
          <w:tab w:val="left" w:pos="532"/>
        </w:tabs>
        <w:spacing w:before="69" w:line="352" w:lineRule="auto"/>
        <w:ind w:left="428" w:hanging="5"/>
        <w:rPr>
          <w:rFonts w:ascii="宋体" w:hAnsi="宋体" w:eastAsia="宋体"/>
          <w:color w:val="auto"/>
          <w:spacing w:val="4"/>
          <w:highlight w:val="none"/>
        </w:rPr>
      </w:pPr>
      <w:r>
        <w:rPr>
          <w:rFonts w:ascii="宋体" w:hAnsi="宋体" w:eastAsia="宋体"/>
          <w:color w:val="auto"/>
          <w:spacing w:val="4"/>
          <w:highlight w:val="none"/>
        </w:rPr>
        <w:t>(</w:t>
      </w:r>
      <w:r>
        <w:rPr>
          <w:rFonts w:ascii="Times New Roman" w:hAnsi="Times New Roman" w:eastAsia="Times New Roman"/>
          <w:color w:val="auto"/>
          <w:spacing w:val="4"/>
          <w:highlight w:val="none"/>
        </w:rPr>
        <w:t>3</w:t>
      </w:r>
      <w:r>
        <w:rPr>
          <w:rFonts w:ascii="宋体" w:hAnsi="宋体" w:eastAsia="宋体"/>
          <w:color w:val="auto"/>
          <w:spacing w:val="4"/>
          <w:highlight w:val="none"/>
        </w:rPr>
        <w:t>)按</w:t>
      </w:r>
      <w:r>
        <w:rPr>
          <w:rFonts w:ascii="宋体" w:hAnsi="宋体" w:eastAsia="宋体"/>
          <w:color w:val="auto"/>
          <w:spacing w:val="3"/>
          <w:highlight w:val="none"/>
        </w:rPr>
        <w:t>本</w:t>
      </w:r>
      <w:r>
        <w:rPr>
          <w:rFonts w:ascii="宋体" w:hAnsi="宋体" w:eastAsia="宋体"/>
          <w:color w:val="auto"/>
          <w:spacing w:val="2"/>
          <w:highlight w:val="none"/>
        </w:rPr>
        <w:t xml:space="preserve">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3</w:t>
      </w:r>
      <w:r>
        <w:rPr>
          <w:rFonts w:ascii="宋体" w:hAnsi="宋体" w:eastAsia="宋体"/>
          <w:color w:val="auto"/>
          <w:spacing w:val="2"/>
          <w:highlight w:val="none"/>
        </w:rPr>
        <w:t>)目规定的评审因素和分值对投标报价计算出得分</w:t>
      </w:r>
      <w:r>
        <w:rPr>
          <w:rFonts w:ascii="Times New Roman" w:hAnsi="Times New Roman" w:eastAsia="Times New Roman"/>
          <w:color w:val="auto"/>
          <w:highlight w:val="none"/>
        </w:rPr>
        <w:t>C</w:t>
      </w:r>
      <w:r>
        <w:rPr>
          <w:rFonts w:ascii="宋体" w:hAnsi="宋体" w:eastAsia="宋体"/>
          <w:color w:val="auto"/>
          <w:spacing w:val="2"/>
          <w:highlight w:val="none"/>
        </w:rPr>
        <w:t>；</w:t>
      </w:r>
      <w:r>
        <w:rPr>
          <w:rFonts w:ascii="宋体" w:hAnsi="宋体" w:eastAsia="宋体"/>
          <w:color w:val="auto"/>
          <w:highlight w:val="none"/>
        </w:rPr>
        <w:t xml:space="preserve">           </w:t>
      </w:r>
    </w:p>
    <w:p w14:paraId="1641E0FD">
      <w:pPr>
        <w:tabs>
          <w:tab w:val="left" w:pos="532"/>
        </w:tabs>
        <w:spacing w:before="69" w:line="352" w:lineRule="auto"/>
        <w:ind w:left="428" w:hanging="5"/>
        <w:rPr>
          <w:rFonts w:ascii="宋体" w:hAnsi="宋体" w:eastAsia="宋体"/>
          <w:strike/>
          <w:color w:val="auto"/>
          <w:spacing w:val="8"/>
          <w:highlight w:val="none"/>
        </w:rPr>
      </w:pPr>
      <w:r>
        <w:rPr>
          <w:rFonts w:ascii="宋体" w:hAnsi="宋体" w:eastAsia="宋体"/>
          <w:strike/>
          <w:color w:val="auto"/>
          <w:spacing w:val="8"/>
          <w:highlight w:val="none"/>
        </w:rPr>
        <w:t>(</w:t>
      </w:r>
      <w:r>
        <w:rPr>
          <w:rFonts w:ascii="Times New Roman" w:hAnsi="Times New Roman" w:eastAsia="Times New Roman"/>
          <w:strike/>
          <w:color w:val="auto"/>
          <w:spacing w:val="8"/>
          <w:highlight w:val="none"/>
        </w:rPr>
        <w:t>4</w:t>
      </w:r>
      <w:r>
        <w:rPr>
          <w:rFonts w:ascii="宋体" w:hAnsi="宋体" w:eastAsia="宋体"/>
          <w:strike/>
          <w:color w:val="auto"/>
          <w:spacing w:val="8"/>
          <w:highlight w:val="none"/>
        </w:rPr>
        <w:t>)按本章第</w:t>
      </w:r>
      <w:r>
        <w:rPr>
          <w:rFonts w:ascii="宋体" w:hAnsi="宋体" w:eastAsia="宋体"/>
          <w:strike/>
          <w:color w:val="auto"/>
          <w:spacing w:val="7"/>
          <w:highlight w:val="none"/>
        </w:rPr>
        <w:t xml:space="preserve"> </w:t>
      </w:r>
      <w:r>
        <w:rPr>
          <w:rFonts w:ascii="Times New Roman" w:hAnsi="Times New Roman" w:eastAsia="Times New Roman"/>
          <w:strike/>
          <w:color w:val="auto"/>
          <w:spacing w:val="4"/>
          <w:highlight w:val="none"/>
        </w:rPr>
        <w:t xml:space="preserve">2.2.4  </w:t>
      </w:r>
      <w:r>
        <w:rPr>
          <w:rFonts w:ascii="宋体" w:hAnsi="宋体" w:eastAsia="宋体"/>
          <w:strike/>
          <w:color w:val="auto"/>
          <w:spacing w:val="4"/>
          <w:highlight w:val="none"/>
        </w:rPr>
        <w:t>(</w:t>
      </w:r>
      <w:r>
        <w:rPr>
          <w:rFonts w:ascii="Times New Roman" w:hAnsi="Times New Roman" w:eastAsia="Times New Roman"/>
          <w:strike/>
          <w:color w:val="auto"/>
          <w:spacing w:val="4"/>
          <w:highlight w:val="none"/>
        </w:rPr>
        <w:t>4</w:t>
      </w:r>
      <w:r>
        <w:rPr>
          <w:rFonts w:ascii="宋体" w:hAnsi="宋体" w:eastAsia="宋体"/>
          <w:strike/>
          <w:color w:val="auto"/>
          <w:spacing w:val="4"/>
          <w:highlight w:val="none"/>
        </w:rPr>
        <w:t>)目规定的评审因素和分值对其他部分计算出得分</w:t>
      </w:r>
      <w:r>
        <w:rPr>
          <w:rFonts w:ascii="Times New Roman" w:hAnsi="Times New Roman" w:eastAsia="Times New Roman"/>
          <w:strike/>
          <w:color w:val="auto"/>
          <w:highlight w:val="none"/>
        </w:rPr>
        <w:t>D</w:t>
      </w:r>
      <w:r>
        <w:rPr>
          <w:rFonts w:ascii="宋体" w:hAnsi="宋体" w:eastAsia="宋体"/>
          <w:strike/>
          <w:color w:val="auto"/>
          <w:spacing w:val="4"/>
          <w:highlight w:val="none"/>
        </w:rPr>
        <w:t>。</w:t>
      </w:r>
    </w:p>
    <w:p w14:paraId="6CD63186">
      <w:pPr>
        <w:spacing w:before="1"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3.2.2  </w:t>
      </w:r>
      <w:r>
        <w:rPr>
          <w:rFonts w:ascii="宋体" w:hAnsi="宋体" w:eastAsia="宋体"/>
          <w:color w:val="auto"/>
          <w:spacing w:val="-1"/>
          <w:highlight w:val="none"/>
        </w:rPr>
        <w:t>评分</w:t>
      </w:r>
      <w:r>
        <w:rPr>
          <w:rFonts w:ascii="宋体" w:hAnsi="宋体" w:eastAsia="宋体"/>
          <w:color w:val="auto"/>
          <w:highlight w:val="none"/>
        </w:rPr>
        <w:t>分值计算保留小数点后两位，小数点后第三位</w:t>
      </w:r>
      <w:r>
        <w:rPr>
          <w:rFonts w:ascii="Times New Roman" w:hAnsi="Times New Roman" w:eastAsia="Times New Roman"/>
          <w:color w:val="auto"/>
          <w:highlight w:val="none"/>
        </w:rPr>
        <w:t>“</w:t>
      </w:r>
      <w:r>
        <w:rPr>
          <w:rFonts w:ascii="宋体" w:hAnsi="宋体" w:eastAsia="宋体"/>
          <w:color w:val="auto"/>
          <w:highlight w:val="none"/>
        </w:rPr>
        <w:t>四舍五入</w:t>
      </w:r>
      <w:r>
        <w:rPr>
          <w:rFonts w:ascii="Times New Roman" w:hAnsi="Times New Roman" w:eastAsia="Times New Roman"/>
          <w:color w:val="auto"/>
          <w:highlight w:val="none"/>
        </w:rPr>
        <w:t>”</w:t>
      </w:r>
      <w:r>
        <w:rPr>
          <w:rFonts w:ascii="宋体" w:hAnsi="宋体" w:eastAsia="宋体"/>
          <w:color w:val="auto"/>
          <w:highlight w:val="none"/>
        </w:rPr>
        <w:t>。</w:t>
      </w:r>
    </w:p>
    <w:p w14:paraId="72B6D927">
      <w:pPr>
        <w:spacing w:before="150"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3.2.3  </w:t>
      </w:r>
      <w:r>
        <w:rPr>
          <w:rFonts w:ascii="宋体" w:hAnsi="宋体" w:eastAsia="宋体"/>
          <w:color w:val="auto"/>
          <w:spacing w:val="-1"/>
          <w:highlight w:val="none"/>
        </w:rPr>
        <w:t>投标</w:t>
      </w:r>
      <w:r>
        <w:rPr>
          <w:rFonts w:ascii="宋体" w:hAnsi="宋体" w:eastAsia="宋体"/>
          <w:color w:val="auto"/>
          <w:highlight w:val="none"/>
        </w:rPr>
        <w:t>人得分</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A+B+C</w:t>
      </w:r>
      <w:r>
        <w:rPr>
          <w:rFonts w:ascii="宋体" w:hAnsi="宋体" w:eastAsia="宋体"/>
          <w:color w:val="auto"/>
          <w:highlight w:val="none"/>
        </w:rPr>
        <w:t>。</w:t>
      </w:r>
    </w:p>
    <w:p w14:paraId="3425CDFE">
      <w:pPr>
        <w:spacing w:before="148" w:line="357" w:lineRule="auto"/>
        <w:ind w:left="5" w:firstLine="417"/>
        <w:rPr>
          <w:rFonts w:ascii="宋体" w:hAnsi="宋体" w:eastAsia="宋体"/>
          <w:color w:val="auto"/>
          <w:spacing w:val="-7"/>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2</w:t>
      </w:r>
      <w:r>
        <w:rPr>
          <w:rFonts w:ascii="Times New Roman" w:hAnsi="Times New Roman" w:eastAsia="Times New Roman"/>
          <w:color w:val="auto"/>
          <w:spacing w:val="-4"/>
          <w:highlight w:val="none"/>
        </w:rPr>
        <w:t xml:space="preserve">.4  </w:t>
      </w:r>
      <w:r>
        <w:rPr>
          <w:rFonts w:ascii="宋体" w:hAnsi="宋体" w:eastAsia="宋体"/>
          <w:color w:val="auto"/>
          <w:spacing w:val="-4"/>
          <w:highlight w:val="none"/>
        </w:rPr>
        <w:t>评标委员会发现投标人的报价明显低于其他投标报价， 使得其投标报价可能低于其个</w:t>
      </w:r>
      <w:r>
        <w:rPr>
          <w:rFonts w:ascii="宋体" w:hAnsi="宋体" w:eastAsia="宋体"/>
          <w:color w:val="auto"/>
          <w:highlight w:val="none"/>
        </w:rPr>
        <w:t xml:space="preserve"> </w:t>
      </w:r>
      <w:r>
        <w:rPr>
          <w:rFonts w:ascii="宋体" w:hAnsi="宋体" w:eastAsia="宋体"/>
          <w:color w:val="auto"/>
          <w:spacing w:val="1"/>
          <w:highlight w:val="none"/>
        </w:rPr>
        <w:t>别成本的，应当要求该投标人</w:t>
      </w:r>
      <w:r>
        <w:rPr>
          <w:rFonts w:ascii="宋体" w:hAnsi="宋体" w:eastAsia="宋体"/>
          <w:color w:val="auto"/>
          <w:highlight w:val="none"/>
        </w:rPr>
        <w:t xml:space="preserve">作出书面说明并提供相应的证明材料。投标人不能合理说明或者 </w:t>
      </w:r>
      <w:r>
        <w:rPr>
          <w:rFonts w:ascii="宋体" w:hAnsi="宋体" w:eastAsia="宋体"/>
          <w:color w:val="auto"/>
          <w:spacing w:val="-14"/>
          <w:highlight w:val="none"/>
        </w:rPr>
        <w:t>不能</w:t>
      </w:r>
      <w:r>
        <w:rPr>
          <w:rFonts w:ascii="宋体" w:hAnsi="宋体" w:eastAsia="宋体"/>
          <w:color w:val="auto"/>
          <w:spacing w:val="-11"/>
          <w:highlight w:val="none"/>
        </w:rPr>
        <w:t>提</w:t>
      </w:r>
      <w:r>
        <w:rPr>
          <w:rFonts w:ascii="宋体" w:hAnsi="宋体" w:eastAsia="宋体"/>
          <w:color w:val="auto"/>
          <w:spacing w:val="-7"/>
          <w:highlight w:val="none"/>
        </w:rPr>
        <w:t>供相应证明材料的，评标委员会应当认定该投标人以低于成本报价竞标，并否决其投标。</w:t>
      </w:r>
    </w:p>
    <w:p w14:paraId="5CCDFA01">
      <w:pPr>
        <w:pStyle w:val="2"/>
        <w:rPr>
          <w:rFonts w:eastAsiaTheme="minorEastAsia"/>
          <w:color w:val="auto"/>
          <w:highlight w:val="none"/>
        </w:rPr>
      </w:pPr>
    </w:p>
    <w:p w14:paraId="59903FC0">
      <w:pPr>
        <w:rPr>
          <w:rFonts w:ascii="Times New Roman" w:hAnsi="Times New Roman" w:eastAsia="Times New Roman"/>
          <w:color w:val="auto"/>
          <w:spacing w:val="10"/>
          <w:sz w:val="27"/>
          <w:szCs w:val="27"/>
          <w:highlight w:val="none"/>
        </w:rPr>
      </w:pPr>
      <w:bookmarkStart w:id="396" w:name="_Toc4481"/>
      <w:bookmarkStart w:id="397" w:name="_Toc6194"/>
      <w:bookmarkStart w:id="398" w:name="_Toc19706"/>
      <w:bookmarkStart w:id="399" w:name="_Toc31386"/>
      <w:bookmarkStart w:id="400" w:name="_Toc28101"/>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 xml:space="preserve">.3  </w:t>
      </w:r>
      <w:r>
        <w:rPr>
          <w:rFonts w:ascii="黑体" w:hAnsi="黑体" w:eastAsia="黑体"/>
          <w:color w:val="auto"/>
          <w:spacing w:val="6"/>
          <w:sz w:val="27"/>
          <w:szCs w:val="27"/>
          <w:highlight w:val="none"/>
        </w:rPr>
        <w:t>投标文件的澄清</w:t>
      </w:r>
      <w:bookmarkEnd w:id="396"/>
      <w:bookmarkEnd w:id="397"/>
      <w:bookmarkEnd w:id="398"/>
      <w:bookmarkEnd w:id="399"/>
      <w:bookmarkEnd w:id="400"/>
    </w:p>
    <w:p w14:paraId="2E0C8ECC">
      <w:pPr>
        <w:spacing w:line="314" w:lineRule="auto"/>
        <w:rPr>
          <w:color w:val="auto"/>
          <w:highlight w:val="none"/>
        </w:rPr>
      </w:pPr>
    </w:p>
    <w:p w14:paraId="609CD6D1">
      <w:pPr>
        <w:spacing w:before="68" w:line="352" w:lineRule="auto"/>
        <w:ind w:right="73" w:firstLine="420"/>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4"/>
          <w:highlight w:val="none"/>
        </w:rPr>
        <w:t xml:space="preserve">3.1  </w:t>
      </w:r>
      <w:r>
        <w:rPr>
          <w:rFonts w:ascii="宋体" w:hAnsi="宋体" w:eastAsia="宋体"/>
          <w:color w:val="auto"/>
          <w:spacing w:val="-4"/>
          <w:highlight w:val="none"/>
        </w:rPr>
        <w:t>在评标过程中，</w:t>
      </w:r>
      <w:r>
        <w:rPr>
          <w:rFonts w:hint="eastAsia" w:ascii="宋体" w:hAnsi="宋体" w:eastAsia="宋体"/>
          <w:color w:val="auto"/>
          <w:highlight w:val="none"/>
        </w:rPr>
        <w:t>经评标委员会中两人以上（含两人）以书面形式提出动议，评标委员会</w:t>
      </w:r>
      <w:r>
        <w:rPr>
          <w:rFonts w:ascii="宋体" w:hAnsi="宋体" w:eastAsia="宋体"/>
          <w:color w:val="auto"/>
          <w:spacing w:val="-4"/>
          <w:highlight w:val="none"/>
        </w:rPr>
        <w:t>可以书面形式要求投标人对投标文件中含义不明确、对同</w:t>
      </w:r>
      <w:r>
        <w:rPr>
          <w:rFonts w:ascii="宋体" w:hAnsi="宋体" w:eastAsia="宋体"/>
          <w:color w:val="auto"/>
          <w:highlight w:val="none"/>
        </w:rPr>
        <w:t xml:space="preserve"> </w:t>
      </w:r>
      <w:r>
        <w:rPr>
          <w:rFonts w:ascii="宋体" w:hAnsi="宋体" w:eastAsia="宋体"/>
          <w:color w:val="auto"/>
          <w:spacing w:val="1"/>
          <w:highlight w:val="none"/>
        </w:rPr>
        <w:t>类问题表述不一致或者有明显文字</w:t>
      </w:r>
      <w:r>
        <w:rPr>
          <w:rFonts w:ascii="宋体" w:hAnsi="宋体" w:eastAsia="宋体"/>
          <w:color w:val="auto"/>
          <w:highlight w:val="none"/>
        </w:rPr>
        <w:t xml:space="preserve">和计算错误的内容作必要的澄清、说明或补正。澄清、说明 </w:t>
      </w:r>
      <w:r>
        <w:rPr>
          <w:rFonts w:ascii="宋体" w:hAnsi="宋体" w:eastAsia="宋体"/>
          <w:color w:val="auto"/>
          <w:spacing w:val="-1"/>
          <w:highlight w:val="none"/>
        </w:rPr>
        <w:t>或补正应以书面方式进行。评标委员会不接受投标人主动提出的澄清、说明或补正。</w:t>
      </w:r>
    </w:p>
    <w:p w14:paraId="1D971687">
      <w:pPr>
        <w:spacing w:before="1" w:line="351" w:lineRule="auto"/>
        <w:ind w:left="1" w:right="73" w:firstLine="418"/>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4"/>
          <w:highlight w:val="none"/>
        </w:rPr>
        <w:t xml:space="preserve">3.2  </w:t>
      </w:r>
      <w:r>
        <w:rPr>
          <w:rFonts w:ascii="宋体" w:hAnsi="宋体" w:eastAsia="宋体"/>
          <w:color w:val="auto"/>
          <w:spacing w:val="-4"/>
          <w:highlight w:val="none"/>
        </w:rPr>
        <w:t>澄清、说明或补正不得超出投标文件的范围且不得改变投标文件的实质性内容， 并构</w:t>
      </w:r>
      <w:r>
        <w:rPr>
          <w:rFonts w:ascii="宋体" w:hAnsi="宋体" w:eastAsia="宋体"/>
          <w:color w:val="auto"/>
          <w:highlight w:val="none"/>
        </w:rPr>
        <w:t xml:space="preserve"> </w:t>
      </w:r>
      <w:r>
        <w:rPr>
          <w:rFonts w:ascii="宋体" w:hAnsi="宋体" w:eastAsia="宋体"/>
          <w:color w:val="auto"/>
          <w:spacing w:val="-6"/>
          <w:highlight w:val="none"/>
        </w:rPr>
        <w:t>成</w:t>
      </w:r>
      <w:r>
        <w:rPr>
          <w:rFonts w:ascii="宋体" w:hAnsi="宋体" w:eastAsia="宋体"/>
          <w:color w:val="auto"/>
          <w:spacing w:val="-3"/>
          <w:highlight w:val="none"/>
        </w:rPr>
        <w:t>投标文件的组成部分。</w:t>
      </w:r>
    </w:p>
    <w:p w14:paraId="2CB866E0">
      <w:pPr>
        <w:spacing w:before="1" w:line="358" w:lineRule="auto"/>
        <w:ind w:left="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3</w:t>
      </w:r>
      <w:r>
        <w:rPr>
          <w:rFonts w:ascii="Times New Roman" w:hAnsi="Times New Roman" w:eastAsia="Times New Roman"/>
          <w:color w:val="auto"/>
          <w:spacing w:val="-7"/>
          <w:highlight w:val="none"/>
        </w:rPr>
        <w:t xml:space="preserve">.3.3  </w:t>
      </w:r>
      <w:r>
        <w:rPr>
          <w:rFonts w:ascii="宋体" w:hAnsi="宋体" w:eastAsia="宋体"/>
          <w:color w:val="auto"/>
          <w:spacing w:val="-7"/>
          <w:highlight w:val="none"/>
        </w:rPr>
        <w:t>评标委员会对投标人提交的澄清、说明或补正有疑问的，可以要求投标人进一步澄清、</w:t>
      </w:r>
      <w:r>
        <w:rPr>
          <w:rFonts w:ascii="宋体" w:hAnsi="宋体" w:eastAsia="宋体"/>
          <w:color w:val="auto"/>
          <w:highlight w:val="none"/>
        </w:rPr>
        <w:t xml:space="preserve"> </w:t>
      </w:r>
      <w:r>
        <w:rPr>
          <w:rFonts w:ascii="宋体" w:hAnsi="宋体" w:eastAsia="宋体"/>
          <w:color w:val="auto"/>
          <w:spacing w:val="-3"/>
          <w:highlight w:val="none"/>
        </w:rPr>
        <w:t>说</w:t>
      </w:r>
      <w:r>
        <w:rPr>
          <w:rFonts w:ascii="宋体" w:hAnsi="宋体" w:eastAsia="宋体"/>
          <w:color w:val="auto"/>
          <w:spacing w:val="-2"/>
          <w:highlight w:val="none"/>
        </w:rPr>
        <w:t>明或补正，直至满足评标委员会的要求。</w:t>
      </w:r>
    </w:p>
    <w:p w14:paraId="1B18D48B">
      <w:pPr>
        <w:rPr>
          <w:rFonts w:ascii="Times New Roman" w:hAnsi="Times New Roman" w:eastAsiaTheme="minorEastAsia"/>
          <w:color w:val="auto"/>
          <w:spacing w:val="7"/>
          <w:sz w:val="27"/>
          <w:szCs w:val="27"/>
          <w:highlight w:val="none"/>
        </w:rPr>
      </w:pPr>
      <w:bookmarkStart w:id="401" w:name="_Toc15725"/>
      <w:bookmarkStart w:id="402" w:name="_Toc19969"/>
      <w:bookmarkStart w:id="403" w:name="_Toc22248"/>
      <w:bookmarkStart w:id="404" w:name="_Toc12541"/>
      <w:bookmarkStart w:id="405" w:name="_Toc17553"/>
    </w:p>
    <w:p w14:paraId="76A63317">
      <w:pPr>
        <w:rPr>
          <w:rFonts w:ascii="Times New Roman" w:hAnsi="Times New Roman" w:eastAsia="Times New Roman"/>
          <w:color w:val="auto"/>
          <w:spacing w:val="7"/>
          <w:sz w:val="27"/>
          <w:szCs w:val="27"/>
          <w:highlight w:val="none"/>
        </w:rPr>
      </w:pPr>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.4  </w:t>
      </w:r>
      <w:r>
        <w:rPr>
          <w:rFonts w:ascii="黑体" w:hAnsi="黑体" w:eastAsia="黑体"/>
          <w:color w:val="auto"/>
          <w:spacing w:val="5"/>
          <w:sz w:val="27"/>
          <w:szCs w:val="27"/>
          <w:highlight w:val="none"/>
        </w:rPr>
        <w:t>评标结果</w:t>
      </w:r>
      <w:bookmarkEnd w:id="401"/>
      <w:bookmarkEnd w:id="402"/>
      <w:bookmarkEnd w:id="403"/>
      <w:bookmarkEnd w:id="404"/>
      <w:bookmarkEnd w:id="405"/>
    </w:p>
    <w:p w14:paraId="16EB0B13">
      <w:pPr>
        <w:spacing w:line="315" w:lineRule="auto"/>
        <w:rPr>
          <w:color w:val="auto"/>
          <w:highlight w:val="none"/>
        </w:rPr>
      </w:pPr>
    </w:p>
    <w:p w14:paraId="0495B1AF">
      <w:pPr>
        <w:spacing w:before="68" w:line="352" w:lineRule="auto"/>
        <w:ind w:left="17" w:right="72" w:firstLine="403"/>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3.4.1  </w:t>
      </w:r>
      <w:r>
        <w:rPr>
          <w:rFonts w:ascii="宋体" w:hAnsi="宋体" w:eastAsia="宋体"/>
          <w:color w:val="auto"/>
          <w:spacing w:val="-2"/>
          <w:highlight w:val="none"/>
        </w:rPr>
        <w:t>除第二章</w:t>
      </w:r>
      <w:r>
        <w:rPr>
          <w:rFonts w:ascii="Times New Roman" w:hAnsi="Times New Roman" w:eastAsia="Times New Roman"/>
          <w:color w:val="auto"/>
          <w:spacing w:val="-2"/>
          <w:highlight w:val="none"/>
        </w:rPr>
        <w:t>“</w:t>
      </w:r>
      <w:r>
        <w:rPr>
          <w:rFonts w:ascii="宋体" w:hAnsi="宋体" w:eastAsia="宋体"/>
          <w:color w:val="auto"/>
          <w:spacing w:val="-2"/>
          <w:highlight w:val="none"/>
        </w:rPr>
        <w:t>投</w:t>
      </w:r>
      <w:r>
        <w:rPr>
          <w:rFonts w:ascii="宋体" w:hAnsi="宋体" w:eastAsia="宋体"/>
          <w:color w:val="auto"/>
          <w:spacing w:val="-1"/>
          <w:highlight w:val="none"/>
        </w:rPr>
        <w:t>标人须知</w:t>
      </w:r>
      <w:r>
        <w:rPr>
          <w:rFonts w:ascii="Times New Roman" w:hAnsi="Times New Roman" w:eastAsia="Times New Roman"/>
          <w:color w:val="auto"/>
          <w:spacing w:val="-1"/>
          <w:highlight w:val="none"/>
        </w:rPr>
        <w:t>”</w:t>
      </w:r>
      <w:r>
        <w:rPr>
          <w:rFonts w:ascii="宋体" w:hAnsi="宋体" w:eastAsia="宋体"/>
          <w:color w:val="auto"/>
          <w:spacing w:val="-1"/>
          <w:highlight w:val="none"/>
        </w:rPr>
        <w:t>前附表授权直接确定中标人外，评标委员会按照得分由高到低</w:t>
      </w:r>
      <w:r>
        <w:rPr>
          <w:rFonts w:ascii="宋体" w:hAnsi="宋体" w:eastAsia="宋体"/>
          <w:color w:val="auto"/>
          <w:highlight w:val="none"/>
        </w:rPr>
        <w:t xml:space="preserve"> </w:t>
      </w:r>
      <w:r>
        <w:rPr>
          <w:rFonts w:ascii="宋体" w:hAnsi="宋体" w:eastAsia="宋体"/>
          <w:color w:val="auto"/>
          <w:spacing w:val="-4"/>
          <w:highlight w:val="none"/>
        </w:rPr>
        <w:t>的</w:t>
      </w:r>
      <w:r>
        <w:rPr>
          <w:rFonts w:ascii="宋体" w:hAnsi="宋体" w:eastAsia="宋体"/>
          <w:color w:val="auto"/>
          <w:spacing w:val="-3"/>
          <w:highlight w:val="none"/>
        </w:rPr>
        <w:t>顺序推荐中标候选人，并标明排序。</w:t>
      </w:r>
    </w:p>
    <w:p w14:paraId="600BD30D">
      <w:pPr>
        <w:spacing w:before="1" w:line="216" w:lineRule="auto"/>
        <w:ind w:left="420"/>
        <w:rPr>
          <w:rFonts w:ascii="Times New Roman" w:hAnsi="Times New Roman" w:eastAsia="Times New Roman"/>
          <w:color w:val="auto"/>
          <w:spacing w:val="-1"/>
          <w:highlight w:val="none"/>
        </w:rPr>
        <w:sectPr>
          <w:footerReference r:id="rId15" w:type="default"/>
          <w:pgSz w:w="12240" w:h="15840"/>
          <w:pgMar w:top="1346" w:right="1467" w:bottom="1104" w:left="1808" w:header="0" w:footer="940" w:gutter="0"/>
          <w:cols w:space="720" w:num="1"/>
        </w:sectPr>
      </w:pPr>
      <w:r>
        <w:rPr>
          <w:rFonts w:ascii="Times New Roman" w:hAnsi="Times New Roman" w:eastAsia="Times New Roman"/>
          <w:color w:val="auto"/>
          <w:spacing w:val="-1"/>
          <w:highlight w:val="none"/>
        </w:rPr>
        <w:t xml:space="preserve">3.4.2  </w:t>
      </w:r>
      <w:r>
        <w:rPr>
          <w:rFonts w:ascii="宋体" w:hAnsi="宋体" w:eastAsia="宋体"/>
          <w:color w:val="auto"/>
          <w:spacing w:val="-1"/>
          <w:highlight w:val="none"/>
        </w:rPr>
        <w:t>评标委员会完成评标后，应当向招标人提交书面评标报告和中标候选人</w:t>
      </w:r>
      <w:r>
        <w:rPr>
          <w:rFonts w:ascii="宋体" w:hAnsi="宋体" w:eastAsia="宋体"/>
          <w:color w:val="auto"/>
          <w:highlight w:val="none"/>
        </w:rPr>
        <w:t>名单。</w:t>
      </w:r>
    </w:p>
    <w:p w14:paraId="799F782F">
      <w:pPr>
        <w:pStyle w:val="23"/>
        <w:rPr>
          <w:rFonts w:ascii="宋体" w:hAnsi="宋体"/>
          <w:color w:val="auto"/>
          <w:spacing w:val="11"/>
          <w:sz w:val="43"/>
          <w:szCs w:val="43"/>
          <w:highlight w:val="none"/>
        </w:rPr>
      </w:pPr>
      <w:bookmarkStart w:id="406" w:name="_Toc32495"/>
      <w:bookmarkStart w:id="407" w:name="_Toc29015"/>
      <w:bookmarkStart w:id="408" w:name="_Toc96"/>
      <w:bookmarkStart w:id="409" w:name="_Toc183207164"/>
      <w:r>
        <w:rPr>
          <w:rFonts w:ascii="宋体" w:hAnsi="宋体"/>
          <w:color w:val="auto"/>
          <w:spacing w:val="11"/>
          <w:sz w:val="43"/>
          <w:szCs w:val="43"/>
          <w:highlight w:val="none"/>
        </w:rPr>
        <w:t>第</w:t>
      </w:r>
      <w:r>
        <w:rPr>
          <w:rFonts w:ascii="宋体" w:hAnsi="宋体"/>
          <w:color w:val="auto"/>
          <w:spacing w:val="10"/>
          <w:sz w:val="43"/>
          <w:szCs w:val="43"/>
          <w:highlight w:val="none"/>
        </w:rPr>
        <w:t>四章合同条款及格式</w:t>
      </w:r>
      <w:bookmarkEnd w:id="406"/>
      <w:bookmarkEnd w:id="407"/>
      <w:bookmarkEnd w:id="408"/>
      <w:bookmarkEnd w:id="409"/>
    </w:p>
    <w:p w14:paraId="0A719189">
      <w:pPr>
        <w:jc w:val="center"/>
        <w:rPr>
          <w:color w:val="auto"/>
          <w:highlight w:val="none"/>
        </w:rPr>
      </w:pPr>
      <w:r>
        <w:rPr>
          <w:rFonts w:hint="eastAsia"/>
          <w:color w:val="auto"/>
          <w:highlight w:val="none"/>
        </w:rPr>
        <w:t>（本合同条款及格式仅供参考使用，不作为最终签订版本）</w:t>
      </w:r>
    </w:p>
    <w:p w14:paraId="2AF193A3">
      <w:pPr>
        <w:spacing w:line="298" w:lineRule="auto"/>
        <w:rPr>
          <w:color w:val="auto"/>
          <w:highlight w:val="none"/>
        </w:rPr>
      </w:pPr>
    </w:p>
    <w:p w14:paraId="2967AFA1">
      <w:pPr>
        <w:kinsoku/>
        <w:autoSpaceDE/>
        <w:autoSpaceDN/>
        <w:snapToGrid/>
        <w:rPr>
          <w:rFonts w:ascii="宋体" w:hAnsi="宋体" w:eastAsia="宋体"/>
          <w:b/>
          <w:bCs/>
          <w:color w:val="auto"/>
          <w:spacing w:val="5"/>
          <w:kern w:val="44"/>
          <w:sz w:val="52"/>
          <w:szCs w:val="52"/>
          <w:highlight w:val="none"/>
        </w:rPr>
      </w:pPr>
      <w:bookmarkStart w:id="410" w:name="_Toc183207165"/>
      <w:r>
        <w:rPr>
          <w:rFonts w:ascii="宋体" w:hAnsi="宋体"/>
          <w:color w:val="auto"/>
          <w:spacing w:val="5"/>
          <w:sz w:val="52"/>
          <w:szCs w:val="52"/>
          <w:highlight w:val="none"/>
        </w:rPr>
        <w:br w:type="page"/>
      </w:r>
    </w:p>
    <w:p w14:paraId="2CFB66A2">
      <w:pPr>
        <w:kinsoku/>
        <w:wordWrap w:val="0"/>
        <w:topLinePunct/>
        <w:autoSpaceDE/>
        <w:autoSpaceDN/>
        <w:adjustRightInd w:val="0"/>
        <w:spacing w:line="480" w:lineRule="exact"/>
        <w:jc w:val="center"/>
        <w:rPr>
          <w:rFonts w:ascii="仿宋_GB2312" w:hAnsi="宋体" w:eastAsia="仿宋_GB2312"/>
          <w:b/>
          <w:color w:val="auto"/>
          <w:kern w:val="2"/>
          <w:sz w:val="44"/>
          <w:szCs w:val="44"/>
          <w:highlight w:val="none"/>
          <w:u w:val="single"/>
        </w:rPr>
      </w:pPr>
    </w:p>
    <w:p w14:paraId="38A6FB71">
      <w:pPr>
        <w:kinsoku/>
        <w:wordWrap w:val="0"/>
        <w:topLinePunct/>
        <w:autoSpaceDE/>
        <w:autoSpaceDN/>
        <w:adjustRightInd w:val="0"/>
        <w:spacing w:line="480" w:lineRule="exact"/>
        <w:jc w:val="center"/>
        <w:rPr>
          <w:rFonts w:hint="eastAsia" w:ascii="宋体" w:hAnsi="宋体" w:eastAsia="宋体" w:cs="宋体"/>
          <w:b/>
          <w:color w:val="auto"/>
          <w:kern w:val="2"/>
          <w:sz w:val="44"/>
          <w:szCs w:val="44"/>
          <w:highlight w:val="none"/>
          <w:u w:val="single"/>
        </w:rPr>
      </w:pPr>
    </w:p>
    <w:p w14:paraId="1BB4A948">
      <w:pPr>
        <w:kinsoku/>
        <w:wordWrap w:val="0"/>
        <w:topLinePunct/>
        <w:autoSpaceDE/>
        <w:autoSpaceDN/>
        <w:adjustRightInd w:val="0"/>
        <w:spacing w:line="480" w:lineRule="exact"/>
        <w:jc w:val="center"/>
        <w:rPr>
          <w:rFonts w:hint="eastAsia" w:ascii="宋体" w:hAnsi="宋体" w:eastAsia="宋体" w:cs="宋体"/>
          <w:b/>
          <w:color w:val="auto"/>
          <w:kern w:val="2"/>
          <w:sz w:val="48"/>
          <w:szCs w:val="48"/>
          <w:highlight w:val="none"/>
          <w:u w:val="single"/>
        </w:rPr>
      </w:pPr>
    </w:p>
    <w:p w14:paraId="505A043C">
      <w:pPr>
        <w:widowControl w:val="0"/>
        <w:kinsoku/>
        <w:autoSpaceDE/>
        <w:autoSpaceDN/>
        <w:snapToGrid/>
        <w:spacing w:line="360" w:lineRule="auto"/>
        <w:jc w:val="center"/>
        <w:rPr>
          <w:rFonts w:hint="eastAsia" w:ascii="宋体" w:hAnsi="宋体" w:eastAsia="宋体" w:cs="宋体"/>
          <w:b/>
          <w:color w:val="auto"/>
          <w:spacing w:val="11"/>
          <w:sz w:val="44"/>
          <w:szCs w:val="44"/>
          <w:highlight w:val="none"/>
          <w:lang w:eastAsia="zh-CN"/>
        </w:rPr>
      </w:pPr>
      <w:r>
        <w:rPr>
          <w:rFonts w:hint="eastAsia" w:ascii="宋体" w:hAnsi="宋体" w:eastAsia="宋体" w:cs="宋体"/>
          <w:color w:val="auto"/>
          <w:kern w:val="2"/>
          <w:sz w:val="44"/>
          <w:szCs w:val="44"/>
          <w:highlight w:val="none"/>
        </w:rPr>
        <w:t>广州东部中心地下管网完善工程—新塘镇排水系统更新改造提升工程（北部片区）</w:t>
      </w:r>
    </w:p>
    <w:p w14:paraId="079C2146">
      <w:pPr>
        <w:widowControl w:val="0"/>
        <w:kinsoku/>
        <w:autoSpaceDE/>
        <w:autoSpaceDN/>
        <w:snapToGrid/>
        <w:jc w:val="center"/>
        <w:rPr>
          <w:rFonts w:hint="eastAsia" w:ascii="宋体" w:hAnsi="宋体" w:eastAsia="宋体" w:cs="宋体"/>
          <w:b/>
          <w:bCs/>
          <w:color w:val="auto"/>
          <w:spacing w:val="110"/>
          <w:kern w:val="2"/>
          <w:sz w:val="72"/>
          <w:szCs w:val="72"/>
          <w:highlight w:val="none"/>
        </w:rPr>
      </w:pPr>
    </w:p>
    <w:p w14:paraId="0678FB6D">
      <w:pPr>
        <w:widowControl w:val="0"/>
        <w:kinsoku/>
        <w:autoSpaceDE/>
        <w:autoSpaceDN/>
        <w:snapToGrid/>
        <w:jc w:val="center"/>
        <w:rPr>
          <w:rFonts w:hint="eastAsia" w:ascii="宋体" w:hAnsi="宋体" w:eastAsia="宋体" w:cs="宋体"/>
          <w:b/>
          <w:bCs/>
          <w:color w:val="auto"/>
          <w:spacing w:val="110"/>
          <w:kern w:val="2"/>
          <w:sz w:val="72"/>
          <w:szCs w:val="72"/>
          <w:highlight w:val="none"/>
        </w:rPr>
      </w:pPr>
      <w:r>
        <w:rPr>
          <w:rFonts w:hint="eastAsia" w:ascii="宋体" w:hAnsi="宋体" w:eastAsia="宋体" w:cs="宋体"/>
          <w:b/>
          <w:bCs/>
          <w:color w:val="auto"/>
          <w:spacing w:val="110"/>
          <w:kern w:val="2"/>
          <w:sz w:val="72"/>
          <w:szCs w:val="72"/>
          <w:highlight w:val="none"/>
        </w:rPr>
        <w:t>勘察合同</w:t>
      </w:r>
    </w:p>
    <w:p w14:paraId="73015370">
      <w:pPr>
        <w:widowControl w:val="0"/>
        <w:kinsoku/>
        <w:autoSpaceDE/>
        <w:autoSpaceDN/>
        <w:snapToGrid/>
        <w:jc w:val="center"/>
        <w:rPr>
          <w:rFonts w:hint="eastAsia" w:ascii="宋体" w:hAnsi="宋体" w:eastAsia="宋体" w:cs="宋体"/>
          <w:color w:val="auto"/>
          <w:kern w:val="2"/>
          <w:sz w:val="24"/>
          <w:szCs w:val="24"/>
          <w:highlight w:val="none"/>
        </w:rPr>
      </w:pPr>
    </w:p>
    <w:p w14:paraId="25A8E84C">
      <w:pPr>
        <w:widowControl w:val="0"/>
        <w:kinsoku/>
        <w:autoSpaceDE/>
        <w:autoSpaceDN/>
        <w:snapToGrid/>
        <w:ind w:firstLine="2240" w:firstLineChars="800"/>
        <w:jc w:val="both"/>
        <w:rPr>
          <w:rFonts w:hint="eastAsia" w:ascii="宋体" w:hAnsi="宋体" w:eastAsia="宋体" w:cs="宋体"/>
          <w:color w:val="auto"/>
          <w:kern w:val="2"/>
          <w:sz w:val="28"/>
          <w:szCs w:val="28"/>
          <w:highlight w:val="none"/>
        </w:rPr>
      </w:pPr>
    </w:p>
    <w:p w14:paraId="4D964F41">
      <w:pPr>
        <w:widowControl w:val="0"/>
        <w:kinsoku/>
        <w:autoSpaceDE/>
        <w:autoSpaceDN/>
        <w:snapToGrid/>
        <w:ind w:firstLine="2240" w:firstLineChars="8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合同编号：</w:t>
      </w:r>
    </w:p>
    <w:p w14:paraId="5DD02DDC">
      <w:pPr>
        <w:kinsoku/>
        <w:wordWrap w:val="0"/>
        <w:topLinePunct/>
        <w:autoSpaceDE/>
        <w:autoSpaceDN/>
        <w:adjustRightInd w:val="0"/>
        <w:spacing w:line="480" w:lineRule="exact"/>
        <w:jc w:val="both"/>
        <w:rPr>
          <w:rFonts w:hint="eastAsia" w:ascii="宋体" w:hAnsi="宋体" w:eastAsia="宋体" w:cs="宋体"/>
          <w:b/>
          <w:color w:val="auto"/>
          <w:kern w:val="2"/>
          <w:sz w:val="44"/>
          <w:szCs w:val="44"/>
          <w:highlight w:val="none"/>
          <w:u w:val="single"/>
        </w:rPr>
      </w:pPr>
    </w:p>
    <w:p w14:paraId="5829EFA9">
      <w:pPr>
        <w:tabs>
          <w:tab w:val="left" w:pos="1276"/>
        </w:tabs>
        <w:kinsoku/>
        <w:wordWrap w:val="0"/>
        <w:topLinePunct/>
        <w:autoSpaceDE/>
        <w:autoSpaceDN/>
        <w:adjustRightInd w:val="0"/>
        <w:spacing w:line="480" w:lineRule="exact"/>
        <w:jc w:val="center"/>
        <w:rPr>
          <w:rFonts w:hint="eastAsia" w:ascii="宋体" w:hAnsi="宋体" w:eastAsia="宋体" w:cs="宋体"/>
          <w:b/>
          <w:color w:val="auto"/>
          <w:kern w:val="2"/>
          <w:sz w:val="44"/>
          <w:szCs w:val="44"/>
          <w:highlight w:val="none"/>
          <w:u w:val="single"/>
        </w:rPr>
      </w:pPr>
    </w:p>
    <w:p w14:paraId="23513A04">
      <w:pPr>
        <w:tabs>
          <w:tab w:val="left" w:pos="1276"/>
        </w:tabs>
        <w:kinsoku/>
        <w:wordWrap w:val="0"/>
        <w:topLinePunct/>
        <w:autoSpaceDE/>
        <w:autoSpaceDN/>
        <w:adjustRightInd w:val="0"/>
        <w:spacing w:line="480" w:lineRule="exact"/>
        <w:jc w:val="center"/>
        <w:rPr>
          <w:rFonts w:hint="eastAsia" w:ascii="宋体" w:hAnsi="宋体" w:eastAsia="宋体" w:cs="宋体"/>
          <w:b/>
          <w:color w:val="auto"/>
          <w:kern w:val="2"/>
          <w:sz w:val="44"/>
          <w:szCs w:val="44"/>
          <w:highlight w:val="none"/>
          <w:u w:val="single"/>
        </w:rPr>
      </w:pPr>
    </w:p>
    <w:p w14:paraId="2E8176F5">
      <w:pPr>
        <w:tabs>
          <w:tab w:val="left" w:pos="1276"/>
        </w:tabs>
        <w:kinsoku/>
        <w:wordWrap w:val="0"/>
        <w:topLinePunct/>
        <w:autoSpaceDE/>
        <w:autoSpaceDN/>
        <w:adjustRightInd w:val="0"/>
        <w:spacing w:line="480" w:lineRule="exact"/>
        <w:jc w:val="center"/>
        <w:rPr>
          <w:rFonts w:hint="eastAsia" w:ascii="宋体" w:hAnsi="宋体" w:eastAsia="宋体" w:cs="宋体"/>
          <w:b/>
          <w:color w:val="auto"/>
          <w:kern w:val="2"/>
          <w:sz w:val="44"/>
          <w:szCs w:val="44"/>
          <w:highlight w:val="none"/>
          <w:u w:val="single"/>
        </w:rPr>
      </w:pPr>
    </w:p>
    <w:p w14:paraId="04655215">
      <w:pPr>
        <w:kinsoku/>
        <w:wordWrap w:val="0"/>
        <w:topLinePunct/>
        <w:autoSpaceDE/>
        <w:autoSpaceDN/>
        <w:adjustRightInd w:val="0"/>
        <w:spacing w:line="480" w:lineRule="exact"/>
        <w:jc w:val="center"/>
        <w:rPr>
          <w:rFonts w:hint="eastAsia" w:ascii="宋体" w:hAnsi="宋体" w:eastAsia="宋体" w:cs="宋体"/>
          <w:b/>
          <w:color w:val="auto"/>
          <w:kern w:val="2"/>
          <w:sz w:val="44"/>
          <w:szCs w:val="44"/>
          <w:highlight w:val="none"/>
          <w:u w:val="single"/>
        </w:rPr>
      </w:pPr>
    </w:p>
    <w:p w14:paraId="72C02C09">
      <w:pPr>
        <w:widowControl w:val="0"/>
        <w:kinsoku/>
        <w:autoSpaceDE/>
        <w:autoSpaceDN/>
        <w:snapToGrid/>
        <w:spacing w:line="360" w:lineRule="auto"/>
        <w:jc w:val="both"/>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      项目名称：  </w:t>
      </w:r>
      <w:r>
        <w:rPr>
          <w:rFonts w:hint="eastAsia" w:ascii="宋体" w:hAnsi="宋体" w:eastAsia="宋体" w:cs="宋体"/>
          <w:color w:val="auto"/>
          <w:kern w:val="2"/>
          <w:sz w:val="28"/>
          <w:szCs w:val="28"/>
          <w:highlight w:val="none"/>
          <w:u w:val="single"/>
        </w:rPr>
        <w:t xml:space="preserve">                                      </w:t>
      </w:r>
    </w:p>
    <w:p w14:paraId="40F97995">
      <w:pPr>
        <w:widowControl w:val="0"/>
        <w:kinsoku/>
        <w:autoSpaceDE/>
        <w:autoSpaceDN/>
        <w:snapToGrid/>
        <w:spacing w:line="360" w:lineRule="auto"/>
        <w:jc w:val="both"/>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      发  包  人：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eastAsia="zh-CN"/>
        </w:rPr>
        <w:t>广州市增城区新塘镇人民政府</w:t>
      </w:r>
      <w:r>
        <w:rPr>
          <w:rFonts w:hint="eastAsia" w:ascii="宋体" w:hAnsi="宋体" w:eastAsia="宋体" w:cs="宋体"/>
          <w:color w:val="auto"/>
          <w:kern w:val="2"/>
          <w:sz w:val="28"/>
          <w:szCs w:val="28"/>
          <w:highlight w:val="none"/>
          <w:u w:val="single"/>
        </w:rPr>
        <w:t xml:space="preserve">      </w:t>
      </w:r>
    </w:p>
    <w:p w14:paraId="59FDF6F8">
      <w:pPr>
        <w:widowControl w:val="0"/>
        <w:kinsoku/>
        <w:autoSpaceDE/>
        <w:autoSpaceDN/>
        <w:spacing w:line="360" w:lineRule="auto"/>
        <w:ind w:firstLine="840" w:firstLineChars="3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 xml:space="preserve">勘  察  人： </w:t>
      </w:r>
      <w:r>
        <w:rPr>
          <w:rFonts w:hint="eastAsia" w:ascii="宋体" w:hAnsi="宋体" w:eastAsia="宋体" w:cs="宋体"/>
          <w:color w:val="auto"/>
          <w:kern w:val="2"/>
          <w:sz w:val="28"/>
          <w:szCs w:val="28"/>
          <w:highlight w:val="none"/>
          <w:u w:val="single"/>
        </w:rPr>
        <w:t xml:space="preserve">                                     </w:t>
      </w:r>
    </w:p>
    <w:p w14:paraId="30582B2A">
      <w:pPr>
        <w:widowControl w:val="0"/>
        <w:kinsoku/>
        <w:autoSpaceDE/>
        <w:autoSpaceDN/>
        <w:spacing w:line="360" w:lineRule="auto"/>
        <w:ind w:firstLine="840" w:firstLineChars="300"/>
        <w:jc w:val="both"/>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设  计  人： </w:t>
      </w:r>
      <w:r>
        <w:rPr>
          <w:rFonts w:hint="eastAsia" w:ascii="宋体" w:hAnsi="宋体" w:eastAsia="宋体" w:cs="宋体"/>
          <w:color w:val="auto"/>
          <w:kern w:val="2"/>
          <w:sz w:val="28"/>
          <w:szCs w:val="28"/>
          <w:highlight w:val="none"/>
          <w:u w:val="single"/>
        </w:rPr>
        <w:t xml:space="preserve">                                     </w:t>
      </w:r>
    </w:p>
    <w:p w14:paraId="40C32028">
      <w:pPr>
        <w:widowControl w:val="0"/>
        <w:kinsoku/>
        <w:autoSpaceDE/>
        <w:autoSpaceDN/>
        <w:spacing w:line="360" w:lineRule="auto"/>
        <w:jc w:val="both"/>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      合同签订日期：</w:t>
      </w:r>
      <w:r>
        <w:rPr>
          <w:rFonts w:hint="eastAsia" w:ascii="宋体" w:hAnsi="宋体" w:eastAsia="宋体" w:cs="宋体"/>
          <w:color w:val="auto"/>
          <w:kern w:val="2"/>
          <w:sz w:val="28"/>
          <w:szCs w:val="28"/>
          <w:highlight w:val="none"/>
          <w:u w:val="single"/>
        </w:rPr>
        <w:t xml:space="preserve">     年  月  日        </w:t>
      </w:r>
    </w:p>
    <w:p w14:paraId="7F76EC2F">
      <w:pPr>
        <w:widowControl w:val="0"/>
        <w:kinsoku/>
        <w:autoSpaceDE/>
        <w:autoSpaceDN/>
        <w:snapToGrid/>
        <w:spacing w:line="360" w:lineRule="auto"/>
        <w:jc w:val="both"/>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      签订地点：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eastAsia="zh-CN"/>
        </w:rPr>
        <w:t>广州市增城区新塘镇</w:t>
      </w:r>
      <w:r>
        <w:rPr>
          <w:rFonts w:hint="eastAsia" w:ascii="宋体" w:hAnsi="宋体" w:eastAsia="宋体" w:cs="宋体"/>
          <w:color w:val="auto"/>
          <w:kern w:val="2"/>
          <w:sz w:val="28"/>
          <w:szCs w:val="28"/>
          <w:highlight w:val="none"/>
          <w:u w:val="single"/>
        </w:rPr>
        <w:t xml:space="preserve">   </w:t>
      </w:r>
    </w:p>
    <w:p w14:paraId="05DF6B5D">
      <w:pPr>
        <w:widowControl w:val="0"/>
        <w:kinsoku/>
        <w:autoSpaceDE/>
        <w:autoSpaceDN/>
        <w:snapToGrid/>
        <w:spacing w:line="480" w:lineRule="exact"/>
        <w:jc w:val="center"/>
        <w:rPr>
          <w:rFonts w:hint="eastAsia" w:ascii="宋体" w:hAnsi="宋体" w:eastAsia="宋体" w:cs="宋体"/>
          <w:color w:val="auto"/>
          <w:kern w:val="2"/>
          <w:szCs w:val="24"/>
          <w:highlight w:val="none"/>
        </w:rPr>
      </w:pPr>
    </w:p>
    <w:p w14:paraId="7D64F9A2">
      <w:pPr>
        <w:kinsoku/>
        <w:wordWrap w:val="0"/>
        <w:topLinePunct/>
        <w:autoSpaceDE/>
        <w:autoSpaceDN/>
        <w:adjustRightInd w:val="0"/>
        <w:spacing w:line="480" w:lineRule="exact"/>
        <w:jc w:val="center"/>
        <w:rPr>
          <w:rFonts w:hint="eastAsia" w:ascii="宋体" w:hAnsi="宋体" w:eastAsia="宋体" w:cs="宋体"/>
          <w:b/>
          <w:color w:val="auto"/>
          <w:kern w:val="2"/>
          <w:sz w:val="44"/>
          <w:szCs w:val="44"/>
          <w:highlight w:val="none"/>
          <w:u w:val="single"/>
        </w:rPr>
      </w:pPr>
    </w:p>
    <w:p w14:paraId="57550D5B">
      <w:pPr>
        <w:kinsoku/>
        <w:wordWrap w:val="0"/>
        <w:topLinePunct/>
        <w:autoSpaceDE/>
        <w:autoSpaceDN/>
        <w:adjustRightInd w:val="0"/>
        <w:spacing w:line="480" w:lineRule="exact"/>
        <w:jc w:val="center"/>
        <w:rPr>
          <w:rFonts w:hint="eastAsia" w:ascii="宋体" w:hAnsi="宋体" w:eastAsia="宋体" w:cs="宋体"/>
          <w:b/>
          <w:color w:val="auto"/>
          <w:kern w:val="2"/>
          <w:sz w:val="44"/>
          <w:szCs w:val="44"/>
          <w:highlight w:val="none"/>
          <w:u w:val="single"/>
        </w:rPr>
      </w:pPr>
    </w:p>
    <w:p w14:paraId="626115BB">
      <w:pPr>
        <w:kinsoku/>
        <w:wordWrap w:val="0"/>
        <w:topLinePunct/>
        <w:autoSpaceDE/>
        <w:autoSpaceDN/>
        <w:adjustRightInd w:val="0"/>
        <w:spacing w:line="480" w:lineRule="exact"/>
        <w:jc w:val="center"/>
        <w:rPr>
          <w:rFonts w:hint="eastAsia" w:ascii="宋体" w:hAnsi="宋体" w:eastAsia="宋体" w:cs="宋体"/>
          <w:b/>
          <w:color w:val="auto"/>
          <w:kern w:val="2"/>
          <w:sz w:val="44"/>
          <w:szCs w:val="44"/>
          <w:highlight w:val="none"/>
          <w:u w:val="single"/>
        </w:rPr>
      </w:pPr>
    </w:p>
    <w:p w14:paraId="52395C6A">
      <w:pPr>
        <w:kinsoku/>
        <w:wordWrap w:val="0"/>
        <w:topLinePunct/>
        <w:autoSpaceDE/>
        <w:autoSpaceDN/>
        <w:adjustRightInd w:val="0"/>
        <w:spacing w:line="480" w:lineRule="exact"/>
        <w:jc w:val="center"/>
        <w:rPr>
          <w:rFonts w:hint="eastAsia" w:ascii="宋体" w:hAnsi="宋体" w:eastAsia="宋体" w:cs="宋体"/>
          <w:b/>
          <w:color w:val="auto"/>
          <w:kern w:val="2"/>
          <w:sz w:val="44"/>
          <w:szCs w:val="44"/>
          <w:highlight w:val="none"/>
          <w:u w:val="single"/>
        </w:rPr>
      </w:pPr>
    </w:p>
    <w:p w14:paraId="64AD6AD2">
      <w:pPr>
        <w:kinsoku/>
        <w:wordWrap w:val="0"/>
        <w:topLinePunct/>
        <w:autoSpaceDE/>
        <w:autoSpaceDN/>
        <w:adjustRightInd w:val="0"/>
        <w:spacing w:line="480" w:lineRule="exact"/>
        <w:jc w:val="center"/>
        <w:rPr>
          <w:rFonts w:hint="eastAsia" w:ascii="宋体" w:hAnsi="宋体" w:eastAsia="宋体" w:cs="宋体"/>
          <w:b/>
          <w:bCs/>
          <w:color w:val="auto"/>
          <w:spacing w:val="110"/>
          <w:kern w:val="2"/>
          <w:sz w:val="44"/>
          <w:szCs w:val="44"/>
          <w:highlight w:val="none"/>
        </w:rPr>
      </w:pPr>
      <w:r>
        <w:rPr>
          <w:rFonts w:hint="eastAsia" w:ascii="宋体" w:hAnsi="宋体" w:eastAsia="宋体" w:cs="宋体"/>
          <w:b/>
          <w:bCs/>
          <w:color w:val="auto"/>
          <w:spacing w:val="110"/>
          <w:kern w:val="2"/>
          <w:sz w:val="44"/>
          <w:szCs w:val="44"/>
          <w:highlight w:val="none"/>
        </w:rPr>
        <w:t>一、协议书</w:t>
      </w:r>
    </w:p>
    <w:p w14:paraId="30B4B32F">
      <w:pPr>
        <w:kinsoku/>
        <w:wordWrap w:val="0"/>
        <w:topLinePunct/>
        <w:autoSpaceDE/>
        <w:autoSpaceDN/>
        <w:adjustRightInd w:val="0"/>
        <w:spacing w:line="480" w:lineRule="exact"/>
        <w:jc w:val="both"/>
        <w:rPr>
          <w:rFonts w:hint="eastAsia" w:ascii="宋体" w:hAnsi="宋体" w:eastAsia="宋体" w:cs="宋体"/>
          <w:color w:val="auto"/>
          <w:kern w:val="2"/>
          <w:szCs w:val="24"/>
          <w:highlight w:val="none"/>
        </w:rPr>
      </w:pPr>
    </w:p>
    <w:p w14:paraId="5829E09F">
      <w:pPr>
        <w:kinsoku/>
        <w:wordWrap w:val="0"/>
        <w:topLinePunct/>
        <w:autoSpaceDE/>
        <w:autoSpaceDN/>
        <w:adjustRightInd w:val="0"/>
        <w:spacing w:line="480" w:lineRule="exact"/>
        <w:ind w:left="2" w:leftChars="1"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发包人</w:t>
      </w:r>
      <w:r>
        <w:rPr>
          <w:rFonts w:hint="eastAsia" w:ascii="宋体" w:hAnsi="宋体" w:eastAsia="宋体" w:cs="宋体"/>
          <w:color w:val="auto"/>
          <w:kern w:val="2"/>
          <w:sz w:val="24"/>
          <w:szCs w:val="24"/>
          <w:highlight w:val="none"/>
          <w:u w:val="single"/>
          <w:lang w:eastAsia="zh-CN"/>
        </w:rPr>
        <w:t>广州市增城区新塘镇人民政府</w:t>
      </w:r>
      <w:r>
        <w:rPr>
          <w:rFonts w:hint="eastAsia" w:ascii="宋体" w:hAnsi="宋体" w:eastAsia="宋体" w:cs="宋体"/>
          <w:color w:val="auto"/>
          <w:kern w:val="2"/>
          <w:sz w:val="24"/>
          <w:szCs w:val="24"/>
          <w:highlight w:val="none"/>
        </w:rPr>
        <w:t>与勘察人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经过双方协商一致，签订本合同。</w:t>
      </w:r>
    </w:p>
    <w:p w14:paraId="58BFFA8B">
      <w:pPr>
        <w:kinsoku/>
        <w:wordWrap w:val="0"/>
        <w:topLinePunct/>
        <w:autoSpaceDE/>
        <w:autoSpaceDN/>
        <w:adjustRightInd w:val="0"/>
        <w:spacing w:line="480" w:lineRule="exact"/>
        <w:ind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一、下列文件均为本合同的组成部分。</w:t>
      </w:r>
    </w:p>
    <w:p w14:paraId="2760EAD1">
      <w:pPr>
        <w:kinsoku/>
        <w:wordWrap w:val="0"/>
        <w:topLinePunct/>
        <w:autoSpaceDE/>
        <w:autoSpaceDN/>
        <w:adjustRightInd w:val="0"/>
        <w:spacing w:line="480" w:lineRule="exact"/>
        <w:ind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（1）中标通知书；</w:t>
      </w:r>
    </w:p>
    <w:p w14:paraId="01BAB9FF">
      <w:pPr>
        <w:kinsoku/>
        <w:wordWrap w:val="0"/>
        <w:topLinePunct/>
        <w:autoSpaceDE/>
        <w:autoSpaceDN/>
        <w:adjustRightInd w:val="0"/>
        <w:spacing w:line="480" w:lineRule="exact"/>
        <w:ind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（2）协议书；</w:t>
      </w:r>
    </w:p>
    <w:p w14:paraId="2D989D37">
      <w:pPr>
        <w:kinsoku/>
        <w:wordWrap w:val="0"/>
        <w:topLinePunct/>
        <w:autoSpaceDE/>
        <w:autoSpaceDN/>
        <w:adjustRightInd w:val="0"/>
        <w:spacing w:line="480" w:lineRule="exact"/>
        <w:ind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（3）勘察合同；</w:t>
      </w:r>
    </w:p>
    <w:p w14:paraId="154B2273">
      <w:pPr>
        <w:kinsoku/>
        <w:wordWrap w:val="0"/>
        <w:topLinePunct/>
        <w:autoSpaceDE/>
        <w:autoSpaceDN/>
        <w:adjustRightInd w:val="0"/>
        <w:spacing w:line="480" w:lineRule="exact"/>
        <w:ind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）建设工程勘察设计廉政责任书合同；</w:t>
      </w:r>
    </w:p>
    <w:p w14:paraId="0EE2A83C">
      <w:pPr>
        <w:kinsoku/>
        <w:wordWrap w:val="0"/>
        <w:topLinePunct/>
        <w:autoSpaceDE/>
        <w:autoSpaceDN/>
        <w:adjustRightInd w:val="0"/>
        <w:spacing w:line="480" w:lineRule="exact"/>
        <w:ind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）在实施过程中双方共同签署的补充与修正文件。</w:t>
      </w:r>
    </w:p>
    <w:p w14:paraId="15FB78EF">
      <w:pPr>
        <w:kinsoku/>
        <w:wordWrap w:val="0"/>
        <w:topLinePunct/>
        <w:autoSpaceDE/>
        <w:autoSpaceDN/>
        <w:adjustRightInd w:val="0"/>
        <w:spacing w:line="480" w:lineRule="exact"/>
        <w:ind w:firstLine="48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二、本合同暂定价款</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万元。</w:t>
      </w:r>
    </w:p>
    <w:p w14:paraId="13BA9D61">
      <w:pPr>
        <w:widowControl w:val="0"/>
        <w:kinsoku/>
        <w:autoSpaceDE/>
        <w:autoSpaceDN/>
        <w:snapToGrid/>
        <w:spacing w:line="48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三、如本合同需缴纳合同印花税，勘察人需在有关税务部门规定期限及结清本合同费用前，按规定缴纳全部费用，全部费用由勘察人承担。</w:t>
      </w:r>
    </w:p>
    <w:p w14:paraId="64CEB20D">
      <w:pPr>
        <w:kinsoku/>
        <w:wordWrap w:val="0"/>
        <w:topLinePunct/>
        <w:autoSpaceDE/>
        <w:autoSpaceDN/>
        <w:adjustRightInd w:val="0"/>
        <w:spacing w:line="480" w:lineRule="exact"/>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四、本合同自发包人及勘察人签字盖章后生效，发包人及勘察人履行完合同约定的义务后，本合同终止。</w:t>
      </w:r>
    </w:p>
    <w:p w14:paraId="45E8B0CC">
      <w:pPr>
        <w:kinsoku/>
        <w:wordWrap w:val="0"/>
        <w:topLinePunct/>
        <w:autoSpaceDE/>
        <w:autoSpaceDN/>
        <w:adjustRightInd w:val="0"/>
        <w:spacing w:line="480" w:lineRule="exact"/>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五、本合同一式十份，各份具同等法律效力。其中正本</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w:t>
      </w:r>
      <w:r>
        <w:rPr>
          <w:rFonts w:hint="eastAsia" w:ascii="宋体" w:hAnsi="宋体" w:eastAsia="宋体" w:cs="宋体"/>
          <w:color w:val="auto"/>
          <w:kern w:val="2"/>
          <w:sz w:val="24"/>
          <w:szCs w:val="24"/>
          <w:highlight w:val="none"/>
          <w:lang w:val="en-US" w:eastAsia="zh-CN"/>
        </w:rPr>
        <w:t>双</w:t>
      </w:r>
      <w:r>
        <w:rPr>
          <w:rFonts w:hint="eastAsia" w:ascii="宋体" w:hAnsi="宋体" w:eastAsia="宋体" w:cs="宋体"/>
          <w:color w:val="auto"/>
          <w:kern w:val="2"/>
          <w:sz w:val="24"/>
          <w:szCs w:val="24"/>
          <w:highlight w:val="none"/>
        </w:rPr>
        <w:t>方各执</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份；副本</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份，发包人（建设单位）</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份，勘察人执</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w:t>
      </w:r>
    </w:p>
    <w:p w14:paraId="0E8CFD28">
      <w:pPr>
        <w:kinsoku/>
        <w:wordWrap w:val="0"/>
        <w:topLinePunct/>
        <w:autoSpaceDE/>
        <w:autoSpaceDN/>
        <w:adjustRightInd w:val="0"/>
        <w:spacing w:line="480" w:lineRule="exact"/>
        <w:ind w:firstLine="480" w:firstLineChars="200"/>
        <w:jc w:val="both"/>
        <w:rPr>
          <w:rFonts w:hint="eastAsia" w:ascii="宋体" w:hAnsi="宋体" w:eastAsia="宋体" w:cs="宋体"/>
          <w:color w:val="auto"/>
          <w:kern w:val="2"/>
          <w:sz w:val="24"/>
          <w:szCs w:val="24"/>
          <w:highlight w:val="none"/>
        </w:rPr>
      </w:pPr>
    </w:p>
    <w:p w14:paraId="42D6B276">
      <w:pPr>
        <w:kinsoku/>
        <w:wordWrap w:val="0"/>
        <w:topLinePunct/>
        <w:autoSpaceDE/>
        <w:autoSpaceDN/>
        <w:adjustRightInd w:val="0"/>
        <w:spacing w:line="480" w:lineRule="exact"/>
        <w:jc w:val="both"/>
        <w:rPr>
          <w:rFonts w:ascii="仿宋_GB2312" w:hAnsi="Times New Roman" w:eastAsia="宋体"/>
          <w:color w:val="auto"/>
          <w:kern w:val="2"/>
          <w:szCs w:val="24"/>
          <w:highlight w:val="none"/>
        </w:rPr>
      </w:pPr>
    </w:p>
    <w:p w14:paraId="6A87ED7E">
      <w:pPr>
        <w:kinsoku/>
        <w:wordWrap w:val="0"/>
        <w:topLinePunct/>
        <w:autoSpaceDE/>
        <w:autoSpaceDN/>
        <w:adjustRightInd w:val="0"/>
        <w:spacing w:line="480" w:lineRule="exact"/>
        <w:jc w:val="both"/>
        <w:rPr>
          <w:rFonts w:ascii="宋体" w:hAnsi="宋体" w:eastAsia="宋体"/>
          <w:color w:val="auto"/>
          <w:kern w:val="2"/>
          <w:highlight w:val="none"/>
        </w:rPr>
      </w:pPr>
    </w:p>
    <w:p w14:paraId="4D710E71">
      <w:pPr>
        <w:kinsoku/>
        <w:wordWrap w:val="0"/>
        <w:topLinePunct/>
        <w:autoSpaceDE/>
        <w:autoSpaceDN/>
        <w:adjustRightInd w:val="0"/>
        <w:spacing w:line="480" w:lineRule="exact"/>
        <w:jc w:val="both"/>
        <w:rPr>
          <w:rFonts w:ascii="宋体" w:hAnsi="宋体" w:eastAsia="宋体"/>
          <w:color w:val="auto"/>
          <w:kern w:val="2"/>
          <w:highlight w:val="none"/>
        </w:rPr>
      </w:pPr>
    </w:p>
    <w:p w14:paraId="55F42503">
      <w:pPr>
        <w:kinsoku/>
        <w:wordWrap w:val="0"/>
        <w:topLinePunct/>
        <w:autoSpaceDE/>
        <w:autoSpaceDN/>
        <w:adjustRightInd w:val="0"/>
        <w:spacing w:line="480" w:lineRule="exact"/>
        <w:jc w:val="both"/>
        <w:rPr>
          <w:rFonts w:ascii="宋体" w:hAnsi="宋体" w:eastAsia="宋体"/>
          <w:color w:val="auto"/>
          <w:kern w:val="2"/>
          <w:highlight w:val="none"/>
        </w:rPr>
      </w:pPr>
    </w:p>
    <w:p w14:paraId="01DF0171">
      <w:pPr>
        <w:kinsoku/>
        <w:wordWrap w:val="0"/>
        <w:topLinePunct/>
        <w:autoSpaceDE/>
        <w:autoSpaceDN/>
        <w:adjustRightInd w:val="0"/>
        <w:spacing w:line="480" w:lineRule="exact"/>
        <w:jc w:val="both"/>
        <w:rPr>
          <w:rFonts w:ascii="宋体" w:hAnsi="宋体" w:eastAsia="宋体"/>
          <w:color w:val="auto"/>
          <w:kern w:val="2"/>
          <w:highlight w:val="none"/>
        </w:rPr>
      </w:pPr>
    </w:p>
    <w:p w14:paraId="06F0700F">
      <w:pPr>
        <w:kinsoku/>
        <w:wordWrap w:val="0"/>
        <w:topLinePunct/>
        <w:autoSpaceDE/>
        <w:autoSpaceDN/>
        <w:adjustRightInd w:val="0"/>
        <w:spacing w:line="480" w:lineRule="exact"/>
        <w:jc w:val="both"/>
        <w:rPr>
          <w:rFonts w:ascii="宋体" w:hAnsi="宋体" w:eastAsia="宋体"/>
          <w:color w:val="auto"/>
          <w:kern w:val="2"/>
          <w:highlight w:val="none"/>
        </w:rPr>
      </w:pPr>
    </w:p>
    <w:p w14:paraId="111CE884">
      <w:pPr>
        <w:widowControl/>
        <w:kinsoku/>
        <w:autoSpaceDE/>
        <w:autoSpaceDN/>
        <w:snapToGrid/>
        <w:ind w:firstLine="0" w:firstLineChars="0"/>
        <w:jc w:val="left"/>
        <w:rPr>
          <w:rFonts w:hint="eastAsia" w:ascii="宋体" w:hAnsi="宋体" w:eastAsia="宋体"/>
          <w:color w:val="auto"/>
          <w:kern w:val="2"/>
          <w:highlight w:val="none"/>
          <w:lang w:eastAsia="zh-CN"/>
        </w:rPr>
      </w:pPr>
      <w:r>
        <w:rPr>
          <w:rFonts w:hint="eastAsia" w:ascii="宋体" w:hAnsi="宋体" w:eastAsia="宋体"/>
          <w:color w:val="auto"/>
          <w:kern w:val="2"/>
          <w:highlight w:val="none"/>
          <w:lang w:eastAsia="zh-CN"/>
        </w:rPr>
        <w:br w:type="page"/>
      </w:r>
    </w:p>
    <w:p w14:paraId="408D899A">
      <w:pPr>
        <w:widowControl w:val="0"/>
        <w:kinsoku/>
        <w:autoSpaceDE/>
        <w:autoSpaceDN/>
        <w:snapToGrid/>
        <w:ind w:firstLine="0" w:firstLineChars="0"/>
        <w:jc w:val="both"/>
        <w:rPr>
          <w:rFonts w:hint="eastAsia" w:ascii="宋体" w:hAnsi="宋体" w:eastAsia="宋体"/>
          <w:color w:val="auto"/>
          <w:kern w:val="2"/>
          <w:highlight w:val="none"/>
          <w:lang w:eastAsia="zh-CN"/>
        </w:rPr>
      </w:pPr>
      <w:r>
        <w:rPr>
          <w:rFonts w:hint="eastAsia" w:ascii="宋体" w:hAnsi="宋体" w:eastAsia="宋体"/>
          <w:color w:val="auto"/>
          <w:kern w:val="2"/>
          <w:highlight w:val="none"/>
          <w:lang w:eastAsia="zh-CN"/>
        </w:rPr>
        <w:t>（本页无正文）</w:t>
      </w:r>
    </w:p>
    <w:p w14:paraId="21E496D6">
      <w:pPr>
        <w:widowControl w:val="0"/>
        <w:kinsoku/>
        <w:autoSpaceDE/>
        <w:autoSpaceDN/>
        <w:snapToGrid/>
        <w:ind w:firstLine="420" w:firstLineChars="200"/>
        <w:jc w:val="both"/>
        <w:rPr>
          <w:rFonts w:ascii="宋体" w:hAnsi="宋体" w:eastAsia="宋体"/>
          <w:color w:val="auto"/>
          <w:kern w:val="2"/>
          <w:highlight w:val="none"/>
        </w:rPr>
      </w:pPr>
    </w:p>
    <w:p w14:paraId="55FB7189">
      <w:pPr>
        <w:kinsoku/>
        <w:wordWrap w:val="0"/>
        <w:topLinePunct/>
        <w:autoSpaceDE/>
        <w:autoSpaceDN/>
        <w:adjustRightInd w:val="0"/>
        <w:spacing w:line="480" w:lineRule="exact"/>
        <w:jc w:val="both"/>
        <w:rPr>
          <w:rFonts w:ascii="宋体" w:hAnsi="宋体" w:eastAsia="宋体"/>
          <w:color w:val="auto"/>
          <w:kern w:val="2"/>
          <w:highlight w:val="none"/>
        </w:rPr>
      </w:pPr>
    </w:p>
    <w:p w14:paraId="462256C3">
      <w:pPr>
        <w:kinsoku/>
        <w:wordWrap w:val="0"/>
        <w:topLinePunct/>
        <w:autoSpaceDE/>
        <w:autoSpaceDN/>
        <w:adjustRightInd w:val="0"/>
        <w:spacing w:line="480" w:lineRule="exact"/>
        <w:jc w:val="both"/>
        <w:rPr>
          <w:rFonts w:ascii="宋体" w:hAnsi="宋体" w:eastAsia="宋体"/>
          <w:color w:val="auto"/>
          <w:kern w:val="2"/>
          <w:highlight w:val="none"/>
        </w:rPr>
      </w:pPr>
    </w:p>
    <w:p w14:paraId="5359C03B">
      <w:pPr>
        <w:widowControl w:val="0"/>
        <w:kinsoku/>
        <w:autoSpaceDE/>
        <w:autoSpaceDN/>
        <w:snapToGrid/>
        <w:jc w:val="both"/>
        <w:rPr>
          <w:rFonts w:hint="eastAsia" w:ascii="宋体" w:hAnsi="宋体" w:eastAsia="宋体" w:cs="宋体"/>
          <w:color w:val="auto"/>
          <w:kern w:val="2"/>
          <w:highlight w:val="none"/>
        </w:rPr>
      </w:pPr>
    </w:p>
    <w:p w14:paraId="374659C6">
      <w:pPr>
        <w:kinsoku/>
        <w:wordWrap w:val="0"/>
        <w:topLinePunct/>
        <w:autoSpaceDE/>
        <w:autoSpaceDN/>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发  包  人：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勘察人：</w:t>
      </w:r>
    </w:p>
    <w:p w14:paraId="006AF832">
      <w:pPr>
        <w:widowControl w:val="0"/>
        <w:kinsoku/>
        <w:autoSpaceDE/>
        <w:autoSpaceDN/>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p>
    <w:p w14:paraId="61682A34">
      <w:pPr>
        <w:widowControl w:val="0"/>
        <w:kinsoku/>
        <w:autoSpaceDE/>
        <w:autoSpaceDN/>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（盖章）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（盖章） </w:t>
      </w:r>
    </w:p>
    <w:p w14:paraId="7CE63FE5">
      <w:pPr>
        <w:widowControl w:val="0"/>
        <w:kinsoku/>
        <w:autoSpaceDE/>
        <w:autoSpaceDN/>
        <w:jc w:val="both"/>
        <w:rPr>
          <w:rFonts w:hint="eastAsia" w:ascii="宋体" w:hAnsi="宋体" w:eastAsia="宋体" w:cs="宋体"/>
          <w:color w:val="auto"/>
          <w:kern w:val="2"/>
          <w:sz w:val="24"/>
          <w:szCs w:val="24"/>
          <w:highlight w:val="none"/>
        </w:rPr>
      </w:pPr>
    </w:p>
    <w:p w14:paraId="5141A58C">
      <w:pPr>
        <w:kinsoku/>
        <w:wordWrap w:val="0"/>
        <w:topLinePunct/>
        <w:autoSpaceDE/>
        <w:autoSpaceDN/>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住  所：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住 所： </w:t>
      </w:r>
    </w:p>
    <w:p w14:paraId="4D75ABBB">
      <w:pPr>
        <w:kinsoku/>
        <w:wordWrap w:val="0"/>
        <w:topLinePunct/>
        <w:autoSpaceDE/>
        <w:autoSpaceDN/>
        <w:adjustRightInd w:val="0"/>
        <w:spacing w:line="360" w:lineRule="auto"/>
        <w:ind w:left="5102" w:hanging="5102" w:hangingChars="2126"/>
        <w:jc w:val="both"/>
        <w:rPr>
          <w:rFonts w:hint="eastAsia" w:ascii="宋体" w:hAnsi="宋体" w:eastAsia="宋体" w:cs="宋体"/>
          <w:color w:val="auto"/>
          <w:kern w:val="2"/>
          <w:sz w:val="24"/>
          <w:szCs w:val="24"/>
          <w:highlight w:val="none"/>
        </w:rPr>
      </w:pPr>
    </w:p>
    <w:p w14:paraId="38F91159">
      <w:pPr>
        <w:widowControl w:val="0"/>
        <w:kinsoku/>
        <w:autoSpaceDE/>
        <w:autoSpaceDN/>
        <w:spacing w:line="48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法定代表人：       </w:t>
      </w:r>
    </w:p>
    <w:p w14:paraId="6A575A68">
      <w:pPr>
        <w:widowControl w:val="0"/>
        <w:kinsoku/>
        <w:autoSpaceDE/>
        <w:autoSpaceDN/>
        <w:spacing w:line="480" w:lineRule="auto"/>
        <w:ind w:firstLine="460" w:firstLineChars="192"/>
        <w:jc w:val="both"/>
        <w:rPr>
          <w:rFonts w:hint="eastAsia" w:ascii="宋体" w:hAnsi="宋体" w:eastAsia="宋体" w:cs="宋体"/>
          <w:color w:val="auto"/>
          <w:kern w:val="2"/>
          <w:sz w:val="24"/>
          <w:szCs w:val="24"/>
          <w:highlight w:val="none"/>
        </w:rPr>
      </w:pPr>
    </w:p>
    <w:p w14:paraId="6C66FAE6">
      <w:pPr>
        <w:widowControl w:val="0"/>
        <w:kinsoku/>
        <w:autoSpaceDE/>
        <w:autoSpaceDN/>
        <w:spacing w:line="48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委托代理人：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委托代理人：    </w:t>
      </w:r>
    </w:p>
    <w:p w14:paraId="0C131190">
      <w:pPr>
        <w:widowControl w:val="0"/>
        <w:kinsoku/>
        <w:autoSpaceDE/>
        <w:autoSpaceDN/>
        <w:spacing w:line="480" w:lineRule="auto"/>
        <w:ind w:firstLine="460" w:firstLineChars="192"/>
        <w:jc w:val="both"/>
        <w:rPr>
          <w:rFonts w:hint="eastAsia" w:ascii="宋体" w:hAnsi="宋体" w:eastAsia="宋体" w:cs="宋体"/>
          <w:color w:val="auto"/>
          <w:kern w:val="2"/>
          <w:sz w:val="24"/>
          <w:szCs w:val="24"/>
          <w:highlight w:val="none"/>
        </w:rPr>
      </w:pPr>
    </w:p>
    <w:p w14:paraId="04F12E06">
      <w:pPr>
        <w:kinsoku/>
        <w:wordWrap w:val="0"/>
        <w:topLinePunct/>
        <w:autoSpaceDE/>
        <w:autoSpaceDN/>
        <w:adjustRightInd w:val="0"/>
        <w:spacing w:line="48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    话：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电    话：</w:t>
      </w:r>
    </w:p>
    <w:p w14:paraId="71066418">
      <w:pPr>
        <w:widowControl w:val="0"/>
        <w:kinsoku/>
        <w:autoSpaceDE/>
        <w:autoSpaceDN/>
        <w:spacing w:line="480" w:lineRule="auto"/>
        <w:ind w:firstLine="5760" w:firstLineChars="24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p>
    <w:p w14:paraId="15038726">
      <w:pPr>
        <w:kinsoku/>
        <w:wordWrap w:val="0"/>
        <w:topLinePunct/>
        <w:autoSpaceDE/>
        <w:autoSpaceDN/>
        <w:adjustRightInd w:val="0"/>
        <w:spacing w:line="48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传    真：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传    真：  </w:t>
      </w:r>
    </w:p>
    <w:p w14:paraId="130E6556">
      <w:pPr>
        <w:widowControl w:val="0"/>
        <w:kinsoku/>
        <w:autoSpaceDE/>
        <w:autoSpaceDN/>
        <w:snapToGrid/>
        <w:spacing w:line="560" w:lineRule="exact"/>
        <w:ind w:left="5520" w:hanging="5520" w:hangingChars="23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订立时间：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日，签订地点：</w:t>
      </w:r>
      <w:r>
        <w:rPr>
          <w:rFonts w:hint="eastAsia" w:ascii="宋体" w:hAnsi="宋体" w:eastAsia="宋体" w:cs="宋体"/>
          <w:color w:val="auto"/>
          <w:kern w:val="2"/>
          <w:sz w:val="24"/>
          <w:szCs w:val="24"/>
          <w:highlight w:val="none"/>
          <w:u w:val="single"/>
          <w:lang w:eastAsia="zh-CN"/>
        </w:rPr>
        <w:t>广州市增城区新塘镇</w:t>
      </w:r>
    </w:p>
    <w:p w14:paraId="659B8F06">
      <w:pPr>
        <w:kinsoku/>
        <w:wordWrap w:val="0"/>
        <w:topLinePunct/>
        <w:autoSpaceDE/>
        <w:autoSpaceDN/>
        <w:adjustRightInd w:val="0"/>
        <w:jc w:val="center"/>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br w:type="page"/>
      </w:r>
    </w:p>
    <w:p w14:paraId="549C9288">
      <w:pPr>
        <w:kinsoku/>
        <w:wordWrap w:val="0"/>
        <w:topLinePunct/>
        <w:autoSpaceDE/>
        <w:autoSpaceDN/>
        <w:adjustRightInd w:val="0"/>
        <w:jc w:val="center"/>
        <w:rPr>
          <w:rFonts w:hint="eastAsia" w:ascii="宋体" w:hAnsi="宋体" w:eastAsia="宋体" w:cs="宋体"/>
          <w:b/>
          <w:bCs/>
          <w:color w:val="auto"/>
          <w:spacing w:val="110"/>
          <w:kern w:val="2"/>
          <w:sz w:val="44"/>
          <w:szCs w:val="44"/>
          <w:highlight w:val="none"/>
        </w:rPr>
      </w:pPr>
      <w:r>
        <w:rPr>
          <w:rFonts w:hint="eastAsia" w:ascii="宋体" w:hAnsi="宋体" w:eastAsia="宋体" w:cs="宋体"/>
          <w:b/>
          <w:color w:val="auto"/>
          <w:kern w:val="2"/>
          <w:highlight w:val="none"/>
        </w:rPr>
        <w:t xml:space="preserve">  </w:t>
      </w:r>
      <w:r>
        <w:rPr>
          <w:rFonts w:hint="eastAsia" w:ascii="宋体" w:hAnsi="宋体" w:eastAsia="宋体" w:cs="宋体"/>
          <w:b/>
          <w:bCs/>
          <w:color w:val="auto"/>
          <w:spacing w:val="110"/>
          <w:kern w:val="2"/>
          <w:sz w:val="44"/>
          <w:szCs w:val="44"/>
          <w:highlight w:val="none"/>
        </w:rPr>
        <w:t>二、勘察合同</w:t>
      </w:r>
    </w:p>
    <w:p w14:paraId="14F52F0B">
      <w:pPr>
        <w:kinsoku/>
        <w:wordWrap w:val="0"/>
        <w:topLinePunct/>
        <w:autoSpaceDE/>
        <w:autoSpaceDN/>
        <w:adjustRightInd w:val="0"/>
        <w:jc w:val="center"/>
        <w:rPr>
          <w:rFonts w:hint="eastAsia" w:ascii="宋体" w:hAnsi="宋体" w:eastAsia="宋体" w:cs="宋体"/>
          <w:b/>
          <w:bCs/>
          <w:color w:val="auto"/>
          <w:spacing w:val="110"/>
          <w:kern w:val="2"/>
          <w:sz w:val="48"/>
          <w:szCs w:val="48"/>
          <w:highlight w:val="none"/>
        </w:rPr>
      </w:pPr>
    </w:p>
    <w:p w14:paraId="5D0A0E30">
      <w:pPr>
        <w:kinsoku/>
        <w:wordWrap w:val="0"/>
        <w:topLinePunct/>
        <w:autoSpaceDE/>
        <w:autoSpaceDN/>
        <w:adjustRightInd w:val="0"/>
        <w:spacing w:line="480" w:lineRule="exact"/>
        <w:jc w:val="both"/>
        <w:rPr>
          <w:rFonts w:hint="eastAsia" w:ascii="宋体" w:hAnsi="宋体" w:eastAsia="宋体" w:cs="宋体"/>
          <w:color w:val="auto"/>
          <w:kern w:val="2"/>
          <w:szCs w:val="24"/>
          <w:highlight w:val="none"/>
        </w:rPr>
      </w:pPr>
    </w:p>
    <w:tbl>
      <w:tblPr>
        <w:tblStyle w:val="18"/>
        <w:tblW w:w="6912" w:type="dxa"/>
        <w:jc w:val="center"/>
        <w:tblLayout w:type="fixed"/>
        <w:tblCellMar>
          <w:top w:w="0" w:type="dxa"/>
          <w:left w:w="108" w:type="dxa"/>
          <w:bottom w:w="0" w:type="dxa"/>
          <w:right w:w="108" w:type="dxa"/>
        </w:tblCellMar>
      </w:tblPr>
      <w:tblGrid>
        <w:gridCol w:w="2093"/>
        <w:gridCol w:w="4819"/>
      </w:tblGrid>
      <w:tr w14:paraId="62E9607A">
        <w:tblPrEx>
          <w:tblCellMar>
            <w:top w:w="0" w:type="dxa"/>
            <w:left w:w="108" w:type="dxa"/>
            <w:bottom w:w="0" w:type="dxa"/>
            <w:right w:w="108" w:type="dxa"/>
          </w:tblCellMar>
        </w:tblPrEx>
        <w:trPr>
          <w:trHeight w:val="1021" w:hRule="atLeast"/>
          <w:jc w:val="center"/>
        </w:trPr>
        <w:tc>
          <w:tcPr>
            <w:tcW w:w="2093" w:type="dxa"/>
            <w:vAlign w:val="center"/>
          </w:tcPr>
          <w:p w14:paraId="7551B90B">
            <w:pPr>
              <w:kinsoku/>
              <w:topLinePunct/>
              <w:autoSpaceDE/>
              <w:autoSpaceDN/>
              <w:adjustRightInd w:val="0"/>
              <w:spacing w:line="480" w:lineRule="exact"/>
              <w:jc w:val="both"/>
              <w:rPr>
                <w:rFonts w:hint="eastAsia"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工程名称：</w:t>
            </w:r>
          </w:p>
        </w:tc>
        <w:tc>
          <w:tcPr>
            <w:tcW w:w="4819" w:type="dxa"/>
            <w:vAlign w:val="center"/>
          </w:tcPr>
          <w:p w14:paraId="63188408">
            <w:pPr>
              <w:kinsoku/>
              <w:wordWrap w:val="0"/>
              <w:topLinePunct/>
              <w:autoSpaceDE/>
              <w:autoSpaceDN/>
              <w:adjustRightInd w:val="0"/>
              <w:spacing w:line="480" w:lineRule="exact"/>
              <w:jc w:val="both"/>
              <w:rPr>
                <w:rFonts w:hint="eastAsia" w:ascii="宋体" w:hAnsi="宋体" w:eastAsia="宋体" w:cs="宋体"/>
                <w:color w:val="auto"/>
                <w:kern w:val="2"/>
                <w:highlight w:val="none"/>
              </w:rPr>
            </w:pPr>
          </w:p>
        </w:tc>
      </w:tr>
      <w:tr w14:paraId="7E13D3D6">
        <w:tblPrEx>
          <w:tblCellMar>
            <w:top w:w="0" w:type="dxa"/>
            <w:left w:w="108" w:type="dxa"/>
            <w:bottom w:w="0" w:type="dxa"/>
            <w:right w:w="108" w:type="dxa"/>
          </w:tblCellMar>
        </w:tblPrEx>
        <w:trPr>
          <w:trHeight w:val="1021" w:hRule="atLeast"/>
          <w:jc w:val="center"/>
        </w:trPr>
        <w:tc>
          <w:tcPr>
            <w:tcW w:w="2093" w:type="dxa"/>
            <w:vAlign w:val="center"/>
          </w:tcPr>
          <w:p w14:paraId="082C6D94">
            <w:pPr>
              <w:kinsoku/>
              <w:wordWrap w:val="0"/>
              <w:topLinePunct/>
              <w:autoSpaceDE/>
              <w:autoSpaceDN/>
              <w:adjustRightInd w:val="0"/>
              <w:spacing w:line="480" w:lineRule="exact"/>
              <w:jc w:val="both"/>
              <w:rPr>
                <w:rFonts w:hint="eastAsia"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工程地点:</w:t>
            </w:r>
          </w:p>
        </w:tc>
        <w:tc>
          <w:tcPr>
            <w:tcW w:w="4819" w:type="dxa"/>
            <w:vAlign w:val="center"/>
          </w:tcPr>
          <w:p w14:paraId="7B961DF7">
            <w:pPr>
              <w:kinsoku/>
              <w:wordWrap w:val="0"/>
              <w:topLinePunct/>
              <w:autoSpaceDE/>
              <w:autoSpaceDN/>
              <w:adjustRightInd w:val="0"/>
              <w:spacing w:line="480" w:lineRule="exact"/>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sz w:val="24"/>
                <w:szCs w:val="24"/>
                <w:highlight w:val="none"/>
                <w:u w:val="single"/>
                <w:lang w:eastAsia="zh-CN"/>
              </w:rPr>
              <w:t>广州市增城区新塘镇</w:t>
            </w:r>
          </w:p>
        </w:tc>
      </w:tr>
      <w:tr w14:paraId="6EBE2454">
        <w:tblPrEx>
          <w:tblCellMar>
            <w:top w:w="0" w:type="dxa"/>
            <w:left w:w="108" w:type="dxa"/>
            <w:bottom w:w="0" w:type="dxa"/>
            <w:right w:w="108" w:type="dxa"/>
          </w:tblCellMar>
        </w:tblPrEx>
        <w:trPr>
          <w:trHeight w:val="1021" w:hRule="atLeast"/>
          <w:jc w:val="center"/>
        </w:trPr>
        <w:tc>
          <w:tcPr>
            <w:tcW w:w="2093" w:type="dxa"/>
            <w:vAlign w:val="center"/>
          </w:tcPr>
          <w:p w14:paraId="73430F82">
            <w:pPr>
              <w:kinsoku/>
              <w:wordWrap w:val="0"/>
              <w:topLinePunct/>
              <w:autoSpaceDE/>
              <w:autoSpaceDN/>
              <w:adjustRightInd w:val="0"/>
              <w:spacing w:line="480" w:lineRule="exact"/>
              <w:jc w:val="both"/>
              <w:rPr>
                <w:rFonts w:hint="eastAsia"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勘察证书等级：</w:t>
            </w:r>
          </w:p>
        </w:tc>
        <w:tc>
          <w:tcPr>
            <w:tcW w:w="4819" w:type="dxa"/>
            <w:vAlign w:val="center"/>
          </w:tcPr>
          <w:p w14:paraId="7FCB1BDC">
            <w:pPr>
              <w:kinsoku/>
              <w:wordWrap w:val="0"/>
              <w:topLinePunct/>
              <w:autoSpaceDE/>
              <w:autoSpaceDN/>
              <w:adjustRightInd w:val="0"/>
              <w:spacing w:line="480" w:lineRule="exact"/>
              <w:jc w:val="both"/>
              <w:rPr>
                <w:rFonts w:hint="eastAsia" w:ascii="宋体" w:hAnsi="宋体" w:eastAsia="宋体" w:cs="宋体"/>
                <w:color w:val="auto"/>
                <w:kern w:val="2"/>
                <w:szCs w:val="24"/>
                <w:highlight w:val="none"/>
              </w:rPr>
            </w:pPr>
          </w:p>
        </w:tc>
      </w:tr>
      <w:tr w14:paraId="61398EB1">
        <w:tblPrEx>
          <w:tblCellMar>
            <w:top w:w="0" w:type="dxa"/>
            <w:left w:w="108" w:type="dxa"/>
            <w:bottom w:w="0" w:type="dxa"/>
            <w:right w:w="108" w:type="dxa"/>
          </w:tblCellMar>
        </w:tblPrEx>
        <w:trPr>
          <w:trHeight w:val="1021" w:hRule="atLeast"/>
          <w:jc w:val="center"/>
        </w:trPr>
        <w:tc>
          <w:tcPr>
            <w:tcW w:w="2093" w:type="dxa"/>
            <w:vAlign w:val="center"/>
          </w:tcPr>
          <w:p w14:paraId="61446529">
            <w:pPr>
              <w:kinsoku/>
              <w:wordWrap w:val="0"/>
              <w:topLinePunct/>
              <w:autoSpaceDE/>
              <w:autoSpaceDN/>
              <w:adjustRightInd w:val="0"/>
              <w:spacing w:line="480" w:lineRule="exact"/>
              <w:jc w:val="both"/>
              <w:rPr>
                <w:rFonts w:hint="eastAsia"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发包人：</w:t>
            </w:r>
          </w:p>
        </w:tc>
        <w:tc>
          <w:tcPr>
            <w:tcW w:w="4819" w:type="dxa"/>
            <w:vAlign w:val="center"/>
          </w:tcPr>
          <w:p w14:paraId="0192113F">
            <w:pPr>
              <w:kinsoku/>
              <w:wordWrap w:val="0"/>
              <w:topLinePunct/>
              <w:autoSpaceDE/>
              <w:autoSpaceDN/>
              <w:adjustRightInd w:val="0"/>
              <w:spacing w:line="480" w:lineRule="exact"/>
              <w:jc w:val="both"/>
              <w:rPr>
                <w:rFonts w:hint="eastAsia" w:ascii="宋体" w:hAnsi="宋体" w:eastAsia="宋体" w:cs="宋体"/>
                <w:color w:val="auto"/>
                <w:kern w:val="2"/>
                <w:szCs w:val="24"/>
                <w:highlight w:val="none"/>
              </w:rPr>
            </w:pPr>
          </w:p>
        </w:tc>
      </w:tr>
      <w:tr w14:paraId="40D381D4">
        <w:tblPrEx>
          <w:tblCellMar>
            <w:top w:w="0" w:type="dxa"/>
            <w:left w:w="108" w:type="dxa"/>
            <w:bottom w:w="0" w:type="dxa"/>
            <w:right w:w="108" w:type="dxa"/>
          </w:tblCellMar>
        </w:tblPrEx>
        <w:trPr>
          <w:trHeight w:val="1021" w:hRule="atLeast"/>
          <w:jc w:val="center"/>
        </w:trPr>
        <w:tc>
          <w:tcPr>
            <w:tcW w:w="2093" w:type="dxa"/>
            <w:vAlign w:val="center"/>
          </w:tcPr>
          <w:p w14:paraId="42DE2DBC">
            <w:pPr>
              <w:kinsoku/>
              <w:wordWrap w:val="0"/>
              <w:topLinePunct/>
              <w:autoSpaceDE/>
              <w:autoSpaceDN/>
              <w:adjustRightInd w:val="0"/>
              <w:spacing w:line="480" w:lineRule="exact"/>
              <w:jc w:val="both"/>
              <w:rPr>
                <w:rFonts w:hint="eastAsia"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勘察人：</w:t>
            </w:r>
          </w:p>
        </w:tc>
        <w:tc>
          <w:tcPr>
            <w:tcW w:w="4819" w:type="dxa"/>
            <w:vAlign w:val="center"/>
          </w:tcPr>
          <w:p w14:paraId="7383DC0F">
            <w:pPr>
              <w:kinsoku/>
              <w:wordWrap w:val="0"/>
              <w:topLinePunct/>
              <w:autoSpaceDE/>
              <w:autoSpaceDN/>
              <w:adjustRightInd w:val="0"/>
              <w:spacing w:line="480" w:lineRule="exact"/>
              <w:jc w:val="both"/>
              <w:rPr>
                <w:rFonts w:hint="eastAsia" w:ascii="宋体" w:hAnsi="宋体" w:eastAsia="宋体" w:cs="宋体"/>
                <w:color w:val="auto"/>
                <w:kern w:val="2"/>
                <w:sz w:val="24"/>
                <w:szCs w:val="24"/>
                <w:highlight w:val="none"/>
                <w:u w:val="single"/>
              </w:rPr>
            </w:pPr>
          </w:p>
        </w:tc>
      </w:tr>
    </w:tbl>
    <w:p w14:paraId="013520D9">
      <w:pPr>
        <w:kinsoku/>
        <w:wordWrap w:val="0"/>
        <w:topLinePunct/>
        <w:autoSpaceDE/>
        <w:autoSpaceDN/>
        <w:adjustRightInd w:val="0"/>
        <w:spacing w:line="480" w:lineRule="exact"/>
        <w:jc w:val="both"/>
        <w:rPr>
          <w:rFonts w:ascii="仿宋_GB2312" w:hAnsi="Times New Roman" w:eastAsia="仿宋_GB2312"/>
          <w:b/>
          <w:bCs/>
          <w:color w:val="auto"/>
          <w:spacing w:val="110"/>
          <w:kern w:val="2"/>
          <w:sz w:val="28"/>
          <w:szCs w:val="28"/>
          <w:highlight w:val="none"/>
        </w:rPr>
      </w:pPr>
    </w:p>
    <w:p w14:paraId="64895244">
      <w:pPr>
        <w:widowControl w:val="0"/>
        <w:kinsoku/>
        <w:autoSpaceDE/>
        <w:autoSpaceDN/>
        <w:snapToGrid/>
        <w:spacing w:line="480" w:lineRule="exact"/>
        <w:jc w:val="both"/>
        <w:rPr>
          <w:rFonts w:ascii="Times New Roman" w:hAnsi="宋体" w:eastAsia="宋体"/>
          <w:color w:val="auto"/>
          <w:kern w:val="2"/>
          <w:sz w:val="24"/>
          <w:szCs w:val="24"/>
          <w:highlight w:val="none"/>
        </w:rPr>
      </w:pPr>
      <w:r>
        <w:rPr>
          <w:rFonts w:ascii="仿宋_GB2312" w:hAnsi="Times New Roman" w:eastAsia="仿宋_GB2312"/>
          <w:color w:val="auto"/>
          <w:kern w:val="2"/>
          <w:sz w:val="24"/>
          <w:szCs w:val="24"/>
          <w:highlight w:val="none"/>
        </w:rPr>
        <w:br w:type="page"/>
      </w:r>
      <w:r>
        <w:rPr>
          <w:rFonts w:ascii="Times New Roman" w:hAnsi="宋体" w:eastAsia="宋体"/>
          <w:color w:val="auto"/>
          <w:kern w:val="2"/>
          <w:sz w:val="24"/>
          <w:szCs w:val="24"/>
          <w:highlight w:val="none"/>
        </w:rPr>
        <w:t>发包人（建设单位）：</w:t>
      </w:r>
      <w:r>
        <w:rPr>
          <w:rFonts w:hint="eastAsia" w:ascii="Times New Roman" w:hAnsi="宋体" w:eastAsia="宋体"/>
          <w:color w:val="auto"/>
          <w:kern w:val="2"/>
          <w:sz w:val="24"/>
          <w:szCs w:val="24"/>
          <w:highlight w:val="none"/>
          <w:u w:val="single"/>
          <w:lang w:bidi="ar"/>
        </w:rPr>
        <w:t xml:space="preserve">                        </w:t>
      </w:r>
    </w:p>
    <w:p w14:paraId="654DFCE2">
      <w:pPr>
        <w:widowControl w:val="0"/>
        <w:kinsoku/>
        <w:autoSpaceDE/>
        <w:autoSpaceDN/>
        <w:snapToGrid/>
        <w:spacing w:line="276" w:lineRule="auto"/>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勘察人：</w:t>
      </w:r>
      <w:r>
        <w:rPr>
          <w:rFonts w:ascii="Calibri" w:hAnsi="宋体" w:eastAsia="宋体"/>
          <w:color w:val="auto"/>
          <w:kern w:val="2"/>
          <w:sz w:val="24"/>
          <w:szCs w:val="24"/>
          <w:highlight w:val="none"/>
          <w:u w:val="single"/>
          <w:lang w:bidi="ar"/>
        </w:rPr>
        <w:t xml:space="preserve">                                  </w:t>
      </w:r>
    </w:p>
    <w:p w14:paraId="3F117DDD">
      <w:pPr>
        <w:widowControl w:val="0"/>
        <w:kinsoku/>
        <w:autoSpaceDE/>
        <w:autoSpaceDN/>
        <w:snapToGrid/>
        <w:spacing w:line="276" w:lineRule="auto"/>
        <w:ind w:firstLine="480" w:firstLineChars="20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202</w:t>
      </w:r>
      <w:r>
        <w:rPr>
          <w:rFonts w:hint="eastAsia" w:ascii="宋体" w:hAnsi="宋体" w:eastAsia="宋体"/>
          <w:color w:val="auto"/>
          <w:kern w:val="2"/>
          <w:sz w:val="24"/>
          <w:szCs w:val="24"/>
          <w:highlight w:val="none"/>
          <w:lang w:val="en-US" w:eastAsia="zh-CN"/>
        </w:rPr>
        <w:t>5</w:t>
      </w:r>
      <w:r>
        <w:rPr>
          <w:rFonts w:hint="eastAsia" w:ascii="宋体" w:hAnsi="宋体" w:eastAsia="宋体"/>
          <w:color w:val="auto"/>
          <w:kern w:val="2"/>
          <w:sz w:val="24"/>
          <w:szCs w:val="24"/>
          <w:highlight w:val="none"/>
        </w:rPr>
        <w:t>年</w:t>
      </w:r>
      <w:r>
        <w:rPr>
          <w:rFonts w:ascii="宋体" w:hAnsi="宋体" w:eastAsia="宋体"/>
          <w:color w:val="auto"/>
          <w:kern w:val="2"/>
          <w:sz w:val="24"/>
          <w:szCs w:val="24"/>
          <w:highlight w:val="none"/>
        </w:rPr>
        <w:t xml:space="preserve">  月  日，经公开招标，勘察人被评定为中标人。现发包人（建设单位）委托勘察人承担</w:t>
      </w:r>
      <w:r>
        <w:rPr>
          <w:rFonts w:hint="eastAsia" w:ascii="宋体" w:hAnsi="宋体" w:eastAsia="宋体"/>
          <w:color w:val="auto"/>
          <w:kern w:val="2"/>
          <w:sz w:val="24"/>
          <w:szCs w:val="24"/>
          <w:highlight w:val="none"/>
          <w:u w:val="single"/>
          <w:lang w:eastAsia="zh-CN"/>
        </w:rPr>
        <w:t>广州东部中心地下管网完善工程—新塘镇排水系统更新改造提升工程（北部片区）勘察服务</w:t>
      </w:r>
      <w:r>
        <w:rPr>
          <w:rFonts w:ascii="宋体" w:hAnsi="宋体" w:eastAsia="宋体"/>
          <w:color w:val="auto"/>
          <w:kern w:val="2"/>
          <w:sz w:val="24"/>
          <w:szCs w:val="24"/>
          <w:highlight w:val="none"/>
        </w:rPr>
        <w:t>，工程地点为</w:t>
      </w:r>
      <w:r>
        <w:rPr>
          <w:rFonts w:hint="eastAsia" w:ascii="宋体" w:hAnsi="宋体" w:eastAsia="宋体"/>
          <w:color w:val="auto"/>
          <w:kern w:val="2"/>
          <w:sz w:val="24"/>
          <w:szCs w:val="24"/>
          <w:highlight w:val="none"/>
          <w:u w:val="single"/>
          <w:lang w:eastAsia="zh-CN"/>
        </w:rPr>
        <w:t>广州市增城区新塘镇</w:t>
      </w:r>
      <w:r>
        <w:rPr>
          <w:rFonts w:ascii="宋体" w:hAnsi="宋体" w:eastAsia="宋体"/>
          <w:color w:val="auto"/>
          <w:kern w:val="2"/>
          <w:sz w:val="24"/>
          <w:szCs w:val="24"/>
          <w:highlight w:val="none"/>
        </w:rPr>
        <w:t>。</w:t>
      </w:r>
    </w:p>
    <w:p w14:paraId="3A941130">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根据</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中华人民共和国</w:t>
      </w:r>
      <w:r>
        <w:rPr>
          <w:rFonts w:hint="eastAsia" w:ascii="宋体" w:hAnsi="宋体" w:eastAsia="宋体"/>
          <w:color w:val="auto"/>
          <w:kern w:val="2"/>
          <w:sz w:val="24"/>
          <w:szCs w:val="24"/>
          <w:highlight w:val="none"/>
        </w:rPr>
        <w:t>民法典》</w:t>
      </w:r>
      <w:r>
        <w:rPr>
          <w:rFonts w:ascii="宋体" w:hAnsi="宋体" w:eastAsia="宋体"/>
          <w:color w:val="auto"/>
          <w:kern w:val="2"/>
          <w:sz w:val="24"/>
          <w:szCs w:val="24"/>
          <w:highlight w:val="none"/>
        </w:rPr>
        <w:t>及国家有关法规规定，国家计委、建设部关于发布《工程勘察设计收费管理规定》的通知（计价格[2002]10号），结合本工程的具体情况，为明确责任，协作配合，确保工程勘察质量，经发包人（建设单位）、勘察人协商一致，签订本合同，共同遵守。</w:t>
      </w:r>
    </w:p>
    <w:p w14:paraId="7EAE3588">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第一条</w:t>
      </w:r>
      <w:r>
        <w:rPr>
          <w:rFonts w:ascii="宋体" w:hAnsi="宋体" w:eastAsia="宋体"/>
          <w:color w:val="auto"/>
          <w:kern w:val="2"/>
          <w:sz w:val="24"/>
          <w:szCs w:val="24"/>
          <w:highlight w:val="none"/>
        </w:rPr>
        <w:t>：工程概况：</w:t>
      </w:r>
      <w:r>
        <w:rPr>
          <w:rFonts w:hint="eastAsia" w:ascii="宋体" w:hAnsi="宋体" w:eastAsia="宋体"/>
          <w:color w:val="auto"/>
          <w:kern w:val="2"/>
          <w:sz w:val="24"/>
          <w:szCs w:val="24"/>
          <w:highlight w:val="none"/>
          <w:u w:val="single"/>
        </w:rPr>
        <w:t xml:space="preserve">                  </w:t>
      </w:r>
      <w:r>
        <w:rPr>
          <w:rFonts w:hint="eastAsia" w:ascii="宋体" w:hAnsi="宋体" w:eastAsia="宋体"/>
          <w:color w:val="auto"/>
          <w:kern w:val="2"/>
          <w:sz w:val="24"/>
          <w:szCs w:val="24"/>
          <w:highlight w:val="none"/>
        </w:rPr>
        <w:t>。</w:t>
      </w:r>
    </w:p>
    <w:p w14:paraId="4CC8A6D8">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第二条：发包人（建设单位）应及时向勘察人提供下列文件资料，并对其准确性、可靠性负责。</w:t>
      </w:r>
    </w:p>
    <w:p w14:paraId="7EDC8969">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1提供本工程批准文件（复印件），以及用地（附红线范围）、施工、勘察许可等批件（复印件）。</w:t>
      </w:r>
    </w:p>
    <w:p w14:paraId="525C2C73">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2提供工程勘察任务委托书、技术要求和工作范围的地形图、建筑总平面布置图。</w:t>
      </w:r>
    </w:p>
    <w:p w14:paraId="473598C1">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3提供勘察工作范围已有的技术资料及工程所需的坐标与标高资料。</w:t>
      </w:r>
    </w:p>
    <w:p w14:paraId="1C2744CB">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4由勘察人收集勘察工作范围地下已有埋藏物的资料（如电力、电讯电缆、各种管道、人防设施、洞室等）及具体位置分布图，发包人向勘察人支付相应费用。具体工作范围按照招标文件或委托书的要求。</w:t>
      </w:r>
    </w:p>
    <w:p w14:paraId="55DF97EB">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第三条：勘察人向发包人（建设单位）位提交勘察成果资料并对其质量负责。</w:t>
      </w:r>
    </w:p>
    <w:p w14:paraId="25255E81">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勘察人负责向发包人（建设单位）提交勘察成果资料六份。</w:t>
      </w:r>
    </w:p>
    <w:p w14:paraId="2AD099DF">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第四条：开工及提交勘察成果资料的时间和收费标准及付费方式</w:t>
      </w:r>
    </w:p>
    <w:p w14:paraId="7932E8EB">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1开工及提交勘察成果资料的时间</w:t>
      </w:r>
    </w:p>
    <w:p w14:paraId="1C75C48D">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1本工程的初步勘察工作定于</w:t>
      </w:r>
      <w:r>
        <w:rPr>
          <w:rFonts w:hint="eastAsia" w:ascii="宋体" w:hAnsi="宋体" w:eastAsia="宋体"/>
          <w:color w:val="auto"/>
          <w:kern w:val="2"/>
          <w:sz w:val="24"/>
          <w:szCs w:val="24"/>
          <w:highlight w:val="none"/>
          <w:u w:val="single"/>
        </w:rPr>
        <w:t>202</w:t>
      </w:r>
      <w:r>
        <w:rPr>
          <w:rFonts w:hint="eastAsia" w:ascii="宋体" w:hAnsi="宋体" w:eastAsia="宋体"/>
          <w:color w:val="auto"/>
          <w:kern w:val="2"/>
          <w:sz w:val="24"/>
          <w:szCs w:val="24"/>
          <w:highlight w:val="none"/>
          <w:u w:val="single"/>
          <w:lang w:val="en-US" w:eastAsia="zh-CN"/>
        </w:rPr>
        <w:t>5</w:t>
      </w:r>
      <w:r>
        <w:rPr>
          <w:rFonts w:hint="eastAsia" w:ascii="宋体" w:hAnsi="宋体" w:eastAsia="宋体"/>
          <w:color w:val="auto"/>
          <w:kern w:val="2"/>
          <w:sz w:val="24"/>
          <w:szCs w:val="24"/>
          <w:highlight w:val="none"/>
          <w:u w:val="single"/>
        </w:rPr>
        <w:t>年</w:t>
      </w:r>
      <w:r>
        <w:rPr>
          <w:rFonts w:ascii="宋体" w:hAnsi="宋体" w:eastAsia="宋体"/>
          <w:color w:val="auto"/>
          <w:kern w:val="2"/>
          <w:sz w:val="24"/>
          <w:szCs w:val="24"/>
          <w:highlight w:val="none"/>
          <w:u w:val="single"/>
        </w:rPr>
        <w:t xml:space="preserve">  月   日开工，</w:t>
      </w:r>
      <w:r>
        <w:rPr>
          <w:rFonts w:hint="eastAsia" w:ascii="宋体" w:hAnsi="宋体" w:eastAsia="宋体"/>
          <w:color w:val="auto"/>
          <w:kern w:val="2"/>
          <w:sz w:val="24"/>
          <w:szCs w:val="24"/>
          <w:highlight w:val="none"/>
          <w:u w:val="single"/>
        </w:rPr>
        <w:t>202</w:t>
      </w:r>
      <w:r>
        <w:rPr>
          <w:rFonts w:hint="eastAsia" w:ascii="宋体" w:hAnsi="宋体" w:eastAsia="宋体"/>
          <w:color w:val="auto"/>
          <w:kern w:val="2"/>
          <w:sz w:val="24"/>
          <w:szCs w:val="24"/>
          <w:highlight w:val="none"/>
          <w:u w:val="single"/>
          <w:lang w:val="en-US" w:eastAsia="zh-CN"/>
        </w:rPr>
        <w:t>5</w:t>
      </w:r>
      <w:r>
        <w:rPr>
          <w:rFonts w:hint="eastAsia" w:ascii="宋体" w:hAnsi="宋体" w:eastAsia="宋体"/>
          <w:color w:val="auto"/>
          <w:kern w:val="2"/>
          <w:sz w:val="24"/>
          <w:szCs w:val="24"/>
          <w:highlight w:val="none"/>
          <w:u w:val="single"/>
        </w:rPr>
        <w:t>年</w:t>
      </w:r>
      <w:r>
        <w:rPr>
          <w:rFonts w:ascii="宋体" w:hAnsi="宋体" w:eastAsia="宋体"/>
          <w:color w:val="auto"/>
          <w:kern w:val="2"/>
          <w:sz w:val="24"/>
          <w:szCs w:val="24"/>
          <w:highlight w:val="none"/>
          <w:u w:val="single"/>
        </w:rPr>
        <w:t xml:space="preserve">  月   日</w:t>
      </w:r>
      <w:r>
        <w:rPr>
          <w:rFonts w:ascii="宋体" w:hAnsi="宋体" w:eastAsia="宋体"/>
          <w:color w:val="auto"/>
          <w:kern w:val="2"/>
          <w:sz w:val="24"/>
          <w:szCs w:val="24"/>
          <w:highlight w:val="none"/>
        </w:rPr>
        <w:t>提交勘察成果资料，由于发包人（建设单位）或勘察人的原因未能按期开工或提交成果资料时，按本合同第六条规定办理。</w:t>
      </w:r>
    </w:p>
    <w:p w14:paraId="7854609F">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4.1.2勘察人开工前10天，送勘察方案给建设管理单位审核，</w:t>
      </w:r>
      <w:r>
        <w:rPr>
          <w:rFonts w:ascii="宋体" w:hAnsi="宋体" w:eastAsia="宋体"/>
          <w:color w:val="auto"/>
          <w:kern w:val="2"/>
          <w:sz w:val="24"/>
          <w:szCs w:val="24"/>
          <w:highlight w:val="none"/>
          <w:u w:val="single"/>
        </w:rPr>
        <w:t>勘察方案经审核后方可开工</w:t>
      </w:r>
      <w:r>
        <w:rPr>
          <w:rFonts w:ascii="宋体" w:hAnsi="宋体" w:eastAsia="宋体"/>
          <w:color w:val="auto"/>
          <w:kern w:val="2"/>
          <w:sz w:val="24"/>
          <w:szCs w:val="24"/>
          <w:highlight w:val="none"/>
        </w:rPr>
        <w:t>。</w:t>
      </w:r>
    </w:p>
    <w:p w14:paraId="37063C32">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3勘察工作有效期限以发包人（建设单位）下达的开工通知书或合同规定的时间为准，如遇特殊情况（设计变更、工作量变化、不可抗力影响以及非勘察人原因造成的停、窝工等）时，工期顺延。</w:t>
      </w:r>
    </w:p>
    <w:p w14:paraId="62A1CD07">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2收费标准及付费方式</w:t>
      </w:r>
    </w:p>
    <w:p w14:paraId="4379E738">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4.2.1本合同工程勘察费</w:t>
      </w:r>
      <w:r>
        <w:rPr>
          <w:rFonts w:hint="eastAsia" w:ascii="宋体" w:hAnsi="宋体" w:eastAsia="宋体"/>
          <w:color w:val="auto"/>
          <w:kern w:val="2"/>
          <w:sz w:val="24"/>
          <w:szCs w:val="24"/>
          <w:highlight w:val="none"/>
          <w:lang w:eastAsia="zh-CN"/>
        </w:rPr>
        <w:t>暂定</w:t>
      </w:r>
      <w:r>
        <w:rPr>
          <w:rFonts w:hint="eastAsia" w:ascii="宋体" w:hAnsi="宋体" w:eastAsia="宋体"/>
          <w:color w:val="auto"/>
          <w:kern w:val="2"/>
          <w:sz w:val="24"/>
          <w:szCs w:val="24"/>
          <w:highlight w:val="none"/>
        </w:rPr>
        <w:t>为人民币     万元（大写   元）。中标下浮率为</w:t>
      </w:r>
      <w:r>
        <w:rPr>
          <w:rFonts w:hint="eastAsia" w:ascii="宋体" w:hAnsi="宋体" w:eastAsia="宋体"/>
          <w:color w:val="auto"/>
          <w:kern w:val="2"/>
          <w:sz w:val="24"/>
          <w:szCs w:val="24"/>
          <w:highlight w:val="none"/>
          <w:u w:val="single"/>
        </w:rPr>
        <w:t xml:space="preserve">     </w:t>
      </w:r>
      <w:r>
        <w:rPr>
          <w:rFonts w:hint="eastAsia" w:ascii="宋体" w:hAnsi="宋体" w:eastAsia="宋体"/>
          <w:color w:val="auto"/>
          <w:kern w:val="2"/>
          <w:sz w:val="24"/>
          <w:szCs w:val="24"/>
          <w:highlight w:val="none"/>
        </w:rPr>
        <w:t xml:space="preserve"> %。结算以合同金额和结算评审价下浮</w:t>
      </w:r>
      <w:r>
        <w:rPr>
          <w:rFonts w:hint="eastAsia" w:ascii="宋体" w:hAnsi="宋体" w:eastAsia="宋体"/>
          <w:color w:val="auto"/>
          <w:kern w:val="2"/>
          <w:sz w:val="24"/>
          <w:szCs w:val="24"/>
          <w:highlight w:val="none"/>
          <w:lang w:val="en-US" w:eastAsia="zh-CN"/>
        </w:rPr>
        <w:t xml:space="preserve">    </w:t>
      </w:r>
      <w:r>
        <w:rPr>
          <w:rFonts w:hint="eastAsia" w:ascii="宋体" w:hAnsi="宋体" w:eastAsia="宋体"/>
          <w:color w:val="auto"/>
          <w:kern w:val="2"/>
          <w:sz w:val="24"/>
          <w:szCs w:val="24"/>
          <w:highlight w:val="none"/>
        </w:rPr>
        <w:t>%的较低值作为最终结算价。</w:t>
      </w:r>
    </w:p>
    <w:p w14:paraId="64F8ECEC">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4.2.2本项目工程勘察费包含岩土工程勘察费、工程测量费、工程物探(含管线探测)等勘察工作发生的所有费用及税金。工程勘察费参照国家发展计划委员会、建设部 2002 年颁布的《工程勘察设计收费标准》计算，费用浮动幅度为(1-投标下浮率)。在合同实施期间岩土工程勘察费、工程测量、工程物探(含管线探测)费按实际完成工作量调整，但费率浮动幅度不变。</w:t>
      </w:r>
    </w:p>
    <w:p w14:paraId="3698CC59">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4.2.3合同生效后，发包人(建设单位)以</w:t>
      </w:r>
      <w:r>
        <w:rPr>
          <w:rFonts w:hint="eastAsia" w:ascii="宋体" w:hAnsi="宋体" w:eastAsia="宋体"/>
          <w:color w:val="auto"/>
          <w:kern w:val="2"/>
          <w:sz w:val="24"/>
          <w:szCs w:val="24"/>
          <w:highlight w:val="none"/>
          <w:lang w:val="en-US" w:eastAsia="zh-CN"/>
        </w:rPr>
        <w:t>勘察</w:t>
      </w:r>
      <w:r>
        <w:rPr>
          <w:rFonts w:hint="eastAsia" w:ascii="宋体" w:hAnsi="宋体" w:eastAsia="宋体"/>
          <w:color w:val="auto"/>
          <w:kern w:val="2"/>
          <w:sz w:val="24"/>
          <w:szCs w:val="24"/>
          <w:highlight w:val="none"/>
        </w:rPr>
        <w:t>任务书形式下达任务后支付暂定合同价的</w:t>
      </w:r>
      <w:r>
        <w:rPr>
          <w:rFonts w:hint="eastAsia" w:ascii="宋体" w:hAnsi="宋体" w:eastAsia="宋体"/>
          <w:color w:val="auto"/>
          <w:kern w:val="2"/>
          <w:sz w:val="24"/>
          <w:szCs w:val="24"/>
          <w:highlight w:val="none"/>
          <w:lang w:eastAsia="zh-CN"/>
        </w:rPr>
        <w:t>3</w:t>
      </w:r>
      <w:r>
        <w:rPr>
          <w:rFonts w:hint="eastAsia" w:ascii="宋体" w:hAnsi="宋体" w:eastAsia="宋体"/>
          <w:color w:val="auto"/>
          <w:kern w:val="2"/>
          <w:sz w:val="24"/>
          <w:szCs w:val="24"/>
          <w:highlight w:val="none"/>
          <w:lang w:val="en-US" w:eastAsia="zh-CN"/>
        </w:rPr>
        <w:t>0</w:t>
      </w:r>
      <w:r>
        <w:rPr>
          <w:rFonts w:hint="eastAsia" w:ascii="宋体" w:hAnsi="宋体" w:eastAsia="宋体"/>
          <w:color w:val="auto"/>
          <w:kern w:val="2"/>
          <w:sz w:val="24"/>
          <w:szCs w:val="24"/>
          <w:highlight w:val="none"/>
        </w:rPr>
        <w:t>%作为预付款。</w:t>
      </w:r>
    </w:p>
    <w:p w14:paraId="2F4483B4">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4.2.4</w:t>
      </w:r>
      <w:r>
        <w:rPr>
          <w:rFonts w:hint="eastAsia" w:ascii="宋体" w:hAnsi="宋体" w:eastAsia="宋体"/>
          <w:color w:val="auto"/>
          <w:kern w:val="2"/>
          <w:sz w:val="24"/>
          <w:szCs w:val="24"/>
          <w:highlight w:val="none"/>
          <w:lang w:val="en-US" w:eastAsia="zh-CN"/>
        </w:rPr>
        <w:t>勘察人</w:t>
      </w:r>
      <w:r>
        <w:rPr>
          <w:rFonts w:hint="eastAsia" w:ascii="宋体" w:hAnsi="宋体" w:eastAsia="宋体"/>
          <w:color w:val="auto"/>
          <w:kern w:val="2"/>
          <w:sz w:val="24"/>
          <w:szCs w:val="24"/>
          <w:highlight w:val="none"/>
        </w:rPr>
        <w:t>完成</w:t>
      </w:r>
      <w:r>
        <w:rPr>
          <w:rFonts w:hint="eastAsia" w:ascii="宋体" w:hAnsi="宋体" w:eastAsia="宋体"/>
          <w:color w:val="auto"/>
          <w:kern w:val="2"/>
          <w:sz w:val="24"/>
          <w:szCs w:val="24"/>
          <w:highlight w:val="none"/>
          <w:lang w:val="en-US" w:eastAsia="zh-CN"/>
        </w:rPr>
        <w:t>勘察</w:t>
      </w:r>
      <w:r>
        <w:rPr>
          <w:rFonts w:hint="eastAsia" w:ascii="宋体" w:hAnsi="宋体" w:eastAsia="宋体"/>
          <w:color w:val="auto"/>
          <w:kern w:val="2"/>
          <w:sz w:val="24"/>
          <w:szCs w:val="24"/>
          <w:highlight w:val="none"/>
        </w:rPr>
        <w:t>技术审查，且其概算经财政部门(或评审机构)评审后，经发包人（建设单位）确认，支付至勘察费概算价的75%。</w:t>
      </w:r>
    </w:p>
    <w:p w14:paraId="29533293">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4.2.5合同勘察工作完成后，</w:t>
      </w:r>
      <w:r>
        <w:rPr>
          <w:rFonts w:hint="eastAsia" w:ascii="宋体" w:hAnsi="宋体" w:eastAsia="宋体"/>
          <w:color w:val="auto"/>
          <w:kern w:val="2"/>
          <w:sz w:val="24"/>
          <w:szCs w:val="24"/>
          <w:highlight w:val="none"/>
          <w:lang w:val="en-US" w:eastAsia="zh-CN"/>
        </w:rPr>
        <w:t>勘察人</w:t>
      </w:r>
      <w:r>
        <w:rPr>
          <w:rFonts w:hint="eastAsia" w:ascii="宋体" w:hAnsi="宋体" w:eastAsia="宋体"/>
          <w:color w:val="auto"/>
          <w:kern w:val="2"/>
          <w:sz w:val="24"/>
          <w:szCs w:val="24"/>
          <w:highlight w:val="none"/>
        </w:rPr>
        <w:t>提供相关成果，经发包人(建设单位)确认，经相关部门结算评审后，支付</w:t>
      </w:r>
      <w:r>
        <w:rPr>
          <w:rFonts w:hint="eastAsia" w:ascii="宋体" w:hAnsi="宋体" w:eastAsia="宋体"/>
          <w:color w:val="auto"/>
          <w:kern w:val="2"/>
          <w:sz w:val="24"/>
          <w:szCs w:val="24"/>
          <w:highlight w:val="none"/>
          <w:lang w:val="en-US" w:eastAsia="zh-CN"/>
        </w:rPr>
        <w:t>至</w:t>
      </w:r>
      <w:r>
        <w:rPr>
          <w:rFonts w:hint="eastAsia" w:ascii="宋体" w:hAnsi="宋体" w:eastAsia="宋体"/>
          <w:color w:val="auto"/>
          <w:kern w:val="2"/>
          <w:sz w:val="24"/>
          <w:szCs w:val="24"/>
          <w:highlight w:val="none"/>
        </w:rPr>
        <w:t>最终</w:t>
      </w:r>
      <w:r>
        <w:rPr>
          <w:rFonts w:hint="eastAsia" w:ascii="宋体" w:hAnsi="宋体" w:eastAsia="宋体"/>
          <w:color w:val="auto"/>
          <w:kern w:val="2"/>
          <w:sz w:val="24"/>
          <w:szCs w:val="24"/>
          <w:highlight w:val="none"/>
          <w:lang w:val="en-US" w:eastAsia="zh-CN"/>
        </w:rPr>
        <w:t>勘察</w:t>
      </w:r>
      <w:r>
        <w:rPr>
          <w:rFonts w:hint="eastAsia" w:ascii="宋体" w:hAnsi="宋体" w:eastAsia="宋体"/>
          <w:color w:val="auto"/>
          <w:kern w:val="2"/>
          <w:sz w:val="24"/>
          <w:szCs w:val="24"/>
          <w:highlight w:val="none"/>
        </w:rPr>
        <w:t>结算审核价的90%。</w:t>
      </w:r>
    </w:p>
    <w:p w14:paraId="4AEA3D43">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4.2.6工程竣工验收后经发包人（建设单位）确认，支付至勘察费结算价的100%。</w:t>
      </w:r>
    </w:p>
    <w:p w14:paraId="3E764E4C">
      <w:pPr>
        <w:pStyle w:val="2"/>
        <w:ind w:firstLine="480" w:firstLineChars="200"/>
        <w:rPr>
          <w:rFonts w:hint="default" w:eastAsia="宋体"/>
          <w:color w:val="auto"/>
          <w:highlight w:val="none"/>
          <w:lang w:val="en-US" w:eastAsia="zh-CN"/>
        </w:rPr>
      </w:pPr>
      <w:r>
        <w:rPr>
          <w:rFonts w:hint="eastAsia" w:hAnsi="宋体" w:eastAsia="宋体"/>
          <w:color w:val="auto"/>
          <w:kern w:val="2"/>
          <w:sz w:val="24"/>
          <w:szCs w:val="24"/>
          <w:highlight w:val="none"/>
          <w:lang w:val="en-US" w:eastAsia="zh-CN"/>
        </w:rPr>
        <w:t>4.2.7因发包人使用的是财政资金，按前述规定时间向财政部门提交付款申请视为按期支付。</w:t>
      </w:r>
    </w:p>
    <w:p w14:paraId="2325E307">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第五条：招标人或发包人（建设单位）、勘察人责任</w:t>
      </w:r>
    </w:p>
    <w:p w14:paraId="036F9CEE">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5.1招标人或发包人（建设单位）责任</w:t>
      </w:r>
    </w:p>
    <w:p w14:paraId="3CB5FC66">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5.1.1发包人（建设单位）委托任务时，必须以书面形式向勘察人明确勘察任务及技术要求，并按第二条规定提供文件资料。</w:t>
      </w:r>
    </w:p>
    <w:p w14:paraId="2522465A">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5.1.2发包人（建设单位）应协助勘察人解决勘察现场的工作条件和出现的问题（如：落实土地征用、青苗树木赔偿、拆除地上地下障碍物、及影响征地拆迁引起的施工正常进行的有关问题等），并支付相关费用。</w:t>
      </w:r>
    </w:p>
    <w:p w14:paraId="606E6C98">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5.1.3若勘察现场需要看守，特别是在有毒、有害等危险现场作业时，发包人（建设单位）应协助安全保卫工作，按国家有关规定，对从事危险作业的现场人员进行保健防护。</w:t>
      </w:r>
    </w:p>
    <w:p w14:paraId="53465355">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5.1.4工程勘察前，若发包人（建设单位）负责提供材料的，应根据勘察人提出的工程用料计划，按时提供各种材料及其产品合格证明，并承担费用和运到现场，派人与勘察人的人员一起验收。</w:t>
      </w:r>
    </w:p>
    <w:p w14:paraId="3A807484">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5.1.5勘察过程中的任何变更，经办理正式变更手续后，发包人（建设单位）应按实际发生的工作量支付勘察费。</w:t>
      </w:r>
    </w:p>
    <w:p w14:paraId="1078394B">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5.1.6由于发包人（建设单位）原因造成勘察人停、窝工，工期顺延。</w:t>
      </w:r>
    </w:p>
    <w:p w14:paraId="5509E053">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5.1.7发包人（建设单位）应保护勘察人的勘察方案、报告书、文件、资料图纸、数据、特殊工艺（方法）、专利技术和合理化建议，未经勘察人同意，发包人（建设单位）不得复制、不得泄露、不得擅自修改、传送或向第三人转让或用于本合同外的项目；如发生上述情况，发包人（建设单位）应负法律责任，勘察人有权索赔。</w:t>
      </w:r>
    </w:p>
    <w:p w14:paraId="06CE95B1">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5.1.8本合同有关条款规定和补充协议中发包人（建设单位）应负的其它责任。</w:t>
      </w:r>
    </w:p>
    <w:p w14:paraId="0684295C">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2勘察人责任</w:t>
      </w:r>
    </w:p>
    <w:p w14:paraId="14EC9236">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5.2.1勘察人应按国家技术规范、标准、规程和发包人（建设单位）的任务委托书、技术要求及经发包人（建设单位）审定的勘察方案进行工程勘察，按本合同规定的时间提交质量合格的勘察成果资料，并对其负责。</w:t>
      </w:r>
    </w:p>
    <w:p w14:paraId="1F3895AE">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建设单位）、勘察人商定为</w:t>
      </w:r>
      <w:r>
        <w:rPr>
          <w:rFonts w:ascii="宋体" w:hAnsi="宋体" w:eastAsia="宋体"/>
          <w:color w:val="auto"/>
          <w:kern w:val="2"/>
          <w:sz w:val="24"/>
          <w:szCs w:val="24"/>
          <w:highlight w:val="none"/>
          <w:u w:val="single"/>
        </w:rPr>
        <w:t>直接受损失</w:t>
      </w:r>
      <w:r>
        <w:rPr>
          <w:rFonts w:hint="eastAsia" w:ascii="宋体" w:hAnsi="宋体" w:eastAsia="宋体"/>
          <w:color w:val="auto"/>
          <w:kern w:val="2"/>
          <w:sz w:val="24"/>
          <w:szCs w:val="24"/>
          <w:highlight w:val="none"/>
          <w:u w:val="single"/>
        </w:rPr>
        <w:t>部分</w:t>
      </w:r>
      <w:r>
        <w:rPr>
          <w:rFonts w:ascii="宋体" w:hAnsi="宋体" w:eastAsia="宋体"/>
          <w:color w:val="auto"/>
          <w:kern w:val="2"/>
          <w:sz w:val="24"/>
          <w:szCs w:val="24"/>
          <w:highlight w:val="none"/>
          <w:u w:val="single"/>
        </w:rPr>
        <w:t>勘察费的100%。</w:t>
      </w:r>
    </w:p>
    <w:p w14:paraId="54C9004A">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勘察方案应该按照发包人（建设单位）的要求予以进行，若需要对勘察方案调整，须报发包人（建设单位）书面同意后才能实施。否则，发生的费用不予支付。</w:t>
      </w:r>
    </w:p>
    <w:p w14:paraId="792456F7">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5.2.3在工程勘察前，派人与发包人（建设单位）的人员一起验收发包人（建设单位）提供的材料。</w:t>
      </w:r>
    </w:p>
    <w:p w14:paraId="6EB7BC3F">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5.2.4勘察过程中，根据工程的岩土工程条件（或工作现场地形地貌、地质和水文地质条件）及技术规范要求，向发包人（建设单位）提出增减工作量或修改勘察工作的意见，并办理正式变更手续。</w:t>
      </w:r>
    </w:p>
    <w:p w14:paraId="6DA2951A">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5.2.5在现场工作的勘察人的人员，应遵守发包人（建设单位）的安全保卫及其它有关的规章制度，承担其有关资料保密义务。</w:t>
      </w:r>
    </w:p>
    <w:p w14:paraId="40EDC662">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5.2.6勘察人应保障工作人员的工资与社会保险，按时发放薪金，由此引起的所有责任由勘察人承担。</w:t>
      </w:r>
    </w:p>
    <w:p w14:paraId="40255AC1">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5.2.7本合同有关条款规定和补充协议中勘察人应负的其它责任。</w:t>
      </w:r>
    </w:p>
    <w:p w14:paraId="4F3BF25B">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5.2.8勘察人应保证能在发包人要求的时间内到达勘察现场，处理相关事项。</w:t>
      </w:r>
    </w:p>
    <w:p w14:paraId="0A142DA2">
      <w:pPr>
        <w:widowControl w:val="0"/>
        <w:kinsoku/>
        <w:autoSpaceDE/>
        <w:autoSpaceDN/>
        <w:snapToGrid/>
        <w:spacing w:line="276" w:lineRule="auto"/>
        <w:ind w:firstLine="480"/>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第六条：违约责任</w:t>
      </w:r>
    </w:p>
    <w:p w14:paraId="7BA02425">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6.1由于发包人（建设单位）未协助勘察人解决工作生活条件而造成停、窝工或来回进出场地，发包人（建设单位）应将工期按实际工日顺延，并付给勘察人来回进出场费和调遣费。</w:t>
      </w:r>
    </w:p>
    <w:p w14:paraId="438A414B">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6.2由于勘察人原因造成勘察成果资料质量不合格，不能满足技术要求时，其返工勘察费用由勘察人承担。</w:t>
      </w:r>
      <w:r>
        <w:rPr>
          <w:rFonts w:ascii="宋体" w:hAnsi="宋体" w:eastAsia="宋体"/>
          <w:color w:val="auto"/>
          <w:kern w:val="2"/>
          <w:sz w:val="24"/>
          <w:szCs w:val="20"/>
          <w:highlight w:val="none"/>
          <w:u w:val="single"/>
          <w:lang w:bidi="ar"/>
        </w:rPr>
        <w:t>承包人提交勘察成果文件的工期必须满足初步设计工期要求。如果延误工期，承包人向发包人支付的误期损害赔偿费每天为最终合同价格的0.1%；误期损害赔偿费的最高限额为最终合同价格的20%</w:t>
      </w:r>
      <w:r>
        <w:rPr>
          <w:rFonts w:ascii="宋体" w:hAnsi="宋体" w:eastAsia="宋体"/>
          <w:color w:val="auto"/>
          <w:kern w:val="2"/>
          <w:sz w:val="24"/>
          <w:szCs w:val="24"/>
          <w:highlight w:val="none"/>
          <w:u w:val="single"/>
        </w:rPr>
        <w:t>。</w:t>
      </w:r>
    </w:p>
    <w:p w14:paraId="38EC5695">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6.3勘察人工期不满足甲方要求的，甲方有权终止合同，勘察人需于10日内自行撤离现场，所产生的费用由勘察人承担。</w:t>
      </w:r>
    </w:p>
    <w:p w14:paraId="27AB45DB">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6.4合同履行期间，由于工程停建而终止合同或发包人（建设单位）要求解除合同时，已进行勘察工作的，按实际完成的工作量向勘察人支付勘察费。</w:t>
      </w:r>
    </w:p>
    <w:p w14:paraId="04A3B129">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第七条：本合同未尽事宜，经发包人（建设单位）与勘察人协商一致，签订补充协议，补充协议与本合同具有同等效力。</w:t>
      </w:r>
    </w:p>
    <w:p w14:paraId="2B7ECD05">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第八条：其它约定事项：</w:t>
      </w:r>
    </w:p>
    <w:p w14:paraId="660CA7D0">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1.</w:t>
      </w:r>
      <w:r>
        <w:rPr>
          <w:rFonts w:ascii="宋体" w:hAnsi="宋体" w:eastAsia="宋体"/>
          <w:color w:val="auto"/>
          <w:kern w:val="2"/>
          <w:sz w:val="24"/>
          <w:szCs w:val="24"/>
          <w:highlight w:val="none"/>
          <w:u w:val="single"/>
        </w:rPr>
        <w:t>考虑此类工程常因场地条件限制，规划调整，以及方案或设计评审要求修改等多因素影响，导致工程变更致使勘测工作量增加或减少。当出现上述情况时，双方应及时确认实际发生的勘测工作量，并按实际完成工作量与4.2.1条结算勘测费。</w:t>
      </w:r>
    </w:p>
    <w:p w14:paraId="1E99344E">
      <w:pPr>
        <w:widowControl w:val="0"/>
        <w:kinsoku/>
        <w:autoSpaceDE/>
        <w:autoSpaceDN/>
        <w:snapToGrid/>
        <w:spacing w:line="276" w:lineRule="auto"/>
        <w:ind w:firstLine="482"/>
        <w:jc w:val="both"/>
        <w:rPr>
          <w:rFonts w:ascii="宋体" w:hAnsi="宋体" w:eastAsia="宋体"/>
          <w:color w:val="auto"/>
          <w:kern w:val="2"/>
          <w:sz w:val="24"/>
          <w:szCs w:val="24"/>
          <w:highlight w:val="none"/>
          <w:u w:val="single"/>
        </w:rPr>
      </w:pPr>
      <w:r>
        <w:rPr>
          <w:rFonts w:ascii="宋体" w:hAnsi="宋体" w:eastAsia="宋体"/>
          <w:color w:val="auto"/>
          <w:kern w:val="2"/>
          <w:sz w:val="24"/>
          <w:szCs w:val="24"/>
          <w:highlight w:val="none"/>
          <w:u w:val="single"/>
        </w:rPr>
        <w:t>2.承包人向发包人承诺：承包人在工程建设中如违反了相关法律、法规、规章、规程等，或者本项目被区级以上行政管理部门书面通报三次或以上的，或者所承接的增城区不同水务项目一年内被区级以上行政管理部门书面通报三次或以上的，承包人无条件接受发包人上报行业行政管理部门两年内不得承接广州市增城区各级财政投资的水务建设项目，并向社会予以公开。</w:t>
      </w:r>
    </w:p>
    <w:p w14:paraId="06D0D5A0">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第九条：本合同发生争议，发包人（建设单位）、勘察人应及时协商解决，也可由当地建设行政主管部门调解，协商或调解不成时，发包人（建设单位）、勘察人同意</w:t>
      </w:r>
      <w:r>
        <w:rPr>
          <w:rFonts w:ascii="宋体" w:hAnsi="宋体" w:eastAsia="宋体"/>
          <w:color w:val="auto"/>
          <w:kern w:val="2"/>
          <w:sz w:val="24"/>
          <w:szCs w:val="24"/>
          <w:highlight w:val="none"/>
          <w:u w:val="single"/>
        </w:rPr>
        <w:t>依法向发包人所在地的人民法院起诉</w:t>
      </w:r>
      <w:r>
        <w:rPr>
          <w:rFonts w:ascii="宋体" w:hAnsi="宋体" w:eastAsia="宋体"/>
          <w:color w:val="auto"/>
          <w:kern w:val="2"/>
          <w:sz w:val="24"/>
          <w:szCs w:val="24"/>
          <w:highlight w:val="none"/>
        </w:rPr>
        <w:t>。</w:t>
      </w:r>
    </w:p>
    <w:p w14:paraId="07FE0DEA">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第十条：本合同自发包人（建设单位）、勘察人签字盖章后生效。发包人（建设单位）、勘察人履行完合同规定的义务后，本合同终止。</w:t>
      </w:r>
    </w:p>
    <w:p w14:paraId="0273443C">
      <w:pPr>
        <w:widowControl w:val="0"/>
        <w:kinsoku/>
        <w:autoSpaceDE/>
        <w:autoSpaceDN/>
        <w:snapToGrid/>
        <w:spacing w:line="276" w:lineRule="auto"/>
        <w:ind w:firstLine="482"/>
        <w:jc w:val="both"/>
        <w:rPr>
          <w:rFonts w:ascii="宋体" w:hAnsi="宋体" w:eastAsia="宋体"/>
          <w:color w:val="auto"/>
          <w:kern w:val="2"/>
          <w:sz w:val="24"/>
          <w:szCs w:val="24"/>
          <w:highlight w:val="none"/>
        </w:rPr>
      </w:pPr>
      <w:r>
        <w:rPr>
          <w:rFonts w:ascii="宋体" w:hAnsi="宋体" w:eastAsia="宋体"/>
          <w:color w:val="auto"/>
          <w:kern w:val="2"/>
          <w:sz w:val="24"/>
          <w:szCs w:val="24"/>
          <w:highlight w:val="none"/>
        </w:rPr>
        <w:t>第十一条：当项目的建设业主变更时，发包人应书面通知勘察人并协商合同终止或变更事宜。勘察人应该接受项目建设业主的变更。</w:t>
      </w:r>
    </w:p>
    <w:p w14:paraId="6C8EB0CA">
      <w:pPr>
        <w:widowControl w:val="0"/>
        <w:kinsoku/>
        <w:autoSpaceDE/>
        <w:autoSpaceDN/>
        <w:snapToGrid/>
        <w:spacing w:line="276" w:lineRule="auto"/>
        <w:ind w:firstLine="482"/>
        <w:jc w:val="both"/>
        <w:rPr>
          <w:rFonts w:ascii="仿宋" w:hAnsi="仿宋" w:eastAsia="仿宋" w:cs="仿宋"/>
          <w:color w:val="auto"/>
          <w:sz w:val="24"/>
          <w:szCs w:val="24"/>
          <w:highlight w:val="none"/>
        </w:rPr>
      </w:pPr>
    </w:p>
    <w:p w14:paraId="2B443125">
      <w:pPr>
        <w:kinsoku/>
        <w:wordWrap w:val="0"/>
        <w:topLinePunct/>
        <w:autoSpaceDE/>
        <w:autoSpaceDN/>
        <w:adjustRightInd w:val="0"/>
        <w:spacing w:line="480" w:lineRule="exact"/>
        <w:ind w:firstLine="480" w:firstLineChars="200"/>
        <w:jc w:val="both"/>
        <w:rPr>
          <w:rFonts w:ascii="仿宋_GB2312" w:hAnsi="宋体" w:eastAsia="仿宋_GB2312"/>
          <w:color w:val="auto"/>
          <w:kern w:val="2"/>
          <w:sz w:val="24"/>
          <w:szCs w:val="24"/>
          <w:highlight w:val="none"/>
        </w:rPr>
      </w:pPr>
    </w:p>
    <w:p w14:paraId="6362674F">
      <w:pPr>
        <w:kinsoku/>
        <w:wordWrap w:val="0"/>
        <w:topLinePunct/>
        <w:autoSpaceDE/>
        <w:autoSpaceDN/>
        <w:adjustRightInd w:val="0"/>
        <w:spacing w:line="480" w:lineRule="exact"/>
        <w:ind w:firstLine="480" w:firstLineChars="200"/>
        <w:jc w:val="both"/>
        <w:rPr>
          <w:rFonts w:ascii="仿宋_GB2312" w:hAnsi="宋体" w:eastAsia="仿宋_GB2312"/>
          <w:color w:val="auto"/>
          <w:kern w:val="2"/>
          <w:sz w:val="24"/>
          <w:szCs w:val="24"/>
          <w:highlight w:val="none"/>
        </w:rPr>
      </w:pPr>
    </w:p>
    <w:p w14:paraId="03AE3702">
      <w:pPr>
        <w:kinsoku/>
        <w:wordWrap w:val="0"/>
        <w:topLinePunct/>
        <w:autoSpaceDE/>
        <w:autoSpaceDN/>
        <w:adjustRightInd w:val="0"/>
        <w:spacing w:line="480" w:lineRule="exact"/>
        <w:ind w:firstLine="480" w:firstLineChars="200"/>
        <w:jc w:val="both"/>
        <w:rPr>
          <w:rFonts w:ascii="仿宋_GB2312" w:hAnsi="宋体" w:eastAsia="仿宋_GB2312"/>
          <w:color w:val="auto"/>
          <w:kern w:val="2"/>
          <w:sz w:val="24"/>
          <w:szCs w:val="24"/>
          <w:highlight w:val="none"/>
        </w:rPr>
      </w:pPr>
    </w:p>
    <w:p w14:paraId="09D01369">
      <w:pPr>
        <w:kinsoku/>
        <w:wordWrap w:val="0"/>
        <w:topLinePunct/>
        <w:autoSpaceDE/>
        <w:autoSpaceDN/>
        <w:adjustRightInd w:val="0"/>
        <w:jc w:val="both"/>
        <w:rPr>
          <w:rFonts w:ascii="仿宋_GB2312" w:hAnsi="Times New Roman" w:eastAsia="仿宋_GB2312"/>
          <w:b/>
          <w:bCs/>
          <w:color w:val="auto"/>
          <w:spacing w:val="110"/>
          <w:kern w:val="2"/>
          <w:sz w:val="44"/>
          <w:szCs w:val="44"/>
          <w:highlight w:val="none"/>
        </w:rPr>
      </w:pPr>
    </w:p>
    <w:p w14:paraId="6CC061AE">
      <w:pPr>
        <w:kinsoku/>
        <w:wordWrap w:val="0"/>
        <w:topLinePunct/>
        <w:autoSpaceDE/>
        <w:autoSpaceDN/>
        <w:adjustRightInd w:val="0"/>
        <w:jc w:val="center"/>
        <w:rPr>
          <w:rFonts w:ascii="仿宋_GB2312" w:hAnsi="Times New Roman" w:eastAsia="仿宋_GB2312"/>
          <w:b/>
          <w:bCs/>
          <w:color w:val="auto"/>
          <w:spacing w:val="110"/>
          <w:kern w:val="2"/>
          <w:sz w:val="44"/>
          <w:szCs w:val="44"/>
          <w:highlight w:val="none"/>
        </w:rPr>
      </w:pPr>
      <w:r>
        <w:rPr>
          <w:rFonts w:ascii="仿宋_GB2312" w:hAnsi="Times New Roman" w:eastAsia="仿宋_GB2312"/>
          <w:b/>
          <w:bCs/>
          <w:color w:val="auto"/>
          <w:spacing w:val="110"/>
          <w:kern w:val="2"/>
          <w:sz w:val="44"/>
          <w:szCs w:val="44"/>
          <w:highlight w:val="none"/>
        </w:rPr>
        <w:br w:type="page"/>
      </w:r>
    </w:p>
    <w:p w14:paraId="3C045C2D">
      <w:pPr>
        <w:widowControl w:val="0"/>
        <w:kinsoku/>
        <w:autoSpaceDE/>
        <w:autoSpaceDN/>
        <w:snapToGrid/>
        <w:ind w:firstLine="0" w:firstLineChars="0"/>
        <w:jc w:val="both"/>
        <w:rPr>
          <w:rFonts w:ascii="仿宋" w:hAnsi="仿宋" w:eastAsia="仿宋" w:cs="仿宋"/>
          <w:color w:val="auto"/>
          <w:kern w:val="2"/>
          <w:sz w:val="24"/>
          <w:szCs w:val="24"/>
          <w:highlight w:val="none"/>
        </w:rPr>
      </w:pPr>
    </w:p>
    <w:p w14:paraId="46BF6377">
      <w:pPr>
        <w:pStyle w:val="22"/>
        <w:spacing w:before="5280"/>
        <w:rPr>
          <w:rFonts w:ascii="宋体" w:hAnsi="宋体"/>
          <w:color w:val="auto"/>
          <w:spacing w:val="5"/>
          <w:sz w:val="52"/>
          <w:szCs w:val="52"/>
          <w:highlight w:val="none"/>
        </w:rPr>
      </w:pPr>
      <w:r>
        <w:rPr>
          <w:rFonts w:ascii="宋体" w:hAnsi="宋体"/>
          <w:color w:val="auto"/>
          <w:spacing w:val="5"/>
          <w:sz w:val="52"/>
          <w:szCs w:val="52"/>
          <w:highlight w:val="none"/>
        </w:rPr>
        <w:t>第二卷</w:t>
      </w:r>
      <w:bookmarkEnd w:id="410"/>
    </w:p>
    <w:p w14:paraId="356B589B">
      <w:pPr>
        <w:pStyle w:val="22"/>
        <w:spacing w:before="5280"/>
        <w:rPr>
          <w:rFonts w:ascii="宋体" w:hAnsi="宋体"/>
          <w:color w:val="auto"/>
          <w:spacing w:val="5"/>
          <w:sz w:val="52"/>
          <w:szCs w:val="52"/>
          <w:highlight w:val="none"/>
        </w:rPr>
        <w:sectPr>
          <w:footerReference r:id="rId16" w:type="default"/>
          <w:pgSz w:w="12240" w:h="15840"/>
          <w:pgMar w:top="1344" w:right="1836" w:bottom="1106" w:left="1836" w:header="0" w:footer="794" w:gutter="0"/>
          <w:cols w:space="0" w:num="1"/>
          <w:rtlGutter w:val="0"/>
          <w:docGrid w:linePitch="0" w:charSpace="0"/>
        </w:sectPr>
      </w:pPr>
    </w:p>
    <w:p w14:paraId="179D65B9">
      <w:pPr>
        <w:spacing w:line="279" w:lineRule="auto"/>
        <w:rPr>
          <w:color w:val="auto"/>
          <w:highlight w:val="none"/>
        </w:rPr>
      </w:pPr>
    </w:p>
    <w:p w14:paraId="530E1AFE">
      <w:pPr>
        <w:spacing w:line="280" w:lineRule="auto"/>
        <w:rPr>
          <w:color w:val="auto"/>
          <w:highlight w:val="none"/>
        </w:rPr>
      </w:pPr>
    </w:p>
    <w:p w14:paraId="6A5E9C65">
      <w:pPr>
        <w:spacing w:line="280" w:lineRule="auto"/>
        <w:rPr>
          <w:color w:val="auto"/>
          <w:highlight w:val="none"/>
        </w:rPr>
      </w:pPr>
    </w:p>
    <w:p w14:paraId="60EF1D0A">
      <w:pPr>
        <w:spacing w:before="140" w:line="224" w:lineRule="auto"/>
        <w:ind w:left="2537"/>
        <w:outlineLvl w:val="0"/>
        <w:rPr>
          <w:rFonts w:ascii="宋体" w:hAnsi="宋体" w:eastAsia="宋体"/>
          <w:color w:val="auto"/>
          <w:spacing w:val="14"/>
          <w:sz w:val="43"/>
          <w:szCs w:val="43"/>
          <w:highlight w:val="none"/>
        </w:rPr>
      </w:pPr>
      <w:bookmarkStart w:id="411" w:name="_Toc10009"/>
      <w:bookmarkStart w:id="412" w:name="_Toc2562"/>
      <w:bookmarkStart w:id="413" w:name="_Toc22402"/>
      <w:bookmarkStart w:id="414" w:name="_Toc183207166"/>
      <w:r>
        <w:rPr>
          <w:rFonts w:ascii="宋体" w:hAnsi="宋体" w:eastAsia="宋体"/>
          <w:color w:val="auto"/>
          <w:spacing w:val="14"/>
          <w:sz w:val="43"/>
          <w:szCs w:val="43"/>
          <w:highlight w:val="none"/>
        </w:rPr>
        <w:t>第</w:t>
      </w:r>
      <w:r>
        <w:rPr>
          <w:rFonts w:ascii="宋体" w:hAnsi="宋体" w:eastAsia="宋体"/>
          <w:color w:val="auto"/>
          <w:spacing w:val="9"/>
          <w:sz w:val="43"/>
          <w:szCs w:val="43"/>
          <w:highlight w:val="none"/>
        </w:rPr>
        <w:t>五章</w:t>
      </w:r>
      <w:r>
        <w:rPr>
          <w:rFonts w:hint="eastAsia" w:ascii="宋体" w:hAnsi="宋体" w:eastAsia="宋体"/>
          <w:color w:val="auto"/>
          <w:spacing w:val="9"/>
          <w:sz w:val="43"/>
          <w:szCs w:val="43"/>
          <w:highlight w:val="none"/>
          <w:lang w:val="en-US" w:eastAsia="zh-CN"/>
        </w:rPr>
        <w:t xml:space="preserve"> </w:t>
      </w:r>
      <w:r>
        <w:rPr>
          <w:rFonts w:ascii="宋体" w:hAnsi="宋体" w:eastAsia="宋体"/>
          <w:color w:val="auto"/>
          <w:spacing w:val="9"/>
          <w:sz w:val="43"/>
          <w:szCs w:val="43"/>
          <w:highlight w:val="none"/>
        </w:rPr>
        <w:t>发包人要求</w:t>
      </w:r>
      <w:bookmarkEnd w:id="411"/>
      <w:bookmarkEnd w:id="412"/>
      <w:bookmarkEnd w:id="413"/>
      <w:bookmarkEnd w:id="414"/>
    </w:p>
    <w:p w14:paraId="3C6CDDB5">
      <w:pPr>
        <w:pStyle w:val="23"/>
        <w:rPr>
          <w:color w:val="auto"/>
          <w:highlight w:val="none"/>
        </w:rPr>
        <w:sectPr>
          <w:footerReference r:id="rId17" w:type="default"/>
          <w:pgSz w:w="12240" w:h="15840"/>
          <w:pgMar w:top="1346" w:right="1836" w:bottom="1104" w:left="1836" w:header="0" w:footer="940" w:gutter="0"/>
          <w:cols w:space="720" w:num="1"/>
        </w:sectPr>
      </w:pPr>
    </w:p>
    <w:p w14:paraId="7B2480F8">
      <w:pPr>
        <w:spacing w:before="100" w:line="227" w:lineRule="auto"/>
        <w:ind w:left="3526"/>
        <w:rPr>
          <w:rFonts w:ascii="宋体" w:hAnsi="宋体" w:eastAsia="宋体"/>
          <w:b/>
          <w:bCs/>
          <w:color w:val="auto"/>
          <w:spacing w:val="10"/>
          <w:sz w:val="31"/>
          <w:szCs w:val="31"/>
          <w:highlight w:val="none"/>
        </w:rPr>
      </w:pPr>
      <w:r>
        <w:rPr>
          <w:rFonts w:ascii="宋体" w:hAnsi="宋体" w:eastAsia="宋体"/>
          <w:b/>
          <w:bCs/>
          <w:color w:val="auto"/>
          <w:spacing w:val="10"/>
          <w:sz w:val="31"/>
          <w:szCs w:val="31"/>
          <w:highlight w:val="none"/>
        </w:rPr>
        <w:t>发</w:t>
      </w:r>
      <w:r>
        <w:rPr>
          <w:rFonts w:ascii="宋体" w:hAnsi="宋体" w:eastAsia="宋体"/>
          <w:b/>
          <w:bCs/>
          <w:color w:val="auto"/>
          <w:spacing w:val="7"/>
          <w:sz w:val="31"/>
          <w:szCs w:val="31"/>
          <w:highlight w:val="none"/>
        </w:rPr>
        <w:t>包人要求</w:t>
      </w:r>
    </w:p>
    <w:p w14:paraId="46A97209">
      <w:pPr>
        <w:spacing w:line="360" w:lineRule="auto"/>
        <w:ind w:firstLine="423"/>
        <w:rPr>
          <w:rFonts w:ascii="宋体" w:hAnsi="宋体" w:eastAsia="宋体"/>
          <w:color w:val="auto"/>
          <w:highlight w:val="none"/>
        </w:rPr>
      </w:pPr>
    </w:p>
    <w:p w14:paraId="099E2084">
      <w:pPr>
        <w:spacing w:line="360" w:lineRule="auto"/>
        <w:ind w:left="423"/>
        <w:rPr>
          <w:rFonts w:ascii="宋体" w:hAnsi="宋体" w:eastAsia="宋体"/>
          <w:color w:val="auto"/>
          <w:highlight w:val="none"/>
        </w:rPr>
      </w:pPr>
    </w:p>
    <w:p w14:paraId="3044215A">
      <w:pPr>
        <w:rPr>
          <w:rFonts w:ascii="宋体" w:hAnsi="宋体" w:eastAsia="宋体"/>
          <w:b/>
          <w:bCs/>
          <w:color w:val="auto"/>
          <w:spacing w:val="11"/>
          <w:sz w:val="24"/>
          <w:szCs w:val="24"/>
          <w:highlight w:val="none"/>
        </w:rPr>
      </w:pPr>
      <w:bookmarkStart w:id="415" w:name="_Toc7187"/>
      <w:bookmarkStart w:id="416" w:name="_Toc8002"/>
      <w:bookmarkStart w:id="417" w:name="_Toc24059"/>
      <w:bookmarkStart w:id="418" w:name="_Toc25710"/>
      <w:bookmarkStart w:id="419" w:name="_Toc14544"/>
      <w:bookmarkStart w:id="420" w:name="_Toc22385"/>
      <w:r>
        <w:rPr>
          <w:rFonts w:hint="eastAsia" w:ascii="宋体" w:hAnsi="宋体" w:eastAsia="宋体"/>
          <w:b/>
          <w:bCs/>
          <w:color w:val="auto"/>
          <w:spacing w:val="11"/>
          <w:sz w:val="24"/>
          <w:szCs w:val="24"/>
          <w:highlight w:val="none"/>
        </w:rPr>
        <w:t>一</w:t>
      </w:r>
      <w:r>
        <w:rPr>
          <w:rFonts w:hint="eastAsia" w:ascii="宋体" w:hAnsi="宋体" w:eastAsia="宋体"/>
          <w:b/>
          <w:bCs/>
          <w:color w:val="auto"/>
          <w:spacing w:val="7"/>
          <w:sz w:val="24"/>
          <w:szCs w:val="24"/>
          <w:highlight w:val="none"/>
        </w:rPr>
        <w:t>、勘察设计要求</w:t>
      </w:r>
      <w:bookmarkEnd w:id="415"/>
      <w:bookmarkEnd w:id="416"/>
      <w:bookmarkEnd w:id="417"/>
      <w:bookmarkEnd w:id="418"/>
      <w:bookmarkEnd w:id="419"/>
      <w:bookmarkEnd w:id="420"/>
    </w:p>
    <w:p w14:paraId="32ACC589">
      <w:pPr>
        <w:spacing w:line="360" w:lineRule="auto"/>
        <w:ind w:left="0" w:firstLine="472" w:firstLineChars="200"/>
        <w:rPr>
          <w:rFonts w:ascii="宋体" w:hAnsi="宋体" w:eastAsia="宋体"/>
          <w:color w:val="auto"/>
          <w:spacing w:val="-2"/>
          <w:sz w:val="24"/>
          <w:szCs w:val="24"/>
          <w:highlight w:val="none"/>
        </w:rPr>
      </w:pPr>
      <w:r>
        <w:rPr>
          <w:rFonts w:hint="eastAsia" w:ascii="宋体" w:hAnsi="宋体" w:eastAsia="宋体"/>
          <w:color w:val="auto"/>
          <w:spacing w:val="-2"/>
          <w:sz w:val="24"/>
          <w:szCs w:val="24"/>
          <w:highlight w:val="none"/>
        </w:rPr>
        <w:t>1.项目概况</w:t>
      </w:r>
    </w:p>
    <w:p w14:paraId="0282B445">
      <w:pPr>
        <w:pStyle w:val="62"/>
        <w:rPr>
          <w:color w:val="auto"/>
          <w:highlight w:val="none"/>
          <w:lang w:bidi="ar"/>
        </w:rPr>
      </w:pPr>
      <w:r>
        <w:rPr>
          <w:rFonts w:hint="eastAsia" w:ascii="宋体" w:hAnsi="宋体" w:eastAsia="宋体"/>
          <w:color w:val="auto"/>
          <w:highlight w:val="none"/>
          <w:u w:val="single"/>
        </w:rPr>
        <w:t>本工程估算总投资</w:t>
      </w:r>
      <w:r>
        <w:rPr>
          <w:rFonts w:hint="eastAsia" w:ascii="宋体" w:hAnsi="宋体" w:eastAsia="宋体"/>
          <w:color w:val="auto"/>
          <w:highlight w:val="none"/>
          <w:u w:val="single"/>
          <w:lang w:val="en-US" w:eastAsia="zh-CN"/>
        </w:rPr>
        <w:t>22067.89</w:t>
      </w:r>
      <w:r>
        <w:rPr>
          <w:rFonts w:hint="eastAsia" w:ascii="宋体" w:hAnsi="宋体" w:eastAsia="宋体"/>
          <w:color w:val="auto"/>
          <w:highlight w:val="none"/>
          <w:u w:val="single"/>
        </w:rPr>
        <w:t>万元。项目位于增城区新塘镇北部片区。主要建设内容为:新建污水管DN100-600长度共22.63km,新建 DN300-1500雨水管长度共11.80km，公共管网结构性缺陷修复 932 处，合流渠箱治理巩固提升14条，区域污涝同治5处，排水单元巩固提升135.07ha，新建水质、流量和液位监测点26处以及新建智能溢流井12处，现状泵站改造29处，渠箱清清障和配套建设检查井、雨水篦子以及路面破除修复等。</w:t>
      </w:r>
      <w:r>
        <w:rPr>
          <w:rFonts w:hint="eastAsia"/>
          <w:color w:val="auto"/>
          <w:highlight w:val="none"/>
          <w:lang w:bidi="ar"/>
        </w:rPr>
        <w:t>。</w:t>
      </w:r>
    </w:p>
    <w:p w14:paraId="371EF3EF">
      <w:pPr>
        <w:spacing w:line="360" w:lineRule="auto"/>
        <w:ind w:left="359"/>
        <w:rPr>
          <w:rFonts w:ascii="宋体" w:hAnsi="宋体" w:eastAsia="宋体"/>
          <w:color w:val="auto"/>
          <w:spacing w:val="-2"/>
          <w:sz w:val="24"/>
          <w:szCs w:val="24"/>
          <w:highlight w:val="none"/>
        </w:rPr>
      </w:pPr>
    </w:p>
    <w:p w14:paraId="073D8A42">
      <w:pPr>
        <w:spacing w:line="360" w:lineRule="auto"/>
        <w:ind w:left="0" w:firstLine="472" w:firstLineChars="200"/>
        <w:rPr>
          <w:rFonts w:ascii="宋体" w:hAnsi="宋体" w:eastAsia="宋体"/>
          <w:color w:val="auto"/>
          <w:spacing w:val="-2"/>
          <w:sz w:val="24"/>
          <w:szCs w:val="24"/>
          <w:highlight w:val="none"/>
        </w:rPr>
      </w:pPr>
      <w:r>
        <w:rPr>
          <w:rFonts w:hint="eastAsia" w:ascii="宋体" w:hAnsi="宋体" w:eastAsia="宋体"/>
          <w:color w:val="auto"/>
          <w:spacing w:val="-2"/>
          <w:sz w:val="24"/>
          <w:szCs w:val="24"/>
          <w:highlight w:val="none"/>
        </w:rPr>
        <w:t>2.勘察范围及内容</w:t>
      </w:r>
    </w:p>
    <w:p w14:paraId="059B6EDD">
      <w:pPr>
        <w:pStyle w:val="62"/>
        <w:rPr>
          <w:rFonts w:hint="eastAsia" w:ascii="宋体" w:hAnsi="宋体"/>
          <w:color w:val="auto"/>
          <w:highlight w:val="none"/>
          <w:u w:val="single"/>
        </w:rPr>
      </w:pPr>
      <w:r>
        <w:rPr>
          <w:rFonts w:hint="eastAsia" w:ascii="宋体" w:hAnsi="宋体" w:eastAsia="宋体"/>
          <w:color w:val="auto"/>
          <w:highlight w:val="none"/>
          <w:u w:val="single"/>
        </w:rPr>
        <w:t>本工程估算总投资</w:t>
      </w:r>
      <w:r>
        <w:rPr>
          <w:rFonts w:hint="eastAsia" w:ascii="宋体" w:hAnsi="宋体" w:eastAsia="宋体"/>
          <w:color w:val="auto"/>
          <w:highlight w:val="none"/>
          <w:u w:val="single"/>
          <w:lang w:val="en-US" w:eastAsia="zh-CN"/>
        </w:rPr>
        <w:t>22067.89</w:t>
      </w:r>
      <w:r>
        <w:rPr>
          <w:rFonts w:hint="eastAsia" w:ascii="宋体" w:hAnsi="宋体" w:eastAsia="宋体"/>
          <w:color w:val="auto"/>
          <w:highlight w:val="none"/>
          <w:u w:val="single"/>
        </w:rPr>
        <w:t>万元。项目位于增城区新塘镇北部片区。主要建设内容为:新建污水管DN100-600长度共22.63km,新建 DN300-1500雨水管长度共11.80km，公共管网结构性缺陷修复 932 处，合流渠箱治理巩固提升14条，区域污涝同治5处，排水单元巩固提升135.07ha，新建水质、流量和液位监测点26处以及新建智能溢流井12处，现状泵站改造29处，渠箱清清障和配套建设检查井、雨水篦子以及路面破除修复等。</w:t>
      </w:r>
      <w:r>
        <w:rPr>
          <w:rFonts w:hint="eastAsia" w:ascii="宋体" w:hAnsi="宋体"/>
          <w:color w:val="auto"/>
          <w:highlight w:val="none"/>
          <w:u w:val="single"/>
          <w:lang w:bidi="ar"/>
        </w:rPr>
        <w:t>。</w:t>
      </w:r>
    </w:p>
    <w:p w14:paraId="35410B51">
      <w:pPr>
        <w:pStyle w:val="62"/>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single"/>
        </w:rPr>
        <w:t>主要工作内容包括：完成项目的勘察、测绘测量、工程摸查及工程施工期间相应阶段的工程勘测（不包含各专题）；并协助建设单位办理相关前期报建手续、现场指导与服务、协助编制竣工图。</w:t>
      </w:r>
    </w:p>
    <w:p w14:paraId="20441ECD">
      <w:pPr>
        <w:spacing w:before="5280"/>
        <w:rPr>
          <w:color w:val="auto"/>
          <w:highlight w:val="none"/>
        </w:rPr>
      </w:pPr>
    </w:p>
    <w:p w14:paraId="4D829F46">
      <w:pPr>
        <w:pStyle w:val="22"/>
        <w:spacing w:before="5280"/>
        <w:rPr>
          <w:rFonts w:ascii="宋体" w:hAnsi="宋体"/>
          <w:color w:val="auto"/>
          <w:spacing w:val="5"/>
          <w:sz w:val="52"/>
          <w:szCs w:val="52"/>
          <w:highlight w:val="none"/>
        </w:rPr>
      </w:pPr>
      <w:bookmarkStart w:id="421" w:name="_Toc183207167"/>
      <w:r>
        <w:rPr>
          <w:rFonts w:ascii="宋体" w:hAnsi="宋体"/>
          <w:color w:val="auto"/>
          <w:spacing w:val="5"/>
          <w:sz w:val="52"/>
          <w:szCs w:val="52"/>
          <w:highlight w:val="none"/>
        </w:rPr>
        <w:t>第三卷</w:t>
      </w:r>
      <w:bookmarkEnd w:id="421"/>
    </w:p>
    <w:p w14:paraId="4C63D3E4">
      <w:pPr>
        <w:pStyle w:val="22"/>
        <w:spacing w:before="5280"/>
        <w:rPr>
          <w:rFonts w:ascii="宋体" w:hAnsi="宋体"/>
          <w:color w:val="auto"/>
          <w:spacing w:val="5"/>
          <w:sz w:val="52"/>
          <w:szCs w:val="52"/>
          <w:highlight w:val="none"/>
        </w:rPr>
        <w:sectPr>
          <w:footerReference r:id="rId18" w:type="default"/>
          <w:pgSz w:w="12240" w:h="15840"/>
          <w:pgMar w:top="1346" w:right="1836" w:bottom="1103" w:left="1836" w:header="0" w:footer="940" w:gutter="0"/>
          <w:cols w:space="720" w:num="1"/>
        </w:sectPr>
      </w:pPr>
    </w:p>
    <w:p w14:paraId="1AFA85F9">
      <w:pPr>
        <w:spacing w:line="250" w:lineRule="auto"/>
        <w:rPr>
          <w:color w:val="auto"/>
          <w:highlight w:val="none"/>
        </w:rPr>
      </w:pPr>
    </w:p>
    <w:p w14:paraId="309593E1">
      <w:pPr>
        <w:spacing w:line="251" w:lineRule="auto"/>
        <w:rPr>
          <w:color w:val="auto"/>
          <w:highlight w:val="none"/>
        </w:rPr>
      </w:pPr>
    </w:p>
    <w:p w14:paraId="67D8AB7E">
      <w:pPr>
        <w:spacing w:line="251" w:lineRule="auto"/>
        <w:rPr>
          <w:color w:val="auto"/>
          <w:highlight w:val="none"/>
        </w:rPr>
      </w:pPr>
    </w:p>
    <w:p w14:paraId="336A66B1">
      <w:pPr>
        <w:pStyle w:val="23"/>
        <w:rPr>
          <w:rFonts w:ascii="宋体" w:hAnsi="宋体"/>
          <w:color w:val="auto"/>
          <w:spacing w:val="10"/>
          <w:sz w:val="43"/>
          <w:szCs w:val="43"/>
          <w:highlight w:val="none"/>
        </w:rPr>
      </w:pPr>
      <w:bookmarkStart w:id="422" w:name="_Toc31817"/>
      <w:bookmarkStart w:id="423" w:name="_Toc183207168"/>
      <w:bookmarkStart w:id="424" w:name="_Toc18917"/>
      <w:bookmarkStart w:id="425" w:name="_Toc27544"/>
      <w:r>
        <w:rPr>
          <w:rFonts w:ascii="宋体" w:hAnsi="宋体"/>
          <w:color w:val="auto"/>
          <w:spacing w:val="10"/>
          <w:sz w:val="43"/>
          <w:szCs w:val="43"/>
          <w:highlight w:val="none"/>
        </w:rPr>
        <w:t>第六章投标文件格</w:t>
      </w:r>
      <w:r>
        <w:rPr>
          <w:rFonts w:ascii="宋体" w:hAnsi="宋体"/>
          <w:color w:val="auto"/>
          <w:spacing w:val="8"/>
          <w:sz w:val="43"/>
          <w:szCs w:val="43"/>
          <w:highlight w:val="none"/>
        </w:rPr>
        <w:t>式</w:t>
      </w:r>
      <w:bookmarkEnd w:id="422"/>
      <w:bookmarkEnd w:id="423"/>
      <w:bookmarkEnd w:id="424"/>
      <w:bookmarkEnd w:id="425"/>
    </w:p>
    <w:p w14:paraId="6A946934">
      <w:pPr>
        <w:rPr>
          <w:color w:val="auto"/>
          <w:highlight w:val="none"/>
        </w:rPr>
        <w:sectPr>
          <w:footerReference r:id="rId19" w:type="default"/>
          <w:pgSz w:w="12240" w:h="15840"/>
          <w:pgMar w:top="1346" w:right="1836" w:bottom="1104" w:left="1836" w:header="0" w:footer="940" w:gutter="0"/>
          <w:cols w:space="720" w:num="1"/>
        </w:sectPr>
      </w:pPr>
    </w:p>
    <w:p w14:paraId="6A945029">
      <w:pPr>
        <w:spacing w:line="279" w:lineRule="auto"/>
        <w:rPr>
          <w:color w:val="auto"/>
          <w:highlight w:val="none"/>
        </w:rPr>
      </w:pPr>
    </w:p>
    <w:p w14:paraId="6665F9AB">
      <w:pPr>
        <w:spacing w:line="279" w:lineRule="auto"/>
        <w:rPr>
          <w:color w:val="auto"/>
          <w:highlight w:val="none"/>
        </w:rPr>
      </w:pPr>
    </w:p>
    <w:p w14:paraId="53FFAD05">
      <w:pPr>
        <w:spacing w:line="279" w:lineRule="auto"/>
        <w:rPr>
          <w:color w:val="auto"/>
          <w:highlight w:val="none"/>
        </w:rPr>
      </w:pPr>
    </w:p>
    <w:p w14:paraId="2A92F27C">
      <w:pPr>
        <w:spacing w:line="279" w:lineRule="auto"/>
        <w:rPr>
          <w:color w:val="auto"/>
          <w:highlight w:val="none"/>
        </w:rPr>
      </w:pPr>
    </w:p>
    <w:p w14:paraId="7206C8AA">
      <w:pPr>
        <w:spacing w:line="280" w:lineRule="auto"/>
        <w:rPr>
          <w:color w:val="auto"/>
          <w:highlight w:val="none"/>
        </w:rPr>
      </w:pPr>
    </w:p>
    <w:p w14:paraId="6F2D7697">
      <w:pPr>
        <w:spacing w:line="280" w:lineRule="auto"/>
        <w:rPr>
          <w:color w:val="auto"/>
          <w:highlight w:val="none"/>
        </w:rPr>
      </w:pPr>
    </w:p>
    <w:p w14:paraId="26A915C1">
      <w:pPr>
        <w:tabs>
          <w:tab w:val="left" w:pos="3332"/>
        </w:tabs>
        <w:spacing w:before="88" w:line="229" w:lineRule="auto"/>
        <w:ind w:left="1480"/>
        <w:rPr>
          <w:rFonts w:ascii="黑体" w:hAnsi="黑体" w:eastAsia="黑体"/>
          <w:color w:val="auto"/>
          <w:sz w:val="32"/>
          <w:szCs w:val="32"/>
          <w:highlight w:val="none"/>
          <w:u w:val="single"/>
        </w:rPr>
      </w:pPr>
      <w:r>
        <w:rPr>
          <w:rFonts w:ascii="黑体" w:hAnsi="黑体" w:eastAsia="黑体"/>
          <w:color w:val="auto"/>
          <w:sz w:val="32"/>
          <w:szCs w:val="32"/>
          <w:highlight w:val="none"/>
          <w:u w:val="single"/>
        </w:rPr>
        <w:tab/>
      </w:r>
      <w:r>
        <w:rPr>
          <w:rFonts w:ascii="黑体" w:hAnsi="黑体" w:eastAsia="黑体"/>
          <w:color w:val="auto"/>
          <w:spacing w:val="16"/>
          <w:sz w:val="32"/>
          <w:szCs w:val="32"/>
          <w:highlight w:val="none"/>
          <w:u w:val="single"/>
        </w:rPr>
        <w:t>(</w:t>
      </w:r>
      <w:r>
        <w:rPr>
          <w:rFonts w:ascii="黑体" w:hAnsi="黑体" w:eastAsia="黑体"/>
          <w:color w:val="auto"/>
          <w:spacing w:val="15"/>
          <w:sz w:val="32"/>
          <w:szCs w:val="32"/>
          <w:highlight w:val="none"/>
          <w:u w:val="single"/>
        </w:rPr>
        <w:t>项目名称)</w:t>
      </w:r>
      <w:r>
        <w:rPr>
          <w:rFonts w:hint="eastAsia" w:ascii="黑体" w:hAnsi="黑体" w:eastAsia="黑体"/>
          <w:color w:val="auto"/>
          <w:spacing w:val="15"/>
          <w:sz w:val="32"/>
          <w:szCs w:val="32"/>
          <w:highlight w:val="none"/>
          <w:u w:val="single"/>
        </w:rPr>
        <w:t xml:space="preserve">   </w:t>
      </w:r>
    </w:p>
    <w:p w14:paraId="34E1E55C">
      <w:pPr>
        <w:pStyle w:val="55"/>
        <w:rPr>
          <w:color w:val="auto"/>
          <w:highlight w:val="none"/>
        </w:rPr>
      </w:pPr>
    </w:p>
    <w:p w14:paraId="62372F33">
      <w:pPr>
        <w:spacing w:line="368" w:lineRule="auto"/>
        <w:rPr>
          <w:color w:val="auto"/>
          <w:highlight w:val="none"/>
        </w:rPr>
      </w:pPr>
    </w:p>
    <w:p w14:paraId="557BACEC">
      <w:pPr>
        <w:pStyle w:val="55"/>
        <w:rPr>
          <w:color w:val="auto"/>
          <w:highlight w:val="none"/>
        </w:rPr>
      </w:pPr>
    </w:p>
    <w:p w14:paraId="04987DCE">
      <w:pPr>
        <w:pStyle w:val="55"/>
        <w:rPr>
          <w:color w:val="auto"/>
          <w:highlight w:val="none"/>
        </w:rPr>
      </w:pPr>
    </w:p>
    <w:p w14:paraId="3BB71D81">
      <w:pPr>
        <w:spacing w:before="140" w:line="226" w:lineRule="auto"/>
        <w:ind w:left="2100"/>
        <w:rPr>
          <w:rFonts w:ascii="黑体" w:hAnsi="黑体" w:eastAsia="黑体"/>
          <w:color w:val="auto"/>
          <w:spacing w:val="8"/>
          <w:sz w:val="84"/>
          <w:szCs w:val="84"/>
          <w:highlight w:val="none"/>
        </w:rPr>
      </w:pPr>
      <w:r>
        <w:rPr>
          <w:rFonts w:ascii="黑体" w:hAnsi="黑体" w:eastAsia="黑体"/>
          <w:color w:val="auto"/>
          <w:spacing w:val="8"/>
          <w:sz w:val="84"/>
          <w:szCs w:val="84"/>
          <w:highlight w:val="none"/>
        </w:rPr>
        <w:t>投</w:t>
      </w:r>
      <w:r>
        <w:rPr>
          <w:rFonts w:ascii="黑体" w:hAnsi="黑体" w:eastAsia="黑体"/>
          <w:color w:val="auto"/>
          <w:spacing w:val="6"/>
          <w:sz w:val="84"/>
          <w:szCs w:val="84"/>
          <w:highlight w:val="none"/>
        </w:rPr>
        <w:t>标文件</w:t>
      </w:r>
    </w:p>
    <w:p w14:paraId="1FEA8C2C">
      <w:pPr>
        <w:spacing w:line="246" w:lineRule="auto"/>
        <w:rPr>
          <w:color w:val="auto"/>
          <w:highlight w:val="none"/>
        </w:rPr>
      </w:pPr>
    </w:p>
    <w:p w14:paraId="7700348F">
      <w:pPr>
        <w:spacing w:line="246" w:lineRule="auto"/>
        <w:rPr>
          <w:color w:val="auto"/>
          <w:highlight w:val="none"/>
        </w:rPr>
      </w:pPr>
    </w:p>
    <w:p w14:paraId="05527E00">
      <w:pPr>
        <w:spacing w:line="246" w:lineRule="auto"/>
        <w:rPr>
          <w:color w:val="auto"/>
          <w:highlight w:val="none"/>
        </w:rPr>
      </w:pPr>
    </w:p>
    <w:p w14:paraId="2BF97A11">
      <w:pPr>
        <w:spacing w:line="246" w:lineRule="auto"/>
        <w:rPr>
          <w:color w:val="auto"/>
          <w:highlight w:val="none"/>
        </w:rPr>
      </w:pPr>
    </w:p>
    <w:p w14:paraId="5330EEF3">
      <w:pPr>
        <w:spacing w:line="246" w:lineRule="auto"/>
        <w:rPr>
          <w:color w:val="auto"/>
          <w:highlight w:val="none"/>
        </w:rPr>
      </w:pPr>
    </w:p>
    <w:p w14:paraId="052D794D">
      <w:pPr>
        <w:spacing w:line="246" w:lineRule="auto"/>
        <w:rPr>
          <w:color w:val="auto"/>
          <w:highlight w:val="none"/>
        </w:rPr>
      </w:pPr>
    </w:p>
    <w:p w14:paraId="7DDBA750">
      <w:pPr>
        <w:spacing w:line="246" w:lineRule="auto"/>
        <w:rPr>
          <w:color w:val="auto"/>
          <w:highlight w:val="none"/>
        </w:rPr>
      </w:pPr>
    </w:p>
    <w:p w14:paraId="490B0AE0">
      <w:pPr>
        <w:spacing w:line="247" w:lineRule="auto"/>
        <w:rPr>
          <w:color w:val="auto"/>
          <w:highlight w:val="none"/>
        </w:rPr>
      </w:pPr>
    </w:p>
    <w:p w14:paraId="1AC4FC17">
      <w:pPr>
        <w:spacing w:line="247" w:lineRule="auto"/>
        <w:rPr>
          <w:color w:val="auto"/>
          <w:highlight w:val="none"/>
        </w:rPr>
      </w:pPr>
    </w:p>
    <w:p w14:paraId="6760DE0D">
      <w:pPr>
        <w:spacing w:line="247" w:lineRule="auto"/>
        <w:rPr>
          <w:color w:val="auto"/>
          <w:highlight w:val="none"/>
        </w:rPr>
      </w:pPr>
    </w:p>
    <w:p w14:paraId="7EB9658F">
      <w:pPr>
        <w:spacing w:line="247" w:lineRule="auto"/>
        <w:rPr>
          <w:color w:val="auto"/>
          <w:highlight w:val="none"/>
        </w:rPr>
      </w:pPr>
    </w:p>
    <w:p w14:paraId="30AE77CA">
      <w:pPr>
        <w:spacing w:line="247" w:lineRule="auto"/>
        <w:rPr>
          <w:color w:val="auto"/>
          <w:highlight w:val="none"/>
        </w:rPr>
      </w:pPr>
    </w:p>
    <w:p w14:paraId="7E1BA6BB">
      <w:pPr>
        <w:spacing w:line="247" w:lineRule="auto"/>
        <w:rPr>
          <w:color w:val="auto"/>
          <w:highlight w:val="none"/>
        </w:rPr>
      </w:pPr>
    </w:p>
    <w:p w14:paraId="3FCD8ECA">
      <w:pPr>
        <w:spacing w:line="247" w:lineRule="auto"/>
        <w:rPr>
          <w:color w:val="auto"/>
          <w:highlight w:val="none"/>
        </w:rPr>
      </w:pPr>
    </w:p>
    <w:p w14:paraId="794B4539">
      <w:pPr>
        <w:spacing w:line="247" w:lineRule="auto"/>
        <w:rPr>
          <w:color w:val="auto"/>
          <w:highlight w:val="none"/>
        </w:rPr>
      </w:pPr>
    </w:p>
    <w:p w14:paraId="0470974F">
      <w:pPr>
        <w:spacing w:line="247" w:lineRule="auto"/>
        <w:rPr>
          <w:color w:val="auto"/>
          <w:highlight w:val="none"/>
        </w:rPr>
      </w:pPr>
    </w:p>
    <w:p w14:paraId="56A0C184">
      <w:pPr>
        <w:spacing w:line="247" w:lineRule="auto"/>
        <w:rPr>
          <w:color w:val="auto"/>
          <w:highlight w:val="none"/>
        </w:rPr>
      </w:pPr>
    </w:p>
    <w:p w14:paraId="69E335E4">
      <w:pPr>
        <w:spacing w:line="247" w:lineRule="auto"/>
        <w:rPr>
          <w:color w:val="auto"/>
          <w:highlight w:val="none"/>
        </w:rPr>
      </w:pPr>
    </w:p>
    <w:p w14:paraId="2CA7E25F">
      <w:pPr>
        <w:spacing w:line="247" w:lineRule="auto"/>
        <w:rPr>
          <w:color w:val="auto"/>
          <w:highlight w:val="none"/>
        </w:rPr>
      </w:pPr>
    </w:p>
    <w:p w14:paraId="3C2A11E9">
      <w:pPr>
        <w:spacing w:line="247" w:lineRule="auto"/>
        <w:rPr>
          <w:color w:val="auto"/>
          <w:highlight w:val="none"/>
        </w:rPr>
      </w:pPr>
    </w:p>
    <w:p w14:paraId="1EC3E0D5">
      <w:pPr>
        <w:spacing w:line="247" w:lineRule="auto"/>
        <w:rPr>
          <w:color w:val="auto"/>
          <w:highlight w:val="none"/>
        </w:rPr>
      </w:pPr>
    </w:p>
    <w:p w14:paraId="4FD665CE">
      <w:pPr>
        <w:spacing w:line="247" w:lineRule="auto"/>
        <w:rPr>
          <w:color w:val="auto"/>
          <w:highlight w:val="none"/>
        </w:rPr>
      </w:pPr>
    </w:p>
    <w:p w14:paraId="7A29E82F">
      <w:pPr>
        <w:spacing w:line="247" w:lineRule="auto"/>
        <w:rPr>
          <w:color w:val="auto"/>
          <w:highlight w:val="none"/>
        </w:rPr>
      </w:pPr>
    </w:p>
    <w:p w14:paraId="20F38469">
      <w:pPr>
        <w:spacing w:line="247" w:lineRule="auto"/>
        <w:rPr>
          <w:color w:val="auto"/>
          <w:highlight w:val="none"/>
        </w:rPr>
      </w:pPr>
    </w:p>
    <w:p w14:paraId="5735A3D8">
      <w:pPr>
        <w:spacing w:before="88" w:line="380" w:lineRule="auto"/>
        <w:ind w:left="1096" w:right="97" w:hanging="4"/>
        <w:rPr>
          <w:rFonts w:ascii="黑体" w:hAnsi="黑体" w:eastAsia="黑体"/>
          <w:color w:val="auto"/>
          <w:spacing w:val="-2"/>
          <w:sz w:val="28"/>
          <w:szCs w:val="28"/>
          <w:highlight w:val="none"/>
        </w:rPr>
      </w:pPr>
      <w:r>
        <w:rPr>
          <w:rFonts w:ascii="黑体" w:hAnsi="黑体" w:eastAsia="黑体"/>
          <w:color w:val="auto"/>
          <w:spacing w:val="-2"/>
          <w:sz w:val="28"/>
          <w:szCs w:val="28"/>
          <w:highlight w:val="none"/>
        </w:rPr>
        <w:t>投</w:t>
      </w:r>
      <w:r>
        <w:rPr>
          <w:rFonts w:ascii="黑体" w:hAnsi="黑体" w:eastAsia="黑体"/>
          <w:color w:val="auto"/>
          <w:spacing w:val="-1"/>
          <w:sz w:val="28"/>
          <w:szCs w:val="28"/>
          <w:highlight w:val="none"/>
        </w:rPr>
        <w:t>标人：</w:t>
      </w:r>
      <w:r>
        <w:rPr>
          <w:rFonts w:ascii="黑体" w:hAnsi="黑体" w:eastAsia="黑体"/>
          <w:color w:val="auto"/>
          <w:spacing w:val="-1"/>
          <w:sz w:val="28"/>
          <w:szCs w:val="28"/>
          <w:highlight w:val="none"/>
          <w:u w:val="single"/>
        </w:rPr>
        <w:t xml:space="preserve">                               </w:t>
      </w:r>
      <w:r>
        <w:rPr>
          <w:rFonts w:ascii="黑体" w:hAnsi="黑体" w:eastAsia="黑体"/>
          <w:color w:val="auto"/>
          <w:spacing w:val="-1"/>
          <w:sz w:val="28"/>
          <w:szCs w:val="28"/>
          <w:highlight w:val="none"/>
        </w:rPr>
        <w:t>(盖单位章)</w:t>
      </w:r>
      <w:r>
        <w:rPr>
          <w:rFonts w:ascii="黑体" w:hAnsi="黑体" w:eastAsia="黑体"/>
          <w:color w:val="auto"/>
          <w:sz w:val="28"/>
          <w:szCs w:val="28"/>
          <w:highlight w:val="none"/>
        </w:rPr>
        <w:t xml:space="preserve"> </w:t>
      </w:r>
    </w:p>
    <w:p w14:paraId="367CDA13">
      <w:pPr>
        <w:spacing w:before="88" w:line="380" w:lineRule="auto"/>
        <w:ind w:left="1096" w:right="97" w:hanging="4"/>
        <w:rPr>
          <w:rFonts w:ascii="黑体" w:hAnsi="黑体" w:eastAsia="黑体"/>
          <w:color w:val="auto"/>
          <w:spacing w:val="-6"/>
          <w:sz w:val="28"/>
          <w:szCs w:val="28"/>
          <w:highlight w:val="none"/>
        </w:rPr>
      </w:pPr>
      <w:r>
        <w:rPr>
          <w:rFonts w:ascii="黑体" w:hAnsi="黑体" w:eastAsia="黑体"/>
          <w:color w:val="auto"/>
          <w:spacing w:val="-6"/>
          <w:sz w:val="28"/>
          <w:szCs w:val="28"/>
          <w:highlight w:val="none"/>
        </w:rPr>
        <w:t>法定</w:t>
      </w:r>
      <w:r>
        <w:rPr>
          <w:rFonts w:ascii="黑体" w:hAnsi="黑体" w:eastAsia="黑体"/>
          <w:color w:val="auto"/>
          <w:spacing w:val="-3"/>
          <w:sz w:val="28"/>
          <w:szCs w:val="28"/>
          <w:highlight w:val="none"/>
        </w:rPr>
        <w:t>代表人或其委托代理人：</w:t>
      </w:r>
      <w:r>
        <w:rPr>
          <w:rFonts w:ascii="黑体" w:hAnsi="黑体" w:eastAsia="黑体"/>
          <w:color w:val="auto"/>
          <w:spacing w:val="-3"/>
          <w:sz w:val="28"/>
          <w:szCs w:val="28"/>
          <w:highlight w:val="none"/>
          <w:u w:val="single"/>
        </w:rPr>
        <w:t xml:space="preserve">       </w:t>
      </w:r>
      <w:r>
        <w:rPr>
          <w:rFonts w:hint="eastAsia"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rPr>
        <w:t>(签字</w:t>
      </w:r>
      <w:r>
        <w:rPr>
          <w:rFonts w:hint="eastAsia" w:ascii="黑体" w:hAnsi="黑体" w:eastAsia="黑体"/>
          <w:color w:val="auto"/>
          <w:spacing w:val="-3"/>
          <w:sz w:val="28"/>
          <w:szCs w:val="28"/>
          <w:highlight w:val="none"/>
        </w:rPr>
        <w:t>或盖章</w:t>
      </w:r>
      <w:r>
        <w:rPr>
          <w:rFonts w:ascii="黑体" w:hAnsi="黑体" w:eastAsia="黑体"/>
          <w:color w:val="auto"/>
          <w:spacing w:val="-3"/>
          <w:sz w:val="28"/>
          <w:szCs w:val="28"/>
          <w:highlight w:val="none"/>
        </w:rPr>
        <w:t>)</w:t>
      </w:r>
    </w:p>
    <w:p w14:paraId="2BA299D6">
      <w:pPr>
        <w:spacing w:line="249" w:lineRule="auto"/>
        <w:rPr>
          <w:color w:val="auto"/>
          <w:sz w:val="28"/>
          <w:szCs w:val="28"/>
          <w:highlight w:val="none"/>
        </w:rPr>
      </w:pPr>
    </w:p>
    <w:p w14:paraId="42C6B10C">
      <w:pPr>
        <w:tabs>
          <w:tab w:val="left" w:pos="3507"/>
        </w:tabs>
        <w:spacing w:before="87" w:line="230" w:lineRule="auto"/>
        <w:ind w:left="2761"/>
        <w:rPr>
          <w:rFonts w:ascii="黑体" w:hAnsi="黑体" w:eastAsia="黑体"/>
          <w:color w:val="auto"/>
          <w:sz w:val="28"/>
          <w:szCs w:val="28"/>
          <w:highlight w:val="none"/>
          <w:u w:val="single"/>
        </w:rPr>
      </w:pPr>
      <w:r>
        <w:rPr>
          <w:rFonts w:ascii="黑体" w:hAnsi="黑体" w:eastAsia="黑体"/>
          <w:color w:val="auto"/>
          <w:sz w:val="28"/>
          <w:szCs w:val="28"/>
          <w:highlight w:val="none"/>
          <w:u w:val="single"/>
        </w:rPr>
        <w:tab/>
      </w:r>
      <w:r>
        <w:rPr>
          <w:rFonts w:ascii="黑体" w:hAnsi="黑体" w:eastAsia="黑体"/>
          <w:color w:val="auto"/>
          <w:spacing w:val="6"/>
          <w:sz w:val="28"/>
          <w:szCs w:val="28"/>
          <w:highlight w:val="none"/>
        </w:rPr>
        <w:t>年</w:t>
      </w:r>
      <w:r>
        <w:rPr>
          <w:rFonts w:ascii="黑体" w:hAnsi="黑体" w:eastAsia="黑体"/>
          <w:color w:val="auto"/>
          <w:spacing w:val="6"/>
          <w:sz w:val="28"/>
          <w:szCs w:val="28"/>
          <w:highlight w:val="none"/>
          <w:u w:val="single"/>
        </w:rPr>
        <w:t xml:space="preserve"> </w:t>
      </w:r>
      <w:r>
        <w:rPr>
          <w:rFonts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rPr>
        <w:t>月</w:t>
      </w:r>
      <w:r>
        <w:rPr>
          <w:rFonts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rPr>
        <w:t xml:space="preserve"> 日</w:t>
      </w:r>
    </w:p>
    <w:p w14:paraId="65B39BE0">
      <w:pPr>
        <w:rPr>
          <w:color w:val="auto"/>
          <w:highlight w:val="none"/>
        </w:rPr>
        <w:sectPr>
          <w:footerReference r:id="rId20" w:type="default"/>
          <w:pgSz w:w="12240" w:h="15840"/>
          <w:pgMar w:top="1346" w:right="1836" w:bottom="1104" w:left="1836" w:header="0" w:footer="940" w:gutter="0"/>
          <w:cols w:space="720" w:num="1"/>
        </w:sectPr>
      </w:pPr>
    </w:p>
    <w:p w14:paraId="0A749CBA">
      <w:pPr>
        <w:spacing w:line="347" w:lineRule="auto"/>
        <w:rPr>
          <w:color w:val="auto"/>
          <w:highlight w:val="none"/>
        </w:rPr>
      </w:pPr>
    </w:p>
    <w:p w14:paraId="1DB41771">
      <w:pPr>
        <w:spacing w:before="101" w:line="228" w:lineRule="auto"/>
        <w:ind w:left="4043"/>
        <w:rPr>
          <w:rFonts w:ascii="黑体" w:hAnsi="黑体" w:eastAsia="黑体"/>
          <w:color w:val="auto"/>
          <w:spacing w:val="-9"/>
          <w:sz w:val="31"/>
          <w:szCs w:val="31"/>
          <w:highlight w:val="none"/>
        </w:rPr>
      </w:pPr>
      <w:r>
        <w:rPr>
          <w:rFonts w:ascii="黑体" w:hAnsi="黑体" w:eastAsia="黑体"/>
          <w:color w:val="auto"/>
          <w:spacing w:val="-9"/>
          <w:sz w:val="31"/>
          <w:szCs w:val="31"/>
          <w:highlight w:val="none"/>
        </w:rPr>
        <w:t>目</w:t>
      </w:r>
      <w:r>
        <w:rPr>
          <w:rFonts w:ascii="黑体" w:hAnsi="黑体" w:eastAsia="黑体"/>
          <w:color w:val="auto"/>
          <w:spacing w:val="-7"/>
          <w:sz w:val="31"/>
          <w:szCs w:val="31"/>
          <w:highlight w:val="none"/>
        </w:rPr>
        <w:t>录</w:t>
      </w:r>
    </w:p>
    <w:p w14:paraId="65D7A3F2">
      <w:pPr>
        <w:spacing w:line="251" w:lineRule="auto"/>
        <w:rPr>
          <w:color w:val="auto"/>
          <w:highlight w:val="none"/>
        </w:rPr>
      </w:pPr>
    </w:p>
    <w:p w14:paraId="43A56AAA">
      <w:pPr>
        <w:spacing w:line="251" w:lineRule="auto"/>
        <w:rPr>
          <w:color w:val="auto"/>
          <w:highlight w:val="none"/>
        </w:rPr>
      </w:pPr>
    </w:p>
    <w:p w14:paraId="62970D5D">
      <w:pPr>
        <w:spacing w:line="251" w:lineRule="auto"/>
        <w:rPr>
          <w:color w:val="auto"/>
          <w:highlight w:val="none"/>
        </w:rPr>
      </w:pPr>
    </w:p>
    <w:p w14:paraId="70A39014">
      <w:pPr>
        <w:spacing w:line="251" w:lineRule="auto"/>
        <w:rPr>
          <w:color w:val="auto"/>
          <w:highlight w:val="none"/>
        </w:rPr>
      </w:pPr>
    </w:p>
    <w:p w14:paraId="5E52A645">
      <w:pPr>
        <w:spacing w:line="252" w:lineRule="auto"/>
        <w:rPr>
          <w:color w:val="auto"/>
          <w:highlight w:val="none"/>
        </w:rPr>
      </w:pPr>
    </w:p>
    <w:p w14:paraId="5CF44592">
      <w:pPr>
        <w:spacing w:before="69" w:line="220" w:lineRule="auto"/>
        <w:ind w:left="4"/>
        <w:rPr>
          <w:rFonts w:ascii="宋体" w:hAnsi="宋体" w:eastAsia="宋体"/>
          <w:color w:val="auto"/>
          <w:spacing w:val="-1"/>
          <w:highlight w:val="none"/>
        </w:rPr>
      </w:pPr>
      <w:r>
        <w:rPr>
          <w:rFonts w:ascii="宋体" w:hAnsi="宋体" w:eastAsia="宋体"/>
          <w:color w:val="auto"/>
          <w:spacing w:val="-1"/>
          <w:highlight w:val="none"/>
        </w:rPr>
        <w:t>一、投标函及投标函附录</w:t>
      </w:r>
    </w:p>
    <w:p w14:paraId="3D5A07C0">
      <w:pPr>
        <w:spacing w:before="293" w:line="217" w:lineRule="auto"/>
        <w:ind w:left="4"/>
        <w:rPr>
          <w:rFonts w:ascii="宋体" w:hAnsi="宋体" w:eastAsia="宋体"/>
          <w:color w:val="auto"/>
          <w:spacing w:val="6"/>
          <w:highlight w:val="none"/>
        </w:rPr>
      </w:pPr>
      <w:r>
        <w:rPr>
          <w:rFonts w:ascii="宋体" w:hAnsi="宋体" w:eastAsia="宋体"/>
          <w:color w:val="auto"/>
          <w:spacing w:val="6"/>
          <w:highlight w:val="none"/>
        </w:rPr>
        <w:t>二</w:t>
      </w:r>
      <w:r>
        <w:rPr>
          <w:rFonts w:ascii="宋体" w:hAnsi="宋体" w:eastAsia="宋体"/>
          <w:color w:val="auto"/>
          <w:spacing w:val="4"/>
          <w:highlight w:val="none"/>
        </w:rPr>
        <w:t>、</w:t>
      </w:r>
      <w:r>
        <w:rPr>
          <w:rFonts w:ascii="宋体" w:hAnsi="宋体" w:eastAsia="宋体"/>
          <w:color w:val="auto"/>
          <w:spacing w:val="3"/>
          <w:highlight w:val="none"/>
        </w:rPr>
        <w:t>法定代表人身份证明</w:t>
      </w:r>
      <w:r>
        <w:rPr>
          <w:rFonts w:hint="eastAsia" w:ascii="宋体" w:hAnsi="宋体" w:eastAsia="宋体"/>
          <w:color w:val="auto"/>
          <w:spacing w:val="3"/>
          <w:highlight w:val="none"/>
        </w:rPr>
        <w:t>及</w:t>
      </w:r>
      <w:r>
        <w:rPr>
          <w:rFonts w:ascii="宋体" w:hAnsi="宋体" w:eastAsia="宋体"/>
          <w:color w:val="auto"/>
          <w:spacing w:val="6"/>
          <w:highlight w:val="none"/>
        </w:rPr>
        <w:t>授权委</w:t>
      </w:r>
      <w:r>
        <w:rPr>
          <w:rFonts w:ascii="宋体" w:hAnsi="宋体" w:eastAsia="宋体"/>
          <w:color w:val="auto"/>
          <w:spacing w:val="4"/>
          <w:highlight w:val="none"/>
        </w:rPr>
        <w:t>托</w:t>
      </w:r>
      <w:r>
        <w:rPr>
          <w:rFonts w:ascii="宋体" w:hAnsi="宋体" w:eastAsia="宋体"/>
          <w:color w:val="auto"/>
          <w:spacing w:val="3"/>
          <w:highlight w:val="none"/>
        </w:rPr>
        <w:t>书(适用于有委托代理人的情况)</w:t>
      </w:r>
    </w:p>
    <w:p w14:paraId="293B1D92">
      <w:pPr>
        <w:spacing w:before="293" w:line="220" w:lineRule="auto"/>
        <w:rPr>
          <w:rFonts w:ascii="宋体" w:hAnsi="宋体" w:eastAsia="宋体"/>
          <w:color w:val="auto"/>
          <w:spacing w:val="-1"/>
          <w:highlight w:val="none"/>
        </w:rPr>
      </w:pPr>
      <w:r>
        <w:rPr>
          <w:rFonts w:ascii="宋体" w:hAnsi="宋体" w:eastAsia="宋体"/>
          <w:strike/>
          <w:color w:val="auto"/>
          <w:spacing w:val="-1"/>
          <w:highlight w:val="none"/>
        </w:rPr>
        <w:t>三、联合体协议书</w:t>
      </w:r>
    </w:p>
    <w:p w14:paraId="6DE0104C">
      <w:pPr>
        <w:spacing w:before="290" w:line="221" w:lineRule="auto"/>
        <w:ind w:left="20"/>
        <w:rPr>
          <w:rFonts w:ascii="宋体" w:hAnsi="宋体" w:eastAsia="宋体"/>
          <w:color w:val="auto"/>
          <w:spacing w:val="-6"/>
          <w:highlight w:val="none"/>
        </w:rPr>
      </w:pPr>
      <w:r>
        <w:rPr>
          <w:rFonts w:ascii="宋体" w:hAnsi="宋体" w:eastAsia="宋体"/>
          <w:color w:val="auto"/>
          <w:spacing w:val="-6"/>
          <w:highlight w:val="none"/>
        </w:rPr>
        <w:t>四</w:t>
      </w:r>
      <w:r>
        <w:rPr>
          <w:rFonts w:ascii="宋体" w:hAnsi="宋体" w:eastAsia="宋体"/>
          <w:color w:val="auto"/>
          <w:spacing w:val="-3"/>
          <w:highlight w:val="none"/>
        </w:rPr>
        <w:t>、</w:t>
      </w:r>
      <w:r>
        <w:rPr>
          <w:rFonts w:ascii="宋体" w:hAnsi="宋体" w:eastAsia="宋体"/>
          <w:strike/>
          <w:color w:val="auto"/>
          <w:spacing w:val="-3"/>
          <w:highlight w:val="none"/>
        </w:rPr>
        <w:t>投标保证金</w:t>
      </w:r>
    </w:p>
    <w:p w14:paraId="441CB34B">
      <w:pPr>
        <w:spacing w:before="288" w:line="220" w:lineRule="auto"/>
        <w:ind w:left="4"/>
        <w:rPr>
          <w:rFonts w:ascii="宋体" w:hAnsi="宋体" w:eastAsia="宋体"/>
          <w:color w:val="auto"/>
          <w:spacing w:val="-2"/>
          <w:highlight w:val="none"/>
        </w:rPr>
      </w:pPr>
      <w:r>
        <w:rPr>
          <w:rFonts w:ascii="宋体" w:hAnsi="宋体" w:eastAsia="宋体"/>
          <w:color w:val="auto"/>
          <w:spacing w:val="-2"/>
          <w:highlight w:val="none"/>
        </w:rPr>
        <w:t>五、</w:t>
      </w:r>
      <w:r>
        <w:rPr>
          <w:rFonts w:hint="eastAsia" w:ascii="宋体" w:hAnsi="宋体" w:eastAsia="宋体"/>
          <w:color w:val="auto"/>
          <w:spacing w:val="-2"/>
          <w:highlight w:val="none"/>
        </w:rPr>
        <w:t>勘察</w:t>
      </w:r>
      <w:r>
        <w:rPr>
          <w:rFonts w:ascii="宋体" w:hAnsi="宋体" w:eastAsia="宋体"/>
          <w:color w:val="auto"/>
          <w:spacing w:val="-1"/>
          <w:highlight w:val="none"/>
        </w:rPr>
        <w:t>费</w:t>
      </w:r>
      <w:r>
        <w:rPr>
          <w:rFonts w:hint="eastAsia" w:ascii="宋体" w:hAnsi="宋体" w:eastAsia="宋体"/>
          <w:color w:val="auto"/>
          <w:spacing w:val="-1"/>
          <w:highlight w:val="none"/>
        </w:rPr>
        <w:t>报价表</w:t>
      </w:r>
    </w:p>
    <w:p w14:paraId="130F4D0E">
      <w:pPr>
        <w:spacing w:before="290" w:line="219" w:lineRule="auto"/>
        <w:ind w:left="2"/>
        <w:rPr>
          <w:rFonts w:ascii="宋体" w:hAnsi="宋体" w:eastAsia="宋体"/>
          <w:color w:val="auto"/>
          <w:spacing w:val="-2"/>
          <w:highlight w:val="none"/>
        </w:rPr>
      </w:pPr>
      <w:r>
        <w:rPr>
          <w:rFonts w:ascii="宋体" w:hAnsi="宋体" w:eastAsia="宋体"/>
          <w:color w:val="auto"/>
          <w:spacing w:val="-2"/>
          <w:highlight w:val="none"/>
        </w:rPr>
        <w:t>六</w:t>
      </w:r>
      <w:r>
        <w:rPr>
          <w:rFonts w:ascii="宋体" w:hAnsi="宋体" w:eastAsia="宋体"/>
          <w:color w:val="auto"/>
          <w:spacing w:val="-1"/>
          <w:highlight w:val="none"/>
        </w:rPr>
        <w:t>、资格审查资料</w:t>
      </w:r>
    </w:p>
    <w:p w14:paraId="3E66E378">
      <w:pPr>
        <w:spacing w:before="291" w:line="221" w:lineRule="auto"/>
        <w:rPr>
          <w:rFonts w:hint="eastAsia" w:ascii="宋体" w:hAnsi="宋体" w:eastAsia="宋体"/>
          <w:color w:val="auto"/>
          <w:spacing w:val="-2"/>
          <w:highlight w:val="none"/>
          <w:lang w:eastAsia="zh-CN"/>
        </w:rPr>
      </w:pPr>
      <w:r>
        <w:rPr>
          <w:rFonts w:ascii="宋体" w:hAnsi="宋体" w:eastAsia="宋体"/>
          <w:color w:val="auto"/>
          <w:spacing w:val="-2"/>
          <w:highlight w:val="none"/>
        </w:rPr>
        <w:t>七</w:t>
      </w:r>
      <w:r>
        <w:rPr>
          <w:rFonts w:ascii="宋体" w:hAnsi="宋体" w:eastAsia="宋体"/>
          <w:color w:val="auto"/>
          <w:spacing w:val="-1"/>
          <w:highlight w:val="none"/>
        </w:rPr>
        <w:t>、</w:t>
      </w:r>
      <w:r>
        <w:rPr>
          <w:rFonts w:hint="eastAsia" w:ascii="宋体" w:hAnsi="宋体" w:eastAsia="宋体"/>
          <w:color w:val="auto"/>
          <w:spacing w:val="-1"/>
          <w:highlight w:val="none"/>
          <w:lang w:eastAsia="zh-CN"/>
        </w:rPr>
        <w:t>勘察方案</w:t>
      </w:r>
    </w:p>
    <w:p w14:paraId="43A5D768">
      <w:pPr>
        <w:spacing w:before="288" w:line="218" w:lineRule="auto"/>
        <w:ind w:left="4"/>
        <w:rPr>
          <w:rFonts w:ascii="宋体" w:hAnsi="宋体" w:eastAsia="宋体"/>
          <w:color w:val="auto"/>
          <w:spacing w:val="-2"/>
          <w:highlight w:val="none"/>
        </w:rPr>
      </w:pPr>
      <w:r>
        <w:rPr>
          <w:rFonts w:ascii="宋体" w:hAnsi="宋体" w:eastAsia="宋体"/>
          <w:color w:val="auto"/>
          <w:spacing w:val="-2"/>
          <w:highlight w:val="none"/>
        </w:rPr>
        <w:t>八、其他</w:t>
      </w:r>
      <w:r>
        <w:rPr>
          <w:rFonts w:ascii="宋体" w:hAnsi="宋体" w:eastAsia="宋体"/>
          <w:color w:val="auto"/>
          <w:spacing w:val="-1"/>
          <w:highlight w:val="none"/>
        </w:rPr>
        <w:t>资料</w:t>
      </w:r>
    </w:p>
    <w:p w14:paraId="2DB63982">
      <w:pPr>
        <w:rPr>
          <w:color w:val="auto"/>
          <w:highlight w:val="none"/>
        </w:rPr>
        <w:sectPr>
          <w:footerReference r:id="rId21" w:type="default"/>
          <w:pgSz w:w="12240" w:h="15840"/>
          <w:pgMar w:top="1346" w:right="1836" w:bottom="1103" w:left="1807" w:header="0" w:footer="940" w:gutter="0"/>
          <w:cols w:space="720" w:num="1"/>
        </w:sectPr>
      </w:pPr>
    </w:p>
    <w:p w14:paraId="60E5833E">
      <w:pPr>
        <w:spacing w:line="278" w:lineRule="auto"/>
        <w:rPr>
          <w:color w:val="auto"/>
          <w:highlight w:val="none"/>
        </w:rPr>
      </w:pPr>
    </w:p>
    <w:p w14:paraId="6DABB869">
      <w:pPr>
        <w:pStyle w:val="24"/>
        <w:spacing w:before="120" w:after="120"/>
        <w:jc w:val="center"/>
        <w:outlineLvl w:val="9"/>
        <w:rPr>
          <w:rFonts w:ascii="黑体" w:hAnsi="黑体" w:eastAsia="黑体"/>
          <w:color w:val="auto"/>
          <w:spacing w:val="10"/>
          <w:sz w:val="31"/>
          <w:szCs w:val="31"/>
          <w:highlight w:val="none"/>
        </w:rPr>
      </w:pPr>
      <w:bookmarkStart w:id="426" w:name="_Toc5146"/>
      <w:bookmarkStart w:id="427" w:name="_Toc28826"/>
      <w:bookmarkStart w:id="428" w:name="_Toc5060"/>
      <w:bookmarkStart w:id="429" w:name="_Toc19895"/>
      <w:bookmarkStart w:id="430" w:name="_Toc9600"/>
      <w:r>
        <w:rPr>
          <w:rFonts w:ascii="黑体" w:hAnsi="黑体" w:eastAsia="黑体"/>
          <w:color w:val="auto"/>
          <w:spacing w:val="10"/>
          <w:sz w:val="31"/>
          <w:szCs w:val="31"/>
          <w:highlight w:val="none"/>
        </w:rPr>
        <w:t>一、投标函及投标函附</w:t>
      </w:r>
      <w:r>
        <w:rPr>
          <w:rFonts w:ascii="黑体" w:hAnsi="黑体" w:eastAsia="黑体"/>
          <w:color w:val="auto"/>
          <w:spacing w:val="7"/>
          <w:sz w:val="31"/>
          <w:szCs w:val="31"/>
          <w:highlight w:val="none"/>
        </w:rPr>
        <w:t>录</w:t>
      </w:r>
      <w:bookmarkEnd w:id="426"/>
      <w:bookmarkEnd w:id="427"/>
      <w:bookmarkEnd w:id="428"/>
      <w:bookmarkEnd w:id="429"/>
      <w:bookmarkEnd w:id="430"/>
    </w:p>
    <w:p w14:paraId="27EA6B07">
      <w:pPr>
        <w:spacing w:line="247" w:lineRule="auto"/>
        <w:rPr>
          <w:color w:val="auto"/>
          <w:highlight w:val="none"/>
        </w:rPr>
      </w:pPr>
    </w:p>
    <w:p w14:paraId="6F4B195E">
      <w:pPr>
        <w:spacing w:line="247" w:lineRule="auto"/>
        <w:rPr>
          <w:color w:val="auto"/>
          <w:highlight w:val="none"/>
        </w:rPr>
      </w:pPr>
    </w:p>
    <w:p w14:paraId="6D782FC2">
      <w:pPr>
        <w:rPr>
          <w:rFonts w:ascii="黑体" w:hAnsi="黑体" w:eastAsia="黑体"/>
          <w:color w:val="auto"/>
          <w:spacing w:val="52"/>
          <w:sz w:val="27"/>
          <w:szCs w:val="27"/>
          <w:highlight w:val="none"/>
        </w:rPr>
      </w:pPr>
      <w:bookmarkStart w:id="431" w:name="_Toc31094"/>
      <w:bookmarkStart w:id="432" w:name="_Toc12396"/>
      <w:bookmarkStart w:id="433" w:name="_Toc20818"/>
      <w:bookmarkStart w:id="434" w:name="_Toc13536"/>
      <w:bookmarkStart w:id="435" w:name="_Toc8025"/>
      <w:r>
        <w:rPr>
          <w:rFonts w:ascii="黑体" w:hAnsi="黑体" w:eastAsia="黑体"/>
          <w:color w:val="auto"/>
          <w:spacing w:val="52"/>
          <w:sz w:val="27"/>
          <w:szCs w:val="27"/>
          <w:highlight w:val="none"/>
        </w:rPr>
        <w:t>(</w:t>
      </w:r>
      <w:r>
        <w:rPr>
          <w:rFonts w:ascii="黑体" w:hAnsi="黑体" w:eastAsia="黑体"/>
          <w:color w:val="auto"/>
          <w:spacing w:val="49"/>
          <w:sz w:val="27"/>
          <w:szCs w:val="27"/>
          <w:highlight w:val="none"/>
        </w:rPr>
        <w:t>一)投标函</w:t>
      </w:r>
      <w:bookmarkEnd w:id="431"/>
      <w:bookmarkEnd w:id="432"/>
      <w:bookmarkEnd w:id="433"/>
      <w:bookmarkEnd w:id="434"/>
      <w:bookmarkEnd w:id="435"/>
    </w:p>
    <w:p w14:paraId="34576E6B">
      <w:pPr>
        <w:spacing w:line="302" w:lineRule="auto"/>
        <w:rPr>
          <w:color w:val="auto"/>
          <w:highlight w:val="none"/>
        </w:rPr>
      </w:pPr>
    </w:p>
    <w:p w14:paraId="0CCEDE8B">
      <w:pPr>
        <w:spacing w:line="302" w:lineRule="auto"/>
        <w:rPr>
          <w:color w:val="auto"/>
          <w:highlight w:val="none"/>
        </w:rPr>
      </w:pPr>
    </w:p>
    <w:p w14:paraId="63796BC8">
      <w:pPr>
        <w:tabs>
          <w:tab w:val="left" w:pos="2048"/>
        </w:tabs>
        <w:spacing w:line="360" w:lineRule="auto"/>
        <w:ind w:left="39"/>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6"/>
          <w:highlight w:val="none"/>
        </w:rPr>
        <w:t>(</w:t>
      </w:r>
      <w:r>
        <w:rPr>
          <w:rFonts w:ascii="宋体" w:hAnsi="宋体" w:eastAsia="宋体"/>
          <w:color w:val="auto"/>
          <w:spacing w:val="-4"/>
          <w:highlight w:val="none"/>
        </w:rPr>
        <w:t>招</w:t>
      </w:r>
      <w:r>
        <w:rPr>
          <w:rFonts w:ascii="宋体" w:hAnsi="宋体" w:eastAsia="宋体"/>
          <w:color w:val="auto"/>
          <w:spacing w:val="-3"/>
          <w:highlight w:val="none"/>
        </w:rPr>
        <w:t>标人名称)：</w:t>
      </w:r>
    </w:p>
    <w:p w14:paraId="4CB68382">
      <w:pPr>
        <w:spacing w:line="360" w:lineRule="auto"/>
        <w:ind w:left="49" w:firstLine="419"/>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宋体" w:hAnsi="宋体" w:eastAsia="宋体"/>
          <w:color w:val="auto"/>
          <w:spacing w:val="-4"/>
          <w:highlight w:val="none"/>
        </w:rPr>
        <w:t>．我方已仔细研究了</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(项目名称)     </w:t>
      </w:r>
      <w:r>
        <w:rPr>
          <w:rFonts w:ascii="宋体" w:hAnsi="宋体" w:eastAsia="宋体"/>
          <w:color w:val="auto"/>
          <w:spacing w:val="-2"/>
          <w:highlight w:val="none"/>
        </w:rPr>
        <w:t xml:space="preserve"> </w:t>
      </w:r>
      <w:r>
        <w:rPr>
          <w:rFonts w:hint="eastAsia" w:ascii="宋体" w:hAnsi="宋体" w:eastAsia="宋体"/>
          <w:color w:val="auto"/>
          <w:spacing w:val="-2"/>
          <w:highlight w:val="none"/>
        </w:rPr>
        <w:t>招标项目的</w:t>
      </w:r>
      <w:r>
        <w:rPr>
          <w:rFonts w:ascii="宋体" w:hAnsi="宋体" w:eastAsia="宋体"/>
          <w:color w:val="auto"/>
          <w:spacing w:val="-2"/>
          <w:highlight w:val="none"/>
        </w:rPr>
        <w:t>招标文件</w:t>
      </w:r>
      <w:r>
        <w:rPr>
          <w:rFonts w:hint="eastAsia" w:ascii="宋体" w:hAnsi="宋体" w:eastAsia="宋体"/>
          <w:color w:val="auto"/>
          <w:spacing w:val="-2"/>
          <w:highlight w:val="none"/>
        </w:rPr>
        <w:t>、合同条件、招标人要求、资料表、附件、补充文件和技术规范等文件</w:t>
      </w:r>
      <w:r>
        <w:rPr>
          <w:rFonts w:ascii="宋体" w:hAnsi="宋体" w:eastAsia="宋体"/>
          <w:color w:val="auto"/>
          <w:spacing w:val="-2"/>
          <w:highlight w:val="none"/>
        </w:rPr>
        <w:t>，</w:t>
      </w:r>
      <w:r>
        <w:rPr>
          <w:rFonts w:ascii="宋体" w:hAnsi="宋体" w:eastAsia="宋体"/>
          <w:color w:val="auto"/>
          <w:spacing w:val="-1"/>
          <w:highlight w:val="none"/>
        </w:rPr>
        <w:t>愿意以人民币(大写)</w:t>
      </w:r>
      <w:r>
        <w:rPr>
          <w:rFonts w:ascii="宋体" w:hAnsi="宋体" w:eastAsia="宋体"/>
          <w:color w:val="auto"/>
          <w:spacing w:val="-1"/>
          <w:highlight w:val="none"/>
          <w:u w:val="single"/>
        </w:rPr>
        <w:t xml:space="preserve">              </w:t>
      </w:r>
      <w:r>
        <w:rPr>
          <w:rFonts w:ascii="宋体" w:hAnsi="宋体" w:eastAsia="宋体"/>
          <w:color w:val="auto"/>
          <w:spacing w:val="-1"/>
          <w:highlight w:val="none"/>
        </w:rPr>
        <w:t>(</w:t>
      </w:r>
      <w:r>
        <w:rPr>
          <w:rFonts w:ascii="Times New Roman" w:hAnsi="Times New Roman" w:eastAsia="Times New Roman"/>
          <w:color w:val="auto"/>
          <w:spacing w:val="-1"/>
          <w:highlight w:val="none"/>
        </w:rPr>
        <w:t>¥</w:t>
      </w:r>
      <w:r>
        <w:rPr>
          <w:rFonts w:ascii="Times New Roman" w:hAnsi="Times New Roman" w:eastAsia="Times New Roman"/>
          <w:color w:val="auto"/>
          <w:spacing w:val="-1"/>
          <w:highlight w:val="none"/>
          <w:u w:val="single"/>
        </w:rPr>
        <w:t xml:space="preserve"> </w:t>
      </w: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rPr>
        <w:t xml:space="preserve"> </w:t>
      </w:r>
      <w:r>
        <w:rPr>
          <w:rFonts w:ascii="宋体" w:hAnsi="宋体" w:eastAsia="宋体"/>
          <w:color w:val="auto"/>
          <w:highlight w:val="none"/>
        </w:rPr>
        <w:t>) 的投标总报价</w:t>
      </w:r>
      <w:r>
        <w:rPr>
          <w:rFonts w:ascii="宋体" w:hAnsi="宋体" w:eastAsia="宋体" w:cs="宋体"/>
          <w:color w:val="auto"/>
          <w:spacing w:val="-5"/>
          <w:highlight w:val="none"/>
        </w:rPr>
        <w:t>按合同约定完成</w:t>
      </w:r>
      <w:r>
        <w:rPr>
          <w:rFonts w:hint="eastAsia" w:ascii="宋体" w:hAnsi="宋体" w:eastAsia="宋体" w:cs="宋体"/>
          <w:color w:val="auto"/>
          <w:spacing w:val="-5"/>
          <w:highlight w:val="none"/>
        </w:rPr>
        <w:t>勘察</w:t>
      </w:r>
      <w:r>
        <w:rPr>
          <w:rFonts w:ascii="宋体" w:hAnsi="宋体" w:eastAsia="宋体" w:cs="宋体"/>
          <w:color w:val="auto"/>
          <w:spacing w:val="-5"/>
          <w:highlight w:val="none"/>
        </w:rPr>
        <w:t>工作</w:t>
      </w:r>
      <w:r>
        <w:rPr>
          <w:rFonts w:ascii="宋体" w:hAnsi="宋体" w:eastAsia="宋体"/>
          <w:color w:val="auto"/>
          <w:spacing w:val="-5"/>
          <w:highlight w:val="none"/>
        </w:rPr>
        <w:t>。</w:t>
      </w:r>
      <w:r>
        <w:rPr>
          <w:rFonts w:hint="eastAsia" w:ascii="宋体" w:hAnsi="宋体" w:eastAsia="宋体"/>
          <w:color w:val="auto"/>
          <w:spacing w:val="-5"/>
          <w:highlight w:val="none"/>
        </w:rPr>
        <w:t>我方</w:t>
      </w:r>
      <w:r>
        <w:rPr>
          <w:rFonts w:hint="eastAsia" w:ascii="宋体" w:hAnsi="宋体" w:eastAsia="宋体"/>
          <w:color w:val="auto"/>
          <w:highlight w:val="none"/>
        </w:rPr>
        <w:t>项目负责人是</w:t>
      </w:r>
      <w:r>
        <w:rPr>
          <w:rFonts w:ascii="宋体" w:hAnsi="宋体" w:eastAsia="宋体"/>
          <w:color w:val="auto"/>
          <w:spacing w:val="-5"/>
          <w:highlight w:val="none"/>
          <w:u w:val="single"/>
        </w:rPr>
        <w:t xml:space="preserve">  </w:t>
      </w:r>
      <w:r>
        <w:rPr>
          <w:rFonts w:hint="eastAsia" w:ascii="宋体" w:hAnsi="宋体" w:eastAsia="宋体"/>
          <w:color w:val="auto"/>
          <w:spacing w:val="-5"/>
          <w:highlight w:val="none"/>
          <w:u w:val="single"/>
        </w:rPr>
        <w:t xml:space="preserve">   </w:t>
      </w:r>
      <w:r>
        <w:rPr>
          <w:rFonts w:ascii="宋体" w:hAnsi="宋体" w:eastAsia="宋体"/>
          <w:color w:val="auto"/>
          <w:spacing w:val="-5"/>
          <w:highlight w:val="none"/>
          <w:u w:val="single"/>
        </w:rPr>
        <w:t xml:space="preserve">   </w:t>
      </w:r>
      <w:r>
        <w:rPr>
          <w:rFonts w:hint="eastAsia" w:ascii="宋体" w:hAnsi="宋体" w:eastAsia="宋体"/>
          <w:color w:val="auto"/>
          <w:spacing w:val="-5"/>
          <w:highlight w:val="none"/>
        </w:rPr>
        <w:t>。</w:t>
      </w:r>
    </w:p>
    <w:p w14:paraId="7D2EEB13">
      <w:pPr>
        <w:spacing w:line="360" w:lineRule="auto"/>
        <w:ind w:left="464"/>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2.  </w:t>
      </w:r>
      <w:r>
        <w:rPr>
          <w:rFonts w:ascii="宋体" w:hAnsi="宋体" w:eastAsia="宋体"/>
          <w:color w:val="auto"/>
          <w:spacing w:val="-4"/>
          <w:highlight w:val="none"/>
        </w:rPr>
        <w:t>我方的</w:t>
      </w:r>
      <w:r>
        <w:rPr>
          <w:rFonts w:ascii="宋体" w:hAnsi="宋体" w:eastAsia="宋体"/>
          <w:color w:val="auto"/>
          <w:spacing w:val="-2"/>
          <w:highlight w:val="none"/>
        </w:rPr>
        <w:t>投标文件包括下列内容：</w:t>
      </w:r>
    </w:p>
    <w:p w14:paraId="512E282F">
      <w:pPr>
        <w:spacing w:line="360" w:lineRule="auto"/>
        <w:ind w:left="457"/>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1"/>
          <w:highlight w:val="none"/>
        </w:rPr>
        <w:t>1</w:t>
      </w:r>
      <w:r>
        <w:rPr>
          <w:rFonts w:ascii="宋体" w:hAnsi="宋体" w:eastAsia="宋体"/>
          <w:color w:val="auto"/>
          <w:spacing w:val="11"/>
          <w:highlight w:val="none"/>
        </w:rPr>
        <w:t>)投标函及投标函附录；</w:t>
      </w:r>
    </w:p>
    <w:p w14:paraId="6B9BCEAB">
      <w:pPr>
        <w:spacing w:line="360" w:lineRule="auto"/>
        <w:ind w:left="457"/>
        <w:rPr>
          <w:rFonts w:ascii="宋体" w:hAnsi="宋体" w:eastAsia="宋体"/>
          <w:color w:val="auto"/>
          <w:spacing w:val="8"/>
          <w:highlight w:val="none"/>
        </w:rPr>
      </w:pPr>
      <w:r>
        <w:rPr>
          <w:rFonts w:ascii="宋体" w:hAnsi="宋体" w:eastAsia="宋体"/>
          <w:color w:val="auto"/>
          <w:spacing w:val="8"/>
          <w:highlight w:val="none"/>
        </w:rPr>
        <w:t>(2)法定代表人身份证明</w:t>
      </w:r>
      <w:r>
        <w:rPr>
          <w:rFonts w:hint="eastAsia" w:ascii="宋体" w:hAnsi="宋体" w:eastAsia="宋体"/>
          <w:color w:val="auto"/>
          <w:spacing w:val="8"/>
          <w:highlight w:val="none"/>
        </w:rPr>
        <w:t>或附有法定代表人身份证明的授权委托书</w:t>
      </w:r>
      <w:r>
        <w:rPr>
          <w:rFonts w:ascii="宋体" w:hAnsi="宋体" w:eastAsia="宋体"/>
          <w:color w:val="auto"/>
          <w:spacing w:val="8"/>
          <w:highlight w:val="none"/>
        </w:rPr>
        <w:t>；</w:t>
      </w:r>
    </w:p>
    <w:p w14:paraId="284CFF0D">
      <w:pPr>
        <w:spacing w:line="360" w:lineRule="auto"/>
        <w:ind w:left="457"/>
        <w:rPr>
          <w:rFonts w:ascii="宋体" w:hAnsi="宋体" w:eastAsia="宋体"/>
          <w:color w:val="auto"/>
          <w:spacing w:val="27"/>
          <w:highlight w:val="none"/>
        </w:rPr>
      </w:pPr>
      <w:r>
        <w:rPr>
          <w:rFonts w:ascii="宋体" w:hAnsi="宋体" w:eastAsia="宋体"/>
          <w:color w:val="auto"/>
          <w:spacing w:val="27"/>
          <w:highlight w:val="none"/>
        </w:rPr>
        <w:t>(</w:t>
      </w:r>
      <w:r>
        <w:rPr>
          <w:rFonts w:ascii="Times New Roman" w:hAnsi="Times New Roman" w:eastAsia="Times New Roman"/>
          <w:color w:val="auto"/>
          <w:spacing w:val="20"/>
          <w:highlight w:val="none"/>
        </w:rPr>
        <w:t>3</w:t>
      </w:r>
      <w:r>
        <w:rPr>
          <w:rFonts w:ascii="宋体" w:hAnsi="宋体" w:eastAsia="宋体"/>
          <w:color w:val="auto"/>
          <w:spacing w:val="20"/>
          <w:highlight w:val="none"/>
        </w:rPr>
        <w:t>)联合体协议书(如有)；</w:t>
      </w:r>
    </w:p>
    <w:p w14:paraId="34362B72">
      <w:pPr>
        <w:spacing w:line="360" w:lineRule="auto"/>
        <w:ind w:left="457"/>
        <w:rPr>
          <w:rFonts w:ascii="宋体" w:hAnsi="宋体" w:eastAsia="宋体"/>
          <w:color w:val="auto"/>
          <w:spacing w:val="23"/>
          <w:highlight w:val="none"/>
        </w:rPr>
      </w:pPr>
      <w:r>
        <w:rPr>
          <w:rFonts w:ascii="宋体" w:hAnsi="宋体" w:eastAsia="宋体"/>
          <w:color w:val="auto"/>
          <w:spacing w:val="23"/>
          <w:highlight w:val="none"/>
        </w:rPr>
        <w:t>(</w:t>
      </w:r>
      <w:r>
        <w:rPr>
          <w:rFonts w:ascii="Times New Roman" w:hAnsi="Times New Roman" w:eastAsia="Times New Roman"/>
          <w:color w:val="auto"/>
          <w:spacing w:val="22"/>
          <w:highlight w:val="none"/>
        </w:rPr>
        <w:t>4</w:t>
      </w:r>
      <w:r>
        <w:rPr>
          <w:rFonts w:ascii="宋体" w:hAnsi="宋体" w:eastAsia="宋体"/>
          <w:color w:val="auto"/>
          <w:spacing w:val="22"/>
          <w:highlight w:val="none"/>
        </w:rPr>
        <w:t>)</w:t>
      </w:r>
      <w:r>
        <w:rPr>
          <w:rFonts w:ascii="宋体" w:hAnsi="宋体" w:eastAsia="宋体"/>
          <w:strike/>
          <w:color w:val="auto"/>
          <w:spacing w:val="22"/>
          <w:highlight w:val="none"/>
        </w:rPr>
        <w:t>投标保证金</w:t>
      </w:r>
      <w:r>
        <w:rPr>
          <w:rFonts w:ascii="宋体" w:hAnsi="宋体" w:eastAsia="宋体"/>
          <w:color w:val="auto"/>
          <w:spacing w:val="22"/>
          <w:highlight w:val="none"/>
        </w:rPr>
        <w:t>；</w:t>
      </w:r>
    </w:p>
    <w:p w14:paraId="76A940F1">
      <w:pPr>
        <w:spacing w:line="360" w:lineRule="auto"/>
        <w:ind w:left="457"/>
        <w:rPr>
          <w:rFonts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5"/>
          <w:highlight w:val="none"/>
        </w:rPr>
        <w:t>5</w:t>
      </w:r>
      <w:r>
        <w:rPr>
          <w:rFonts w:ascii="宋体" w:hAnsi="宋体" w:eastAsia="宋体"/>
          <w:color w:val="auto"/>
          <w:spacing w:val="15"/>
          <w:highlight w:val="none"/>
        </w:rPr>
        <w:t>)</w:t>
      </w:r>
      <w:r>
        <w:rPr>
          <w:rFonts w:hint="eastAsia" w:ascii="宋体" w:hAnsi="宋体" w:eastAsia="宋体"/>
          <w:color w:val="auto"/>
          <w:spacing w:val="15"/>
          <w:highlight w:val="none"/>
          <w:lang w:eastAsia="zh-CN"/>
        </w:rPr>
        <w:t>勘察费</w:t>
      </w:r>
      <w:r>
        <w:rPr>
          <w:rFonts w:hint="eastAsia" w:ascii="宋体" w:hAnsi="宋体" w:eastAsia="宋体"/>
          <w:color w:val="auto"/>
          <w:spacing w:val="15"/>
          <w:highlight w:val="none"/>
        </w:rPr>
        <w:t>报价表</w:t>
      </w:r>
      <w:r>
        <w:rPr>
          <w:rFonts w:ascii="宋体" w:hAnsi="宋体" w:eastAsia="宋体"/>
          <w:color w:val="auto"/>
          <w:spacing w:val="13"/>
          <w:highlight w:val="none"/>
        </w:rPr>
        <w:t>；</w:t>
      </w:r>
    </w:p>
    <w:p w14:paraId="1FC4E074">
      <w:pPr>
        <w:spacing w:line="360" w:lineRule="auto"/>
        <w:ind w:left="457"/>
        <w:rPr>
          <w:rFonts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5"/>
          <w:highlight w:val="none"/>
        </w:rPr>
        <w:t>6</w:t>
      </w:r>
      <w:r>
        <w:rPr>
          <w:rFonts w:ascii="宋体" w:hAnsi="宋体" w:eastAsia="宋体"/>
          <w:color w:val="auto"/>
          <w:spacing w:val="15"/>
          <w:highlight w:val="none"/>
        </w:rPr>
        <w:t>)资格审查资料</w:t>
      </w:r>
      <w:r>
        <w:rPr>
          <w:rFonts w:ascii="宋体" w:hAnsi="宋体" w:eastAsia="宋体"/>
          <w:color w:val="auto"/>
          <w:spacing w:val="13"/>
          <w:highlight w:val="none"/>
        </w:rPr>
        <w:t>；</w:t>
      </w:r>
    </w:p>
    <w:p w14:paraId="25F24753">
      <w:pPr>
        <w:spacing w:line="360" w:lineRule="auto"/>
        <w:ind w:left="457"/>
        <w:rPr>
          <w:rFonts w:ascii="宋体" w:hAnsi="宋体" w:eastAsia="宋体"/>
          <w:color w:val="auto"/>
          <w:spacing w:val="22"/>
          <w:highlight w:val="none"/>
        </w:rPr>
      </w:pPr>
      <w:r>
        <w:rPr>
          <w:rFonts w:ascii="宋体" w:hAnsi="宋体" w:eastAsia="宋体"/>
          <w:color w:val="auto"/>
          <w:spacing w:val="22"/>
          <w:highlight w:val="none"/>
        </w:rPr>
        <w:t>(</w:t>
      </w:r>
      <w:r>
        <w:rPr>
          <w:rFonts w:ascii="Times New Roman" w:hAnsi="Times New Roman" w:eastAsia="Times New Roman"/>
          <w:color w:val="auto"/>
          <w:spacing w:val="18"/>
          <w:highlight w:val="none"/>
        </w:rPr>
        <w:t>7</w:t>
      </w:r>
      <w:r>
        <w:rPr>
          <w:rFonts w:ascii="宋体" w:hAnsi="宋体" w:eastAsia="宋体"/>
          <w:color w:val="auto"/>
          <w:spacing w:val="18"/>
          <w:highlight w:val="none"/>
        </w:rPr>
        <w:t>)</w:t>
      </w:r>
      <w:r>
        <w:rPr>
          <w:rFonts w:hint="eastAsia" w:ascii="宋体" w:hAnsi="宋体" w:eastAsia="宋体"/>
          <w:color w:val="auto"/>
          <w:spacing w:val="18"/>
          <w:highlight w:val="none"/>
          <w:lang w:eastAsia="zh-CN"/>
        </w:rPr>
        <w:t>勘察方案</w:t>
      </w:r>
      <w:r>
        <w:rPr>
          <w:rFonts w:ascii="宋体" w:hAnsi="宋体" w:eastAsia="宋体"/>
          <w:color w:val="auto"/>
          <w:spacing w:val="18"/>
          <w:highlight w:val="none"/>
        </w:rPr>
        <w:t>；</w:t>
      </w:r>
    </w:p>
    <w:p w14:paraId="3FF32149">
      <w:pPr>
        <w:spacing w:line="360" w:lineRule="auto"/>
        <w:ind w:left="470"/>
        <w:rPr>
          <w:rFonts w:ascii="宋体" w:hAnsi="宋体" w:eastAsia="宋体"/>
          <w:color w:val="auto"/>
          <w:spacing w:val="-2"/>
          <w:highlight w:val="none"/>
        </w:rPr>
      </w:pPr>
      <w:r>
        <w:rPr>
          <w:rFonts w:ascii="宋体" w:hAnsi="宋体" w:eastAsia="宋体"/>
          <w:color w:val="auto"/>
          <w:spacing w:val="-2"/>
          <w:highlight w:val="none"/>
        </w:rPr>
        <w:t>投标文件的上述组成部分</w:t>
      </w:r>
      <w:r>
        <w:rPr>
          <w:rFonts w:ascii="宋体" w:hAnsi="宋体" w:eastAsia="宋体"/>
          <w:color w:val="auto"/>
          <w:spacing w:val="-1"/>
          <w:highlight w:val="none"/>
        </w:rPr>
        <w:t>如存在内容不一致的，以投标函为准。</w:t>
      </w:r>
    </w:p>
    <w:p w14:paraId="1B8294CA">
      <w:pPr>
        <w:spacing w:line="360" w:lineRule="auto"/>
        <w:ind w:left="468"/>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3</w:t>
      </w:r>
      <w:r>
        <w:rPr>
          <w:rFonts w:ascii="Times New Roman" w:hAnsi="Times New Roman" w:eastAsia="Times New Roman"/>
          <w:color w:val="auto"/>
          <w:spacing w:val="-3"/>
          <w:highlight w:val="none"/>
        </w:rPr>
        <w:t xml:space="preserve"> </w:t>
      </w:r>
      <w:r>
        <w:rPr>
          <w:rFonts w:ascii="宋体" w:hAnsi="宋体" w:eastAsia="宋体"/>
          <w:color w:val="auto"/>
          <w:spacing w:val="-3"/>
          <w:highlight w:val="none"/>
        </w:rPr>
        <w:t>．我方承诺在招标文件规定的投标有效期内不撤销投标文件。</w:t>
      </w:r>
    </w:p>
    <w:p w14:paraId="4B5B0D98">
      <w:pPr>
        <w:spacing w:line="360" w:lineRule="auto"/>
        <w:ind w:left="463"/>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4</w:t>
      </w:r>
      <w:r>
        <w:rPr>
          <w:rFonts w:ascii="Times New Roman" w:hAnsi="Times New Roman" w:eastAsia="Times New Roman"/>
          <w:color w:val="auto"/>
          <w:spacing w:val="-7"/>
          <w:highlight w:val="none"/>
        </w:rPr>
        <w:t xml:space="preserve"> </w:t>
      </w:r>
      <w:r>
        <w:rPr>
          <w:rFonts w:ascii="宋体" w:hAnsi="宋体" w:eastAsia="宋体"/>
          <w:color w:val="auto"/>
          <w:spacing w:val="-7"/>
          <w:highlight w:val="none"/>
        </w:rPr>
        <w:t>．如我方中标，我方承诺：</w:t>
      </w:r>
    </w:p>
    <w:p w14:paraId="7A01E3F9">
      <w:pPr>
        <w:spacing w:line="360" w:lineRule="auto"/>
        <w:ind w:left="893"/>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w:t>
      </w:r>
      <w:r>
        <w:rPr>
          <w:rFonts w:ascii="宋体" w:hAnsi="宋体" w:eastAsia="宋体"/>
          <w:color w:val="auto"/>
          <w:spacing w:val="7"/>
          <w:highlight w:val="none"/>
        </w:rPr>
        <w:t>在</w:t>
      </w:r>
      <w:r>
        <w:rPr>
          <w:rFonts w:ascii="宋体" w:hAnsi="宋体" w:eastAsia="宋体"/>
          <w:color w:val="auto"/>
          <w:spacing w:val="4"/>
          <w:highlight w:val="none"/>
        </w:rPr>
        <w:t>收到中标通知书后，在中标通知书规定的期限内与你方签订合同；</w:t>
      </w:r>
    </w:p>
    <w:p w14:paraId="30CAA721">
      <w:pPr>
        <w:spacing w:line="360" w:lineRule="auto"/>
        <w:ind w:left="893"/>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7"/>
          <w:highlight w:val="none"/>
        </w:rPr>
        <w:t>2</w:t>
      </w:r>
      <w:r>
        <w:rPr>
          <w:rFonts w:ascii="宋体" w:hAnsi="宋体" w:eastAsia="宋体"/>
          <w:color w:val="auto"/>
          <w:spacing w:val="7"/>
          <w:highlight w:val="none"/>
        </w:rPr>
        <w:t>)在签订合同时不向你方提出附加条件；</w:t>
      </w:r>
    </w:p>
    <w:p w14:paraId="1BAD7C95">
      <w:pPr>
        <w:spacing w:line="360" w:lineRule="auto"/>
        <w:ind w:left="893"/>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3</w:t>
      </w:r>
      <w:r>
        <w:rPr>
          <w:rFonts w:ascii="宋体" w:hAnsi="宋体" w:eastAsia="宋体"/>
          <w:color w:val="auto"/>
          <w:spacing w:val="7"/>
          <w:highlight w:val="none"/>
        </w:rPr>
        <w:t>)按照招标文件要求提交履约保证金；</w:t>
      </w:r>
    </w:p>
    <w:p w14:paraId="11DB87DA">
      <w:pPr>
        <w:spacing w:line="360" w:lineRule="auto"/>
        <w:ind w:left="893"/>
        <w:rPr>
          <w:rFonts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4</w:t>
      </w:r>
      <w:r>
        <w:rPr>
          <w:rFonts w:ascii="宋体" w:hAnsi="宋体" w:eastAsia="宋体"/>
          <w:color w:val="auto"/>
          <w:spacing w:val="7"/>
          <w:highlight w:val="none"/>
        </w:rPr>
        <w:t>)在合同约定的期限内完成合同规定的全部义务</w:t>
      </w:r>
      <w:r>
        <w:rPr>
          <w:rFonts w:ascii="宋体" w:hAnsi="宋体" w:eastAsia="宋体"/>
          <w:color w:val="auto"/>
          <w:spacing w:val="4"/>
          <w:highlight w:val="none"/>
        </w:rPr>
        <w:t>。</w:t>
      </w:r>
    </w:p>
    <w:p w14:paraId="04041CB9">
      <w:pPr>
        <w:spacing w:line="360" w:lineRule="auto"/>
        <w:ind w:left="469"/>
        <w:rPr>
          <w:rFonts w:ascii="Times New Roman" w:hAnsi="Times New Roman" w:eastAsia="Times New Roman"/>
          <w:color w:val="auto"/>
          <w:spacing w:val="-2"/>
          <w:highlight w:val="none"/>
        </w:rPr>
      </w:pPr>
      <w:r>
        <w:rPr>
          <w:rFonts w:ascii="Times New Roman" w:hAnsi="Times New Roman" w:eastAsia="Times New Roman"/>
          <w:color w:val="auto"/>
          <w:spacing w:val="-7"/>
          <w:highlight w:val="none"/>
        </w:rPr>
        <w:t>5</w:t>
      </w:r>
      <w:r>
        <w:rPr>
          <w:rFonts w:ascii="宋体" w:hAnsi="宋体" w:eastAsia="宋体"/>
          <w:color w:val="auto"/>
          <w:spacing w:val="-7"/>
          <w:highlight w:val="none"/>
        </w:rPr>
        <w:t>．我方在此声明， 所递交的投标文件及有关资料内容完整、真实和准确， 且不存在第二章</w:t>
      </w:r>
      <w:r>
        <w:rPr>
          <w:rFonts w:ascii="Times New Roman" w:hAnsi="Times New Roman" w:eastAsia="Times New Roman"/>
          <w:color w:val="auto"/>
          <w:spacing w:val="-2"/>
          <w:highlight w:val="none"/>
        </w:rPr>
        <w:t>“</w:t>
      </w:r>
      <w:r>
        <w:rPr>
          <w:rFonts w:ascii="宋体" w:hAnsi="宋体" w:eastAsia="宋体"/>
          <w:color w:val="auto"/>
          <w:spacing w:val="-2"/>
          <w:highlight w:val="none"/>
        </w:rPr>
        <w:t>投标人须知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1.4.3</w:t>
      </w:r>
      <w:r>
        <w:rPr>
          <w:rFonts w:ascii="Times New Roman" w:hAnsi="Times New Roman" w:eastAsia="Times New Roman"/>
          <w:color w:val="auto"/>
          <w:spacing w:val="-1"/>
          <w:highlight w:val="none"/>
        </w:rPr>
        <w:t xml:space="preserve"> </w:t>
      </w:r>
      <w:r>
        <w:rPr>
          <w:rFonts w:ascii="宋体" w:hAnsi="宋体" w:eastAsia="宋体"/>
          <w:color w:val="auto"/>
          <w:spacing w:val="-1"/>
          <w:highlight w:val="none"/>
        </w:rPr>
        <w:t>项规定的任何一种情形。</w:t>
      </w:r>
    </w:p>
    <w:p w14:paraId="1BA28FEF">
      <w:pPr>
        <w:spacing w:line="360" w:lineRule="auto"/>
        <w:ind w:left="468"/>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 xml:space="preserve">6 </w:t>
      </w:r>
      <w:r>
        <w:rPr>
          <w:rFonts w:ascii="宋体" w:hAnsi="宋体" w:eastAsia="宋体"/>
          <w:color w:val="auto"/>
          <w:spacing w:val="-5"/>
          <w:highlight w:val="none"/>
        </w:rPr>
        <w:t>．</w:t>
      </w:r>
      <w:r>
        <w:rPr>
          <w:rFonts w:ascii="宋体" w:hAnsi="宋体" w:eastAsia="宋体"/>
          <w:color w:val="auto"/>
          <w:spacing w:val="-4"/>
          <w:highlight w:val="none"/>
          <w:u w:val="single"/>
        </w:rPr>
        <w:t xml:space="preserve">               </w:t>
      </w:r>
      <w:r>
        <w:rPr>
          <w:rFonts w:hint="eastAsia" w:ascii="宋体" w:hAnsi="宋体" w:eastAsia="宋体"/>
          <w:color w:val="auto"/>
          <w:spacing w:val="-4"/>
          <w:highlight w:val="none"/>
          <w:u w:val="single"/>
        </w:rPr>
        <w:t>/</w:t>
      </w:r>
      <w:r>
        <w:rPr>
          <w:rFonts w:ascii="宋体" w:hAnsi="宋体" w:eastAsia="宋体"/>
          <w:color w:val="auto"/>
          <w:spacing w:val="-4"/>
          <w:highlight w:val="none"/>
          <w:u w:val="single"/>
        </w:rPr>
        <w:t xml:space="preserve">                </w:t>
      </w:r>
      <w:r>
        <w:rPr>
          <w:rFonts w:ascii="宋体" w:hAnsi="宋体" w:eastAsia="宋体"/>
          <w:color w:val="auto"/>
          <w:spacing w:val="-4"/>
          <w:highlight w:val="none"/>
        </w:rPr>
        <w:t>(其他补充说明)。</w:t>
      </w:r>
    </w:p>
    <w:p w14:paraId="68B46B20">
      <w:pPr>
        <w:rPr>
          <w:color w:val="auto"/>
          <w:highlight w:val="none"/>
        </w:rPr>
      </w:pPr>
    </w:p>
    <w:p w14:paraId="024F483B">
      <w:pPr>
        <w:spacing w:line="360" w:lineRule="auto"/>
        <w:ind w:left="2493" w:right="253" w:firstLine="1"/>
        <w:rPr>
          <w:rFonts w:ascii="宋体" w:hAnsi="宋体" w:eastAsia="宋体"/>
          <w:color w:val="auto"/>
          <w:spacing w:val="-4"/>
          <w:highlight w:val="none"/>
        </w:rPr>
      </w:pPr>
      <w:r>
        <w:rPr>
          <w:rFonts w:ascii="宋体" w:hAnsi="宋体" w:eastAsia="宋体"/>
          <w:color w:val="auto"/>
          <w:spacing w:val="-4"/>
          <w:highlight w:val="none"/>
        </w:rPr>
        <w:t>投 标 人：</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(盖单位章)</w:t>
      </w:r>
      <w:r>
        <w:rPr>
          <w:rFonts w:ascii="宋体" w:hAnsi="宋体" w:eastAsia="宋体"/>
          <w:color w:val="auto"/>
          <w:highlight w:val="none"/>
        </w:rPr>
        <w:t xml:space="preserve"> </w:t>
      </w:r>
      <w:r>
        <w:rPr>
          <w:rFonts w:ascii="宋体" w:hAnsi="宋体" w:eastAsia="宋体"/>
          <w:color w:val="auto"/>
          <w:spacing w:val="-8"/>
          <w:highlight w:val="none"/>
        </w:rPr>
        <w:t>法定</w:t>
      </w:r>
      <w:r>
        <w:rPr>
          <w:rFonts w:ascii="宋体" w:hAnsi="宋体" w:eastAsia="宋体"/>
          <w:color w:val="auto"/>
          <w:spacing w:val="-4"/>
          <w:highlight w:val="none"/>
        </w:rPr>
        <w:t>代表人</w:t>
      </w:r>
      <w:r>
        <w:rPr>
          <w:rFonts w:hint="eastAsia" w:ascii="宋体" w:hAnsi="宋体" w:eastAsia="宋体"/>
          <w:color w:val="auto"/>
          <w:spacing w:val="-4"/>
          <w:highlight w:val="none"/>
        </w:rPr>
        <w:t>：</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r>
        <w:rPr>
          <w:rFonts w:hint="eastAsia" w:ascii="宋体" w:hAnsi="宋体" w:eastAsia="宋体"/>
          <w:color w:val="auto"/>
          <w:spacing w:val="-4"/>
          <w:highlight w:val="none"/>
        </w:rPr>
        <w:t>或盖章</w:t>
      </w:r>
      <w:r>
        <w:rPr>
          <w:rFonts w:ascii="宋体" w:hAnsi="宋体" w:eastAsia="宋体"/>
          <w:color w:val="auto"/>
          <w:spacing w:val="-4"/>
          <w:highlight w:val="none"/>
        </w:rPr>
        <w:t>)</w:t>
      </w:r>
    </w:p>
    <w:p w14:paraId="4600216F">
      <w:pPr>
        <w:spacing w:line="360" w:lineRule="auto"/>
        <w:ind w:left="2493" w:right="253" w:firstLine="1"/>
        <w:rPr>
          <w:rFonts w:ascii="宋体" w:hAnsi="宋体" w:eastAsia="宋体"/>
          <w:color w:val="auto"/>
          <w:spacing w:val="-4"/>
          <w:highlight w:val="none"/>
        </w:rPr>
      </w:pPr>
      <w:r>
        <w:rPr>
          <w:rFonts w:ascii="宋体" w:hAnsi="宋体" w:eastAsia="宋体"/>
          <w:color w:val="auto"/>
          <w:spacing w:val="-4"/>
          <w:highlight w:val="none"/>
        </w:rPr>
        <w:t>委托代理人：</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p>
    <w:p w14:paraId="01DDE36F">
      <w:pPr>
        <w:pStyle w:val="55"/>
        <w:spacing w:line="360" w:lineRule="auto"/>
        <w:ind w:left="2520" w:leftChars="1200"/>
        <w:jc w:val="left"/>
        <w:rPr>
          <w:rFonts w:ascii="宋体" w:hAnsi="宋体" w:eastAsia="宋体"/>
          <w:b w:val="0"/>
          <w:color w:val="auto"/>
          <w:spacing w:val="-4"/>
          <w:highlight w:val="none"/>
        </w:rPr>
      </w:pPr>
      <w:r>
        <w:rPr>
          <w:rFonts w:hint="eastAsia" w:ascii="宋体" w:hAnsi="宋体" w:eastAsia="宋体"/>
          <w:b w:val="0"/>
          <w:color w:val="auto"/>
          <w:spacing w:val="-4"/>
          <w:highlight w:val="none"/>
        </w:rPr>
        <w:t>项目负责人：</w:t>
      </w:r>
      <w:r>
        <w:rPr>
          <w:rFonts w:ascii="宋体" w:hAnsi="宋体" w:eastAsia="宋体"/>
          <w:color w:val="auto"/>
          <w:spacing w:val="-4"/>
          <w:highlight w:val="none"/>
          <w:u w:val="single"/>
        </w:rPr>
        <w:t xml:space="preserve">          </w:t>
      </w:r>
      <w:r>
        <w:rPr>
          <w:rFonts w:hint="eastAsia" w:ascii="宋体" w:hAnsi="宋体" w:eastAsia="宋体"/>
          <w:color w:val="auto"/>
          <w:spacing w:val="-4"/>
          <w:highlight w:val="none"/>
          <w:u w:val="single"/>
        </w:rPr>
        <w:t xml:space="preserve">    </w:t>
      </w:r>
      <w:r>
        <w:rPr>
          <w:rFonts w:ascii="宋体" w:hAnsi="宋体" w:eastAsia="宋体"/>
          <w:color w:val="auto"/>
          <w:spacing w:val="-4"/>
          <w:highlight w:val="none"/>
          <w:u w:val="single"/>
        </w:rPr>
        <w:t xml:space="preserve">  </w:t>
      </w:r>
      <w:r>
        <w:rPr>
          <w:rFonts w:ascii="宋体" w:hAnsi="宋体" w:eastAsia="宋体"/>
          <w:b w:val="0"/>
          <w:bCs/>
          <w:color w:val="auto"/>
          <w:spacing w:val="-4"/>
          <w:highlight w:val="none"/>
        </w:rPr>
        <w:t>(签字)</w:t>
      </w:r>
    </w:p>
    <w:p w14:paraId="33481AF6">
      <w:pPr>
        <w:spacing w:line="360" w:lineRule="auto"/>
        <w:ind w:left="2490" w:right="239" w:firstLine="1"/>
        <w:rPr>
          <w:rFonts w:ascii="宋体" w:hAnsi="宋体" w:eastAsia="宋体"/>
          <w:color w:val="auto"/>
          <w:spacing w:val="-4"/>
          <w:highlight w:val="none"/>
        </w:rPr>
      </w:pPr>
      <w:r>
        <w:rPr>
          <w:rFonts w:ascii="宋体" w:hAnsi="宋体" w:eastAsia="宋体"/>
          <w:color w:val="auto"/>
          <w:spacing w:val="-4"/>
          <w:highlight w:val="none"/>
        </w:rPr>
        <w:t xml:space="preserve">地  </w:t>
      </w:r>
      <w:r>
        <w:rPr>
          <w:rFonts w:ascii="宋体" w:hAnsi="宋体" w:eastAsia="宋体"/>
          <w:color w:val="auto"/>
          <w:spacing w:val="-2"/>
          <w:highlight w:val="none"/>
        </w:rPr>
        <w:t xml:space="preserve">  址：</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4"/>
          <w:highlight w:val="none"/>
        </w:rPr>
        <w:t xml:space="preserve">网 </w:t>
      </w:r>
      <w:r>
        <w:rPr>
          <w:rFonts w:ascii="宋体" w:hAnsi="宋体" w:eastAsia="宋体"/>
          <w:color w:val="auto"/>
          <w:spacing w:val="-2"/>
          <w:highlight w:val="none"/>
        </w:rPr>
        <w:t xml:space="preserve">   址：</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4"/>
          <w:highlight w:val="none"/>
        </w:rPr>
        <w:t xml:space="preserve">电 </w:t>
      </w:r>
      <w:r>
        <w:rPr>
          <w:rFonts w:ascii="宋体" w:hAnsi="宋体" w:eastAsia="宋体"/>
          <w:color w:val="auto"/>
          <w:spacing w:val="-2"/>
          <w:highlight w:val="none"/>
        </w:rPr>
        <w:t xml:space="preserve">   话：</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4"/>
          <w:highlight w:val="none"/>
        </w:rPr>
        <w:t xml:space="preserve">传 </w:t>
      </w:r>
      <w:r>
        <w:rPr>
          <w:rFonts w:ascii="宋体" w:hAnsi="宋体" w:eastAsia="宋体"/>
          <w:color w:val="auto"/>
          <w:spacing w:val="-2"/>
          <w:highlight w:val="none"/>
        </w:rPr>
        <w:t xml:space="preserve">   真：</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28"/>
          <w:highlight w:val="none"/>
        </w:rPr>
        <w:t>邮</w:t>
      </w:r>
      <w:r>
        <w:rPr>
          <w:rFonts w:ascii="宋体" w:hAnsi="宋体" w:eastAsia="宋体"/>
          <w:color w:val="auto"/>
          <w:spacing w:val="-25"/>
          <w:highlight w:val="none"/>
        </w:rPr>
        <w:t>政编码：</w:t>
      </w:r>
      <w:r>
        <w:rPr>
          <w:rFonts w:ascii="宋体" w:hAnsi="宋体" w:eastAsia="宋体"/>
          <w:color w:val="auto"/>
          <w:highlight w:val="none"/>
          <w:u w:val="single"/>
        </w:rPr>
        <w:t xml:space="preserve">                                               </w:t>
      </w:r>
    </w:p>
    <w:p w14:paraId="66CB254A">
      <w:pPr>
        <w:tabs>
          <w:tab w:val="left" w:pos="6722"/>
        </w:tabs>
        <w:spacing w:line="360" w:lineRule="auto"/>
        <w:ind w:left="6084"/>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1"/>
          <w:highlight w:val="none"/>
        </w:rPr>
        <w:t>年</w:t>
      </w:r>
      <w:r>
        <w:rPr>
          <w:rFonts w:ascii="宋体" w:hAnsi="宋体" w:eastAsia="宋体"/>
          <w:color w:val="auto"/>
          <w:spacing w:val="-1"/>
          <w:highlight w:val="none"/>
          <w:u w:val="single"/>
        </w:rPr>
        <w:t xml:space="preserve">      </w:t>
      </w:r>
      <w:r>
        <w:rPr>
          <w:rFonts w:ascii="宋体" w:hAnsi="宋体" w:eastAsia="宋体"/>
          <w:color w:val="auto"/>
          <w:spacing w:val="-1"/>
          <w:highlight w:val="none"/>
        </w:rPr>
        <w:t>月</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日</w:t>
      </w:r>
    </w:p>
    <w:p w14:paraId="3133B771">
      <w:pPr>
        <w:spacing w:line="360" w:lineRule="auto"/>
        <w:rPr>
          <w:color w:val="auto"/>
          <w:highlight w:val="none"/>
        </w:rPr>
        <w:sectPr>
          <w:footerReference r:id="rId22" w:type="default"/>
          <w:pgSz w:w="12240" w:h="15840"/>
          <w:pgMar w:top="1346" w:right="1800" w:bottom="1104" w:left="1836" w:header="0" w:footer="940" w:gutter="0"/>
          <w:cols w:space="720" w:num="1"/>
        </w:sectPr>
      </w:pPr>
    </w:p>
    <w:p w14:paraId="7AF8F95A">
      <w:pPr>
        <w:spacing w:line="247" w:lineRule="auto"/>
        <w:rPr>
          <w:color w:val="auto"/>
          <w:highlight w:val="none"/>
        </w:rPr>
      </w:pPr>
    </w:p>
    <w:p w14:paraId="4C6D7733">
      <w:pPr>
        <w:rPr>
          <w:rFonts w:ascii="黑体" w:hAnsi="黑体" w:eastAsia="黑体"/>
          <w:color w:val="auto"/>
          <w:spacing w:val="44"/>
          <w:sz w:val="27"/>
          <w:szCs w:val="27"/>
          <w:highlight w:val="none"/>
        </w:rPr>
      </w:pPr>
      <w:bookmarkStart w:id="436" w:name="_Toc30357"/>
      <w:bookmarkStart w:id="437" w:name="_Toc164"/>
      <w:bookmarkStart w:id="438" w:name="_Toc8334"/>
      <w:bookmarkStart w:id="439" w:name="_Toc23934"/>
      <w:bookmarkStart w:id="440" w:name="_Toc20683"/>
      <w:r>
        <w:rPr>
          <w:rFonts w:ascii="黑体" w:hAnsi="黑体" w:eastAsia="黑体"/>
          <w:color w:val="auto"/>
          <w:spacing w:val="44"/>
          <w:sz w:val="27"/>
          <w:szCs w:val="27"/>
          <w:highlight w:val="none"/>
        </w:rPr>
        <w:t>(</w:t>
      </w:r>
      <w:r>
        <w:rPr>
          <w:rFonts w:ascii="黑体" w:hAnsi="黑体" w:eastAsia="黑体"/>
          <w:color w:val="auto"/>
          <w:spacing w:val="39"/>
          <w:sz w:val="27"/>
          <w:szCs w:val="27"/>
          <w:highlight w:val="none"/>
        </w:rPr>
        <w:t>二)投标函附录</w:t>
      </w:r>
      <w:bookmarkEnd w:id="436"/>
      <w:bookmarkEnd w:id="437"/>
      <w:bookmarkEnd w:id="438"/>
      <w:bookmarkEnd w:id="439"/>
      <w:bookmarkEnd w:id="440"/>
    </w:p>
    <w:p w14:paraId="72A67712">
      <w:pPr>
        <w:spacing w:line="269" w:lineRule="auto"/>
        <w:rPr>
          <w:color w:val="auto"/>
          <w:highlight w:val="none"/>
        </w:rPr>
      </w:pPr>
    </w:p>
    <w:tbl>
      <w:tblPr>
        <w:tblStyle w:val="18"/>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8"/>
        <w:gridCol w:w="6245"/>
      </w:tblGrid>
      <w:tr w14:paraId="00D9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753" w:type="dxa"/>
            <w:gridSpan w:val="2"/>
            <w:vAlign w:val="center"/>
          </w:tcPr>
          <w:p w14:paraId="13D8B369">
            <w:pPr>
              <w:pStyle w:val="55"/>
              <w:widowControl w:val="0"/>
              <w:rPr>
                <w:rFonts w:ascii="宋体" w:hAnsi="宋体" w:eastAsia="宋体"/>
                <w:b w:val="0"/>
                <w:bCs/>
                <w:color w:val="auto"/>
                <w:highlight w:val="none"/>
              </w:rPr>
            </w:pPr>
            <w:r>
              <w:rPr>
                <w:rFonts w:hint="eastAsia" w:ascii="宋体" w:hAnsi="宋体" w:eastAsia="宋体"/>
                <w:b w:val="0"/>
                <w:bCs/>
                <w:color w:val="auto"/>
                <w:highlight w:val="none"/>
              </w:rPr>
              <w:t>项目名称</w:t>
            </w:r>
          </w:p>
        </w:tc>
        <w:tc>
          <w:tcPr>
            <w:tcW w:w="6245" w:type="dxa"/>
            <w:vAlign w:val="center"/>
          </w:tcPr>
          <w:p w14:paraId="5FF1828A">
            <w:pPr>
              <w:pStyle w:val="55"/>
              <w:widowControl w:val="0"/>
              <w:ind w:firstLine="480"/>
              <w:rPr>
                <w:rFonts w:ascii="宋体" w:hAnsi="宋体" w:eastAsia="宋体"/>
                <w:b w:val="0"/>
                <w:bCs/>
                <w:color w:val="auto"/>
                <w:highlight w:val="none"/>
              </w:rPr>
            </w:pPr>
          </w:p>
        </w:tc>
      </w:tr>
      <w:tr w14:paraId="5F82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753" w:type="dxa"/>
            <w:gridSpan w:val="2"/>
            <w:vAlign w:val="center"/>
          </w:tcPr>
          <w:p w14:paraId="648E3FF3">
            <w:pPr>
              <w:pStyle w:val="55"/>
              <w:widowControl w:val="0"/>
              <w:rPr>
                <w:rFonts w:ascii="宋体" w:hAnsi="宋体" w:eastAsia="宋体"/>
                <w:b w:val="0"/>
                <w:bCs/>
                <w:color w:val="auto"/>
                <w:highlight w:val="none"/>
              </w:rPr>
            </w:pPr>
            <w:r>
              <w:rPr>
                <w:rFonts w:hint="eastAsia" w:ascii="宋体" w:hAnsi="宋体" w:eastAsia="宋体"/>
                <w:b w:val="0"/>
                <w:bCs/>
                <w:color w:val="auto"/>
                <w:highlight w:val="none"/>
              </w:rPr>
              <w:t>投标总报价（元）</w:t>
            </w:r>
          </w:p>
        </w:tc>
        <w:tc>
          <w:tcPr>
            <w:tcW w:w="6245" w:type="dxa"/>
            <w:vAlign w:val="center"/>
          </w:tcPr>
          <w:p w14:paraId="256A0F9F">
            <w:pPr>
              <w:pStyle w:val="55"/>
              <w:widowControl w:val="0"/>
              <w:ind w:firstLine="480"/>
              <w:rPr>
                <w:rFonts w:ascii="宋体" w:hAnsi="宋体" w:eastAsia="宋体"/>
                <w:b w:val="0"/>
                <w:bCs/>
                <w:color w:val="auto"/>
                <w:highlight w:val="none"/>
              </w:rPr>
            </w:pPr>
          </w:p>
        </w:tc>
      </w:tr>
      <w:tr w14:paraId="3306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5" w:type="dxa"/>
            <w:vMerge w:val="restart"/>
            <w:vAlign w:val="center"/>
          </w:tcPr>
          <w:p w14:paraId="26B719A9">
            <w:pPr>
              <w:pStyle w:val="55"/>
              <w:widowControl w:val="0"/>
              <w:jc w:val="left"/>
              <w:rPr>
                <w:rFonts w:ascii="宋体" w:hAnsi="宋体" w:eastAsia="宋体"/>
                <w:b w:val="0"/>
                <w:bCs/>
                <w:color w:val="auto"/>
                <w:highlight w:val="none"/>
              </w:rPr>
            </w:pPr>
            <w:r>
              <w:rPr>
                <w:rFonts w:hint="eastAsia" w:ascii="宋体" w:hAnsi="宋体" w:eastAsia="宋体"/>
                <w:b w:val="0"/>
                <w:bCs/>
                <w:color w:val="auto"/>
                <w:highlight w:val="none"/>
              </w:rPr>
              <w:t>其中</w:t>
            </w:r>
          </w:p>
        </w:tc>
        <w:tc>
          <w:tcPr>
            <w:tcW w:w="2108" w:type="dxa"/>
            <w:vAlign w:val="center"/>
          </w:tcPr>
          <w:p w14:paraId="39FDE296">
            <w:pPr>
              <w:pStyle w:val="55"/>
              <w:widowControl w:val="0"/>
              <w:jc w:val="left"/>
              <w:rPr>
                <w:rFonts w:ascii="宋体" w:hAnsi="宋体" w:eastAsia="宋体"/>
                <w:b w:val="0"/>
                <w:bCs/>
                <w:color w:val="auto"/>
                <w:highlight w:val="none"/>
              </w:rPr>
            </w:pPr>
            <w:r>
              <w:rPr>
                <w:rFonts w:hint="eastAsia" w:ascii="宋体" w:hAnsi="宋体" w:eastAsia="宋体"/>
                <w:b w:val="0"/>
                <w:bCs/>
                <w:color w:val="auto"/>
                <w:highlight w:val="none"/>
              </w:rPr>
              <w:t>勘察费报价（元）</w:t>
            </w:r>
          </w:p>
        </w:tc>
        <w:tc>
          <w:tcPr>
            <w:tcW w:w="6245" w:type="dxa"/>
            <w:vAlign w:val="center"/>
          </w:tcPr>
          <w:p w14:paraId="543E9B63">
            <w:pPr>
              <w:pStyle w:val="55"/>
              <w:widowControl w:val="0"/>
              <w:ind w:firstLine="480"/>
              <w:rPr>
                <w:rFonts w:ascii="宋体" w:hAnsi="宋体" w:eastAsia="宋体"/>
                <w:b w:val="0"/>
                <w:bCs/>
                <w:color w:val="auto"/>
                <w:highlight w:val="none"/>
              </w:rPr>
            </w:pPr>
          </w:p>
        </w:tc>
      </w:tr>
      <w:tr w14:paraId="26AA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5" w:type="dxa"/>
            <w:vMerge w:val="continue"/>
            <w:vAlign w:val="center"/>
          </w:tcPr>
          <w:p w14:paraId="58555AD3">
            <w:pPr>
              <w:pStyle w:val="55"/>
              <w:widowControl w:val="0"/>
              <w:ind w:firstLine="480"/>
              <w:rPr>
                <w:rFonts w:ascii="宋体" w:hAnsi="宋体" w:eastAsia="宋体"/>
                <w:b w:val="0"/>
                <w:bCs/>
                <w:color w:val="auto"/>
                <w:highlight w:val="none"/>
              </w:rPr>
            </w:pPr>
          </w:p>
        </w:tc>
        <w:tc>
          <w:tcPr>
            <w:tcW w:w="2108" w:type="dxa"/>
            <w:vAlign w:val="center"/>
          </w:tcPr>
          <w:p w14:paraId="4832C8E2">
            <w:pPr>
              <w:pStyle w:val="55"/>
              <w:widowControl w:val="0"/>
              <w:jc w:val="left"/>
              <w:rPr>
                <w:rFonts w:ascii="宋体" w:hAnsi="宋体" w:eastAsia="宋体"/>
                <w:b w:val="0"/>
                <w:bCs/>
                <w:color w:val="auto"/>
                <w:highlight w:val="none"/>
              </w:rPr>
            </w:pPr>
            <w:r>
              <w:rPr>
                <w:rFonts w:hint="eastAsia" w:ascii="宋体" w:hAnsi="宋体" w:eastAsia="宋体"/>
                <w:b w:val="0"/>
                <w:bCs/>
                <w:color w:val="auto"/>
                <w:highlight w:val="none"/>
              </w:rPr>
              <w:t>勘察费投标下浮率</w:t>
            </w:r>
          </w:p>
        </w:tc>
        <w:tc>
          <w:tcPr>
            <w:tcW w:w="6245" w:type="dxa"/>
            <w:vAlign w:val="center"/>
          </w:tcPr>
          <w:p w14:paraId="3A010C0E">
            <w:pPr>
              <w:pStyle w:val="55"/>
              <w:ind w:firstLine="420"/>
              <w:jc w:val="left"/>
              <w:rPr>
                <w:rFonts w:ascii="宋体" w:hAnsi="宋体" w:eastAsia="宋体"/>
                <w:b w:val="0"/>
                <w:bCs/>
                <w:color w:val="auto"/>
                <w:highlight w:val="none"/>
                <w:u w:val="single"/>
              </w:rPr>
            </w:pPr>
            <w:r>
              <w:rPr>
                <w:rFonts w:hint="eastAsia" w:ascii="宋体" w:hAnsi="宋体" w:eastAsia="宋体"/>
                <w:b w:val="0"/>
                <w:bCs/>
                <w:color w:val="auto"/>
                <w:highlight w:val="none"/>
                <w:u w:val="single"/>
              </w:rPr>
              <w:t xml:space="preserve">       </w:t>
            </w:r>
            <w:r>
              <w:rPr>
                <w:rFonts w:hint="eastAsia" w:ascii="宋体" w:hAnsi="宋体" w:eastAsia="宋体"/>
                <w:b w:val="0"/>
                <w:bCs/>
                <w:color w:val="auto"/>
                <w:highlight w:val="none"/>
              </w:rPr>
              <w:t xml:space="preserve"> %</w:t>
            </w:r>
          </w:p>
        </w:tc>
      </w:tr>
      <w:tr w14:paraId="2B75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79D1D002">
            <w:pPr>
              <w:pStyle w:val="55"/>
              <w:widowControl w:val="0"/>
              <w:rPr>
                <w:rFonts w:ascii="宋体" w:hAnsi="宋体" w:eastAsia="宋体"/>
                <w:b w:val="0"/>
                <w:bCs/>
                <w:color w:val="auto"/>
                <w:highlight w:val="none"/>
              </w:rPr>
            </w:pPr>
            <w:r>
              <w:rPr>
                <w:rFonts w:hint="eastAsia" w:ascii="宋体" w:hAnsi="宋体" w:eastAsia="宋体"/>
                <w:b w:val="0"/>
                <w:bCs/>
                <w:color w:val="auto"/>
                <w:highlight w:val="none"/>
              </w:rPr>
              <w:t>勘察服务期限</w:t>
            </w:r>
          </w:p>
        </w:tc>
        <w:tc>
          <w:tcPr>
            <w:tcW w:w="6245" w:type="dxa"/>
            <w:vAlign w:val="center"/>
          </w:tcPr>
          <w:p w14:paraId="170AD4D2">
            <w:pPr>
              <w:pStyle w:val="55"/>
              <w:widowControl w:val="0"/>
              <w:ind w:firstLine="480"/>
              <w:rPr>
                <w:rFonts w:ascii="宋体" w:hAnsi="宋体" w:eastAsia="宋体"/>
                <w:b w:val="0"/>
                <w:bCs/>
                <w:color w:val="auto"/>
                <w:highlight w:val="none"/>
              </w:rPr>
            </w:pPr>
          </w:p>
        </w:tc>
      </w:tr>
      <w:tr w14:paraId="2601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53" w:type="dxa"/>
            <w:gridSpan w:val="2"/>
            <w:vAlign w:val="center"/>
          </w:tcPr>
          <w:p w14:paraId="5C3004F7">
            <w:pPr>
              <w:pStyle w:val="55"/>
              <w:widowControl w:val="0"/>
              <w:rPr>
                <w:rFonts w:ascii="宋体" w:hAnsi="宋体" w:eastAsia="宋体"/>
                <w:b w:val="0"/>
                <w:bCs/>
                <w:color w:val="auto"/>
                <w:highlight w:val="none"/>
              </w:rPr>
            </w:pPr>
            <w:r>
              <w:rPr>
                <w:rFonts w:hint="eastAsia" w:ascii="宋体" w:hAnsi="宋体" w:eastAsia="宋体"/>
                <w:b w:val="0"/>
                <w:bCs/>
                <w:color w:val="auto"/>
                <w:highlight w:val="none"/>
              </w:rPr>
              <w:t>项目负责人</w:t>
            </w:r>
          </w:p>
        </w:tc>
        <w:tc>
          <w:tcPr>
            <w:tcW w:w="6245" w:type="dxa"/>
            <w:vAlign w:val="center"/>
          </w:tcPr>
          <w:p w14:paraId="43E0F1BC">
            <w:pPr>
              <w:pStyle w:val="55"/>
              <w:widowControl w:val="0"/>
              <w:spacing w:line="360" w:lineRule="auto"/>
              <w:ind w:firstLine="420"/>
              <w:jc w:val="left"/>
              <w:rPr>
                <w:rFonts w:ascii="宋体" w:hAnsi="宋体" w:eastAsia="宋体"/>
                <w:b w:val="0"/>
                <w:bCs/>
                <w:color w:val="auto"/>
                <w:highlight w:val="none"/>
              </w:rPr>
            </w:pPr>
            <w:r>
              <w:rPr>
                <w:rFonts w:hint="eastAsia" w:ascii="宋体" w:hAnsi="宋体" w:eastAsia="宋体"/>
                <w:b w:val="0"/>
                <w:bCs/>
                <w:color w:val="auto"/>
                <w:highlight w:val="none"/>
              </w:rPr>
              <w:t>姓名：</w:t>
            </w:r>
          </w:p>
          <w:p w14:paraId="71986185">
            <w:pPr>
              <w:pStyle w:val="55"/>
              <w:widowControl w:val="0"/>
              <w:spacing w:line="360" w:lineRule="auto"/>
              <w:ind w:firstLine="420"/>
              <w:jc w:val="left"/>
              <w:rPr>
                <w:rFonts w:ascii="宋体" w:hAnsi="宋体" w:eastAsia="宋体"/>
                <w:b w:val="0"/>
                <w:bCs/>
                <w:color w:val="auto"/>
                <w:highlight w:val="none"/>
              </w:rPr>
            </w:pPr>
            <w:r>
              <w:rPr>
                <w:rFonts w:hint="eastAsia" w:ascii="宋体" w:hAnsi="宋体" w:eastAsia="宋体"/>
                <w:b w:val="0"/>
                <w:bCs/>
                <w:color w:val="auto"/>
                <w:highlight w:val="none"/>
              </w:rPr>
              <w:t>证书编号：</w:t>
            </w:r>
          </w:p>
        </w:tc>
      </w:tr>
    </w:tbl>
    <w:p w14:paraId="7504F350">
      <w:pPr>
        <w:spacing w:line="269" w:lineRule="auto"/>
        <w:rPr>
          <w:color w:val="auto"/>
          <w:highlight w:val="none"/>
        </w:rPr>
      </w:pPr>
    </w:p>
    <w:p w14:paraId="71C6DA18">
      <w:pPr>
        <w:pStyle w:val="55"/>
        <w:rPr>
          <w:color w:val="auto"/>
          <w:highlight w:val="none"/>
        </w:rPr>
      </w:pPr>
    </w:p>
    <w:p w14:paraId="36FE99FD">
      <w:pPr>
        <w:pStyle w:val="55"/>
        <w:jc w:val="left"/>
        <w:rPr>
          <w:color w:val="auto"/>
          <w:highlight w:val="none"/>
        </w:rPr>
      </w:pPr>
    </w:p>
    <w:p w14:paraId="1D73C417">
      <w:pPr>
        <w:spacing w:before="68" w:line="387" w:lineRule="auto"/>
        <w:ind w:left="2599" w:right="324" w:firstLine="1"/>
        <w:rPr>
          <w:rFonts w:ascii="宋体" w:hAnsi="宋体" w:eastAsia="宋体"/>
          <w:color w:val="auto"/>
          <w:spacing w:val="-4"/>
          <w:highlight w:val="none"/>
        </w:rPr>
      </w:pPr>
    </w:p>
    <w:p w14:paraId="5F08DADC">
      <w:pPr>
        <w:spacing w:before="68" w:line="387" w:lineRule="auto"/>
        <w:ind w:left="2599" w:right="324" w:firstLine="1"/>
        <w:rPr>
          <w:rFonts w:ascii="宋体" w:hAnsi="宋体" w:eastAsia="宋体"/>
          <w:color w:val="auto"/>
          <w:spacing w:val="-4"/>
          <w:highlight w:val="none"/>
        </w:rPr>
      </w:pPr>
      <w:r>
        <w:rPr>
          <w:rFonts w:ascii="宋体" w:hAnsi="宋体" w:eastAsia="宋体"/>
          <w:color w:val="auto"/>
          <w:spacing w:val="-4"/>
          <w:highlight w:val="none"/>
        </w:rPr>
        <w:t>投 标 人：</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(盖单位章)</w:t>
      </w:r>
      <w:r>
        <w:rPr>
          <w:rFonts w:ascii="宋体" w:hAnsi="宋体" w:eastAsia="宋体"/>
          <w:color w:val="auto"/>
          <w:highlight w:val="none"/>
        </w:rPr>
        <w:t xml:space="preserve"> </w:t>
      </w:r>
      <w:r>
        <w:rPr>
          <w:rFonts w:ascii="宋体" w:hAnsi="宋体" w:eastAsia="宋体"/>
          <w:color w:val="auto"/>
          <w:spacing w:val="-8"/>
          <w:highlight w:val="none"/>
        </w:rPr>
        <w:t>法定</w:t>
      </w:r>
      <w:r>
        <w:rPr>
          <w:rFonts w:ascii="宋体" w:hAnsi="宋体" w:eastAsia="宋体"/>
          <w:color w:val="auto"/>
          <w:spacing w:val="-4"/>
          <w:highlight w:val="none"/>
        </w:rPr>
        <w:t>代表人或其委托代理人：</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r>
        <w:rPr>
          <w:rFonts w:hint="eastAsia" w:ascii="宋体" w:hAnsi="宋体" w:eastAsia="宋体"/>
          <w:color w:val="auto"/>
          <w:spacing w:val="-4"/>
          <w:highlight w:val="none"/>
        </w:rPr>
        <w:t>或盖章</w:t>
      </w:r>
      <w:r>
        <w:rPr>
          <w:rFonts w:ascii="宋体" w:hAnsi="宋体" w:eastAsia="宋体"/>
          <w:color w:val="auto"/>
          <w:spacing w:val="-4"/>
          <w:highlight w:val="none"/>
        </w:rPr>
        <w:t>)</w:t>
      </w:r>
    </w:p>
    <w:p w14:paraId="2EDF59E0">
      <w:pPr>
        <w:tabs>
          <w:tab w:val="left" w:pos="6829"/>
        </w:tabs>
        <w:spacing w:line="220" w:lineRule="auto"/>
        <w:ind w:left="6190"/>
        <w:rPr>
          <w:rFonts w:ascii="宋体" w:hAnsi="宋体" w:eastAsia="宋体"/>
          <w:color w:val="auto"/>
          <w:spacing w:val="2"/>
          <w:highlight w:val="none"/>
        </w:rPr>
      </w:pPr>
      <w:r>
        <w:rPr>
          <w:rFonts w:ascii="宋体" w:hAnsi="宋体" w:eastAsia="宋体"/>
          <w:color w:val="auto"/>
          <w:highlight w:val="none"/>
          <w:u w:val="single"/>
        </w:rPr>
        <w:tab/>
      </w:r>
      <w:r>
        <w:rPr>
          <w:rFonts w:ascii="宋体" w:hAnsi="宋体" w:eastAsia="宋体"/>
          <w:color w:val="auto"/>
          <w:spacing w:val="4"/>
          <w:highlight w:val="none"/>
        </w:rPr>
        <w:t>年</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p>
    <w:p w14:paraId="29078FF5">
      <w:pPr>
        <w:tabs>
          <w:tab w:val="left" w:pos="6829"/>
        </w:tabs>
        <w:spacing w:line="220" w:lineRule="auto"/>
        <w:ind w:left="6190"/>
        <w:rPr>
          <w:rFonts w:ascii="宋体" w:hAnsi="宋体" w:eastAsia="宋体"/>
          <w:color w:val="auto"/>
          <w:spacing w:val="2"/>
          <w:highlight w:val="none"/>
        </w:rPr>
      </w:pPr>
    </w:p>
    <w:p w14:paraId="64040D75">
      <w:pPr>
        <w:tabs>
          <w:tab w:val="left" w:pos="6829"/>
        </w:tabs>
        <w:spacing w:line="220" w:lineRule="auto"/>
        <w:ind w:left="6190"/>
        <w:rPr>
          <w:rFonts w:ascii="宋体" w:hAnsi="宋体" w:eastAsia="宋体"/>
          <w:color w:val="auto"/>
          <w:spacing w:val="2"/>
          <w:highlight w:val="none"/>
        </w:rPr>
      </w:pPr>
    </w:p>
    <w:p w14:paraId="3912839A">
      <w:pPr>
        <w:spacing w:line="245" w:lineRule="auto"/>
        <w:rPr>
          <w:color w:val="auto"/>
          <w:highlight w:val="none"/>
        </w:rPr>
      </w:pPr>
    </w:p>
    <w:p w14:paraId="12D19385">
      <w:pPr>
        <w:rPr>
          <w:rFonts w:ascii="黑体" w:hAnsi="黑体" w:eastAsia="黑体"/>
          <w:color w:val="auto"/>
          <w:spacing w:val="10"/>
          <w:sz w:val="31"/>
          <w:szCs w:val="31"/>
          <w:highlight w:val="none"/>
        </w:rPr>
      </w:pPr>
      <w:bookmarkStart w:id="441" w:name="_Toc16241"/>
      <w:bookmarkStart w:id="442" w:name="_Toc18738"/>
      <w:bookmarkStart w:id="443" w:name="_Toc30933"/>
      <w:bookmarkStart w:id="444" w:name="_Toc20211"/>
      <w:bookmarkStart w:id="445" w:name="_Toc7326"/>
      <w:r>
        <w:rPr>
          <w:rFonts w:ascii="黑体" w:hAnsi="黑体" w:eastAsia="黑体"/>
          <w:color w:val="auto"/>
          <w:spacing w:val="10"/>
          <w:sz w:val="31"/>
          <w:szCs w:val="31"/>
          <w:highlight w:val="none"/>
        </w:rPr>
        <w:br w:type="page"/>
      </w:r>
    </w:p>
    <w:p w14:paraId="4E8F4B9F">
      <w:pPr>
        <w:pStyle w:val="24"/>
        <w:spacing w:before="120" w:after="120"/>
        <w:jc w:val="center"/>
        <w:outlineLvl w:val="9"/>
        <w:rPr>
          <w:rFonts w:ascii="黑体" w:hAnsi="黑体" w:eastAsia="黑体"/>
          <w:color w:val="auto"/>
          <w:spacing w:val="10"/>
          <w:sz w:val="31"/>
          <w:szCs w:val="31"/>
          <w:highlight w:val="none"/>
        </w:rPr>
      </w:pPr>
      <w:r>
        <w:rPr>
          <w:rFonts w:ascii="黑体" w:hAnsi="黑体" w:eastAsia="黑体"/>
          <w:color w:val="auto"/>
          <w:spacing w:val="10"/>
          <w:sz w:val="31"/>
          <w:szCs w:val="31"/>
          <w:highlight w:val="none"/>
        </w:rPr>
        <w:t>二、法定代表人身份证</w:t>
      </w:r>
      <w:r>
        <w:rPr>
          <w:rFonts w:ascii="黑体" w:hAnsi="黑体" w:eastAsia="黑体"/>
          <w:color w:val="auto"/>
          <w:spacing w:val="7"/>
          <w:sz w:val="31"/>
          <w:szCs w:val="31"/>
          <w:highlight w:val="none"/>
        </w:rPr>
        <w:t>明</w:t>
      </w:r>
      <w:bookmarkEnd w:id="441"/>
      <w:bookmarkEnd w:id="442"/>
      <w:bookmarkEnd w:id="443"/>
      <w:bookmarkEnd w:id="444"/>
      <w:bookmarkEnd w:id="445"/>
      <w:r>
        <w:rPr>
          <w:rFonts w:hint="eastAsia" w:ascii="黑体" w:hAnsi="黑体" w:eastAsia="黑体"/>
          <w:color w:val="auto"/>
          <w:spacing w:val="7"/>
          <w:sz w:val="31"/>
          <w:szCs w:val="31"/>
          <w:highlight w:val="none"/>
        </w:rPr>
        <w:t>及</w:t>
      </w:r>
      <w:r>
        <w:rPr>
          <w:rFonts w:ascii="黑体" w:hAnsi="黑体" w:eastAsia="黑体"/>
          <w:color w:val="auto"/>
          <w:spacing w:val="8"/>
          <w:sz w:val="31"/>
          <w:szCs w:val="31"/>
          <w:highlight w:val="none"/>
        </w:rPr>
        <w:t>授权委托书</w:t>
      </w:r>
    </w:p>
    <w:p w14:paraId="7E1DEADE">
      <w:pPr>
        <w:spacing w:line="252" w:lineRule="auto"/>
        <w:rPr>
          <w:color w:val="auto"/>
          <w:highlight w:val="none"/>
        </w:rPr>
      </w:pPr>
    </w:p>
    <w:p w14:paraId="599AE857">
      <w:pPr>
        <w:spacing w:line="252" w:lineRule="auto"/>
        <w:rPr>
          <w:color w:val="auto"/>
          <w:highlight w:val="none"/>
        </w:rPr>
      </w:pPr>
    </w:p>
    <w:p w14:paraId="280C3CDD">
      <w:pPr>
        <w:spacing w:line="253" w:lineRule="auto"/>
        <w:jc w:val="center"/>
        <w:rPr>
          <w:rFonts w:ascii="黑体" w:hAnsi="黑体" w:eastAsia="黑体"/>
          <w:color w:val="auto"/>
          <w:spacing w:val="10"/>
          <w:sz w:val="31"/>
          <w:szCs w:val="31"/>
          <w:highlight w:val="none"/>
        </w:rPr>
      </w:pPr>
      <w:r>
        <w:rPr>
          <w:rFonts w:ascii="黑体" w:hAnsi="黑体" w:eastAsia="黑体"/>
          <w:color w:val="auto"/>
          <w:spacing w:val="10"/>
          <w:sz w:val="31"/>
          <w:szCs w:val="31"/>
          <w:highlight w:val="none"/>
        </w:rPr>
        <w:t>法定代表人身份证</w:t>
      </w:r>
      <w:r>
        <w:rPr>
          <w:rFonts w:ascii="黑体" w:hAnsi="黑体" w:eastAsia="黑体"/>
          <w:color w:val="auto"/>
          <w:spacing w:val="7"/>
          <w:sz w:val="31"/>
          <w:szCs w:val="31"/>
          <w:highlight w:val="none"/>
        </w:rPr>
        <w:t>明</w:t>
      </w:r>
    </w:p>
    <w:p w14:paraId="739A4FE1">
      <w:pPr>
        <w:spacing w:line="253" w:lineRule="auto"/>
        <w:rPr>
          <w:color w:val="auto"/>
          <w:highlight w:val="none"/>
        </w:rPr>
      </w:pPr>
    </w:p>
    <w:p w14:paraId="21F19584">
      <w:pPr>
        <w:spacing w:line="253" w:lineRule="auto"/>
        <w:rPr>
          <w:color w:val="auto"/>
          <w:highlight w:val="none"/>
        </w:rPr>
      </w:pPr>
    </w:p>
    <w:p w14:paraId="6CFD518A">
      <w:pPr>
        <w:spacing w:line="253" w:lineRule="auto"/>
        <w:rPr>
          <w:color w:val="auto"/>
          <w:highlight w:val="none"/>
        </w:rPr>
      </w:pPr>
    </w:p>
    <w:p w14:paraId="76E9E78E">
      <w:pPr>
        <w:spacing w:before="68" w:line="221" w:lineRule="auto"/>
        <w:ind w:left="2"/>
        <w:rPr>
          <w:rFonts w:ascii="宋体" w:hAnsi="宋体" w:eastAsia="宋体"/>
          <w:color w:val="auto"/>
          <w:spacing w:val="-30"/>
          <w:highlight w:val="none"/>
        </w:rPr>
      </w:pPr>
      <w:r>
        <w:rPr>
          <w:rFonts w:ascii="宋体" w:hAnsi="宋体" w:eastAsia="宋体"/>
          <w:color w:val="auto"/>
          <w:spacing w:val="-30"/>
          <w:highlight w:val="none"/>
        </w:rPr>
        <w:t>投</w:t>
      </w:r>
      <w:r>
        <w:rPr>
          <w:rFonts w:ascii="宋体" w:hAnsi="宋体" w:eastAsia="宋体"/>
          <w:color w:val="auto"/>
          <w:spacing w:val="-27"/>
          <w:highlight w:val="none"/>
        </w:rPr>
        <w:t>标人名称：</w:t>
      </w:r>
      <w:r>
        <w:rPr>
          <w:rFonts w:ascii="宋体" w:hAnsi="宋体" w:eastAsia="宋体"/>
          <w:color w:val="auto"/>
          <w:highlight w:val="none"/>
          <w:u w:val="single"/>
        </w:rPr>
        <w:t xml:space="preserve">                         </w:t>
      </w:r>
    </w:p>
    <w:p w14:paraId="2B88EBE6">
      <w:pPr>
        <w:spacing w:before="189" w:line="386" w:lineRule="auto"/>
        <w:rPr>
          <w:rFonts w:ascii="宋体" w:hAnsi="宋体" w:eastAsia="宋体"/>
          <w:color w:val="auto"/>
          <w:spacing w:val="-9"/>
          <w:highlight w:val="none"/>
        </w:rPr>
      </w:pPr>
      <w:r>
        <w:rPr>
          <w:rFonts w:ascii="宋体" w:hAnsi="宋体" w:eastAsia="宋体"/>
          <w:color w:val="auto"/>
          <w:spacing w:val="-9"/>
          <w:highlight w:val="none"/>
        </w:rPr>
        <w:t>姓名：</w:t>
      </w:r>
      <w:r>
        <w:rPr>
          <w:rFonts w:ascii="宋体" w:hAnsi="宋体" w:eastAsia="宋体"/>
          <w:color w:val="auto"/>
          <w:spacing w:val="-9"/>
          <w:highlight w:val="none"/>
          <w:u w:val="single"/>
        </w:rPr>
        <w:t xml:space="preserve">          </w:t>
      </w:r>
      <w:r>
        <w:rPr>
          <w:rFonts w:ascii="宋体" w:hAnsi="宋体" w:eastAsia="宋体"/>
          <w:color w:val="auto"/>
          <w:spacing w:val="-9"/>
          <w:highlight w:val="none"/>
        </w:rPr>
        <w:t>性别：</w:t>
      </w:r>
      <w:r>
        <w:rPr>
          <w:rFonts w:ascii="宋体" w:hAnsi="宋体" w:eastAsia="宋体"/>
          <w:color w:val="auto"/>
          <w:spacing w:val="-9"/>
          <w:highlight w:val="none"/>
          <w:u w:val="single"/>
        </w:rPr>
        <w:t xml:space="preserve">         </w:t>
      </w:r>
      <w:r>
        <w:rPr>
          <w:rFonts w:ascii="宋体" w:hAnsi="宋体" w:eastAsia="宋体"/>
          <w:color w:val="auto"/>
          <w:spacing w:val="-9"/>
          <w:highlight w:val="none"/>
        </w:rPr>
        <w:t>年龄：</w:t>
      </w:r>
      <w:r>
        <w:rPr>
          <w:rFonts w:ascii="宋体" w:hAnsi="宋体" w:eastAsia="宋体"/>
          <w:color w:val="auto"/>
          <w:spacing w:val="-9"/>
          <w:highlight w:val="none"/>
          <w:u w:val="single"/>
        </w:rPr>
        <w:t xml:space="preserve">         </w:t>
      </w:r>
      <w:r>
        <w:rPr>
          <w:rFonts w:ascii="宋体" w:hAnsi="宋体" w:eastAsia="宋体"/>
          <w:color w:val="auto"/>
          <w:spacing w:val="-9"/>
          <w:highlight w:val="none"/>
        </w:rPr>
        <w:t>职务：</w:t>
      </w:r>
      <w:r>
        <w:rPr>
          <w:rFonts w:ascii="宋体" w:hAnsi="宋体" w:eastAsia="宋体"/>
          <w:color w:val="auto"/>
          <w:highlight w:val="none"/>
          <w:u w:val="single"/>
        </w:rPr>
        <w:t xml:space="preserve">         </w:t>
      </w:r>
      <w:r>
        <w:rPr>
          <w:rFonts w:hint="eastAsia" w:ascii="宋体" w:hAnsi="宋体" w:eastAsia="宋体"/>
          <w:color w:val="auto"/>
          <w:highlight w:val="none"/>
        </w:rPr>
        <w:t>身份证号码：</w:t>
      </w:r>
      <w:r>
        <w:rPr>
          <w:rFonts w:hint="eastAsia" w:ascii="宋体" w:hAnsi="宋体" w:eastAsia="宋体"/>
          <w:color w:val="auto"/>
          <w:highlight w:val="none"/>
          <w:u w:val="single"/>
        </w:rPr>
        <w:t xml:space="preserve">       </w:t>
      </w:r>
    </w:p>
    <w:p w14:paraId="509B68A8">
      <w:pPr>
        <w:spacing w:line="218" w:lineRule="auto"/>
        <w:ind w:left="4"/>
        <w:rPr>
          <w:rFonts w:ascii="宋体" w:hAnsi="宋体" w:eastAsia="宋体"/>
          <w:color w:val="auto"/>
          <w:spacing w:val="2"/>
          <w:highlight w:val="none"/>
        </w:rPr>
      </w:pPr>
      <w:r>
        <w:rPr>
          <w:rFonts w:ascii="宋体" w:hAnsi="宋体" w:eastAsia="宋体"/>
          <w:color w:val="auto"/>
          <w:spacing w:val="2"/>
          <w:highlight w:val="none"/>
        </w:rPr>
        <w:t>系</w:t>
      </w:r>
      <w:r>
        <w:rPr>
          <w:rFonts w:ascii="宋体" w:hAnsi="宋体" w:eastAsia="宋体"/>
          <w:color w:val="auto"/>
          <w:spacing w:val="2"/>
          <w:highlight w:val="none"/>
          <w:u w:val="single"/>
        </w:rPr>
        <w:t xml:space="preserve">                     </w:t>
      </w:r>
      <w:r>
        <w:rPr>
          <w:rFonts w:ascii="宋体" w:hAnsi="宋体" w:eastAsia="宋体"/>
          <w:color w:val="auto"/>
          <w:spacing w:val="1"/>
          <w:highlight w:val="none"/>
          <w:u w:val="single"/>
        </w:rPr>
        <w:t xml:space="preserve">    </w:t>
      </w:r>
      <w:r>
        <w:rPr>
          <w:rFonts w:ascii="宋体" w:hAnsi="宋体" w:eastAsia="宋体"/>
          <w:color w:val="auto"/>
          <w:spacing w:val="1"/>
          <w:highlight w:val="none"/>
        </w:rPr>
        <w:t>(投标人名称)的法定代表人。</w:t>
      </w:r>
    </w:p>
    <w:p w14:paraId="6FD40A8B">
      <w:pPr>
        <w:spacing w:before="191" w:line="220" w:lineRule="auto"/>
        <w:ind w:left="420"/>
        <w:rPr>
          <w:rFonts w:ascii="宋体" w:hAnsi="宋体" w:eastAsia="宋体"/>
          <w:color w:val="auto"/>
          <w:spacing w:val="-7"/>
          <w:highlight w:val="none"/>
        </w:rPr>
      </w:pPr>
      <w:r>
        <w:rPr>
          <w:rFonts w:ascii="宋体" w:hAnsi="宋体" w:eastAsia="宋体"/>
          <w:color w:val="auto"/>
          <w:spacing w:val="-7"/>
          <w:highlight w:val="none"/>
        </w:rPr>
        <w:t>特</w:t>
      </w:r>
      <w:r>
        <w:rPr>
          <w:rFonts w:ascii="宋体" w:hAnsi="宋体" w:eastAsia="宋体"/>
          <w:color w:val="auto"/>
          <w:spacing w:val="-6"/>
          <w:highlight w:val="none"/>
        </w:rPr>
        <w:t>此证明。</w:t>
      </w:r>
    </w:p>
    <w:p w14:paraId="447761D0">
      <w:pPr>
        <w:spacing w:line="278" w:lineRule="auto"/>
        <w:rPr>
          <w:color w:val="auto"/>
          <w:highlight w:val="none"/>
        </w:rPr>
      </w:pPr>
    </w:p>
    <w:p w14:paraId="33F9B2D6">
      <w:pPr>
        <w:spacing w:line="279" w:lineRule="auto"/>
        <w:rPr>
          <w:color w:val="auto"/>
          <w:highlight w:val="none"/>
        </w:rPr>
      </w:pPr>
    </w:p>
    <w:p w14:paraId="4BDDFDF0">
      <w:pPr>
        <w:spacing w:before="69" w:line="219" w:lineRule="auto"/>
        <w:ind w:left="16"/>
        <w:rPr>
          <w:rFonts w:ascii="宋体" w:hAnsi="宋体" w:eastAsia="宋体"/>
          <w:color w:val="auto"/>
          <w:spacing w:val="-6"/>
          <w:highlight w:val="none"/>
        </w:rPr>
      </w:pPr>
      <w:r>
        <w:rPr>
          <w:rFonts w:ascii="宋体" w:hAnsi="宋体" w:eastAsia="宋体"/>
          <w:color w:val="auto"/>
          <w:spacing w:val="-6"/>
          <w:highlight w:val="none"/>
        </w:rPr>
        <w:t>附：法</w:t>
      </w:r>
      <w:r>
        <w:rPr>
          <w:rFonts w:ascii="宋体" w:hAnsi="宋体" w:eastAsia="宋体"/>
          <w:color w:val="auto"/>
          <w:spacing w:val="-3"/>
          <w:highlight w:val="none"/>
        </w:rPr>
        <w:t>定代表人身份证</w:t>
      </w:r>
      <w:r>
        <w:rPr>
          <w:rFonts w:hint="eastAsia" w:ascii="宋体" w:hAnsi="宋体" w:eastAsia="宋体"/>
          <w:color w:val="auto"/>
          <w:spacing w:val="-3"/>
          <w:highlight w:val="none"/>
        </w:rPr>
        <w:t>正反面扫描</w:t>
      </w:r>
      <w:r>
        <w:rPr>
          <w:rFonts w:ascii="宋体" w:hAnsi="宋体" w:eastAsia="宋体"/>
          <w:color w:val="auto"/>
          <w:spacing w:val="-3"/>
          <w:highlight w:val="none"/>
        </w:rPr>
        <w:t>件。</w:t>
      </w:r>
    </w:p>
    <w:p w14:paraId="3351B9FE">
      <w:pPr>
        <w:spacing w:line="279" w:lineRule="auto"/>
        <w:rPr>
          <w:color w:val="auto"/>
          <w:highlight w:val="none"/>
        </w:rPr>
      </w:pPr>
    </w:p>
    <w:p w14:paraId="5093035E">
      <w:pPr>
        <w:spacing w:line="280" w:lineRule="auto"/>
        <w:rPr>
          <w:color w:val="auto"/>
          <w:highlight w:val="none"/>
        </w:rPr>
      </w:pPr>
    </w:p>
    <w:p w14:paraId="096B6956">
      <w:pPr>
        <w:spacing w:line="248" w:lineRule="auto"/>
        <w:rPr>
          <w:color w:val="auto"/>
          <w:highlight w:val="none"/>
        </w:rPr>
      </w:pPr>
    </w:p>
    <w:p w14:paraId="14ECAFA9">
      <w:pPr>
        <w:spacing w:line="249" w:lineRule="auto"/>
        <w:rPr>
          <w:color w:val="auto"/>
          <w:highlight w:val="none"/>
        </w:rPr>
      </w:pPr>
    </w:p>
    <w:p w14:paraId="43EA5B42">
      <w:pPr>
        <w:spacing w:line="249" w:lineRule="auto"/>
        <w:rPr>
          <w:color w:val="auto"/>
          <w:highlight w:val="none"/>
        </w:rPr>
      </w:pPr>
    </w:p>
    <w:p w14:paraId="31CD045B">
      <w:pPr>
        <w:spacing w:line="249" w:lineRule="auto"/>
        <w:rPr>
          <w:color w:val="auto"/>
          <w:highlight w:val="none"/>
        </w:rPr>
      </w:pPr>
    </w:p>
    <w:p w14:paraId="25547835">
      <w:pPr>
        <w:spacing w:before="68" w:line="220" w:lineRule="auto"/>
        <w:ind w:left="4112"/>
        <w:rPr>
          <w:rFonts w:ascii="宋体" w:hAnsi="宋体" w:eastAsia="宋体"/>
          <w:color w:val="auto"/>
          <w:spacing w:val="-5"/>
          <w:highlight w:val="none"/>
        </w:rPr>
      </w:pPr>
      <w:r>
        <w:rPr>
          <w:rFonts w:ascii="宋体" w:hAnsi="宋体" w:eastAsia="宋体"/>
          <w:color w:val="auto"/>
          <w:spacing w:val="-5"/>
          <w:highlight w:val="none"/>
        </w:rPr>
        <w:t>投标人：</w:t>
      </w:r>
      <w:r>
        <w:rPr>
          <w:rFonts w:ascii="宋体" w:hAnsi="宋体" w:eastAsia="宋体"/>
          <w:color w:val="auto"/>
          <w:spacing w:val="-5"/>
          <w:highlight w:val="none"/>
          <w:u w:val="single"/>
        </w:rPr>
        <w:t xml:space="preserve">                </w:t>
      </w:r>
      <w:r>
        <w:rPr>
          <w:rFonts w:ascii="宋体" w:hAnsi="宋体" w:eastAsia="宋体"/>
          <w:color w:val="auto"/>
          <w:spacing w:val="-5"/>
          <w:highlight w:val="none"/>
        </w:rPr>
        <w:t>(盖单位章</w:t>
      </w:r>
      <w:r>
        <w:rPr>
          <w:rFonts w:ascii="宋体" w:hAnsi="宋体" w:eastAsia="宋体"/>
          <w:color w:val="auto"/>
          <w:spacing w:val="-2"/>
          <w:highlight w:val="none"/>
        </w:rPr>
        <w:t>)</w:t>
      </w:r>
    </w:p>
    <w:p w14:paraId="2BCF2408">
      <w:pPr>
        <w:spacing w:line="279" w:lineRule="auto"/>
        <w:rPr>
          <w:color w:val="auto"/>
          <w:highlight w:val="none"/>
        </w:rPr>
      </w:pPr>
    </w:p>
    <w:p w14:paraId="6A927500">
      <w:pPr>
        <w:spacing w:line="279" w:lineRule="auto"/>
        <w:rPr>
          <w:color w:val="auto"/>
          <w:highlight w:val="none"/>
        </w:rPr>
      </w:pPr>
    </w:p>
    <w:p w14:paraId="49C12E76">
      <w:pPr>
        <w:tabs>
          <w:tab w:val="left" w:pos="5250"/>
        </w:tabs>
        <w:spacing w:before="69" w:line="220" w:lineRule="auto"/>
        <w:ind w:left="4611"/>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4"/>
          <w:highlight w:val="none"/>
        </w:rPr>
        <w:t>年</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p>
    <w:p w14:paraId="0BD4C56E">
      <w:pPr>
        <w:rPr>
          <w:color w:val="auto"/>
          <w:highlight w:val="none"/>
        </w:rPr>
        <w:sectPr>
          <w:footerReference r:id="rId23" w:type="default"/>
          <w:pgSz w:w="12240" w:h="15840"/>
          <w:pgMar w:top="1346" w:right="1836" w:bottom="1104" w:left="1808" w:header="0" w:footer="940" w:gutter="0"/>
          <w:cols w:space="720" w:num="1"/>
        </w:sectPr>
      </w:pPr>
    </w:p>
    <w:p w14:paraId="13CB2CC7">
      <w:pPr>
        <w:spacing w:line="268" w:lineRule="auto"/>
        <w:jc w:val="center"/>
        <w:rPr>
          <w:rFonts w:ascii="黑体" w:hAnsi="黑体" w:eastAsia="黑体"/>
          <w:color w:val="auto"/>
          <w:spacing w:val="8"/>
          <w:sz w:val="31"/>
          <w:szCs w:val="31"/>
          <w:highlight w:val="none"/>
        </w:rPr>
      </w:pPr>
      <w:r>
        <w:rPr>
          <w:rFonts w:ascii="黑体" w:hAnsi="黑体" w:eastAsia="黑体"/>
          <w:color w:val="auto"/>
          <w:spacing w:val="8"/>
          <w:sz w:val="31"/>
          <w:szCs w:val="31"/>
          <w:highlight w:val="none"/>
        </w:rPr>
        <w:t>授权委托书</w:t>
      </w:r>
    </w:p>
    <w:p w14:paraId="03BEBB4A">
      <w:pPr>
        <w:spacing w:line="269" w:lineRule="auto"/>
        <w:rPr>
          <w:color w:val="auto"/>
          <w:highlight w:val="none"/>
        </w:rPr>
      </w:pPr>
    </w:p>
    <w:p w14:paraId="301A21AF">
      <w:pPr>
        <w:spacing w:line="269" w:lineRule="auto"/>
        <w:rPr>
          <w:color w:val="auto"/>
          <w:highlight w:val="none"/>
        </w:rPr>
      </w:pPr>
    </w:p>
    <w:p w14:paraId="23E6CD95">
      <w:pPr>
        <w:spacing w:line="269" w:lineRule="auto"/>
        <w:rPr>
          <w:color w:val="auto"/>
          <w:highlight w:val="none"/>
        </w:rPr>
      </w:pPr>
    </w:p>
    <w:p w14:paraId="43792B92">
      <w:pPr>
        <w:spacing w:before="68" w:line="387" w:lineRule="auto"/>
        <w:ind w:right="2" w:firstLine="421"/>
        <w:rPr>
          <w:rFonts w:ascii="宋体" w:hAnsi="宋体" w:eastAsia="宋体"/>
          <w:color w:val="auto"/>
          <w:spacing w:val="4"/>
          <w:highlight w:val="none"/>
        </w:rPr>
      </w:pPr>
      <w:r>
        <w:rPr>
          <w:rFonts w:ascii="宋体" w:hAnsi="宋体" w:eastAsia="宋体"/>
          <w:color w:val="auto"/>
          <w:spacing w:val="4"/>
          <w:highlight w:val="none"/>
        </w:rPr>
        <w:t>本人</w:t>
      </w:r>
      <w:r>
        <w:rPr>
          <w:rFonts w:ascii="宋体" w:hAnsi="宋体" w:eastAsia="宋体"/>
          <w:color w:val="auto"/>
          <w:spacing w:val="3"/>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(姓名) 系</w:t>
      </w:r>
      <w:r>
        <w:rPr>
          <w:rFonts w:ascii="宋体" w:hAnsi="宋体" w:eastAsia="宋体"/>
          <w:color w:val="auto"/>
          <w:spacing w:val="2"/>
          <w:highlight w:val="none"/>
          <w:u w:val="single"/>
        </w:rPr>
        <w:t xml:space="preserve">                     </w:t>
      </w:r>
      <w:r>
        <w:rPr>
          <w:rFonts w:ascii="宋体" w:hAnsi="宋体" w:eastAsia="宋体"/>
          <w:color w:val="auto"/>
          <w:spacing w:val="2"/>
          <w:highlight w:val="none"/>
        </w:rPr>
        <w:t>(投标人名称)的法定代表人，现</w:t>
      </w:r>
      <w:r>
        <w:rPr>
          <w:rFonts w:ascii="宋体" w:hAnsi="宋体" w:eastAsia="宋体"/>
          <w:color w:val="auto"/>
          <w:highlight w:val="none"/>
        </w:rPr>
        <w:t xml:space="preserve"> </w:t>
      </w:r>
      <w:r>
        <w:rPr>
          <w:rFonts w:ascii="宋体" w:hAnsi="宋体" w:eastAsia="宋体"/>
          <w:color w:val="auto"/>
          <w:spacing w:val="4"/>
          <w:highlight w:val="none"/>
        </w:rPr>
        <w:t>委托</w:t>
      </w:r>
      <w:r>
        <w:rPr>
          <w:rFonts w:ascii="宋体" w:hAnsi="宋体" w:eastAsia="宋体"/>
          <w:color w:val="auto"/>
          <w:spacing w:val="4"/>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(姓名)为我方代理人。代理人根据授权，以我方名义签署、澄清确认、递</w:t>
      </w:r>
      <w:r>
        <w:rPr>
          <w:rFonts w:ascii="宋体" w:hAnsi="宋体" w:eastAsia="宋体"/>
          <w:color w:val="auto"/>
          <w:highlight w:val="none"/>
        </w:rPr>
        <w:t xml:space="preserve"> </w:t>
      </w:r>
      <w:r>
        <w:rPr>
          <w:rFonts w:ascii="宋体" w:hAnsi="宋体" w:eastAsia="宋体"/>
          <w:color w:val="auto"/>
          <w:spacing w:val="-1"/>
          <w:highlight w:val="none"/>
        </w:rPr>
        <w:t>交、撤回、修改设计招标项目投标文件、签订合同和处理有关事宜，其法律后果由我</w:t>
      </w:r>
      <w:r>
        <w:rPr>
          <w:rFonts w:ascii="宋体" w:hAnsi="宋体" w:eastAsia="宋体"/>
          <w:color w:val="auto"/>
          <w:highlight w:val="none"/>
        </w:rPr>
        <w:t xml:space="preserve">方承担。 </w:t>
      </w:r>
      <w:r>
        <w:rPr>
          <w:rFonts w:ascii="宋体" w:hAnsi="宋体" w:eastAsia="宋体"/>
          <w:color w:val="auto"/>
          <w:spacing w:val="-6"/>
          <w:highlight w:val="none"/>
        </w:rPr>
        <w:t>委托期限：</w:t>
      </w:r>
      <w:r>
        <w:rPr>
          <w:rFonts w:ascii="宋体" w:hAnsi="宋体" w:eastAsia="宋体"/>
          <w:color w:val="auto"/>
          <w:spacing w:val="-6"/>
          <w:highlight w:val="none"/>
          <w:u w:val="single"/>
        </w:rPr>
        <w:t xml:space="preserve">  </w:t>
      </w:r>
      <w:r>
        <w:rPr>
          <w:rFonts w:ascii="宋体" w:hAnsi="宋体" w:eastAsia="宋体"/>
          <w:color w:val="auto"/>
          <w:spacing w:val="-5"/>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spacing w:val="-3"/>
          <w:highlight w:val="none"/>
        </w:rPr>
        <w:t>。</w:t>
      </w:r>
    </w:p>
    <w:p w14:paraId="64DAFB17">
      <w:pPr>
        <w:spacing w:before="68" w:line="387" w:lineRule="auto"/>
        <w:ind w:left="0" w:right="2" w:firstLine="421"/>
        <w:rPr>
          <w:rFonts w:ascii="宋体" w:hAnsi="宋体" w:eastAsia="宋体" w:cs="Times New Roman"/>
          <w:color w:val="auto"/>
          <w:spacing w:val="-1"/>
          <w:highlight w:val="none"/>
        </w:rPr>
      </w:pPr>
      <w:r>
        <w:rPr>
          <w:rFonts w:ascii="宋体" w:hAnsi="宋体" w:eastAsia="宋体" w:cs="Times New Roman"/>
          <w:color w:val="auto"/>
          <w:spacing w:val="-1"/>
          <w:highlight w:val="none"/>
        </w:rPr>
        <w:t>代理人无转委托权。</w:t>
      </w:r>
      <w:r>
        <w:rPr>
          <w:rFonts w:hint="default" w:ascii="宋体" w:hAnsi="宋体" w:eastAsia="宋体" w:cs="Times New Roman"/>
          <w:color w:val="auto"/>
          <w:spacing w:val="-1"/>
          <w:highlight w:val="none"/>
        </w:rPr>
        <w:t>代理人为投标人正式职工，必须具有</w:t>
      </w:r>
      <w:r>
        <w:rPr>
          <w:rFonts w:hint="default" w:ascii="宋体" w:hAnsi="宋体" w:eastAsia="宋体"/>
          <w:color w:val="auto"/>
          <w:spacing w:val="-1"/>
          <w:highlight w:val="none"/>
        </w:rPr>
        <w:t>投标人为其缴纳在本投标单位购买的2025年</w:t>
      </w:r>
      <w:r>
        <w:rPr>
          <w:rFonts w:hint="eastAsia" w:ascii="宋体" w:hAnsi="宋体" w:eastAsia="宋体"/>
          <w:color w:val="auto"/>
          <w:spacing w:val="-1"/>
          <w:highlight w:val="none"/>
          <w:lang w:val="en-US" w:eastAsia="zh-CN"/>
        </w:rPr>
        <w:t>3</w:t>
      </w:r>
      <w:r>
        <w:rPr>
          <w:rFonts w:hint="default" w:ascii="宋体" w:hAnsi="宋体" w:eastAsia="宋体"/>
          <w:color w:val="auto"/>
          <w:spacing w:val="-1"/>
          <w:highlight w:val="none"/>
        </w:rPr>
        <w:t>月的</w:t>
      </w:r>
      <w:r>
        <w:rPr>
          <w:rFonts w:hint="default" w:ascii="宋体" w:hAnsi="宋体" w:eastAsia="宋体" w:cs="Times New Roman"/>
          <w:color w:val="auto"/>
          <w:spacing w:val="-1"/>
          <w:highlight w:val="none"/>
        </w:rPr>
        <w:t>社保证明文件。</w:t>
      </w:r>
    </w:p>
    <w:p w14:paraId="21A44D62">
      <w:pPr>
        <w:spacing w:line="280" w:lineRule="auto"/>
        <w:rPr>
          <w:color w:val="auto"/>
          <w:highlight w:val="none"/>
        </w:rPr>
      </w:pPr>
    </w:p>
    <w:p w14:paraId="741CD0A3">
      <w:pPr>
        <w:spacing w:line="281" w:lineRule="auto"/>
        <w:rPr>
          <w:color w:val="auto"/>
          <w:highlight w:val="none"/>
        </w:rPr>
      </w:pPr>
    </w:p>
    <w:p w14:paraId="1F88A40E">
      <w:pPr>
        <w:spacing w:line="280" w:lineRule="auto"/>
        <w:rPr>
          <w:color w:val="auto"/>
          <w:highlight w:val="none"/>
        </w:rPr>
      </w:pPr>
    </w:p>
    <w:p w14:paraId="511FFF83">
      <w:pPr>
        <w:spacing w:before="69" w:line="220" w:lineRule="auto"/>
        <w:ind w:right="251"/>
        <w:jc w:val="right"/>
        <w:rPr>
          <w:rFonts w:ascii="宋体" w:hAnsi="宋体" w:eastAsia="宋体"/>
          <w:color w:val="auto"/>
          <w:spacing w:val="-2"/>
          <w:highlight w:val="none"/>
        </w:rPr>
      </w:pPr>
      <w:r>
        <w:rPr>
          <w:rFonts w:ascii="宋体" w:hAnsi="宋体" w:eastAsia="宋体"/>
          <w:color w:val="auto"/>
          <w:spacing w:val="-2"/>
          <w:highlight w:val="none"/>
        </w:rPr>
        <w:t>投  标  人：</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w:t>
      </w:r>
      <w:r>
        <w:rPr>
          <w:rFonts w:ascii="宋体" w:hAnsi="宋体" w:eastAsia="宋体"/>
          <w:color w:val="auto"/>
          <w:spacing w:val="-1"/>
          <w:highlight w:val="none"/>
        </w:rPr>
        <w:t>章</w:t>
      </w:r>
      <w:r>
        <w:rPr>
          <w:rFonts w:ascii="宋体" w:hAnsi="宋体" w:eastAsia="宋体"/>
          <w:color w:val="auto"/>
          <w:highlight w:val="none"/>
        </w:rPr>
        <w:t>)</w:t>
      </w:r>
    </w:p>
    <w:p w14:paraId="3482FD77">
      <w:pPr>
        <w:spacing w:line="278" w:lineRule="auto"/>
        <w:rPr>
          <w:color w:val="auto"/>
          <w:highlight w:val="none"/>
        </w:rPr>
      </w:pPr>
    </w:p>
    <w:p w14:paraId="03949D5C">
      <w:pPr>
        <w:spacing w:line="279" w:lineRule="auto"/>
        <w:rPr>
          <w:color w:val="auto"/>
          <w:highlight w:val="none"/>
        </w:rPr>
      </w:pPr>
    </w:p>
    <w:p w14:paraId="74DDFDC8">
      <w:pPr>
        <w:spacing w:before="70" w:line="219" w:lineRule="auto"/>
        <w:ind w:left="2692"/>
        <w:rPr>
          <w:rFonts w:ascii="宋体" w:hAnsi="宋体" w:eastAsia="宋体"/>
          <w:color w:val="auto"/>
          <w:spacing w:val="-4"/>
          <w:highlight w:val="none"/>
        </w:rPr>
      </w:pPr>
      <w:r>
        <w:rPr>
          <w:rFonts w:ascii="宋体" w:hAnsi="宋体" w:eastAsia="宋体"/>
          <w:color w:val="auto"/>
          <w:spacing w:val="-4"/>
          <w:highlight w:val="none"/>
        </w:rPr>
        <w:t>法定代表人：</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(签字</w:t>
      </w:r>
      <w:r>
        <w:rPr>
          <w:rFonts w:hint="eastAsia" w:ascii="宋体" w:hAnsi="宋体" w:eastAsia="宋体"/>
          <w:color w:val="auto"/>
          <w:spacing w:val="-2"/>
          <w:highlight w:val="none"/>
        </w:rPr>
        <w:t>或盖章</w:t>
      </w:r>
      <w:r>
        <w:rPr>
          <w:rFonts w:ascii="宋体" w:hAnsi="宋体" w:eastAsia="宋体"/>
          <w:color w:val="auto"/>
          <w:spacing w:val="-2"/>
          <w:highlight w:val="none"/>
        </w:rPr>
        <w:t>)</w:t>
      </w:r>
    </w:p>
    <w:p w14:paraId="61E9F720">
      <w:pPr>
        <w:spacing w:line="280" w:lineRule="auto"/>
        <w:rPr>
          <w:color w:val="auto"/>
          <w:highlight w:val="none"/>
        </w:rPr>
      </w:pPr>
    </w:p>
    <w:p w14:paraId="14A468DA">
      <w:pPr>
        <w:spacing w:line="280" w:lineRule="auto"/>
        <w:rPr>
          <w:color w:val="auto"/>
          <w:highlight w:val="none"/>
        </w:rPr>
      </w:pPr>
    </w:p>
    <w:p w14:paraId="1BB73882">
      <w:pPr>
        <w:spacing w:before="68" w:line="220" w:lineRule="auto"/>
        <w:ind w:left="2698"/>
        <w:rPr>
          <w:rFonts w:ascii="宋体" w:hAnsi="宋体" w:eastAsia="宋体"/>
          <w:color w:val="auto"/>
          <w:spacing w:val="-28"/>
          <w:highlight w:val="none"/>
        </w:rPr>
      </w:pPr>
      <w:r>
        <w:rPr>
          <w:rFonts w:ascii="宋体" w:hAnsi="宋体" w:eastAsia="宋体"/>
          <w:color w:val="auto"/>
          <w:spacing w:val="-28"/>
          <w:highlight w:val="none"/>
        </w:rPr>
        <w:t>身份证号码：</w:t>
      </w:r>
      <w:r>
        <w:rPr>
          <w:rFonts w:ascii="宋体" w:hAnsi="宋体" w:eastAsia="宋体"/>
          <w:color w:val="auto"/>
          <w:highlight w:val="none"/>
          <w:u w:val="single"/>
        </w:rPr>
        <w:t xml:space="preserve">                                           </w:t>
      </w:r>
    </w:p>
    <w:p w14:paraId="5C2D95C4">
      <w:pPr>
        <w:spacing w:line="278" w:lineRule="auto"/>
        <w:rPr>
          <w:color w:val="auto"/>
          <w:highlight w:val="none"/>
        </w:rPr>
      </w:pPr>
    </w:p>
    <w:p w14:paraId="2609F209">
      <w:pPr>
        <w:spacing w:line="278" w:lineRule="auto"/>
        <w:rPr>
          <w:color w:val="auto"/>
          <w:highlight w:val="none"/>
        </w:rPr>
      </w:pPr>
    </w:p>
    <w:p w14:paraId="19E632FE">
      <w:pPr>
        <w:spacing w:before="70" w:line="217" w:lineRule="auto"/>
        <w:ind w:right="249"/>
        <w:jc w:val="right"/>
        <w:rPr>
          <w:rFonts w:ascii="宋体" w:hAnsi="宋体" w:eastAsia="宋体"/>
          <w:color w:val="auto"/>
          <w:spacing w:val="-2"/>
          <w:highlight w:val="none"/>
        </w:rPr>
      </w:pPr>
      <w:r>
        <w:rPr>
          <w:rFonts w:ascii="宋体" w:hAnsi="宋体" w:eastAsia="宋体"/>
          <w:color w:val="auto"/>
          <w:spacing w:val="-2"/>
          <w:highlight w:val="none"/>
        </w:rPr>
        <w:t>委托代理人：</w:t>
      </w:r>
      <w:r>
        <w:rPr>
          <w:rFonts w:ascii="宋体" w:hAnsi="宋体" w:eastAsia="宋体"/>
          <w:color w:val="auto"/>
          <w:spacing w:val="-2"/>
          <w:highlight w:val="none"/>
          <w:u w:val="single"/>
        </w:rPr>
        <w:t xml:space="preserve">                                    </w:t>
      </w:r>
      <w:r>
        <w:rPr>
          <w:rFonts w:ascii="宋体" w:hAnsi="宋体" w:eastAsia="宋体"/>
          <w:color w:val="auto"/>
          <w:highlight w:val="none"/>
        </w:rPr>
        <w:t>(签字)</w:t>
      </w:r>
    </w:p>
    <w:p w14:paraId="1C4081FD">
      <w:pPr>
        <w:spacing w:line="280" w:lineRule="auto"/>
        <w:rPr>
          <w:color w:val="auto"/>
          <w:highlight w:val="none"/>
        </w:rPr>
      </w:pPr>
    </w:p>
    <w:p w14:paraId="69BEC9CC">
      <w:pPr>
        <w:spacing w:line="281" w:lineRule="auto"/>
        <w:rPr>
          <w:color w:val="auto"/>
          <w:highlight w:val="none"/>
        </w:rPr>
      </w:pPr>
    </w:p>
    <w:p w14:paraId="4F3AE602">
      <w:pPr>
        <w:spacing w:before="69" w:line="220" w:lineRule="auto"/>
        <w:ind w:left="2698"/>
        <w:rPr>
          <w:rFonts w:ascii="宋体" w:hAnsi="宋体" w:eastAsia="宋体"/>
          <w:color w:val="auto"/>
          <w:spacing w:val="-28"/>
          <w:highlight w:val="none"/>
        </w:rPr>
      </w:pPr>
      <w:r>
        <w:rPr>
          <w:rFonts w:ascii="宋体" w:hAnsi="宋体" w:eastAsia="宋体"/>
          <w:color w:val="auto"/>
          <w:spacing w:val="-28"/>
          <w:highlight w:val="none"/>
        </w:rPr>
        <w:t>身份证号码：</w:t>
      </w:r>
      <w:r>
        <w:rPr>
          <w:rFonts w:ascii="宋体" w:hAnsi="宋体" w:eastAsia="宋体"/>
          <w:color w:val="auto"/>
          <w:highlight w:val="none"/>
          <w:u w:val="single"/>
        </w:rPr>
        <w:t xml:space="preserve">                                           </w:t>
      </w:r>
    </w:p>
    <w:p w14:paraId="26D17A5A">
      <w:pPr>
        <w:spacing w:line="248" w:lineRule="auto"/>
        <w:rPr>
          <w:color w:val="auto"/>
          <w:highlight w:val="none"/>
        </w:rPr>
      </w:pPr>
    </w:p>
    <w:p w14:paraId="22349E04">
      <w:pPr>
        <w:spacing w:line="249" w:lineRule="auto"/>
        <w:rPr>
          <w:color w:val="auto"/>
          <w:highlight w:val="none"/>
        </w:rPr>
      </w:pPr>
    </w:p>
    <w:p w14:paraId="5766AD54">
      <w:pPr>
        <w:spacing w:line="249" w:lineRule="auto"/>
        <w:rPr>
          <w:color w:val="auto"/>
          <w:highlight w:val="none"/>
        </w:rPr>
      </w:pPr>
    </w:p>
    <w:p w14:paraId="4E56330C">
      <w:pPr>
        <w:spacing w:line="249" w:lineRule="auto"/>
        <w:rPr>
          <w:color w:val="auto"/>
          <w:highlight w:val="none"/>
        </w:rPr>
      </w:pPr>
    </w:p>
    <w:p w14:paraId="77D3C455">
      <w:pPr>
        <w:tabs>
          <w:tab w:val="left" w:pos="6540"/>
        </w:tabs>
        <w:spacing w:before="68" w:line="220" w:lineRule="auto"/>
        <w:ind w:left="5797"/>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1"/>
          <w:highlight w:val="none"/>
        </w:rPr>
        <w:t>年</w:t>
      </w:r>
      <w:r>
        <w:rPr>
          <w:rFonts w:ascii="宋体" w:hAnsi="宋体" w:eastAsia="宋体"/>
          <w:color w:val="auto"/>
          <w:spacing w:val="-1"/>
          <w:highlight w:val="none"/>
          <w:u w:val="single"/>
        </w:rPr>
        <w:t xml:space="preserve">       </w:t>
      </w:r>
      <w:r>
        <w:rPr>
          <w:rFonts w:ascii="宋体" w:hAnsi="宋体" w:eastAsia="宋体"/>
          <w:color w:val="auto"/>
          <w:spacing w:val="-1"/>
          <w:highlight w:val="none"/>
        </w:rPr>
        <w:t>月</w:t>
      </w:r>
      <w:r>
        <w:rPr>
          <w:rFonts w:ascii="宋体" w:hAnsi="宋体" w:eastAsia="宋体"/>
          <w:color w:val="auto"/>
          <w:highlight w:val="none"/>
          <w:u w:val="single"/>
        </w:rPr>
        <w:t xml:space="preserve">       </w:t>
      </w:r>
      <w:r>
        <w:rPr>
          <w:rFonts w:ascii="宋体" w:hAnsi="宋体" w:eastAsia="宋体"/>
          <w:color w:val="auto"/>
          <w:highlight w:val="none"/>
        </w:rPr>
        <w:t>日</w:t>
      </w:r>
    </w:p>
    <w:p w14:paraId="30F748F9">
      <w:pPr>
        <w:rPr>
          <w:color w:val="auto"/>
          <w:highlight w:val="none"/>
        </w:rPr>
      </w:pPr>
    </w:p>
    <w:p w14:paraId="7ACEF1FB">
      <w:pPr>
        <w:spacing w:before="68" w:line="217" w:lineRule="auto"/>
        <w:ind w:left="17"/>
        <w:rPr>
          <w:rFonts w:ascii="宋体" w:hAnsi="宋体" w:eastAsia="宋体"/>
          <w:color w:val="auto"/>
          <w:spacing w:val="-1"/>
          <w:highlight w:val="none"/>
        </w:rPr>
      </w:pPr>
    </w:p>
    <w:p w14:paraId="3E1722E8">
      <w:pPr>
        <w:spacing w:before="68" w:line="217" w:lineRule="auto"/>
        <w:ind w:left="17"/>
        <w:rPr>
          <w:rFonts w:ascii="宋体" w:hAnsi="宋体" w:eastAsia="宋体"/>
          <w:color w:val="auto"/>
          <w:spacing w:val="-1"/>
          <w:highlight w:val="none"/>
        </w:rPr>
      </w:pPr>
      <w:r>
        <w:rPr>
          <w:rFonts w:ascii="宋体" w:hAnsi="宋体" w:eastAsia="宋体"/>
          <w:color w:val="auto"/>
          <w:spacing w:val="-1"/>
          <w:highlight w:val="none"/>
        </w:rPr>
        <w:t>附：</w:t>
      </w:r>
      <w:r>
        <w:rPr>
          <w:rFonts w:hint="eastAsia"/>
          <w:color w:val="auto"/>
          <w:highlight w:val="none"/>
        </w:rPr>
        <w:t>委托代理人身份证正反面和社保证明扫描件</w:t>
      </w:r>
      <w:r>
        <w:rPr>
          <w:rFonts w:hint="eastAsia" w:eastAsia="宋体"/>
          <w:color w:val="auto"/>
          <w:highlight w:val="none"/>
        </w:rPr>
        <w:t>。</w:t>
      </w:r>
    </w:p>
    <w:p w14:paraId="5D6F42F7">
      <w:pPr>
        <w:rPr>
          <w:color w:val="auto"/>
          <w:highlight w:val="none"/>
        </w:rPr>
        <w:sectPr>
          <w:footerReference r:id="rId24" w:type="default"/>
          <w:pgSz w:w="12240" w:h="15840"/>
          <w:pgMar w:top="1346" w:right="1800" w:bottom="1104" w:left="1807" w:header="0" w:footer="940" w:gutter="0"/>
          <w:cols w:space="720" w:num="1"/>
        </w:sectPr>
      </w:pPr>
    </w:p>
    <w:p w14:paraId="3328263C">
      <w:pPr>
        <w:pStyle w:val="24"/>
        <w:spacing w:before="120" w:after="120"/>
        <w:jc w:val="center"/>
        <w:outlineLvl w:val="9"/>
        <w:rPr>
          <w:rFonts w:ascii="黑体" w:hAnsi="黑体" w:eastAsia="黑体"/>
          <w:strike/>
          <w:color w:val="auto"/>
          <w:spacing w:val="9"/>
          <w:sz w:val="31"/>
          <w:szCs w:val="31"/>
          <w:highlight w:val="none"/>
        </w:rPr>
      </w:pPr>
      <w:bookmarkStart w:id="446" w:name="_Toc23163"/>
      <w:bookmarkStart w:id="447" w:name="_Toc29507"/>
      <w:bookmarkStart w:id="448" w:name="_Toc11767"/>
      <w:bookmarkStart w:id="449" w:name="_Toc23897"/>
      <w:bookmarkStart w:id="450" w:name="_Toc27563"/>
      <w:r>
        <w:rPr>
          <w:rFonts w:ascii="黑体" w:hAnsi="黑体" w:eastAsia="黑体"/>
          <w:strike/>
          <w:color w:val="auto"/>
          <w:spacing w:val="9"/>
          <w:sz w:val="31"/>
          <w:szCs w:val="31"/>
          <w:highlight w:val="none"/>
        </w:rPr>
        <w:t>三、联合体协议</w:t>
      </w:r>
      <w:r>
        <w:rPr>
          <w:rFonts w:ascii="黑体" w:hAnsi="黑体" w:eastAsia="黑体"/>
          <w:strike/>
          <w:color w:val="auto"/>
          <w:spacing w:val="8"/>
          <w:sz w:val="31"/>
          <w:szCs w:val="31"/>
          <w:highlight w:val="none"/>
        </w:rPr>
        <w:t>书</w:t>
      </w:r>
      <w:bookmarkEnd w:id="446"/>
      <w:bookmarkEnd w:id="447"/>
      <w:bookmarkEnd w:id="448"/>
      <w:bookmarkEnd w:id="449"/>
      <w:bookmarkEnd w:id="450"/>
      <w:r>
        <w:rPr>
          <w:rFonts w:hint="eastAsia" w:ascii="黑体" w:hAnsi="黑体" w:eastAsia="黑体"/>
          <w:strike/>
          <w:color w:val="auto"/>
          <w:spacing w:val="8"/>
          <w:sz w:val="31"/>
          <w:szCs w:val="31"/>
          <w:highlight w:val="none"/>
        </w:rPr>
        <w:t>（如有）</w:t>
      </w:r>
    </w:p>
    <w:p w14:paraId="3EC3B431">
      <w:pPr>
        <w:spacing w:line="320" w:lineRule="auto"/>
        <w:rPr>
          <w:color w:val="auto"/>
          <w:highlight w:val="none"/>
        </w:rPr>
      </w:pPr>
    </w:p>
    <w:p w14:paraId="5813A9C0">
      <w:pPr>
        <w:tabs>
          <w:tab w:val="left" w:pos="2210"/>
        </w:tabs>
        <w:spacing w:line="360" w:lineRule="auto"/>
        <w:ind w:left="1" w:right="29" w:firstLine="410"/>
        <w:rPr>
          <w:rFonts w:ascii="宋体" w:hAnsi="宋体" w:eastAsia="宋体"/>
          <w:color w:val="auto"/>
          <w:highlight w:val="none"/>
          <w:u w:val="single"/>
        </w:rPr>
      </w:pPr>
      <w:r>
        <w:rPr>
          <w:rFonts w:hint="eastAsia" w:ascii="宋体" w:hAnsi="宋体" w:eastAsia="宋体"/>
          <w:color w:val="auto"/>
          <w:highlight w:val="none"/>
          <w:u w:val="single"/>
        </w:rPr>
        <w:tab/>
      </w:r>
      <w:r>
        <w:rPr>
          <w:rFonts w:hint="eastAsia" w:ascii="宋体" w:hAnsi="宋体" w:eastAsia="宋体"/>
          <w:color w:val="auto"/>
          <w:spacing w:val="-1"/>
          <w:highlight w:val="none"/>
        </w:rPr>
        <w:t>(所有成员</w:t>
      </w:r>
      <w:r>
        <w:rPr>
          <w:rFonts w:hint="eastAsia" w:ascii="宋体" w:hAnsi="宋体" w:eastAsia="宋体"/>
          <w:color w:val="auto"/>
          <w:highlight w:val="none"/>
        </w:rPr>
        <w:t>单位名称) 自愿组成</w:t>
      </w:r>
      <w:r>
        <w:rPr>
          <w:rFonts w:hint="eastAsia" w:ascii="宋体" w:hAnsi="宋体" w:eastAsia="宋体"/>
          <w:color w:val="auto"/>
          <w:highlight w:val="none"/>
          <w:u w:val="single"/>
        </w:rPr>
        <w:t xml:space="preserve">         </w:t>
      </w:r>
      <w:r>
        <w:rPr>
          <w:rFonts w:hint="eastAsia" w:ascii="宋体" w:hAnsi="宋体" w:eastAsia="宋体"/>
          <w:color w:val="auto"/>
          <w:highlight w:val="none"/>
        </w:rPr>
        <w:t>(联合体名称) 联合体，共同</w:t>
      </w:r>
      <w:r>
        <w:rPr>
          <w:rFonts w:hint="eastAsia" w:ascii="宋体" w:hAnsi="宋体" w:eastAsia="宋体"/>
          <w:color w:val="auto"/>
          <w:spacing w:val="6"/>
          <w:highlight w:val="none"/>
        </w:rPr>
        <w:t>参加</w:t>
      </w:r>
      <w:r>
        <w:rPr>
          <w:rFonts w:hint="eastAsia" w:ascii="宋体" w:hAnsi="宋体" w:eastAsia="宋体"/>
          <w:color w:val="auto"/>
          <w:spacing w:val="6"/>
          <w:highlight w:val="none"/>
          <w:u w:val="single"/>
        </w:rPr>
        <w:t xml:space="preserve">    </w:t>
      </w:r>
      <w:r>
        <w:rPr>
          <w:rFonts w:hint="eastAsia" w:ascii="宋体" w:hAnsi="宋体" w:eastAsia="宋体"/>
          <w:color w:val="auto"/>
          <w:spacing w:val="4"/>
          <w:highlight w:val="none"/>
          <w:u w:val="single"/>
        </w:rPr>
        <w:t xml:space="preserve"> </w:t>
      </w:r>
      <w:r>
        <w:rPr>
          <w:rFonts w:hint="eastAsia" w:ascii="宋体" w:hAnsi="宋体" w:eastAsia="宋体"/>
          <w:color w:val="auto"/>
          <w:spacing w:val="3"/>
          <w:highlight w:val="none"/>
          <w:u w:val="single"/>
        </w:rPr>
        <w:t xml:space="preserve">           </w:t>
      </w:r>
      <w:r>
        <w:rPr>
          <w:rFonts w:hint="eastAsia" w:ascii="宋体" w:hAnsi="宋体" w:eastAsia="宋体"/>
          <w:color w:val="auto"/>
          <w:spacing w:val="3"/>
          <w:highlight w:val="none"/>
        </w:rPr>
        <w:t xml:space="preserve"> (项目名称)招标项目投标。现就联合体投标事宜订立如下协议。</w:t>
      </w:r>
    </w:p>
    <w:p w14:paraId="41A4C44C">
      <w:pPr>
        <w:spacing w:line="360" w:lineRule="auto"/>
        <w:ind w:left="436"/>
        <w:rPr>
          <w:rFonts w:ascii="宋体" w:hAnsi="宋体" w:eastAsia="宋体"/>
          <w:color w:val="auto"/>
          <w:spacing w:val="4"/>
          <w:highlight w:val="none"/>
        </w:rPr>
      </w:pPr>
      <w:r>
        <w:rPr>
          <w:rFonts w:hint="eastAsia" w:ascii="宋体" w:hAnsi="宋体" w:eastAsia="宋体"/>
          <w:color w:val="auto"/>
          <w:spacing w:val="4"/>
          <w:highlight w:val="none"/>
        </w:rPr>
        <w:t>1.</w:t>
      </w:r>
      <w:r>
        <w:rPr>
          <w:rFonts w:hint="eastAsia" w:ascii="宋体" w:hAnsi="宋体" w:eastAsia="宋体"/>
          <w:color w:val="auto"/>
          <w:spacing w:val="4"/>
          <w:highlight w:val="none"/>
          <w:u w:val="single"/>
        </w:rPr>
        <w:t xml:space="preserve">   </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(某成员单位名称)为</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(联合体名称)主办方。</w:t>
      </w:r>
    </w:p>
    <w:p w14:paraId="281D052B">
      <w:pPr>
        <w:spacing w:line="360" w:lineRule="auto"/>
        <w:ind w:firstLine="416"/>
        <w:rPr>
          <w:rFonts w:ascii="宋体" w:hAnsi="宋体" w:eastAsia="宋体"/>
          <w:color w:val="auto"/>
          <w:spacing w:val="-10"/>
          <w:highlight w:val="none"/>
        </w:rPr>
      </w:pPr>
      <w:r>
        <w:rPr>
          <w:rFonts w:hint="eastAsia" w:ascii="宋体" w:hAnsi="宋体" w:eastAsia="宋体"/>
          <w:color w:val="auto"/>
          <w:spacing w:val="-10"/>
          <w:highlight w:val="none"/>
        </w:rPr>
        <w:t>2</w:t>
      </w:r>
      <w:r>
        <w:rPr>
          <w:rFonts w:hint="eastAsia" w:ascii="宋体" w:hAnsi="宋体" w:eastAsia="宋体"/>
          <w:color w:val="auto"/>
          <w:spacing w:val="-6"/>
          <w:highlight w:val="none"/>
        </w:rPr>
        <w:t>.联合体各成员授权主办方代表联合体参加投标活动，签署文件，提交和接收相关的资料、</w:t>
      </w:r>
      <w:r>
        <w:rPr>
          <w:rFonts w:hint="eastAsia" w:ascii="宋体" w:hAnsi="宋体" w:eastAsia="宋体"/>
          <w:color w:val="auto"/>
          <w:highlight w:val="none"/>
        </w:rPr>
        <w:t xml:space="preserve"> </w:t>
      </w:r>
      <w:r>
        <w:rPr>
          <w:rFonts w:hint="eastAsia" w:ascii="宋体" w:hAnsi="宋体" w:eastAsia="宋体"/>
          <w:color w:val="auto"/>
          <w:spacing w:val="-8"/>
          <w:highlight w:val="none"/>
        </w:rPr>
        <w:t>信息及指示</w:t>
      </w:r>
      <w:r>
        <w:rPr>
          <w:rFonts w:hint="eastAsia" w:ascii="宋体" w:hAnsi="宋体" w:eastAsia="宋体"/>
          <w:color w:val="auto"/>
          <w:spacing w:val="-7"/>
          <w:highlight w:val="none"/>
        </w:rPr>
        <w:t>，</w:t>
      </w:r>
      <w:r>
        <w:rPr>
          <w:rFonts w:hint="eastAsia" w:ascii="宋体" w:hAnsi="宋体" w:eastAsia="宋体"/>
          <w:color w:val="auto"/>
          <w:spacing w:val="-4"/>
          <w:highlight w:val="none"/>
        </w:rPr>
        <w:t>进行合同谈判活动，负责合同实施阶段的组织和协调工作，以及处理与本招标项</w:t>
      </w:r>
      <w:r>
        <w:rPr>
          <w:rFonts w:hint="eastAsia" w:ascii="宋体" w:hAnsi="宋体" w:eastAsia="宋体"/>
          <w:color w:val="auto"/>
          <w:highlight w:val="none"/>
        </w:rPr>
        <w:t xml:space="preserve"> </w:t>
      </w:r>
      <w:r>
        <w:rPr>
          <w:rFonts w:hint="eastAsia" w:ascii="宋体" w:hAnsi="宋体" w:eastAsia="宋体"/>
          <w:color w:val="auto"/>
          <w:spacing w:val="-6"/>
          <w:highlight w:val="none"/>
        </w:rPr>
        <w:t>目有</w:t>
      </w:r>
      <w:r>
        <w:rPr>
          <w:rFonts w:hint="eastAsia" w:ascii="宋体" w:hAnsi="宋体" w:eastAsia="宋体"/>
          <w:color w:val="auto"/>
          <w:spacing w:val="-4"/>
          <w:highlight w:val="none"/>
        </w:rPr>
        <w:t>关</w:t>
      </w:r>
      <w:r>
        <w:rPr>
          <w:rFonts w:hint="eastAsia" w:ascii="宋体" w:hAnsi="宋体" w:eastAsia="宋体"/>
          <w:color w:val="auto"/>
          <w:spacing w:val="-3"/>
          <w:highlight w:val="none"/>
        </w:rPr>
        <w:t>的一切事宜。</w:t>
      </w:r>
    </w:p>
    <w:p w14:paraId="47D4E16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3.联合体主办方在本项目中签署的一切文件和处理的一切事宜，联合体各成员均予以承 认。联合体各成员将严格按照招标文件、投标文件和合同的要求全面履行义务，并向招标人承担连带责任。</w:t>
      </w:r>
    </w:p>
    <w:p w14:paraId="332D877C">
      <w:pPr>
        <w:spacing w:line="360" w:lineRule="auto"/>
        <w:ind w:right="70" w:firstLine="420"/>
        <w:rPr>
          <w:rFonts w:ascii="宋体" w:hAnsi="宋体" w:eastAsia="宋体"/>
          <w:color w:val="auto"/>
          <w:spacing w:val="8"/>
          <w:highlight w:val="none"/>
        </w:rPr>
      </w:pPr>
      <w:r>
        <w:rPr>
          <w:rFonts w:hint="eastAsia" w:ascii="宋体" w:hAnsi="宋体" w:eastAsia="宋体"/>
          <w:color w:val="auto"/>
          <w:spacing w:val="8"/>
          <w:highlight w:val="none"/>
        </w:rPr>
        <w:t>4.</w:t>
      </w:r>
      <w:r>
        <w:rPr>
          <w:rFonts w:hint="eastAsia" w:ascii="宋体" w:hAnsi="宋体" w:eastAsia="宋体"/>
          <w:color w:val="auto"/>
          <w:spacing w:val="-4"/>
          <w:highlight w:val="none"/>
        </w:rPr>
        <w:t>联合体各成员单位内部的</w:t>
      </w:r>
      <w:r>
        <w:rPr>
          <w:rFonts w:hint="eastAsia" w:ascii="宋体" w:hAnsi="宋体" w:eastAsia="宋体"/>
          <w:color w:val="auto"/>
          <w:spacing w:val="-3"/>
          <w:highlight w:val="none"/>
        </w:rPr>
        <w:t>职</w:t>
      </w:r>
      <w:r>
        <w:rPr>
          <w:rFonts w:hint="eastAsia" w:ascii="宋体" w:hAnsi="宋体" w:eastAsia="宋体"/>
          <w:color w:val="auto"/>
          <w:spacing w:val="-2"/>
          <w:highlight w:val="none"/>
        </w:rPr>
        <w:t>责分工如下：</w:t>
      </w:r>
      <w:r>
        <w:rPr>
          <w:rFonts w:hint="eastAsia" w:ascii="宋体" w:hAnsi="宋体" w:eastAsia="宋体"/>
          <w:color w:val="auto"/>
          <w:spacing w:val="-2"/>
          <w:highlight w:val="none"/>
          <w:u w:val="single"/>
        </w:rPr>
        <w:t xml:space="preserve">                </w:t>
      </w:r>
      <w:r>
        <w:rPr>
          <w:rFonts w:hint="eastAsia" w:ascii="宋体" w:hAnsi="宋体" w:eastAsia="宋体"/>
          <w:color w:val="auto"/>
          <w:spacing w:val="8"/>
          <w:highlight w:val="none"/>
        </w:rPr>
        <w:t>。</w:t>
      </w:r>
    </w:p>
    <w:p w14:paraId="7A3ADC2E">
      <w:pPr>
        <w:spacing w:line="360" w:lineRule="auto"/>
        <w:ind w:right="70" w:firstLine="420"/>
        <w:rPr>
          <w:rFonts w:ascii="宋体" w:hAnsi="宋体" w:eastAsia="宋体"/>
          <w:color w:val="auto"/>
          <w:spacing w:val="-6"/>
          <w:highlight w:val="none"/>
        </w:rPr>
      </w:pPr>
      <w:r>
        <w:rPr>
          <w:rFonts w:hint="eastAsia" w:ascii="宋体" w:hAnsi="宋体" w:eastAsia="宋体"/>
          <w:color w:val="auto"/>
          <w:spacing w:val="-6"/>
          <w:highlight w:val="none"/>
        </w:rPr>
        <w:t>5.</w:t>
      </w:r>
      <w:r>
        <w:rPr>
          <w:rFonts w:hint="eastAsia" w:ascii="宋体" w:hAnsi="宋体" w:eastAsia="宋体"/>
          <w:color w:val="auto"/>
          <w:spacing w:val="-3"/>
          <w:highlight w:val="none"/>
        </w:rPr>
        <w:t>本协议书自所有成员单位法定代表人或其委托代理人签字或盖单位章之日起生效， 合同</w:t>
      </w:r>
      <w:r>
        <w:rPr>
          <w:rFonts w:hint="eastAsia" w:ascii="宋体" w:hAnsi="宋体" w:eastAsia="宋体"/>
          <w:color w:val="auto"/>
          <w:spacing w:val="-6"/>
          <w:highlight w:val="none"/>
        </w:rPr>
        <w:t>履行</w:t>
      </w:r>
      <w:r>
        <w:rPr>
          <w:rFonts w:hint="eastAsia" w:ascii="宋体" w:hAnsi="宋体" w:eastAsia="宋体"/>
          <w:color w:val="auto"/>
          <w:spacing w:val="-5"/>
          <w:highlight w:val="none"/>
        </w:rPr>
        <w:t>完</w:t>
      </w:r>
      <w:r>
        <w:rPr>
          <w:rFonts w:hint="eastAsia" w:ascii="宋体" w:hAnsi="宋体" w:eastAsia="宋体"/>
          <w:color w:val="auto"/>
          <w:spacing w:val="-3"/>
          <w:highlight w:val="none"/>
        </w:rPr>
        <w:t>毕后自动失效。</w:t>
      </w:r>
    </w:p>
    <w:p w14:paraId="6990B4F2">
      <w:pPr>
        <w:spacing w:line="360" w:lineRule="auto"/>
        <w:ind w:right="70" w:firstLine="420"/>
        <w:rPr>
          <w:rFonts w:ascii="宋体" w:hAnsi="宋体" w:eastAsia="宋体"/>
          <w:color w:val="auto"/>
          <w:spacing w:val="-6"/>
          <w:highlight w:val="none"/>
        </w:rPr>
      </w:pPr>
      <w:bookmarkStart w:id="451" w:name="_Toc14217"/>
      <w:bookmarkStart w:id="452" w:name="_Toc9934"/>
      <w:bookmarkStart w:id="453" w:name="_Toc16142"/>
      <w:bookmarkStart w:id="454" w:name="_Toc29005"/>
      <w:bookmarkStart w:id="455" w:name="_Toc21878"/>
      <w:bookmarkStart w:id="456" w:name="_Toc10851"/>
      <w:r>
        <w:rPr>
          <w:rFonts w:hint="eastAsia" w:ascii="宋体" w:hAnsi="宋体" w:eastAsia="宋体"/>
          <w:color w:val="auto"/>
          <w:spacing w:val="-6"/>
          <w:highlight w:val="none"/>
        </w:rPr>
        <w:t>6.本协议书一式</w:t>
      </w:r>
      <w:r>
        <w:rPr>
          <w:rFonts w:hint="eastAsia" w:ascii="宋体" w:hAnsi="宋体" w:eastAsia="宋体"/>
          <w:color w:val="auto"/>
          <w:spacing w:val="-6"/>
          <w:highlight w:val="none"/>
          <w:u w:val="single"/>
        </w:rPr>
        <w:t xml:space="preserve"> </w:t>
      </w:r>
      <w:r>
        <w:rPr>
          <w:rFonts w:ascii="宋体" w:hAnsi="宋体" w:eastAsia="宋体"/>
          <w:color w:val="auto"/>
          <w:spacing w:val="-6"/>
          <w:highlight w:val="none"/>
          <w:u w:val="single"/>
        </w:rPr>
        <w:t xml:space="preserve"> </w:t>
      </w:r>
      <w:r>
        <w:rPr>
          <w:rFonts w:hint="eastAsia" w:ascii="宋体" w:hAnsi="宋体" w:eastAsia="宋体"/>
          <w:color w:val="auto"/>
          <w:spacing w:val="-6"/>
          <w:highlight w:val="none"/>
          <w:u w:val="single"/>
        </w:rPr>
        <w:t xml:space="preserve">叁 </w:t>
      </w:r>
      <w:r>
        <w:rPr>
          <w:rFonts w:hint="eastAsia" w:ascii="宋体" w:hAnsi="宋体" w:eastAsia="宋体"/>
          <w:color w:val="auto"/>
          <w:spacing w:val="-6"/>
          <w:highlight w:val="none"/>
        </w:rPr>
        <w:t>份，联合体成员及招标人各执一份。</w:t>
      </w:r>
      <w:bookmarkEnd w:id="451"/>
      <w:bookmarkEnd w:id="452"/>
      <w:bookmarkEnd w:id="453"/>
      <w:bookmarkEnd w:id="454"/>
      <w:bookmarkEnd w:id="455"/>
      <w:bookmarkEnd w:id="456"/>
    </w:p>
    <w:p w14:paraId="2E339DFF">
      <w:pPr>
        <w:spacing w:line="360" w:lineRule="auto"/>
        <w:rPr>
          <w:rFonts w:ascii="宋体" w:hAnsi="宋体" w:eastAsia="宋体"/>
          <w:color w:val="auto"/>
          <w:highlight w:val="none"/>
        </w:rPr>
      </w:pPr>
    </w:p>
    <w:p w14:paraId="1835F28D">
      <w:pPr>
        <w:spacing w:line="360" w:lineRule="auto"/>
        <w:ind w:right="327"/>
        <w:jc w:val="right"/>
        <w:rPr>
          <w:rFonts w:ascii="宋体" w:hAnsi="宋体" w:eastAsia="宋体"/>
          <w:color w:val="auto"/>
          <w:highlight w:val="none"/>
        </w:rPr>
      </w:pPr>
      <w:r>
        <w:rPr>
          <w:rFonts w:hint="eastAsia" w:ascii="宋体" w:hAnsi="宋体" w:eastAsia="宋体"/>
          <w:color w:val="auto"/>
          <w:spacing w:val="-4"/>
          <w:highlight w:val="none"/>
        </w:rPr>
        <w:t>联合体主办方名称：</w:t>
      </w:r>
      <w:r>
        <w:rPr>
          <w:rFonts w:hint="eastAsia" w:ascii="宋体" w:hAnsi="宋体" w:eastAsia="宋体"/>
          <w:color w:val="auto"/>
          <w:spacing w:val="-4"/>
          <w:highlight w:val="none"/>
          <w:u w:val="single"/>
        </w:rPr>
        <w:t xml:space="preserve">        </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(盖单位章)</w:t>
      </w:r>
      <w:r>
        <w:rPr>
          <w:rFonts w:hint="eastAsia" w:ascii="宋体" w:hAnsi="宋体" w:eastAsia="宋体"/>
          <w:color w:val="auto"/>
          <w:highlight w:val="none"/>
        </w:rPr>
        <w:t xml:space="preserve"> </w:t>
      </w:r>
    </w:p>
    <w:p w14:paraId="27BB4155">
      <w:pPr>
        <w:spacing w:line="360" w:lineRule="auto"/>
        <w:ind w:right="327"/>
        <w:jc w:val="right"/>
        <w:rPr>
          <w:rFonts w:ascii="宋体" w:hAnsi="宋体" w:eastAsia="宋体"/>
          <w:color w:val="auto"/>
          <w:spacing w:val="-4"/>
          <w:highlight w:val="none"/>
        </w:rPr>
      </w:pPr>
      <w:r>
        <w:rPr>
          <w:rFonts w:hint="eastAsia" w:ascii="宋体" w:hAnsi="宋体" w:eastAsia="宋体"/>
          <w:color w:val="auto"/>
          <w:spacing w:val="-4"/>
          <w:highlight w:val="none"/>
        </w:rPr>
        <w:t>法定代表人：</w:t>
      </w:r>
      <w:r>
        <w:rPr>
          <w:rFonts w:hint="eastAsia" w:ascii="宋体" w:hAnsi="宋体" w:eastAsia="宋体"/>
          <w:color w:val="auto"/>
          <w:spacing w:val="-4"/>
          <w:highlight w:val="none"/>
          <w:u w:val="single"/>
        </w:rPr>
        <w:t xml:space="preserve">                 </w:t>
      </w:r>
      <w:r>
        <w:rPr>
          <w:rFonts w:hint="eastAsia" w:ascii="宋体" w:hAnsi="宋体" w:eastAsia="宋体"/>
          <w:color w:val="auto"/>
          <w:spacing w:val="-4"/>
          <w:highlight w:val="none"/>
        </w:rPr>
        <w:t>(签字或盖章</w:t>
      </w:r>
      <w:r>
        <w:rPr>
          <w:rFonts w:hint="eastAsia" w:ascii="宋体" w:hAnsi="宋体" w:eastAsia="宋体"/>
          <w:color w:val="auto"/>
          <w:spacing w:val="-1"/>
          <w:highlight w:val="none"/>
        </w:rPr>
        <w:t>)</w:t>
      </w:r>
    </w:p>
    <w:p w14:paraId="60AFA48E">
      <w:pPr>
        <w:spacing w:line="360" w:lineRule="auto"/>
        <w:jc w:val="right"/>
        <w:rPr>
          <w:rFonts w:ascii="宋体" w:hAnsi="宋体" w:eastAsia="宋体"/>
          <w:color w:val="auto"/>
          <w:highlight w:val="none"/>
        </w:rPr>
      </w:pPr>
    </w:p>
    <w:p w14:paraId="3BD8A4DA">
      <w:pPr>
        <w:spacing w:line="360" w:lineRule="auto"/>
        <w:ind w:right="327"/>
        <w:jc w:val="right"/>
        <w:rPr>
          <w:rFonts w:ascii="宋体" w:hAnsi="宋体" w:eastAsia="宋体"/>
          <w:color w:val="auto"/>
          <w:highlight w:val="none"/>
        </w:rPr>
      </w:pPr>
      <w:r>
        <w:rPr>
          <w:rFonts w:hint="eastAsia" w:ascii="宋体" w:hAnsi="宋体" w:eastAsia="宋体"/>
          <w:color w:val="auto"/>
          <w:spacing w:val="-4"/>
          <w:highlight w:val="none"/>
        </w:rPr>
        <w:t>联合体成员名称：</w:t>
      </w:r>
      <w:r>
        <w:rPr>
          <w:rFonts w:hint="eastAsia" w:ascii="宋体" w:hAnsi="宋体" w:eastAsia="宋体"/>
          <w:color w:val="auto"/>
          <w:spacing w:val="-4"/>
          <w:highlight w:val="none"/>
          <w:u w:val="single"/>
        </w:rPr>
        <w:t xml:space="preserve">        </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(盖单位章)</w:t>
      </w:r>
      <w:r>
        <w:rPr>
          <w:rFonts w:hint="eastAsia" w:ascii="宋体" w:hAnsi="宋体" w:eastAsia="宋体"/>
          <w:color w:val="auto"/>
          <w:highlight w:val="none"/>
        </w:rPr>
        <w:t xml:space="preserve"> </w:t>
      </w:r>
    </w:p>
    <w:p w14:paraId="29B01CAD">
      <w:pPr>
        <w:spacing w:line="360" w:lineRule="auto"/>
        <w:ind w:right="327"/>
        <w:jc w:val="right"/>
        <w:rPr>
          <w:rFonts w:ascii="宋体" w:hAnsi="宋体" w:eastAsia="宋体"/>
          <w:color w:val="auto"/>
          <w:spacing w:val="-4"/>
          <w:highlight w:val="none"/>
        </w:rPr>
      </w:pPr>
      <w:r>
        <w:rPr>
          <w:rFonts w:hint="eastAsia" w:ascii="宋体" w:hAnsi="宋体" w:eastAsia="宋体"/>
          <w:color w:val="auto"/>
          <w:spacing w:val="-8"/>
          <w:highlight w:val="none"/>
        </w:rPr>
        <w:t>法定</w:t>
      </w:r>
      <w:r>
        <w:rPr>
          <w:rFonts w:hint="eastAsia" w:ascii="宋体" w:hAnsi="宋体" w:eastAsia="宋体"/>
          <w:color w:val="auto"/>
          <w:spacing w:val="-7"/>
          <w:highlight w:val="none"/>
        </w:rPr>
        <w:t>代</w:t>
      </w:r>
      <w:r>
        <w:rPr>
          <w:rFonts w:hint="eastAsia" w:ascii="宋体" w:hAnsi="宋体" w:eastAsia="宋体"/>
          <w:color w:val="auto"/>
          <w:spacing w:val="-4"/>
          <w:highlight w:val="none"/>
        </w:rPr>
        <w:t>表人：</w:t>
      </w:r>
      <w:r>
        <w:rPr>
          <w:rFonts w:hint="eastAsia" w:ascii="宋体" w:hAnsi="宋体" w:eastAsia="宋体"/>
          <w:color w:val="auto"/>
          <w:spacing w:val="-4"/>
          <w:highlight w:val="none"/>
          <w:u w:val="single"/>
        </w:rPr>
        <w:t xml:space="preserve">           </w:t>
      </w:r>
      <w:r>
        <w:rPr>
          <w:rFonts w:hint="eastAsia" w:ascii="宋体" w:hAnsi="宋体" w:eastAsia="宋体"/>
          <w:color w:val="auto"/>
          <w:spacing w:val="-4"/>
          <w:highlight w:val="none"/>
        </w:rPr>
        <w:t>(签字或盖章)</w:t>
      </w:r>
    </w:p>
    <w:p w14:paraId="6C95BC9F">
      <w:pPr>
        <w:spacing w:line="360" w:lineRule="auto"/>
        <w:rPr>
          <w:rFonts w:ascii="宋体" w:hAnsi="宋体" w:eastAsia="宋体"/>
          <w:color w:val="auto"/>
          <w:highlight w:val="none"/>
        </w:rPr>
      </w:pPr>
    </w:p>
    <w:p w14:paraId="10123FC5">
      <w:pPr>
        <w:spacing w:line="360" w:lineRule="auto"/>
        <w:rPr>
          <w:rFonts w:ascii="宋体" w:hAnsi="宋体" w:eastAsia="宋体"/>
          <w:color w:val="auto"/>
          <w:highlight w:val="none"/>
        </w:rPr>
      </w:pPr>
    </w:p>
    <w:p w14:paraId="2F740C79">
      <w:pPr>
        <w:tabs>
          <w:tab w:val="left" w:pos="4407"/>
        </w:tabs>
        <w:spacing w:line="360" w:lineRule="auto"/>
        <w:ind w:left="3663"/>
        <w:rPr>
          <w:rFonts w:ascii="宋体" w:hAnsi="宋体" w:eastAsia="宋体"/>
          <w:color w:val="auto"/>
          <w:highlight w:val="none"/>
          <w:u w:val="single"/>
        </w:rPr>
      </w:pPr>
      <w:r>
        <w:rPr>
          <w:rFonts w:hint="eastAsia" w:ascii="宋体" w:hAnsi="宋体" w:eastAsia="宋体"/>
          <w:color w:val="auto"/>
          <w:highlight w:val="none"/>
          <w:u w:val="single"/>
        </w:rPr>
        <w:tab/>
      </w:r>
      <w:r>
        <w:rPr>
          <w:rFonts w:hint="eastAsia" w:ascii="宋体" w:hAnsi="宋体" w:eastAsia="宋体"/>
          <w:color w:val="auto"/>
          <w:spacing w:val="3"/>
          <w:highlight w:val="none"/>
        </w:rPr>
        <w:t>年</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月</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日</w:t>
      </w:r>
    </w:p>
    <w:p w14:paraId="4D504124">
      <w:pPr>
        <w:spacing w:line="360" w:lineRule="auto"/>
        <w:rPr>
          <w:rFonts w:ascii="宋体" w:hAnsi="宋体" w:eastAsia="宋体"/>
          <w:color w:val="auto"/>
          <w:highlight w:val="none"/>
        </w:rPr>
        <w:sectPr>
          <w:footerReference r:id="rId25" w:type="default"/>
          <w:pgSz w:w="12240" w:h="15840"/>
          <w:pgMar w:top="1346" w:right="1836" w:bottom="1104" w:left="1836" w:header="0" w:footer="940" w:gutter="0"/>
          <w:cols w:space="720" w:num="1"/>
        </w:sectPr>
      </w:pPr>
    </w:p>
    <w:p w14:paraId="4B36F8B7">
      <w:pPr>
        <w:spacing w:line="245" w:lineRule="auto"/>
        <w:rPr>
          <w:color w:val="auto"/>
          <w:highlight w:val="none"/>
        </w:rPr>
      </w:pPr>
    </w:p>
    <w:p w14:paraId="0B54C32E">
      <w:pPr>
        <w:pStyle w:val="24"/>
        <w:spacing w:before="120" w:after="120"/>
        <w:jc w:val="center"/>
        <w:outlineLvl w:val="9"/>
        <w:rPr>
          <w:rFonts w:ascii="黑体" w:hAnsi="黑体" w:eastAsia="黑体"/>
          <w:strike/>
          <w:color w:val="auto"/>
          <w:spacing w:val="11"/>
          <w:sz w:val="31"/>
          <w:szCs w:val="31"/>
          <w:highlight w:val="none"/>
        </w:rPr>
      </w:pPr>
      <w:bookmarkStart w:id="457" w:name="_Toc24451"/>
      <w:bookmarkStart w:id="458" w:name="_Toc18191"/>
      <w:bookmarkStart w:id="459" w:name="_Toc28678"/>
      <w:bookmarkStart w:id="460" w:name="_Toc14508"/>
      <w:bookmarkStart w:id="461" w:name="_Toc8141"/>
      <w:r>
        <w:rPr>
          <w:rFonts w:ascii="黑体" w:hAnsi="黑体" w:eastAsia="黑体"/>
          <w:strike/>
          <w:color w:val="auto"/>
          <w:spacing w:val="11"/>
          <w:sz w:val="31"/>
          <w:szCs w:val="31"/>
          <w:highlight w:val="none"/>
        </w:rPr>
        <w:t>四</w:t>
      </w:r>
      <w:r>
        <w:rPr>
          <w:rFonts w:ascii="黑体" w:hAnsi="黑体" w:eastAsia="黑体"/>
          <w:strike/>
          <w:color w:val="auto"/>
          <w:spacing w:val="6"/>
          <w:sz w:val="31"/>
          <w:szCs w:val="31"/>
          <w:highlight w:val="none"/>
        </w:rPr>
        <w:t>、投标保证金</w:t>
      </w:r>
      <w:bookmarkEnd w:id="457"/>
      <w:bookmarkEnd w:id="458"/>
      <w:bookmarkEnd w:id="459"/>
      <w:bookmarkEnd w:id="460"/>
      <w:bookmarkEnd w:id="461"/>
    </w:p>
    <w:p w14:paraId="059845CD">
      <w:pPr>
        <w:spacing w:line="319" w:lineRule="auto"/>
        <w:rPr>
          <w:color w:val="auto"/>
          <w:highlight w:val="none"/>
        </w:rPr>
      </w:pPr>
    </w:p>
    <w:p w14:paraId="24096C50">
      <w:pPr>
        <w:spacing w:line="320" w:lineRule="auto"/>
        <w:rPr>
          <w:color w:val="auto"/>
          <w:highlight w:val="none"/>
        </w:rPr>
      </w:pPr>
    </w:p>
    <w:p w14:paraId="18F816DA">
      <w:pPr>
        <w:spacing w:line="360" w:lineRule="auto"/>
        <w:ind w:left="416" w:leftChars="198" w:firstLine="3"/>
        <w:rPr>
          <w:rFonts w:ascii="宋体" w:hAnsi="宋体"/>
          <w:color w:val="auto"/>
          <w:highlight w:val="none"/>
          <w:u w:val="single"/>
          <w:lang w:bidi="ar"/>
        </w:rPr>
      </w:pPr>
    </w:p>
    <w:p w14:paraId="6938DFB6">
      <w:pPr>
        <w:spacing w:line="360" w:lineRule="auto"/>
        <w:rPr>
          <w:rFonts w:ascii="宋体" w:hAnsi="宋体"/>
          <w:color w:val="auto"/>
          <w:highlight w:val="none"/>
          <w:u w:val="single"/>
          <w:lang w:bidi="ar"/>
        </w:rPr>
        <w:sectPr>
          <w:footerReference r:id="rId26" w:type="default"/>
          <w:pgSz w:w="12240" w:h="15840"/>
          <w:pgMar w:top="1346" w:right="1797" w:bottom="1104" w:left="1800" w:header="0" w:footer="940" w:gutter="0"/>
          <w:cols w:space="720" w:num="1"/>
        </w:sectPr>
      </w:pPr>
    </w:p>
    <w:p w14:paraId="6A4C97CD">
      <w:pPr>
        <w:spacing w:line="245" w:lineRule="auto"/>
        <w:rPr>
          <w:color w:val="auto"/>
          <w:highlight w:val="none"/>
        </w:rPr>
      </w:pPr>
    </w:p>
    <w:p w14:paraId="51F2CA09">
      <w:pPr>
        <w:pStyle w:val="24"/>
        <w:spacing w:before="120" w:after="120"/>
        <w:jc w:val="center"/>
        <w:outlineLvl w:val="9"/>
        <w:rPr>
          <w:rFonts w:ascii="黑体" w:hAnsi="黑体" w:eastAsia="黑体"/>
          <w:color w:val="auto"/>
          <w:spacing w:val="13"/>
          <w:sz w:val="31"/>
          <w:szCs w:val="31"/>
          <w:highlight w:val="none"/>
        </w:rPr>
      </w:pPr>
      <w:bookmarkStart w:id="462" w:name="_Toc13037"/>
      <w:bookmarkStart w:id="463" w:name="_Toc18526"/>
      <w:bookmarkStart w:id="464" w:name="_Toc30528"/>
      <w:bookmarkStart w:id="465" w:name="_Toc7200"/>
      <w:bookmarkStart w:id="466" w:name="_Toc10176"/>
      <w:r>
        <w:rPr>
          <w:rFonts w:ascii="黑体" w:hAnsi="黑体" w:eastAsia="黑体"/>
          <w:color w:val="auto"/>
          <w:spacing w:val="13"/>
          <w:sz w:val="31"/>
          <w:szCs w:val="31"/>
          <w:highlight w:val="none"/>
        </w:rPr>
        <w:t>五</w:t>
      </w:r>
      <w:r>
        <w:rPr>
          <w:rFonts w:ascii="黑体" w:hAnsi="黑体" w:eastAsia="黑体"/>
          <w:color w:val="auto"/>
          <w:spacing w:val="8"/>
          <w:sz w:val="31"/>
          <w:szCs w:val="31"/>
          <w:highlight w:val="none"/>
        </w:rPr>
        <w:t>、</w:t>
      </w:r>
      <w:r>
        <w:rPr>
          <w:rFonts w:hint="eastAsia" w:ascii="黑体" w:hAnsi="黑体" w:eastAsia="黑体"/>
          <w:color w:val="auto"/>
          <w:spacing w:val="8"/>
          <w:sz w:val="31"/>
          <w:szCs w:val="31"/>
          <w:highlight w:val="none"/>
        </w:rPr>
        <w:t>勘察</w:t>
      </w:r>
      <w:r>
        <w:rPr>
          <w:rFonts w:ascii="黑体" w:hAnsi="黑体" w:eastAsia="黑体"/>
          <w:color w:val="auto"/>
          <w:spacing w:val="8"/>
          <w:sz w:val="31"/>
          <w:szCs w:val="31"/>
          <w:highlight w:val="none"/>
        </w:rPr>
        <w:t>费</w:t>
      </w:r>
      <w:r>
        <w:rPr>
          <w:rFonts w:hint="eastAsia" w:ascii="黑体" w:hAnsi="黑体" w:eastAsia="黑体"/>
          <w:color w:val="auto"/>
          <w:spacing w:val="8"/>
          <w:sz w:val="31"/>
          <w:szCs w:val="31"/>
          <w:highlight w:val="none"/>
        </w:rPr>
        <w:t>报价表</w:t>
      </w:r>
      <w:bookmarkEnd w:id="462"/>
      <w:bookmarkEnd w:id="463"/>
      <w:bookmarkEnd w:id="464"/>
      <w:bookmarkEnd w:id="465"/>
      <w:bookmarkEnd w:id="466"/>
    </w:p>
    <w:p w14:paraId="1314AB6C">
      <w:pPr>
        <w:spacing w:line="320" w:lineRule="auto"/>
        <w:rPr>
          <w:color w:val="auto"/>
          <w:highlight w:val="none"/>
        </w:rPr>
      </w:pPr>
    </w:p>
    <w:p w14:paraId="1185A787">
      <w:pPr>
        <w:spacing w:line="320" w:lineRule="auto"/>
        <w:rPr>
          <w:color w:val="auto"/>
          <w:highlight w:val="none"/>
        </w:rPr>
      </w:pPr>
    </w:p>
    <w:p w14:paraId="05C64238">
      <w:pPr>
        <w:spacing w:line="360" w:lineRule="auto"/>
        <w:jc w:val="center"/>
        <w:rPr>
          <w:rFonts w:ascii="宋体" w:hAnsi="宋体"/>
          <w:b/>
          <w:color w:val="auto"/>
          <w:sz w:val="30"/>
          <w:szCs w:val="30"/>
          <w:highlight w:val="none"/>
        </w:rPr>
      </w:pPr>
      <w:r>
        <w:rPr>
          <w:rFonts w:hint="eastAsia" w:ascii="宋体" w:hAnsi="宋体" w:eastAsia="宋体"/>
          <w:b/>
          <w:color w:val="auto"/>
          <w:sz w:val="30"/>
          <w:szCs w:val="30"/>
          <w:highlight w:val="none"/>
          <w:lang w:eastAsia="zh-CN"/>
        </w:rPr>
        <w:t>勘察费</w:t>
      </w:r>
      <w:r>
        <w:rPr>
          <w:rFonts w:hint="eastAsia" w:ascii="宋体" w:hAnsi="宋体"/>
          <w:b/>
          <w:color w:val="auto"/>
          <w:sz w:val="30"/>
          <w:szCs w:val="30"/>
          <w:highlight w:val="none"/>
        </w:rPr>
        <w:t>报价表</w:t>
      </w:r>
    </w:p>
    <w:p w14:paraId="2200E832">
      <w:pPr>
        <w:spacing w:after="120" w:line="540" w:lineRule="atLeast"/>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18"/>
        <w:tblpPr w:leftFromText="180" w:rightFromText="180" w:vertAnchor="text" w:horzAnchor="page" w:tblpX="833" w:tblpY="720"/>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2370"/>
        <w:gridCol w:w="1894"/>
        <w:gridCol w:w="1279"/>
        <w:gridCol w:w="2304"/>
        <w:gridCol w:w="10"/>
        <w:gridCol w:w="1085"/>
      </w:tblGrid>
      <w:tr w14:paraId="4F9D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3" w:hRule="atLeast"/>
        </w:trPr>
        <w:tc>
          <w:tcPr>
            <w:tcW w:w="698" w:type="dxa"/>
            <w:vAlign w:val="center"/>
          </w:tcPr>
          <w:p w14:paraId="22D3D832">
            <w:pPr>
              <w:jc w:val="center"/>
              <w:rPr>
                <w:color w:val="auto"/>
                <w:highlight w:val="none"/>
              </w:rPr>
            </w:pPr>
            <w:r>
              <w:rPr>
                <w:rFonts w:hint="eastAsia"/>
                <w:color w:val="auto"/>
                <w:highlight w:val="none"/>
              </w:rPr>
              <w:t>序号</w:t>
            </w:r>
          </w:p>
        </w:tc>
        <w:tc>
          <w:tcPr>
            <w:tcW w:w="2370" w:type="dxa"/>
            <w:vAlign w:val="center"/>
          </w:tcPr>
          <w:p w14:paraId="256D7F6F">
            <w:pPr>
              <w:jc w:val="center"/>
              <w:rPr>
                <w:color w:val="auto"/>
                <w:highlight w:val="none"/>
              </w:rPr>
            </w:pPr>
            <w:r>
              <w:rPr>
                <w:rFonts w:hint="eastAsia"/>
                <w:color w:val="auto"/>
                <w:highlight w:val="none"/>
              </w:rPr>
              <w:t>项目费用名称</w:t>
            </w:r>
          </w:p>
        </w:tc>
        <w:tc>
          <w:tcPr>
            <w:tcW w:w="1894" w:type="dxa"/>
            <w:vAlign w:val="center"/>
          </w:tcPr>
          <w:p w14:paraId="570EC9B5">
            <w:pPr>
              <w:jc w:val="center"/>
              <w:rPr>
                <w:color w:val="auto"/>
                <w:highlight w:val="none"/>
              </w:rPr>
            </w:pPr>
            <w:r>
              <w:rPr>
                <w:rFonts w:hint="eastAsia"/>
                <w:color w:val="auto"/>
                <w:highlight w:val="none"/>
              </w:rPr>
              <w:t>费用（元）</w:t>
            </w:r>
          </w:p>
        </w:tc>
        <w:tc>
          <w:tcPr>
            <w:tcW w:w="1279" w:type="dxa"/>
            <w:vAlign w:val="center"/>
          </w:tcPr>
          <w:p w14:paraId="448DDE87">
            <w:pPr>
              <w:jc w:val="center"/>
              <w:rPr>
                <w:color w:val="auto"/>
                <w:highlight w:val="none"/>
              </w:rPr>
            </w:pPr>
            <w:r>
              <w:rPr>
                <w:rFonts w:hint="eastAsia"/>
                <w:color w:val="auto"/>
                <w:highlight w:val="none"/>
              </w:rPr>
              <w:t>投标下浮率</w:t>
            </w:r>
          </w:p>
        </w:tc>
        <w:tc>
          <w:tcPr>
            <w:tcW w:w="2304" w:type="dxa"/>
            <w:vAlign w:val="center"/>
          </w:tcPr>
          <w:p w14:paraId="2D66CEA7">
            <w:pPr>
              <w:jc w:val="center"/>
              <w:rPr>
                <w:color w:val="auto"/>
                <w:highlight w:val="none"/>
              </w:rPr>
            </w:pPr>
            <w:r>
              <w:rPr>
                <w:rFonts w:hint="eastAsia"/>
                <w:color w:val="auto"/>
                <w:highlight w:val="none"/>
              </w:rPr>
              <w:t>投标报价（元）</w:t>
            </w:r>
          </w:p>
          <w:p w14:paraId="5F8020FA">
            <w:pPr>
              <w:jc w:val="center"/>
              <w:rPr>
                <w:color w:val="auto"/>
                <w:highlight w:val="none"/>
              </w:rPr>
            </w:pPr>
            <w:r>
              <w:rPr>
                <w:rFonts w:hint="eastAsia"/>
                <w:color w:val="auto"/>
                <w:highlight w:val="none"/>
              </w:rPr>
              <w:t>（下浮后费用）</w:t>
            </w:r>
          </w:p>
        </w:tc>
        <w:tc>
          <w:tcPr>
            <w:tcW w:w="1095" w:type="dxa"/>
            <w:gridSpan w:val="2"/>
            <w:vAlign w:val="center"/>
          </w:tcPr>
          <w:p w14:paraId="4934F40A">
            <w:pPr>
              <w:jc w:val="center"/>
              <w:rPr>
                <w:color w:val="auto"/>
                <w:highlight w:val="none"/>
              </w:rPr>
            </w:pPr>
            <w:r>
              <w:rPr>
                <w:rFonts w:hint="eastAsia"/>
                <w:color w:val="auto"/>
                <w:highlight w:val="none"/>
              </w:rPr>
              <w:t>备注</w:t>
            </w:r>
          </w:p>
        </w:tc>
      </w:tr>
      <w:tr w14:paraId="2C20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2" w:hRule="atLeast"/>
        </w:trPr>
        <w:tc>
          <w:tcPr>
            <w:tcW w:w="698" w:type="dxa"/>
            <w:vAlign w:val="center"/>
          </w:tcPr>
          <w:p w14:paraId="2C431D3F">
            <w:pPr>
              <w:jc w:val="center"/>
              <w:rPr>
                <w:bCs/>
                <w:color w:val="auto"/>
                <w:highlight w:val="none"/>
              </w:rPr>
            </w:pPr>
            <w:r>
              <w:rPr>
                <w:rFonts w:hint="eastAsia"/>
                <w:bCs/>
                <w:color w:val="auto"/>
                <w:highlight w:val="none"/>
              </w:rPr>
              <w:t>1</w:t>
            </w:r>
          </w:p>
        </w:tc>
        <w:tc>
          <w:tcPr>
            <w:tcW w:w="2370" w:type="dxa"/>
            <w:vAlign w:val="center"/>
          </w:tcPr>
          <w:p w14:paraId="5AD022FA">
            <w:pPr>
              <w:ind w:firstLine="0" w:firstLineChars="0"/>
              <w:rPr>
                <w:color w:val="auto"/>
                <w:highlight w:val="none"/>
              </w:rPr>
            </w:pPr>
            <w:r>
              <w:rPr>
                <w:rFonts w:hint="eastAsia"/>
                <w:color w:val="auto"/>
                <w:highlight w:val="none"/>
              </w:rPr>
              <w:t>勘察费</w:t>
            </w:r>
          </w:p>
        </w:tc>
        <w:tc>
          <w:tcPr>
            <w:tcW w:w="1894" w:type="dxa"/>
            <w:vAlign w:val="center"/>
          </w:tcPr>
          <w:p w14:paraId="4C3A9475">
            <w:pPr>
              <w:jc w:val="center"/>
              <w:rPr>
                <w:rFonts w:hint="eastAsia" w:eastAsiaTheme="minorEastAsia"/>
                <w:bCs/>
                <w:color w:val="auto"/>
                <w:highlight w:val="none"/>
                <w:lang w:eastAsia="zh-CN"/>
              </w:rPr>
            </w:pPr>
            <w:r>
              <w:rPr>
                <w:rFonts w:hint="eastAsia" w:eastAsiaTheme="minorEastAsia"/>
                <w:bCs/>
                <w:color w:val="auto"/>
                <w:highlight w:val="none"/>
                <w:lang w:eastAsia="zh-CN"/>
              </w:rPr>
              <w:t>8304300</w:t>
            </w:r>
          </w:p>
        </w:tc>
        <w:tc>
          <w:tcPr>
            <w:tcW w:w="1279" w:type="dxa"/>
            <w:vAlign w:val="center"/>
          </w:tcPr>
          <w:p w14:paraId="43B8619A">
            <w:pPr>
              <w:ind w:firstLine="210" w:firstLineChars="100"/>
              <w:rPr>
                <w:bCs/>
                <w:color w:val="auto"/>
                <w:highlight w:val="none"/>
                <w:u w:val="single"/>
              </w:rPr>
            </w:pPr>
            <w:r>
              <w:rPr>
                <w:rFonts w:hint="eastAsia"/>
                <w:bCs/>
                <w:color w:val="auto"/>
                <w:highlight w:val="none"/>
                <w:u w:val="single"/>
              </w:rPr>
              <w:t xml:space="preserve">           </w:t>
            </w:r>
            <w:r>
              <w:rPr>
                <w:rFonts w:hint="eastAsia"/>
                <w:bCs/>
                <w:color w:val="auto"/>
                <w:highlight w:val="none"/>
              </w:rPr>
              <w:t>%</w:t>
            </w:r>
          </w:p>
        </w:tc>
        <w:tc>
          <w:tcPr>
            <w:tcW w:w="2304" w:type="dxa"/>
            <w:vAlign w:val="center"/>
          </w:tcPr>
          <w:p w14:paraId="75047F76">
            <w:pPr>
              <w:jc w:val="center"/>
              <w:rPr>
                <w:bCs/>
                <w:color w:val="auto"/>
                <w:highlight w:val="none"/>
              </w:rPr>
            </w:pPr>
          </w:p>
        </w:tc>
        <w:tc>
          <w:tcPr>
            <w:tcW w:w="1095" w:type="dxa"/>
            <w:gridSpan w:val="2"/>
            <w:vAlign w:val="center"/>
          </w:tcPr>
          <w:p w14:paraId="7EBD693A">
            <w:pPr>
              <w:jc w:val="center"/>
              <w:rPr>
                <w:bCs/>
                <w:color w:val="auto"/>
                <w:highlight w:val="none"/>
              </w:rPr>
            </w:pPr>
          </w:p>
        </w:tc>
      </w:tr>
      <w:tr w14:paraId="3E9C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2" w:hRule="atLeast"/>
        </w:trPr>
        <w:tc>
          <w:tcPr>
            <w:tcW w:w="6241" w:type="dxa"/>
            <w:gridSpan w:val="4"/>
            <w:vAlign w:val="center"/>
          </w:tcPr>
          <w:p w14:paraId="62B709E0">
            <w:pPr>
              <w:jc w:val="center"/>
              <w:rPr>
                <w:color w:val="auto"/>
                <w:highlight w:val="none"/>
              </w:rPr>
            </w:pPr>
            <w:r>
              <w:rPr>
                <w:rFonts w:hint="eastAsia"/>
                <w:color w:val="auto"/>
                <w:highlight w:val="none"/>
              </w:rPr>
              <w:t>合计</w:t>
            </w:r>
            <w:r>
              <w:rPr>
                <w:rFonts w:hint="eastAsia" w:eastAsia="宋体"/>
                <w:color w:val="auto"/>
                <w:highlight w:val="none"/>
              </w:rPr>
              <w:t>（元）</w:t>
            </w:r>
          </w:p>
        </w:tc>
        <w:tc>
          <w:tcPr>
            <w:tcW w:w="2314" w:type="dxa"/>
            <w:gridSpan w:val="2"/>
            <w:vAlign w:val="center"/>
          </w:tcPr>
          <w:p w14:paraId="03041D18">
            <w:pPr>
              <w:jc w:val="center"/>
              <w:rPr>
                <w:color w:val="auto"/>
                <w:highlight w:val="none"/>
              </w:rPr>
            </w:pPr>
          </w:p>
        </w:tc>
        <w:tc>
          <w:tcPr>
            <w:tcW w:w="1085" w:type="dxa"/>
            <w:vAlign w:val="center"/>
          </w:tcPr>
          <w:p w14:paraId="62EE4348">
            <w:pPr>
              <w:jc w:val="center"/>
              <w:rPr>
                <w:color w:val="auto"/>
                <w:highlight w:val="none"/>
              </w:rPr>
            </w:pPr>
          </w:p>
        </w:tc>
      </w:tr>
    </w:tbl>
    <w:p w14:paraId="56CCF3C4">
      <w:pPr>
        <w:ind w:firstLine="360" w:firstLineChars="150"/>
        <w:rPr>
          <w:rFonts w:ascii="宋体" w:hAnsi="宋体"/>
          <w:bCs/>
          <w:color w:val="auto"/>
          <w:sz w:val="24"/>
          <w:highlight w:val="none"/>
        </w:rPr>
      </w:pPr>
    </w:p>
    <w:p w14:paraId="0DB9F76E">
      <w:pPr>
        <w:rPr>
          <w:rFonts w:ascii="宋体" w:hAnsi="宋体" w:eastAsia="宋体"/>
          <w:color w:val="auto"/>
          <w:highlight w:val="none"/>
        </w:rPr>
      </w:pPr>
    </w:p>
    <w:p w14:paraId="0C5147E0">
      <w:pPr>
        <w:rPr>
          <w:rFonts w:ascii="宋体" w:hAnsi="宋体" w:eastAsia="宋体"/>
          <w:color w:val="auto"/>
          <w:highlight w:val="none"/>
        </w:rPr>
      </w:pPr>
      <w:r>
        <w:rPr>
          <w:rFonts w:hint="eastAsia" w:ascii="宋体" w:hAnsi="宋体" w:eastAsia="宋体"/>
          <w:color w:val="auto"/>
          <w:highlight w:val="none"/>
        </w:rPr>
        <w:t>注：1、投标报价填报保留到小数点后</w:t>
      </w:r>
      <w:r>
        <w:rPr>
          <w:rFonts w:hint="eastAsia" w:ascii="宋体" w:hAnsi="宋体" w:eastAsia="宋体"/>
          <w:color w:val="auto"/>
          <w:highlight w:val="none"/>
          <w:u w:val="single"/>
        </w:rPr>
        <w:t>两</w:t>
      </w:r>
      <w:r>
        <w:rPr>
          <w:rFonts w:hint="eastAsia" w:ascii="宋体" w:hAnsi="宋体" w:eastAsia="宋体"/>
          <w:color w:val="auto"/>
          <w:highlight w:val="none"/>
        </w:rPr>
        <w:t>位。</w:t>
      </w:r>
    </w:p>
    <w:p w14:paraId="0269788D">
      <w:pPr>
        <w:ind w:firstLine="420" w:firstLineChars="200"/>
        <w:rPr>
          <w:rFonts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val="zh-CN"/>
        </w:rPr>
        <w:t>投标下浮率以百分比为单位，保留到小数点后</w:t>
      </w:r>
      <w:r>
        <w:rPr>
          <w:rFonts w:hint="eastAsia" w:ascii="宋体" w:hAnsi="宋体" w:eastAsia="宋体"/>
          <w:color w:val="auto"/>
          <w:highlight w:val="none"/>
          <w:u w:val="single"/>
        </w:rPr>
        <w:t>两</w:t>
      </w:r>
      <w:r>
        <w:rPr>
          <w:rFonts w:hint="eastAsia" w:ascii="宋体" w:hAnsi="宋体" w:eastAsia="宋体"/>
          <w:color w:val="auto"/>
          <w:highlight w:val="none"/>
          <w:lang w:val="zh-CN"/>
        </w:rPr>
        <w:t>位。</w:t>
      </w:r>
      <w:r>
        <w:rPr>
          <w:rFonts w:hint="eastAsia" w:ascii="宋体" w:hAnsi="宋体" w:eastAsia="宋体"/>
          <w:color w:val="auto"/>
          <w:highlight w:val="none"/>
        </w:rPr>
        <w:t>投标报价与投标下浮率不符时，以投标下浮率为准修正总价。</w:t>
      </w:r>
    </w:p>
    <w:p w14:paraId="6DE32F53">
      <w:pPr>
        <w:spacing w:line="500" w:lineRule="exact"/>
        <w:ind w:firstLine="3960"/>
        <w:rPr>
          <w:color w:val="auto"/>
          <w:highlight w:val="none"/>
        </w:rPr>
      </w:pPr>
    </w:p>
    <w:p w14:paraId="7FD91118">
      <w:pPr>
        <w:pStyle w:val="24"/>
        <w:spacing w:before="120" w:after="120"/>
        <w:jc w:val="center"/>
        <w:outlineLvl w:val="9"/>
        <w:rPr>
          <w:rFonts w:ascii="黑体" w:hAnsi="黑体" w:eastAsia="黑体"/>
          <w:color w:val="auto"/>
          <w:spacing w:val="11"/>
          <w:sz w:val="31"/>
          <w:szCs w:val="31"/>
          <w:highlight w:val="none"/>
        </w:rPr>
      </w:pPr>
      <w:bookmarkStart w:id="467" w:name="_Toc55"/>
      <w:bookmarkStart w:id="468" w:name="_Toc24354"/>
      <w:bookmarkStart w:id="469" w:name="_Toc11187"/>
      <w:bookmarkStart w:id="470" w:name="_Toc32085"/>
      <w:bookmarkStart w:id="471" w:name="_Toc22077"/>
      <w:r>
        <w:rPr>
          <w:rFonts w:ascii="黑体" w:hAnsi="黑体" w:eastAsia="黑体"/>
          <w:color w:val="auto"/>
          <w:spacing w:val="11"/>
          <w:sz w:val="31"/>
          <w:szCs w:val="31"/>
          <w:highlight w:val="none"/>
        </w:rPr>
        <w:br w:type="page"/>
      </w:r>
      <w:r>
        <w:rPr>
          <w:rFonts w:ascii="黑体" w:hAnsi="黑体" w:eastAsia="黑体"/>
          <w:color w:val="auto"/>
          <w:spacing w:val="11"/>
          <w:sz w:val="31"/>
          <w:szCs w:val="31"/>
          <w:highlight w:val="none"/>
        </w:rPr>
        <w:t>六</w:t>
      </w:r>
      <w:r>
        <w:rPr>
          <w:rFonts w:ascii="黑体" w:hAnsi="黑体" w:eastAsia="黑体"/>
          <w:color w:val="auto"/>
          <w:spacing w:val="8"/>
          <w:sz w:val="31"/>
          <w:szCs w:val="31"/>
          <w:highlight w:val="none"/>
        </w:rPr>
        <w:t>、资格审查资料</w:t>
      </w:r>
      <w:bookmarkEnd w:id="467"/>
      <w:bookmarkEnd w:id="468"/>
      <w:bookmarkEnd w:id="469"/>
      <w:bookmarkEnd w:id="470"/>
      <w:bookmarkEnd w:id="471"/>
    </w:p>
    <w:p w14:paraId="6518C324">
      <w:pPr>
        <w:spacing w:line="255" w:lineRule="auto"/>
        <w:rPr>
          <w:color w:val="auto"/>
          <w:highlight w:val="none"/>
        </w:rPr>
      </w:pPr>
    </w:p>
    <w:p w14:paraId="354371AD">
      <w:pPr>
        <w:rPr>
          <w:rFonts w:ascii="黑体" w:hAnsi="黑体" w:eastAsia="黑体"/>
          <w:color w:val="auto"/>
          <w:spacing w:val="44"/>
          <w:sz w:val="27"/>
          <w:szCs w:val="27"/>
          <w:highlight w:val="none"/>
        </w:rPr>
      </w:pPr>
      <w:bookmarkStart w:id="472" w:name="_Toc4472"/>
      <w:bookmarkStart w:id="473" w:name="_Toc11798"/>
      <w:bookmarkStart w:id="474" w:name="_Toc12157"/>
      <w:bookmarkStart w:id="475" w:name="_Toc11958"/>
      <w:bookmarkStart w:id="476" w:name="_Toc27883"/>
      <w:r>
        <w:rPr>
          <w:rFonts w:ascii="黑体" w:hAnsi="黑体" w:eastAsia="黑体"/>
          <w:color w:val="auto"/>
          <w:spacing w:val="44"/>
          <w:sz w:val="27"/>
          <w:szCs w:val="27"/>
          <w:highlight w:val="none"/>
        </w:rPr>
        <w:t>(</w:t>
      </w:r>
      <w:r>
        <w:rPr>
          <w:rFonts w:ascii="黑体" w:hAnsi="黑体" w:eastAsia="黑体"/>
          <w:color w:val="auto"/>
          <w:spacing w:val="39"/>
          <w:sz w:val="27"/>
          <w:szCs w:val="27"/>
          <w:highlight w:val="none"/>
        </w:rPr>
        <w:t>一)基本情况表</w:t>
      </w:r>
      <w:bookmarkEnd w:id="472"/>
      <w:bookmarkEnd w:id="473"/>
      <w:bookmarkEnd w:id="474"/>
      <w:bookmarkEnd w:id="475"/>
      <w:bookmarkEnd w:id="476"/>
    </w:p>
    <w:p w14:paraId="20EC4DA5">
      <w:pPr>
        <w:rPr>
          <w:color w:val="auto"/>
          <w:highlight w:val="none"/>
        </w:rPr>
      </w:pPr>
    </w:p>
    <w:p w14:paraId="49F4D28D">
      <w:pPr>
        <w:spacing w:line="49" w:lineRule="auto"/>
        <w:rPr>
          <w:color w:val="auto"/>
          <w:sz w:val="2"/>
          <w:highlight w:val="none"/>
        </w:rPr>
      </w:pPr>
    </w:p>
    <w:tbl>
      <w:tblPr>
        <w:tblStyle w:val="18"/>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7"/>
        <w:gridCol w:w="414"/>
        <w:gridCol w:w="872"/>
        <w:gridCol w:w="827"/>
        <w:gridCol w:w="284"/>
        <w:gridCol w:w="1234"/>
      </w:tblGrid>
      <w:tr w14:paraId="1619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14:paraId="6B58434C">
            <w:pPr>
              <w:spacing w:before="174" w:line="221" w:lineRule="auto"/>
              <w:ind w:left="507"/>
              <w:rPr>
                <w:rFonts w:ascii="宋体" w:hAnsi="宋体" w:eastAsia="宋体"/>
                <w:color w:val="auto"/>
                <w:spacing w:val="-2"/>
                <w:highlight w:val="none"/>
              </w:rPr>
            </w:pPr>
            <w:r>
              <w:rPr>
                <w:rFonts w:ascii="宋体" w:hAnsi="宋体" w:eastAsia="宋体"/>
                <w:color w:val="auto"/>
                <w:spacing w:val="-2"/>
                <w:highlight w:val="none"/>
              </w:rPr>
              <w:t>投标人名</w:t>
            </w:r>
            <w:r>
              <w:rPr>
                <w:rFonts w:ascii="宋体" w:hAnsi="宋体" w:eastAsia="宋体"/>
                <w:color w:val="auto"/>
                <w:spacing w:val="-1"/>
                <w:highlight w:val="none"/>
              </w:rPr>
              <w:t>称</w:t>
            </w:r>
          </w:p>
        </w:tc>
        <w:tc>
          <w:tcPr>
            <w:tcW w:w="6840" w:type="dxa"/>
            <w:gridSpan w:val="8"/>
          </w:tcPr>
          <w:p w14:paraId="3453B27B">
            <w:pPr>
              <w:rPr>
                <w:color w:val="auto"/>
                <w:highlight w:val="none"/>
              </w:rPr>
            </w:pPr>
          </w:p>
        </w:tc>
      </w:tr>
      <w:tr w14:paraId="3B98B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tcPr>
          <w:p w14:paraId="00BE78D8">
            <w:pPr>
              <w:spacing w:before="170" w:line="222" w:lineRule="auto"/>
              <w:ind w:left="610"/>
              <w:rPr>
                <w:rFonts w:ascii="宋体" w:hAnsi="宋体" w:eastAsia="宋体"/>
                <w:color w:val="auto"/>
                <w:spacing w:val="-2"/>
                <w:highlight w:val="none"/>
              </w:rPr>
            </w:pPr>
            <w:r>
              <w:rPr>
                <w:rFonts w:ascii="宋体" w:hAnsi="宋体" w:eastAsia="宋体"/>
                <w:color w:val="auto"/>
                <w:spacing w:val="-2"/>
                <w:highlight w:val="none"/>
              </w:rPr>
              <w:t>注册地</w:t>
            </w:r>
            <w:r>
              <w:rPr>
                <w:rFonts w:ascii="宋体" w:hAnsi="宋体" w:eastAsia="宋体"/>
                <w:color w:val="auto"/>
                <w:spacing w:val="-1"/>
                <w:highlight w:val="none"/>
              </w:rPr>
              <w:t>址</w:t>
            </w:r>
          </w:p>
        </w:tc>
        <w:tc>
          <w:tcPr>
            <w:tcW w:w="3209" w:type="dxa"/>
            <w:gridSpan w:val="3"/>
          </w:tcPr>
          <w:p w14:paraId="18426420">
            <w:pPr>
              <w:rPr>
                <w:color w:val="auto"/>
                <w:highlight w:val="none"/>
              </w:rPr>
            </w:pPr>
          </w:p>
        </w:tc>
        <w:tc>
          <w:tcPr>
            <w:tcW w:w="1286" w:type="dxa"/>
            <w:gridSpan w:val="2"/>
          </w:tcPr>
          <w:p w14:paraId="05C8A871">
            <w:pPr>
              <w:spacing w:before="170" w:line="220" w:lineRule="auto"/>
              <w:ind w:left="243"/>
              <w:rPr>
                <w:rFonts w:ascii="宋体" w:hAnsi="宋体" w:eastAsia="宋体"/>
                <w:color w:val="auto"/>
                <w:spacing w:val="-6"/>
                <w:highlight w:val="none"/>
              </w:rPr>
            </w:pPr>
            <w:r>
              <w:rPr>
                <w:rFonts w:ascii="宋体" w:hAnsi="宋体" w:eastAsia="宋体"/>
                <w:color w:val="auto"/>
                <w:spacing w:val="-6"/>
                <w:highlight w:val="none"/>
              </w:rPr>
              <w:t>邮</w:t>
            </w:r>
            <w:r>
              <w:rPr>
                <w:rFonts w:ascii="宋体" w:hAnsi="宋体" w:eastAsia="宋体"/>
                <w:color w:val="auto"/>
                <w:spacing w:val="-4"/>
                <w:highlight w:val="none"/>
              </w:rPr>
              <w:t>政编码</w:t>
            </w:r>
          </w:p>
        </w:tc>
        <w:tc>
          <w:tcPr>
            <w:tcW w:w="2345" w:type="dxa"/>
            <w:gridSpan w:val="3"/>
          </w:tcPr>
          <w:p w14:paraId="32923D4C">
            <w:pPr>
              <w:rPr>
                <w:color w:val="auto"/>
                <w:highlight w:val="none"/>
              </w:rPr>
            </w:pPr>
          </w:p>
        </w:tc>
      </w:tr>
      <w:tr w14:paraId="2D4B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Pr>
          <w:p w14:paraId="2DA43CB4">
            <w:pPr>
              <w:spacing w:line="325" w:lineRule="auto"/>
              <w:rPr>
                <w:color w:val="auto"/>
                <w:highlight w:val="none"/>
              </w:rPr>
            </w:pPr>
          </w:p>
          <w:p w14:paraId="479D5862">
            <w:pPr>
              <w:spacing w:before="68" w:line="220" w:lineRule="auto"/>
              <w:ind w:left="611"/>
              <w:rPr>
                <w:rFonts w:ascii="宋体" w:hAnsi="宋体" w:eastAsia="宋体"/>
                <w:color w:val="auto"/>
                <w:spacing w:val="-2"/>
                <w:highlight w:val="none"/>
              </w:rPr>
            </w:pPr>
            <w:r>
              <w:rPr>
                <w:rFonts w:ascii="宋体" w:hAnsi="宋体" w:eastAsia="宋体"/>
                <w:color w:val="auto"/>
                <w:spacing w:val="-2"/>
                <w:highlight w:val="none"/>
              </w:rPr>
              <w:t>联系方</w:t>
            </w:r>
            <w:r>
              <w:rPr>
                <w:rFonts w:ascii="宋体" w:hAnsi="宋体" w:eastAsia="宋体"/>
                <w:color w:val="auto"/>
                <w:spacing w:val="-1"/>
                <w:highlight w:val="none"/>
              </w:rPr>
              <w:t>式</w:t>
            </w:r>
          </w:p>
        </w:tc>
        <w:tc>
          <w:tcPr>
            <w:tcW w:w="897" w:type="dxa"/>
          </w:tcPr>
          <w:p w14:paraId="43D97526">
            <w:pPr>
              <w:spacing w:before="172" w:line="222" w:lineRule="auto"/>
              <w:ind w:left="138"/>
              <w:rPr>
                <w:rFonts w:ascii="宋体" w:hAnsi="宋体" w:eastAsia="宋体"/>
                <w:color w:val="auto"/>
                <w:spacing w:val="-3"/>
                <w:highlight w:val="none"/>
              </w:rPr>
            </w:pPr>
            <w:r>
              <w:rPr>
                <w:rFonts w:ascii="宋体" w:hAnsi="宋体" w:eastAsia="宋体"/>
                <w:color w:val="auto"/>
                <w:spacing w:val="-3"/>
                <w:highlight w:val="none"/>
              </w:rPr>
              <w:t>联</w:t>
            </w:r>
            <w:r>
              <w:rPr>
                <w:rFonts w:ascii="宋体" w:hAnsi="宋体" w:eastAsia="宋体"/>
                <w:color w:val="auto"/>
                <w:spacing w:val="-2"/>
                <w:highlight w:val="none"/>
              </w:rPr>
              <w:t>系人</w:t>
            </w:r>
          </w:p>
        </w:tc>
        <w:tc>
          <w:tcPr>
            <w:tcW w:w="2312" w:type="dxa"/>
            <w:gridSpan w:val="2"/>
          </w:tcPr>
          <w:p w14:paraId="7CCED867">
            <w:pPr>
              <w:rPr>
                <w:color w:val="auto"/>
                <w:highlight w:val="none"/>
              </w:rPr>
            </w:pPr>
          </w:p>
        </w:tc>
        <w:tc>
          <w:tcPr>
            <w:tcW w:w="1286" w:type="dxa"/>
            <w:gridSpan w:val="2"/>
          </w:tcPr>
          <w:p w14:paraId="6DD43DDF">
            <w:pPr>
              <w:spacing w:before="172" w:line="222" w:lineRule="auto"/>
              <w:ind w:left="411"/>
              <w:rPr>
                <w:rFonts w:ascii="宋体" w:hAnsi="宋体" w:eastAsia="宋体"/>
                <w:color w:val="auto"/>
                <w:spacing w:val="-10"/>
                <w:highlight w:val="none"/>
              </w:rPr>
            </w:pPr>
            <w:r>
              <w:rPr>
                <w:rFonts w:ascii="宋体" w:hAnsi="宋体" w:eastAsia="宋体"/>
                <w:color w:val="auto"/>
                <w:spacing w:val="-10"/>
                <w:highlight w:val="none"/>
              </w:rPr>
              <w:t>电</w:t>
            </w:r>
            <w:r>
              <w:rPr>
                <w:rFonts w:ascii="宋体" w:hAnsi="宋体" w:eastAsia="宋体"/>
                <w:color w:val="auto"/>
                <w:spacing w:val="-8"/>
                <w:highlight w:val="none"/>
              </w:rPr>
              <w:t xml:space="preserve"> 话</w:t>
            </w:r>
          </w:p>
        </w:tc>
        <w:tc>
          <w:tcPr>
            <w:tcW w:w="2345" w:type="dxa"/>
            <w:gridSpan w:val="3"/>
          </w:tcPr>
          <w:p w14:paraId="38852116">
            <w:pPr>
              <w:rPr>
                <w:color w:val="auto"/>
                <w:highlight w:val="none"/>
              </w:rPr>
            </w:pPr>
          </w:p>
        </w:tc>
      </w:tr>
      <w:tr w14:paraId="2CFAC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Pr>
          <w:p w14:paraId="17B5FDDF">
            <w:pPr>
              <w:rPr>
                <w:color w:val="auto"/>
                <w:highlight w:val="none"/>
              </w:rPr>
            </w:pPr>
          </w:p>
        </w:tc>
        <w:tc>
          <w:tcPr>
            <w:tcW w:w="897" w:type="dxa"/>
          </w:tcPr>
          <w:p w14:paraId="5727565E">
            <w:pPr>
              <w:spacing w:before="171" w:line="217" w:lineRule="auto"/>
              <w:ind w:left="135"/>
              <w:rPr>
                <w:rFonts w:ascii="宋体" w:hAnsi="宋体" w:eastAsia="宋体"/>
                <w:color w:val="auto"/>
                <w:spacing w:val="1"/>
                <w:highlight w:val="none"/>
              </w:rPr>
            </w:pPr>
            <w:r>
              <w:rPr>
                <w:rFonts w:ascii="宋体" w:hAnsi="宋体" w:eastAsia="宋体"/>
                <w:color w:val="auto"/>
                <w:spacing w:val="1"/>
                <w:highlight w:val="none"/>
              </w:rPr>
              <w:t>传  真</w:t>
            </w:r>
          </w:p>
        </w:tc>
        <w:tc>
          <w:tcPr>
            <w:tcW w:w="2312" w:type="dxa"/>
            <w:gridSpan w:val="2"/>
          </w:tcPr>
          <w:p w14:paraId="215A47F5">
            <w:pPr>
              <w:rPr>
                <w:color w:val="auto"/>
                <w:highlight w:val="none"/>
              </w:rPr>
            </w:pPr>
          </w:p>
        </w:tc>
        <w:tc>
          <w:tcPr>
            <w:tcW w:w="1286" w:type="dxa"/>
            <w:gridSpan w:val="2"/>
          </w:tcPr>
          <w:p w14:paraId="12DE2B64">
            <w:pPr>
              <w:spacing w:before="171" w:line="225" w:lineRule="auto"/>
              <w:ind w:left="402"/>
              <w:rPr>
                <w:rFonts w:ascii="宋体" w:hAnsi="宋体" w:eastAsia="宋体"/>
                <w:color w:val="auto"/>
                <w:spacing w:val="-7"/>
                <w:highlight w:val="none"/>
              </w:rPr>
            </w:pPr>
            <w:r>
              <w:rPr>
                <w:rFonts w:ascii="宋体" w:hAnsi="宋体" w:eastAsia="宋体"/>
                <w:color w:val="auto"/>
                <w:spacing w:val="-7"/>
                <w:highlight w:val="none"/>
              </w:rPr>
              <w:t>网</w:t>
            </w:r>
            <w:r>
              <w:rPr>
                <w:rFonts w:ascii="宋体" w:hAnsi="宋体" w:eastAsia="宋体"/>
                <w:color w:val="auto"/>
                <w:spacing w:val="-5"/>
                <w:highlight w:val="none"/>
              </w:rPr>
              <w:t xml:space="preserve"> 址</w:t>
            </w:r>
          </w:p>
        </w:tc>
        <w:tc>
          <w:tcPr>
            <w:tcW w:w="2345" w:type="dxa"/>
            <w:gridSpan w:val="3"/>
          </w:tcPr>
          <w:p w14:paraId="0AAE239D">
            <w:pPr>
              <w:rPr>
                <w:color w:val="auto"/>
                <w:highlight w:val="none"/>
              </w:rPr>
            </w:pPr>
          </w:p>
        </w:tc>
      </w:tr>
      <w:tr w14:paraId="78CB8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15D62AFF">
            <w:pPr>
              <w:spacing w:before="171" w:line="219" w:lineRule="auto"/>
              <w:ind w:left="505"/>
              <w:rPr>
                <w:rFonts w:ascii="宋体" w:hAnsi="宋体" w:eastAsia="宋体"/>
                <w:color w:val="auto"/>
                <w:spacing w:val="-2"/>
                <w:highlight w:val="none"/>
              </w:rPr>
            </w:pPr>
            <w:r>
              <w:rPr>
                <w:rFonts w:ascii="宋体" w:hAnsi="宋体" w:eastAsia="宋体"/>
                <w:color w:val="auto"/>
                <w:spacing w:val="-2"/>
                <w:highlight w:val="none"/>
              </w:rPr>
              <w:t>法定代</w:t>
            </w:r>
            <w:r>
              <w:rPr>
                <w:rFonts w:ascii="宋体" w:hAnsi="宋体" w:eastAsia="宋体"/>
                <w:color w:val="auto"/>
                <w:spacing w:val="-1"/>
                <w:highlight w:val="none"/>
              </w:rPr>
              <w:t>表人</w:t>
            </w:r>
          </w:p>
        </w:tc>
        <w:tc>
          <w:tcPr>
            <w:tcW w:w="897" w:type="dxa"/>
          </w:tcPr>
          <w:p w14:paraId="4DF2DC09">
            <w:pPr>
              <w:spacing w:before="171" w:line="220" w:lineRule="auto"/>
              <w:ind w:left="242"/>
              <w:rPr>
                <w:rFonts w:ascii="宋体" w:hAnsi="宋体" w:eastAsia="宋体"/>
                <w:color w:val="auto"/>
                <w:spacing w:val="-3"/>
                <w:highlight w:val="none"/>
              </w:rPr>
            </w:pPr>
            <w:r>
              <w:rPr>
                <w:rFonts w:ascii="宋体" w:hAnsi="宋体" w:eastAsia="宋体"/>
                <w:color w:val="auto"/>
                <w:spacing w:val="-3"/>
                <w:highlight w:val="none"/>
              </w:rPr>
              <w:t>姓</w:t>
            </w:r>
            <w:r>
              <w:rPr>
                <w:rFonts w:ascii="宋体" w:hAnsi="宋体" w:eastAsia="宋体"/>
                <w:color w:val="auto"/>
                <w:spacing w:val="-2"/>
                <w:highlight w:val="none"/>
              </w:rPr>
              <w:t>名</w:t>
            </w:r>
          </w:p>
        </w:tc>
        <w:tc>
          <w:tcPr>
            <w:tcW w:w="1025" w:type="dxa"/>
          </w:tcPr>
          <w:p w14:paraId="4C34568C">
            <w:pPr>
              <w:rPr>
                <w:color w:val="auto"/>
                <w:highlight w:val="none"/>
              </w:rPr>
            </w:pPr>
          </w:p>
        </w:tc>
        <w:tc>
          <w:tcPr>
            <w:tcW w:w="1287" w:type="dxa"/>
          </w:tcPr>
          <w:p w14:paraId="5E9EE49D">
            <w:pPr>
              <w:spacing w:before="171" w:line="220" w:lineRule="auto"/>
              <w:ind w:left="229"/>
              <w:rPr>
                <w:rFonts w:ascii="宋体" w:hAnsi="宋体" w:eastAsia="宋体"/>
                <w:color w:val="auto"/>
                <w:spacing w:val="-2"/>
                <w:highlight w:val="none"/>
              </w:rPr>
            </w:pPr>
            <w:r>
              <w:rPr>
                <w:rFonts w:ascii="宋体" w:hAnsi="宋体" w:eastAsia="宋体"/>
                <w:color w:val="auto"/>
                <w:spacing w:val="-2"/>
                <w:highlight w:val="none"/>
              </w:rPr>
              <w:t>技术职</w:t>
            </w:r>
            <w:r>
              <w:rPr>
                <w:rFonts w:ascii="宋体" w:hAnsi="宋体" w:eastAsia="宋体"/>
                <w:color w:val="auto"/>
                <w:spacing w:val="-1"/>
                <w:highlight w:val="none"/>
              </w:rPr>
              <w:t>称</w:t>
            </w:r>
          </w:p>
        </w:tc>
        <w:tc>
          <w:tcPr>
            <w:tcW w:w="1286" w:type="dxa"/>
            <w:gridSpan w:val="2"/>
          </w:tcPr>
          <w:p w14:paraId="62F769D6">
            <w:pPr>
              <w:rPr>
                <w:color w:val="auto"/>
                <w:highlight w:val="none"/>
              </w:rPr>
            </w:pPr>
          </w:p>
        </w:tc>
        <w:tc>
          <w:tcPr>
            <w:tcW w:w="1111" w:type="dxa"/>
            <w:gridSpan w:val="2"/>
          </w:tcPr>
          <w:p w14:paraId="7DD28BDD">
            <w:pPr>
              <w:spacing w:before="172" w:line="222" w:lineRule="auto"/>
              <w:ind w:left="376"/>
              <w:rPr>
                <w:rFonts w:ascii="宋体" w:hAnsi="宋体" w:eastAsia="宋体"/>
                <w:color w:val="auto"/>
                <w:spacing w:val="-9"/>
                <w:highlight w:val="none"/>
              </w:rPr>
            </w:pPr>
            <w:r>
              <w:rPr>
                <w:rFonts w:ascii="宋体" w:hAnsi="宋体" w:eastAsia="宋体"/>
                <w:color w:val="auto"/>
                <w:spacing w:val="-9"/>
                <w:highlight w:val="none"/>
              </w:rPr>
              <w:t>电</w:t>
            </w:r>
            <w:r>
              <w:rPr>
                <w:rFonts w:ascii="宋体" w:hAnsi="宋体" w:eastAsia="宋体"/>
                <w:color w:val="auto"/>
                <w:spacing w:val="-8"/>
                <w:highlight w:val="none"/>
              </w:rPr>
              <w:t>话</w:t>
            </w:r>
          </w:p>
        </w:tc>
        <w:tc>
          <w:tcPr>
            <w:tcW w:w="1234" w:type="dxa"/>
          </w:tcPr>
          <w:p w14:paraId="64F81D60">
            <w:pPr>
              <w:rPr>
                <w:color w:val="auto"/>
                <w:highlight w:val="none"/>
              </w:rPr>
            </w:pPr>
          </w:p>
        </w:tc>
      </w:tr>
      <w:tr w14:paraId="12D9D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4D729967">
            <w:pPr>
              <w:spacing w:before="172" w:line="217" w:lineRule="auto"/>
              <w:ind w:left="505"/>
              <w:rPr>
                <w:rFonts w:ascii="宋体" w:hAnsi="宋体" w:eastAsia="宋体"/>
                <w:color w:val="auto"/>
                <w:spacing w:val="-2"/>
                <w:highlight w:val="none"/>
              </w:rPr>
            </w:pPr>
            <w:r>
              <w:rPr>
                <w:rFonts w:ascii="宋体" w:hAnsi="宋体" w:eastAsia="宋体"/>
                <w:color w:val="auto"/>
                <w:spacing w:val="-2"/>
                <w:highlight w:val="none"/>
              </w:rPr>
              <w:t>技术负</w:t>
            </w:r>
            <w:r>
              <w:rPr>
                <w:rFonts w:ascii="宋体" w:hAnsi="宋体" w:eastAsia="宋体"/>
                <w:color w:val="auto"/>
                <w:spacing w:val="-1"/>
                <w:highlight w:val="none"/>
              </w:rPr>
              <w:t>责人</w:t>
            </w:r>
          </w:p>
        </w:tc>
        <w:tc>
          <w:tcPr>
            <w:tcW w:w="897" w:type="dxa"/>
          </w:tcPr>
          <w:p w14:paraId="0727AE73">
            <w:pPr>
              <w:spacing w:before="171" w:line="220" w:lineRule="auto"/>
              <w:ind w:left="242"/>
              <w:rPr>
                <w:rFonts w:ascii="宋体" w:hAnsi="宋体" w:eastAsia="宋体"/>
                <w:color w:val="auto"/>
                <w:spacing w:val="-3"/>
                <w:highlight w:val="none"/>
              </w:rPr>
            </w:pPr>
            <w:r>
              <w:rPr>
                <w:rFonts w:ascii="宋体" w:hAnsi="宋体" w:eastAsia="宋体"/>
                <w:color w:val="auto"/>
                <w:spacing w:val="-3"/>
                <w:highlight w:val="none"/>
              </w:rPr>
              <w:t>姓</w:t>
            </w:r>
            <w:r>
              <w:rPr>
                <w:rFonts w:ascii="宋体" w:hAnsi="宋体" w:eastAsia="宋体"/>
                <w:color w:val="auto"/>
                <w:spacing w:val="-2"/>
                <w:highlight w:val="none"/>
              </w:rPr>
              <w:t>名</w:t>
            </w:r>
          </w:p>
        </w:tc>
        <w:tc>
          <w:tcPr>
            <w:tcW w:w="1025" w:type="dxa"/>
          </w:tcPr>
          <w:p w14:paraId="42304B9E">
            <w:pPr>
              <w:rPr>
                <w:color w:val="auto"/>
                <w:highlight w:val="none"/>
              </w:rPr>
            </w:pPr>
          </w:p>
        </w:tc>
        <w:tc>
          <w:tcPr>
            <w:tcW w:w="1287" w:type="dxa"/>
          </w:tcPr>
          <w:p w14:paraId="39152979">
            <w:pPr>
              <w:spacing w:before="171" w:line="220" w:lineRule="auto"/>
              <w:ind w:left="229"/>
              <w:rPr>
                <w:rFonts w:ascii="宋体" w:hAnsi="宋体" w:eastAsia="宋体"/>
                <w:color w:val="auto"/>
                <w:spacing w:val="-2"/>
                <w:highlight w:val="none"/>
              </w:rPr>
            </w:pPr>
            <w:r>
              <w:rPr>
                <w:rFonts w:ascii="宋体" w:hAnsi="宋体" w:eastAsia="宋体"/>
                <w:color w:val="auto"/>
                <w:spacing w:val="-2"/>
                <w:highlight w:val="none"/>
              </w:rPr>
              <w:t>技术职</w:t>
            </w:r>
            <w:r>
              <w:rPr>
                <w:rFonts w:ascii="宋体" w:hAnsi="宋体" w:eastAsia="宋体"/>
                <w:color w:val="auto"/>
                <w:spacing w:val="-1"/>
                <w:highlight w:val="none"/>
              </w:rPr>
              <w:t>称</w:t>
            </w:r>
          </w:p>
        </w:tc>
        <w:tc>
          <w:tcPr>
            <w:tcW w:w="1286" w:type="dxa"/>
            <w:gridSpan w:val="2"/>
          </w:tcPr>
          <w:p w14:paraId="53853A58">
            <w:pPr>
              <w:rPr>
                <w:color w:val="auto"/>
                <w:highlight w:val="none"/>
              </w:rPr>
            </w:pPr>
          </w:p>
        </w:tc>
        <w:tc>
          <w:tcPr>
            <w:tcW w:w="1111" w:type="dxa"/>
            <w:gridSpan w:val="2"/>
          </w:tcPr>
          <w:p w14:paraId="3008D972">
            <w:pPr>
              <w:spacing w:before="172" w:line="222" w:lineRule="auto"/>
              <w:ind w:left="376"/>
              <w:rPr>
                <w:rFonts w:ascii="宋体" w:hAnsi="宋体" w:eastAsia="宋体"/>
                <w:color w:val="auto"/>
                <w:spacing w:val="-9"/>
                <w:highlight w:val="none"/>
              </w:rPr>
            </w:pPr>
            <w:r>
              <w:rPr>
                <w:rFonts w:ascii="宋体" w:hAnsi="宋体" w:eastAsia="宋体"/>
                <w:color w:val="auto"/>
                <w:spacing w:val="-9"/>
                <w:highlight w:val="none"/>
              </w:rPr>
              <w:t>电</w:t>
            </w:r>
            <w:r>
              <w:rPr>
                <w:rFonts w:ascii="宋体" w:hAnsi="宋体" w:eastAsia="宋体"/>
                <w:color w:val="auto"/>
                <w:spacing w:val="-8"/>
                <w:highlight w:val="none"/>
              </w:rPr>
              <w:t>话</w:t>
            </w:r>
          </w:p>
        </w:tc>
        <w:tc>
          <w:tcPr>
            <w:tcW w:w="1234" w:type="dxa"/>
          </w:tcPr>
          <w:p w14:paraId="171E8561">
            <w:pPr>
              <w:rPr>
                <w:color w:val="auto"/>
                <w:highlight w:val="none"/>
              </w:rPr>
            </w:pPr>
          </w:p>
        </w:tc>
      </w:tr>
      <w:tr w14:paraId="5B872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5395A8B8">
            <w:pPr>
              <w:spacing w:before="172" w:line="219" w:lineRule="auto"/>
              <w:ind w:left="193"/>
              <w:rPr>
                <w:rFonts w:ascii="宋体" w:hAnsi="宋体" w:eastAsia="宋体"/>
                <w:color w:val="auto"/>
                <w:spacing w:val="-2"/>
                <w:highlight w:val="none"/>
              </w:rPr>
            </w:pPr>
            <w:r>
              <w:rPr>
                <w:rFonts w:ascii="宋体" w:hAnsi="宋体" w:eastAsia="宋体"/>
                <w:color w:val="auto"/>
                <w:spacing w:val="-2"/>
                <w:highlight w:val="none"/>
              </w:rPr>
              <w:t>企</w:t>
            </w:r>
            <w:r>
              <w:rPr>
                <w:rFonts w:ascii="宋体" w:hAnsi="宋体" w:eastAsia="宋体"/>
                <w:color w:val="auto"/>
                <w:spacing w:val="-1"/>
                <w:highlight w:val="none"/>
              </w:rPr>
              <w:t>业勘察资质证书</w:t>
            </w:r>
          </w:p>
        </w:tc>
        <w:tc>
          <w:tcPr>
            <w:tcW w:w="1922" w:type="dxa"/>
            <w:gridSpan w:val="2"/>
          </w:tcPr>
          <w:p w14:paraId="2DE32A6B">
            <w:pPr>
              <w:spacing w:before="172" w:line="221" w:lineRule="auto"/>
              <w:ind w:left="1063"/>
              <w:rPr>
                <w:rFonts w:ascii="宋体" w:hAnsi="宋体" w:eastAsia="宋体"/>
                <w:color w:val="auto"/>
                <w:spacing w:val="-12"/>
                <w:highlight w:val="none"/>
              </w:rPr>
            </w:pPr>
            <w:r>
              <w:rPr>
                <w:rFonts w:ascii="宋体" w:hAnsi="宋体" w:eastAsia="宋体"/>
                <w:color w:val="auto"/>
                <w:spacing w:val="-12"/>
                <w:highlight w:val="none"/>
              </w:rPr>
              <w:t>类型：</w:t>
            </w:r>
          </w:p>
        </w:tc>
        <w:tc>
          <w:tcPr>
            <w:tcW w:w="4918" w:type="dxa"/>
            <w:gridSpan w:val="6"/>
          </w:tcPr>
          <w:p w14:paraId="0B831041">
            <w:pPr>
              <w:spacing w:before="172" w:line="220" w:lineRule="auto"/>
              <w:ind w:left="1874"/>
              <w:rPr>
                <w:rFonts w:ascii="宋体" w:hAnsi="宋体" w:eastAsia="宋体"/>
                <w:color w:val="auto"/>
                <w:spacing w:val="-10"/>
                <w:highlight w:val="none"/>
              </w:rPr>
            </w:pPr>
            <w:r>
              <w:rPr>
                <w:rFonts w:ascii="宋体" w:hAnsi="宋体" w:eastAsia="宋体"/>
                <w:color w:val="auto"/>
                <w:spacing w:val="-10"/>
                <w:highlight w:val="none"/>
              </w:rPr>
              <w:t>等</w:t>
            </w:r>
            <w:r>
              <w:rPr>
                <w:rFonts w:ascii="宋体" w:hAnsi="宋体" w:eastAsia="宋体"/>
                <w:color w:val="auto"/>
                <w:spacing w:val="-8"/>
                <w:highlight w:val="none"/>
              </w:rPr>
              <w:t>级：       证书号：</w:t>
            </w:r>
          </w:p>
        </w:tc>
      </w:tr>
      <w:tr w14:paraId="05BFF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50" w:type="dxa"/>
          </w:tcPr>
          <w:p w14:paraId="2A38C40A">
            <w:pPr>
              <w:spacing w:before="171" w:line="220" w:lineRule="auto"/>
              <w:ind w:left="191"/>
              <w:rPr>
                <w:rFonts w:ascii="宋体" w:hAnsi="宋体" w:eastAsia="宋体"/>
                <w:color w:val="auto"/>
                <w:spacing w:val="-1"/>
                <w:highlight w:val="none"/>
              </w:rPr>
            </w:pPr>
            <w:r>
              <w:rPr>
                <w:rFonts w:ascii="宋体" w:hAnsi="宋体" w:eastAsia="宋体"/>
                <w:color w:val="auto"/>
                <w:spacing w:val="-1"/>
                <w:highlight w:val="none"/>
              </w:rPr>
              <w:t>质量管理体系证书</w:t>
            </w:r>
          </w:p>
          <w:p w14:paraId="112AA578">
            <w:pPr>
              <w:spacing w:before="189" w:line="221" w:lineRule="auto"/>
              <w:ind w:left="563"/>
              <w:rPr>
                <w:rFonts w:ascii="宋体" w:hAnsi="宋体" w:eastAsia="宋体"/>
                <w:color w:val="auto"/>
                <w:spacing w:val="20"/>
                <w:highlight w:val="none"/>
              </w:rPr>
            </w:pPr>
            <w:r>
              <w:rPr>
                <w:rFonts w:ascii="宋体" w:hAnsi="宋体" w:eastAsia="宋体"/>
                <w:color w:val="auto"/>
                <w:spacing w:val="20"/>
                <w:highlight w:val="none"/>
              </w:rPr>
              <w:t>(</w:t>
            </w:r>
            <w:r>
              <w:rPr>
                <w:rFonts w:ascii="宋体" w:hAnsi="宋体" w:eastAsia="宋体"/>
                <w:color w:val="auto"/>
                <w:spacing w:val="19"/>
                <w:highlight w:val="none"/>
              </w:rPr>
              <w:t>如有)</w:t>
            </w:r>
          </w:p>
        </w:tc>
        <w:tc>
          <w:tcPr>
            <w:tcW w:w="1922" w:type="dxa"/>
            <w:gridSpan w:val="2"/>
          </w:tcPr>
          <w:p w14:paraId="2B3EADF2">
            <w:pPr>
              <w:spacing w:line="321" w:lineRule="auto"/>
              <w:rPr>
                <w:color w:val="auto"/>
                <w:highlight w:val="none"/>
              </w:rPr>
            </w:pPr>
          </w:p>
          <w:p w14:paraId="1B733F4A">
            <w:pPr>
              <w:spacing w:before="68" w:line="220" w:lineRule="auto"/>
              <w:ind w:left="1060"/>
              <w:rPr>
                <w:rFonts w:ascii="宋体" w:hAnsi="宋体" w:eastAsia="宋体"/>
                <w:color w:val="auto"/>
                <w:spacing w:val="-14"/>
                <w:highlight w:val="none"/>
              </w:rPr>
            </w:pPr>
            <w:r>
              <w:rPr>
                <w:rFonts w:ascii="宋体" w:hAnsi="宋体" w:eastAsia="宋体"/>
                <w:color w:val="auto"/>
                <w:spacing w:val="-14"/>
                <w:highlight w:val="none"/>
              </w:rPr>
              <w:t>类</w:t>
            </w:r>
            <w:r>
              <w:rPr>
                <w:rFonts w:ascii="宋体" w:hAnsi="宋体" w:eastAsia="宋体"/>
                <w:color w:val="auto"/>
                <w:spacing w:val="-12"/>
                <w:highlight w:val="none"/>
              </w:rPr>
              <w:t>型：</w:t>
            </w:r>
          </w:p>
        </w:tc>
        <w:tc>
          <w:tcPr>
            <w:tcW w:w="4918" w:type="dxa"/>
            <w:gridSpan w:val="6"/>
          </w:tcPr>
          <w:p w14:paraId="3BE5E234">
            <w:pPr>
              <w:spacing w:line="320" w:lineRule="auto"/>
              <w:rPr>
                <w:color w:val="auto"/>
                <w:highlight w:val="none"/>
              </w:rPr>
            </w:pPr>
          </w:p>
          <w:p w14:paraId="27BFCF6B">
            <w:pPr>
              <w:spacing w:before="68" w:line="220" w:lineRule="auto"/>
              <w:ind w:left="1872"/>
              <w:rPr>
                <w:rFonts w:ascii="宋体" w:hAnsi="宋体" w:eastAsia="宋体"/>
                <w:color w:val="auto"/>
                <w:spacing w:val="-20"/>
                <w:highlight w:val="none"/>
              </w:rPr>
            </w:pPr>
            <w:r>
              <w:rPr>
                <w:rFonts w:ascii="宋体" w:hAnsi="宋体" w:eastAsia="宋体"/>
                <w:color w:val="auto"/>
                <w:spacing w:val="-20"/>
                <w:highlight w:val="none"/>
              </w:rPr>
              <w:t>等</w:t>
            </w:r>
            <w:r>
              <w:rPr>
                <w:rFonts w:ascii="宋体" w:hAnsi="宋体" w:eastAsia="宋体"/>
                <w:color w:val="auto"/>
                <w:spacing w:val="-10"/>
                <w:highlight w:val="none"/>
              </w:rPr>
              <w:t>级：       证书号：</w:t>
            </w:r>
          </w:p>
        </w:tc>
      </w:tr>
      <w:tr w14:paraId="2C34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70B059CE">
            <w:pPr>
              <w:spacing w:before="171" w:line="220" w:lineRule="auto"/>
              <w:ind w:left="511"/>
              <w:rPr>
                <w:rFonts w:ascii="宋体" w:hAnsi="宋体" w:eastAsia="宋体"/>
                <w:color w:val="auto"/>
                <w:spacing w:val="-4"/>
                <w:highlight w:val="none"/>
              </w:rPr>
            </w:pPr>
            <w:r>
              <w:rPr>
                <w:rFonts w:ascii="宋体" w:hAnsi="宋体" w:eastAsia="宋体"/>
                <w:color w:val="auto"/>
                <w:spacing w:val="-4"/>
                <w:highlight w:val="none"/>
              </w:rPr>
              <w:t>营</w:t>
            </w:r>
            <w:r>
              <w:rPr>
                <w:rFonts w:ascii="宋体" w:hAnsi="宋体" w:eastAsia="宋体"/>
                <w:color w:val="auto"/>
                <w:spacing w:val="-2"/>
                <w:highlight w:val="none"/>
              </w:rPr>
              <w:t>业执照号</w:t>
            </w:r>
          </w:p>
        </w:tc>
        <w:tc>
          <w:tcPr>
            <w:tcW w:w="3209" w:type="dxa"/>
            <w:gridSpan w:val="3"/>
          </w:tcPr>
          <w:p w14:paraId="5C71238C">
            <w:pPr>
              <w:rPr>
                <w:color w:val="auto"/>
                <w:highlight w:val="none"/>
              </w:rPr>
            </w:pPr>
          </w:p>
        </w:tc>
        <w:tc>
          <w:tcPr>
            <w:tcW w:w="3631" w:type="dxa"/>
            <w:gridSpan w:val="5"/>
          </w:tcPr>
          <w:p w14:paraId="307D907B">
            <w:pPr>
              <w:spacing w:before="171" w:line="220" w:lineRule="auto"/>
              <w:ind w:left="1197"/>
              <w:rPr>
                <w:rFonts w:ascii="宋体" w:hAnsi="宋体" w:eastAsia="宋体"/>
                <w:color w:val="auto"/>
                <w:spacing w:val="-9"/>
                <w:highlight w:val="none"/>
              </w:rPr>
            </w:pPr>
            <w:r>
              <w:rPr>
                <w:rFonts w:ascii="宋体" w:hAnsi="宋体" w:eastAsia="宋体"/>
                <w:color w:val="auto"/>
                <w:spacing w:val="-9"/>
                <w:highlight w:val="none"/>
              </w:rPr>
              <w:t>员工总人数：</w:t>
            </w:r>
          </w:p>
        </w:tc>
      </w:tr>
      <w:tr w14:paraId="13FE5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5FF06025">
            <w:pPr>
              <w:spacing w:before="170" w:line="219" w:lineRule="auto"/>
              <w:ind w:left="610"/>
              <w:rPr>
                <w:rFonts w:ascii="宋体" w:hAnsi="宋体" w:eastAsia="宋体"/>
                <w:color w:val="auto"/>
                <w:spacing w:val="-2"/>
                <w:highlight w:val="none"/>
              </w:rPr>
            </w:pPr>
            <w:r>
              <w:rPr>
                <w:rFonts w:ascii="宋体" w:hAnsi="宋体" w:eastAsia="宋体"/>
                <w:color w:val="auto"/>
                <w:spacing w:val="-2"/>
                <w:highlight w:val="none"/>
              </w:rPr>
              <w:t>注册资</w:t>
            </w:r>
            <w:r>
              <w:rPr>
                <w:rFonts w:ascii="宋体" w:hAnsi="宋体" w:eastAsia="宋体"/>
                <w:color w:val="auto"/>
                <w:spacing w:val="-1"/>
                <w:highlight w:val="none"/>
              </w:rPr>
              <w:t>本</w:t>
            </w:r>
          </w:p>
        </w:tc>
        <w:tc>
          <w:tcPr>
            <w:tcW w:w="3209" w:type="dxa"/>
            <w:gridSpan w:val="3"/>
          </w:tcPr>
          <w:p w14:paraId="0B4D70A0">
            <w:pPr>
              <w:rPr>
                <w:color w:val="auto"/>
                <w:highlight w:val="none"/>
              </w:rPr>
            </w:pPr>
          </w:p>
        </w:tc>
        <w:tc>
          <w:tcPr>
            <w:tcW w:w="414" w:type="dxa"/>
            <w:vMerge w:val="restart"/>
            <w:textDirection w:val="tbRlV"/>
          </w:tcPr>
          <w:p w14:paraId="61399FC2">
            <w:pPr>
              <w:spacing w:before="94" w:line="205" w:lineRule="auto"/>
              <w:ind w:left="625"/>
              <w:rPr>
                <w:rFonts w:ascii="宋体" w:hAnsi="宋体" w:eastAsia="宋体"/>
                <w:color w:val="auto"/>
                <w:spacing w:val="6"/>
                <w:highlight w:val="none"/>
              </w:rPr>
            </w:pPr>
            <w:r>
              <w:rPr>
                <w:rFonts w:ascii="宋体" w:hAnsi="宋体" w:eastAsia="宋体"/>
                <w:color w:val="auto"/>
                <w:spacing w:val="6"/>
                <w:highlight w:val="none"/>
              </w:rPr>
              <w:t>其</w:t>
            </w:r>
            <w:r>
              <w:rPr>
                <w:rFonts w:ascii="宋体" w:hAnsi="宋体" w:eastAsia="宋体"/>
                <w:color w:val="auto"/>
                <w:spacing w:val="5"/>
                <w:highlight w:val="none"/>
              </w:rPr>
              <w:t xml:space="preserve">  中</w:t>
            </w:r>
          </w:p>
        </w:tc>
        <w:tc>
          <w:tcPr>
            <w:tcW w:w="1699" w:type="dxa"/>
            <w:gridSpan w:val="2"/>
          </w:tcPr>
          <w:p w14:paraId="61BA1A84">
            <w:pPr>
              <w:spacing w:before="171" w:line="220" w:lineRule="auto"/>
              <w:ind w:left="231"/>
              <w:rPr>
                <w:rFonts w:ascii="宋体" w:hAnsi="宋体" w:eastAsia="宋体"/>
                <w:color w:val="auto"/>
                <w:spacing w:val="-2"/>
                <w:highlight w:val="none"/>
              </w:rPr>
            </w:pPr>
            <w:r>
              <w:rPr>
                <w:rFonts w:ascii="宋体" w:hAnsi="宋体" w:eastAsia="宋体"/>
                <w:color w:val="auto"/>
                <w:spacing w:val="-2"/>
                <w:highlight w:val="none"/>
              </w:rPr>
              <w:t>高级职称人员</w:t>
            </w:r>
          </w:p>
        </w:tc>
        <w:tc>
          <w:tcPr>
            <w:tcW w:w="1518" w:type="dxa"/>
            <w:gridSpan w:val="2"/>
          </w:tcPr>
          <w:p w14:paraId="2B70F123">
            <w:pPr>
              <w:rPr>
                <w:color w:val="auto"/>
                <w:highlight w:val="none"/>
              </w:rPr>
            </w:pPr>
          </w:p>
        </w:tc>
      </w:tr>
      <w:tr w14:paraId="29683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36817E23">
            <w:pPr>
              <w:spacing w:before="170" w:line="221" w:lineRule="auto"/>
              <w:ind w:left="612"/>
              <w:rPr>
                <w:rFonts w:ascii="宋体" w:hAnsi="宋体" w:eastAsia="宋体"/>
                <w:color w:val="auto"/>
                <w:spacing w:val="-2"/>
                <w:highlight w:val="none"/>
              </w:rPr>
            </w:pPr>
            <w:r>
              <w:rPr>
                <w:rFonts w:ascii="宋体" w:hAnsi="宋体" w:eastAsia="宋体"/>
                <w:color w:val="auto"/>
                <w:spacing w:val="-2"/>
                <w:highlight w:val="none"/>
              </w:rPr>
              <w:t>成立日期</w:t>
            </w:r>
          </w:p>
        </w:tc>
        <w:tc>
          <w:tcPr>
            <w:tcW w:w="3209" w:type="dxa"/>
            <w:gridSpan w:val="3"/>
          </w:tcPr>
          <w:p w14:paraId="59525979">
            <w:pPr>
              <w:rPr>
                <w:color w:val="auto"/>
                <w:highlight w:val="none"/>
              </w:rPr>
            </w:pPr>
          </w:p>
        </w:tc>
        <w:tc>
          <w:tcPr>
            <w:tcW w:w="414" w:type="dxa"/>
            <w:vMerge w:val="continue"/>
            <w:textDirection w:val="tbRlV"/>
          </w:tcPr>
          <w:p w14:paraId="211863FC">
            <w:pPr>
              <w:rPr>
                <w:color w:val="auto"/>
                <w:highlight w:val="none"/>
              </w:rPr>
            </w:pPr>
          </w:p>
        </w:tc>
        <w:tc>
          <w:tcPr>
            <w:tcW w:w="1699" w:type="dxa"/>
            <w:gridSpan w:val="2"/>
          </w:tcPr>
          <w:p w14:paraId="22BFCE46">
            <w:pPr>
              <w:spacing w:before="170" w:line="221" w:lineRule="auto"/>
              <w:ind w:left="245"/>
              <w:rPr>
                <w:rFonts w:ascii="宋体" w:hAnsi="宋体" w:eastAsia="宋体"/>
                <w:color w:val="auto"/>
                <w:spacing w:val="-4"/>
                <w:highlight w:val="none"/>
              </w:rPr>
            </w:pPr>
            <w:r>
              <w:rPr>
                <w:rFonts w:ascii="宋体" w:hAnsi="宋体" w:eastAsia="宋体"/>
                <w:color w:val="auto"/>
                <w:spacing w:val="-4"/>
                <w:highlight w:val="none"/>
              </w:rPr>
              <w:t>中级职称人员</w:t>
            </w:r>
          </w:p>
        </w:tc>
        <w:tc>
          <w:tcPr>
            <w:tcW w:w="1518" w:type="dxa"/>
            <w:gridSpan w:val="2"/>
          </w:tcPr>
          <w:p w14:paraId="42FD0AAB">
            <w:pPr>
              <w:rPr>
                <w:color w:val="auto"/>
                <w:highlight w:val="none"/>
              </w:rPr>
            </w:pPr>
          </w:p>
        </w:tc>
      </w:tr>
      <w:tr w14:paraId="039EC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43E4EA3E">
            <w:pPr>
              <w:spacing w:before="170" w:line="220" w:lineRule="auto"/>
              <w:ind w:left="190"/>
              <w:rPr>
                <w:rFonts w:ascii="宋体" w:hAnsi="宋体" w:eastAsia="宋体"/>
                <w:color w:val="auto"/>
                <w:spacing w:val="-1"/>
                <w:highlight w:val="none"/>
              </w:rPr>
            </w:pPr>
            <w:r>
              <w:rPr>
                <w:rFonts w:ascii="宋体" w:hAnsi="宋体" w:eastAsia="宋体"/>
                <w:color w:val="auto"/>
                <w:spacing w:val="-1"/>
                <w:highlight w:val="none"/>
              </w:rPr>
              <w:t>基本账户开户银行</w:t>
            </w:r>
          </w:p>
        </w:tc>
        <w:tc>
          <w:tcPr>
            <w:tcW w:w="3209" w:type="dxa"/>
            <w:gridSpan w:val="3"/>
          </w:tcPr>
          <w:p w14:paraId="14DD18C1">
            <w:pPr>
              <w:rPr>
                <w:color w:val="auto"/>
                <w:highlight w:val="none"/>
              </w:rPr>
            </w:pPr>
          </w:p>
        </w:tc>
        <w:tc>
          <w:tcPr>
            <w:tcW w:w="414" w:type="dxa"/>
            <w:vMerge w:val="continue"/>
            <w:textDirection w:val="tbRlV"/>
          </w:tcPr>
          <w:p w14:paraId="14D40F4E">
            <w:pPr>
              <w:rPr>
                <w:color w:val="auto"/>
                <w:highlight w:val="none"/>
              </w:rPr>
            </w:pPr>
          </w:p>
        </w:tc>
        <w:tc>
          <w:tcPr>
            <w:tcW w:w="1699" w:type="dxa"/>
            <w:gridSpan w:val="2"/>
          </w:tcPr>
          <w:p w14:paraId="0B742D40">
            <w:pPr>
              <w:spacing w:before="171" w:line="220" w:lineRule="auto"/>
              <w:ind w:left="226"/>
              <w:rPr>
                <w:rFonts w:ascii="宋体" w:hAnsi="宋体" w:eastAsia="宋体"/>
                <w:color w:val="auto"/>
                <w:spacing w:val="-2"/>
                <w:highlight w:val="none"/>
              </w:rPr>
            </w:pPr>
            <w:r>
              <w:rPr>
                <w:rFonts w:ascii="宋体" w:hAnsi="宋体" w:eastAsia="宋体"/>
                <w:color w:val="auto"/>
                <w:spacing w:val="-2"/>
                <w:highlight w:val="none"/>
              </w:rPr>
              <w:t>技术</w:t>
            </w:r>
            <w:r>
              <w:rPr>
                <w:rFonts w:ascii="宋体" w:hAnsi="宋体" w:eastAsia="宋体"/>
                <w:color w:val="auto"/>
                <w:spacing w:val="-1"/>
                <w:highlight w:val="none"/>
              </w:rPr>
              <w:t>人员数量</w:t>
            </w:r>
          </w:p>
        </w:tc>
        <w:tc>
          <w:tcPr>
            <w:tcW w:w="1518" w:type="dxa"/>
            <w:gridSpan w:val="2"/>
          </w:tcPr>
          <w:p w14:paraId="4C41B4E3">
            <w:pPr>
              <w:rPr>
                <w:color w:val="auto"/>
                <w:highlight w:val="none"/>
              </w:rPr>
            </w:pPr>
          </w:p>
        </w:tc>
      </w:tr>
      <w:tr w14:paraId="58AB9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4100884F">
            <w:pPr>
              <w:spacing w:before="170" w:line="220" w:lineRule="auto"/>
              <w:ind w:left="190"/>
              <w:rPr>
                <w:rFonts w:ascii="宋体" w:hAnsi="宋体" w:eastAsia="宋体"/>
                <w:color w:val="auto"/>
                <w:spacing w:val="-1"/>
                <w:highlight w:val="none"/>
              </w:rPr>
            </w:pPr>
            <w:r>
              <w:rPr>
                <w:rFonts w:ascii="宋体" w:hAnsi="宋体" w:eastAsia="宋体"/>
                <w:color w:val="auto"/>
                <w:spacing w:val="-1"/>
                <w:highlight w:val="none"/>
              </w:rPr>
              <w:t>基本账户银行账号</w:t>
            </w:r>
          </w:p>
        </w:tc>
        <w:tc>
          <w:tcPr>
            <w:tcW w:w="3209" w:type="dxa"/>
            <w:gridSpan w:val="3"/>
          </w:tcPr>
          <w:p w14:paraId="6FC5F512">
            <w:pPr>
              <w:rPr>
                <w:color w:val="auto"/>
                <w:highlight w:val="none"/>
              </w:rPr>
            </w:pPr>
          </w:p>
        </w:tc>
        <w:tc>
          <w:tcPr>
            <w:tcW w:w="414" w:type="dxa"/>
            <w:vMerge w:val="continue"/>
            <w:textDirection w:val="tbRlV"/>
          </w:tcPr>
          <w:p w14:paraId="0E2A9E4F">
            <w:pPr>
              <w:rPr>
                <w:color w:val="auto"/>
                <w:highlight w:val="none"/>
              </w:rPr>
            </w:pPr>
          </w:p>
        </w:tc>
        <w:tc>
          <w:tcPr>
            <w:tcW w:w="1699" w:type="dxa"/>
            <w:gridSpan w:val="2"/>
          </w:tcPr>
          <w:p w14:paraId="623ABB43">
            <w:pPr>
              <w:spacing w:before="171" w:line="220" w:lineRule="auto"/>
              <w:ind w:left="228"/>
              <w:rPr>
                <w:rFonts w:ascii="宋体" w:hAnsi="宋体" w:eastAsia="宋体"/>
                <w:color w:val="auto"/>
                <w:spacing w:val="-2"/>
                <w:highlight w:val="none"/>
              </w:rPr>
            </w:pPr>
            <w:r>
              <w:rPr>
                <w:rFonts w:ascii="宋体" w:hAnsi="宋体" w:eastAsia="宋体"/>
                <w:color w:val="auto"/>
                <w:spacing w:val="-2"/>
                <w:highlight w:val="none"/>
              </w:rPr>
              <w:t>各类注</w:t>
            </w:r>
            <w:r>
              <w:rPr>
                <w:rFonts w:ascii="宋体" w:hAnsi="宋体" w:eastAsia="宋体"/>
                <w:color w:val="auto"/>
                <w:spacing w:val="-1"/>
                <w:highlight w:val="none"/>
              </w:rPr>
              <w:t>册人员</w:t>
            </w:r>
          </w:p>
        </w:tc>
        <w:tc>
          <w:tcPr>
            <w:tcW w:w="1518" w:type="dxa"/>
            <w:gridSpan w:val="2"/>
          </w:tcPr>
          <w:p w14:paraId="70BA9DF3">
            <w:pPr>
              <w:rPr>
                <w:color w:val="auto"/>
                <w:highlight w:val="none"/>
              </w:rPr>
            </w:pPr>
          </w:p>
        </w:tc>
      </w:tr>
      <w:tr w14:paraId="759BB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2050" w:type="dxa"/>
            <w:vAlign w:val="center"/>
          </w:tcPr>
          <w:p w14:paraId="57E521F3">
            <w:pPr>
              <w:spacing w:before="170" w:line="221" w:lineRule="auto"/>
              <w:jc w:val="center"/>
              <w:rPr>
                <w:rFonts w:ascii="宋体" w:hAnsi="宋体" w:eastAsia="宋体"/>
                <w:color w:val="auto"/>
                <w:spacing w:val="-1"/>
                <w:highlight w:val="none"/>
              </w:rPr>
            </w:pPr>
            <w:r>
              <w:rPr>
                <w:rFonts w:ascii="宋体" w:hAnsi="宋体" w:eastAsia="宋体"/>
                <w:color w:val="auto"/>
                <w:spacing w:val="-1"/>
                <w:highlight w:val="none"/>
              </w:rPr>
              <w:t>经营范围</w:t>
            </w:r>
          </w:p>
        </w:tc>
        <w:tc>
          <w:tcPr>
            <w:tcW w:w="6840" w:type="dxa"/>
            <w:gridSpan w:val="8"/>
          </w:tcPr>
          <w:p w14:paraId="6191719B">
            <w:pPr>
              <w:rPr>
                <w:color w:val="auto"/>
                <w:highlight w:val="none"/>
              </w:rPr>
            </w:pPr>
          </w:p>
        </w:tc>
      </w:tr>
      <w:tr w14:paraId="76FE3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2050" w:type="dxa"/>
            <w:vAlign w:val="center"/>
          </w:tcPr>
          <w:p w14:paraId="4D6A7C7E">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投标人关联企业情</w:t>
            </w:r>
          </w:p>
          <w:p w14:paraId="1FBE6BC6">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况</w:t>
            </w:r>
            <w:r>
              <w:rPr>
                <w:color w:val="auto"/>
                <w:spacing w:val="-1"/>
                <w:highlight w:val="none"/>
              </w:rPr>
              <w:t>(</w:t>
            </w:r>
            <w:r>
              <w:rPr>
                <w:rFonts w:hint="eastAsia" w:ascii="宋体" w:hAnsi="宋体" w:eastAsia="宋体"/>
                <w:color w:val="auto"/>
                <w:spacing w:val="-1"/>
                <w:highlight w:val="none"/>
              </w:rPr>
              <w:t>包括但不限于与</w:t>
            </w:r>
          </w:p>
          <w:p w14:paraId="4F018FFD">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投标人法定代表人</w:t>
            </w:r>
          </w:p>
          <w:p w14:paraId="2BAE3852">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为同一人或者存在</w:t>
            </w:r>
          </w:p>
          <w:p w14:paraId="1EF3128D">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控股、管理关系的不</w:t>
            </w:r>
          </w:p>
          <w:p w14:paraId="30F4160B">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同单位</w:t>
            </w:r>
            <w:r>
              <w:rPr>
                <w:color w:val="auto"/>
                <w:spacing w:val="-1"/>
                <w:highlight w:val="none"/>
              </w:rPr>
              <w:t>)</w:t>
            </w:r>
          </w:p>
        </w:tc>
        <w:tc>
          <w:tcPr>
            <w:tcW w:w="6840" w:type="dxa"/>
            <w:gridSpan w:val="8"/>
          </w:tcPr>
          <w:p w14:paraId="3F76F07D">
            <w:pPr>
              <w:rPr>
                <w:color w:val="auto"/>
                <w:highlight w:val="none"/>
              </w:rPr>
            </w:pPr>
          </w:p>
        </w:tc>
      </w:tr>
      <w:tr w14:paraId="79E21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14:paraId="3A8C162C">
            <w:pPr>
              <w:spacing w:before="174" w:line="222" w:lineRule="auto"/>
              <w:ind w:left="822"/>
              <w:rPr>
                <w:rFonts w:ascii="宋体" w:hAnsi="宋体" w:eastAsia="宋体"/>
                <w:color w:val="auto"/>
                <w:spacing w:val="-4"/>
                <w:highlight w:val="none"/>
              </w:rPr>
            </w:pPr>
            <w:r>
              <w:rPr>
                <w:rFonts w:ascii="宋体" w:hAnsi="宋体" w:eastAsia="宋体"/>
                <w:color w:val="auto"/>
                <w:spacing w:val="-4"/>
                <w:highlight w:val="none"/>
              </w:rPr>
              <w:t>备</w:t>
            </w:r>
            <w:r>
              <w:rPr>
                <w:rFonts w:ascii="宋体" w:hAnsi="宋体" w:eastAsia="宋体"/>
                <w:color w:val="auto"/>
                <w:spacing w:val="-2"/>
                <w:highlight w:val="none"/>
              </w:rPr>
              <w:t>注</w:t>
            </w:r>
          </w:p>
        </w:tc>
        <w:tc>
          <w:tcPr>
            <w:tcW w:w="6840" w:type="dxa"/>
            <w:gridSpan w:val="8"/>
          </w:tcPr>
          <w:p w14:paraId="097D5446">
            <w:pPr>
              <w:rPr>
                <w:color w:val="auto"/>
                <w:highlight w:val="none"/>
              </w:rPr>
            </w:pPr>
          </w:p>
        </w:tc>
      </w:tr>
    </w:tbl>
    <w:p w14:paraId="53F8ECFC">
      <w:pPr>
        <w:spacing w:before="134" w:line="228" w:lineRule="auto"/>
        <w:ind w:left="135"/>
        <w:rPr>
          <w:rFonts w:ascii="宋体" w:hAnsi="宋体" w:eastAsia="宋体"/>
          <w:color w:val="auto"/>
          <w:highlight w:val="none"/>
        </w:rPr>
      </w:pPr>
      <w:r>
        <w:rPr>
          <w:rFonts w:hint="eastAsia" w:ascii="宋体" w:hAnsi="宋体" w:eastAsia="宋体"/>
          <w:color w:val="auto"/>
          <w:highlight w:val="none"/>
        </w:rPr>
        <w:t>注：投标人应根据投标人须知第3.5.1项的要求在本表后附相关证明材料。</w:t>
      </w:r>
    </w:p>
    <w:p w14:paraId="39F390AD">
      <w:pPr>
        <w:spacing w:before="134" w:line="228" w:lineRule="auto"/>
        <w:ind w:left="135"/>
        <w:rPr>
          <w:rFonts w:ascii="黑体" w:hAnsi="黑体" w:eastAsia="黑体"/>
          <w:color w:val="auto"/>
          <w:spacing w:val="34"/>
          <w:sz w:val="27"/>
          <w:szCs w:val="27"/>
          <w:highlight w:val="none"/>
        </w:rPr>
      </w:pPr>
      <w:r>
        <w:rPr>
          <w:rFonts w:ascii="黑体" w:hAnsi="黑体" w:eastAsia="黑体"/>
          <w:color w:val="auto"/>
          <w:spacing w:val="34"/>
          <w:sz w:val="27"/>
          <w:szCs w:val="27"/>
          <w:highlight w:val="none"/>
        </w:rPr>
        <w:br w:type="page"/>
      </w:r>
    </w:p>
    <w:p w14:paraId="56286DD5">
      <w:pPr>
        <w:rPr>
          <w:rFonts w:ascii="黑体" w:hAnsi="黑体" w:eastAsia="黑体"/>
          <w:color w:val="auto"/>
          <w:spacing w:val="34"/>
          <w:sz w:val="27"/>
          <w:szCs w:val="27"/>
          <w:highlight w:val="none"/>
        </w:rPr>
      </w:pPr>
      <w:bookmarkStart w:id="477" w:name="_Toc22738"/>
      <w:bookmarkStart w:id="478" w:name="_Toc22530"/>
      <w:bookmarkStart w:id="479" w:name="_Toc25484"/>
      <w:bookmarkStart w:id="480" w:name="_Toc31959"/>
      <w:bookmarkStart w:id="481" w:name="_Toc17885"/>
      <w:r>
        <w:rPr>
          <w:rFonts w:ascii="黑体" w:hAnsi="黑体" w:eastAsia="黑体"/>
          <w:color w:val="auto"/>
          <w:spacing w:val="34"/>
          <w:sz w:val="27"/>
          <w:szCs w:val="27"/>
          <w:highlight w:val="none"/>
        </w:rPr>
        <w:t>(二)</w:t>
      </w:r>
      <w:r>
        <w:rPr>
          <w:rFonts w:hint="eastAsia" w:ascii="黑体" w:hAnsi="黑体" w:eastAsia="黑体"/>
          <w:color w:val="auto"/>
          <w:spacing w:val="34"/>
          <w:sz w:val="27"/>
          <w:szCs w:val="27"/>
          <w:highlight w:val="none"/>
        </w:rPr>
        <w:t>投标人声明</w:t>
      </w:r>
      <w:bookmarkEnd w:id="477"/>
      <w:bookmarkEnd w:id="478"/>
      <w:bookmarkEnd w:id="479"/>
      <w:bookmarkEnd w:id="480"/>
      <w:bookmarkEnd w:id="481"/>
    </w:p>
    <w:p w14:paraId="65C7F203">
      <w:pPr>
        <w:spacing w:line="303" w:lineRule="auto"/>
        <w:rPr>
          <w:color w:val="auto"/>
          <w:highlight w:val="none"/>
        </w:rPr>
      </w:pPr>
    </w:p>
    <w:p w14:paraId="3C4B8385">
      <w:pPr>
        <w:spacing w:line="303" w:lineRule="auto"/>
        <w:rPr>
          <w:color w:val="auto"/>
          <w:highlight w:val="none"/>
        </w:rPr>
      </w:pPr>
    </w:p>
    <w:p w14:paraId="51857492">
      <w:pPr>
        <w:spacing w:line="360" w:lineRule="auto"/>
        <w:rPr>
          <w:rFonts w:ascii="宋体" w:hAnsi="宋体"/>
          <w:color w:val="auto"/>
          <w:highlight w:val="none"/>
        </w:rPr>
      </w:pPr>
    </w:p>
    <w:p w14:paraId="77935C33">
      <w:pPr>
        <w:jc w:val="center"/>
        <w:rPr>
          <w:rFonts w:ascii="宋体" w:hAnsi="宋体"/>
          <w:b/>
          <w:color w:val="auto"/>
          <w:sz w:val="32"/>
          <w:highlight w:val="none"/>
        </w:rPr>
      </w:pPr>
      <w:r>
        <w:rPr>
          <w:rFonts w:hint="eastAsia" w:ascii="宋体" w:hAnsi="宋体"/>
          <w:b/>
          <w:color w:val="auto"/>
          <w:sz w:val="32"/>
          <w:highlight w:val="none"/>
        </w:rPr>
        <w:t>投标人声明（参考格式）</w:t>
      </w:r>
    </w:p>
    <w:p w14:paraId="292B137A">
      <w:pPr>
        <w:pStyle w:val="56"/>
        <w:spacing w:line="400" w:lineRule="exact"/>
        <w:ind w:firstLine="480"/>
        <w:rPr>
          <w:rFonts w:ascii="宋体" w:hAnsi="宋体" w:eastAsia="宋体"/>
          <w:color w:val="auto"/>
          <w:sz w:val="24"/>
          <w:szCs w:val="24"/>
          <w:highlight w:val="none"/>
        </w:rPr>
      </w:pPr>
    </w:p>
    <w:p w14:paraId="3986D914">
      <w:pPr>
        <w:pStyle w:val="56"/>
        <w:spacing w:line="40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广州市水务局、本招标项目招标人及招标监管机构：</w:t>
      </w:r>
    </w:p>
    <w:p w14:paraId="31F102A7">
      <w:pPr>
        <w:pStyle w:val="56"/>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投标工作，作出郑重声明：我方与招标人过去3年内无合同履约纠纷，不存在第二章“投标人须知”第1.4.3项规定的任何一种情形。 </w:t>
      </w:r>
    </w:p>
    <w:p w14:paraId="61D84755">
      <w:pPr>
        <w:pStyle w:val="56"/>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本公司积极响应广州市关于投身“百千万工程”的号召，主动参与政府投资类建设工程施工项目的建筑业结对帮扶等活动（市属国有企业投资项目参照执行）。</w:t>
      </w:r>
    </w:p>
    <w:p w14:paraId="68812254">
      <w:pPr>
        <w:pStyle w:val="56"/>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2B8604BA">
      <w:pPr>
        <w:pStyle w:val="56"/>
        <w:spacing w:line="400" w:lineRule="exact"/>
        <w:rPr>
          <w:rFonts w:ascii="宋体" w:hAnsi="宋体" w:eastAsia="宋体"/>
          <w:color w:val="auto"/>
          <w:sz w:val="21"/>
          <w:szCs w:val="21"/>
          <w:highlight w:val="none"/>
        </w:rPr>
      </w:pPr>
    </w:p>
    <w:p w14:paraId="2C72A530">
      <w:pPr>
        <w:pStyle w:val="57"/>
        <w:spacing w:line="400" w:lineRule="exact"/>
        <w:ind w:left="0" w:right="1449" w:firstLine="3570" w:firstLineChars="17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610EDE5C">
      <w:pPr>
        <w:pStyle w:val="56"/>
        <w:spacing w:line="400" w:lineRule="exact"/>
        <w:ind w:right="1449" w:firstLine="42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法定代表人：（签字或盖章）                  </w:t>
      </w:r>
    </w:p>
    <w:p w14:paraId="5573E890">
      <w:pPr>
        <w:pStyle w:val="56"/>
        <w:spacing w:line="400" w:lineRule="exact"/>
        <w:ind w:right="20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72EF4CD5">
      <w:pPr>
        <w:rPr>
          <w:rFonts w:ascii="宋体" w:hAnsi="宋体"/>
          <w:color w:val="auto"/>
          <w:highlight w:val="none"/>
        </w:rPr>
      </w:pPr>
    </w:p>
    <w:p w14:paraId="4D14F352">
      <w:pPr>
        <w:rPr>
          <w:rFonts w:ascii="宋体" w:hAnsi="宋体"/>
          <w:color w:val="auto"/>
          <w:highlight w:val="none"/>
        </w:rPr>
        <w:sectPr>
          <w:footerReference r:id="rId27" w:type="default"/>
          <w:pgSz w:w="12240" w:h="15840"/>
          <w:pgMar w:top="1346" w:right="1836" w:bottom="1104" w:left="1836" w:header="0" w:footer="940" w:gutter="0"/>
          <w:cols w:space="720" w:num="1"/>
        </w:sectPr>
      </w:pPr>
    </w:p>
    <w:p w14:paraId="7B8E29FD">
      <w:pPr>
        <w:rPr>
          <w:rFonts w:ascii="黑体" w:hAnsi="黑体" w:eastAsia="黑体"/>
          <w:color w:val="auto"/>
          <w:spacing w:val="34"/>
          <w:sz w:val="27"/>
          <w:szCs w:val="27"/>
          <w:highlight w:val="none"/>
        </w:rPr>
      </w:pPr>
      <w:r>
        <w:rPr>
          <w:rFonts w:ascii="黑体" w:hAnsi="黑体" w:eastAsia="黑体"/>
          <w:color w:val="auto"/>
          <w:spacing w:val="34"/>
          <w:sz w:val="27"/>
          <w:szCs w:val="27"/>
          <w:highlight w:val="none"/>
        </w:rPr>
        <w:t>(</w:t>
      </w:r>
      <w:r>
        <w:rPr>
          <w:rFonts w:hint="eastAsia" w:ascii="黑体" w:hAnsi="黑体" w:eastAsia="黑体"/>
          <w:color w:val="auto"/>
          <w:spacing w:val="34"/>
          <w:sz w:val="27"/>
          <w:szCs w:val="27"/>
          <w:highlight w:val="none"/>
        </w:rPr>
        <w:t>三</w:t>
      </w:r>
      <w:r>
        <w:rPr>
          <w:rFonts w:ascii="黑体" w:hAnsi="黑体" w:eastAsia="黑体"/>
          <w:color w:val="auto"/>
          <w:spacing w:val="34"/>
          <w:sz w:val="27"/>
          <w:szCs w:val="27"/>
          <w:highlight w:val="none"/>
        </w:rPr>
        <w:t>)投标人廉洁承诺书</w:t>
      </w:r>
    </w:p>
    <w:p w14:paraId="21793BB2">
      <w:pPr>
        <w:pStyle w:val="43"/>
        <w:spacing w:before="120" w:after="120" w:line="360" w:lineRule="auto"/>
        <w:ind w:firstLine="482"/>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投标人廉洁承诺书</w:t>
      </w:r>
    </w:p>
    <w:p w14:paraId="05B04CFC">
      <w:pPr>
        <w:pStyle w:val="43"/>
        <w:shd w:val="clear" w:color="auto" w:fill="FFFFFF"/>
        <w:spacing w:before="0" w:beforeAutospacing="0" w:after="0" w:afterAutospacing="0" w:line="360" w:lineRule="auto"/>
        <w:rPr>
          <w:rFonts w:ascii="宋体" w:hAnsi="宋体" w:eastAsia="宋体"/>
          <w:color w:val="auto"/>
          <w:sz w:val="21"/>
          <w:highlight w:val="none"/>
        </w:rPr>
      </w:pPr>
      <w:r>
        <w:rPr>
          <w:rFonts w:hint="eastAsia" w:ascii="宋体" w:hAnsi="宋体" w:eastAsia="宋体"/>
          <w:color w:val="auto"/>
          <w:sz w:val="21"/>
          <w:highlight w:val="none"/>
        </w:rPr>
        <w:t>广州市水务局、本招标项目招标人及招标监管机构：</w:t>
      </w:r>
    </w:p>
    <w:p w14:paraId="1C7A3BB1">
      <w:pPr>
        <w:pStyle w:val="36"/>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本公司参加了</w:t>
      </w:r>
      <w:r>
        <w:rPr>
          <w:rFonts w:hint="eastAsia" w:hAnsi="宋体" w:eastAsia="宋体"/>
          <w:color w:val="auto"/>
          <w:szCs w:val="21"/>
          <w:highlight w:val="none"/>
          <w:u w:val="single"/>
        </w:rPr>
        <w:t xml:space="preserve">   （项目名称/标段名称）    </w:t>
      </w:r>
      <w:r>
        <w:rPr>
          <w:rFonts w:hint="eastAsia" w:hAnsi="宋体" w:eastAsia="宋体"/>
          <w:color w:val="auto"/>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F950DE8">
      <w:pPr>
        <w:pStyle w:val="36"/>
        <w:spacing w:line="360" w:lineRule="auto"/>
        <w:ind w:right="420" w:firstLine="420" w:firstLineChars="200"/>
        <w:rPr>
          <w:rFonts w:hAnsi="宋体" w:eastAsia="宋体"/>
          <w:color w:val="auto"/>
          <w:szCs w:val="21"/>
          <w:highlight w:val="none"/>
        </w:rPr>
      </w:pPr>
      <w:r>
        <w:rPr>
          <w:rFonts w:hint="eastAsia" w:hAnsi="宋体" w:eastAsia="宋体"/>
          <w:color w:val="auto"/>
          <w:szCs w:val="21"/>
          <w:highlight w:val="none"/>
        </w:rPr>
        <w:t>一、自觉遵守国家有关法律法规及廉洁规定。</w:t>
      </w:r>
    </w:p>
    <w:p w14:paraId="27E4D0DC">
      <w:pPr>
        <w:pStyle w:val="36"/>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二、不与招标单位工作人员串通投标，损害国家利益、企业利益以及他人的合法利益；</w:t>
      </w:r>
    </w:p>
    <w:p w14:paraId="38C9480C">
      <w:pPr>
        <w:pStyle w:val="36"/>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三、不与其他单位围标、串标，不出让投标资格，不向招标人或评标委员会成员行贿。</w:t>
      </w:r>
    </w:p>
    <w:p w14:paraId="50A7B758">
      <w:pPr>
        <w:pStyle w:val="36"/>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 xml:space="preserve">四、不以任何名义向参与招标、评标工作的有关人员提供高消费宴请及娱乐活动和赠送回扣、红包、礼金、购物卡、有价证券、贵重物品和好处费、感谢费等； </w:t>
      </w:r>
    </w:p>
    <w:p w14:paraId="754884EF">
      <w:pPr>
        <w:pStyle w:val="36"/>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五、不以任何名义为参与招标、评标工作的有关人员装修住房、婚丧嫁取、配偶子女的工作安排以及境内外旅游等提供方便；</w:t>
      </w:r>
    </w:p>
    <w:p w14:paraId="578384F1">
      <w:pPr>
        <w:pStyle w:val="36"/>
        <w:spacing w:line="360" w:lineRule="auto"/>
        <w:ind w:right="420" w:firstLine="420" w:firstLineChars="200"/>
        <w:rPr>
          <w:rFonts w:hAnsi="宋体" w:eastAsia="宋体"/>
          <w:color w:val="auto"/>
          <w:szCs w:val="21"/>
          <w:highlight w:val="none"/>
        </w:rPr>
      </w:pPr>
      <w:r>
        <w:rPr>
          <w:rFonts w:hint="eastAsia" w:hAnsi="宋体" w:eastAsia="宋体"/>
          <w:color w:val="auto"/>
          <w:szCs w:val="21"/>
          <w:highlight w:val="none"/>
        </w:rPr>
        <w:t>六、不以谋取非正当利益为目的，擅自与参与招标、评标工作的有关人员就业务问题进行私下商谈或者达成利益默契。</w:t>
      </w:r>
    </w:p>
    <w:p w14:paraId="3B97F97E">
      <w:pPr>
        <w:pStyle w:val="43"/>
        <w:shd w:val="clear" w:color="auto" w:fill="FFFFFF"/>
        <w:spacing w:before="0" w:beforeAutospacing="0" w:after="0" w:afterAutospacing="0"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本公司违反上述承诺，或本承诺陈述与事实不符，经查实，本公司愿意接受公开通报，承担由此带来的法律后果。</w:t>
      </w:r>
    </w:p>
    <w:p w14:paraId="791F0474">
      <w:pPr>
        <w:pStyle w:val="43"/>
        <w:shd w:val="clear" w:color="auto" w:fill="FFFFFF"/>
        <w:spacing w:before="0" w:beforeAutospacing="0" w:after="0" w:afterAutospacing="0"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特此承诺。</w:t>
      </w:r>
    </w:p>
    <w:p w14:paraId="44E5FF9C">
      <w:pPr>
        <w:pStyle w:val="43"/>
        <w:shd w:val="clear" w:color="auto" w:fill="FFFFFF"/>
        <w:spacing w:before="0" w:beforeAutospacing="0" w:after="0" w:afterAutospacing="0" w:line="360" w:lineRule="auto"/>
        <w:ind w:right="1455" w:firstLine="2880"/>
        <w:jc w:val="right"/>
        <w:rPr>
          <w:rFonts w:ascii="宋体" w:hAnsi="宋体" w:eastAsia="宋体"/>
          <w:color w:val="auto"/>
          <w:sz w:val="21"/>
          <w:highlight w:val="none"/>
        </w:rPr>
      </w:pPr>
      <w:r>
        <w:rPr>
          <w:rFonts w:hint="eastAsia" w:ascii="宋体" w:hAnsi="宋体" w:eastAsia="宋体"/>
          <w:color w:val="auto"/>
          <w:sz w:val="21"/>
          <w:highlight w:val="none"/>
        </w:rPr>
        <w:t>承诺企业（</w:t>
      </w:r>
      <w:r>
        <w:rPr>
          <w:rFonts w:hint="eastAsia" w:ascii="宋体" w:hAnsi="宋体"/>
          <w:color w:val="auto"/>
          <w:sz w:val="21"/>
          <w:highlight w:val="none"/>
        </w:rPr>
        <w:t>盖</w:t>
      </w:r>
      <w:r>
        <w:rPr>
          <w:rFonts w:hint="eastAsia" w:ascii="宋体" w:hAnsi="宋体" w:eastAsia="宋体"/>
          <w:color w:val="auto"/>
          <w:sz w:val="21"/>
          <w:highlight w:val="none"/>
        </w:rPr>
        <w:t>单位章）：      </w:t>
      </w:r>
    </w:p>
    <w:p w14:paraId="0F88998D">
      <w:pPr>
        <w:pStyle w:val="43"/>
        <w:shd w:val="clear" w:color="auto" w:fill="FFFFFF"/>
        <w:spacing w:before="0" w:beforeAutospacing="0" w:after="0" w:afterAutospacing="0" w:line="360" w:lineRule="auto"/>
        <w:ind w:firstLine="480"/>
        <w:jc w:val="right"/>
        <w:rPr>
          <w:rFonts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color w:val="auto"/>
          <w:sz w:val="21"/>
          <w:highlight w:val="none"/>
        </w:rPr>
        <w:t xml:space="preserve">           </w:t>
      </w:r>
    </w:p>
    <w:p w14:paraId="17C0279A">
      <w:pPr>
        <w:pStyle w:val="43"/>
        <w:shd w:val="clear" w:color="auto" w:fill="FFFFFF"/>
        <w:ind w:firstLine="480"/>
        <w:jc w:val="right"/>
        <w:rPr>
          <w:rFonts w:ascii="宋体" w:hAnsi="宋体" w:eastAsia="宋体"/>
          <w:color w:val="auto"/>
          <w:sz w:val="21"/>
          <w:highlight w:val="none"/>
        </w:rPr>
      </w:pPr>
      <w:r>
        <w:rPr>
          <w:rFonts w:hint="eastAsia" w:ascii="宋体" w:hAnsi="宋体" w:eastAsia="宋体"/>
          <w:color w:val="auto"/>
          <w:sz w:val="21"/>
          <w:highlight w:val="none"/>
        </w:rPr>
        <w:t>年   月   日</w:t>
      </w:r>
      <w:bookmarkStart w:id="482" w:name="bookmark193"/>
      <w:bookmarkEnd w:id="482"/>
    </w:p>
    <w:p w14:paraId="710A46BE">
      <w:pPr>
        <w:pStyle w:val="43"/>
        <w:shd w:val="clear" w:color="auto" w:fill="FFFFFF"/>
        <w:spacing w:before="0" w:line="228" w:lineRule="auto"/>
        <w:ind w:left="163" w:firstLine="480"/>
        <w:jc w:val="right"/>
        <w:rPr>
          <w:rFonts w:ascii="黑体" w:hAnsi="黑体" w:eastAsia="黑体"/>
          <w:color w:val="auto"/>
          <w:spacing w:val="30"/>
          <w:sz w:val="27"/>
          <w:szCs w:val="27"/>
          <w:highlight w:val="none"/>
        </w:rPr>
        <w:sectPr>
          <w:footerReference r:id="rId28" w:type="default"/>
          <w:pgSz w:w="12240" w:h="15840"/>
          <w:pgMar w:top="1346" w:right="1836" w:bottom="1104" w:left="1808" w:header="0" w:footer="940" w:gutter="0"/>
          <w:cols w:space="720" w:num="1"/>
        </w:sectPr>
      </w:pPr>
    </w:p>
    <w:p w14:paraId="7E989C85">
      <w:pPr>
        <w:rPr>
          <w:rFonts w:ascii="黑体" w:hAnsi="黑体" w:eastAsia="黑体"/>
          <w:color w:val="auto"/>
          <w:spacing w:val="30"/>
          <w:sz w:val="27"/>
          <w:szCs w:val="27"/>
          <w:highlight w:val="none"/>
        </w:rPr>
      </w:pPr>
      <w:r>
        <w:rPr>
          <w:rFonts w:ascii="黑体" w:hAnsi="黑体" w:eastAsia="黑体"/>
          <w:color w:val="auto"/>
          <w:spacing w:val="30"/>
          <w:sz w:val="27"/>
          <w:szCs w:val="27"/>
          <w:highlight w:val="none"/>
        </w:rPr>
        <w:t>(</w:t>
      </w:r>
      <w:r>
        <w:rPr>
          <w:rFonts w:hint="eastAsia" w:ascii="黑体" w:hAnsi="黑体" w:eastAsia="黑体"/>
          <w:color w:val="auto"/>
          <w:spacing w:val="25"/>
          <w:sz w:val="27"/>
          <w:szCs w:val="27"/>
          <w:highlight w:val="none"/>
        </w:rPr>
        <w:t>四</w:t>
      </w:r>
      <w:r>
        <w:rPr>
          <w:rFonts w:ascii="黑体" w:hAnsi="黑体" w:eastAsia="黑体"/>
          <w:color w:val="auto"/>
          <w:spacing w:val="25"/>
          <w:sz w:val="27"/>
          <w:szCs w:val="27"/>
          <w:highlight w:val="none"/>
        </w:rPr>
        <w:t>)近年完成的类似项目情况表</w:t>
      </w:r>
    </w:p>
    <w:p w14:paraId="4E23D0A6">
      <w:pPr>
        <w:rPr>
          <w:color w:val="auto"/>
          <w:highlight w:val="none"/>
        </w:rPr>
      </w:pPr>
    </w:p>
    <w:p w14:paraId="2903F0DA">
      <w:pPr>
        <w:rPr>
          <w:color w:val="auto"/>
          <w:highlight w:val="none"/>
        </w:rPr>
      </w:pPr>
    </w:p>
    <w:p w14:paraId="22C63BF6">
      <w:pPr>
        <w:spacing w:line="26" w:lineRule="exact"/>
        <w:rPr>
          <w:color w:val="auto"/>
          <w:highlight w:val="none"/>
        </w:rPr>
      </w:pPr>
    </w:p>
    <w:tbl>
      <w:tblPr>
        <w:tblStyle w:val="18"/>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4"/>
      </w:tblGrid>
      <w:tr w14:paraId="1BB6D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1" w:type="dxa"/>
          </w:tcPr>
          <w:p w14:paraId="1D2369FC">
            <w:pPr>
              <w:spacing w:before="290" w:line="220" w:lineRule="auto"/>
              <w:ind w:left="724"/>
              <w:rPr>
                <w:rFonts w:ascii="宋体" w:hAnsi="宋体" w:eastAsia="宋体"/>
                <w:color w:val="auto"/>
                <w:spacing w:val="-3"/>
                <w:highlight w:val="none"/>
              </w:rPr>
            </w:pPr>
            <w:r>
              <w:rPr>
                <w:rFonts w:ascii="宋体" w:hAnsi="宋体" w:eastAsia="宋体"/>
                <w:color w:val="auto"/>
                <w:spacing w:val="-3"/>
                <w:highlight w:val="none"/>
              </w:rPr>
              <w:t>项</w:t>
            </w:r>
            <w:r>
              <w:rPr>
                <w:rFonts w:ascii="宋体" w:hAnsi="宋体" w:eastAsia="宋体"/>
                <w:color w:val="auto"/>
                <w:spacing w:val="-2"/>
                <w:highlight w:val="none"/>
              </w:rPr>
              <w:t>目名称</w:t>
            </w:r>
          </w:p>
        </w:tc>
        <w:tc>
          <w:tcPr>
            <w:tcW w:w="6254" w:type="dxa"/>
          </w:tcPr>
          <w:p w14:paraId="20E1B1CC">
            <w:pPr>
              <w:rPr>
                <w:color w:val="auto"/>
                <w:highlight w:val="none"/>
              </w:rPr>
            </w:pPr>
          </w:p>
        </w:tc>
      </w:tr>
      <w:tr w14:paraId="3E04E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5A0CAE31">
            <w:pPr>
              <w:spacing w:before="285" w:line="220" w:lineRule="auto"/>
              <w:ind w:left="619"/>
              <w:rPr>
                <w:rFonts w:ascii="宋体" w:hAnsi="宋体" w:eastAsia="宋体"/>
                <w:color w:val="auto"/>
                <w:spacing w:val="-2"/>
                <w:highlight w:val="none"/>
              </w:rPr>
            </w:pPr>
            <w:r>
              <w:rPr>
                <w:rFonts w:ascii="宋体" w:hAnsi="宋体" w:eastAsia="宋体"/>
                <w:color w:val="auto"/>
                <w:spacing w:val="-2"/>
                <w:highlight w:val="none"/>
              </w:rPr>
              <w:t>项目所在地</w:t>
            </w:r>
          </w:p>
        </w:tc>
        <w:tc>
          <w:tcPr>
            <w:tcW w:w="6254" w:type="dxa"/>
          </w:tcPr>
          <w:p w14:paraId="152DEEE5">
            <w:pPr>
              <w:rPr>
                <w:color w:val="auto"/>
                <w:highlight w:val="none"/>
              </w:rPr>
            </w:pPr>
          </w:p>
        </w:tc>
      </w:tr>
      <w:tr w14:paraId="01854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31EA9BF7">
            <w:pPr>
              <w:spacing w:before="285" w:line="221" w:lineRule="auto"/>
              <w:ind w:left="619"/>
              <w:rPr>
                <w:rFonts w:ascii="宋体" w:hAnsi="宋体" w:eastAsia="宋体"/>
                <w:color w:val="auto"/>
                <w:spacing w:val="-2"/>
                <w:highlight w:val="none"/>
              </w:rPr>
            </w:pPr>
            <w:r>
              <w:rPr>
                <w:rFonts w:ascii="宋体" w:hAnsi="宋体" w:eastAsia="宋体"/>
                <w:color w:val="auto"/>
                <w:spacing w:val="-2"/>
                <w:highlight w:val="none"/>
              </w:rPr>
              <w:t>发包人名称</w:t>
            </w:r>
          </w:p>
        </w:tc>
        <w:tc>
          <w:tcPr>
            <w:tcW w:w="6254" w:type="dxa"/>
          </w:tcPr>
          <w:p w14:paraId="4D59C155">
            <w:pPr>
              <w:rPr>
                <w:color w:val="auto"/>
                <w:highlight w:val="none"/>
              </w:rPr>
            </w:pPr>
          </w:p>
        </w:tc>
      </w:tr>
      <w:tr w14:paraId="60B12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tcPr>
          <w:p w14:paraId="2D50557D">
            <w:pPr>
              <w:spacing w:before="285" w:line="221" w:lineRule="auto"/>
              <w:ind w:left="619"/>
              <w:rPr>
                <w:rFonts w:ascii="宋体" w:hAnsi="宋体" w:eastAsia="宋体"/>
                <w:color w:val="auto"/>
                <w:spacing w:val="-2"/>
                <w:highlight w:val="none"/>
              </w:rPr>
            </w:pPr>
            <w:r>
              <w:rPr>
                <w:rFonts w:ascii="宋体" w:hAnsi="宋体" w:eastAsia="宋体"/>
                <w:color w:val="auto"/>
                <w:spacing w:val="-2"/>
                <w:highlight w:val="none"/>
              </w:rPr>
              <w:t>发包人地址</w:t>
            </w:r>
          </w:p>
        </w:tc>
        <w:tc>
          <w:tcPr>
            <w:tcW w:w="6254" w:type="dxa"/>
          </w:tcPr>
          <w:p w14:paraId="333935BB">
            <w:pPr>
              <w:rPr>
                <w:color w:val="auto"/>
                <w:highlight w:val="none"/>
              </w:rPr>
            </w:pPr>
          </w:p>
        </w:tc>
      </w:tr>
      <w:tr w14:paraId="7DB93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1DC94A5B">
            <w:pPr>
              <w:spacing w:before="285" w:line="221" w:lineRule="auto"/>
              <w:ind w:left="619"/>
              <w:rPr>
                <w:rFonts w:ascii="宋体" w:hAnsi="宋体" w:eastAsia="宋体"/>
                <w:color w:val="auto"/>
                <w:spacing w:val="-2"/>
                <w:highlight w:val="none"/>
              </w:rPr>
            </w:pPr>
            <w:r>
              <w:rPr>
                <w:rFonts w:ascii="宋体" w:hAnsi="宋体" w:eastAsia="宋体"/>
                <w:color w:val="auto"/>
                <w:spacing w:val="-2"/>
                <w:highlight w:val="none"/>
              </w:rPr>
              <w:t>发包人电话</w:t>
            </w:r>
          </w:p>
        </w:tc>
        <w:tc>
          <w:tcPr>
            <w:tcW w:w="6254" w:type="dxa"/>
          </w:tcPr>
          <w:p w14:paraId="3F9AED8F">
            <w:pPr>
              <w:rPr>
                <w:color w:val="auto"/>
                <w:highlight w:val="none"/>
              </w:rPr>
            </w:pPr>
          </w:p>
        </w:tc>
      </w:tr>
      <w:tr w14:paraId="6A77C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7C1C1E64">
            <w:pPr>
              <w:spacing w:before="286" w:line="219" w:lineRule="auto"/>
              <w:ind w:left="721"/>
              <w:rPr>
                <w:rFonts w:ascii="宋体" w:hAnsi="宋体" w:eastAsia="宋体"/>
                <w:color w:val="auto"/>
                <w:spacing w:val="-2"/>
                <w:highlight w:val="none"/>
              </w:rPr>
            </w:pPr>
            <w:r>
              <w:rPr>
                <w:rFonts w:ascii="宋体" w:hAnsi="宋体" w:eastAsia="宋体"/>
                <w:color w:val="auto"/>
                <w:spacing w:val="-2"/>
                <w:highlight w:val="none"/>
              </w:rPr>
              <w:t>合同价</w:t>
            </w:r>
            <w:r>
              <w:rPr>
                <w:rFonts w:ascii="宋体" w:hAnsi="宋体" w:eastAsia="宋体"/>
                <w:color w:val="auto"/>
                <w:spacing w:val="-1"/>
                <w:highlight w:val="none"/>
              </w:rPr>
              <w:t>格</w:t>
            </w:r>
          </w:p>
        </w:tc>
        <w:tc>
          <w:tcPr>
            <w:tcW w:w="6254" w:type="dxa"/>
          </w:tcPr>
          <w:p w14:paraId="0076346E">
            <w:pPr>
              <w:rPr>
                <w:color w:val="auto"/>
                <w:highlight w:val="none"/>
              </w:rPr>
            </w:pPr>
          </w:p>
        </w:tc>
      </w:tr>
      <w:tr w14:paraId="43F0E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tcPr>
          <w:p w14:paraId="02ACD6CB">
            <w:pPr>
              <w:spacing w:before="287" w:line="220" w:lineRule="auto"/>
              <w:ind w:left="514"/>
              <w:rPr>
                <w:rFonts w:ascii="宋体" w:hAnsi="宋体" w:eastAsia="宋体"/>
                <w:color w:val="auto"/>
                <w:spacing w:val="-2"/>
                <w:highlight w:val="none"/>
              </w:rPr>
            </w:pPr>
            <w:r>
              <w:rPr>
                <w:rFonts w:ascii="宋体" w:hAnsi="宋体" w:eastAsia="宋体"/>
                <w:color w:val="auto"/>
                <w:spacing w:val="-2"/>
                <w:highlight w:val="none"/>
              </w:rPr>
              <w:t>服务</w:t>
            </w:r>
            <w:r>
              <w:rPr>
                <w:rFonts w:ascii="宋体" w:hAnsi="宋体" w:eastAsia="宋体"/>
                <w:color w:val="auto"/>
                <w:spacing w:val="-1"/>
                <w:highlight w:val="none"/>
              </w:rPr>
              <w:t>期限</w:t>
            </w:r>
          </w:p>
        </w:tc>
        <w:tc>
          <w:tcPr>
            <w:tcW w:w="6254" w:type="dxa"/>
          </w:tcPr>
          <w:p w14:paraId="150BC029">
            <w:pPr>
              <w:rPr>
                <w:color w:val="auto"/>
                <w:highlight w:val="none"/>
              </w:rPr>
            </w:pPr>
          </w:p>
        </w:tc>
      </w:tr>
      <w:tr w14:paraId="5E32E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11777C8F">
            <w:pPr>
              <w:spacing w:before="287" w:line="220" w:lineRule="auto"/>
              <w:ind w:left="724"/>
              <w:rPr>
                <w:rFonts w:ascii="宋体" w:hAnsi="宋体" w:eastAsia="宋体"/>
                <w:color w:val="auto"/>
                <w:spacing w:val="-2"/>
                <w:highlight w:val="none"/>
              </w:rPr>
            </w:pPr>
            <w:r>
              <w:rPr>
                <w:rFonts w:hint="eastAsia" w:ascii="宋体" w:hAnsi="宋体" w:eastAsia="宋体"/>
                <w:color w:val="auto"/>
                <w:spacing w:val="-2"/>
                <w:highlight w:val="none"/>
                <w:lang w:eastAsia="zh-CN"/>
              </w:rPr>
              <w:t>勘察</w:t>
            </w:r>
            <w:r>
              <w:rPr>
                <w:rFonts w:ascii="宋体" w:hAnsi="宋体" w:eastAsia="宋体"/>
                <w:color w:val="auto"/>
                <w:spacing w:val="-2"/>
                <w:highlight w:val="none"/>
              </w:rPr>
              <w:t>内容</w:t>
            </w:r>
          </w:p>
        </w:tc>
        <w:tc>
          <w:tcPr>
            <w:tcW w:w="6254" w:type="dxa"/>
          </w:tcPr>
          <w:p w14:paraId="4A03045D">
            <w:pPr>
              <w:rPr>
                <w:color w:val="auto"/>
                <w:highlight w:val="none"/>
              </w:rPr>
            </w:pPr>
          </w:p>
        </w:tc>
      </w:tr>
      <w:tr w14:paraId="544E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5045E43E">
            <w:pPr>
              <w:spacing w:before="287" w:line="217" w:lineRule="auto"/>
              <w:ind w:left="619"/>
              <w:rPr>
                <w:rFonts w:ascii="宋体" w:hAnsi="宋体" w:eastAsia="宋体"/>
                <w:color w:val="auto"/>
                <w:spacing w:val="-2"/>
                <w:highlight w:val="none"/>
              </w:rPr>
            </w:pPr>
            <w:r>
              <w:rPr>
                <w:rFonts w:ascii="宋体" w:hAnsi="宋体" w:eastAsia="宋体"/>
                <w:color w:val="auto"/>
                <w:spacing w:val="-2"/>
                <w:highlight w:val="none"/>
              </w:rPr>
              <w:t>项目负责人</w:t>
            </w:r>
          </w:p>
        </w:tc>
        <w:tc>
          <w:tcPr>
            <w:tcW w:w="6254" w:type="dxa"/>
          </w:tcPr>
          <w:p w14:paraId="6F1E88DD">
            <w:pPr>
              <w:rPr>
                <w:color w:val="auto"/>
                <w:highlight w:val="none"/>
              </w:rPr>
            </w:pPr>
          </w:p>
        </w:tc>
      </w:tr>
      <w:tr w14:paraId="3D4D0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1" w:type="dxa"/>
          </w:tcPr>
          <w:p w14:paraId="5B914474">
            <w:pPr>
              <w:spacing w:line="283" w:lineRule="auto"/>
              <w:rPr>
                <w:color w:val="auto"/>
                <w:highlight w:val="none"/>
              </w:rPr>
            </w:pPr>
          </w:p>
          <w:p w14:paraId="7BAB777A">
            <w:pPr>
              <w:spacing w:line="283" w:lineRule="auto"/>
              <w:rPr>
                <w:color w:val="auto"/>
                <w:highlight w:val="none"/>
              </w:rPr>
            </w:pPr>
          </w:p>
          <w:p w14:paraId="7146BC9E">
            <w:pPr>
              <w:spacing w:line="283" w:lineRule="auto"/>
              <w:rPr>
                <w:color w:val="auto"/>
                <w:highlight w:val="none"/>
              </w:rPr>
            </w:pPr>
          </w:p>
          <w:p w14:paraId="3D592261">
            <w:pPr>
              <w:spacing w:line="283" w:lineRule="auto"/>
              <w:rPr>
                <w:color w:val="auto"/>
                <w:highlight w:val="none"/>
              </w:rPr>
            </w:pPr>
          </w:p>
          <w:p w14:paraId="7BBB3C5B">
            <w:pPr>
              <w:spacing w:line="283" w:lineRule="auto"/>
              <w:rPr>
                <w:color w:val="auto"/>
                <w:highlight w:val="none"/>
              </w:rPr>
            </w:pPr>
          </w:p>
          <w:p w14:paraId="63AB72BF">
            <w:pPr>
              <w:spacing w:before="69" w:line="220" w:lineRule="auto"/>
              <w:ind w:left="724"/>
              <w:rPr>
                <w:rFonts w:ascii="宋体" w:hAnsi="宋体" w:eastAsia="宋体"/>
                <w:color w:val="auto"/>
                <w:spacing w:val="-3"/>
                <w:highlight w:val="none"/>
              </w:rPr>
            </w:pPr>
            <w:r>
              <w:rPr>
                <w:rFonts w:ascii="宋体" w:hAnsi="宋体" w:eastAsia="宋体"/>
                <w:color w:val="auto"/>
                <w:spacing w:val="-3"/>
                <w:highlight w:val="none"/>
              </w:rPr>
              <w:t>项</w:t>
            </w:r>
            <w:r>
              <w:rPr>
                <w:rFonts w:ascii="宋体" w:hAnsi="宋体" w:eastAsia="宋体"/>
                <w:color w:val="auto"/>
                <w:spacing w:val="-2"/>
                <w:highlight w:val="none"/>
              </w:rPr>
              <w:t>目描述</w:t>
            </w:r>
          </w:p>
        </w:tc>
        <w:tc>
          <w:tcPr>
            <w:tcW w:w="6254" w:type="dxa"/>
          </w:tcPr>
          <w:p w14:paraId="0CA7D3BD">
            <w:pPr>
              <w:rPr>
                <w:color w:val="auto"/>
                <w:highlight w:val="none"/>
              </w:rPr>
            </w:pPr>
          </w:p>
        </w:tc>
      </w:tr>
      <w:tr w14:paraId="40F0A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1" w:type="dxa"/>
          </w:tcPr>
          <w:p w14:paraId="2F6F276A">
            <w:pPr>
              <w:spacing w:before="289" w:line="222" w:lineRule="auto"/>
              <w:ind w:left="933"/>
              <w:rPr>
                <w:rFonts w:ascii="宋体" w:hAnsi="宋体" w:eastAsia="宋体"/>
                <w:color w:val="auto"/>
                <w:spacing w:val="-4"/>
                <w:highlight w:val="none"/>
              </w:rPr>
            </w:pPr>
            <w:r>
              <w:rPr>
                <w:rFonts w:ascii="宋体" w:hAnsi="宋体" w:eastAsia="宋体"/>
                <w:color w:val="auto"/>
                <w:spacing w:val="-4"/>
                <w:highlight w:val="none"/>
              </w:rPr>
              <w:t>备</w:t>
            </w:r>
            <w:r>
              <w:rPr>
                <w:rFonts w:ascii="宋体" w:hAnsi="宋体" w:eastAsia="宋体"/>
                <w:color w:val="auto"/>
                <w:spacing w:val="-2"/>
                <w:highlight w:val="none"/>
              </w:rPr>
              <w:t>注</w:t>
            </w:r>
          </w:p>
        </w:tc>
        <w:tc>
          <w:tcPr>
            <w:tcW w:w="6254" w:type="dxa"/>
          </w:tcPr>
          <w:p w14:paraId="6E29705B">
            <w:pPr>
              <w:rPr>
                <w:color w:val="auto"/>
                <w:highlight w:val="none"/>
              </w:rPr>
            </w:pPr>
          </w:p>
        </w:tc>
      </w:tr>
    </w:tbl>
    <w:p w14:paraId="5705944E">
      <w:pPr>
        <w:rPr>
          <w:color w:val="auto"/>
          <w:highlight w:val="none"/>
        </w:rPr>
        <w:sectPr>
          <w:pgSz w:w="12240" w:h="15840"/>
          <w:pgMar w:top="1346" w:right="1836" w:bottom="1104" w:left="1808" w:header="0" w:footer="940" w:gutter="0"/>
          <w:cols w:space="720" w:num="1"/>
        </w:sectPr>
      </w:pPr>
    </w:p>
    <w:p w14:paraId="6764D1CC">
      <w:pPr>
        <w:rPr>
          <w:rFonts w:ascii="黑体" w:hAnsi="黑体" w:eastAsia="黑体"/>
          <w:color w:val="auto"/>
          <w:spacing w:val="31"/>
          <w:sz w:val="27"/>
          <w:szCs w:val="27"/>
          <w:highlight w:val="none"/>
        </w:rPr>
      </w:pPr>
      <w:r>
        <w:rPr>
          <w:rFonts w:ascii="黑体" w:hAnsi="黑体" w:eastAsia="黑体"/>
          <w:color w:val="auto"/>
          <w:spacing w:val="31"/>
          <w:sz w:val="27"/>
          <w:szCs w:val="27"/>
          <w:highlight w:val="none"/>
        </w:rPr>
        <w:t>(</w:t>
      </w:r>
      <w:r>
        <w:rPr>
          <w:rFonts w:hint="eastAsia" w:ascii="黑体" w:hAnsi="黑体" w:eastAsia="黑体"/>
          <w:color w:val="auto"/>
          <w:spacing w:val="26"/>
          <w:sz w:val="27"/>
          <w:szCs w:val="27"/>
          <w:highlight w:val="none"/>
        </w:rPr>
        <w:t>五</w:t>
      </w:r>
      <w:r>
        <w:rPr>
          <w:rFonts w:ascii="黑体" w:hAnsi="黑体" w:eastAsia="黑体"/>
          <w:color w:val="auto"/>
          <w:spacing w:val="26"/>
          <w:sz w:val="27"/>
          <w:szCs w:val="27"/>
          <w:highlight w:val="none"/>
        </w:rPr>
        <w:t>)拟委任的主要人员汇总表</w:t>
      </w:r>
    </w:p>
    <w:p w14:paraId="23B8B674">
      <w:pPr>
        <w:rPr>
          <w:color w:val="auto"/>
          <w:highlight w:val="none"/>
        </w:rPr>
      </w:pPr>
    </w:p>
    <w:p w14:paraId="24C10E6E">
      <w:pPr>
        <w:rPr>
          <w:color w:val="auto"/>
          <w:highlight w:val="none"/>
        </w:rPr>
      </w:pPr>
    </w:p>
    <w:p w14:paraId="31E21608">
      <w:pPr>
        <w:spacing w:line="26" w:lineRule="exact"/>
        <w:rPr>
          <w:color w:val="auto"/>
          <w:highlight w:val="none"/>
        </w:rPr>
      </w:pPr>
    </w:p>
    <w:tbl>
      <w:tblPr>
        <w:tblStyle w:val="18"/>
        <w:tblW w:w="8026"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3"/>
        <w:gridCol w:w="992"/>
        <w:gridCol w:w="603"/>
        <w:gridCol w:w="487"/>
        <w:gridCol w:w="1133"/>
        <w:gridCol w:w="709"/>
        <w:gridCol w:w="871"/>
        <w:gridCol w:w="1138"/>
      </w:tblGrid>
      <w:tr w14:paraId="6BDC4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vMerge w:val="restart"/>
          </w:tcPr>
          <w:p w14:paraId="6DA3C2BB">
            <w:pPr>
              <w:spacing w:line="329" w:lineRule="auto"/>
              <w:rPr>
                <w:color w:val="auto"/>
                <w:highlight w:val="none"/>
              </w:rPr>
            </w:pPr>
          </w:p>
          <w:p w14:paraId="7538064E">
            <w:pPr>
              <w:spacing w:before="68" w:line="222" w:lineRule="auto"/>
              <w:ind w:left="203"/>
              <w:rPr>
                <w:rFonts w:ascii="宋体" w:hAnsi="宋体" w:eastAsia="宋体"/>
                <w:color w:val="auto"/>
                <w:spacing w:val="-2"/>
                <w:highlight w:val="none"/>
              </w:rPr>
            </w:pPr>
            <w:r>
              <w:rPr>
                <w:rFonts w:ascii="宋体" w:hAnsi="宋体" w:eastAsia="宋体"/>
                <w:color w:val="auto"/>
                <w:spacing w:val="-2"/>
                <w:highlight w:val="none"/>
              </w:rPr>
              <w:t>序号</w:t>
            </w:r>
          </w:p>
        </w:tc>
        <w:tc>
          <w:tcPr>
            <w:tcW w:w="1273" w:type="dxa"/>
            <w:vMerge w:val="restart"/>
          </w:tcPr>
          <w:p w14:paraId="540DDAA5">
            <w:pPr>
              <w:spacing w:line="329" w:lineRule="auto"/>
              <w:rPr>
                <w:color w:val="auto"/>
                <w:highlight w:val="none"/>
              </w:rPr>
            </w:pPr>
          </w:p>
          <w:p w14:paraId="0D1C0483">
            <w:pPr>
              <w:spacing w:before="68" w:line="220" w:lineRule="auto"/>
              <w:ind w:left="116"/>
              <w:rPr>
                <w:rFonts w:ascii="宋体" w:hAnsi="宋体" w:eastAsia="宋体"/>
                <w:color w:val="auto"/>
                <w:spacing w:val="-2"/>
                <w:highlight w:val="none"/>
              </w:rPr>
            </w:pPr>
            <w:r>
              <w:rPr>
                <w:rFonts w:ascii="宋体" w:hAnsi="宋体" w:eastAsia="宋体"/>
                <w:color w:val="auto"/>
                <w:spacing w:val="-2"/>
                <w:highlight w:val="none"/>
              </w:rPr>
              <w:t>本项目</w:t>
            </w:r>
            <w:r>
              <w:rPr>
                <w:rFonts w:ascii="宋体" w:hAnsi="宋体" w:eastAsia="宋体"/>
                <w:color w:val="auto"/>
                <w:spacing w:val="-1"/>
                <w:highlight w:val="none"/>
              </w:rPr>
              <w:t>任职</w:t>
            </w:r>
          </w:p>
        </w:tc>
        <w:tc>
          <w:tcPr>
            <w:tcW w:w="992" w:type="dxa"/>
            <w:vMerge w:val="restart"/>
          </w:tcPr>
          <w:p w14:paraId="6D831AAD">
            <w:pPr>
              <w:spacing w:line="330" w:lineRule="auto"/>
              <w:rPr>
                <w:color w:val="auto"/>
                <w:highlight w:val="none"/>
              </w:rPr>
            </w:pPr>
          </w:p>
          <w:p w14:paraId="1E5E69EA">
            <w:pPr>
              <w:spacing w:before="68" w:line="220" w:lineRule="auto"/>
              <w:ind w:left="290"/>
              <w:rPr>
                <w:rFonts w:ascii="宋体" w:hAnsi="宋体" w:eastAsia="宋体"/>
                <w:color w:val="auto"/>
                <w:spacing w:val="-3"/>
                <w:highlight w:val="none"/>
              </w:rPr>
            </w:pPr>
            <w:r>
              <w:rPr>
                <w:rFonts w:ascii="宋体" w:hAnsi="宋体" w:eastAsia="宋体"/>
                <w:color w:val="auto"/>
                <w:spacing w:val="-3"/>
                <w:highlight w:val="none"/>
              </w:rPr>
              <w:t>姓</w:t>
            </w:r>
            <w:r>
              <w:rPr>
                <w:rFonts w:ascii="宋体" w:hAnsi="宋体" w:eastAsia="宋体"/>
                <w:color w:val="auto"/>
                <w:spacing w:val="-2"/>
                <w:highlight w:val="none"/>
              </w:rPr>
              <w:t>名</w:t>
            </w:r>
          </w:p>
        </w:tc>
        <w:tc>
          <w:tcPr>
            <w:tcW w:w="603" w:type="dxa"/>
            <w:vMerge w:val="restart"/>
            <w:textDirection w:val="tbRlV"/>
          </w:tcPr>
          <w:p w14:paraId="0068642F">
            <w:pPr>
              <w:spacing w:before="194" w:line="211" w:lineRule="auto"/>
              <w:ind w:left="180"/>
              <w:rPr>
                <w:rFonts w:ascii="宋体" w:hAnsi="宋体" w:eastAsia="宋体"/>
                <w:color w:val="auto"/>
                <w:spacing w:val="5"/>
                <w:highlight w:val="none"/>
              </w:rPr>
            </w:pPr>
            <w:r>
              <w:rPr>
                <w:rFonts w:ascii="宋体" w:hAnsi="宋体" w:eastAsia="宋体"/>
                <w:color w:val="auto"/>
                <w:spacing w:val="5"/>
                <w:highlight w:val="none"/>
              </w:rPr>
              <w:t>职  称</w:t>
            </w:r>
          </w:p>
        </w:tc>
        <w:tc>
          <w:tcPr>
            <w:tcW w:w="487" w:type="dxa"/>
            <w:vMerge w:val="restart"/>
            <w:textDirection w:val="tbRlV"/>
          </w:tcPr>
          <w:p w14:paraId="7A12E0DD">
            <w:pPr>
              <w:spacing w:before="135" w:line="207" w:lineRule="auto"/>
              <w:ind w:left="180"/>
              <w:rPr>
                <w:rFonts w:ascii="宋体" w:hAnsi="宋体" w:eastAsia="宋体"/>
                <w:color w:val="auto"/>
                <w:spacing w:val="5"/>
                <w:highlight w:val="none"/>
              </w:rPr>
            </w:pPr>
            <w:r>
              <w:rPr>
                <w:rFonts w:ascii="宋体" w:hAnsi="宋体" w:eastAsia="宋体"/>
                <w:color w:val="auto"/>
                <w:spacing w:val="5"/>
                <w:highlight w:val="none"/>
              </w:rPr>
              <w:t>专  业</w:t>
            </w:r>
          </w:p>
        </w:tc>
        <w:tc>
          <w:tcPr>
            <w:tcW w:w="2713" w:type="dxa"/>
            <w:gridSpan w:val="3"/>
          </w:tcPr>
          <w:p w14:paraId="5A5912D7">
            <w:pPr>
              <w:spacing w:before="175" w:line="219" w:lineRule="auto"/>
              <w:ind w:left="418"/>
              <w:rPr>
                <w:rFonts w:ascii="宋体" w:hAnsi="宋体" w:eastAsia="宋体"/>
                <w:color w:val="auto"/>
                <w:spacing w:val="-1"/>
                <w:highlight w:val="none"/>
              </w:rPr>
            </w:pPr>
            <w:r>
              <w:rPr>
                <w:rFonts w:ascii="宋体" w:hAnsi="宋体" w:eastAsia="宋体"/>
                <w:color w:val="auto"/>
                <w:spacing w:val="-1"/>
                <w:highlight w:val="none"/>
              </w:rPr>
              <w:t>执业或职业资格证</w:t>
            </w:r>
            <w:r>
              <w:rPr>
                <w:rFonts w:ascii="宋体" w:hAnsi="宋体" w:eastAsia="宋体"/>
                <w:color w:val="auto"/>
                <w:highlight w:val="none"/>
              </w:rPr>
              <w:t>明</w:t>
            </w:r>
          </w:p>
        </w:tc>
        <w:tc>
          <w:tcPr>
            <w:tcW w:w="1138" w:type="dxa"/>
          </w:tcPr>
          <w:p w14:paraId="7CD235CE">
            <w:pPr>
              <w:spacing w:before="175" w:line="222" w:lineRule="auto"/>
              <w:ind w:left="366"/>
              <w:rPr>
                <w:rFonts w:ascii="宋体" w:hAnsi="宋体" w:eastAsia="宋体"/>
                <w:color w:val="auto"/>
                <w:spacing w:val="-4"/>
                <w:highlight w:val="none"/>
              </w:rPr>
            </w:pPr>
            <w:r>
              <w:rPr>
                <w:rFonts w:ascii="宋体" w:hAnsi="宋体" w:eastAsia="宋体"/>
                <w:color w:val="auto"/>
                <w:spacing w:val="-4"/>
                <w:highlight w:val="none"/>
              </w:rPr>
              <w:t>备</w:t>
            </w:r>
            <w:r>
              <w:rPr>
                <w:rFonts w:ascii="宋体" w:hAnsi="宋体" w:eastAsia="宋体"/>
                <w:color w:val="auto"/>
                <w:spacing w:val="-2"/>
                <w:highlight w:val="none"/>
              </w:rPr>
              <w:t>注</w:t>
            </w:r>
          </w:p>
        </w:tc>
      </w:tr>
      <w:tr w14:paraId="4276E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Merge w:val="continue"/>
          </w:tcPr>
          <w:p w14:paraId="06179F75">
            <w:pPr>
              <w:rPr>
                <w:color w:val="auto"/>
                <w:highlight w:val="none"/>
              </w:rPr>
            </w:pPr>
          </w:p>
        </w:tc>
        <w:tc>
          <w:tcPr>
            <w:tcW w:w="1273" w:type="dxa"/>
            <w:vMerge w:val="continue"/>
          </w:tcPr>
          <w:p w14:paraId="7D45DDE2">
            <w:pPr>
              <w:rPr>
                <w:color w:val="auto"/>
                <w:highlight w:val="none"/>
              </w:rPr>
            </w:pPr>
          </w:p>
        </w:tc>
        <w:tc>
          <w:tcPr>
            <w:tcW w:w="992" w:type="dxa"/>
            <w:vMerge w:val="continue"/>
          </w:tcPr>
          <w:p w14:paraId="2E4C1232">
            <w:pPr>
              <w:rPr>
                <w:color w:val="auto"/>
                <w:highlight w:val="none"/>
              </w:rPr>
            </w:pPr>
          </w:p>
        </w:tc>
        <w:tc>
          <w:tcPr>
            <w:tcW w:w="603" w:type="dxa"/>
            <w:vMerge w:val="continue"/>
            <w:textDirection w:val="tbRlV"/>
          </w:tcPr>
          <w:p w14:paraId="54EAE333">
            <w:pPr>
              <w:rPr>
                <w:color w:val="auto"/>
                <w:highlight w:val="none"/>
              </w:rPr>
            </w:pPr>
          </w:p>
        </w:tc>
        <w:tc>
          <w:tcPr>
            <w:tcW w:w="487" w:type="dxa"/>
            <w:vMerge w:val="continue"/>
            <w:textDirection w:val="tbRlV"/>
          </w:tcPr>
          <w:p w14:paraId="38631D15">
            <w:pPr>
              <w:rPr>
                <w:color w:val="auto"/>
                <w:highlight w:val="none"/>
              </w:rPr>
            </w:pPr>
          </w:p>
        </w:tc>
        <w:tc>
          <w:tcPr>
            <w:tcW w:w="1133" w:type="dxa"/>
          </w:tcPr>
          <w:p w14:paraId="73E4746B">
            <w:pPr>
              <w:spacing w:before="171" w:line="220" w:lineRule="auto"/>
              <w:ind w:left="152"/>
              <w:rPr>
                <w:rFonts w:ascii="宋体" w:hAnsi="宋体" w:eastAsia="宋体"/>
                <w:color w:val="auto"/>
                <w:spacing w:val="-2"/>
                <w:highlight w:val="none"/>
              </w:rPr>
            </w:pPr>
            <w:r>
              <w:rPr>
                <w:rFonts w:ascii="宋体" w:hAnsi="宋体" w:eastAsia="宋体"/>
                <w:color w:val="auto"/>
                <w:spacing w:val="-2"/>
                <w:highlight w:val="none"/>
              </w:rPr>
              <w:t>证书名</w:t>
            </w:r>
            <w:r>
              <w:rPr>
                <w:rFonts w:ascii="宋体" w:hAnsi="宋体" w:eastAsia="宋体"/>
                <w:color w:val="auto"/>
                <w:spacing w:val="-1"/>
                <w:highlight w:val="none"/>
              </w:rPr>
              <w:t>称</w:t>
            </w:r>
          </w:p>
        </w:tc>
        <w:tc>
          <w:tcPr>
            <w:tcW w:w="709" w:type="dxa"/>
          </w:tcPr>
          <w:p w14:paraId="1637B184">
            <w:pPr>
              <w:spacing w:before="171" w:line="221" w:lineRule="auto"/>
              <w:ind w:left="154"/>
              <w:rPr>
                <w:rFonts w:ascii="宋体" w:hAnsi="宋体" w:eastAsia="宋体"/>
                <w:color w:val="auto"/>
                <w:spacing w:val="-3"/>
                <w:highlight w:val="none"/>
              </w:rPr>
            </w:pPr>
            <w:r>
              <w:rPr>
                <w:rFonts w:ascii="宋体" w:hAnsi="宋体" w:eastAsia="宋体"/>
                <w:color w:val="auto"/>
                <w:spacing w:val="-3"/>
                <w:highlight w:val="none"/>
              </w:rPr>
              <w:t>级别</w:t>
            </w:r>
          </w:p>
        </w:tc>
        <w:tc>
          <w:tcPr>
            <w:tcW w:w="871" w:type="dxa"/>
          </w:tcPr>
          <w:p w14:paraId="4EC75EC0">
            <w:pPr>
              <w:spacing w:before="171" w:line="222" w:lineRule="auto"/>
              <w:ind w:left="232"/>
              <w:rPr>
                <w:rFonts w:ascii="宋体" w:hAnsi="宋体" w:eastAsia="宋体"/>
                <w:color w:val="auto"/>
                <w:spacing w:val="-3"/>
                <w:highlight w:val="none"/>
              </w:rPr>
            </w:pPr>
            <w:r>
              <w:rPr>
                <w:rFonts w:ascii="宋体" w:hAnsi="宋体" w:eastAsia="宋体"/>
                <w:color w:val="auto"/>
                <w:spacing w:val="-3"/>
                <w:highlight w:val="none"/>
              </w:rPr>
              <w:t>证</w:t>
            </w:r>
            <w:r>
              <w:rPr>
                <w:rFonts w:ascii="宋体" w:hAnsi="宋体" w:eastAsia="宋体"/>
                <w:color w:val="auto"/>
                <w:spacing w:val="-2"/>
                <w:highlight w:val="none"/>
              </w:rPr>
              <w:t>号</w:t>
            </w:r>
          </w:p>
        </w:tc>
        <w:tc>
          <w:tcPr>
            <w:tcW w:w="1138" w:type="dxa"/>
          </w:tcPr>
          <w:p w14:paraId="21A25C48">
            <w:pPr>
              <w:rPr>
                <w:color w:val="auto"/>
                <w:highlight w:val="none"/>
              </w:rPr>
            </w:pPr>
          </w:p>
        </w:tc>
      </w:tr>
      <w:tr w14:paraId="17647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5180C400">
            <w:pPr>
              <w:rPr>
                <w:color w:val="auto"/>
                <w:highlight w:val="none"/>
              </w:rPr>
            </w:pPr>
          </w:p>
        </w:tc>
        <w:tc>
          <w:tcPr>
            <w:tcW w:w="1273" w:type="dxa"/>
          </w:tcPr>
          <w:p w14:paraId="473EC617">
            <w:pPr>
              <w:rPr>
                <w:color w:val="auto"/>
                <w:highlight w:val="none"/>
              </w:rPr>
            </w:pPr>
          </w:p>
        </w:tc>
        <w:tc>
          <w:tcPr>
            <w:tcW w:w="992" w:type="dxa"/>
          </w:tcPr>
          <w:p w14:paraId="6B6A1767">
            <w:pPr>
              <w:rPr>
                <w:color w:val="auto"/>
                <w:highlight w:val="none"/>
              </w:rPr>
            </w:pPr>
          </w:p>
        </w:tc>
        <w:tc>
          <w:tcPr>
            <w:tcW w:w="603" w:type="dxa"/>
          </w:tcPr>
          <w:p w14:paraId="75CA774D">
            <w:pPr>
              <w:rPr>
                <w:color w:val="auto"/>
                <w:highlight w:val="none"/>
              </w:rPr>
            </w:pPr>
          </w:p>
        </w:tc>
        <w:tc>
          <w:tcPr>
            <w:tcW w:w="487" w:type="dxa"/>
          </w:tcPr>
          <w:p w14:paraId="7EE6B93A">
            <w:pPr>
              <w:rPr>
                <w:color w:val="auto"/>
                <w:highlight w:val="none"/>
              </w:rPr>
            </w:pPr>
          </w:p>
        </w:tc>
        <w:tc>
          <w:tcPr>
            <w:tcW w:w="1133" w:type="dxa"/>
          </w:tcPr>
          <w:p w14:paraId="066948B5">
            <w:pPr>
              <w:rPr>
                <w:color w:val="auto"/>
                <w:highlight w:val="none"/>
              </w:rPr>
            </w:pPr>
          </w:p>
        </w:tc>
        <w:tc>
          <w:tcPr>
            <w:tcW w:w="709" w:type="dxa"/>
          </w:tcPr>
          <w:p w14:paraId="3DB63599">
            <w:pPr>
              <w:rPr>
                <w:color w:val="auto"/>
                <w:highlight w:val="none"/>
              </w:rPr>
            </w:pPr>
          </w:p>
        </w:tc>
        <w:tc>
          <w:tcPr>
            <w:tcW w:w="871" w:type="dxa"/>
          </w:tcPr>
          <w:p w14:paraId="0B26051F">
            <w:pPr>
              <w:rPr>
                <w:color w:val="auto"/>
                <w:highlight w:val="none"/>
              </w:rPr>
            </w:pPr>
          </w:p>
        </w:tc>
        <w:tc>
          <w:tcPr>
            <w:tcW w:w="1138" w:type="dxa"/>
          </w:tcPr>
          <w:p w14:paraId="6B7A603B">
            <w:pPr>
              <w:rPr>
                <w:color w:val="auto"/>
                <w:highlight w:val="none"/>
              </w:rPr>
            </w:pPr>
          </w:p>
        </w:tc>
      </w:tr>
      <w:tr w14:paraId="5E31E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032D599C">
            <w:pPr>
              <w:rPr>
                <w:color w:val="auto"/>
                <w:highlight w:val="none"/>
              </w:rPr>
            </w:pPr>
          </w:p>
        </w:tc>
        <w:tc>
          <w:tcPr>
            <w:tcW w:w="1273" w:type="dxa"/>
          </w:tcPr>
          <w:p w14:paraId="1039CC56">
            <w:pPr>
              <w:rPr>
                <w:color w:val="auto"/>
                <w:highlight w:val="none"/>
              </w:rPr>
            </w:pPr>
          </w:p>
        </w:tc>
        <w:tc>
          <w:tcPr>
            <w:tcW w:w="992" w:type="dxa"/>
          </w:tcPr>
          <w:p w14:paraId="49E1B49D">
            <w:pPr>
              <w:rPr>
                <w:color w:val="auto"/>
                <w:highlight w:val="none"/>
              </w:rPr>
            </w:pPr>
          </w:p>
        </w:tc>
        <w:tc>
          <w:tcPr>
            <w:tcW w:w="603" w:type="dxa"/>
          </w:tcPr>
          <w:p w14:paraId="7D6F7203">
            <w:pPr>
              <w:rPr>
                <w:color w:val="auto"/>
                <w:highlight w:val="none"/>
              </w:rPr>
            </w:pPr>
          </w:p>
        </w:tc>
        <w:tc>
          <w:tcPr>
            <w:tcW w:w="487" w:type="dxa"/>
          </w:tcPr>
          <w:p w14:paraId="027A8203">
            <w:pPr>
              <w:rPr>
                <w:color w:val="auto"/>
                <w:highlight w:val="none"/>
              </w:rPr>
            </w:pPr>
          </w:p>
        </w:tc>
        <w:tc>
          <w:tcPr>
            <w:tcW w:w="1133" w:type="dxa"/>
          </w:tcPr>
          <w:p w14:paraId="64535839">
            <w:pPr>
              <w:rPr>
                <w:color w:val="auto"/>
                <w:highlight w:val="none"/>
              </w:rPr>
            </w:pPr>
          </w:p>
        </w:tc>
        <w:tc>
          <w:tcPr>
            <w:tcW w:w="709" w:type="dxa"/>
          </w:tcPr>
          <w:p w14:paraId="294BCD8B">
            <w:pPr>
              <w:rPr>
                <w:color w:val="auto"/>
                <w:highlight w:val="none"/>
              </w:rPr>
            </w:pPr>
          </w:p>
        </w:tc>
        <w:tc>
          <w:tcPr>
            <w:tcW w:w="871" w:type="dxa"/>
          </w:tcPr>
          <w:p w14:paraId="22576FE1">
            <w:pPr>
              <w:rPr>
                <w:color w:val="auto"/>
                <w:highlight w:val="none"/>
              </w:rPr>
            </w:pPr>
          </w:p>
        </w:tc>
        <w:tc>
          <w:tcPr>
            <w:tcW w:w="1138" w:type="dxa"/>
          </w:tcPr>
          <w:p w14:paraId="7BC4E609">
            <w:pPr>
              <w:rPr>
                <w:color w:val="auto"/>
                <w:highlight w:val="none"/>
              </w:rPr>
            </w:pPr>
          </w:p>
        </w:tc>
      </w:tr>
      <w:tr w14:paraId="7B098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1BCDD0BA">
            <w:pPr>
              <w:rPr>
                <w:color w:val="auto"/>
                <w:highlight w:val="none"/>
              </w:rPr>
            </w:pPr>
          </w:p>
        </w:tc>
        <w:tc>
          <w:tcPr>
            <w:tcW w:w="1273" w:type="dxa"/>
          </w:tcPr>
          <w:p w14:paraId="2630F542">
            <w:pPr>
              <w:rPr>
                <w:color w:val="auto"/>
                <w:highlight w:val="none"/>
              </w:rPr>
            </w:pPr>
          </w:p>
        </w:tc>
        <w:tc>
          <w:tcPr>
            <w:tcW w:w="992" w:type="dxa"/>
          </w:tcPr>
          <w:p w14:paraId="7D96C1D9">
            <w:pPr>
              <w:rPr>
                <w:color w:val="auto"/>
                <w:highlight w:val="none"/>
              </w:rPr>
            </w:pPr>
          </w:p>
        </w:tc>
        <w:tc>
          <w:tcPr>
            <w:tcW w:w="603" w:type="dxa"/>
          </w:tcPr>
          <w:p w14:paraId="7A9EE492">
            <w:pPr>
              <w:rPr>
                <w:color w:val="auto"/>
                <w:highlight w:val="none"/>
              </w:rPr>
            </w:pPr>
          </w:p>
        </w:tc>
        <w:tc>
          <w:tcPr>
            <w:tcW w:w="487" w:type="dxa"/>
          </w:tcPr>
          <w:p w14:paraId="7E683DB9">
            <w:pPr>
              <w:rPr>
                <w:color w:val="auto"/>
                <w:highlight w:val="none"/>
              </w:rPr>
            </w:pPr>
          </w:p>
        </w:tc>
        <w:tc>
          <w:tcPr>
            <w:tcW w:w="1133" w:type="dxa"/>
          </w:tcPr>
          <w:p w14:paraId="0662F2EA">
            <w:pPr>
              <w:rPr>
                <w:color w:val="auto"/>
                <w:highlight w:val="none"/>
              </w:rPr>
            </w:pPr>
          </w:p>
        </w:tc>
        <w:tc>
          <w:tcPr>
            <w:tcW w:w="709" w:type="dxa"/>
          </w:tcPr>
          <w:p w14:paraId="38ECEECE">
            <w:pPr>
              <w:rPr>
                <w:color w:val="auto"/>
                <w:highlight w:val="none"/>
              </w:rPr>
            </w:pPr>
          </w:p>
        </w:tc>
        <w:tc>
          <w:tcPr>
            <w:tcW w:w="871" w:type="dxa"/>
          </w:tcPr>
          <w:p w14:paraId="4B6FE746">
            <w:pPr>
              <w:rPr>
                <w:color w:val="auto"/>
                <w:highlight w:val="none"/>
              </w:rPr>
            </w:pPr>
          </w:p>
        </w:tc>
        <w:tc>
          <w:tcPr>
            <w:tcW w:w="1138" w:type="dxa"/>
          </w:tcPr>
          <w:p w14:paraId="7F2EA4A4">
            <w:pPr>
              <w:rPr>
                <w:color w:val="auto"/>
                <w:highlight w:val="none"/>
              </w:rPr>
            </w:pPr>
          </w:p>
        </w:tc>
      </w:tr>
      <w:tr w14:paraId="35B70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32B391B">
            <w:pPr>
              <w:rPr>
                <w:color w:val="auto"/>
                <w:highlight w:val="none"/>
              </w:rPr>
            </w:pPr>
          </w:p>
        </w:tc>
        <w:tc>
          <w:tcPr>
            <w:tcW w:w="1273" w:type="dxa"/>
          </w:tcPr>
          <w:p w14:paraId="53FBECA1">
            <w:pPr>
              <w:rPr>
                <w:color w:val="auto"/>
                <w:highlight w:val="none"/>
              </w:rPr>
            </w:pPr>
          </w:p>
        </w:tc>
        <w:tc>
          <w:tcPr>
            <w:tcW w:w="992" w:type="dxa"/>
          </w:tcPr>
          <w:p w14:paraId="409DE5A2">
            <w:pPr>
              <w:rPr>
                <w:color w:val="auto"/>
                <w:highlight w:val="none"/>
              </w:rPr>
            </w:pPr>
          </w:p>
        </w:tc>
        <w:tc>
          <w:tcPr>
            <w:tcW w:w="603" w:type="dxa"/>
          </w:tcPr>
          <w:p w14:paraId="5DF4A31F">
            <w:pPr>
              <w:rPr>
                <w:color w:val="auto"/>
                <w:highlight w:val="none"/>
              </w:rPr>
            </w:pPr>
          </w:p>
        </w:tc>
        <w:tc>
          <w:tcPr>
            <w:tcW w:w="487" w:type="dxa"/>
          </w:tcPr>
          <w:p w14:paraId="707F91A5">
            <w:pPr>
              <w:rPr>
                <w:color w:val="auto"/>
                <w:highlight w:val="none"/>
              </w:rPr>
            </w:pPr>
          </w:p>
        </w:tc>
        <w:tc>
          <w:tcPr>
            <w:tcW w:w="1133" w:type="dxa"/>
          </w:tcPr>
          <w:p w14:paraId="2B94E22A">
            <w:pPr>
              <w:rPr>
                <w:color w:val="auto"/>
                <w:highlight w:val="none"/>
              </w:rPr>
            </w:pPr>
          </w:p>
        </w:tc>
        <w:tc>
          <w:tcPr>
            <w:tcW w:w="709" w:type="dxa"/>
          </w:tcPr>
          <w:p w14:paraId="2F58DF6F">
            <w:pPr>
              <w:rPr>
                <w:color w:val="auto"/>
                <w:highlight w:val="none"/>
              </w:rPr>
            </w:pPr>
          </w:p>
        </w:tc>
        <w:tc>
          <w:tcPr>
            <w:tcW w:w="871" w:type="dxa"/>
          </w:tcPr>
          <w:p w14:paraId="4C3D574A">
            <w:pPr>
              <w:rPr>
                <w:color w:val="auto"/>
                <w:highlight w:val="none"/>
              </w:rPr>
            </w:pPr>
          </w:p>
        </w:tc>
        <w:tc>
          <w:tcPr>
            <w:tcW w:w="1138" w:type="dxa"/>
          </w:tcPr>
          <w:p w14:paraId="29F420BF">
            <w:pPr>
              <w:rPr>
                <w:color w:val="auto"/>
                <w:highlight w:val="none"/>
              </w:rPr>
            </w:pPr>
          </w:p>
        </w:tc>
      </w:tr>
      <w:tr w14:paraId="69958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592DB098">
            <w:pPr>
              <w:rPr>
                <w:color w:val="auto"/>
                <w:highlight w:val="none"/>
              </w:rPr>
            </w:pPr>
          </w:p>
        </w:tc>
        <w:tc>
          <w:tcPr>
            <w:tcW w:w="1273" w:type="dxa"/>
          </w:tcPr>
          <w:p w14:paraId="0F6DA381">
            <w:pPr>
              <w:rPr>
                <w:color w:val="auto"/>
                <w:highlight w:val="none"/>
              </w:rPr>
            </w:pPr>
          </w:p>
        </w:tc>
        <w:tc>
          <w:tcPr>
            <w:tcW w:w="992" w:type="dxa"/>
          </w:tcPr>
          <w:p w14:paraId="3705E059">
            <w:pPr>
              <w:rPr>
                <w:color w:val="auto"/>
                <w:highlight w:val="none"/>
              </w:rPr>
            </w:pPr>
          </w:p>
        </w:tc>
        <w:tc>
          <w:tcPr>
            <w:tcW w:w="603" w:type="dxa"/>
          </w:tcPr>
          <w:p w14:paraId="1809D4C5">
            <w:pPr>
              <w:rPr>
                <w:color w:val="auto"/>
                <w:highlight w:val="none"/>
              </w:rPr>
            </w:pPr>
          </w:p>
        </w:tc>
        <w:tc>
          <w:tcPr>
            <w:tcW w:w="487" w:type="dxa"/>
          </w:tcPr>
          <w:p w14:paraId="19AB2C6B">
            <w:pPr>
              <w:rPr>
                <w:color w:val="auto"/>
                <w:highlight w:val="none"/>
              </w:rPr>
            </w:pPr>
          </w:p>
        </w:tc>
        <w:tc>
          <w:tcPr>
            <w:tcW w:w="1133" w:type="dxa"/>
          </w:tcPr>
          <w:p w14:paraId="3ED61AA2">
            <w:pPr>
              <w:rPr>
                <w:color w:val="auto"/>
                <w:highlight w:val="none"/>
              </w:rPr>
            </w:pPr>
          </w:p>
        </w:tc>
        <w:tc>
          <w:tcPr>
            <w:tcW w:w="709" w:type="dxa"/>
          </w:tcPr>
          <w:p w14:paraId="6DF9997C">
            <w:pPr>
              <w:rPr>
                <w:color w:val="auto"/>
                <w:highlight w:val="none"/>
              </w:rPr>
            </w:pPr>
          </w:p>
        </w:tc>
        <w:tc>
          <w:tcPr>
            <w:tcW w:w="871" w:type="dxa"/>
          </w:tcPr>
          <w:p w14:paraId="6530183F">
            <w:pPr>
              <w:rPr>
                <w:color w:val="auto"/>
                <w:highlight w:val="none"/>
              </w:rPr>
            </w:pPr>
          </w:p>
        </w:tc>
        <w:tc>
          <w:tcPr>
            <w:tcW w:w="1138" w:type="dxa"/>
          </w:tcPr>
          <w:p w14:paraId="650FAD90">
            <w:pPr>
              <w:rPr>
                <w:color w:val="auto"/>
                <w:highlight w:val="none"/>
              </w:rPr>
            </w:pPr>
          </w:p>
        </w:tc>
      </w:tr>
      <w:tr w14:paraId="783C9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1362EF5B">
            <w:pPr>
              <w:rPr>
                <w:color w:val="auto"/>
                <w:highlight w:val="none"/>
              </w:rPr>
            </w:pPr>
          </w:p>
        </w:tc>
        <w:tc>
          <w:tcPr>
            <w:tcW w:w="1273" w:type="dxa"/>
          </w:tcPr>
          <w:p w14:paraId="2AE4BF73">
            <w:pPr>
              <w:rPr>
                <w:color w:val="auto"/>
                <w:highlight w:val="none"/>
              </w:rPr>
            </w:pPr>
          </w:p>
        </w:tc>
        <w:tc>
          <w:tcPr>
            <w:tcW w:w="992" w:type="dxa"/>
          </w:tcPr>
          <w:p w14:paraId="7AA3CF39">
            <w:pPr>
              <w:rPr>
                <w:color w:val="auto"/>
                <w:highlight w:val="none"/>
              </w:rPr>
            </w:pPr>
          </w:p>
        </w:tc>
        <w:tc>
          <w:tcPr>
            <w:tcW w:w="603" w:type="dxa"/>
          </w:tcPr>
          <w:p w14:paraId="4C3DDEE5">
            <w:pPr>
              <w:rPr>
                <w:color w:val="auto"/>
                <w:highlight w:val="none"/>
              </w:rPr>
            </w:pPr>
          </w:p>
        </w:tc>
        <w:tc>
          <w:tcPr>
            <w:tcW w:w="487" w:type="dxa"/>
          </w:tcPr>
          <w:p w14:paraId="7C25C693">
            <w:pPr>
              <w:rPr>
                <w:color w:val="auto"/>
                <w:highlight w:val="none"/>
              </w:rPr>
            </w:pPr>
          </w:p>
        </w:tc>
        <w:tc>
          <w:tcPr>
            <w:tcW w:w="1133" w:type="dxa"/>
          </w:tcPr>
          <w:p w14:paraId="2CA763A5">
            <w:pPr>
              <w:rPr>
                <w:color w:val="auto"/>
                <w:highlight w:val="none"/>
              </w:rPr>
            </w:pPr>
          </w:p>
        </w:tc>
        <w:tc>
          <w:tcPr>
            <w:tcW w:w="709" w:type="dxa"/>
          </w:tcPr>
          <w:p w14:paraId="01E2E7E6">
            <w:pPr>
              <w:rPr>
                <w:color w:val="auto"/>
                <w:highlight w:val="none"/>
              </w:rPr>
            </w:pPr>
          </w:p>
        </w:tc>
        <w:tc>
          <w:tcPr>
            <w:tcW w:w="871" w:type="dxa"/>
          </w:tcPr>
          <w:p w14:paraId="4FEE9509">
            <w:pPr>
              <w:rPr>
                <w:color w:val="auto"/>
                <w:highlight w:val="none"/>
              </w:rPr>
            </w:pPr>
          </w:p>
        </w:tc>
        <w:tc>
          <w:tcPr>
            <w:tcW w:w="1138" w:type="dxa"/>
          </w:tcPr>
          <w:p w14:paraId="2AD1F6A9">
            <w:pPr>
              <w:rPr>
                <w:color w:val="auto"/>
                <w:highlight w:val="none"/>
              </w:rPr>
            </w:pPr>
          </w:p>
        </w:tc>
      </w:tr>
      <w:tr w14:paraId="72F9D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64F8A457">
            <w:pPr>
              <w:rPr>
                <w:color w:val="auto"/>
                <w:highlight w:val="none"/>
              </w:rPr>
            </w:pPr>
          </w:p>
        </w:tc>
        <w:tc>
          <w:tcPr>
            <w:tcW w:w="1273" w:type="dxa"/>
          </w:tcPr>
          <w:p w14:paraId="311E3C0E">
            <w:pPr>
              <w:rPr>
                <w:color w:val="auto"/>
                <w:highlight w:val="none"/>
              </w:rPr>
            </w:pPr>
          </w:p>
        </w:tc>
        <w:tc>
          <w:tcPr>
            <w:tcW w:w="992" w:type="dxa"/>
          </w:tcPr>
          <w:p w14:paraId="2DCF6D90">
            <w:pPr>
              <w:rPr>
                <w:color w:val="auto"/>
                <w:highlight w:val="none"/>
              </w:rPr>
            </w:pPr>
          </w:p>
        </w:tc>
        <w:tc>
          <w:tcPr>
            <w:tcW w:w="603" w:type="dxa"/>
          </w:tcPr>
          <w:p w14:paraId="7A9FB46D">
            <w:pPr>
              <w:rPr>
                <w:color w:val="auto"/>
                <w:highlight w:val="none"/>
              </w:rPr>
            </w:pPr>
          </w:p>
        </w:tc>
        <w:tc>
          <w:tcPr>
            <w:tcW w:w="487" w:type="dxa"/>
          </w:tcPr>
          <w:p w14:paraId="62D50E69">
            <w:pPr>
              <w:rPr>
                <w:color w:val="auto"/>
                <w:highlight w:val="none"/>
              </w:rPr>
            </w:pPr>
          </w:p>
        </w:tc>
        <w:tc>
          <w:tcPr>
            <w:tcW w:w="1133" w:type="dxa"/>
          </w:tcPr>
          <w:p w14:paraId="78CBEABD">
            <w:pPr>
              <w:rPr>
                <w:color w:val="auto"/>
                <w:highlight w:val="none"/>
              </w:rPr>
            </w:pPr>
          </w:p>
        </w:tc>
        <w:tc>
          <w:tcPr>
            <w:tcW w:w="709" w:type="dxa"/>
          </w:tcPr>
          <w:p w14:paraId="0A299225">
            <w:pPr>
              <w:rPr>
                <w:color w:val="auto"/>
                <w:highlight w:val="none"/>
              </w:rPr>
            </w:pPr>
          </w:p>
        </w:tc>
        <w:tc>
          <w:tcPr>
            <w:tcW w:w="871" w:type="dxa"/>
          </w:tcPr>
          <w:p w14:paraId="4FE81F3E">
            <w:pPr>
              <w:rPr>
                <w:color w:val="auto"/>
                <w:highlight w:val="none"/>
              </w:rPr>
            </w:pPr>
          </w:p>
        </w:tc>
        <w:tc>
          <w:tcPr>
            <w:tcW w:w="1138" w:type="dxa"/>
          </w:tcPr>
          <w:p w14:paraId="70AFB9AC">
            <w:pPr>
              <w:rPr>
                <w:color w:val="auto"/>
                <w:highlight w:val="none"/>
              </w:rPr>
            </w:pPr>
          </w:p>
        </w:tc>
      </w:tr>
      <w:tr w14:paraId="306DF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132BB344">
            <w:pPr>
              <w:rPr>
                <w:color w:val="auto"/>
                <w:highlight w:val="none"/>
              </w:rPr>
            </w:pPr>
          </w:p>
        </w:tc>
        <w:tc>
          <w:tcPr>
            <w:tcW w:w="1273" w:type="dxa"/>
          </w:tcPr>
          <w:p w14:paraId="34E660F2">
            <w:pPr>
              <w:rPr>
                <w:color w:val="auto"/>
                <w:highlight w:val="none"/>
              </w:rPr>
            </w:pPr>
          </w:p>
        </w:tc>
        <w:tc>
          <w:tcPr>
            <w:tcW w:w="992" w:type="dxa"/>
          </w:tcPr>
          <w:p w14:paraId="47DBC5A6">
            <w:pPr>
              <w:rPr>
                <w:color w:val="auto"/>
                <w:highlight w:val="none"/>
              </w:rPr>
            </w:pPr>
          </w:p>
        </w:tc>
        <w:tc>
          <w:tcPr>
            <w:tcW w:w="603" w:type="dxa"/>
          </w:tcPr>
          <w:p w14:paraId="4D4E0761">
            <w:pPr>
              <w:rPr>
                <w:color w:val="auto"/>
                <w:highlight w:val="none"/>
              </w:rPr>
            </w:pPr>
          </w:p>
        </w:tc>
        <w:tc>
          <w:tcPr>
            <w:tcW w:w="487" w:type="dxa"/>
          </w:tcPr>
          <w:p w14:paraId="70A82180">
            <w:pPr>
              <w:rPr>
                <w:color w:val="auto"/>
                <w:highlight w:val="none"/>
              </w:rPr>
            </w:pPr>
          </w:p>
        </w:tc>
        <w:tc>
          <w:tcPr>
            <w:tcW w:w="1133" w:type="dxa"/>
          </w:tcPr>
          <w:p w14:paraId="26B94A82">
            <w:pPr>
              <w:rPr>
                <w:color w:val="auto"/>
                <w:highlight w:val="none"/>
              </w:rPr>
            </w:pPr>
          </w:p>
        </w:tc>
        <w:tc>
          <w:tcPr>
            <w:tcW w:w="709" w:type="dxa"/>
          </w:tcPr>
          <w:p w14:paraId="7662B4CA">
            <w:pPr>
              <w:rPr>
                <w:color w:val="auto"/>
                <w:highlight w:val="none"/>
              </w:rPr>
            </w:pPr>
          </w:p>
        </w:tc>
        <w:tc>
          <w:tcPr>
            <w:tcW w:w="871" w:type="dxa"/>
          </w:tcPr>
          <w:p w14:paraId="2D9D94D0">
            <w:pPr>
              <w:rPr>
                <w:color w:val="auto"/>
                <w:highlight w:val="none"/>
              </w:rPr>
            </w:pPr>
          </w:p>
        </w:tc>
        <w:tc>
          <w:tcPr>
            <w:tcW w:w="1138" w:type="dxa"/>
          </w:tcPr>
          <w:p w14:paraId="31A56086">
            <w:pPr>
              <w:rPr>
                <w:color w:val="auto"/>
                <w:highlight w:val="none"/>
              </w:rPr>
            </w:pPr>
          </w:p>
        </w:tc>
      </w:tr>
      <w:tr w14:paraId="2AF6E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5B5AE2C7">
            <w:pPr>
              <w:rPr>
                <w:color w:val="auto"/>
                <w:highlight w:val="none"/>
              </w:rPr>
            </w:pPr>
          </w:p>
        </w:tc>
        <w:tc>
          <w:tcPr>
            <w:tcW w:w="1273" w:type="dxa"/>
          </w:tcPr>
          <w:p w14:paraId="1F59A6D5">
            <w:pPr>
              <w:rPr>
                <w:color w:val="auto"/>
                <w:highlight w:val="none"/>
              </w:rPr>
            </w:pPr>
          </w:p>
        </w:tc>
        <w:tc>
          <w:tcPr>
            <w:tcW w:w="992" w:type="dxa"/>
          </w:tcPr>
          <w:p w14:paraId="52FFE742">
            <w:pPr>
              <w:rPr>
                <w:color w:val="auto"/>
                <w:highlight w:val="none"/>
              </w:rPr>
            </w:pPr>
          </w:p>
        </w:tc>
        <w:tc>
          <w:tcPr>
            <w:tcW w:w="603" w:type="dxa"/>
          </w:tcPr>
          <w:p w14:paraId="7EA98EE3">
            <w:pPr>
              <w:rPr>
                <w:color w:val="auto"/>
                <w:highlight w:val="none"/>
              </w:rPr>
            </w:pPr>
          </w:p>
        </w:tc>
        <w:tc>
          <w:tcPr>
            <w:tcW w:w="487" w:type="dxa"/>
          </w:tcPr>
          <w:p w14:paraId="76FFF9C3">
            <w:pPr>
              <w:rPr>
                <w:color w:val="auto"/>
                <w:highlight w:val="none"/>
              </w:rPr>
            </w:pPr>
          </w:p>
        </w:tc>
        <w:tc>
          <w:tcPr>
            <w:tcW w:w="1133" w:type="dxa"/>
          </w:tcPr>
          <w:p w14:paraId="264D332E">
            <w:pPr>
              <w:rPr>
                <w:color w:val="auto"/>
                <w:highlight w:val="none"/>
              </w:rPr>
            </w:pPr>
          </w:p>
        </w:tc>
        <w:tc>
          <w:tcPr>
            <w:tcW w:w="709" w:type="dxa"/>
          </w:tcPr>
          <w:p w14:paraId="776C87E9">
            <w:pPr>
              <w:rPr>
                <w:color w:val="auto"/>
                <w:highlight w:val="none"/>
              </w:rPr>
            </w:pPr>
          </w:p>
        </w:tc>
        <w:tc>
          <w:tcPr>
            <w:tcW w:w="871" w:type="dxa"/>
          </w:tcPr>
          <w:p w14:paraId="29D8064B">
            <w:pPr>
              <w:rPr>
                <w:color w:val="auto"/>
                <w:highlight w:val="none"/>
              </w:rPr>
            </w:pPr>
          </w:p>
        </w:tc>
        <w:tc>
          <w:tcPr>
            <w:tcW w:w="1138" w:type="dxa"/>
          </w:tcPr>
          <w:p w14:paraId="1306EAC2">
            <w:pPr>
              <w:rPr>
                <w:color w:val="auto"/>
                <w:highlight w:val="none"/>
              </w:rPr>
            </w:pPr>
          </w:p>
        </w:tc>
      </w:tr>
      <w:tr w14:paraId="3A28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6EF445B1">
            <w:pPr>
              <w:rPr>
                <w:color w:val="auto"/>
                <w:highlight w:val="none"/>
              </w:rPr>
            </w:pPr>
          </w:p>
        </w:tc>
        <w:tc>
          <w:tcPr>
            <w:tcW w:w="1273" w:type="dxa"/>
          </w:tcPr>
          <w:p w14:paraId="149355D8">
            <w:pPr>
              <w:rPr>
                <w:color w:val="auto"/>
                <w:highlight w:val="none"/>
              </w:rPr>
            </w:pPr>
          </w:p>
        </w:tc>
        <w:tc>
          <w:tcPr>
            <w:tcW w:w="992" w:type="dxa"/>
          </w:tcPr>
          <w:p w14:paraId="3FFF9C72">
            <w:pPr>
              <w:rPr>
                <w:color w:val="auto"/>
                <w:highlight w:val="none"/>
              </w:rPr>
            </w:pPr>
          </w:p>
        </w:tc>
        <w:tc>
          <w:tcPr>
            <w:tcW w:w="603" w:type="dxa"/>
          </w:tcPr>
          <w:p w14:paraId="7D5FFF0B">
            <w:pPr>
              <w:rPr>
                <w:color w:val="auto"/>
                <w:highlight w:val="none"/>
              </w:rPr>
            </w:pPr>
          </w:p>
        </w:tc>
        <w:tc>
          <w:tcPr>
            <w:tcW w:w="487" w:type="dxa"/>
          </w:tcPr>
          <w:p w14:paraId="5499DFB7">
            <w:pPr>
              <w:rPr>
                <w:color w:val="auto"/>
                <w:highlight w:val="none"/>
              </w:rPr>
            </w:pPr>
          </w:p>
        </w:tc>
        <w:tc>
          <w:tcPr>
            <w:tcW w:w="1133" w:type="dxa"/>
          </w:tcPr>
          <w:p w14:paraId="4E31EF7A">
            <w:pPr>
              <w:rPr>
                <w:color w:val="auto"/>
                <w:highlight w:val="none"/>
              </w:rPr>
            </w:pPr>
          </w:p>
        </w:tc>
        <w:tc>
          <w:tcPr>
            <w:tcW w:w="709" w:type="dxa"/>
          </w:tcPr>
          <w:p w14:paraId="4B0F9761">
            <w:pPr>
              <w:rPr>
                <w:color w:val="auto"/>
                <w:highlight w:val="none"/>
              </w:rPr>
            </w:pPr>
          </w:p>
        </w:tc>
        <w:tc>
          <w:tcPr>
            <w:tcW w:w="871" w:type="dxa"/>
          </w:tcPr>
          <w:p w14:paraId="57E75C3E">
            <w:pPr>
              <w:rPr>
                <w:color w:val="auto"/>
                <w:highlight w:val="none"/>
              </w:rPr>
            </w:pPr>
          </w:p>
        </w:tc>
        <w:tc>
          <w:tcPr>
            <w:tcW w:w="1138" w:type="dxa"/>
          </w:tcPr>
          <w:p w14:paraId="46C32B6B">
            <w:pPr>
              <w:rPr>
                <w:color w:val="auto"/>
                <w:highlight w:val="none"/>
              </w:rPr>
            </w:pPr>
          </w:p>
        </w:tc>
      </w:tr>
      <w:tr w14:paraId="6D165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42BB829">
            <w:pPr>
              <w:rPr>
                <w:color w:val="auto"/>
                <w:highlight w:val="none"/>
              </w:rPr>
            </w:pPr>
          </w:p>
        </w:tc>
        <w:tc>
          <w:tcPr>
            <w:tcW w:w="1273" w:type="dxa"/>
          </w:tcPr>
          <w:p w14:paraId="1DD6DC4E">
            <w:pPr>
              <w:rPr>
                <w:color w:val="auto"/>
                <w:highlight w:val="none"/>
              </w:rPr>
            </w:pPr>
          </w:p>
        </w:tc>
        <w:tc>
          <w:tcPr>
            <w:tcW w:w="992" w:type="dxa"/>
          </w:tcPr>
          <w:p w14:paraId="005939B9">
            <w:pPr>
              <w:rPr>
                <w:color w:val="auto"/>
                <w:highlight w:val="none"/>
              </w:rPr>
            </w:pPr>
          </w:p>
        </w:tc>
        <w:tc>
          <w:tcPr>
            <w:tcW w:w="603" w:type="dxa"/>
          </w:tcPr>
          <w:p w14:paraId="6C73A078">
            <w:pPr>
              <w:rPr>
                <w:color w:val="auto"/>
                <w:highlight w:val="none"/>
              </w:rPr>
            </w:pPr>
          </w:p>
        </w:tc>
        <w:tc>
          <w:tcPr>
            <w:tcW w:w="487" w:type="dxa"/>
          </w:tcPr>
          <w:p w14:paraId="76FFC191">
            <w:pPr>
              <w:rPr>
                <w:color w:val="auto"/>
                <w:highlight w:val="none"/>
              </w:rPr>
            </w:pPr>
          </w:p>
        </w:tc>
        <w:tc>
          <w:tcPr>
            <w:tcW w:w="1133" w:type="dxa"/>
          </w:tcPr>
          <w:p w14:paraId="4F43CFD6">
            <w:pPr>
              <w:rPr>
                <w:color w:val="auto"/>
                <w:highlight w:val="none"/>
              </w:rPr>
            </w:pPr>
          </w:p>
        </w:tc>
        <w:tc>
          <w:tcPr>
            <w:tcW w:w="709" w:type="dxa"/>
          </w:tcPr>
          <w:p w14:paraId="7D823A58">
            <w:pPr>
              <w:rPr>
                <w:color w:val="auto"/>
                <w:highlight w:val="none"/>
              </w:rPr>
            </w:pPr>
          </w:p>
        </w:tc>
        <w:tc>
          <w:tcPr>
            <w:tcW w:w="871" w:type="dxa"/>
          </w:tcPr>
          <w:p w14:paraId="6E4BEA14">
            <w:pPr>
              <w:rPr>
                <w:color w:val="auto"/>
                <w:highlight w:val="none"/>
              </w:rPr>
            </w:pPr>
          </w:p>
        </w:tc>
        <w:tc>
          <w:tcPr>
            <w:tcW w:w="1138" w:type="dxa"/>
          </w:tcPr>
          <w:p w14:paraId="6E4C510D">
            <w:pPr>
              <w:rPr>
                <w:color w:val="auto"/>
                <w:highlight w:val="none"/>
              </w:rPr>
            </w:pPr>
          </w:p>
        </w:tc>
      </w:tr>
      <w:tr w14:paraId="02055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DFB976A">
            <w:pPr>
              <w:rPr>
                <w:color w:val="auto"/>
                <w:highlight w:val="none"/>
              </w:rPr>
            </w:pPr>
          </w:p>
        </w:tc>
        <w:tc>
          <w:tcPr>
            <w:tcW w:w="1273" w:type="dxa"/>
          </w:tcPr>
          <w:p w14:paraId="086CC7D3">
            <w:pPr>
              <w:rPr>
                <w:color w:val="auto"/>
                <w:highlight w:val="none"/>
              </w:rPr>
            </w:pPr>
          </w:p>
        </w:tc>
        <w:tc>
          <w:tcPr>
            <w:tcW w:w="992" w:type="dxa"/>
          </w:tcPr>
          <w:p w14:paraId="5C691789">
            <w:pPr>
              <w:rPr>
                <w:color w:val="auto"/>
                <w:highlight w:val="none"/>
              </w:rPr>
            </w:pPr>
          </w:p>
        </w:tc>
        <w:tc>
          <w:tcPr>
            <w:tcW w:w="603" w:type="dxa"/>
          </w:tcPr>
          <w:p w14:paraId="09C8E7DD">
            <w:pPr>
              <w:rPr>
                <w:color w:val="auto"/>
                <w:highlight w:val="none"/>
              </w:rPr>
            </w:pPr>
          </w:p>
        </w:tc>
        <w:tc>
          <w:tcPr>
            <w:tcW w:w="487" w:type="dxa"/>
          </w:tcPr>
          <w:p w14:paraId="0237D4B2">
            <w:pPr>
              <w:rPr>
                <w:color w:val="auto"/>
                <w:highlight w:val="none"/>
              </w:rPr>
            </w:pPr>
          </w:p>
        </w:tc>
        <w:tc>
          <w:tcPr>
            <w:tcW w:w="1133" w:type="dxa"/>
          </w:tcPr>
          <w:p w14:paraId="5BC975B8">
            <w:pPr>
              <w:rPr>
                <w:color w:val="auto"/>
                <w:highlight w:val="none"/>
              </w:rPr>
            </w:pPr>
          </w:p>
        </w:tc>
        <w:tc>
          <w:tcPr>
            <w:tcW w:w="709" w:type="dxa"/>
          </w:tcPr>
          <w:p w14:paraId="415068C5">
            <w:pPr>
              <w:rPr>
                <w:color w:val="auto"/>
                <w:highlight w:val="none"/>
              </w:rPr>
            </w:pPr>
          </w:p>
        </w:tc>
        <w:tc>
          <w:tcPr>
            <w:tcW w:w="871" w:type="dxa"/>
          </w:tcPr>
          <w:p w14:paraId="7B95E706">
            <w:pPr>
              <w:rPr>
                <w:color w:val="auto"/>
                <w:highlight w:val="none"/>
              </w:rPr>
            </w:pPr>
          </w:p>
        </w:tc>
        <w:tc>
          <w:tcPr>
            <w:tcW w:w="1138" w:type="dxa"/>
          </w:tcPr>
          <w:p w14:paraId="00101F74">
            <w:pPr>
              <w:rPr>
                <w:color w:val="auto"/>
                <w:highlight w:val="none"/>
              </w:rPr>
            </w:pPr>
          </w:p>
        </w:tc>
      </w:tr>
      <w:tr w14:paraId="33596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5DEE4D75">
            <w:pPr>
              <w:rPr>
                <w:color w:val="auto"/>
                <w:highlight w:val="none"/>
              </w:rPr>
            </w:pPr>
          </w:p>
        </w:tc>
        <w:tc>
          <w:tcPr>
            <w:tcW w:w="1273" w:type="dxa"/>
          </w:tcPr>
          <w:p w14:paraId="791A41DE">
            <w:pPr>
              <w:rPr>
                <w:color w:val="auto"/>
                <w:highlight w:val="none"/>
              </w:rPr>
            </w:pPr>
          </w:p>
        </w:tc>
        <w:tc>
          <w:tcPr>
            <w:tcW w:w="992" w:type="dxa"/>
          </w:tcPr>
          <w:p w14:paraId="0932E37D">
            <w:pPr>
              <w:rPr>
                <w:color w:val="auto"/>
                <w:highlight w:val="none"/>
              </w:rPr>
            </w:pPr>
          </w:p>
        </w:tc>
        <w:tc>
          <w:tcPr>
            <w:tcW w:w="603" w:type="dxa"/>
          </w:tcPr>
          <w:p w14:paraId="79A74638">
            <w:pPr>
              <w:rPr>
                <w:color w:val="auto"/>
                <w:highlight w:val="none"/>
              </w:rPr>
            </w:pPr>
          </w:p>
        </w:tc>
        <w:tc>
          <w:tcPr>
            <w:tcW w:w="487" w:type="dxa"/>
          </w:tcPr>
          <w:p w14:paraId="38B93113">
            <w:pPr>
              <w:rPr>
                <w:color w:val="auto"/>
                <w:highlight w:val="none"/>
              </w:rPr>
            </w:pPr>
          </w:p>
        </w:tc>
        <w:tc>
          <w:tcPr>
            <w:tcW w:w="1133" w:type="dxa"/>
          </w:tcPr>
          <w:p w14:paraId="63C6E9E8">
            <w:pPr>
              <w:rPr>
                <w:color w:val="auto"/>
                <w:highlight w:val="none"/>
              </w:rPr>
            </w:pPr>
          </w:p>
        </w:tc>
        <w:tc>
          <w:tcPr>
            <w:tcW w:w="709" w:type="dxa"/>
          </w:tcPr>
          <w:p w14:paraId="62E87D9F">
            <w:pPr>
              <w:rPr>
                <w:color w:val="auto"/>
                <w:highlight w:val="none"/>
              </w:rPr>
            </w:pPr>
          </w:p>
        </w:tc>
        <w:tc>
          <w:tcPr>
            <w:tcW w:w="871" w:type="dxa"/>
          </w:tcPr>
          <w:p w14:paraId="249054BA">
            <w:pPr>
              <w:rPr>
                <w:color w:val="auto"/>
                <w:highlight w:val="none"/>
              </w:rPr>
            </w:pPr>
          </w:p>
        </w:tc>
        <w:tc>
          <w:tcPr>
            <w:tcW w:w="1138" w:type="dxa"/>
          </w:tcPr>
          <w:p w14:paraId="2E124AF4">
            <w:pPr>
              <w:rPr>
                <w:color w:val="auto"/>
                <w:highlight w:val="none"/>
              </w:rPr>
            </w:pPr>
          </w:p>
        </w:tc>
      </w:tr>
      <w:tr w14:paraId="44E0C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5E7516A4">
            <w:pPr>
              <w:rPr>
                <w:color w:val="auto"/>
                <w:highlight w:val="none"/>
              </w:rPr>
            </w:pPr>
          </w:p>
        </w:tc>
        <w:tc>
          <w:tcPr>
            <w:tcW w:w="1273" w:type="dxa"/>
          </w:tcPr>
          <w:p w14:paraId="0D7FFD29">
            <w:pPr>
              <w:rPr>
                <w:color w:val="auto"/>
                <w:highlight w:val="none"/>
              </w:rPr>
            </w:pPr>
          </w:p>
        </w:tc>
        <w:tc>
          <w:tcPr>
            <w:tcW w:w="992" w:type="dxa"/>
          </w:tcPr>
          <w:p w14:paraId="1912B8F6">
            <w:pPr>
              <w:rPr>
                <w:color w:val="auto"/>
                <w:highlight w:val="none"/>
              </w:rPr>
            </w:pPr>
          </w:p>
        </w:tc>
        <w:tc>
          <w:tcPr>
            <w:tcW w:w="603" w:type="dxa"/>
          </w:tcPr>
          <w:p w14:paraId="1ED60477">
            <w:pPr>
              <w:rPr>
                <w:color w:val="auto"/>
                <w:highlight w:val="none"/>
              </w:rPr>
            </w:pPr>
          </w:p>
        </w:tc>
        <w:tc>
          <w:tcPr>
            <w:tcW w:w="487" w:type="dxa"/>
          </w:tcPr>
          <w:p w14:paraId="5C9D1A0E">
            <w:pPr>
              <w:rPr>
                <w:color w:val="auto"/>
                <w:highlight w:val="none"/>
              </w:rPr>
            </w:pPr>
          </w:p>
        </w:tc>
        <w:tc>
          <w:tcPr>
            <w:tcW w:w="1133" w:type="dxa"/>
          </w:tcPr>
          <w:p w14:paraId="2D9D2FDD">
            <w:pPr>
              <w:rPr>
                <w:color w:val="auto"/>
                <w:highlight w:val="none"/>
              </w:rPr>
            </w:pPr>
          </w:p>
        </w:tc>
        <w:tc>
          <w:tcPr>
            <w:tcW w:w="709" w:type="dxa"/>
          </w:tcPr>
          <w:p w14:paraId="43B97223">
            <w:pPr>
              <w:rPr>
                <w:color w:val="auto"/>
                <w:highlight w:val="none"/>
              </w:rPr>
            </w:pPr>
          </w:p>
        </w:tc>
        <w:tc>
          <w:tcPr>
            <w:tcW w:w="871" w:type="dxa"/>
          </w:tcPr>
          <w:p w14:paraId="7DF6088F">
            <w:pPr>
              <w:rPr>
                <w:color w:val="auto"/>
                <w:highlight w:val="none"/>
              </w:rPr>
            </w:pPr>
          </w:p>
        </w:tc>
        <w:tc>
          <w:tcPr>
            <w:tcW w:w="1138" w:type="dxa"/>
          </w:tcPr>
          <w:p w14:paraId="54876E1E">
            <w:pPr>
              <w:rPr>
                <w:color w:val="auto"/>
                <w:highlight w:val="none"/>
              </w:rPr>
            </w:pPr>
          </w:p>
        </w:tc>
      </w:tr>
      <w:tr w14:paraId="07F64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184DB0C9">
            <w:pPr>
              <w:rPr>
                <w:color w:val="auto"/>
                <w:highlight w:val="none"/>
              </w:rPr>
            </w:pPr>
          </w:p>
        </w:tc>
        <w:tc>
          <w:tcPr>
            <w:tcW w:w="1273" w:type="dxa"/>
          </w:tcPr>
          <w:p w14:paraId="01A42ED9">
            <w:pPr>
              <w:rPr>
                <w:color w:val="auto"/>
                <w:highlight w:val="none"/>
              </w:rPr>
            </w:pPr>
          </w:p>
        </w:tc>
        <w:tc>
          <w:tcPr>
            <w:tcW w:w="992" w:type="dxa"/>
          </w:tcPr>
          <w:p w14:paraId="728480F2">
            <w:pPr>
              <w:rPr>
                <w:color w:val="auto"/>
                <w:highlight w:val="none"/>
              </w:rPr>
            </w:pPr>
          </w:p>
        </w:tc>
        <w:tc>
          <w:tcPr>
            <w:tcW w:w="603" w:type="dxa"/>
          </w:tcPr>
          <w:p w14:paraId="31BF7BDA">
            <w:pPr>
              <w:rPr>
                <w:color w:val="auto"/>
                <w:highlight w:val="none"/>
              </w:rPr>
            </w:pPr>
          </w:p>
        </w:tc>
        <w:tc>
          <w:tcPr>
            <w:tcW w:w="487" w:type="dxa"/>
          </w:tcPr>
          <w:p w14:paraId="63613404">
            <w:pPr>
              <w:rPr>
                <w:color w:val="auto"/>
                <w:highlight w:val="none"/>
              </w:rPr>
            </w:pPr>
          </w:p>
        </w:tc>
        <w:tc>
          <w:tcPr>
            <w:tcW w:w="1133" w:type="dxa"/>
          </w:tcPr>
          <w:p w14:paraId="5FBC9AAF">
            <w:pPr>
              <w:rPr>
                <w:color w:val="auto"/>
                <w:highlight w:val="none"/>
              </w:rPr>
            </w:pPr>
          </w:p>
        </w:tc>
        <w:tc>
          <w:tcPr>
            <w:tcW w:w="709" w:type="dxa"/>
          </w:tcPr>
          <w:p w14:paraId="6CC46F98">
            <w:pPr>
              <w:rPr>
                <w:color w:val="auto"/>
                <w:highlight w:val="none"/>
              </w:rPr>
            </w:pPr>
          </w:p>
        </w:tc>
        <w:tc>
          <w:tcPr>
            <w:tcW w:w="871" w:type="dxa"/>
          </w:tcPr>
          <w:p w14:paraId="026EDF90">
            <w:pPr>
              <w:rPr>
                <w:color w:val="auto"/>
                <w:highlight w:val="none"/>
              </w:rPr>
            </w:pPr>
          </w:p>
        </w:tc>
        <w:tc>
          <w:tcPr>
            <w:tcW w:w="1138" w:type="dxa"/>
          </w:tcPr>
          <w:p w14:paraId="192326CF">
            <w:pPr>
              <w:rPr>
                <w:color w:val="auto"/>
                <w:highlight w:val="none"/>
              </w:rPr>
            </w:pPr>
          </w:p>
        </w:tc>
      </w:tr>
      <w:tr w14:paraId="34541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83B88A2">
            <w:pPr>
              <w:rPr>
                <w:color w:val="auto"/>
                <w:highlight w:val="none"/>
              </w:rPr>
            </w:pPr>
          </w:p>
        </w:tc>
        <w:tc>
          <w:tcPr>
            <w:tcW w:w="1273" w:type="dxa"/>
          </w:tcPr>
          <w:p w14:paraId="31BE7FA3">
            <w:pPr>
              <w:rPr>
                <w:color w:val="auto"/>
                <w:highlight w:val="none"/>
              </w:rPr>
            </w:pPr>
          </w:p>
        </w:tc>
        <w:tc>
          <w:tcPr>
            <w:tcW w:w="992" w:type="dxa"/>
          </w:tcPr>
          <w:p w14:paraId="22E9F0F1">
            <w:pPr>
              <w:rPr>
                <w:color w:val="auto"/>
                <w:highlight w:val="none"/>
              </w:rPr>
            </w:pPr>
          </w:p>
        </w:tc>
        <w:tc>
          <w:tcPr>
            <w:tcW w:w="603" w:type="dxa"/>
          </w:tcPr>
          <w:p w14:paraId="7142CA05">
            <w:pPr>
              <w:rPr>
                <w:color w:val="auto"/>
                <w:highlight w:val="none"/>
              </w:rPr>
            </w:pPr>
          </w:p>
        </w:tc>
        <w:tc>
          <w:tcPr>
            <w:tcW w:w="487" w:type="dxa"/>
          </w:tcPr>
          <w:p w14:paraId="1F2A86F1">
            <w:pPr>
              <w:rPr>
                <w:color w:val="auto"/>
                <w:highlight w:val="none"/>
              </w:rPr>
            </w:pPr>
          </w:p>
        </w:tc>
        <w:tc>
          <w:tcPr>
            <w:tcW w:w="1133" w:type="dxa"/>
          </w:tcPr>
          <w:p w14:paraId="2C9C644E">
            <w:pPr>
              <w:rPr>
                <w:color w:val="auto"/>
                <w:highlight w:val="none"/>
              </w:rPr>
            </w:pPr>
          </w:p>
        </w:tc>
        <w:tc>
          <w:tcPr>
            <w:tcW w:w="709" w:type="dxa"/>
          </w:tcPr>
          <w:p w14:paraId="12D11865">
            <w:pPr>
              <w:rPr>
                <w:color w:val="auto"/>
                <w:highlight w:val="none"/>
              </w:rPr>
            </w:pPr>
          </w:p>
        </w:tc>
        <w:tc>
          <w:tcPr>
            <w:tcW w:w="871" w:type="dxa"/>
          </w:tcPr>
          <w:p w14:paraId="72098B35">
            <w:pPr>
              <w:rPr>
                <w:color w:val="auto"/>
                <w:highlight w:val="none"/>
              </w:rPr>
            </w:pPr>
          </w:p>
        </w:tc>
        <w:tc>
          <w:tcPr>
            <w:tcW w:w="1138" w:type="dxa"/>
          </w:tcPr>
          <w:p w14:paraId="1FB07361">
            <w:pPr>
              <w:rPr>
                <w:color w:val="auto"/>
                <w:highlight w:val="none"/>
              </w:rPr>
            </w:pPr>
          </w:p>
        </w:tc>
      </w:tr>
      <w:tr w14:paraId="5EAE1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451ECB7">
            <w:pPr>
              <w:rPr>
                <w:color w:val="auto"/>
                <w:highlight w:val="none"/>
              </w:rPr>
            </w:pPr>
          </w:p>
        </w:tc>
        <w:tc>
          <w:tcPr>
            <w:tcW w:w="1273" w:type="dxa"/>
          </w:tcPr>
          <w:p w14:paraId="6B0F43A8">
            <w:pPr>
              <w:rPr>
                <w:color w:val="auto"/>
                <w:highlight w:val="none"/>
              </w:rPr>
            </w:pPr>
          </w:p>
        </w:tc>
        <w:tc>
          <w:tcPr>
            <w:tcW w:w="992" w:type="dxa"/>
          </w:tcPr>
          <w:p w14:paraId="27156F15">
            <w:pPr>
              <w:rPr>
                <w:color w:val="auto"/>
                <w:highlight w:val="none"/>
              </w:rPr>
            </w:pPr>
          </w:p>
        </w:tc>
        <w:tc>
          <w:tcPr>
            <w:tcW w:w="603" w:type="dxa"/>
          </w:tcPr>
          <w:p w14:paraId="36A2316C">
            <w:pPr>
              <w:rPr>
                <w:color w:val="auto"/>
                <w:highlight w:val="none"/>
              </w:rPr>
            </w:pPr>
          </w:p>
        </w:tc>
        <w:tc>
          <w:tcPr>
            <w:tcW w:w="487" w:type="dxa"/>
          </w:tcPr>
          <w:p w14:paraId="20BA93B4">
            <w:pPr>
              <w:rPr>
                <w:color w:val="auto"/>
                <w:highlight w:val="none"/>
              </w:rPr>
            </w:pPr>
          </w:p>
        </w:tc>
        <w:tc>
          <w:tcPr>
            <w:tcW w:w="1133" w:type="dxa"/>
          </w:tcPr>
          <w:p w14:paraId="430CA76F">
            <w:pPr>
              <w:rPr>
                <w:color w:val="auto"/>
                <w:highlight w:val="none"/>
              </w:rPr>
            </w:pPr>
          </w:p>
        </w:tc>
        <w:tc>
          <w:tcPr>
            <w:tcW w:w="709" w:type="dxa"/>
          </w:tcPr>
          <w:p w14:paraId="48220A32">
            <w:pPr>
              <w:rPr>
                <w:color w:val="auto"/>
                <w:highlight w:val="none"/>
              </w:rPr>
            </w:pPr>
          </w:p>
        </w:tc>
        <w:tc>
          <w:tcPr>
            <w:tcW w:w="871" w:type="dxa"/>
          </w:tcPr>
          <w:p w14:paraId="5DB316BA">
            <w:pPr>
              <w:rPr>
                <w:color w:val="auto"/>
                <w:highlight w:val="none"/>
              </w:rPr>
            </w:pPr>
          </w:p>
        </w:tc>
        <w:tc>
          <w:tcPr>
            <w:tcW w:w="1138" w:type="dxa"/>
          </w:tcPr>
          <w:p w14:paraId="2A6DC5CD">
            <w:pPr>
              <w:rPr>
                <w:color w:val="auto"/>
                <w:highlight w:val="none"/>
              </w:rPr>
            </w:pPr>
          </w:p>
        </w:tc>
      </w:tr>
      <w:tr w14:paraId="0942F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FFD43E0">
            <w:pPr>
              <w:rPr>
                <w:color w:val="auto"/>
                <w:highlight w:val="none"/>
              </w:rPr>
            </w:pPr>
          </w:p>
        </w:tc>
        <w:tc>
          <w:tcPr>
            <w:tcW w:w="1273" w:type="dxa"/>
          </w:tcPr>
          <w:p w14:paraId="37806FF1">
            <w:pPr>
              <w:rPr>
                <w:color w:val="auto"/>
                <w:highlight w:val="none"/>
              </w:rPr>
            </w:pPr>
          </w:p>
        </w:tc>
        <w:tc>
          <w:tcPr>
            <w:tcW w:w="992" w:type="dxa"/>
          </w:tcPr>
          <w:p w14:paraId="7DA50E78">
            <w:pPr>
              <w:rPr>
                <w:color w:val="auto"/>
                <w:highlight w:val="none"/>
              </w:rPr>
            </w:pPr>
          </w:p>
        </w:tc>
        <w:tc>
          <w:tcPr>
            <w:tcW w:w="603" w:type="dxa"/>
          </w:tcPr>
          <w:p w14:paraId="31B1DC83">
            <w:pPr>
              <w:rPr>
                <w:color w:val="auto"/>
                <w:highlight w:val="none"/>
              </w:rPr>
            </w:pPr>
          </w:p>
        </w:tc>
        <w:tc>
          <w:tcPr>
            <w:tcW w:w="487" w:type="dxa"/>
          </w:tcPr>
          <w:p w14:paraId="13B8F186">
            <w:pPr>
              <w:rPr>
                <w:color w:val="auto"/>
                <w:highlight w:val="none"/>
              </w:rPr>
            </w:pPr>
          </w:p>
        </w:tc>
        <w:tc>
          <w:tcPr>
            <w:tcW w:w="1133" w:type="dxa"/>
          </w:tcPr>
          <w:p w14:paraId="7D0A5679">
            <w:pPr>
              <w:rPr>
                <w:color w:val="auto"/>
                <w:highlight w:val="none"/>
              </w:rPr>
            </w:pPr>
          </w:p>
        </w:tc>
        <w:tc>
          <w:tcPr>
            <w:tcW w:w="709" w:type="dxa"/>
          </w:tcPr>
          <w:p w14:paraId="0CD8FDA9">
            <w:pPr>
              <w:rPr>
                <w:color w:val="auto"/>
                <w:highlight w:val="none"/>
              </w:rPr>
            </w:pPr>
          </w:p>
        </w:tc>
        <w:tc>
          <w:tcPr>
            <w:tcW w:w="871" w:type="dxa"/>
          </w:tcPr>
          <w:p w14:paraId="0D35FA6B">
            <w:pPr>
              <w:rPr>
                <w:color w:val="auto"/>
                <w:highlight w:val="none"/>
              </w:rPr>
            </w:pPr>
          </w:p>
        </w:tc>
        <w:tc>
          <w:tcPr>
            <w:tcW w:w="1138" w:type="dxa"/>
          </w:tcPr>
          <w:p w14:paraId="549E38B0">
            <w:pPr>
              <w:rPr>
                <w:color w:val="auto"/>
                <w:highlight w:val="none"/>
              </w:rPr>
            </w:pPr>
          </w:p>
        </w:tc>
      </w:tr>
      <w:tr w14:paraId="27159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1BA75738">
            <w:pPr>
              <w:rPr>
                <w:color w:val="auto"/>
                <w:highlight w:val="none"/>
              </w:rPr>
            </w:pPr>
          </w:p>
        </w:tc>
        <w:tc>
          <w:tcPr>
            <w:tcW w:w="1273" w:type="dxa"/>
          </w:tcPr>
          <w:p w14:paraId="051908BE">
            <w:pPr>
              <w:rPr>
                <w:color w:val="auto"/>
                <w:highlight w:val="none"/>
              </w:rPr>
            </w:pPr>
          </w:p>
        </w:tc>
        <w:tc>
          <w:tcPr>
            <w:tcW w:w="992" w:type="dxa"/>
          </w:tcPr>
          <w:p w14:paraId="6F28A693">
            <w:pPr>
              <w:rPr>
                <w:color w:val="auto"/>
                <w:highlight w:val="none"/>
              </w:rPr>
            </w:pPr>
          </w:p>
        </w:tc>
        <w:tc>
          <w:tcPr>
            <w:tcW w:w="603" w:type="dxa"/>
          </w:tcPr>
          <w:p w14:paraId="4392E6E7">
            <w:pPr>
              <w:rPr>
                <w:color w:val="auto"/>
                <w:highlight w:val="none"/>
              </w:rPr>
            </w:pPr>
          </w:p>
        </w:tc>
        <w:tc>
          <w:tcPr>
            <w:tcW w:w="487" w:type="dxa"/>
          </w:tcPr>
          <w:p w14:paraId="3A3AD9BD">
            <w:pPr>
              <w:rPr>
                <w:color w:val="auto"/>
                <w:highlight w:val="none"/>
              </w:rPr>
            </w:pPr>
          </w:p>
        </w:tc>
        <w:tc>
          <w:tcPr>
            <w:tcW w:w="1133" w:type="dxa"/>
          </w:tcPr>
          <w:p w14:paraId="4EA62767">
            <w:pPr>
              <w:rPr>
                <w:color w:val="auto"/>
                <w:highlight w:val="none"/>
              </w:rPr>
            </w:pPr>
          </w:p>
        </w:tc>
        <w:tc>
          <w:tcPr>
            <w:tcW w:w="709" w:type="dxa"/>
          </w:tcPr>
          <w:p w14:paraId="4F01E2A2">
            <w:pPr>
              <w:rPr>
                <w:color w:val="auto"/>
                <w:highlight w:val="none"/>
              </w:rPr>
            </w:pPr>
          </w:p>
        </w:tc>
        <w:tc>
          <w:tcPr>
            <w:tcW w:w="871" w:type="dxa"/>
          </w:tcPr>
          <w:p w14:paraId="4C70BE69">
            <w:pPr>
              <w:rPr>
                <w:color w:val="auto"/>
                <w:highlight w:val="none"/>
              </w:rPr>
            </w:pPr>
          </w:p>
        </w:tc>
        <w:tc>
          <w:tcPr>
            <w:tcW w:w="1138" w:type="dxa"/>
          </w:tcPr>
          <w:p w14:paraId="09249326">
            <w:pPr>
              <w:rPr>
                <w:color w:val="auto"/>
                <w:highlight w:val="none"/>
              </w:rPr>
            </w:pPr>
          </w:p>
        </w:tc>
      </w:tr>
      <w:tr w14:paraId="585DA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9B7E905">
            <w:pPr>
              <w:rPr>
                <w:color w:val="auto"/>
                <w:highlight w:val="none"/>
              </w:rPr>
            </w:pPr>
          </w:p>
        </w:tc>
        <w:tc>
          <w:tcPr>
            <w:tcW w:w="1273" w:type="dxa"/>
          </w:tcPr>
          <w:p w14:paraId="20C27404">
            <w:pPr>
              <w:rPr>
                <w:color w:val="auto"/>
                <w:highlight w:val="none"/>
              </w:rPr>
            </w:pPr>
          </w:p>
        </w:tc>
        <w:tc>
          <w:tcPr>
            <w:tcW w:w="992" w:type="dxa"/>
          </w:tcPr>
          <w:p w14:paraId="0ABCCEDA">
            <w:pPr>
              <w:rPr>
                <w:color w:val="auto"/>
                <w:highlight w:val="none"/>
              </w:rPr>
            </w:pPr>
          </w:p>
        </w:tc>
        <w:tc>
          <w:tcPr>
            <w:tcW w:w="603" w:type="dxa"/>
          </w:tcPr>
          <w:p w14:paraId="06D368D0">
            <w:pPr>
              <w:rPr>
                <w:color w:val="auto"/>
                <w:highlight w:val="none"/>
              </w:rPr>
            </w:pPr>
          </w:p>
        </w:tc>
        <w:tc>
          <w:tcPr>
            <w:tcW w:w="487" w:type="dxa"/>
          </w:tcPr>
          <w:p w14:paraId="52B0BE0C">
            <w:pPr>
              <w:rPr>
                <w:color w:val="auto"/>
                <w:highlight w:val="none"/>
              </w:rPr>
            </w:pPr>
          </w:p>
        </w:tc>
        <w:tc>
          <w:tcPr>
            <w:tcW w:w="1133" w:type="dxa"/>
          </w:tcPr>
          <w:p w14:paraId="0E08E461">
            <w:pPr>
              <w:rPr>
                <w:color w:val="auto"/>
                <w:highlight w:val="none"/>
              </w:rPr>
            </w:pPr>
          </w:p>
        </w:tc>
        <w:tc>
          <w:tcPr>
            <w:tcW w:w="709" w:type="dxa"/>
          </w:tcPr>
          <w:p w14:paraId="79AD8D0F">
            <w:pPr>
              <w:rPr>
                <w:color w:val="auto"/>
                <w:highlight w:val="none"/>
              </w:rPr>
            </w:pPr>
          </w:p>
        </w:tc>
        <w:tc>
          <w:tcPr>
            <w:tcW w:w="871" w:type="dxa"/>
          </w:tcPr>
          <w:p w14:paraId="33E4B6A8">
            <w:pPr>
              <w:rPr>
                <w:color w:val="auto"/>
                <w:highlight w:val="none"/>
              </w:rPr>
            </w:pPr>
          </w:p>
        </w:tc>
        <w:tc>
          <w:tcPr>
            <w:tcW w:w="1138" w:type="dxa"/>
          </w:tcPr>
          <w:p w14:paraId="1EE586EB">
            <w:pPr>
              <w:rPr>
                <w:color w:val="auto"/>
                <w:highlight w:val="none"/>
              </w:rPr>
            </w:pPr>
          </w:p>
        </w:tc>
      </w:tr>
      <w:tr w14:paraId="3B966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tcPr>
          <w:p w14:paraId="073A0C14">
            <w:pPr>
              <w:rPr>
                <w:color w:val="auto"/>
                <w:highlight w:val="none"/>
              </w:rPr>
            </w:pPr>
          </w:p>
        </w:tc>
        <w:tc>
          <w:tcPr>
            <w:tcW w:w="1273" w:type="dxa"/>
          </w:tcPr>
          <w:p w14:paraId="1825151A">
            <w:pPr>
              <w:rPr>
                <w:color w:val="auto"/>
                <w:highlight w:val="none"/>
              </w:rPr>
            </w:pPr>
          </w:p>
        </w:tc>
        <w:tc>
          <w:tcPr>
            <w:tcW w:w="992" w:type="dxa"/>
          </w:tcPr>
          <w:p w14:paraId="6115181C">
            <w:pPr>
              <w:rPr>
                <w:color w:val="auto"/>
                <w:highlight w:val="none"/>
              </w:rPr>
            </w:pPr>
          </w:p>
        </w:tc>
        <w:tc>
          <w:tcPr>
            <w:tcW w:w="603" w:type="dxa"/>
          </w:tcPr>
          <w:p w14:paraId="2EBF6E66">
            <w:pPr>
              <w:rPr>
                <w:color w:val="auto"/>
                <w:highlight w:val="none"/>
              </w:rPr>
            </w:pPr>
          </w:p>
        </w:tc>
        <w:tc>
          <w:tcPr>
            <w:tcW w:w="487" w:type="dxa"/>
          </w:tcPr>
          <w:p w14:paraId="7EA4EEAA">
            <w:pPr>
              <w:rPr>
                <w:color w:val="auto"/>
                <w:highlight w:val="none"/>
              </w:rPr>
            </w:pPr>
          </w:p>
        </w:tc>
        <w:tc>
          <w:tcPr>
            <w:tcW w:w="1133" w:type="dxa"/>
          </w:tcPr>
          <w:p w14:paraId="292E684B">
            <w:pPr>
              <w:rPr>
                <w:color w:val="auto"/>
                <w:highlight w:val="none"/>
              </w:rPr>
            </w:pPr>
          </w:p>
        </w:tc>
        <w:tc>
          <w:tcPr>
            <w:tcW w:w="709" w:type="dxa"/>
          </w:tcPr>
          <w:p w14:paraId="024DD58E">
            <w:pPr>
              <w:rPr>
                <w:color w:val="auto"/>
                <w:highlight w:val="none"/>
              </w:rPr>
            </w:pPr>
          </w:p>
        </w:tc>
        <w:tc>
          <w:tcPr>
            <w:tcW w:w="871" w:type="dxa"/>
          </w:tcPr>
          <w:p w14:paraId="126EDF83">
            <w:pPr>
              <w:rPr>
                <w:color w:val="auto"/>
                <w:highlight w:val="none"/>
              </w:rPr>
            </w:pPr>
          </w:p>
        </w:tc>
        <w:tc>
          <w:tcPr>
            <w:tcW w:w="1138" w:type="dxa"/>
          </w:tcPr>
          <w:p w14:paraId="2ECDBADF">
            <w:pPr>
              <w:rPr>
                <w:color w:val="auto"/>
                <w:highlight w:val="none"/>
              </w:rPr>
            </w:pPr>
          </w:p>
        </w:tc>
      </w:tr>
    </w:tbl>
    <w:p w14:paraId="148F90A6">
      <w:pPr>
        <w:rPr>
          <w:color w:val="auto"/>
          <w:highlight w:val="none"/>
        </w:rPr>
      </w:pPr>
    </w:p>
    <w:p w14:paraId="0C47679E">
      <w:pPr>
        <w:rPr>
          <w:color w:val="auto"/>
          <w:highlight w:val="none"/>
        </w:rPr>
        <w:sectPr>
          <w:footerReference r:id="rId29" w:type="default"/>
          <w:pgSz w:w="12240" w:h="15840"/>
          <w:pgMar w:top="1346" w:right="1836" w:bottom="1104" w:left="1834" w:header="0" w:footer="940" w:gutter="0"/>
          <w:cols w:space="720" w:num="1"/>
        </w:sectPr>
      </w:pPr>
    </w:p>
    <w:p w14:paraId="4CD4E4DF">
      <w:pPr>
        <w:rPr>
          <w:rFonts w:ascii="黑体" w:hAnsi="黑体" w:eastAsia="黑体"/>
          <w:color w:val="auto"/>
          <w:spacing w:val="34"/>
          <w:sz w:val="27"/>
          <w:szCs w:val="27"/>
          <w:highlight w:val="none"/>
        </w:rPr>
      </w:pPr>
      <w:r>
        <w:rPr>
          <w:rFonts w:ascii="黑体" w:hAnsi="黑体" w:eastAsia="黑体"/>
          <w:color w:val="auto"/>
          <w:spacing w:val="34"/>
          <w:sz w:val="27"/>
          <w:szCs w:val="27"/>
          <w:highlight w:val="none"/>
        </w:rPr>
        <w:t>(</w:t>
      </w:r>
      <w:r>
        <w:rPr>
          <w:rFonts w:hint="eastAsia" w:ascii="黑体" w:hAnsi="黑体" w:eastAsia="黑体"/>
          <w:color w:val="auto"/>
          <w:spacing w:val="34"/>
          <w:sz w:val="27"/>
          <w:szCs w:val="27"/>
          <w:highlight w:val="none"/>
        </w:rPr>
        <w:t>六</w:t>
      </w:r>
      <w:r>
        <w:rPr>
          <w:rFonts w:ascii="黑体" w:hAnsi="黑体" w:eastAsia="黑体"/>
          <w:color w:val="auto"/>
          <w:spacing w:val="34"/>
          <w:sz w:val="27"/>
          <w:szCs w:val="27"/>
          <w:highlight w:val="none"/>
        </w:rPr>
        <w:t>)主要人员简历</w:t>
      </w:r>
      <w:r>
        <w:rPr>
          <w:rFonts w:ascii="黑体" w:hAnsi="黑体" w:eastAsia="黑体"/>
          <w:color w:val="auto"/>
          <w:spacing w:val="33"/>
          <w:sz w:val="27"/>
          <w:szCs w:val="27"/>
          <w:highlight w:val="none"/>
        </w:rPr>
        <w:t>表</w:t>
      </w:r>
    </w:p>
    <w:tbl>
      <w:tblPr>
        <w:tblStyle w:val="18"/>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356"/>
        <w:gridCol w:w="691"/>
        <w:gridCol w:w="957"/>
        <w:gridCol w:w="1065"/>
        <w:gridCol w:w="705"/>
        <w:gridCol w:w="1260"/>
        <w:gridCol w:w="400"/>
        <w:gridCol w:w="1900"/>
      </w:tblGrid>
      <w:tr w14:paraId="51E37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1" w:type="dxa"/>
          </w:tcPr>
          <w:p w14:paraId="3EE7238A">
            <w:pPr>
              <w:spacing w:line="325" w:lineRule="auto"/>
              <w:rPr>
                <w:color w:val="auto"/>
                <w:highlight w:val="none"/>
              </w:rPr>
            </w:pPr>
          </w:p>
          <w:p w14:paraId="7B928282">
            <w:pPr>
              <w:spacing w:before="68" w:line="220" w:lineRule="auto"/>
              <w:ind w:left="285"/>
              <w:rPr>
                <w:rFonts w:ascii="宋体" w:hAnsi="宋体" w:eastAsia="宋体"/>
                <w:color w:val="auto"/>
                <w:spacing w:val="1"/>
                <w:highlight w:val="none"/>
              </w:rPr>
            </w:pPr>
            <w:r>
              <w:rPr>
                <w:rFonts w:ascii="宋体" w:hAnsi="宋体" w:eastAsia="宋体"/>
                <w:color w:val="auto"/>
                <w:spacing w:val="1"/>
                <w:highlight w:val="none"/>
              </w:rPr>
              <w:t xml:space="preserve">姓 </w:t>
            </w:r>
            <w:r>
              <w:rPr>
                <w:rFonts w:ascii="宋体" w:hAnsi="宋体" w:eastAsia="宋体"/>
                <w:color w:val="auto"/>
                <w:highlight w:val="none"/>
              </w:rPr>
              <w:t xml:space="preserve"> 名</w:t>
            </w:r>
          </w:p>
        </w:tc>
        <w:tc>
          <w:tcPr>
            <w:tcW w:w="1047" w:type="dxa"/>
            <w:gridSpan w:val="2"/>
          </w:tcPr>
          <w:p w14:paraId="07BA355A">
            <w:pPr>
              <w:rPr>
                <w:color w:val="auto"/>
                <w:highlight w:val="none"/>
              </w:rPr>
            </w:pPr>
          </w:p>
        </w:tc>
        <w:tc>
          <w:tcPr>
            <w:tcW w:w="957" w:type="dxa"/>
          </w:tcPr>
          <w:p w14:paraId="2D124237">
            <w:pPr>
              <w:spacing w:line="324" w:lineRule="auto"/>
              <w:rPr>
                <w:color w:val="auto"/>
                <w:highlight w:val="none"/>
              </w:rPr>
            </w:pPr>
          </w:p>
          <w:p w14:paraId="5B5ED603">
            <w:pPr>
              <w:spacing w:before="68" w:line="220" w:lineRule="auto"/>
              <w:ind w:left="274"/>
              <w:rPr>
                <w:rFonts w:ascii="宋体" w:hAnsi="宋体" w:eastAsia="宋体"/>
                <w:color w:val="auto"/>
                <w:spacing w:val="-6"/>
                <w:highlight w:val="none"/>
              </w:rPr>
            </w:pPr>
            <w:r>
              <w:rPr>
                <w:rFonts w:ascii="宋体" w:hAnsi="宋体" w:eastAsia="宋体"/>
                <w:color w:val="auto"/>
                <w:spacing w:val="-6"/>
                <w:highlight w:val="none"/>
              </w:rPr>
              <w:t>年</w:t>
            </w:r>
            <w:r>
              <w:rPr>
                <w:rFonts w:ascii="宋体" w:hAnsi="宋体" w:eastAsia="宋体"/>
                <w:color w:val="auto"/>
                <w:spacing w:val="-4"/>
                <w:highlight w:val="none"/>
              </w:rPr>
              <w:t>龄</w:t>
            </w:r>
          </w:p>
        </w:tc>
        <w:tc>
          <w:tcPr>
            <w:tcW w:w="1065" w:type="dxa"/>
          </w:tcPr>
          <w:p w14:paraId="40563ED8">
            <w:pPr>
              <w:rPr>
                <w:color w:val="auto"/>
                <w:highlight w:val="none"/>
              </w:rPr>
            </w:pPr>
          </w:p>
        </w:tc>
        <w:tc>
          <w:tcPr>
            <w:tcW w:w="2365" w:type="dxa"/>
            <w:gridSpan w:val="3"/>
          </w:tcPr>
          <w:p w14:paraId="5F6EBC4F">
            <w:pPr>
              <w:spacing w:before="175" w:line="440" w:lineRule="exact"/>
              <w:ind w:left="138"/>
              <w:rPr>
                <w:rFonts w:ascii="宋体" w:hAnsi="宋体" w:eastAsia="宋体"/>
                <w:color w:val="auto"/>
                <w:spacing w:val="15"/>
                <w:position w:val="17"/>
                <w:highlight w:val="none"/>
              </w:rPr>
            </w:pPr>
            <w:r>
              <w:rPr>
                <w:rFonts w:ascii="宋体" w:hAnsi="宋体" w:eastAsia="宋体"/>
                <w:color w:val="auto"/>
                <w:spacing w:val="15"/>
                <w:position w:val="17"/>
                <w:highlight w:val="none"/>
              </w:rPr>
              <w:t>执</w:t>
            </w:r>
            <w:r>
              <w:rPr>
                <w:rFonts w:ascii="宋体" w:hAnsi="宋体" w:eastAsia="宋体"/>
                <w:color w:val="auto"/>
                <w:spacing w:val="9"/>
                <w:position w:val="17"/>
                <w:highlight w:val="none"/>
              </w:rPr>
              <w:t>业资格证书(或上岗</w:t>
            </w:r>
          </w:p>
          <w:p w14:paraId="2640DAD1">
            <w:pPr>
              <w:spacing w:line="219" w:lineRule="auto"/>
              <w:ind w:left="664"/>
              <w:rPr>
                <w:rFonts w:ascii="宋体" w:hAnsi="宋体" w:eastAsia="宋体"/>
                <w:color w:val="auto"/>
                <w:spacing w:val="20"/>
                <w:highlight w:val="none"/>
              </w:rPr>
            </w:pPr>
            <w:r>
              <w:rPr>
                <w:rFonts w:ascii="宋体" w:hAnsi="宋体" w:eastAsia="宋体"/>
                <w:color w:val="auto"/>
                <w:spacing w:val="20"/>
                <w:highlight w:val="none"/>
              </w:rPr>
              <w:t>证</w:t>
            </w:r>
            <w:r>
              <w:rPr>
                <w:rFonts w:ascii="宋体" w:hAnsi="宋体" w:eastAsia="宋体"/>
                <w:color w:val="auto"/>
                <w:spacing w:val="19"/>
                <w:highlight w:val="none"/>
              </w:rPr>
              <w:t>书)名称</w:t>
            </w:r>
          </w:p>
        </w:tc>
        <w:tc>
          <w:tcPr>
            <w:tcW w:w="1900" w:type="dxa"/>
          </w:tcPr>
          <w:p w14:paraId="66A1C686">
            <w:pPr>
              <w:rPr>
                <w:color w:val="auto"/>
                <w:highlight w:val="none"/>
              </w:rPr>
            </w:pPr>
          </w:p>
        </w:tc>
      </w:tr>
      <w:tr w14:paraId="5D165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1" w:type="dxa"/>
          </w:tcPr>
          <w:p w14:paraId="3D0509B4">
            <w:pPr>
              <w:spacing w:before="295" w:line="222" w:lineRule="auto"/>
              <w:ind w:left="286"/>
              <w:rPr>
                <w:rFonts w:ascii="宋体" w:hAnsi="宋体" w:eastAsia="宋体"/>
                <w:color w:val="auto"/>
                <w:spacing w:val="-1"/>
                <w:highlight w:val="none"/>
              </w:rPr>
            </w:pPr>
            <w:r>
              <w:rPr>
                <w:rFonts w:ascii="宋体" w:hAnsi="宋体" w:eastAsia="宋体"/>
                <w:color w:val="auto"/>
                <w:spacing w:val="-1"/>
                <w:highlight w:val="none"/>
              </w:rPr>
              <w:t xml:space="preserve">职 </w:t>
            </w:r>
            <w:r>
              <w:rPr>
                <w:rFonts w:ascii="宋体" w:hAnsi="宋体" w:eastAsia="宋体"/>
                <w:color w:val="auto"/>
                <w:highlight w:val="none"/>
              </w:rPr>
              <w:t xml:space="preserve"> 称</w:t>
            </w:r>
          </w:p>
        </w:tc>
        <w:tc>
          <w:tcPr>
            <w:tcW w:w="1047" w:type="dxa"/>
            <w:gridSpan w:val="2"/>
          </w:tcPr>
          <w:p w14:paraId="1A64621B">
            <w:pPr>
              <w:rPr>
                <w:color w:val="auto"/>
                <w:highlight w:val="none"/>
              </w:rPr>
            </w:pPr>
          </w:p>
        </w:tc>
        <w:tc>
          <w:tcPr>
            <w:tcW w:w="957" w:type="dxa"/>
          </w:tcPr>
          <w:p w14:paraId="32D17E0A">
            <w:pPr>
              <w:spacing w:before="294" w:line="222" w:lineRule="auto"/>
              <w:ind w:left="277"/>
              <w:rPr>
                <w:rFonts w:ascii="宋体" w:hAnsi="宋体" w:eastAsia="宋体"/>
                <w:color w:val="auto"/>
                <w:spacing w:val="-4"/>
                <w:highlight w:val="none"/>
              </w:rPr>
            </w:pPr>
            <w:r>
              <w:rPr>
                <w:rFonts w:ascii="宋体" w:hAnsi="宋体" w:eastAsia="宋体"/>
                <w:color w:val="auto"/>
                <w:spacing w:val="-4"/>
                <w:highlight w:val="none"/>
              </w:rPr>
              <w:t>学</w:t>
            </w:r>
            <w:r>
              <w:rPr>
                <w:rFonts w:ascii="宋体" w:hAnsi="宋体" w:eastAsia="宋体"/>
                <w:color w:val="auto"/>
                <w:spacing w:val="-3"/>
                <w:highlight w:val="none"/>
              </w:rPr>
              <w:t>历</w:t>
            </w:r>
          </w:p>
        </w:tc>
        <w:tc>
          <w:tcPr>
            <w:tcW w:w="1065" w:type="dxa"/>
          </w:tcPr>
          <w:p w14:paraId="099ACC5F">
            <w:pPr>
              <w:rPr>
                <w:color w:val="auto"/>
                <w:highlight w:val="none"/>
              </w:rPr>
            </w:pPr>
          </w:p>
        </w:tc>
        <w:tc>
          <w:tcPr>
            <w:tcW w:w="2365" w:type="dxa"/>
            <w:gridSpan w:val="3"/>
          </w:tcPr>
          <w:p w14:paraId="5C68F8AB">
            <w:pPr>
              <w:spacing w:before="294" w:line="220" w:lineRule="auto"/>
              <w:ind w:left="454"/>
              <w:rPr>
                <w:rFonts w:ascii="宋体" w:hAnsi="宋体" w:eastAsia="宋体"/>
                <w:color w:val="auto"/>
                <w:spacing w:val="-2"/>
                <w:highlight w:val="none"/>
              </w:rPr>
            </w:pPr>
            <w:r>
              <w:rPr>
                <w:rFonts w:ascii="宋体" w:hAnsi="宋体" w:eastAsia="宋体"/>
                <w:color w:val="auto"/>
                <w:spacing w:val="-2"/>
                <w:highlight w:val="none"/>
              </w:rPr>
              <w:t>拟</w:t>
            </w:r>
            <w:r>
              <w:rPr>
                <w:rFonts w:ascii="宋体" w:hAnsi="宋体" w:eastAsia="宋体"/>
                <w:color w:val="auto"/>
                <w:spacing w:val="-1"/>
                <w:highlight w:val="none"/>
              </w:rPr>
              <w:t>在本项目任职</w:t>
            </w:r>
          </w:p>
        </w:tc>
        <w:tc>
          <w:tcPr>
            <w:tcW w:w="1900" w:type="dxa"/>
          </w:tcPr>
          <w:p w14:paraId="3053D65E">
            <w:pPr>
              <w:rPr>
                <w:color w:val="auto"/>
                <w:highlight w:val="none"/>
              </w:rPr>
            </w:pPr>
          </w:p>
        </w:tc>
      </w:tr>
      <w:tr w14:paraId="79CA5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1" w:type="dxa"/>
          </w:tcPr>
          <w:p w14:paraId="1A1D6A58">
            <w:pPr>
              <w:spacing w:before="295" w:line="220" w:lineRule="auto"/>
              <w:ind w:left="182"/>
              <w:rPr>
                <w:rFonts w:ascii="宋体" w:hAnsi="宋体" w:eastAsia="宋体"/>
                <w:color w:val="auto"/>
                <w:spacing w:val="-3"/>
                <w:highlight w:val="none"/>
              </w:rPr>
            </w:pPr>
            <w:r>
              <w:rPr>
                <w:rFonts w:ascii="宋体" w:hAnsi="宋体" w:eastAsia="宋体"/>
                <w:color w:val="auto"/>
                <w:spacing w:val="-3"/>
                <w:highlight w:val="none"/>
              </w:rPr>
              <w:t>工</w:t>
            </w:r>
            <w:r>
              <w:rPr>
                <w:rFonts w:ascii="宋体" w:hAnsi="宋体" w:eastAsia="宋体"/>
                <w:color w:val="auto"/>
                <w:spacing w:val="-2"/>
                <w:highlight w:val="none"/>
              </w:rPr>
              <w:t>作年限</w:t>
            </w:r>
          </w:p>
        </w:tc>
        <w:tc>
          <w:tcPr>
            <w:tcW w:w="3069" w:type="dxa"/>
            <w:gridSpan w:val="4"/>
          </w:tcPr>
          <w:p w14:paraId="1ACF9382">
            <w:pPr>
              <w:rPr>
                <w:color w:val="auto"/>
                <w:highlight w:val="none"/>
              </w:rPr>
            </w:pPr>
          </w:p>
        </w:tc>
        <w:tc>
          <w:tcPr>
            <w:tcW w:w="2365" w:type="dxa"/>
            <w:gridSpan w:val="3"/>
          </w:tcPr>
          <w:p w14:paraId="249B95D5">
            <w:pPr>
              <w:spacing w:before="295" w:line="220" w:lineRule="auto"/>
              <w:ind w:left="351"/>
              <w:rPr>
                <w:rFonts w:ascii="宋体" w:hAnsi="宋体" w:eastAsia="宋体"/>
                <w:color w:val="auto"/>
                <w:spacing w:val="-2"/>
                <w:highlight w:val="none"/>
              </w:rPr>
            </w:pPr>
            <w:r>
              <w:rPr>
                <w:rFonts w:ascii="宋体" w:hAnsi="宋体" w:eastAsia="宋体"/>
                <w:color w:val="auto"/>
                <w:spacing w:val="-2"/>
                <w:highlight w:val="none"/>
              </w:rPr>
              <w:t>从事</w:t>
            </w:r>
            <w:r>
              <w:rPr>
                <w:rFonts w:hint="eastAsia" w:ascii="宋体" w:hAnsi="宋体" w:eastAsia="宋体"/>
                <w:color w:val="auto"/>
                <w:spacing w:val="-1"/>
                <w:highlight w:val="none"/>
                <w:lang w:eastAsia="zh-CN"/>
              </w:rPr>
              <w:t>勘察</w:t>
            </w:r>
            <w:r>
              <w:rPr>
                <w:rFonts w:ascii="宋体" w:hAnsi="宋体" w:eastAsia="宋体"/>
                <w:color w:val="auto"/>
                <w:spacing w:val="-1"/>
                <w:highlight w:val="none"/>
              </w:rPr>
              <w:t>工作年限</w:t>
            </w:r>
          </w:p>
        </w:tc>
        <w:tc>
          <w:tcPr>
            <w:tcW w:w="1900" w:type="dxa"/>
          </w:tcPr>
          <w:p w14:paraId="59B3CEE8">
            <w:pPr>
              <w:rPr>
                <w:color w:val="auto"/>
                <w:highlight w:val="none"/>
              </w:rPr>
            </w:pPr>
          </w:p>
        </w:tc>
      </w:tr>
      <w:tr w14:paraId="5E7D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5" w:type="dxa"/>
            <w:gridSpan w:val="9"/>
          </w:tcPr>
          <w:p w14:paraId="71EE70B5">
            <w:pPr>
              <w:spacing w:before="293" w:line="221" w:lineRule="auto"/>
              <w:ind w:left="116"/>
              <w:rPr>
                <w:rFonts w:ascii="宋体" w:hAnsi="宋体" w:eastAsia="宋体"/>
                <w:color w:val="auto"/>
                <w:spacing w:val="-2"/>
                <w:highlight w:val="none"/>
              </w:rPr>
            </w:pPr>
            <w:r>
              <w:rPr>
                <w:rFonts w:ascii="宋体" w:hAnsi="宋体" w:eastAsia="宋体"/>
                <w:color w:val="auto"/>
                <w:spacing w:val="-2"/>
                <w:highlight w:val="none"/>
              </w:rPr>
              <w:t>主要工</w:t>
            </w:r>
            <w:r>
              <w:rPr>
                <w:rFonts w:ascii="宋体" w:hAnsi="宋体" w:eastAsia="宋体"/>
                <w:color w:val="auto"/>
                <w:spacing w:val="-1"/>
                <w:highlight w:val="none"/>
              </w:rPr>
              <w:t>作经历</w:t>
            </w:r>
          </w:p>
        </w:tc>
      </w:tr>
      <w:tr w14:paraId="43184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547" w:type="dxa"/>
            <w:gridSpan w:val="2"/>
          </w:tcPr>
          <w:p w14:paraId="119E3837">
            <w:pPr>
              <w:spacing w:before="304" w:line="222" w:lineRule="auto"/>
              <w:ind w:left="473"/>
              <w:rPr>
                <w:rFonts w:ascii="宋体" w:hAnsi="宋体" w:eastAsia="宋体"/>
                <w:color w:val="auto"/>
                <w:spacing w:val="2"/>
                <w:highlight w:val="none"/>
              </w:rPr>
            </w:pPr>
            <w:r>
              <w:rPr>
                <w:rFonts w:ascii="宋体" w:hAnsi="宋体" w:eastAsia="宋体"/>
                <w:color w:val="auto"/>
                <w:spacing w:val="2"/>
                <w:highlight w:val="none"/>
              </w:rPr>
              <w:t xml:space="preserve">时 </w:t>
            </w:r>
            <w:r>
              <w:rPr>
                <w:rFonts w:ascii="宋体" w:hAnsi="宋体" w:eastAsia="宋体"/>
                <w:color w:val="auto"/>
                <w:spacing w:val="1"/>
                <w:highlight w:val="none"/>
              </w:rPr>
              <w:t xml:space="preserve"> 间</w:t>
            </w:r>
          </w:p>
        </w:tc>
        <w:tc>
          <w:tcPr>
            <w:tcW w:w="3418" w:type="dxa"/>
            <w:gridSpan w:val="4"/>
          </w:tcPr>
          <w:p w14:paraId="27C2EC2F">
            <w:pPr>
              <w:spacing w:before="304" w:line="220" w:lineRule="auto"/>
              <w:ind w:left="875"/>
              <w:rPr>
                <w:rFonts w:ascii="宋体" w:hAnsi="宋体" w:eastAsia="宋体"/>
                <w:color w:val="auto"/>
                <w:spacing w:val="-2"/>
                <w:highlight w:val="none"/>
              </w:rPr>
            </w:pPr>
            <w:r>
              <w:rPr>
                <w:rFonts w:ascii="宋体" w:hAnsi="宋体" w:eastAsia="宋体"/>
                <w:color w:val="auto"/>
                <w:spacing w:val="-2"/>
                <w:highlight w:val="none"/>
              </w:rPr>
              <w:t>参</w:t>
            </w:r>
            <w:r>
              <w:rPr>
                <w:rFonts w:ascii="宋体" w:hAnsi="宋体" w:eastAsia="宋体"/>
                <w:color w:val="auto"/>
                <w:spacing w:val="-1"/>
                <w:highlight w:val="none"/>
              </w:rPr>
              <w:t>加过的类似项目</w:t>
            </w:r>
          </w:p>
        </w:tc>
        <w:tc>
          <w:tcPr>
            <w:tcW w:w="1260" w:type="dxa"/>
          </w:tcPr>
          <w:p w14:paraId="4DCBB107">
            <w:pPr>
              <w:spacing w:before="304" w:line="220" w:lineRule="auto"/>
              <w:ind w:left="217"/>
              <w:rPr>
                <w:rFonts w:ascii="宋体" w:hAnsi="宋体" w:eastAsia="宋体"/>
                <w:color w:val="auto"/>
                <w:spacing w:val="-2"/>
                <w:highlight w:val="none"/>
              </w:rPr>
            </w:pPr>
            <w:r>
              <w:rPr>
                <w:rFonts w:ascii="宋体" w:hAnsi="宋体" w:eastAsia="宋体"/>
                <w:color w:val="auto"/>
                <w:spacing w:val="-2"/>
                <w:highlight w:val="none"/>
              </w:rPr>
              <w:t>担任职</w:t>
            </w:r>
            <w:r>
              <w:rPr>
                <w:rFonts w:ascii="宋体" w:hAnsi="宋体" w:eastAsia="宋体"/>
                <w:color w:val="auto"/>
                <w:spacing w:val="-1"/>
                <w:highlight w:val="none"/>
              </w:rPr>
              <w:t>务</w:t>
            </w:r>
          </w:p>
        </w:tc>
        <w:tc>
          <w:tcPr>
            <w:tcW w:w="2300" w:type="dxa"/>
            <w:gridSpan w:val="2"/>
          </w:tcPr>
          <w:p w14:paraId="78A81B40">
            <w:pPr>
              <w:spacing w:before="304" w:line="221" w:lineRule="auto"/>
              <w:ind w:left="317"/>
              <w:rPr>
                <w:rFonts w:ascii="宋体" w:hAnsi="宋体" w:eastAsia="宋体"/>
                <w:color w:val="auto"/>
                <w:spacing w:val="-2"/>
                <w:highlight w:val="none"/>
              </w:rPr>
            </w:pPr>
            <w:r>
              <w:rPr>
                <w:rFonts w:ascii="宋体" w:hAnsi="宋体" w:eastAsia="宋体"/>
                <w:color w:val="auto"/>
                <w:spacing w:val="-2"/>
                <w:highlight w:val="none"/>
              </w:rPr>
              <w:t>发包人</w:t>
            </w:r>
            <w:r>
              <w:rPr>
                <w:rFonts w:ascii="宋体" w:hAnsi="宋体" w:eastAsia="宋体"/>
                <w:color w:val="auto"/>
                <w:spacing w:val="-1"/>
                <w:highlight w:val="none"/>
              </w:rPr>
              <w:t>及联系电话</w:t>
            </w:r>
          </w:p>
        </w:tc>
      </w:tr>
      <w:tr w14:paraId="14086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tcPr>
          <w:p w14:paraId="7D819B6B">
            <w:pPr>
              <w:rPr>
                <w:color w:val="auto"/>
                <w:highlight w:val="none"/>
              </w:rPr>
            </w:pPr>
          </w:p>
        </w:tc>
        <w:tc>
          <w:tcPr>
            <w:tcW w:w="3418" w:type="dxa"/>
            <w:gridSpan w:val="4"/>
          </w:tcPr>
          <w:p w14:paraId="20D30493">
            <w:pPr>
              <w:rPr>
                <w:color w:val="auto"/>
                <w:highlight w:val="none"/>
              </w:rPr>
            </w:pPr>
          </w:p>
        </w:tc>
        <w:tc>
          <w:tcPr>
            <w:tcW w:w="1260" w:type="dxa"/>
          </w:tcPr>
          <w:p w14:paraId="6FD4E882">
            <w:pPr>
              <w:rPr>
                <w:color w:val="auto"/>
                <w:highlight w:val="none"/>
              </w:rPr>
            </w:pPr>
          </w:p>
        </w:tc>
        <w:tc>
          <w:tcPr>
            <w:tcW w:w="2300" w:type="dxa"/>
            <w:gridSpan w:val="2"/>
          </w:tcPr>
          <w:p w14:paraId="2FBF1749">
            <w:pPr>
              <w:rPr>
                <w:color w:val="auto"/>
                <w:highlight w:val="none"/>
              </w:rPr>
            </w:pPr>
          </w:p>
        </w:tc>
      </w:tr>
      <w:tr w14:paraId="4CF51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63EAB791">
            <w:pPr>
              <w:rPr>
                <w:color w:val="auto"/>
                <w:highlight w:val="none"/>
              </w:rPr>
            </w:pPr>
          </w:p>
        </w:tc>
        <w:tc>
          <w:tcPr>
            <w:tcW w:w="3418" w:type="dxa"/>
            <w:gridSpan w:val="4"/>
          </w:tcPr>
          <w:p w14:paraId="058C6424">
            <w:pPr>
              <w:rPr>
                <w:color w:val="auto"/>
                <w:highlight w:val="none"/>
              </w:rPr>
            </w:pPr>
          </w:p>
        </w:tc>
        <w:tc>
          <w:tcPr>
            <w:tcW w:w="1260" w:type="dxa"/>
          </w:tcPr>
          <w:p w14:paraId="700694A7">
            <w:pPr>
              <w:rPr>
                <w:color w:val="auto"/>
                <w:highlight w:val="none"/>
              </w:rPr>
            </w:pPr>
          </w:p>
        </w:tc>
        <w:tc>
          <w:tcPr>
            <w:tcW w:w="2300" w:type="dxa"/>
            <w:gridSpan w:val="2"/>
          </w:tcPr>
          <w:p w14:paraId="43A4E567">
            <w:pPr>
              <w:rPr>
                <w:color w:val="auto"/>
                <w:highlight w:val="none"/>
              </w:rPr>
            </w:pPr>
          </w:p>
        </w:tc>
      </w:tr>
      <w:tr w14:paraId="633B6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5CE48255">
            <w:pPr>
              <w:rPr>
                <w:color w:val="auto"/>
                <w:highlight w:val="none"/>
              </w:rPr>
            </w:pPr>
          </w:p>
        </w:tc>
        <w:tc>
          <w:tcPr>
            <w:tcW w:w="3418" w:type="dxa"/>
            <w:gridSpan w:val="4"/>
          </w:tcPr>
          <w:p w14:paraId="5A618845">
            <w:pPr>
              <w:rPr>
                <w:color w:val="auto"/>
                <w:highlight w:val="none"/>
              </w:rPr>
            </w:pPr>
          </w:p>
        </w:tc>
        <w:tc>
          <w:tcPr>
            <w:tcW w:w="1260" w:type="dxa"/>
          </w:tcPr>
          <w:p w14:paraId="3A7D25F4">
            <w:pPr>
              <w:rPr>
                <w:color w:val="auto"/>
                <w:highlight w:val="none"/>
              </w:rPr>
            </w:pPr>
          </w:p>
        </w:tc>
        <w:tc>
          <w:tcPr>
            <w:tcW w:w="2300" w:type="dxa"/>
            <w:gridSpan w:val="2"/>
          </w:tcPr>
          <w:p w14:paraId="347672D4">
            <w:pPr>
              <w:rPr>
                <w:color w:val="auto"/>
                <w:highlight w:val="none"/>
              </w:rPr>
            </w:pPr>
          </w:p>
        </w:tc>
      </w:tr>
      <w:tr w14:paraId="6CF65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tcPr>
          <w:p w14:paraId="0EE5E366">
            <w:pPr>
              <w:rPr>
                <w:color w:val="auto"/>
                <w:highlight w:val="none"/>
              </w:rPr>
            </w:pPr>
          </w:p>
        </w:tc>
        <w:tc>
          <w:tcPr>
            <w:tcW w:w="3418" w:type="dxa"/>
            <w:gridSpan w:val="4"/>
          </w:tcPr>
          <w:p w14:paraId="46DD1EB4">
            <w:pPr>
              <w:rPr>
                <w:color w:val="auto"/>
                <w:highlight w:val="none"/>
              </w:rPr>
            </w:pPr>
          </w:p>
        </w:tc>
        <w:tc>
          <w:tcPr>
            <w:tcW w:w="1260" w:type="dxa"/>
          </w:tcPr>
          <w:p w14:paraId="0EE5D570">
            <w:pPr>
              <w:rPr>
                <w:color w:val="auto"/>
                <w:highlight w:val="none"/>
              </w:rPr>
            </w:pPr>
          </w:p>
        </w:tc>
        <w:tc>
          <w:tcPr>
            <w:tcW w:w="2300" w:type="dxa"/>
            <w:gridSpan w:val="2"/>
          </w:tcPr>
          <w:p w14:paraId="0439104C">
            <w:pPr>
              <w:rPr>
                <w:color w:val="auto"/>
                <w:highlight w:val="none"/>
              </w:rPr>
            </w:pPr>
          </w:p>
        </w:tc>
      </w:tr>
      <w:tr w14:paraId="059FD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583B110E">
            <w:pPr>
              <w:rPr>
                <w:color w:val="auto"/>
                <w:highlight w:val="none"/>
              </w:rPr>
            </w:pPr>
          </w:p>
        </w:tc>
        <w:tc>
          <w:tcPr>
            <w:tcW w:w="3418" w:type="dxa"/>
            <w:gridSpan w:val="4"/>
          </w:tcPr>
          <w:p w14:paraId="6058ED3D">
            <w:pPr>
              <w:rPr>
                <w:color w:val="auto"/>
                <w:highlight w:val="none"/>
              </w:rPr>
            </w:pPr>
          </w:p>
        </w:tc>
        <w:tc>
          <w:tcPr>
            <w:tcW w:w="1260" w:type="dxa"/>
          </w:tcPr>
          <w:p w14:paraId="01113AF6">
            <w:pPr>
              <w:rPr>
                <w:color w:val="auto"/>
                <w:highlight w:val="none"/>
              </w:rPr>
            </w:pPr>
          </w:p>
        </w:tc>
        <w:tc>
          <w:tcPr>
            <w:tcW w:w="2300" w:type="dxa"/>
            <w:gridSpan w:val="2"/>
          </w:tcPr>
          <w:p w14:paraId="081D3818">
            <w:pPr>
              <w:rPr>
                <w:color w:val="auto"/>
                <w:highlight w:val="none"/>
              </w:rPr>
            </w:pPr>
          </w:p>
        </w:tc>
      </w:tr>
      <w:tr w14:paraId="3BCC3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69E90C74">
            <w:pPr>
              <w:rPr>
                <w:color w:val="auto"/>
                <w:highlight w:val="none"/>
              </w:rPr>
            </w:pPr>
          </w:p>
        </w:tc>
        <w:tc>
          <w:tcPr>
            <w:tcW w:w="3418" w:type="dxa"/>
            <w:gridSpan w:val="4"/>
          </w:tcPr>
          <w:p w14:paraId="01666C13">
            <w:pPr>
              <w:rPr>
                <w:color w:val="auto"/>
                <w:highlight w:val="none"/>
              </w:rPr>
            </w:pPr>
          </w:p>
        </w:tc>
        <w:tc>
          <w:tcPr>
            <w:tcW w:w="1260" w:type="dxa"/>
          </w:tcPr>
          <w:p w14:paraId="2A0416CA">
            <w:pPr>
              <w:rPr>
                <w:color w:val="auto"/>
                <w:highlight w:val="none"/>
              </w:rPr>
            </w:pPr>
          </w:p>
        </w:tc>
        <w:tc>
          <w:tcPr>
            <w:tcW w:w="2300" w:type="dxa"/>
            <w:gridSpan w:val="2"/>
          </w:tcPr>
          <w:p w14:paraId="36BA5F5F">
            <w:pPr>
              <w:rPr>
                <w:color w:val="auto"/>
                <w:highlight w:val="none"/>
              </w:rPr>
            </w:pPr>
          </w:p>
        </w:tc>
      </w:tr>
      <w:tr w14:paraId="619AE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tcPr>
          <w:p w14:paraId="59DB35FB">
            <w:pPr>
              <w:rPr>
                <w:color w:val="auto"/>
                <w:highlight w:val="none"/>
              </w:rPr>
            </w:pPr>
          </w:p>
        </w:tc>
        <w:tc>
          <w:tcPr>
            <w:tcW w:w="3418" w:type="dxa"/>
            <w:gridSpan w:val="4"/>
          </w:tcPr>
          <w:p w14:paraId="79E773E9">
            <w:pPr>
              <w:rPr>
                <w:color w:val="auto"/>
                <w:highlight w:val="none"/>
              </w:rPr>
            </w:pPr>
          </w:p>
        </w:tc>
        <w:tc>
          <w:tcPr>
            <w:tcW w:w="1260" w:type="dxa"/>
          </w:tcPr>
          <w:p w14:paraId="19C14F7C">
            <w:pPr>
              <w:rPr>
                <w:color w:val="auto"/>
                <w:highlight w:val="none"/>
              </w:rPr>
            </w:pPr>
          </w:p>
        </w:tc>
        <w:tc>
          <w:tcPr>
            <w:tcW w:w="2300" w:type="dxa"/>
            <w:gridSpan w:val="2"/>
          </w:tcPr>
          <w:p w14:paraId="3C2D352B">
            <w:pPr>
              <w:rPr>
                <w:color w:val="auto"/>
                <w:highlight w:val="none"/>
              </w:rPr>
            </w:pPr>
          </w:p>
        </w:tc>
      </w:tr>
    </w:tbl>
    <w:p w14:paraId="32536248">
      <w:pPr>
        <w:spacing w:line="245" w:lineRule="auto"/>
        <w:rPr>
          <w:color w:val="auto"/>
          <w:highlight w:val="none"/>
        </w:rPr>
      </w:pPr>
    </w:p>
    <w:p w14:paraId="61FE6C91">
      <w:pPr>
        <w:pStyle w:val="55"/>
        <w:rPr>
          <w:color w:val="auto"/>
          <w:highlight w:val="none"/>
        </w:rPr>
      </w:pPr>
    </w:p>
    <w:p w14:paraId="4F97DE14">
      <w:pPr>
        <w:pStyle w:val="55"/>
        <w:rPr>
          <w:color w:val="auto"/>
          <w:highlight w:val="none"/>
        </w:rPr>
      </w:pPr>
    </w:p>
    <w:p w14:paraId="20176442">
      <w:pPr>
        <w:pStyle w:val="55"/>
        <w:rPr>
          <w:color w:val="auto"/>
          <w:highlight w:val="none"/>
        </w:rPr>
      </w:pPr>
    </w:p>
    <w:p w14:paraId="5D196746">
      <w:pPr>
        <w:pStyle w:val="55"/>
        <w:rPr>
          <w:color w:val="auto"/>
          <w:highlight w:val="none"/>
        </w:rPr>
      </w:pPr>
    </w:p>
    <w:p w14:paraId="63201213">
      <w:pPr>
        <w:spacing w:line="245" w:lineRule="auto"/>
        <w:rPr>
          <w:color w:val="auto"/>
          <w:highlight w:val="none"/>
        </w:rPr>
      </w:pPr>
    </w:p>
    <w:p w14:paraId="266559E3">
      <w:pPr>
        <w:spacing w:line="245" w:lineRule="auto"/>
        <w:rPr>
          <w:color w:val="auto"/>
          <w:highlight w:val="none"/>
        </w:rPr>
        <w:sectPr>
          <w:footerReference r:id="rId30" w:type="default"/>
          <w:pgSz w:w="12240" w:h="15840"/>
          <w:pgMar w:top="1346" w:right="1836" w:bottom="1104" w:left="1836" w:header="0" w:footer="940" w:gutter="0"/>
          <w:cols w:space="720" w:num="1"/>
        </w:sectPr>
      </w:pPr>
    </w:p>
    <w:p w14:paraId="6EF36259">
      <w:pPr>
        <w:pStyle w:val="24"/>
        <w:spacing w:before="120" w:after="120"/>
        <w:jc w:val="center"/>
        <w:outlineLvl w:val="9"/>
        <w:rPr>
          <w:rFonts w:hint="eastAsia" w:ascii="黑体" w:hAnsi="黑体" w:eastAsia="黑体"/>
          <w:color w:val="auto"/>
          <w:spacing w:val="11"/>
          <w:sz w:val="31"/>
          <w:szCs w:val="31"/>
          <w:highlight w:val="none"/>
          <w:lang w:eastAsia="zh-CN"/>
        </w:rPr>
      </w:pPr>
      <w:bookmarkStart w:id="483" w:name="_Toc27620"/>
      <w:bookmarkStart w:id="484" w:name="_Toc25099"/>
      <w:bookmarkStart w:id="485" w:name="_Toc25925"/>
      <w:bookmarkStart w:id="486" w:name="_Toc5163"/>
      <w:bookmarkStart w:id="487" w:name="_Toc3515"/>
      <w:r>
        <w:rPr>
          <w:rFonts w:ascii="黑体" w:hAnsi="黑体" w:eastAsia="黑体"/>
          <w:color w:val="auto"/>
          <w:spacing w:val="11"/>
          <w:sz w:val="31"/>
          <w:szCs w:val="31"/>
          <w:highlight w:val="none"/>
        </w:rPr>
        <w:t>七</w:t>
      </w:r>
      <w:r>
        <w:rPr>
          <w:rFonts w:ascii="黑体" w:hAnsi="黑体" w:eastAsia="黑体"/>
          <w:color w:val="auto"/>
          <w:spacing w:val="9"/>
          <w:sz w:val="31"/>
          <w:szCs w:val="31"/>
          <w:highlight w:val="none"/>
        </w:rPr>
        <w:t>、</w:t>
      </w:r>
      <w:bookmarkEnd w:id="483"/>
      <w:bookmarkEnd w:id="484"/>
      <w:bookmarkEnd w:id="485"/>
      <w:bookmarkEnd w:id="486"/>
      <w:bookmarkEnd w:id="487"/>
      <w:r>
        <w:rPr>
          <w:rFonts w:hint="eastAsia" w:ascii="黑体" w:hAnsi="黑体" w:eastAsia="黑体"/>
          <w:color w:val="auto"/>
          <w:spacing w:val="9"/>
          <w:sz w:val="31"/>
          <w:szCs w:val="31"/>
          <w:highlight w:val="none"/>
          <w:lang w:eastAsia="zh-CN"/>
        </w:rPr>
        <w:t>勘察方案</w:t>
      </w:r>
    </w:p>
    <w:p w14:paraId="46E876DE">
      <w:pPr>
        <w:spacing w:line="244" w:lineRule="auto"/>
        <w:rPr>
          <w:color w:val="auto"/>
          <w:highlight w:val="none"/>
        </w:rPr>
      </w:pPr>
    </w:p>
    <w:p w14:paraId="3D5EC999">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包括但不限于以下内容，其中：</w:t>
      </w:r>
    </w:p>
    <w:p w14:paraId="07EBA066">
      <w:pPr>
        <w:kinsoku/>
        <w:autoSpaceDE/>
        <w:autoSpaceDN/>
        <w:snapToGrid/>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一、勘察工程概况；</w:t>
      </w:r>
    </w:p>
    <w:p w14:paraId="7B680A03">
      <w:pPr>
        <w:kinsoku/>
        <w:autoSpaceDE/>
        <w:autoSpaceDN/>
        <w:snapToGrid/>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二、勘察范围、勘察内容；</w:t>
      </w:r>
    </w:p>
    <w:p w14:paraId="299C6463">
      <w:pPr>
        <w:kinsoku/>
        <w:autoSpaceDE/>
        <w:autoSpaceDN/>
        <w:snapToGrid/>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三、勘察依据、 勘察工作目标；</w:t>
      </w:r>
    </w:p>
    <w:p w14:paraId="776A7B72">
      <w:pPr>
        <w:kinsoku/>
        <w:autoSpaceDE/>
        <w:autoSpaceDN/>
        <w:snapToGrid/>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四、勘察机构设置(框图)、岗位职责；</w:t>
      </w:r>
    </w:p>
    <w:p w14:paraId="7F8C9048">
      <w:pPr>
        <w:kinsoku/>
        <w:autoSpaceDE/>
        <w:autoSpaceDN/>
        <w:snapToGrid/>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五、勘察说明和勘察方案；</w:t>
      </w:r>
    </w:p>
    <w:p w14:paraId="50915922">
      <w:pPr>
        <w:kinsoku/>
        <w:autoSpaceDE/>
        <w:autoSpaceDN/>
        <w:snapToGrid/>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六、拟投入的勘察人员、勘察设备；</w:t>
      </w:r>
    </w:p>
    <w:p w14:paraId="09E4C881">
      <w:pPr>
        <w:kinsoku/>
        <w:autoSpaceDE/>
        <w:autoSpaceDN/>
        <w:snapToGrid/>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七、勘察质量、进度、保密等保证措施；</w:t>
      </w:r>
    </w:p>
    <w:p w14:paraId="463984A7">
      <w:pPr>
        <w:kinsoku/>
        <w:autoSpaceDE/>
        <w:autoSpaceDN/>
        <w:snapToGrid/>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八、勘察安全保证措施；</w:t>
      </w:r>
    </w:p>
    <w:p w14:paraId="52168EDE">
      <w:pPr>
        <w:kinsoku/>
        <w:autoSpaceDE/>
        <w:autoSpaceDN/>
        <w:snapToGrid/>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九、勘察工作重点、难点分析；</w:t>
      </w:r>
    </w:p>
    <w:p w14:paraId="50B5FA04">
      <w:pPr>
        <w:kinsoku/>
        <w:autoSpaceDE/>
        <w:autoSpaceDN/>
        <w:snapToGrid/>
        <w:spacing w:line="360" w:lineRule="auto"/>
        <w:rPr>
          <w:rFonts w:ascii="黑体" w:hAnsi="黑体" w:eastAsia="黑体"/>
          <w:b/>
          <w:color w:val="auto"/>
          <w:spacing w:val="10"/>
          <w:sz w:val="31"/>
          <w:szCs w:val="31"/>
          <w:highlight w:val="none"/>
        </w:rPr>
      </w:pPr>
      <w:r>
        <w:rPr>
          <w:rFonts w:hint="eastAsia" w:ascii="宋体" w:hAnsi="宋体" w:eastAsia="宋体"/>
          <w:color w:val="auto"/>
          <w:spacing w:val="13"/>
          <w:sz w:val="24"/>
          <w:szCs w:val="24"/>
          <w:highlight w:val="none"/>
        </w:rPr>
        <w:t>十、对本工程勘察的合理化建议。</w:t>
      </w:r>
      <w:r>
        <w:rPr>
          <w:rFonts w:hint="eastAsia" w:ascii="黑体" w:hAnsi="黑体" w:eastAsia="黑体"/>
          <w:color w:val="auto"/>
          <w:spacing w:val="10"/>
          <w:sz w:val="31"/>
          <w:szCs w:val="31"/>
          <w:highlight w:val="none"/>
        </w:rPr>
        <w:br w:type="page"/>
      </w:r>
    </w:p>
    <w:p w14:paraId="7873FFD9">
      <w:pPr>
        <w:pStyle w:val="24"/>
        <w:spacing w:before="120" w:after="120"/>
        <w:jc w:val="center"/>
        <w:outlineLvl w:val="9"/>
        <w:rPr>
          <w:rFonts w:ascii="黑体" w:hAnsi="黑体" w:eastAsia="黑体"/>
          <w:color w:val="auto"/>
          <w:spacing w:val="10"/>
          <w:sz w:val="31"/>
          <w:szCs w:val="31"/>
          <w:highlight w:val="none"/>
        </w:rPr>
        <w:sectPr>
          <w:footerReference r:id="rId31" w:type="default"/>
          <w:pgSz w:w="12240" w:h="15840"/>
          <w:pgMar w:top="1346" w:right="1836" w:bottom="1104" w:left="1836" w:header="0" w:footer="940" w:gutter="0"/>
          <w:cols w:space="720" w:num="1"/>
        </w:sectPr>
      </w:pPr>
      <w:r>
        <w:rPr>
          <w:rFonts w:ascii="黑体" w:hAnsi="黑体" w:eastAsia="黑体"/>
          <w:color w:val="auto"/>
          <w:spacing w:val="10"/>
          <w:sz w:val="31"/>
          <w:szCs w:val="31"/>
          <w:highlight w:val="none"/>
        </w:rPr>
        <w:t>八</w:t>
      </w:r>
      <w:r>
        <w:rPr>
          <w:rFonts w:ascii="黑体" w:hAnsi="黑体" w:eastAsia="黑体"/>
          <w:color w:val="auto"/>
          <w:spacing w:val="9"/>
          <w:sz w:val="31"/>
          <w:szCs w:val="31"/>
          <w:highlight w:val="none"/>
        </w:rPr>
        <w:t>、其他资料</w:t>
      </w:r>
    </w:p>
    <w:p w14:paraId="21ECD546">
      <w:pPr>
        <w:pStyle w:val="23"/>
        <w:spacing w:after="0"/>
        <w:rPr>
          <w:rFonts w:ascii="Arial" w:hAnsi="Arial"/>
          <w:color w:val="auto"/>
          <w:highlight w:val="none"/>
        </w:rPr>
      </w:pPr>
      <w:bookmarkStart w:id="488" w:name="_Toc183207169"/>
      <w:r>
        <w:rPr>
          <w:rFonts w:hint="eastAsia" w:ascii="Arial" w:hAnsi="Arial"/>
          <w:color w:val="auto"/>
          <w:highlight w:val="none"/>
        </w:rPr>
        <w:t>第七章</w:t>
      </w:r>
      <w:r>
        <w:rPr>
          <w:rFonts w:ascii="Arial" w:hAnsi="Arial"/>
          <w:color w:val="auto"/>
          <w:highlight w:val="none"/>
        </w:rPr>
        <w:t>否决性条款汇总</w:t>
      </w:r>
      <w:bookmarkEnd w:id="488"/>
    </w:p>
    <w:p w14:paraId="675E9E8A">
      <w:pPr>
        <w:spacing w:line="360" w:lineRule="auto"/>
        <w:rPr>
          <w:rFonts w:ascii="宋体" w:hAnsi="宋体" w:eastAsia="宋体"/>
          <w:b/>
          <w:bCs/>
          <w:color w:val="auto"/>
          <w:highlight w:val="none"/>
        </w:rPr>
      </w:pPr>
      <w:r>
        <w:rPr>
          <w:rFonts w:hint="eastAsia" w:ascii="宋体" w:hAnsi="宋体" w:eastAsia="宋体"/>
          <w:b/>
          <w:bCs/>
          <w:color w:val="auto"/>
          <w:highlight w:val="none"/>
        </w:rPr>
        <w:t>1、</w:t>
      </w:r>
      <w:r>
        <w:rPr>
          <w:rFonts w:eastAsia="宋体"/>
          <w:b/>
          <w:bCs/>
          <w:color w:val="auto"/>
          <w:highlight w:val="none"/>
        </w:rPr>
        <w:t>否决性条款</w:t>
      </w:r>
    </w:p>
    <w:p w14:paraId="03509F2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1.1  投标人有下列情况之一的，招标人（或招标代理机构）将拒绝接收投标人的投标文件或投标文件光盘（备用）：</w:t>
      </w:r>
    </w:p>
    <w:p w14:paraId="747D805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(a) 在投标截止期后逾期或未在指定交易平台递交电子投标文件的，招标人（或招标代理）拒绝接收其电子投标文件。</w:t>
      </w:r>
    </w:p>
    <w:p w14:paraId="4D5F996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b)到现场提交电子文件的投标人，未在招标公告规定的时间和地点，投标人代表未凭法定代表人证明书原件（格式见招标文件附录）、法定代表人授权委托书原件（非法定代表人递交投标文件光盘时提供，格式见招标文件附录）、本人身份证复印件（提供原件核对）在招标公告规定的时间和地点递交投标文件光盘（备用）。或电子光盘未按招标文件规定封装的，招标人（或招标代理）拒绝接收其投标文件光盘（备用）。   </w:t>
      </w:r>
    </w:p>
    <w:p w14:paraId="40D9683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1.2  商务投标文件有下列情况之一的，由评标委员会确定其为废标：</w:t>
      </w:r>
    </w:p>
    <w:p w14:paraId="1B4E2E3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（a）投标人与招标人、评标委员会成员或者其他投标人串通投标。</w:t>
      </w:r>
    </w:p>
    <w:p w14:paraId="2F2FC0B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（b）投标人与其他投标人加密打包投标文件电脑机器特征码一致的。 </w:t>
      </w:r>
    </w:p>
    <w:p w14:paraId="1CFEB55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（c）《</w:t>
      </w:r>
      <w:r>
        <w:rPr>
          <w:rFonts w:hint="eastAsia" w:ascii="宋体" w:hAnsi="宋体" w:eastAsia="宋体"/>
          <w:color w:val="auto"/>
          <w:highlight w:val="none"/>
          <w:lang w:eastAsia="zh-CN"/>
        </w:rPr>
        <w:t>勘察费</w:t>
      </w:r>
      <w:r>
        <w:rPr>
          <w:rFonts w:hint="eastAsia" w:ascii="宋体" w:hAnsi="宋体" w:eastAsia="宋体"/>
          <w:color w:val="auto"/>
          <w:highlight w:val="none"/>
        </w:rPr>
        <w:t xml:space="preserve">报价表》及《投标书》未加盖投标人公章。 </w:t>
      </w:r>
    </w:p>
    <w:p w14:paraId="536DF2F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（d）《</w:t>
      </w:r>
      <w:r>
        <w:rPr>
          <w:rFonts w:hint="eastAsia" w:ascii="宋体" w:hAnsi="宋体" w:eastAsia="宋体"/>
          <w:color w:val="auto"/>
          <w:highlight w:val="none"/>
          <w:lang w:eastAsia="zh-CN"/>
        </w:rPr>
        <w:t>勘察费</w:t>
      </w:r>
      <w:r>
        <w:rPr>
          <w:rFonts w:hint="eastAsia" w:ascii="宋体" w:hAnsi="宋体" w:eastAsia="宋体"/>
          <w:color w:val="auto"/>
          <w:highlight w:val="none"/>
        </w:rPr>
        <w:t xml:space="preserve">报价表》及《投标书》未经法定代表人或者其授权代表签名。 </w:t>
      </w:r>
    </w:p>
    <w:p w14:paraId="30F30CE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（e）《</w:t>
      </w:r>
      <w:r>
        <w:rPr>
          <w:rFonts w:hint="eastAsia" w:ascii="宋体" w:hAnsi="宋体" w:eastAsia="宋体"/>
          <w:color w:val="auto"/>
          <w:highlight w:val="none"/>
          <w:lang w:eastAsia="zh-CN"/>
        </w:rPr>
        <w:t>勘察费</w:t>
      </w:r>
      <w:r>
        <w:rPr>
          <w:rFonts w:hint="eastAsia" w:ascii="宋体" w:hAnsi="宋体" w:eastAsia="宋体"/>
          <w:color w:val="auto"/>
          <w:highlight w:val="none"/>
        </w:rPr>
        <w:t>报价表》及《投标书》包含有招标人不能接受的偏差，并且投标人拒绝书面撤回偏差。</w:t>
      </w:r>
    </w:p>
    <w:p w14:paraId="5EB4B1D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（f）《</w:t>
      </w:r>
      <w:r>
        <w:rPr>
          <w:rFonts w:hint="eastAsia" w:ascii="宋体" w:hAnsi="宋体" w:eastAsia="宋体"/>
          <w:color w:val="auto"/>
          <w:highlight w:val="none"/>
          <w:lang w:eastAsia="zh-CN"/>
        </w:rPr>
        <w:t>勘察费</w:t>
      </w:r>
      <w:r>
        <w:rPr>
          <w:rFonts w:hint="eastAsia" w:ascii="宋体" w:hAnsi="宋体" w:eastAsia="宋体"/>
          <w:color w:val="auto"/>
          <w:highlight w:val="none"/>
        </w:rPr>
        <w:t>报价表》及《投标书》未按招标文件规定的格式填写，内容不全或者关键字迹模糊无法辨认的。</w:t>
      </w:r>
    </w:p>
    <w:p w14:paraId="63472263">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（g）证明材料有弄虚作假者。</w:t>
      </w:r>
    </w:p>
    <w:p w14:paraId="14FC041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（h）不按第六章投标文件编制要求编制的投标文件。</w:t>
      </w:r>
    </w:p>
    <w:p w14:paraId="655EA01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（i）不按照要求对投标文件进行澄清、说明或者补正的。</w:t>
      </w:r>
    </w:p>
    <w:p w14:paraId="2FCB45D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1.3  技术文件（</w:t>
      </w:r>
      <w:r>
        <w:rPr>
          <w:rFonts w:hint="eastAsia" w:ascii="宋体" w:hAnsi="宋体" w:eastAsia="宋体"/>
          <w:color w:val="auto"/>
          <w:highlight w:val="none"/>
          <w:lang w:eastAsia="zh-CN"/>
        </w:rPr>
        <w:t>勘察方案</w:t>
      </w:r>
      <w:r>
        <w:rPr>
          <w:rFonts w:hint="eastAsia" w:ascii="宋体" w:hAnsi="宋体" w:eastAsia="宋体"/>
          <w:color w:val="auto"/>
          <w:highlight w:val="none"/>
        </w:rPr>
        <w:t>）有下列情况之一的，由评标委员会确定其为废标：</w:t>
      </w:r>
    </w:p>
    <w:p w14:paraId="5867668C">
      <w:pPr>
        <w:spacing w:line="360" w:lineRule="auto"/>
        <w:ind w:firstLine="420" w:firstLineChars="200"/>
        <w:rPr>
          <w:rFonts w:ascii="宋体" w:hAnsi="宋体" w:eastAsia="宋体"/>
          <w:strike/>
          <w:color w:val="auto"/>
          <w:highlight w:val="none"/>
        </w:rPr>
      </w:pPr>
      <w:r>
        <w:rPr>
          <w:rFonts w:hint="eastAsia" w:ascii="宋体" w:hAnsi="宋体" w:eastAsia="宋体"/>
          <w:strike/>
          <w:color w:val="auto"/>
          <w:highlight w:val="none"/>
        </w:rPr>
        <w:t>（</w:t>
      </w:r>
      <w:r>
        <w:rPr>
          <w:rFonts w:ascii="宋体" w:hAnsi="宋体" w:eastAsia="宋体"/>
          <w:strike/>
          <w:color w:val="auto"/>
          <w:highlight w:val="none"/>
        </w:rPr>
        <w:t>a</w:t>
      </w:r>
      <w:r>
        <w:rPr>
          <w:rFonts w:hint="eastAsia" w:ascii="宋体" w:hAnsi="宋体" w:eastAsia="宋体"/>
          <w:strike/>
          <w:color w:val="auto"/>
          <w:highlight w:val="none"/>
        </w:rPr>
        <w:t>）投标人在技术文件（</w:t>
      </w:r>
      <w:r>
        <w:rPr>
          <w:rFonts w:hint="eastAsia" w:ascii="宋体" w:hAnsi="宋体" w:eastAsia="宋体"/>
          <w:strike/>
          <w:color w:val="auto"/>
          <w:highlight w:val="none"/>
          <w:lang w:eastAsia="zh-CN"/>
        </w:rPr>
        <w:t>勘察方案</w:t>
      </w:r>
      <w:r>
        <w:rPr>
          <w:rFonts w:hint="eastAsia" w:ascii="宋体" w:hAnsi="宋体" w:eastAsia="宋体"/>
          <w:strike/>
          <w:color w:val="auto"/>
          <w:highlight w:val="none"/>
        </w:rPr>
        <w:t xml:space="preserve">）上标注名称、印章、商标等记认符号或显示投标报价信息，使人辨认出投标人或其专业技术人员的身份。 </w:t>
      </w:r>
    </w:p>
    <w:p w14:paraId="64A67AE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（b）有互相雷同或串通投标的。 </w:t>
      </w:r>
    </w:p>
    <w:p w14:paraId="17538FE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（c）有明显抄袭行为。 </w:t>
      </w:r>
    </w:p>
    <w:p w14:paraId="5DBD377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（d）侵犯他人著作权和特许权。</w:t>
      </w:r>
    </w:p>
    <w:p w14:paraId="7AAE78F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（e）不按第六章投标文件编制要求编制投标文件。</w:t>
      </w:r>
    </w:p>
    <w:p w14:paraId="3B8D1EF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1.4  投标人有下列情况之一的，视为串通投标：</w:t>
      </w:r>
    </w:p>
    <w:p w14:paraId="0A40FE8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(a) 递交投标文件前，投标人私下向招标人或其雇员出示或告知投标文件内容；</w:t>
      </w:r>
    </w:p>
    <w:p w14:paraId="39D8098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(b) 评标表决结束前，投标人私下向评标委员会成员出示或告知投标文件内容；</w:t>
      </w:r>
    </w:p>
    <w:p w14:paraId="1226990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(c) 评标结果揭晓前，投标人与招标人就投标价格、投标方案等实质性内容进行谈判。</w:t>
      </w:r>
    </w:p>
    <w:sectPr>
      <w:pgSz w:w="12240" w:h="15840"/>
      <w:pgMar w:top="1346" w:right="1836" w:bottom="1104" w:left="1836" w:header="0" w:footer="9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486720"/>
    </w:sdtPr>
    <w:sdtContent>
      <w:p w14:paraId="55F9F457">
        <w:pPr>
          <w:pStyle w:val="10"/>
          <w:jc w:val="center"/>
        </w:pPr>
        <w:r>
          <w:fldChar w:fldCharType="begin"/>
        </w:r>
        <w:r>
          <w:instrText xml:space="preserve">PAGE   \* MERGEFORMAT</w:instrText>
        </w:r>
        <w:r>
          <w:fldChar w:fldCharType="separate"/>
        </w:r>
        <w:r>
          <w:rPr>
            <w:lang w:val="zh-CN"/>
          </w:rPr>
          <w:t>1</w:t>
        </w:r>
        <w:r>
          <w:fldChar w:fldCharType="end"/>
        </w:r>
      </w:p>
    </w:sdtContent>
  </w:sdt>
  <w:p w14:paraId="3922A9A7">
    <w:pPr>
      <w:pStyle w:val="39"/>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727767"/>
    </w:sdtPr>
    <w:sdtContent>
      <w:p w14:paraId="45DAE688">
        <w:pPr>
          <w:pStyle w:val="10"/>
          <w:jc w:val="center"/>
        </w:pPr>
        <w:r>
          <w:fldChar w:fldCharType="begin"/>
        </w:r>
        <w:r>
          <w:instrText xml:space="preserve">PAGE   \* MERGEFORMAT</w:instrText>
        </w:r>
        <w:r>
          <w:fldChar w:fldCharType="separate"/>
        </w:r>
        <w:r>
          <w:rPr>
            <w:lang w:val="zh-CN"/>
          </w:rPr>
          <w:t>35</w:t>
        </w:r>
        <w:r>
          <w:fldChar w:fldCharType="end"/>
        </w:r>
      </w:p>
    </w:sdtContent>
  </w:sdt>
  <w:p w14:paraId="27B9A492">
    <w:pPr>
      <w:spacing w:line="178" w:lineRule="auto"/>
      <w:ind w:left="4230"/>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522603"/>
    </w:sdtPr>
    <w:sdtContent>
      <w:p w14:paraId="125E6AFC">
        <w:pPr>
          <w:pStyle w:val="10"/>
          <w:jc w:val="center"/>
        </w:pPr>
        <w:r>
          <w:fldChar w:fldCharType="begin"/>
        </w:r>
        <w:r>
          <w:instrText xml:space="preserve">PAGE   \* MERGEFORMAT</w:instrText>
        </w:r>
        <w:r>
          <w:fldChar w:fldCharType="separate"/>
        </w:r>
        <w:r>
          <w:rPr>
            <w:lang w:val="zh-CN"/>
          </w:rPr>
          <w:t>40</w:t>
        </w:r>
        <w:r>
          <w:fldChar w:fldCharType="end"/>
        </w:r>
      </w:p>
    </w:sdtContent>
  </w:sdt>
  <w:p w14:paraId="00F09C9B">
    <w:pPr>
      <w:spacing w:line="178" w:lineRule="auto"/>
      <w:ind w:left="4348"/>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081046"/>
    </w:sdtPr>
    <w:sdtContent>
      <w:p w14:paraId="11C8CAEF">
        <w:pPr>
          <w:pStyle w:val="10"/>
          <w:jc w:val="center"/>
        </w:pPr>
        <w:r>
          <w:fldChar w:fldCharType="begin"/>
        </w:r>
        <w:r>
          <w:instrText xml:space="preserve">PAGE   \* MERGEFORMAT</w:instrText>
        </w:r>
        <w:r>
          <w:fldChar w:fldCharType="separate"/>
        </w:r>
        <w:r>
          <w:rPr>
            <w:lang w:val="zh-CN"/>
          </w:rPr>
          <w:t>44</w:t>
        </w:r>
        <w:r>
          <w:fldChar w:fldCharType="end"/>
        </w:r>
      </w:p>
    </w:sdtContent>
  </w:sdt>
  <w:p w14:paraId="431A8BF0">
    <w:pPr>
      <w:spacing w:line="178" w:lineRule="auto"/>
      <w:ind w:left="4229"/>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882429"/>
    </w:sdtPr>
    <w:sdtContent>
      <w:p w14:paraId="69FDEB8D">
        <w:pPr>
          <w:pStyle w:val="10"/>
          <w:jc w:val="center"/>
        </w:pPr>
        <w:r>
          <w:fldChar w:fldCharType="begin"/>
        </w:r>
        <w:r>
          <w:instrText xml:space="preserve">PAGE   \* MERGEFORMAT</w:instrText>
        </w:r>
        <w:r>
          <w:fldChar w:fldCharType="separate"/>
        </w:r>
        <w:r>
          <w:rPr>
            <w:lang w:val="zh-CN"/>
          </w:rPr>
          <w:t>61</w:t>
        </w:r>
        <w:r>
          <w:fldChar w:fldCharType="end"/>
        </w:r>
      </w:p>
    </w:sdtContent>
  </w:sdt>
  <w:p w14:paraId="0F5A6CCC">
    <w:pPr>
      <w:spacing w:line="178" w:lineRule="auto"/>
      <w:ind w:left="4202"/>
      <w:rPr>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6286479"/>
    </w:sdtPr>
    <w:sdtContent>
      <w:p w14:paraId="28A4C4BE">
        <w:pPr>
          <w:pStyle w:val="10"/>
          <w:jc w:val="center"/>
        </w:pPr>
        <w:r>
          <w:fldChar w:fldCharType="begin"/>
        </w:r>
        <w:r>
          <w:instrText xml:space="preserve">PAGE   \* MERGEFORMAT</w:instrText>
        </w:r>
        <w:r>
          <w:fldChar w:fldCharType="separate"/>
        </w:r>
        <w:r>
          <w:rPr>
            <w:lang w:val="zh-CN"/>
          </w:rPr>
          <w:t>62</w:t>
        </w:r>
        <w:r>
          <w:fldChar w:fldCharType="end"/>
        </w:r>
      </w:p>
    </w:sdtContent>
  </w:sdt>
  <w:p w14:paraId="0F565973">
    <w:pPr>
      <w:spacing w:line="178" w:lineRule="auto"/>
      <w:ind w:left="4202"/>
      <w:rPr>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292878"/>
    </w:sdtPr>
    <w:sdtContent>
      <w:p w14:paraId="51E99D46">
        <w:pPr>
          <w:pStyle w:val="10"/>
          <w:jc w:val="center"/>
        </w:pPr>
        <w:r>
          <w:fldChar w:fldCharType="begin"/>
        </w:r>
        <w:r>
          <w:instrText xml:space="preserve">PAGE   \* MERGEFORMAT</w:instrText>
        </w:r>
        <w:r>
          <w:fldChar w:fldCharType="separate"/>
        </w:r>
        <w:r>
          <w:rPr>
            <w:lang w:val="zh-CN"/>
          </w:rPr>
          <w:t>64</w:t>
        </w:r>
        <w:r>
          <w:fldChar w:fldCharType="end"/>
        </w:r>
      </w:p>
    </w:sdtContent>
  </w:sdt>
  <w:p w14:paraId="101777D6">
    <w:pPr>
      <w:spacing w:line="177" w:lineRule="auto"/>
      <w:ind w:left="4201"/>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354295"/>
    </w:sdtPr>
    <w:sdtContent>
      <w:p w14:paraId="57D9CAB8">
        <w:pPr>
          <w:pStyle w:val="10"/>
          <w:jc w:val="center"/>
        </w:pPr>
        <w:r>
          <w:fldChar w:fldCharType="begin"/>
        </w:r>
        <w:r>
          <w:instrText xml:space="preserve">PAGE   \* MERGEFORMAT</w:instrText>
        </w:r>
        <w:r>
          <w:fldChar w:fldCharType="separate"/>
        </w:r>
        <w:r>
          <w:rPr>
            <w:lang w:val="zh-CN"/>
          </w:rPr>
          <w:t>65</w:t>
        </w:r>
        <w:r>
          <w:fldChar w:fldCharType="end"/>
        </w:r>
      </w:p>
    </w:sdtContent>
  </w:sdt>
  <w:p w14:paraId="46E7ED98">
    <w:pPr>
      <w:spacing w:line="178" w:lineRule="auto"/>
      <w:ind w:left="4201"/>
      <w:rPr>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974243"/>
    </w:sdtPr>
    <w:sdtContent>
      <w:p w14:paraId="0E9D8B80">
        <w:pPr>
          <w:pStyle w:val="10"/>
          <w:jc w:val="center"/>
        </w:pPr>
        <w:r>
          <w:fldChar w:fldCharType="begin"/>
        </w:r>
        <w:r>
          <w:instrText xml:space="preserve">PAGE   \* MERGEFORMAT</w:instrText>
        </w:r>
        <w:r>
          <w:fldChar w:fldCharType="separate"/>
        </w:r>
        <w:r>
          <w:rPr>
            <w:lang w:val="zh-CN"/>
          </w:rPr>
          <w:t>66</w:t>
        </w:r>
        <w:r>
          <w:fldChar w:fldCharType="end"/>
        </w:r>
      </w:p>
    </w:sdtContent>
  </w:sdt>
  <w:p w14:paraId="3F9E0699">
    <w:pPr>
      <w:spacing w:line="178" w:lineRule="auto"/>
      <w:ind w:left="4201"/>
      <w:rPr>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06013"/>
    </w:sdtPr>
    <w:sdtContent>
      <w:p w14:paraId="63BA5AD0">
        <w:pPr>
          <w:pStyle w:val="10"/>
          <w:jc w:val="center"/>
        </w:pPr>
        <w:r>
          <w:fldChar w:fldCharType="begin"/>
        </w:r>
        <w:r>
          <w:instrText xml:space="preserve">PAGE   \* MERGEFORMAT</w:instrText>
        </w:r>
        <w:r>
          <w:fldChar w:fldCharType="separate"/>
        </w:r>
        <w:r>
          <w:rPr>
            <w:lang w:val="zh-CN"/>
          </w:rPr>
          <w:t>67</w:t>
        </w:r>
        <w:r>
          <w:fldChar w:fldCharType="end"/>
        </w:r>
      </w:p>
    </w:sdtContent>
  </w:sdt>
  <w:p w14:paraId="5878029D">
    <w:pPr>
      <w:spacing w:line="177" w:lineRule="auto"/>
      <w:ind w:left="4230"/>
      <w:rPr>
        <w:sz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522424"/>
    </w:sdtPr>
    <w:sdtContent>
      <w:p w14:paraId="6B7CF830">
        <w:pPr>
          <w:pStyle w:val="10"/>
          <w:jc w:val="center"/>
        </w:pPr>
        <w:r>
          <w:fldChar w:fldCharType="begin"/>
        </w:r>
        <w:r>
          <w:instrText xml:space="preserve">PAGE   \* MERGEFORMAT</w:instrText>
        </w:r>
        <w:r>
          <w:fldChar w:fldCharType="separate"/>
        </w:r>
        <w:r>
          <w:rPr>
            <w:lang w:val="zh-CN"/>
          </w:rPr>
          <w:t>69</w:t>
        </w:r>
        <w:r>
          <w:fldChar w:fldCharType="end"/>
        </w:r>
      </w:p>
    </w:sdtContent>
  </w:sdt>
  <w:p w14:paraId="31229CFB">
    <w:pPr>
      <w:spacing w:line="178" w:lineRule="auto"/>
      <w:ind w:left="4201"/>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290565"/>
    </w:sdtPr>
    <w:sdtContent>
      <w:p w14:paraId="0319BDE8">
        <w:pPr>
          <w:pStyle w:val="10"/>
          <w:jc w:val="center"/>
        </w:pPr>
        <w:r>
          <w:fldChar w:fldCharType="begin"/>
        </w:r>
        <w:r>
          <w:instrText xml:space="preserve">PAGE   \* MERGEFORMAT</w:instrText>
        </w:r>
        <w:r>
          <w:fldChar w:fldCharType="separate"/>
        </w:r>
        <w:r>
          <w:rPr>
            <w:lang w:val="zh-CN"/>
          </w:rPr>
          <w:t>3</w:t>
        </w:r>
        <w:r>
          <w:fldChar w:fldCharType="end"/>
        </w:r>
      </w:p>
    </w:sdtContent>
  </w:sdt>
  <w:p w14:paraId="386BD7D4">
    <w:pPr>
      <w:spacing w:line="177" w:lineRule="auto"/>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431102"/>
    </w:sdtPr>
    <w:sdtContent>
      <w:p w14:paraId="59BDBCDE">
        <w:pPr>
          <w:pStyle w:val="10"/>
          <w:jc w:val="center"/>
        </w:pPr>
        <w:r>
          <w:fldChar w:fldCharType="begin"/>
        </w:r>
        <w:r>
          <w:instrText xml:space="preserve">PAGE   \* MERGEFORMAT</w:instrText>
        </w:r>
        <w:r>
          <w:fldChar w:fldCharType="separate"/>
        </w:r>
        <w:r>
          <w:rPr>
            <w:lang w:val="zh-CN"/>
          </w:rPr>
          <w:t>71</w:t>
        </w:r>
        <w:r>
          <w:fldChar w:fldCharType="end"/>
        </w:r>
      </w:p>
    </w:sdtContent>
  </w:sdt>
  <w:p w14:paraId="6E8070B7">
    <w:pPr>
      <w:spacing w:line="178" w:lineRule="auto"/>
      <w:ind w:left="4229"/>
      <w:rPr>
        <w:sz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896741"/>
    </w:sdtPr>
    <w:sdtContent>
      <w:p w14:paraId="22CD7D7D">
        <w:pPr>
          <w:pStyle w:val="10"/>
          <w:jc w:val="center"/>
        </w:pPr>
        <w:r>
          <w:fldChar w:fldCharType="begin"/>
        </w:r>
        <w:r>
          <w:instrText xml:space="preserve">PAGE   \* MERGEFORMAT</w:instrText>
        </w:r>
        <w:r>
          <w:fldChar w:fldCharType="separate"/>
        </w:r>
        <w:r>
          <w:rPr>
            <w:lang w:val="zh-CN"/>
          </w:rPr>
          <w:t>72</w:t>
        </w:r>
        <w:r>
          <w:fldChar w:fldCharType="end"/>
        </w:r>
      </w:p>
    </w:sdtContent>
  </w:sdt>
  <w:p w14:paraId="25FA8F57">
    <w:pPr>
      <w:spacing w:line="178" w:lineRule="auto"/>
      <w:ind w:left="4230"/>
      <w:rPr>
        <w:sz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2818324"/>
    </w:sdtPr>
    <w:sdtContent>
      <w:p w14:paraId="559AC2DD">
        <w:pPr>
          <w:pStyle w:val="10"/>
          <w:jc w:val="center"/>
        </w:pPr>
        <w:r>
          <w:fldChar w:fldCharType="begin"/>
        </w:r>
        <w:r>
          <w:instrText xml:space="preserve">PAGE   \* MERGEFORMAT</w:instrText>
        </w:r>
        <w:r>
          <w:fldChar w:fldCharType="separate"/>
        </w:r>
        <w:r>
          <w:rPr>
            <w:lang w:val="zh-CN"/>
          </w:rPr>
          <w:t>73</w:t>
        </w:r>
        <w:r>
          <w:fldChar w:fldCharType="end"/>
        </w:r>
      </w:p>
    </w:sdtContent>
  </w:sdt>
  <w:p w14:paraId="7B79F3BA">
    <w:pPr>
      <w:spacing w:line="178" w:lineRule="auto"/>
      <w:ind w:left="4199"/>
      <w:rPr>
        <w:sz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302052"/>
    </w:sdtPr>
    <w:sdtContent>
      <w:p w14:paraId="22F7FCA6">
        <w:pPr>
          <w:pStyle w:val="10"/>
          <w:jc w:val="center"/>
        </w:pPr>
        <w:r>
          <w:fldChar w:fldCharType="begin"/>
        </w:r>
        <w:r>
          <w:instrText xml:space="preserve">PAGE   \* MERGEFORMAT</w:instrText>
        </w:r>
        <w:r>
          <w:fldChar w:fldCharType="separate"/>
        </w:r>
        <w:r>
          <w:rPr>
            <w:lang w:val="zh-CN"/>
          </w:rPr>
          <w:t>74</w:t>
        </w:r>
        <w:r>
          <w:fldChar w:fldCharType="end"/>
        </w:r>
      </w:p>
    </w:sdtContent>
  </w:sdt>
  <w:p w14:paraId="29F49455">
    <w:pPr>
      <w:spacing w:line="178" w:lineRule="auto"/>
      <w:ind w:left="4235"/>
      <w:rPr>
        <w:sz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691897"/>
    </w:sdtPr>
    <w:sdtContent>
      <w:p w14:paraId="1818C0FC">
        <w:pPr>
          <w:pStyle w:val="10"/>
          <w:jc w:val="center"/>
        </w:pPr>
        <w:r>
          <w:fldChar w:fldCharType="begin"/>
        </w:r>
        <w:r>
          <w:instrText xml:space="preserve">PAGE   \* MERGEFORMAT</w:instrText>
        </w:r>
        <w:r>
          <w:fldChar w:fldCharType="separate"/>
        </w:r>
        <w:r>
          <w:rPr>
            <w:lang w:val="zh-CN"/>
          </w:rPr>
          <w:t>77</w:t>
        </w:r>
        <w:r>
          <w:fldChar w:fldCharType="end"/>
        </w:r>
      </w:p>
    </w:sdtContent>
  </w:sdt>
  <w:p w14:paraId="00B14E29">
    <w:pPr>
      <w:spacing w:line="178" w:lineRule="auto"/>
      <w:ind w:left="4199"/>
      <w:rPr>
        <w:sz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520945"/>
    </w:sdtPr>
    <w:sdtContent>
      <w:p w14:paraId="4D57DBE8">
        <w:pPr>
          <w:pStyle w:val="10"/>
          <w:jc w:val="center"/>
        </w:pPr>
        <w:r>
          <w:fldChar w:fldCharType="begin"/>
        </w:r>
        <w:r>
          <w:instrText xml:space="preserve">PAGE   \* MERGEFORMAT</w:instrText>
        </w:r>
        <w:r>
          <w:fldChar w:fldCharType="separate"/>
        </w:r>
        <w:r>
          <w:rPr>
            <w:lang w:val="zh-CN"/>
          </w:rPr>
          <w:t>79</w:t>
        </w:r>
        <w:r>
          <w:fldChar w:fldCharType="end"/>
        </w:r>
      </w:p>
    </w:sdtContent>
  </w:sdt>
  <w:p w14:paraId="697A8DB0">
    <w:pPr>
      <w:spacing w:line="178" w:lineRule="auto"/>
      <w:ind w:left="4227"/>
      <w:rPr>
        <w:sz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5375299"/>
    </w:sdtPr>
    <w:sdtContent>
      <w:p w14:paraId="2DC6E92A">
        <w:pPr>
          <w:pStyle w:val="10"/>
          <w:jc w:val="center"/>
        </w:pPr>
        <w:r>
          <w:fldChar w:fldCharType="begin"/>
        </w:r>
        <w:r>
          <w:instrText xml:space="preserve">PAGE   \* MERGEFORMAT</w:instrText>
        </w:r>
        <w:r>
          <w:fldChar w:fldCharType="separate"/>
        </w:r>
        <w:r>
          <w:rPr>
            <w:lang w:val="zh-CN"/>
          </w:rPr>
          <w:t>80</w:t>
        </w:r>
        <w:r>
          <w:fldChar w:fldCharType="end"/>
        </w:r>
      </w:p>
    </w:sdtContent>
  </w:sdt>
  <w:p w14:paraId="216484A5">
    <w:pPr>
      <w:spacing w:line="178" w:lineRule="auto"/>
      <w:ind w:left="4201"/>
      <w:rPr>
        <w:sz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846970"/>
    </w:sdtPr>
    <w:sdtContent>
      <w:p w14:paraId="14CC6001">
        <w:pPr>
          <w:pStyle w:val="10"/>
          <w:jc w:val="center"/>
        </w:pPr>
        <w:r>
          <w:fldChar w:fldCharType="begin"/>
        </w:r>
        <w:r>
          <w:instrText xml:space="preserve">PAGE   \* MERGEFORMAT</w:instrText>
        </w:r>
        <w:r>
          <w:fldChar w:fldCharType="separate"/>
        </w:r>
        <w:r>
          <w:rPr>
            <w:lang w:val="zh-CN"/>
          </w:rPr>
          <w:t>81</w:t>
        </w:r>
        <w:r>
          <w:fldChar w:fldCharType="end"/>
        </w:r>
      </w:p>
    </w:sdtContent>
  </w:sdt>
  <w:p w14:paraId="10431AC0">
    <w:pPr>
      <w:spacing w:line="178" w:lineRule="auto"/>
      <w:ind w:left="4199"/>
      <w:rPr>
        <w:sz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441411"/>
    </w:sdtPr>
    <w:sdtContent>
      <w:p w14:paraId="2A86DD21">
        <w:pPr>
          <w:pStyle w:val="10"/>
          <w:jc w:val="center"/>
        </w:pPr>
        <w:r>
          <w:fldChar w:fldCharType="begin"/>
        </w:r>
        <w:r>
          <w:instrText xml:space="preserve">PAGE   \* MERGEFORMAT</w:instrText>
        </w:r>
        <w:r>
          <w:fldChar w:fldCharType="separate"/>
        </w:r>
        <w:r>
          <w:rPr>
            <w:lang w:val="zh-CN"/>
          </w:rPr>
          <w:t>85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317925"/>
    </w:sdtPr>
    <w:sdtContent>
      <w:p w14:paraId="120BBC41">
        <w:pPr>
          <w:pStyle w:val="10"/>
          <w:jc w:val="center"/>
        </w:pPr>
        <w:r>
          <w:fldChar w:fldCharType="begin"/>
        </w:r>
        <w:r>
          <w:instrText xml:space="preserve">PAGE   \* MERGEFORMAT</w:instrText>
        </w:r>
        <w:r>
          <w:fldChar w:fldCharType="separate"/>
        </w:r>
        <w:r>
          <w:rPr>
            <w:lang w:val="zh-CN"/>
          </w:rPr>
          <w:t>8</w:t>
        </w:r>
        <w:r>
          <w:fldChar w:fldCharType="end"/>
        </w:r>
      </w:p>
    </w:sdtContent>
  </w:sdt>
  <w:p w14:paraId="1E622D56">
    <w:pPr>
      <w:spacing w:line="177" w:lineRule="auto"/>
      <w:ind w:left="4242"/>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899424"/>
    </w:sdtPr>
    <w:sdtContent>
      <w:p w14:paraId="6CDF07AC">
        <w:pPr>
          <w:pStyle w:val="10"/>
          <w:jc w:val="center"/>
        </w:pPr>
        <w:r>
          <w:fldChar w:fldCharType="begin"/>
        </w:r>
        <w:r>
          <w:instrText xml:space="preserve">PAGE   \* MERGEFORMAT</w:instrText>
        </w:r>
        <w:r>
          <w:fldChar w:fldCharType="separate"/>
        </w:r>
        <w:r>
          <w:rPr>
            <w:lang w:val="zh-CN"/>
          </w:rPr>
          <w:t>14</w:t>
        </w:r>
        <w:r>
          <w:fldChar w:fldCharType="end"/>
        </w:r>
      </w:p>
    </w:sdtContent>
  </w:sdt>
  <w:p w14:paraId="5382D9FA">
    <w:pPr>
      <w:spacing w:line="178" w:lineRule="auto"/>
      <w:ind w:left="4354"/>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376413"/>
    </w:sdtPr>
    <w:sdtContent>
      <w:p w14:paraId="602165CC">
        <w:pPr>
          <w:pStyle w:val="10"/>
          <w:jc w:val="center"/>
        </w:pPr>
        <w:r>
          <w:fldChar w:fldCharType="begin"/>
        </w:r>
        <w:r>
          <w:instrText xml:space="preserve">PAGE   \* MERGEFORMAT</w:instrText>
        </w:r>
        <w:r>
          <w:fldChar w:fldCharType="separate"/>
        </w:r>
        <w:r>
          <w:rPr>
            <w:lang w:val="zh-CN"/>
          </w:rPr>
          <w:t>19</w:t>
        </w:r>
        <w:r>
          <w:fldChar w:fldCharType="end"/>
        </w:r>
      </w:p>
    </w:sdtContent>
  </w:sdt>
  <w:p w14:paraId="01EF7A8E">
    <w:pPr>
      <w:spacing w:line="177" w:lineRule="auto"/>
      <w:ind w:left="4235"/>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120255"/>
    </w:sdtPr>
    <w:sdtContent>
      <w:p w14:paraId="605D9942">
        <w:pPr>
          <w:pStyle w:val="10"/>
          <w:jc w:val="center"/>
        </w:pPr>
        <w:r>
          <w:fldChar w:fldCharType="begin"/>
        </w:r>
        <w:r>
          <w:instrText xml:space="preserve">PAGE   \* MERGEFORMAT</w:instrText>
        </w:r>
        <w:r>
          <w:fldChar w:fldCharType="separate"/>
        </w:r>
        <w:r>
          <w:rPr>
            <w:lang w:val="zh-CN"/>
          </w:rPr>
          <w:t>20</w:t>
        </w:r>
        <w:r>
          <w:fldChar w:fldCharType="end"/>
        </w:r>
      </w:p>
    </w:sdtContent>
  </w:sdt>
  <w:p w14:paraId="560D55DD">
    <w:pPr>
      <w:spacing w:line="177" w:lineRule="auto"/>
      <w:ind w:left="4235"/>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3508274"/>
    </w:sdtPr>
    <w:sdtContent>
      <w:p w14:paraId="6A6BB30A">
        <w:pPr>
          <w:pStyle w:val="10"/>
          <w:jc w:val="center"/>
        </w:pPr>
        <w:r>
          <w:fldChar w:fldCharType="begin"/>
        </w:r>
        <w:r>
          <w:instrText xml:space="preserve">PAGE   \* MERGEFORMAT</w:instrText>
        </w:r>
        <w:r>
          <w:fldChar w:fldCharType="separate"/>
        </w:r>
        <w:r>
          <w:rPr>
            <w:lang w:val="zh-CN"/>
          </w:rPr>
          <w:t>22</w:t>
        </w:r>
        <w:r>
          <w:fldChar w:fldCharType="end"/>
        </w:r>
      </w:p>
    </w:sdtContent>
  </w:sdt>
  <w:p w14:paraId="29FBF29A">
    <w:pPr>
      <w:spacing w:line="178" w:lineRule="auto"/>
      <w:ind w:left="4236"/>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803652"/>
    </w:sdtPr>
    <w:sdtContent>
      <w:p w14:paraId="58C0E42B">
        <w:pPr>
          <w:pStyle w:val="10"/>
          <w:jc w:val="center"/>
        </w:pPr>
        <w:r>
          <w:fldChar w:fldCharType="begin"/>
        </w:r>
        <w:r>
          <w:instrText xml:space="preserve">PAGE   \* MERGEFORMAT</w:instrText>
        </w:r>
        <w:r>
          <w:fldChar w:fldCharType="separate"/>
        </w:r>
        <w:r>
          <w:rPr>
            <w:lang w:val="zh-CN"/>
          </w:rPr>
          <w:t>33</w:t>
        </w:r>
        <w:r>
          <w:fldChar w:fldCharType="end"/>
        </w:r>
      </w:p>
    </w:sdtContent>
  </w:sdt>
  <w:p w14:paraId="01DCC822">
    <w:pPr>
      <w:spacing w:line="178" w:lineRule="auto"/>
      <w:ind w:left="4231"/>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84523"/>
    </w:sdtPr>
    <w:sdtContent>
      <w:p w14:paraId="678749B7">
        <w:pPr>
          <w:pStyle w:val="10"/>
          <w:jc w:val="center"/>
        </w:pPr>
        <w:r>
          <w:fldChar w:fldCharType="begin"/>
        </w:r>
        <w:r>
          <w:instrText xml:space="preserve">PAGE   \* MERGEFORMAT</w:instrText>
        </w:r>
        <w:r>
          <w:fldChar w:fldCharType="separate"/>
        </w:r>
        <w:r>
          <w:rPr>
            <w:lang w:val="zh-CN"/>
          </w:rPr>
          <w:t>34</w:t>
        </w:r>
        <w:r>
          <w:fldChar w:fldCharType="end"/>
        </w:r>
      </w:p>
    </w:sdtContent>
  </w:sdt>
  <w:p w14:paraId="64E96ABB">
    <w:pPr>
      <w:spacing w:line="178" w:lineRule="auto"/>
      <w:ind w:left="4238"/>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30A9">
    <w:pPr>
      <w:pStyle w:val="37"/>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500"/>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8C"/>
    <w:rsid w:val="0001799E"/>
    <w:rsid w:val="0004004A"/>
    <w:rsid w:val="000F2FD4"/>
    <w:rsid w:val="00113FC8"/>
    <w:rsid w:val="00127C32"/>
    <w:rsid w:val="00163EE0"/>
    <w:rsid w:val="00165285"/>
    <w:rsid w:val="00187E11"/>
    <w:rsid w:val="0019702E"/>
    <w:rsid w:val="00224114"/>
    <w:rsid w:val="00367195"/>
    <w:rsid w:val="00376A56"/>
    <w:rsid w:val="003A0896"/>
    <w:rsid w:val="004653F8"/>
    <w:rsid w:val="0061556B"/>
    <w:rsid w:val="006D24EA"/>
    <w:rsid w:val="00774F0B"/>
    <w:rsid w:val="007A238C"/>
    <w:rsid w:val="00801387"/>
    <w:rsid w:val="00864AC8"/>
    <w:rsid w:val="00871F0F"/>
    <w:rsid w:val="008A07D1"/>
    <w:rsid w:val="008C37E1"/>
    <w:rsid w:val="00A037AE"/>
    <w:rsid w:val="00A43015"/>
    <w:rsid w:val="00A84801"/>
    <w:rsid w:val="00AA0037"/>
    <w:rsid w:val="00AE79BD"/>
    <w:rsid w:val="00BC6CA2"/>
    <w:rsid w:val="00BE22F3"/>
    <w:rsid w:val="00C13F02"/>
    <w:rsid w:val="00C467C2"/>
    <w:rsid w:val="00C93AC9"/>
    <w:rsid w:val="00CA5EBA"/>
    <w:rsid w:val="00D26F76"/>
    <w:rsid w:val="00D37AF3"/>
    <w:rsid w:val="00DB2254"/>
    <w:rsid w:val="00DD668E"/>
    <w:rsid w:val="00DE5C1D"/>
    <w:rsid w:val="00DF2856"/>
    <w:rsid w:val="00E07886"/>
    <w:rsid w:val="00EF46F3"/>
    <w:rsid w:val="00F0598C"/>
    <w:rsid w:val="00F620BE"/>
    <w:rsid w:val="01416AD0"/>
    <w:rsid w:val="018D52A0"/>
    <w:rsid w:val="04580719"/>
    <w:rsid w:val="0602632E"/>
    <w:rsid w:val="09A10F2A"/>
    <w:rsid w:val="0E0B38AA"/>
    <w:rsid w:val="133A70FA"/>
    <w:rsid w:val="135E70D7"/>
    <w:rsid w:val="14FC3AB5"/>
    <w:rsid w:val="170C5AE7"/>
    <w:rsid w:val="1AC7482B"/>
    <w:rsid w:val="1C2F34D6"/>
    <w:rsid w:val="1C9A0A6F"/>
    <w:rsid w:val="1D9F21E5"/>
    <w:rsid w:val="1E8659A4"/>
    <w:rsid w:val="23A96AB4"/>
    <w:rsid w:val="259033CC"/>
    <w:rsid w:val="26A87B6C"/>
    <w:rsid w:val="284C24E3"/>
    <w:rsid w:val="286B0B74"/>
    <w:rsid w:val="2A843695"/>
    <w:rsid w:val="2A864B17"/>
    <w:rsid w:val="2B913D9D"/>
    <w:rsid w:val="2BE37AC9"/>
    <w:rsid w:val="2EF64E38"/>
    <w:rsid w:val="31AF3648"/>
    <w:rsid w:val="323C641D"/>
    <w:rsid w:val="32A26E6B"/>
    <w:rsid w:val="347E4B3B"/>
    <w:rsid w:val="368F1693"/>
    <w:rsid w:val="375529D6"/>
    <w:rsid w:val="38705D2B"/>
    <w:rsid w:val="38CF48BE"/>
    <w:rsid w:val="3B1126FE"/>
    <w:rsid w:val="3BCB12A4"/>
    <w:rsid w:val="3D1571C5"/>
    <w:rsid w:val="3DDE4268"/>
    <w:rsid w:val="406F5160"/>
    <w:rsid w:val="42675C80"/>
    <w:rsid w:val="437432AA"/>
    <w:rsid w:val="45130D62"/>
    <w:rsid w:val="46D0155D"/>
    <w:rsid w:val="4D6F6ABB"/>
    <w:rsid w:val="4E033284"/>
    <w:rsid w:val="4E7D0E9B"/>
    <w:rsid w:val="4EE676C9"/>
    <w:rsid w:val="4FE4519F"/>
    <w:rsid w:val="537F3A71"/>
    <w:rsid w:val="571265F8"/>
    <w:rsid w:val="582412C4"/>
    <w:rsid w:val="5C9913C8"/>
    <w:rsid w:val="5CAA5AE0"/>
    <w:rsid w:val="5CCC060E"/>
    <w:rsid w:val="622154DC"/>
    <w:rsid w:val="625558F6"/>
    <w:rsid w:val="62A414BE"/>
    <w:rsid w:val="63AA6180"/>
    <w:rsid w:val="68255900"/>
    <w:rsid w:val="6A15744F"/>
    <w:rsid w:val="6E08573A"/>
    <w:rsid w:val="6E4A1183"/>
    <w:rsid w:val="6ED93301"/>
    <w:rsid w:val="70FE4B43"/>
    <w:rsid w:val="75D831DB"/>
    <w:rsid w:val="764F00D2"/>
    <w:rsid w:val="76E370D2"/>
    <w:rsid w:val="7B2E2B24"/>
    <w:rsid w:val="7D68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snapToGrid w:val="0"/>
    </w:pPr>
    <w:rPr>
      <w:rFonts w:ascii="Arial" w:hAnsi="Arial" w:eastAsia="Arial" w:cs="Times New Roman"/>
      <w:color w:val="000000"/>
      <w:sz w:val="21"/>
      <w:szCs w:val="21"/>
      <w:lang w:val="en-US" w:eastAsia="zh-CN" w:bidi="ar-SA"/>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rPr>
  </w:style>
  <w:style w:type="paragraph" w:customStyle="1" w:styleId="3">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styleId="4">
    <w:name w:val="toc 7"/>
    <w:basedOn w:val="1"/>
    <w:next w:val="1"/>
    <w:unhideWhenUsed/>
    <w:qFormat/>
    <w:uiPriority w:val="39"/>
    <w:pPr>
      <w:widowControl w:val="0"/>
      <w:kinsoku/>
      <w:autoSpaceDE/>
      <w:autoSpaceDN/>
      <w:snapToGrid/>
      <w:ind w:left="2520" w:leftChars="1200"/>
      <w:jc w:val="both"/>
    </w:pPr>
    <w:rPr>
      <w:rFonts w:asciiTheme="minorHAnsi" w:hAnsiTheme="minorHAnsi" w:eastAsiaTheme="minorEastAsia" w:cstheme="minorBidi"/>
      <w:color w:val="auto"/>
      <w:kern w:val="2"/>
      <w:szCs w:val="22"/>
      <w14:ligatures w14:val="standardContextual"/>
    </w:rPr>
  </w:style>
  <w:style w:type="paragraph" w:styleId="5">
    <w:name w:val="annotation text"/>
    <w:basedOn w:val="1"/>
    <w:qFormat/>
    <w:uiPriority w:val="0"/>
  </w:style>
  <w:style w:type="paragraph" w:styleId="6">
    <w:name w:val="toc 5"/>
    <w:basedOn w:val="1"/>
    <w:next w:val="1"/>
    <w:unhideWhenUsed/>
    <w:qFormat/>
    <w:uiPriority w:val="39"/>
    <w:pPr>
      <w:widowControl w:val="0"/>
      <w:kinsoku/>
      <w:autoSpaceDE/>
      <w:autoSpaceDN/>
      <w:snapToGrid/>
      <w:ind w:left="1680" w:leftChars="800"/>
      <w:jc w:val="both"/>
    </w:pPr>
    <w:rPr>
      <w:rFonts w:asciiTheme="minorHAnsi" w:hAnsiTheme="minorHAnsi" w:eastAsiaTheme="minorEastAsia" w:cstheme="minorBidi"/>
      <w:color w:val="auto"/>
      <w:kern w:val="2"/>
      <w:szCs w:val="22"/>
      <w14:ligatures w14:val="standardContextual"/>
    </w:rPr>
  </w:style>
  <w:style w:type="paragraph" w:styleId="7">
    <w:name w:val="toc 3"/>
    <w:basedOn w:val="1"/>
    <w:next w:val="1"/>
    <w:qFormat/>
    <w:uiPriority w:val="39"/>
    <w:pPr>
      <w:ind w:left="840" w:leftChars="400"/>
    </w:pPr>
  </w:style>
  <w:style w:type="paragraph" w:styleId="8">
    <w:name w:val="toc 8"/>
    <w:basedOn w:val="1"/>
    <w:next w:val="1"/>
    <w:unhideWhenUsed/>
    <w:qFormat/>
    <w:uiPriority w:val="39"/>
    <w:pPr>
      <w:widowControl w:val="0"/>
      <w:kinsoku/>
      <w:autoSpaceDE/>
      <w:autoSpaceDN/>
      <w:snapToGrid/>
      <w:ind w:left="2940" w:leftChars="1400"/>
      <w:jc w:val="both"/>
    </w:pPr>
    <w:rPr>
      <w:rFonts w:asciiTheme="minorHAnsi" w:hAnsiTheme="minorHAnsi" w:eastAsiaTheme="minorEastAsia" w:cstheme="minorBidi"/>
      <w:color w:val="auto"/>
      <w:kern w:val="2"/>
      <w:szCs w:val="22"/>
      <w14:ligatures w14:val="standardContextual"/>
    </w:rPr>
  </w:style>
  <w:style w:type="paragraph" w:styleId="9">
    <w:name w:val="Balloon Text"/>
    <w:basedOn w:val="1"/>
    <w:link w:val="72"/>
    <w:qFormat/>
    <w:uiPriority w:val="0"/>
    <w:rPr>
      <w:sz w:val="18"/>
      <w:szCs w:val="18"/>
    </w:rPr>
  </w:style>
  <w:style w:type="paragraph" w:styleId="10">
    <w:name w:val="footer"/>
    <w:basedOn w:val="1"/>
    <w:link w:val="69"/>
    <w:qFormat/>
    <w:uiPriority w:val="99"/>
    <w:pPr>
      <w:tabs>
        <w:tab w:val="center" w:pos="4153"/>
        <w:tab w:val="right" w:pos="8306"/>
      </w:tabs>
    </w:pPr>
    <w:rPr>
      <w:sz w:val="18"/>
      <w:szCs w:val="18"/>
    </w:rPr>
  </w:style>
  <w:style w:type="paragraph" w:styleId="11">
    <w:name w:val="header"/>
    <w:basedOn w:val="1"/>
    <w:link w:val="68"/>
    <w:qFormat/>
    <w:uiPriority w:val="0"/>
    <w:pPr>
      <w:tabs>
        <w:tab w:val="center" w:pos="4153"/>
        <w:tab w:val="right" w:pos="8306"/>
      </w:tabs>
      <w:jc w:val="center"/>
    </w:pPr>
    <w:rPr>
      <w:sz w:val="18"/>
      <w:szCs w:val="18"/>
    </w:rPr>
  </w:style>
  <w:style w:type="paragraph" w:styleId="12">
    <w:name w:val="toc 1"/>
    <w:basedOn w:val="1"/>
    <w:next w:val="1"/>
    <w:qFormat/>
    <w:uiPriority w:val="39"/>
  </w:style>
  <w:style w:type="paragraph" w:styleId="13">
    <w:name w:val="toc 4"/>
    <w:basedOn w:val="1"/>
    <w:next w:val="1"/>
    <w:unhideWhenUsed/>
    <w:qFormat/>
    <w:uiPriority w:val="39"/>
    <w:pPr>
      <w:widowControl w:val="0"/>
      <w:kinsoku/>
      <w:autoSpaceDE/>
      <w:autoSpaceDN/>
      <w:snapToGrid/>
      <w:ind w:left="1260" w:leftChars="600"/>
      <w:jc w:val="both"/>
    </w:pPr>
    <w:rPr>
      <w:rFonts w:asciiTheme="minorHAnsi" w:hAnsiTheme="minorHAnsi" w:eastAsiaTheme="minorEastAsia" w:cstheme="minorBidi"/>
      <w:color w:val="auto"/>
      <w:kern w:val="2"/>
      <w:szCs w:val="22"/>
      <w14:ligatures w14:val="standardContextual"/>
    </w:rPr>
  </w:style>
  <w:style w:type="paragraph" w:styleId="14">
    <w:name w:val="toc 6"/>
    <w:basedOn w:val="1"/>
    <w:next w:val="1"/>
    <w:unhideWhenUsed/>
    <w:qFormat/>
    <w:uiPriority w:val="39"/>
    <w:pPr>
      <w:widowControl w:val="0"/>
      <w:kinsoku/>
      <w:autoSpaceDE/>
      <w:autoSpaceDN/>
      <w:snapToGrid/>
      <w:ind w:left="2100" w:leftChars="1000"/>
      <w:jc w:val="both"/>
    </w:pPr>
    <w:rPr>
      <w:rFonts w:asciiTheme="minorHAnsi" w:hAnsiTheme="minorHAnsi" w:eastAsiaTheme="minorEastAsia" w:cstheme="minorBidi"/>
      <w:color w:val="auto"/>
      <w:kern w:val="2"/>
      <w:szCs w:val="22"/>
      <w14:ligatures w14:val="standardContextual"/>
    </w:rPr>
  </w:style>
  <w:style w:type="paragraph" w:styleId="15">
    <w:name w:val="Body Text Indent 3"/>
    <w:basedOn w:val="1"/>
    <w:qFormat/>
    <w:uiPriority w:val="0"/>
    <w:pPr>
      <w:spacing w:after="120" w:afterLines="0"/>
      <w:ind w:left="420" w:leftChars="200"/>
    </w:pPr>
    <w:rPr>
      <w:sz w:val="16"/>
      <w:szCs w:val="16"/>
    </w:rPr>
  </w:style>
  <w:style w:type="paragraph" w:styleId="16">
    <w:name w:val="toc 2"/>
    <w:basedOn w:val="1"/>
    <w:next w:val="1"/>
    <w:qFormat/>
    <w:uiPriority w:val="39"/>
    <w:pPr>
      <w:ind w:left="420" w:leftChars="200"/>
    </w:pPr>
  </w:style>
  <w:style w:type="paragraph" w:styleId="17">
    <w:name w:val="toc 9"/>
    <w:basedOn w:val="1"/>
    <w:next w:val="1"/>
    <w:unhideWhenUsed/>
    <w:qFormat/>
    <w:uiPriority w:val="39"/>
    <w:pPr>
      <w:widowControl w:val="0"/>
      <w:kinsoku/>
      <w:autoSpaceDE/>
      <w:autoSpaceDN/>
      <w:snapToGrid/>
      <w:ind w:left="3360" w:leftChars="1600"/>
      <w:jc w:val="both"/>
    </w:pPr>
    <w:rPr>
      <w:rFonts w:asciiTheme="minorHAnsi" w:hAnsiTheme="minorHAnsi" w:eastAsiaTheme="minorEastAsia" w:cstheme="minorBidi"/>
      <w:color w:val="auto"/>
      <w:kern w:val="2"/>
      <w:szCs w:val="22"/>
      <w14:ligatures w14:val="standardContextual"/>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标题 11"/>
    <w:basedOn w:val="1"/>
    <w:qFormat/>
    <w:uiPriority w:val="0"/>
    <w:pPr>
      <w:keepNext/>
      <w:keepLines/>
      <w:spacing w:before="340" w:after="330" w:line="578" w:lineRule="auto"/>
      <w:jc w:val="center"/>
      <w:outlineLvl w:val="0"/>
    </w:pPr>
    <w:rPr>
      <w:rFonts w:eastAsia="宋体"/>
      <w:b/>
      <w:bCs/>
      <w:kern w:val="44"/>
      <w:sz w:val="44"/>
      <w:szCs w:val="44"/>
    </w:rPr>
  </w:style>
  <w:style w:type="paragraph" w:customStyle="1" w:styleId="23">
    <w:name w:val="标题 21"/>
    <w:basedOn w:val="22"/>
    <w:qFormat/>
    <w:uiPriority w:val="0"/>
    <w:pPr>
      <w:spacing w:before="120" w:after="120" w:line="240" w:lineRule="auto"/>
      <w:outlineLvl w:val="1"/>
    </w:pPr>
    <w:rPr>
      <w:rFonts w:ascii="黑体" w:hAnsi="黑体"/>
      <w:b w:val="0"/>
      <w:szCs w:val="30"/>
    </w:rPr>
  </w:style>
  <w:style w:type="paragraph" w:customStyle="1" w:styleId="24">
    <w:name w:val="标题 31"/>
    <w:basedOn w:val="1"/>
    <w:qFormat/>
    <w:uiPriority w:val="0"/>
    <w:pPr>
      <w:spacing w:before="50" w:after="50"/>
      <w:outlineLvl w:val="2"/>
    </w:pPr>
    <w:rPr>
      <w:rFonts w:ascii="宋体" w:hAnsi="宋体" w:eastAsia="宋体"/>
      <w:b/>
      <w:sz w:val="28"/>
      <w:szCs w:val="24"/>
    </w:rPr>
  </w:style>
  <w:style w:type="paragraph" w:customStyle="1" w:styleId="25">
    <w:name w:val="标题 41"/>
    <w:basedOn w:val="1"/>
    <w:qFormat/>
    <w:uiPriority w:val="0"/>
    <w:pPr>
      <w:outlineLvl w:val="3"/>
    </w:pPr>
    <w:rPr>
      <w:rFonts w:ascii="宋体" w:hAnsi="宋体" w:eastAsia="宋体"/>
      <w:sz w:val="28"/>
      <w:szCs w:val="24"/>
    </w:rPr>
  </w:style>
  <w:style w:type="paragraph" w:customStyle="1" w:styleId="26">
    <w:name w:val="标题 61"/>
    <w:basedOn w:val="1"/>
    <w:qFormat/>
    <w:uiPriority w:val="0"/>
    <w:pPr>
      <w:keepNext/>
      <w:keepLines/>
      <w:tabs>
        <w:tab w:val="left" w:pos="1440"/>
      </w:tabs>
      <w:spacing w:before="240" w:after="64" w:line="320" w:lineRule="auto"/>
      <w:ind w:left="1152" w:hanging="1152"/>
      <w:outlineLvl w:val="5"/>
    </w:pPr>
    <w:rPr>
      <w:rFonts w:eastAsia="黑体"/>
      <w:b/>
      <w:bCs/>
      <w:sz w:val="24"/>
      <w:szCs w:val="24"/>
    </w:rPr>
  </w:style>
  <w:style w:type="character" w:customStyle="1" w:styleId="27">
    <w:name w:val="默认段落字体1"/>
    <w:semiHidden/>
    <w:qFormat/>
    <w:uiPriority w:val="0"/>
  </w:style>
  <w:style w:type="table" w:customStyle="1" w:styleId="28">
    <w:name w:val="普通表格1"/>
    <w:semiHidden/>
    <w:qFormat/>
    <w:uiPriority w:val="0"/>
    <w:tblPr>
      <w:tblCellMar>
        <w:top w:w="0" w:type="dxa"/>
        <w:left w:w="0" w:type="dxa"/>
        <w:bottom w:w="0" w:type="dxa"/>
        <w:right w:w="0" w:type="dxa"/>
      </w:tblCellMar>
    </w:tblPr>
  </w:style>
  <w:style w:type="paragraph" w:customStyle="1" w:styleId="29">
    <w:name w:val="正文缩进11"/>
    <w:basedOn w:val="1"/>
    <w:qFormat/>
    <w:uiPriority w:val="0"/>
    <w:pPr>
      <w:ind w:firstLine="420" w:firstLineChars="200"/>
    </w:pPr>
  </w:style>
  <w:style w:type="paragraph" w:customStyle="1" w:styleId="30">
    <w:name w:val="批注文字1"/>
    <w:basedOn w:val="1"/>
    <w:qFormat/>
    <w:uiPriority w:val="0"/>
  </w:style>
  <w:style w:type="paragraph" w:customStyle="1" w:styleId="31">
    <w:name w:val="正文文本 31"/>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customStyle="1" w:styleId="32">
    <w:name w:val="正文文本1"/>
    <w:basedOn w:val="1"/>
    <w:qFormat/>
    <w:uiPriority w:val="0"/>
    <w:pPr>
      <w:spacing w:after="120"/>
    </w:pPr>
  </w:style>
  <w:style w:type="paragraph" w:customStyle="1" w:styleId="33">
    <w:name w:val="正文文本缩进1"/>
    <w:basedOn w:val="1"/>
    <w:qFormat/>
    <w:uiPriority w:val="0"/>
    <w:pPr>
      <w:ind w:firstLine="600" w:firstLineChars="200"/>
    </w:pPr>
    <w:rPr>
      <w:rFonts w:ascii="宋体"/>
      <w:sz w:val="30"/>
      <w:szCs w:val="20"/>
    </w:rPr>
  </w:style>
  <w:style w:type="paragraph" w:customStyle="1" w:styleId="34">
    <w:name w:val="寄信人地址1"/>
    <w:basedOn w:val="1"/>
    <w:qFormat/>
    <w:uiPriority w:val="0"/>
  </w:style>
  <w:style w:type="paragraph" w:customStyle="1" w:styleId="35">
    <w:name w:val="目录 31"/>
    <w:basedOn w:val="1"/>
    <w:qFormat/>
    <w:uiPriority w:val="0"/>
    <w:pPr>
      <w:ind w:left="840" w:leftChars="400"/>
    </w:pPr>
  </w:style>
  <w:style w:type="paragraph" w:customStyle="1" w:styleId="36">
    <w:name w:val="纯文本1"/>
    <w:basedOn w:val="1"/>
    <w:qFormat/>
    <w:uiPriority w:val="0"/>
    <w:rPr>
      <w:rFonts w:ascii="宋体" w:hAnsi="Courier New"/>
      <w:szCs w:val="20"/>
    </w:rPr>
  </w:style>
  <w:style w:type="paragraph" w:customStyle="1" w:styleId="37">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38">
    <w:name w:val="日期1"/>
    <w:basedOn w:val="1"/>
    <w:qFormat/>
    <w:uiPriority w:val="0"/>
    <w:pPr>
      <w:ind w:left="100" w:leftChars="2500"/>
    </w:pPr>
    <w:rPr>
      <w:sz w:val="20"/>
    </w:rPr>
  </w:style>
  <w:style w:type="paragraph" w:customStyle="1" w:styleId="39">
    <w:name w:val="页脚1"/>
    <w:basedOn w:val="1"/>
    <w:qFormat/>
    <w:uiPriority w:val="0"/>
    <w:pPr>
      <w:tabs>
        <w:tab w:val="center" w:pos="4153"/>
        <w:tab w:val="right" w:pos="8306"/>
      </w:tabs>
    </w:pPr>
    <w:rPr>
      <w:sz w:val="18"/>
    </w:rPr>
  </w:style>
  <w:style w:type="paragraph" w:customStyle="1" w:styleId="40">
    <w:name w:val="目录 11"/>
    <w:basedOn w:val="1"/>
    <w:qFormat/>
    <w:uiPriority w:val="0"/>
  </w:style>
  <w:style w:type="paragraph" w:customStyle="1" w:styleId="41">
    <w:name w:val="正文文本缩进 31"/>
    <w:basedOn w:val="1"/>
    <w:qFormat/>
    <w:uiPriority w:val="0"/>
    <w:pPr>
      <w:spacing w:after="120"/>
      <w:ind w:left="420" w:leftChars="200"/>
    </w:pPr>
    <w:rPr>
      <w:sz w:val="16"/>
      <w:szCs w:val="16"/>
    </w:rPr>
  </w:style>
  <w:style w:type="paragraph" w:customStyle="1" w:styleId="42">
    <w:name w:val="目录 21"/>
    <w:basedOn w:val="1"/>
    <w:qFormat/>
    <w:uiPriority w:val="0"/>
    <w:pPr>
      <w:ind w:left="420" w:leftChars="200"/>
    </w:pPr>
  </w:style>
  <w:style w:type="paragraph" w:customStyle="1" w:styleId="43">
    <w:name w:val="普通(网站)1"/>
    <w:basedOn w:val="1"/>
    <w:qFormat/>
    <w:uiPriority w:val="0"/>
    <w:pPr>
      <w:spacing w:before="100" w:beforeAutospacing="1" w:after="100" w:afterAutospacing="1"/>
    </w:pPr>
    <w:rPr>
      <w:sz w:val="24"/>
    </w:rPr>
  </w:style>
  <w:style w:type="paragraph" w:customStyle="1" w:styleId="44">
    <w:name w:val="正文首行缩进1"/>
    <w:basedOn w:val="32"/>
    <w:qFormat/>
    <w:uiPriority w:val="0"/>
    <w:pPr>
      <w:ind w:firstLine="420"/>
    </w:pPr>
    <w:rPr>
      <w:rFonts w:ascii="Times New Roman" w:hAnsi="Times New Roman" w:eastAsia="楷体_GB2312"/>
      <w:sz w:val="20"/>
      <w:szCs w:val="20"/>
    </w:rPr>
  </w:style>
  <w:style w:type="paragraph" w:customStyle="1" w:styleId="45">
    <w:name w:val="正文首行缩进 21"/>
    <w:basedOn w:val="1"/>
    <w:qFormat/>
    <w:uiPriority w:val="0"/>
    <w:pPr>
      <w:widowControl w:val="0"/>
      <w:spacing w:after="120"/>
      <w:ind w:left="420" w:leftChars="200" w:firstLine="420" w:firstLineChars="200"/>
      <w:jc w:val="both"/>
    </w:pPr>
    <w:rPr>
      <w:rFonts w:ascii="Calibri" w:hAnsi="Calibri" w:eastAsia="宋体"/>
      <w:kern w:val="2"/>
      <w:szCs w:val="24"/>
    </w:rPr>
  </w:style>
  <w:style w:type="paragraph" w:customStyle="1" w:styleId="46">
    <w:name w:val="样式 正文首行缩进 2 + Arial"/>
    <w:basedOn w:val="1"/>
    <w:qFormat/>
    <w:uiPriority w:val="0"/>
    <w:pPr>
      <w:spacing w:before="100" w:beforeAutospacing="1" w:after="120" w:line="320" w:lineRule="atLeast"/>
      <w:ind w:firstLine="200" w:firstLineChars="200"/>
    </w:pPr>
    <w:rPr>
      <w:sz w:val="24"/>
      <w:szCs w:val="24"/>
    </w:rPr>
  </w:style>
  <w:style w:type="table" w:customStyle="1" w:styleId="47">
    <w:name w:val="网格型1"/>
    <w:basedOn w:val="28"/>
    <w:qFormat/>
    <w:uiPriority w:val="0"/>
    <w:pPr>
      <w:widowControl w:val="0"/>
      <w:jc w:val="both"/>
    </w:pPr>
  </w:style>
  <w:style w:type="character" w:customStyle="1" w:styleId="48">
    <w:name w:val="超链接1"/>
    <w:qFormat/>
    <w:uiPriority w:val="0"/>
    <w:rPr>
      <w:rFonts w:ascii="Arial" w:hAnsi="Arial" w:eastAsia="黑体"/>
      <w:color w:val="0000FF"/>
      <w:kern w:val="2"/>
      <w:sz w:val="21"/>
      <w:szCs w:val="21"/>
      <w:u w:val="single"/>
      <w:lang w:val="en-US" w:eastAsia="zh-CN" w:bidi="ar-SA"/>
    </w:rPr>
  </w:style>
  <w:style w:type="paragraph" w:customStyle="1" w:styleId="49">
    <w:name w:val="样式 行距: 1.5 倍行距1"/>
    <w:basedOn w:val="1"/>
    <w:qFormat/>
    <w:uiPriority w:val="0"/>
    <w:pPr>
      <w:ind w:firstLine="560" w:firstLineChars="200"/>
    </w:pPr>
    <w:rPr>
      <w:rFonts w:ascii="Times New Roman" w:hAnsi="Times New Roman" w:eastAsia="宋体"/>
    </w:rPr>
  </w:style>
  <w:style w:type="paragraph" w:customStyle="1" w:styleId="50">
    <w:name w:val="正文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1">
    <w:name w:val="正文 New New New New New New New New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2">
    <w:name w:val="正文缩进1"/>
    <w:basedOn w:val="53"/>
    <w:qFormat/>
    <w:uiPriority w:val="0"/>
    <w:pPr>
      <w:widowControl w:val="0"/>
      <w:spacing w:line="360" w:lineRule="auto"/>
      <w:ind w:firstLine="200" w:firstLineChars="200"/>
      <w:jc w:val="both"/>
    </w:pPr>
    <w:rPr>
      <w:rFonts w:ascii="Times New Roman" w:hAnsi="Times New Roman" w:eastAsia="宋体"/>
      <w:kern w:val="2"/>
      <w:szCs w:val="22"/>
    </w:rPr>
  </w:style>
  <w:style w:type="paragraph" w:customStyle="1" w:styleId="53">
    <w:name w:val="正文1"/>
    <w:basedOn w:val="1"/>
    <w:qFormat/>
    <w:uiPriority w:val="0"/>
    <w:pPr>
      <w:spacing w:line="240" w:lineRule="atLeast"/>
      <w:jc w:val="center"/>
    </w:pPr>
    <w:rPr>
      <w:rFonts w:ascii="Tahoma" w:hAnsi="Tahoma"/>
      <w:sz w:val="24"/>
    </w:rPr>
  </w:style>
  <w:style w:type="paragraph" w:customStyle="1" w:styleId="54">
    <w:name w:val="WPSOffice手动目录 2"/>
    <w:qFormat/>
    <w:uiPriority w:val="0"/>
    <w:pPr>
      <w:ind w:left="200" w:leftChars="200"/>
    </w:pPr>
    <w:rPr>
      <w:rFonts w:ascii="Arial" w:hAnsi="Arial" w:eastAsia="Arial" w:cs="Times New Roman"/>
      <w:lang w:val="en-US" w:eastAsia="zh-CN" w:bidi="ar-SA"/>
    </w:rPr>
  </w:style>
  <w:style w:type="paragraph" w:customStyle="1" w:styleId="55">
    <w:name w:val="样式 宋体 行距: 1.5 倍行距"/>
    <w:basedOn w:val="1"/>
    <w:qFormat/>
    <w:uiPriority w:val="0"/>
    <w:pPr>
      <w:jc w:val="center"/>
    </w:pPr>
    <w:rPr>
      <w:b/>
    </w:rPr>
  </w:style>
  <w:style w:type="paragraph" w:customStyle="1" w:styleId="5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7">
    <w:name w:val="发文落款"/>
    <w:basedOn w:val="56"/>
    <w:qFormat/>
    <w:uiPriority w:val="0"/>
    <w:pPr>
      <w:ind w:left="4094" w:right="607" w:firstLine="0"/>
      <w:jc w:val="center"/>
    </w:pPr>
  </w:style>
  <w:style w:type="paragraph" w:customStyle="1" w:styleId="58">
    <w:name w:val="WPSOffice手动目录 1"/>
    <w:qFormat/>
    <w:uiPriority w:val="0"/>
    <w:rPr>
      <w:rFonts w:ascii="Arial" w:hAnsi="Arial" w:eastAsia="Arial" w:cs="Times New Roman"/>
      <w:lang w:val="en-US" w:eastAsia="zh-CN" w:bidi="ar-SA"/>
    </w:rPr>
  </w:style>
  <w:style w:type="paragraph" w:customStyle="1" w:styleId="59">
    <w:name w:val="Table Paragraph"/>
    <w:basedOn w:val="1"/>
    <w:qFormat/>
    <w:uiPriority w:val="0"/>
    <w:rPr>
      <w:sz w:val="24"/>
      <w:szCs w:val="24"/>
    </w:rPr>
  </w:style>
  <w:style w:type="paragraph" w:customStyle="1" w:styleId="60">
    <w:name w:val="WPSOffice手动目录 3"/>
    <w:qFormat/>
    <w:uiPriority w:val="0"/>
    <w:pPr>
      <w:ind w:left="400" w:leftChars="400"/>
    </w:pPr>
    <w:rPr>
      <w:rFonts w:ascii="Arial" w:hAnsi="Arial" w:eastAsia="Arial" w:cs="Times New Roman"/>
      <w:lang w:val="en-US" w:eastAsia="zh-CN" w:bidi="ar-SA"/>
    </w:r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0正文"/>
    <w:basedOn w:val="1"/>
    <w:qFormat/>
    <w:uiPriority w:val="0"/>
    <w:pPr>
      <w:spacing w:line="520" w:lineRule="atLeast"/>
      <w:ind w:firstLine="480" w:firstLineChars="200"/>
    </w:pPr>
    <w:rPr>
      <w:rFonts w:ascii="Times New Roman" w:hAnsi="Times New Roman" w:eastAsia="宋体"/>
      <w:sz w:val="24"/>
      <w:szCs w:val="24"/>
    </w:rPr>
  </w:style>
  <w:style w:type="paragraph" w:customStyle="1" w:styleId="63">
    <w:name w:val="Table Text"/>
    <w:basedOn w:val="1"/>
    <w:semiHidden/>
    <w:qFormat/>
    <w:uiPriority w:val="0"/>
    <w:rPr>
      <w:rFonts w:ascii="宋体" w:hAnsi="宋体"/>
      <w:sz w:val="24"/>
      <w:szCs w:val="24"/>
      <w:lang w:eastAsia="en-US"/>
    </w:rPr>
  </w:style>
  <w:style w:type="character" w:customStyle="1" w:styleId="64">
    <w:name w:val="font41"/>
    <w:qFormat/>
    <w:uiPriority w:val="0"/>
    <w:rPr>
      <w:rFonts w:hint="eastAsia" w:ascii="宋体" w:hAnsi="宋体" w:eastAsia="宋体"/>
      <w:color w:val="000000"/>
      <w:sz w:val="24"/>
      <w:szCs w:val="24"/>
      <w:u w:val="none"/>
    </w:rPr>
  </w:style>
  <w:style w:type="character" w:customStyle="1" w:styleId="65">
    <w:name w:val="font21"/>
    <w:qFormat/>
    <w:uiPriority w:val="0"/>
    <w:rPr>
      <w:rFonts w:hint="eastAsia" w:ascii="宋体" w:hAnsi="宋体" w:eastAsia="宋体"/>
      <w:b/>
      <w:color w:val="000000"/>
      <w:sz w:val="24"/>
      <w:szCs w:val="24"/>
      <w:u w:val="none"/>
    </w:rPr>
  </w:style>
  <w:style w:type="character" w:customStyle="1" w:styleId="66">
    <w:name w:val="font31"/>
    <w:qFormat/>
    <w:uiPriority w:val="0"/>
    <w:rPr>
      <w:rFonts w:ascii="Times New Roman" w:hAnsi="Times New Roman"/>
      <w:color w:val="000000"/>
      <w:sz w:val="24"/>
      <w:szCs w:val="24"/>
      <w:u w:val="none"/>
    </w:rPr>
  </w:style>
  <w:style w:type="character" w:customStyle="1" w:styleId="67">
    <w:name w:val="font01"/>
    <w:qFormat/>
    <w:uiPriority w:val="0"/>
    <w:rPr>
      <w:rFonts w:hint="eastAsia" w:ascii="宋体" w:hAnsi="宋体" w:eastAsia="宋体"/>
      <w:color w:val="000000"/>
      <w:sz w:val="24"/>
      <w:szCs w:val="24"/>
      <w:u w:val="none"/>
    </w:rPr>
  </w:style>
  <w:style w:type="character" w:customStyle="1" w:styleId="68">
    <w:name w:val="页眉 Char"/>
    <w:basedOn w:val="19"/>
    <w:link w:val="11"/>
    <w:qFormat/>
    <w:uiPriority w:val="0"/>
    <w:rPr>
      <w:rFonts w:ascii="Arial" w:hAnsi="Arial" w:eastAsia="Arial"/>
      <w:color w:val="000000"/>
      <w:sz w:val="18"/>
      <w:szCs w:val="18"/>
    </w:rPr>
  </w:style>
  <w:style w:type="character" w:customStyle="1" w:styleId="69">
    <w:name w:val="页脚 Char"/>
    <w:basedOn w:val="19"/>
    <w:link w:val="10"/>
    <w:qFormat/>
    <w:uiPriority w:val="99"/>
    <w:rPr>
      <w:rFonts w:ascii="Arial" w:hAnsi="Arial" w:eastAsia="Arial"/>
      <w:color w:val="000000"/>
      <w:sz w:val="18"/>
      <w:szCs w:val="18"/>
    </w:rPr>
  </w:style>
  <w:style w:type="character" w:customStyle="1" w:styleId="70">
    <w:name w:val="未处理的提及1"/>
    <w:basedOn w:val="19"/>
    <w:unhideWhenUsed/>
    <w:qFormat/>
    <w:uiPriority w:val="99"/>
    <w:rPr>
      <w:color w:val="605E5C"/>
      <w:shd w:val="clear" w:color="auto" w:fill="E1DFDD"/>
    </w:rPr>
  </w:style>
  <w:style w:type="paragraph" w:customStyle="1" w:styleId="71">
    <w:name w:val="Revision"/>
    <w:hidden/>
    <w:unhideWhenUsed/>
    <w:qFormat/>
    <w:uiPriority w:val="99"/>
    <w:rPr>
      <w:rFonts w:ascii="Arial" w:hAnsi="Arial" w:eastAsia="Arial" w:cs="Times New Roman"/>
      <w:color w:val="000000"/>
      <w:sz w:val="21"/>
      <w:szCs w:val="21"/>
      <w:lang w:val="en-US" w:eastAsia="zh-CN" w:bidi="ar-SA"/>
    </w:rPr>
  </w:style>
  <w:style w:type="character" w:customStyle="1" w:styleId="72">
    <w:name w:val="批注框文本 Char"/>
    <w:basedOn w:val="19"/>
    <w:link w:val="9"/>
    <w:qFormat/>
    <w:uiPriority w:val="0"/>
    <w:rPr>
      <w:rFonts w:ascii="Arial" w:hAnsi="Arial" w:eastAsia="Arial"/>
      <w:color w:val="000000"/>
      <w:sz w:val="18"/>
      <w:szCs w:val="18"/>
    </w:rPr>
  </w:style>
  <w:style w:type="paragraph" w:customStyle="1" w:styleId="73">
    <w:name w:val="_Style 3"/>
    <w:next w:val="15"/>
    <w:qFormat/>
    <w:uiPriority w:val="0"/>
    <w:pPr>
      <w:widowControl w:val="0"/>
      <w:autoSpaceDE w:val="0"/>
      <w:autoSpaceDN w:val="0"/>
      <w:adjustRightInd w:val="0"/>
      <w:spacing w:line="480" w:lineRule="exact"/>
      <w:ind w:firstLine="560"/>
    </w:pPr>
    <w:rPr>
      <w:rFonts w:ascii="宋体" w:hAnsi="宋体" w:eastAsia="宋体" w:cs="Times New Roman"/>
      <w:color w:val="000000"/>
      <w:sz w:val="28"/>
      <w:lang w:val="en-US" w:eastAsia="zh-CN" w:bidi="ar-SA"/>
    </w:rPr>
  </w:style>
  <w:style w:type="paragraph" w:customStyle="1" w:styleId="74">
    <w:name w:val="列出段落1"/>
    <w:basedOn w:val="1"/>
    <w:qFormat/>
    <w:uiPriority w:val="34"/>
    <w:pPr>
      <w:ind w:firstLine="420" w:firstLineChars="200"/>
    </w:pPr>
  </w:style>
  <w:style w:type="character" w:customStyle="1" w:styleId="75">
    <w:name w:val="font11"/>
    <w:basedOn w:val="19"/>
    <w:qFormat/>
    <w:uiPriority w:val="0"/>
    <w:rPr>
      <w:rFonts w:hint="eastAsia" w:ascii="宋体" w:hAnsi="宋体" w:eastAsia="宋体" w:cs="宋体"/>
      <w:color w:val="000000"/>
      <w:sz w:val="21"/>
      <w:szCs w:val="21"/>
      <w:u w:val="none"/>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B515-92A9-4713-97E6-3D2AA16148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7037</Words>
  <Characters>7614</Characters>
  <Lines>352</Lines>
  <Paragraphs>99</Paragraphs>
  <TotalTime>27</TotalTime>
  <ScaleCrop>false</ScaleCrop>
  <LinksUpToDate>false</LinksUpToDate>
  <CharactersWithSpaces>7829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2024-12-04T08:22:00Z</dcterms:created>
  <dc:creator>zane</dc:creator>
  <cp:lastModifiedBy>Freedom</cp:lastModifiedBy>
  <cp:lastPrinted>2024-12-04T08:24:00Z</cp:lastPrinted>
  <dcterms:modified xsi:type="dcterms:W3CDTF">2025-04-16T05:19:02Z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27068A8BC1E14FD4BA8F71D903A33E87_13</vt:lpwstr>
  </property>
  <property fmtid="{D5CDD505-2E9C-101B-9397-08002B2CF9AE}" pid="4" name="KSOTemplateDocerSaveRecord">
    <vt:lpwstr>eyJoZGlkIjoiNWQ0YzUyNjM5NzZmZGM5NjJjNjQ3MTAyNjc2YWVlMWEiLCJ1c2VySWQiOiI0MTAyNzQ1NTMifQ==</vt:lpwstr>
  </property>
</Properties>
</file>